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712EA">
      <w:pPr>
        <w:pStyle w:val="24"/>
        <w:widowControl w:val="0"/>
        <w:adjustRightInd w:val="0"/>
        <w:snapToGrid w:val="0"/>
        <w:jc w:val="both"/>
        <w:rPr>
          <w:rFonts w:hint="eastAsia"/>
          <w:color w:val="auto"/>
          <w:sz w:val="10"/>
          <w:highlight w:val="none"/>
        </w:rPr>
      </w:pPr>
      <w:r>
        <w:rPr>
          <w:color w:val="auto"/>
          <w:sz w:val="32"/>
          <w:highlight w:val="none"/>
        </w:rPr>
        <w:t xml:space="preserve">                         </w:t>
      </w:r>
      <w:r>
        <w:rPr>
          <w:color w:val="auto"/>
          <w:sz w:val="10"/>
          <w:highlight w:val="none"/>
        </w:rPr>
        <w:t xml:space="preserve">                                                                                     </w:t>
      </w:r>
    </w:p>
    <w:p w14:paraId="603D487D">
      <w:pPr>
        <w:pStyle w:val="24"/>
        <w:widowControl w:val="0"/>
        <w:adjustRightInd w:val="0"/>
        <w:snapToGrid w:val="0"/>
        <w:jc w:val="both"/>
        <w:rPr>
          <w:rFonts w:hint="eastAsia"/>
          <w:color w:val="auto"/>
          <w:sz w:val="72"/>
          <w:szCs w:val="72"/>
          <w:highlight w:val="none"/>
        </w:rPr>
      </w:pPr>
      <w:r>
        <w:rPr>
          <w:color w:val="auto"/>
          <w:sz w:val="32"/>
          <w:highlight w:val="none"/>
        </w:rPr>
        <w:t xml:space="preserve">          </w:t>
      </w:r>
    </w:p>
    <w:p w14:paraId="2A12C711">
      <w:pPr>
        <w:pStyle w:val="24"/>
        <w:widowControl w:val="0"/>
        <w:adjustRightInd w:val="0"/>
        <w:snapToGrid w:val="0"/>
        <w:jc w:val="both"/>
        <w:rPr>
          <w:rFonts w:hint="eastAsia"/>
          <w:color w:val="auto"/>
          <w:sz w:val="72"/>
          <w:szCs w:val="72"/>
          <w:highlight w:val="none"/>
        </w:rPr>
      </w:pPr>
    </w:p>
    <w:p w14:paraId="2D6BA0FB">
      <w:pPr>
        <w:pStyle w:val="24"/>
        <w:widowControl w:val="0"/>
        <w:adjustRightInd w:val="0"/>
        <w:snapToGrid w:val="0"/>
        <w:jc w:val="both"/>
        <w:rPr>
          <w:rFonts w:hint="eastAsia"/>
          <w:color w:val="auto"/>
          <w:sz w:val="72"/>
          <w:szCs w:val="72"/>
          <w:highlight w:val="none"/>
        </w:rPr>
      </w:pPr>
    </w:p>
    <w:p w14:paraId="150B93CE">
      <w:pPr>
        <w:pStyle w:val="24"/>
        <w:widowControl w:val="0"/>
        <w:adjustRightInd w:val="0"/>
        <w:snapToGrid w:val="0"/>
        <w:rPr>
          <w:rFonts w:hint="eastAsia"/>
          <w:color w:val="auto"/>
          <w:sz w:val="36"/>
          <w:szCs w:val="36"/>
          <w:highlight w:val="none"/>
        </w:rPr>
      </w:pPr>
    </w:p>
    <w:p w14:paraId="7831F869">
      <w:pPr>
        <w:pStyle w:val="24"/>
        <w:widowControl w:val="0"/>
        <w:adjustRightInd w:val="0"/>
        <w:snapToGrid w:val="0"/>
        <w:jc w:val="center"/>
        <w:rPr>
          <w:rFonts w:ascii="Times New Roman" w:hAnsi="Times New Roman"/>
          <w:color w:val="auto"/>
          <w:sz w:val="84"/>
          <w:highlight w:val="none"/>
        </w:rPr>
      </w:pPr>
      <w:r>
        <w:rPr>
          <w:rFonts w:ascii="Times New Roman" w:hAnsi="Times New Roman"/>
          <w:color w:val="auto"/>
          <w:sz w:val="84"/>
          <w:highlight w:val="none"/>
        </w:rPr>
        <w:t>公开招标文件</w:t>
      </w:r>
    </w:p>
    <w:p w14:paraId="3013C54A">
      <w:pPr>
        <w:pStyle w:val="24"/>
        <w:widowControl w:val="0"/>
        <w:adjustRightInd w:val="0"/>
        <w:snapToGrid w:val="0"/>
        <w:jc w:val="center"/>
        <w:rPr>
          <w:rFonts w:ascii="Times New Roman" w:hAnsi="Times New Roman"/>
          <w:color w:val="auto"/>
          <w:sz w:val="36"/>
          <w:highlight w:val="none"/>
        </w:rPr>
      </w:pPr>
      <w:r>
        <w:rPr>
          <w:rFonts w:ascii="Times New Roman" w:hAnsi="Times New Roman"/>
          <w:color w:val="auto"/>
          <w:sz w:val="36"/>
          <w:highlight w:val="none"/>
        </w:rPr>
        <w:t>编号：</w:t>
      </w:r>
      <w:r>
        <w:rPr>
          <w:rFonts w:hint="eastAsia" w:ascii="Times New Roman" w:hAnsi="Times New Roman"/>
          <w:color w:val="auto"/>
          <w:sz w:val="36"/>
          <w:highlight w:val="none"/>
        </w:rPr>
        <w:t>YG2025-HW7769-ZFCG343</w:t>
      </w:r>
    </w:p>
    <w:p w14:paraId="01846627">
      <w:pPr>
        <w:widowControl w:val="0"/>
        <w:adjustRightInd w:val="0"/>
        <w:snapToGrid w:val="0"/>
        <w:spacing w:line="360" w:lineRule="auto"/>
        <w:jc w:val="center"/>
        <w:rPr>
          <w:color w:val="auto"/>
          <w:sz w:val="36"/>
          <w:highlight w:val="none"/>
        </w:rPr>
      </w:pPr>
      <w:r>
        <w:rPr>
          <w:color w:val="auto"/>
          <w:sz w:val="36"/>
          <w:highlight w:val="none"/>
        </w:rPr>
        <w:t>项目：</w:t>
      </w:r>
      <w:r>
        <w:rPr>
          <w:rFonts w:hint="eastAsia"/>
          <w:color w:val="auto"/>
          <w:sz w:val="36"/>
          <w:highlight w:val="none"/>
        </w:rPr>
        <w:t>金华开放大学数字媒体公共实训基地人物造型设备采购项目</w:t>
      </w:r>
    </w:p>
    <w:p w14:paraId="4F4F9778">
      <w:pPr>
        <w:widowControl w:val="0"/>
        <w:adjustRightInd w:val="0"/>
        <w:snapToGrid w:val="0"/>
        <w:spacing w:line="360" w:lineRule="exact"/>
        <w:rPr>
          <w:b/>
          <w:color w:val="auto"/>
          <w:sz w:val="44"/>
          <w:highlight w:val="none"/>
        </w:rPr>
      </w:pPr>
    </w:p>
    <w:p w14:paraId="3B72C45E">
      <w:pPr>
        <w:widowControl w:val="0"/>
        <w:adjustRightInd w:val="0"/>
        <w:snapToGrid w:val="0"/>
        <w:spacing w:line="360" w:lineRule="exact"/>
        <w:rPr>
          <w:b/>
          <w:color w:val="auto"/>
          <w:sz w:val="44"/>
          <w:highlight w:val="none"/>
        </w:rPr>
      </w:pPr>
    </w:p>
    <w:p w14:paraId="3CE40D0F">
      <w:pPr>
        <w:widowControl w:val="0"/>
        <w:adjustRightInd w:val="0"/>
        <w:snapToGrid w:val="0"/>
        <w:spacing w:line="360" w:lineRule="exact"/>
        <w:rPr>
          <w:b/>
          <w:color w:val="auto"/>
          <w:sz w:val="44"/>
          <w:highlight w:val="none"/>
        </w:rPr>
      </w:pPr>
    </w:p>
    <w:p w14:paraId="13D5DA29">
      <w:pPr>
        <w:widowControl w:val="0"/>
        <w:adjustRightInd w:val="0"/>
        <w:snapToGrid w:val="0"/>
        <w:spacing w:line="360" w:lineRule="exact"/>
        <w:rPr>
          <w:b/>
          <w:color w:val="auto"/>
          <w:sz w:val="44"/>
          <w:highlight w:val="none"/>
        </w:rPr>
      </w:pPr>
    </w:p>
    <w:p w14:paraId="0E1F04FB">
      <w:pPr>
        <w:widowControl w:val="0"/>
        <w:adjustRightInd w:val="0"/>
        <w:snapToGrid w:val="0"/>
        <w:spacing w:line="360" w:lineRule="exact"/>
        <w:rPr>
          <w:b/>
          <w:color w:val="auto"/>
          <w:sz w:val="44"/>
          <w:highlight w:val="none"/>
        </w:rPr>
      </w:pPr>
    </w:p>
    <w:p w14:paraId="570EB97E">
      <w:pPr>
        <w:widowControl w:val="0"/>
        <w:adjustRightInd w:val="0"/>
        <w:snapToGrid w:val="0"/>
        <w:spacing w:line="360" w:lineRule="exact"/>
        <w:rPr>
          <w:b/>
          <w:color w:val="auto"/>
          <w:sz w:val="44"/>
          <w:highlight w:val="none"/>
        </w:rPr>
      </w:pPr>
    </w:p>
    <w:p w14:paraId="6AEF0C55">
      <w:pPr>
        <w:widowControl w:val="0"/>
        <w:adjustRightInd w:val="0"/>
        <w:snapToGrid w:val="0"/>
        <w:spacing w:line="360" w:lineRule="exact"/>
        <w:rPr>
          <w:b/>
          <w:color w:val="auto"/>
          <w:sz w:val="44"/>
          <w:highlight w:val="none"/>
        </w:rPr>
      </w:pPr>
    </w:p>
    <w:p w14:paraId="6FB918DB">
      <w:pPr>
        <w:pStyle w:val="42"/>
        <w:ind w:left="480" w:firstLine="480"/>
        <w:rPr>
          <w:color w:val="auto"/>
          <w:highlight w:val="none"/>
        </w:rPr>
      </w:pPr>
    </w:p>
    <w:p w14:paraId="2AFB6CB1">
      <w:pPr>
        <w:pStyle w:val="42"/>
        <w:ind w:left="480" w:firstLine="480"/>
        <w:rPr>
          <w:color w:val="auto"/>
          <w:highlight w:val="none"/>
        </w:rPr>
      </w:pPr>
    </w:p>
    <w:p w14:paraId="0A8581C5">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采 购 人：</w:t>
      </w:r>
      <w:r>
        <w:rPr>
          <w:rFonts w:hint="eastAsia" w:ascii="Times New Roman" w:hAnsi="Times New Roman"/>
          <w:b/>
          <w:bCs/>
          <w:color w:val="auto"/>
          <w:sz w:val="28"/>
          <w:highlight w:val="none"/>
        </w:rPr>
        <w:t>金华开放大学（浙江商贸学校）</w:t>
      </w:r>
    </w:p>
    <w:p w14:paraId="3ED01046">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代理机构：浙江金华阳光招标代理有限公司</w:t>
      </w:r>
    </w:p>
    <w:p w14:paraId="4F0D1FA0">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监管部门：金华市财政局政府采购监管处</w:t>
      </w:r>
    </w:p>
    <w:p w14:paraId="458320EE">
      <w:pPr>
        <w:pStyle w:val="24"/>
        <w:widowControl w:val="0"/>
        <w:adjustRightInd w:val="0"/>
        <w:snapToGrid w:val="0"/>
        <w:spacing w:before="120" w:beforeLines="50" w:beforeAutospacing="0" w:after="120" w:afterLines="50" w:afterAutospacing="0"/>
        <w:ind w:left="-180" w:leftChars="-75" w:firstLine="2448" w:firstLineChars="871"/>
        <w:jc w:val="both"/>
        <w:rPr>
          <w:rFonts w:ascii="Times New Roman" w:hAnsi="Times New Roman"/>
          <w:b/>
          <w:bCs/>
          <w:color w:val="auto"/>
          <w:sz w:val="28"/>
          <w:highlight w:val="none"/>
        </w:rPr>
      </w:pPr>
      <w:r>
        <w:rPr>
          <w:rFonts w:ascii="Times New Roman" w:hAnsi="Times New Roman"/>
          <w:b/>
          <w:bCs/>
          <w:color w:val="auto"/>
          <w:sz w:val="28"/>
          <w:highlight w:val="none"/>
        </w:rPr>
        <w:t>编制日期：</w:t>
      </w:r>
      <w:r>
        <w:rPr>
          <w:rFonts w:ascii="Times New Roman" w:hAnsi="Times New Roman"/>
          <w:b/>
          <w:color w:val="auto"/>
          <w:sz w:val="28"/>
          <w:highlight w:val="none"/>
        </w:rPr>
        <w:t>二〇二</w:t>
      </w:r>
      <w:r>
        <w:rPr>
          <w:rFonts w:hint="eastAsia" w:ascii="Times New Roman" w:hAnsi="Times New Roman"/>
          <w:b/>
          <w:color w:val="auto"/>
          <w:sz w:val="28"/>
          <w:highlight w:val="none"/>
        </w:rPr>
        <w:t>五</w:t>
      </w:r>
      <w:r>
        <w:rPr>
          <w:rFonts w:ascii="Times New Roman" w:hAnsi="Times New Roman"/>
          <w:b/>
          <w:color w:val="auto"/>
          <w:sz w:val="28"/>
          <w:highlight w:val="none"/>
        </w:rPr>
        <w:t>年</w:t>
      </w:r>
      <w:r>
        <w:rPr>
          <w:rFonts w:hint="eastAsia" w:ascii="Times New Roman" w:hAnsi="Times New Roman"/>
          <w:b/>
          <w:color w:val="auto"/>
          <w:sz w:val="28"/>
          <w:highlight w:val="none"/>
        </w:rPr>
        <w:t>七</w:t>
      </w:r>
      <w:r>
        <w:rPr>
          <w:rFonts w:ascii="Times New Roman" w:hAnsi="Times New Roman"/>
          <w:b/>
          <w:color w:val="auto"/>
          <w:sz w:val="28"/>
          <w:highlight w:val="none"/>
        </w:rPr>
        <w:t>月</w:t>
      </w:r>
    </w:p>
    <w:p w14:paraId="52932233">
      <w:pPr>
        <w:widowControl w:val="0"/>
        <w:adjustRightInd w:val="0"/>
        <w:snapToGrid w:val="0"/>
        <w:spacing w:line="360" w:lineRule="auto"/>
        <w:jc w:val="center"/>
        <w:rPr>
          <w:rFonts w:hint="eastAsia" w:ascii="宋体" w:hAnsi="宋体"/>
          <w:b/>
          <w:bCs/>
          <w:color w:val="auto"/>
          <w:sz w:val="48"/>
          <w:highlight w:val="none"/>
        </w:rPr>
      </w:pPr>
      <w:r>
        <w:rPr>
          <w:rFonts w:ascii="宋体" w:hAnsi="宋体"/>
          <w:b/>
          <w:bCs/>
          <w:color w:val="auto"/>
          <w:sz w:val="48"/>
          <w:highlight w:val="none"/>
        </w:rPr>
        <w:br w:type="page"/>
      </w:r>
    </w:p>
    <w:p w14:paraId="7193F343">
      <w:pPr>
        <w:widowControl w:val="0"/>
        <w:adjustRightInd w:val="0"/>
        <w:snapToGrid w:val="0"/>
        <w:spacing w:line="360" w:lineRule="auto"/>
        <w:jc w:val="center"/>
        <w:rPr>
          <w:rFonts w:hint="eastAsia" w:ascii="宋体" w:hAnsi="宋体"/>
          <w:b/>
          <w:bCs/>
          <w:color w:val="auto"/>
          <w:sz w:val="52"/>
          <w:szCs w:val="52"/>
          <w:highlight w:val="none"/>
        </w:rPr>
      </w:pPr>
      <w:r>
        <w:rPr>
          <w:rFonts w:ascii="宋体" w:hAnsi="宋体"/>
          <w:b/>
          <w:bCs/>
          <w:color w:val="auto"/>
          <w:sz w:val="52"/>
          <w:szCs w:val="52"/>
          <w:highlight w:val="none"/>
        </w:rPr>
        <w:t>招 标 文 件 目 录</w:t>
      </w:r>
    </w:p>
    <w:p w14:paraId="53E85164">
      <w:pPr>
        <w:pStyle w:val="31"/>
        <w:tabs>
          <w:tab w:val="right" w:leader="dot" w:pos="8990"/>
        </w:tabs>
        <w:spacing w:line="480" w:lineRule="auto"/>
        <w:rPr>
          <w:rFonts w:hint="eastAsia" w:hAnsi="等线"/>
          <w:b w:val="0"/>
          <w:bCs w:val="0"/>
          <w:caps w:val="0"/>
          <w:color w:val="auto"/>
          <w:kern w:val="2"/>
          <w:sz w:val="28"/>
          <w:szCs w:val="32"/>
          <w:highlight w:val="none"/>
        </w:rPr>
      </w:pPr>
      <w:r>
        <w:rPr>
          <w:rFonts w:ascii="宋体" w:hAnsi="宋体" w:eastAsia="宋体"/>
          <w:color w:val="auto"/>
          <w:sz w:val="36"/>
          <w:szCs w:val="36"/>
          <w:highlight w:val="none"/>
        </w:rPr>
        <w:fldChar w:fldCharType="begin"/>
      </w:r>
      <w:r>
        <w:rPr>
          <w:rFonts w:ascii="宋体" w:hAnsi="宋体" w:eastAsia="宋体"/>
          <w:color w:val="auto"/>
          <w:sz w:val="36"/>
          <w:szCs w:val="36"/>
          <w:highlight w:val="none"/>
        </w:rPr>
        <w:instrText xml:space="preserve"> </w:instrText>
      </w:r>
      <w:r>
        <w:rPr>
          <w:rFonts w:hint="eastAsia" w:ascii="宋体" w:hAnsi="宋体" w:eastAsia="宋体"/>
          <w:color w:val="auto"/>
          <w:sz w:val="36"/>
          <w:szCs w:val="36"/>
          <w:highlight w:val="none"/>
        </w:rPr>
        <w:instrText xml:space="preserve">TOC \o "1-3" \h \z \u</w:instrText>
      </w:r>
      <w:r>
        <w:rPr>
          <w:rFonts w:ascii="宋体" w:hAnsi="宋体" w:eastAsia="宋体"/>
          <w:color w:val="auto"/>
          <w:sz w:val="36"/>
          <w:szCs w:val="36"/>
          <w:highlight w:val="none"/>
        </w:rPr>
        <w:instrText xml:space="preserve"> </w:instrText>
      </w:r>
      <w:r>
        <w:rPr>
          <w:rFonts w:ascii="宋体" w:hAnsi="宋体" w:eastAsia="宋体"/>
          <w:color w:val="auto"/>
          <w:sz w:val="36"/>
          <w:szCs w:val="36"/>
          <w:highlight w:val="none"/>
        </w:rPr>
        <w:fldChar w:fldCharType="separate"/>
      </w:r>
      <w:r>
        <w:rPr>
          <w:color w:val="auto"/>
          <w:highlight w:val="none"/>
        </w:rPr>
        <w:fldChar w:fldCharType="begin"/>
      </w:r>
      <w:r>
        <w:rPr>
          <w:color w:val="auto"/>
          <w:highlight w:val="none"/>
        </w:rPr>
        <w:instrText xml:space="preserve"> HYPERLINK \l "_Toc93668159" </w:instrText>
      </w:r>
      <w:r>
        <w:rPr>
          <w:color w:val="auto"/>
          <w:highlight w:val="none"/>
        </w:rPr>
        <w:fldChar w:fldCharType="separate"/>
      </w:r>
      <w:r>
        <w:rPr>
          <w:rStyle w:val="50"/>
          <w:rFonts w:ascii="宋体" w:hAnsi="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_Toc93668159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12875381">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"_Toc93668160" </w:instrText>
      </w:r>
      <w:r>
        <w:rPr>
          <w:color w:val="auto"/>
          <w:highlight w:val="none"/>
        </w:rPr>
        <w:fldChar w:fldCharType="separate"/>
      </w:r>
      <w:r>
        <w:rPr>
          <w:rStyle w:val="50"/>
          <w:rFonts w:ascii="宋体" w:hAnsi="宋体"/>
          <w:color w:val="auto"/>
          <w:sz w:val="24"/>
          <w:szCs w:val="24"/>
          <w:highlight w:val="none"/>
        </w:rPr>
        <w:t>第二章  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_Toc93668160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14:paraId="6C9B3E19">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"_Toc93668161" </w:instrText>
      </w:r>
      <w:r>
        <w:rPr>
          <w:color w:val="auto"/>
          <w:highlight w:val="none"/>
        </w:rPr>
        <w:fldChar w:fldCharType="separate"/>
      </w:r>
      <w:r>
        <w:rPr>
          <w:rStyle w:val="50"/>
          <w:rFonts w:ascii="宋体" w:hAnsi="宋体"/>
          <w:color w:val="auto"/>
          <w:sz w:val="24"/>
          <w:szCs w:val="24"/>
          <w:highlight w:val="none"/>
        </w:rPr>
        <w:t>第三章  项目技术规范和要求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_Toc93668161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1AAA34CD">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"_Toc93668162" </w:instrText>
      </w:r>
      <w:r>
        <w:rPr>
          <w:color w:val="auto"/>
          <w:highlight w:val="none"/>
        </w:rPr>
        <w:fldChar w:fldCharType="separate"/>
      </w:r>
      <w:r>
        <w:rPr>
          <w:rStyle w:val="50"/>
          <w:rFonts w:ascii="宋体" w:hAnsi="宋体"/>
          <w:color w:val="auto"/>
          <w:sz w:val="24"/>
          <w:szCs w:val="24"/>
          <w:highlight w:val="none"/>
        </w:rPr>
        <w:t>第四章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_Toc93668162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0EB86FB9">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"_Toc93668163" </w:instrText>
      </w:r>
      <w:r>
        <w:rPr>
          <w:color w:val="auto"/>
          <w:highlight w:val="none"/>
        </w:rPr>
        <w:fldChar w:fldCharType="separate"/>
      </w:r>
      <w:r>
        <w:rPr>
          <w:rStyle w:val="50"/>
          <w:rFonts w:ascii="宋体" w:hAnsi="宋体"/>
          <w:color w:val="auto"/>
          <w:sz w:val="24"/>
          <w:szCs w:val="24"/>
          <w:highlight w:val="none"/>
        </w:rPr>
        <w:t>第五章  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_Toc93668163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color w:val="auto"/>
          <w:sz w:val="24"/>
          <w:szCs w:val="24"/>
          <w:highlight w:val="none"/>
        </w:rPr>
        <w:fldChar w:fldCharType="end"/>
      </w:r>
    </w:p>
    <w:p w14:paraId="54A2B81D">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"_Toc93668164" </w:instrText>
      </w:r>
      <w:r>
        <w:rPr>
          <w:color w:val="auto"/>
          <w:highlight w:val="none"/>
        </w:rPr>
        <w:fldChar w:fldCharType="separate"/>
      </w:r>
      <w:r>
        <w:rPr>
          <w:rStyle w:val="50"/>
          <w:rFonts w:ascii="宋体" w:hAnsi="宋体"/>
          <w:color w:val="auto"/>
          <w:sz w:val="24"/>
          <w:szCs w:val="24"/>
          <w:highlight w:val="none"/>
        </w:rPr>
        <w:t>第六章  合同</w:t>
      </w:r>
      <w:bookmarkStart w:id="0" w:name="_Hlt93671327"/>
      <w:bookmarkStart w:id="1" w:name="_Hlt93671328"/>
      <w:r>
        <w:rPr>
          <w:rStyle w:val="50"/>
          <w:rFonts w:ascii="宋体" w:hAnsi="宋体"/>
          <w:color w:val="auto"/>
          <w:sz w:val="24"/>
          <w:szCs w:val="24"/>
          <w:highlight w:val="none"/>
        </w:rPr>
        <w:t>范</w:t>
      </w:r>
      <w:bookmarkEnd w:id="0"/>
      <w:bookmarkEnd w:id="1"/>
      <w:r>
        <w:rPr>
          <w:rStyle w:val="50"/>
          <w:rFonts w:ascii="宋体" w:hAnsi="宋体"/>
          <w:color w:val="auto"/>
          <w:sz w:val="24"/>
          <w:szCs w:val="24"/>
          <w:highlight w:val="none"/>
        </w:rPr>
        <w:t>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_Toc93668164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r>
        <w:rPr>
          <w:color w:val="auto"/>
          <w:sz w:val="24"/>
          <w:szCs w:val="24"/>
          <w:highlight w:val="none"/>
        </w:rPr>
        <w:fldChar w:fldCharType="end"/>
      </w:r>
    </w:p>
    <w:p w14:paraId="017E1B50">
      <w:pPr>
        <w:pStyle w:val="31"/>
        <w:tabs>
          <w:tab w:val="right" w:leader="dot" w:pos="8990"/>
        </w:tabs>
        <w:spacing w:line="480" w:lineRule="auto"/>
        <w:rPr>
          <w:rFonts w:hint="eastAsia" w:hAnsi="等线"/>
          <w:b w:val="0"/>
          <w:bCs w:val="0"/>
          <w:caps w:val="0"/>
          <w:color w:val="auto"/>
          <w:kern w:val="2"/>
          <w:sz w:val="28"/>
          <w:szCs w:val="32"/>
          <w:highlight w:val="none"/>
        </w:rPr>
      </w:pPr>
      <w:r>
        <w:rPr>
          <w:color w:val="auto"/>
          <w:highlight w:val="none"/>
        </w:rPr>
        <w:fldChar w:fldCharType="begin"/>
      </w:r>
      <w:r>
        <w:rPr>
          <w:color w:val="auto"/>
          <w:highlight w:val="none"/>
        </w:rPr>
        <w:instrText xml:space="preserve"> HYPERLINK \l "_Toc93668165" </w:instrText>
      </w:r>
      <w:r>
        <w:rPr>
          <w:color w:val="auto"/>
          <w:highlight w:val="none"/>
        </w:rPr>
        <w:fldChar w:fldCharType="separate"/>
      </w:r>
      <w:r>
        <w:rPr>
          <w:rStyle w:val="50"/>
          <w:rFonts w:ascii="宋体" w:hAnsi="宋体"/>
          <w:color w:val="auto"/>
          <w:sz w:val="24"/>
          <w:szCs w:val="24"/>
          <w:highlight w:val="none"/>
        </w:rPr>
        <w:t>第七章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_Toc93668165 \h </w:instrText>
      </w:r>
      <w:r>
        <w:rPr>
          <w:color w:val="auto"/>
          <w:sz w:val="24"/>
          <w:szCs w:val="24"/>
          <w:highlight w:val="none"/>
        </w:rPr>
        <w:fldChar w:fldCharType="separate"/>
      </w:r>
      <w:r>
        <w:rPr>
          <w:color w:val="auto"/>
          <w:sz w:val="24"/>
          <w:szCs w:val="24"/>
          <w:highlight w:val="none"/>
        </w:rPr>
        <w:t>66</w:t>
      </w:r>
      <w:r>
        <w:rPr>
          <w:color w:val="auto"/>
          <w:sz w:val="24"/>
          <w:szCs w:val="24"/>
          <w:highlight w:val="none"/>
        </w:rPr>
        <w:fldChar w:fldCharType="end"/>
      </w:r>
      <w:r>
        <w:rPr>
          <w:color w:val="auto"/>
          <w:sz w:val="24"/>
          <w:szCs w:val="24"/>
          <w:highlight w:val="none"/>
        </w:rPr>
        <w:fldChar w:fldCharType="end"/>
      </w:r>
    </w:p>
    <w:p w14:paraId="5DEA7951">
      <w:pPr>
        <w:widowControl w:val="0"/>
        <w:adjustRightInd w:val="0"/>
        <w:snapToGrid w:val="0"/>
        <w:spacing w:line="480" w:lineRule="auto"/>
        <w:jc w:val="center"/>
        <w:rPr>
          <w:rFonts w:hint="eastAsia" w:ascii="宋体" w:hAnsi="宋体"/>
          <w:b/>
          <w:bCs/>
          <w:color w:val="auto"/>
          <w:sz w:val="52"/>
          <w:szCs w:val="52"/>
          <w:highlight w:val="none"/>
        </w:rPr>
      </w:pPr>
      <w:r>
        <w:rPr>
          <w:rFonts w:ascii="宋体" w:hAnsi="宋体"/>
          <w:color w:val="auto"/>
          <w:sz w:val="36"/>
          <w:szCs w:val="36"/>
          <w:highlight w:val="none"/>
        </w:rPr>
        <w:fldChar w:fldCharType="end"/>
      </w:r>
    </w:p>
    <w:p w14:paraId="073D0D8B">
      <w:pPr>
        <w:widowControl w:val="0"/>
        <w:adjustRightInd w:val="0"/>
        <w:snapToGrid w:val="0"/>
        <w:spacing w:line="360" w:lineRule="auto"/>
        <w:jc w:val="center"/>
        <w:rPr>
          <w:rFonts w:hint="eastAsia" w:ascii="宋体" w:hAnsi="宋体"/>
          <w:b/>
          <w:bCs/>
          <w:color w:val="auto"/>
          <w:sz w:val="48"/>
          <w:highlight w:val="none"/>
        </w:rPr>
      </w:pPr>
    </w:p>
    <w:p w14:paraId="4C3D48C4">
      <w:pPr>
        <w:pStyle w:val="24"/>
        <w:widowControl w:val="0"/>
        <w:adjustRightInd w:val="0"/>
        <w:snapToGrid w:val="0"/>
        <w:spacing w:line="600" w:lineRule="auto"/>
        <w:ind w:left="1384"/>
        <w:jc w:val="both"/>
        <w:rPr>
          <w:rFonts w:hint="eastAsia"/>
          <w:color w:val="auto"/>
          <w:spacing w:val="20"/>
          <w:sz w:val="32"/>
          <w:highlight w:val="none"/>
        </w:rPr>
      </w:pPr>
    </w:p>
    <w:p w14:paraId="661D54AD">
      <w:pPr>
        <w:pStyle w:val="24"/>
        <w:widowControl w:val="0"/>
        <w:adjustRightInd w:val="0"/>
        <w:snapToGrid w:val="0"/>
        <w:ind w:left="902" w:leftChars="376" w:firstLine="1280" w:firstLineChars="400"/>
        <w:jc w:val="both"/>
        <w:rPr>
          <w:rFonts w:hint="eastAsia"/>
          <w:color w:val="auto"/>
          <w:sz w:val="32"/>
          <w:highlight w:val="none"/>
        </w:rPr>
      </w:pPr>
    </w:p>
    <w:p w14:paraId="0E466A03">
      <w:pPr>
        <w:pStyle w:val="24"/>
        <w:widowControl w:val="0"/>
        <w:adjustRightInd w:val="0"/>
        <w:snapToGrid w:val="0"/>
        <w:spacing w:line="480" w:lineRule="auto"/>
        <w:ind w:left="902"/>
        <w:jc w:val="both"/>
        <w:rPr>
          <w:rFonts w:hint="eastAsia"/>
          <w:color w:val="auto"/>
          <w:sz w:val="32"/>
          <w:highlight w:val="none"/>
        </w:rPr>
        <w:sectPr>
          <w:headerReference r:id="rId5" w:type="first"/>
          <w:headerReference r:id="rId3" w:type="default"/>
          <w:footerReference r:id="rId6" w:type="default"/>
          <w:headerReference r:id="rId4" w:type="even"/>
          <w:footerReference r:id="rId7" w:type="even"/>
          <w:pgSz w:w="11906" w:h="16838"/>
          <w:pgMar w:top="1258" w:right="1286" w:bottom="1361" w:left="1620" w:header="709" w:footer="971" w:gutter="0"/>
          <w:cols w:space="720" w:num="1"/>
          <w:docGrid w:linePitch="360" w:charSpace="0"/>
        </w:sectPr>
      </w:pPr>
    </w:p>
    <w:p w14:paraId="3E5D9D8D">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2" w:name="_Toc73432709"/>
    </w:p>
    <w:p w14:paraId="2872075C">
      <w:pPr>
        <w:widowControl w:val="0"/>
        <w:spacing w:line="360" w:lineRule="auto"/>
        <w:ind w:firstLine="562" w:firstLineChars="200"/>
        <w:jc w:val="both"/>
        <w:rPr>
          <w:rFonts w:hint="eastAsia"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bookmarkEnd w:id="2"/>
    </w:p>
    <w:p w14:paraId="399125CB">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3" w:name="_Toc73432710"/>
      <w:r>
        <w:rPr>
          <w:rFonts w:hint="eastAsia" w:ascii="宋体" w:hAnsi="宋体" w:cs="仿宋"/>
          <w:b/>
          <w:bCs/>
          <w:color w:val="auto"/>
          <w:kern w:val="2"/>
          <w:sz w:val="28"/>
          <w:szCs w:val="28"/>
          <w:highlight w:val="none"/>
        </w:rPr>
        <w:t>举报电话：</w:t>
      </w:r>
      <w:bookmarkEnd w:id="3"/>
    </w:p>
    <w:p w14:paraId="1063C0A1">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4" w:name="_Toc73432711"/>
      <w:r>
        <w:rPr>
          <w:rFonts w:hint="eastAsia" w:ascii="宋体" w:hAnsi="宋体" w:cs="仿宋"/>
          <w:b/>
          <w:bCs/>
          <w:color w:val="auto"/>
          <w:kern w:val="2"/>
          <w:sz w:val="28"/>
          <w:szCs w:val="28"/>
          <w:highlight w:val="none"/>
        </w:rPr>
        <w:t xml:space="preserve">市扫黑办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0579-82495227</w:t>
      </w:r>
      <w:bookmarkEnd w:id="4"/>
    </w:p>
    <w:p w14:paraId="5DE198D5">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5" w:name="_Toc73432712"/>
      <w:r>
        <w:rPr>
          <w:rFonts w:hint="eastAsia" w:ascii="宋体" w:hAnsi="宋体" w:cs="仿宋"/>
          <w:b/>
          <w:bCs/>
          <w:color w:val="auto"/>
          <w:kern w:val="2"/>
          <w:sz w:val="28"/>
          <w:szCs w:val="28"/>
          <w:highlight w:val="none"/>
        </w:rPr>
        <w:t xml:space="preserve">市公安局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110、0579-82512110</w:t>
      </w:r>
      <w:bookmarkEnd w:id="5"/>
    </w:p>
    <w:p w14:paraId="32B113FF">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6" w:name="_Toc73432713"/>
      <w:r>
        <w:rPr>
          <w:rFonts w:hint="eastAsia" w:ascii="宋体" w:hAnsi="宋体" w:cs="仿宋"/>
          <w:b/>
          <w:bCs/>
          <w:color w:val="auto"/>
          <w:kern w:val="2"/>
          <w:sz w:val="28"/>
          <w:szCs w:val="28"/>
          <w:highlight w:val="none"/>
        </w:rPr>
        <w:t xml:space="preserve">市检察院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0579-82537082</w:t>
      </w:r>
      <w:bookmarkEnd w:id="6"/>
    </w:p>
    <w:p w14:paraId="4E58F7B3">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7" w:name="_Toc73432714"/>
      <w:r>
        <w:rPr>
          <w:rFonts w:hint="eastAsia" w:ascii="宋体" w:hAnsi="宋体" w:cs="仿宋"/>
          <w:b/>
          <w:bCs/>
          <w:color w:val="auto"/>
          <w:kern w:val="2"/>
          <w:sz w:val="28"/>
          <w:szCs w:val="28"/>
          <w:highlight w:val="none"/>
        </w:rPr>
        <w:t xml:space="preserve">市 法 院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 xml:space="preserve">  0579-82688725</w:t>
      </w:r>
      <w:bookmarkEnd w:id="7"/>
    </w:p>
    <w:p w14:paraId="4623749B">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8" w:name="_Toc73432715"/>
      <w:r>
        <w:rPr>
          <w:rFonts w:hint="eastAsia" w:ascii="宋体" w:hAnsi="宋体" w:cs="仿宋"/>
          <w:b/>
          <w:bCs/>
          <w:color w:val="auto"/>
          <w:kern w:val="2"/>
          <w:sz w:val="28"/>
          <w:szCs w:val="28"/>
          <w:highlight w:val="none"/>
        </w:rPr>
        <w:t xml:space="preserve">市公共资源办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0579-82469285</w:t>
      </w:r>
      <w:bookmarkEnd w:id="8"/>
    </w:p>
    <w:p w14:paraId="593D2B55">
      <w:pPr>
        <w:widowControl w:val="0"/>
        <w:spacing w:line="360" w:lineRule="auto"/>
        <w:ind w:firstLine="562" w:firstLineChars="200"/>
        <w:jc w:val="both"/>
        <w:rPr>
          <w:rFonts w:hint="eastAsia" w:ascii="宋体" w:hAnsi="宋体" w:cs="仿宋"/>
          <w:b/>
          <w:bCs/>
          <w:color w:val="auto"/>
          <w:kern w:val="2"/>
          <w:sz w:val="28"/>
          <w:szCs w:val="28"/>
          <w:highlight w:val="none"/>
        </w:rPr>
      </w:pPr>
      <w:bookmarkStart w:id="9" w:name="_Toc73432716"/>
      <w:r>
        <w:rPr>
          <w:rFonts w:hint="eastAsia" w:ascii="宋体" w:hAnsi="宋体" w:cs="仿宋"/>
          <w:b/>
          <w:bCs/>
          <w:color w:val="auto"/>
          <w:kern w:val="2"/>
          <w:sz w:val="28"/>
          <w:szCs w:val="28"/>
          <w:highlight w:val="none"/>
        </w:rPr>
        <w:t xml:space="preserve">市公共资源交易中心 </w:t>
      </w:r>
      <w:r>
        <w:rPr>
          <w:rFonts w:ascii="宋体" w:hAnsi="宋体" w:cs="仿宋"/>
          <w:b/>
          <w:bCs/>
          <w:color w:val="auto"/>
          <w:kern w:val="2"/>
          <w:sz w:val="28"/>
          <w:szCs w:val="28"/>
          <w:highlight w:val="none"/>
        </w:rPr>
        <w:t> </w:t>
      </w:r>
      <w:r>
        <w:rPr>
          <w:rFonts w:hint="eastAsia" w:ascii="宋体" w:hAnsi="宋体" w:cs="仿宋"/>
          <w:b/>
          <w:bCs/>
          <w:color w:val="auto"/>
          <w:kern w:val="2"/>
          <w:sz w:val="28"/>
          <w:szCs w:val="28"/>
          <w:highlight w:val="none"/>
        </w:rPr>
        <w:t>0579-83187211</w:t>
      </w:r>
      <w:bookmarkEnd w:id="9"/>
    </w:p>
    <w:p w14:paraId="1AB45198">
      <w:pPr>
        <w:widowControl w:val="0"/>
        <w:spacing w:line="360" w:lineRule="auto"/>
        <w:ind w:firstLine="562" w:firstLineChars="200"/>
        <w:jc w:val="both"/>
        <w:rPr>
          <w:rFonts w:hint="eastAsia" w:ascii="宋体" w:hAnsi="宋体" w:cs="仿宋"/>
          <w:b/>
          <w:bCs/>
          <w:color w:val="auto"/>
          <w:kern w:val="2"/>
          <w:sz w:val="28"/>
          <w:szCs w:val="28"/>
          <w:highlight w:val="none"/>
        </w:rPr>
      </w:pPr>
    </w:p>
    <w:p w14:paraId="12AAF569">
      <w:pPr>
        <w:pStyle w:val="3"/>
        <w:spacing w:before="120" w:after="240" w:line="240" w:lineRule="auto"/>
        <w:jc w:val="center"/>
        <w:rPr>
          <w:rFonts w:hint="eastAsia" w:ascii="宋体" w:hAnsi="宋体"/>
          <w:color w:val="auto"/>
          <w:highlight w:val="none"/>
        </w:rPr>
        <w:sectPr>
          <w:pgSz w:w="11906" w:h="16838"/>
          <w:pgMar w:top="1258" w:right="1286" w:bottom="1361" w:left="1620" w:header="709" w:footer="971" w:gutter="0"/>
          <w:cols w:space="720" w:num="1"/>
          <w:docGrid w:linePitch="360" w:charSpace="0"/>
        </w:sectPr>
      </w:pPr>
      <w:bookmarkStart w:id="10" w:name="_Toc93668159"/>
      <w:bookmarkStart w:id="11" w:name="_Toc39239703"/>
    </w:p>
    <w:p w14:paraId="439571AB">
      <w:pPr>
        <w:pStyle w:val="3"/>
        <w:spacing w:before="120" w:after="240" w:line="240" w:lineRule="auto"/>
        <w:jc w:val="center"/>
        <w:rPr>
          <w:rFonts w:hint="eastAsia" w:ascii="宋体" w:hAnsi="宋体"/>
          <w:color w:val="auto"/>
          <w:highlight w:val="none"/>
        </w:rPr>
      </w:pPr>
      <w:r>
        <w:rPr>
          <w:rFonts w:ascii="宋体" w:hAnsi="宋体"/>
          <w:color w:val="auto"/>
          <w:highlight w:val="none"/>
        </w:rPr>
        <w:t>第一章  招标公告</w:t>
      </w:r>
      <w:bookmarkEnd w:id="10"/>
      <w:bookmarkEnd w:id="11"/>
    </w:p>
    <w:p w14:paraId="5736939F">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项目概况</w:t>
      </w:r>
    </w:p>
    <w:p w14:paraId="63CA272E">
      <w:pPr>
        <w:pBdr>
          <w:top w:val="single" w:color="auto" w:sz="4" w:space="1"/>
          <w:left w:val="single" w:color="auto" w:sz="4" w:space="4"/>
          <w:bottom w:val="single" w:color="auto" w:sz="4" w:space="14"/>
          <w:right w:val="single" w:color="auto" w:sz="4" w:space="4"/>
        </w:pBdr>
        <w:spacing w:line="276"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u w:val="single"/>
        </w:rPr>
        <w:t>金华开放大学数字媒体公共实训基地人物造型设备采购项目</w:t>
      </w:r>
      <w:r>
        <w:rPr>
          <w:rFonts w:hint="eastAsia" w:ascii="宋体" w:hAnsi="宋体"/>
          <w:color w:val="auto"/>
          <w:sz w:val="28"/>
          <w:szCs w:val="28"/>
          <w:highlight w:val="none"/>
        </w:rPr>
        <w:t>的潜在投标人应在</w:t>
      </w:r>
      <w:r>
        <w:rPr>
          <w:rFonts w:hint="eastAsia" w:ascii="宋体" w:hAnsi="宋体"/>
          <w:color w:val="auto"/>
          <w:sz w:val="28"/>
          <w:szCs w:val="28"/>
          <w:highlight w:val="none"/>
          <w:u w:val="single"/>
        </w:rPr>
        <w:t xml:space="preserve">浙江政府采购网本项目公告附件处（潜在供应商）下载  </w:t>
      </w:r>
      <w:r>
        <w:rPr>
          <w:rFonts w:hint="eastAsia" w:ascii="宋体" w:hAnsi="宋体"/>
          <w:color w:val="auto"/>
          <w:sz w:val="28"/>
          <w:szCs w:val="28"/>
          <w:highlight w:val="none"/>
        </w:rPr>
        <w:t>获取招标文件，并于</w:t>
      </w:r>
      <w:r>
        <w:rPr>
          <w:rFonts w:hint="eastAsia" w:ascii="宋体" w:hAnsi="宋体"/>
          <w:color w:val="auto"/>
          <w:sz w:val="28"/>
          <w:szCs w:val="28"/>
          <w:highlight w:val="none"/>
          <w:u w:val="single"/>
        </w:rPr>
        <w:t>2025年</w:t>
      </w:r>
      <w:r>
        <w:rPr>
          <w:rFonts w:hint="eastAsia" w:ascii="宋体" w:hAnsi="宋体"/>
          <w:color w:val="auto"/>
          <w:sz w:val="28"/>
          <w:szCs w:val="28"/>
          <w:highlight w:val="none"/>
          <w:u w:val="single"/>
          <w:lang w:val="en-US" w:eastAsia="zh-CN"/>
        </w:rPr>
        <w:t>8</w:t>
      </w:r>
      <w:r>
        <w:rPr>
          <w:rFonts w:hint="eastAsia" w:ascii="宋体" w:hAnsi="宋体"/>
          <w:color w:val="auto"/>
          <w:sz w:val="28"/>
          <w:szCs w:val="28"/>
          <w:highlight w:val="none"/>
          <w:u w:val="single"/>
        </w:rPr>
        <w:t>月</w:t>
      </w:r>
      <w:r>
        <w:rPr>
          <w:rFonts w:hint="eastAsia" w:ascii="宋体" w:hAnsi="宋体"/>
          <w:color w:val="auto"/>
          <w:sz w:val="28"/>
          <w:szCs w:val="28"/>
          <w:highlight w:val="none"/>
          <w:u w:val="single"/>
          <w:lang w:val="en-US" w:eastAsia="zh-CN"/>
        </w:rPr>
        <w:t>8</w:t>
      </w:r>
      <w:r>
        <w:rPr>
          <w:rFonts w:hint="eastAsia" w:ascii="宋体" w:hAnsi="宋体"/>
          <w:color w:val="auto"/>
          <w:sz w:val="28"/>
          <w:szCs w:val="28"/>
          <w:highlight w:val="none"/>
          <w:u w:val="single"/>
        </w:rPr>
        <w:t>日</w:t>
      </w:r>
      <w:r>
        <w:rPr>
          <w:rFonts w:ascii="宋体" w:hAnsi="宋体"/>
          <w:color w:val="auto"/>
          <w:sz w:val="28"/>
          <w:szCs w:val="28"/>
          <w:highlight w:val="none"/>
          <w:u w:val="single"/>
        </w:rPr>
        <w:t>09</w:t>
      </w:r>
      <w:r>
        <w:rPr>
          <w:rFonts w:hint="eastAsia" w:ascii="宋体" w:hAnsi="宋体"/>
          <w:color w:val="auto"/>
          <w:sz w:val="28"/>
          <w:szCs w:val="28"/>
          <w:highlight w:val="none"/>
          <w:u w:val="single"/>
        </w:rPr>
        <w:t>点</w:t>
      </w:r>
      <w:r>
        <w:rPr>
          <w:rFonts w:ascii="宋体" w:hAnsi="宋体"/>
          <w:color w:val="auto"/>
          <w:sz w:val="28"/>
          <w:szCs w:val="28"/>
          <w:highlight w:val="none"/>
          <w:u w:val="single"/>
        </w:rPr>
        <w:t>30</w:t>
      </w:r>
      <w:r>
        <w:rPr>
          <w:rFonts w:hint="eastAsia" w:ascii="宋体" w:hAnsi="宋体"/>
          <w:color w:val="auto"/>
          <w:sz w:val="28"/>
          <w:szCs w:val="28"/>
          <w:highlight w:val="none"/>
          <w:u w:val="single"/>
        </w:rPr>
        <w:t>分</w:t>
      </w:r>
      <w:r>
        <w:rPr>
          <w:rFonts w:hint="eastAsia" w:ascii="宋体" w:hAnsi="宋体"/>
          <w:color w:val="auto"/>
          <w:sz w:val="28"/>
          <w:szCs w:val="28"/>
          <w:highlight w:val="none"/>
        </w:rPr>
        <w:t>（北京时间）前递交（上传）投标文件。</w:t>
      </w:r>
    </w:p>
    <w:p w14:paraId="5D4E098B">
      <w:pPr>
        <w:pStyle w:val="24"/>
        <w:widowControl w:val="0"/>
        <w:adjustRightInd w:val="0"/>
        <w:snapToGrid w:val="0"/>
        <w:spacing w:before="0" w:beforeAutospacing="0" w:after="0" w:afterAutospacing="0" w:line="360" w:lineRule="auto"/>
        <w:ind w:firstLine="482" w:firstLineChars="200"/>
        <w:rPr>
          <w:rFonts w:hint="eastAsia" w:cs="宋体"/>
          <w:b/>
          <w:color w:val="auto"/>
          <w:highlight w:val="none"/>
        </w:rPr>
      </w:pPr>
      <w:bookmarkStart w:id="12" w:name="_Toc35393621"/>
      <w:bookmarkStart w:id="13" w:name="_Toc28359079"/>
      <w:bookmarkStart w:id="14" w:name="_Toc35393790"/>
      <w:bookmarkStart w:id="15" w:name="_Toc28359002"/>
      <w:bookmarkStart w:id="16" w:name="_Hlk24379207"/>
    </w:p>
    <w:p w14:paraId="15D100AD">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一、项目基本情况</w:t>
      </w:r>
      <w:bookmarkEnd w:id="12"/>
      <w:bookmarkEnd w:id="13"/>
      <w:bookmarkEnd w:id="14"/>
      <w:bookmarkEnd w:id="15"/>
    </w:p>
    <w:p w14:paraId="0E13A4E6">
      <w:pPr>
        <w:spacing w:line="360" w:lineRule="auto"/>
        <w:ind w:firstLine="540" w:firstLineChars="225"/>
        <w:rPr>
          <w:color w:val="auto"/>
          <w:highlight w:val="none"/>
        </w:rPr>
      </w:pPr>
      <w:r>
        <w:rPr>
          <w:color w:val="auto"/>
          <w:highlight w:val="none"/>
        </w:rPr>
        <w:t>项目编号：</w:t>
      </w:r>
      <w:r>
        <w:rPr>
          <w:rFonts w:hint="eastAsia"/>
          <w:color w:val="auto"/>
          <w:highlight w:val="none"/>
        </w:rPr>
        <w:t>YG2025-HW7769-ZFCG343</w:t>
      </w:r>
    </w:p>
    <w:p w14:paraId="22A9B9F0">
      <w:pPr>
        <w:spacing w:line="360" w:lineRule="auto"/>
        <w:ind w:firstLine="540" w:firstLineChars="225"/>
        <w:rPr>
          <w:color w:val="auto"/>
          <w:highlight w:val="none"/>
        </w:rPr>
      </w:pPr>
      <w:r>
        <w:rPr>
          <w:color w:val="auto"/>
          <w:highlight w:val="none"/>
        </w:rPr>
        <w:t>政府采购计划编号：</w:t>
      </w:r>
      <w:r>
        <w:rPr>
          <w:rFonts w:hint="eastAsia"/>
          <w:color w:val="auto"/>
          <w:highlight w:val="none"/>
        </w:rPr>
        <w:t>[2025]2060号</w:t>
      </w:r>
      <w:r>
        <w:rPr>
          <w:color w:val="auto"/>
          <w:highlight w:val="none"/>
        </w:rPr>
        <w:fldChar w:fldCharType="begin"/>
      </w:r>
      <w:r>
        <w:rPr>
          <w:color w:val="auto"/>
          <w:highlight w:val="none"/>
        </w:rPr>
        <w:instrText xml:space="preserve"> HYPERLINK "https://pay.zcygov.cn/purchaseplan_front/" \l "/plan/list/detail?id=1000000000004570021&amp;encrypt=90b23a2dfb0d10a419ea1ddf08025d73" \t "_blank" </w:instrText>
      </w:r>
      <w:r>
        <w:rPr>
          <w:color w:val="auto"/>
          <w:highlight w:val="none"/>
        </w:rPr>
        <w:fldChar w:fldCharType="separate"/>
      </w:r>
      <w:r>
        <w:rPr>
          <w:color w:val="auto"/>
          <w:highlight w:val="none"/>
        </w:rPr>
        <w:fldChar w:fldCharType="end"/>
      </w:r>
      <w:r>
        <w:rPr>
          <w:color w:val="auto"/>
          <w:highlight w:val="none"/>
        </w:rPr>
        <w:t xml:space="preserve"> </w:t>
      </w:r>
    </w:p>
    <w:p w14:paraId="644EF05F">
      <w:pPr>
        <w:spacing w:line="360" w:lineRule="auto"/>
        <w:ind w:firstLine="540" w:firstLineChars="225"/>
        <w:rPr>
          <w:color w:val="auto"/>
          <w:highlight w:val="none"/>
        </w:rPr>
      </w:pPr>
      <w:r>
        <w:rPr>
          <w:color w:val="auto"/>
          <w:highlight w:val="none"/>
        </w:rPr>
        <w:t>项目名称：</w:t>
      </w:r>
      <w:r>
        <w:rPr>
          <w:rFonts w:hint="eastAsia"/>
          <w:color w:val="auto"/>
          <w:highlight w:val="none"/>
        </w:rPr>
        <w:t>金华开放大学数字媒体公共实训基地人物造型设备采购项目</w:t>
      </w:r>
    </w:p>
    <w:bookmarkEnd w:id="16"/>
    <w:p w14:paraId="43685197">
      <w:pPr>
        <w:spacing w:line="360" w:lineRule="auto"/>
        <w:ind w:firstLine="540" w:firstLineChars="225"/>
        <w:rPr>
          <w:color w:val="auto"/>
          <w:highlight w:val="none"/>
        </w:rPr>
      </w:pPr>
      <w:r>
        <w:rPr>
          <w:color w:val="auto"/>
          <w:highlight w:val="none"/>
        </w:rPr>
        <w:t>预算金额：</w:t>
      </w:r>
      <w:r>
        <w:rPr>
          <w:rFonts w:hint="eastAsia"/>
          <w:color w:val="auto"/>
          <w:highlight w:val="none"/>
        </w:rPr>
        <w:t>87.2115</w:t>
      </w:r>
      <w:r>
        <w:rPr>
          <w:color w:val="auto"/>
          <w:highlight w:val="none"/>
        </w:rPr>
        <w:t>万元</w:t>
      </w:r>
    </w:p>
    <w:p w14:paraId="140EE8F9">
      <w:pPr>
        <w:spacing w:line="360" w:lineRule="auto"/>
        <w:ind w:firstLine="540" w:firstLineChars="225"/>
        <w:rPr>
          <w:color w:val="auto"/>
          <w:highlight w:val="none"/>
        </w:rPr>
      </w:pPr>
      <w:r>
        <w:rPr>
          <w:color w:val="auto"/>
          <w:highlight w:val="none"/>
        </w:rPr>
        <w:t>最高限价：</w:t>
      </w:r>
      <w:r>
        <w:rPr>
          <w:rFonts w:hint="eastAsia"/>
          <w:color w:val="auto"/>
          <w:highlight w:val="none"/>
        </w:rPr>
        <w:t>87.2115</w:t>
      </w:r>
      <w:r>
        <w:rPr>
          <w:color w:val="auto"/>
          <w:highlight w:val="none"/>
        </w:rPr>
        <w:t>万元</w:t>
      </w:r>
      <w:bookmarkStart w:id="80" w:name="_GoBack"/>
      <w:bookmarkEnd w:id="80"/>
    </w:p>
    <w:p w14:paraId="1B0C4724">
      <w:pPr>
        <w:spacing w:line="360" w:lineRule="auto"/>
        <w:ind w:firstLine="540" w:firstLineChars="225"/>
        <w:rPr>
          <w:color w:val="auto"/>
          <w:highlight w:val="none"/>
        </w:rPr>
      </w:pPr>
      <w:r>
        <w:rPr>
          <w:color w:val="auto"/>
          <w:highlight w:val="none"/>
        </w:rPr>
        <w:t>采购需求：</w:t>
      </w:r>
    </w:p>
    <w:tbl>
      <w:tblPr>
        <w:tblStyle w:val="4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56"/>
        <w:gridCol w:w="3035"/>
        <w:gridCol w:w="737"/>
        <w:gridCol w:w="794"/>
        <w:gridCol w:w="1668"/>
      </w:tblGrid>
      <w:tr w14:paraId="463C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3" w:type="dxa"/>
            <w:vAlign w:val="center"/>
          </w:tcPr>
          <w:p w14:paraId="4111E9C6">
            <w:pPr>
              <w:jc w:val="center"/>
              <w:rPr>
                <w:color w:val="auto"/>
                <w:sz w:val="21"/>
                <w:szCs w:val="21"/>
                <w:highlight w:val="none"/>
              </w:rPr>
            </w:pPr>
            <w:r>
              <w:rPr>
                <w:color w:val="auto"/>
                <w:sz w:val="21"/>
                <w:szCs w:val="21"/>
                <w:highlight w:val="none"/>
              </w:rPr>
              <w:t>序号</w:t>
            </w:r>
          </w:p>
        </w:tc>
        <w:tc>
          <w:tcPr>
            <w:tcW w:w="2556" w:type="dxa"/>
            <w:vAlign w:val="center"/>
          </w:tcPr>
          <w:p w14:paraId="67422586">
            <w:pPr>
              <w:jc w:val="center"/>
              <w:rPr>
                <w:color w:val="auto"/>
                <w:sz w:val="21"/>
                <w:szCs w:val="21"/>
                <w:highlight w:val="none"/>
              </w:rPr>
            </w:pPr>
            <w:r>
              <w:rPr>
                <w:color w:val="auto"/>
                <w:sz w:val="21"/>
                <w:szCs w:val="21"/>
                <w:highlight w:val="none"/>
              </w:rPr>
              <w:t>项目名称</w:t>
            </w:r>
          </w:p>
        </w:tc>
        <w:tc>
          <w:tcPr>
            <w:tcW w:w="3035" w:type="dxa"/>
            <w:vAlign w:val="center"/>
          </w:tcPr>
          <w:p w14:paraId="6FA6624A">
            <w:pPr>
              <w:jc w:val="center"/>
              <w:rPr>
                <w:color w:val="auto"/>
                <w:sz w:val="21"/>
                <w:szCs w:val="21"/>
                <w:highlight w:val="none"/>
              </w:rPr>
            </w:pPr>
            <w:r>
              <w:rPr>
                <w:color w:val="auto"/>
                <w:sz w:val="21"/>
                <w:szCs w:val="21"/>
                <w:highlight w:val="none"/>
              </w:rPr>
              <w:t>主要技术指标要求</w:t>
            </w:r>
          </w:p>
        </w:tc>
        <w:tc>
          <w:tcPr>
            <w:tcW w:w="737" w:type="dxa"/>
            <w:vAlign w:val="center"/>
          </w:tcPr>
          <w:p w14:paraId="5D159E34">
            <w:pPr>
              <w:jc w:val="center"/>
              <w:rPr>
                <w:color w:val="auto"/>
                <w:sz w:val="21"/>
                <w:szCs w:val="21"/>
                <w:highlight w:val="none"/>
              </w:rPr>
            </w:pPr>
            <w:r>
              <w:rPr>
                <w:color w:val="auto"/>
                <w:sz w:val="21"/>
                <w:szCs w:val="21"/>
                <w:highlight w:val="none"/>
              </w:rPr>
              <w:t>数量</w:t>
            </w:r>
          </w:p>
        </w:tc>
        <w:tc>
          <w:tcPr>
            <w:tcW w:w="794" w:type="dxa"/>
            <w:vAlign w:val="center"/>
          </w:tcPr>
          <w:p w14:paraId="21630B55">
            <w:pPr>
              <w:jc w:val="center"/>
              <w:rPr>
                <w:color w:val="auto"/>
                <w:sz w:val="21"/>
                <w:szCs w:val="21"/>
                <w:highlight w:val="none"/>
              </w:rPr>
            </w:pPr>
            <w:r>
              <w:rPr>
                <w:color w:val="auto"/>
                <w:sz w:val="21"/>
                <w:szCs w:val="21"/>
                <w:highlight w:val="none"/>
              </w:rPr>
              <w:t>单位</w:t>
            </w:r>
          </w:p>
        </w:tc>
        <w:tc>
          <w:tcPr>
            <w:tcW w:w="1668" w:type="dxa"/>
            <w:vAlign w:val="center"/>
          </w:tcPr>
          <w:p w14:paraId="6FB67891">
            <w:pPr>
              <w:jc w:val="center"/>
              <w:rPr>
                <w:color w:val="auto"/>
                <w:sz w:val="21"/>
                <w:szCs w:val="21"/>
                <w:highlight w:val="none"/>
              </w:rPr>
            </w:pPr>
            <w:r>
              <w:rPr>
                <w:color w:val="auto"/>
                <w:sz w:val="21"/>
                <w:szCs w:val="21"/>
                <w:highlight w:val="none"/>
              </w:rPr>
              <w:t>最高限价</w:t>
            </w:r>
          </w:p>
        </w:tc>
      </w:tr>
      <w:tr w14:paraId="65A2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shd w:val="clear" w:color="auto" w:fill="FFFFFF"/>
            <w:vAlign w:val="center"/>
          </w:tcPr>
          <w:p w14:paraId="14020AF4">
            <w:pPr>
              <w:jc w:val="center"/>
              <w:rPr>
                <w:color w:val="auto"/>
                <w:sz w:val="21"/>
                <w:szCs w:val="21"/>
                <w:highlight w:val="none"/>
              </w:rPr>
            </w:pPr>
            <w:r>
              <w:rPr>
                <w:color w:val="auto"/>
                <w:sz w:val="21"/>
                <w:szCs w:val="21"/>
                <w:highlight w:val="none"/>
              </w:rPr>
              <w:t>1</w:t>
            </w:r>
          </w:p>
        </w:tc>
        <w:tc>
          <w:tcPr>
            <w:tcW w:w="2556" w:type="dxa"/>
            <w:vAlign w:val="center"/>
          </w:tcPr>
          <w:p w14:paraId="2D6AE931">
            <w:pPr>
              <w:jc w:val="center"/>
              <w:rPr>
                <w:color w:val="auto"/>
                <w:sz w:val="21"/>
                <w:szCs w:val="21"/>
                <w:highlight w:val="none"/>
              </w:rPr>
            </w:pPr>
            <w:r>
              <w:rPr>
                <w:rFonts w:hint="eastAsia"/>
                <w:color w:val="auto"/>
                <w:sz w:val="21"/>
                <w:szCs w:val="21"/>
                <w:highlight w:val="none"/>
              </w:rPr>
              <w:t>金华开放大学数字媒体公共实训基地人物造型设备采购项目</w:t>
            </w:r>
          </w:p>
        </w:tc>
        <w:tc>
          <w:tcPr>
            <w:tcW w:w="3035" w:type="dxa"/>
            <w:vAlign w:val="center"/>
          </w:tcPr>
          <w:p w14:paraId="7980B944">
            <w:pPr>
              <w:jc w:val="center"/>
              <w:rPr>
                <w:color w:val="auto"/>
                <w:sz w:val="21"/>
                <w:szCs w:val="21"/>
                <w:highlight w:val="none"/>
              </w:rPr>
            </w:pPr>
            <w:r>
              <w:rPr>
                <w:color w:val="auto"/>
                <w:sz w:val="21"/>
                <w:szCs w:val="21"/>
                <w:highlight w:val="none"/>
              </w:rPr>
              <w:t>详细技术参数及要求将在招标文件中明确阐述。</w:t>
            </w:r>
          </w:p>
        </w:tc>
        <w:tc>
          <w:tcPr>
            <w:tcW w:w="737" w:type="dxa"/>
            <w:vAlign w:val="center"/>
          </w:tcPr>
          <w:p w14:paraId="5A5055F2">
            <w:pPr>
              <w:jc w:val="center"/>
              <w:rPr>
                <w:color w:val="auto"/>
                <w:sz w:val="21"/>
                <w:szCs w:val="21"/>
                <w:highlight w:val="none"/>
              </w:rPr>
            </w:pPr>
            <w:r>
              <w:rPr>
                <w:color w:val="auto"/>
                <w:sz w:val="21"/>
                <w:szCs w:val="21"/>
                <w:highlight w:val="none"/>
              </w:rPr>
              <w:t>1</w:t>
            </w:r>
          </w:p>
        </w:tc>
        <w:tc>
          <w:tcPr>
            <w:tcW w:w="794" w:type="dxa"/>
            <w:vAlign w:val="center"/>
          </w:tcPr>
          <w:p w14:paraId="56FE02A6">
            <w:pPr>
              <w:jc w:val="center"/>
              <w:rPr>
                <w:color w:val="auto"/>
                <w:sz w:val="21"/>
                <w:szCs w:val="21"/>
                <w:highlight w:val="none"/>
              </w:rPr>
            </w:pPr>
            <w:r>
              <w:rPr>
                <w:rFonts w:hint="eastAsia"/>
                <w:color w:val="auto"/>
                <w:sz w:val="21"/>
                <w:szCs w:val="21"/>
                <w:highlight w:val="none"/>
              </w:rPr>
              <w:t>批</w:t>
            </w:r>
          </w:p>
        </w:tc>
        <w:tc>
          <w:tcPr>
            <w:tcW w:w="1668" w:type="dxa"/>
            <w:vAlign w:val="center"/>
          </w:tcPr>
          <w:p w14:paraId="69B87D0F">
            <w:pPr>
              <w:jc w:val="center"/>
              <w:rPr>
                <w:color w:val="auto"/>
                <w:sz w:val="21"/>
                <w:szCs w:val="21"/>
                <w:highlight w:val="none"/>
              </w:rPr>
            </w:pPr>
            <w:r>
              <w:rPr>
                <w:color w:val="auto"/>
                <w:sz w:val="21"/>
                <w:szCs w:val="21"/>
                <w:highlight w:val="none"/>
              </w:rPr>
              <w:t xml:space="preserve">  </w:t>
            </w:r>
            <w:r>
              <w:rPr>
                <w:rFonts w:hint="eastAsia"/>
                <w:color w:val="auto"/>
                <w:sz w:val="21"/>
                <w:szCs w:val="21"/>
                <w:highlight w:val="none"/>
              </w:rPr>
              <w:t>87.2115</w:t>
            </w:r>
            <w:r>
              <w:rPr>
                <w:color w:val="auto"/>
                <w:sz w:val="21"/>
                <w:szCs w:val="21"/>
                <w:highlight w:val="none"/>
              </w:rPr>
              <w:t>万元</w:t>
            </w:r>
          </w:p>
        </w:tc>
      </w:tr>
    </w:tbl>
    <w:p w14:paraId="28BD47EA">
      <w:pPr>
        <w:spacing w:line="360" w:lineRule="auto"/>
        <w:ind w:firstLine="540" w:firstLineChars="225"/>
        <w:rPr>
          <w:rFonts w:hint="eastAsia" w:ascii="宋体" w:hAnsi="宋体"/>
          <w:color w:val="auto"/>
          <w:highlight w:val="none"/>
        </w:rPr>
      </w:pPr>
      <w:r>
        <w:rPr>
          <w:color w:val="auto"/>
          <w:highlight w:val="none"/>
        </w:rPr>
        <w:t>合同履行期限：</w:t>
      </w:r>
      <w:r>
        <w:rPr>
          <w:rFonts w:hint="eastAsia" w:ascii="宋体" w:hAnsi="宋体"/>
          <w:color w:val="auto"/>
          <w:highlight w:val="none"/>
        </w:rPr>
        <w:t>合同签订后30日内完成。</w:t>
      </w:r>
    </w:p>
    <w:p w14:paraId="007CB075">
      <w:pPr>
        <w:spacing w:line="360" w:lineRule="auto"/>
        <w:ind w:firstLine="540" w:firstLineChars="225"/>
        <w:rPr>
          <w:color w:val="auto"/>
          <w:highlight w:val="none"/>
        </w:rPr>
      </w:pPr>
      <w:r>
        <w:rPr>
          <w:color w:val="auto"/>
          <w:highlight w:val="none"/>
        </w:rPr>
        <w:t>本项目</w:t>
      </w:r>
      <w:r>
        <w:rPr>
          <w:rFonts w:hint="eastAsia"/>
          <w:color w:val="auto"/>
          <w:highlight w:val="none"/>
        </w:rPr>
        <w:t>（否）</w:t>
      </w:r>
      <w:r>
        <w:rPr>
          <w:color w:val="auto"/>
          <w:highlight w:val="none"/>
        </w:rPr>
        <w:t>接受联合体投标。</w:t>
      </w:r>
    </w:p>
    <w:p w14:paraId="4A8A20D1">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17" w:name="_Toc28359003"/>
      <w:bookmarkStart w:id="18" w:name="_Toc35393622"/>
      <w:bookmarkStart w:id="19" w:name="_Toc28359080"/>
      <w:bookmarkStart w:id="20" w:name="_Toc35393791"/>
      <w:r>
        <w:rPr>
          <w:rFonts w:ascii="Times New Roman" w:hAnsi="Times New Roman"/>
          <w:b/>
          <w:color w:val="auto"/>
          <w:highlight w:val="none"/>
        </w:rPr>
        <w:t>二、申请人的资格要求：</w:t>
      </w:r>
      <w:bookmarkEnd w:id="17"/>
      <w:bookmarkEnd w:id="18"/>
      <w:bookmarkEnd w:id="19"/>
      <w:bookmarkEnd w:id="20"/>
    </w:p>
    <w:p w14:paraId="3019C121">
      <w:pPr>
        <w:spacing w:line="360" w:lineRule="auto"/>
        <w:ind w:firstLine="540" w:firstLineChars="225"/>
        <w:rPr>
          <w:color w:val="auto"/>
          <w:highlight w:val="none"/>
        </w:rPr>
      </w:pPr>
      <w:bookmarkStart w:id="21" w:name="_Toc35393623"/>
      <w:bookmarkStart w:id="22" w:name="_Toc35393792"/>
      <w:r>
        <w:rPr>
          <w:color w:val="auto"/>
          <w:highlight w:val="none"/>
        </w:rPr>
        <w:t>（一）</w:t>
      </w:r>
      <w:bookmarkStart w:id="23" w:name="_Hlk185431398"/>
      <w:r>
        <w:rPr>
          <w:color w:val="auto"/>
          <w:highlight w:val="none"/>
        </w:rPr>
        <w:t>满足《中华人民共和国政府采购法》第二十二条规定；</w:t>
      </w:r>
      <w:r>
        <w:rPr>
          <w:rFonts w:hint="eastAsia"/>
          <w:color w:val="auto"/>
          <w:highlight w:val="none"/>
        </w:rPr>
        <w:t>未被“信用中国”（www.creditchina.gov.cn)、中国政府采购网（www.ccgp.gov.cn）列入失信被执行人、重大税收违法失信主体、政府采购严重违法失信行为记录名单。</w:t>
      </w:r>
      <w:bookmarkEnd w:id="23"/>
    </w:p>
    <w:p w14:paraId="6712CDB4">
      <w:pPr>
        <w:spacing w:line="360" w:lineRule="auto"/>
        <w:ind w:firstLine="540" w:firstLineChars="225"/>
        <w:rPr>
          <w:color w:val="auto"/>
          <w:highlight w:val="none"/>
        </w:rPr>
      </w:pPr>
      <w:r>
        <w:rPr>
          <w:color w:val="auto"/>
          <w:highlight w:val="none"/>
        </w:rPr>
        <w:t>（</w:t>
      </w:r>
      <w:r>
        <w:rPr>
          <w:rFonts w:hint="eastAsia"/>
          <w:color w:val="auto"/>
          <w:highlight w:val="none"/>
        </w:rPr>
        <w:t>二</w:t>
      </w:r>
      <w:r>
        <w:rPr>
          <w:color w:val="auto"/>
          <w:highlight w:val="none"/>
        </w:rPr>
        <w:t>）落实政府采购政策需满足的资格要求：</w:t>
      </w:r>
      <w:r>
        <w:rPr>
          <w:rFonts w:hint="eastAsia"/>
          <w:color w:val="auto"/>
          <w:highlight w:val="none"/>
        </w:rPr>
        <w:t>无；</w:t>
      </w:r>
    </w:p>
    <w:p w14:paraId="576A4D81">
      <w:pPr>
        <w:spacing w:line="360" w:lineRule="auto"/>
        <w:ind w:firstLine="540" w:firstLineChars="225"/>
        <w:rPr>
          <w:color w:val="auto"/>
          <w:highlight w:val="none"/>
        </w:rPr>
      </w:pPr>
      <w:r>
        <w:rPr>
          <w:color w:val="auto"/>
          <w:highlight w:val="none"/>
        </w:rPr>
        <w:t>（</w:t>
      </w:r>
      <w:r>
        <w:rPr>
          <w:rFonts w:hint="eastAsia"/>
          <w:color w:val="auto"/>
          <w:highlight w:val="none"/>
        </w:rPr>
        <w:t>三</w:t>
      </w:r>
      <w:r>
        <w:rPr>
          <w:color w:val="auto"/>
          <w:highlight w:val="none"/>
        </w:rPr>
        <w:t>）本项目的特定资格要求：无。</w:t>
      </w:r>
    </w:p>
    <w:p w14:paraId="242C22E9">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三、获取招标文件</w:t>
      </w:r>
      <w:bookmarkEnd w:id="21"/>
      <w:bookmarkEnd w:id="22"/>
    </w:p>
    <w:p w14:paraId="4C43FE57">
      <w:pPr>
        <w:spacing w:line="360" w:lineRule="auto"/>
        <w:ind w:firstLine="540" w:firstLineChars="225"/>
        <w:rPr>
          <w:color w:val="auto"/>
          <w:highlight w:val="none"/>
        </w:rPr>
      </w:pPr>
      <w:bookmarkStart w:id="24" w:name="_Toc28359005"/>
      <w:bookmarkStart w:id="25" w:name="_Toc28359082"/>
      <w:bookmarkStart w:id="26" w:name="_Toc35393624"/>
      <w:bookmarkStart w:id="27" w:name="_Toc35393793"/>
      <w:r>
        <w:rPr>
          <w:color w:val="auto"/>
          <w:highlight w:val="none"/>
        </w:rPr>
        <w:t>（一）时间：</w:t>
      </w:r>
      <w:r>
        <w:rPr>
          <w:b/>
          <w:color w:val="auto"/>
          <w:highlight w:val="none"/>
          <w:u w:val="single"/>
        </w:rPr>
        <w:t>公告发布之日起至开标时间</w:t>
      </w:r>
      <w:r>
        <w:rPr>
          <w:color w:val="auto"/>
          <w:highlight w:val="none"/>
        </w:rPr>
        <w:t>，每天上午08:30至12:00，下午14:00至17:00</w:t>
      </w:r>
      <w:r>
        <w:rPr>
          <w:rFonts w:hint="eastAsia"/>
          <w:color w:val="auto"/>
          <w:highlight w:val="none"/>
        </w:rPr>
        <w:t>（北京时间，线上获取法定节假日均可，线下获取文件法定节假日除外）</w:t>
      </w:r>
    </w:p>
    <w:p w14:paraId="67812433">
      <w:pPr>
        <w:spacing w:line="360" w:lineRule="auto"/>
        <w:ind w:firstLine="540" w:firstLineChars="225"/>
        <w:rPr>
          <w:color w:val="auto"/>
          <w:highlight w:val="none"/>
        </w:rPr>
      </w:pPr>
      <w:r>
        <w:rPr>
          <w:color w:val="auto"/>
          <w:highlight w:val="none"/>
        </w:rPr>
        <w:t>（二）获取方式</w:t>
      </w:r>
    </w:p>
    <w:p w14:paraId="60569523">
      <w:pPr>
        <w:spacing w:line="360" w:lineRule="auto"/>
        <w:ind w:firstLine="540" w:firstLineChars="225"/>
        <w:rPr>
          <w:color w:val="auto"/>
          <w:highlight w:val="none"/>
        </w:rPr>
      </w:pPr>
      <w:r>
        <w:rPr>
          <w:color w:val="auto"/>
          <w:highlight w:val="none"/>
        </w:rPr>
        <w:t xml:space="preserve">1.地点（网址）：政采云平台（https://www.zcygov.cn/） </w:t>
      </w:r>
    </w:p>
    <w:p w14:paraId="74A44D08">
      <w:pPr>
        <w:spacing w:line="360" w:lineRule="auto"/>
        <w:ind w:firstLine="540" w:firstLineChars="225"/>
        <w:rPr>
          <w:color w:val="auto"/>
          <w:highlight w:val="none"/>
        </w:rPr>
      </w:pPr>
      <w:r>
        <w:rPr>
          <w:color w:val="auto"/>
          <w:highlight w:val="none"/>
        </w:rPr>
        <w:t>2.方式：供应商登录政采云平台https://www.zcygov.cn/在线申请获取采购文件（进入“项目采购”应用，在获取采购文件菜单中选择项目，申请获取采购文件）。</w:t>
      </w:r>
      <w:r>
        <w:rPr>
          <w:b/>
          <w:bCs/>
          <w:color w:val="auto"/>
          <w:kern w:val="2"/>
          <w:highlight w:val="none"/>
        </w:rPr>
        <w:t>注：未按照规定方式获取采购文件的，不得对采购文件提起质疑投诉。在“投标人要求澄清时间”截止之后获取采购文件的潜在投标人如对采购文件有异议的，不予受理、答复。</w:t>
      </w:r>
    </w:p>
    <w:p w14:paraId="5E2C2CA2">
      <w:pPr>
        <w:spacing w:line="360" w:lineRule="auto"/>
        <w:ind w:firstLine="540" w:firstLineChars="225"/>
        <w:rPr>
          <w:color w:val="auto"/>
          <w:highlight w:val="none"/>
        </w:rPr>
      </w:pPr>
      <w:r>
        <w:rPr>
          <w:color w:val="auto"/>
          <w:highlight w:val="none"/>
        </w:rPr>
        <w:t>（三）售价：无</w:t>
      </w:r>
    </w:p>
    <w:p w14:paraId="5FB91F16">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r>
        <w:rPr>
          <w:rFonts w:ascii="Times New Roman" w:hAnsi="Times New Roman"/>
          <w:b/>
          <w:color w:val="auto"/>
          <w:highlight w:val="none"/>
        </w:rPr>
        <w:t>四、提交投标文件</w:t>
      </w:r>
      <w:bookmarkEnd w:id="24"/>
      <w:bookmarkEnd w:id="25"/>
      <w:r>
        <w:rPr>
          <w:rFonts w:ascii="Times New Roman" w:hAnsi="Times New Roman"/>
          <w:b/>
          <w:color w:val="auto"/>
          <w:highlight w:val="none"/>
        </w:rPr>
        <w:t>截止时间、开标时间和地点</w:t>
      </w:r>
      <w:bookmarkEnd w:id="26"/>
      <w:bookmarkEnd w:id="27"/>
    </w:p>
    <w:p w14:paraId="5BEA7FD5">
      <w:pPr>
        <w:spacing w:line="360" w:lineRule="auto"/>
        <w:ind w:firstLine="540" w:firstLineChars="225"/>
        <w:rPr>
          <w:color w:val="auto"/>
          <w:highlight w:val="none"/>
        </w:rPr>
      </w:pPr>
      <w:r>
        <w:rPr>
          <w:color w:val="auto"/>
          <w:highlight w:val="none"/>
        </w:rPr>
        <w:t>提交投标文件截止时间：</w:t>
      </w:r>
      <w:r>
        <w:rPr>
          <w:color w:val="auto"/>
          <w:highlight w:val="none"/>
          <w:u w:val="single"/>
        </w:rPr>
        <w:t xml:space="preserve">2025年 </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r>
        <w:rPr>
          <w:color w:val="auto"/>
          <w:highlight w:val="none"/>
          <w:u w:val="single"/>
        </w:rPr>
        <w:t>09</w:t>
      </w:r>
      <w:r>
        <w:rPr>
          <w:rFonts w:hint="eastAsia"/>
          <w:color w:val="auto"/>
          <w:highlight w:val="none"/>
          <w:u w:val="single"/>
        </w:rPr>
        <w:t>点</w:t>
      </w:r>
      <w:r>
        <w:rPr>
          <w:color w:val="auto"/>
          <w:highlight w:val="none"/>
          <w:u w:val="single"/>
        </w:rPr>
        <w:t>30</w:t>
      </w:r>
      <w:r>
        <w:rPr>
          <w:rFonts w:hint="eastAsia"/>
          <w:color w:val="auto"/>
          <w:highlight w:val="none"/>
          <w:u w:val="single"/>
        </w:rPr>
        <w:t>分</w:t>
      </w:r>
      <w:r>
        <w:rPr>
          <w:color w:val="auto"/>
          <w:highlight w:val="none"/>
        </w:rPr>
        <w:t>（北京时间）</w:t>
      </w:r>
    </w:p>
    <w:p w14:paraId="4E36FD59">
      <w:pPr>
        <w:spacing w:line="360" w:lineRule="auto"/>
        <w:ind w:firstLine="540" w:firstLineChars="225"/>
        <w:rPr>
          <w:color w:val="auto"/>
          <w:highlight w:val="none"/>
        </w:rPr>
      </w:pPr>
      <w:r>
        <w:rPr>
          <w:color w:val="auto"/>
          <w:highlight w:val="none"/>
        </w:rPr>
        <w:t>投标地点（网址）：政采云平台（https://www.zcygov.cn/）</w:t>
      </w:r>
    </w:p>
    <w:p w14:paraId="2EA2198C">
      <w:pPr>
        <w:spacing w:line="360" w:lineRule="auto"/>
        <w:ind w:firstLine="540" w:firstLineChars="225"/>
        <w:rPr>
          <w:color w:val="auto"/>
          <w:highlight w:val="none"/>
        </w:rPr>
      </w:pPr>
      <w:r>
        <w:rPr>
          <w:color w:val="auto"/>
          <w:highlight w:val="none"/>
        </w:rPr>
        <w:t>开标时间：</w:t>
      </w:r>
      <w:r>
        <w:rPr>
          <w:color w:val="auto"/>
          <w:highlight w:val="none"/>
          <w:u w:val="single"/>
        </w:rPr>
        <w:t>2025年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8</w:t>
      </w:r>
      <w:r>
        <w:rPr>
          <w:rFonts w:hint="eastAsia"/>
          <w:color w:val="auto"/>
          <w:highlight w:val="none"/>
          <w:u w:val="single"/>
        </w:rPr>
        <w:t>日</w:t>
      </w:r>
      <w:r>
        <w:rPr>
          <w:color w:val="auto"/>
          <w:highlight w:val="none"/>
          <w:u w:val="single"/>
        </w:rPr>
        <w:t>09</w:t>
      </w:r>
      <w:r>
        <w:rPr>
          <w:rFonts w:hint="eastAsia"/>
          <w:color w:val="auto"/>
          <w:highlight w:val="none"/>
          <w:u w:val="single"/>
        </w:rPr>
        <w:t>点</w:t>
      </w:r>
      <w:r>
        <w:rPr>
          <w:color w:val="auto"/>
          <w:highlight w:val="none"/>
          <w:u w:val="single"/>
        </w:rPr>
        <w:t>30</w:t>
      </w:r>
      <w:r>
        <w:rPr>
          <w:rFonts w:hint="eastAsia"/>
          <w:color w:val="auto"/>
          <w:highlight w:val="none"/>
          <w:u w:val="single"/>
        </w:rPr>
        <w:t>分</w:t>
      </w:r>
    </w:p>
    <w:p w14:paraId="1BBADE03">
      <w:pPr>
        <w:spacing w:line="360" w:lineRule="auto"/>
        <w:ind w:firstLine="540" w:firstLineChars="225"/>
        <w:rPr>
          <w:color w:val="auto"/>
          <w:highlight w:val="none"/>
        </w:rPr>
      </w:pPr>
      <w:r>
        <w:rPr>
          <w:color w:val="auto"/>
          <w:highlight w:val="none"/>
        </w:rPr>
        <w:t>开标地点（网址）：</w:t>
      </w:r>
      <w:r>
        <w:rPr>
          <w:rFonts w:hint="eastAsia"/>
          <w:color w:val="auto"/>
          <w:highlight w:val="none"/>
        </w:rPr>
        <w:t>政采云平台（</w:t>
      </w:r>
      <w:r>
        <w:rPr>
          <w:color w:val="auto"/>
          <w:highlight w:val="none"/>
        </w:rPr>
        <w:t>https://www.zcygov.cn/</w:t>
      </w:r>
      <w:r>
        <w:rPr>
          <w:rFonts w:hint="eastAsia"/>
          <w:color w:val="auto"/>
          <w:highlight w:val="none"/>
        </w:rPr>
        <w:t>）（金华市双龙南街</w:t>
      </w:r>
      <w:r>
        <w:rPr>
          <w:color w:val="auto"/>
          <w:highlight w:val="none"/>
        </w:rPr>
        <w:t>858</w:t>
      </w:r>
      <w:r>
        <w:rPr>
          <w:rFonts w:hint="eastAsia"/>
          <w:color w:val="auto"/>
          <w:highlight w:val="none"/>
        </w:rPr>
        <w:t>号财富大厦</w:t>
      </w:r>
      <w:r>
        <w:rPr>
          <w:color w:val="auto"/>
          <w:highlight w:val="none"/>
        </w:rPr>
        <w:t>4</w:t>
      </w:r>
      <w:r>
        <w:rPr>
          <w:rFonts w:hint="eastAsia"/>
          <w:color w:val="auto"/>
          <w:highlight w:val="none"/>
        </w:rPr>
        <w:t>楼开标室）</w:t>
      </w:r>
    </w:p>
    <w:p w14:paraId="6AE3DDDF">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28" w:name="_Toc35393794"/>
      <w:bookmarkStart w:id="29" w:name="_Toc28359007"/>
      <w:bookmarkStart w:id="30" w:name="_Toc35393625"/>
      <w:bookmarkStart w:id="31" w:name="_Toc28359084"/>
      <w:r>
        <w:rPr>
          <w:rFonts w:ascii="Times New Roman" w:hAnsi="Times New Roman"/>
          <w:b/>
          <w:color w:val="auto"/>
          <w:highlight w:val="none"/>
        </w:rPr>
        <w:t>五、公告期限</w:t>
      </w:r>
      <w:bookmarkEnd w:id="28"/>
      <w:bookmarkEnd w:id="29"/>
      <w:bookmarkEnd w:id="30"/>
      <w:bookmarkEnd w:id="31"/>
    </w:p>
    <w:p w14:paraId="42C3AA79">
      <w:pPr>
        <w:spacing w:line="360" w:lineRule="auto"/>
        <w:ind w:firstLine="540" w:firstLineChars="225"/>
        <w:rPr>
          <w:color w:val="auto"/>
          <w:highlight w:val="none"/>
        </w:rPr>
      </w:pPr>
      <w:r>
        <w:rPr>
          <w:color w:val="auto"/>
          <w:highlight w:val="none"/>
        </w:rPr>
        <w:t>自本公告发布之日起5个工作日。</w:t>
      </w:r>
    </w:p>
    <w:p w14:paraId="676FC48A">
      <w:pPr>
        <w:pStyle w:val="24"/>
        <w:widowControl w:val="0"/>
        <w:adjustRightInd w:val="0"/>
        <w:snapToGrid w:val="0"/>
        <w:spacing w:before="0" w:beforeAutospacing="0" w:after="0" w:afterAutospacing="0" w:line="360" w:lineRule="auto"/>
        <w:ind w:firstLine="482" w:firstLineChars="200"/>
        <w:rPr>
          <w:rFonts w:ascii="Times New Roman" w:hAnsi="Times New Roman"/>
          <w:b/>
          <w:color w:val="auto"/>
          <w:highlight w:val="none"/>
        </w:rPr>
      </w:pPr>
      <w:bookmarkStart w:id="32" w:name="_Toc35393626"/>
      <w:bookmarkStart w:id="33" w:name="_Toc35393795"/>
      <w:r>
        <w:rPr>
          <w:rFonts w:ascii="Times New Roman" w:hAnsi="Times New Roman"/>
          <w:b/>
          <w:color w:val="auto"/>
          <w:highlight w:val="none"/>
        </w:rPr>
        <w:t>六、其他补充事宜</w:t>
      </w:r>
      <w:bookmarkEnd w:id="32"/>
      <w:bookmarkEnd w:id="33"/>
    </w:p>
    <w:p w14:paraId="45D3C124">
      <w:pPr>
        <w:spacing w:line="360" w:lineRule="auto"/>
        <w:ind w:firstLine="540" w:firstLineChars="225"/>
        <w:rPr>
          <w:color w:val="auto"/>
          <w:highlight w:val="none"/>
        </w:rPr>
      </w:pPr>
      <w:bookmarkStart w:id="34" w:name="_Hlk99783971"/>
      <w:r>
        <w:rPr>
          <w:color w:val="auto"/>
          <w:highlight w:val="none"/>
        </w:rPr>
        <w:t>（一）</w:t>
      </w:r>
      <w:bookmarkStart w:id="35" w:name="_Hlk99784094"/>
      <w:r>
        <w:rPr>
          <w:color w:val="auto"/>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A56834">
      <w:pPr>
        <w:widowControl w:val="0"/>
        <w:spacing w:line="360" w:lineRule="auto"/>
        <w:ind w:firstLine="480" w:firstLineChars="200"/>
        <w:jc w:val="both"/>
        <w:rPr>
          <w:color w:val="auto"/>
          <w:highlight w:val="none"/>
        </w:rPr>
      </w:pPr>
      <w:r>
        <w:rPr>
          <w:rFonts w:hint="eastAsia"/>
          <w:color w:val="auto"/>
          <w:highlight w:val="none"/>
        </w:rPr>
        <w:t>（二）本项目通过浙江政府采购网政府采购云平台在线开标，供应商无需到开标现场，但须准时在线参加，直至评审结束。</w:t>
      </w:r>
    </w:p>
    <w:bookmarkEnd w:id="34"/>
    <w:bookmarkEnd w:id="35"/>
    <w:p w14:paraId="4F9B82D5">
      <w:pPr>
        <w:widowControl w:val="0"/>
        <w:spacing w:line="360" w:lineRule="auto"/>
        <w:ind w:firstLine="480" w:firstLineChars="200"/>
        <w:jc w:val="both"/>
        <w:rPr>
          <w:rFonts w:hint="eastAsia" w:ascii="宋体" w:hAnsi="宋体" w:cs="宋体"/>
          <w:color w:val="auto"/>
          <w:highlight w:val="none"/>
        </w:rPr>
      </w:pPr>
      <w:r>
        <w:rPr>
          <w:color w:val="auto"/>
          <w:kern w:val="2"/>
          <w:highlight w:val="none"/>
        </w:rPr>
        <w:t>（</w:t>
      </w:r>
      <w:r>
        <w:rPr>
          <w:rFonts w:hint="eastAsia"/>
          <w:color w:val="auto"/>
          <w:kern w:val="2"/>
          <w:highlight w:val="none"/>
        </w:rPr>
        <w:t>三</w:t>
      </w:r>
      <w:r>
        <w:rPr>
          <w:color w:val="auto"/>
          <w:kern w:val="2"/>
          <w:highlight w:val="none"/>
        </w:rPr>
        <w:t>）</w:t>
      </w:r>
      <w:bookmarkStart w:id="36" w:name="_Hlk185431421"/>
      <w:r>
        <w:rPr>
          <w:rFonts w:hint="eastAsia" w:ascii="宋体" w:hAnsi="宋体" w:cs="宋体"/>
          <w:color w:val="auto"/>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bookmarkEnd w:id="36"/>
    <w:p w14:paraId="1BF70D75">
      <w:pPr>
        <w:widowControl w:val="0"/>
        <w:spacing w:line="360" w:lineRule="auto"/>
        <w:ind w:firstLine="480" w:firstLineChars="200"/>
        <w:jc w:val="both"/>
        <w:rPr>
          <w:color w:val="auto"/>
          <w:kern w:val="2"/>
          <w:highlight w:val="none"/>
        </w:rPr>
      </w:pPr>
      <w:r>
        <w:rPr>
          <w:color w:val="auto"/>
          <w:kern w:val="2"/>
          <w:highlight w:val="none"/>
        </w:rPr>
        <w:t>（</w:t>
      </w:r>
      <w:r>
        <w:rPr>
          <w:rFonts w:hint="eastAsia"/>
          <w:color w:val="auto"/>
          <w:kern w:val="2"/>
          <w:highlight w:val="none"/>
        </w:rPr>
        <w:t>四</w:t>
      </w:r>
      <w:r>
        <w:rPr>
          <w:color w:val="auto"/>
          <w:kern w:val="2"/>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C0071">
      <w:pPr>
        <w:spacing w:line="360" w:lineRule="auto"/>
        <w:ind w:firstLine="480" w:firstLineChars="200"/>
        <w:rPr>
          <w:color w:val="auto"/>
          <w:kern w:val="2"/>
          <w:highlight w:val="none"/>
        </w:rPr>
      </w:pPr>
      <w:bookmarkStart w:id="37" w:name="_Hlk114058203"/>
      <w:bookmarkStart w:id="38" w:name="_Toc35393796"/>
      <w:bookmarkStart w:id="39" w:name="_Toc28359008"/>
      <w:bookmarkStart w:id="40" w:name="_Toc35393627"/>
      <w:bookmarkStart w:id="41" w:name="_Toc28359085"/>
      <w:r>
        <w:rPr>
          <w:color w:val="auto"/>
          <w:kern w:val="2"/>
          <w:highlight w:val="none"/>
        </w:rPr>
        <w:t>（</w:t>
      </w:r>
      <w:r>
        <w:rPr>
          <w:rFonts w:hint="eastAsia"/>
          <w:color w:val="auto"/>
          <w:kern w:val="2"/>
          <w:highlight w:val="none"/>
        </w:rPr>
        <w:t>五</w:t>
      </w:r>
      <w:r>
        <w:rPr>
          <w:color w:val="auto"/>
          <w:kern w:val="2"/>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bookmarkEnd w:id="37"/>
    <w:p w14:paraId="0039DF13">
      <w:pPr>
        <w:widowControl w:val="0"/>
        <w:spacing w:line="360" w:lineRule="auto"/>
        <w:ind w:firstLine="482" w:firstLineChars="200"/>
        <w:jc w:val="both"/>
        <w:rPr>
          <w:b/>
          <w:color w:val="auto"/>
          <w:highlight w:val="none"/>
        </w:rPr>
      </w:pPr>
      <w:r>
        <w:rPr>
          <w:b/>
          <w:color w:val="auto"/>
          <w:highlight w:val="none"/>
        </w:rPr>
        <w:t>七、对本次招标提出询问，请按以下方式联系。</w:t>
      </w:r>
      <w:bookmarkEnd w:id="38"/>
      <w:bookmarkEnd w:id="39"/>
      <w:bookmarkEnd w:id="40"/>
      <w:bookmarkEnd w:id="41"/>
    </w:p>
    <w:p w14:paraId="472F7E4B">
      <w:pPr>
        <w:widowControl w:val="0"/>
        <w:adjustRightInd w:val="0"/>
        <w:snapToGrid w:val="0"/>
        <w:spacing w:line="360" w:lineRule="auto"/>
        <w:ind w:firstLine="480" w:firstLineChars="200"/>
        <w:rPr>
          <w:color w:val="auto"/>
          <w:highlight w:val="none"/>
        </w:rPr>
      </w:pPr>
      <w:r>
        <w:rPr>
          <w:color w:val="auto"/>
          <w:highlight w:val="none"/>
        </w:rPr>
        <w:t>（一）采购人信息</w:t>
      </w:r>
    </w:p>
    <w:p w14:paraId="040CEB67">
      <w:pPr>
        <w:widowControl w:val="0"/>
        <w:adjustRightInd w:val="0"/>
        <w:snapToGrid w:val="0"/>
        <w:spacing w:line="360" w:lineRule="auto"/>
        <w:ind w:firstLine="480" w:firstLineChars="200"/>
        <w:rPr>
          <w:color w:val="auto"/>
          <w:kern w:val="2"/>
          <w:highlight w:val="none"/>
        </w:rPr>
      </w:pPr>
      <w:r>
        <w:rPr>
          <w:color w:val="auto"/>
          <w:kern w:val="2"/>
          <w:highlight w:val="none"/>
        </w:rPr>
        <w:t>名称：</w:t>
      </w:r>
      <w:r>
        <w:rPr>
          <w:rFonts w:hint="eastAsia"/>
          <w:color w:val="auto"/>
          <w:kern w:val="2"/>
          <w:highlight w:val="none"/>
        </w:rPr>
        <w:t>金华开放大学（浙江商贸学校）</w:t>
      </w:r>
    </w:p>
    <w:p w14:paraId="7EAF7C58">
      <w:pPr>
        <w:widowControl w:val="0"/>
        <w:adjustRightInd w:val="0"/>
        <w:snapToGrid w:val="0"/>
        <w:spacing w:line="360" w:lineRule="auto"/>
        <w:ind w:firstLine="480" w:firstLineChars="200"/>
        <w:rPr>
          <w:color w:val="auto"/>
          <w:kern w:val="2"/>
          <w:highlight w:val="none"/>
        </w:rPr>
      </w:pPr>
      <w:r>
        <w:rPr>
          <w:color w:val="auto"/>
          <w:kern w:val="2"/>
          <w:highlight w:val="none"/>
        </w:rPr>
        <w:t>地址： 金华市清照路18号</w:t>
      </w:r>
      <w:r>
        <w:rPr>
          <w:rFonts w:hint="eastAsia"/>
          <w:color w:val="auto"/>
          <w:kern w:val="2"/>
          <w:highlight w:val="none"/>
        </w:rPr>
        <w:t xml:space="preserve"> </w:t>
      </w:r>
    </w:p>
    <w:p w14:paraId="2D42496F">
      <w:pPr>
        <w:widowControl w:val="0"/>
        <w:adjustRightInd w:val="0"/>
        <w:snapToGrid w:val="0"/>
        <w:spacing w:line="360" w:lineRule="auto"/>
        <w:ind w:firstLine="480" w:firstLineChars="200"/>
        <w:rPr>
          <w:color w:val="auto"/>
          <w:kern w:val="2"/>
          <w:highlight w:val="none"/>
        </w:rPr>
      </w:pPr>
      <w:r>
        <w:rPr>
          <w:rFonts w:hint="eastAsia"/>
          <w:color w:val="auto"/>
          <w:kern w:val="2"/>
          <w:highlight w:val="none"/>
        </w:rPr>
        <w:t>项目</w:t>
      </w:r>
      <w:r>
        <w:rPr>
          <w:color w:val="auto"/>
          <w:kern w:val="2"/>
          <w:highlight w:val="none"/>
        </w:rPr>
        <w:t>联系人：</w:t>
      </w:r>
      <w:r>
        <w:rPr>
          <w:rFonts w:hint="eastAsia"/>
          <w:color w:val="auto"/>
          <w:kern w:val="2"/>
          <w:highlight w:val="none"/>
        </w:rPr>
        <w:t xml:space="preserve">武老师 </w:t>
      </w:r>
      <w:r>
        <w:rPr>
          <w:color w:val="auto"/>
          <w:kern w:val="2"/>
          <w:highlight w:val="none"/>
        </w:rPr>
        <w:t xml:space="preserve">         联系电话：</w:t>
      </w:r>
      <w:r>
        <w:rPr>
          <w:rFonts w:hint="eastAsia"/>
          <w:color w:val="auto"/>
          <w:kern w:val="2"/>
          <w:highlight w:val="none"/>
        </w:rPr>
        <w:t xml:space="preserve">0579-82157163 </w:t>
      </w:r>
    </w:p>
    <w:p w14:paraId="6307FEC4">
      <w:pPr>
        <w:widowControl w:val="0"/>
        <w:adjustRightInd w:val="0"/>
        <w:snapToGrid w:val="0"/>
        <w:spacing w:line="360" w:lineRule="auto"/>
        <w:ind w:firstLine="480" w:firstLineChars="200"/>
        <w:rPr>
          <w:color w:val="auto"/>
          <w:kern w:val="2"/>
          <w:highlight w:val="none"/>
        </w:rPr>
      </w:pPr>
      <w:r>
        <w:rPr>
          <w:rFonts w:hint="eastAsia"/>
          <w:color w:val="auto"/>
          <w:kern w:val="2"/>
          <w:highlight w:val="none"/>
        </w:rPr>
        <w:t xml:space="preserve">质疑联系人：杜先生 </w:t>
      </w:r>
      <w:r>
        <w:rPr>
          <w:color w:val="auto"/>
          <w:kern w:val="2"/>
          <w:highlight w:val="none"/>
        </w:rPr>
        <w:t xml:space="preserve">         联系电话：</w:t>
      </w:r>
      <w:r>
        <w:rPr>
          <w:rFonts w:hint="eastAsia"/>
          <w:color w:val="auto"/>
          <w:kern w:val="2"/>
          <w:highlight w:val="none"/>
        </w:rPr>
        <w:t xml:space="preserve"> 0579-82157053</w:t>
      </w:r>
    </w:p>
    <w:p w14:paraId="44C57E11">
      <w:pPr>
        <w:widowControl w:val="0"/>
        <w:adjustRightInd w:val="0"/>
        <w:snapToGrid w:val="0"/>
        <w:spacing w:line="360" w:lineRule="auto"/>
        <w:ind w:firstLine="480" w:firstLineChars="200"/>
        <w:rPr>
          <w:color w:val="auto"/>
          <w:highlight w:val="none"/>
        </w:rPr>
      </w:pPr>
      <w:r>
        <w:rPr>
          <w:color w:val="auto"/>
          <w:kern w:val="2"/>
          <w:highlight w:val="none"/>
        </w:rPr>
        <w:t>（二）采购代理机构信息</w:t>
      </w:r>
    </w:p>
    <w:p w14:paraId="67823C59">
      <w:pPr>
        <w:widowControl w:val="0"/>
        <w:adjustRightInd w:val="0"/>
        <w:snapToGrid w:val="0"/>
        <w:spacing w:line="360" w:lineRule="auto"/>
        <w:ind w:firstLine="480" w:firstLineChars="200"/>
        <w:rPr>
          <w:color w:val="auto"/>
          <w:highlight w:val="none"/>
        </w:rPr>
      </w:pPr>
      <w:r>
        <w:rPr>
          <w:color w:val="auto"/>
          <w:kern w:val="2"/>
          <w:highlight w:val="none"/>
        </w:rPr>
        <w:t>名称：浙江金华阳光招标代理有限公司</w:t>
      </w:r>
    </w:p>
    <w:p w14:paraId="0A520AEF">
      <w:pPr>
        <w:widowControl w:val="0"/>
        <w:adjustRightInd w:val="0"/>
        <w:snapToGrid w:val="0"/>
        <w:spacing w:line="360" w:lineRule="auto"/>
        <w:ind w:firstLine="480" w:firstLineChars="200"/>
        <w:rPr>
          <w:color w:val="auto"/>
          <w:highlight w:val="none"/>
        </w:rPr>
      </w:pPr>
      <w:r>
        <w:rPr>
          <w:color w:val="auto"/>
          <w:kern w:val="2"/>
          <w:highlight w:val="none"/>
        </w:rPr>
        <w:t>地　址：金华市婺城区义乌街1626号</w:t>
      </w:r>
    </w:p>
    <w:p w14:paraId="087A3C2F">
      <w:pPr>
        <w:widowControl w:val="0"/>
        <w:adjustRightInd w:val="0"/>
        <w:snapToGrid w:val="0"/>
        <w:spacing w:line="360" w:lineRule="auto"/>
        <w:ind w:firstLine="480" w:firstLineChars="200"/>
        <w:rPr>
          <w:color w:val="auto"/>
          <w:kern w:val="2"/>
          <w:highlight w:val="none"/>
        </w:rPr>
      </w:pPr>
      <w:bookmarkStart w:id="42" w:name="_Toc28359010"/>
      <w:bookmarkStart w:id="43" w:name="_Toc28359087"/>
      <w:r>
        <w:rPr>
          <w:rFonts w:hint="eastAsia"/>
          <w:color w:val="auto"/>
          <w:kern w:val="2"/>
          <w:highlight w:val="none"/>
        </w:rPr>
        <w:t>项目咨询联系人：张女士</w:t>
      </w:r>
      <w:r>
        <w:rPr>
          <w:rFonts w:hint="eastAsia"/>
          <w:color w:val="auto"/>
          <w:highlight w:val="none"/>
        </w:rPr>
        <w:t xml:space="preserve"> </w:t>
      </w:r>
      <w:r>
        <w:rPr>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color w:val="auto"/>
          <w:kern w:val="2"/>
          <w:highlight w:val="none"/>
        </w:rPr>
        <w:t>联系方式：0579-</w:t>
      </w:r>
      <w:r>
        <w:rPr>
          <w:rFonts w:hint="eastAsia"/>
          <w:color w:val="auto"/>
          <w:kern w:val="2"/>
          <w:highlight w:val="none"/>
        </w:rPr>
        <w:t>83183137</w:t>
      </w:r>
    </w:p>
    <w:p w14:paraId="546383E1">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质疑联系人：包女士 </w:t>
      </w:r>
      <w:r>
        <w:rPr>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color w:val="auto"/>
          <w:kern w:val="2"/>
          <w:highlight w:val="none"/>
        </w:rPr>
        <w:t>联系方式：0579- 83180811</w:t>
      </w:r>
      <w:bookmarkEnd w:id="42"/>
      <w:bookmarkEnd w:id="43"/>
    </w:p>
    <w:p w14:paraId="08C74068">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财务、中标通知书、发票联系人：方女士 </w:t>
      </w:r>
      <w:r>
        <w:rPr>
          <w:color w:val="auto"/>
          <w:highlight w:val="none"/>
        </w:rPr>
        <w:t xml:space="preserve">   </w:t>
      </w:r>
      <w:r>
        <w:rPr>
          <w:color w:val="auto"/>
          <w:kern w:val="2"/>
          <w:highlight w:val="none"/>
        </w:rPr>
        <w:t>联系方式：0579- 83182152</w:t>
      </w:r>
    </w:p>
    <w:p w14:paraId="5EFE9E4F">
      <w:pPr>
        <w:widowControl w:val="0"/>
        <w:adjustRightInd w:val="0"/>
        <w:snapToGrid w:val="0"/>
        <w:spacing w:line="360" w:lineRule="auto"/>
        <w:ind w:firstLine="480" w:firstLineChars="200"/>
        <w:rPr>
          <w:color w:val="auto"/>
          <w:kern w:val="2"/>
          <w:highlight w:val="none"/>
        </w:rPr>
      </w:pPr>
      <w:r>
        <w:rPr>
          <w:rFonts w:hint="eastAsia"/>
          <w:color w:val="auto"/>
          <w:highlight w:val="none"/>
        </w:rPr>
        <w:t xml:space="preserve">合同联系人：施女士 </w:t>
      </w:r>
      <w:r>
        <w:rPr>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color w:val="auto"/>
          <w:highlight w:val="none"/>
        </w:rPr>
        <w:t xml:space="preserve"> </w:t>
      </w:r>
      <w:r>
        <w:rPr>
          <w:color w:val="auto"/>
          <w:kern w:val="2"/>
          <w:highlight w:val="none"/>
        </w:rPr>
        <w:t>联系方式：0579- 83180511</w:t>
      </w:r>
    </w:p>
    <w:p w14:paraId="690C364E">
      <w:pPr>
        <w:widowControl w:val="0"/>
        <w:adjustRightInd w:val="0"/>
        <w:snapToGrid w:val="0"/>
        <w:spacing w:line="360" w:lineRule="auto"/>
        <w:ind w:firstLine="480" w:firstLineChars="200"/>
        <w:rPr>
          <w:color w:val="auto"/>
          <w:kern w:val="2"/>
          <w:highlight w:val="none"/>
        </w:rPr>
      </w:pPr>
      <w:r>
        <w:rPr>
          <w:color w:val="auto"/>
          <w:highlight w:val="none"/>
        </w:rPr>
        <w:t>（</w:t>
      </w:r>
      <w:r>
        <w:rPr>
          <w:rFonts w:hint="eastAsia"/>
          <w:color w:val="auto"/>
          <w:highlight w:val="none"/>
        </w:rPr>
        <w:t>三</w:t>
      </w:r>
      <w:r>
        <w:rPr>
          <w:color w:val="auto"/>
          <w:highlight w:val="none"/>
        </w:rPr>
        <w:t>）政府采购行政监管及投诉受理部门：金华市财政局政府采购监管处</w:t>
      </w:r>
    </w:p>
    <w:p w14:paraId="148C46F9">
      <w:pPr>
        <w:widowControl w:val="0"/>
        <w:adjustRightInd w:val="0"/>
        <w:snapToGrid w:val="0"/>
        <w:spacing w:line="360" w:lineRule="auto"/>
        <w:ind w:firstLine="480" w:firstLineChars="200"/>
        <w:rPr>
          <w:color w:val="auto"/>
          <w:highlight w:val="none"/>
        </w:rPr>
      </w:pPr>
      <w:r>
        <w:rPr>
          <w:color w:val="auto"/>
          <w:highlight w:val="none"/>
        </w:rPr>
        <w:t>联系人： 徐女士</w:t>
      </w:r>
    </w:p>
    <w:p w14:paraId="648B82DD">
      <w:pPr>
        <w:widowControl w:val="0"/>
        <w:adjustRightInd w:val="0"/>
        <w:snapToGrid w:val="0"/>
        <w:spacing w:line="360" w:lineRule="auto"/>
        <w:ind w:firstLine="480" w:firstLineChars="200"/>
        <w:rPr>
          <w:color w:val="auto"/>
          <w:highlight w:val="none"/>
        </w:rPr>
      </w:pPr>
      <w:r>
        <w:rPr>
          <w:color w:val="auto"/>
          <w:highlight w:val="none"/>
        </w:rPr>
        <w:t>联系电话：0579- 82468735</w:t>
      </w:r>
    </w:p>
    <w:p w14:paraId="57285244">
      <w:pPr>
        <w:rPr>
          <w:color w:val="auto"/>
          <w:highlight w:val="none"/>
        </w:rPr>
      </w:pPr>
    </w:p>
    <w:p w14:paraId="40E8EFD1">
      <w:pPr>
        <w:rPr>
          <w:color w:val="auto"/>
          <w:highlight w:val="none"/>
        </w:rPr>
      </w:pPr>
    </w:p>
    <w:p w14:paraId="4344FB18">
      <w:pPr>
        <w:widowControl w:val="0"/>
        <w:spacing w:line="360" w:lineRule="auto"/>
        <w:ind w:firstLine="562" w:firstLineChars="200"/>
        <w:jc w:val="both"/>
        <w:rPr>
          <w:rFonts w:hint="eastAsia" w:ascii="宋体" w:hAnsi="宋体" w:cs="仿宋"/>
          <w:b/>
          <w:bCs/>
          <w:color w:val="auto"/>
          <w:kern w:val="2"/>
          <w:sz w:val="28"/>
          <w:szCs w:val="28"/>
          <w:highlight w:val="none"/>
        </w:rPr>
      </w:pPr>
      <w:r>
        <w:rPr>
          <w:rFonts w:hint="eastAsia" w:ascii="宋体" w:hAnsi="宋体" w:cs="仿宋"/>
          <w:b/>
          <w:bCs/>
          <w:color w:val="auto"/>
          <w:kern w:val="2"/>
          <w:sz w:val="28"/>
          <w:szCs w:val="28"/>
          <w:highlight w:val="none"/>
        </w:rPr>
        <w:t>为方便后续通知书领取、开具发票、合同拟定等事宜，欢迎各投标人添加我公司财务与法务微信：</w:t>
      </w:r>
    </w:p>
    <w:p w14:paraId="48619D36">
      <w:pPr>
        <w:rPr>
          <w:color w:val="auto"/>
          <w:highlight w:val="none"/>
        </w:rPr>
      </w:pPr>
      <w:r>
        <w:rPr>
          <w:color w:val="auto"/>
          <w:highlight w:val="none"/>
        </w:rPr>
        <w:drawing>
          <wp:inline distT="0" distB="0" distL="114300" distR="114300">
            <wp:extent cx="2567940" cy="3381375"/>
            <wp:effectExtent l="0" t="0" r="3810" b="9525"/>
            <wp:docPr id="631" name="图片 1" descr="15227602554bcb6bb260e2c13e3bf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1" descr="15227602554bcb6bb260e2c13e3bf6a"/>
                    <pic:cNvPicPr>
                      <a:picLocks noChangeAspect="1"/>
                    </pic:cNvPicPr>
                  </pic:nvPicPr>
                  <pic:blipFill>
                    <a:blip r:embed="rId12"/>
                    <a:srcRect l="14046" t="23521" r="13054" b="32451"/>
                    <a:stretch>
                      <a:fillRect/>
                    </a:stretch>
                  </pic:blipFill>
                  <pic:spPr>
                    <a:xfrm>
                      <a:off x="0" y="0"/>
                      <a:ext cx="2567940" cy="3381375"/>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114300" distR="114300">
            <wp:extent cx="2774950" cy="3459480"/>
            <wp:effectExtent l="0" t="0" r="6350" b="7620"/>
            <wp:docPr id="632" name="图片 2" descr="9d8cb11cf59948b0608db562bc6b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2" descr="9d8cb11cf59948b0608db562bc6b013"/>
                    <pic:cNvPicPr>
                      <a:picLocks noChangeAspect="1"/>
                    </pic:cNvPicPr>
                  </pic:nvPicPr>
                  <pic:blipFill>
                    <a:blip r:embed="rId13"/>
                    <a:srcRect l="7405" t="6509" r="7761" b="15874"/>
                    <a:stretch>
                      <a:fillRect/>
                    </a:stretch>
                  </pic:blipFill>
                  <pic:spPr>
                    <a:xfrm>
                      <a:off x="0" y="0"/>
                      <a:ext cx="2774950" cy="3459480"/>
                    </a:xfrm>
                    <a:prstGeom prst="rect">
                      <a:avLst/>
                    </a:prstGeom>
                    <a:noFill/>
                    <a:ln>
                      <a:noFill/>
                    </a:ln>
                  </pic:spPr>
                </pic:pic>
              </a:graphicData>
            </a:graphic>
          </wp:inline>
        </w:drawing>
      </w:r>
    </w:p>
    <w:p w14:paraId="63D9041F">
      <w:pPr>
        <w:rPr>
          <w:color w:val="auto"/>
          <w:highlight w:val="none"/>
        </w:rPr>
        <w:sectPr>
          <w:pgSz w:w="11906" w:h="16838"/>
          <w:pgMar w:top="1258" w:right="1286" w:bottom="1361" w:left="1620" w:header="709" w:footer="971" w:gutter="0"/>
          <w:cols w:space="720" w:num="1"/>
          <w:docGrid w:linePitch="360" w:charSpace="0"/>
        </w:sectPr>
      </w:pPr>
    </w:p>
    <w:p w14:paraId="177FFB7F">
      <w:pPr>
        <w:pStyle w:val="3"/>
        <w:spacing w:before="120" w:after="240" w:line="240" w:lineRule="auto"/>
        <w:jc w:val="center"/>
        <w:rPr>
          <w:rFonts w:hint="eastAsia" w:ascii="宋体" w:hAnsi="宋体"/>
          <w:color w:val="auto"/>
          <w:highlight w:val="none"/>
        </w:rPr>
      </w:pPr>
      <w:bookmarkStart w:id="44" w:name="_Toc93668160"/>
      <w:bookmarkStart w:id="45" w:name="_Toc39239704"/>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rPr>
        <w:t xml:space="preserve">  </w:t>
      </w:r>
      <w:r>
        <w:rPr>
          <w:rFonts w:ascii="宋体" w:hAnsi="宋体"/>
          <w:color w:val="auto"/>
          <w:highlight w:val="none"/>
        </w:rPr>
        <w:t>前附表</w:t>
      </w:r>
      <w:bookmarkEnd w:id="44"/>
    </w:p>
    <w:tbl>
      <w:tblPr>
        <w:tblStyle w:val="4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76"/>
        <w:gridCol w:w="7035"/>
      </w:tblGrid>
      <w:tr w14:paraId="1137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3" w:type="dxa"/>
            <w:vAlign w:val="center"/>
          </w:tcPr>
          <w:p w14:paraId="23DFEFA2">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序号</w:t>
            </w:r>
          </w:p>
        </w:tc>
        <w:tc>
          <w:tcPr>
            <w:tcW w:w="2076" w:type="dxa"/>
            <w:vAlign w:val="center"/>
          </w:tcPr>
          <w:p w14:paraId="60F8F20A">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事项</w:t>
            </w:r>
          </w:p>
        </w:tc>
        <w:tc>
          <w:tcPr>
            <w:tcW w:w="7035" w:type="dxa"/>
            <w:vAlign w:val="center"/>
          </w:tcPr>
          <w:p w14:paraId="496A61D1">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本项目的特别规定</w:t>
            </w:r>
          </w:p>
        </w:tc>
      </w:tr>
      <w:tr w14:paraId="07C6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17C06199">
            <w:pPr>
              <w:pStyle w:val="101"/>
              <w:adjustRightInd w:val="0"/>
              <w:snapToGrid w:val="0"/>
              <w:spacing w:before="120" w:beforeLines="50" w:after="120" w:afterLines="50" w:line="276" w:lineRule="auto"/>
              <w:jc w:val="center"/>
              <w:rPr>
                <w:color w:val="auto"/>
                <w:kern w:val="0"/>
                <w:sz w:val="24"/>
                <w:highlight w:val="none"/>
              </w:rPr>
            </w:pPr>
            <w:r>
              <w:rPr>
                <w:color w:val="auto"/>
                <w:kern w:val="0"/>
                <w:sz w:val="24"/>
                <w:highlight w:val="none"/>
              </w:rPr>
              <w:t>1</w:t>
            </w:r>
          </w:p>
        </w:tc>
        <w:tc>
          <w:tcPr>
            <w:tcW w:w="2076" w:type="dxa"/>
            <w:vAlign w:val="center"/>
          </w:tcPr>
          <w:p w14:paraId="4A6CF715">
            <w:pPr>
              <w:widowControl w:val="0"/>
              <w:adjustRightInd w:val="0"/>
              <w:snapToGrid w:val="0"/>
              <w:spacing w:line="276" w:lineRule="auto"/>
              <w:jc w:val="center"/>
              <w:rPr>
                <w:color w:val="auto"/>
                <w:highlight w:val="none"/>
              </w:rPr>
            </w:pPr>
            <w:r>
              <w:rPr>
                <w:color w:val="auto"/>
                <w:highlight w:val="none"/>
              </w:rPr>
              <w:t>报价要求</w:t>
            </w:r>
          </w:p>
        </w:tc>
        <w:tc>
          <w:tcPr>
            <w:tcW w:w="7035" w:type="dxa"/>
            <w:vAlign w:val="center"/>
          </w:tcPr>
          <w:p w14:paraId="514FCBED">
            <w:pPr>
              <w:snapToGrid w:val="0"/>
              <w:rPr>
                <w:b/>
                <w:bCs/>
                <w:color w:val="auto"/>
                <w:highlight w:val="none"/>
                <w:lang w:val="zh-CN"/>
              </w:rPr>
            </w:pPr>
            <w:r>
              <w:rPr>
                <w:rFonts w:hint="eastAsia"/>
                <w:b/>
                <w:bCs/>
                <w:color w:val="auto"/>
                <w:highlight w:val="none"/>
                <w:lang w:val="zh-CN"/>
              </w:rPr>
              <w:t>1</w:t>
            </w:r>
            <w:r>
              <w:rPr>
                <w:b/>
                <w:bCs/>
                <w:color w:val="auto"/>
                <w:highlight w:val="none"/>
                <w:lang w:val="zh-CN"/>
              </w:rPr>
              <w:t>.</w:t>
            </w:r>
            <w:r>
              <w:rPr>
                <w:rFonts w:hint="eastAsia"/>
                <w:b/>
                <w:bCs/>
                <w:color w:val="auto"/>
                <w:highlight w:val="none"/>
                <w:lang w:val="zh-CN"/>
              </w:rPr>
              <w:t>报价口径为总价</w:t>
            </w:r>
            <w:r>
              <w:rPr>
                <w:b/>
                <w:bCs/>
                <w:color w:val="auto"/>
                <w:highlight w:val="none"/>
                <w:lang w:val="zh-CN"/>
              </w:rPr>
              <w:t>人民币报价</w:t>
            </w:r>
            <w:r>
              <w:rPr>
                <w:rFonts w:hint="eastAsia"/>
                <w:b/>
                <w:bCs/>
                <w:color w:val="auto"/>
                <w:highlight w:val="none"/>
                <w:lang w:val="zh-CN"/>
              </w:rPr>
              <w:t>。</w:t>
            </w:r>
            <w:r>
              <w:rPr>
                <w:b/>
                <w:bCs/>
                <w:color w:val="auto"/>
                <w:highlight w:val="none"/>
                <w:lang w:val="zh-CN"/>
              </w:rPr>
              <w:t>按四舍五入计算最多保留到</w:t>
            </w:r>
            <w:r>
              <w:rPr>
                <w:rFonts w:hint="eastAsia"/>
                <w:b/>
                <w:bCs/>
                <w:color w:val="auto"/>
                <w:highlight w:val="none"/>
                <w:lang w:val="zh-CN"/>
              </w:rPr>
              <w:t>分</w:t>
            </w:r>
            <w:r>
              <w:rPr>
                <w:b/>
                <w:bCs/>
                <w:color w:val="auto"/>
                <w:highlight w:val="none"/>
                <w:lang w:val="zh-CN"/>
              </w:rPr>
              <w:t>。</w:t>
            </w:r>
          </w:p>
          <w:p w14:paraId="7D4F2121">
            <w:pPr>
              <w:snapToGrid w:val="0"/>
              <w:rPr>
                <w:b/>
                <w:bCs/>
                <w:color w:val="auto"/>
                <w:highlight w:val="none"/>
                <w:lang w:val="zh-CN"/>
              </w:rPr>
            </w:pPr>
            <w:r>
              <w:rPr>
                <w:rFonts w:hint="eastAsia"/>
                <w:b/>
                <w:bCs/>
                <w:color w:val="auto"/>
                <w:highlight w:val="none"/>
                <w:lang w:val="zh-CN"/>
              </w:rPr>
              <w:t>2</w:t>
            </w:r>
            <w:r>
              <w:rPr>
                <w:b/>
                <w:bCs/>
                <w:color w:val="auto"/>
                <w:highlight w:val="none"/>
                <w:lang w:val="zh-CN"/>
              </w:rPr>
              <w:t>.有关本项目实施所需的所有费用（含税费）均计入报价。</w:t>
            </w:r>
            <w:r>
              <w:rPr>
                <w:rFonts w:hint="eastAsia"/>
                <w:b/>
                <w:bCs/>
                <w:color w:val="auto"/>
                <w:highlight w:val="none"/>
                <w:lang w:val="zh-CN"/>
              </w:rPr>
              <w:t>招标</w:t>
            </w:r>
            <w:r>
              <w:rPr>
                <w:b/>
                <w:bCs/>
                <w:color w:val="auto"/>
                <w:highlight w:val="none"/>
                <w:lang w:val="zh-CN"/>
              </w:rPr>
              <w:t>文件未列明，而</w:t>
            </w:r>
            <w:r>
              <w:rPr>
                <w:rFonts w:hint="eastAsia"/>
                <w:b/>
                <w:bCs/>
                <w:color w:val="auto"/>
                <w:highlight w:val="none"/>
                <w:lang w:val="zh-CN"/>
              </w:rPr>
              <w:t>投标人</w:t>
            </w:r>
            <w:r>
              <w:rPr>
                <w:b/>
                <w:bCs/>
                <w:color w:val="auto"/>
                <w:highlight w:val="none"/>
                <w:lang w:val="zh-CN"/>
              </w:rPr>
              <w:t>认为必需的费用也需列入报价。</w:t>
            </w:r>
          </w:p>
          <w:p w14:paraId="5FB6ED9E">
            <w:pPr>
              <w:rPr>
                <w:color w:val="auto"/>
                <w:highlight w:val="none"/>
              </w:rPr>
            </w:pPr>
            <w:r>
              <w:rPr>
                <w:rFonts w:hint="eastAsia"/>
                <w:b/>
                <w:bCs/>
                <w:color w:val="auto"/>
                <w:highlight w:val="none"/>
                <w:lang w:val="zh-CN"/>
              </w:rPr>
              <w:t>3</w:t>
            </w:r>
            <w:r>
              <w:rPr>
                <w:b/>
                <w:bCs/>
                <w:color w:val="auto"/>
                <w:highlight w:val="none"/>
                <w:lang w:val="zh-CN"/>
              </w:rPr>
              <w:t>.</w:t>
            </w:r>
            <w:r>
              <w:rPr>
                <w:rFonts w:hint="eastAsia"/>
                <w:b/>
                <w:bCs/>
                <w:color w:val="auto"/>
                <w:highlight w:val="none"/>
                <w:lang w:val="zh-CN"/>
              </w:rPr>
              <w:t>★备注：投标报价总金额不得高于预算（最高限价），每类投标产品的分项报价不得高于对应的单价限价及小计金额（详见采购清单）。</w:t>
            </w:r>
          </w:p>
        </w:tc>
      </w:tr>
      <w:tr w14:paraId="15BB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69DB9762">
            <w:pPr>
              <w:pStyle w:val="101"/>
              <w:adjustRightInd w:val="0"/>
              <w:snapToGrid w:val="0"/>
              <w:spacing w:before="120" w:beforeLines="50" w:after="120" w:afterLines="50" w:line="276" w:lineRule="auto"/>
              <w:jc w:val="center"/>
              <w:rPr>
                <w:color w:val="auto"/>
                <w:kern w:val="0"/>
                <w:sz w:val="24"/>
                <w:highlight w:val="none"/>
              </w:rPr>
            </w:pPr>
            <w:r>
              <w:rPr>
                <w:color w:val="auto"/>
                <w:kern w:val="0"/>
                <w:sz w:val="24"/>
                <w:highlight w:val="none"/>
              </w:rPr>
              <w:t>2</w:t>
            </w:r>
          </w:p>
        </w:tc>
        <w:tc>
          <w:tcPr>
            <w:tcW w:w="2076" w:type="dxa"/>
            <w:vAlign w:val="center"/>
          </w:tcPr>
          <w:p w14:paraId="284B6F15">
            <w:pPr>
              <w:widowControl w:val="0"/>
              <w:adjustRightInd w:val="0"/>
              <w:snapToGrid w:val="0"/>
              <w:spacing w:line="276" w:lineRule="auto"/>
              <w:jc w:val="center"/>
              <w:rPr>
                <w:color w:val="auto"/>
                <w:highlight w:val="none"/>
              </w:rPr>
            </w:pPr>
            <w:r>
              <w:rPr>
                <w:color w:val="auto"/>
                <w:highlight w:val="none"/>
              </w:rPr>
              <w:t>中标服务费</w:t>
            </w:r>
          </w:p>
        </w:tc>
        <w:tc>
          <w:tcPr>
            <w:tcW w:w="7035" w:type="dxa"/>
            <w:vAlign w:val="center"/>
          </w:tcPr>
          <w:p w14:paraId="70F1425B">
            <w:pPr>
              <w:widowControl w:val="0"/>
              <w:adjustRightInd w:val="0"/>
              <w:snapToGrid w:val="0"/>
              <w:spacing w:line="276" w:lineRule="auto"/>
              <w:rPr>
                <w:color w:val="auto"/>
                <w:highlight w:val="none"/>
              </w:rPr>
            </w:pPr>
            <w:r>
              <w:rPr>
                <w:b/>
                <w:color w:val="auto"/>
                <w:highlight w:val="none"/>
              </w:rPr>
              <w:t>投标人取得中标资格后，须按中标价×</w:t>
            </w:r>
            <w:r>
              <w:rPr>
                <w:rFonts w:hint="eastAsia"/>
                <w:b/>
                <w:color w:val="auto"/>
                <w:highlight w:val="none"/>
              </w:rPr>
              <w:t>1.2</w:t>
            </w:r>
            <w:r>
              <w:rPr>
                <w:b/>
                <w:color w:val="auto"/>
                <w:highlight w:val="none"/>
              </w:rPr>
              <w:t>%计收中标服务费，不足</w:t>
            </w:r>
            <w:r>
              <w:rPr>
                <w:rFonts w:hint="eastAsia"/>
                <w:b/>
                <w:color w:val="auto"/>
                <w:highlight w:val="none"/>
              </w:rPr>
              <w:t>3000</w:t>
            </w:r>
            <w:r>
              <w:rPr>
                <w:b/>
                <w:color w:val="auto"/>
                <w:highlight w:val="none"/>
              </w:rPr>
              <w:t>元按</w:t>
            </w:r>
            <w:r>
              <w:rPr>
                <w:rFonts w:hint="eastAsia"/>
                <w:b/>
                <w:color w:val="auto"/>
                <w:highlight w:val="none"/>
              </w:rPr>
              <w:t>3000</w:t>
            </w:r>
            <w:r>
              <w:rPr>
                <w:b/>
                <w:color w:val="auto"/>
                <w:highlight w:val="none"/>
              </w:rPr>
              <w:t>元计收，中标人在领取中标通知书前须支付至招标代理公司。</w:t>
            </w:r>
            <w:r>
              <w:rPr>
                <w:color w:val="auto"/>
                <w:highlight w:val="none"/>
              </w:rPr>
              <w:t>转账至以下账户：</w:t>
            </w:r>
          </w:p>
          <w:p w14:paraId="728B9311">
            <w:pPr>
              <w:widowControl w:val="0"/>
              <w:adjustRightInd w:val="0"/>
              <w:snapToGrid w:val="0"/>
              <w:ind w:right="-82"/>
              <w:rPr>
                <w:rFonts w:hint="eastAsia" w:ascii="宋体" w:hAnsi="宋体" w:cs="宋体"/>
                <w:color w:val="auto"/>
                <w:highlight w:val="none"/>
              </w:rPr>
            </w:pPr>
            <w:r>
              <w:rPr>
                <w:rFonts w:hint="eastAsia" w:ascii="宋体" w:hAnsi="宋体" w:cs="宋体"/>
                <w:color w:val="auto"/>
                <w:highlight w:val="none"/>
              </w:rPr>
              <w:t>户名：浙江金华阳光招标代理有限公司</w:t>
            </w:r>
          </w:p>
          <w:p w14:paraId="6F95F6AC">
            <w:pPr>
              <w:widowControl w:val="0"/>
              <w:adjustRightInd w:val="0"/>
              <w:snapToGrid w:val="0"/>
              <w:ind w:right="-82"/>
              <w:rPr>
                <w:rFonts w:hint="eastAsia" w:ascii="宋体" w:hAnsi="宋体" w:cs="宋体"/>
                <w:color w:val="auto"/>
                <w:highlight w:val="none"/>
              </w:rPr>
            </w:pPr>
            <w:r>
              <w:rPr>
                <w:rFonts w:hint="eastAsia" w:ascii="宋体" w:hAnsi="宋体" w:cs="宋体"/>
                <w:color w:val="auto"/>
                <w:highlight w:val="none"/>
              </w:rPr>
              <w:t>开户银行：金华银行文创支行</w:t>
            </w:r>
          </w:p>
          <w:p w14:paraId="67251C4B">
            <w:pPr>
              <w:widowControl w:val="0"/>
              <w:adjustRightInd w:val="0"/>
              <w:snapToGrid w:val="0"/>
              <w:ind w:right="-82"/>
              <w:rPr>
                <w:rFonts w:hint="eastAsia" w:ascii="宋体" w:hAnsi="宋体" w:cs="宋体"/>
                <w:color w:val="auto"/>
                <w:highlight w:val="none"/>
              </w:rPr>
            </w:pPr>
            <w:r>
              <w:rPr>
                <w:rFonts w:hint="eastAsia" w:ascii="宋体" w:hAnsi="宋体" w:cs="宋体"/>
                <w:color w:val="auto"/>
                <w:highlight w:val="none"/>
              </w:rPr>
              <w:t>账号：1306226200000168</w:t>
            </w:r>
          </w:p>
        </w:tc>
      </w:tr>
      <w:tr w14:paraId="1B33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4E98D72D">
            <w:pPr>
              <w:pStyle w:val="101"/>
              <w:adjustRightInd w:val="0"/>
              <w:snapToGrid w:val="0"/>
              <w:spacing w:before="120" w:beforeLines="50" w:after="120" w:afterLines="50" w:line="276" w:lineRule="auto"/>
              <w:jc w:val="center"/>
              <w:rPr>
                <w:color w:val="auto"/>
                <w:kern w:val="0"/>
                <w:sz w:val="24"/>
                <w:highlight w:val="none"/>
              </w:rPr>
            </w:pPr>
            <w:r>
              <w:rPr>
                <w:rFonts w:hint="eastAsia"/>
                <w:color w:val="auto"/>
                <w:kern w:val="0"/>
                <w:sz w:val="24"/>
                <w:highlight w:val="none"/>
              </w:rPr>
              <w:t>3</w:t>
            </w:r>
          </w:p>
        </w:tc>
        <w:tc>
          <w:tcPr>
            <w:tcW w:w="2076" w:type="dxa"/>
            <w:vAlign w:val="center"/>
          </w:tcPr>
          <w:p w14:paraId="5883C638">
            <w:pPr>
              <w:widowControl w:val="0"/>
              <w:adjustRightInd w:val="0"/>
              <w:snapToGrid w:val="0"/>
              <w:spacing w:line="276" w:lineRule="auto"/>
              <w:jc w:val="center"/>
              <w:rPr>
                <w:color w:val="auto"/>
                <w:highlight w:val="none"/>
              </w:rPr>
            </w:pPr>
            <w:r>
              <w:rPr>
                <w:color w:val="auto"/>
                <w:highlight w:val="none"/>
              </w:rPr>
              <w:t>履约保证金</w:t>
            </w:r>
          </w:p>
        </w:tc>
        <w:tc>
          <w:tcPr>
            <w:tcW w:w="7035" w:type="dxa"/>
            <w:vAlign w:val="center"/>
          </w:tcPr>
          <w:p w14:paraId="52582943">
            <w:pPr>
              <w:widowControl w:val="0"/>
              <w:adjustRightInd w:val="0"/>
              <w:snapToGrid w:val="0"/>
              <w:spacing w:line="276" w:lineRule="auto"/>
              <w:rPr>
                <w:b/>
                <w:color w:val="auto"/>
                <w:highlight w:val="none"/>
              </w:rPr>
            </w:pPr>
            <w:r>
              <w:rPr>
                <w:rFonts w:hint="eastAsia" w:ascii="Segoe UI Symbol" w:hAnsi="Segoe UI Symbol" w:cs="Segoe UI Symbol"/>
                <w:color w:val="auto"/>
                <w:highlight w:val="none"/>
              </w:rPr>
              <w:t>不需要缴纳</w:t>
            </w:r>
          </w:p>
        </w:tc>
      </w:tr>
      <w:tr w14:paraId="48CD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3" w:type="dxa"/>
            <w:vAlign w:val="center"/>
          </w:tcPr>
          <w:p w14:paraId="2B04CF0B">
            <w:pPr>
              <w:pStyle w:val="101"/>
              <w:adjustRightInd w:val="0"/>
              <w:snapToGrid w:val="0"/>
              <w:spacing w:before="120" w:beforeLines="50" w:after="120" w:afterLines="50" w:line="276" w:lineRule="auto"/>
              <w:jc w:val="center"/>
              <w:rPr>
                <w:color w:val="auto"/>
                <w:kern w:val="0"/>
                <w:sz w:val="24"/>
                <w:highlight w:val="none"/>
              </w:rPr>
            </w:pPr>
            <w:r>
              <w:rPr>
                <w:rFonts w:hint="eastAsia"/>
                <w:color w:val="auto"/>
                <w:highlight w:val="none"/>
              </w:rPr>
              <w:t>4</w:t>
            </w:r>
          </w:p>
        </w:tc>
        <w:tc>
          <w:tcPr>
            <w:tcW w:w="2076" w:type="dxa"/>
            <w:vAlign w:val="center"/>
          </w:tcPr>
          <w:p w14:paraId="7287989C">
            <w:pPr>
              <w:widowControl w:val="0"/>
              <w:adjustRightInd w:val="0"/>
              <w:snapToGrid w:val="0"/>
              <w:spacing w:line="276" w:lineRule="auto"/>
              <w:jc w:val="center"/>
              <w:rPr>
                <w:color w:val="auto"/>
                <w:highlight w:val="none"/>
              </w:rPr>
            </w:pPr>
            <w:r>
              <w:rPr>
                <w:color w:val="auto"/>
                <w:highlight w:val="none"/>
              </w:rPr>
              <w:t>项目属性与核心产品</w:t>
            </w:r>
          </w:p>
        </w:tc>
        <w:tc>
          <w:tcPr>
            <w:tcW w:w="7035" w:type="dxa"/>
            <w:vAlign w:val="center"/>
          </w:tcPr>
          <w:p w14:paraId="56F67AAD">
            <w:pPr>
              <w:widowControl w:val="0"/>
              <w:adjustRightInd w:val="0"/>
              <w:snapToGrid w:val="0"/>
              <w:rPr>
                <w:rFonts w:ascii="Segoe UI Symbol" w:hAnsi="Segoe UI Symbol" w:cs="Segoe UI Symbol"/>
                <w:color w:val="auto"/>
                <w:highlight w:val="none"/>
              </w:rPr>
            </w:pPr>
            <w:r>
              <w:rPr>
                <w:rFonts w:ascii="Segoe UI Symbol" w:hAnsi="Segoe UI Symbol" w:eastAsia="仿宋_GB2312" w:cs="Segoe UI Symbol"/>
                <w:color w:val="auto"/>
                <w:highlight w:val="none"/>
              </w:rPr>
              <w:t>☑</w:t>
            </w:r>
            <w:r>
              <w:rPr>
                <w:color w:val="auto"/>
                <w:highlight w:val="none"/>
              </w:rPr>
              <w:t>货物类，核心产品为：</w:t>
            </w:r>
            <w:r>
              <w:rPr>
                <w:rFonts w:hint="eastAsia"/>
                <w:color w:val="auto"/>
                <w:highlight w:val="none"/>
                <w:u w:val="single"/>
              </w:rPr>
              <w:t>多功能实训美容仪2</w:t>
            </w:r>
            <w:r>
              <w:rPr>
                <w:color w:val="auto"/>
                <w:highlight w:val="none"/>
              </w:rPr>
              <w:t>。</w:t>
            </w:r>
            <w:r>
              <w:rPr>
                <w:b/>
                <w:color w:val="auto"/>
                <w:highlight w:val="none"/>
              </w:rPr>
              <w:t>提供相同品牌产品（同品牌核心产品）且通过资格审查、符合性审查的不同投标人参加同一合同项下投标的，按一家投标人计算，评审后得分最高的同品牌（同品牌核心产品）投标人获得中标人推荐资格。</w:t>
            </w:r>
          </w:p>
        </w:tc>
      </w:tr>
      <w:tr w14:paraId="473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029742D1">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5</w:t>
            </w:r>
          </w:p>
        </w:tc>
        <w:tc>
          <w:tcPr>
            <w:tcW w:w="2076" w:type="dxa"/>
            <w:vAlign w:val="center"/>
          </w:tcPr>
          <w:p w14:paraId="7FEAF642">
            <w:pPr>
              <w:widowControl w:val="0"/>
              <w:adjustRightInd w:val="0"/>
              <w:snapToGrid w:val="0"/>
              <w:spacing w:line="276" w:lineRule="auto"/>
              <w:jc w:val="center"/>
              <w:rPr>
                <w:color w:val="auto"/>
                <w:highlight w:val="none"/>
              </w:rPr>
            </w:pPr>
            <w:r>
              <w:rPr>
                <w:color w:val="auto"/>
                <w:highlight w:val="none"/>
              </w:rPr>
              <w:t>是否允许采购进口产品</w:t>
            </w:r>
          </w:p>
        </w:tc>
        <w:tc>
          <w:tcPr>
            <w:tcW w:w="7035" w:type="dxa"/>
            <w:vAlign w:val="center"/>
          </w:tcPr>
          <w:p w14:paraId="73F633DE">
            <w:pPr>
              <w:widowControl w:val="0"/>
              <w:adjustRightInd w:val="0"/>
              <w:snapToGrid w:val="0"/>
              <w:spacing w:line="276" w:lineRule="auto"/>
              <w:ind w:right="-82"/>
              <w:rPr>
                <w:b/>
                <w:color w:val="auto"/>
                <w:highlight w:val="none"/>
              </w:rPr>
            </w:pPr>
            <w:r>
              <w:rPr>
                <w:rFonts w:hint="eastAsia"/>
                <w:color w:val="auto"/>
                <w:highlight w:val="none"/>
              </w:rPr>
              <w:t>本项目不允许</w:t>
            </w:r>
            <w:r>
              <w:rPr>
                <w:color w:val="auto"/>
                <w:highlight w:val="none"/>
              </w:rPr>
              <w:t>采购进口产品</w:t>
            </w:r>
            <w:r>
              <w:rPr>
                <w:rFonts w:hint="eastAsia"/>
                <w:color w:val="auto"/>
                <w:highlight w:val="none"/>
              </w:rPr>
              <w:t>。</w:t>
            </w:r>
          </w:p>
        </w:tc>
      </w:tr>
      <w:tr w14:paraId="6BB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3448D01E">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6</w:t>
            </w:r>
          </w:p>
        </w:tc>
        <w:tc>
          <w:tcPr>
            <w:tcW w:w="2076" w:type="dxa"/>
            <w:vAlign w:val="center"/>
          </w:tcPr>
          <w:p w14:paraId="6864E5F7">
            <w:pPr>
              <w:widowControl w:val="0"/>
              <w:adjustRightInd w:val="0"/>
              <w:snapToGrid w:val="0"/>
              <w:spacing w:line="276" w:lineRule="auto"/>
              <w:jc w:val="center"/>
              <w:rPr>
                <w:color w:val="auto"/>
                <w:highlight w:val="none"/>
              </w:rPr>
            </w:pPr>
            <w:r>
              <w:rPr>
                <w:color w:val="auto"/>
                <w:highlight w:val="none"/>
              </w:rPr>
              <w:t>采购标的对应的中小企业划分标准所属行业</w:t>
            </w:r>
          </w:p>
        </w:tc>
        <w:tc>
          <w:tcPr>
            <w:tcW w:w="7035" w:type="dxa"/>
            <w:vAlign w:val="center"/>
          </w:tcPr>
          <w:p w14:paraId="01D7111F">
            <w:pPr>
              <w:snapToGrid w:val="0"/>
              <w:rPr>
                <w:color w:val="auto"/>
                <w:highlight w:val="none"/>
              </w:rPr>
            </w:pPr>
            <w:r>
              <w:rPr>
                <w:color w:val="auto"/>
                <w:highlight w:val="none"/>
              </w:rPr>
              <w:t>属于工信部【2011】300号文件规定的工业行业</w:t>
            </w:r>
          </w:p>
          <w:p w14:paraId="32B88451">
            <w:pPr>
              <w:widowControl w:val="0"/>
              <w:adjustRightInd w:val="0"/>
              <w:snapToGrid w:val="0"/>
              <w:spacing w:line="276" w:lineRule="auto"/>
              <w:ind w:right="-82"/>
              <w:rPr>
                <w:b/>
                <w:color w:val="auto"/>
                <w:highlight w:val="none"/>
              </w:rPr>
            </w:pPr>
            <w:r>
              <w:rPr>
                <w:rFonts w:hint="eastAsia"/>
                <w:color w:val="auto"/>
                <w:highlight w:val="none"/>
              </w:rPr>
              <w:t>（备注：现行中小企业划分标准行业包括农、林、牧、渔业，工业，建筑业，批发业，零售业，交通运输业，仓储业，邮政业，住宿业，餐饮业，信息传输业，软件和信息技术服务业，房地产开发经营，物业管理，租赁和商务服务业和其他未列明行业等十六类。）</w:t>
            </w:r>
          </w:p>
        </w:tc>
      </w:tr>
      <w:tr w14:paraId="5EF1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2D3B525A">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7</w:t>
            </w:r>
          </w:p>
        </w:tc>
        <w:tc>
          <w:tcPr>
            <w:tcW w:w="2076" w:type="dxa"/>
            <w:vAlign w:val="center"/>
          </w:tcPr>
          <w:p w14:paraId="57D304CF">
            <w:pPr>
              <w:widowControl w:val="0"/>
              <w:adjustRightInd w:val="0"/>
              <w:snapToGrid w:val="0"/>
              <w:spacing w:line="276" w:lineRule="auto"/>
              <w:jc w:val="center"/>
              <w:rPr>
                <w:color w:val="auto"/>
                <w:highlight w:val="none"/>
              </w:rPr>
            </w:pPr>
            <w:r>
              <w:rPr>
                <w:rFonts w:hint="eastAsia"/>
                <w:color w:val="auto"/>
                <w:highlight w:val="none"/>
              </w:rPr>
              <w:t>节能产品</w:t>
            </w:r>
          </w:p>
        </w:tc>
        <w:tc>
          <w:tcPr>
            <w:tcW w:w="7035" w:type="dxa"/>
            <w:vAlign w:val="center"/>
          </w:tcPr>
          <w:p w14:paraId="556C694A">
            <w:pPr>
              <w:widowControl w:val="0"/>
              <w:adjustRightInd w:val="0"/>
              <w:snapToGrid w:val="0"/>
              <w:spacing w:line="276" w:lineRule="auto"/>
              <w:ind w:right="-82"/>
              <w:rPr>
                <w:color w:val="auto"/>
                <w:highlight w:val="none"/>
              </w:rPr>
            </w:pPr>
            <w:r>
              <w:rPr>
                <w:rFonts w:ascii="Segoe UI Symbol" w:hAnsi="Segoe UI Symbol" w:cs="Segoe UI Symbol"/>
                <w:color w:val="auto"/>
                <w:highlight w:val="none"/>
              </w:rPr>
              <w:t>☐</w:t>
            </w:r>
            <w:r>
              <w:rPr>
                <w:rFonts w:hint="eastAsia"/>
                <w:color w:val="auto"/>
                <w:highlight w:val="none"/>
              </w:rPr>
              <w:t xml:space="preserve"> 强制采购节能产品</w:t>
            </w:r>
          </w:p>
          <w:p w14:paraId="3B1031E5">
            <w:pPr>
              <w:pStyle w:val="145"/>
              <w:widowControl w:val="0"/>
              <w:adjustRightInd w:val="0"/>
              <w:spacing w:line="276" w:lineRule="auto"/>
              <w:ind w:right="-82"/>
              <w:rPr>
                <w:rFonts w:hint="default" w:ascii="Times New Roman" w:hAnsi="Times New Roman"/>
                <w:color w:val="auto"/>
                <w:kern w:val="0"/>
                <w:sz w:val="24"/>
                <w:szCs w:val="24"/>
                <w:highlight w:val="none"/>
              </w:rPr>
            </w:pPr>
            <w:r>
              <w:rPr>
                <w:rFonts w:ascii="Segoe UI Symbol" w:hAnsi="Segoe UI Symbol" w:eastAsia="仿宋_GB2312" w:cs="Segoe UI Symbol"/>
                <w:color w:val="auto"/>
                <w:highlight w:val="none"/>
              </w:rPr>
              <w:t>☑</w:t>
            </w:r>
            <w:r>
              <w:rPr>
                <w:rFonts w:ascii="Times New Roman" w:hAnsi="Times New Roman"/>
                <w:color w:val="auto"/>
                <w:kern w:val="0"/>
                <w:sz w:val="24"/>
                <w:szCs w:val="24"/>
                <w:highlight w:val="none"/>
              </w:rPr>
              <w:t xml:space="preserve"> 优先采购节能产品</w:t>
            </w:r>
          </w:p>
          <w:p w14:paraId="7756FB40">
            <w:pPr>
              <w:widowControl w:val="0"/>
              <w:adjustRightInd w:val="0"/>
              <w:spacing w:line="276" w:lineRule="auto"/>
              <w:ind w:right="-82"/>
              <w:rPr>
                <w:color w:val="auto"/>
                <w:highlight w:val="none"/>
              </w:rPr>
            </w:pPr>
            <w:r>
              <w:rPr>
                <w:rFonts w:ascii="Segoe UI Symbol" w:hAnsi="Segoe UI Symbol" w:cs="Segoe UI Symbol"/>
                <w:color w:val="auto"/>
                <w:highlight w:val="none"/>
              </w:rPr>
              <w:t>☐</w:t>
            </w:r>
            <w:r>
              <w:rPr>
                <w:rFonts w:hint="eastAsia"/>
                <w:color w:val="auto"/>
                <w:highlight w:val="none"/>
              </w:rPr>
              <w:t xml:space="preserve"> 不适用</w:t>
            </w:r>
          </w:p>
        </w:tc>
      </w:tr>
      <w:tr w14:paraId="6C1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7A06FC86">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8</w:t>
            </w:r>
          </w:p>
        </w:tc>
        <w:tc>
          <w:tcPr>
            <w:tcW w:w="2076" w:type="dxa"/>
            <w:vAlign w:val="center"/>
          </w:tcPr>
          <w:p w14:paraId="7912AC58">
            <w:pPr>
              <w:widowControl w:val="0"/>
              <w:adjustRightInd w:val="0"/>
              <w:snapToGrid w:val="0"/>
              <w:spacing w:line="276" w:lineRule="auto"/>
              <w:jc w:val="center"/>
              <w:rPr>
                <w:color w:val="auto"/>
                <w:highlight w:val="none"/>
              </w:rPr>
            </w:pPr>
            <w:r>
              <w:rPr>
                <w:rFonts w:hint="eastAsia"/>
                <w:color w:val="auto"/>
                <w:highlight w:val="none"/>
              </w:rPr>
              <w:t>环境标志产品</w:t>
            </w:r>
          </w:p>
        </w:tc>
        <w:tc>
          <w:tcPr>
            <w:tcW w:w="7035" w:type="dxa"/>
            <w:vAlign w:val="center"/>
          </w:tcPr>
          <w:p w14:paraId="5C6A9BFC">
            <w:pPr>
              <w:widowControl w:val="0"/>
              <w:adjustRightInd w:val="0"/>
              <w:snapToGrid w:val="0"/>
              <w:spacing w:line="276" w:lineRule="auto"/>
              <w:ind w:right="-82"/>
              <w:rPr>
                <w:color w:val="auto"/>
                <w:highlight w:val="none"/>
              </w:rPr>
            </w:pPr>
            <w:r>
              <w:rPr>
                <w:rFonts w:ascii="Segoe UI Symbol" w:hAnsi="Segoe UI Symbol" w:eastAsia="仿宋_GB2312" w:cs="Segoe UI Symbol"/>
                <w:color w:val="auto"/>
                <w:highlight w:val="none"/>
              </w:rPr>
              <w:t>☑</w:t>
            </w:r>
            <w:r>
              <w:rPr>
                <w:rFonts w:hint="eastAsia"/>
                <w:color w:val="auto"/>
                <w:highlight w:val="none"/>
              </w:rPr>
              <w:t xml:space="preserve"> 优先采购环境标志产品</w:t>
            </w:r>
          </w:p>
          <w:p w14:paraId="00EF01AB">
            <w:pPr>
              <w:widowControl w:val="0"/>
              <w:adjustRightInd w:val="0"/>
              <w:snapToGrid w:val="0"/>
              <w:spacing w:line="276" w:lineRule="auto"/>
              <w:ind w:right="-82"/>
              <w:rPr>
                <w:color w:val="auto"/>
                <w:highlight w:val="none"/>
              </w:rPr>
            </w:pPr>
            <w:r>
              <w:rPr>
                <w:rFonts w:ascii="Segoe UI Symbol" w:hAnsi="Segoe UI Symbol" w:cs="Segoe UI Symbol"/>
                <w:color w:val="auto"/>
                <w:highlight w:val="none"/>
              </w:rPr>
              <w:t>☐</w:t>
            </w:r>
            <w:r>
              <w:rPr>
                <w:rFonts w:hint="eastAsia"/>
                <w:color w:val="auto"/>
                <w:highlight w:val="none"/>
              </w:rPr>
              <w:t>不适用</w:t>
            </w:r>
          </w:p>
        </w:tc>
      </w:tr>
      <w:tr w14:paraId="148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8EBB68E">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9</w:t>
            </w:r>
          </w:p>
        </w:tc>
        <w:tc>
          <w:tcPr>
            <w:tcW w:w="2076" w:type="dxa"/>
            <w:vAlign w:val="center"/>
          </w:tcPr>
          <w:p w14:paraId="25C736BC">
            <w:pPr>
              <w:widowControl w:val="0"/>
              <w:adjustRightInd w:val="0"/>
              <w:snapToGrid w:val="0"/>
              <w:spacing w:line="276" w:lineRule="auto"/>
              <w:jc w:val="center"/>
              <w:rPr>
                <w:color w:val="auto"/>
                <w:highlight w:val="none"/>
              </w:rPr>
            </w:pPr>
            <w:r>
              <w:rPr>
                <w:color w:val="auto"/>
                <w:highlight w:val="none"/>
              </w:rPr>
              <w:t>转包</w:t>
            </w:r>
          </w:p>
        </w:tc>
        <w:tc>
          <w:tcPr>
            <w:tcW w:w="7035" w:type="dxa"/>
            <w:vAlign w:val="center"/>
          </w:tcPr>
          <w:p w14:paraId="668B9945">
            <w:pPr>
              <w:snapToGrid w:val="0"/>
              <w:spacing w:line="276" w:lineRule="auto"/>
              <w:rPr>
                <w:color w:val="auto"/>
                <w:highlight w:val="none"/>
              </w:rPr>
            </w:pPr>
            <w:r>
              <w:rPr>
                <w:rFonts w:ascii="Segoe UI Symbol" w:hAnsi="Segoe UI Symbol" w:eastAsia="仿宋_GB2312" w:cs="Segoe UI Symbol"/>
                <w:color w:val="auto"/>
                <w:highlight w:val="none"/>
              </w:rPr>
              <w:t>☑</w:t>
            </w:r>
            <w:r>
              <w:rPr>
                <w:color w:val="auto"/>
                <w:highlight w:val="none"/>
              </w:rPr>
              <w:t xml:space="preserve"> 不同意转包。</w:t>
            </w:r>
          </w:p>
        </w:tc>
      </w:tr>
      <w:tr w14:paraId="1846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20E14936">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10</w:t>
            </w:r>
          </w:p>
        </w:tc>
        <w:tc>
          <w:tcPr>
            <w:tcW w:w="2076" w:type="dxa"/>
            <w:vAlign w:val="center"/>
          </w:tcPr>
          <w:p w14:paraId="7DC25AE1">
            <w:pPr>
              <w:widowControl w:val="0"/>
              <w:adjustRightInd w:val="0"/>
              <w:snapToGrid w:val="0"/>
              <w:spacing w:line="276" w:lineRule="auto"/>
              <w:jc w:val="center"/>
              <w:rPr>
                <w:color w:val="auto"/>
                <w:highlight w:val="none"/>
              </w:rPr>
            </w:pPr>
            <w:r>
              <w:rPr>
                <w:color w:val="auto"/>
                <w:highlight w:val="none"/>
              </w:rPr>
              <w:t>分包</w:t>
            </w:r>
          </w:p>
        </w:tc>
        <w:tc>
          <w:tcPr>
            <w:tcW w:w="7035" w:type="dxa"/>
            <w:vAlign w:val="center"/>
          </w:tcPr>
          <w:p w14:paraId="242567C5">
            <w:pPr>
              <w:snapToGrid w:val="0"/>
              <w:spacing w:line="276" w:lineRule="auto"/>
              <w:rPr>
                <w:color w:val="auto"/>
                <w:highlight w:val="none"/>
              </w:rPr>
            </w:pPr>
            <w:r>
              <w:rPr>
                <w:rFonts w:ascii="Segoe UI Symbol" w:hAnsi="Segoe UI Symbol" w:eastAsia="仿宋_GB2312" w:cs="Segoe UI Symbol"/>
                <w:color w:val="auto"/>
                <w:highlight w:val="none"/>
              </w:rPr>
              <w:t>☑</w:t>
            </w:r>
            <w:r>
              <w:rPr>
                <w:color w:val="auto"/>
                <w:highlight w:val="none"/>
              </w:rPr>
              <w:t>同意将非主体、非关键性的工作分包。</w:t>
            </w:r>
          </w:p>
          <w:p w14:paraId="4A0AB81F">
            <w:pPr>
              <w:snapToGrid w:val="0"/>
              <w:spacing w:line="276" w:lineRule="auto"/>
              <w:rPr>
                <w:color w:val="auto"/>
                <w:highlight w:val="none"/>
              </w:rPr>
            </w:pPr>
            <w:r>
              <w:rPr>
                <w:rFonts w:ascii="Segoe UI Symbol" w:hAnsi="Segoe UI Symbol" w:cs="Segoe UI Symbol"/>
                <w:color w:val="auto"/>
                <w:highlight w:val="none"/>
              </w:rPr>
              <w:t>☐</w:t>
            </w:r>
            <w:r>
              <w:rPr>
                <w:color w:val="auto"/>
                <w:highlight w:val="none"/>
              </w:rPr>
              <w:t xml:space="preserve"> 不同意分包。</w:t>
            </w:r>
          </w:p>
        </w:tc>
      </w:tr>
      <w:tr w14:paraId="6396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60375335">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11</w:t>
            </w:r>
          </w:p>
        </w:tc>
        <w:tc>
          <w:tcPr>
            <w:tcW w:w="2076" w:type="dxa"/>
            <w:vAlign w:val="center"/>
          </w:tcPr>
          <w:p w14:paraId="457FFE28">
            <w:pPr>
              <w:widowControl w:val="0"/>
              <w:adjustRightInd w:val="0"/>
              <w:snapToGrid w:val="0"/>
              <w:spacing w:line="276" w:lineRule="auto"/>
              <w:jc w:val="center"/>
              <w:rPr>
                <w:color w:val="auto"/>
                <w:highlight w:val="none"/>
              </w:rPr>
            </w:pPr>
            <w:r>
              <w:rPr>
                <w:color w:val="auto"/>
                <w:highlight w:val="none"/>
              </w:rPr>
              <w:t>开标前答疑会或现场考察</w:t>
            </w:r>
          </w:p>
        </w:tc>
        <w:tc>
          <w:tcPr>
            <w:tcW w:w="7035" w:type="dxa"/>
            <w:vAlign w:val="center"/>
          </w:tcPr>
          <w:p w14:paraId="5A461F91">
            <w:pPr>
              <w:spacing w:line="276" w:lineRule="auto"/>
              <w:rPr>
                <w:color w:val="auto"/>
                <w:highlight w:val="none"/>
              </w:rPr>
            </w:pPr>
            <w:r>
              <w:rPr>
                <w:rFonts w:ascii="Segoe UI Symbol" w:hAnsi="Segoe UI Symbol" w:eastAsia="仿宋_GB2312" w:cs="Segoe UI Symbol"/>
                <w:color w:val="auto"/>
                <w:highlight w:val="none"/>
              </w:rPr>
              <w:t>☑</w:t>
            </w:r>
            <w:r>
              <w:rPr>
                <w:color w:val="auto"/>
                <w:highlight w:val="none"/>
              </w:rPr>
              <w:t>不组织。</w:t>
            </w:r>
          </w:p>
          <w:p w14:paraId="4F35F21D">
            <w:pPr>
              <w:snapToGrid w:val="0"/>
              <w:spacing w:line="276" w:lineRule="auto"/>
              <w:rPr>
                <w:color w:val="auto"/>
                <w:highlight w:val="none"/>
              </w:rPr>
            </w:pPr>
            <w:r>
              <w:rPr>
                <w:rFonts w:ascii="Segoe UI Symbol" w:hAnsi="Segoe UI Symbol" w:cs="Segoe UI Symbol"/>
                <w:color w:val="auto"/>
                <w:highlight w:val="none"/>
              </w:rPr>
              <w:t>☐</w:t>
            </w:r>
            <w:r>
              <w:rPr>
                <w:color w:val="auto"/>
                <w:highlight w:val="none"/>
              </w:rPr>
              <w:t>组织，时间：</w:t>
            </w:r>
            <w:r>
              <w:rPr>
                <w:color w:val="auto"/>
                <w:highlight w:val="none"/>
                <w:u w:val="single"/>
              </w:rPr>
              <w:t xml:space="preserve">      </w:t>
            </w:r>
            <w:r>
              <w:rPr>
                <w:color w:val="auto"/>
                <w:highlight w:val="none"/>
              </w:rPr>
              <w:t>,地点：</w:t>
            </w:r>
            <w:r>
              <w:rPr>
                <w:color w:val="auto"/>
                <w:highlight w:val="none"/>
                <w:u w:val="single"/>
              </w:rPr>
              <w:t xml:space="preserve">      </w:t>
            </w:r>
            <w:r>
              <w:rPr>
                <w:color w:val="auto"/>
                <w:highlight w:val="none"/>
              </w:rPr>
              <w:t>，联系人：</w:t>
            </w:r>
            <w:r>
              <w:rPr>
                <w:color w:val="auto"/>
                <w:highlight w:val="none"/>
                <w:u w:val="single"/>
              </w:rPr>
              <w:t xml:space="preserve">      </w:t>
            </w:r>
            <w:r>
              <w:rPr>
                <w:color w:val="auto"/>
                <w:highlight w:val="none"/>
              </w:rPr>
              <w:t>，联系方式：</w:t>
            </w:r>
            <w:r>
              <w:rPr>
                <w:color w:val="auto"/>
                <w:highlight w:val="none"/>
                <w:u w:val="single"/>
              </w:rPr>
              <w:t xml:space="preserve">      </w:t>
            </w:r>
            <w:r>
              <w:rPr>
                <w:color w:val="auto"/>
                <w:highlight w:val="none"/>
              </w:rPr>
              <w:t>。</w:t>
            </w:r>
          </w:p>
        </w:tc>
      </w:tr>
      <w:tr w14:paraId="220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12580EB4">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12</w:t>
            </w:r>
          </w:p>
        </w:tc>
        <w:tc>
          <w:tcPr>
            <w:tcW w:w="2076" w:type="dxa"/>
            <w:vAlign w:val="center"/>
          </w:tcPr>
          <w:p w14:paraId="5738C929">
            <w:pPr>
              <w:widowControl w:val="0"/>
              <w:adjustRightInd w:val="0"/>
              <w:snapToGrid w:val="0"/>
              <w:spacing w:line="276" w:lineRule="auto"/>
              <w:jc w:val="center"/>
              <w:rPr>
                <w:color w:val="auto"/>
                <w:highlight w:val="none"/>
              </w:rPr>
            </w:pPr>
            <w:r>
              <w:rPr>
                <w:color w:val="auto"/>
                <w:highlight w:val="none"/>
              </w:rPr>
              <w:t>样品提供</w:t>
            </w:r>
          </w:p>
        </w:tc>
        <w:tc>
          <w:tcPr>
            <w:tcW w:w="7035" w:type="dxa"/>
            <w:vAlign w:val="center"/>
          </w:tcPr>
          <w:p w14:paraId="388A0575">
            <w:pPr>
              <w:spacing w:line="276" w:lineRule="auto"/>
              <w:rPr>
                <w:color w:val="auto"/>
                <w:highlight w:val="none"/>
              </w:rPr>
            </w:pPr>
            <w:r>
              <w:rPr>
                <w:rFonts w:ascii="Segoe UI Symbol" w:hAnsi="Segoe UI Symbol" w:eastAsia="仿宋_GB2312" w:cs="Segoe UI Symbol"/>
                <w:color w:val="auto"/>
                <w:highlight w:val="none"/>
              </w:rPr>
              <w:t>☑</w:t>
            </w:r>
            <w:r>
              <w:rPr>
                <w:color w:val="auto"/>
                <w:highlight w:val="none"/>
              </w:rPr>
              <w:t>不要求提供。</w:t>
            </w:r>
          </w:p>
        </w:tc>
      </w:tr>
      <w:tr w14:paraId="56DA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7C8ACAF7">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13</w:t>
            </w:r>
          </w:p>
        </w:tc>
        <w:tc>
          <w:tcPr>
            <w:tcW w:w="2076" w:type="dxa"/>
            <w:vAlign w:val="center"/>
          </w:tcPr>
          <w:p w14:paraId="739962EF">
            <w:pPr>
              <w:widowControl w:val="0"/>
              <w:adjustRightInd w:val="0"/>
              <w:snapToGrid w:val="0"/>
              <w:spacing w:line="276" w:lineRule="auto"/>
              <w:jc w:val="center"/>
              <w:rPr>
                <w:color w:val="auto"/>
                <w:highlight w:val="none"/>
              </w:rPr>
            </w:pPr>
            <w:r>
              <w:rPr>
                <w:color w:val="auto"/>
                <w:highlight w:val="none"/>
              </w:rPr>
              <w:t>方案讲解演示</w:t>
            </w:r>
          </w:p>
        </w:tc>
        <w:tc>
          <w:tcPr>
            <w:tcW w:w="7035" w:type="dxa"/>
            <w:vAlign w:val="center"/>
          </w:tcPr>
          <w:p w14:paraId="5E7558BE">
            <w:pPr>
              <w:spacing w:line="276" w:lineRule="auto"/>
              <w:rPr>
                <w:color w:val="auto"/>
                <w:highlight w:val="none"/>
              </w:rPr>
            </w:pPr>
            <w:r>
              <w:rPr>
                <w:rFonts w:ascii="Segoe UI Symbol" w:hAnsi="Segoe UI Symbol" w:eastAsia="仿宋_GB2312" w:cs="Segoe UI Symbol"/>
                <w:color w:val="auto"/>
                <w:highlight w:val="none"/>
              </w:rPr>
              <w:t>☑</w:t>
            </w:r>
            <w:r>
              <w:rPr>
                <w:rFonts w:hint="eastAsia"/>
                <w:color w:val="auto"/>
                <w:highlight w:val="none"/>
              </w:rPr>
              <w:t>不组织。</w:t>
            </w:r>
          </w:p>
        </w:tc>
      </w:tr>
      <w:tr w14:paraId="0924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1228B2EC">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ascii="Times New Roman" w:hAnsi="Times New Roman"/>
                <w:color w:val="auto"/>
                <w:highlight w:val="none"/>
              </w:rPr>
              <w:t>14</w:t>
            </w:r>
          </w:p>
        </w:tc>
        <w:tc>
          <w:tcPr>
            <w:tcW w:w="2076" w:type="dxa"/>
            <w:vAlign w:val="center"/>
          </w:tcPr>
          <w:p w14:paraId="3E64C327">
            <w:pPr>
              <w:snapToGrid w:val="0"/>
              <w:spacing w:line="276" w:lineRule="auto"/>
              <w:jc w:val="center"/>
              <w:rPr>
                <w:color w:val="auto"/>
                <w:highlight w:val="none"/>
              </w:rPr>
            </w:pPr>
            <w:r>
              <w:rPr>
                <w:color w:val="auto"/>
                <w:highlight w:val="none"/>
              </w:rPr>
              <w:t>政府采购优惠政策</w:t>
            </w:r>
          </w:p>
        </w:tc>
        <w:tc>
          <w:tcPr>
            <w:tcW w:w="7035" w:type="dxa"/>
            <w:vAlign w:val="center"/>
          </w:tcPr>
          <w:p w14:paraId="3A9F8A95">
            <w:pPr>
              <w:snapToGrid w:val="0"/>
              <w:spacing w:line="276" w:lineRule="auto"/>
              <w:rPr>
                <w:bCs/>
                <w:color w:val="auto"/>
                <w:highlight w:val="none"/>
              </w:rPr>
            </w:pPr>
            <w:r>
              <w:rPr>
                <w:bCs/>
                <w:color w:val="auto"/>
                <w:highlight w:val="none"/>
              </w:rPr>
              <w:t>（1）根据财政部、发展改革委、生态环境部等部门发布的节能产品品目清单（财库〔2019〕19号）且提供国家确定的认证机构出具的、处于有效期之内的节能产品认证证书的，在技术资信评分时给予相应分值。</w:t>
            </w:r>
          </w:p>
          <w:p w14:paraId="159440AF">
            <w:pPr>
              <w:snapToGrid w:val="0"/>
              <w:spacing w:line="276" w:lineRule="auto"/>
              <w:rPr>
                <w:bCs/>
                <w:color w:val="auto"/>
                <w:highlight w:val="none"/>
              </w:rPr>
            </w:pPr>
            <w:r>
              <w:rPr>
                <w:bCs/>
                <w:color w:val="auto"/>
                <w:highlight w:val="none"/>
              </w:rPr>
              <w:t>（2）根据财政部、发展改革委、生态环境部等部门发布的节能产品品目清单（财库〔2019〕19号）且提供国家确定的认证机构出具的、处于有效期之内的环境标志产品认证证书的，在技术资信评分时给予相应分值。</w:t>
            </w:r>
          </w:p>
          <w:p w14:paraId="73824925">
            <w:pPr>
              <w:snapToGrid w:val="0"/>
              <w:spacing w:line="276" w:lineRule="auto"/>
              <w:rPr>
                <w:color w:val="auto"/>
                <w:highlight w:val="none"/>
              </w:rPr>
            </w:pPr>
            <w:r>
              <w:rPr>
                <w:bCs/>
                <w:color w:val="auto"/>
                <w:highlight w:val="none"/>
              </w:rPr>
              <w:t>（3）根据财库[2020]46 号文件《政府采购促进中小企业发展管理办法》和财库[2022]19号文件《关于进一步加大政府采购支持中小企业力度的通知》的要求，对小型和微型企业的价格给予10%扣除，用扣除后的价格参与评审（需主动提供小微企业声明函，否则不予扣），</w:t>
            </w:r>
            <w:r>
              <w:rPr>
                <w:color w:val="auto"/>
                <w:highlight w:val="none"/>
              </w:rPr>
              <w:t>对于联合协议或者分包意向协议约定小微企业的合同份额占到合同总金额30%以上的，评审优惠幅度为6%</w:t>
            </w:r>
            <w:r>
              <w:rPr>
                <w:bCs/>
                <w:color w:val="auto"/>
                <w:highlight w:val="none"/>
              </w:rPr>
              <w:t>。</w:t>
            </w:r>
            <w:r>
              <w:rPr>
                <w:rFonts w:hint="eastAsia"/>
                <w:bCs/>
                <w:color w:val="auto"/>
                <w:highlight w:val="none"/>
              </w:rPr>
              <w:t>组成联合体或者接受分包的小微企业与联合体内其他企业、分包企业之间存在直接控 股、管理关系的，不享受价格扣除优惠政策。</w:t>
            </w:r>
            <w:r>
              <w:rPr>
                <w:bCs/>
                <w:color w:val="auto"/>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color w:val="auto"/>
                <w:highlight w:val="none"/>
              </w:rPr>
              <w:t>政府采购工程的价格评审优惠按照财库〔2020〕46号文件的规定执行。（备注：专门面向中小企业采购的项目，不再执行价格评审优惠的扶持政策）</w:t>
            </w:r>
          </w:p>
          <w:p w14:paraId="683D0CE5">
            <w:pPr>
              <w:snapToGrid w:val="0"/>
              <w:spacing w:line="276" w:lineRule="auto"/>
              <w:rPr>
                <w:bCs/>
                <w:color w:val="auto"/>
                <w:highlight w:val="none"/>
              </w:rPr>
            </w:pPr>
            <w:r>
              <w:rPr>
                <w:bCs/>
                <w:color w:val="auto"/>
                <w:highlight w:val="none"/>
              </w:rPr>
              <w:t>（4）支持创新发展。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tc>
      </w:tr>
      <w:tr w14:paraId="4DEB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5D6DA0C3">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15</w:t>
            </w:r>
          </w:p>
        </w:tc>
        <w:tc>
          <w:tcPr>
            <w:tcW w:w="2076" w:type="dxa"/>
            <w:vAlign w:val="center"/>
          </w:tcPr>
          <w:p w14:paraId="51BD3693">
            <w:pPr>
              <w:snapToGrid w:val="0"/>
              <w:spacing w:line="276" w:lineRule="auto"/>
              <w:jc w:val="center"/>
              <w:rPr>
                <w:color w:val="auto"/>
                <w:highlight w:val="none"/>
              </w:rPr>
            </w:pPr>
            <w:r>
              <w:rPr>
                <w:rFonts w:hint="eastAsia"/>
                <w:color w:val="auto"/>
                <w:highlight w:val="none"/>
              </w:rPr>
              <w:t>信用查询</w:t>
            </w:r>
          </w:p>
        </w:tc>
        <w:tc>
          <w:tcPr>
            <w:tcW w:w="7035" w:type="dxa"/>
            <w:vAlign w:val="center"/>
          </w:tcPr>
          <w:p w14:paraId="62E38828">
            <w:pPr>
              <w:snapToGrid w:val="0"/>
              <w:spacing w:line="276" w:lineRule="auto"/>
              <w:rPr>
                <w:bCs/>
                <w:color w:val="auto"/>
                <w:highlight w:val="none"/>
              </w:rPr>
            </w:pPr>
            <w:r>
              <w:rPr>
                <w:color w:val="auto"/>
                <w:highlight w:val="none"/>
              </w:rPr>
              <w:t>截至投标截止时间前1个工作日17:00（北京时间），投标人未被列入“信用中国”网(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color w:val="auto"/>
                <w:highlight w:val="none"/>
              </w:rPr>
              <w:t>)和“中国政府采购网”（www.ccgp.gov.cn）失信被执行人、重大税收违法案件当事人名单、政府采购严重违法失信行为记录名单的</w:t>
            </w:r>
            <w:r>
              <w:rPr>
                <w:rFonts w:hint="eastAsia"/>
                <w:color w:val="auto"/>
                <w:highlight w:val="none"/>
              </w:rPr>
              <w:t>。</w:t>
            </w:r>
            <w:r>
              <w:rPr>
                <w:color w:val="auto"/>
                <w:highlight w:val="none"/>
              </w:rPr>
              <w:t>（由招标代理机构将查询网页打印保存</w:t>
            </w:r>
            <w:r>
              <w:rPr>
                <w:rFonts w:hint="eastAsia"/>
                <w:color w:val="auto"/>
                <w:highlight w:val="none"/>
              </w:rPr>
              <w:t>；</w:t>
            </w:r>
            <w:r>
              <w:rPr>
                <w:rFonts w:hint="eastAsia" w:ascii="宋体"/>
                <w:color w:val="auto"/>
                <w:highlight w:val="none"/>
              </w:rPr>
              <w:t>联合体成员任意一方存在不良信用记录的，视同联合体存在不良信用记录</w:t>
            </w:r>
            <w:r>
              <w:rPr>
                <w:rFonts w:hint="eastAsia"/>
                <w:color w:val="auto"/>
                <w:highlight w:val="none"/>
              </w:rPr>
              <w:t>）。</w:t>
            </w:r>
          </w:p>
        </w:tc>
      </w:tr>
      <w:tr w14:paraId="4CF4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5761738B">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16</w:t>
            </w:r>
          </w:p>
        </w:tc>
        <w:tc>
          <w:tcPr>
            <w:tcW w:w="2076" w:type="dxa"/>
            <w:vAlign w:val="center"/>
          </w:tcPr>
          <w:p w14:paraId="509A6FF1">
            <w:pPr>
              <w:snapToGrid w:val="0"/>
              <w:spacing w:line="276" w:lineRule="auto"/>
              <w:jc w:val="center"/>
              <w:rPr>
                <w:color w:val="auto"/>
                <w:highlight w:val="none"/>
              </w:rPr>
            </w:pPr>
            <w:r>
              <w:rPr>
                <w:color w:val="auto"/>
                <w:kern w:val="2"/>
                <w:highlight w:val="none"/>
              </w:rPr>
              <w:t>电子招投标的说明</w:t>
            </w:r>
          </w:p>
        </w:tc>
        <w:tc>
          <w:tcPr>
            <w:tcW w:w="7035" w:type="dxa"/>
            <w:vAlign w:val="center"/>
          </w:tcPr>
          <w:p w14:paraId="4FC53F3A">
            <w:pPr>
              <w:rPr>
                <w:color w:val="auto"/>
                <w:kern w:val="2"/>
                <w:highlight w:val="none"/>
              </w:rPr>
            </w:pPr>
            <w:r>
              <w:rPr>
                <w:color w:val="auto"/>
                <w:kern w:val="2"/>
                <w:highlight w:val="none"/>
              </w:rPr>
              <w:t>1.</w:t>
            </w:r>
            <w:r>
              <w:rPr>
                <w:rFonts w:hint="eastAsia" w:ascii="宋体" w:hAnsi="宋体" w:cs="宋体"/>
                <w:snapToGrid w:val="0"/>
                <w:color w:val="auto"/>
                <w:highlight w:val="none"/>
              </w:rPr>
              <w:t>本项目通过“政府采购云平台（www.zcygov.cn）”实行在线投标响应（电子投标）</w:t>
            </w:r>
            <w:r>
              <w:rPr>
                <w:color w:val="auto"/>
                <w:kern w:val="2"/>
                <w:highlight w:val="none"/>
              </w:rPr>
              <w:t>，不接受纸质投标文件</w:t>
            </w:r>
            <w:r>
              <w:rPr>
                <w:rFonts w:hint="eastAsia"/>
                <w:color w:val="auto"/>
                <w:kern w:val="2"/>
                <w:highlight w:val="none"/>
              </w:rPr>
              <w:t>。</w:t>
            </w:r>
          </w:p>
          <w:p w14:paraId="5D176345">
            <w:pPr>
              <w:rPr>
                <w:color w:val="auto"/>
                <w:kern w:val="2"/>
                <w:highlight w:val="none"/>
              </w:rPr>
            </w:pPr>
            <w:r>
              <w:rPr>
                <w:color w:val="auto"/>
                <w:kern w:val="2"/>
                <w:highlight w:val="none"/>
              </w:rPr>
              <w:t>2.</w:t>
            </w:r>
            <w:r>
              <w:rPr>
                <w:rFonts w:hint="eastAsia" w:ascii="宋体" w:hAnsi="宋体" w:cs="宋体"/>
                <w:snapToGrid w:val="0"/>
                <w:color w:val="auto"/>
                <w:highlight w:val="none"/>
              </w:rPr>
              <w:t>电子投标文件是指通过“政采云电子交易客户端”完成投标文件编制后生成并加密的数据电文形式的电子加密投标文件。投标人应先安装“政采云电子交易客户端”，并按照本招标文件和“政府采购云平台”的要求，通过“政采云电子交易客户端”编制并加密投标文件。</w:t>
            </w:r>
            <w:r>
              <w:rPr>
                <w:color w:val="auto"/>
                <w:kern w:val="2"/>
                <w:highlight w:val="none"/>
              </w:rPr>
              <w:t>具体操作指南：详见政采云平台“服务中心-帮助文档-项目采购-操作流程-电子招投标-政府采购项目电子交易管理操作指南-供应商”。</w:t>
            </w:r>
          </w:p>
          <w:p w14:paraId="654827AE">
            <w:pPr>
              <w:pStyle w:val="42"/>
              <w:ind w:left="0" w:leftChars="0" w:firstLine="0" w:firstLineChars="0"/>
              <w:rPr>
                <w:color w:val="auto"/>
                <w:highlight w:val="none"/>
              </w:rPr>
            </w:pPr>
            <w:r>
              <w:rPr>
                <w:rFonts w:hint="eastAsia"/>
                <w:color w:val="auto"/>
                <w:highlight w:val="none"/>
              </w:rPr>
              <w:t>3.</w:t>
            </w:r>
            <w:r>
              <w:rPr>
                <w:color w:val="auto"/>
                <w:highlight w:val="none"/>
              </w:rPr>
              <w:t xml:space="preserve"> 投标人在电子交易平台传输递交投标文件后，可自行选择</w:t>
            </w:r>
            <w:r>
              <w:rPr>
                <w:rFonts w:hint="eastAsia"/>
                <w:color w:val="auto"/>
                <w:highlight w:val="none"/>
              </w:rPr>
              <w:t>是否递交备份电子投标文件</w:t>
            </w:r>
            <w:r>
              <w:rPr>
                <w:color w:val="auto"/>
                <w:highlight w:val="none"/>
              </w:rPr>
              <w:t>。</w:t>
            </w:r>
            <w:r>
              <w:rPr>
                <w:color w:val="auto"/>
                <w:kern w:val="2"/>
                <w:highlight w:val="none"/>
              </w:rPr>
              <w:t>“电子备份投标文件”为非强制性要求，但如遇投标人未按时解密成功且未提供“电子备份投标文件”的，作投标无效处理，后果由投标人自负。</w:t>
            </w:r>
          </w:p>
          <w:p w14:paraId="1C272158">
            <w:pPr>
              <w:pStyle w:val="42"/>
              <w:ind w:left="0" w:leftChars="0" w:firstLine="0" w:firstLineChars="0"/>
              <w:rPr>
                <w:color w:val="auto"/>
                <w:highlight w:val="none"/>
              </w:rPr>
            </w:pPr>
            <w:r>
              <w:rPr>
                <w:color w:val="auto"/>
                <w:kern w:val="2"/>
                <w:highlight w:val="none"/>
              </w:rPr>
              <w:t>备</w:t>
            </w:r>
            <w:r>
              <w:rPr>
                <w:color w:val="auto"/>
                <w:highlight w:val="none"/>
              </w:rPr>
              <w:t>份</w:t>
            </w:r>
            <w:r>
              <w:rPr>
                <w:rFonts w:hint="eastAsia"/>
                <w:color w:val="auto"/>
                <w:highlight w:val="none"/>
              </w:rPr>
              <w:t>投标</w:t>
            </w:r>
            <w:r>
              <w:rPr>
                <w:color w:val="auto"/>
                <w:highlight w:val="none"/>
              </w:rPr>
              <w:t>文件</w:t>
            </w:r>
            <w:r>
              <w:rPr>
                <w:rFonts w:hint="eastAsia"/>
                <w:color w:val="auto"/>
                <w:highlight w:val="none"/>
              </w:rPr>
              <w:t>发送</w:t>
            </w:r>
            <w:r>
              <w:rPr>
                <w:color w:val="auto"/>
                <w:highlight w:val="none"/>
              </w:rPr>
              <w:t>截止时间：与</w:t>
            </w:r>
            <w:r>
              <w:rPr>
                <w:rFonts w:hint="eastAsia"/>
                <w:color w:val="auto"/>
                <w:highlight w:val="none"/>
              </w:rPr>
              <w:t>投标文件递交截止</w:t>
            </w:r>
            <w:r>
              <w:rPr>
                <w:color w:val="auto"/>
                <w:highlight w:val="none"/>
              </w:rPr>
              <w:t>时间一致</w:t>
            </w:r>
          </w:p>
          <w:p w14:paraId="2436EC5C">
            <w:pPr>
              <w:pStyle w:val="42"/>
              <w:ind w:left="0" w:leftChars="0" w:firstLine="0" w:firstLineChars="0"/>
              <w:rPr>
                <w:color w:val="auto"/>
                <w:highlight w:val="none"/>
              </w:rPr>
            </w:pPr>
            <w:r>
              <w:rPr>
                <w:color w:val="auto"/>
                <w:highlight w:val="none"/>
              </w:rPr>
              <w:t>备份</w:t>
            </w:r>
            <w:r>
              <w:rPr>
                <w:rFonts w:hint="eastAsia"/>
                <w:color w:val="auto"/>
                <w:highlight w:val="none"/>
              </w:rPr>
              <w:t>投标</w:t>
            </w:r>
            <w:r>
              <w:rPr>
                <w:color w:val="auto"/>
                <w:highlight w:val="none"/>
              </w:rPr>
              <w:t>文件</w:t>
            </w:r>
            <w:r>
              <w:rPr>
                <w:rFonts w:hint="eastAsia"/>
                <w:color w:val="auto"/>
                <w:highlight w:val="none"/>
              </w:rPr>
              <w:t>递交方式</w:t>
            </w:r>
            <w:r>
              <w:rPr>
                <w:color w:val="auto"/>
                <w:highlight w:val="none"/>
              </w:rPr>
              <w:t>：</w:t>
            </w:r>
            <w:r>
              <w:rPr>
                <w:rFonts w:hint="eastAsia"/>
                <w:color w:val="auto"/>
                <w:highlight w:val="none"/>
              </w:rPr>
              <w:t>电子文件加密后邮件发送至代理公司邮箱（</w:t>
            </w:r>
            <w:r>
              <w:rPr>
                <w:color w:val="auto"/>
                <w:highlight w:val="none"/>
              </w:rPr>
              <w:fldChar w:fldCharType="begin"/>
            </w:r>
            <w:r>
              <w:rPr>
                <w:color w:val="auto"/>
                <w:highlight w:val="none"/>
              </w:rPr>
              <w:instrText xml:space="preserve"> HYPERLINK "mailto:jhygzb@qq.com" </w:instrText>
            </w:r>
            <w:r>
              <w:rPr>
                <w:color w:val="auto"/>
                <w:highlight w:val="none"/>
              </w:rPr>
              <w:fldChar w:fldCharType="separate"/>
            </w:r>
            <w:r>
              <w:rPr>
                <w:rFonts w:hint="eastAsia"/>
                <w:color w:val="auto"/>
                <w:highlight w:val="none"/>
              </w:rPr>
              <w:t>j</w:t>
            </w:r>
            <w:r>
              <w:rPr>
                <w:color w:val="auto"/>
                <w:highlight w:val="none"/>
              </w:rPr>
              <w:t>hygzb</w:t>
            </w:r>
            <w:r>
              <w:rPr>
                <w:rFonts w:hint="eastAsia"/>
                <w:color w:val="auto"/>
                <w:highlight w:val="none"/>
              </w:rPr>
              <w:t>@</w:t>
            </w:r>
            <w:r>
              <w:rPr>
                <w:color w:val="auto"/>
                <w:highlight w:val="none"/>
              </w:rPr>
              <w:t>qq.com</w:t>
            </w:r>
            <w:r>
              <w:rPr>
                <w:color w:val="auto"/>
                <w:highlight w:val="none"/>
              </w:rPr>
              <w:fldChar w:fldCharType="end"/>
            </w:r>
            <w:r>
              <w:rPr>
                <w:rFonts w:hint="eastAsia"/>
                <w:color w:val="auto"/>
                <w:highlight w:val="none"/>
              </w:rPr>
              <w:t>）。</w:t>
            </w:r>
          </w:p>
          <w:p w14:paraId="6A165285">
            <w:pPr>
              <w:pStyle w:val="42"/>
              <w:ind w:left="0" w:leftChars="0" w:firstLine="0" w:firstLineChars="0"/>
              <w:rPr>
                <w:color w:val="auto"/>
                <w:highlight w:val="none"/>
              </w:rPr>
            </w:pPr>
            <w:r>
              <w:rPr>
                <w:rFonts w:hint="eastAsia"/>
                <w:color w:val="auto"/>
                <w:highlight w:val="none"/>
              </w:rPr>
              <w:t>不符合上述制作、递交时间及递交方式的备份投标文件将被视为无效的</w:t>
            </w:r>
            <w:r>
              <w:rPr>
                <w:color w:val="auto"/>
                <w:highlight w:val="none"/>
              </w:rPr>
              <w:t>备份</w:t>
            </w:r>
            <w:r>
              <w:rPr>
                <w:rFonts w:hint="eastAsia"/>
                <w:color w:val="auto"/>
                <w:highlight w:val="none"/>
              </w:rPr>
              <w:t>投标</w:t>
            </w:r>
            <w:r>
              <w:rPr>
                <w:color w:val="auto"/>
                <w:highlight w:val="none"/>
              </w:rPr>
              <w:t>文件</w:t>
            </w:r>
            <w:r>
              <w:rPr>
                <w:rFonts w:hint="eastAsia"/>
                <w:color w:val="auto"/>
                <w:highlight w:val="none"/>
              </w:rPr>
              <w:t>。</w:t>
            </w:r>
          </w:p>
          <w:p w14:paraId="7568B4FF">
            <w:pPr>
              <w:snapToGrid w:val="0"/>
              <w:spacing w:line="276" w:lineRule="auto"/>
              <w:rPr>
                <w:color w:val="auto"/>
                <w:highlight w:val="none"/>
              </w:rPr>
            </w:pPr>
            <w:r>
              <w:rPr>
                <w:rFonts w:hint="eastAsia"/>
                <w:color w:val="auto"/>
                <w:highlight w:val="none"/>
              </w:rPr>
              <w:t>4.</w:t>
            </w:r>
            <w:r>
              <w:rPr>
                <w:color w:val="auto"/>
                <w:highlight w:val="none"/>
              </w:rPr>
              <w:t>若对项目采购电子交易系统</w:t>
            </w:r>
            <w:r>
              <w:rPr>
                <w:color w:val="auto"/>
                <w:kern w:val="2"/>
                <w:highlight w:val="none"/>
              </w:rPr>
              <w:t>操作有疑问，可登录政采云（https://www.zcygov.cn/），点击右侧咨询小采，获取采小蜜智能服务管家帮助，或拨打政采云服务热线95763获取热线服务帮助。CA问题联系电话（人工）：汇信CA 400-888-4636；天谷CA 400-087-8198。</w:t>
            </w:r>
          </w:p>
        </w:tc>
      </w:tr>
      <w:tr w14:paraId="5031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vAlign w:val="center"/>
          </w:tcPr>
          <w:p w14:paraId="5A952D83">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17</w:t>
            </w:r>
          </w:p>
        </w:tc>
        <w:tc>
          <w:tcPr>
            <w:tcW w:w="2076" w:type="dxa"/>
            <w:vAlign w:val="center"/>
          </w:tcPr>
          <w:p w14:paraId="27FFE48A">
            <w:pPr>
              <w:widowControl w:val="0"/>
              <w:adjustRightInd w:val="0"/>
              <w:snapToGrid w:val="0"/>
              <w:spacing w:line="276" w:lineRule="auto"/>
              <w:jc w:val="center"/>
              <w:rPr>
                <w:color w:val="auto"/>
                <w:highlight w:val="none"/>
              </w:rPr>
            </w:pPr>
            <w:r>
              <w:rPr>
                <w:color w:val="auto"/>
                <w:highlight w:val="none"/>
              </w:rPr>
              <w:t>中小企业信用融资</w:t>
            </w:r>
          </w:p>
        </w:tc>
        <w:tc>
          <w:tcPr>
            <w:tcW w:w="7035" w:type="dxa"/>
            <w:vAlign w:val="center"/>
          </w:tcPr>
          <w:p w14:paraId="1EEF55D4">
            <w:pPr>
              <w:autoSpaceDE w:val="0"/>
              <w:autoSpaceDN w:val="0"/>
              <w:adjustRightInd w:val="0"/>
              <w:spacing w:line="276" w:lineRule="auto"/>
              <w:rPr>
                <w:color w:val="auto"/>
                <w:highlight w:val="none"/>
              </w:rPr>
            </w:pPr>
            <w:r>
              <w:rPr>
                <w:color w:val="auto"/>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5EBC7BBB">
            <w:pPr>
              <w:autoSpaceDE w:val="0"/>
              <w:autoSpaceDN w:val="0"/>
              <w:adjustRightInd w:val="0"/>
              <w:spacing w:line="276" w:lineRule="auto"/>
              <w:rPr>
                <w:color w:val="auto"/>
                <w:highlight w:val="none"/>
              </w:rPr>
            </w:pPr>
            <w:r>
              <w:rPr>
                <w:color w:val="auto"/>
                <w:highlight w:val="none"/>
              </w:rPr>
              <w:t>为扩大政府采购金融服务面，除政采云网上金融服务合作银行外，金华市范围增加线下合作银行两家，具体信息如下：</w:t>
            </w:r>
          </w:p>
          <w:p w14:paraId="7FE3AD57">
            <w:pPr>
              <w:autoSpaceDE w:val="0"/>
              <w:autoSpaceDN w:val="0"/>
              <w:adjustRightInd w:val="0"/>
              <w:spacing w:line="276" w:lineRule="auto"/>
              <w:rPr>
                <w:color w:val="auto"/>
                <w:highlight w:val="none"/>
              </w:rPr>
            </w:pPr>
            <w:r>
              <w:rPr>
                <w:color w:val="auto"/>
                <w:highlight w:val="none"/>
              </w:rPr>
              <w:t>金华银行文创支行  联系人：</w:t>
            </w:r>
            <w:r>
              <w:rPr>
                <w:rFonts w:hint="eastAsia"/>
                <w:color w:val="auto"/>
                <w:highlight w:val="none"/>
              </w:rPr>
              <w:t>姜峰</w:t>
            </w:r>
          </w:p>
          <w:p w14:paraId="5C7DDED6">
            <w:pPr>
              <w:autoSpaceDE w:val="0"/>
              <w:autoSpaceDN w:val="0"/>
              <w:adjustRightInd w:val="0"/>
              <w:spacing w:line="276" w:lineRule="auto"/>
              <w:rPr>
                <w:color w:val="auto"/>
                <w:highlight w:val="none"/>
              </w:rPr>
            </w:pPr>
            <w:r>
              <w:rPr>
                <w:color w:val="auto"/>
                <w:highlight w:val="none"/>
              </w:rPr>
              <w:t>联系电话：</w:t>
            </w:r>
            <w:r>
              <w:rPr>
                <w:rFonts w:hint="eastAsia"/>
                <w:color w:val="auto"/>
                <w:highlight w:val="none"/>
              </w:rPr>
              <w:t>13905792828</w:t>
            </w:r>
            <w:r>
              <w:rPr>
                <w:color w:val="auto"/>
                <w:highlight w:val="none"/>
              </w:rPr>
              <w:t xml:space="preserve">   0579-82479020</w:t>
            </w:r>
          </w:p>
          <w:p w14:paraId="63DA97E0">
            <w:pPr>
              <w:autoSpaceDE w:val="0"/>
              <w:autoSpaceDN w:val="0"/>
              <w:adjustRightInd w:val="0"/>
              <w:spacing w:line="276" w:lineRule="auto"/>
              <w:rPr>
                <w:color w:val="auto"/>
                <w:highlight w:val="none"/>
              </w:rPr>
            </w:pPr>
            <w:r>
              <w:rPr>
                <w:color w:val="auto"/>
                <w:highlight w:val="none"/>
              </w:rPr>
              <w:t xml:space="preserve">浙商银行金华分行   联系人：朱晨祥 </w:t>
            </w:r>
          </w:p>
          <w:p w14:paraId="540147F0">
            <w:pPr>
              <w:autoSpaceDE w:val="0"/>
              <w:autoSpaceDN w:val="0"/>
              <w:adjustRightInd w:val="0"/>
              <w:spacing w:line="276" w:lineRule="auto"/>
              <w:rPr>
                <w:color w:val="auto"/>
                <w:highlight w:val="none"/>
              </w:rPr>
            </w:pPr>
            <w:r>
              <w:rPr>
                <w:color w:val="auto"/>
                <w:highlight w:val="none"/>
              </w:rPr>
              <w:t>联系电话：15857978811    0579-82999581</w:t>
            </w:r>
          </w:p>
        </w:tc>
      </w:tr>
      <w:tr w14:paraId="43AC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vAlign w:val="center"/>
          </w:tcPr>
          <w:p w14:paraId="1A07CC8C">
            <w:pPr>
              <w:pStyle w:val="24"/>
              <w:widowControl w:val="0"/>
              <w:adjustRightInd w:val="0"/>
              <w:snapToGrid w:val="0"/>
              <w:spacing w:before="120" w:beforeLines="50" w:after="120" w:afterLines="50" w:line="276" w:lineRule="auto"/>
              <w:jc w:val="center"/>
              <w:rPr>
                <w:rFonts w:ascii="Times New Roman" w:hAnsi="Times New Roman"/>
                <w:color w:val="auto"/>
                <w:highlight w:val="none"/>
              </w:rPr>
            </w:pPr>
            <w:r>
              <w:rPr>
                <w:rFonts w:hint="eastAsia" w:ascii="Times New Roman" w:hAnsi="Times New Roman"/>
                <w:color w:val="auto"/>
                <w:highlight w:val="none"/>
              </w:rPr>
              <w:t>18</w:t>
            </w:r>
          </w:p>
        </w:tc>
        <w:tc>
          <w:tcPr>
            <w:tcW w:w="2076" w:type="dxa"/>
            <w:vAlign w:val="center"/>
          </w:tcPr>
          <w:p w14:paraId="383EC757">
            <w:pPr>
              <w:widowControl w:val="0"/>
              <w:adjustRightInd w:val="0"/>
              <w:snapToGrid w:val="0"/>
              <w:spacing w:line="276" w:lineRule="auto"/>
              <w:jc w:val="center"/>
              <w:rPr>
                <w:color w:val="auto"/>
                <w:highlight w:val="none"/>
              </w:rPr>
            </w:pPr>
            <w:r>
              <w:rPr>
                <w:color w:val="auto"/>
                <w:highlight w:val="none"/>
              </w:rPr>
              <w:t>特别说明</w:t>
            </w:r>
          </w:p>
        </w:tc>
        <w:tc>
          <w:tcPr>
            <w:tcW w:w="7035" w:type="dxa"/>
            <w:vAlign w:val="center"/>
          </w:tcPr>
          <w:p w14:paraId="5B721C16">
            <w:pPr>
              <w:widowControl w:val="0"/>
              <w:adjustRightInd w:val="0"/>
              <w:snapToGrid w:val="0"/>
              <w:spacing w:line="276" w:lineRule="auto"/>
              <w:rPr>
                <w:color w:val="auto"/>
                <w:highlight w:val="none"/>
              </w:rPr>
            </w:pPr>
            <w:r>
              <w:rPr>
                <w:color w:val="auto"/>
                <w:highlight w:val="none"/>
              </w:rPr>
              <w:t>当招标文件中的内容与前附表规定不一致时，以前附表规定为准。</w:t>
            </w:r>
          </w:p>
        </w:tc>
      </w:tr>
    </w:tbl>
    <w:p w14:paraId="466FD72B">
      <w:pPr>
        <w:spacing w:line="360" w:lineRule="auto"/>
        <w:rPr>
          <w:rFonts w:hint="eastAsia" w:ascii="宋体" w:hAnsi="宋体"/>
          <w:color w:val="auto"/>
          <w:highlight w:val="none"/>
        </w:rPr>
        <w:sectPr>
          <w:pgSz w:w="11906" w:h="16838"/>
          <w:pgMar w:top="1258" w:right="1286" w:bottom="1361" w:left="1620" w:header="709" w:footer="971" w:gutter="0"/>
          <w:cols w:space="720" w:num="1"/>
          <w:docGrid w:linePitch="360" w:charSpace="0"/>
        </w:sectPr>
      </w:pPr>
    </w:p>
    <w:p w14:paraId="4B9E7226">
      <w:pPr>
        <w:pStyle w:val="3"/>
        <w:spacing w:before="120" w:after="240" w:line="240" w:lineRule="auto"/>
        <w:jc w:val="center"/>
        <w:rPr>
          <w:rFonts w:hint="eastAsia" w:ascii="宋体" w:hAnsi="宋体"/>
          <w:color w:val="auto"/>
          <w:highlight w:val="none"/>
        </w:rPr>
      </w:pPr>
      <w:bookmarkStart w:id="46" w:name="_Toc93668161"/>
      <w:r>
        <w:rPr>
          <w:rFonts w:hint="eastAsia" w:ascii="宋体" w:hAnsi="宋体"/>
          <w:color w:val="auto"/>
          <w:highlight w:val="none"/>
        </w:rPr>
        <w:t xml:space="preserve">第三章 </w:t>
      </w:r>
      <w:r>
        <w:rPr>
          <w:rFonts w:ascii="宋体" w:hAnsi="宋体"/>
          <w:color w:val="auto"/>
          <w:highlight w:val="none"/>
        </w:rPr>
        <w:t xml:space="preserve"> 项目技术规范和要求</w:t>
      </w:r>
      <w:bookmarkEnd w:id="46"/>
    </w:p>
    <w:p w14:paraId="188DFA5E">
      <w:pPr>
        <w:spacing w:line="360" w:lineRule="auto"/>
        <w:rPr>
          <w:b/>
          <w:bCs/>
          <w:color w:val="auto"/>
          <w:highlight w:val="none"/>
        </w:rPr>
      </w:pPr>
      <w:r>
        <w:rPr>
          <w:b/>
          <w:bCs/>
          <w:color w:val="auto"/>
          <w:highlight w:val="none"/>
        </w:rPr>
        <w:t>一、项目概述</w:t>
      </w:r>
    </w:p>
    <w:p w14:paraId="19CAA478">
      <w:pPr>
        <w:spacing w:line="360" w:lineRule="auto"/>
        <w:ind w:firstLine="480" w:firstLineChars="200"/>
        <w:rPr>
          <w:color w:val="auto"/>
          <w:highlight w:val="none"/>
        </w:rPr>
      </w:pPr>
      <w:r>
        <w:rPr>
          <w:color w:val="auto"/>
          <w:highlight w:val="none"/>
        </w:rPr>
        <w:t>（一）本项目为</w:t>
      </w:r>
      <w:r>
        <w:rPr>
          <w:rFonts w:hint="eastAsia"/>
          <w:color w:val="auto"/>
          <w:highlight w:val="none"/>
        </w:rPr>
        <w:t>金华开放大学数字媒体公共实训基地人物造型设备采购项目</w:t>
      </w:r>
      <w:r>
        <w:rPr>
          <w:color w:val="auto"/>
          <w:highlight w:val="none"/>
        </w:rPr>
        <w:t>。</w:t>
      </w:r>
    </w:p>
    <w:p w14:paraId="0E144B8A">
      <w:pPr>
        <w:spacing w:line="360" w:lineRule="auto"/>
        <w:ind w:firstLine="480" w:firstLineChars="200"/>
        <w:rPr>
          <w:color w:val="auto"/>
          <w:highlight w:val="none"/>
        </w:rPr>
      </w:pPr>
      <w:r>
        <w:rPr>
          <w:color w:val="auto"/>
          <w:highlight w:val="none"/>
        </w:rPr>
        <w:t>（二）投标人参加报名后，必须就招标文件中全部货物（服务）进行投标（要约）。</w:t>
      </w:r>
    </w:p>
    <w:p w14:paraId="3BA2AC99">
      <w:pPr>
        <w:spacing w:line="360" w:lineRule="auto"/>
        <w:ind w:firstLine="480" w:firstLineChars="200"/>
        <w:rPr>
          <w:color w:val="auto"/>
          <w:highlight w:val="none"/>
        </w:rPr>
      </w:pPr>
      <w:r>
        <w:rPr>
          <w:color w:val="auto"/>
          <w:highlight w:val="none"/>
        </w:rPr>
        <w:t>（三）投标人在取得中标资格后，须负责</w:t>
      </w:r>
      <w:r>
        <w:rPr>
          <w:rFonts w:hint="eastAsia"/>
          <w:color w:val="auto"/>
          <w:highlight w:val="none"/>
        </w:rPr>
        <w:t>货物</w:t>
      </w:r>
      <w:r>
        <w:rPr>
          <w:color w:val="auto"/>
          <w:highlight w:val="none"/>
        </w:rPr>
        <w:t>的运输、安装、调试、培训、售后等一切与中标</w:t>
      </w:r>
      <w:r>
        <w:rPr>
          <w:rFonts w:hint="eastAsia"/>
          <w:color w:val="auto"/>
          <w:highlight w:val="none"/>
        </w:rPr>
        <w:t>货物</w:t>
      </w:r>
      <w:r>
        <w:rPr>
          <w:color w:val="auto"/>
          <w:highlight w:val="none"/>
        </w:rPr>
        <w:t>有关的附随服务工作。本次采购的项目为 “交钥匙工程”。</w:t>
      </w:r>
    </w:p>
    <w:p w14:paraId="6AC43DA6">
      <w:pPr>
        <w:spacing w:line="360" w:lineRule="auto"/>
        <w:rPr>
          <w:b/>
          <w:bCs/>
          <w:color w:val="auto"/>
          <w:highlight w:val="none"/>
        </w:rPr>
      </w:pPr>
      <w:bookmarkStart w:id="47" w:name="_Hlk93996495"/>
      <w:r>
        <w:rPr>
          <w:b/>
          <w:bCs/>
          <w:color w:val="auto"/>
          <w:highlight w:val="none"/>
        </w:rPr>
        <w:t>二、采购清单及技术参数要求</w:t>
      </w:r>
    </w:p>
    <w:bookmarkEnd w:id="47"/>
    <w:p w14:paraId="057E01DE">
      <w:pPr>
        <w:spacing w:line="360" w:lineRule="auto"/>
        <w:ind w:firstLine="480" w:firstLineChars="200"/>
        <w:rPr>
          <w:color w:val="auto"/>
          <w:highlight w:val="none"/>
        </w:rPr>
      </w:pPr>
      <w:r>
        <w:rPr>
          <w:color w:val="auto"/>
          <w:highlight w:val="none"/>
        </w:rPr>
        <w:t>1.提供相同品牌产品（同品牌核心产品）且通过资格审查、符合性审查的不同投标人参加同一合同项下投标的，按一家投标人计算，评审后得分最高的同品牌（同品牌核心产品）投标人获得中标人推荐资格；如出现评审得分相同的，则以价格低者推荐为中标人；如出现评审得分、报价均相同时，则以技术得分高者推荐为中标人；如出现三者得分均相同，则采取抽签方式确定，其他同品牌（同品牌核心产品）投标人不作为中标候选人。核心产品详见前附表。</w:t>
      </w:r>
    </w:p>
    <w:p w14:paraId="4E1A5F2A">
      <w:pPr>
        <w:spacing w:line="360" w:lineRule="auto"/>
        <w:ind w:firstLine="480" w:firstLineChars="200"/>
        <w:rPr>
          <w:color w:val="auto"/>
          <w:highlight w:val="none"/>
        </w:rPr>
      </w:pPr>
      <w:r>
        <w:rPr>
          <w:color w:val="auto"/>
          <w:highlight w:val="none"/>
        </w:rPr>
        <w:t>2.为有助于投标人选择投标产品，技术要求中提供的推荐品牌（或型号）仅为建议性要求或为档次选择要求或为代替部分技术指标描述，投标人可选择性能不低于推荐品牌（或型号）的其他品牌产品。</w:t>
      </w:r>
    </w:p>
    <w:tbl>
      <w:tblPr>
        <w:tblStyle w:val="43"/>
        <w:tblW w:w="0" w:type="auto"/>
        <w:tblInd w:w="0" w:type="dxa"/>
        <w:tblLayout w:type="fixed"/>
        <w:tblCellMar>
          <w:top w:w="0" w:type="dxa"/>
          <w:left w:w="108" w:type="dxa"/>
          <w:bottom w:w="0" w:type="dxa"/>
          <w:right w:w="108" w:type="dxa"/>
        </w:tblCellMar>
      </w:tblPr>
      <w:tblGrid>
        <w:gridCol w:w="430"/>
        <w:gridCol w:w="1397"/>
        <w:gridCol w:w="4792"/>
        <w:gridCol w:w="430"/>
        <w:gridCol w:w="430"/>
        <w:gridCol w:w="862"/>
        <w:gridCol w:w="872"/>
      </w:tblGrid>
      <w:tr w14:paraId="0A6F4533">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ACF7">
            <w:pPr>
              <w:jc w:val="center"/>
              <w:textAlignment w:val="center"/>
              <w:rPr>
                <w:rFonts w:hint="eastAsia" w:ascii="宋体" w:hAnsi="宋体" w:cs="宋体"/>
                <w:b/>
                <w:bCs/>
                <w:color w:val="auto"/>
                <w:kern w:val="2"/>
                <w:sz w:val="21"/>
                <w:szCs w:val="21"/>
                <w:highlight w:val="none"/>
              </w:rPr>
            </w:pPr>
            <w:bookmarkStart w:id="48" w:name="_Hlk93996504"/>
            <w:r>
              <w:rPr>
                <w:rFonts w:hint="eastAsia" w:ascii="宋体" w:hAnsi="宋体" w:cs="宋体"/>
                <w:b/>
                <w:bCs/>
                <w:color w:val="auto"/>
                <w:sz w:val="21"/>
                <w:szCs w:val="21"/>
                <w:highlight w:val="none"/>
                <w:lang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058">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设备名称</w:t>
            </w:r>
          </w:p>
        </w:tc>
        <w:tc>
          <w:tcPr>
            <w:tcW w:w="4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065">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技术规格和型号</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696B">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数量</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08D5">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C0DA">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单价限价　（元）</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2D21">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小计限价金额　　（元）</w:t>
            </w:r>
          </w:p>
        </w:tc>
      </w:tr>
      <w:tr w14:paraId="38086A32">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72D1">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AC1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女士商业不带肩展示头模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EB56">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浅金色真人发，不带肩膀，与带肩头配套。发长≥12寸，头发种植很自然，头发有自然纹理。可像真人头发一样染色，染色效果佳，颜色明亮，烫发、修剪、吹风造型</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1B2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A4D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223D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450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2D5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27000</w:t>
            </w:r>
          </w:p>
        </w:tc>
      </w:tr>
      <w:tr w14:paraId="3E400B49">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DDFA">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832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男士胡须造型不带肩展示头模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60DE">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自然黑色动物毛，不带肩膀，与带肩头配套。发长≥8寸、头发种植很自然，头发有自然纹理。可像真人头发一样漂发、染色、烫发、修剪、吹风、胡须设计造型</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E05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471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5DF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380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EA9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22800</w:t>
            </w:r>
          </w:p>
        </w:tc>
      </w:tr>
      <w:tr w14:paraId="27A099A4">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B43B">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049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新娘盘发带肩展示头模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ECF1">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浅金色真人发，带肩膀，发长≥22寸，头模高≥36cm，宽≥26cm，头发种植很自然，头发有自然纹理。可像真人头发一样染色、烫发、修剪、吹风、电棒、中西式盘发、扎发造型</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5B13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78C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3B8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1300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C6A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39000</w:t>
            </w:r>
          </w:p>
        </w:tc>
      </w:tr>
      <w:tr w14:paraId="38C0DA19">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E44B">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088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男士烫发不带肩展示头模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29D7">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自然黑色真人发，不带肩膀，与带肩头配套。发长≥7寸、头发种植很自然，头发有自然纹理。可像真人头发一样漂发、染色、烫发、修剪、吹风造型</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EE2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22B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B5A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220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769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13200</w:t>
            </w:r>
          </w:p>
        </w:tc>
      </w:tr>
      <w:tr w14:paraId="2F0DD097">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BB6F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F3C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男士商业不带肩展示头模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1541">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金色真人发、不带肩膀，与带肩头配套。发长≥7寸、头发种植很自然，头发有自然纹理。可像真人头发一样漂发、染色、烫发、修剪、吹风造型</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3C5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051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064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406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12000</w:t>
            </w:r>
          </w:p>
        </w:tc>
      </w:tr>
      <w:tr w14:paraId="6DB95835">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7FF88">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2D39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美容美发配件</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BAEC">
            <w:pPr>
              <w:numPr>
                <w:ilvl w:val="0"/>
                <w:numId w:val="2"/>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真人发无痕发片40个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1.真人发发条，重：≥2.5克/条，宽：≥4cm，发长≥40cm，加发片造型、可染色、烫发、修剪、向下向上造型</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二、多功能腰包80个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1.在美发化妆练习及比赛过程中，随身放置工具，使用美发化妆工具更快捷方便，有序收纳三、三节落地灯式支架40个</w:t>
            </w:r>
          </w:p>
          <w:p w14:paraId="1BFBD2DE">
            <w:pPr>
              <w:numPr>
                <w:ilvl w:val="0"/>
                <w:numId w:val="3"/>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材质：铝合金、</w:t>
            </w:r>
          </w:p>
          <w:p w14:paraId="26D54E0A">
            <w:pPr>
              <w:numPr>
                <w:ilvl w:val="0"/>
                <w:numId w:val="3"/>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节数：≥三节</w:t>
            </w:r>
          </w:p>
          <w:p w14:paraId="601FA2BB">
            <w:pPr>
              <w:numPr>
                <w:ilvl w:val="0"/>
                <w:numId w:val="2"/>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四、美发镜4台</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1.功率：≥12-36W</w:t>
            </w:r>
          </w:p>
          <w:p w14:paraId="38B2DC9D">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2.材质：铝合金</w:t>
            </w:r>
          </w:p>
          <w:p w14:paraId="40C65677">
            <w:pPr>
              <w:numPr>
                <w:ilvl w:val="0"/>
                <w:numId w:val="3"/>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尺寸：≥70cmx170cm</w:t>
            </w:r>
          </w:p>
          <w:p w14:paraId="13EFEE7F">
            <w:pPr>
              <w:numPr>
                <w:ilvl w:val="0"/>
                <w:numId w:val="3"/>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颜色：金色、银色、黑色</w:t>
            </w:r>
          </w:p>
          <w:p w14:paraId="769D3AC0">
            <w:pPr>
              <w:numPr>
                <w:ilvl w:val="0"/>
                <w:numId w:val="3"/>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LED美颜灯带、高清银镜、铝合金边框、智能粗碰开关、环保材质，防爆镜面</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五、美发工具车30台</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1.规格：≥84*35*39cm</w:t>
            </w:r>
          </w:p>
          <w:p w14:paraId="08E3D5EF">
            <w:pPr>
              <w:numPr>
                <w:ilvl w:val="0"/>
                <w:numId w:val="4"/>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≥16寸大台面、吹风机支架*1  台面拓展区*2一体抽屉*4分隔抽屉*2 pp材质 静音防夹轮*4  </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3.共六层高度分别 ≥11cm ≥9.5cm ≥9.5cm ≥11cm ≥9.5cm ≥9.5cm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六、美容冷光LED灯15台</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1.规格：≥165cm可随意调节高低，重量≥2.5kg</w:t>
            </w:r>
          </w:p>
          <w:p w14:paraId="2792E0CE">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2.产品功率：220v-240v/60Hz</w:t>
            </w:r>
          </w:p>
          <w:p w14:paraId="48C71467">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3.颜色：纯白色</w:t>
            </w:r>
          </w:p>
          <w:p w14:paraId="18669DE5">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4.材质：铝制灯板+led灯珠双结合</w:t>
            </w:r>
          </w:p>
          <w:p w14:paraId="33C411F0">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5.参数：灯头直径≥20cm，led灯板直径≥18cm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七、毛巾300条   </w:t>
            </w:r>
          </w:p>
          <w:p w14:paraId="03F1036D">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1.材质：100%长绒棉</w:t>
            </w:r>
          </w:p>
          <w:p w14:paraId="501D1AE7">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2.尺寸：≥40cm*80cm</w:t>
            </w:r>
          </w:p>
          <w:p w14:paraId="079DF380">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3.≥110g32线</w:t>
            </w:r>
          </w:p>
          <w:p w14:paraId="51933856">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4.颜色：白色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八、浴巾150条   </w:t>
            </w:r>
          </w:p>
          <w:p w14:paraId="17E515FC">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1.材质：100%长绒棉</w:t>
            </w:r>
          </w:p>
          <w:p w14:paraId="4A8916C0">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2.尺寸：≥90cm*180cm</w:t>
            </w:r>
          </w:p>
          <w:p w14:paraId="083A920E">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3.颜色：白色</w:t>
            </w:r>
          </w:p>
          <w:p w14:paraId="4A01CF71">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4.≥530g32线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九、实木衣架150个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1.材质：实木、不锈钢</w:t>
            </w:r>
          </w:p>
          <w:p w14:paraId="42801045">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2.长度≥44.5cm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十、裤架100个</w:t>
            </w:r>
          </w:p>
          <w:p w14:paraId="45FD0853">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1.材质：实木、不锈钢</w:t>
            </w:r>
          </w:p>
          <w:p w14:paraId="17352927">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2.尺寸：≥35cm*20cm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十一、学生作品展示区画框15个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1.材质：实木</w:t>
            </w:r>
          </w:p>
          <w:p w14:paraId="6D787E34">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2.功能：作品展示</w:t>
            </w:r>
          </w:p>
          <w:p w14:paraId="428E8435">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3.尺寸：≥100cm*50cm</w:t>
            </w:r>
          </w:p>
          <w:p w14:paraId="7072ADB5">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4.根据实际情况按采购人要求定制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十二、普通人台20个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1.立体裁剪 肩宽≥38cm胸围≥84cm腰围≥64cm臀围≥90cm</w:t>
            </w:r>
          </w:p>
          <w:p w14:paraId="7A7EEB64">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2.颜色：白色</w:t>
            </w:r>
          </w:p>
          <w:p w14:paraId="7219583B">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3.底座材质：金属</w:t>
            </w:r>
          </w:p>
          <w:p w14:paraId="515AC7D8">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4.身体材质:外包厚麻布 内里(PU)</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十三、吹风机30台</w:t>
            </w:r>
          </w:p>
          <w:p w14:paraId="22B17F6A">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1.最大功率:2400W及以上</w:t>
            </w:r>
          </w:p>
          <w:p w14:paraId="0E71C619">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2.电吹风档位: 5档以上</w:t>
            </w:r>
          </w:p>
          <w:p w14:paraId="3DC97696">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3.风温档位: 3档及以上</w:t>
            </w:r>
          </w:p>
          <w:p w14:paraId="74D73999">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4.机身重量≤500g</w:t>
            </w:r>
          </w:p>
          <w:p w14:paraId="7FC98C01">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5.具有过热保护。</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十四、直板夹15个</w:t>
            </w:r>
          </w:p>
          <w:p w14:paraId="720CF214">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1.离子喷釉涂层</w:t>
            </w:r>
          </w:p>
          <w:p w14:paraId="75AFE2DF">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2.≥10档温控</w:t>
            </w:r>
          </w:p>
          <w:p w14:paraId="779F7DB8">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3.≥3米电源线加长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十五、卷发棒15个</w:t>
            </w:r>
          </w:p>
          <w:p w14:paraId="3CA6EDA9">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1.内置温度检测芯片，每秒检测温度≥20次，智能控温</w:t>
            </w:r>
          </w:p>
          <w:p w14:paraId="6AF842EF">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2.1小时自动断电</w:t>
            </w:r>
          </w:p>
          <w:p w14:paraId="512CC329">
            <w:pPr>
              <w:numPr>
                <w:ilvl w:val="0"/>
                <w:numId w:val="4"/>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智能芯片</w:t>
            </w:r>
          </w:p>
          <w:p w14:paraId="3D47CAF2">
            <w:pPr>
              <w:numPr>
                <w:ilvl w:val="0"/>
                <w:numId w:val="4"/>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智能显示屏</w:t>
            </w:r>
          </w:p>
          <w:p w14:paraId="06417198">
            <w:pPr>
              <w:numPr>
                <w:ilvl w:val="0"/>
                <w:numId w:val="4"/>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防烫支架采用绝燃体硅胶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十六、模型人台10个</w:t>
            </w:r>
          </w:p>
          <w:p w14:paraId="17AF993B">
            <w:pPr>
              <w:numPr>
                <w:ilvl w:val="0"/>
                <w:numId w:val="5"/>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全身包布女模型</w:t>
            </w:r>
          </w:p>
          <w:p w14:paraId="46962B13">
            <w:pPr>
              <w:numPr>
                <w:ilvl w:val="0"/>
                <w:numId w:val="5"/>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肩宽≥37cm 胸围≥84cm 腰围≥64cm臀围≥87cm 高度≥175cm</w:t>
            </w:r>
          </w:p>
          <w:p w14:paraId="09FF4C0D">
            <w:pPr>
              <w:numPr>
                <w:ilvl w:val="0"/>
                <w:numId w:val="5"/>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底座颜色：银色</w:t>
            </w:r>
          </w:p>
          <w:p w14:paraId="22154187">
            <w:pPr>
              <w:numPr>
                <w:ilvl w:val="0"/>
                <w:numId w:val="5"/>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底座类型：方板</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915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74E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项</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8CC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144767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4D0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144767</w:t>
            </w:r>
          </w:p>
        </w:tc>
      </w:tr>
      <w:tr w14:paraId="2B6445C3">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EDA6">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F80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高级自动洗头床</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4490">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1.规格：长≥190cm，床高≥80cm，头盘高≥120cm，宽≥75cm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2.材质：一体式玻璃钢,LED灯带装饰,主体结构采用玻璃钢打造，一体倒模成型，内置LED灯带</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3.支持全方位洗发程序调节长发柔洗,中发柔洗,短发速洗,冲洗模式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4.4D深层筋膜按摩机芯</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5.自动升降免拖鞋、智能手控器一键启动</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080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D0F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CCA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30000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079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30000</w:t>
            </w:r>
          </w:p>
        </w:tc>
      </w:tr>
      <w:tr w14:paraId="1A05605D">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500EA">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D7E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电动按摩洗头床(带热水器）</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1939">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颜色: 黑色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产品尺寸: ≥180cm*68cm*80cm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工作类型: 电动按摩旋转头疗床</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操作面版: 黑色液晶控制面板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机身材料: 铁焗漆，陶瓷，沙发</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机器底座: ≥八厘钢板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输入电压: 220伏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机器功率:≥ 300瓦</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附加热水器：线路要求大于等于4平方铜芯线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恒温模式：全自动智能恒温可调范围调到范围≥55℃</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漏电保护：≥二级</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操控防水等级：≥Ipx-6</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7FE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B168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808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10000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9C9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10000</w:t>
            </w:r>
          </w:p>
        </w:tc>
      </w:tr>
      <w:tr w14:paraId="1C860F0A">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E82A9">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740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头皮检测仪</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C45B">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产品颜色：白色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操作面板：光面烤漆全触摸屏操作面板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尺寸：机身:≥128*58*48cm，显示屏:≥52*40*22cm35kg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附件：六极RF发热头1支、光子头疗梳1支、高周波玻璃梳1支注氧喷枪1支、旋磁理疗头1支、因子导入头1套、头皮探测仪1支、头皮检测显示屏1个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功能：可旋转触摸显示高清版头皮检测显示 ，超灵敏触摸感应屏 双镜头高清头皮探测仪可360°旋转，直观查看前后效果 ，高周波玻璃梳注氧喷枪 ，微电摩擦刺激，激发毛囊活力 超强细化分子，强力喷射 ，臭氧杀减细菌，消除异味深层渗透滋养，光子头疗梳 ，六极RF发热头 ，刺激头部穴位，促进循环，通过能量转换，加速营养渗透吸收 ，缓解疲劳，刺激毛囊，抑制脱发，加快胶原蛋白再生，促进循环 ，≥6种彩光理疗，疏通头皮经络，因子导入头，旋磁理疗头，多模式生物电刺激，中医针灸原理， 磁疗高频振动 ，促进营养渗透吸收，直达细胞内部，消除疲劳，舒缓神经，减轻压力</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A25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925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00A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6000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98C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6000</w:t>
            </w:r>
          </w:p>
        </w:tc>
      </w:tr>
      <w:tr w14:paraId="752604C8">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BADD3">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648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头发护理纳米喷雾仪</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3F99">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产品颜色:拉丝银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产品尺寸:整机高度≥995mm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操作面版:拉丝铝，液晶显示屏，按键式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机身材料:拉丝铝</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机器底座:三脚架，三个万向空竹轮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机器功率:≥1350W/50HZ</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尺寸:机身:≥86*45*42cm，脚架:≥61*52*9cm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功能：智能一体化集成喷枪，按键加热显示一体，配备≥1个头皮喷笔，高密度负离子蓝光喷雾，去除头发静电、异味，高压快速喷雾，强力去除头皮头发顽固油污，极速预热</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9F0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D69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384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3800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50E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3800</w:t>
            </w:r>
          </w:p>
        </w:tc>
      </w:tr>
      <w:tr w14:paraId="3A172C0E">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5149">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354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智能恒温烫发机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19B8">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颜色:银色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输出功率:≥600W/50-60HZ</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产品尺寸:整机高度≥1100MM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杠子尺寸:12、14、16、18、20、22、24、26、27、30</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操作面板:钢化玻璃屏，全触摸数码显示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机头描述:≥十组负载线，共≥40个插孔机身材质:拉丝铝机身</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机器底座:可折叠底座，≥四个万向空竹轮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控温类别:分三组控温</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机器调温:≥40度-130度调温范围</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输入电压:110V-240V</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重量:≥20KG</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5B2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6AB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4F67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5000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73C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10000</w:t>
            </w:r>
          </w:p>
        </w:tc>
      </w:tr>
      <w:tr w14:paraId="6BBA21B7">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1F1D9">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E6B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高档理发椅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3FB1">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1.型号：理发椅</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2.材质：优质PU皮革、高密度回弹海绵、环保材质、金属电镀脚踏底盘</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3.自由调节头枕</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4.360°旋转自由升降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5.人体多功能工程学倚靠</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6.防爆气杆，大底盘抓地牢</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7.可调节最低≤93cm，最高≥103cm，座垫离地≥34cm，坐垫厚度≥15cm，底盘直径≥53cm，脚踏长≥39cm。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7462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889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63C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900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337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3600</w:t>
            </w:r>
          </w:p>
        </w:tc>
      </w:tr>
      <w:tr w14:paraId="35BED012">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C6B7B">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2D3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高级化妆桌</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8787">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订制，桌长≥150cm宽≥50cm高≥85cm，镜长≥150cm高≥100cm，烤漆台面，亚克力桌脚，铁艺镜框，高清水银镜，带灯泡</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F2C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80A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6D2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3500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D0F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14000</w:t>
            </w:r>
          </w:p>
        </w:tc>
      </w:tr>
      <w:tr w14:paraId="763794C0">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11B8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E85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个性化妆凳</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E551">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椅子尺寸：总高≥76cm，长 ≥65cm，宽≥ 59cm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材质：磨砂绒</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FF2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B53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0C3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800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A93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3200</w:t>
            </w:r>
          </w:p>
        </w:tc>
      </w:tr>
      <w:tr w14:paraId="21C7403B">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272C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EF6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饮水机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F0FB">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1..规格：≥87.9cm*29.6cm*30.1cm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2.额定功率:≥420W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3.待机耗电量:≤0.9kw-h/24h</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4.材质:304不锈钢</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5.后背电源/制热开关</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6.面板指示灯缺水/加热/保温/电源</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7.童锁开关告别烫伤危险</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8.出水口热水/常温水</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92A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860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9C5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500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F79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1000</w:t>
            </w:r>
          </w:p>
        </w:tc>
      </w:tr>
      <w:tr w14:paraId="6A343A6B">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7E714">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EDB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美发工具包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69DB">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1.型号：工具包</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2.包含美发剪刀平牙剪、多功能理发器、条纹围布、美发裁剪梳、美发无痕夹、扫发海绵、</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C62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15</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DC7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CFF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590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11D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8850</w:t>
            </w:r>
          </w:p>
        </w:tc>
      </w:tr>
      <w:tr w14:paraId="7AF59323">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1FD40">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6D0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服装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354E">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西式婚纱（8套包括配套头饰），中式秀禾服（8套包括配套头饰），唐制古装女装（4套包括配套头饰），唐制古装男装（2套包括配套头饰），秦汉古装直裾（2套包括配套头饰），秦汉古装曲裾（2套包括配套头饰），宋制古装女装（12套其中凤冠霞帔2套），宋制古装男装（4套包括配套头饰），明制古装女装（2套包括配套头饰），清代袄裙女（2套包括配套头饰），清代旗装女（2套包括配套头饰），皇帝龙袍（1套包括配套帽子），皇后凤袍（1套包括配套头饰），民国旗袍（4套包括配套头饰），长袍马褂（1套），中山装（1套），二次元服装（4套）共计60套实训衣服</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EA5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60</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194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3E9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1500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19B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90000</w:t>
            </w:r>
          </w:p>
        </w:tc>
      </w:tr>
      <w:tr w14:paraId="2626C0B6">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AAA1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F2E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洗衣机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5B23">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尺寸：≥595x560x850mm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毛重：≥72kg   箱体材质： PCM钢板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洗涤公斤量：≥10kg     净重：≥66kg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内桶材质：不锈钢    控制方式：电子式    </w:t>
            </w:r>
          </w:p>
          <w:p w14:paraId="35FB0670">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工作方式：皮带驱动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电机类型： BLDC变频电机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脱水公斤量：≥10kg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最高转速：1200转/分钟</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能效等级：一级</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排水方式：上排水</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脱水功率：≥420W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洗涤功率：≥70W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产品类型：滚筒洗衣机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颜色：黑色</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BD6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9DB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77D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2500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C26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2500</w:t>
            </w:r>
          </w:p>
        </w:tc>
      </w:tr>
      <w:tr w14:paraId="21330368">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BD10C">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856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烘干机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F4FE">
            <w:p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压缩机类型：定频</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烘干公斤量：≥10kg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净重：≥47kg</w:t>
            </w:r>
          </w:p>
          <w:p w14:paraId="366CAB09">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控制方式：电脑式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烘干方式：热泵式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毛重：≥52kg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电机类型： BLDC变频电机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尺寸：≥700x705x985mm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能效等级：一级</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噪音：≤64dB</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颜色：黑色</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4E5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145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025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230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4000</w:t>
            </w:r>
          </w:p>
        </w:tc>
      </w:tr>
      <w:tr w14:paraId="5FA4C484">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6740A">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738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落地全身镜</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0DD5">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650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32" name="图片_1"/>
                  <wp:cNvGraphicFramePr/>
                  <a:graphic xmlns:a="http://schemas.openxmlformats.org/drawingml/2006/main">
                    <a:graphicData uri="http://schemas.openxmlformats.org/drawingml/2006/picture">
                      <pic:pic xmlns:pic="http://schemas.openxmlformats.org/drawingml/2006/picture">
                        <pic:nvPicPr>
                          <pic:cNvPr id="2932" name="图片_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40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29" name="图片_1_SpCnt_1"/>
                  <wp:cNvGraphicFramePr/>
                  <a:graphic xmlns:a="http://schemas.openxmlformats.org/drawingml/2006/main">
                    <a:graphicData uri="http://schemas.openxmlformats.org/drawingml/2006/picture">
                      <pic:pic xmlns:pic="http://schemas.openxmlformats.org/drawingml/2006/picture">
                        <pic:nvPicPr>
                          <pic:cNvPr id="3429" name="图片_1_SpCnt_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93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4" name="图片_1_SpCnt_2"/>
                  <wp:cNvGraphicFramePr/>
                  <a:graphic xmlns:a="http://schemas.openxmlformats.org/drawingml/2006/main">
                    <a:graphicData uri="http://schemas.openxmlformats.org/drawingml/2006/picture">
                      <pic:pic xmlns:pic="http://schemas.openxmlformats.org/drawingml/2006/picture">
                        <pic:nvPicPr>
                          <pic:cNvPr id="3444" name="图片_1_SpCnt_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69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8" name="图片_1_SpCnt_3"/>
                  <wp:cNvGraphicFramePr/>
                  <a:graphic xmlns:a="http://schemas.openxmlformats.org/drawingml/2006/main">
                    <a:graphicData uri="http://schemas.openxmlformats.org/drawingml/2006/picture">
                      <pic:pic xmlns:pic="http://schemas.openxmlformats.org/drawingml/2006/picture">
                        <pic:nvPicPr>
                          <pic:cNvPr id="2758" name="图片_1_SpCnt_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73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78" name="图片_1_SpCnt_4"/>
                  <wp:cNvGraphicFramePr/>
                  <a:graphic xmlns:a="http://schemas.openxmlformats.org/drawingml/2006/main">
                    <a:graphicData uri="http://schemas.openxmlformats.org/drawingml/2006/picture">
                      <pic:pic xmlns:pic="http://schemas.openxmlformats.org/drawingml/2006/picture">
                        <pic:nvPicPr>
                          <pic:cNvPr id="2778" name="图片_1_SpCnt_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84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0" name="图片_1_SpCnt_5"/>
                  <wp:cNvGraphicFramePr/>
                  <a:graphic xmlns:a="http://schemas.openxmlformats.org/drawingml/2006/main">
                    <a:graphicData uri="http://schemas.openxmlformats.org/drawingml/2006/picture">
                      <pic:pic xmlns:pic="http://schemas.openxmlformats.org/drawingml/2006/picture">
                        <pic:nvPicPr>
                          <pic:cNvPr id="2740" name="图片_1_SpCnt_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95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1" name="图片_1_SpCnt_6"/>
                  <wp:cNvGraphicFramePr/>
                  <a:graphic xmlns:a="http://schemas.openxmlformats.org/drawingml/2006/main">
                    <a:graphicData uri="http://schemas.openxmlformats.org/drawingml/2006/picture">
                      <pic:pic xmlns:pic="http://schemas.openxmlformats.org/drawingml/2006/picture">
                        <pic:nvPicPr>
                          <pic:cNvPr id="2741" name="图片_1_SpCnt_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74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9" name="图片_1_SpCnt_7"/>
                  <wp:cNvGraphicFramePr/>
                  <a:graphic xmlns:a="http://schemas.openxmlformats.org/drawingml/2006/main">
                    <a:graphicData uri="http://schemas.openxmlformats.org/drawingml/2006/picture">
                      <pic:pic xmlns:pic="http://schemas.openxmlformats.org/drawingml/2006/picture">
                        <pic:nvPicPr>
                          <pic:cNvPr id="2739" name="图片_1_SpCnt_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15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3" name="图片_1_SpCnt_8"/>
                  <wp:cNvGraphicFramePr/>
                  <a:graphic xmlns:a="http://schemas.openxmlformats.org/drawingml/2006/main">
                    <a:graphicData uri="http://schemas.openxmlformats.org/drawingml/2006/picture">
                      <pic:pic xmlns:pic="http://schemas.openxmlformats.org/drawingml/2006/picture">
                        <pic:nvPicPr>
                          <pic:cNvPr id="2743" name="图片_1_SpCnt_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382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87" name="图片_1_SpCnt_9"/>
                  <wp:cNvGraphicFramePr/>
                  <a:graphic xmlns:a="http://schemas.openxmlformats.org/drawingml/2006/main">
                    <a:graphicData uri="http://schemas.openxmlformats.org/drawingml/2006/picture">
                      <pic:pic xmlns:pic="http://schemas.openxmlformats.org/drawingml/2006/picture">
                        <pic:nvPicPr>
                          <pic:cNvPr id="3687" name="图片_1_SpCnt_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25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4" name="图片_1_SpCnt_10"/>
                  <wp:cNvGraphicFramePr/>
                  <a:graphic xmlns:a="http://schemas.openxmlformats.org/drawingml/2006/main">
                    <a:graphicData uri="http://schemas.openxmlformats.org/drawingml/2006/picture">
                      <pic:pic xmlns:pic="http://schemas.openxmlformats.org/drawingml/2006/picture">
                        <pic:nvPicPr>
                          <pic:cNvPr id="2744" name="图片_1_SpCnt_1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36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5" name="图片_1_SpCnt_11"/>
                  <wp:cNvGraphicFramePr/>
                  <a:graphic xmlns:a="http://schemas.openxmlformats.org/drawingml/2006/main">
                    <a:graphicData uri="http://schemas.openxmlformats.org/drawingml/2006/picture">
                      <pic:pic xmlns:pic="http://schemas.openxmlformats.org/drawingml/2006/picture">
                        <pic:nvPicPr>
                          <pic:cNvPr id="2745" name="图片_1_SpCnt_1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72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5" name="图片_1_SpCnt_12"/>
                  <wp:cNvGraphicFramePr/>
                  <a:graphic xmlns:a="http://schemas.openxmlformats.org/drawingml/2006/main">
                    <a:graphicData uri="http://schemas.openxmlformats.org/drawingml/2006/picture">
                      <pic:pic xmlns:pic="http://schemas.openxmlformats.org/drawingml/2006/picture">
                        <pic:nvPicPr>
                          <pic:cNvPr id="2895" name="图片_1_SpCnt_1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61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4" name="图片_1_SpCnt_13"/>
                  <wp:cNvGraphicFramePr/>
                  <a:graphic xmlns:a="http://schemas.openxmlformats.org/drawingml/2006/main">
                    <a:graphicData uri="http://schemas.openxmlformats.org/drawingml/2006/picture">
                      <pic:pic xmlns:pic="http://schemas.openxmlformats.org/drawingml/2006/picture">
                        <pic:nvPicPr>
                          <pic:cNvPr id="2894" name="图片_1_SpCnt_1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20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0" name="图片_1_SpCnt_14"/>
                  <wp:cNvGraphicFramePr/>
                  <a:graphic xmlns:a="http://schemas.openxmlformats.org/drawingml/2006/main">
                    <a:graphicData uri="http://schemas.openxmlformats.org/drawingml/2006/picture">
                      <pic:pic xmlns:pic="http://schemas.openxmlformats.org/drawingml/2006/picture">
                        <pic:nvPicPr>
                          <pic:cNvPr id="2890" name="图片_1_SpCnt_1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10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9" name="图片_1_SpCnt_15"/>
                  <wp:cNvGraphicFramePr/>
                  <a:graphic xmlns:a="http://schemas.openxmlformats.org/drawingml/2006/main">
                    <a:graphicData uri="http://schemas.openxmlformats.org/drawingml/2006/picture">
                      <pic:pic xmlns:pic="http://schemas.openxmlformats.org/drawingml/2006/picture">
                        <pic:nvPicPr>
                          <pic:cNvPr id="2889" name="图片_1_SpCnt_1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00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8" name="图片_1_SpCnt_16"/>
                  <wp:cNvGraphicFramePr/>
                  <a:graphic xmlns:a="http://schemas.openxmlformats.org/drawingml/2006/main">
                    <a:graphicData uri="http://schemas.openxmlformats.org/drawingml/2006/picture">
                      <pic:pic xmlns:pic="http://schemas.openxmlformats.org/drawingml/2006/picture">
                        <pic:nvPicPr>
                          <pic:cNvPr id="2888" name="图片_1_SpCnt_1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79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6" name="图片_1_SpCnt_17"/>
                  <wp:cNvGraphicFramePr/>
                  <a:graphic xmlns:a="http://schemas.openxmlformats.org/drawingml/2006/main">
                    <a:graphicData uri="http://schemas.openxmlformats.org/drawingml/2006/picture">
                      <pic:pic xmlns:pic="http://schemas.openxmlformats.org/drawingml/2006/picture">
                        <pic:nvPicPr>
                          <pic:cNvPr id="2886" name="图片_1_SpCnt_1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90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7" name="图片_1_SpCnt_18"/>
                  <wp:cNvGraphicFramePr/>
                  <a:graphic xmlns:a="http://schemas.openxmlformats.org/drawingml/2006/main">
                    <a:graphicData uri="http://schemas.openxmlformats.org/drawingml/2006/picture">
                      <pic:pic xmlns:pic="http://schemas.openxmlformats.org/drawingml/2006/picture">
                        <pic:nvPicPr>
                          <pic:cNvPr id="2887" name="图片_1_SpCnt_1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69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5" name="图片_1_SpCnt_19"/>
                  <wp:cNvGraphicFramePr/>
                  <a:graphic xmlns:a="http://schemas.openxmlformats.org/drawingml/2006/main">
                    <a:graphicData uri="http://schemas.openxmlformats.org/drawingml/2006/picture">
                      <pic:pic xmlns:pic="http://schemas.openxmlformats.org/drawingml/2006/picture">
                        <pic:nvPicPr>
                          <pic:cNvPr id="2885" name="图片_1_SpCnt_1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59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4" name="图片_1_SpCnt_20"/>
                  <wp:cNvGraphicFramePr/>
                  <a:graphic xmlns:a="http://schemas.openxmlformats.org/drawingml/2006/main">
                    <a:graphicData uri="http://schemas.openxmlformats.org/drawingml/2006/picture">
                      <pic:pic xmlns:pic="http://schemas.openxmlformats.org/drawingml/2006/picture">
                        <pic:nvPicPr>
                          <pic:cNvPr id="2884" name="图片_1_SpCnt_2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49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83" name="图片_1_SpCnt_21"/>
                  <wp:cNvGraphicFramePr/>
                  <a:graphic xmlns:a="http://schemas.openxmlformats.org/drawingml/2006/main">
                    <a:graphicData uri="http://schemas.openxmlformats.org/drawingml/2006/picture">
                      <pic:pic xmlns:pic="http://schemas.openxmlformats.org/drawingml/2006/picture">
                        <pic:nvPicPr>
                          <pic:cNvPr id="2883" name="图片_1_SpCnt_2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64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8" name="图片_1_SpCnt_22"/>
                  <wp:cNvGraphicFramePr/>
                  <a:graphic xmlns:a="http://schemas.openxmlformats.org/drawingml/2006/main">
                    <a:graphicData uri="http://schemas.openxmlformats.org/drawingml/2006/picture">
                      <pic:pic xmlns:pic="http://schemas.openxmlformats.org/drawingml/2006/picture">
                        <pic:nvPicPr>
                          <pic:cNvPr id="2738" name="图片_1_SpCnt_2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23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4" name="图片_1_SpCnt_23"/>
                  <wp:cNvGraphicFramePr/>
                  <a:graphic xmlns:a="http://schemas.openxmlformats.org/drawingml/2006/main">
                    <a:graphicData uri="http://schemas.openxmlformats.org/drawingml/2006/picture">
                      <pic:pic xmlns:pic="http://schemas.openxmlformats.org/drawingml/2006/picture">
                        <pic:nvPicPr>
                          <pic:cNvPr id="2734" name="图片_1_SpCnt_2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02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89" name="图片_1_SpCnt_24"/>
                  <wp:cNvGraphicFramePr/>
                  <a:graphic xmlns:a="http://schemas.openxmlformats.org/drawingml/2006/main">
                    <a:graphicData uri="http://schemas.openxmlformats.org/drawingml/2006/picture">
                      <pic:pic xmlns:pic="http://schemas.openxmlformats.org/drawingml/2006/picture">
                        <pic:nvPicPr>
                          <pic:cNvPr id="3689" name="图片_1_SpCnt_2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401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10" name="图片_1_SpCnt_25"/>
                  <wp:cNvGraphicFramePr/>
                  <a:graphic xmlns:a="http://schemas.openxmlformats.org/drawingml/2006/main">
                    <a:graphicData uri="http://schemas.openxmlformats.org/drawingml/2006/picture">
                      <pic:pic xmlns:pic="http://schemas.openxmlformats.org/drawingml/2006/picture">
                        <pic:nvPicPr>
                          <pic:cNvPr id="2810" name="图片_1_SpCnt_2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585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28" name="图片_1_SpCnt_26"/>
                  <wp:cNvGraphicFramePr/>
                  <a:graphic xmlns:a="http://schemas.openxmlformats.org/drawingml/2006/main">
                    <a:graphicData uri="http://schemas.openxmlformats.org/drawingml/2006/picture">
                      <pic:pic xmlns:pic="http://schemas.openxmlformats.org/drawingml/2006/picture">
                        <pic:nvPicPr>
                          <pic:cNvPr id="2828" name="图片_1_SpCnt_2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48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2" name="图片_1_SpCnt_27"/>
                  <wp:cNvGraphicFramePr/>
                  <a:graphic xmlns:a="http://schemas.openxmlformats.org/drawingml/2006/main">
                    <a:graphicData uri="http://schemas.openxmlformats.org/drawingml/2006/picture">
                      <pic:pic xmlns:pic="http://schemas.openxmlformats.org/drawingml/2006/picture">
                        <pic:nvPicPr>
                          <pic:cNvPr id="2922" name="图片_1_SpCnt_2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35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1" name="图片_1_SpCnt_28"/>
                  <wp:cNvGraphicFramePr/>
                  <a:graphic xmlns:a="http://schemas.openxmlformats.org/drawingml/2006/main">
                    <a:graphicData uri="http://schemas.openxmlformats.org/drawingml/2006/picture">
                      <pic:pic xmlns:pic="http://schemas.openxmlformats.org/drawingml/2006/picture">
                        <pic:nvPicPr>
                          <pic:cNvPr id="2911" name="图片_1_SpCnt_2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94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7" name="图片_1_SpCnt_29"/>
                  <wp:cNvGraphicFramePr/>
                  <a:graphic xmlns:a="http://schemas.openxmlformats.org/drawingml/2006/main">
                    <a:graphicData uri="http://schemas.openxmlformats.org/drawingml/2006/picture">
                      <pic:pic xmlns:pic="http://schemas.openxmlformats.org/drawingml/2006/picture">
                        <pic:nvPicPr>
                          <pic:cNvPr id="2907" name="图片_1_SpCnt_2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15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9" name="图片_1_SpCnt_30"/>
                  <wp:cNvGraphicFramePr/>
                  <a:graphic xmlns:a="http://schemas.openxmlformats.org/drawingml/2006/main">
                    <a:graphicData uri="http://schemas.openxmlformats.org/drawingml/2006/picture">
                      <pic:pic xmlns:pic="http://schemas.openxmlformats.org/drawingml/2006/picture">
                        <pic:nvPicPr>
                          <pic:cNvPr id="2909" name="图片_1_SpCnt_3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24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7" name="图片_1_SpCnt_31"/>
                  <wp:cNvGraphicFramePr/>
                  <a:graphic xmlns:a="http://schemas.openxmlformats.org/drawingml/2006/main">
                    <a:graphicData uri="http://schemas.openxmlformats.org/drawingml/2006/picture">
                      <pic:pic xmlns:pic="http://schemas.openxmlformats.org/drawingml/2006/picture">
                        <pic:nvPicPr>
                          <pic:cNvPr id="3447" name="图片_1_SpCnt_3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72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4" name="图片_1_SpCnt_32"/>
                  <wp:cNvGraphicFramePr/>
                  <a:graphic xmlns:a="http://schemas.openxmlformats.org/drawingml/2006/main">
                    <a:graphicData uri="http://schemas.openxmlformats.org/drawingml/2006/picture">
                      <pic:pic xmlns:pic="http://schemas.openxmlformats.org/drawingml/2006/picture">
                        <pic:nvPicPr>
                          <pic:cNvPr id="3774" name="图片_1_SpCnt_3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12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0" name="图片_1_SpCnt_33"/>
                  <wp:cNvGraphicFramePr/>
                  <a:graphic xmlns:a="http://schemas.openxmlformats.org/drawingml/2006/main">
                    <a:graphicData uri="http://schemas.openxmlformats.org/drawingml/2006/picture">
                      <pic:pic xmlns:pic="http://schemas.openxmlformats.org/drawingml/2006/picture">
                        <pic:nvPicPr>
                          <pic:cNvPr id="3690" name="图片_1_SpCnt_3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82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6" name="图片_1_SpCnt_34"/>
                  <wp:cNvGraphicFramePr/>
                  <a:graphic xmlns:a="http://schemas.openxmlformats.org/drawingml/2006/main">
                    <a:graphicData uri="http://schemas.openxmlformats.org/drawingml/2006/picture">
                      <pic:pic xmlns:pic="http://schemas.openxmlformats.org/drawingml/2006/picture">
                        <pic:nvPicPr>
                          <pic:cNvPr id="2896" name="图片_1_SpCnt_3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104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81" name="图片_1_SpCnt_35"/>
                  <wp:cNvGraphicFramePr/>
                  <a:graphic xmlns:a="http://schemas.openxmlformats.org/drawingml/2006/main">
                    <a:graphicData uri="http://schemas.openxmlformats.org/drawingml/2006/picture">
                      <pic:pic xmlns:pic="http://schemas.openxmlformats.org/drawingml/2006/picture">
                        <pic:nvPicPr>
                          <pic:cNvPr id="2781" name="图片_1_SpCnt_3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23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0" name="图片_1_SpCnt_36"/>
                  <wp:cNvGraphicFramePr/>
                  <a:graphic xmlns:a="http://schemas.openxmlformats.org/drawingml/2006/main">
                    <a:graphicData uri="http://schemas.openxmlformats.org/drawingml/2006/picture">
                      <pic:pic xmlns:pic="http://schemas.openxmlformats.org/drawingml/2006/picture">
                        <pic:nvPicPr>
                          <pic:cNvPr id="2900" name="图片_1_SpCnt_3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02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8" name="图片_1_SpCnt_37"/>
                  <wp:cNvGraphicFramePr/>
                  <a:graphic xmlns:a="http://schemas.openxmlformats.org/drawingml/2006/main">
                    <a:graphicData uri="http://schemas.openxmlformats.org/drawingml/2006/picture">
                      <pic:pic xmlns:pic="http://schemas.openxmlformats.org/drawingml/2006/picture">
                        <pic:nvPicPr>
                          <pic:cNvPr id="2898" name="图片_1_SpCnt_3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43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6" name="图片_1_SpCnt_38"/>
                  <wp:cNvGraphicFramePr/>
                  <a:graphic xmlns:a="http://schemas.openxmlformats.org/drawingml/2006/main">
                    <a:graphicData uri="http://schemas.openxmlformats.org/drawingml/2006/picture">
                      <pic:pic xmlns:pic="http://schemas.openxmlformats.org/drawingml/2006/picture">
                        <pic:nvPicPr>
                          <pic:cNvPr id="2736" name="图片_1_SpCnt_3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1" name="图片_1_SpCnt_39"/>
                  <wp:cNvGraphicFramePr/>
                  <a:graphic xmlns:a="http://schemas.openxmlformats.org/drawingml/2006/main">
                    <a:graphicData uri="http://schemas.openxmlformats.org/drawingml/2006/picture">
                      <pic:pic xmlns:pic="http://schemas.openxmlformats.org/drawingml/2006/picture">
                        <pic:nvPicPr>
                          <pic:cNvPr id="2731" name="图片_1_SpCnt_3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43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2" name="图片_1_SpCnt_40"/>
                  <wp:cNvGraphicFramePr/>
                  <a:graphic xmlns:a="http://schemas.openxmlformats.org/drawingml/2006/main">
                    <a:graphicData uri="http://schemas.openxmlformats.org/drawingml/2006/picture">
                      <pic:pic xmlns:pic="http://schemas.openxmlformats.org/drawingml/2006/picture">
                        <pic:nvPicPr>
                          <pic:cNvPr id="2902" name="图片_1_SpCnt_4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699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25" name="图片_1_SpCnt_41"/>
                  <wp:cNvGraphicFramePr/>
                  <a:graphic xmlns:a="http://schemas.openxmlformats.org/drawingml/2006/main">
                    <a:graphicData uri="http://schemas.openxmlformats.org/drawingml/2006/picture">
                      <pic:pic xmlns:pic="http://schemas.openxmlformats.org/drawingml/2006/picture">
                        <pic:nvPicPr>
                          <pic:cNvPr id="3425" name="图片_1_SpCnt_4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23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1" name="图片_1_SpCnt_42"/>
                  <wp:cNvGraphicFramePr/>
                  <a:graphic xmlns:a="http://schemas.openxmlformats.org/drawingml/2006/main">
                    <a:graphicData uri="http://schemas.openxmlformats.org/drawingml/2006/picture">
                      <pic:pic xmlns:pic="http://schemas.openxmlformats.org/drawingml/2006/picture">
                        <pic:nvPicPr>
                          <pic:cNvPr id="3691" name="图片_1_SpCnt_4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92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7" name="图片_1_SpCnt_43"/>
                  <wp:cNvGraphicFramePr/>
                  <a:graphic xmlns:a="http://schemas.openxmlformats.org/drawingml/2006/main">
                    <a:graphicData uri="http://schemas.openxmlformats.org/drawingml/2006/picture">
                      <pic:pic xmlns:pic="http://schemas.openxmlformats.org/drawingml/2006/picture">
                        <pic:nvPicPr>
                          <pic:cNvPr id="2897" name="图片_1_SpCnt_4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12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9" name="图片_1_SpCnt_44"/>
                  <wp:cNvGraphicFramePr/>
                  <a:graphic xmlns:a="http://schemas.openxmlformats.org/drawingml/2006/main">
                    <a:graphicData uri="http://schemas.openxmlformats.org/drawingml/2006/picture">
                      <pic:pic xmlns:pic="http://schemas.openxmlformats.org/drawingml/2006/picture">
                        <pic:nvPicPr>
                          <pic:cNvPr id="2899" name="图片_1_SpCnt_4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84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6" name="图片_1_SpCnt_45"/>
                  <wp:cNvGraphicFramePr/>
                  <a:graphic xmlns:a="http://schemas.openxmlformats.org/drawingml/2006/main">
                    <a:graphicData uri="http://schemas.openxmlformats.org/drawingml/2006/picture">
                      <pic:pic xmlns:pic="http://schemas.openxmlformats.org/drawingml/2006/picture">
                        <pic:nvPicPr>
                          <pic:cNvPr id="2906" name="图片_1_SpCnt_4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640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31" name="图片_1_SpCnt_46"/>
                  <wp:cNvGraphicFramePr/>
                  <a:graphic xmlns:a="http://schemas.openxmlformats.org/drawingml/2006/main">
                    <a:graphicData uri="http://schemas.openxmlformats.org/drawingml/2006/picture">
                      <pic:pic xmlns:pic="http://schemas.openxmlformats.org/drawingml/2006/picture">
                        <pic:nvPicPr>
                          <pic:cNvPr id="2931" name="图片_1_SpCnt_4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76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5" name="图片_1_SpCnt_47"/>
                  <wp:cNvGraphicFramePr/>
                  <a:graphic xmlns:a="http://schemas.openxmlformats.org/drawingml/2006/main">
                    <a:graphicData uri="http://schemas.openxmlformats.org/drawingml/2006/picture">
                      <pic:pic xmlns:pic="http://schemas.openxmlformats.org/drawingml/2006/picture">
                        <pic:nvPicPr>
                          <pic:cNvPr id="2915" name="图片_1_SpCnt_4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392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88" name="图片_1_SpCnt_48"/>
                  <wp:cNvGraphicFramePr/>
                  <a:graphic xmlns:a="http://schemas.openxmlformats.org/drawingml/2006/main">
                    <a:graphicData uri="http://schemas.openxmlformats.org/drawingml/2006/picture">
                      <pic:pic xmlns:pic="http://schemas.openxmlformats.org/drawingml/2006/picture">
                        <pic:nvPicPr>
                          <pic:cNvPr id="3688" name="图片_1_SpCnt_4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25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0" name="图片_1_SpCnt_49"/>
                  <wp:cNvGraphicFramePr/>
                  <a:graphic xmlns:a="http://schemas.openxmlformats.org/drawingml/2006/main">
                    <a:graphicData uri="http://schemas.openxmlformats.org/drawingml/2006/picture">
                      <pic:pic xmlns:pic="http://schemas.openxmlformats.org/drawingml/2006/picture">
                        <pic:nvPicPr>
                          <pic:cNvPr id="2910" name="图片_1_SpCnt_4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64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4" name="图片_1_SpCnt_50"/>
                  <wp:cNvGraphicFramePr/>
                  <a:graphic xmlns:a="http://schemas.openxmlformats.org/drawingml/2006/main">
                    <a:graphicData uri="http://schemas.openxmlformats.org/drawingml/2006/picture">
                      <pic:pic xmlns:pic="http://schemas.openxmlformats.org/drawingml/2006/picture">
                        <pic:nvPicPr>
                          <pic:cNvPr id="2904" name="图片_1_SpCnt_5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21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1" name="图片_1_SpCnt_51"/>
                  <wp:cNvGraphicFramePr/>
                  <a:graphic xmlns:a="http://schemas.openxmlformats.org/drawingml/2006/main">
                    <a:graphicData uri="http://schemas.openxmlformats.org/drawingml/2006/picture">
                      <pic:pic xmlns:pic="http://schemas.openxmlformats.org/drawingml/2006/picture">
                        <pic:nvPicPr>
                          <pic:cNvPr id="2851" name="图片_1_SpCnt_5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251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93" name="图片_1_SpCnt_52"/>
                  <wp:cNvGraphicFramePr/>
                  <a:graphic xmlns:a="http://schemas.openxmlformats.org/drawingml/2006/main">
                    <a:graphicData uri="http://schemas.openxmlformats.org/drawingml/2006/picture">
                      <pic:pic xmlns:pic="http://schemas.openxmlformats.org/drawingml/2006/picture">
                        <pic:nvPicPr>
                          <pic:cNvPr id="2893" name="图片_1_SpCnt_5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49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69" name="图片_1_SpCnt_53"/>
                  <wp:cNvGraphicFramePr/>
                  <a:graphic xmlns:a="http://schemas.openxmlformats.org/drawingml/2006/main">
                    <a:graphicData uri="http://schemas.openxmlformats.org/drawingml/2006/picture">
                      <pic:pic xmlns:pic="http://schemas.openxmlformats.org/drawingml/2006/picture">
                        <pic:nvPicPr>
                          <pic:cNvPr id="3469" name="图片_1_SpCnt_5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33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5" name="图片_1_SpCnt_54"/>
                  <wp:cNvGraphicFramePr/>
                  <a:graphic xmlns:a="http://schemas.openxmlformats.org/drawingml/2006/main">
                    <a:graphicData uri="http://schemas.openxmlformats.org/drawingml/2006/picture">
                      <pic:pic xmlns:pic="http://schemas.openxmlformats.org/drawingml/2006/picture">
                        <pic:nvPicPr>
                          <pic:cNvPr id="2735" name="图片_1_SpCnt_5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91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66" name="图片_1_SpCnt_55"/>
                  <wp:cNvGraphicFramePr/>
                  <a:graphic xmlns:a="http://schemas.openxmlformats.org/drawingml/2006/main">
                    <a:graphicData uri="http://schemas.openxmlformats.org/drawingml/2006/picture">
                      <pic:pic xmlns:pic="http://schemas.openxmlformats.org/drawingml/2006/picture">
                        <pic:nvPicPr>
                          <pic:cNvPr id="3766" name="图片_1_SpCnt_5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29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28" name="图片_1_SpCnt_56"/>
                  <wp:cNvGraphicFramePr/>
                  <a:graphic xmlns:a="http://schemas.openxmlformats.org/drawingml/2006/main">
                    <a:graphicData uri="http://schemas.openxmlformats.org/drawingml/2006/picture">
                      <pic:pic xmlns:pic="http://schemas.openxmlformats.org/drawingml/2006/picture">
                        <pic:nvPicPr>
                          <pic:cNvPr id="3428" name="图片_1_SpCnt_5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14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6" name="图片_1_SpCnt_57"/>
                  <wp:cNvGraphicFramePr/>
                  <a:graphic xmlns:a="http://schemas.openxmlformats.org/drawingml/2006/main">
                    <a:graphicData uri="http://schemas.openxmlformats.org/drawingml/2006/picture">
                      <pic:pic xmlns:pic="http://schemas.openxmlformats.org/drawingml/2006/picture">
                        <pic:nvPicPr>
                          <pic:cNvPr id="3446" name="图片_1_SpCnt_5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70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32" name="图片_1_SpCnt_58"/>
                  <wp:cNvGraphicFramePr/>
                  <a:graphic xmlns:a="http://schemas.openxmlformats.org/drawingml/2006/main">
                    <a:graphicData uri="http://schemas.openxmlformats.org/drawingml/2006/picture">
                      <pic:pic xmlns:pic="http://schemas.openxmlformats.org/drawingml/2006/picture">
                        <pic:nvPicPr>
                          <pic:cNvPr id="3432" name="图片_1_SpCnt_5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44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9" name="图片_1_SpCnt_59"/>
                  <wp:cNvGraphicFramePr/>
                  <a:graphic xmlns:a="http://schemas.openxmlformats.org/drawingml/2006/main">
                    <a:graphicData uri="http://schemas.openxmlformats.org/drawingml/2006/picture">
                      <pic:pic xmlns:pic="http://schemas.openxmlformats.org/drawingml/2006/picture">
                        <pic:nvPicPr>
                          <pic:cNvPr id="3449" name="图片_1_SpCnt_5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85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3" name="图片_1_SpCnt_60"/>
                  <wp:cNvGraphicFramePr/>
                  <a:graphic xmlns:a="http://schemas.openxmlformats.org/drawingml/2006/main">
                    <a:graphicData uri="http://schemas.openxmlformats.org/drawingml/2006/picture">
                      <pic:pic xmlns:pic="http://schemas.openxmlformats.org/drawingml/2006/picture">
                        <pic:nvPicPr>
                          <pic:cNvPr id="3453" name="图片_1_SpCnt_6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37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8" name="图片_1_SpCnt_61"/>
                  <wp:cNvGraphicFramePr/>
                  <a:graphic xmlns:a="http://schemas.openxmlformats.org/drawingml/2006/main">
                    <a:graphicData uri="http://schemas.openxmlformats.org/drawingml/2006/picture">
                      <pic:pic xmlns:pic="http://schemas.openxmlformats.org/drawingml/2006/picture">
                        <pic:nvPicPr>
                          <pic:cNvPr id="3458" name="图片_1_SpCnt_6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83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3" name="图片_1_SpCnt_62"/>
                  <wp:cNvGraphicFramePr/>
                  <a:graphic xmlns:a="http://schemas.openxmlformats.org/drawingml/2006/main">
                    <a:graphicData uri="http://schemas.openxmlformats.org/drawingml/2006/picture">
                      <pic:pic xmlns:pic="http://schemas.openxmlformats.org/drawingml/2006/picture">
                        <pic:nvPicPr>
                          <pic:cNvPr id="3443" name="图片_1_SpCnt_6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01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67" name="图片_1_SpCnt_63"/>
                  <wp:cNvGraphicFramePr/>
                  <a:graphic xmlns:a="http://schemas.openxmlformats.org/drawingml/2006/main">
                    <a:graphicData uri="http://schemas.openxmlformats.org/drawingml/2006/picture">
                      <pic:pic xmlns:pic="http://schemas.openxmlformats.org/drawingml/2006/picture">
                        <pic:nvPicPr>
                          <pic:cNvPr id="3767" name="图片_1_SpCnt_6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46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2" name="图片_1_SpCnt_64"/>
                  <wp:cNvGraphicFramePr/>
                  <a:graphic xmlns:a="http://schemas.openxmlformats.org/drawingml/2006/main">
                    <a:graphicData uri="http://schemas.openxmlformats.org/drawingml/2006/picture">
                      <pic:pic xmlns:pic="http://schemas.openxmlformats.org/drawingml/2006/picture">
                        <pic:nvPicPr>
                          <pic:cNvPr id="2912" name="图片_1_SpCnt_6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37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94" name="图片_1_SpCnt_65"/>
                  <wp:cNvGraphicFramePr/>
                  <a:graphic xmlns:a="http://schemas.openxmlformats.org/drawingml/2006/main">
                    <a:graphicData uri="http://schemas.openxmlformats.org/drawingml/2006/picture">
                      <pic:pic xmlns:pic="http://schemas.openxmlformats.org/drawingml/2006/picture">
                        <pic:nvPicPr>
                          <pic:cNvPr id="2794" name="图片_1_SpCnt_6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88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99" name="图片_1_SpCnt_66"/>
                  <wp:cNvGraphicFramePr/>
                  <a:graphic xmlns:a="http://schemas.openxmlformats.org/drawingml/2006/main">
                    <a:graphicData uri="http://schemas.openxmlformats.org/drawingml/2006/picture">
                      <pic:pic xmlns:pic="http://schemas.openxmlformats.org/drawingml/2006/picture">
                        <pic:nvPicPr>
                          <pic:cNvPr id="2799" name="图片_1_SpCnt_6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135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84" name="图片_1_SpCnt_67"/>
                  <wp:cNvGraphicFramePr/>
                  <a:graphic xmlns:a="http://schemas.openxmlformats.org/drawingml/2006/main">
                    <a:graphicData uri="http://schemas.openxmlformats.org/drawingml/2006/picture">
                      <pic:pic xmlns:pic="http://schemas.openxmlformats.org/drawingml/2006/picture">
                        <pic:nvPicPr>
                          <pic:cNvPr id="2784" name="图片_1_SpCnt_6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176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88" name="图片_1_SpCnt_68"/>
                  <wp:cNvGraphicFramePr/>
                  <a:graphic xmlns:a="http://schemas.openxmlformats.org/drawingml/2006/main">
                    <a:graphicData uri="http://schemas.openxmlformats.org/drawingml/2006/picture">
                      <pic:pic xmlns:pic="http://schemas.openxmlformats.org/drawingml/2006/picture">
                        <pic:nvPicPr>
                          <pic:cNvPr id="2788" name="图片_1_SpCnt_6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70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07" name="图片_1_SpCnt_69"/>
                  <wp:cNvGraphicFramePr/>
                  <a:graphic xmlns:a="http://schemas.openxmlformats.org/drawingml/2006/main">
                    <a:graphicData uri="http://schemas.openxmlformats.org/drawingml/2006/picture">
                      <pic:pic xmlns:pic="http://schemas.openxmlformats.org/drawingml/2006/picture">
                        <pic:nvPicPr>
                          <pic:cNvPr id="2807" name="图片_1_SpCnt_6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2" name="图片_1_SpCnt_70"/>
                  <wp:cNvGraphicFramePr/>
                  <a:graphic xmlns:a="http://schemas.openxmlformats.org/drawingml/2006/main">
                    <a:graphicData uri="http://schemas.openxmlformats.org/drawingml/2006/picture">
                      <pic:pic xmlns:pic="http://schemas.openxmlformats.org/drawingml/2006/picture">
                        <pic:nvPicPr>
                          <pic:cNvPr id="2742" name="图片_1_SpCnt_7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524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22" name="图片_1_SpCnt_71"/>
                  <wp:cNvGraphicFramePr/>
                  <a:graphic xmlns:a="http://schemas.openxmlformats.org/drawingml/2006/main">
                    <a:graphicData uri="http://schemas.openxmlformats.org/drawingml/2006/picture">
                      <pic:pic xmlns:pic="http://schemas.openxmlformats.org/drawingml/2006/picture">
                        <pic:nvPicPr>
                          <pic:cNvPr id="2822" name="图片_1_SpCnt_7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473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17" name="图片_1_SpCnt_72"/>
                  <wp:cNvGraphicFramePr/>
                  <a:graphic xmlns:a="http://schemas.openxmlformats.org/drawingml/2006/main">
                    <a:graphicData uri="http://schemas.openxmlformats.org/drawingml/2006/picture">
                      <pic:pic xmlns:pic="http://schemas.openxmlformats.org/drawingml/2006/picture">
                        <pic:nvPicPr>
                          <pic:cNvPr id="2817" name="图片_1_SpCnt_7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60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06" name="图片_1_SpCnt_73"/>
                  <wp:cNvGraphicFramePr/>
                  <a:graphic xmlns:a="http://schemas.openxmlformats.org/drawingml/2006/main">
                    <a:graphicData uri="http://schemas.openxmlformats.org/drawingml/2006/picture">
                      <pic:pic xmlns:pic="http://schemas.openxmlformats.org/drawingml/2006/picture">
                        <pic:nvPicPr>
                          <pic:cNvPr id="2806" name="图片_1_SpCnt_7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19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02" name="图片_1_SpCnt_74"/>
                  <wp:cNvGraphicFramePr/>
                  <a:graphic xmlns:a="http://schemas.openxmlformats.org/drawingml/2006/main">
                    <a:graphicData uri="http://schemas.openxmlformats.org/drawingml/2006/picture">
                      <pic:pic xmlns:pic="http://schemas.openxmlformats.org/drawingml/2006/picture">
                        <pic:nvPicPr>
                          <pic:cNvPr id="2802" name="图片_1_SpCnt_7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196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90" name="图片_1_SpCnt_75"/>
                  <wp:cNvGraphicFramePr/>
                  <a:graphic xmlns:a="http://schemas.openxmlformats.org/drawingml/2006/main">
                    <a:graphicData uri="http://schemas.openxmlformats.org/drawingml/2006/picture">
                      <pic:pic xmlns:pic="http://schemas.openxmlformats.org/drawingml/2006/picture">
                        <pic:nvPicPr>
                          <pic:cNvPr id="2790" name="图片_1_SpCnt_7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125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83" name="图片_1_SpCnt_76"/>
                  <wp:cNvGraphicFramePr/>
                  <a:graphic xmlns:a="http://schemas.openxmlformats.org/drawingml/2006/main">
                    <a:graphicData uri="http://schemas.openxmlformats.org/drawingml/2006/picture">
                      <pic:pic xmlns:pic="http://schemas.openxmlformats.org/drawingml/2006/picture">
                        <pic:nvPicPr>
                          <pic:cNvPr id="2783" name="图片_1_SpCnt_7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81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08" name="图片_1_SpCnt_77"/>
                  <wp:cNvGraphicFramePr/>
                  <a:graphic xmlns:a="http://schemas.openxmlformats.org/drawingml/2006/main">
                    <a:graphicData uri="http://schemas.openxmlformats.org/drawingml/2006/picture">
                      <pic:pic xmlns:pic="http://schemas.openxmlformats.org/drawingml/2006/picture">
                        <pic:nvPicPr>
                          <pic:cNvPr id="2808" name="图片_1_SpCnt_7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02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2" name="图片_1_SpCnt_78"/>
                  <wp:cNvGraphicFramePr/>
                  <a:graphic xmlns:a="http://schemas.openxmlformats.org/drawingml/2006/main">
                    <a:graphicData uri="http://schemas.openxmlformats.org/drawingml/2006/picture">
                      <pic:pic xmlns:pic="http://schemas.openxmlformats.org/drawingml/2006/picture">
                        <pic:nvPicPr>
                          <pic:cNvPr id="2732" name="图片_1_SpCnt_7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13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3" name="图片_1_SpCnt_79"/>
                  <wp:cNvGraphicFramePr/>
                  <a:graphic xmlns:a="http://schemas.openxmlformats.org/drawingml/2006/main">
                    <a:graphicData uri="http://schemas.openxmlformats.org/drawingml/2006/picture">
                      <pic:pic xmlns:pic="http://schemas.openxmlformats.org/drawingml/2006/picture">
                        <pic:nvPicPr>
                          <pic:cNvPr id="2733" name="图片_1_SpCnt_7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66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4" name="图片_1_SpCnt_80"/>
                  <wp:cNvGraphicFramePr/>
                  <a:graphic xmlns:a="http://schemas.openxmlformats.org/drawingml/2006/main">
                    <a:graphicData uri="http://schemas.openxmlformats.org/drawingml/2006/picture">
                      <pic:pic xmlns:pic="http://schemas.openxmlformats.org/drawingml/2006/picture">
                        <pic:nvPicPr>
                          <pic:cNvPr id="2914" name="图片_1_SpCnt_8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630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30" name="图片_1_SpCnt_81"/>
                  <wp:cNvGraphicFramePr/>
                  <a:graphic xmlns:a="http://schemas.openxmlformats.org/drawingml/2006/main">
                    <a:graphicData uri="http://schemas.openxmlformats.org/drawingml/2006/picture">
                      <pic:pic xmlns:pic="http://schemas.openxmlformats.org/drawingml/2006/picture">
                        <pic:nvPicPr>
                          <pic:cNvPr id="2930" name="图片_1_SpCnt_8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33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1" name="图片_1_SpCnt_82"/>
                  <wp:cNvGraphicFramePr/>
                  <a:graphic xmlns:a="http://schemas.openxmlformats.org/drawingml/2006/main">
                    <a:graphicData uri="http://schemas.openxmlformats.org/drawingml/2006/picture">
                      <pic:pic xmlns:pic="http://schemas.openxmlformats.org/drawingml/2006/picture">
                        <pic:nvPicPr>
                          <pic:cNvPr id="2901" name="图片_1_SpCnt_8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53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3" name="图片_1_SpCnt_83"/>
                  <wp:cNvGraphicFramePr/>
                  <a:graphic xmlns:a="http://schemas.openxmlformats.org/drawingml/2006/main">
                    <a:graphicData uri="http://schemas.openxmlformats.org/drawingml/2006/picture">
                      <pic:pic xmlns:pic="http://schemas.openxmlformats.org/drawingml/2006/picture">
                        <pic:nvPicPr>
                          <pic:cNvPr id="2903" name="图片_1_SpCnt_8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79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5" name="图片_1_SpCnt_84"/>
                  <wp:cNvGraphicFramePr/>
                  <a:graphic xmlns:a="http://schemas.openxmlformats.org/drawingml/2006/main">
                    <a:graphicData uri="http://schemas.openxmlformats.org/drawingml/2006/picture">
                      <pic:pic xmlns:pic="http://schemas.openxmlformats.org/drawingml/2006/picture">
                        <pic:nvPicPr>
                          <pic:cNvPr id="2925" name="图片_1_SpCnt_8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609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8" name="图片_1_SpCnt_85"/>
                  <wp:cNvGraphicFramePr/>
                  <a:graphic xmlns:a="http://schemas.openxmlformats.org/drawingml/2006/main">
                    <a:graphicData uri="http://schemas.openxmlformats.org/drawingml/2006/picture">
                      <pic:pic xmlns:pic="http://schemas.openxmlformats.org/drawingml/2006/picture">
                        <pic:nvPicPr>
                          <pic:cNvPr id="2928" name="图片_1_SpCnt_8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43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3" name="图片_1_SpCnt_86"/>
                  <wp:cNvGraphicFramePr/>
                  <a:graphic xmlns:a="http://schemas.openxmlformats.org/drawingml/2006/main">
                    <a:graphicData uri="http://schemas.openxmlformats.org/drawingml/2006/picture">
                      <pic:pic xmlns:pic="http://schemas.openxmlformats.org/drawingml/2006/picture">
                        <pic:nvPicPr>
                          <pic:cNvPr id="3693" name="图片_1_SpCnt_8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58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3" name="图片_1_SpCnt_87"/>
                  <wp:cNvGraphicFramePr/>
                  <a:graphic xmlns:a="http://schemas.openxmlformats.org/drawingml/2006/main">
                    <a:graphicData uri="http://schemas.openxmlformats.org/drawingml/2006/picture">
                      <pic:pic xmlns:pic="http://schemas.openxmlformats.org/drawingml/2006/picture">
                        <pic:nvPicPr>
                          <pic:cNvPr id="2923" name="图片_1_SpCnt_8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53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4" name="图片_1_SpCnt_88"/>
                  <wp:cNvGraphicFramePr/>
                  <a:graphic xmlns:a="http://schemas.openxmlformats.org/drawingml/2006/main">
                    <a:graphicData uri="http://schemas.openxmlformats.org/drawingml/2006/picture">
                      <pic:pic xmlns:pic="http://schemas.openxmlformats.org/drawingml/2006/picture">
                        <pic:nvPicPr>
                          <pic:cNvPr id="3694" name="图片_1_SpCnt_8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56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3" name="图片_1_SpCnt_89"/>
                  <wp:cNvGraphicFramePr/>
                  <a:graphic xmlns:a="http://schemas.openxmlformats.org/drawingml/2006/main">
                    <a:graphicData uri="http://schemas.openxmlformats.org/drawingml/2006/picture">
                      <pic:pic xmlns:pic="http://schemas.openxmlformats.org/drawingml/2006/picture">
                        <pic:nvPicPr>
                          <pic:cNvPr id="2913" name="图片_1_SpCnt_8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87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6" name="图片_1_SpCnt_90"/>
                  <wp:cNvGraphicFramePr/>
                  <a:graphic xmlns:a="http://schemas.openxmlformats.org/drawingml/2006/main">
                    <a:graphicData uri="http://schemas.openxmlformats.org/drawingml/2006/picture">
                      <pic:pic xmlns:pic="http://schemas.openxmlformats.org/drawingml/2006/picture">
                        <pic:nvPicPr>
                          <pic:cNvPr id="2916" name="图片_1_SpCnt_9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64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5" name="图片_1_SpCnt_91"/>
                  <wp:cNvGraphicFramePr/>
                  <a:graphic xmlns:a="http://schemas.openxmlformats.org/drawingml/2006/main">
                    <a:graphicData uri="http://schemas.openxmlformats.org/drawingml/2006/picture">
                      <pic:pic xmlns:pic="http://schemas.openxmlformats.org/drawingml/2006/picture">
                        <pic:nvPicPr>
                          <pic:cNvPr id="3695" name="图片_1_SpCnt_9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99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7" name="图片_1_SpCnt_92"/>
                  <wp:cNvGraphicFramePr/>
                  <a:graphic xmlns:a="http://schemas.openxmlformats.org/drawingml/2006/main">
                    <a:graphicData uri="http://schemas.openxmlformats.org/drawingml/2006/picture">
                      <pic:pic xmlns:pic="http://schemas.openxmlformats.org/drawingml/2006/picture">
                        <pic:nvPicPr>
                          <pic:cNvPr id="2927" name="图片_1_SpCnt_9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74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6" name="图片_1_SpCnt_93"/>
                  <wp:cNvGraphicFramePr/>
                  <a:graphic xmlns:a="http://schemas.openxmlformats.org/drawingml/2006/main">
                    <a:graphicData uri="http://schemas.openxmlformats.org/drawingml/2006/picture">
                      <pic:pic xmlns:pic="http://schemas.openxmlformats.org/drawingml/2006/picture">
                        <pic:nvPicPr>
                          <pic:cNvPr id="3696" name="图片_1_SpCnt_9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17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9" name="图片_1_SpCnt_94"/>
                  <wp:cNvGraphicFramePr/>
                  <a:graphic xmlns:a="http://schemas.openxmlformats.org/drawingml/2006/main">
                    <a:graphicData uri="http://schemas.openxmlformats.org/drawingml/2006/picture">
                      <pic:pic xmlns:pic="http://schemas.openxmlformats.org/drawingml/2006/picture">
                        <pic:nvPicPr>
                          <pic:cNvPr id="2919" name="图片_1_SpCnt_9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84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7" name="图片_1_SpCnt_95"/>
                  <wp:cNvGraphicFramePr/>
                  <a:graphic xmlns:a="http://schemas.openxmlformats.org/drawingml/2006/main">
                    <a:graphicData uri="http://schemas.openxmlformats.org/drawingml/2006/picture">
                      <pic:pic xmlns:pic="http://schemas.openxmlformats.org/drawingml/2006/picture">
                        <pic:nvPicPr>
                          <pic:cNvPr id="3697" name="图片_1_SpCnt_9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07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8" name="图片_1_SpCnt_96"/>
                  <wp:cNvGraphicFramePr/>
                  <a:graphic xmlns:a="http://schemas.openxmlformats.org/drawingml/2006/main">
                    <a:graphicData uri="http://schemas.openxmlformats.org/drawingml/2006/picture">
                      <pic:pic xmlns:pic="http://schemas.openxmlformats.org/drawingml/2006/picture">
                        <pic:nvPicPr>
                          <pic:cNvPr id="2918" name="图片_1_SpCnt_9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94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8" name="图片_1_SpCnt_97"/>
                  <wp:cNvGraphicFramePr/>
                  <a:graphic xmlns:a="http://schemas.openxmlformats.org/drawingml/2006/main">
                    <a:graphicData uri="http://schemas.openxmlformats.org/drawingml/2006/picture">
                      <pic:pic xmlns:pic="http://schemas.openxmlformats.org/drawingml/2006/picture">
                        <pic:nvPicPr>
                          <pic:cNvPr id="3698" name="图片_1_SpCnt_9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28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0" name="图片_1_SpCnt_98"/>
                  <wp:cNvGraphicFramePr/>
                  <a:graphic xmlns:a="http://schemas.openxmlformats.org/drawingml/2006/main">
                    <a:graphicData uri="http://schemas.openxmlformats.org/drawingml/2006/picture">
                      <pic:pic xmlns:pic="http://schemas.openxmlformats.org/drawingml/2006/picture">
                        <pic:nvPicPr>
                          <pic:cNvPr id="2920" name="图片_1_SpCnt_9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433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2" name="图片_1_SpCnt_99"/>
                  <wp:cNvGraphicFramePr/>
                  <a:graphic xmlns:a="http://schemas.openxmlformats.org/drawingml/2006/main">
                    <a:graphicData uri="http://schemas.openxmlformats.org/drawingml/2006/picture">
                      <pic:pic xmlns:pic="http://schemas.openxmlformats.org/drawingml/2006/picture">
                        <pic:nvPicPr>
                          <pic:cNvPr id="3692" name="图片_1_SpCnt_9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89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6" name="图片_1_SpCnt_100"/>
                  <wp:cNvGraphicFramePr/>
                  <a:graphic xmlns:a="http://schemas.openxmlformats.org/drawingml/2006/main">
                    <a:graphicData uri="http://schemas.openxmlformats.org/drawingml/2006/picture">
                      <pic:pic xmlns:pic="http://schemas.openxmlformats.org/drawingml/2006/picture">
                        <pic:nvPicPr>
                          <pic:cNvPr id="2926" name="图片_1_SpCnt_10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04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699" name="图片_1_SpCnt_101"/>
                  <wp:cNvGraphicFramePr/>
                  <a:graphic xmlns:a="http://schemas.openxmlformats.org/drawingml/2006/main">
                    <a:graphicData uri="http://schemas.openxmlformats.org/drawingml/2006/picture">
                      <pic:pic xmlns:pic="http://schemas.openxmlformats.org/drawingml/2006/picture">
                        <pic:nvPicPr>
                          <pic:cNvPr id="3699" name="图片_1_SpCnt_10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38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1" name="图片_1_SpCnt_102"/>
                  <wp:cNvGraphicFramePr/>
                  <a:graphic xmlns:a="http://schemas.openxmlformats.org/drawingml/2006/main">
                    <a:graphicData uri="http://schemas.openxmlformats.org/drawingml/2006/picture">
                      <pic:pic xmlns:pic="http://schemas.openxmlformats.org/drawingml/2006/picture">
                        <pic:nvPicPr>
                          <pic:cNvPr id="2921" name="图片_1_SpCnt_10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15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0" name="图片_1_SpCnt_103"/>
                  <wp:cNvGraphicFramePr/>
                  <a:graphic xmlns:a="http://schemas.openxmlformats.org/drawingml/2006/main">
                    <a:graphicData uri="http://schemas.openxmlformats.org/drawingml/2006/picture">
                      <pic:pic xmlns:pic="http://schemas.openxmlformats.org/drawingml/2006/picture">
                        <pic:nvPicPr>
                          <pic:cNvPr id="3700" name="图片_1_SpCnt_10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25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1" name="图片_1_SpCnt_104"/>
                  <wp:cNvGraphicFramePr/>
                  <a:graphic xmlns:a="http://schemas.openxmlformats.org/drawingml/2006/main">
                    <a:graphicData uri="http://schemas.openxmlformats.org/drawingml/2006/picture">
                      <pic:pic xmlns:pic="http://schemas.openxmlformats.org/drawingml/2006/picture">
                        <pic:nvPicPr>
                          <pic:cNvPr id="3701" name="图片_1_SpCnt_10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35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2" name="图片_1_SpCnt_105"/>
                  <wp:cNvGraphicFramePr/>
                  <a:graphic xmlns:a="http://schemas.openxmlformats.org/drawingml/2006/main">
                    <a:graphicData uri="http://schemas.openxmlformats.org/drawingml/2006/picture">
                      <pic:pic xmlns:pic="http://schemas.openxmlformats.org/drawingml/2006/picture">
                        <pic:nvPicPr>
                          <pic:cNvPr id="3702" name="图片_1_SpCnt_10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568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24" name="图片_1_SpCnt_106"/>
                  <wp:cNvGraphicFramePr/>
                  <a:graphic xmlns:a="http://schemas.openxmlformats.org/drawingml/2006/main">
                    <a:graphicData uri="http://schemas.openxmlformats.org/drawingml/2006/picture">
                      <pic:pic xmlns:pic="http://schemas.openxmlformats.org/drawingml/2006/picture">
                        <pic:nvPicPr>
                          <pic:cNvPr id="2924" name="图片_1_SpCnt_10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45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3" name="图片_1_SpCnt_107"/>
                  <wp:cNvGraphicFramePr/>
                  <a:graphic xmlns:a="http://schemas.openxmlformats.org/drawingml/2006/main">
                    <a:graphicData uri="http://schemas.openxmlformats.org/drawingml/2006/picture">
                      <pic:pic xmlns:pic="http://schemas.openxmlformats.org/drawingml/2006/picture">
                        <pic:nvPicPr>
                          <pic:cNvPr id="3703" name="图片_1_SpCnt_10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37" name="图片_1_SpCnt_108"/>
                  <wp:cNvGraphicFramePr/>
                  <a:graphic xmlns:a="http://schemas.openxmlformats.org/drawingml/2006/main">
                    <a:graphicData uri="http://schemas.openxmlformats.org/drawingml/2006/picture">
                      <pic:pic xmlns:pic="http://schemas.openxmlformats.org/drawingml/2006/picture">
                        <pic:nvPicPr>
                          <pic:cNvPr id="2737" name="图片_1_SpCnt_10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56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4" name="图片_1_SpCnt_109"/>
                  <wp:cNvGraphicFramePr/>
                  <a:graphic xmlns:a="http://schemas.openxmlformats.org/drawingml/2006/main">
                    <a:graphicData uri="http://schemas.openxmlformats.org/drawingml/2006/picture">
                      <pic:pic xmlns:pic="http://schemas.openxmlformats.org/drawingml/2006/picture">
                        <pic:nvPicPr>
                          <pic:cNvPr id="3704" name="图片_1_SpCnt_10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96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4" name="图片_1_SpCnt_110"/>
                  <wp:cNvGraphicFramePr/>
                  <a:graphic xmlns:a="http://schemas.openxmlformats.org/drawingml/2006/main">
                    <a:graphicData uri="http://schemas.openxmlformats.org/drawingml/2006/picture">
                      <pic:pic xmlns:pic="http://schemas.openxmlformats.org/drawingml/2006/picture">
                        <pic:nvPicPr>
                          <pic:cNvPr id="3454" name="图片_1_SpCnt_11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66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5" name="图片_1_SpCnt_111"/>
                  <wp:cNvGraphicFramePr/>
                  <a:graphic xmlns:a="http://schemas.openxmlformats.org/drawingml/2006/main">
                    <a:graphicData uri="http://schemas.openxmlformats.org/drawingml/2006/picture">
                      <pic:pic xmlns:pic="http://schemas.openxmlformats.org/drawingml/2006/picture">
                        <pic:nvPicPr>
                          <pic:cNvPr id="3705" name="图片_1_SpCnt_11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98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64" name="图片_1_SpCnt_112"/>
                  <wp:cNvGraphicFramePr/>
                  <a:graphic xmlns:a="http://schemas.openxmlformats.org/drawingml/2006/main">
                    <a:graphicData uri="http://schemas.openxmlformats.org/drawingml/2006/picture">
                      <pic:pic xmlns:pic="http://schemas.openxmlformats.org/drawingml/2006/picture">
                        <pic:nvPicPr>
                          <pic:cNvPr id="3464" name="图片_1_SpCnt_11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76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6" name="图片_1_SpCnt_113"/>
                  <wp:cNvGraphicFramePr/>
                  <a:graphic xmlns:a="http://schemas.openxmlformats.org/drawingml/2006/main">
                    <a:graphicData uri="http://schemas.openxmlformats.org/drawingml/2006/picture">
                      <pic:pic xmlns:pic="http://schemas.openxmlformats.org/drawingml/2006/picture">
                        <pic:nvPicPr>
                          <pic:cNvPr id="3706" name="图片_1_SpCnt_11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52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2" name="图片_1_SpCnt_114"/>
                  <wp:cNvGraphicFramePr/>
                  <a:graphic xmlns:a="http://schemas.openxmlformats.org/drawingml/2006/main">
                    <a:graphicData uri="http://schemas.openxmlformats.org/drawingml/2006/picture">
                      <pic:pic xmlns:pic="http://schemas.openxmlformats.org/drawingml/2006/picture">
                        <pic:nvPicPr>
                          <pic:cNvPr id="3772" name="图片_1_SpCnt_11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86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7" name="图片_1_SpCnt_115"/>
                  <wp:cNvGraphicFramePr/>
                  <a:graphic xmlns:a="http://schemas.openxmlformats.org/drawingml/2006/main">
                    <a:graphicData uri="http://schemas.openxmlformats.org/drawingml/2006/picture">
                      <pic:pic xmlns:pic="http://schemas.openxmlformats.org/drawingml/2006/picture">
                        <pic:nvPicPr>
                          <pic:cNvPr id="3707" name="图片_1_SpCnt_11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42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1" name="图片_1_SpCnt_116"/>
                  <wp:cNvGraphicFramePr/>
                  <a:graphic xmlns:a="http://schemas.openxmlformats.org/drawingml/2006/main">
                    <a:graphicData uri="http://schemas.openxmlformats.org/drawingml/2006/picture">
                      <pic:pic xmlns:pic="http://schemas.openxmlformats.org/drawingml/2006/picture">
                        <pic:nvPicPr>
                          <pic:cNvPr id="3771" name="图片_1_SpCnt_11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597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8" name="图片_1_SpCnt_117"/>
                  <wp:cNvGraphicFramePr/>
                  <a:graphic xmlns:a="http://schemas.openxmlformats.org/drawingml/2006/main">
                    <a:graphicData uri="http://schemas.openxmlformats.org/drawingml/2006/picture">
                      <pic:pic xmlns:pic="http://schemas.openxmlformats.org/drawingml/2006/picture">
                        <pic:nvPicPr>
                          <pic:cNvPr id="3708" name="图片_1_SpCnt_11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32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0" name="图片_1_SpCnt_118"/>
                  <wp:cNvGraphicFramePr/>
                  <a:graphic xmlns:a="http://schemas.openxmlformats.org/drawingml/2006/main">
                    <a:graphicData uri="http://schemas.openxmlformats.org/drawingml/2006/picture">
                      <pic:pic xmlns:pic="http://schemas.openxmlformats.org/drawingml/2006/picture">
                        <pic:nvPicPr>
                          <pic:cNvPr id="3770" name="图片_1_SpCnt_11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07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09" name="图片_1_SpCnt_119"/>
                  <wp:cNvGraphicFramePr/>
                  <a:graphic xmlns:a="http://schemas.openxmlformats.org/drawingml/2006/main">
                    <a:graphicData uri="http://schemas.openxmlformats.org/drawingml/2006/picture">
                      <pic:pic xmlns:pic="http://schemas.openxmlformats.org/drawingml/2006/picture">
                        <pic:nvPicPr>
                          <pic:cNvPr id="3709" name="图片_1_SpCnt_11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21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69" name="图片_1_SpCnt_120"/>
                  <wp:cNvGraphicFramePr/>
                  <a:graphic xmlns:a="http://schemas.openxmlformats.org/drawingml/2006/main">
                    <a:graphicData uri="http://schemas.openxmlformats.org/drawingml/2006/picture">
                      <pic:pic xmlns:pic="http://schemas.openxmlformats.org/drawingml/2006/picture">
                        <pic:nvPicPr>
                          <pic:cNvPr id="3769" name="图片_1_SpCnt_12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17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0" name="图片_1_SpCnt_121"/>
                  <wp:cNvGraphicFramePr/>
                  <a:graphic xmlns:a="http://schemas.openxmlformats.org/drawingml/2006/main">
                    <a:graphicData uri="http://schemas.openxmlformats.org/drawingml/2006/picture">
                      <pic:pic xmlns:pic="http://schemas.openxmlformats.org/drawingml/2006/picture">
                        <pic:nvPicPr>
                          <pic:cNvPr id="3710" name="图片_1_SpCnt_12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11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68" name="图片_1_SpCnt_122"/>
                  <wp:cNvGraphicFramePr/>
                  <a:graphic xmlns:a="http://schemas.openxmlformats.org/drawingml/2006/main">
                    <a:graphicData uri="http://schemas.openxmlformats.org/drawingml/2006/picture">
                      <pic:pic xmlns:pic="http://schemas.openxmlformats.org/drawingml/2006/picture">
                        <pic:nvPicPr>
                          <pic:cNvPr id="3768" name="图片_1_SpCnt_12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27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1" name="图片_1_SpCnt_123"/>
                  <wp:cNvGraphicFramePr/>
                  <a:graphic xmlns:a="http://schemas.openxmlformats.org/drawingml/2006/main">
                    <a:graphicData uri="http://schemas.openxmlformats.org/drawingml/2006/picture">
                      <pic:pic xmlns:pic="http://schemas.openxmlformats.org/drawingml/2006/picture">
                        <pic:nvPicPr>
                          <pic:cNvPr id="3711" name="图片_1_SpCnt_12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374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05" name="图片_1_SpCnt_124"/>
                  <wp:cNvGraphicFramePr/>
                  <a:graphic xmlns:a="http://schemas.openxmlformats.org/drawingml/2006/main">
                    <a:graphicData uri="http://schemas.openxmlformats.org/drawingml/2006/picture">
                      <pic:pic xmlns:pic="http://schemas.openxmlformats.org/drawingml/2006/picture">
                        <pic:nvPicPr>
                          <pic:cNvPr id="2905" name="图片_1_SpCnt_12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38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2" name="图片_1_SpCnt_125"/>
                  <wp:cNvGraphicFramePr/>
                  <a:graphic xmlns:a="http://schemas.openxmlformats.org/drawingml/2006/main">
                    <a:graphicData uri="http://schemas.openxmlformats.org/drawingml/2006/picture">
                      <pic:pic xmlns:pic="http://schemas.openxmlformats.org/drawingml/2006/picture">
                        <pic:nvPicPr>
                          <pic:cNvPr id="3712" name="图片_1_SpCnt_12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48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3" name="图片_1_SpCnt_126"/>
                  <wp:cNvGraphicFramePr/>
                  <a:graphic xmlns:a="http://schemas.openxmlformats.org/drawingml/2006/main">
                    <a:graphicData uri="http://schemas.openxmlformats.org/drawingml/2006/picture">
                      <pic:pic xmlns:pic="http://schemas.openxmlformats.org/drawingml/2006/picture">
                        <pic:nvPicPr>
                          <pic:cNvPr id="3713" name="图片_1_SpCnt_12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58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4" name="图片_1_SpCnt_127"/>
                  <wp:cNvGraphicFramePr/>
                  <a:graphic xmlns:a="http://schemas.openxmlformats.org/drawingml/2006/main">
                    <a:graphicData uri="http://schemas.openxmlformats.org/drawingml/2006/picture">
                      <pic:pic xmlns:pic="http://schemas.openxmlformats.org/drawingml/2006/picture">
                        <pic:nvPicPr>
                          <pic:cNvPr id="3714" name="图片_1_SpCnt_12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68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5" name="图片_1_SpCnt_128"/>
                  <wp:cNvGraphicFramePr/>
                  <a:graphic xmlns:a="http://schemas.openxmlformats.org/drawingml/2006/main">
                    <a:graphicData uri="http://schemas.openxmlformats.org/drawingml/2006/picture">
                      <pic:pic xmlns:pic="http://schemas.openxmlformats.org/drawingml/2006/picture">
                        <pic:nvPicPr>
                          <pic:cNvPr id="3715" name="图片_1_SpCnt_12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79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6" name="图片_1_SpCnt_129"/>
                  <wp:cNvGraphicFramePr/>
                  <a:graphic xmlns:a="http://schemas.openxmlformats.org/drawingml/2006/main">
                    <a:graphicData uri="http://schemas.openxmlformats.org/drawingml/2006/picture">
                      <pic:pic xmlns:pic="http://schemas.openxmlformats.org/drawingml/2006/picture">
                        <pic:nvPicPr>
                          <pic:cNvPr id="3716" name="图片_1_SpCnt_12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89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7" name="图片_1_SpCnt_130"/>
                  <wp:cNvGraphicFramePr/>
                  <a:graphic xmlns:a="http://schemas.openxmlformats.org/drawingml/2006/main">
                    <a:graphicData uri="http://schemas.openxmlformats.org/drawingml/2006/picture">
                      <pic:pic xmlns:pic="http://schemas.openxmlformats.org/drawingml/2006/picture">
                        <pic:nvPicPr>
                          <pic:cNvPr id="3717" name="图片_1_SpCnt_13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699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8" name="图片_1_SpCnt_131"/>
                  <wp:cNvGraphicFramePr/>
                  <a:graphic xmlns:a="http://schemas.openxmlformats.org/drawingml/2006/main">
                    <a:graphicData uri="http://schemas.openxmlformats.org/drawingml/2006/picture">
                      <pic:pic xmlns:pic="http://schemas.openxmlformats.org/drawingml/2006/picture">
                        <pic:nvPicPr>
                          <pic:cNvPr id="3718" name="图片_1_SpCnt_13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09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19" name="图片_1_SpCnt_132"/>
                  <wp:cNvGraphicFramePr/>
                  <a:graphic xmlns:a="http://schemas.openxmlformats.org/drawingml/2006/main">
                    <a:graphicData uri="http://schemas.openxmlformats.org/drawingml/2006/picture">
                      <pic:pic xmlns:pic="http://schemas.openxmlformats.org/drawingml/2006/picture">
                        <pic:nvPicPr>
                          <pic:cNvPr id="3719" name="图片_1_SpCnt_13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20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0" name="图片_1_SpCnt_133"/>
                  <wp:cNvGraphicFramePr/>
                  <a:graphic xmlns:a="http://schemas.openxmlformats.org/drawingml/2006/main">
                    <a:graphicData uri="http://schemas.openxmlformats.org/drawingml/2006/picture">
                      <pic:pic xmlns:pic="http://schemas.openxmlformats.org/drawingml/2006/picture">
                        <pic:nvPicPr>
                          <pic:cNvPr id="3720" name="图片_1_SpCnt_13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30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1" name="图片_1_SpCnt_134"/>
                  <wp:cNvGraphicFramePr/>
                  <a:graphic xmlns:a="http://schemas.openxmlformats.org/drawingml/2006/main">
                    <a:graphicData uri="http://schemas.openxmlformats.org/drawingml/2006/picture">
                      <pic:pic xmlns:pic="http://schemas.openxmlformats.org/drawingml/2006/picture">
                        <pic:nvPicPr>
                          <pic:cNvPr id="3721" name="图片_1_SpCnt_13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40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2" name="图片_1_SpCnt_135"/>
                  <wp:cNvGraphicFramePr/>
                  <a:graphic xmlns:a="http://schemas.openxmlformats.org/drawingml/2006/main">
                    <a:graphicData uri="http://schemas.openxmlformats.org/drawingml/2006/picture">
                      <pic:pic xmlns:pic="http://schemas.openxmlformats.org/drawingml/2006/picture">
                        <pic:nvPicPr>
                          <pic:cNvPr id="3722" name="图片_1_SpCnt_13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50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3" name="图片_1_SpCnt_136"/>
                  <wp:cNvGraphicFramePr/>
                  <a:graphic xmlns:a="http://schemas.openxmlformats.org/drawingml/2006/main">
                    <a:graphicData uri="http://schemas.openxmlformats.org/drawingml/2006/picture">
                      <pic:pic xmlns:pic="http://schemas.openxmlformats.org/drawingml/2006/picture">
                        <pic:nvPicPr>
                          <pic:cNvPr id="3723" name="图片_1_SpCnt_13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60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4" name="图片_1_SpCnt_137"/>
                  <wp:cNvGraphicFramePr/>
                  <a:graphic xmlns:a="http://schemas.openxmlformats.org/drawingml/2006/main">
                    <a:graphicData uri="http://schemas.openxmlformats.org/drawingml/2006/picture">
                      <pic:pic xmlns:pic="http://schemas.openxmlformats.org/drawingml/2006/picture">
                        <pic:nvPicPr>
                          <pic:cNvPr id="3724" name="图片_1_SpCnt_13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71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5" name="图片_1_SpCnt_138"/>
                  <wp:cNvGraphicFramePr/>
                  <a:graphic xmlns:a="http://schemas.openxmlformats.org/drawingml/2006/main">
                    <a:graphicData uri="http://schemas.openxmlformats.org/drawingml/2006/picture">
                      <pic:pic xmlns:pic="http://schemas.openxmlformats.org/drawingml/2006/picture">
                        <pic:nvPicPr>
                          <pic:cNvPr id="3725" name="图片_1_SpCnt_13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81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6" name="图片_1_SpCnt_139"/>
                  <wp:cNvGraphicFramePr/>
                  <a:graphic xmlns:a="http://schemas.openxmlformats.org/drawingml/2006/main">
                    <a:graphicData uri="http://schemas.openxmlformats.org/drawingml/2006/picture">
                      <pic:pic xmlns:pic="http://schemas.openxmlformats.org/drawingml/2006/picture">
                        <pic:nvPicPr>
                          <pic:cNvPr id="3726" name="图片_1_SpCnt_13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791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7" name="图片_1_SpCnt_140"/>
                  <wp:cNvGraphicFramePr/>
                  <a:graphic xmlns:a="http://schemas.openxmlformats.org/drawingml/2006/main">
                    <a:graphicData uri="http://schemas.openxmlformats.org/drawingml/2006/picture">
                      <pic:pic xmlns:pic="http://schemas.openxmlformats.org/drawingml/2006/picture">
                        <pic:nvPicPr>
                          <pic:cNvPr id="3727" name="图片_1_SpCnt_14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01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8" name="图片_1_SpCnt_141"/>
                  <wp:cNvGraphicFramePr/>
                  <a:graphic xmlns:a="http://schemas.openxmlformats.org/drawingml/2006/main">
                    <a:graphicData uri="http://schemas.openxmlformats.org/drawingml/2006/picture">
                      <pic:pic xmlns:pic="http://schemas.openxmlformats.org/drawingml/2006/picture">
                        <pic:nvPicPr>
                          <pic:cNvPr id="3728" name="图片_1_SpCnt_14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334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80" name="图片_1_SpCnt_142"/>
                  <wp:cNvGraphicFramePr/>
                  <a:graphic xmlns:a="http://schemas.openxmlformats.org/drawingml/2006/main">
                    <a:graphicData uri="http://schemas.openxmlformats.org/drawingml/2006/picture">
                      <pic:pic xmlns:pic="http://schemas.openxmlformats.org/drawingml/2006/picture">
                        <pic:nvPicPr>
                          <pic:cNvPr id="3780" name="图片_1_SpCnt_14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12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29" name="图片_1_SpCnt_143"/>
                  <wp:cNvGraphicFramePr/>
                  <a:graphic xmlns:a="http://schemas.openxmlformats.org/drawingml/2006/main">
                    <a:graphicData uri="http://schemas.openxmlformats.org/drawingml/2006/picture">
                      <pic:pic xmlns:pic="http://schemas.openxmlformats.org/drawingml/2006/picture">
                        <pic:nvPicPr>
                          <pic:cNvPr id="3729" name="图片_1_SpCnt_14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83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5" name="图片_1_SpCnt_144"/>
                  <wp:cNvGraphicFramePr/>
                  <a:graphic xmlns:a="http://schemas.openxmlformats.org/drawingml/2006/main">
                    <a:graphicData uri="http://schemas.openxmlformats.org/drawingml/2006/picture">
                      <pic:pic xmlns:pic="http://schemas.openxmlformats.org/drawingml/2006/picture">
                        <pic:nvPicPr>
                          <pic:cNvPr id="3775" name="图片_1_SpCnt_14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22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0" name="图片_1_SpCnt_145"/>
                  <wp:cNvGraphicFramePr/>
                  <a:graphic xmlns:a="http://schemas.openxmlformats.org/drawingml/2006/main">
                    <a:graphicData uri="http://schemas.openxmlformats.org/drawingml/2006/picture">
                      <pic:pic xmlns:pic="http://schemas.openxmlformats.org/drawingml/2006/picture">
                        <pic:nvPicPr>
                          <pic:cNvPr id="3730" name="图片_1_SpCnt_14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32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1" name="图片_1_SpCnt_146"/>
                  <wp:cNvGraphicFramePr/>
                  <a:graphic xmlns:a="http://schemas.openxmlformats.org/drawingml/2006/main">
                    <a:graphicData uri="http://schemas.openxmlformats.org/drawingml/2006/picture">
                      <pic:pic xmlns:pic="http://schemas.openxmlformats.org/drawingml/2006/picture">
                        <pic:nvPicPr>
                          <pic:cNvPr id="3731" name="图片_1_SpCnt_14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42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2" name="图片_1_SpCnt_147"/>
                  <wp:cNvGraphicFramePr/>
                  <a:graphic xmlns:a="http://schemas.openxmlformats.org/drawingml/2006/main">
                    <a:graphicData uri="http://schemas.openxmlformats.org/drawingml/2006/picture">
                      <pic:pic xmlns:pic="http://schemas.openxmlformats.org/drawingml/2006/picture">
                        <pic:nvPicPr>
                          <pic:cNvPr id="3732" name="图片_1_SpCnt_14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53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3" name="图片_1_SpCnt_148"/>
                  <wp:cNvGraphicFramePr/>
                  <a:graphic xmlns:a="http://schemas.openxmlformats.org/drawingml/2006/main">
                    <a:graphicData uri="http://schemas.openxmlformats.org/drawingml/2006/picture">
                      <pic:pic xmlns:pic="http://schemas.openxmlformats.org/drawingml/2006/picture">
                        <pic:nvPicPr>
                          <pic:cNvPr id="3733" name="图片_1_SpCnt_14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63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4" name="图片_1_SpCnt_149"/>
                  <wp:cNvGraphicFramePr/>
                  <a:graphic xmlns:a="http://schemas.openxmlformats.org/drawingml/2006/main">
                    <a:graphicData uri="http://schemas.openxmlformats.org/drawingml/2006/picture">
                      <pic:pic xmlns:pic="http://schemas.openxmlformats.org/drawingml/2006/picture">
                        <pic:nvPicPr>
                          <pic:cNvPr id="3734" name="图片_1_SpCnt_14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73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5" name="图片_1_SpCnt_150"/>
                  <wp:cNvGraphicFramePr/>
                  <a:graphic xmlns:a="http://schemas.openxmlformats.org/drawingml/2006/main">
                    <a:graphicData uri="http://schemas.openxmlformats.org/drawingml/2006/picture">
                      <pic:pic xmlns:pic="http://schemas.openxmlformats.org/drawingml/2006/picture">
                        <pic:nvPicPr>
                          <pic:cNvPr id="3735" name="图片_1_SpCnt_15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83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6" name="图片_1_SpCnt_151"/>
                  <wp:cNvGraphicFramePr/>
                  <a:graphic xmlns:a="http://schemas.openxmlformats.org/drawingml/2006/main">
                    <a:graphicData uri="http://schemas.openxmlformats.org/drawingml/2006/picture">
                      <pic:pic xmlns:pic="http://schemas.openxmlformats.org/drawingml/2006/picture">
                        <pic:nvPicPr>
                          <pic:cNvPr id="3736" name="图片_1_SpCnt_15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894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7" name="图片_1_SpCnt_152"/>
                  <wp:cNvGraphicFramePr/>
                  <a:graphic xmlns:a="http://schemas.openxmlformats.org/drawingml/2006/main">
                    <a:graphicData uri="http://schemas.openxmlformats.org/drawingml/2006/picture">
                      <pic:pic xmlns:pic="http://schemas.openxmlformats.org/drawingml/2006/picture">
                        <pic:nvPicPr>
                          <pic:cNvPr id="3737" name="图片_1_SpCnt_15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04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8" name="图片_1_SpCnt_153"/>
                  <wp:cNvGraphicFramePr/>
                  <a:graphic xmlns:a="http://schemas.openxmlformats.org/drawingml/2006/main">
                    <a:graphicData uri="http://schemas.openxmlformats.org/drawingml/2006/picture">
                      <pic:pic xmlns:pic="http://schemas.openxmlformats.org/drawingml/2006/picture">
                        <pic:nvPicPr>
                          <pic:cNvPr id="3738" name="图片_1_SpCnt_15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14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39" name="图片_1_SpCnt_154"/>
                  <wp:cNvGraphicFramePr/>
                  <a:graphic xmlns:a="http://schemas.openxmlformats.org/drawingml/2006/main">
                    <a:graphicData uri="http://schemas.openxmlformats.org/drawingml/2006/picture">
                      <pic:pic xmlns:pic="http://schemas.openxmlformats.org/drawingml/2006/picture">
                        <pic:nvPicPr>
                          <pic:cNvPr id="3739" name="图片_1_SpCnt_15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97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917" name="图片_1_SpCnt_155"/>
                  <wp:cNvGraphicFramePr/>
                  <a:graphic xmlns:a="http://schemas.openxmlformats.org/drawingml/2006/main">
                    <a:graphicData uri="http://schemas.openxmlformats.org/drawingml/2006/picture">
                      <pic:pic xmlns:pic="http://schemas.openxmlformats.org/drawingml/2006/picture">
                        <pic:nvPicPr>
                          <pic:cNvPr id="2917" name="图片_1_SpCnt_15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95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8" name="图片_1_SpCnt_156"/>
                  <wp:cNvGraphicFramePr/>
                  <a:graphic xmlns:a="http://schemas.openxmlformats.org/drawingml/2006/main">
                    <a:graphicData uri="http://schemas.openxmlformats.org/drawingml/2006/picture">
                      <pic:pic xmlns:pic="http://schemas.openxmlformats.org/drawingml/2006/picture">
                        <pic:nvPicPr>
                          <pic:cNvPr id="2868" name="图片_1_SpCnt_15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75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6" name="图片_1_SpCnt_157"/>
                  <wp:cNvGraphicFramePr/>
                  <a:graphic xmlns:a="http://schemas.openxmlformats.org/drawingml/2006/main">
                    <a:graphicData uri="http://schemas.openxmlformats.org/drawingml/2006/picture">
                      <pic:pic xmlns:pic="http://schemas.openxmlformats.org/drawingml/2006/picture">
                        <pic:nvPicPr>
                          <pic:cNvPr id="2866" name="图片_1_SpCnt_15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54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4" name="图片_1_SpCnt_158"/>
                  <wp:cNvGraphicFramePr/>
                  <a:graphic xmlns:a="http://schemas.openxmlformats.org/drawingml/2006/main">
                    <a:graphicData uri="http://schemas.openxmlformats.org/drawingml/2006/picture">
                      <pic:pic xmlns:pic="http://schemas.openxmlformats.org/drawingml/2006/picture">
                        <pic:nvPicPr>
                          <pic:cNvPr id="2864" name="图片_1_SpCnt_15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44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3" name="图片_1_SpCnt_159"/>
                  <wp:cNvGraphicFramePr/>
                  <a:graphic xmlns:a="http://schemas.openxmlformats.org/drawingml/2006/main">
                    <a:graphicData uri="http://schemas.openxmlformats.org/drawingml/2006/picture">
                      <pic:pic xmlns:pic="http://schemas.openxmlformats.org/drawingml/2006/picture">
                        <pic:nvPicPr>
                          <pic:cNvPr id="2863" name="图片_1_SpCnt_15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23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1" name="图片_1_SpCnt_160"/>
                  <wp:cNvGraphicFramePr/>
                  <a:graphic xmlns:a="http://schemas.openxmlformats.org/drawingml/2006/main">
                    <a:graphicData uri="http://schemas.openxmlformats.org/drawingml/2006/picture">
                      <pic:pic xmlns:pic="http://schemas.openxmlformats.org/drawingml/2006/picture">
                        <pic:nvPicPr>
                          <pic:cNvPr id="2861" name="图片_1_SpCnt_16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136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60" name="图片_1_SpCnt_161"/>
                  <wp:cNvGraphicFramePr/>
                  <a:graphic xmlns:a="http://schemas.openxmlformats.org/drawingml/2006/main">
                    <a:graphicData uri="http://schemas.openxmlformats.org/drawingml/2006/picture">
                      <pic:pic xmlns:pic="http://schemas.openxmlformats.org/drawingml/2006/picture">
                        <pic:nvPicPr>
                          <pic:cNvPr id="2860" name="图片_1_SpCnt_16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93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8" name="图片_1_SpCnt_162"/>
                  <wp:cNvGraphicFramePr/>
                  <a:graphic xmlns:a="http://schemas.openxmlformats.org/drawingml/2006/main">
                    <a:graphicData uri="http://schemas.openxmlformats.org/drawingml/2006/picture">
                      <pic:pic xmlns:pic="http://schemas.openxmlformats.org/drawingml/2006/picture">
                        <pic:nvPicPr>
                          <pic:cNvPr id="2858" name="图片_1_SpCnt_16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82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7" name="图片_1_SpCnt_163"/>
                  <wp:cNvGraphicFramePr/>
                  <a:graphic xmlns:a="http://schemas.openxmlformats.org/drawingml/2006/main">
                    <a:graphicData uri="http://schemas.openxmlformats.org/drawingml/2006/picture">
                      <pic:pic xmlns:pic="http://schemas.openxmlformats.org/drawingml/2006/picture">
                        <pic:nvPicPr>
                          <pic:cNvPr id="2857" name="图片_1_SpCnt_16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62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5" name="图片_1_SpCnt_164"/>
                  <wp:cNvGraphicFramePr/>
                  <a:graphic xmlns:a="http://schemas.openxmlformats.org/drawingml/2006/main">
                    <a:graphicData uri="http://schemas.openxmlformats.org/drawingml/2006/picture">
                      <pic:pic xmlns:pic="http://schemas.openxmlformats.org/drawingml/2006/picture">
                        <pic:nvPicPr>
                          <pic:cNvPr id="2855" name="图片_1_SpCnt_16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52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4" name="图片_1_SpCnt_165"/>
                  <wp:cNvGraphicFramePr/>
                  <a:graphic xmlns:a="http://schemas.openxmlformats.org/drawingml/2006/main">
                    <a:graphicData uri="http://schemas.openxmlformats.org/drawingml/2006/picture">
                      <pic:pic xmlns:pic="http://schemas.openxmlformats.org/drawingml/2006/picture">
                        <pic:nvPicPr>
                          <pic:cNvPr id="2854" name="图片_1_SpCnt_16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31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52" name="图片_1_SpCnt_166"/>
                  <wp:cNvGraphicFramePr/>
                  <a:graphic xmlns:a="http://schemas.openxmlformats.org/drawingml/2006/main">
                    <a:graphicData uri="http://schemas.openxmlformats.org/drawingml/2006/picture">
                      <pic:pic xmlns:pic="http://schemas.openxmlformats.org/drawingml/2006/picture">
                        <pic:nvPicPr>
                          <pic:cNvPr id="2852" name="图片_1_SpCnt_16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00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9" name="图片_1_SpCnt_167"/>
                  <wp:cNvGraphicFramePr/>
                  <a:graphic xmlns:a="http://schemas.openxmlformats.org/drawingml/2006/main">
                    <a:graphicData uri="http://schemas.openxmlformats.org/drawingml/2006/picture">
                      <pic:pic xmlns:pic="http://schemas.openxmlformats.org/drawingml/2006/picture">
                        <pic:nvPicPr>
                          <pic:cNvPr id="2849" name="图片_1_SpCnt_16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80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7" name="图片_1_SpCnt_168"/>
                  <wp:cNvGraphicFramePr/>
                  <a:graphic xmlns:a="http://schemas.openxmlformats.org/drawingml/2006/main">
                    <a:graphicData uri="http://schemas.openxmlformats.org/drawingml/2006/picture">
                      <pic:pic xmlns:pic="http://schemas.openxmlformats.org/drawingml/2006/picture">
                        <pic:nvPicPr>
                          <pic:cNvPr id="2847" name="图片_1_SpCnt_16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60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5" name="图片_1_SpCnt_169"/>
                  <wp:cNvGraphicFramePr/>
                  <a:graphic xmlns:a="http://schemas.openxmlformats.org/drawingml/2006/main">
                    <a:graphicData uri="http://schemas.openxmlformats.org/drawingml/2006/picture">
                      <pic:pic xmlns:pic="http://schemas.openxmlformats.org/drawingml/2006/picture">
                        <pic:nvPicPr>
                          <pic:cNvPr id="2845" name="图片_1_SpCnt_16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39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3" name="图片_1_SpCnt_170"/>
                  <wp:cNvGraphicFramePr/>
                  <a:graphic xmlns:a="http://schemas.openxmlformats.org/drawingml/2006/main">
                    <a:graphicData uri="http://schemas.openxmlformats.org/drawingml/2006/picture">
                      <pic:pic xmlns:pic="http://schemas.openxmlformats.org/drawingml/2006/picture">
                        <pic:nvPicPr>
                          <pic:cNvPr id="2843" name="图片_1_SpCnt_17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29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2" name="图片_1_SpCnt_171"/>
                  <wp:cNvGraphicFramePr/>
                  <a:graphic xmlns:a="http://schemas.openxmlformats.org/drawingml/2006/main">
                    <a:graphicData uri="http://schemas.openxmlformats.org/drawingml/2006/picture">
                      <pic:pic xmlns:pic="http://schemas.openxmlformats.org/drawingml/2006/picture">
                        <pic:nvPicPr>
                          <pic:cNvPr id="2842" name="图片_1_SpCnt_17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08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40" name="图片_1_SpCnt_172"/>
                  <wp:cNvGraphicFramePr/>
                  <a:graphic xmlns:a="http://schemas.openxmlformats.org/drawingml/2006/main">
                    <a:graphicData uri="http://schemas.openxmlformats.org/drawingml/2006/picture">
                      <pic:pic xmlns:pic="http://schemas.openxmlformats.org/drawingml/2006/picture">
                        <pic:nvPicPr>
                          <pic:cNvPr id="2840" name="图片_1_SpCnt_17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98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9" name="图片_1_SpCnt_173"/>
                  <wp:cNvGraphicFramePr/>
                  <a:graphic xmlns:a="http://schemas.openxmlformats.org/drawingml/2006/main">
                    <a:graphicData uri="http://schemas.openxmlformats.org/drawingml/2006/picture">
                      <pic:pic xmlns:pic="http://schemas.openxmlformats.org/drawingml/2006/picture">
                        <pic:nvPicPr>
                          <pic:cNvPr id="2839" name="图片_1_SpCnt_17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78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7" name="图片_1_SpCnt_174"/>
                  <wp:cNvGraphicFramePr/>
                  <a:graphic xmlns:a="http://schemas.openxmlformats.org/drawingml/2006/main">
                    <a:graphicData uri="http://schemas.openxmlformats.org/drawingml/2006/picture">
                      <pic:pic xmlns:pic="http://schemas.openxmlformats.org/drawingml/2006/picture">
                        <pic:nvPicPr>
                          <pic:cNvPr id="2837" name="图片_1_SpCnt_17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67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6" name="图片_1_SpCnt_175"/>
                  <wp:cNvGraphicFramePr/>
                  <a:graphic xmlns:a="http://schemas.openxmlformats.org/drawingml/2006/main">
                    <a:graphicData uri="http://schemas.openxmlformats.org/drawingml/2006/picture">
                      <pic:pic xmlns:pic="http://schemas.openxmlformats.org/drawingml/2006/picture">
                        <pic:nvPicPr>
                          <pic:cNvPr id="2836" name="图片_1_SpCnt_17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473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4" name="图片_1_SpCnt_176"/>
                  <wp:cNvGraphicFramePr/>
                  <a:graphic xmlns:a="http://schemas.openxmlformats.org/drawingml/2006/main">
                    <a:graphicData uri="http://schemas.openxmlformats.org/drawingml/2006/picture">
                      <pic:pic xmlns:pic="http://schemas.openxmlformats.org/drawingml/2006/picture">
                        <pic:nvPicPr>
                          <pic:cNvPr id="2834" name="图片_1_SpCnt_17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37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3" name="图片_1_SpCnt_177"/>
                  <wp:cNvGraphicFramePr/>
                  <a:graphic xmlns:a="http://schemas.openxmlformats.org/drawingml/2006/main">
                    <a:graphicData uri="http://schemas.openxmlformats.org/drawingml/2006/picture">
                      <pic:pic xmlns:pic="http://schemas.openxmlformats.org/drawingml/2006/picture">
                        <pic:nvPicPr>
                          <pic:cNvPr id="2833" name="图片_1_SpCnt_17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16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31" name="图片_1_SpCnt_178"/>
                  <wp:cNvGraphicFramePr/>
                  <a:graphic xmlns:a="http://schemas.openxmlformats.org/drawingml/2006/main">
                    <a:graphicData uri="http://schemas.openxmlformats.org/drawingml/2006/picture">
                      <pic:pic xmlns:pic="http://schemas.openxmlformats.org/drawingml/2006/picture">
                        <pic:nvPicPr>
                          <pic:cNvPr id="2831" name="图片_1_SpCnt_17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596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29" name="图片_1_SpCnt_179"/>
                  <wp:cNvGraphicFramePr/>
                  <a:graphic xmlns:a="http://schemas.openxmlformats.org/drawingml/2006/main">
                    <a:graphicData uri="http://schemas.openxmlformats.org/drawingml/2006/picture">
                      <pic:pic xmlns:pic="http://schemas.openxmlformats.org/drawingml/2006/picture">
                        <pic:nvPicPr>
                          <pic:cNvPr id="2829" name="图片_1_SpCnt_17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38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5" name="图片_1_SpCnt_180"/>
                  <wp:cNvGraphicFramePr/>
                  <a:graphic xmlns:a="http://schemas.openxmlformats.org/drawingml/2006/main">
                    <a:graphicData uri="http://schemas.openxmlformats.org/drawingml/2006/picture">
                      <pic:pic xmlns:pic="http://schemas.openxmlformats.org/drawingml/2006/picture">
                        <pic:nvPicPr>
                          <pic:cNvPr id="2755" name="图片_1_SpCnt_18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281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4" name="图片_1_SpCnt_181"/>
                  <wp:cNvGraphicFramePr/>
                  <a:graphic xmlns:a="http://schemas.openxmlformats.org/drawingml/2006/main">
                    <a:graphicData uri="http://schemas.openxmlformats.org/drawingml/2006/picture">
                      <pic:pic xmlns:pic="http://schemas.openxmlformats.org/drawingml/2006/picture">
                        <pic:nvPicPr>
                          <pic:cNvPr id="2754" name="图片_1_SpCnt_18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179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3" name="图片_1_SpCnt_182"/>
                  <wp:cNvGraphicFramePr/>
                  <a:graphic xmlns:a="http://schemas.openxmlformats.org/drawingml/2006/main">
                    <a:graphicData uri="http://schemas.openxmlformats.org/drawingml/2006/picture">
                      <pic:pic xmlns:pic="http://schemas.openxmlformats.org/drawingml/2006/picture">
                        <pic:nvPicPr>
                          <pic:cNvPr id="2753" name="图片_1_SpCnt_18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07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2" name="图片_1_SpCnt_183"/>
                  <wp:cNvGraphicFramePr/>
                  <a:graphic xmlns:a="http://schemas.openxmlformats.org/drawingml/2006/main">
                    <a:graphicData uri="http://schemas.openxmlformats.org/drawingml/2006/picture">
                      <pic:pic xmlns:pic="http://schemas.openxmlformats.org/drawingml/2006/picture">
                        <pic:nvPicPr>
                          <pic:cNvPr id="2752" name="图片_1_SpCnt_18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97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1" name="图片_1_SpCnt_184"/>
                  <wp:cNvGraphicFramePr/>
                  <a:graphic xmlns:a="http://schemas.openxmlformats.org/drawingml/2006/main">
                    <a:graphicData uri="http://schemas.openxmlformats.org/drawingml/2006/picture">
                      <pic:pic xmlns:pic="http://schemas.openxmlformats.org/drawingml/2006/picture">
                        <pic:nvPicPr>
                          <pic:cNvPr id="2751" name="图片_1_SpCnt_18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872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50" name="图片_1_SpCnt_185"/>
                  <wp:cNvGraphicFramePr/>
                  <a:graphic xmlns:a="http://schemas.openxmlformats.org/drawingml/2006/main">
                    <a:graphicData uri="http://schemas.openxmlformats.org/drawingml/2006/picture">
                      <pic:pic xmlns:pic="http://schemas.openxmlformats.org/drawingml/2006/picture">
                        <pic:nvPicPr>
                          <pic:cNvPr id="2750" name="图片_1_SpCnt_18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76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9" name="图片_1_SpCnt_186"/>
                  <wp:cNvGraphicFramePr/>
                  <a:graphic xmlns:a="http://schemas.openxmlformats.org/drawingml/2006/main">
                    <a:graphicData uri="http://schemas.openxmlformats.org/drawingml/2006/picture">
                      <pic:pic xmlns:pic="http://schemas.openxmlformats.org/drawingml/2006/picture">
                        <pic:nvPicPr>
                          <pic:cNvPr id="2749" name="图片_1_SpCnt_18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66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8" name="图片_1_SpCnt_187"/>
                  <wp:cNvGraphicFramePr/>
                  <a:graphic xmlns:a="http://schemas.openxmlformats.org/drawingml/2006/main">
                    <a:graphicData uri="http://schemas.openxmlformats.org/drawingml/2006/picture">
                      <pic:pic xmlns:pic="http://schemas.openxmlformats.org/drawingml/2006/picture">
                        <pic:nvPicPr>
                          <pic:cNvPr id="2748" name="图片_1_SpCnt_18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564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7" name="图片_1_SpCnt_188"/>
                  <wp:cNvGraphicFramePr/>
                  <a:graphic xmlns:a="http://schemas.openxmlformats.org/drawingml/2006/main">
                    <a:graphicData uri="http://schemas.openxmlformats.org/drawingml/2006/picture">
                      <pic:pic xmlns:pic="http://schemas.openxmlformats.org/drawingml/2006/picture">
                        <pic:nvPicPr>
                          <pic:cNvPr id="2747" name="图片_1_SpCnt_18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7462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46" name="图片_1_SpCnt_189"/>
                  <wp:cNvGraphicFramePr/>
                  <a:graphic xmlns:a="http://schemas.openxmlformats.org/drawingml/2006/main">
                    <a:graphicData uri="http://schemas.openxmlformats.org/drawingml/2006/picture">
                      <pic:pic xmlns:pic="http://schemas.openxmlformats.org/drawingml/2006/picture">
                        <pic:nvPicPr>
                          <pic:cNvPr id="2746" name="图片_1_SpCnt_18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16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870" name="图片_1_SpCnt_190"/>
                  <wp:cNvGraphicFramePr/>
                  <a:graphic xmlns:a="http://schemas.openxmlformats.org/drawingml/2006/main">
                    <a:graphicData uri="http://schemas.openxmlformats.org/drawingml/2006/picture">
                      <pic:pic xmlns:pic="http://schemas.openxmlformats.org/drawingml/2006/picture">
                        <pic:nvPicPr>
                          <pic:cNvPr id="2870" name="图片_1_SpCnt_19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60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31" name="图片_1_SpCnt_191"/>
                  <wp:cNvGraphicFramePr/>
                  <a:graphic xmlns:a="http://schemas.openxmlformats.org/drawingml/2006/main">
                    <a:graphicData uri="http://schemas.openxmlformats.org/drawingml/2006/picture">
                      <pic:pic xmlns:pic="http://schemas.openxmlformats.org/drawingml/2006/picture">
                        <pic:nvPicPr>
                          <pic:cNvPr id="3431" name="图片_1_SpCnt_19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166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6" name="图片_1_SpCnt_192"/>
                  <wp:cNvGraphicFramePr/>
                  <a:graphic xmlns:a="http://schemas.openxmlformats.org/drawingml/2006/main">
                    <a:graphicData uri="http://schemas.openxmlformats.org/drawingml/2006/picture">
                      <pic:pic xmlns:pic="http://schemas.openxmlformats.org/drawingml/2006/picture">
                        <pic:nvPicPr>
                          <pic:cNvPr id="3456" name="图片_1_SpCnt_19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040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5" name="图片_1_SpCnt_193"/>
                  <wp:cNvGraphicFramePr/>
                  <a:graphic xmlns:a="http://schemas.openxmlformats.org/drawingml/2006/main">
                    <a:graphicData uri="http://schemas.openxmlformats.org/drawingml/2006/picture">
                      <pic:pic xmlns:pic="http://schemas.openxmlformats.org/drawingml/2006/picture">
                        <pic:nvPicPr>
                          <pic:cNvPr id="3445" name="图片_1_SpCnt_19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268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7" name="图片_1_SpCnt_194"/>
                  <wp:cNvGraphicFramePr/>
                  <a:graphic xmlns:a="http://schemas.openxmlformats.org/drawingml/2006/main">
                    <a:graphicData uri="http://schemas.openxmlformats.org/drawingml/2006/picture">
                      <pic:pic xmlns:pic="http://schemas.openxmlformats.org/drawingml/2006/picture">
                        <pic:nvPicPr>
                          <pic:cNvPr id="3457" name="图片_1_SpCnt_19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654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51" name="图片_1_SpCnt_195"/>
                  <wp:cNvGraphicFramePr/>
                  <a:graphic xmlns:a="http://schemas.openxmlformats.org/drawingml/2006/main">
                    <a:graphicData uri="http://schemas.openxmlformats.org/drawingml/2006/picture">
                      <pic:pic xmlns:pic="http://schemas.openxmlformats.org/drawingml/2006/picture">
                        <pic:nvPicPr>
                          <pic:cNvPr id="3451" name="图片_1_SpCnt_19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883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63" name="图片_1_SpCnt_196"/>
                  <wp:cNvGraphicFramePr/>
                  <a:graphic xmlns:a="http://schemas.openxmlformats.org/drawingml/2006/main">
                    <a:graphicData uri="http://schemas.openxmlformats.org/drawingml/2006/picture">
                      <pic:pic xmlns:pic="http://schemas.openxmlformats.org/drawingml/2006/picture">
                        <pic:nvPicPr>
                          <pic:cNvPr id="3463" name="图片_1_SpCnt_19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504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30" name="图片_1_SpCnt_197"/>
                  <wp:cNvGraphicFramePr/>
                  <a:graphic xmlns:a="http://schemas.openxmlformats.org/drawingml/2006/main">
                    <a:graphicData uri="http://schemas.openxmlformats.org/drawingml/2006/picture">
                      <pic:pic xmlns:pic="http://schemas.openxmlformats.org/drawingml/2006/picture">
                        <pic:nvPicPr>
                          <pic:cNvPr id="3430" name="图片_1_SpCnt_19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196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27" name="图片_1_SpCnt_198"/>
                  <wp:cNvGraphicFramePr/>
                  <a:graphic xmlns:a="http://schemas.openxmlformats.org/drawingml/2006/main">
                    <a:graphicData uri="http://schemas.openxmlformats.org/drawingml/2006/picture">
                      <pic:pic xmlns:pic="http://schemas.openxmlformats.org/drawingml/2006/picture">
                        <pic:nvPicPr>
                          <pic:cNvPr id="3427" name="图片_1_SpCnt_19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780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62" name="图片_1_SpCnt_199"/>
                  <wp:cNvGraphicFramePr/>
                  <a:graphic xmlns:a="http://schemas.openxmlformats.org/drawingml/2006/main">
                    <a:graphicData uri="http://schemas.openxmlformats.org/drawingml/2006/picture">
                      <pic:pic xmlns:pic="http://schemas.openxmlformats.org/drawingml/2006/picture">
                        <pic:nvPicPr>
                          <pic:cNvPr id="3462" name="图片_1_SpCnt_19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678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61" name="图片_1_SpCnt_200"/>
                  <wp:cNvGraphicFramePr/>
                  <a:graphic xmlns:a="http://schemas.openxmlformats.org/drawingml/2006/main">
                    <a:graphicData uri="http://schemas.openxmlformats.org/drawingml/2006/picture">
                      <pic:pic xmlns:pic="http://schemas.openxmlformats.org/drawingml/2006/picture">
                        <pic:nvPicPr>
                          <pic:cNvPr id="3461" name="图片_1_SpCnt_200"/>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7328"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2" name="图片_1_SpCnt_201"/>
                  <wp:cNvGraphicFramePr/>
                  <a:graphic xmlns:a="http://schemas.openxmlformats.org/drawingml/2006/main">
                    <a:graphicData uri="http://schemas.openxmlformats.org/drawingml/2006/picture">
                      <pic:pic xmlns:pic="http://schemas.openxmlformats.org/drawingml/2006/picture">
                        <pic:nvPicPr>
                          <pic:cNvPr id="3442" name="图片_1_SpCnt_201"/>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627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773" name="图片_1_SpCnt_202"/>
                  <wp:cNvGraphicFramePr/>
                  <a:graphic xmlns:a="http://schemas.openxmlformats.org/drawingml/2006/main">
                    <a:graphicData uri="http://schemas.openxmlformats.org/drawingml/2006/picture">
                      <pic:pic xmlns:pic="http://schemas.openxmlformats.org/drawingml/2006/picture">
                        <pic:nvPicPr>
                          <pic:cNvPr id="3773" name="图片_1_SpCnt_202"/>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6304"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41" name="图片_1_SpCnt_203"/>
                  <wp:cNvGraphicFramePr/>
                  <a:graphic xmlns:a="http://schemas.openxmlformats.org/drawingml/2006/main">
                    <a:graphicData uri="http://schemas.openxmlformats.org/drawingml/2006/picture">
                      <pic:pic xmlns:pic="http://schemas.openxmlformats.org/drawingml/2006/picture">
                        <pic:nvPicPr>
                          <pic:cNvPr id="3441" name="图片_1_SpCnt_203"/>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811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3433" name="图片_1_SpCnt_204"/>
                  <wp:cNvGraphicFramePr/>
                  <a:graphic xmlns:a="http://schemas.openxmlformats.org/drawingml/2006/main">
                    <a:graphicData uri="http://schemas.openxmlformats.org/drawingml/2006/picture">
                      <pic:pic xmlns:pic="http://schemas.openxmlformats.org/drawingml/2006/picture">
                        <pic:nvPicPr>
                          <pic:cNvPr id="3433" name="图片_1_SpCnt_204"/>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94080"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65" name="图片_1_SpCnt_205"/>
                  <wp:cNvGraphicFramePr/>
                  <a:graphic xmlns:a="http://schemas.openxmlformats.org/drawingml/2006/main">
                    <a:graphicData uri="http://schemas.openxmlformats.org/drawingml/2006/picture">
                      <pic:pic xmlns:pic="http://schemas.openxmlformats.org/drawingml/2006/picture">
                        <pic:nvPicPr>
                          <pic:cNvPr id="2765" name="图片_1_SpCnt_205"/>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9305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64" name="图片_1_SpCnt_206"/>
                  <wp:cNvGraphicFramePr/>
                  <a:graphic xmlns:a="http://schemas.openxmlformats.org/drawingml/2006/main">
                    <a:graphicData uri="http://schemas.openxmlformats.org/drawingml/2006/picture">
                      <pic:pic xmlns:pic="http://schemas.openxmlformats.org/drawingml/2006/picture">
                        <pic:nvPicPr>
                          <pic:cNvPr id="2764" name="图片_1_SpCnt_206"/>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97152"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68" name="图片_1_SpCnt_207"/>
                  <wp:cNvGraphicFramePr/>
                  <a:graphic xmlns:a="http://schemas.openxmlformats.org/drawingml/2006/main">
                    <a:graphicData uri="http://schemas.openxmlformats.org/drawingml/2006/picture">
                      <pic:pic xmlns:pic="http://schemas.openxmlformats.org/drawingml/2006/picture">
                        <pic:nvPicPr>
                          <pic:cNvPr id="2768" name="图片_1_SpCnt_207"/>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329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74" name="图片_1_SpCnt_208"/>
                  <wp:cNvGraphicFramePr/>
                  <a:graphic xmlns:a="http://schemas.openxmlformats.org/drawingml/2006/main">
                    <a:graphicData uri="http://schemas.openxmlformats.org/drawingml/2006/picture">
                      <pic:pic xmlns:pic="http://schemas.openxmlformats.org/drawingml/2006/picture">
                        <pic:nvPicPr>
                          <pic:cNvPr id="2774" name="图片_1_SpCnt_208"/>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98176" behindDoc="0" locked="0" layoutInCell="1" allowOverlap="1">
                  <wp:simplePos x="0" y="0"/>
                  <wp:positionH relativeFrom="column">
                    <wp:posOffset>46355</wp:posOffset>
                  </wp:positionH>
                  <wp:positionV relativeFrom="paragraph">
                    <wp:posOffset>0</wp:posOffset>
                  </wp:positionV>
                  <wp:extent cx="1541145" cy="10160"/>
                  <wp:effectExtent l="0" t="0" r="0" b="0"/>
                  <wp:wrapNone/>
                  <wp:docPr id="2769" name="图片_1_SpCnt_209"/>
                  <wp:cNvGraphicFramePr/>
                  <a:graphic xmlns:a="http://schemas.openxmlformats.org/drawingml/2006/main">
                    <a:graphicData uri="http://schemas.openxmlformats.org/drawingml/2006/picture">
                      <pic:pic xmlns:pic="http://schemas.openxmlformats.org/drawingml/2006/picture">
                        <pic:nvPicPr>
                          <pic:cNvPr id="2769" name="图片_1_SpCnt_209"/>
                          <pic:cNvPicPr/>
                        </pic:nvPicPr>
                        <pic:blipFill>
                          <a:blip r:embed="rId14"/>
                          <a:stretch>
                            <a:fillRect/>
                          </a:stretch>
                        </pic:blipFill>
                        <pic:spPr>
                          <a:xfrm>
                            <a:off x="0" y="0"/>
                            <a:ext cx="1541145" cy="10160"/>
                          </a:xfrm>
                          <a:prstGeom prst="rect">
                            <a:avLst/>
                          </a:prstGeom>
                          <a:noFill/>
                          <a:ln>
                            <a:noFill/>
                          </a:ln>
                        </pic:spPr>
                      </pic:pic>
                    </a:graphicData>
                  </a:graphic>
                </wp:anchor>
              </w:drawing>
            </w:r>
            <w:r>
              <w:rPr>
                <w:rFonts w:hint="eastAsia" w:ascii="宋体" w:hAnsi="宋体" w:cs="宋体"/>
                <w:color w:val="auto"/>
                <w:sz w:val="21"/>
                <w:szCs w:val="21"/>
                <w:highlight w:val="none"/>
                <w:lang w:bidi="ar"/>
              </w:rPr>
              <w:t>尺寸：≥198*110cm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落地使用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可调节角度</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带滚轮</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626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18BF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4896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2300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377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6900</w:t>
            </w:r>
          </w:p>
        </w:tc>
      </w:tr>
      <w:tr w14:paraId="6A73C860">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3F88F">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626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商用挂熨机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33587">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1.类型：挂烫机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2.铜芯，调温≥2档，水箱≥2.3L</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3.功率：≥2200w</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5EA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E1A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3A8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1700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20B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1700</w:t>
            </w:r>
          </w:p>
        </w:tc>
      </w:tr>
      <w:tr w14:paraId="02C187F0">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B0348">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DD6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化妆造型实训装备柜（含化妆教学彩妆用品2套）</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FF19">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柜体免漆板，金属护角，抽屉五金三节轨，万向脚轮，铁艺优质亚克力面板置物架，数控切割，分层陈列</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产品参数： A、B柜，长度≥700mm、宽度≥660mm、 高≥1660mm；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包含防水细黑眼线笔（净含量0.5g）1支，晴彩眉笔（净含量0.09g）2支，浓密睫毛膏（净含量2.5g）1支，单支口红（净含量3.8g）5支，口红（净含量3g）15块，唇釉（净含量3.5+3g）6支，四色眉粉（净含量3.6g）1盒，散粉（净含量8g）5盒，眼影粉（净含量3g）12个，8色眼影(净含量2g*8)（玄冬）1盒，8色眼影(净含量2g*8)（金天）1盒，8色眼影(净含量2g*8)（朱夏）1盒，8色眼影(净含量2g*8)（青阳）1盒，丝柔粉饼(净含量11g)2盒，四色遮黑眼袋膏(2.2g*4)1盒，粉底霜(净含量13g)8盒，莹润粉底液3瓶(净含量35ml)，腮红（净含量5g)3块，霞光粉饼（净含量12g）2个，修颜粉（净含量8g)2盒，修容饼(5g)2块，以上全套化妆教学彩妆用品提供2套</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3DA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BB6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58A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40000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FBD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40000</w:t>
            </w:r>
          </w:p>
        </w:tc>
      </w:tr>
      <w:tr w14:paraId="2F310B8C">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A148">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2F9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化妆工具包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4618">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包含化妆刷，眼影板，口红，睫毛膏，眼线笔，眉笔，散粉，粉底膏，化妆包等产品</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D91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19</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2C8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131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1200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021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22800</w:t>
            </w:r>
          </w:p>
        </w:tc>
      </w:tr>
      <w:tr w14:paraId="4795D8B2">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4BAC0">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D16C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专业色布</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2DD4">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色布颜色：长春花兰、浅苔绿、热粉、菩提绿、青椒绿、蓝红、金棕、兰花紫、樱桃色、梅紫、中灰、碳灰、柔白、亮鲑肉色、鲑肉色、雾粉、浅灰、玲蓝色、宝石兰、芥末黄、浅金色、正绿、番茄红、鲜肉色、黑色、巧克力色、黑棕等</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E29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02F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5DE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26088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314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26088</w:t>
            </w:r>
          </w:p>
        </w:tc>
      </w:tr>
      <w:tr w14:paraId="6A3F54FD">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70552">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00C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消毒机</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4135">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紫外线加臭氧消毒</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材质：金属</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控制方式：触屏</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尺寸：≥520*440*1420mm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功率：≥300w</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7E9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8B9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16E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900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00E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1800</w:t>
            </w:r>
          </w:p>
        </w:tc>
      </w:tr>
      <w:tr w14:paraId="7E685A0D">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C5B3C">
            <w:pPr>
              <w:jc w:val="right"/>
              <w:textAlignment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C0C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学生实训化妆椅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2E32">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1.颜色：白色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2.底座材质：铝合金</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3.可升降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4.高度：≥（88cm-98cm）*47cm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5.升降高度：≥43cm-54cm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171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45</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DE6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张</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558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120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8100</w:t>
            </w:r>
          </w:p>
        </w:tc>
      </w:tr>
      <w:tr w14:paraId="207AA24E">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397D1">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E06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美甲实操工位</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A117">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1.4M双人套装</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尺寸：≥140*40*78CM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含吸尘器+插座</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C8C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15</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159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F3C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4500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585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67500</w:t>
            </w:r>
          </w:p>
        </w:tc>
      </w:tr>
      <w:tr w14:paraId="67AFD35B">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15EEF">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AD1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美甲材料包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78DD">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美甲灯、海绵锉、修型搓、抛光条、粉尘刷、钢推、死皮叉、镊子、点花笔、防黑手套、美甲印章、清洁片、卸甲包、分指棉、软化剂、贴花、营养油，钢化封层、底胶，含≥30色甲油胶等</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6A5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32</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2E7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F41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2880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D9E5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92160</w:t>
            </w:r>
          </w:p>
        </w:tc>
      </w:tr>
      <w:tr w14:paraId="192C2765">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C37E7">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7DB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多功能实训美容仪1</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FB45">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1.工作电压：100-240V 频率（50/60HZ) 功率500W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2.额定值：AC 220V / 60Hz，120VA Class2 BF type</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3.用户界面方式7英寸LCD触摸显示器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设备支持高周波（改善皱纹细纹、促进胶原蛋白再生、促进血液循环和新陈代谢，脂肪分解，通过高热深部热、促进新陈代谢、消耗热量去除脂肪），双极射频（改善皱纹、改善皮肤弹性、紧致肌肤、减少老化性毛孔），Y字轮射频（改善皱纹、重塑少女线、提升苹果肌、减少眼部皱纹），超声波（产品营养导入、促进细胞再生），超声铲（深层清洁、去除皮肤老化角质）电离子（营养导入 美白提亮肤色）六大主要功能</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▲5.设备可以显示自主调节power等级，支持time操作（提供功能运行界面截图或实拍图并加盖公章予以佐证）</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6.机身大小：高140cm*长55cm*宽55cm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7.电击保护形式一级设备/BF型安装设备</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8.电子适配：AC100~240V(50/60Hz)功率500VA</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9.含RF射频头、RF射频手柄、Y型RF射频手柄、超声铲手柄、Y字夹、鳄鱼夹、超声波手柄配件</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453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C6F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E11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40000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92C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40000</w:t>
            </w:r>
          </w:p>
        </w:tc>
      </w:tr>
      <w:tr w14:paraId="27F69B5A">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01E63">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ADD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多功能实训美容仪2</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87FE">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1.规格：140cm*55cm55cm,30kg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2.工作电压;100-240V 频率（50/60HZ) 功率450W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3.额定值：AC 220V / 60Hz，120VA Class2 BF type</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4.电击保护形式一级设备/BF型安装设备</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▲5.冷热电泳头：高精度温度感应，实时监控护理温度，冷却管理：冷却温度可低至零下-20℃，温热管理：温度可高达+40℃（提供功能运行界面截图或实拍图并加盖公章予以佐证）</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6.含涡轮负压头、纳米注氧仪、冷热电泳仪、Y字夹、鳄鱼夹</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088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A9D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24B1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35000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A57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70000</w:t>
            </w:r>
          </w:p>
        </w:tc>
      </w:tr>
      <w:tr w14:paraId="6A906408">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28C5C">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75E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实训视频采集终端</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AF2D">
            <w:pPr>
              <w:numPr>
                <w:ilvl w:val="0"/>
                <w:numId w:val="6"/>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硬件部分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1.图像传感器： 采用≥1/2.8英寸，≥207万有效像素，HD CMOS传感器。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2.视频编码标准： 不少于H.264/MJEPG；视频码率：不少于128Kbps ～  8192Kbps。</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3.音频压缩标准：AAC；音频码率不少于96Kbps, 128Kbps, 256Kbps。</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4.超高帧率：1080P下输出帧频可达60fps。 </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5.信号系统不少于1080P60，1080P50，1080P30，1080P25，720P60，720P50。</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 光学变焦：≥20X； 镜头不少于 f4.42mm ～  88.5mm, F1.8 ～ F2.8。数字变焦：≥16X.</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7.信噪比： ≥55dB。</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8. 水平视场角： 不低于60.7°～ 3.36°；垂直视场角： 不低于34.1°～ 1.89°。</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9.转动范围：水平转动范围不低于±170°，垂直转动范围不低于-30°～+90°，水平转动速度范围不低于1.7°～ 100°/s，垂直转动速度范围不低于1.7°～69°/s。</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10.快门： 不低于1/30s～1/10000s。</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11.图像冻结： 支持。</w:t>
            </w:r>
          </w:p>
          <w:p w14:paraId="14BF3B39">
            <w:pPr>
              <w:numPr>
                <w:ilvl w:val="0"/>
                <w:numId w:val="7"/>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供电： ≤DC12V、PoE。</w:t>
            </w:r>
          </w:p>
          <w:p w14:paraId="074FC670">
            <w:pPr>
              <w:numPr>
                <w:ilvl w:val="0"/>
                <w:numId w:val="7"/>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预置位数量： ≥255个。</w:t>
            </w:r>
          </w:p>
          <w:p w14:paraId="1A7C6A2A">
            <w:pPr>
              <w:numPr>
                <w:ilvl w:val="0"/>
                <w:numId w:val="7"/>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视频码流： 支持主码流、辅码流。</w:t>
            </w:r>
          </w:p>
          <w:p w14:paraId="32019EEE">
            <w:pPr>
              <w:numPr>
                <w:ilvl w:val="0"/>
                <w:numId w:val="7"/>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产品亮度分解力（水平）≥1000电视线。</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16.在监视或录像状态下，监视画面无明显缺损，物体移动时画面边缘无明显锯齿、拉毛现象。</w:t>
            </w:r>
            <w:r>
              <w:rPr>
                <w:rFonts w:hint="eastAsia" w:ascii="宋体" w:hAnsi="宋体" w:cs="宋体"/>
                <w:b/>
                <w:bCs/>
                <w:color w:val="auto"/>
                <w:sz w:val="21"/>
                <w:szCs w:val="21"/>
                <w:highlight w:val="none"/>
                <w:lang w:bidi="ar"/>
              </w:rPr>
              <w:t>(投标时须提供检测报告复印件及报告编号在全国认证认可信息公共服务平台的查询截图)</w:t>
            </w:r>
            <w:r>
              <w:rPr>
                <w:rFonts w:hint="eastAsia" w:ascii="宋体" w:hAnsi="宋体" w:cs="宋体"/>
                <w:b/>
                <w:bCs/>
                <w:color w:val="auto"/>
                <w:sz w:val="21"/>
                <w:szCs w:val="21"/>
                <w:highlight w:val="none"/>
                <w:lang w:bidi="ar"/>
              </w:rPr>
              <w:br w:type="textWrapping"/>
            </w:r>
            <w:r>
              <w:rPr>
                <w:rFonts w:hint="eastAsia" w:ascii="宋体" w:hAnsi="宋体" w:cs="宋体"/>
                <w:color w:val="auto"/>
                <w:sz w:val="21"/>
                <w:szCs w:val="21"/>
                <w:highlight w:val="none"/>
                <w:lang w:bidi="ar"/>
              </w:rPr>
              <w:t xml:space="preserve">17.高清输出： ≥1路HDMI, ≥1路3G-SDI。 18.网络接口： ≥1路RJ45。 </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19.其它接口： ≥1路3.5mm Line In音频接口； ≥1路USB 2.0接口；≥1路RS232 In ；≥1路RS232 Out；≥1路RS485。</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20.功耗：最大功率≤12W。</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21.要求产品采用耐腐蚀技术处理，需提供盐雾检测报告为佐证，检测时间不小于48小时，产品外观、各金属件都应无锈蚀痕迹。(投标时须提供印有CMA认证标识检测报告复印件及报告编号在全国认证认可信息公共服务平台的查询截图)</w:t>
            </w:r>
          </w:p>
          <w:p w14:paraId="033AE9DB">
            <w:pPr>
              <w:numPr>
                <w:ilvl w:val="0"/>
                <w:numId w:val="7"/>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▲22.为确保产品耐高低温性能，能承受低温-10℃～高温40℃环境下工作，检测时间不小于8小时。</w:t>
            </w:r>
            <w:r>
              <w:rPr>
                <w:rFonts w:hint="eastAsia" w:ascii="宋体" w:hAnsi="宋体" w:cs="宋体"/>
                <w:b/>
                <w:bCs/>
                <w:color w:val="auto"/>
                <w:sz w:val="21"/>
                <w:szCs w:val="21"/>
                <w:highlight w:val="none"/>
                <w:lang w:bidi="ar"/>
              </w:rPr>
              <w:t>(投标时须提供检测报告复印件及报告编号在全国认证认可信息公共服务平台的查询截图)</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w:t>
            </w:r>
            <w:r>
              <w:rPr>
                <w:rFonts w:hint="eastAsia" w:ascii="宋体" w:hAnsi="宋体" w:cs="宋体"/>
                <w:b/>
                <w:bCs/>
                <w:color w:val="auto"/>
                <w:sz w:val="21"/>
                <w:szCs w:val="21"/>
                <w:highlight w:val="none"/>
                <w:lang w:bidi="ar"/>
              </w:rPr>
              <w:t>23.为保证系统稳定性及兼容性，要求与4K录播一体机为同一品牌。</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二、配套系统部分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1.要求采用B/S架构，支持通用浏览器直接访问进行管理。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2.要求支持网络参数设置与修改，支持一键恢复默认参数。</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3.要求支持曝光模式设置功能，包括自动、手动。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4.要求支持抗闪烁频率、动态范围、光圈、快门参数设置。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5.要求支持自动白平衡设置功能，红、蓝增益可调。</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6.要求支持噪声抑制设置功能，支持2D、3D降噪。</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7.要求支持摄像机图像质量调节功能，包括亮度、对比度、色调、饱和度。</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8.要求支持摄像机控制功能，包括云台控制、预置位设置与调用、焦距调节等。</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1E6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E0F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2CE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2800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A2A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2800</w:t>
            </w:r>
          </w:p>
        </w:tc>
      </w:tr>
      <w:tr w14:paraId="1A953BEA">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A6A56">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408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实训教学扩声音箱</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77D8">
            <w:pPr>
              <w:numPr>
                <w:ilvl w:val="0"/>
                <w:numId w:val="8"/>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02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1" name="图片_1_SpCnt_210"/>
                  <wp:cNvGraphicFramePr/>
                  <a:graphic xmlns:a="http://schemas.openxmlformats.org/drawingml/2006/main">
                    <a:graphicData uri="http://schemas.openxmlformats.org/drawingml/2006/picture">
                      <pic:pic xmlns:pic="http://schemas.openxmlformats.org/drawingml/2006/picture">
                        <pic:nvPicPr>
                          <pic:cNvPr id="2771" name="图片_1_SpCnt_21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63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7" name="图片_1_SpCnt_211"/>
                  <wp:cNvGraphicFramePr/>
                  <a:graphic xmlns:a="http://schemas.openxmlformats.org/drawingml/2006/main">
                    <a:graphicData uri="http://schemas.openxmlformats.org/drawingml/2006/picture">
                      <pic:pic xmlns:pic="http://schemas.openxmlformats.org/drawingml/2006/picture">
                        <pic:nvPicPr>
                          <pic:cNvPr id="2777" name="图片_1_SpCnt_21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97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8" name="图片_1_SpCnt_212"/>
                  <wp:cNvGraphicFramePr/>
                  <a:graphic xmlns:a="http://schemas.openxmlformats.org/drawingml/2006/main">
                    <a:graphicData uri="http://schemas.openxmlformats.org/drawingml/2006/picture">
                      <pic:pic xmlns:pic="http://schemas.openxmlformats.org/drawingml/2006/picture">
                        <pic:nvPicPr>
                          <pic:cNvPr id="2878" name="图片_1_SpCnt_21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18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80" name="图片_1_SpCnt_213"/>
                  <wp:cNvGraphicFramePr/>
                  <a:graphic xmlns:a="http://schemas.openxmlformats.org/drawingml/2006/main">
                    <a:graphicData uri="http://schemas.openxmlformats.org/drawingml/2006/picture">
                      <pic:pic xmlns:pic="http://schemas.openxmlformats.org/drawingml/2006/picture">
                        <pic:nvPicPr>
                          <pic:cNvPr id="2880" name="图片_1_SpCnt_21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38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82" name="图片_1_SpCnt_214"/>
                  <wp:cNvGraphicFramePr/>
                  <a:graphic xmlns:a="http://schemas.openxmlformats.org/drawingml/2006/main">
                    <a:graphicData uri="http://schemas.openxmlformats.org/drawingml/2006/picture">
                      <pic:pic xmlns:pic="http://schemas.openxmlformats.org/drawingml/2006/picture">
                        <pic:nvPicPr>
                          <pic:cNvPr id="2882" name="图片_1_SpCnt_21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241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8" name="图片_1_SpCnt_215"/>
                  <wp:cNvGraphicFramePr/>
                  <a:graphic xmlns:a="http://schemas.openxmlformats.org/drawingml/2006/main">
                    <a:graphicData uri="http://schemas.openxmlformats.org/drawingml/2006/picture">
                      <pic:pic xmlns:pic="http://schemas.openxmlformats.org/drawingml/2006/picture">
                        <pic:nvPicPr>
                          <pic:cNvPr id="3478" name="图片_1_SpCnt_21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29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67" name="图片_1_SpCnt_216"/>
                  <wp:cNvGraphicFramePr/>
                  <a:graphic xmlns:a="http://schemas.openxmlformats.org/drawingml/2006/main">
                    <a:graphicData uri="http://schemas.openxmlformats.org/drawingml/2006/picture">
                      <pic:pic xmlns:pic="http://schemas.openxmlformats.org/drawingml/2006/picture">
                        <pic:nvPicPr>
                          <pic:cNvPr id="3467" name="图片_1_SpCnt_21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221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6" name="图片_1_SpCnt_217"/>
                  <wp:cNvGraphicFramePr/>
                  <a:graphic xmlns:a="http://schemas.openxmlformats.org/drawingml/2006/main">
                    <a:graphicData uri="http://schemas.openxmlformats.org/drawingml/2006/picture">
                      <pic:pic xmlns:pic="http://schemas.openxmlformats.org/drawingml/2006/picture">
                        <pic:nvPicPr>
                          <pic:cNvPr id="3476" name="图片_1_SpCnt_21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231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7" name="图片_1_SpCnt_218"/>
                  <wp:cNvGraphicFramePr/>
                  <a:graphic xmlns:a="http://schemas.openxmlformats.org/drawingml/2006/main">
                    <a:graphicData uri="http://schemas.openxmlformats.org/drawingml/2006/picture">
                      <pic:pic xmlns:pic="http://schemas.openxmlformats.org/drawingml/2006/picture">
                        <pic:nvPicPr>
                          <pic:cNvPr id="3477" name="图片_1_SpCnt_21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549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508" name="图片_1_SpCnt_219"/>
                  <wp:cNvGraphicFramePr/>
                  <a:graphic xmlns:a="http://schemas.openxmlformats.org/drawingml/2006/main">
                    <a:graphicData uri="http://schemas.openxmlformats.org/drawingml/2006/picture">
                      <pic:pic xmlns:pic="http://schemas.openxmlformats.org/drawingml/2006/picture">
                        <pic:nvPicPr>
                          <pic:cNvPr id="3508" name="图片_1_SpCnt_21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559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509" name="图片_1_SpCnt_220"/>
                  <wp:cNvGraphicFramePr/>
                  <a:graphic xmlns:a="http://schemas.openxmlformats.org/drawingml/2006/main">
                    <a:graphicData uri="http://schemas.openxmlformats.org/drawingml/2006/picture">
                      <pic:pic xmlns:pic="http://schemas.openxmlformats.org/drawingml/2006/picture">
                        <pic:nvPicPr>
                          <pic:cNvPr id="3509" name="图片_1_SpCnt_22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08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65" name="图片_1_SpCnt_221"/>
                  <wp:cNvGraphicFramePr/>
                  <a:graphic xmlns:a="http://schemas.openxmlformats.org/drawingml/2006/main">
                    <a:graphicData uri="http://schemas.openxmlformats.org/drawingml/2006/picture">
                      <pic:pic xmlns:pic="http://schemas.openxmlformats.org/drawingml/2006/picture">
                        <pic:nvPicPr>
                          <pic:cNvPr id="3465" name="图片_1_SpCnt_22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19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66" name="图片_1_SpCnt_222"/>
                  <wp:cNvGraphicFramePr/>
                  <a:graphic xmlns:a="http://schemas.openxmlformats.org/drawingml/2006/main">
                    <a:graphicData uri="http://schemas.openxmlformats.org/drawingml/2006/picture">
                      <pic:pic xmlns:pic="http://schemas.openxmlformats.org/drawingml/2006/picture">
                        <pic:nvPicPr>
                          <pic:cNvPr id="3466" name="图片_1_SpCnt_22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39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68" name="图片_1_SpCnt_223"/>
                  <wp:cNvGraphicFramePr/>
                  <a:graphic xmlns:a="http://schemas.openxmlformats.org/drawingml/2006/main">
                    <a:graphicData uri="http://schemas.openxmlformats.org/drawingml/2006/picture">
                      <pic:pic xmlns:pic="http://schemas.openxmlformats.org/drawingml/2006/picture">
                        <pic:nvPicPr>
                          <pic:cNvPr id="3468" name="图片_1_SpCnt_22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70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1" name="图片_1_SpCnt_224"/>
                  <wp:cNvGraphicFramePr/>
                  <a:graphic xmlns:a="http://schemas.openxmlformats.org/drawingml/2006/main">
                    <a:graphicData uri="http://schemas.openxmlformats.org/drawingml/2006/picture">
                      <pic:pic xmlns:pic="http://schemas.openxmlformats.org/drawingml/2006/picture">
                        <pic:nvPicPr>
                          <pic:cNvPr id="3471" name="图片_1_SpCnt_22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80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2" name="图片_1_SpCnt_225"/>
                  <wp:cNvGraphicFramePr/>
                  <a:graphic xmlns:a="http://schemas.openxmlformats.org/drawingml/2006/main">
                    <a:graphicData uri="http://schemas.openxmlformats.org/drawingml/2006/picture">
                      <pic:pic xmlns:pic="http://schemas.openxmlformats.org/drawingml/2006/picture">
                        <pic:nvPicPr>
                          <pic:cNvPr id="3472" name="图片_1_SpCnt_22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190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3" name="图片_1_SpCnt_226"/>
                  <wp:cNvGraphicFramePr/>
                  <a:graphic xmlns:a="http://schemas.openxmlformats.org/drawingml/2006/main">
                    <a:graphicData uri="http://schemas.openxmlformats.org/drawingml/2006/picture">
                      <pic:pic xmlns:pic="http://schemas.openxmlformats.org/drawingml/2006/picture">
                        <pic:nvPicPr>
                          <pic:cNvPr id="3473" name="图片_1_SpCnt_22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211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5" name="图片_1_SpCnt_227"/>
                  <wp:cNvGraphicFramePr/>
                  <a:graphic xmlns:a="http://schemas.openxmlformats.org/drawingml/2006/main">
                    <a:graphicData uri="http://schemas.openxmlformats.org/drawingml/2006/picture">
                      <pic:pic xmlns:pic="http://schemas.openxmlformats.org/drawingml/2006/picture">
                        <pic:nvPicPr>
                          <pic:cNvPr id="3475" name="图片_1_SpCnt_22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200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74" name="图片_1_SpCnt_228"/>
                  <wp:cNvGraphicFramePr/>
                  <a:graphic xmlns:a="http://schemas.openxmlformats.org/drawingml/2006/main">
                    <a:graphicData uri="http://schemas.openxmlformats.org/drawingml/2006/picture">
                      <pic:pic xmlns:pic="http://schemas.openxmlformats.org/drawingml/2006/picture">
                        <pic:nvPicPr>
                          <pic:cNvPr id="3474" name="图片_1_SpCnt_22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405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08" name="图片_1_SpCnt_229"/>
                  <wp:cNvGraphicFramePr/>
                  <a:graphic xmlns:a="http://schemas.openxmlformats.org/drawingml/2006/main">
                    <a:graphicData uri="http://schemas.openxmlformats.org/drawingml/2006/picture">
                      <pic:pic xmlns:pic="http://schemas.openxmlformats.org/drawingml/2006/picture">
                        <pic:nvPicPr>
                          <pic:cNvPr id="2908" name="图片_1_SpCnt_22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08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9" name="图片_1_SpCnt_230"/>
                  <wp:cNvGraphicFramePr/>
                  <a:graphic xmlns:a="http://schemas.openxmlformats.org/drawingml/2006/main">
                    <a:graphicData uri="http://schemas.openxmlformats.org/drawingml/2006/picture">
                      <pic:pic xmlns:pic="http://schemas.openxmlformats.org/drawingml/2006/picture">
                        <pic:nvPicPr>
                          <pic:cNvPr id="2879" name="图片_1_SpCnt_23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56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4" name="图片_1_SpCnt_231"/>
                  <wp:cNvGraphicFramePr/>
                  <a:graphic xmlns:a="http://schemas.openxmlformats.org/drawingml/2006/main">
                    <a:graphicData uri="http://schemas.openxmlformats.org/drawingml/2006/picture">
                      <pic:pic xmlns:pic="http://schemas.openxmlformats.org/drawingml/2006/picture">
                        <pic:nvPicPr>
                          <pic:cNvPr id="2874" name="图片_1_SpCnt_23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67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5" name="图片_1_SpCnt_232"/>
                  <wp:cNvGraphicFramePr/>
                  <a:graphic xmlns:a="http://schemas.openxmlformats.org/drawingml/2006/main">
                    <a:graphicData uri="http://schemas.openxmlformats.org/drawingml/2006/picture">
                      <pic:pic xmlns:pic="http://schemas.openxmlformats.org/drawingml/2006/picture">
                        <pic:nvPicPr>
                          <pic:cNvPr id="2875" name="图片_1_SpCnt_23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05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69" name="图片_1_SpCnt_233"/>
                  <wp:cNvGraphicFramePr/>
                  <a:graphic xmlns:a="http://schemas.openxmlformats.org/drawingml/2006/main">
                    <a:graphicData uri="http://schemas.openxmlformats.org/drawingml/2006/picture">
                      <pic:pic xmlns:pic="http://schemas.openxmlformats.org/drawingml/2006/picture">
                        <pic:nvPicPr>
                          <pic:cNvPr id="2869" name="图片_1_SpCnt_23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992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0" name="图片_1_SpCnt_234"/>
                  <wp:cNvGraphicFramePr/>
                  <a:graphic xmlns:a="http://schemas.openxmlformats.org/drawingml/2006/main">
                    <a:graphicData uri="http://schemas.openxmlformats.org/drawingml/2006/picture">
                      <pic:pic xmlns:pic="http://schemas.openxmlformats.org/drawingml/2006/picture">
                        <pic:nvPicPr>
                          <pic:cNvPr id="2770" name="图片_1_SpCnt_23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22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3" name="图片_1_SpCnt_235"/>
                  <wp:cNvGraphicFramePr/>
                  <a:graphic xmlns:a="http://schemas.openxmlformats.org/drawingml/2006/main">
                    <a:graphicData uri="http://schemas.openxmlformats.org/drawingml/2006/picture">
                      <pic:pic xmlns:pic="http://schemas.openxmlformats.org/drawingml/2006/picture">
                        <pic:nvPicPr>
                          <pic:cNvPr id="2773" name="图片_1_SpCnt_23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53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6" name="图片_1_SpCnt_236"/>
                  <wp:cNvGraphicFramePr/>
                  <a:graphic xmlns:a="http://schemas.openxmlformats.org/drawingml/2006/main">
                    <a:graphicData uri="http://schemas.openxmlformats.org/drawingml/2006/picture">
                      <pic:pic xmlns:pic="http://schemas.openxmlformats.org/drawingml/2006/picture">
                        <pic:nvPicPr>
                          <pic:cNvPr id="2776" name="图片_1_SpCnt_23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84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79" name="图片_1_SpCnt_237"/>
                  <wp:cNvGraphicFramePr/>
                  <a:graphic xmlns:a="http://schemas.openxmlformats.org/drawingml/2006/main">
                    <a:graphicData uri="http://schemas.openxmlformats.org/drawingml/2006/picture">
                      <pic:pic xmlns:pic="http://schemas.openxmlformats.org/drawingml/2006/picture">
                        <pic:nvPicPr>
                          <pic:cNvPr id="2779" name="图片_1_SpCnt_23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09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26" name="图片_1_SpCnt_238"/>
                  <wp:cNvGraphicFramePr/>
                  <a:graphic xmlns:a="http://schemas.openxmlformats.org/drawingml/2006/main">
                    <a:graphicData uri="http://schemas.openxmlformats.org/drawingml/2006/picture">
                      <pic:pic xmlns:pic="http://schemas.openxmlformats.org/drawingml/2006/picture">
                        <pic:nvPicPr>
                          <pic:cNvPr id="3426" name="图片_1_SpCnt_23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24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0" name="图片_1_SpCnt_239"/>
                  <wp:cNvGraphicFramePr/>
                  <a:graphic xmlns:a="http://schemas.openxmlformats.org/drawingml/2006/main">
                    <a:graphicData uri="http://schemas.openxmlformats.org/drawingml/2006/picture">
                      <pic:pic xmlns:pic="http://schemas.openxmlformats.org/drawingml/2006/picture">
                        <pic:nvPicPr>
                          <pic:cNvPr id="3740" name="图片_1_SpCnt_23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75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52" name="图片_1_SpCnt_240"/>
                  <wp:cNvGraphicFramePr/>
                  <a:graphic xmlns:a="http://schemas.openxmlformats.org/drawingml/2006/main">
                    <a:graphicData uri="http://schemas.openxmlformats.org/drawingml/2006/picture">
                      <pic:pic xmlns:pic="http://schemas.openxmlformats.org/drawingml/2006/picture">
                        <pic:nvPicPr>
                          <pic:cNvPr id="3452" name="图片_1_SpCnt_24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35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1" name="图片_1_SpCnt_241"/>
                  <wp:cNvGraphicFramePr/>
                  <a:graphic xmlns:a="http://schemas.openxmlformats.org/drawingml/2006/main">
                    <a:graphicData uri="http://schemas.openxmlformats.org/drawingml/2006/picture">
                      <pic:pic xmlns:pic="http://schemas.openxmlformats.org/drawingml/2006/picture">
                        <pic:nvPicPr>
                          <pic:cNvPr id="3741" name="图片_1_SpCnt_24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45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2" name="图片_1_SpCnt_242"/>
                  <wp:cNvGraphicFramePr/>
                  <a:graphic xmlns:a="http://schemas.openxmlformats.org/drawingml/2006/main">
                    <a:graphicData uri="http://schemas.openxmlformats.org/drawingml/2006/picture">
                      <pic:pic xmlns:pic="http://schemas.openxmlformats.org/drawingml/2006/picture">
                        <pic:nvPicPr>
                          <pic:cNvPr id="3742" name="图片_1_SpCnt_24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55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3" name="图片_1_SpCnt_243"/>
                  <wp:cNvGraphicFramePr/>
                  <a:graphic xmlns:a="http://schemas.openxmlformats.org/drawingml/2006/main">
                    <a:graphicData uri="http://schemas.openxmlformats.org/drawingml/2006/picture">
                      <pic:pic xmlns:pic="http://schemas.openxmlformats.org/drawingml/2006/picture">
                        <pic:nvPicPr>
                          <pic:cNvPr id="3743" name="图片_1_SpCnt_24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65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4" name="图片_1_SpCnt_244"/>
                  <wp:cNvGraphicFramePr/>
                  <a:graphic xmlns:a="http://schemas.openxmlformats.org/drawingml/2006/main">
                    <a:graphicData uri="http://schemas.openxmlformats.org/drawingml/2006/picture">
                      <pic:pic xmlns:pic="http://schemas.openxmlformats.org/drawingml/2006/picture">
                        <pic:nvPicPr>
                          <pic:cNvPr id="3744" name="图片_1_SpCnt_24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77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6" name="图片_1_SpCnt_245"/>
                  <wp:cNvGraphicFramePr/>
                  <a:graphic xmlns:a="http://schemas.openxmlformats.org/drawingml/2006/main">
                    <a:graphicData uri="http://schemas.openxmlformats.org/drawingml/2006/picture">
                      <pic:pic xmlns:pic="http://schemas.openxmlformats.org/drawingml/2006/picture">
                        <pic:nvPicPr>
                          <pic:cNvPr id="2876" name="图片_1_SpCnt_24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76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5" name="图片_1_SpCnt_246"/>
                  <wp:cNvGraphicFramePr/>
                  <a:graphic xmlns:a="http://schemas.openxmlformats.org/drawingml/2006/main">
                    <a:graphicData uri="http://schemas.openxmlformats.org/drawingml/2006/picture">
                      <pic:pic xmlns:pic="http://schemas.openxmlformats.org/drawingml/2006/picture">
                        <pic:nvPicPr>
                          <pic:cNvPr id="3745" name="图片_1_SpCnt_24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86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6" name="图片_1_SpCnt_247"/>
                  <wp:cNvGraphicFramePr/>
                  <a:graphic xmlns:a="http://schemas.openxmlformats.org/drawingml/2006/main">
                    <a:graphicData uri="http://schemas.openxmlformats.org/drawingml/2006/picture">
                      <pic:pic xmlns:pic="http://schemas.openxmlformats.org/drawingml/2006/picture">
                        <pic:nvPicPr>
                          <pic:cNvPr id="3746" name="图片_1_SpCnt_24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6996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7" name="图片_1_SpCnt_248"/>
                  <wp:cNvGraphicFramePr/>
                  <a:graphic xmlns:a="http://schemas.openxmlformats.org/drawingml/2006/main">
                    <a:graphicData uri="http://schemas.openxmlformats.org/drawingml/2006/picture">
                      <pic:pic xmlns:pic="http://schemas.openxmlformats.org/drawingml/2006/picture">
                        <pic:nvPicPr>
                          <pic:cNvPr id="3747" name="图片_1_SpCnt_24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06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8" name="图片_1_SpCnt_249"/>
                  <wp:cNvGraphicFramePr/>
                  <a:graphic xmlns:a="http://schemas.openxmlformats.org/drawingml/2006/main">
                    <a:graphicData uri="http://schemas.openxmlformats.org/drawingml/2006/picture">
                      <pic:pic xmlns:pic="http://schemas.openxmlformats.org/drawingml/2006/picture">
                        <pic:nvPicPr>
                          <pic:cNvPr id="3748" name="图片_1_SpCnt_24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16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49" name="图片_1_SpCnt_250"/>
                  <wp:cNvGraphicFramePr/>
                  <a:graphic xmlns:a="http://schemas.openxmlformats.org/drawingml/2006/main">
                    <a:graphicData uri="http://schemas.openxmlformats.org/drawingml/2006/picture">
                      <pic:pic xmlns:pic="http://schemas.openxmlformats.org/drawingml/2006/picture">
                        <pic:nvPicPr>
                          <pic:cNvPr id="3749" name="图片_1_SpCnt_25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27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0" name="图片_1_SpCnt_251"/>
                  <wp:cNvGraphicFramePr/>
                  <a:graphic xmlns:a="http://schemas.openxmlformats.org/drawingml/2006/main">
                    <a:graphicData uri="http://schemas.openxmlformats.org/drawingml/2006/picture">
                      <pic:pic xmlns:pic="http://schemas.openxmlformats.org/drawingml/2006/picture">
                        <pic:nvPicPr>
                          <pic:cNvPr id="3750" name="图片_1_SpCnt_25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37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1" name="图片_1_SpCnt_252"/>
                  <wp:cNvGraphicFramePr/>
                  <a:graphic xmlns:a="http://schemas.openxmlformats.org/drawingml/2006/main">
                    <a:graphicData uri="http://schemas.openxmlformats.org/drawingml/2006/picture">
                      <pic:pic xmlns:pic="http://schemas.openxmlformats.org/drawingml/2006/picture">
                        <pic:nvPicPr>
                          <pic:cNvPr id="3751" name="图片_1_SpCnt_25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47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2" name="图片_1_SpCnt_253"/>
                  <wp:cNvGraphicFramePr/>
                  <a:graphic xmlns:a="http://schemas.openxmlformats.org/drawingml/2006/main">
                    <a:graphicData uri="http://schemas.openxmlformats.org/drawingml/2006/picture">
                      <pic:pic xmlns:pic="http://schemas.openxmlformats.org/drawingml/2006/picture">
                        <pic:nvPicPr>
                          <pic:cNvPr id="3752" name="图片_1_SpCnt_25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57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3" name="图片_1_SpCnt_254"/>
                  <wp:cNvGraphicFramePr/>
                  <a:graphic xmlns:a="http://schemas.openxmlformats.org/drawingml/2006/main">
                    <a:graphicData uri="http://schemas.openxmlformats.org/drawingml/2006/picture">
                      <pic:pic xmlns:pic="http://schemas.openxmlformats.org/drawingml/2006/picture">
                        <pic:nvPicPr>
                          <pic:cNvPr id="3753" name="图片_1_SpCnt_25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68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4" name="图片_1_SpCnt_255"/>
                  <wp:cNvGraphicFramePr/>
                  <a:graphic xmlns:a="http://schemas.openxmlformats.org/drawingml/2006/main">
                    <a:graphicData uri="http://schemas.openxmlformats.org/drawingml/2006/picture">
                      <pic:pic xmlns:pic="http://schemas.openxmlformats.org/drawingml/2006/picture">
                        <pic:nvPicPr>
                          <pic:cNvPr id="3754" name="图片_1_SpCnt_25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78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5" name="图片_1_SpCnt_256"/>
                  <wp:cNvGraphicFramePr/>
                  <a:graphic xmlns:a="http://schemas.openxmlformats.org/drawingml/2006/main">
                    <a:graphicData uri="http://schemas.openxmlformats.org/drawingml/2006/picture">
                      <pic:pic xmlns:pic="http://schemas.openxmlformats.org/drawingml/2006/picture">
                        <pic:nvPicPr>
                          <pic:cNvPr id="3755" name="图片_1_SpCnt_25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88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6" name="图片_1_SpCnt_257"/>
                  <wp:cNvGraphicFramePr/>
                  <a:graphic xmlns:a="http://schemas.openxmlformats.org/drawingml/2006/main">
                    <a:graphicData uri="http://schemas.openxmlformats.org/drawingml/2006/picture">
                      <pic:pic xmlns:pic="http://schemas.openxmlformats.org/drawingml/2006/picture">
                        <pic:nvPicPr>
                          <pic:cNvPr id="3756" name="图片_1_SpCnt_25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46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3" name="图片_1_SpCnt_258"/>
                  <wp:cNvGraphicFramePr/>
                  <a:graphic xmlns:a="http://schemas.openxmlformats.org/drawingml/2006/main">
                    <a:graphicData uri="http://schemas.openxmlformats.org/drawingml/2006/picture">
                      <pic:pic xmlns:pic="http://schemas.openxmlformats.org/drawingml/2006/picture">
                        <pic:nvPicPr>
                          <pic:cNvPr id="2873" name="图片_1_SpCnt_25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098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7" name="图片_1_SpCnt_259"/>
                  <wp:cNvGraphicFramePr/>
                  <a:graphic xmlns:a="http://schemas.openxmlformats.org/drawingml/2006/main">
                    <a:graphicData uri="http://schemas.openxmlformats.org/drawingml/2006/picture">
                      <pic:pic xmlns:pic="http://schemas.openxmlformats.org/drawingml/2006/picture">
                        <pic:nvPicPr>
                          <pic:cNvPr id="3757" name="图片_1_SpCnt_25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09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8" name="图片_1_SpCnt_260"/>
                  <wp:cNvGraphicFramePr/>
                  <a:graphic xmlns:a="http://schemas.openxmlformats.org/drawingml/2006/main">
                    <a:graphicData uri="http://schemas.openxmlformats.org/drawingml/2006/picture">
                      <pic:pic xmlns:pic="http://schemas.openxmlformats.org/drawingml/2006/picture">
                        <pic:nvPicPr>
                          <pic:cNvPr id="3758" name="图片_1_SpCnt_26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19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59" name="图片_1_SpCnt_261"/>
                  <wp:cNvGraphicFramePr/>
                  <a:graphic xmlns:a="http://schemas.openxmlformats.org/drawingml/2006/main">
                    <a:graphicData uri="http://schemas.openxmlformats.org/drawingml/2006/picture">
                      <pic:pic xmlns:pic="http://schemas.openxmlformats.org/drawingml/2006/picture">
                        <pic:nvPicPr>
                          <pic:cNvPr id="3759" name="图片_1_SpCnt_26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29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0" name="图片_1_SpCnt_262"/>
                  <wp:cNvGraphicFramePr/>
                  <a:graphic xmlns:a="http://schemas.openxmlformats.org/drawingml/2006/main">
                    <a:graphicData uri="http://schemas.openxmlformats.org/drawingml/2006/picture">
                      <pic:pic xmlns:pic="http://schemas.openxmlformats.org/drawingml/2006/picture">
                        <pic:nvPicPr>
                          <pic:cNvPr id="3760" name="图片_1_SpCnt_26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39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1" name="图片_1_SpCnt_263"/>
                  <wp:cNvGraphicFramePr/>
                  <a:graphic xmlns:a="http://schemas.openxmlformats.org/drawingml/2006/main">
                    <a:graphicData uri="http://schemas.openxmlformats.org/drawingml/2006/picture">
                      <pic:pic xmlns:pic="http://schemas.openxmlformats.org/drawingml/2006/picture">
                        <pic:nvPicPr>
                          <pic:cNvPr id="3761" name="图片_1_SpCnt_26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50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2" name="图片_1_SpCnt_264"/>
                  <wp:cNvGraphicFramePr/>
                  <a:graphic xmlns:a="http://schemas.openxmlformats.org/drawingml/2006/main">
                    <a:graphicData uri="http://schemas.openxmlformats.org/drawingml/2006/picture">
                      <pic:pic xmlns:pic="http://schemas.openxmlformats.org/drawingml/2006/picture">
                        <pic:nvPicPr>
                          <pic:cNvPr id="3762" name="图片_1_SpCnt_26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60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3" name="图片_1_SpCnt_265"/>
                  <wp:cNvGraphicFramePr/>
                  <a:graphic xmlns:a="http://schemas.openxmlformats.org/drawingml/2006/main">
                    <a:graphicData uri="http://schemas.openxmlformats.org/drawingml/2006/picture">
                      <pic:pic xmlns:pic="http://schemas.openxmlformats.org/drawingml/2006/picture">
                        <pic:nvPicPr>
                          <pic:cNvPr id="3763" name="图片_1_SpCnt_26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70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4" name="图片_1_SpCnt_266"/>
                  <wp:cNvGraphicFramePr/>
                  <a:graphic xmlns:a="http://schemas.openxmlformats.org/drawingml/2006/main">
                    <a:graphicData uri="http://schemas.openxmlformats.org/drawingml/2006/picture">
                      <pic:pic xmlns:pic="http://schemas.openxmlformats.org/drawingml/2006/picture">
                        <pic:nvPicPr>
                          <pic:cNvPr id="3764" name="图片_1_SpCnt_26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180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65" name="图片_1_SpCnt_267"/>
                  <wp:cNvGraphicFramePr/>
                  <a:graphic xmlns:a="http://schemas.openxmlformats.org/drawingml/2006/main">
                    <a:graphicData uri="http://schemas.openxmlformats.org/drawingml/2006/picture">
                      <pic:pic xmlns:pic="http://schemas.openxmlformats.org/drawingml/2006/picture">
                        <pic:nvPicPr>
                          <pic:cNvPr id="3765" name="图片_1_SpCnt_26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753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2" name="图片_1_SpCnt_268"/>
                  <wp:cNvGraphicFramePr/>
                  <a:graphic xmlns:a="http://schemas.openxmlformats.org/drawingml/2006/main">
                    <a:graphicData uri="http://schemas.openxmlformats.org/drawingml/2006/picture">
                      <pic:pic xmlns:pic="http://schemas.openxmlformats.org/drawingml/2006/picture">
                        <pic:nvPicPr>
                          <pic:cNvPr id="2942" name="图片_1_SpCnt_26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763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3" name="图片_1_SpCnt_269"/>
                  <wp:cNvGraphicFramePr/>
                  <a:graphic xmlns:a="http://schemas.openxmlformats.org/drawingml/2006/main">
                    <a:graphicData uri="http://schemas.openxmlformats.org/drawingml/2006/picture">
                      <pic:pic xmlns:pic="http://schemas.openxmlformats.org/drawingml/2006/picture">
                        <pic:nvPicPr>
                          <pic:cNvPr id="2943" name="图片_1_SpCnt_26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773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4" name="图片_1_SpCnt_270"/>
                  <wp:cNvGraphicFramePr/>
                  <a:graphic xmlns:a="http://schemas.openxmlformats.org/drawingml/2006/main">
                    <a:graphicData uri="http://schemas.openxmlformats.org/drawingml/2006/picture">
                      <pic:pic xmlns:pic="http://schemas.openxmlformats.org/drawingml/2006/picture">
                        <pic:nvPicPr>
                          <pic:cNvPr id="2944" name="图片_1_SpCnt_27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784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5" name="图片_1_SpCnt_271"/>
                  <wp:cNvGraphicFramePr/>
                  <a:graphic xmlns:a="http://schemas.openxmlformats.org/drawingml/2006/main">
                    <a:graphicData uri="http://schemas.openxmlformats.org/drawingml/2006/picture">
                      <pic:pic xmlns:pic="http://schemas.openxmlformats.org/drawingml/2006/picture">
                        <pic:nvPicPr>
                          <pic:cNvPr id="2945" name="图片_1_SpCnt_27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794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6" name="图片_1_SpCnt_272"/>
                  <wp:cNvGraphicFramePr/>
                  <a:graphic xmlns:a="http://schemas.openxmlformats.org/drawingml/2006/main">
                    <a:graphicData uri="http://schemas.openxmlformats.org/drawingml/2006/picture">
                      <pic:pic xmlns:pic="http://schemas.openxmlformats.org/drawingml/2006/picture">
                        <pic:nvPicPr>
                          <pic:cNvPr id="2946" name="图片_1_SpCnt_27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04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7" name="图片_1_SpCnt_273"/>
                  <wp:cNvGraphicFramePr/>
                  <a:graphic xmlns:a="http://schemas.openxmlformats.org/drawingml/2006/main">
                    <a:graphicData uri="http://schemas.openxmlformats.org/drawingml/2006/picture">
                      <pic:pic xmlns:pic="http://schemas.openxmlformats.org/drawingml/2006/picture">
                        <pic:nvPicPr>
                          <pic:cNvPr id="2947" name="图片_1_SpCnt_27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14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8" name="图片_1_SpCnt_274"/>
                  <wp:cNvGraphicFramePr/>
                  <a:graphic xmlns:a="http://schemas.openxmlformats.org/drawingml/2006/main">
                    <a:graphicData uri="http://schemas.openxmlformats.org/drawingml/2006/picture">
                      <pic:pic xmlns:pic="http://schemas.openxmlformats.org/drawingml/2006/picture">
                        <pic:nvPicPr>
                          <pic:cNvPr id="2948" name="图片_1_SpCnt_27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791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4" name="图片_1_SpCnt_275"/>
                  <wp:cNvGraphicFramePr/>
                  <a:graphic xmlns:a="http://schemas.openxmlformats.org/drawingml/2006/main">
                    <a:graphicData uri="http://schemas.openxmlformats.org/drawingml/2006/picture">
                      <pic:pic xmlns:pic="http://schemas.openxmlformats.org/drawingml/2006/picture">
                        <pic:nvPicPr>
                          <pic:cNvPr id="3434" name="图片_1_SpCnt_27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87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7" name="图片_1_SpCnt_276"/>
                  <wp:cNvGraphicFramePr/>
                  <a:graphic xmlns:a="http://schemas.openxmlformats.org/drawingml/2006/main">
                    <a:graphicData uri="http://schemas.openxmlformats.org/drawingml/2006/picture">
                      <pic:pic xmlns:pic="http://schemas.openxmlformats.org/drawingml/2006/picture">
                        <pic:nvPicPr>
                          <pic:cNvPr id="2877" name="图片_1_SpCnt_27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24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49" name="图片_1_SpCnt_277"/>
                  <wp:cNvGraphicFramePr/>
                  <a:graphic xmlns:a="http://schemas.openxmlformats.org/drawingml/2006/main">
                    <a:graphicData uri="http://schemas.openxmlformats.org/drawingml/2006/picture">
                      <pic:pic xmlns:pic="http://schemas.openxmlformats.org/drawingml/2006/picture">
                        <pic:nvPicPr>
                          <pic:cNvPr id="2949" name="图片_1_SpCnt_27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35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0" name="图片_1_SpCnt_278"/>
                  <wp:cNvGraphicFramePr/>
                  <a:graphic xmlns:a="http://schemas.openxmlformats.org/drawingml/2006/main">
                    <a:graphicData uri="http://schemas.openxmlformats.org/drawingml/2006/picture">
                      <pic:pic xmlns:pic="http://schemas.openxmlformats.org/drawingml/2006/picture">
                        <pic:nvPicPr>
                          <pic:cNvPr id="2950" name="图片_1_SpCnt_27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094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80" name="图片_1_SpCnt_279"/>
                  <wp:cNvGraphicFramePr/>
                  <a:graphic xmlns:a="http://schemas.openxmlformats.org/drawingml/2006/main">
                    <a:graphicData uri="http://schemas.openxmlformats.org/drawingml/2006/picture">
                      <pic:pic xmlns:pic="http://schemas.openxmlformats.org/drawingml/2006/picture">
                        <pic:nvPicPr>
                          <pic:cNvPr id="2780" name="图片_1_SpCnt_27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45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1" name="图片_1_SpCnt_280"/>
                  <wp:cNvGraphicFramePr/>
                  <a:graphic xmlns:a="http://schemas.openxmlformats.org/drawingml/2006/main">
                    <a:graphicData uri="http://schemas.openxmlformats.org/drawingml/2006/picture">
                      <pic:pic xmlns:pic="http://schemas.openxmlformats.org/drawingml/2006/picture">
                        <pic:nvPicPr>
                          <pic:cNvPr id="2951" name="图片_1_SpCnt_28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293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76" name="图片_1_SpCnt_281"/>
                  <wp:cNvGraphicFramePr/>
                  <a:graphic xmlns:a="http://schemas.openxmlformats.org/drawingml/2006/main">
                    <a:graphicData uri="http://schemas.openxmlformats.org/drawingml/2006/picture">
                      <pic:pic xmlns:pic="http://schemas.openxmlformats.org/drawingml/2006/picture">
                        <pic:nvPicPr>
                          <pic:cNvPr id="3776" name="图片_1_SpCnt_28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55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2" name="图片_1_SpCnt_282"/>
                  <wp:cNvGraphicFramePr/>
                  <a:graphic xmlns:a="http://schemas.openxmlformats.org/drawingml/2006/main">
                    <a:graphicData uri="http://schemas.openxmlformats.org/drawingml/2006/picture">
                      <pic:pic xmlns:pic="http://schemas.openxmlformats.org/drawingml/2006/picture">
                        <pic:nvPicPr>
                          <pic:cNvPr id="2952" name="图片_1_SpCnt_28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65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3" name="图片_1_SpCnt_283"/>
                  <wp:cNvGraphicFramePr/>
                  <a:graphic xmlns:a="http://schemas.openxmlformats.org/drawingml/2006/main">
                    <a:graphicData uri="http://schemas.openxmlformats.org/drawingml/2006/picture">
                      <pic:pic xmlns:pic="http://schemas.openxmlformats.org/drawingml/2006/picture">
                        <pic:nvPicPr>
                          <pic:cNvPr id="2953" name="图片_1_SpCnt_28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47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59" name="图片_1_SpCnt_284"/>
                  <wp:cNvGraphicFramePr/>
                  <a:graphic xmlns:a="http://schemas.openxmlformats.org/drawingml/2006/main">
                    <a:graphicData uri="http://schemas.openxmlformats.org/drawingml/2006/picture">
                      <pic:pic xmlns:pic="http://schemas.openxmlformats.org/drawingml/2006/picture">
                        <pic:nvPicPr>
                          <pic:cNvPr id="3459" name="图片_1_SpCnt_28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76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4" name="图片_1_SpCnt_285"/>
                  <wp:cNvGraphicFramePr/>
                  <a:graphic xmlns:a="http://schemas.openxmlformats.org/drawingml/2006/main">
                    <a:graphicData uri="http://schemas.openxmlformats.org/drawingml/2006/picture">
                      <pic:pic xmlns:pic="http://schemas.openxmlformats.org/drawingml/2006/picture">
                        <pic:nvPicPr>
                          <pic:cNvPr id="2954" name="图片_1_SpCnt_28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86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5" name="图片_1_SpCnt_286"/>
                  <wp:cNvGraphicFramePr/>
                  <a:graphic xmlns:a="http://schemas.openxmlformats.org/drawingml/2006/main">
                    <a:graphicData uri="http://schemas.openxmlformats.org/drawingml/2006/picture">
                      <pic:pic xmlns:pic="http://schemas.openxmlformats.org/drawingml/2006/picture">
                        <pic:nvPicPr>
                          <pic:cNvPr id="2955" name="图片_1_SpCnt_28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06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55" name="图片_1_SpCnt_287"/>
                  <wp:cNvGraphicFramePr/>
                  <a:graphic xmlns:a="http://schemas.openxmlformats.org/drawingml/2006/main">
                    <a:graphicData uri="http://schemas.openxmlformats.org/drawingml/2006/picture">
                      <pic:pic xmlns:pic="http://schemas.openxmlformats.org/drawingml/2006/picture">
                        <pic:nvPicPr>
                          <pic:cNvPr id="3455" name="图片_1_SpCnt_28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896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6" name="图片_1_SpCnt_288"/>
                  <wp:cNvGraphicFramePr/>
                  <a:graphic xmlns:a="http://schemas.openxmlformats.org/drawingml/2006/main">
                    <a:graphicData uri="http://schemas.openxmlformats.org/drawingml/2006/picture">
                      <pic:pic xmlns:pic="http://schemas.openxmlformats.org/drawingml/2006/picture">
                        <pic:nvPicPr>
                          <pic:cNvPr id="2956" name="图片_1_SpCnt_28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06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7" name="图片_1_SpCnt_289"/>
                  <wp:cNvGraphicFramePr/>
                  <a:graphic xmlns:a="http://schemas.openxmlformats.org/drawingml/2006/main">
                    <a:graphicData uri="http://schemas.openxmlformats.org/drawingml/2006/picture">
                      <pic:pic xmlns:pic="http://schemas.openxmlformats.org/drawingml/2006/picture">
                        <pic:nvPicPr>
                          <pic:cNvPr id="2957" name="图片_1_SpCnt_28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55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50" name="图片_1_SpCnt_290"/>
                  <wp:cNvGraphicFramePr/>
                  <a:graphic xmlns:a="http://schemas.openxmlformats.org/drawingml/2006/main">
                    <a:graphicData uri="http://schemas.openxmlformats.org/drawingml/2006/picture">
                      <pic:pic xmlns:pic="http://schemas.openxmlformats.org/drawingml/2006/picture">
                        <pic:nvPicPr>
                          <pic:cNvPr id="3450" name="图片_1_SpCnt_29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17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8" name="图片_1_SpCnt_291"/>
                  <wp:cNvGraphicFramePr/>
                  <a:graphic xmlns:a="http://schemas.openxmlformats.org/drawingml/2006/main">
                    <a:graphicData uri="http://schemas.openxmlformats.org/drawingml/2006/picture">
                      <pic:pic xmlns:pic="http://schemas.openxmlformats.org/drawingml/2006/picture">
                        <pic:nvPicPr>
                          <pic:cNvPr id="2958" name="图片_1_SpCnt_29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27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59" name="图片_1_SpCnt_292"/>
                  <wp:cNvGraphicFramePr/>
                  <a:graphic xmlns:a="http://schemas.openxmlformats.org/drawingml/2006/main">
                    <a:graphicData uri="http://schemas.openxmlformats.org/drawingml/2006/picture">
                      <pic:pic xmlns:pic="http://schemas.openxmlformats.org/drawingml/2006/picture">
                        <pic:nvPicPr>
                          <pic:cNvPr id="2959" name="图片_1_SpCnt_29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934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48" name="图片_1_SpCnt_293"/>
                  <wp:cNvGraphicFramePr/>
                  <a:graphic xmlns:a="http://schemas.openxmlformats.org/drawingml/2006/main">
                    <a:graphicData uri="http://schemas.openxmlformats.org/drawingml/2006/picture">
                      <pic:pic xmlns:pic="http://schemas.openxmlformats.org/drawingml/2006/picture">
                        <pic:nvPicPr>
                          <pic:cNvPr id="3448" name="图片_1_SpCnt_29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37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0" name="图片_1_SpCnt_294"/>
                  <wp:cNvGraphicFramePr/>
                  <a:graphic xmlns:a="http://schemas.openxmlformats.org/drawingml/2006/main">
                    <a:graphicData uri="http://schemas.openxmlformats.org/drawingml/2006/picture">
                      <pic:pic xmlns:pic="http://schemas.openxmlformats.org/drawingml/2006/picture">
                        <pic:nvPicPr>
                          <pic:cNvPr id="2960" name="图片_1_SpCnt_29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47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1" name="图片_1_SpCnt_295"/>
                  <wp:cNvGraphicFramePr/>
                  <a:graphic xmlns:a="http://schemas.openxmlformats.org/drawingml/2006/main">
                    <a:graphicData uri="http://schemas.openxmlformats.org/drawingml/2006/picture">
                      <pic:pic xmlns:pic="http://schemas.openxmlformats.org/drawingml/2006/picture">
                        <pic:nvPicPr>
                          <pic:cNvPr id="2961" name="图片_1_SpCnt_29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7303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777" name="图片_1_SpCnt_296"/>
                  <wp:cNvGraphicFramePr/>
                  <a:graphic xmlns:a="http://schemas.openxmlformats.org/drawingml/2006/main">
                    <a:graphicData uri="http://schemas.openxmlformats.org/drawingml/2006/picture">
                      <pic:pic xmlns:pic="http://schemas.openxmlformats.org/drawingml/2006/picture">
                        <pic:nvPicPr>
                          <pic:cNvPr id="3777" name="图片_1_SpCnt_29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58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2" name="图片_1_SpCnt_297"/>
                  <wp:cNvGraphicFramePr/>
                  <a:graphic xmlns:a="http://schemas.openxmlformats.org/drawingml/2006/main">
                    <a:graphicData uri="http://schemas.openxmlformats.org/drawingml/2006/picture">
                      <pic:pic xmlns:pic="http://schemas.openxmlformats.org/drawingml/2006/picture">
                        <pic:nvPicPr>
                          <pic:cNvPr id="2962" name="图片_1_SpCnt_29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68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3" name="图片_1_SpCnt_298"/>
                  <wp:cNvGraphicFramePr/>
                  <a:graphic xmlns:a="http://schemas.openxmlformats.org/drawingml/2006/main">
                    <a:graphicData uri="http://schemas.openxmlformats.org/drawingml/2006/picture">
                      <pic:pic xmlns:pic="http://schemas.openxmlformats.org/drawingml/2006/picture">
                        <pic:nvPicPr>
                          <pic:cNvPr id="2963" name="图片_1_SpCnt_29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22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7" name="图片_1_SpCnt_299"/>
                  <wp:cNvGraphicFramePr/>
                  <a:graphic xmlns:a="http://schemas.openxmlformats.org/drawingml/2006/main">
                    <a:graphicData uri="http://schemas.openxmlformats.org/drawingml/2006/picture">
                      <pic:pic xmlns:pic="http://schemas.openxmlformats.org/drawingml/2006/picture">
                        <pic:nvPicPr>
                          <pic:cNvPr id="3437" name="图片_1_SpCnt_29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78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4" name="图片_1_SpCnt_300"/>
                  <wp:cNvGraphicFramePr/>
                  <a:graphic xmlns:a="http://schemas.openxmlformats.org/drawingml/2006/main">
                    <a:graphicData uri="http://schemas.openxmlformats.org/drawingml/2006/picture">
                      <pic:pic xmlns:pic="http://schemas.openxmlformats.org/drawingml/2006/picture">
                        <pic:nvPicPr>
                          <pic:cNvPr id="2964" name="图片_1_SpCnt_30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88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5" name="图片_1_SpCnt_301"/>
                  <wp:cNvGraphicFramePr/>
                  <a:graphic xmlns:a="http://schemas.openxmlformats.org/drawingml/2006/main">
                    <a:graphicData uri="http://schemas.openxmlformats.org/drawingml/2006/picture">
                      <pic:pic xmlns:pic="http://schemas.openxmlformats.org/drawingml/2006/picture">
                        <pic:nvPicPr>
                          <pic:cNvPr id="2965" name="图片_1_SpCnt_30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11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6" name="图片_1_SpCnt_302"/>
                  <wp:cNvGraphicFramePr/>
                  <a:graphic xmlns:a="http://schemas.openxmlformats.org/drawingml/2006/main">
                    <a:graphicData uri="http://schemas.openxmlformats.org/drawingml/2006/picture">
                      <pic:pic xmlns:pic="http://schemas.openxmlformats.org/drawingml/2006/picture">
                        <pic:nvPicPr>
                          <pic:cNvPr id="3436" name="图片_1_SpCnt_30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999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6" name="图片_1_SpCnt_303"/>
                  <wp:cNvGraphicFramePr/>
                  <a:graphic xmlns:a="http://schemas.openxmlformats.org/drawingml/2006/main">
                    <a:graphicData uri="http://schemas.openxmlformats.org/drawingml/2006/picture">
                      <pic:pic xmlns:pic="http://schemas.openxmlformats.org/drawingml/2006/picture">
                        <pic:nvPicPr>
                          <pic:cNvPr id="2966" name="图片_1_SpCnt_30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09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7" name="图片_1_SpCnt_304"/>
                  <wp:cNvGraphicFramePr/>
                  <a:graphic xmlns:a="http://schemas.openxmlformats.org/drawingml/2006/main">
                    <a:graphicData uri="http://schemas.openxmlformats.org/drawingml/2006/picture">
                      <pic:pic xmlns:pic="http://schemas.openxmlformats.org/drawingml/2006/picture">
                        <pic:nvPicPr>
                          <pic:cNvPr id="2967" name="图片_1_SpCnt_30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32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8" name="图片_1_SpCnt_305"/>
                  <wp:cNvGraphicFramePr/>
                  <a:graphic xmlns:a="http://schemas.openxmlformats.org/drawingml/2006/main">
                    <a:graphicData uri="http://schemas.openxmlformats.org/drawingml/2006/picture">
                      <pic:pic xmlns:pic="http://schemas.openxmlformats.org/drawingml/2006/picture">
                        <pic:nvPicPr>
                          <pic:cNvPr id="3438" name="图片_1_SpCnt_30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19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8" name="图片_1_SpCnt_306"/>
                  <wp:cNvGraphicFramePr/>
                  <a:graphic xmlns:a="http://schemas.openxmlformats.org/drawingml/2006/main">
                    <a:graphicData uri="http://schemas.openxmlformats.org/drawingml/2006/picture">
                      <pic:pic xmlns:pic="http://schemas.openxmlformats.org/drawingml/2006/picture">
                        <pic:nvPicPr>
                          <pic:cNvPr id="2968" name="图片_1_SpCnt_30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29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69" name="图片_1_SpCnt_307"/>
                  <wp:cNvGraphicFramePr/>
                  <a:graphic xmlns:a="http://schemas.openxmlformats.org/drawingml/2006/main">
                    <a:graphicData uri="http://schemas.openxmlformats.org/drawingml/2006/picture">
                      <pic:pic xmlns:pic="http://schemas.openxmlformats.org/drawingml/2006/picture">
                        <pic:nvPicPr>
                          <pic:cNvPr id="2969" name="图片_1_SpCnt_30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52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40" name="图片_1_SpCnt_308"/>
                  <wp:cNvGraphicFramePr/>
                  <a:graphic xmlns:a="http://schemas.openxmlformats.org/drawingml/2006/main">
                    <a:graphicData uri="http://schemas.openxmlformats.org/drawingml/2006/picture">
                      <pic:pic xmlns:pic="http://schemas.openxmlformats.org/drawingml/2006/picture">
                        <pic:nvPicPr>
                          <pic:cNvPr id="3440" name="图片_1_SpCnt_30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40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0" name="图片_1_SpCnt_309"/>
                  <wp:cNvGraphicFramePr/>
                  <a:graphic xmlns:a="http://schemas.openxmlformats.org/drawingml/2006/main">
                    <a:graphicData uri="http://schemas.openxmlformats.org/drawingml/2006/picture">
                      <pic:pic xmlns:pic="http://schemas.openxmlformats.org/drawingml/2006/picture">
                        <pic:nvPicPr>
                          <pic:cNvPr id="2970" name="图片_1_SpCnt_30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50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1" name="图片_1_SpCnt_310"/>
                  <wp:cNvGraphicFramePr/>
                  <a:graphic xmlns:a="http://schemas.openxmlformats.org/drawingml/2006/main">
                    <a:graphicData uri="http://schemas.openxmlformats.org/drawingml/2006/picture">
                      <pic:pic xmlns:pic="http://schemas.openxmlformats.org/drawingml/2006/picture">
                        <pic:nvPicPr>
                          <pic:cNvPr id="2971" name="图片_1_SpCnt_31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42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9" name="图片_1_SpCnt_311"/>
                  <wp:cNvGraphicFramePr/>
                  <a:graphic xmlns:a="http://schemas.openxmlformats.org/drawingml/2006/main">
                    <a:graphicData uri="http://schemas.openxmlformats.org/drawingml/2006/picture">
                      <pic:pic xmlns:pic="http://schemas.openxmlformats.org/drawingml/2006/picture">
                        <pic:nvPicPr>
                          <pic:cNvPr id="3439" name="图片_1_SpCnt_31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60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2" name="图片_1_SpCnt_312"/>
                  <wp:cNvGraphicFramePr/>
                  <a:graphic xmlns:a="http://schemas.openxmlformats.org/drawingml/2006/main">
                    <a:graphicData uri="http://schemas.openxmlformats.org/drawingml/2006/picture">
                      <pic:pic xmlns:pic="http://schemas.openxmlformats.org/drawingml/2006/picture">
                        <pic:nvPicPr>
                          <pic:cNvPr id="2972" name="图片_1_SpCnt_31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70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3" name="图片_1_SpCnt_313"/>
                  <wp:cNvGraphicFramePr/>
                  <a:graphic xmlns:a="http://schemas.openxmlformats.org/drawingml/2006/main">
                    <a:graphicData uri="http://schemas.openxmlformats.org/drawingml/2006/picture">
                      <pic:pic xmlns:pic="http://schemas.openxmlformats.org/drawingml/2006/picture">
                        <pic:nvPicPr>
                          <pic:cNvPr id="2973" name="图片_1_SpCnt_31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4057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60" name="图片_1_SpCnt_314"/>
                  <wp:cNvGraphicFramePr/>
                  <a:graphic xmlns:a="http://schemas.openxmlformats.org/drawingml/2006/main">
                    <a:graphicData uri="http://schemas.openxmlformats.org/drawingml/2006/picture">
                      <pic:pic xmlns:pic="http://schemas.openxmlformats.org/drawingml/2006/picture">
                        <pic:nvPicPr>
                          <pic:cNvPr id="3460" name="图片_1_SpCnt_31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80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4" name="图片_1_SpCnt_315"/>
                  <wp:cNvGraphicFramePr/>
                  <a:graphic xmlns:a="http://schemas.openxmlformats.org/drawingml/2006/main">
                    <a:graphicData uri="http://schemas.openxmlformats.org/drawingml/2006/picture">
                      <pic:pic xmlns:pic="http://schemas.openxmlformats.org/drawingml/2006/picture">
                        <pic:nvPicPr>
                          <pic:cNvPr id="2974" name="图片_1_SpCnt_31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23801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435" name="图片_1_SpCnt_316"/>
                  <wp:cNvGraphicFramePr/>
                  <a:graphic xmlns:a="http://schemas.openxmlformats.org/drawingml/2006/main">
                    <a:graphicData uri="http://schemas.openxmlformats.org/drawingml/2006/picture">
                      <pic:pic xmlns:pic="http://schemas.openxmlformats.org/drawingml/2006/picture">
                        <pic:nvPicPr>
                          <pic:cNvPr id="3435" name="图片_1_SpCnt_31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091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5" name="图片_1_SpCnt_317"/>
                  <wp:cNvGraphicFramePr/>
                  <a:graphic xmlns:a="http://schemas.openxmlformats.org/drawingml/2006/main">
                    <a:graphicData uri="http://schemas.openxmlformats.org/drawingml/2006/picture">
                      <pic:pic xmlns:pic="http://schemas.openxmlformats.org/drawingml/2006/picture">
                        <pic:nvPicPr>
                          <pic:cNvPr id="2975" name="图片_1_SpCnt_31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01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6" name="图片_1_SpCnt_318"/>
                  <wp:cNvGraphicFramePr/>
                  <a:graphic xmlns:a="http://schemas.openxmlformats.org/drawingml/2006/main">
                    <a:graphicData uri="http://schemas.openxmlformats.org/drawingml/2006/picture">
                      <pic:pic xmlns:pic="http://schemas.openxmlformats.org/drawingml/2006/picture">
                        <pic:nvPicPr>
                          <pic:cNvPr id="2976" name="图片_1_SpCnt_31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6899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61" name="图片_1_SpCnt_319"/>
                  <wp:cNvGraphicFramePr/>
                  <a:graphic xmlns:a="http://schemas.openxmlformats.org/drawingml/2006/main">
                    <a:graphicData uri="http://schemas.openxmlformats.org/drawingml/2006/picture">
                      <pic:pic xmlns:pic="http://schemas.openxmlformats.org/drawingml/2006/picture">
                        <pic:nvPicPr>
                          <pic:cNvPr id="2761" name="图片_1_SpCnt_31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11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7" name="图片_1_SpCnt_320"/>
                  <wp:cNvGraphicFramePr/>
                  <a:graphic xmlns:a="http://schemas.openxmlformats.org/drawingml/2006/main">
                    <a:graphicData uri="http://schemas.openxmlformats.org/drawingml/2006/picture">
                      <pic:pic xmlns:pic="http://schemas.openxmlformats.org/drawingml/2006/picture">
                        <pic:nvPicPr>
                          <pic:cNvPr id="2977" name="图片_1_SpCnt_32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21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8" name="图片_1_SpCnt_321"/>
                  <wp:cNvGraphicFramePr/>
                  <a:graphic xmlns:a="http://schemas.openxmlformats.org/drawingml/2006/main">
                    <a:graphicData uri="http://schemas.openxmlformats.org/drawingml/2006/picture">
                      <pic:pic xmlns:pic="http://schemas.openxmlformats.org/drawingml/2006/picture">
                        <pic:nvPicPr>
                          <pic:cNvPr id="2978" name="图片_1_SpCnt_32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32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79" name="图片_1_SpCnt_322"/>
                  <wp:cNvGraphicFramePr/>
                  <a:graphic xmlns:a="http://schemas.openxmlformats.org/drawingml/2006/main">
                    <a:graphicData uri="http://schemas.openxmlformats.org/drawingml/2006/picture">
                      <pic:pic xmlns:pic="http://schemas.openxmlformats.org/drawingml/2006/picture">
                        <pic:nvPicPr>
                          <pic:cNvPr id="2979" name="图片_1_SpCnt_32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42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0" name="图片_1_SpCnt_323"/>
                  <wp:cNvGraphicFramePr/>
                  <a:graphic xmlns:a="http://schemas.openxmlformats.org/drawingml/2006/main">
                    <a:graphicData uri="http://schemas.openxmlformats.org/drawingml/2006/picture">
                      <pic:pic xmlns:pic="http://schemas.openxmlformats.org/drawingml/2006/picture">
                        <pic:nvPicPr>
                          <pic:cNvPr id="2980" name="图片_1_SpCnt_32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52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1" name="图片_1_SpCnt_324"/>
                  <wp:cNvGraphicFramePr/>
                  <a:graphic xmlns:a="http://schemas.openxmlformats.org/drawingml/2006/main">
                    <a:graphicData uri="http://schemas.openxmlformats.org/drawingml/2006/picture">
                      <pic:pic xmlns:pic="http://schemas.openxmlformats.org/drawingml/2006/picture">
                        <pic:nvPicPr>
                          <pic:cNvPr id="2981" name="图片_1_SpCnt_32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62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2" name="图片_1_SpCnt_325"/>
                  <wp:cNvGraphicFramePr/>
                  <a:graphic xmlns:a="http://schemas.openxmlformats.org/drawingml/2006/main">
                    <a:graphicData uri="http://schemas.openxmlformats.org/drawingml/2006/picture">
                      <pic:pic xmlns:pic="http://schemas.openxmlformats.org/drawingml/2006/picture">
                        <pic:nvPicPr>
                          <pic:cNvPr id="2982" name="图片_1_SpCnt_32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73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3" name="图片_1_SpCnt_326"/>
                  <wp:cNvGraphicFramePr/>
                  <a:graphic xmlns:a="http://schemas.openxmlformats.org/drawingml/2006/main">
                    <a:graphicData uri="http://schemas.openxmlformats.org/drawingml/2006/picture">
                      <pic:pic xmlns:pic="http://schemas.openxmlformats.org/drawingml/2006/picture">
                        <pic:nvPicPr>
                          <pic:cNvPr id="2983" name="图片_1_SpCnt_32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128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81" name="图片_1_SpCnt_327"/>
                  <wp:cNvGraphicFramePr/>
                  <a:graphic xmlns:a="http://schemas.openxmlformats.org/drawingml/2006/main">
                    <a:graphicData uri="http://schemas.openxmlformats.org/drawingml/2006/picture">
                      <pic:pic xmlns:pic="http://schemas.openxmlformats.org/drawingml/2006/picture">
                        <pic:nvPicPr>
                          <pic:cNvPr id="2881" name="图片_1_SpCnt_32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83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4" name="图片_1_SpCnt_328"/>
                  <wp:cNvGraphicFramePr/>
                  <a:graphic xmlns:a="http://schemas.openxmlformats.org/drawingml/2006/main">
                    <a:graphicData uri="http://schemas.openxmlformats.org/drawingml/2006/picture">
                      <pic:pic xmlns:pic="http://schemas.openxmlformats.org/drawingml/2006/picture">
                        <pic:nvPicPr>
                          <pic:cNvPr id="2984" name="图片_1_SpCnt_32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193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5" name="图片_1_SpCnt_329"/>
                  <wp:cNvGraphicFramePr/>
                  <a:graphic xmlns:a="http://schemas.openxmlformats.org/drawingml/2006/main">
                    <a:graphicData uri="http://schemas.openxmlformats.org/drawingml/2006/picture">
                      <pic:pic xmlns:pic="http://schemas.openxmlformats.org/drawingml/2006/picture">
                        <pic:nvPicPr>
                          <pic:cNvPr id="2985" name="图片_1_SpCnt_32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58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6" name="图片_1_SpCnt_330"/>
                  <wp:cNvGraphicFramePr/>
                  <a:graphic xmlns:a="http://schemas.openxmlformats.org/drawingml/2006/main">
                    <a:graphicData uri="http://schemas.openxmlformats.org/drawingml/2006/picture">
                      <pic:pic xmlns:pic="http://schemas.openxmlformats.org/drawingml/2006/picture">
                        <pic:nvPicPr>
                          <pic:cNvPr id="2796" name="图片_1_SpCnt_33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03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6" name="图片_1_SpCnt_331"/>
                  <wp:cNvGraphicFramePr/>
                  <a:graphic xmlns:a="http://schemas.openxmlformats.org/drawingml/2006/main">
                    <a:graphicData uri="http://schemas.openxmlformats.org/drawingml/2006/picture">
                      <pic:pic xmlns:pic="http://schemas.openxmlformats.org/drawingml/2006/picture">
                        <pic:nvPicPr>
                          <pic:cNvPr id="2986" name="图片_1_SpCnt_33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14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7" name="图片_1_SpCnt_332"/>
                  <wp:cNvGraphicFramePr/>
                  <a:graphic xmlns:a="http://schemas.openxmlformats.org/drawingml/2006/main">
                    <a:graphicData uri="http://schemas.openxmlformats.org/drawingml/2006/picture">
                      <pic:pic xmlns:pic="http://schemas.openxmlformats.org/drawingml/2006/picture">
                        <pic:nvPicPr>
                          <pic:cNvPr id="2987" name="图片_1_SpCnt_33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8036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72" name="图片_1_SpCnt_333"/>
                  <wp:cNvGraphicFramePr/>
                  <a:graphic xmlns:a="http://schemas.openxmlformats.org/drawingml/2006/main">
                    <a:graphicData uri="http://schemas.openxmlformats.org/drawingml/2006/picture">
                      <pic:pic xmlns:pic="http://schemas.openxmlformats.org/drawingml/2006/picture">
                        <pic:nvPicPr>
                          <pic:cNvPr id="2872" name="图片_1_SpCnt_33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24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8" name="图片_1_SpCnt_334"/>
                  <wp:cNvGraphicFramePr/>
                  <a:graphic xmlns:a="http://schemas.openxmlformats.org/drawingml/2006/main">
                    <a:graphicData uri="http://schemas.openxmlformats.org/drawingml/2006/picture">
                      <pic:pic xmlns:pic="http://schemas.openxmlformats.org/drawingml/2006/picture">
                        <pic:nvPicPr>
                          <pic:cNvPr id="2988" name="图片_1_SpCnt_33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34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89" name="图片_1_SpCnt_335"/>
                  <wp:cNvGraphicFramePr/>
                  <a:graphic xmlns:a="http://schemas.openxmlformats.org/drawingml/2006/main">
                    <a:graphicData uri="http://schemas.openxmlformats.org/drawingml/2006/picture">
                      <pic:pic xmlns:pic="http://schemas.openxmlformats.org/drawingml/2006/picture">
                        <pic:nvPicPr>
                          <pic:cNvPr id="2989" name="图片_1_SpCnt_33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44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0" name="图片_1_SpCnt_336"/>
                  <wp:cNvGraphicFramePr/>
                  <a:graphic xmlns:a="http://schemas.openxmlformats.org/drawingml/2006/main">
                    <a:graphicData uri="http://schemas.openxmlformats.org/drawingml/2006/picture">
                      <pic:pic xmlns:pic="http://schemas.openxmlformats.org/drawingml/2006/picture">
                        <pic:nvPicPr>
                          <pic:cNvPr id="2990" name="图片_1_SpCnt_33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55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1" name="图片_1_SpCnt_337"/>
                  <wp:cNvGraphicFramePr/>
                  <a:graphic xmlns:a="http://schemas.openxmlformats.org/drawingml/2006/main">
                    <a:graphicData uri="http://schemas.openxmlformats.org/drawingml/2006/picture">
                      <pic:pic xmlns:pic="http://schemas.openxmlformats.org/drawingml/2006/picture">
                        <pic:nvPicPr>
                          <pic:cNvPr id="2991" name="图片_1_SpCnt_33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07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1" name="图片_1_SpCnt_338"/>
                  <wp:cNvGraphicFramePr/>
                  <a:graphic xmlns:a="http://schemas.openxmlformats.org/drawingml/2006/main">
                    <a:graphicData uri="http://schemas.openxmlformats.org/drawingml/2006/picture">
                      <pic:pic xmlns:pic="http://schemas.openxmlformats.org/drawingml/2006/picture">
                        <pic:nvPicPr>
                          <pic:cNvPr id="2791" name="图片_1_SpCnt_33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65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2" name="图片_1_SpCnt_339"/>
                  <wp:cNvGraphicFramePr/>
                  <a:graphic xmlns:a="http://schemas.openxmlformats.org/drawingml/2006/main">
                    <a:graphicData uri="http://schemas.openxmlformats.org/drawingml/2006/picture">
                      <pic:pic xmlns:pic="http://schemas.openxmlformats.org/drawingml/2006/picture">
                        <pic:nvPicPr>
                          <pic:cNvPr id="2992" name="图片_1_SpCnt_33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17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2" name="图片_1_SpCnt_340"/>
                  <wp:cNvGraphicFramePr/>
                  <a:graphic xmlns:a="http://schemas.openxmlformats.org/drawingml/2006/main">
                    <a:graphicData uri="http://schemas.openxmlformats.org/drawingml/2006/picture">
                      <pic:pic xmlns:pic="http://schemas.openxmlformats.org/drawingml/2006/picture">
                        <pic:nvPicPr>
                          <pic:cNvPr id="2792" name="图片_1_SpCnt_34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75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3" name="图片_1_SpCnt_341"/>
                  <wp:cNvGraphicFramePr/>
                  <a:graphic xmlns:a="http://schemas.openxmlformats.org/drawingml/2006/main">
                    <a:graphicData uri="http://schemas.openxmlformats.org/drawingml/2006/picture">
                      <pic:pic xmlns:pic="http://schemas.openxmlformats.org/drawingml/2006/picture">
                        <pic:nvPicPr>
                          <pic:cNvPr id="2993" name="图片_1_SpCnt_34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85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4" name="图片_1_SpCnt_342"/>
                  <wp:cNvGraphicFramePr/>
                  <a:graphic xmlns:a="http://schemas.openxmlformats.org/drawingml/2006/main">
                    <a:graphicData uri="http://schemas.openxmlformats.org/drawingml/2006/picture">
                      <pic:pic xmlns:pic="http://schemas.openxmlformats.org/drawingml/2006/picture">
                        <pic:nvPicPr>
                          <pic:cNvPr id="2994" name="图片_1_SpCnt_34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27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3" name="图片_1_SpCnt_343"/>
                  <wp:cNvGraphicFramePr/>
                  <a:graphic xmlns:a="http://schemas.openxmlformats.org/drawingml/2006/main">
                    <a:graphicData uri="http://schemas.openxmlformats.org/drawingml/2006/picture">
                      <pic:pic xmlns:pic="http://schemas.openxmlformats.org/drawingml/2006/picture">
                        <pic:nvPicPr>
                          <pic:cNvPr id="2793" name="图片_1_SpCnt_34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296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5" name="图片_1_SpCnt_344"/>
                  <wp:cNvGraphicFramePr/>
                  <a:graphic xmlns:a="http://schemas.openxmlformats.org/drawingml/2006/main">
                    <a:graphicData uri="http://schemas.openxmlformats.org/drawingml/2006/picture">
                      <pic:pic xmlns:pic="http://schemas.openxmlformats.org/drawingml/2006/picture">
                        <pic:nvPicPr>
                          <pic:cNvPr id="2995" name="图片_1_SpCnt_34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06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6" name="图片_1_SpCnt_345"/>
                  <wp:cNvGraphicFramePr/>
                  <a:graphic xmlns:a="http://schemas.openxmlformats.org/drawingml/2006/main">
                    <a:graphicData uri="http://schemas.openxmlformats.org/drawingml/2006/picture">
                      <pic:pic xmlns:pic="http://schemas.openxmlformats.org/drawingml/2006/picture">
                        <pic:nvPicPr>
                          <pic:cNvPr id="2996" name="图片_1_SpCnt_34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48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5" name="图片_1_SpCnt_346"/>
                  <wp:cNvGraphicFramePr/>
                  <a:graphic xmlns:a="http://schemas.openxmlformats.org/drawingml/2006/main">
                    <a:graphicData uri="http://schemas.openxmlformats.org/drawingml/2006/picture">
                      <pic:pic xmlns:pic="http://schemas.openxmlformats.org/drawingml/2006/picture">
                        <pic:nvPicPr>
                          <pic:cNvPr id="2795" name="图片_1_SpCnt_34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16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7" name="图片_1_SpCnt_347"/>
                  <wp:cNvGraphicFramePr/>
                  <a:graphic xmlns:a="http://schemas.openxmlformats.org/drawingml/2006/main">
                    <a:graphicData uri="http://schemas.openxmlformats.org/drawingml/2006/picture">
                      <pic:pic xmlns:pic="http://schemas.openxmlformats.org/drawingml/2006/picture">
                        <pic:nvPicPr>
                          <pic:cNvPr id="2997" name="图片_1_SpCnt_34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26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8" name="图片_1_SpCnt_348"/>
                  <wp:cNvGraphicFramePr/>
                  <a:graphic xmlns:a="http://schemas.openxmlformats.org/drawingml/2006/main">
                    <a:graphicData uri="http://schemas.openxmlformats.org/drawingml/2006/picture">
                      <pic:pic xmlns:pic="http://schemas.openxmlformats.org/drawingml/2006/picture">
                        <pic:nvPicPr>
                          <pic:cNvPr id="2998" name="图片_1_SpCnt_34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36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999" name="图片_1_SpCnt_349"/>
                  <wp:cNvGraphicFramePr/>
                  <a:graphic xmlns:a="http://schemas.openxmlformats.org/drawingml/2006/main">
                    <a:graphicData uri="http://schemas.openxmlformats.org/drawingml/2006/picture">
                      <pic:pic xmlns:pic="http://schemas.openxmlformats.org/drawingml/2006/picture">
                        <pic:nvPicPr>
                          <pic:cNvPr id="2999" name="图片_1_SpCnt_34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47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0" name="图片_1_SpCnt_350"/>
                  <wp:cNvGraphicFramePr/>
                  <a:graphic xmlns:a="http://schemas.openxmlformats.org/drawingml/2006/main">
                    <a:graphicData uri="http://schemas.openxmlformats.org/drawingml/2006/picture">
                      <pic:pic xmlns:pic="http://schemas.openxmlformats.org/drawingml/2006/picture">
                        <pic:nvPicPr>
                          <pic:cNvPr id="3000" name="图片_1_SpCnt_35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68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7" name="图片_1_SpCnt_351"/>
                  <wp:cNvGraphicFramePr/>
                  <a:graphic xmlns:a="http://schemas.openxmlformats.org/drawingml/2006/main">
                    <a:graphicData uri="http://schemas.openxmlformats.org/drawingml/2006/picture">
                      <pic:pic xmlns:pic="http://schemas.openxmlformats.org/drawingml/2006/picture">
                        <pic:nvPicPr>
                          <pic:cNvPr id="2797" name="图片_1_SpCnt_35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57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1" name="图片_1_SpCnt_352"/>
                  <wp:cNvGraphicFramePr/>
                  <a:graphic xmlns:a="http://schemas.openxmlformats.org/drawingml/2006/main">
                    <a:graphicData uri="http://schemas.openxmlformats.org/drawingml/2006/picture">
                      <pic:pic xmlns:pic="http://schemas.openxmlformats.org/drawingml/2006/picture">
                        <pic:nvPicPr>
                          <pic:cNvPr id="3001" name="图片_1_SpCnt_35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278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798" name="图片_1_SpCnt_353"/>
                  <wp:cNvGraphicFramePr/>
                  <a:graphic xmlns:a="http://schemas.openxmlformats.org/drawingml/2006/main">
                    <a:graphicData uri="http://schemas.openxmlformats.org/drawingml/2006/picture">
                      <pic:pic xmlns:pic="http://schemas.openxmlformats.org/drawingml/2006/picture">
                        <pic:nvPicPr>
                          <pic:cNvPr id="2798" name="图片_1_SpCnt_35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67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2" name="图片_1_SpCnt_354"/>
                  <wp:cNvGraphicFramePr/>
                  <a:graphic xmlns:a="http://schemas.openxmlformats.org/drawingml/2006/main">
                    <a:graphicData uri="http://schemas.openxmlformats.org/drawingml/2006/picture">
                      <pic:pic xmlns:pic="http://schemas.openxmlformats.org/drawingml/2006/picture">
                        <pic:nvPicPr>
                          <pic:cNvPr id="3002" name="图片_1_SpCnt_35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77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3" name="图片_1_SpCnt_355"/>
                  <wp:cNvGraphicFramePr/>
                  <a:graphic xmlns:a="http://schemas.openxmlformats.org/drawingml/2006/main">
                    <a:graphicData uri="http://schemas.openxmlformats.org/drawingml/2006/picture">
                      <pic:pic xmlns:pic="http://schemas.openxmlformats.org/drawingml/2006/picture">
                        <pic:nvPicPr>
                          <pic:cNvPr id="3003" name="图片_1_SpCnt_35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88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4" name="图片_1_SpCnt_356"/>
                  <wp:cNvGraphicFramePr/>
                  <a:graphic xmlns:a="http://schemas.openxmlformats.org/drawingml/2006/main">
                    <a:graphicData uri="http://schemas.openxmlformats.org/drawingml/2006/picture">
                      <pic:pic xmlns:pic="http://schemas.openxmlformats.org/drawingml/2006/picture">
                        <pic:nvPicPr>
                          <pic:cNvPr id="3004" name="图片_1_SpCnt_35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398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5" name="图片_1_SpCnt_357"/>
                  <wp:cNvGraphicFramePr/>
                  <a:graphic xmlns:a="http://schemas.openxmlformats.org/drawingml/2006/main">
                    <a:graphicData uri="http://schemas.openxmlformats.org/drawingml/2006/picture">
                      <pic:pic xmlns:pic="http://schemas.openxmlformats.org/drawingml/2006/picture">
                        <pic:nvPicPr>
                          <pic:cNvPr id="3005" name="图片_1_SpCnt_35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40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04" name="图片_1_SpCnt_358"/>
                  <wp:cNvGraphicFramePr/>
                  <a:graphic xmlns:a="http://schemas.openxmlformats.org/drawingml/2006/main">
                    <a:graphicData uri="http://schemas.openxmlformats.org/drawingml/2006/picture">
                      <pic:pic xmlns:pic="http://schemas.openxmlformats.org/drawingml/2006/picture">
                        <pic:nvPicPr>
                          <pic:cNvPr id="2804" name="图片_1_SpCnt_35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08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6" name="图片_1_SpCnt_359"/>
                  <wp:cNvGraphicFramePr/>
                  <a:graphic xmlns:a="http://schemas.openxmlformats.org/drawingml/2006/main">
                    <a:graphicData uri="http://schemas.openxmlformats.org/drawingml/2006/picture">
                      <pic:pic xmlns:pic="http://schemas.openxmlformats.org/drawingml/2006/picture">
                        <pic:nvPicPr>
                          <pic:cNvPr id="3006" name="图片_1_SpCnt_35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391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09" name="图片_1_SpCnt_360"/>
                  <wp:cNvGraphicFramePr/>
                  <a:graphic xmlns:a="http://schemas.openxmlformats.org/drawingml/2006/main">
                    <a:graphicData uri="http://schemas.openxmlformats.org/drawingml/2006/picture">
                      <pic:pic xmlns:pic="http://schemas.openxmlformats.org/drawingml/2006/picture">
                        <pic:nvPicPr>
                          <pic:cNvPr id="2809" name="图片_1_SpCnt_36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18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7" name="图片_1_SpCnt_361"/>
                  <wp:cNvGraphicFramePr/>
                  <a:graphic xmlns:a="http://schemas.openxmlformats.org/drawingml/2006/main">
                    <a:graphicData uri="http://schemas.openxmlformats.org/drawingml/2006/picture">
                      <pic:pic xmlns:pic="http://schemas.openxmlformats.org/drawingml/2006/picture">
                        <pic:nvPicPr>
                          <pic:cNvPr id="3007" name="图片_1_SpCnt_36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29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8" name="图片_1_SpCnt_362"/>
                  <wp:cNvGraphicFramePr/>
                  <a:graphic xmlns:a="http://schemas.openxmlformats.org/drawingml/2006/main">
                    <a:graphicData uri="http://schemas.openxmlformats.org/drawingml/2006/picture">
                      <pic:pic xmlns:pic="http://schemas.openxmlformats.org/drawingml/2006/picture">
                        <pic:nvPicPr>
                          <pic:cNvPr id="3008" name="图片_1_SpCnt_36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39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09" name="图片_1_SpCnt_363"/>
                  <wp:cNvGraphicFramePr/>
                  <a:graphic xmlns:a="http://schemas.openxmlformats.org/drawingml/2006/main">
                    <a:graphicData uri="http://schemas.openxmlformats.org/drawingml/2006/picture">
                      <pic:pic xmlns:pic="http://schemas.openxmlformats.org/drawingml/2006/picture">
                        <pic:nvPicPr>
                          <pic:cNvPr id="3009" name="图片_1_SpCnt_36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49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0" name="图片_1_SpCnt_364"/>
                  <wp:cNvGraphicFramePr/>
                  <a:graphic xmlns:a="http://schemas.openxmlformats.org/drawingml/2006/main">
                    <a:graphicData uri="http://schemas.openxmlformats.org/drawingml/2006/picture">
                      <pic:pic xmlns:pic="http://schemas.openxmlformats.org/drawingml/2006/picture">
                        <pic:nvPicPr>
                          <pic:cNvPr id="3010" name="图片_1_SpCnt_36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442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14" name="图片_1_SpCnt_365"/>
                  <wp:cNvGraphicFramePr/>
                  <a:graphic xmlns:a="http://schemas.openxmlformats.org/drawingml/2006/main">
                    <a:graphicData uri="http://schemas.openxmlformats.org/drawingml/2006/picture">
                      <pic:pic xmlns:pic="http://schemas.openxmlformats.org/drawingml/2006/picture">
                        <pic:nvPicPr>
                          <pic:cNvPr id="2814" name="图片_1_SpCnt_36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59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1" name="图片_1_SpCnt_366"/>
                  <wp:cNvGraphicFramePr/>
                  <a:graphic xmlns:a="http://schemas.openxmlformats.org/drawingml/2006/main">
                    <a:graphicData uri="http://schemas.openxmlformats.org/drawingml/2006/picture">
                      <pic:pic xmlns:pic="http://schemas.openxmlformats.org/drawingml/2006/picture">
                        <pic:nvPicPr>
                          <pic:cNvPr id="3011" name="图片_1_SpCnt_36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463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16" name="图片_1_SpCnt_367"/>
                  <wp:cNvGraphicFramePr/>
                  <a:graphic xmlns:a="http://schemas.openxmlformats.org/drawingml/2006/main">
                    <a:graphicData uri="http://schemas.openxmlformats.org/drawingml/2006/picture">
                      <pic:pic xmlns:pic="http://schemas.openxmlformats.org/drawingml/2006/picture">
                        <pic:nvPicPr>
                          <pic:cNvPr id="2816" name="图片_1_SpCnt_36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70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2" name="图片_1_SpCnt_368"/>
                  <wp:cNvGraphicFramePr/>
                  <a:graphic xmlns:a="http://schemas.openxmlformats.org/drawingml/2006/main">
                    <a:graphicData uri="http://schemas.openxmlformats.org/drawingml/2006/picture">
                      <pic:pic xmlns:pic="http://schemas.openxmlformats.org/drawingml/2006/picture">
                        <pic:nvPicPr>
                          <pic:cNvPr id="3012" name="图片_1_SpCnt_36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493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19" name="图片_1_SpCnt_369"/>
                  <wp:cNvGraphicFramePr/>
                  <a:graphic xmlns:a="http://schemas.openxmlformats.org/drawingml/2006/main">
                    <a:graphicData uri="http://schemas.openxmlformats.org/drawingml/2006/picture">
                      <pic:pic xmlns:pic="http://schemas.openxmlformats.org/drawingml/2006/picture">
                        <pic:nvPicPr>
                          <pic:cNvPr id="2819" name="图片_1_SpCnt_36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80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3" name="图片_1_SpCnt_370"/>
                  <wp:cNvGraphicFramePr/>
                  <a:graphic xmlns:a="http://schemas.openxmlformats.org/drawingml/2006/main">
                    <a:graphicData uri="http://schemas.openxmlformats.org/drawingml/2006/picture">
                      <pic:pic xmlns:pic="http://schemas.openxmlformats.org/drawingml/2006/picture">
                        <pic:nvPicPr>
                          <pic:cNvPr id="3013" name="图片_1_SpCnt_37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490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4" name="图片_1_SpCnt_371"/>
                  <wp:cNvGraphicFramePr/>
                  <a:graphic xmlns:a="http://schemas.openxmlformats.org/drawingml/2006/main">
                    <a:graphicData uri="http://schemas.openxmlformats.org/drawingml/2006/picture">
                      <pic:pic xmlns:pic="http://schemas.openxmlformats.org/drawingml/2006/picture">
                        <pic:nvPicPr>
                          <pic:cNvPr id="3014" name="图片_1_SpCnt_37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00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5" name="图片_1_SpCnt_372"/>
                  <wp:cNvGraphicFramePr/>
                  <a:graphic xmlns:a="http://schemas.openxmlformats.org/drawingml/2006/main">
                    <a:graphicData uri="http://schemas.openxmlformats.org/drawingml/2006/picture">
                      <pic:pic xmlns:pic="http://schemas.openxmlformats.org/drawingml/2006/picture">
                        <pic:nvPicPr>
                          <pic:cNvPr id="3015" name="图片_1_SpCnt_37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11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6" name="图片_1_SpCnt_373"/>
                  <wp:cNvGraphicFramePr/>
                  <a:graphic xmlns:a="http://schemas.openxmlformats.org/drawingml/2006/main">
                    <a:graphicData uri="http://schemas.openxmlformats.org/drawingml/2006/picture">
                      <pic:pic xmlns:pic="http://schemas.openxmlformats.org/drawingml/2006/picture">
                        <pic:nvPicPr>
                          <pic:cNvPr id="3016" name="图片_1_SpCnt_37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544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24" name="图片_1_SpCnt_374"/>
                  <wp:cNvGraphicFramePr/>
                  <a:graphic xmlns:a="http://schemas.openxmlformats.org/drawingml/2006/main">
                    <a:graphicData uri="http://schemas.openxmlformats.org/drawingml/2006/picture">
                      <pic:pic xmlns:pic="http://schemas.openxmlformats.org/drawingml/2006/picture">
                        <pic:nvPicPr>
                          <pic:cNvPr id="2824" name="图片_1_SpCnt_37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21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7" name="图片_1_SpCnt_375"/>
                  <wp:cNvGraphicFramePr/>
                  <a:graphic xmlns:a="http://schemas.openxmlformats.org/drawingml/2006/main">
                    <a:graphicData uri="http://schemas.openxmlformats.org/drawingml/2006/picture">
                      <pic:pic xmlns:pic="http://schemas.openxmlformats.org/drawingml/2006/picture">
                        <pic:nvPicPr>
                          <pic:cNvPr id="3017" name="图片_1_SpCnt_37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555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25" name="图片_1_SpCnt_376"/>
                  <wp:cNvGraphicFramePr/>
                  <a:graphic xmlns:a="http://schemas.openxmlformats.org/drawingml/2006/main">
                    <a:graphicData uri="http://schemas.openxmlformats.org/drawingml/2006/picture">
                      <pic:pic xmlns:pic="http://schemas.openxmlformats.org/drawingml/2006/picture">
                        <pic:nvPicPr>
                          <pic:cNvPr id="2825" name="图片_1_SpCnt_37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31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8" name="图片_1_SpCnt_377"/>
                  <wp:cNvGraphicFramePr/>
                  <a:graphic xmlns:a="http://schemas.openxmlformats.org/drawingml/2006/main">
                    <a:graphicData uri="http://schemas.openxmlformats.org/drawingml/2006/picture">
                      <pic:pic xmlns:pic="http://schemas.openxmlformats.org/drawingml/2006/picture">
                        <pic:nvPicPr>
                          <pic:cNvPr id="3018" name="图片_1_SpCnt_37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41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19" name="图片_1_SpCnt_378"/>
                  <wp:cNvGraphicFramePr/>
                  <a:graphic xmlns:a="http://schemas.openxmlformats.org/drawingml/2006/main">
                    <a:graphicData uri="http://schemas.openxmlformats.org/drawingml/2006/picture">
                      <pic:pic xmlns:pic="http://schemas.openxmlformats.org/drawingml/2006/picture">
                        <pic:nvPicPr>
                          <pic:cNvPr id="3019" name="图片_1_SpCnt_37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06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30" name="图片_1_SpCnt_379"/>
                  <wp:cNvGraphicFramePr/>
                  <a:graphic xmlns:a="http://schemas.openxmlformats.org/drawingml/2006/main">
                    <a:graphicData uri="http://schemas.openxmlformats.org/drawingml/2006/picture">
                      <pic:pic xmlns:pic="http://schemas.openxmlformats.org/drawingml/2006/picture">
                        <pic:nvPicPr>
                          <pic:cNvPr id="2830" name="图片_1_SpCnt_37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52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0" name="图片_1_SpCnt_380"/>
                  <wp:cNvGraphicFramePr/>
                  <a:graphic xmlns:a="http://schemas.openxmlformats.org/drawingml/2006/main">
                    <a:graphicData uri="http://schemas.openxmlformats.org/drawingml/2006/picture">
                      <pic:pic xmlns:pic="http://schemas.openxmlformats.org/drawingml/2006/picture">
                        <pic:nvPicPr>
                          <pic:cNvPr id="3020" name="图片_1_SpCnt_38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62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1" name="图片_1_SpCnt_381"/>
                  <wp:cNvGraphicFramePr/>
                  <a:graphic xmlns:a="http://schemas.openxmlformats.org/drawingml/2006/main">
                    <a:graphicData uri="http://schemas.openxmlformats.org/drawingml/2006/picture">
                      <pic:pic xmlns:pic="http://schemas.openxmlformats.org/drawingml/2006/picture">
                        <pic:nvPicPr>
                          <pic:cNvPr id="3021" name="图片_1_SpCnt_38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26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32" name="图片_1_SpCnt_382"/>
                  <wp:cNvGraphicFramePr/>
                  <a:graphic xmlns:a="http://schemas.openxmlformats.org/drawingml/2006/main">
                    <a:graphicData uri="http://schemas.openxmlformats.org/drawingml/2006/picture">
                      <pic:pic xmlns:pic="http://schemas.openxmlformats.org/drawingml/2006/picture">
                        <pic:nvPicPr>
                          <pic:cNvPr id="2832" name="图片_1_SpCnt_38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724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2" name="图片_1_SpCnt_383"/>
                  <wp:cNvGraphicFramePr/>
                  <a:graphic xmlns:a="http://schemas.openxmlformats.org/drawingml/2006/main">
                    <a:graphicData uri="http://schemas.openxmlformats.org/drawingml/2006/picture">
                      <pic:pic xmlns:pic="http://schemas.openxmlformats.org/drawingml/2006/picture">
                        <pic:nvPicPr>
                          <pic:cNvPr id="3022" name="图片_1_SpCnt_38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82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3" name="图片_1_SpCnt_384"/>
                  <wp:cNvGraphicFramePr/>
                  <a:graphic xmlns:a="http://schemas.openxmlformats.org/drawingml/2006/main">
                    <a:graphicData uri="http://schemas.openxmlformats.org/drawingml/2006/picture">
                      <pic:pic xmlns:pic="http://schemas.openxmlformats.org/drawingml/2006/picture">
                        <pic:nvPicPr>
                          <pic:cNvPr id="3023" name="图片_1_SpCnt_38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57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35" name="图片_1_SpCnt_385"/>
                  <wp:cNvGraphicFramePr/>
                  <a:graphic xmlns:a="http://schemas.openxmlformats.org/drawingml/2006/main">
                    <a:graphicData uri="http://schemas.openxmlformats.org/drawingml/2006/picture">
                      <pic:pic xmlns:pic="http://schemas.openxmlformats.org/drawingml/2006/picture">
                        <pic:nvPicPr>
                          <pic:cNvPr id="2835" name="图片_1_SpCnt_38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5929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4" name="图片_1_SpCnt_386"/>
                  <wp:cNvGraphicFramePr/>
                  <a:graphic xmlns:a="http://schemas.openxmlformats.org/drawingml/2006/main">
                    <a:graphicData uri="http://schemas.openxmlformats.org/drawingml/2006/picture">
                      <pic:pic xmlns:pic="http://schemas.openxmlformats.org/drawingml/2006/picture">
                        <pic:nvPicPr>
                          <pic:cNvPr id="3024" name="图片_1_SpCnt_38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03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5" name="图片_1_SpCnt_387"/>
                  <wp:cNvGraphicFramePr/>
                  <a:graphic xmlns:a="http://schemas.openxmlformats.org/drawingml/2006/main">
                    <a:graphicData uri="http://schemas.openxmlformats.org/drawingml/2006/picture">
                      <pic:pic xmlns:pic="http://schemas.openxmlformats.org/drawingml/2006/picture">
                        <pic:nvPicPr>
                          <pic:cNvPr id="3025" name="图片_1_SpCnt_38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688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38" name="图片_1_SpCnt_388"/>
                  <wp:cNvGraphicFramePr/>
                  <a:graphic xmlns:a="http://schemas.openxmlformats.org/drawingml/2006/main">
                    <a:graphicData uri="http://schemas.openxmlformats.org/drawingml/2006/picture">
                      <pic:pic xmlns:pic="http://schemas.openxmlformats.org/drawingml/2006/picture">
                        <pic:nvPicPr>
                          <pic:cNvPr id="2838" name="图片_1_SpCnt_38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134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6" name="图片_1_SpCnt_389"/>
                  <wp:cNvGraphicFramePr/>
                  <a:graphic xmlns:a="http://schemas.openxmlformats.org/drawingml/2006/main">
                    <a:graphicData uri="http://schemas.openxmlformats.org/drawingml/2006/picture">
                      <pic:pic xmlns:pic="http://schemas.openxmlformats.org/drawingml/2006/picture">
                        <pic:nvPicPr>
                          <pic:cNvPr id="3026" name="图片_1_SpCnt_38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236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7" name="图片_1_SpCnt_390"/>
                  <wp:cNvGraphicFramePr/>
                  <a:graphic xmlns:a="http://schemas.openxmlformats.org/drawingml/2006/main">
                    <a:graphicData uri="http://schemas.openxmlformats.org/drawingml/2006/picture">
                      <pic:pic xmlns:pic="http://schemas.openxmlformats.org/drawingml/2006/picture">
                        <pic:nvPicPr>
                          <pic:cNvPr id="3027" name="图片_1_SpCnt_39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19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41" name="图片_1_SpCnt_391"/>
                  <wp:cNvGraphicFramePr/>
                  <a:graphic xmlns:a="http://schemas.openxmlformats.org/drawingml/2006/main">
                    <a:graphicData uri="http://schemas.openxmlformats.org/drawingml/2006/picture">
                      <pic:pic xmlns:pic="http://schemas.openxmlformats.org/drawingml/2006/picture">
                        <pic:nvPicPr>
                          <pic:cNvPr id="2841" name="图片_1_SpCnt_39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33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8" name="图片_1_SpCnt_392"/>
                  <wp:cNvGraphicFramePr/>
                  <a:graphic xmlns:a="http://schemas.openxmlformats.org/drawingml/2006/main">
                    <a:graphicData uri="http://schemas.openxmlformats.org/drawingml/2006/picture">
                      <pic:pic xmlns:pic="http://schemas.openxmlformats.org/drawingml/2006/picture">
                        <pic:nvPicPr>
                          <pic:cNvPr id="3028" name="图片_1_SpCnt_39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441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29" name="图片_1_SpCnt_393"/>
                  <wp:cNvGraphicFramePr/>
                  <a:graphic xmlns:a="http://schemas.openxmlformats.org/drawingml/2006/main">
                    <a:graphicData uri="http://schemas.openxmlformats.org/drawingml/2006/picture">
                      <pic:pic xmlns:pic="http://schemas.openxmlformats.org/drawingml/2006/picture">
                        <pic:nvPicPr>
                          <pic:cNvPr id="3029" name="图片_1_SpCnt_39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49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44" name="图片_1_SpCnt_394"/>
                  <wp:cNvGraphicFramePr/>
                  <a:graphic xmlns:a="http://schemas.openxmlformats.org/drawingml/2006/main">
                    <a:graphicData uri="http://schemas.openxmlformats.org/drawingml/2006/picture">
                      <pic:pic xmlns:pic="http://schemas.openxmlformats.org/drawingml/2006/picture">
                        <pic:nvPicPr>
                          <pic:cNvPr id="2844" name="图片_1_SpCnt_39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544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0" name="图片_1_SpCnt_395"/>
                  <wp:cNvGraphicFramePr/>
                  <a:graphic xmlns:a="http://schemas.openxmlformats.org/drawingml/2006/main">
                    <a:graphicData uri="http://schemas.openxmlformats.org/drawingml/2006/picture">
                      <pic:pic xmlns:pic="http://schemas.openxmlformats.org/drawingml/2006/picture">
                        <pic:nvPicPr>
                          <pic:cNvPr id="3030" name="图片_1_SpCnt_39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702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46" name="图片_1_SpCnt_396"/>
                  <wp:cNvGraphicFramePr/>
                  <a:graphic xmlns:a="http://schemas.openxmlformats.org/drawingml/2006/main">
                    <a:graphicData uri="http://schemas.openxmlformats.org/drawingml/2006/picture">
                      <pic:pic xmlns:pic="http://schemas.openxmlformats.org/drawingml/2006/picture">
                        <pic:nvPicPr>
                          <pic:cNvPr id="2846" name="图片_1_SpCnt_39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64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1" name="图片_1_SpCnt_397"/>
                  <wp:cNvGraphicFramePr/>
                  <a:graphic xmlns:a="http://schemas.openxmlformats.org/drawingml/2006/main">
                    <a:graphicData uri="http://schemas.openxmlformats.org/drawingml/2006/picture">
                      <pic:pic xmlns:pic="http://schemas.openxmlformats.org/drawingml/2006/picture">
                        <pic:nvPicPr>
                          <pic:cNvPr id="3031" name="图片_1_SpCnt_39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748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2" name="图片_1_SpCnt_398"/>
                  <wp:cNvGraphicFramePr/>
                  <a:graphic xmlns:a="http://schemas.openxmlformats.org/drawingml/2006/main">
                    <a:graphicData uri="http://schemas.openxmlformats.org/drawingml/2006/picture">
                      <pic:pic xmlns:pic="http://schemas.openxmlformats.org/drawingml/2006/picture">
                        <pic:nvPicPr>
                          <pic:cNvPr id="3032" name="图片_1_SpCnt_39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7907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48" name="图片_1_SpCnt_399"/>
                  <wp:cNvGraphicFramePr/>
                  <a:graphic xmlns:a="http://schemas.openxmlformats.org/drawingml/2006/main">
                    <a:graphicData uri="http://schemas.openxmlformats.org/drawingml/2006/picture">
                      <pic:pic xmlns:pic="http://schemas.openxmlformats.org/drawingml/2006/picture">
                        <pic:nvPicPr>
                          <pic:cNvPr id="2848" name="图片_1_SpCnt_39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851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3" name="图片_1_SpCnt_400"/>
                  <wp:cNvGraphicFramePr/>
                  <a:graphic xmlns:a="http://schemas.openxmlformats.org/drawingml/2006/main">
                    <a:graphicData uri="http://schemas.openxmlformats.org/drawingml/2006/picture">
                      <pic:pic xmlns:pic="http://schemas.openxmlformats.org/drawingml/2006/picture">
                        <pic:nvPicPr>
                          <pic:cNvPr id="3033" name="图片_1_SpCnt_40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695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4" name="图片_1_SpCnt_401"/>
                  <wp:cNvGraphicFramePr/>
                  <a:graphic xmlns:a="http://schemas.openxmlformats.org/drawingml/2006/main">
                    <a:graphicData uri="http://schemas.openxmlformats.org/drawingml/2006/picture">
                      <pic:pic xmlns:pic="http://schemas.openxmlformats.org/drawingml/2006/picture">
                        <pic:nvPicPr>
                          <pic:cNvPr id="3034" name="图片_1_SpCnt_40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112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50" name="图片_1_SpCnt_402"/>
                  <wp:cNvGraphicFramePr/>
                  <a:graphic xmlns:a="http://schemas.openxmlformats.org/drawingml/2006/main">
                    <a:graphicData uri="http://schemas.openxmlformats.org/drawingml/2006/picture">
                      <pic:pic xmlns:pic="http://schemas.openxmlformats.org/drawingml/2006/picture">
                        <pic:nvPicPr>
                          <pic:cNvPr id="2850" name="图片_1_SpCnt_40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056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5" name="图片_1_SpCnt_403"/>
                  <wp:cNvGraphicFramePr/>
                  <a:graphic xmlns:a="http://schemas.openxmlformats.org/drawingml/2006/main">
                    <a:graphicData uri="http://schemas.openxmlformats.org/drawingml/2006/picture">
                      <pic:pic xmlns:pic="http://schemas.openxmlformats.org/drawingml/2006/picture">
                        <pic:nvPicPr>
                          <pic:cNvPr id="3035" name="图片_1_SpCnt_40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158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6" name="图片_1_SpCnt_404"/>
                  <wp:cNvGraphicFramePr/>
                  <a:graphic xmlns:a="http://schemas.openxmlformats.org/drawingml/2006/main">
                    <a:graphicData uri="http://schemas.openxmlformats.org/drawingml/2006/picture">
                      <pic:pic xmlns:pic="http://schemas.openxmlformats.org/drawingml/2006/picture">
                        <pic:nvPicPr>
                          <pic:cNvPr id="3036" name="图片_1_SpCnt_40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4192"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53" name="图片_1_SpCnt_405"/>
                  <wp:cNvGraphicFramePr/>
                  <a:graphic xmlns:a="http://schemas.openxmlformats.org/drawingml/2006/main">
                    <a:graphicData uri="http://schemas.openxmlformats.org/drawingml/2006/picture">
                      <pic:pic xmlns:pic="http://schemas.openxmlformats.org/drawingml/2006/picture">
                        <pic:nvPicPr>
                          <pic:cNvPr id="2853" name="图片_1_SpCnt_40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26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7" name="图片_1_SpCnt_406"/>
                  <wp:cNvGraphicFramePr/>
                  <a:graphic xmlns:a="http://schemas.openxmlformats.org/drawingml/2006/main">
                    <a:graphicData uri="http://schemas.openxmlformats.org/drawingml/2006/picture">
                      <pic:pic xmlns:pic="http://schemas.openxmlformats.org/drawingml/2006/picture">
                        <pic:nvPicPr>
                          <pic:cNvPr id="3037" name="图片_1_SpCnt_40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363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8" name="图片_1_SpCnt_407"/>
                  <wp:cNvGraphicFramePr/>
                  <a:graphic xmlns:a="http://schemas.openxmlformats.org/drawingml/2006/main">
                    <a:graphicData uri="http://schemas.openxmlformats.org/drawingml/2006/picture">
                      <pic:pic xmlns:pic="http://schemas.openxmlformats.org/drawingml/2006/picture">
                        <pic:nvPicPr>
                          <pic:cNvPr id="3038" name="图片_1_SpCnt_40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87264"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56" name="图片_1_SpCnt_408"/>
                  <wp:cNvGraphicFramePr/>
                  <a:graphic xmlns:a="http://schemas.openxmlformats.org/drawingml/2006/main">
                    <a:graphicData uri="http://schemas.openxmlformats.org/drawingml/2006/picture">
                      <pic:pic xmlns:pic="http://schemas.openxmlformats.org/drawingml/2006/picture">
                        <pic:nvPicPr>
                          <pic:cNvPr id="2856" name="图片_1_SpCnt_40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465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39" name="图片_1_SpCnt_409"/>
                  <wp:cNvGraphicFramePr/>
                  <a:graphic xmlns:a="http://schemas.openxmlformats.org/drawingml/2006/main">
                    <a:graphicData uri="http://schemas.openxmlformats.org/drawingml/2006/picture">
                      <pic:pic xmlns:pic="http://schemas.openxmlformats.org/drawingml/2006/picture">
                        <pic:nvPicPr>
                          <pic:cNvPr id="3039" name="图片_1_SpCnt_40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56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0" name="图片_1_SpCnt_410"/>
                  <wp:cNvGraphicFramePr/>
                  <a:graphic xmlns:a="http://schemas.openxmlformats.org/drawingml/2006/main">
                    <a:graphicData uri="http://schemas.openxmlformats.org/drawingml/2006/picture">
                      <pic:pic xmlns:pic="http://schemas.openxmlformats.org/drawingml/2006/picture">
                        <pic:nvPicPr>
                          <pic:cNvPr id="3040" name="图片_1_SpCnt_410"/>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0336"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59" name="图片_1_SpCnt_411"/>
                  <wp:cNvGraphicFramePr/>
                  <a:graphic xmlns:a="http://schemas.openxmlformats.org/drawingml/2006/main">
                    <a:graphicData uri="http://schemas.openxmlformats.org/drawingml/2006/picture">
                      <pic:pic xmlns:pic="http://schemas.openxmlformats.org/drawingml/2006/picture">
                        <pic:nvPicPr>
                          <pic:cNvPr id="2859" name="图片_1_SpCnt_411"/>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6704"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1" name="图片_1_SpCnt_412"/>
                  <wp:cNvGraphicFramePr/>
                  <a:graphic xmlns:a="http://schemas.openxmlformats.org/drawingml/2006/main">
                    <a:graphicData uri="http://schemas.openxmlformats.org/drawingml/2006/picture">
                      <pic:pic xmlns:pic="http://schemas.openxmlformats.org/drawingml/2006/picture">
                        <pic:nvPicPr>
                          <pic:cNvPr id="3041" name="图片_1_SpCnt_412"/>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77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2" name="图片_1_SpCnt_413"/>
                  <wp:cNvGraphicFramePr/>
                  <a:graphic xmlns:a="http://schemas.openxmlformats.org/drawingml/2006/main">
                    <a:graphicData uri="http://schemas.openxmlformats.org/drawingml/2006/picture">
                      <pic:pic xmlns:pic="http://schemas.openxmlformats.org/drawingml/2006/picture">
                        <pic:nvPicPr>
                          <pic:cNvPr id="3042" name="图片_1_SpCnt_413"/>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340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62" name="图片_1_SpCnt_414"/>
                  <wp:cNvGraphicFramePr/>
                  <a:graphic xmlns:a="http://schemas.openxmlformats.org/drawingml/2006/main">
                    <a:graphicData uri="http://schemas.openxmlformats.org/drawingml/2006/picture">
                      <pic:pic xmlns:pic="http://schemas.openxmlformats.org/drawingml/2006/picture">
                        <pic:nvPicPr>
                          <pic:cNvPr id="2862" name="图片_1_SpCnt_414"/>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8752"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3" name="图片_1_SpCnt_415"/>
                  <wp:cNvGraphicFramePr/>
                  <a:graphic xmlns:a="http://schemas.openxmlformats.org/drawingml/2006/main">
                    <a:graphicData uri="http://schemas.openxmlformats.org/drawingml/2006/picture">
                      <pic:pic xmlns:pic="http://schemas.openxmlformats.org/drawingml/2006/picture">
                        <pic:nvPicPr>
                          <pic:cNvPr id="3043" name="图片_1_SpCnt_415"/>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79776"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4" name="图片_1_SpCnt_416"/>
                  <wp:cNvGraphicFramePr/>
                  <a:graphic xmlns:a="http://schemas.openxmlformats.org/drawingml/2006/main">
                    <a:graphicData uri="http://schemas.openxmlformats.org/drawingml/2006/picture">
                      <pic:pic xmlns:pic="http://schemas.openxmlformats.org/drawingml/2006/picture">
                        <pic:nvPicPr>
                          <pic:cNvPr id="3044" name="图片_1_SpCnt_416"/>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6480"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65" name="图片_1_SpCnt_417"/>
                  <wp:cNvGraphicFramePr/>
                  <a:graphic xmlns:a="http://schemas.openxmlformats.org/drawingml/2006/main">
                    <a:graphicData uri="http://schemas.openxmlformats.org/drawingml/2006/picture">
                      <pic:pic xmlns:pic="http://schemas.openxmlformats.org/drawingml/2006/picture">
                        <pic:nvPicPr>
                          <pic:cNvPr id="2865" name="图片_1_SpCnt_417"/>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980800" behindDoc="0" locked="0" layoutInCell="1" allowOverlap="1">
                  <wp:simplePos x="0" y="0"/>
                  <wp:positionH relativeFrom="column">
                    <wp:posOffset>46355</wp:posOffset>
                  </wp:positionH>
                  <wp:positionV relativeFrom="paragraph">
                    <wp:posOffset>0</wp:posOffset>
                  </wp:positionV>
                  <wp:extent cx="1541145" cy="0"/>
                  <wp:effectExtent l="0" t="0" r="0" b="0"/>
                  <wp:wrapNone/>
                  <wp:docPr id="3045" name="图片_1_SpCnt_418"/>
                  <wp:cNvGraphicFramePr/>
                  <a:graphic xmlns:a="http://schemas.openxmlformats.org/drawingml/2006/main">
                    <a:graphicData uri="http://schemas.openxmlformats.org/drawingml/2006/picture">
                      <pic:pic xmlns:pic="http://schemas.openxmlformats.org/drawingml/2006/picture">
                        <pic:nvPicPr>
                          <pic:cNvPr id="3045" name="图片_1_SpCnt_418"/>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bdr w:val="single" w:color="000000" w:sz="4" w:space="0"/>
                <w:shd w:val="clear" w:color="auto" w:fill="FFFFFF"/>
                <w:lang w:bidi="ar"/>
              </w:rPr>
              <w:drawing>
                <wp:anchor distT="0" distB="0" distL="114300" distR="114300" simplePos="0" relativeHeight="251798528" behindDoc="0" locked="0" layoutInCell="1" allowOverlap="1">
                  <wp:simplePos x="0" y="0"/>
                  <wp:positionH relativeFrom="column">
                    <wp:posOffset>46355</wp:posOffset>
                  </wp:positionH>
                  <wp:positionV relativeFrom="paragraph">
                    <wp:posOffset>0</wp:posOffset>
                  </wp:positionV>
                  <wp:extent cx="1541145" cy="0"/>
                  <wp:effectExtent l="0" t="0" r="0" b="0"/>
                  <wp:wrapNone/>
                  <wp:docPr id="2867" name="图片_1_SpCnt_419"/>
                  <wp:cNvGraphicFramePr/>
                  <a:graphic xmlns:a="http://schemas.openxmlformats.org/drawingml/2006/main">
                    <a:graphicData uri="http://schemas.openxmlformats.org/drawingml/2006/picture">
                      <pic:pic xmlns:pic="http://schemas.openxmlformats.org/drawingml/2006/picture">
                        <pic:nvPicPr>
                          <pic:cNvPr id="2867" name="图片_1_SpCnt_419"/>
                          <pic:cNvPicPr/>
                        </pic:nvPicPr>
                        <pic:blipFill>
                          <a:blip r:embed="rId14"/>
                          <a:stretch>
                            <a:fillRect/>
                          </a:stretch>
                        </pic:blipFill>
                        <pic:spPr>
                          <a:xfrm>
                            <a:off x="0" y="0"/>
                            <a:ext cx="1541145" cy="0"/>
                          </a:xfrm>
                          <a:prstGeom prst="rect">
                            <a:avLst/>
                          </a:prstGeom>
                          <a:noFill/>
                          <a:ln>
                            <a:noFill/>
                          </a:ln>
                        </pic:spPr>
                      </pic:pic>
                    </a:graphicData>
                  </a:graphic>
                </wp:anchor>
              </w:drawing>
            </w:r>
            <w:r>
              <w:rPr>
                <w:rFonts w:hint="eastAsia" w:ascii="宋体" w:hAnsi="宋体" w:cs="宋体"/>
                <w:color w:val="auto"/>
                <w:sz w:val="21"/>
                <w:szCs w:val="21"/>
                <w:highlight w:val="none"/>
                <w:lang w:bidi="ar"/>
              </w:rPr>
              <w:t>电声部分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1.扬声器单元：≥4×4英寸 25芯 80磁   </w:t>
            </w:r>
          </w:p>
          <w:p w14:paraId="0B1B714A">
            <w:pPr>
              <w:numPr>
                <w:ilvl w:val="0"/>
                <w:numId w:val="9"/>
              </w:numPr>
              <w:textAlignment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xml:space="preserve">阻抗：≥4×8欧姆   </w:t>
            </w:r>
          </w:p>
          <w:p w14:paraId="36D5D2DD">
            <w:pPr>
              <w:numPr>
                <w:ilvl w:val="0"/>
                <w:numId w:val="9"/>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灵敏度：≥94dB   </w:t>
            </w:r>
          </w:p>
          <w:p w14:paraId="44073DDA">
            <w:pPr>
              <w:numPr>
                <w:ilvl w:val="0"/>
                <w:numId w:val="9"/>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失真度：＜0.1%   </w:t>
            </w:r>
          </w:p>
          <w:p w14:paraId="64DCBEAB">
            <w:pPr>
              <w:numPr>
                <w:ilvl w:val="0"/>
                <w:numId w:val="9"/>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谐振频率（Fo）：≥75HZ  </w:t>
            </w:r>
          </w:p>
          <w:p w14:paraId="038B843C">
            <w:pPr>
              <w:numPr>
                <w:ilvl w:val="0"/>
                <w:numId w:val="9"/>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频率响应：≥75Hz～17KHZ</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二.电子部分：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1.功率通道：≥4*20W（独立）    </w:t>
            </w:r>
          </w:p>
          <w:p w14:paraId="1A5CAAAC">
            <w:pPr>
              <w:numPr>
                <w:ilvl w:val="0"/>
                <w:numId w:val="10"/>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DSP芯片：两进四出音频DSP处理  </w:t>
            </w:r>
          </w:p>
          <w:p w14:paraId="700C36CA">
            <w:pPr>
              <w:numPr>
                <w:ilvl w:val="0"/>
                <w:numId w:val="10"/>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输入通道：3.5/Bluetooth    </w:t>
            </w:r>
          </w:p>
          <w:p w14:paraId="1F9EC6F7">
            <w:pPr>
              <w:numPr>
                <w:ilvl w:val="0"/>
                <w:numId w:val="10"/>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支持手机APP控制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三.音箱部分：</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 xml:space="preserve">1.箱体：高强度工程塑料    </w:t>
            </w:r>
          </w:p>
          <w:p w14:paraId="2943B4A5">
            <w:pPr>
              <w:numPr>
                <w:ilvl w:val="0"/>
                <w:numId w:val="11"/>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整机尺寸：≥550*550*215mm    </w:t>
            </w:r>
          </w:p>
          <w:p w14:paraId="2575D949">
            <w:pPr>
              <w:numPr>
                <w:ilvl w:val="0"/>
                <w:numId w:val="11"/>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重量：≥7.5kg              </w:t>
            </w:r>
          </w:p>
          <w:p w14:paraId="351D99F7">
            <w:pPr>
              <w:numPr>
                <w:ilvl w:val="0"/>
                <w:numId w:val="11"/>
              </w:num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附件清单：</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标配：主机*1.无线耳咪*1.耳咪手包*1.托盘上盖*1.电源适配器*1.USB充电线*1.保修卡*1.说明书*2.合格证*1.铁板定位卡纸*1.贴挂板*1.M6膨胀钉*5.M4螺丝*5</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5.包含安装</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四.技术参数：</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为控制教室内坐在前排与后排学生之间听觉差异，声场不均匀度要求室内各学生座位测量点（至少选取8个测试点）的稳态声压级最大值与最小值差值范围为4dB之内；（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▲2.为保证教师授课过程中扩声语音的清晰度，扩声系统语言传输指数STIPA：调制传递函数MTF测量值大于0.6；（提供权威检测机构出具的印有CMA认证标识的检测报告复印件）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3.为控制相邻教室的声波干涉：相邻教室声串扰的声压级应不大于40 dB（A)；（提供权威检测机构出具的印有CMA认证标识的检测报告复印件）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4.为保证师生的听觉的安全健康声压，学生座位的听音面(1.2 米等高线位置)最大声压级应小于 82 dB(A)；（提供权威检测机构出具的印有CMA认证标识的检测报告复印件）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5.扬声器指向性：360度全指向覆盖。</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▲6.总谐波失真：应符合GB 50371的有关规定，系统所产生的所有谐波幅度的均方根除以基波幅度，THD&lt;0.1%.（须提供具备CMA和CNAS认证的第三方检测机构出具的检测报告复印件）；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7.噪声比：信号噪声比S/N＞75 dB；（提供权威检测机构出具的印有CMA认证标识的检测报告复印件）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8.系统噪声功率级：系统噪声功率级应不大于 30 dB(A)；（提供权威检测机构出具的印有CMA认证标识的检测报告复印件）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9.蓝牙功能：蓝牙5.0版本，支持蓝牙无线接收，方便老师分享移动设备（手机/电脑）上的音频，蓝牙支持密码模式，防止学生连接，支持手机通过蓝牙无线连接音箱，实现控制有源音箱的音量，方便教师对音箱的管控；（提供由工业和信息化部无线电管理局认可的无线电发射设备型号核准证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10.无线麦克风发射功率应小于20mW，单次充电后可使用不少于6小时；（提供测试报告及使用说明复印件）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11.系统软件控制调试能力:可通过手机上的小程序或APP调节设备总音量，调节话筒音量,支持话筒效果切换；支持音源输入切换；</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676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CFF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A9C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DA3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4000</w:t>
            </w:r>
          </w:p>
        </w:tc>
      </w:tr>
      <w:tr w14:paraId="4657182B">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84D1B">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017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实训研讨桌椅</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FBD8">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1.规格：≥200*80*75cm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2.材质：实木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3.形状：方形</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4.适用人数：≥6-10人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5.八字设计，不摇晃，≥5CM加高桌面。</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6.办公椅8个：尺寸≥87CM*42CM*54CM,坐高≥45CM，坐深≥42CM.材质:碳素钢腿脚，仿皮面</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425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F32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10E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8000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C640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8000</w:t>
            </w:r>
          </w:p>
        </w:tc>
      </w:tr>
      <w:tr w14:paraId="4B0D4593">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71479">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1A2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实木异型（剪刀）艺术桌椅（订制）</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47B3">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1.材质：实木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2.尺寸：≥160cm*90*75cm。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3.剪刀形状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4.搭配广岛椅6个：≥47CM*55CM*75CM坐高≥45cm。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9AF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94D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04E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4800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0BD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4800</w:t>
            </w:r>
          </w:p>
        </w:tc>
      </w:tr>
      <w:tr w14:paraId="15E45FBA">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F10B">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084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宋韵展示柜</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E74D">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材质：实木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尺寸：≥120cm*30cm*200cm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639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8F6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91E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0DD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4000</w:t>
            </w:r>
          </w:p>
        </w:tc>
      </w:tr>
      <w:tr w14:paraId="7BD093BD">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10A6">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36</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A55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宋韵茶桌椅套装（含4盆新鲜绿植）</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F052">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材质：实木</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茶桌：尺寸≥200*80*75cm、桌面厚度≥5cm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椅子*5:尺寸≥550*470*750mm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茶车：尺寸≥400*600*500mm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含4盆新鲜绿植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▲按照GB 18584-2001标准进行有害物质限量检测，符合GB 18584-2001产品标准对于有害物质限量的要求；（提供国家认可的检测报告复印件）</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3AF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63B6">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3FD4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10000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930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10000</w:t>
            </w:r>
          </w:p>
        </w:tc>
      </w:tr>
      <w:tr w14:paraId="5EEE5823">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AC61">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37</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BC4F">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沙发凳</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0FF2">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材质：真皮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尺寸：≥40cm*40cm*40cm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8A7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98A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张</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F29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450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1866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2250</w:t>
            </w:r>
          </w:p>
        </w:tc>
      </w:tr>
      <w:tr w14:paraId="7C462356">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8296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38</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3E5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三人沙发</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B638">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三人位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尺寸:≥230cm*85cm*68cm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材质：实木框架</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面料：猫爪皮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填充物：海绵</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按照GB/T 8948-2008标准进行皮质检测，符合GB/T 8948-2008产品标准对于皮质的要求；（提供国家认可的检测报告复印件）</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417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16EA">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F5D0">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2000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E821">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2000</w:t>
            </w:r>
          </w:p>
        </w:tc>
      </w:tr>
      <w:tr w14:paraId="0BDE06E8">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68312">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39</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0183">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电动双人沙发</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CC5D">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大双人位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材质：抗菌皮感猫爪布，实木、合金框架，天然羽绒和天然生态乳胶填充</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尺寸：长≥180cm，高≥103cm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功能：电动调节伸展</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▲按照GB/T 16799-2008标准进行有害物质限量检测，符合GB/T 16799-2008产品标准对于有害物质限量的要求；（提供国家认可的检测报告复印件）</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FA7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18D8">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张</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F51B">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3300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D01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3300</w:t>
            </w:r>
          </w:p>
        </w:tc>
      </w:tr>
      <w:tr w14:paraId="5ADCD3D6">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BB232">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40</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FFAE">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单人沙发</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960C">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单人位</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尺寸：≥90cm*75cm*70cm</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材质：猫爪皮</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按照GB/T 8948-2008标准进行材质检测，符合GB/T 8948-2008产品标准对于材质的要求；（提供国家认可的检测报告复印件）</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0A0D">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5</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5755">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4F94">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1000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ADF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5000</w:t>
            </w:r>
          </w:p>
        </w:tc>
      </w:tr>
      <w:tr w14:paraId="72B6C4CD">
        <w:tblPrEx>
          <w:tblCellMar>
            <w:top w:w="0" w:type="dxa"/>
            <w:left w:w="108" w:type="dxa"/>
            <w:bottom w:w="0" w:type="dxa"/>
            <w:right w:w="108" w:type="dxa"/>
          </w:tblCellMar>
        </w:tblPrEx>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980D">
            <w:pPr>
              <w:jc w:val="right"/>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41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1D5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美容床</w:t>
            </w:r>
          </w:p>
        </w:tc>
        <w:tc>
          <w:tcPr>
            <w:tcW w:w="4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4F2E">
            <w:pP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颜色：白色</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双电机</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重量：≥80kg</w:t>
            </w:r>
            <w:r>
              <w:rPr>
                <w:rFonts w:hint="eastAsia" w:ascii="宋体" w:hAnsi="宋体" w:cs="宋体"/>
                <w:color w:val="auto"/>
                <w:sz w:val="21"/>
                <w:szCs w:val="21"/>
                <w:highlight w:val="none"/>
                <w:lang w:bidi="ar"/>
              </w:rPr>
              <w:br w:type="textWrapping"/>
            </w:r>
            <w:r>
              <w:rPr>
                <w:rFonts w:hint="eastAsia" w:ascii="宋体" w:hAnsi="宋体" w:cs="宋体"/>
                <w:color w:val="auto"/>
                <w:sz w:val="21"/>
                <w:szCs w:val="21"/>
                <w:highlight w:val="none"/>
                <w:lang w:bidi="ar"/>
              </w:rPr>
              <w:t>尺寸：≥185cm*64cm*65cm</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5BD2">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6567">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台</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D949">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 xml:space="preserve">3200 </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C08C">
            <w:pPr>
              <w:jc w:val="center"/>
              <w:textAlignment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lang w:bidi="ar"/>
              </w:rPr>
              <w:t>3200</w:t>
            </w:r>
          </w:p>
        </w:tc>
      </w:tr>
      <w:tr w14:paraId="5EAD0848">
        <w:tblPrEx>
          <w:tblCellMar>
            <w:top w:w="0" w:type="dxa"/>
            <w:left w:w="108" w:type="dxa"/>
            <w:bottom w:w="0" w:type="dxa"/>
            <w:right w:w="108" w:type="dxa"/>
          </w:tblCellMar>
        </w:tblPrEx>
        <w:tc>
          <w:tcPr>
            <w:tcW w:w="430" w:type="dxa"/>
            <w:tcBorders>
              <w:top w:val="nil"/>
              <w:left w:val="single" w:color="000000" w:sz="4" w:space="0"/>
              <w:bottom w:val="single" w:color="000000" w:sz="4" w:space="0"/>
              <w:right w:val="single" w:color="000000" w:sz="4" w:space="0"/>
            </w:tcBorders>
            <w:shd w:val="clear" w:color="auto" w:fill="FFFFFF"/>
            <w:noWrap/>
            <w:vAlign w:val="center"/>
          </w:tcPr>
          <w:p w14:paraId="68A8D5BF">
            <w:pPr>
              <w:widowControl w:val="0"/>
              <w:jc w:val="center"/>
              <w:rPr>
                <w:rFonts w:hint="eastAsia" w:ascii="宋体" w:hAnsi="宋体" w:cs="宋体"/>
                <w:color w:val="auto"/>
                <w:kern w:val="2"/>
                <w:sz w:val="21"/>
                <w:szCs w:val="21"/>
                <w:highlight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E22B">
            <w:pPr>
              <w:jc w:val="center"/>
              <w:textAlignment w:val="center"/>
              <w:rPr>
                <w:rFonts w:hint="eastAsia" w:ascii="宋体" w:hAnsi="宋体" w:cs="宋体"/>
                <w:b/>
                <w:bCs/>
                <w:color w:val="auto"/>
                <w:kern w:val="2"/>
                <w:sz w:val="21"/>
                <w:szCs w:val="21"/>
                <w:highlight w:val="none"/>
              </w:rPr>
            </w:pPr>
            <w:r>
              <w:rPr>
                <w:rFonts w:ascii="宋体" w:hAnsi="宋体" w:cs="宋体"/>
                <w:b/>
                <w:bCs/>
                <w:color w:val="auto"/>
                <w:sz w:val="21"/>
                <w:szCs w:val="21"/>
                <w:highlight w:val="none"/>
                <w:lang w:bidi="ar"/>
              </w:rPr>
              <w:t>合计：</w:t>
            </w:r>
          </w:p>
        </w:tc>
        <w:tc>
          <w:tcPr>
            <w:tcW w:w="4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D6708">
            <w:pPr>
              <w:jc w:val="center"/>
              <w:textAlignment w:val="center"/>
              <w:rPr>
                <w:rFonts w:hint="eastAsia" w:ascii="宋体" w:hAnsi="宋体" w:cs="宋体"/>
                <w:b/>
                <w:bCs/>
                <w:color w:val="auto"/>
                <w:kern w:val="2"/>
                <w:sz w:val="21"/>
                <w:szCs w:val="21"/>
                <w:highlight w:val="none"/>
              </w:rPr>
            </w:pP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1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46" name="图片_1_SpCnt_420"/>
                  <wp:cNvGraphicFramePr/>
                  <a:graphic xmlns:a="http://schemas.openxmlformats.org/drawingml/2006/main">
                    <a:graphicData uri="http://schemas.openxmlformats.org/drawingml/2006/picture">
                      <pic:pic xmlns:pic="http://schemas.openxmlformats.org/drawingml/2006/picture">
                        <pic:nvPicPr>
                          <pic:cNvPr id="3046" name="图片_1_SpCnt_4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731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778" name="图片_1_SpCnt_421"/>
                  <wp:cNvGraphicFramePr/>
                  <a:graphic xmlns:a="http://schemas.openxmlformats.org/drawingml/2006/main">
                    <a:graphicData uri="http://schemas.openxmlformats.org/drawingml/2006/picture">
                      <pic:pic xmlns:pic="http://schemas.openxmlformats.org/drawingml/2006/picture">
                        <pic:nvPicPr>
                          <pic:cNvPr id="3778" name="图片_1_SpCnt_4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2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47" name="图片_1_SpCnt_422"/>
                  <wp:cNvGraphicFramePr/>
                  <a:graphic xmlns:a="http://schemas.openxmlformats.org/drawingml/2006/main">
                    <a:graphicData uri="http://schemas.openxmlformats.org/drawingml/2006/picture">
                      <pic:pic xmlns:pic="http://schemas.openxmlformats.org/drawingml/2006/picture">
                        <pic:nvPicPr>
                          <pic:cNvPr id="3047" name="图片_1_SpCnt_4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02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71" name="图片_1_SpCnt_423"/>
                  <wp:cNvGraphicFramePr/>
                  <a:graphic xmlns:a="http://schemas.openxmlformats.org/drawingml/2006/main">
                    <a:graphicData uri="http://schemas.openxmlformats.org/drawingml/2006/picture">
                      <pic:pic xmlns:pic="http://schemas.openxmlformats.org/drawingml/2006/picture">
                        <pic:nvPicPr>
                          <pic:cNvPr id="2871" name="图片_1_SpCnt_4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3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48" name="图片_1_SpCnt_424"/>
                  <wp:cNvGraphicFramePr/>
                  <a:graphic xmlns:a="http://schemas.openxmlformats.org/drawingml/2006/main">
                    <a:graphicData uri="http://schemas.openxmlformats.org/drawingml/2006/picture">
                      <pic:pic xmlns:pic="http://schemas.openxmlformats.org/drawingml/2006/picture">
                        <pic:nvPicPr>
                          <pic:cNvPr id="3048" name="图片_1_SpCnt_4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4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49" name="图片_1_SpCnt_425"/>
                  <wp:cNvGraphicFramePr/>
                  <a:graphic xmlns:a="http://schemas.openxmlformats.org/drawingml/2006/main">
                    <a:graphicData uri="http://schemas.openxmlformats.org/drawingml/2006/picture">
                      <pic:pic xmlns:pic="http://schemas.openxmlformats.org/drawingml/2006/picture">
                        <pic:nvPicPr>
                          <pic:cNvPr id="3049" name="图片_1_SpCnt_4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23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91" name="图片_1_SpCnt_426"/>
                  <wp:cNvGraphicFramePr/>
                  <a:graphic xmlns:a="http://schemas.openxmlformats.org/drawingml/2006/main">
                    <a:graphicData uri="http://schemas.openxmlformats.org/drawingml/2006/picture">
                      <pic:pic xmlns:pic="http://schemas.openxmlformats.org/drawingml/2006/picture">
                        <pic:nvPicPr>
                          <pic:cNvPr id="2891" name="图片_1_SpCnt_4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5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0" name="图片_1_SpCnt_427"/>
                  <wp:cNvGraphicFramePr/>
                  <a:graphic xmlns:a="http://schemas.openxmlformats.org/drawingml/2006/main">
                    <a:graphicData uri="http://schemas.openxmlformats.org/drawingml/2006/picture">
                      <pic:pic xmlns:pic="http://schemas.openxmlformats.org/drawingml/2006/picture">
                        <pic:nvPicPr>
                          <pic:cNvPr id="3050" name="图片_1_SpCnt_4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6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1" name="图片_1_SpCnt_428"/>
                  <wp:cNvGraphicFramePr/>
                  <a:graphic xmlns:a="http://schemas.openxmlformats.org/drawingml/2006/main">
                    <a:graphicData uri="http://schemas.openxmlformats.org/drawingml/2006/picture">
                      <pic:pic xmlns:pic="http://schemas.openxmlformats.org/drawingml/2006/picture">
                        <pic:nvPicPr>
                          <pic:cNvPr id="3051" name="图片_1_SpCnt_4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79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2" name="图片_1_SpCnt_429"/>
                  <wp:cNvGraphicFramePr/>
                  <a:graphic xmlns:a="http://schemas.openxmlformats.org/drawingml/2006/main">
                    <a:graphicData uri="http://schemas.openxmlformats.org/drawingml/2006/picture">
                      <pic:pic xmlns:pic="http://schemas.openxmlformats.org/drawingml/2006/picture">
                        <pic:nvPicPr>
                          <pic:cNvPr id="3052" name="图片_1_SpCnt_4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88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3" name="图片_1_SpCnt_430"/>
                  <wp:cNvGraphicFramePr/>
                  <a:graphic xmlns:a="http://schemas.openxmlformats.org/drawingml/2006/main">
                    <a:graphicData uri="http://schemas.openxmlformats.org/drawingml/2006/picture">
                      <pic:pic xmlns:pic="http://schemas.openxmlformats.org/drawingml/2006/picture">
                        <pic:nvPicPr>
                          <pic:cNvPr id="3053" name="图片_1_SpCnt_4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0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4" name="图片_1_SpCnt_431"/>
                  <wp:cNvGraphicFramePr/>
                  <a:graphic xmlns:a="http://schemas.openxmlformats.org/drawingml/2006/main">
                    <a:graphicData uri="http://schemas.openxmlformats.org/drawingml/2006/picture">
                      <pic:pic xmlns:pic="http://schemas.openxmlformats.org/drawingml/2006/picture">
                        <pic:nvPicPr>
                          <pic:cNvPr id="3054" name="图片_1_SpCnt_4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1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5" name="图片_1_SpCnt_432"/>
                  <wp:cNvGraphicFramePr/>
                  <a:graphic xmlns:a="http://schemas.openxmlformats.org/drawingml/2006/main">
                    <a:graphicData uri="http://schemas.openxmlformats.org/drawingml/2006/picture">
                      <pic:pic xmlns:pic="http://schemas.openxmlformats.org/drawingml/2006/picture">
                        <pic:nvPicPr>
                          <pic:cNvPr id="3055" name="图片_1_SpCnt_4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20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6" name="图片_1_SpCnt_433"/>
                  <wp:cNvGraphicFramePr/>
                  <a:graphic xmlns:a="http://schemas.openxmlformats.org/drawingml/2006/main">
                    <a:graphicData uri="http://schemas.openxmlformats.org/drawingml/2006/picture">
                      <pic:pic xmlns:pic="http://schemas.openxmlformats.org/drawingml/2006/picture">
                        <pic:nvPicPr>
                          <pic:cNvPr id="3056" name="图片_1_SpCnt_4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30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7" name="图片_1_SpCnt_434"/>
                  <wp:cNvGraphicFramePr/>
                  <a:graphic xmlns:a="http://schemas.openxmlformats.org/drawingml/2006/main">
                    <a:graphicData uri="http://schemas.openxmlformats.org/drawingml/2006/picture">
                      <pic:pic xmlns:pic="http://schemas.openxmlformats.org/drawingml/2006/picture">
                        <pic:nvPicPr>
                          <pic:cNvPr id="3057" name="图片_1_SpCnt_4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4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8" name="图片_1_SpCnt_435"/>
                  <wp:cNvGraphicFramePr/>
                  <a:graphic xmlns:a="http://schemas.openxmlformats.org/drawingml/2006/main">
                    <a:graphicData uri="http://schemas.openxmlformats.org/drawingml/2006/picture">
                      <pic:pic xmlns:pic="http://schemas.openxmlformats.org/drawingml/2006/picture">
                        <pic:nvPicPr>
                          <pic:cNvPr id="3058" name="图片_1_SpCnt_4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5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59" name="图片_1_SpCnt_436"/>
                  <wp:cNvGraphicFramePr/>
                  <a:graphic xmlns:a="http://schemas.openxmlformats.org/drawingml/2006/main">
                    <a:graphicData uri="http://schemas.openxmlformats.org/drawingml/2006/picture">
                      <pic:pic xmlns:pic="http://schemas.openxmlformats.org/drawingml/2006/picture">
                        <pic:nvPicPr>
                          <pic:cNvPr id="3059" name="图片_1_SpCnt_4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6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0" name="图片_1_SpCnt_437"/>
                  <wp:cNvGraphicFramePr/>
                  <a:graphic xmlns:a="http://schemas.openxmlformats.org/drawingml/2006/main">
                    <a:graphicData uri="http://schemas.openxmlformats.org/drawingml/2006/picture">
                      <pic:pic xmlns:pic="http://schemas.openxmlformats.org/drawingml/2006/picture">
                        <pic:nvPicPr>
                          <pic:cNvPr id="3060" name="图片_1_SpCnt_4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7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1" name="图片_1_SpCnt_438"/>
                  <wp:cNvGraphicFramePr/>
                  <a:graphic xmlns:a="http://schemas.openxmlformats.org/drawingml/2006/main">
                    <a:graphicData uri="http://schemas.openxmlformats.org/drawingml/2006/picture">
                      <pic:pic xmlns:pic="http://schemas.openxmlformats.org/drawingml/2006/picture">
                        <pic:nvPicPr>
                          <pic:cNvPr id="3061" name="图片_1_SpCnt_4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8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2" name="图片_1_SpCnt_439"/>
                  <wp:cNvGraphicFramePr/>
                  <a:graphic xmlns:a="http://schemas.openxmlformats.org/drawingml/2006/main">
                    <a:graphicData uri="http://schemas.openxmlformats.org/drawingml/2006/picture">
                      <pic:pic xmlns:pic="http://schemas.openxmlformats.org/drawingml/2006/picture">
                        <pic:nvPicPr>
                          <pic:cNvPr id="3062" name="图片_1_SpCnt_4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999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3" name="图片_1_SpCnt_440"/>
                  <wp:cNvGraphicFramePr/>
                  <a:graphic xmlns:a="http://schemas.openxmlformats.org/drawingml/2006/main">
                    <a:graphicData uri="http://schemas.openxmlformats.org/drawingml/2006/picture">
                      <pic:pic xmlns:pic="http://schemas.openxmlformats.org/drawingml/2006/picture">
                        <pic:nvPicPr>
                          <pic:cNvPr id="3063" name="图片_1_SpCnt_4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02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4" name="图片_1_SpCnt_441"/>
                  <wp:cNvGraphicFramePr/>
                  <a:graphic xmlns:a="http://schemas.openxmlformats.org/drawingml/2006/main">
                    <a:graphicData uri="http://schemas.openxmlformats.org/drawingml/2006/picture">
                      <pic:pic xmlns:pic="http://schemas.openxmlformats.org/drawingml/2006/picture">
                        <pic:nvPicPr>
                          <pic:cNvPr id="3064" name="图片_1_SpCnt_4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1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5" name="图片_1_SpCnt_442"/>
                  <wp:cNvGraphicFramePr/>
                  <a:graphic xmlns:a="http://schemas.openxmlformats.org/drawingml/2006/main">
                    <a:graphicData uri="http://schemas.openxmlformats.org/drawingml/2006/picture">
                      <pic:pic xmlns:pic="http://schemas.openxmlformats.org/drawingml/2006/picture">
                        <pic:nvPicPr>
                          <pic:cNvPr id="3065" name="图片_1_SpCnt_4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23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6" name="图片_1_SpCnt_443"/>
                  <wp:cNvGraphicFramePr/>
                  <a:graphic xmlns:a="http://schemas.openxmlformats.org/drawingml/2006/main">
                    <a:graphicData uri="http://schemas.openxmlformats.org/drawingml/2006/picture">
                      <pic:pic xmlns:pic="http://schemas.openxmlformats.org/drawingml/2006/picture">
                        <pic:nvPicPr>
                          <pic:cNvPr id="3066" name="图片_1_SpCnt_4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33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7" name="图片_1_SpCnt_444"/>
                  <wp:cNvGraphicFramePr/>
                  <a:graphic xmlns:a="http://schemas.openxmlformats.org/drawingml/2006/main">
                    <a:graphicData uri="http://schemas.openxmlformats.org/drawingml/2006/picture">
                      <pic:pic xmlns:pic="http://schemas.openxmlformats.org/drawingml/2006/picture">
                        <pic:nvPicPr>
                          <pic:cNvPr id="3067" name="图片_1_SpCnt_4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43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8" name="图片_1_SpCnt_445"/>
                  <wp:cNvGraphicFramePr/>
                  <a:graphic xmlns:a="http://schemas.openxmlformats.org/drawingml/2006/main">
                    <a:graphicData uri="http://schemas.openxmlformats.org/drawingml/2006/picture">
                      <pic:pic xmlns:pic="http://schemas.openxmlformats.org/drawingml/2006/picture">
                        <pic:nvPicPr>
                          <pic:cNvPr id="3068" name="图片_1_SpCnt_4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53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69" name="图片_1_SpCnt_446"/>
                  <wp:cNvGraphicFramePr/>
                  <a:graphic xmlns:a="http://schemas.openxmlformats.org/drawingml/2006/main">
                    <a:graphicData uri="http://schemas.openxmlformats.org/drawingml/2006/picture">
                      <pic:pic xmlns:pic="http://schemas.openxmlformats.org/drawingml/2006/picture">
                        <pic:nvPicPr>
                          <pic:cNvPr id="3069" name="图片_1_SpCnt_4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64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0" name="图片_1_SpCnt_447"/>
                  <wp:cNvGraphicFramePr/>
                  <a:graphic xmlns:a="http://schemas.openxmlformats.org/drawingml/2006/main">
                    <a:graphicData uri="http://schemas.openxmlformats.org/drawingml/2006/picture">
                      <pic:pic xmlns:pic="http://schemas.openxmlformats.org/drawingml/2006/picture">
                        <pic:nvPicPr>
                          <pic:cNvPr id="3070" name="图片_1_SpCnt_4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74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1" name="图片_1_SpCnt_448"/>
                  <wp:cNvGraphicFramePr/>
                  <a:graphic xmlns:a="http://schemas.openxmlformats.org/drawingml/2006/main">
                    <a:graphicData uri="http://schemas.openxmlformats.org/drawingml/2006/picture">
                      <pic:pic xmlns:pic="http://schemas.openxmlformats.org/drawingml/2006/picture">
                        <pic:nvPicPr>
                          <pic:cNvPr id="3071" name="图片_1_SpCnt_4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84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2" name="图片_1_SpCnt_449"/>
                  <wp:cNvGraphicFramePr/>
                  <a:graphic xmlns:a="http://schemas.openxmlformats.org/drawingml/2006/main">
                    <a:graphicData uri="http://schemas.openxmlformats.org/drawingml/2006/picture">
                      <pic:pic xmlns:pic="http://schemas.openxmlformats.org/drawingml/2006/picture">
                        <pic:nvPicPr>
                          <pic:cNvPr id="3072" name="图片_1_SpCnt_4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094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3" name="图片_1_SpCnt_450"/>
                  <wp:cNvGraphicFramePr/>
                  <a:graphic xmlns:a="http://schemas.openxmlformats.org/drawingml/2006/main">
                    <a:graphicData uri="http://schemas.openxmlformats.org/drawingml/2006/picture">
                      <pic:pic xmlns:pic="http://schemas.openxmlformats.org/drawingml/2006/picture">
                        <pic:nvPicPr>
                          <pic:cNvPr id="3073" name="图片_1_SpCnt_4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04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4" name="图片_1_SpCnt_451"/>
                  <wp:cNvGraphicFramePr/>
                  <a:graphic xmlns:a="http://schemas.openxmlformats.org/drawingml/2006/main">
                    <a:graphicData uri="http://schemas.openxmlformats.org/drawingml/2006/picture">
                      <pic:pic xmlns:pic="http://schemas.openxmlformats.org/drawingml/2006/picture">
                        <pic:nvPicPr>
                          <pic:cNvPr id="3074" name="图片_1_SpCnt_4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15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5" name="图片_1_SpCnt_452"/>
                  <wp:cNvGraphicFramePr/>
                  <a:graphic xmlns:a="http://schemas.openxmlformats.org/drawingml/2006/main">
                    <a:graphicData uri="http://schemas.openxmlformats.org/drawingml/2006/picture">
                      <pic:pic xmlns:pic="http://schemas.openxmlformats.org/drawingml/2006/picture">
                        <pic:nvPicPr>
                          <pic:cNvPr id="3075" name="图片_1_SpCnt_4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25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6" name="图片_1_SpCnt_453"/>
                  <wp:cNvGraphicFramePr/>
                  <a:graphic xmlns:a="http://schemas.openxmlformats.org/drawingml/2006/main">
                    <a:graphicData uri="http://schemas.openxmlformats.org/drawingml/2006/picture">
                      <pic:pic xmlns:pic="http://schemas.openxmlformats.org/drawingml/2006/picture">
                        <pic:nvPicPr>
                          <pic:cNvPr id="3076" name="图片_1_SpCnt_4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160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70" name="图片_1_SpCnt_454"/>
                  <wp:cNvGraphicFramePr/>
                  <a:graphic xmlns:a="http://schemas.openxmlformats.org/drawingml/2006/main">
                    <a:graphicData uri="http://schemas.openxmlformats.org/drawingml/2006/picture">
                      <pic:pic xmlns:pic="http://schemas.openxmlformats.org/drawingml/2006/picture">
                        <pic:nvPicPr>
                          <pic:cNvPr id="3470" name="图片_1_SpCnt_4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35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7" name="图片_1_SpCnt_455"/>
                  <wp:cNvGraphicFramePr/>
                  <a:graphic xmlns:a="http://schemas.openxmlformats.org/drawingml/2006/main">
                    <a:graphicData uri="http://schemas.openxmlformats.org/drawingml/2006/picture">
                      <pic:pic xmlns:pic="http://schemas.openxmlformats.org/drawingml/2006/picture">
                        <pic:nvPicPr>
                          <pic:cNvPr id="3077" name="图片_1_SpCnt_4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45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8" name="图片_1_SpCnt_456"/>
                  <wp:cNvGraphicFramePr/>
                  <a:graphic xmlns:a="http://schemas.openxmlformats.org/drawingml/2006/main">
                    <a:graphicData uri="http://schemas.openxmlformats.org/drawingml/2006/picture">
                      <pic:pic xmlns:pic="http://schemas.openxmlformats.org/drawingml/2006/picture">
                        <pic:nvPicPr>
                          <pic:cNvPr id="3078" name="图片_1_SpCnt_4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56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79" name="图片_1_SpCnt_457"/>
                  <wp:cNvGraphicFramePr/>
                  <a:graphic xmlns:a="http://schemas.openxmlformats.org/drawingml/2006/main">
                    <a:graphicData uri="http://schemas.openxmlformats.org/drawingml/2006/picture">
                      <pic:pic xmlns:pic="http://schemas.openxmlformats.org/drawingml/2006/picture">
                        <pic:nvPicPr>
                          <pic:cNvPr id="3079" name="图片_1_SpCnt_4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66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0" name="图片_1_SpCnt_458"/>
                  <wp:cNvGraphicFramePr/>
                  <a:graphic xmlns:a="http://schemas.openxmlformats.org/drawingml/2006/main">
                    <a:graphicData uri="http://schemas.openxmlformats.org/drawingml/2006/picture">
                      <pic:pic xmlns:pic="http://schemas.openxmlformats.org/drawingml/2006/picture">
                        <pic:nvPicPr>
                          <pic:cNvPr id="3080" name="图片_1_SpCnt_4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76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1" name="图片_1_SpCnt_459"/>
                  <wp:cNvGraphicFramePr/>
                  <a:graphic xmlns:a="http://schemas.openxmlformats.org/drawingml/2006/main">
                    <a:graphicData uri="http://schemas.openxmlformats.org/drawingml/2006/picture">
                      <pic:pic xmlns:pic="http://schemas.openxmlformats.org/drawingml/2006/picture">
                        <pic:nvPicPr>
                          <pic:cNvPr id="3081" name="图片_1_SpCnt_4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86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2" name="图片_1_SpCnt_460"/>
                  <wp:cNvGraphicFramePr/>
                  <a:graphic xmlns:a="http://schemas.openxmlformats.org/drawingml/2006/main">
                    <a:graphicData uri="http://schemas.openxmlformats.org/drawingml/2006/picture">
                      <pic:pic xmlns:pic="http://schemas.openxmlformats.org/drawingml/2006/picture">
                        <pic:nvPicPr>
                          <pic:cNvPr id="3082" name="图片_1_SpCnt_4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197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3" name="图片_1_SpCnt_461"/>
                  <wp:cNvGraphicFramePr/>
                  <a:graphic xmlns:a="http://schemas.openxmlformats.org/drawingml/2006/main">
                    <a:graphicData uri="http://schemas.openxmlformats.org/drawingml/2006/picture">
                      <pic:pic xmlns:pic="http://schemas.openxmlformats.org/drawingml/2006/picture">
                        <pic:nvPicPr>
                          <pic:cNvPr id="3083" name="图片_1_SpCnt_4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07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4" name="图片_1_SpCnt_462"/>
                  <wp:cNvGraphicFramePr/>
                  <a:graphic xmlns:a="http://schemas.openxmlformats.org/drawingml/2006/main">
                    <a:graphicData uri="http://schemas.openxmlformats.org/drawingml/2006/picture">
                      <pic:pic xmlns:pic="http://schemas.openxmlformats.org/drawingml/2006/picture">
                        <pic:nvPicPr>
                          <pic:cNvPr id="3084" name="图片_1_SpCnt_4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17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5" name="图片_1_SpCnt_463"/>
                  <wp:cNvGraphicFramePr/>
                  <a:graphic xmlns:a="http://schemas.openxmlformats.org/drawingml/2006/main">
                    <a:graphicData uri="http://schemas.openxmlformats.org/drawingml/2006/picture">
                      <pic:pic xmlns:pic="http://schemas.openxmlformats.org/drawingml/2006/picture">
                        <pic:nvPicPr>
                          <pic:cNvPr id="3085" name="图片_1_SpCnt_4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27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6" name="图片_1_SpCnt_464"/>
                  <wp:cNvGraphicFramePr/>
                  <a:graphic xmlns:a="http://schemas.openxmlformats.org/drawingml/2006/main">
                    <a:graphicData uri="http://schemas.openxmlformats.org/drawingml/2006/picture">
                      <pic:pic xmlns:pic="http://schemas.openxmlformats.org/drawingml/2006/picture">
                        <pic:nvPicPr>
                          <pic:cNvPr id="3086" name="图片_1_SpCnt_4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38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7" name="图片_1_SpCnt_465"/>
                  <wp:cNvGraphicFramePr/>
                  <a:graphic xmlns:a="http://schemas.openxmlformats.org/drawingml/2006/main">
                    <a:graphicData uri="http://schemas.openxmlformats.org/drawingml/2006/picture">
                      <pic:pic xmlns:pic="http://schemas.openxmlformats.org/drawingml/2006/picture">
                        <pic:nvPicPr>
                          <pic:cNvPr id="3087" name="图片_1_SpCnt_4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48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8" name="图片_1_SpCnt_466"/>
                  <wp:cNvGraphicFramePr/>
                  <a:graphic xmlns:a="http://schemas.openxmlformats.org/drawingml/2006/main">
                    <a:graphicData uri="http://schemas.openxmlformats.org/drawingml/2006/picture">
                      <pic:pic xmlns:pic="http://schemas.openxmlformats.org/drawingml/2006/picture">
                        <pic:nvPicPr>
                          <pic:cNvPr id="3088" name="图片_1_SpCnt_4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58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89" name="图片_1_SpCnt_467"/>
                  <wp:cNvGraphicFramePr/>
                  <a:graphic xmlns:a="http://schemas.openxmlformats.org/drawingml/2006/main">
                    <a:graphicData uri="http://schemas.openxmlformats.org/drawingml/2006/picture">
                      <pic:pic xmlns:pic="http://schemas.openxmlformats.org/drawingml/2006/picture">
                        <pic:nvPicPr>
                          <pic:cNvPr id="3089" name="图片_1_SpCnt_4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68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0" name="图片_1_SpCnt_468"/>
                  <wp:cNvGraphicFramePr/>
                  <a:graphic xmlns:a="http://schemas.openxmlformats.org/drawingml/2006/main">
                    <a:graphicData uri="http://schemas.openxmlformats.org/drawingml/2006/picture">
                      <pic:pic xmlns:pic="http://schemas.openxmlformats.org/drawingml/2006/picture">
                        <pic:nvPicPr>
                          <pic:cNvPr id="3090" name="图片_1_SpCnt_4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79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1" name="图片_1_SpCnt_469"/>
                  <wp:cNvGraphicFramePr/>
                  <a:graphic xmlns:a="http://schemas.openxmlformats.org/drawingml/2006/main">
                    <a:graphicData uri="http://schemas.openxmlformats.org/drawingml/2006/picture">
                      <pic:pic xmlns:pic="http://schemas.openxmlformats.org/drawingml/2006/picture">
                        <pic:nvPicPr>
                          <pic:cNvPr id="3091" name="图片_1_SpCnt_4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89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2" name="图片_1_SpCnt_470"/>
                  <wp:cNvGraphicFramePr/>
                  <a:graphic xmlns:a="http://schemas.openxmlformats.org/drawingml/2006/main">
                    <a:graphicData uri="http://schemas.openxmlformats.org/drawingml/2006/picture">
                      <pic:pic xmlns:pic="http://schemas.openxmlformats.org/drawingml/2006/picture">
                        <pic:nvPicPr>
                          <pic:cNvPr id="3092" name="图片_1_SpCnt_4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299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3" name="图片_1_SpCnt_471"/>
                  <wp:cNvGraphicFramePr/>
                  <a:graphic xmlns:a="http://schemas.openxmlformats.org/drawingml/2006/main">
                    <a:graphicData uri="http://schemas.openxmlformats.org/drawingml/2006/picture">
                      <pic:pic xmlns:pic="http://schemas.openxmlformats.org/drawingml/2006/picture">
                        <pic:nvPicPr>
                          <pic:cNvPr id="3093" name="图片_1_SpCnt_4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09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4" name="图片_1_SpCnt_472"/>
                  <wp:cNvGraphicFramePr/>
                  <a:graphic xmlns:a="http://schemas.openxmlformats.org/drawingml/2006/main">
                    <a:graphicData uri="http://schemas.openxmlformats.org/drawingml/2006/picture">
                      <pic:pic xmlns:pic="http://schemas.openxmlformats.org/drawingml/2006/picture">
                        <pic:nvPicPr>
                          <pic:cNvPr id="3094" name="图片_1_SpCnt_4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20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5" name="图片_1_SpCnt_473"/>
                  <wp:cNvGraphicFramePr/>
                  <a:graphic xmlns:a="http://schemas.openxmlformats.org/drawingml/2006/main">
                    <a:graphicData uri="http://schemas.openxmlformats.org/drawingml/2006/picture">
                      <pic:pic xmlns:pic="http://schemas.openxmlformats.org/drawingml/2006/picture">
                        <pic:nvPicPr>
                          <pic:cNvPr id="3095" name="图片_1_SpCnt_4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30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6" name="图片_1_SpCnt_474"/>
                  <wp:cNvGraphicFramePr/>
                  <a:graphic xmlns:a="http://schemas.openxmlformats.org/drawingml/2006/main">
                    <a:graphicData uri="http://schemas.openxmlformats.org/drawingml/2006/picture">
                      <pic:pic xmlns:pic="http://schemas.openxmlformats.org/drawingml/2006/picture">
                        <pic:nvPicPr>
                          <pic:cNvPr id="3096" name="图片_1_SpCnt_4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40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7" name="图片_1_SpCnt_475"/>
                  <wp:cNvGraphicFramePr/>
                  <a:graphic xmlns:a="http://schemas.openxmlformats.org/drawingml/2006/main">
                    <a:graphicData uri="http://schemas.openxmlformats.org/drawingml/2006/picture">
                      <pic:pic xmlns:pic="http://schemas.openxmlformats.org/drawingml/2006/picture">
                        <pic:nvPicPr>
                          <pic:cNvPr id="3097" name="图片_1_SpCnt_4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50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8" name="图片_1_SpCnt_476"/>
                  <wp:cNvGraphicFramePr/>
                  <a:graphic xmlns:a="http://schemas.openxmlformats.org/drawingml/2006/main">
                    <a:graphicData uri="http://schemas.openxmlformats.org/drawingml/2006/picture">
                      <pic:pic xmlns:pic="http://schemas.openxmlformats.org/drawingml/2006/picture">
                        <pic:nvPicPr>
                          <pic:cNvPr id="3098" name="图片_1_SpCnt_4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60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099" name="图片_1_SpCnt_477"/>
                  <wp:cNvGraphicFramePr/>
                  <a:graphic xmlns:a="http://schemas.openxmlformats.org/drawingml/2006/main">
                    <a:graphicData uri="http://schemas.openxmlformats.org/drawingml/2006/picture">
                      <pic:pic xmlns:pic="http://schemas.openxmlformats.org/drawingml/2006/picture">
                        <pic:nvPicPr>
                          <pic:cNvPr id="3099" name="图片_1_SpCnt_4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71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0" name="图片_1_SpCnt_478"/>
                  <wp:cNvGraphicFramePr/>
                  <a:graphic xmlns:a="http://schemas.openxmlformats.org/drawingml/2006/main">
                    <a:graphicData uri="http://schemas.openxmlformats.org/drawingml/2006/picture">
                      <pic:pic xmlns:pic="http://schemas.openxmlformats.org/drawingml/2006/picture">
                        <pic:nvPicPr>
                          <pic:cNvPr id="3100" name="图片_1_SpCnt_4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81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1" name="图片_1_SpCnt_479"/>
                  <wp:cNvGraphicFramePr/>
                  <a:graphic xmlns:a="http://schemas.openxmlformats.org/drawingml/2006/main">
                    <a:graphicData uri="http://schemas.openxmlformats.org/drawingml/2006/picture">
                      <pic:pic xmlns:pic="http://schemas.openxmlformats.org/drawingml/2006/picture">
                        <pic:nvPicPr>
                          <pic:cNvPr id="3101" name="图片_1_SpCnt_4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391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2" name="图片_1_SpCnt_480"/>
                  <wp:cNvGraphicFramePr/>
                  <a:graphic xmlns:a="http://schemas.openxmlformats.org/drawingml/2006/main">
                    <a:graphicData uri="http://schemas.openxmlformats.org/drawingml/2006/picture">
                      <pic:pic xmlns:pic="http://schemas.openxmlformats.org/drawingml/2006/picture">
                        <pic:nvPicPr>
                          <pic:cNvPr id="3102" name="图片_1_SpCnt_4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01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3" name="图片_1_SpCnt_481"/>
                  <wp:cNvGraphicFramePr/>
                  <a:graphic xmlns:a="http://schemas.openxmlformats.org/drawingml/2006/main">
                    <a:graphicData uri="http://schemas.openxmlformats.org/drawingml/2006/picture">
                      <pic:pic xmlns:pic="http://schemas.openxmlformats.org/drawingml/2006/picture">
                        <pic:nvPicPr>
                          <pic:cNvPr id="3103" name="图片_1_SpCnt_4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12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4" name="图片_1_SpCnt_482"/>
                  <wp:cNvGraphicFramePr/>
                  <a:graphic xmlns:a="http://schemas.openxmlformats.org/drawingml/2006/main">
                    <a:graphicData uri="http://schemas.openxmlformats.org/drawingml/2006/picture">
                      <pic:pic xmlns:pic="http://schemas.openxmlformats.org/drawingml/2006/picture">
                        <pic:nvPicPr>
                          <pic:cNvPr id="3104" name="图片_1_SpCnt_4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22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5" name="图片_1_SpCnt_483"/>
                  <wp:cNvGraphicFramePr/>
                  <a:graphic xmlns:a="http://schemas.openxmlformats.org/drawingml/2006/main">
                    <a:graphicData uri="http://schemas.openxmlformats.org/drawingml/2006/picture">
                      <pic:pic xmlns:pic="http://schemas.openxmlformats.org/drawingml/2006/picture">
                        <pic:nvPicPr>
                          <pic:cNvPr id="3105" name="图片_1_SpCnt_4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32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6" name="图片_1_SpCnt_484"/>
                  <wp:cNvGraphicFramePr/>
                  <a:graphic xmlns:a="http://schemas.openxmlformats.org/drawingml/2006/main">
                    <a:graphicData uri="http://schemas.openxmlformats.org/drawingml/2006/picture">
                      <pic:pic xmlns:pic="http://schemas.openxmlformats.org/drawingml/2006/picture">
                        <pic:nvPicPr>
                          <pic:cNvPr id="3106" name="图片_1_SpCnt_4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42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7" name="图片_1_SpCnt_485"/>
                  <wp:cNvGraphicFramePr/>
                  <a:graphic xmlns:a="http://schemas.openxmlformats.org/drawingml/2006/main">
                    <a:graphicData uri="http://schemas.openxmlformats.org/drawingml/2006/picture">
                      <pic:pic xmlns:pic="http://schemas.openxmlformats.org/drawingml/2006/picture">
                        <pic:nvPicPr>
                          <pic:cNvPr id="3107" name="图片_1_SpCnt_4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252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79" name="图片_1_SpCnt_486"/>
                  <wp:cNvGraphicFramePr/>
                  <a:graphic xmlns:a="http://schemas.openxmlformats.org/drawingml/2006/main">
                    <a:graphicData uri="http://schemas.openxmlformats.org/drawingml/2006/picture">
                      <pic:pic xmlns:pic="http://schemas.openxmlformats.org/drawingml/2006/picture">
                        <pic:nvPicPr>
                          <pic:cNvPr id="3479" name="图片_1_SpCnt_4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53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8" name="图片_1_SpCnt_487"/>
                  <wp:cNvGraphicFramePr/>
                  <a:graphic xmlns:a="http://schemas.openxmlformats.org/drawingml/2006/main">
                    <a:graphicData uri="http://schemas.openxmlformats.org/drawingml/2006/picture">
                      <pic:pic xmlns:pic="http://schemas.openxmlformats.org/drawingml/2006/picture">
                        <pic:nvPicPr>
                          <pic:cNvPr id="3108" name="图片_1_SpCnt_4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63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09" name="图片_1_SpCnt_488"/>
                  <wp:cNvGraphicFramePr/>
                  <a:graphic xmlns:a="http://schemas.openxmlformats.org/drawingml/2006/main">
                    <a:graphicData uri="http://schemas.openxmlformats.org/drawingml/2006/picture">
                      <pic:pic xmlns:pic="http://schemas.openxmlformats.org/drawingml/2006/picture">
                        <pic:nvPicPr>
                          <pic:cNvPr id="3109" name="图片_1_SpCnt_4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73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0" name="图片_1_SpCnt_489"/>
                  <wp:cNvGraphicFramePr/>
                  <a:graphic xmlns:a="http://schemas.openxmlformats.org/drawingml/2006/main">
                    <a:graphicData uri="http://schemas.openxmlformats.org/drawingml/2006/picture">
                      <pic:pic xmlns:pic="http://schemas.openxmlformats.org/drawingml/2006/picture">
                        <pic:nvPicPr>
                          <pic:cNvPr id="3110" name="图片_1_SpCnt_4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83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1" name="图片_1_SpCnt_490"/>
                  <wp:cNvGraphicFramePr/>
                  <a:graphic xmlns:a="http://schemas.openxmlformats.org/drawingml/2006/main">
                    <a:graphicData uri="http://schemas.openxmlformats.org/drawingml/2006/picture">
                      <pic:pic xmlns:pic="http://schemas.openxmlformats.org/drawingml/2006/picture">
                        <pic:nvPicPr>
                          <pic:cNvPr id="3111" name="图片_1_SpCnt_4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494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2" name="图片_1_SpCnt_491"/>
                  <wp:cNvGraphicFramePr/>
                  <a:graphic xmlns:a="http://schemas.openxmlformats.org/drawingml/2006/main">
                    <a:graphicData uri="http://schemas.openxmlformats.org/drawingml/2006/picture">
                      <pic:pic xmlns:pic="http://schemas.openxmlformats.org/drawingml/2006/picture">
                        <pic:nvPicPr>
                          <pic:cNvPr id="3112" name="图片_1_SpCnt_4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04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3" name="图片_1_SpCnt_492"/>
                  <wp:cNvGraphicFramePr/>
                  <a:graphic xmlns:a="http://schemas.openxmlformats.org/drawingml/2006/main">
                    <a:graphicData uri="http://schemas.openxmlformats.org/drawingml/2006/picture">
                      <pic:pic xmlns:pic="http://schemas.openxmlformats.org/drawingml/2006/picture">
                        <pic:nvPicPr>
                          <pic:cNvPr id="3113" name="图片_1_SpCnt_4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14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4" name="图片_1_SpCnt_493"/>
                  <wp:cNvGraphicFramePr/>
                  <a:graphic xmlns:a="http://schemas.openxmlformats.org/drawingml/2006/main">
                    <a:graphicData uri="http://schemas.openxmlformats.org/drawingml/2006/picture">
                      <pic:pic xmlns:pic="http://schemas.openxmlformats.org/drawingml/2006/picture">
                        <pic:nvPicPr>
                          <pic:cNvPr id="3114" name="图片_1_SpCnt_4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24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5" name="图片_1_SpCnt_494"/>
                  <wp:cNvGraphicFramePr/>
                  <a:graphic xmlns:a="http://schemas.openxmlformats.org/drawingml/2006/main">
                    <a:graphicData uri="http://schemas.openxmlformats.org/drawingml/2006/picture">
                      <pic:pic xmlns:pic="http://schemas.openxmlformats.org/drawingml/2006/picture">
                        <pic:nvPicPr>
                          <pic:cNvPr id="3115" name="图片_1_SpCnt_4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35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6" name="图片_1_SpCnt_495"/>
                  <wp:cNvGraphicFramePr/>
                  <a:graphic xmlns:a="http://schemas.openxmlformats.org/drawingml/2006/main">
                    <a:graphicData uri="http://schemas.openxmlformats.org/drawingml/2006/picture">
                      <pic:pic xmlns:pic="http://schemas.openxmlformats.org/drawingml/2006/picture">
                        <pic:nvPicPr>
                          <pic:cNvPr id="3116" name="图片_1_SpCnt_4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45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7" name="图片_1_SpCnt_496"/>
                  <wp:cNvGraphicFramePr/>
                  <a:graphic xmlns:a="http://schemas.openxmlformats.org/drawingml/2006/main">
                    <a:graphicData uri="http://schemas.openxmlformats.org/drawingml/2006/picture">
                      <pic:pic xmlns:pic="http://schemas.openxmlformats.org/drawingml/2006/picture">
                        <pic:nvPicPr>
                          <pic:cNvPr id="3117" name="图片_1_SpCnt_4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55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8" name="图片_1_SpCnt_497"/>
                  <wp:cNvGraphicFramePr/>
                  <a:graphic xmlns:a="http://schemas.openxmlformats.org/drawingml/2006/main">
                    <a:graphicData uri="http://schemas.openxmlformats.org/drawingml/2006/picture">
                      <pic:pic xmlns:pic="http://schemas.openxmlformats.org/drawingml/2006/picture">
                        <pic:nvPicPr>
                          <pic:cNvPr id="3118" name="图片_1_SpCnt_4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65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19" name="图片_1_SpCnt_498"/>
                  <wp:cNvGraphicFramePr/>
                  <a:graphic xmlns:a="http://schemas.openxmlformats.org/drawingml/2006/main">
                    <a:graphicData uri="http://schemas.openxmlformats.org/drawingml/2006/picture">
                      <pic:pic xmlns:pic="http://schemas.openxmlformats.org/drawingml/2006/picture">
                        <pic:nvPicPr>
                          <pic:cNvPr id="3119" name="图片_1_SpCnt_4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76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0" name="图片_1_SpCnt_499"/>
                  <wp:cNvGraphicFramePr/>
                  <a:graphic xmlns:a="http://schemas.openxmlformats.org/drawingml/2006/main">
                    <a:graphicData uri="http://schemas.openxmlformats.org/drawingml/2006/picture">
                      <pic:pic xmlns:pic="http://schemas.openxmlformats.org/drawingml/2006/picture">
                        <pic:nvPicPr>
                          <pic:cNvPr id="3120" name="图片_1_SpCnt_4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8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1" name="图片_1_SpCnt_500"/>
                  <wp:cNvGraphicFramePr/>
                  <a:graphic xmlns:a="http://schemas.openxmlformats.org/drawingml/2006/main">
                    <a:graphicData uri="http://schemas.openxmlformats.org/drawingml/2006/picture">
                      <pic:pic xmlns:pic="http://schemas.openxmlformats.org/drawingml/2006/picture">
                        <pic:nvPicPr>
                          <pic:cNvPr id="3121" name="图片_1_SpCnt_5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596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2" name="图片_1_SpCnt_501"/>
                  <wp:cNvGraphicFramePr/>
                  <a:graphic xmlns:a="http://schemas.openxmlformats.org/drawingml/2006/main">
                    <a:graphicData uri="http://schemas.openxmlformats.org/drawingml/2006/picture">
                      <pic:pic xmlns:pic="http://schemas.openxmlformats.org/drawingml/2006/picture">
                        <pic:nvPicPr>
                          <pic:cNvPr id="3122" name="图片_1_SpCnt_5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06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3" name="图片_1_SpCnt_502"/>
                  <wp:cNvGraphicFramePr/>
                  <a:graphic xmlns:a="http://schemas.openxmlformats.org/drawingml/2006/main">
                    <a:graphicData uri="http://schemas.openxmlformats.org/drawingml/2006/picture">
                      <pic:pic xmlns:pic="http://schemas.openxmlformats.org/drawingml/2006/picture">
                        <pic:nvPicPr>
                          <pic:cNvPr id="3123" name="图片_1_SpCnt_5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16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4" name="图片_1_SpCnt_503"/>
                  <wp:cNvGraphicFramePr/>
                  <a:graphic xmlns:a="http://schemas.openxmlformats.org/drawingml/2006/main">
                    <a:graphicData uri="http://schemas.openxmlformats.org/drawingml/2006/picture">
                      <pic:pic xmlns:pic="http://schemas.openxmlformats.org/drawingml/2006/picture">
                        <pic:nvPicPr>
                          <pic:cNvPr id="3124" name="图片_1_SpCnt_5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27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5" name="图片_1_SpCnt_504"/>
                  <wp:cNvGraphicFramePr/>
                  <a:graphic xmlns:a="http://schemas.openxmlformats.org/drawingml/2006/main">
                    <a:graphicData uri="http://schemas.openxmlformats.org/drawingml/2006/picture">
                      <pic:pic xmlns:pic="http://schemas.openxmlformats.org/drawingml/2006/picture">
                        <pic:nvPicPr>
                          <pic:cNvPr id="3125" name="图片_1_SpCnt_5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37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6" name="图片_1_SpCnt_505"/>
                  <wp:cNvGraphicFramePr/>
                  <a:graphic xmlns:a="http://schemas.openxmlformats.org/drawingml/2006/main">
                    <a:graphicData uri="http://schemas.openxmlformats.org/drawingml/2006/picture">
                      <pic:pic xmlns:pic="http://schemas.openxmlformats.org/drawingml/2006/picture">
                        <pic:nvPicPr>
                          <pic:cNvPr id="3126" name="图片_1_SpCnt_5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47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7" name="图片_1_SpCnt_506"/>
                  <wp:cNvGraphicFramePr/>
                  <a:graphic xmlns:a="http://schemas.openxmlformats.org/drawingml/2006/main">
                    <a:graphicData uri="http://schemas.openxmlformats.org/drawingml/2006/picture">
                      <pic:pic xmlns:pic="http://schemas.openxmlformats.org/drawingml/2006/picture">
                        <pic:nvPicPr>
                          <pic:cNvPr id="3127" name="图片_1_SpCnt_5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57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8" name="图片_1_SpCnt_507"/>
                  <wp:cNvGraphicFramePr/>
                  <a:graphic xmlns:a="http://schemas.openxmlformats.org/drawingml/2006/main">
                    <a:graphicData uri="http://schemas.openxmlformats.org/drawingml/2006/picture">
                      <pic:pic xmlns:pic="http://schemas.openxmlformats.org/drawingml/2006/picture">
                        <pic:nvPicPr>
                          <pic:cNvPr id="3128" name="图片_1_SpCnt_5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68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29" name="图片_1_SpCnt_508"/>
                  <wp:cNvGraphicFramePr/>
                  <a:graphic xmlns:a="http://schemas.openxmlformats.org/drawingml/2006/main">
                    <a:graphicData uri="http://schemas.openxmlformats.org/drawingml/2006/picture">
                      <pic:pic xmlns:pic="http://schemas.openxmlformats.org/drawingml/2006/picture">
                        <pic:nvPicPr>
                          <pic:cNvPr id="3129" name="图片_1_SpCnt_5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78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0" name="图片_1_SpCnt_509"/>
                  <wp:cNvGraphicFramePr/>
                  <a:graphic xmlns:a="http://schemas.openxmlformats.org/drawingml/2006/main">
                    <a:graphicData uri="http://schemas.openxmlformats.org/drawingml/2006/picture">
                      <pic:pic xmlns:pic="http://schemas.openxmlformats.org/drawingml/2006/picture">
                        <pic:nvPicPr>
                          <pic:cNvPr id="3130" name="图片_1_SpCnt_5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8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1" name="图片_1_SpCnt_510"/>
                  <wp:cNvGraphicFramePr/>
                  <a:graphic xmlns:a="http://schemas.openxmlformats.org/drawingml/2006/main">
                    <a:graphicData uri="http://schemas.openxmlformats.org/drawingml/2006/picture">
                      <pic:pic xmlns:pic="http://schemas.openxmlformats.org/drawingml/2006/picture">
                        <pic:nvPicPr>
                          <pic:cNvPr id="3131" name="图片_1_SpCnt_5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69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2" name="图片_1_SpCnt_511"/>
                  <wp:cNvGraphicFramePr/>
                  <a:graphic xmlns:a="http://schemas.openxmlformats.org/drawingml/2006/main">
                    <a:graphicData uri="http://schemas.openxmlformats.org/drawingml/2006/picture">
                      <pic:pic xmlns:pic="http://schemas.openxmlformats.org/drawingml/2006/picture">
                        <pic:nvPicPr>
                          <pic:cNvPr id="3132" name="图片_1_SpCnt_5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09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3" name="图片_1_SpCnt_512"/>
                  <wp:cNvGraphicFramePr/>
                  <a:graphic xmlns:a="http://schemas.openxmlformats.org/drawingml/2006/main">
                    <a:graphicData uri="http://schemas.openxmlformats.org/drawingml/2006/picture">
                      <pic:pic xmlns:pic="http://schemas.openxmlformats.org/drawingml/2006/picture">
                        <pic:nvPicPr>
                          <pic:cNvPr id="3133" name="图片_1_SpCnt_5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19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4" name="图片_1_SpCnt_513"/>
                  <wp:cNvGraphicFramePr/>
                  <a:graphic xmlns:a="http://schemas.openxmlformats.org/drawingml/2006/main">
                    <a:graphicData uri="http://schemas.openxmlformats.org/drawingml/2006/picture">
                      <pic:pic xmlns:pic="http://schemas.openxmlformats.org/drawingml/2006/picture">
                        <pic:nvPicPr>
                          <pic:cNvPr id="3134" name="图片_1_SpCnt_5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2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5" name="图片_1_SpCnt_514"/>
                  <wp:cNvGraphicFramePr/>
                  <a:graphic xmlns:a="http://schemas.openxmlformats.org/drawingml/2006/main">
                    <a:graphicData uri="http://schemas.openxmlformats.org/drawingml/2006/picture">
                      <pic:pic xmlns:pic="http://schemas.openxmlformats.org/drawingml/2006/picture">
                        <pic:nvPicPr>
                          <pic:cNvPr id="3135" name="图片_1_SpCnt_5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39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6" name="图片_1_SpCnt_515"/>
                  <wp:cNvGraphicFramePr/>
                  <a:graphic xmlns:a="http://schemas.openxmlformats.org/drawingml/2006/main">
                    <a:graphicData uri="http://schemas.openxmlformats.org/drawingml/2006/picture">
                      <pic:pic xmlns:pic="http://schemas.openxmlformats.org/drawingml/2006/picture">
                        <pic:nvPicPr>
                          <pic:cNvPr id="3136" name="图片_1_SpCnt_5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5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7" name="图片_1_SpCnt_516"/>
                  <wp:cNvGraphicFramePr/>
                  <a:graphic xmlns:a="http://schemas.openxmlformats.org/drawingml/2006/main">
                    <a:graphicData uri="http://schemas.openxmlformats.org/drawingml/2006/picture">
                      <pic:pic xmlns:pic="http://schemas.openxmlformats.org/drawingml/2006/picture">
                        <pic:nvPicPr>
                          <pic:cNvPr id="3137" name="图片_1_SpCnt_5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6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8" name="图片_1_SpCnt_517"/>
                  <wp:cNvGraphicFramePr/>
                  <a:graphic xmlns:a="http://schemas.openxmlformats.org/drawingml/2006/main">
                    <a:graphicData uri="http://schemas.openxmlformats.org/drawingml/2006/picture">
                      <pic:pic xmlns:pic="http://schemas.openxmlformats.org/drawingml/2006/picture">
                        <pic:nvPicPr>
                          <pic:cNvPr id="3138" name="图片_1_SpCnt_5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70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39" name="图片_1_SpCnt_518"/>
                  <wp:cNvGraphicFramePr/>
                  <a:graphic xmlns:a="http://schemas.openxmlformats.org/drawingml/2006/main">
                    <a:graphicData uri="http://schemas.openxmlformats.org/drawingml/2006/picture">
                      <pic:pic xmlns:pic="http://schemas.openxmlformats.org/drawingml/2006/picture">
                        <pic:nvPicPr>
                          <pic:cNvPr id="3139" name="图片_1_SpCnt_5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80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0" name="图片_1_SpCnt_519"/>
                  <wp:cNvGraphicFramePr/>
                  <a:graphic xmlns:a="http://schemas.openxmlformats.org/drawingml/2006/main">
                    <a:graphicData uri="http://schemas.openxmlformats.org/drawingml/2006/picture">
                      <pic:pic xmlns:pic="http://schemas.openxmlformats.org/drawingml/2006/picture">
                        <pic:nvPicPr>
                          <pic:cNvPr id="3140" name="图片_1_SpCnt_5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79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1" name="图片_1_SpCnt_520"/>
                  <wp:cNvGraphicFramePr/>
                  <a:graphic xmlns:a="http://schemas.openxmlformats.org/drawingml/2006/main">
                    <a:graphicData uri="http://schemas.openxmlformats.org/drawingml/2006/picture">
                      <pic:pic xmlns:pic="http://schemas.openxmlformats.org/drawingml/2006/picture">
                        <pic:nvPicPr>
                          <pic:cNvPr id="3141" name="图片_1_SpCnt_5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0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2" name="图片_1_SpCnt_521"/>
                  <wp:cNvGraphicFramePr/>
                  <a:graphic xmlns:a="http://schemas.openxmlformats.org/drawingml/2006/main">
                    <a:graphicData uri="http://schemas.openxmlformats.org/drawingml/2006/picture">
                      <pic:pic xmlns:pic="http://schemas.openxmlformats.org/drawingml/2006/picture">
                        <pic:nvPicPr>
                          <pic:cNvPr id="3142" name="图片_1_SpCnt_5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11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3" name="图片_1_SpCnt_522"/>
                  <wp:cNvGraphicFramePr/>
                  <a:graphic xmlns:a="http://schemas.openxmlformats.org/drawingml/2006/main">
                    <a:graphicData uri="http://schemas.openxmlformats.org/drawingml/2006/picture">
                      <pic:pic xmlns:pic="http://schemas.openxmlformats.org/drawingml/2006/picture">
                        <pic:nvPicPr>
                          <pic:cNvPr id="3143" name="图片_1_SpCnt_5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21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4" name="图片_1_SpCnt_523"/>
                  <wp:cNvGraphicFramePr/>
                  <a:graphic xmlns:a="http://schemas.openxmlformats.org/drawingml/2006/main">
                    <a:graphicData uri="http://schemas.openxmlformats.org/drawingml/2006/picture">
                      <pic:pic xmlns:pic="http://schemas.openxmlformats.org/drawingml/2006/picture">
                        <pic:nvPicPr>
                          <pic:cNvPr id="3144" name="图片_1_SpCnt_5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32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5" name="图片_1_SpCnt_524"/>
                  <wp:cNvGraphicFramePr/>
                  <a:graphic xmlns:a="http://schemas.openxmlformats.org/drawingml/2006/main">
                    <a:graphicData uri="http://schemas.openxmlformats.org/drawingml/2006/picture">
                      <pic:pic xmlns:pic="http://schemas.openxmlformats.org/drawingml/2006/picture">
                        <pic:nvPicPr>
                          <pic:cNvPr id="3145" name="图片_1_SpCnt_5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42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6" name="图片_1_SpCnt_525"/>
                  <wp:cNvGraphicFramePr/>
                  <a:graphic xmlns:a="http://schemas.openxmlformats.org/drawingml/2006/main">
                    <a:graphicData uri="http://schemas.openxmlformats.org/drawingml/2006/picture">
                      <pic:pic xmlns:pic="http://schemas.openxmlformats.org/drawingml/2006/picture">
                        <pic:nvPicPr>
                          <pic:cNvPr id="3146" name="图片_1_SpCnt_5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5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7" name="图片_1_SpCnt_526"/>
                  <wp:cNvGraphicFramePr/>
                  <a:graphic xmlns:a="http://schemas.openxmlformats.org/drawingml/2006/main">
                    <a:graphicData uri="http://schemas.openxmlformats.org/drawingml/2006/picture">
                      <pic:pic xmlns:pic="http://schemas.openxmlformats.org/drawingml/2006/picture">
                        <pic:nvPicPr>
                          <pic:cNvPr id="3147" name="图片_1_SpCnt_5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62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8" name="图片_1_SpCnt_527"/>
                  <wp:cNvGraphicFramePr/>
                  <a:graphic xmlns:a="http://schemas.openxmlformats.org/drawingml/2006/main">
                    <a:graphicData uri="http://schemas.openxmlformats.org/drawingml/2006/picture">
                      <pic:pic xmlns:pic="http://schemas.openxmlformats.org/drawingml/2006/picture">
                        <pic:nvPicPr>
                          <pic:cNvPr id="3148" name="图片_1_SpCnt_5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72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49" name="图片_1_SpCnt_528"/>
                  <wp:cNvGraphicFramePr/>
                  <a:graphic xmlns:a="http://schemas.openxmlformats.org/drawingml/2006/main">
                    <a:graphicData uri="http://schemas.openxmlformats.org/drawingml/2006/picture">
                      <pic:pic xmlns:pic="http://schemas.openxmlformats.org/drawingml/2006/picture">
                        <pic:nvPicPr>
                          <pic:cNvPr id="3149" name="图片_1_SpCnt_5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8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0" name="图片_1_SpCnt_529"/>
                  <wp:cNvGraphicFramePr/>
                  <a:graphic xmlns:a="http://schemas.openxmlformats.org/drawingml/2006/main">
                    <a:graphicData uri="http://schemas.openxmlformats.org/drawingml/2006/picture">
                      <pic:pic xmlns:pic="http://schemas.openxmlformats.org/drawingml/2006/picture">
                        <pic:nvPicPr>
                          <pic:cNvPr id="3150" name="图片_1_SpCnt_5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893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1" name="图片_1_SpCnt_530"/>
                  <wp:cNvGraphicFramePr/>
                  <a:graphic xmlns:a="http://schemas.openxmlformats.org/drawingml/2006/main">
                    <a:graphicData uri="http://schemas.openxmlformats.org/drawingml/2006/picture">
                      <pic:pic xmlns:pic="http://schemas.openxmlformats.org/drawingml/2006/picture">
                        <pic:nvPicPr>
                          <pic:cNvPr id="3151" name="图片_1_SpCnt_5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03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2" name="图片_1_SpCnt_531"/>
                  <wp:cNvGraphicFramePr/>
                  <a:graphic xmlns:a="http://schemas.openxmlformats.org/drawingml/2006/main">
                    <a:graphicData uri="http://schemas.openxmlformats.org/drawingml/2006/picture">
                      <pic:pic xmlns:pic="http://schemas.openxmlformats.org/drawingml/2006/picture">
                        <pic:nvPicPr>
                          <pic:cNvPr id="3152" name="图片_1_SpCnt_5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1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3" name="图片_1_SpCnt_532"/>
                  <wp:cNvGraphicFramePr/>
                  <a:graphic xmlns:a="http://schemas.openxmlformats.org/drawingml/2006/main">
                    <a:graphicData uri="http://schemas.openxmlformats.org/drawingml/2006/picture">
                      <pic:pic xmlns:pic="http://schemas.openxmlformats.org/drawingml/2006/picture">
                        <pic:nvPicPr>
                          <pic:cNvPr id="3153" name="图片_1_SpCnt_5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2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4" name="图片_1_SpCnt_533"/>
                  <wp:cNvGraphicFramePr/>
                  <a:graphic xmlns:a="http://schemas.openxmlformats.org/drawingml/2006/main">
                    <a:graphicData uri="http://schemas.openxmlformats.org/drawingml/2006/picture">
                      <pic:pic xmlns:pic="http://schemas.openxmlformats.org/drawingml/2006/picture">
                        <pic:nvPicPr>
                          <pic:cNvPr id="3154" name="图片_1_SpCnt_5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34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5" name="图片_1_SpCnt_534"/>
                  <wp:cNvGraphicFramePr/>
                  <a:graphic xmlns:a="http://schemas.openxmlformats.org/drawingml/2006/main">
                    <a:graphicData uri="http://schemas.openxmlformats.org/drawingml/2006/picture">
                      <pic:pic xmlns:pic="http://schemas.openxmlformats.org/drawingml/2006/picture">
                        <pic:nvPicPr>
                          <pic:cNvPr id="3155" name="图片_1_SpCnt_5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262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0" name="图片_1_SpCnt_535"/>
                  <wp:cNvGraphicFramePr/>
                  <a:graphic xmlns:a="http://schemas.openxmlformats.org/drawingml/2006/main">
                    <a:graphicData uri="http://schemas.openxmlformats.org/drawingml/2006/picture">
                      <pic:pic xmlns:pic="http://schemas.openxmlformats.org/drawingml/2006/picture">
                        <pic:nvPicPr>
                          <pic:cNvPr id="3480" name="图片_1_SpCnt_5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44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6" name="图片_1_SpCnt_536"/>
                  <wp:cNvGraphicFramePr/>
                  <a:graphic xmlns:a="http://schemas.openxmlformats.org/drawingml/2006/main">
                    <a:graphicData uri="http://schemas.openxmlformats.org/drawingml/2006/picture">
                      <pic:pic xmlns:pic="http://schemas.openxmlformats.org/drawingml/2006/picture">
                        <pic:nvPicPr>
                          <pic:cNvPr id="3156" name="图片_1_SpCnt_5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5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7" name="图片_1_SpCnt_537"/>
                  <wp:cNvGraphicFramePr/>
                  <a:graphic xmlns:a="http://schemas.openxmlformats.org/drawingml/2006/main">
                    <a:graphicData uri="http://schemas.openxmlformats.org/drawingml/2006/picture">
                      <pic:pic xmlns:pic="http://schemas.openxmlformats.org/drawingml/2006/picture">
                        <pic:nvPicPr>
                          <pic:cNvPr id="3157" name="图片_1_SpCnt_5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65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8" name="图片_1_SpCnt_538"/>
                  <wp:cNvGraphicFramePr/>
                  <a:graphic xmlns:a="http://schemas.openxmlformats.org/drawingml/2006/main">
                    <a:graphicData uri="http://schemas.openxmlformats.org/drawingml/2006/picture">
                      <pic:pic xmlns:pic="http://schemas.openxmlformats.org/drawingml/2006/picture">
                        <pic:nvPicPr>
                          <pic:cNvPr id="3158" name="图片_1_SpCnt_5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75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59" name="图片_1_SpCnt_539"/>
                  <wp:cNvGraphicFramePr/>
                  <a:graphic xmlns:a="http://schemas.openxmlformats.org/drawingml/2006/main">
                    <a:graphicData uri="http://schemas.openxmlformats.org/drawingml/2006/picture">
                      <pic:pic xmlns:pic="http://schemas.openxmlformats.org/drawingml/2006/picture">
                        <pic:nvPicPr>
                          <pic:cNvPr id="3159" name="图片_1_SpCnt_5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8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0" name="图片_1_SpCnt_540"/>
                  <wp:cNvGraphicFramePr/>
                  <a:graphic xmlns:a="http://schemas.openxmlformats.org/drawingml/2006/main">
                    <a:graphicData uri="http://schemas.openxmlformats.org/drawingml/2006/picture">
                      <pic:pic xmlns:pic="http://schemas.openxmlformats.org/drawingml/2006/picture">
                        <pic:nvPicPr>
                          <pic:cNvPr id="3160" name="图片_1_SpCnt_5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099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1" name="图片_1_SpCnt_541"/>
                  <wp:cNvGraphicFramePr/>
                  <a:graphic xmlns:a="http://schemas.openxmlformats.org/drawingml/2006/main">
                    <a:graphicData uri="http://schemas.openxmlformats.org/drawingml/2006/picture">
                      <pic:pic xmlns:pic="http://schemas.openxmlformats.org/drawingml/2006/picture">
                        <pic:nvPicPr>
                          <pic:cNvPr id="3161" name="图片_1_SpCnt_5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0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2" name="图片_1_SpCnt_542"/>
                  <wp:cNvGraphicFramePr/>
                  <a:graphic xmlns:a="http://schemas.openxmlformats.org/drawingml/2006/main">
                    <a:graphicData uri="http://schemas.openxmlformats.org/drawingml/2006/picture">
                      <pic:pic xmlns:pic="http://schemas.openxmlformats.org/drawingml/2006/picture">
                        <pic:nvPicPr>
                          <pic:cNvPr id="3162" name="图片_1_SpCnt_5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16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3" name="图片_1_SpCnt_543"/>
                  <wp:cNvGraphicFramePr/>
                  <a:graphic xmlns:a="http://schemas.openxmlformats.org/drawingml/2006/main">
                    <a:graphicData uri="http://schemas.openxmlformats.org/drawingml/2006/picture">
                      <pic:pic xmlns:pic="http://schemas.openxmlformats.org/drawingml/2006/picture">
                        <pic:nvPicPr>
                          <pic:cNvPr id="3163" name="图片_1_SpCnt_5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2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4" name="图片_1_SpCnt_544"/>
                  <wp:cNvGraphicFramePr/>
                  <a:graphic xmlns:a="http://schemas.openxmlformats.org/drawingml/2006/main">
                    <a:graphicData uri="http://schemas.openxmlformats.org/drawingml/2006/picture">
                      <pic:pic xmlns:pic="http://schemas.openxmlformats.org/drawingml/2006/picture">
                        <pic:nvPicPr>
                          <pic:cNvPr id="3164" name="图片_1_SpCnt_5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36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5" name="图片_1_SpCnt_545"/>
                  <wp:cNvGraphicFramePr/>
                  <a:graphic xmlns:a="http://schemas.openxmlformats.org/drawingml/2006/main">
                    <a:graphicData uri="http://schemas.openxmlformats.org/drawingml/2006/picture">
                      <pic:pic xmlns:pic="http://schemas.openxmlformats.org/drawingml/2006/picture">
                        <pic:nvPicPr>
                          <pic:cNvPr id="3165" name="图片_1_SpCnt_5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47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6" name="图片_1_SpCnt_546"/>
                  <wp:cNvGraphicFramePr/>
                  <a:graphic xmlns:a="http://schemas.openxmlformats.org/drawingml/2006/main">
                    <a:graphicData uri="http://schemas.openxmlformats.org/drawingml/2006/picture">
                      <pic:pic xmlns:pic="http://schemas.openxmlformats.org/drawingml/2006/picture">
                        <pic:nvPicPr>
                          <pic:cNvPr id="3166" name="图片_1_SpCnt_5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57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7" name="图片_1_SpCnt_547"/>
                  <wp:cNvGraphicFramePr/>
                  <a:graphic xmlns:a="http://schemas.openxmlformats.org/drawingml/2006/main">
                    <a:graphicData uri="http://schemas.openxmlformats.org/drawingml/2006/picture">
                      <pic:pic xmlns:pic="http://schemas.openxmlformats.org/drawingml/2006/picture">
                        <pic:nvPicPr>
                          <pic:cNvPr id="3167" name="图片_1_SpCnt_5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67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8" name="图片_1_SpCnt_548"/>
                  <wp:cNvGraphicFramePr/>
                  <a:graphic xmlns:a="http://schemas.openxmlformats.org/drawingml/2006/main">
                    <a:graphicData uri="http://schemas.openxmlformats.org/drawingml/2006/picture">
                      <pic:pic xmlns:pic="http://schemas.openxmlformats.org/drawingml/2006/picture">
                        <pic:nvPicPr>
                          <pic:cNvPr id="3168" name="图片_1_SpCnt_5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77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69" name="图片_1_SpCnt_549"/>
                  <wp:cNvGraphicFramePr/>
                  <a:graphic xmlns:a="http://schemas.openxmlformats.org/drawingml/2006/main">
                    <a:graphicData uri="http://schemas.openxmlformats.org/drawingml/2006/picture">
                      <pic:pic xmlns:pic="http://schemas.openxmlformats.org/drawingml/2006/picture">
                        <pic:nvPicPr>
                          <pic:cNvPr id="3169" name="图片_1_SpCnt_5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88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0" name="图片_1_SpCnt_550"/>
                  <wp:cNvGraphicFramePr/>
                  <a:graphic xmlns:a="http://schemas.openxmlformats.org/drawingml/2006/main">
                    <a:graphicData uri="http://schemas.openxmlformats.org/drawingml/2006/picture">
                      <pic:pic xmlns:pic="http://schemas.openxmlformats.org/drawingml/2006/picture">
                        <pic:nvPicPr>
                          <pic:cNvPr id="3170" name="图片_1_SpCnt_5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09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1" name="图片_1_SpCnt_551"/>
                  <wp:cNvGraphicFramePr/>
                  <a:graphic xmlns:a="http://schemas.openxmlformats.org/drawingml/2006/main">
                    <a:graphicData uri="http://schemas.openxmlformats.org/drawingml/2006/picture">
                      <pic:pic xmlns:pic="http://schemas.openxmlformats.org/drawingml/2006/picture">
                        <pic:nvPicPr>
                          <pic:cNvPr id="3171" name="图片_1_SpCnt_5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0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2" name="图片_1_SpCnt_552"/>
                  <wp:cNvGraphicFramePr/>
                  <a:graphic xmlns:a="http://schemas.openxmlformats.org/drawingml/2006/main">
                    <a:graphicData uri="http://schemas.openxmlformats.org/drawingml/2006/picture">
                      <pic:pic xmlns:pic="http://schemas.openxmlformats.org/drawingml/2006/picture">
                        <pic:nvPicPr>
                          <pic:cNvPr id="3172" name="图片_1_SpCnt_5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1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3" name="图片_1_SpCnt_553"/>
                  <wp:cNvGraphicFramePr/>
                  <a:graphic xmlns:a="http://schemas.openxmlformats.org/drawingml/2006/main">
                    <a:graphicData uri="http://schemas.openxmlformats.org/drawingml/2006/picture">
                      <pic:pic xmlns:pic="http://schemas.openxmlformats.org/drawingml/2006/picture">
                        <pic:nvPicPr>
                          <pic:cNvPr id="3173" name="图片_1_SpCnt_5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2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4" name="图片_1_SpCnt_554"/>
                  <wp:cNvGraphicFramePr/>
                  <a:graphic xmlns:a="http://schemas.openxmlformats.org/drawingml/2006/main">
                    <a:graphicData uri="http://schemas.openxmlformats.org/drawingml/2006/picture">
                      <pic:pic xmlns:pic="http://schemas.openxmlformats.org/drawingml/2006/picture">
                        <pic:nvPicPr>
                          <pic:cNvPr id="3174" name="图片_1_SpCnt_5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3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5" name="图片_1_SpCnt_555"/>
                  <wp:cNvGraphicFramePr/>
                  <a:graphic xmlns:a="http://schemas.openxmlformats.org/drawingml/2006/main">
                    <a:graphicData uri="http://schemas.openxmlformats.org/drawingml/2006/picture">
                      <pic:pic xmlns:pic="http://schemas.openxmlformats.org/drawingml/2006/picture">
                        <pic:nvPicPr>
                          <pic:cNvPr id="3175" name="图片_1_SpCnt_5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4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6" name="图片_1_SpCnt_556"/>
                  <wp:cNvGraphicFramePr/>
                  <a:graphic xmlns:a="http://schemas.openxmlformats.org/drawingml/2006/main">
                    <a:graphicData uri="http://schemas.openxmlformats.org/drawingml/2006/picture">
                      <pic:pic xmlns:pic="http://schemas.openxmlformats.org/drawingml/2006/picture">
                        <pic:nvPicPr>
                          <pic:cNvPr id="3176" name="图片_1_SpCnt_5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59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7" name="图片_1_SpCnt_557"/>
                  <wp:cNvGraphicFramePr/>
                  <a:graphic xmlns:a="http://schemas.openxmlformats.org/drawingml/2006/main">
                    <a:graphicData uri="http://schemas.openxmlformats.org/drawingml/2006/picture">
                      <pic:pic xmlns:pic="http://schemas.openxmlformats.org/drawingml/2006/picture">
                        <pic:nvPicPr>
                          <pic:cNvPr id="3177" name="图片_1_SpCnt_5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6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8" name="图片_1_SpCnt_558"/>
                  <wp:cNvGraphicFramePr/>
                  <a:graphic xmlns:a="http://schemas.openxmlformats.org/drawingml/2006/main">
                    <a:graphicData uri="http://schemas.openxmlformats.org/drawingml/2006/picture">
                      <pic:pic xmlns:pic="http://schemas.openxmlformats.org/drawingml/2006/picture">
                        <pic:nvPicPr>
                          <pic:cNvPr id="3178" name="图片_1_SpCnt_5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8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79" name="图片_1_SpCnt_559"/>
                  <wp:cNvGraphicFramePr/>
                  <a:graphic xmlns:a="http://schemas.openxmlformats.org/drawingml/2006/main">
                    <a:graphicData uri="http://schemas.openxmlformats.org/drawingml/2006/picture">
                      <pic:pic xmlns:pic="http://schemas.openxmlformats.org/drawingml/2006/picture">
                        <pic:nvPicPr>
                          <pic:cNvPr id="3179" name="图片_1_SpCnt_5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19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0" name="图片_1_SpCnt_560"/>
                  <wp:cNvGraphicFramePr/>
                  <a:graphic xmlns:a="http://schemas.openxmlformats.org/drawingml/2006/main">
                    <a:graphicData uri="http://schemas.openxmlformats.org/drawingml/2006/picture">
                      <pic:pic xmlns:pic="http://schemas.openxmlformats.org/drawingml/2006/picture">
                        <pic:nvPicPr>
                          <pic:cNvPr id="3180" name="图片_1_SpCnt_5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00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1" name="图片_1_SpCnt_561"/>
                  <wp:cNvGraphicFramePr/>
                  <a:graphic xmlns:a="http://schemas.openxmlformats.org/drawingml/2006/main">
                    <a:graphicData uri="http://schemas.openxmlformats.org/drawingml/2006/picture">
                      <pic:pic xmlns:pic="http://schemas.openxmlformats.org/drawingml/2006/picture">
                        <pic:nvPicPr>
                          <pic:cNvPr id="3181" name="图片_1_SpCnt_5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10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2" name="图片_1_SpCnt_562"/>
                  <wp:cNvGraphicFramePr/>
                  <a:graphic xmlns:a="http://schemas.openxmlformats.org/drawingml/2006/main">
                    <a:graphicData uri="http://schemas.openxmlformats.org/drawingml/2006/picture">
                      <pic:pic xmlns:pic="http://schemas.openxmlformats.org/drawingml/2006/picture">
                        <pic:nvPicPr>
                          <pic:cNvPr id="3182" name="图片_1_SpCnt_5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2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3" name="图片_1_SpCnt_563"/>
                  <wp:cNvGraphicFramePr/>
                  <a:graphic xmlns:a="http://schemas.openxmlformats.org/drawingml/2006/main">
                    <a:graphicData uri="http://schemas.openxmlformats.org/drawingml/2006/picture">
                      <pic:pic xmlns:pic="http://schemas.openxmlformats.org/drawingml/2006/picture">
                        <pic:nvPicPr>
                          <pic:cNvPr id="3183" name="图片_1_SpCnt_5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3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4" name="图片_1_SpCnt_564"/>
                  <wp:cNvGraphicFramePr/>
                  <a:graphic xmlns:a="http://schemas.openxmlformats.org/drawingml/2006/main">
                    <a:graphicData uri="http://schemas.openxmlformats.org/drawingml/2006/picture">
                      <pic:pic xmlns:pic="http://schemas.openxmlformats.org/drawingml/2006/picture">
                        <pic:nvPicPr>
                          <pic:cNvPr id="3184" name="图片_1_SpCnt_5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4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5" name="图片_1_SpCnt_565"/>
                  <wp:cNvGraphicFramePr/>
                  <a:graphic xmlns:a="http://schemas.openxmlformats.org/drawingml/2006/main">
                    <a:graphicData uri="http://schemas.openxmlformats.org/drawingml/2006/picture">
                      <pic:pic xmlns:pic="http://schemas.openxmlformats.org/drawingml/2006/picture">
                        <pic:nvPicPr>
                          <pic:cNvPr id="3185" name="图片_1_SpCnt_5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5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6" name="图片_1_SpCnt_566"/>
                  <wp:cNvGraphicFramePr/>
                  <a:graphic xmlns:a="http://schemas.openxmlformats.org/drawingml/2006/main">
                    <a:graphicData uri="http://schemas.openxmlformats.org/drawingml/2006/picture">
                      <pic:pic xmlns:pic="http://schemas.openxmlformats.org/drawingml/2006/picture">
                        <pic:nvPicPr>
                          <pic:cNvPr id="3186" name="图片_1_SpCnt_5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6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7" name="图片_1_SpCnt_567"/>
                  <wp:cNvGraphicFramePr/>
                  <a:graphic xmlns:a="http://schemas.openxmlformats.org/drawingml/2006/main">
                    <a:graphicData uri="http://schemas.openxmlformats.org/drawingml/2006/picture">
                      <pic:pic xmlns:pic="http://schemas.openxmlformats.org/drawingml/2006/picture">
                        <pic:nvPicPr>
                          <pic:cNvPr id="3187" name="图片_1_SpCnt_5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7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8" name="图片_1_SpCnt_568"/>
                  <wp:cNvGraphicFramePr/>
                  <a:graphic xmlns:a="http://schemas.openxmlformats.org/drawingml/2006/main">
                    <a:graphicData uri="http://schemas.openxmlformats.org/drawingml/2006/picture">
                      <pic:pic xmlns:pic="http://schemas.openxmlformats.org/drawingml/2006/picture">
                        <pic:nvPicPr>
                          <pic:cNvPr id="3188" name="图片_1_SpCnt_5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82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89" name="图片_1_SpCnt_569"/>
                  <wp:cNvGraphicFramePr/>
                  <a:graphic xmlns:a="http://schemas.openxmlformats.org/drawingml/2006/main">
                    <a:graphicData uri="http://schemas.openxmlformats.org/drawingml/2006/picture">
                      <pic:pic xmlns:pic="http://schemas.openxmlformats.org/drawingml/2006/picture">
                        <pic:nvPicPr>
                          <pic:cNvPr id="3189" name="图片_1_SpCnt_5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29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0" name="图片_1_SpCnt_570"/>
                  <wp:cNvGraphicFramePr/>
                  <a:graphic xmlns:a="http://schemas.openxmlformats.org/drawingml/2006/main">
                    <a:graphicData uri="http://schemas.openxmlformats.org/drawingml/2006/picture">
                      <pic:pic xmlns:pic="http://schemas.openxmlformats.org/drawingml/2006/picture">
                        <pic:nvPicPr>
                          <pic:cNvPr id="3190" name="图片_1_SpCnt_5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03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1" name="图片_1_SpCnt_571"/>
                  <wp:cNvGraphicFramePr/>
                  <a:graphic xmlns:a="http://schemas.openxmlformats.org/drawingml/2006/main">
                    <a:graphicData uri="http://schemas.openxmlformats.org/drawingml/2006/picture">
                      <pic:pic xmlns:pic="http://schemas.openxmlformats.org/drawingml/2006/picture">
                        <pic:nvPicPr>
                          <pic:cNvPr id="3191" name="图片_1_SpCnt_5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13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2" name="图片_1_SpCnt_572"/>
                  <wp:cNvGraphicFramePr/>
                  <a:graphic xmlns:a="http://schemas.openxmlformats.org/drawingml/2006/main">
                    <a:graphicData uri="http://schemas.openxmlformats.org/drawingml/2006/picture">
                      <pic:pic xmlns:pic="http://schemas.openxmlformats.org/drawingml/2006/picture">
                        <pic:nvPicPr>
                          <pic:cNvPr id="3192" name="图片_1_SpCnt_5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23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3" name="图片_1_SpCnt_573"/>
                  <wp:cNvGraphicFramePr/>
                  <a:graphic xmlns:a="http://schemas.openxmlformats.org/drawingml/2006/main">
                    <a:graphicData uri="http://schemas.openxmlformats.org/drawingml/2006/picture">
                      <pic:pic xmlns:pic="http://schemas.openxmlformats.org/drawingml/2006/picture">
                        <pic:nvPicPr>
                          <pic:cNvPr id="3193" name="图片_1_SpCnt_5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33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4" name="图片_1_SpCnt_574"/>
                  <wp:cNvGraphicFramePr/>
                  <a:graphic xmlns:a="http://schemas.openxmlformats.org/drawingml/2006/main">
                    <a:graphicData uri="http://schemas.openxmlformats.org/drawingml/2006/picture">
                      <pic:pic xmlns:pic="http://schemas.openxmlformats.org/drawingml/2006/picture">
                        <pic:nvPicPr>
                          <pic:cNvPr id="3194" name="图片_1_SpCnt_5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44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5" name="图片_1_SpCnt_575"/>
                  <wp:cNvGraphicFramePr/>
                  <a:graphic xmlns:a="http://schemas.openxmlformats.org/drawingml/2006/main">
                    <a:graphicData uri="http://schemas.openxmlformats.org/drawingml/2006/picture">
                      <pic:pic xmlns:pic="http://schemas.openxmlformats.org/drawingml/2006/picture">
                        <pic:nvPicPr>
                          <pic:cNvPr id="3195" name="图片_1_SpCnt_5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54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6" name="图片_1_SpCnt_576"/>
                  <wp:cNvGraphicFramePr/>
                  <a:graphic xmlns:a="http://schemas.openxmlformats.org/drawingml/2006/main">
                    <a:graphicData uri="http://schemas.openxmlformats.org/drawingml/2006/picture">
                      <pic:pic xmlns:pic="http://schemas.openxmlformats.org/drawingml/2006/picture">
                        <pic:nvPicPr>
                          <pic:cNvPr id="3196" name="图片_1_SpCnt_5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64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7" name="图片_1_SpCnt_577"/>
                  <wp:cNvGraphicFramePr/>
                  <a:graphic xmlns:a="http://schemas.openxmlformats.org/drawingml/2006/main">
                    <a:graphicData uri="http://schemas.openxmlformats.org/drawingml/2006/picture">
                      <pic:pic xmlns:pic="http://schemas.openxmlformats.org/drawingml/2006/picture">
                        <pic:nvPicPr>
                          <pic:cNvPr id="3197" name="图片_1_SpCnt_5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74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8" name="图片_1_SpCnt_578"/>
                  <wp:cNvGraphicFramePr/>
                  <a:graphic xmlns:a="http://schemas.openxmlformats.org/drawingml/2006/main">
                    <a:graphicData uri="http://schemas.openxmlformats.org/drawingml/2006/picture">
                      <pic:pic xmlns:pic="http://schemas.openxmlformats.org/drawingml/2006/picture">
                        <pic:nvPicPr>
                          <pic:cNvPr id="3198" name="图片_1_SpCnt_5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84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199" name="图片_1_SpCnt_579"/>
                  <wp:cNvGraphicFramePr/>
                  <a:graphic xmlns:a="http://schemas.openxmlformats.org/drawingml/2006/main">
                    <a:graphicData uri="http://schemas.openxmlformats.org/drawingml/2006/picture">
                      <pic:pic xmlns:pic="http://schemas.openxmlformats.org/drawingml/2006/picture">
                        <pic:nvPicPr>
                          <pic:cNvPr id="3199" name="图片_1_SpCnt_5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395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0" name="图片_1_SpCnt_580"/>
                  <wp:cNvGraphicFramePr/>
                  <a:graphic xmlns:a="http://schemas.openxmlformats.org/drawingml/2006/main">
                    <a:graphicData uri="http://schemas.openxmlformats.org/drawingml/2006/picture">
                      <pic:pic xmlns:pic="http://schemas.openxmlformats.org/drawingml/2006/picture">
                        <pic:nvPicPr>
                          <pic:cNvPr id="3200" name="图片_1_SpCnt_5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05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1" name="图片_1_SpCnt_581"/>
                  <wp:cNvGraphicFramePr/>
                  <a:graphic xmlns:a="http://schemas.openxmlformats.org/drawingml/2006/main">
                    <a:graphicData uri="http://schemas.openxmlformats.org/drawingml/2006/picture">
                      <pic:pic xmlns:pic="http://schemas.openxmlformats.org/drawingml/2006/picture">
                        <pic:nvPicPr>
                          <pic:cNvPr id="3201" name="图片_1_SpCnt_5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15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2" name="图片_1_SpCnt_582"/>
                  <wp:cNvGraphicFramePr/>
                  <a:graphic xmlns:a="http://schemas.openxmlformats.org/drawingml/2006/main">
                    <a:graphicData uri="http://schemas.openxmlformats.org/drawingml/2006/picture">
                      <pic:pic xmlns:pic="http://schemas.openxmlformats.org/drawingml/2006/picture">
                        <pic:nvPicPr>
                          <pic:cNvPr id="3202" name="图片_1_SpCnt_5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25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3" name="图片_1_SpCnt_583"/>
                  <wp:cNvGraphicFramePr/>
                  <a:graphic xmlns:a="http://schemas.openxmlformats.org/drawingml/2006/main">
                    <a:graphicData uri="http://schemas.openxmlformats.org/drawingml/2006/picture">
                      <pic:pic xmlns:pic="http://schemas.openxmlformats.org/drawingml/2006/picture">
                        <pic:nvPicPr>
                          <pic:cNvPr id="3203" name="图片_1_SpCnt_5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36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4" name="图片_1_SpCnt_584"/>
                  <wp:cNvGraphicFramePr/>
                  <a:graphic xmlns:a="http://schemas.openxmlformats.org/drawingml/2006/main">
                    <a:graphicData uri="http://schemas.openxmlformats.org/drawingml/2006/picture">
                      <pic:pic xmlns:pic="http://schemas.openxmlformats.org/drawingml/2006/picture">
                        <pic:nvPicPr>
                          <pic:cNvPr id="3204" name="图片_1_SpCnt_5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46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5" name="图片_1_SpCnt_585"/>
                  <wp:cNvGraphicFramePr/>
                  <a:graphic xmlns:a="http://schemas.openxmlformats.org/drawingml/2006/main">
                    <a:graphicData uri="http://schemas.openxmlformats.org/drawingml/2006/picture">
                      <pic:pic xmlns:pic="http://schemas.openxmlformats.org/drawingml/2006/picture">
                        <pic:nvPicPr>
                          <pic:cNvPr id="3205" name="图片_1_SpCnt_5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56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6" name="图片_1_SpCnt_586"/>
                  <wp:cNvGraphicFramePr/>
                  <a:graphic xmlns:a="http://schemas.openxmlformats.org/drawingml/2006/main">
                    <a:graphicData uri="http://schemas.openxmlformats.org/drawingml/2006/picture">
                      <pic:pic xmlns:pic="http://schemas.openxmlformats.org/drawingml/2006/picture">
                        <pic:nvPicPr>
                          <pic:cNvPr id="3206" name="图片_1_SpCnt_5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66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7" name="图片_1_SpCnt_587"/>
                  <wp:cNvGraphicFramePr/>
                  <a:graphic xmlns:a="http://schemas.openxmlformats.org/drawingml/2006/main">
                    <a:graphicData uri="http://schemas.openxmlformats.org/drawingml/2006/picture">
                      <pic:pic xmlns:pic="http://schemas.openxmlformats.org/drawingml/2006/picture">
                        <pic:nvPicPr>
                          <pic:cNvPr id="3207" name="图片_1_SpCnt_5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77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8" name="图片_1_SpCnt_588"/>
                  <wp:cNvGraphicFramePr/>
                  <a:graphic xmlns:a="http://schemas.openxmlformats.org/drawingml/2006/main">
                    <a:graphicData uri="http://schemas.openxmlformats.org/drawingml/2006/picture">
                      <pic:pic xmlns:pic="http://schemas.openxmlformats.org/drawingml/2006/picture">
                        <pic:nvPicPr>
                          <pic:cNvPr id="3208" name="图片_1_SpCnt_5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87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09" name="图片_1_SpCnt_589"/>
                  <wp:cNvGraphicFramePr/>
                  <a:graphic xmlns:a="http://schemas.openxmlformats.org/drawingml/2006/main">
                    <a:graphicData uri="http://schemas.openxmlformats.org/drawingml/2006/picture">
                      <pic:pic xmlns:pic="http://schemas.openxmlformats.org/drawingml/2006/picture">
                        <pic:nvPicPr>
                          <pic:cNvPr id="3209" name="图片_1_SpCnt_5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497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0" name="图片_1_SpCnt_590"/>
                  <wp:cNvGraphicFramePr/>
                  <a:graphic xmlns:a="http://schemas.openxmlformats.org/drawingml/2006/main">
                    <a:graphicData uri="http://schemas.openxmlformats.org/drawingml/2006/picture">
                      <pic:pic xmlns:pic="http://schemas.openxmlformats.org/drawingml/2006/picture">
                        <pic:nvPicPr>
                          <pic:cNvPr id="3210" name="图片_1_SpCnt_5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07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1" name="图片_1_SpCnt_591"/>
                  <wp:cNvGraphicFramePr/>
                  <a:graphic xmlns:a="http://schemas.openxmlformats.org/drawingml/2006/main">
                    <a:graphicData uri="http://schemas.openxmlformats.org/drawingml/2006/picture">
                      <pic:pic xmlns:pic="http://schemas.openxmlformats.org/drawingml/2006/picture">
                        <pic:nvPicPr>
                          <pic:cNvPr id="3211" name="图片_1_SpCnt_5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18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2" name="图片_1_SpCnt_592"/>
                  <wp:cNvGraphicFramePr/>
                  <a:graphic xmlns:a="http://schemas.openxmlformats.org/drawingml/2006/main">
                    <a:graphicData uri="http://schemas.openxmlformats.org/drawingml/2006/picture">
                      <pic:pic xmlns:pic="http://schemas.openxmlformats.org/drawingml/2006/picture">
                        <pic:nvPicPr>
                          <pic:cNvPr id="3212" name="图片_1_SpCnt_5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28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3" name="图片_1_SpCnt_593"/>
                  <wp:cNvGraphicFramePr/>
                  <a:graphic xmlns:a="http://schemas.openxmlformats.org/drawingml/2006/main">
                    <a:graphicData uri="http://schemas.openxmlformats.org/drawingml/2006/picture">
                      <pic:pic xmlns:pic="http://schemas.openxmlformats.org/drawingml/2006/picture">
                        <pic:nvPicPr>
                          <pic:cNvPr id="3213" name="图片_1_SpCnt_5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38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4" name="图片_1_SpCnt_594"/>
                  <wp:cNvGraphicFramePr/>
                  <a:graphic xmlns:a="http://schemas.openxmlformats.org/drawingml/2006/main">
                    <a:graphicData uri="http://schemas.openxmlformats.org/drawingml/2006/picture">
                      <pic:pic xmlns:pic="http://schemas.openxmlformats.org/drawingml/2006/picture">
                        <pic:nvPicPr>
                          <pic:cNvPr id="3214" name="图片_1_SpCnt_5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48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5" name="图片_1_SpCnt_595"/>
                  <wp:cNvGraphicFramePr/>
                  <a:graphic xmlns:a="http://schemas.openxmlformats.org/drawingml/2006/main">
                    <a:graphicData uri="http://schemas.openxmlformats.org/drawingml/2006/picture">
                      <pic:pic xmlns:pic="http://schemas.openxmlformats.org/drawingml/2006/picture">
                        <pic:nvPicPr>
                          <pic:cNvPr id="3215" name="图片_1_SpCnt_5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59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6" name="图片_1_SpCnt_596"/>
                  <wp:cNvGraphicFramePr/>
                  <a:graphic xmlns:a="http://schemas.openxmlformats.org/drawingml/2006/main">
                    <a:graphicData uri="http://schemas.openxmlformats.org/drawingml/2006/picture">
                      <pic:pic xmlns:pic="http://schemas.openxmlformats.org/drawingml/2006/picture">
                        <pic:nvPicPr>
                          <pic:cNvPr id="3216" name="图片_1_SpCnt_5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69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7" name="图片_1_SpCnt_597"/>
                  <wp:cNvGraphicFramePr/>
                  <a:graphic xmlns:a="http://schemas.openxmlformats.org/drawingml/2006/main">
                    <a:graphicData uri="http://schemas.openxmlformats.org/drawingml/2006/picture">
                      <pic:pic xmlns:pic="http://schemas.openxmlformats.org/drawingml/2006/picture">
                        <pic:nvPicPr>
                          <pic:cNvPr id="3217" name="图片_1_SpCnt_5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79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8" name="图片_1_SpCnt_598"/>
                  <wp:cNvGraphicFramePr/>
                  <a:graphic xmlns:a="http://schemas.openxmlformats.org/drawingml/2006/main">
                    <a:graphicData uri="http://schemas.openxmlformats.org/drawingml/2006/picture">
                      <pic:pic xmlns:pic="http://schemas.openxmlformats.org/drawingml/2006/picture">
                        <pic:nvPicPr>
                          <pic:cNvPr id="3218" name="图片_1_SpCnt_5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589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19" name="图片_1_SpCnt_599"/>
                  <wp:cNvGraphicFramePr/>
                  <a:graphic xmlns:a="http://schemas.openxmlformats.org/drawingml/2006/main">
                    <a:graphicData uri="http://schemas.openxmlformats.org/drawingml/2006/picture">
                      <pic:pic xmlns:pic="http://schemas.openxmlformats.org/drawingml/2006/picture">
                        <pic:nvPicPr>
                          <pic:cNvPr id="3219" name="图片_1_SpCnt_5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00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0" name="图片_1_SpCnt_600"/>
                  <wp:cNvGraphicFramePr/>
                  <a:graphic xmlns:a="http://schemas.openxmlformats.org/drawingml/2006/main">
                    <a:graphicData uri="http://schemas.openxmlformats.org/drawingml/2006/picture">
                      <pic:pic xmlns:pic="http://schemas.openxmlformats.org/drawingml/2006/picture">
                        <pic:nvPicPr>
                          <pic:cNvPr id="3220" name="图片_1_SpCnt_6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10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1" name="图片_1_SpCnt_601"/>
                  <wp:cNvGraphicFramePr/>
                  <a:graphic xmlns:a="http://schemas.openxmlformats.org/drawingml/2006/main">
                    <a:graphicData uri="http://schemas.openxmlformats.org/drawingml/2006/picture">
                      <pic:pic xmlns:pic="http://schemas.openxmlformats.org/drawingml/2006/picture">
                        <pic:nvPicPr>
                          <pic:cNvPr id="3221" name="图片_1_SpCnt_6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20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2" name="图片_1_SpCnt_602"/>
                  <wp:cNvGraphicFramePr/>
                  <a:graphic xmlns:a="http://schemas.openxmlformats.org/drawingml/2006/main">
                    <a:graphicData uri="http://schemas.openxmlformats.org/drawingml/2006/picture">
                      <pic:pic xmlns:pic="http://schemas.openxmlformats.org/drawingml/2006/picture">
                        <pic:nvPicPr>
                          <pic:cNvPr id="3222" name="图片_1_SpCnt_6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30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3" name="图片_1_SpCnt_603"/>
                  <wp:cNvGraphicFramePr/>
                  <a:graphic xmlns:a="http://schemas.openxmlformats.org/drawingml/2006/main">
                    <a:graphicData uri="http://schemas.openxmlformats.org/drawingml/2006/picture">
                      <pic:pic xmlns:pic="http://schemas.openxmlformats.org/drawingml/2006/picture">
                        <pic:nvPicPr>
                          <pic:cNvPr id="3223" name="图片_1_SpCnt_6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40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4" name="图片_1_SpCnt_604"/>
                  <wp:cNvGraphicFramePr/>
                  <a:graphic xmlns:a="http://schemas.openxmlformats.org/drawingml/2006/main">
                    <a:graphicData uri="http://schemas.openxmlformats.org/drawingml/2006/picture">
                      <pic:pic xmlns:pic="http://schemas.openxmlformats.org/drawingml/2006/picture">
                        <pic:nvPicPr>
                          <pic:cNvPr id="3224" name="图片_1_SpCnt_6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51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5" name="图片_1_SpCnt_605"/>
                  <wp:cNvGraphicFramePr/>
                  <a:graphic xmlns:a="http://schemas.openxmlformats.org/drawingml/2006/main">
                    <a:graphicData uri="http://schemas.openxmlformats.org/drawingml/2006/picture">
                      <pic:pic xmlns:pic="http://schemas.openxmlformats.org/drawingml/2006/picture">
                        <pic:nvPicPr>
                          <pic:cNvPr id="3225" name="图片_1_SpCnt_6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61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6" name="图片_1_SpCnt_606"/>
                  <wp:cNvGraphicFramePr/>
                  <a:graphic xmlns:a="http://schemas.openxmlformats.org/drawingml/2006/main">
                    <a:graphicData uri="http://schemas.openxmlformats.org/drawingml/2006/picture">
                      <pic:pic xmlns:pic="http://schemas.openxmlformats.org/drawingml/2006/picture">
                        <pic:nvPicPr>
                          <pic:cNvPr id="3226" name="图片_1_SpCnt_6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71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7" name="图片_1_SpCnt_607"/>
                  <wp:cNvGraphicFramePr/>
                  <a:graphic xmlns:a="http://schemas.openxmlformats.org/drawingml/2006/main">
                    <a:graphicData uri="http://schemas.openxmlformats.org/drawingml/2006/picture">
                      <pic:pic xmlns:pic="http://schemas.openxmlformats.org/drawingml/2006/picture">
                        <pic:nvPicPr>
                          <pic:cNvPr id="3227" name="图片_1_SpCnt_6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81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8" name="图片_1_SpCnt_608"/>
                  <wp:cNvGraphicFramePr/>
                  <a:graphic xmlns:a="http://schemas.openxmlformats.org/drawingml/2006/main">
                    <a:graphicData uri="http://schemas.openxmlformats.org/drawingml/2006/picture">
                      <pic:pic xmlns:pic="http://schemas.openxmlformats.org/drawingml/2006/picture">
                        <pic:nvPicPr>
                          <pic:cNvPr id="3228" name="图片_1_SpCnt_6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692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29" name="图片_1_SpCnt_609"/>
                  <wp:cNvGraphicFramePr/>
                  <a:graphic xmlns:a="http://schemas.openxmlformats.org/drawingml/2006/main">
                    <a:graphicData uri="http://schemas.openxmlformats.org/drawingml/2006/picture">
                      <pic:pic xmlns:pic="http://schemas.openxmlformats.org/drawingml/2006/picture">
                        <pic:nvPicPr>
                          <pic:cNvPr id="3229" name="图片_1_SpCnt_6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02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0" name="图片_1_SpCnt_610"/>
                  <wp:cNvGraphicFramePr/>
                  <a:graphic xmlns:a="http://schemas.openxmlformats.org/drawingml/2006/main">
                    <a:graphicData uri="http://schemas.openxmlformats.org/drawingml/2006/picture">
                      <pic:pic xmlns:pic="http://schemas.openxmlformats.org/drawingml/2006/picture">
                        <pic:nvPicPr>
                          <pic:cNvPr id="3230" name="图片_1_SpCnt_6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12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1" name="图片_1_SpCnt_611"/>
                  <wp:cNvGraphicFramePr/>
                  <a:graphic xmlns:a="http://schemas.openxmlformats.org/drawingml/2006/main">
                    <a:graphicData uri="http://schemas.openxmlformats.org/drawingml/2006/picture">
                      <pic:pic xmlns:pic="http://schemas.openxmlformats.org/drawingml/2006/picture">
                        <pic:nvPicPr>
                          <pic:cNvPr id="3231" name="图片_1_SpCnt_6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22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2" name="图片_1_SpCnt_612"/>
                  <wp:cNvGraphicFramePr/>
                  <a:graphic xmlns:a="http://schemas.openxmlformats.org/drawingml/2006/main">
                    <a:graphicData uri="http://schemas.openxmlformats.org/drawingml/2006/picture">
                      <pic:pic xmlns:pic="http://schemas.openxmlformats.org/drawingml/2006/picture">
                        <pic:nvPicPr>
                          <pic:cNvPr id="3232" name="图片_1_SpCnt_6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33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3" name="图片_1_SpCnt_613"/>
                  <wp:cNvGraphicFramePr/>
                  <a:graphic xmlns:a="http://schemas.openxmlformats.org/drawingml/2006/main">
                    <a:graphicData uri="http://schemas.openxmlformats.org/drawingml/2006/picture">
                      <pic:pic xmlns:pic="http://schemas.openxmlformats.org/drawingml/2006/picture">
                        <pic:nvPicPr>
                          <pic:cNvPr id="3233" name="图片_1_SpCnt_6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43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4" name="图片_1_SpCnt_614"/>
                  <wp:cNvGraphicFramePr/>
                  <a:graphic xmlns:a="http://schemas.openxmlformats.org/drawingml/2006/main">
                    <a:graphicData uri="http://schemas.openxmlformats.org/drawingml/2006/picture">
                      <pic:pic xmlns:pic="http://schemas.openxmlformats.org/drawingml/2006/picture">
                        <pic:nvPicPr>
                          <pic:cNvPr id="3234" name="图片_1_SpCnt_6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53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5" name="图片_1_SpCnt_615"/>
                  <wp:cNvGraphicFramePr/>
                  <a:graphic xmlns:a="http://schemas.openxmlformats.org/drawingml/2006/main">
                    <a:graphicData uri="http://schemas.openxmlformats.org/drawingml/2006/picture">
                      <pic:pic xmlns:pic="http://schemas.openxmlformats.org/drawingml/2006/picture">
                        <pic:nvPicPr>
                          <pic:cNvPr id="3235" name="图片_1_SpCnt_6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63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6" name="图片_1_SpCnt_616"/>
                  <wp:cNvGraphicFramePr/>
                  <a:graphic xmlns:a="http://schemas.openxmlformats.org/drawingml/2006/main">
                    <a:graphicData uri="http://schemas.openxmlformats.org/drawingml/2006/picture">
                      <pic:pic xmlns:pic="http://schemas.openxmlformats.org/drawingml/2006/picture">
                        <pic:nvPicPr>
                          <pic:cNvPr id="3236" name="图片_1_SpCnt_6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74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7" name="图片_1_SpCnt_617"/>
                  <wp:cNvGraphicFramePr/>
                  <a:graphic xmlns:a="http://schemas.openxmlformats.org/drawingml/2006/main">
                    <a:graphicData uri="http://schemas.openxmlformats.org/drawingml/2006/picture">
                      <pic:pic xmlns:pic="http://schemas.openxmlformats.org/drawingml/2006/picture">
                        <pic:nvPicPr>
                          <pic:cNvPr id="3237" name="图片_1_SpCnt_6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84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8" name="图片_1_SpCnt_618"/>
                  <wp:cNvGraphicFramePr/>
                  <a:graphic xmlns:a="http://schemas.openxmlformats.org/drawingml/2006/main">
                    <a:graphicData uri="http://schemas.openxmlformats.org/drawingml/2006/picture">
                      <pic:pic xmlns:pic="http://schemas.openxmlformats.org/drawingml/2006/picture">
                        <pic:nvPicPr>
                          <pic:cNvPr id="3238" name="图片_1_SpCnt_6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794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39" name="图片_1_SpCnt_619"/>
                  <wp:cNvGraphicFramePr/>
                  <a:graphic xmlns:a="http://schemas.openxmlformats.org/drawingml/2006/main">
                    <a:graphicData uri="http://schemas.openxmlformats.org/drawingml/2006/picture">
                      <pic:pic xmlns:pic="http://schemas.openxmlformats.org/drawingml/2006/picture">
                        <pic:nvPicPr>
                          <pic:cNvPr id="3239" name="图片_1_SpCnt_6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04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0" name="图片_1_SpCnt_620"/>
                  <wp:cNvGraphicFramePr/>
                  <a:graphic xmlns:a="http://schemas.openxmlformats.org/drawingml/2006/main">
                    <a:graphicData uri="http://schemas.openxmlformats.org/drawingml/2006/picture">
                      <pic:pic xmlns:pic="http://schemas.openxmlformats.org/drawingml/2006/picture">
                        <pic:nvPicPr>
                          <pic:cNvPr id="3240" name="图片_1_SpCnt_6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15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1" name="图片_1_SpCnt_621"/>
                  <wp:cNvGraphicFramePr/>
                  <a:graphic xmlns:a="http://schemas.openxmlformats.org/drawingml/2006/main">
                    <a:graphicData uri="http://schemas.openxmlformats.org/drawingml/2006/picture">
                      <pic:pic xmlns:pic="http://schemas.openxmlformats.org/drawingml/2006/picture">
                        <pic:nvPicPr>
                          <pic:cNvPr id="3241" name="图片_1_SpCnt_6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25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2" name="图片_1_SpCnt_622"/>
                  <wp:cNvGraphicFramePr/>
                  <a:graphic xmlns:a="http://schemas.openxmlformats.org/drawingml/2006/main">
                    <a:graphicData uri="http://schemas.openxmlformats.org/drawingml/2006/picture">
                      <pic:pic xmlns:pic="http://schemas.openxmlformats.org/drawingml/2006/picture">
                        <pic:nvPicPr>
                          <pic:cNvPr id="3242" name="图片_1_SpCnt_6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35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3" name="图片_1_SpCnt_623"/>
                  <wp:cNvGraphicFramePr/>
                  <a:graphic xmlns:a="http://schemas.openxmlformats.org/drawingml/2006/main">
                    <a:graphicData uri="http://schemas.openxmlformats.org/drawingml/2006/picture">
                      <pic:pic xmlns:pic="http://schemas.openxmlformats.org/drawingml/2006/picture">
                        <pic:nvPicPr>
                          <pic:cNvPr id="3243" name="图片_1_SpCnt_6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45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4" name="图片_1_SpCnt_624"/>
                  <wp:cNvGraphicFramePr/>
                  <a:graphic xmlns:a="http://schemas.openxmlformats.org/drawingml/2006/main">
                    <a:graphicData uri="http://schemas.openxmlformats.org/drawingml/2006/picture">
                      <pic:pic xmlns:pic="http://schemas.openxmlformats.org/drawingml/2006/picture">
                        <pic:nvPicPr>
                          <pic:cNvPr id="3244" name="图片_1_SpCnt_6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56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5" name="图片_1_SpCnt_625"/>
                  <wp:cNvGraphicFramePr/>
                  <a:graphic xmlns:a="http://schemas.openxmlformats.org/drawingml/2006/main">
                    <a:graphicData uri="http://schemas.openxmlformats.org/drawingml/2006/picture">
                      <pic:pic xmlns:pic="http://schemas.openxmlformats.org/drawingml/2006/picture">
                        <pic:nvPicPr>
                          <pic:cNvPr id="3245" name="图片_1_SpCnt_6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6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6" name="图片_1_SpCnt_626"/>
                  <wp:cNvGraphicFramePr/>
                  <a:graphic xmlns:a="http://schemas.openxmlformats.org/drawingml/2006/main">
                    <a:graphicData uri="http://schemas.openxmlformats.org/drawingml/2006/picture">
                      <pic:pic xmlns:pic="http://schemas.openxmlformats.org/drawingml/2006/picture">
                        <pic:nvPicPr>
                          <pic:cNvPr id="3246" name="图片_1_SpCnt_6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76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7" name="图片_1_SpCnt_627"/>
                  <wp:cNvGraphicFramePr/>
                  <a:graphic xmlns:a="http://schemas.openxmlformats.org/drawingml/2006/main">
                    <a:graphicData uri="http://schemas.openxmlformats.org/drawingml/2006/picture">
                      <pic:pic xmlns:pic="http://schemas.openxmlformats.org/drawingml/2006/picture">
                        <pic:nvPicPr>
                          <pic:cNvPr id="3247" name="图片_1_SpCnt_6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86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8" name="图片_1_SpCnt_628"/>
                  <wp:cNvGraphicFramePr/>
                  <a:graphic xmlns:a="http://schemas.openxmlformats.org/drawingml/2006/main">
                    <a:graphicData uri="http://schemas.openxmlformats.org/drawingml/2006/picture">
                      <pic:pic xmlns:pic="http://schemas.openxmlformats.org/drawingml/2006/picture">
                        <pic:nvPicPr>
                          <pic:cNvPr id="3248" name="图片_1_SpCnt_6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896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49" name="图片_1_SpCnt_629"/>
                  <wp:cNvGraphicFramePr/>
                  <a:graphic xmlns:a="http://schemas.openxmlformats.org/drawingml/2006/main">
                    <a:graphicData uri="http://schemas.openxmlformats.org/drawingml/2006/picture">
                      <pic:pic xmlns:pic="http://schemas.openxmlformats.org/drawingml/2006/picture">
                        <pic:nvPicPr>
                          <pic:cNvPr id="3249" name="图片_1_SpCnt_6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07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0" name="图片_1_SpCnt_630"/>
                  <wp:cNvGraphicFramePr/>
                  <a:graphic xmlns:a="http://schemas.openxmlformats.org/drawingml/2006/main">
                    <a:graphicData uri="http://schemas.openxmlformats.org/drawingml/2006/picture">
                      <pic:pic xmlns:pic="http://schemas.openxmlformats.org/drawingml/2006/picture">
                        <pic:nvPicPr>
                          <pic:cNvPr id="3250" name="图片_1_SpCnt_6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17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1" name="图片_1_SpCnt_631"/>
                  <wp:cNvGraphicFramePr/>
                  <a:graphic xmlns:a="http://schemas.openxmlformats.org/drawingml/2006/main">
                    <a:graphicData uri="http://schemas.openxmlformats.org/drawingml/2006/picture">
                      <pic:pic xmlns:pic="http://schemas.openxmlformats.org/drawingml/2006/picture">
                        <pic:nvPicPr>
                          <pic:cNvPr id="3251" name="图片_1_SpCnt_6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27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2" name="图片_1_SpCnt_632"/>
                  <wp:cNvGraphicFramePr/>
                  <a:graphic xmlns:a="http://schemas.openxmlformats.org/drawingml/2006/main">
                    <a:graphicData uri="http://schemas.openxmlformats.org/drawingml/2006/picture">
                      <pic:pic xmlns:pic="http://schemas.openxmlformats.org/drawingml/2006/picture">
                        <pic:nvPicPr>
                          <pic:cNvPr id="3252" name="图片_1_SpCnt_6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37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3" name="图片_1_SpCnt_633"/>
                  <wp:cNvGraphicFramePr/>
                  <a:graphic xmlns:a="http://schemas.openxmlformats.org/drawingml/2006/main">
                    <a:graphicData uri="http://schemas.openxmlformats.org/drawingml/2006/picture">
                      <pic:pic xmlns:pic="http://schemas.openxmlformats.org/drawingml/2006/picture">
                        <pic:nvPicPr>
                          <pic:cNvPr id="3253" name="图片_1_SpCnt_6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48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4" name="图片_1_SpCnt_634"/>
                  <wp:cNvGraphicFramePr/>
                  <a:graphic xmlns:a="http://schemas.openxmlformats.org/drawingml/2006/main">
                    <a:graphicData uri="http://schemas.openxmlformats.org/drawingml/2006/picture">
                      <pic:pic xmlns:pic="http://schemas.openxmlformats.org/drawingml/2006/picture">
                        <pic:nvPicPr>
                          <pic:cNvPr id="3254" name="图片_1_SpCnt_6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58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5" name="图片_1_SpCnt_635"/>
                  <wp:cNvGraphicFramePr/>
                  <a:graphic xmlns:a="http://schemas.openxmlformats.org/drawingml/2006/main">
                    <a:graphicData uri="http://schemas.openxmlformats.org/drawingml/2006/picture">
                      <pic:pic xmlns:pic="http://schemas.openxmlformats.org/drawingml/2006/picture">
                        <pic:nvPicPr>
                          <pic:cNvPr id="3255" name="图片_1_SpCnt_6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6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6" name="图片_1_SpCnt_636"/>
                  <wp:cNvGraphicFramePr/>
                  <a:graphic xmlns:a="http://schemas.openxmlformats.org/drawingml/2006/main">
                    <a:graphicData uri="http://schemas.openxmlformats.org/drawingml/2006/picture">
                      <pic:pic xmlns:pic="http://schemas.openxmlformats.org/drawingml/2006/picture">
                        <pic:nvPicPr>
                          <pic:cNvPr id="3256" name="图片_1_SpCnt_6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7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7" name="图片_1_SpCnt_637"/>
                  <wp:cNvGraphicFramePr/>
                  <a:graphic xmlns:a="http://schemas.openxmlformats.org/drawingml/2006/main">
                    <a:graphicData uri="http://schemas.openxmlformats.org/drawingml/2006/picture">
                      <pic:pic xmlns:pic="http://schemas.openxmlformats.org/drawingml/2006/picture">
                        <pic:nvPicPr>
                          <pic:cNvPr id="3257" name="图片_1_SpCnt_6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89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8" name="图片_1_SpCnt_638"/>
                  <wp:cNvGraphicFramePr/>
                  <a:graphic xmlns:a="http://schemas.openxmlformats.org/drawingml/2006/main">
                    <a:graphicData uri="http://schemas.openxmlformats.org/drawingml/2006/picture">
                      <pic:pic xmlns:pic="http://schemas.openxmlformats.org/drawingml/2006/picture">
                        <pic:nvPicPr>
                          <pic:cNvPr id="3258" name="图片_1_SpCnt_6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1999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59" name="图片_1_SpCnt_639"/>
                  <wp:cNvGraphicFramePr/>
                  <a:graphic xmlns:a="http://schemas.openxmlformats.org/drawingml/2006/main">
                    <a:graphicData uri="http://schemas.openxmlformats.org/drawingml/2006/picture">
                      <pic:pic xmlns:pic="http://schemas.openxmlformats.org/drawingml/2006/picture">
                        <pic:nvPicPr>
                          <pic:cNvPr id="3259" name="图片_1_SpCnt_6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0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0" name="图片_1_SpCnt_640"/>
                  <wp:cNvGraphicFramePr/>
                  <a:graphic xmlns:a="http://schemas.openxmlformats.org/drawingml/2006/main">
                    <a:graphicData uri="http://schemas.openxmlformats.org/drawingml/2006/picture">
                      <pic:pic xmlns:pic="http://schemas.openxmlformats.org/drawingml/2006/picture">
                        <pic:nvPicPr>
                          <pic:cNvPr id="3260" name="图片_1_SpCnt_6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19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1" name="图片_1_SpCnt_641"/>
                  <wp:cNvGraphicFramePr/>
                  <a:graphic xmlns:a="http://schemas.openxmlformats.org/drawingml/2006/main">
                    <a:graphicData uri="http://schemas.openxmlformats.org/drawingml/2006/picture">
                      <pic:pic xmlns:pic="http://schemas.openxmlformats.org/drawingml/2006/picture">
                        <pic:nvPicPr>
                          <pic:cNvPr id="3261" name="图片_1_SpCnt_6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3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2" name="图片_1_SpCnt_642"/>
                  <wp:cNvGraphicFramePr/>
                  <a:graphic xmlns:a="http://schemas.openxmlformats.org/drawingml/2006/main">
                    <a:graphicData uri="http://schemas.openxmlformats.org/drawingml/2006/picture">
                      <pic:pic xmlns:pic="http://schemas.openxmlformats.org/drawingml/2006/picture">
                        <pic:nvPicPr>
                          <pic:cNvPr id="3262" name="图片_1_SpCnt_6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4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3" name="图片_1_SpCnt_643"/>
                  <wp:cNvGraphicFramePr/>
                  <a:graphic xmlns:a="http://schemas.openxmlformats.org/drawingml/2006/main">
                    <a:graphicData uri="http://schemas.openxmlformats.org/drawingml/2006/picture">
                      <pic:pic xmlns:pic="http://schemas.openxmlformats.org/drawingml/2006/picture">
                        <pic:nvPicPr>
                          <pic:cNvPr id="3263" name="图片_1_SpCnt_6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50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4" name="图片_1_SpCnt_644"/>
                  <wp:cNvGraphicFramePr/>
                  <a:graphic xmlns:a="http://schemas.openxmlformats.org/drawingml/2006/main">
                    <a:graphicData uri="http://schemas.openxmlformats.org/drawingml/2006/picture">
                      <pic:pic xmlns:pic="http://schemas.openxmlformats.org/drawingml/2006/picture">
                        <pic:nvPicPr>
                          <pic:cNvPr id="3264" name="图片_1_SpCnt_6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60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5" name="图片_1_SpCnt_645"/>
                  <wp:cNvGraphicFramePr/>
                  <a:graphic xmlns:a="http://schemas.openxmlformats.org/drawingml/2006/main">
                    <a:graphicData uri="http://schemas.openxmlformats.org/drawingml/2006/picture">
                      <pic:pic xmlns:pic="http://schemas.openxmlformats.org/drawingml/2006/picture">
                        <pic:nvPicPr>
                          <pic:cNvPr id="3265" name="图片_1_SpCnt_6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7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6" name="图片_1_SpCnt_646"/>
                  <wp:cNvGraphicFramePr/>
                  <a:graphic xmlns:a="http://schemas.openxmlformats.org/drawingml/2006/main">
                    <a:graphicData uri="http://schemas.openxmlformats.org/drawingml/2006/picture">
                      <pic:pic xmlns:pic="http://schemas.openxmlformats.org/drawingml/2006/picture">
                        <pic:nvPicPr>
                          <pic:cNvPr id="3266" name="图片_1_SpCnt_6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8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7" name="图片_1_SpCnt_647"/>
                  <wp:cNvGraphicFramePr/>
                  <a:graphic xmlns:a="http://schemas.openxmlformats.org/drawingml/2006/main">
                    <a:graphicData uri="http://schemas.openxmlformats.org/drawingml/2006/picture">
                      <pic:pic xmlns:pic="http://schemas.openxmlformats.org/drawingml/2006/picture">
                        <pic:nvPicPr>
                          <pic:cNvPr id="3267" name="图片_1_SpCnt_6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091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8" name="图片_1_SpCnt_648"/>
                  <wp:cNvGraphicFramePr/>
                  <a:graphic xmlns:a="http://schemas.openxmlformats.org/drawingml/2006/main">
                    <a:graphicData uri="http://schemas.openxmlformats.org/drawingml/2006/picture">
                      <pic:pic xmlns:pic="http://schemas.openxmlformats.org/drawingml/2006/picture">
                        <pic:nvPicPr>
                          <pic:cNvPr id="3268" name="图片_1_SpCnt_6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01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69" name="图片_1_SpCnt_649"/>
                  <wp:cNvGraphicFramePr/>
                  <a:graphic xmlns:a="http://schemas.openxmlformats.org/drawingml/2006/main">
                    <a:graphicData uri="http://schemas.openxmlformats.org/drawingml/2006/picture">
                      <pic:pic xmlns:pic="http://schemas.openxmlformats.org/drawingml/2006/picture">
                        <pic:nvPicPr>
                          <pic:cNvPr id="3269" name="图片_1_SpCnt_6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12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0" name="图片_1_SpCnt_650"/>
                  <wp:cNvGraphicFramePr/>
                  <a:graphic xmlns:a="http://schemas.openxmlformats.org/drawingml/2006/main">
                    <a:graphicData uri="http://schemas.openxmlformats.org/drawingml/2006/picture">
                      <pic:pic xmlns:pic="http://schemas.openxmlformats.org/drawingml/2006/picture">
                        <pic:nvPicPr>
                          <pic:cNvPr id="3270" name="图片_1_SpCnt_6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22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1" name="图片_1_SpCnt_651"/>
                  <wp:cNvGraphicFramePr/>
                  <a:graphic xmlns:a="http://schemas.openxmlformats.org/drawingml/2006/main">
                    <a:graphicData uri="http://schemas.openxmlformats.org/drawingml/2006/picture">
                      <pic:pic xmlns:pic="http://schemas.openxmlformats.org/drawingml/2006/picture">
                        <pic:nvPicPr>
                          <pic:cNvPr id="3271" name="图片_1_SpCnt_6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3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2" name="图片_1_SpCnt_652"/>
                  <wp:cNvGraphicFramePr/>
                  <a:graphic xmlns:a="http://schemas.openxmlformats.org/drawingml/2006/main">
                    <a:graphicData uri="http://schemas.openxmlformats.org/drawingml/2006/picture">
                      <pic:pic xmlns:pic="http://schemas.openxmlformats.org/drawingml/2006/picture">
                        <pic:nvPicPr>
                          <pic:cNvPr id="3272" name="图片_1_SpCnt_6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42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3" name="图片_1_SpCnt_653"/>
                  <wp:cNvGraphicFramePr/>
                  <a:graphic xmlns:a="http://schemas.openxmlformats.org/drawingml/2006/main">
                    <a:graphicData uri="http://schemas.openxmlformats.org/drawingml/2006/picture">
                      <pic:pic xmlns:pic="http://schemas.openxmlformats.org/drawingml/2006/picture">
                        <pic:nvPicPr>
                          <pic:cNvPr id="3273" name="图片_1_SpCnt_6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52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4" name="图片_1_SpCnt_654"/>
                  <wp:cNvGraphicFramePr/>
                  <a:graphic xmlns:a="http://schemas.openxmlformats.org/drawingml/2006/main">
                    <a:graphicData uri="http://schemas.openxmlformats.org/drawingml/2006/picture">
                      <pic:pic xmlns:pic="http://schemas.openxmlformats.org/drawingml/2006/picture">
                        <pic:nvPicPr>
                          <pic:cNvPr id="3274" name="图片_1_SpCnt_6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6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5" name="图片_1_SpCnt_655"/>
                  <wp:cNvGraphicFramePr/>
                  <a:graphic xmlns:a="http://schemas.openxmlformats.org/drawingml/2006/main">
                    <a:graphicData uri="http://schemas.openxmlformats.org/drawingml/2006/picture">
                      <pic:pic xmlns:pic="http://schemas.openxmlformats.org/drawingml/2006/picture">
                        <pic:nvPicPr>
                          <pic:cNvPr id="3275" name="图片_1_SpCnt_6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73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6" name="图片_1_SpCnt_656"/>
                  <wp:cNvGraphicFramePr/>
                  <a:graphic xmlns:a="http://schemas.openxmlformats.org/drawingml/2006/main">
                    <a:graphicData uri="http://schemas.openxmlformats.org/drawingml/2006/picture">
                      <pic:pic xmlns:pic="http://schemas.openxmlformats.org/drawingml/2006/picture">
                        <pic:nvPicPr>
                          <pic:cNvPr id="3276" name="图片_1_SpCnt_6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83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7" name="图片_1_SpCnt_657"/>
                  <wp:cNvGraphicFramePr/>
                  <a:graphic xmlns:a="http://schemas.openxmlformats.org/drawingml/2006/main">
                    <a:graphicData uri="http://schemas.openxmlformats.org/drawingml/2006/picture">
                      <pic:pic xmlns:pic="http://schemas.openxmlformats.org/drawingml/2006/picture">
                        <pic:nvPicPr>
                          <pic:cNvPr id="3277" name="图片_1_SpCnt_6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19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8" name="图片_1_SpCnt_658"/>
                  <wp:cNvGraphicFramePr/>
                  <a:graphic xmlns:a="http://schemas.openxmlformats.org/drawingml/2006/main">
                    <a:graphicData uri="http://schemas.openxmlformats.org/drawingml/2006/picture">
                      <pic:pic xmlns:pic="http://schemas.openxmlformats.org/drawingml/2006/picture">
                        <pic:nvPicPr>
                          <pic:cNvPr id="3278" name="图片_1_SpCnt_6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0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79" name="图片_1_SpCnt_659"/>
                  <wp:cNvGraphicFramePr/>
                  <a:graphic xmlns:a="http://schemas.openxmlformats.org/drawingml/2006/main">
                    <a:graphicData uri="http://schemas.openxmlformats.org/drawingml/2006/picture">
                      <pic:pic xmlns:pic="http://schemas.openxmlformats.org/drawingml/2006/picture">
                        <pic:nvPicPr>
                          <pic:cNvPr id="3279" name="图片_1_SpCnt_6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14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0" name="图片_1_SpCnt_660"/>
                  <wp:cNvGraphicFramePr/>
                  <a:graphic xmlns:a="http://schemas.openxmlformats.org/drawingml/2006/main">
                    <a:graphicData uri="http://schemas.openxmlformats.org/drawingml/2006/picture">
                      <pic:pic xmlns:pic="http://schemas.openxmlformats.org/drawingml/2006/picture">
                        <pic:nvPicPr>
                          <pic:cNvPr id="3280" name="图片_1_SpCnt_6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24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1" name="图片_1_SpCnt_661"/>
                  <wp:cNvGraphicFramePr/>
                  <a:graphic xmlns:a="http://schemas.openxmlformats.org/drawingml/2006/main">
                    <a:graphicData uri="http://schemas.openxmlformats.org/drawingml/2006/picture">
                      <pic:pic xmlns:pic="http://schemas.openxmlformats.org/drawingml/2006/picture">
                        <pic:nvPicPr>
                          <pic:cNvPr id="3281" name="图片_1_SpCnt_6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3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2" name="图片_1_SpCnt_662"/>
                  <wp:cNvGraphicFramePr/>
                  <a:graphic xmlns:a="http://schemas.openxmlformats.org/drawingml/2006/main">
                    <a:graphicData uri="http://schemas.openxmlformats.org/drawingml/2006/picture">
                      <pic:pic xmlns:pic="http://schemas.openxmlformats.org/drawingml/2006/picture">
                        <pic:nvPicPr>
                          <pic:cNvPr id="3282" name="图片_1_SpCnt_6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45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3" name="图片_1_SpCnt_663"/>
                  <wp:cNvGraphicFramePr/>
                  <a:graphic xmlns:a="http://schemas.openxmlformats.org/drawingml/2006/main">
                    <a:graphicData uri="http://schemas.openxmlformats.org/drawingml/2006/picture">
                      <pic:pic xmlns:pic="http://schemas.openxmlformats.org/drawingml/2006/picture">
                        <pic:nvPicPr>
                          <pic:cNvPr id="3283" name="图片_1_SpCnt_6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55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4" name="图片_1_SpCnt_664"/>
                  <wp:cNvGraphicFramePr/>
                  <a:graphic xmlns:a="http://schemas.openxmlformats.org/drawingml/2006/main">
                    <a:graphicData uri="http://schemas.openxmlformats.org/drawingml/2006/picture">
                      <pic:pic xmlns:pic="http://schemas.openxmlformats.org/drawingml/2006/picture">
                        <pic:nvPicPr>
                          <pic:cNvPr id="3284" name="图片_1_SpCnt_6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6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5" name="图片_1_SpCnt_665"/>
                  <wp:cNvGraphicFramePr/>
                  <a:graphic xmlns:a="http://schemas.openxmlformats.org/drawingml/2006/main">
                    <a:graphicData uri="http://schemas.openxmlformats.org/drawingml/2006/picture">
                      <pic:pic xmlns:pic="http://schemas.openxmlformats.org/drawingml/2006/picture">
                        <pic:nvPicPr>
                          <pic:cNvPr id="3285" name="图片_1_SpCnt_6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7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6" name="图片_1_SpCnt_666"/>
                  <wp:cNvGraphicFramePr/>
                  <a:graphic xmlns:a="http://schemas.openxmlformats.org/drawingml/2006/main">
                    <a:graphicData uri="http://schemas.openxmlformats.org/drawingml/2006/picture">
                      <pic:pic xmlns:pic="http://schemas.openxmlformats.org/drawingml/2006/picture">
                        <pic:nvPicPr>
                          <pic:cNvPr id="3286" name="图片_1_SpCnt_6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8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7" name="图片_1_SpCnt_667"/>
                  <wp:cNvGraphicFramePr/>
                  <a:graphic xmlns:a="http://schemas.openxmlformats.org/drawingml/2006/main">
                    <a:graphicData uri="http://schemas.openxmlformats.org/drawingml/2006/picture">
                      <pic:pic xmlns:pic="http://schemas.openxmlformats.org/drawingml/2006/picture">
                        <pic:nvPicPr>
                          <pic:cNvPr id="3287" name="图片_1_SpCnt_6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296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8" name="图片_1_SpCnt_668"/>
                  <wp:cNvGraphicFramePr/>
                  <a:graphic xmlns:a="http://schemas.openxmlformats.org/drawingml/2006/main">
                    <a:graphicData uri="http://schemas.openxmlformats.org/drawingml/2006/picture">
                      <pic:pic xmlns:pic="http://schemas.openxmlformats.org/drawingml/2006/picture">
                        <pic:nvPicPr>
                          <pic:cNvPr id="3288" name="图片_1_SpCnt_6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0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89" name="图片_1_SpCnt_669"/>
                  <wp:cNvGraphicFramePr/>
                  <a:graphic xmlns:a="http://schemas.openxmlformats.org/drawingml/2006/main">
                    <a:graphicData uri="http://schemas.openxmlformats.org/drawingml/2006/picture">
                      <pic:pic xmlns:pic="http://schemas.openxmlformats.org/drawingml/2006/picture">
                        <pic:nvPicPr>
                          <pic:cNvPr id="3289" name="图片_1_SpCnt_6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16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0" name="图片_1_SpCnt_670"/>
                  <wp:cNvGraphicFramePr/>
                  <a:graphic xmlns:a="http://schemas.openxmlformats.org/drawingml/2006/main">
                    <a:graphicData uri="http://schemas.openxmlformats.org/drawingml/2006/picture">
                      <pic:pic xmlns:pic="http://schemas.openxmlformats.org/drawingml/2006/picture">
                        <pic:nvPicPr>
                          <pic:cNvPr id="3290" name="图片_1_SpCnt_6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27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1" name="图片_1_SpCnt_671"/>
                  <wp:cNvGraphicFramePr/>
                  <a:graphic xmlns:a="http://schemas.openxmlformats.org/drawingml/2006/main">
                    <a:graphicData uri="http://schemas.openxmlformats.org/drawingml/2006/picture">
                      <pic:pic xmlns:pic="http://schemas.openxmlformats.org/drawingml/2006/picture">
                        <pic:nvPicPr>
                          <pic:cNvPr id="3291" name="图片_1_SpCnt_6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37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2" name="图片_1_SpCnt_672"/>
                  <wp:cNvGraphicFramePr/>
                  <a:graphic xmlns:a="http://schemas.openxmlformats.org/drawingml/2006/main">
                    <a:graphicData uri="http://schemas.openxmlformats.org/drawingml/2006/picture">
                      <pic:pic xmlns:pic="http://schemas.openxmlformats.org/drawingml/2006/picture">
                        <pic:nvPicPr>
                          <pic:cNvPr id="3292" name="图片_1_SpCnt_6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47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3" name="图片_1_SpCnt_673"/>
                  <wp:cNvGraphicFramePr/>
                  <a:graphic xmlns:a="http://schemas.openxmlformats.org/drawingml/2006/main">
                    <a:graphicData uri="http://schemas.openxmlformats.org/drawingml/2006/picture">
                      <pic:pic xmlns:pic="http://schemas.openxmlformats.org/drawingml/2006/picture">
                        <pic:nvPicPr>
                          <pic:cNvPr id="3293" name="图片_1_SpCnt_6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57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4" name="图片_1_SpCnt_674"/>
                  <wp:cNvGraphicFramePr/>
                  <a:graphic xmlns:a="http://schemas.openxmlformats.org/drawingml/2006/main">
                    <a:graphicData uri="http://schemas.openxmlformats.org/drawingml/2006/picture">
                      <pic:pic xmlns:pic="http://schemas.openxmlformats.org/drawingml/2006/picture">
                        <pic:nvPicPr>
                          <pic:cNvPr id="3294" name="图片_1_SpCnt_6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68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5" name="图片_1_SpCnt_675"/>
                  <wp:cNvGraphicFramePr/>
                  <a:graphic xmlns:a="http://schemas.openxmlformats.org/drawingml/2006/main">
                    <a:graphicData uri="http://schemas.openxmlformats.org/drawingml/2006/picture">
                      <pic:pic xmlns:pic="http://schemas.openxmlformats.org/drawingml/2006/picture">
                        <pic:nvPicPr>
                          <pic:cNvPr id="3295" name="图片_1_SpCnt_6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7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6" name="图片_1_SpCnt_676"/>
                  <wp:cNvGraphicFramePr/>
                  <a:graphic xmlns:a="http://schemas.openxmlformats.org/drawingml/2006/main">
                    <a:graphicData uri="http://schemas.openxmlformats.org/drawingml/2006/picture">
                      <pic:pic xmlns:pic="http://schemas.openxmlformats.org/drawingml/2006/picture">
                        <pic:nvPicPr>
                          <pic:cNvPr id="3296" name="图片_1_SpCnt_6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8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7" name="图片_1_SpCnt_677"/>
                  <wp:cNvGraphicFramePr/>
                  <a:graphic xmlns:a="http://schemas.openxmlformats.org/drawingml/2006/main">
                    <a:graphicData uri="http://schemas.openxmlformats.org/drawingml/2006/picture">
                      <pic:pic xmlns:pic="http://schemas.openxmlformats.org/drawingml/2006/picture">
                        <pic:nvPicPr>
                          <pic:cNvPr id="3297" name="图片_1_SpCnt_6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39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8" name="图片_1_SpCnt_678"/>
                  <wp:cNvGraphicFramePr/>
                  <a:graphic xmlns:a="http://schemas.openxmlformats.org/drawingml/2006/main">
                    <a:graphicData uri="http://schemas.openxmlformats.org/drawingml/2006/picture">
                      <pic:pic xmlns:pic="http://schemas.openxmlformats.org/drawingml/2006/picture">
                        <pic:nvPicPr>
                          <pic:cNvPr id="3298" name="图片_1_SpCnt_6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0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299" name="图片_1_SpCnt_679"/>
                  <wp:cNvGraphicFramePr/>
                  <a:graphic xmlns:a="http://schemas.openxmlformats.org/drawingml/2006/main">
                    <a:graphicData uri="http://schemas.openxmlformats.org/drawingml/2006/picture">
                      <pic:pic xmlns:pic="http://schemas.openxmlformats.org/drawingml/2006/picture">
                        <pic:nvPicPr>
                          <pic:cNvPr id="3299" name="图片_1_SpCnt_6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1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0" name="图片_1_SpCnt_680"/>
                  <wp:cNvGraphicFramePr/>
                  <a:graphic xmlns:a="http://schemas.openxmlformats.org/drawingml/2006/main">
                    <a:graphicData uri="http://schemas.openxmlformats.org/drawingml/2006/picture">
                      <pic:pic xmlns:pic="http://schemas.openxmlformats.org/drawingml/2006/picture">
                        <pic:nvPicPr>
                          <pic:cNvPr id="3300" name="图片_1_SpCnt_6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2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1" name="图片_1_SpCnt_681"/>
                  <wp:cNvGraphicFramePr/>
                  <a:graphic xmlns:a="http://schemas.openxmlformats.org/drawingml/2006/main">
                    <a:graphicData uri="http://schemas.openxmlformats.org/drawingml/2006/picture">
                      <pic:pic xmlns:pic="http://schemas.openxmlformats.org/drawingml/2006/picture">
                        <pic:nvPicPr>
                          <pic:cNvPr id="3301" name="图片_1_SpCnt_6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39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2" name="图片_1_SpCnt_682"/>
                  <wp:cNvGraphicFramePr/>
                  <a:graphic xmlns:a="http://schemas.openxmlformats.org/drawingml/2006/main">
                    <a:graphicData uri="http://schemas.openxmlformats.org/drawingml/2006/picture">
                      <pic:pic xmlns:pic="http://schemas.openxmlformats.org/drawingml/2006/picture">
                        <pic:nvPicPr>
                          <pic:cNvPr id="3302" name="图片_1_SpCnt_6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4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3" name="图片_1_SpCnt_683"/>
                  <wp:cNvGraphicFramePr/>
                  <a:graphic xmlns:a="http://schemas.openxmlformats.org/drawingml/2006/main">
                    <a:graphicData uri="http://schemas.openxmlformats.org/drawingml/2006/picture">
                      <pic:pic xmlns:pic="http://schemas.openxmlformats.org/drawingml/2006/picture">
                        <pic:nvPicPr>
                          <pic:cNvPr id="3303" name="图片_1_SpCnt_6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6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4" name="图片_1_SpCnt_684"/>
                  <wp:cNvGraphicFramePr/>
                  <a:graphic xmlns:a="http://schemas.openxmlformats.org/drawingml/2006/main">
                    <a:graphicData uri="http://schemas.openxmlformats.org/drawingml/2006/picture">
                      <pic:pic xmlns:pic="http://schemas.openxmlformats.org/drawingml/2006/picture">
                        <pic:nvPicPr>
                          <pic:cNvPr id="3304" name="图片_1_SpCnt_6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7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5" name="图片_1_SpCnt_685"/>
                  <wp:cNvGraphicFramePr/>
                  <a:graphic xmlns:a="http://schemas.openxmlformats.org/drawingml/2006/main">
                    <a:graphicData uri="http://schemas.openxmlformats.org/drawingml/2006/picture">
                      <pic:pic xmlns:pic="http://schemas.openxmlformats.org/drawingml/2006/picture">
                        <pic:nvPicPr>
                          <pic:cNvPr id="3305" name="图片_1_SpCnt_6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80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6" name="图片_1_SpCnt_686"/>
                  <wp:cNvGraphicFramePr/>
                  <a:graphic xmlns:a="http://schemas.openxmlformats.org/drawingml/2006/main">
                    <a:graphicData uri="http://schemas.openxmlformats.org/drawingml/2006/picture">
                      <pic:pic xmlns:pic="http://schemas.openxmlformats.org/drawingml/2006/picture">
                        <pic:nvPicPr>
                          <pic:cNvPr id="3306" name="图片_1_SpCnt_6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490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7" name="图片_1_SpCnt_687"/>
                  <wp:cNvGraphicFramePr/>
                  <a:graphic xmlns:a="http://schemas.openxmlformats.org/drawingml/2006/main">
                    <a:graphicData uri="http://schemas.openxmlformats.org/drawingml/2006/picture">
                      <pic:pic xmlns:pic="http://schemas.openxmlformats.org/drawingml/2006/picture">
                        <pic:nvPicPr>
                          <pic:cNvPr id="3307" name="图片_1_SpCnt_6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0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8" name="图片_1_SpCnt_688"/>
                  <wp:cNvGraphicFramePr/>
                  <a:graphic xmlns:a="http://schemas.openxmlformats.org/drawingml/2006/main">
                    <a:graphicData uri="http://schemas.openxmlformats.org/drawingml/2006/picture">
                      <pic:pic xmlns:pic="http://schemas.openxmlformats.org/drawingml/2006/picture">
                        <pic:nvPicPr>
                          <pic:cNvPr id="3308" name="图片_1_SpCnt_6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1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09" name="图片_1_SpCnt_689"/>
                  <wp:cNvGraphicFramePr/>
                  <a:graphic xmlns:a="http://schemas.openxmlformats.org/drawingml/2006/main">
                    <a:graphicData uri="http://schemas.openxmlformats.org/drawingml/2006/picture">
                      <pic:pic xmlns:pic="http://schemas.openxmlformats.org/drawingml/2006/picture">
                        <pic:nvPicPr>
                          <pic:cNvPr id="3309" name="图片_1_SpCnt_6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2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0" name="图片_1_SpCnt_690"/>
                  <wp:cNvGraphicFramePr/>
                  <a:graphic xmlns:a="http://schemas.openxmlformats.org/drawingml/2006/main">
                    <a:graphicData uri="http://schemas.openxmlformats.org/drawingml/2006/picture">
                      <pic:pic xmlns:pic="http://schemas.openxmlformats.org/drawingml/2006/picture">
                        <pic:nvPicPr>
                          <pic:cNvPr id="3310" name="图片_1_SpCnt_6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272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1" name="图片_1_SpCnt_691"/>
                  <wp:cNvGraphicFramePr/>
                  <a:graphic xmlns:a="http://schemas.openxmlformats.org/drawingml/2006/main">
                    <a:graphicData uri="http://schemas.openxmlformats.org/drawingml/2006/picture">
                      <pic:pic xmlns:pic="http://schemas.openxmlformats.org/drawingml/2006/picture">
                        <pic:nvPicPr>
                          <pic:cNvPr id="3481" name="图片_1_SpCnt_6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3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1" name="图片_1_SpCnt_692"/>
                  <wp:cNvGraphicFramePr/>
                  <a:graphic xmlns:a="http://schemas.openxmlformats.org/drawingml/2006/main">
                    <a:graphicData uri="http://schemas.openxmlformats.org/drawingml/2006/picture">
                      <pic:pic xmlns:pic="http://schemas.openxmlformats.org/drawingml/2006/picture">
                        <pic:nvPicPr>
                          <pic:cNvPr id="3311" name="图片_1_SpCnt_6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4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2" name="图片_1_SpCnt_693"/>
                  <wp:cNvGraphicFramePr/>
                  <a:graphic xmlns:a="http://schemas.openxmlformats.org/drawingml/2006/main">
                    <a:graphicData uri="http://schemas.openxmlformats.org/drawingml/2006/picture">
                      <pic:pic xmlns:pic="http://schemas.openxmlformats.org/drawingml/2006/picture">
                        <pic:nvPicPr>
                          <pic:cNvPr id="3312" name="图片_1_SpCnt_6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5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3" name="图片_1_SpCnt_694"/>
                  <wp:cNvGraphicFramePr/>
                  <a:graphic xmlns:a="http://schemas.openxmlformats.org/drawingml/2006/main">
                    <a:graphicData uri="http://schemas.openxmlformats.org/drawingml/2006/picture">
                      <pic:pic xmlns:pic="http://schemas.openxmlformats.org/drawingml/2006/picture">
                        <pic:nvPicPr>
                          <pic:cNvPr id="3313" name="图片_1_SpCnt_6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62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4" name="图片_1_SpCnt_695"/>
                  <wp:cNvGraphicFramePr/>
                  <a:graphic xmlns:a="http://schemas.openxmlformats.org/drawingml/2006/main">
                    <a:graphicData uri="http://schemas.openxmlformats.org/drawingml/2006/picture">
                      <pic:pic xmlns:pic="http://schemas.openxmlformats.org/drawingml/2006/picture">
                        <pic:nvPicPr>
                          <pic:cNvPr id="3314" name="图片_1_SpCnt_6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7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5" name="图片_1_SpCnt_696"/>
                  <wp:cNvGraphicFramePr/>
                  <a:graphic xmlns:a="http://schemas.openxmlformats.org/drawingml/2006/main">
                    <a:graphicData uri="http://schemas.openxmlformats.org/drawingml/2006/picture">
                      <pic:pic xmlns:pic="http://schemas.openxmlformats.org/drawingml/2006/picture">
                        <pic:nvPicPr>
                          <pic:cNvPr id="3315" name="图片_1_SpCnt_6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83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6" name="图片_1_SpCnt_697"/>
                  <wp:cNvGraphicFramePr/>
                  <a:graphic xmlns:a="http://schemas.openxmlformats.org/drawingml/2006/main">
                    <a:graphicData uri="http://schemas.openxmlformats.org/drawingml/2006/picture">
                      <pic:pic xmlns:pic="http://schemas.openxmlformats.org/drawingml/2006/picture">
                        <pic:nvPicPr>
                          <pic:cNvPr id="3316" name="图片_1_SpCnt_6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593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7" name="图片_1_SpCnt_698"/>
                  <wp:cNvGraphicFramePr/>
                  <a:graphic xmlns:a="http://schemas.openxmlformats.org/drawingml/2006/main">
                    <a:graphicData uri="http://schemas.openxmlformats.org/drawingml/2006/picture">
                      <pic:pic xmlns:pic="http://schemas.openxmlformats.org/drawingml/2006/picture">
                        <pic:nvPicPr>
                          <pic:cNvPr id="3317" name="图片_1_SpCnt_6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03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8" name="图片_1_SpCnt_699"/>
                  <wp:cNvGraphicFramePr/>
                  <a:graphic xmlns:a="http://schemas.openxmlformats.org/drawingml/2006/main">
                    <a:graphicData uri="http://schemas.openxmlformats.org/drawingml/2006/picture">
                      <pic:pic xmlns:pic="http://schemas.openxmlformats.org/drawingml/2006/picture">
                        <pic:nvPicPr>
                          <pic:cNvPr id="3318" name="图片_1_SpCnt_6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13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19" name="图片_1_SpCnt_700"/>
                  <wp:cNvGraphicFramePr/>
                  <a:graphic xmlns:a="http://schemas.openxmlformats.org/drawingml/2006/main">
                    <a:graphicData uri="http://schemas.openxmlformats.org/drawingml/2006/picture">
                      <pic:pic xmlns:pic="http://schemas.openxmlformats.org/drawingml/2006/picture">
                        <pic:nvPicPr>
                          <pic:cNvPr id="3319" name="图片_1_SpCnt_7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24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0" name="图片_1_SpCnt_701"/>
                  <wp:cNvGraphicFramePr/>
                  <a:graphic xmlns:a="http://schemas.openxmlformats.org/drawingml/2006/main">
                    <a:graphicData uri="http://schemas.openxmlformats.org/drawingml/2006/picture">
                      <pic:pic xmlns:pic="http://schemas.openxmlformats.org/drawingml/2006/picture">
                        <pic:nvPicPr>
                          <pic:cNvPr id="3320" name="图片_1_SpCnt_7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34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1" name="图片_1_SpCnt_702"/>
                  <wp:cNvGraphicFramePr/>
                  <a:graphic xmlns:a="http://schemas.openxmlformats.org/drawingml/2006/main">
                    <a:graphicData uri="http://schemas.openxmlformats.org/drawingml/2006/picture">
                      <pic:pic xmlns:pic="http://schemas.openxmlformats.org/drawingml/2006/picture">
                        <pic:nvPicPr>
                          <pic:cNvPr id="3321" name="图片_1_SpCnt_7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44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2" name="图片_1_SpCnt_703"/>
                  <wp:cNvGraphicFramePr/>
                  <a:graphic xmlns:a="http://schemas.openxmlformats.org/drawingml/2006/main">
                    <a:graphicData uri="http://schemas.openxmlformats.org/drawingml/2006/picture">
                      <pic:pic xmlns:pic="http://schemas.openxmlformats.org/drawingml/2006/picture">
                        <pic:nvPicPr>
                          <pic:cNvPr id="3322" name="图片_1_SpCnt_7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54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3" name="图片_1_SpCnt_704"/>
                  <wp:cNvGraphicFramePr/>
                  <a:graphic xmlns:a="http://schemas.openxmlformats.org/drawingml/2006/main">
                    <a:graphicData uri="http://schemas.openxmlformats.org/drawingml/2006/picture">
                      <pic:pic xmlns:pic="http://schemas.openxmlformats.org/drawingml/2006/picture">
                        <pic:nvPicPr>
                          <pic:cNvPr id="3323" name="图片_1_SpCnt_7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64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4" name="图片_1_SpCnt_705"/>
                  <wp:cNvGraphicFramePr/>
                  <a:graphic xmlns:a="http://schemas.openxmlformats.org/drawingml/2006/main">
                    <a:graphicData uri="http://schemas.openxmlformats.org/drawingml/2006/picture">
                      <pic:pic xmlns:pic="http://schemas.openxmlformats.org/drawingml/2006/picture">
                        <pic:nvPicPr>
                          <pic:cNvPr id="3324" name="图片_1_SpCnt_7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75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5" name="图片_1_SpCnt_706"/>
                  <wp:cNvGraphicFramePr/>
                  <a:graphic xmlns:a="http://schemas.openxmlformats.org/drawingml/2006/main">
                    <a:graphicData uri="http://schemas.openxmlformats.org/drawingml/2006/picture">
                      <pic:pic xmlns:pic="http://schemas.openxmlformats.org/drawingml/2006/picture">
                        <pic:nvPicPr>
                          <pic:cNvPr id="3325" name="图片_1_SpCnt_7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85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6" name="图片_1_SpCnt_707"/>
                  <wp:cNvGraphicFramePr/>
                  <a:graphic xmlns:a="http://schemas.openxmlformats.org/drawingml/2006/main">
                    <a:graphicData uri="http://schemas.openxmlformats.org/drawingml/2006/picture">
                      <pic:pic xmlns:pic="http://schemas.openxmlformats.org/drawingml/2006/picture">
                        <pic:nvPicPr>
                          <pic:cNvPr id="3326" name="图片_1_SpCnt_7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695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7" name="图片_1_SpCnt_708"/>
                  <wp:cNvGraphicFramePr/>
                  <a:graphic xmlns:a="http://schemas.openxmlformats.org/drawingml/2006/main">
                    <a:graphicData uri="http://schemas.openxmlformats.org/drawingml/2006/picture">
                      <pic:pic xmlns:pic="http://schemas.openxmlformats.org/drawingml/2006/picture">
                        <pic:nvPicPr>
                          <pic:cNvPr id="3327" name="图片_1_SpCnt_7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05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8" name="图片_1_SpCnt_709"/>
                  <wp:cNvGraphicFramePr/>
                  <a:graphic xmlns:a="http://schemas.openxmlformats.org/drawingml/2006/main">
                    <a:graphicData uri="http://schemas.openxmlformats.org/drawingml/2006/picture">
                      <pic:pic xmlns:pic="http://schemas.openxmlformats.org/drawingml/2006/picture">
                        <pic:nvPicPr>
                          <pic:cNvPr id="3328" name="图片_1_SpCnt_7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16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29" name="图片_1_SpCnt_710"/>
                  <wp:cNvGraphicFramePr/>
                  <a:graphic xmlns:a="http://schemas.openxmlformats.org/drawingml/2006/main">
                    <a:graphicData uri="http://schemas.openxmlformats.org/drawingml/2006/picture">
                      <pic:pic xmlns:pic="http://schemas.openxmlformats.org/drawingml/2006/picture">
                        <pic:nvPicPr>
                          <pic:cNvPr id="3329" name="图片_1_SpCnt_7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26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0" name="图片_1_SpCnt_711"/>
                  <wp:cNvGraphicFramePr/>
                  <a:graphic xmlns:a="http://schemas.openxmlformats.org/drawingml/2006/main">
                    <a:graphicData uri="http://schemas.openxmlformats.org/drawingml/2006/picture">
                      <pic:pic xmlns:pic="http://schemas.openxmlformats.org/drawingml/2006/picture">
                        <pic:nvPicPr>
                          <pic:cNvPr id="3330" name="图片_1_SpCnt_7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36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1" name="图片_1_SpCnt_712"/>
                  <wp:cNvGraphicFramePr/>
                  <a:graphic xmlns:a="http://schemas.openxmlformats.org/drawingml/2006/main">
                    <a:graphicData uri="http://schemas.openxmlformats.org/drawingml/2006/picture">
                      <pic:pic xmlns:pic="http://schemas.openxmlformats.org/drawingml/2006/picture">
                        <pic:nvPicPr>
                          <pic:cNvPr id="3331" name="图片_1_SpCnt_7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46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2" name="图片_1_SpCnt_713"/>
                  <wp:cNvGraphicFramePr/>
                  <a:graphic xmlns:a="http://schemas.openxmlformats.org/drawingml/2006/main">
                    <a:graphicData uri="http://schemas.openxmlformats.org/drawingml/2006/picture">
                      <pic:pic xmlns:pic="http://schemas.openxmlformats.org/drawingml/2006/picture">
                        <pic:nvPicPr>
                          <pic:cNvPr id="3332" name="图片_1_SpCnt_7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57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3" name="图片_1_SpCnt_714"/>
                  <wp:cNvGraphicFramePr/>
                  <a:graphic xmlns:a="http://schemas.openxmlformats.org/drawingml/2006/main">
                    <a:graphicData uri="http://schemas.openxmlformats.org/drawingml/2006/picture">
                      <pic:pic xmlns:pic="http://schemas.openxmlformats.org/drawingml/2006/picture">
                        <pic:nvPicPr>
                          <pic:cNvPr id="3333" name="图片_1_SpCnt_7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67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4" name="图片_1_SpCnt_715"/>
                  <wp:cNvGraphicFramePr/>
                  <a:graphic xmlns:a="http://schemas.openxmlformats.org/drawingml/2006/main">
                    <a:graphicData uri="http://schemas.openxmlformats.org/drawingml/2006/picture">
                      <pic:pic xmlns:pic="http://schemas.openxmlformats.org/drawingml/2006/picture">
                        <pic:nvPicPr>
                          <pic:cNvPr id="3334" name="图片_1_SpCnt_7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77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5" name="图片_1_SpCnt_716"/>
                  <wp:cNvGraphicFramePr/>
                  <a:graphic xmlns:a="http://schemas.openxmlformats.org/drawingml/2006/main">
                    <a:graphicData uri="http://schemas.openxmlformats.org/drawingml/2006/picture">
                      <pic:pic xmlns:pic="http://schemas.openxmlformats.org/drawingml/2006/picture">
                        <pic:nvPicPr>
                          <pic:cNvPr id="3335" name="图片_1_SpCnt_7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87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6" name="图片_1_SpCnt_717"/>
                  <wp:cNvGraphicFramePr/>
                  <a:graphic xmlns:a="http://schemas.openxmlformats.org/drawingml/2006/main">
                    <a:graphicData uri="http://schemas.openxmlformats.org/drawingml/2006/picture">
                      <pic:pic xmlns:pic="http://schemas.openxmlformats.org/drawingml/2006/picture">
                        <pic:nvPicPr>
                          <pic:cNvPr id="3336" name="图片_1_SpCnt_7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798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7" name="图片_1_SpCnt_718"/>
                  <wp:cNvGraphicFramePr/>
                  <a:graphic xmlns:a="http://schemas.openxmlformats.org/drawingml/2006/main">
                    <a:graphicData uri="http://schemas.openxmlformats.org/drawingml/2006/picture">
                      <pic:pic xmlns:pic="http://schemas.openxmlformats.org/drawingml/2006/picture">
                        <pic:nvPicPr>
                          <pic:cNvPr id="3337" name="图片_1_SpCnt_7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08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8" name="图片_1_SpCnt_719"/>
                  <wp:cNvGraphicFramePr/>
                  <a:graphic xmlns:a="http://schemas.openxmlformats.org/drawingml/2006/main">
                    <a:graphicData uri="http://schemas.openxmlformats.org/drawingml/2006/picture">
                      <pic:pic xmlns:pic="http://schemas.openxmlformats.org/drawingml/2006/picture">
                        <pic:nvPicPr>
                          <pic:cNvPr id="3338" name="图片_1_SpCnt_7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18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39" name="图片_1_SpCnt_720"/>
                  <wp:cNvGraphicFramePr/>
                  <a:graphic xmlns:a="http://schemas.openxmlformats.org/drawingml/2006/main">
                    <a:graphicData uri="http://schemas.openxmlformats.org/drawingml/2006/picture">
                      <pic:pic xmlns:pic="http://schemas.openxmlformats.org/drawingml/2006/picture">
                        <pic:nvPicPr>
                          <pic:cNvPr id="3339" name="图片_1_SpCnt_7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96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67" name="图片_1_SpCnt_721"/>
                  <wp:cNvGraphicFramePr/>
                  <a:graphic xmlns:a="http://schemas.openxmlformats.org/drawingml/2006/main">
                    <a:graphicData uri="http://schemas.openxmlformats.org/drawingml/2006/picture">
                      <pic:pic xmlns:pic="http://schemas.openxmlformats.org/drawingml/2006/picture">
                        <pic:nvPicPr>
                          <pic:cNvPr id="2767" name="图片_1_SpCnt_7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28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0" name="图片_1_SpCnt_722"/>
                  <wp:cNvGraphicFramePr/>
                  <a:graphic xmlns:a="http://schemas.openxmlformats.org/drawingml/2006/main">
                    <a:graphicData uri="http://schemas.openxmlformats.org/drawingml/2006/picture">
                      <pic:pic xmlns:pic="http://schemas.openxmlformats.org/drawingml/2006/picture">
                        <pic:nvPicPr>
                          <pic:cNvPr id="3340" name="图片_1_SpCnt_7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39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1" name="图片_1_SpCnt_723"/>
                  <wp:cNvGraphicFramePr/>
                  <a:graphic xmlns:a="http://schemas.openxmlformats.org/drawingml/2006/main">
                    <a:graphicData uri="http://schemas.openxmlformats.org/drawingml/2006/picture">
                      <pic:pic xmlns:pic="http://schemas.openxmlformats.org/drawingml/2006/picture">
                        <pic:nvPicPr>
                          <pic:cNvPr id="3341" name="图片_1_SpCnt_7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49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2" name="图片_1_SpCnt_724"/>
                  <wp:cNvGraphicFramePr/>
                  <a:graphic xmlns:a="http://schemas.openxmlformats.org/drawingml/2006/main">
                    <a:graphicData uri="http://schemas.openxmlformats.org/drawingml/2006/picture">
                      <pic:pic xmlns:pic="http://schemas.openxmlformats.org/drawingml/2006/picture">
                        <pic:nvPicPr>
                          <pic:cNvPr id="3342" name="图片_1_SpCnt_7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59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3" name="图片_1_SpCnt_725"/>
                  <wp:cNvGraphicFramePr/>
                  <a:graphic xmlns:a="http://schemas.openxmlformats.org/drawingml/2006/main">
                    <a:graphicData uri="http://schemas.openxmlformats.org/drawingml/2006/picture">
                      <pic:pic xmlns:pic="http://schemas.openxmlformats.org/drawingml/2006/picture">
                        <pic:nvPicPr>
                          <pic:cNvPr id="3343" name="图片_1_SpCnt_7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69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4" name="图片_1_SpCnt_726"/>
                  <wp:cNvGraphicFramePr/>
                  <a:graphic xmlns:a="http://schemas.openxmlformats.org/drawingml/2006/main">
                    <a:graphicData uri="http://schemas.openxmlformats.org/drawingml/2006/picture">
                      <pic:pic xmlns:pic="http://schemas.openxmlformats.org/drawingml/2006/picture">
                        <pic:nvPicPr>
                          <pic:cNvPr id="3344" name="图片_1_SpCnt_7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80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5" name="图片_1_SpCnt_727"/>
                  <wp:cNvGraphicFramePr/>
                  <a:graphic xmlns:a="http://schemas.openxmlformats.org/drawingml/2006/main">
                    <a:graphicData uri="http://schemas.openxmlformats.org/drawingml/2006/picture">
                      <pic:pic xmlns:pic="http://schemas.openxmlformats.org/drawingml/2006/picture">
                        <pic:nvPicPr>
                          <pic:cNvPr id="3345" name="图片_1_SpCnt_7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890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6" name="图片_1_SpCnt_728"/>
                  <wp:cNvGraphicFramePr/>
                  <a:graphic xmlns:a="http://schemas.openxmlformats.org/drawingml/2006/main">
                    <a:graphicData uri="http://schemas.openxmlformats.org/drawingml/2006/picture">
                      <pic:pic xmlns:pic="http://schemas.openxmlformats.org/drawingml/2006/picture">
                        <pic:nvPicPr>
                          <pic:cNvPr id="3346" name="图片_1_SpCnt_7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00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7" name="图片_1_SpCnt_729"/>
                  <wp:cNvGraphicFramePr/>
                  <a:graphic xmlns:a="http://schemas.openxmlformats.org/drawingml/2006/main">
                    <a:graphicData uri="http://schemas.openxmlformats.org/drawingml/2006/picture">
                      <pic:pic xmlns:pic="http://schemas.openxmlformats.org/drawingml/2006/picture">
                        <pic:nvPicPr>
                          <pic:cNvPr id="3347" name="图片_1_SpCnt_7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10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8" name="图片_1_SpCnt_730"/>
                  <wp:cNvGraphicFramePr/>
                  <a:graphic xmlns:a="http://schemas.openxmlformats.org/drawingml/2006/main">
                    <a:graphicData uri="http://schemas.openxmlformats.org/drawingml/2006/picture">
                      <pic:pic xmlns:pic="http://schemas.openxmlformats.org/drawingml/2006/picture">
                        <pic:nvPicPr>
                          <pic:cNvPr id="3348" name="图片_1_SpCnt_7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84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56" name="图片_1_SpCnt_731"/>
                  <wp:cNvGraphicFramePr/>
                  <a:graphic xmlns:a="http://schemas.openxmlformats.org/drawingml/2006/main">
                    <a:graphicData uri="http://schemas.openxmlformats.org/drawingml/2006/picture">
                      <pic:pic xmlns:pic="http://schemas.openxmlformats.org/drawingml/2006/picture">
                        <pic:nvPicPr>
                          <pic:cNvPr id="2756" name="图片_1_SpCnt_7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85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57" name="图片_1_SpCnt_732"/>
                  <wp:cNvGraphicFramePr/>
                  <a:graphic xmlns:a="http://schemas.openxmlformats.org/drawingml/2006/main">
                    <a:graphicData uri="http://schemas.openxmlformats.org/drawingml/2006/picture">
                      <pic:pic xmlns:pic="http://schemas.openxmlformats.org/drawingml/2006/picture">
                        <pic:nvPicPr>
                          <pic:cNvPr id="2757" name="图片_1_SpCnt_7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879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59" name="图片_1_SpCnt_733"/>
                  <wp:cNvGraphicFramePr/>
                  <a:graphic xmlns:a="http://schemas.openxmlformats.org/drawingml/2006/main">
                    <a:graphicData uri="http://schemas.openxmlformats.org/drawingml/2006/picture">
                      <pic:pic xmlns:pic="http://schemas.openxmlformats.org/drawingml/2006/picture">
                        <pic:nvPicPr>
                          <pic:cNvPr id="2759" name="图片_1_SpCnt_7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88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60" name="图片_1_SpCnt_734"/>
                  <wp:cNvGraphicFramePr/>
                  <a:graphic xmlns:a="http://schemas.openxmlformats.org/drawingml/2006/main">
                    <a:graphicData uri="http://schemas.openxmlformats.org/drawingml/2006/picture">
                      <pic:pic xmlns:pic="http://schemas.openxmlformats.org/drawingml/2006/picture">
                        <pic:nvPicPr>
                          <pic:cNvPr id="2760" name="图片_1_SpCnt_7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91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62" name="图片_1_SpCnt_735"/>
                  <wp:cNvGraphicFramePr/>
                  <a:graphic xmlns:a="http://schemas.openxmlformats.org/drawingml/2006/main">
                    <a:graphicData uri="http://schemas.openxmlformats.org/drawingml/2006/picture">
                      <pic:pic xmlns:pic="http://schemas.openxmlformats.org/drawingml/2006/picture">
                        <pic:nvPicPr>
                          <pic:cNvPr id="2762" name="图片_1_SpCnt_7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92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63" name="图片_1_SpCnt_736"/>
                  <wp:cNvGraphicFramePr/>
                  <a:graphic xmlns:a="http://schemas.openxmlformats.org/drawingml/2006/main">
                    <a:graphicData uri="http://schemas.openxmlformats.org/drawingml/2006/picture">
                      <pic:pic xmlns:pic="http://schemas.openxmlformats.org/drawingml/2006/picture">
                        <pic:nvPicPr>
                          <pic:cNvPr id="2763" name="图片_1_SpCnt_7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695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66" name="图片_1_SpCnt_737"/>
                  <wp:cNvGraphicFramePr/>
                  <a:graphic xmlns:a="http://schemas.openxmlformats.org/drawingml/2006/main">
                    <a:graphicData uri="http://schemas.openxmlformats.org/drawingml/2006/picture">
                      <pic:pic xmlns:pic="http://schemas.openxmlformats.org/drawingml/2006/picture">
                        <pic:nvPicPr>
                          <pic:cNvPr id="2766" name="图片_1_SpCnt_7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01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72" name="图片_1_SpCnt_738"/>
                  <wp:cNvGraphicFramePr/>
                  <a:graphic xmlns:a="http://schemas.openxmlformats.org/drawingml/2006/main">
                    <a:graphicData uri="http://schemas.openxmlformats.org/drawingml/2006/picture">
                      <pic:pic xmlns:pic="http://schemas.openxmlformats.org/drawingml/2006/picture">
                        <pic:nvPicPr>
                          <pic:cNvPr id="2772" name="图片_1_SpCnt_7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04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75" name="图片_1_SpCnt_739"/>
                  <wp:cNvGraphicFramePr/>
                  <a:graphic xmlns:a="http://schemas.openxmlformats.org/drawingml/2006/main">
                    <a:graphicData uri="http://schemas.openxmlformats.org/drawingml/2006/picture">
                      <pic:pic xmlns:pic="http://schemas.openxmlformats.org/drawingml/2006/picture">
                        <pic:nvPicPr>
                          <pic:cNvPr id="2775" name="图片_1_SpCnt_7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11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82" name="图片_1_SpCnt_740"/>
                  <wp:cNvGraphicFramePr/>
                  <a:graphic xmlns:a="http://schemas.openxmlformats.org/drawingml/2006/main">
                    <a:graphicData uri="http://schemas.openxmlformats.org/drawingml/2006/picture">
                      <pic:pic xmlns:pic="http://schemas.openxmlformats.org/drawingml/2006/picture">
                        <pic:nvPicPr>
                          <pic:cNvPr id="2782" name="图片_1_SpCnt_7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15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86" name="图片_1_SpCnt_741"/>
                  <wp:cNvGraphicFramePr/>
                  <a:graphic xmlns:a="http://schemas.openxmlformats.org/drawingml/2006/main">
                    <a:graphicData uri="http://schemas.openxmlformats.org/drawingml/2006/picture">
                      <pic:pic xmlns:pic="http://schemas.openxmlformats.org/drawingml/2006/picture">
                        <pic:nvPicPr>
                          <pic:cNvPr id="2786" name="图片_1_SpCnt_7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16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87" name="图片_1_SpCnt_742"/>
                  <wp:cNvGraphicFramePr/>
                  <a:graphic xmlns:a="http://schemas.openxmlformats.org/drawingml/2006/main">
                    <a:graphicData uri="http://schemas.openxmlformats.org/drawingml/2006/picture">
                      <pic:pic xmlns:pic="http://schemas.openxmlformats.org/drawingml/2006/picture">
                        <pic:nvPicPr>
                          <pic:cNvPr id="2787" name="图片_1_SpCnt_7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20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49" name="图片_1_SpCnt_743"/>
                  <wp:cNvGraphicFramePr/>
                  <a:graphic xmlns:a="http://schemas.openxmlformats.org/drawingml/2006/main">
                    <a:graphicData uri="http://schemas.openxmlformats.org/drawingml/2006/picture">
                      <pic:pic xmlns:pic="http://schemas.openxmlformats.org/drawingml/2006/picture">
                        <pic:nvPicPr>
                          <pic:cNvPr id="3349" name="图片_1_SpCnt_7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31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0" name="图片_1_SpCnt_744"/>
                  <wp:cNvGraphicFramePr/>
                  <a:graphic xmlns:a="http://schemas.openxmlformats.org/drawingml/2006/main">
                    <a:graphicData uri="http://schemas.openxmlformats.org/drawingml/2006/picture">
                      <pic:pic xmlns:pic="http://schemas.openxmlformats.org/drawingml/2006/picture">
                        <pic:nvPicPr>
                          <pic:cNvPr id="3350" name="图片_1_SpCnt_7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41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1" name="图片_1_SpCnt_745"/>
                  <wp:cNvGraphicFramePr/>
                  <a:graphic xmlns:a="http://schemas.openxmlformats.org/drawingml/2006/main">
                    <a:graphicData uri="http://schemas.openxmlformats.org/drawingml/2006/picture">
                      <pic:pic xmlns:pic="http://schemas.openxmlformats.org/drawingml/2006/picture">
                        <pic:nvPicPr>
                          <pic:cNvPr id="3351" name="图片_1_SpCnt_7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51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2" name="图片_1_SpCnt_746"/>
                  <wp:cNvGraphicFramePr/>
                  <a:graphic xmlns:a="http://schemas.openxmlformats.org/drawingml/2006/main">
                    <a:graphicData uri="http://schemas.openxmlformats.org/drawingml/2006/picture">
                      <pic:pic xmlns:pic="http://schemas.openxmlformats.org/drawingml/2006/picture">
                        <pic:nvPicPr>
                          <pic:cNvPr id="3352" name="图片_1_SpCnt_7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61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3" name="图片_1_SpCnt_747"/>
                  <wp:cNvGraphicFramePr/>
                  <a:graphic xmlns:a="http://schemas.openxmlformats.org/drawingml/2006/main">
                    <a:graphicData uri="http://schemas.openxmlformats.org/drawingml/2006/picture">
                      <pic:pic xmlns:pic="http://schemas.openxmlformats.org/drawingml/2006/picture">
                        <pic:nvPicPr>
                          <pic:cNvPr id="3353" name="图片_1_SpCnt_7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72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4" name="图片_1_SpCnt_748"/>
                  <wp:cNvGraphicFramePr/>
                  <a:graphic xmlns:a="http://schemas.openxmlformats.org/drawingml/2006/main">
                    <a:graphicData uri="http://schemas.openxmlformats.org/drawingml/2006/picture">
                      <pic:pic xmlns:pic="http://schemas.openxmlformats.org/drawingml/2006/picture">
                        <pic:nvPicPr>
                          <pic:cNvPr id="3354" name="图片_1_SpCnt_7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82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5" name="图片_1_SpCnt_749"/>
                  <wp:cNvGraphicFramePr/>
                  <a:graphic xmlns:a="http://schemas.openxmlformats.org/drawingml/2006/main">
                    <a:graphicData uri="http://schemas.openxmlformats.org/drawingml/2006/picture">
                      <pic:pic xmlns:pic="http://schemas.openxmlformats.org/drawingml/2006/picture">
                        <pic:nvPicPr>
                          <pic:cNvPr id="3355" name="图片_1_SpCnt_7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2992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6" name="图片_1_SpCnt_750"/>
                  <wp:cNvGraphicFramePr/>
                  <a:graphic xmlns:a="http://schemas.openxmlformats.org/drawingml/2006/main">
                    <a:graphicData uri="http://schemas.openxmlformats.org/drawingml/2006/picture">
                      <pic:pic xmlns:pic="http://schemas.openxmlformats.org/drawingml/2006/picture">
                        <pic:nvPicPr>
                          <pic:cNvPr id="3356" name="图片_1_SpCnt_7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02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7" name="图片_1_SpCnt_751"/>
                  <wp:cNvGraphicFramePr/>
                  <a:graphic xmlns:a="http://schemas.openxmlformats.org/drawingml/2006/main">
                    <a:graphicData uri="http://schemas.openxmlformats.org/drawingml/2006/picture">
                      <pic:pic xmlns:pic="http://schemas.openxmlformats.org/drawingml/2006/picture">
                        <pic:nvPicPr>
                          <pic:cNvPr id="3357" name="图片_1_SpCnt_7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13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8" name="图片_1_SpCnt_752"/>
                  <wp:cNvGraphicFramePr/>
                  <a:graphic xmlns:a="http://schemas.openxmlformats.org/drawingml/2006/main">
                    <a:graphicData uri="http://schemas.openxmlformats.org/drawingml/2006/picture">
                      <pic:pic xmlns:pic="http://schemas.openxmlformats.org/drawingml/2006/picture">
                        <pic:nvPicPr>
                          <pic:cNvPr id="3358" name="图片_1_SpCnt_7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23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59" name="图片_1_SpCnt_753"/>
                  <wp:cNvGraphicFramePr/>
                  <a:graphic xmlns:a="http://schemas.openxmlformats.org/drawingml/2006/main">
                    <a:graphicData uri="http://schemas.openxmlformats.org/drawingml/2006/picture">
                      <pic:pic xmlns:pic="http://schemas.openxmlformats.org/drawingml/2006/picture">
                        <pic:nvPicPr>
                          <pic:cNvPr id="3359" name="图片_1_SpCnt_7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33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0" name="图片_1_SpCnt_754"/>
                  <wp:cNvGraphicFramePr/>
                  <a:graphic xmlns:a="http://schemas.openxmlformats.org/drawingml/2006/main">
                    <a:graphicData uri="http://schemas.openxmlformats.org/drawingml/2006/picture">
                      <pic:pic xmlns:pic="http://schemas.openxmlformats.org/drawingml/2006/picture">
                        <pic:nvPicPr>
                          <pic:cNvPr id="3360" name="图片_1_SpCnt_7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43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1" name="图片_1_SpCnt_755"/>
                  <wp:cNvGraphicFramePr/>
                  <a:graphic xmlns:a="http://schemas.openxmlformats.org/drawingml/2006/main">
                    <a:graphicData uri="http://schemas.openxmlformats.org/drawingml/2006/picture">
                      <pic:pic xmlns:pic="http://schemas.openxmlformats.org/drawingml/2006/picture">
                        <pic:nvPicPr>
                          <pic:cNvPr id="3361" name="图片_1_SpCnt_7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54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2" name="图片_1_SpCnt_756"/>
                  <wp:cNvGraphicFramePr/>
                  <a:graphic xmlns:a="http://schemas.openxmlformats.org/drawingml/2006/main">
                    <a:graphicData uri="http://schemas.openxmlformats.org/drawingml/2006/picture">
                      <pic:pic xmlns:pic="http://schemas.openxmlformats.org/drawingml/2006/picture">
                        <pic:nvPicPr>
                          <pic:cNvPr id="3362" name="图片_1_SpCnt_7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64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3" name="图片_1_SpCnt_757"/>
                  <wp:cNvGraphicFramePr/>
                  <a:graphic xmlns:a="http://schemas.openxmlformats.org/drawingml/2006/main">
                    <a:graphicData uri="http://schemas.openxmlformats.org/drawingml/2006/picture">
                      <pic:pic xmlns:pic="http://schemas.openxmlformats.org/drawingml/2006/picture">
                        <pic:nvPicPr>
                          <pic:cNvPr id="3363" name="图片_1_SpCnt_7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74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4" name="图片_1_SpCnt_758"/>
                  <wp:cNvGraphicFramePr/>
                  <a:graphic xmlns:a="http://schemas.openxmlformats.org/drawingml/2006/main">
                    <a:graphicData uri="http://schemas.openxmlformats.org/drawingml/2006/picture">
                      <pic:pic xmlns:pic="http://schemas.openxmlformats.org/drawingml/2006/picture">
                        <pic:nvPicPr>
                          <pic:cNvPr id="3364" name="图片_1_SpCnt_7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84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5" name="图片_1_SpCnt_759"/>
                  <wp:cNvGraphicFramePr/>
                  <a:graphic xmlns:a="http://schemas.openxmlformats.org/drawingml/2006/main">
                    <a:graphicData uri="http://schemas.openxmlformats.org/drawingml/2006/picture">
                      <pic:pic xmlns:pic="http://schemas.openxmlformats.org/drawingml/2006/picture">
                        <pic:nvPicPr>
                          <pic:cNvPr id="3365" name="图片_1_SpCnt_7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095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6" name="图片_1_SpCnt_760"/>
                  <wp:cNvGraphicFramePr/>
                  <a:graphic xmlns:a="http://schemas.openxmlformats.org/drawingml/2006/main">
                    <a:graphicData uri="http://schemas.openxmlformats.org/drawingml/2006/picture">
                      <pic:pic xmlns:pic="http://schemas.openxmlformats.org/drawingml/2006/picture">
                        <pic:nvPicPr>
                          <pic:cNvPr id="3366" name="图片_1_SpCnt_7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05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7" name="图片_1_SpCnt_761"/>
                  <wp:cNvGraphicFramePr/>
                  <a:graphic xmlns:a="http://schemas.openxmlformats.org/drawingml/2006/main">
                    <a:graphicData uri="http://schemas.openxmlformats.org/drawingml/2006/picture">
                      <pic:pic xmlns:pic="http://schemas.openxmlformats.org/drawingml/2006/picture">
                        <pic:nvPicPr>
                          <pic:cNvPr id="3367" name="图片_1_SpCnt_7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15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8" name="图片_1_SpCnt_762"/>
                  <wp:cNvGraphicFramePr/>
                  <a:graphic xmlns:a="http://schemas.openxmlformats.org/drawingml/2006/main">
                    <a:graphicData uri="http://schemas.openxmlformats.org/drawingml/2006/picture">
                      <pic:pic xmlns:pic="http://schemas.openxmlformats.org/drawingml/2006/picture">
                        <pic:nvPicPr>
                          <pic:cNvPr id="3368" name="图片_1_SpCnt_7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25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69" name="图片_1_SpCnt_763"/>
                  <wp:cNvGraphicFramePr/>
                  <a:graphic xmlns:a="http://schemas.openxmlformats.org/drawingml/2006/main">
                    <a:graphicData uri="http://schemas.openxmlformats.org/drawingml/2006/picture">
                      <pic:pic xmlns:pic="http://schemas.openxmlformats.org/drawingml/2006/picture">
                        <pic:nvPicPr>
                          <pic:cNvPr id="3369" name="图片_1_SpCnt_7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36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0" name="图片_1_SpCnt_764"/>
                  <wp:cNvGraphicFramePr/>
                  <a:graphic xmlns:a="http://schemas.openxmlformats.org/drawingml/2006/main">
                    <a:graphicData uri="http://schemas.openxmlformats.org/drawingml/2006/picture">
                      <pic:pic xmlns:pic="http://schemas.openxmlformats.org/drawingml/2006/picture">
                        <pic:nvPicPr>
                          <pic:cNvPr id="3370" name="图片_1_SpCnt_7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4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1" name="图片_1_SpCnt_765"/>
                  <wp:cNvGraphicFramePr/>
                  <a:graphic xmlns:a="http://schemas.openxmlformats.org/drawingml/2006/main">
                    <a:graphicData uri="http://schemas.openxmlformats.org/drawingml/2006/picture">
                      <pic:pic xmlns:pic="http://schemas.openxmlformats.org/drawingml/2006/picture">
                        <pic:nvPicPr>
                          <pic:cNvPr id="3371" name="图片_1_SpCnt_7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56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2" name="图片_1_SpCnt_766"/>
                  <wp:cNvGraphicFramePr/>
                  <a:graphic xmlns:a="http://schemas.openxmlformats.org/drawingml/2006/main">
                    <a:graphicData uri="http://schemas.openxmlformats.org/drawingml/2006/picture">
                      <pic:pic xmlns:pic="http://schemas.openxmlformats.org/drawingml/2006/picture">
                        <pic:nvPicPr>
                          <pic:cNvPr id="3372" name="图片_1_SpCnt_7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66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3" name="图片_1_SpCnt_767"/>
                  <wp:cNvGraphicFramePr/>
                  <a:graphic xmlns:a="http://schemas.openxmlformats.org/drawingml/2006/main">
                    <a:graphicData uri="http://schemas.openxmlformats.org/drawingml/2006/picture">
                      <pic:pic xmlns:pic="http://schemas.openxmlformats.org/drawingml/2006/picture">
                        <pic:nvPicPr>
                          <pic:cNvPr id="3373" name="图片_1_SpCnt_7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76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4" name="图片_1_SpCnt_768"/>
                  <wp:cNvGraphicFramePr/>
                  <a:graphic xmlns:a="http://schemas.openxmlformats.org/drawingml/2006/main">
                    <a:graphicData uri="http://schemas.openxmlformats.org/drawingml/2006/picture">
                      <pic:pic xmlns:pic="http://schemas.openxmlformats.org/drawingml/2006/picture">
                        <pic:nvPicPr>
                          <pic:cNvPr id="3374" name="图片_1_SpCnt_7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87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5" name="图片_1_SpCnt_769"/>
                  <wp:cNvGraphicFramePr/>
                  <a:graphic xmlns:a="http://schemas.openxmlformats.org/drawingml/2006/main">
                    <a:graphicData uri="http://schemas.openxmlformats.org/drawingml/2006/picture">
                      <pic:pic xmlns:pic="http://schemas.openxmlformats.org/drawingml/2006/picture">
                        <pic:nvPicPr>
                          <pic:cNvPr id="3375" name="图片_1_SpCnt_7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197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6" name="图片_1_SpCnt_770"/>
                  <wp:cNvGraphicFramePr/>
                  <a:graphic xmlns:a="http://schemas.openxmlformats.org/drawingml/2006/main">
                    <a:graphicData uri="http://schemas.openxmlformats.org/drawingml/2006/picture">
                      <pic:pic xmlns:pic="http://schemas.openxmlformats.org/drawingml/2006/picture">
                        <pic:nvPicPr>
                          <pic:cNvPr id="3376" name="图片_1_SpCnt_7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07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7" name="图片_1_SpCnt_771"/>
                  <wp:cNvGraphicFramePr/>
                  <a:graphic xmlns:a="http://schemas.openxmlformats.org/drawingml/2006/main">
                    <a:graphicData uri="http://schemas.openxmlformats.org/drawingml/2006/picture">
                      <pic:pic xmlns:pic="http://schemas.openxmlformats.org/drawingml/2006/picture">
                        <pic:nvPicPr>
                          <pic:cNvPr id="3377" name="图片_1_SpCnt_7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17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8" name="图片_1_SpCnt_772"/>
                  <wp:cNvGraphicFramePr/>
                  <a:graphic xmlns:a="http://schemas.openxmlformats.org/drawingml/2006/main">
                    <a:graphicData uri="http://schemas.openxmlformats.org/drawingml/2006/picture">
                      <pic:pic xmlns:pic="http://schemas.openxmlformats.org/drawingml/2006/picture">
                        <pic:nvPicPr>
                          <pic:cNvPr id="3378" name="图片_1_SpCnt_7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28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79" name="图片_1_SpCnt_773"/>
                  <wp:cNvGraphicFramePr/>
                  <a:graphic xmlns:a="http://schemas.openxmlformats.org/drawingml/2006/main">
                    <a:graphicData uri="http://schemas.openxmlformats.org/drawingml/2006/picture">
                      <pic:pic xmlns:pic="http://schemas.openxmlformats.org/drawingml/2006/picture">
                        <pic:nvPicPr>
                          <pic:cNvPr id="3379" name="图片_1_SpCnt_7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38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0" name="图片_1_SpCnt_774"/>
                  <wp:cNvGraphicFramePr/>
                  <a:graphic xmlns:a="http://schemas.openxmlformats.org/drawingml/2006/main">
                    <a:graphicData uri="http://schemas.openxmlformats.org/drawingml/2006/picture">
                      <pic:pic xmlns:pic="http://schemas.openxmlformats.org/drawingml/2006/picture">
                        <pic:nvPicPr>
                          <pic:cNvPr id="3380" name="图片_1_SpCnt_7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4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1" name="图片_1_SpCnt_775"/>
                  <wp:cNvGraphicFramePr/>
                  <a:graphic xmlns:a="http://schemas.openxmlformats.org/drawingml/2006/main">
                    <a:graphicData uri="http://schemas.openxmlformats.org/drawingml/2006/picture">
                      <pic:pic xmlns:pic="http://schemas.openxmlformats.org/drawingml/2006/picture">
                        <pic:nvPicPr>
                          <pic:cNvPr id="3381" name="图片_1_SpCnt_7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5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2" name="图片_1_SpCnt_776"/>
                  <wp:cNvGraphicFramePr/>
                  <a:graphic xmlns:a="http://schemas.openxmlformats.org/drawingml/2006/main">
                    <a:graphicData uri="http://schemas.openxmlformats.org/drawingml/2006/picture">
                      <pic:pic xmlns:pic="http://schemas.openxmlformats.org/drawingml/2006/picture">
                        <pic:nvPicPr>
                          <pic:cNvPr id="3382" name="图片_1_SpCnt_7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69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3" name="图片_1_SpCnt_777"/>
                  <wp:cNvGraphicFramePr/>
                  <a:graphic xmlns:a="http://schemas.openxmlformats.org/drawingml/2006/main">
                    <a:graphicData uri="http://schemas.openxmlformats.org/drawingml/2006/picture">
                      <pic:pic xmlns:pic="http://schemas.openxmlformats.org/drawingml/2006/picture">
                        <pic:nvPicPr>
                          <pic:cNvPr id="3383" name="图片_1_SpCnt_7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79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4" name="图片_1_SpCnt_778"/>
                  <wp:cNvGraphicFramePr/>
                  <a:graphic xmlns:a="http://schemas.openxmlformats.org/drawingml/2006/main">
                    <a:graphicData uri="http://schemas.openxmlformats.org/drawingml/2006/picture">
                      <pic:pic xmlns:pic="http://schemas.openxmlformats.org/drawingml/2006/picture">
                        <pic:nvPicPr>
                          <pic:cNvPr id="3384" name="图片_1_SpCnt_7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8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5" name="图片_1_SpCnt_779"/>
                  <wp:cNvGraphicFramePr/>
                  <a:graphic xmlns:a="http://schemas.openxmlformats.org/drawingml/2006/main">
                    <a:graphicData uri="http://schemas.openxmlformats.org/drawingml/2006/picture">
                      <pic:pic xmlns:pic="http://schemas.openxmlformats.org/drawingml/2006/picture">
                        <pic:nvPicPr>
                          <pic:cNvPr id="3385" name="图片_1_SpCnt_7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299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6" name="图片_1_SpCnt_780"/>
                  <wp:cNvGraphicFramePr/>
                  <a:graphic xmlns:a="http://schemas.openxmlformats.org/drawingml/2006/main">
                    <a:graphicData uri="http://schemas.openxmlformats.org/drawingml/2006/picture">
                      <pic:pic xmlns:pic="http://schemas.openxmlformats.org/drawingml/2006/picture">
                        <pic:nvPicPr>
                          <pic:cNvPr id="3386" name="图片_1_SpCnt_7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1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7" name="图片_1_SpCnt_781"/>
                  <wp:cNvGraphicFramePr/>
                  <a:graphic xmlns:a="http://schemas.openxmlformats.org/drawingml/2006/main">
                    <a:graphicData uri="http://schemas.openxmlformats.org/drawingml/2006/picture">
                      <pic:pic xmlns:pic="http://schemas.openxmlformats.org/drawingml/2006/picture">
                        <pic:nvPicPr>
                          <pic:cNvPr id="3387" name="图片_1_SpCnt_7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2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8" name="图片_1_SpCnt_782"/>
                  <wp:cNvGraphicFramePr/>
                  <a:graphic xmlns:a="http://schemas.openxmlformats.org/drawingml/2006/main">
                    <a:graphicData uri="http://schemas.openxmlformats.org/drawingml/2006/picture">
                      <pic:pic xmlns:pic="http://schemas.openxmlformats.org/drawingml/2006/picture">
                        <pic:nvPicPr>
                          <pic:cNvPr id="3388" name="图片_1_SpCnt_7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30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89" name="图片_1_SpCnt_783"/>
                  <wp:cNvGraphicFramePr/>
                  <a:graphic xmlns:a="http://schemas.openxmlformats.org/drawingml/2006/main">
                    <a:graphicData uri="http://schemas.openxmlformats.org/drawingml/2006/picture">
                      <pic:pic xmlns:pic="http://schemas.openxmlformats.org/drawingml/2006/picture">
                        <pic:nvPicPr>
                          <pic:cNvPr id="3389" name="图片_1_SpCnt_7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40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0" name="图片_1_SpCnt_784"/>
                  <wp:cNvGraphicFramePr/>
                  <a:graphic xmlns:a="http://schemas.openxmlformats.org/drawingml/2006/main">
                    <a:graphicData uri="http://schemas.openxmlformats.org/drawingml/2006/picture">
                      <pic:pic xmlns:pic="http://schemas.openxmlformats.org/drawingml/2006/picture">
                        <pic:nvPicPr>
                          <pic:cNvPr id="3390" name="图片_1_SpCnt_7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5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1" name="图片_1_SpCnt_785"/>
                  <wp:cNvGraphicFramePr/>
                  <a:graphic xmlns:a="http://schemas.openxmlformats.org/drawingml/2006/main">
                    <a:graphicData uri="http://schemas.openxmlformats.org/drawingml/2006/picture">
                      <pic:pic xmlns:pic="http://schemas.openxmlformats.org/drawingml/2006/picture">
                        <pic:nvPicPr>
                          <pic:cNvPr id="3391" name="图片_1_SpCnt_7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6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2" name="图片_1_SpCnt_786"/>
                  <wp:cNvGraphicFramePr/>
                  <a:graphic xmlns:a="http://schemas.openxmlformats.org/drawingml/2006/main">
                    <a:graphicData uri="http://schemas.openxmlformats.org/drawingml/2006/picture">
                      <pic:pic xmlns:pic="http://schemas.openxmlformats.org/drawingml/2006/picture">
                        <pic:nvPicPr>
                          <pic:cNvPr id="3392" name="图片_1_SpCnt_7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71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3" name="图片_1_SpCnt_787"/>
                  <wp:cNvGraphicFramePr/>
                  <a:graphic xmlns:a="http://schemas.openxmlformats.org/drawingml/2006/main">
                    <a:graphicData uri="http://schemas.openxmlformats.org/drawingml/2006/picture">
                      <pic:pic xmlns:pic="http://schemas.openxmlformats.org/drawingml/2006/picture">
                        <pic:nvPicPr>
                          <pic:cNvPr id="3393" name="图片_1_SpCnt_7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81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4" name="图片_1_SpCnt_788"/>
                  <wp:cNvGraphicFramePr/>
                  <a:graphic xmlns:a="http://schemas.openxmlformats.org/drawingml/2006/main">
                    <a:graphicData uri="http://schemas.openxmlformats.org/drawingml/2006/picture">
                      <pic:pic xmlns:pic="http://schemas.openxmlformats.org/drawingml/2006/picture">
                        <pic:nvPicPr>
                          <pic:cNvPr id="3394" name="图片_1_SpCnt_7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392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5" name="图片_1_SpCnt_789"/>
                  <wp:cNvGraphicFramePr/>
                  <a:graphic xmlns:a="http://schemas.openxmlformats.org/drawingml/2006/main">
                    <a:graphicData uri="http://schemas.openxmlformats.org/drawingml/2006/picture">
                      <pic:pic xmlns:pic="http://schemas.openxmlformats.org/drawingml/2006/picture">
                        <pic:nvPicPr>
                          <pic:cNvPr id="3395" name="图片_1_SpCnt_7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732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779" name="图片_1_SpCnt_790"/>
                  <wp:cNvGraphicFramePr/>
                  <a:graphic xmlns:a="http://schemas.openxmlformats.org/drawingml/2006/main">
                    <a:graphicData uri="http://schemas.openxmlformats.org/drawingml/2006/picture">
                      <pic:pic xmlns:pic="http://schemas.openxmlformats.org/drawingml/2006/picture">
                        <pic:nvPicPr>
                          <pic:cNvPr id="3779" name="图片_1_SpCnt_7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02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6" name="图片_1_SpCnt_791"/>
                  <wp:cNvGraphicFramePr/>
                  <a:graphic xmlns:a="http://schemas.openxmlformats.org/drawingml/2006/main">
                    <a:graphicData uri="http://schemas.openxmlformats.org/drawingml/2006/picture">
                      <pic:pic xmlns:pic="http://schemas.openxmlformats.org/drawingml/2006/picture">
                        <pic:nvPicPr>
                          <pic:cNvPr id="3396" name="图片_1_SpCnt_7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1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7" name="图片_1_SpCnt_792"/>
                  <wp:cNvGraphicFramePr/>
                  <a:graphic xmlns:a="http://schemas.openxmlformats.org/drawingml/2006/main">
                    <a:graphicData uri="http://schemas.openxmlformats.org/drawingml/2006/picture">
                      <pic:pic xmlns:pic="http://schemas.openxmlformats.org/drawingml/2006/picture">
                        <pic:nvPicPr>
                          <pic:cNvPr id="3397" name="图片_1_SpCnt_7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22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8" name="图片_1_SpCnt_793"/>
                  <wp:cNvGraphicFramePr/>
                  <a:graphic xmlns:a="http://schemas.openxmlformats.org/drawingml/2006/main">
                    <a:graphicData uri="http://schemas.openxmlformats.org/drawingml/2006/picture">
                      <pic:pic xmlns:pic="http://schemas.openxmlformats.org/drawingml/2006/picture">
                        <pic:nvPicPr>
                          <pic:cNvPr id="3398" name="图片_1_SpCnt_7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32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399" name="图片_1_SpCnt_794"/>
                  <wp:cNvGraphicFramePr/>
                  <a:graphic xmlns:a="http://schemas.openxmlformats.org/drawingml/2006/main">
                    <a:graphicData uri="http://schemas.openxmlformats.org/drawingml/2006/picture">
                      <pic:pic xmlns:pic="http://schemas.openxmlformats.org/drawingml/2006/picture">
                        <pic:nvPicPr>
                          <pic:cNvPr id="3399" name="图片_1_SpCnt_7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4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0" name="图片_1_SpCnt_795"/>
                  <wp:cNvGraphicFramePr/>
                  <a:graphic xmlns:a="http://schemas.openxmlformats.org/drawingml/2006/main">
                    <a:graphicData uri="http://schemas.openxmlformats.org/drawingml/2006/picture">
                      <pic:pic xmlns:pic="http://schemas.openxmlformats.org/drawingml/2006/picture">
                        <pic:nvPicPr>
                          <pic:cNvPr id="3400" name="图片_1_SpCnt_7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53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1" name="图片_1_SpCnt_796"/>
                  <wp:cNvGraphicFramePr/>
                  <a:graphic xmlns:a="http://schemas.openxmlformats.org/drawingml/2006/main">
                    <a:graphicData uri="http://schemas.openxmlformats.org/drawingml/2006/picture">
                      <pic:pic xmlns:pic="http://schemas.openxmlformats.org/drawingml/2006/picture">
                        <pic:nvPicPr>
                          <pic:cNvPr id="3401" name="图片_1_SpCnt_7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63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2" name="图片_1_SpCnt_797"/>
                  <wp:cNvGraphicFramePr/>
                  <a:graphic xmlns:a="http://schemas.openxmlformats.org/drawingml/2006/main">
                    <a:graphicData uri="http://schemas.openxmlformats.org/drawingml/2006/picture">
                      <pic:pic xmlns:pic="http://schemas.openxmlformats.org/drawingml/2006/picture">
                        <pic:nvPicPr>
                          <pic:cNvPr id="3402" name="图片_1_SpCnt_7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35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05" name="图片_1_SpCnt_798"/>
                  <wp:cNvGraphicFramePr/>
                  <a:graphic xmlns:a="http://schemas.openxmlformats.org/drawingml/2006/main">
                    <a:graphicData uri="http://schemas.openxmlformats.org/drawingml/2006/picture">
                      <pic:pic xmlns:pic="http://schemas.openxmlformats.org/drawingml/2006/picture">
                        <pic:nvPicPr>
                          <pic:cNvPr id="2805" name="图片_1_SpCnt_7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24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92" name="图片_1_SpCnt_799"/>
                  <wp:cNvGraphicFramePr/>
                  <a:graphic xmlns:a="http://schemas.openxmlformats.org/drawingml/2006/main">
                    <a:graphicData uri="http://schemas.openxmlformats.org/drawingml/2006/picture">
                      <pic:pic xmlns:pic="http://schemas.openxmlformats.org/drawingml/2006/picture">
                        <pic:nvPicPr>
                          <pic:cNvPr id="2892" name="图片_1_SpCnt_7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575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27" name="图片_1_SpCnt_800"/>
                  <wp:cNvGraphicFramePr/>
                  <a:graphic xmlns:a="http://schemas.openxmlformats.org/drawingml/2006/main">
                    <a:graphicData uri="http://schemas.openxmlformats.org/drawingml/2006/picture">
                      <pic:pic xmlns:pic="http://schemas.openxmlformats.org/drawingml/2006/picture">
                        <pic:nvPicPr>
                          <pic:cNvPr id="2827" name="图片_1_SpCnt_8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565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26" name="图片_1_SpCnt_801"/>
                  <wp:cNvGraphicFramePr/>
                  <a:graphic xmlns:a="http://schemas.openxmlformats.org/drawingml/2006/main">
                    <a:graphicData uri="http://schemas.openxmlformats.org/drawingml/2006/picture">
                      <pic:pic xmlns:pic="http://schemas.openxmlformats.org/drawingml/2006/picture">
                        <pic:nvPicPr>
                          <pic:cNvPr id="2826" name="图片_1_SpCnt_8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534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23" name="图片_1_SpCnt_802"/>
                  <wp:cNvGraphicFramePr/>
                  <a:graphic xmlns:a="http://schemas.openxmlformats.org/drawingml/2006/main">
                    <a:graphicData uri="http://schemas.openxmlformats.org/drawingml/2006/picture">
                      <pic:pic xmlns:pic="http://schemas.openxmlformats.org/drawingml/2006/picture">
                        <pic:nvPicPr>
                          <pic:cNvPr id="2823" name="图片_1_SpCnt_8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514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21" name="图片_1_SpCnt_803"/>
                  <wp:cNvGraphicFramePr/>
                  <a:graphic xmlns:a="http://schemas.openxmlformats.org/drawingml/2006/main">
                    <a:graphicData uri="http://schemas.openxmlformats.org/drawingml/2006/picture">
                      <pic:pic xmlns:pic="http://schemas.openxmlformats.org/drawingml/2006/picture">
                        <pic:nvPicPr>
                          <pic:cNvPr id="2821" name="图片_1_SpCnt_8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504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20" name="图片_1_SpCnt_804"/>
                  <wp:cNvGraphicFramePr/>
                  <a:graphic xmlns:a="http://schemas.openxmlformats.org/drawingml/2006/main">
                    <a:graphicData uri="http://schemas.openxmlformats.org/drawingml/2006/picture">
                      <pic:pic xmlns:pic="http://schemas.openxmlformats.org/drawingml/2006/picture">
                        <pic:nvPicPr>
                          <pic:cNvPr id="2820" name="图片_1_SpCnt_8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483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18" name="图片_1_SpCnt_805"/>
                  <wp:cNvGraphicFramePr/>
                  <a:graphic xmlns:a="http://schemas.openxmlformats.org/drawingml/2006/main">
                    <a:graphicData uri="http://schemas.openxmlformats.org/drawingml/2006/picture">
                      <pic:pic xmlns:pic="http://schemas.openxmlformats.org/drawingml/2006/picture">
                        <pic:nvPicPr>
                          <pic:cNvPr id="2818" name="图片_1_SpCnt_8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45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15" name="图片_1_SpCnt_806"/>
                  <wp:cNvGraphicFramePr/>
                  <a:graphic xmlns:a="http://schemas.openxmlformats.org/drawingml/2006/main">
                    <a:graphicData uri="http://schemas.openxmlformats.org/drawingml/2006/picture">
                      <pic:pic xmlns:pic="http://schemas.openxmlformats.org/drawingml/2006/picture">
                        <pic:nvPicPr>
                          <pic:cNvPr id="2815" name="图片_1_SpCnt_8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43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13" name="图片_1_SpCnt_807"/>
                  <wp:cNvGraphicFramePr/>
                  <a:graphic xmlns:a="http://schemas.openxmlformats.org/drawingml/2006/main">
                    <a:graphicData uri="http://schemas.openxmlformats.org/drawingml/2006/picture">
                      <pic:pic xmlns:pic="http://schemas.openxmlformats.org/drawingml/2006/picture">
                        <pic:nvPicPr>
                          <pic:cNvPr id="2813" name="图片_1_SpCnt_8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42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12" name="图片_1_SpCnt_808"/>
                  <wp:cNvGraphicFramePr/>
                  <a:graphic xmlns:a="http://schemas.openxmlformats.org/drawingml/2006/main">
                    <a:graphicData uri="http://schemas.openxmlformats.org/drawingml/2006/picture">
                      <pic:pic xmlns:pic="http://schemas.openxmlformats.org/drawingml/2006/picture">
                        <pic:nvPicPr>
                          <pic:cNvPr id="2812" name="图片_1_SpCnt_8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41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11" name="图片_1_SpCnt_809"/>
                  <wp:cNvGraphicFramePr/>
                  <a:graphic xmlns:a="http://schemas.openxmlformats.org/drawingml/2006/main">
                    <a:graphicData uri="http://schemas.openxmlformats.org/drawingml/2006/picture">
                      <pic:pic xmlns:pic="http://schemas.openxmlformats.org/drawingml/2006/picture">
                        <pic:nvPicPr>
                          <pic:cNvPr id="2811" name="图片_1_SpCnt_8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32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03" name="图片_1_SpCnt_810"/>
                  <wp:cNvGraphicFramePr/>
                  <a:graphic xmlns:a="http://schemas.openxmlformats.org/drawingml/2006/main">
                    <a:graphicData uri="http://schemas.openxmlformats.org/drawingml/2006/picture">
                      <pic:pic xmlns:pic="http://schemas.openxmlformats.org/drawingml/2006/picture">
                        <pic:nvPicPr>
                          <pic:cNvPr id="2803" name="图片_1_SpCnt_8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30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01" name="图片_1_SpCnt_811"/>
                  <wp:cNvGraphicFramePr/>
                  <a:graphic xmlns:a="http://schemas.openxmlformats.org/drawingml/2006/main">
                    <a:graphicData uri="http://schemas.openxmlformats.org/drawingml/2006/picture">
                      <pic:pic xmlns:pic="http://schemas.openxmlformats.org/drawingml/2006/picture">
                        <pic:nvPicPr>
                          <pic:cNvPr id="2801" name="图片_1_SpCnt_8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29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800" name="图片_1_SpCnt_812"/>
                  <wp:cNvGraphicFramePr/>
                  <a:graphic xmlns:a="http://schemas.openxmlformats.org/drawingml/2006/main">
                    <a:graphicData uri="http://schemas.openxmlformats.org/drawingml/2006/picture">
                      <pic:pic xmlns:pic="http://schemas.openxmlformats.org/drawingml/2006/picture">
                        <pic:nvPicPr>
                          <pic:cNvPr id="2800" name="图片_1_SpCnt_8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7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3" name="图片_1_SpCnt_813"/>
                  <wp:cNvGraphicFramePr/>
                  <a:graphic xmlns:a="http://schemas.openxmlformats.org/drawingml/2006/main">
                    <a:graphicData uri="http://schemas.openxmlformats.org/drawingml/2006/picture">
                      <pic:pic xmlns:pic="http://schemas.openxmlformats.org/drawingml/2006/picture">
                        <pic:nvPicPr>
                          <pic:cNvPr id="3403" name="图片_1_SpCnt_8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18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89" name="图片_1_SpCnt_814"/>
                  <wp:cNvGraphicFramePr/>
                  <a:graphic xmlns:a="http://schemas.openxmlformats.org/drawingml/2006/main">
                    <a:graphicData uri="http://schemas.openxmlformats.org/drawingml/2006/picture">
                      <pic:pic xmlns:pic="http://schemas.openxmlformats.org/drawingml/2006/picture">
                        <pic:nvPicPr>
                          <pic:cNvPr id="2789" name="图片_1_SpCnt_8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714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785" name="图片_1_SpCnt_815"/>
                  <wp:cNvGraphicFramePr/>
                  <a:graphic xmlns:a="http://schemas.openxmlformats.org/drawingml/2006/main">
                    <a:graphicData uri="http://schemas.openxmlformats.org/drawingml/2006/picture">
                      <pic:pic xmlns:pic="http://schemas.openxmlformats.org/drawingml/2006/picture">
                        <pic:nvPicPr>
                          <pic:cNvPr id="2785" name="图片_1_SpCnt_8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8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4" name="图片_1_SpCnt_816"/>
                  <wp:cNvGraphicFramePr/>
                  <a:graphic xmlns:a="http://schemas.openxmlformats.org/drawingml/2006/main">
                    <a:graphicData uri="http://schemas.openxmlformats.org/drawingml/2006/picture">
                      <pic:pic xmlns:pic="http://schemas.openxmlformats.org/drawingml/2006/picture">
                        <pic:nvPicPr>
                          <pic:cNvPr id="3404" name="图片_1_SpCnt_8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494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5" name="图片_1_SpCnt_817"/>
                  <wp:cNvGraphicFramePr/>
                  <a:graphic xmlns:a="http://schemas.openxmlformats.org/drawingml/2006/main">
                    <a:graphicData uri="http://schemas.openxmlformats.org/drawingml/2006/picture">
                      <pic:pic xmlns:pic="http://schemas.openxmlformats.org/drawingml/2006/picture">
                        <pic:nvPicPr>
                          <pic:cNvPr id="3405" name="图片_1_SpCnt_8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04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6" name="图片_1_SpCnt_818"/>
                  <wp:cNvGraphicFramePr/>
                  <a:graphic xmlns:a="http://schemas.openxmlformats.org/drawingml/2006/main">
                    <a:graphicData uri="http://schemas.openxmlformats.org/drawingml/2006/picture">
                      <pic:pic xmlns:pic="http://schemas.openxmlformats.org/drawingml/2006/picture">
                        <pic:nvPicPr>
                          <pic:cNvPr id="3406" name="图片_1_SpCnt_8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1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7" name="图片_1_SpCnt_819"/>
                  <wp:cNvGraphicFramePr/>
                  <a:graphic xmlns:a="http://schemas.openxmlformats.org/drawingml/2006/main">
                    <a:graphicData uri="http://schemas.openxmlformats.org/drawingml/2006/picture">
                      <pic:pic xmlns:pic="http://schemas.openxmlformats.org/drawingml/2006/picture">
                        <pic:nvPicPr>
                          <pic:cNvPr id="3407" name="图片_1_SpCnt_8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25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8" name="图片_1_SpCnt_820"/>
                  <wp:cNvGraphicFramePr/>
                  <a:graphic xmlns:a="http://schemas.openxmlformats.org/drawingml/2006/main">
                    <a:graphicData uri="http://schemas.openxmlformats.org/drawingml/2006/picture">
                      <pic:pic xmlns:pic="http://schemas.openxmlformats.org/drawingml/2006/picture">
                        <pic:nvPicPr>
                          <pic:cNvPr id="3408" name="图片_1_SpCnt_8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35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09" name="图片_1_SpCnt_821"/>
                  <wp:cNvGraphicFramePr/>
                  <a:graphic xmlns:a="http://schemas.openxmlformats.org/drawingml/2006/main">
                    <a:graphicData uri="http://schemas.openxmlformats.org/drawingml/2006/picture">
                      <pic:pic xmlns:pic="http://schemas.openxmlformats.org/drawingml/2006/picture">
                        <pic:nvPicPr>
                          <pic:cNvPr id="3409" name="图片_1_SpCnt_8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4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0" name="图片_1_SpCnt_822"/>
                  <wp:cNvGraphicFramePr/>
                  <a:graphic xmlns:a="http://schemas.openxmlformats.org/drawingml/2006/main">
                    <a:graphicData uri="http://schemas.openxmlformats.org/drawingml/2006/picture">
                      <pic:pic xmlns:pic="http://schemas.openxmlformats.org/drawingml/2006/picture">
                        <pic:nvPicPr>
                          <pic:cNvPr id="3410" name="图片_1_SpCnt_8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5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1" name="图片_1_SpCnt_823"/>
                  <wp:cNvGraphicFramePr/>
                  <a:graphic xmlns:a="http://schemas.openxmlformats.org/drawingml/2006/main">
                    <a:graphicData uri="http://schemas.openxmlformats.org/drawingml/2006/picture">
                      <pic:pic xmlns:pic="http://schemas.openxmlformats.org/drawingml/2006/picture">
                        <pic:nvPicPr>
                          <pic:cNvPr id="3411" name="图片_1_SpCnt_8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6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2" name="图片_1_SpCnt_824"/>
                  <wp:cNvGraphicFramePr/>
                  <a:graphic xmlns:a="http://schemas.openxmlformats.org/drawingml/2006/main">
                    <a:graphicData uri="http://schemas.openxmlformats.org/drawingml/2006/picture">
                      <pic:pic xmlns:pic="http://schemas.openxmlformats.org/drawingml/2006/picture">
                        <pic:nvPicPr>
                          <pic:cNvPr id="3412" name="图片_1_SpCnt_8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76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3" name="图片_1_SpCnt_825"/>
                  <wp:cNvGraphicFramePr/>
                  <a:graphic xmlns:a="http://schemas.openxmlformats.org/drawingml/2006/main">
                    <a:graphicData uri="http://schemas.openxmlformats.org/drawingml/2006/picture">
                      <pic:pic xmlns:pic="http://schemas.openxmlformats.org/drawingml/2006/picture">
                        <pic:nvPicPr>
                          <pic:cNvPr id="3413" name="图片_1_SpCnt_8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8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4" name="图片_1_SpCnt_826"/>
                  <wp:cNvGraphicFramePr/>
                  <a:graphic xmlns:a="http://schemas.openxmlformats.org/drawingml/2006/main">
                    <a:graphicData uri="http://schemas.openxmlformats.org/drawingml/2006/picture">
                      <pic:pic xmlns:pic="http://schemas.openxmlformats.org/drawingml/2006/picture">
                        <pic:nvPicPr>
                          <pic:cNvPr id="3414" name="图片_1_SpCnt_8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62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29" name="图片_1_SpCnt_827"/>
                  <wp:cNvGraphicFramePr/>
                  <a:graphic xmlns:a="http://schemas.openxmlformats.org/drawingml/2006/main">
                    <a:graphicData uri="http://schemas.openxmlformats.org/drawingml/2006/picture">
                      <pic:pic xmlns:pic="http://schemas.openxmlformats.org/drawingml/2006/picture">
                        <pic:nvPicPr>
                          <pic:cNvPr id="2929" name="图片_1_SpCnt_8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596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5" name="图片_1_SpCnt_828"/>
                  <wp:cNvGraphicFramePr/>
                  <a:graphic xmlns:a="http://schemas.openxmlformats.org/drawingml/2006/main">
                    <a:graphicData uri="http://schemas.openxmlformats.org/drawingml/2006/picture">
                      <pic:pic xmlns:pic="http://schemas.openxmlformats.org/drawingml/2006/picture">
                        <pic:nvPicPr>
                          <pic:cNvPr id="3415" name="图片_1_SpCnt_8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07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6" name="图片_1_SpCnt_829"/>
                  <wp:cNvGraphicFramePr/>
                  <a:graphic xmlns:a="http://schemas.openxmlformats.org/drawingml/2006/main">
                    <a:graphicData uri="http://schemas.openxmlformats.org/drawingml/2006/picture">
                      <pic:pic xmlns:pic="http://schemas.openxmlformats.org/drawingml/2006/picture">
                        <pic:nvPicPr>
                          <pic:cNvPr id="3416" name="图片_1_SpCnt_8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17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7" name="图片_1_SpCnt_830"/>
                  <wp:cNvGraphicFramePr/>
                  <a:graphic xmlns:a="http://schemas.openxmlformats.org/drawingml/2006/main">
                    <a:graphicData uri="http://schemas.openxmlformats.org/drawingml/2006/picture">
                      <pic:pic xmlns:pic="http://schemas.openxmlformats.org/drawingml/2006/picture">
                        <pic:nvPicPr>
                          <pic:cNvPr id="3417" name="图片_1_SpCnt_8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27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8" name="图片_1_SpCnt_831"/>
                  <wp:cNvGraphicFramePr/>
                  <a:graphic xmlns:a="http://schemas.openxmlformats.org/drawingml/2006/main">
                    <a:graphicData uri="http://schemas.openxmlformats.org/drawingml/2006/picture">
                      <pic:pic xmlns:pic="http://schemas.openxmlformats.org/drawingml/2006/picture">
                        <pic:nvPicPr>
                          <pic:cNvPr id="3418" name="图片_1_SpCnt_8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37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19" name="图片_1_SpCnt_832"/>
                  <wp:cNvGraphicFramePr/>
                  <a:graphic xmlns:a="http://schemas.openxmlformats.org/drawingml/2006/main">
                    <a:graphicData uri="http://schemas.openxmlformats.org/drawingml/2006/picture">
                      <pic:pic xmlns:pic="http://schemas.openxmlformats.org/drawingml/2006/picture">
                        <pic:nvPicPr>
                          <pic:cNvPr id="3419" name="图片_1_SpCnt_8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48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20" name="图片_1_SpCnt_833"/>
                  <wp:cNvGraphicFramePr/>
                  <a:graphic xmlns:a="http://schemas.openxmlformats.org/drawingml/2006/main">
                    <a:graphicData uri="http://schemas.openxmlformats.org/drawingml/2006/picture">
                      <pic:pic xmlns:pic="http://schemas.openxmlformats.org/drawingml/2006/picture">
                        <pic:nvPicPr>
                          <pic:cNvPr id="3420" name="图片_1_SpCnt_8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5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21" name="图片_1_SpCnt_834"/>
                  <wp:cNvGraphicFramePr/>
                  <a:graphic xmlns:a="http://schemas.openxmlformats.org/drawingml/2006/main">
                    <a:graphicData uri="http://schemas.openxmlformats.org/drawingml/2006/picture">
                      <pic:pic xmlns:pic="http://schemas.openxmlformats.org/drawingml/2006/picture">
                        <pic:nvPicPr>
                          <pic:cNvPr id="3421" name="图片_1_SpCnt_8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6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22" name="图片_1_SpCnt_835"/>
                  <wp:cNvGraphicFramePr/>
                  <a:graphic xmlns:a="http://schemas.openxmlformats.org/drawingml/2006/main">
                    <a:graphicData uri="http://schemas.openxmlformats.org/drawingml/2006/picture">
                      <pic:pic xmlns:pic="http://schemas.openxmlformats.org/drawingml/2006/picture">
                        <pic:nvPicPr>
                          <pic:cNvPr id="3422" name="图片_1_SpCnt_8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282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2" name="图片_1_SpCnt_836"/>
                  <wp:cNvGraphicFramePr/>
                  <a:graphic xmlns:a="http://schemas.openxmlformats.org/drawingml/2006/main">
                    <a:graphicData uri="http://schemas.openxmlformats.org/drawingml/2006/picture">
                      <pic:pic xmlns:pic="http://schemas.openxmlformats.org/drawingml/2006/picture">
                        <pic:nvPicPr>
                          <pic:cNvPr id="3482" name="图片_1_SpCnt_8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293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3" name="图片_1_SpCnt_837"/>
                  <wp:cNvGraphicFramePr/>
                  <a:graphic xmlns:a="http://schemas.openxmlformats.org/drawingml/2006/main">
                    <a:graphicData uri="http://schemas.openxmlformats.org/drawingml/2006/picture">
                      <pic:pic xmlns:pic="http://schemas.openxmlformats.org/drawingml/2006/picture">
                        <pic:nvPicPr>
                          <pic:cNvPr id="3483" name="图片_1_SpCnt_8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03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4" name="图片_1_SpCnt_838"/>
                  <wp:cNvGraphicFramePr/>
                  <a:graphic xmlns:a="http://schemas.openxmlformats.org/drawingml/2006/main">
                    <a:graphicData uri="http://schemas.openxmlformats.org/drawingml/2006/picture">
                      <pic:pic xmlns:pic="http://schemas.openxmlformats.org/drawingml/2006/picture">
                        <pic:nvPicPr>
                          <pic:cNvPr id="3484" name="图片_1_SpCnt_8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13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5" name="图片_1_SpCnt_839"/>
                  <wp:cNvGraphicFramePr/>
                  <a:graphic xmlns:a="http://schemas.openxmlformats.org/drawingml/2006/main">
                    <a:graphicData uri="http://schemas.openxmlformats.org/drawingml/2006/picture">
                      <pic:pic xmlns:pic="http://schemas.openxmlformats.org/drawingml/2006/picture">
                        <pic:nvPicPr>
                          <pic:cNvPr id="3485" name="图片_1_SpCnt_8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23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6" name="图片_1_SpCnt_840"/>
                  <wp:cNvGraphicFramePr/>
                  <a:graphic xmlns:a="http://schemas.openxmlformats.org/drawingml/2006/main">
                    <a:graphicData uri="http://schemas.openxmlformats.org/drawingml/2006/picture">
                      <pic:pic xmlns:pic="http://schemas.openxmlformats.org/drawingml/2006/picture">
                        <pic:nvPicPr>
                          <pic:cNvPr id="3486" name="图片_1_SpCnt_8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34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7" name="图片_1_SpCnt_841"/>
                  <wp:cNvGraphicFramePr/>
                  <a:graphic xmlns:a="http://schemas.openxmlformats.org/drawingml/2006/main">
                    <a:graphicData uri="http://schemas.openxmlformats.org/drawingml/2006/picture">
                      <pic:pic xmlns:pic="http://schemas.openxmlformats.org/drawingml/2006/picture">
                        <pic:nvPicPr>
                          <pic:cNvPr id="3487" name="图片_1_SpCnt_8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7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23" name="图片_1_SpCnt_842"/>
                  <wp:cNvGraphicFramePr/>
                  <a:graphic xmlns:a="http://schemas.openxmlformats.org/drawingml/2006/main">
                    <a:graphicData uri="http://schemas.openxmlformats.org/drawingml/2006/picture">
                      <pic:pic xmlns:pic="http://schemas.openxmlformats.org/drawingml/2006/picture">
                        <pic:nvPicPr>
                          <pic:cNvPr id="3423" name="图片_1_SpCnt_8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44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8" name="图片_1_SpCnt_843"/>
                  <wp:cNvGraphicFramePr/>
                  <a:graphic xmlns:a="http://schemas.openxmlformats.org/drawingml/2006/main">
                    <a:graphicData uri="http://schemas.openxmlformats.org/drawingml/2006/picture">
                      <pic:pic xmlns:pic="http://schemas.openxmlformats.org/drawingml/2006/picture">
                        <pic:nvPicPr>
                          <pic:cNvPr id="3488" name="图片_1_SpCnt_8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54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89" name="图片_1_SpCnt_844"/>
                  <wp:cNvGraphicFramePr/>
                  <a:graphic xmlns:a="http://schemas.openxmlformats.org/drawingml/2006/main">
                    <a:graphicData uri="http://schemas.openxmlformats.org/drawingml/2006/picture">
                      <pic:pic xmlns:pic="http://schemas.openxmlformats.org/drawingml/2006/picture">
                        <pic:nvPicPr>
                          <pic:cNvPr id="3489" name="图片_1_SpCnt_8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64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0" name="图片_1_SpCnt_845"/>
                  <wp:cNvGraphicFramePr/>
                  <a:graphic xmlns:a="http://schemas.openxmlformats.org/drawingml/2006/main">
                    <a:graphicData uri="http://schemas.openxmlformats.org/drawingml/2006/picture">
                      <pic:pic xmlns:pic="http://schemas.openxmlformats.org/drawingml/2006/picture">
                        <pic:nvPicPr>
                          <pic:cNvPr id="3490" name="图片_1_SpCnt_8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75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1" name="图片_1_SpCnt_846"/>
                  <wp:cNvGraphicFramePr/>
                  <a:graphic xmlns:a="http://schemas.openxmlformats.org/drawingml/2006/main">
                    <a:graphicData uri="http://schemas.openxmlformats.org/drawingml/2006/picture">
                      <pic:pic xmlns:pic="http://schemas.openxmlformats.org/drawingml/2006/picture">
                        <pic:nvPicPr>
                          <pic:cNvPr id="3491" name="图片_1_SpCnt_8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85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2" name="图片_1_SpCnt_847"/>
                  <wp:cNvGraphicFramePr/>
                  <a:graphic xmlns:a="http://schemas.openxmlformats.org/drawingml/2006/main">
                    <a:graphicData uri="http://schemas.openxmlformats.org/drawingml/2006/picture">
                      <pic:pic xmlns:pic="http://schemas.openxmlformats.org/drawingml/2006/picture">
                        <pic:nvPicPr>
                          <pic:cNvPr id="3492" name="图片_1_SpCnt_8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395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3" name="图片_1_SpCnt_848"/>
                  <wp:cNvGraphicFramePr/>
                  <a:graphic xmlns:a="http://schemas.openxmlformats.org/drawingml/2006/main">
                    <a:graphicData uri="http://schemas.openxmlformats.org/drawingml/2006/picture">
                      <pic:pic xmlns:pic="http://schemas.openxmlformats.org/drawingml/2006/picture">
                        <pic:nvPicPr>
                          <pic:cNvPr id="3493" name="图片_1_SpCnt_8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05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4" name="图片_1_SpCnt_849"/>
                  <wp:cNvGraphicFramePr/>
                  <a:graphic xmlns:a="http://schemas.openxmlformats.org/drawingml/2006/main">
                    <a:graphicData uri="http://schemas.openxmlformats.org/drawingml/2006/picture">
                      <pic:pic xmlns:pic="http://schemas.openxmlformats.org/drawingml/2006/picture">
                        <pic:nvPicPr>
                          <pic:cNvPr id="3494" name="图片_1_SpCnt_8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16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5" name="图片_1_SpCnt_850"/>
                  <wp:cNvGraphicFramePr/>
                  <a:graphic xmlns:a="http://schemas.openxmlformats.org/drawingml/2006/main">
                    <a:graphicData uri="http://schemas.openxmlformats.org/drawingml/2006/picture">
                      <pic:pic xmlns:pic="http://schemas.openxmlformats.org/drawingml/2006/picture">
                        <pic:nvPicPr>
                          <pic:cNvPr id="3495" name="图片_1_SpCnt_8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2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6" name="图片_1_SpCnt_851"/>
                  <wp:cNvGraphicFramePr/>
                  <a:graphic xmlns:a="http://schemas.openxmlformats.org/drawingml/2006/main">
                    <a:graphicData uri="http://schemas.openxmlformats.org/drawingml/2006/picture">
                      <pic:pic xmlns:pic="http://schemas.openxmlformats.org/drawingml/2006/picture">
                        <pic:nvPicPr>
                          <pic:cNvPr id="3496" name="图片_1_SpCnt_8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36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7" name="图片_1_SpCnt_852"/>
                  <wp:cNvGraphicFramePr/>
                  <a:graphic xmlns:a="http://schemas.openxmlformats.org/drawingml/2006/main">
                    <a:graphicData uri="http://schemas.openxmlformats.org/drawingml/2006/picture">
                      <pic:pic xmlns:pic="http://schemas.openxmlformats.org/drawingml/2006/picture">
                        <pic:nvPicPr>
                          <pic:cNvPr id="3497" name="图片_1_SpCnt_8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46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8" name="图片_1_SpCnt_853"/>
                  <wp:cNvGraphicFramePr/>
                  <a:graphic xmlns:a="http://schemas.openxmlformats.org/drawingml/2006/main">
                    <a:graphicData uri="http://schemas.openxmlformats.org/drawingml/2006/picture">
                      <pic:pic xmlns:pic="http://schemas.openxmlformats.org/drawingml/2006/picture">
                        <pic:nvPicPr>
                          <pic:cNvPr id="3498" name="图片_1_SpCnt_8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56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99" name="图片_1_SpCnt_854"/>
                  <wp:cNvGraphicFramePr/>
                  <a:graphic xmlns:a="http://schemas.openxmlformats.org/drawingml/2006/main">
                    <a:graphicData uri="http://schemas.openxmlformats.org/drawingml/2006/picture">
                      <pic:pic xmlns:pic="http://schemas.openxmlformats.org/drawingml/2006/picture">
                        <pic:nvPicPr>
                          <pic:cNvPr id="3499" name="图片_1_SpCnt_8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67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0" name="图片_1_SpCnt_855"/>
                  <wp:cNvGraphicFramePr/>
                  <a:graphic xmlns:a="http://schemas.openxmlformats.org/drawingml/2006/main">
                    <a:graphicData uri="http://schemas.openxmlformats.org/drawingml/2006/picture">
                      <pic:pic xmlns:pic="http://schemas.openxmlformats.org/drawingml/2006/picture">
                        <pic:nvPicPr>
                          <pic:cNvPr id="3500" name="图片_1_SpCnt_8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77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1" name="图片_1_SpCnt_856"/>
                  <wp:cNvGraphicFramePr/>
                  <a:graphic xmlns:a="http://schemas.openxmlformats.org/drawingml/2006/main">
                    <a:graphicData uri="http://schemas.openxmlformats.org/drawingml/2006/picture">
                      <pic:pic xmlns:pic="http://schemas.openxmlformats.org/drawingml/2006/picture">
                        <pic:nvPicPr>
                          <pic:cNvPr id="3501" name="图片_1_SpCnt_8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87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2" name="图片_1_SpCnt_857"/>
                  <wp:cNvGraphicFramePr/>
                  <a:graphic xmlns:a="http://schemas.openxmlformats.org/drawingml/2006/main">
                    <a:graphicData uri="http://schemas.openxmlformats.org/drawingml/2006/picture">
                      <pic:pic xmlns:pic="http://schemas.openxmlformats.org/drawingml/2006/picture">
                        <pic:nvPicPr>
                          <pic:cNvPr id="3502" name="图片_1_SpCnt_8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497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3" name="图片_1_SpCnt_858"/>
                  <wp:cNvGraphicFramePr/>
                  <a:graphic xmlns:a="http://schemas.openxmlformats.org/drawingml/2006/main">
                    <a:graphicData uri="http://schemas.openxmlformats.org/drawingml/2006/picture">
                      <pic:pic xmlns:pic="http://schemas.openxmlformats.org/drawingml/2006/picture">
                        <pic:nvPicPr>
                          <pic:cNvPr id="3503" name="图片_1_SpCnt_8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08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4" name="图片_1_SpCnt_859"/>
                  <wp:cNvGraphicFramePr/>
                  <a:graphic xmlns:a="http://schemas.openxmlformats.org/drawingml/2006/main">
                    <a:graphicData uri="http://schemas.openxmlformats.org/drawingml/2006/picture">
                      <pic:pic xmlns:pic="http://schemas.openxmlformats.org/drawingml/2006/picture">
                        <pic:nvPicPr>
                          <pic:cNvPr id="3504" name="图片_1_SpCnt_8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18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5" name="图片_1_SpCnt_860"/>
                  <wp:cNvGraphicFramePr/>
                  <a:graphic xmlns:a="http://schemas.openxmlformats.org/drawingml/2006/main">
                    <a:graphicData uri="http://schemas.openxmlformats.org/drawingml/2006/picture">
                      <pic:pic xmlns:pic="http://schemas.openxmlformats.org/drawingml/2006/picture">
                        <pic:nvPicPr>
                          <pic:cNvPr id="3505" name="图片_1_SpCnt_8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2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6" name="图片_1_SpCnt_861"/>
                  <wp:cNvGraphicFramePr/>
                  <a:graphic xmlns:a="http://schemas.openxmlformats.org/drawingml/2006/main">
                    <a:graphicData uri="http://schemas.openxmlformats.org/drawingml/2006/picture">
                      <pic:pic xmlns:pic="http://schemas.openxmlformats.org/drawingml/2006/picture">
                        <pic:nvPicPr>
                          <pic:cNvPr id="3506" name="图片_1_SpCnt_8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3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07" name="图片_1_SpCnt_862"/>
                  <wp:cNvGraphicFramePr/>
                  <a:graphic xmlns:a="http://schemas.openxmlformats.org/drawingml/2006/main">
                    <a:graphicData uri="http://schemas.openxmlformats.org/drawingml/2006/picture">
                      <pic:pic xmlns:pic="http://schemas.openxmlformats.org/drawingml/2006/picture">
                        <pic:nvPicPr>
                          <pic:cNvPr id="3507" name="图片_1_SpCnt_8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6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0" name="图片_1_SpCnt_863"/>
                  <wp:cNvGraphicFramePr/>
                  <a:graphic xmlns:a="http://schemas.openxmlformats.org/drawingml/2006/main">
                    <a:graphicData uri="http://schemas.openxmlformats.org/drawingml/2006/picture">
                      <pic:pic xmlns:pic="http://schemas.openxmlformats.org/drawingml/2006/picture">
                        <pic:nvPicPr>
                          <pic:cNvPr id="3510" name="图片_1_SpCnt_8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79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1" name="图片_1_SpCnt_864"/>
                  <wp:cNvGraphicFramePr/>
                  <a:graphic xmlns:a="http://schemas.openxmlformats.org/drawingml/2006/main">
                    <a:graphicData uri="http://schemas.openxmlformats.org/drawingml/2006/picture">
                      <pic:pic xmlns:pic="http://schemas.openxmlformats.org/drawingml/2006/picture">
                        <pic:nvPicPr>
                          <pic:cNvPr id="3511" name="图片_1_SpCnt_8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59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2" name="图片_1_SpCnt_865"/>
                  <wp:cNvGraphicFramePr/>
                  <a:graphic xmlns:a="http://schemas.openxmlformats.org/drawingml/2006/main">
                    <a:graphicData uri="http://schemas.openxmlformats.org/drawingml/2006/picture">
                      <pic:pic xmlns:pic="http://schemas.openxmlformats.org/drawingml/2006/picture">
                        <pic:nvPicPr>
                          <pic:cNvPr id="3512" name="图片_1_SpCnt_8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0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3" name="图片_1_SpCnt_866"/>
                  <wp:cNvGraphicFramePr/>
                  <a:graphic xmlns:a="http://schemas.openxmlformats.org/drawingml/2006/main">
                    <a:graphicData uri="http://schemas.openxmlformats.org/drawingml/2006/picture">
                      <pic:pic xmlns:pic="http://schemas.openxmlformats.org/drawingml/2006/picture">
                        <pic:nvPicPr>
                          <pic:cNvPr id="3513" name="图片_1_SpCnt_8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10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4" name="图片_1_SpCnt_867"/>
                  <wp:cNvGraphicFramePr/>
                  <a:graphic xmlns:a="http://schemas.openxmlformats.org/drawingml/2006/main">
                    <a:graphicData uri="http://schemas.openxmlformats.org/drawingml/2006/picture">
                      <pic:pic xmlns:pic="http://schemas.openxmlformats.org/drawingml/2006/picture">
                        <pic:nvPicPr>
                          <pic:cNvPr id="3514" name="图片_1_SpCnt_8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20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5" name="图片_1_SpCnt_868"/>
                  <wp:cNvGraphicFramePr/>
                  <a:graphic xmlns:a="http://schemas.openxmlformats.org/drawingml/2006/main">
                    <a:graphicData uri="http://schemas.openxmlformats.org/drawingml/2006/picture">
                      <pic:pic xmlns:pic="http://schemas.openxmlformats.org/drawingml/2006/picture">
                        <pic:nvPicPr>
                          <pic:cNvPr id="3515" name="图片_1_SpCnt_8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3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6" name="图片_1_SpCnt_869"/>
                  <wp:cNvGraphicFramePr/>
                  <a:graphic xmlns:a="http://schemas.openxmlformats.org/drawingml/2006/main">
                    <a:graphicData uri="http://schemas.openxmlformats.org/drawingml/2006/picture">
                      <pic:pic xmlns:pic="http://schemas.openxmlformats.org/drawingml/2006/picture">
                        <pic:nvPicPr>
                          <pic:cNvPr id="3516" name="图片_1_SpCnt_8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4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7" name="图片_1_SpCnt_870"/>
                  <wp:cNvGraphicFramePr/>
                  <a:graphic xmlns:a="http://schemas.openxmlformats.org/drawingml/2006/main">
                    <a:graphicData uri="http://schemas.openxmlformats.org/drawingml/2006/picture">
                      <pic:pic xmlns:pic="http://schemas.openxmlformats.org/drawingml/2006/picture">
                        <pic:nvPicPr>
                          <pic:cNvPr id="3517" name="图片_1_SpCnt_8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51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8" name="图片_1_SpCnt_871"/>
                  <wp:cNvGraphicFramePr/>
                  <a:graphic xmlns:a="http://schemas.openxmlformats.org/drawingml/2006/main">
                    <a:graphicData uri="http://schemas.openxmlformats.org/drawingml/2006/picture">
                      <pic:pic xmlns:pic="http://schemas.openxmlformats.org/drawingml/2006/picture">
                        <pic:nvPicPr>
                          <pic:cNvPr id="3518" name="图片_1_SpCnt_8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61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19" name="图片_1_SpCnt_872"/>
                  <wp:cNvGraphicFramePr/>
                  <a:graphic xmlns:a="http://schemas.openxmlformats.org/drawingml/2006/main">
                    <a:graphicData uri="http://schemas.openxmlformats.org/drawingml/2006/picture">
                      <pic:pic xmlns:pic="http://schemas.openxmlformats.org/drawingml/2006/picture">
                        <pic:nvPicPr>
                          <pic:cNvPr id="3519" name="图片_1_SpCnt_8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72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0" name="图片_1_SpCnt_873"/>
                  <wp:cNvGraphicFramePr/>
                  <a:graphic xmlns:a="http://schemas.openxmlformats.org/drawingml/2006/main">
                    <a:graphicData uri="http://schemas.openxmlformats.org/drawingml/2006/picture">
                      <pic:pic xmlns:pic="http://schemas.openxmlformats.org/drawingml/2006/picture">
                        <pic:nvPicPr>
                          <pic:cNvPr id="3520" name="图片_1_SpCnt_8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82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1" name="图片_1_SpCnt_874"/>
                  <wp:cNvGraphicFramePr/>
                  <a:graphic xmlns:a="http://schemas.openxmlformats.org/drawingml/2006/main">
                    <a:graphicData uri="http://schemas.openxmlformats.org/drawingml/2006/picture">
                      <pic:pic xmlns:pic="http://schemas.openxmlformats.org/drawingml/2006/picture">
                        <pic:nvPicPr>
                          <pic:cNvPr id="3521" name="图片_1_SpCnt_8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69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2" name="图片_1_SpCnt_875"/>
                  <wp:cNvGraphicFramePr/>
                  <a:graphic xmlns:a="http://schemas.openxmlformats.org/drawingml/2006/main">
                    <a:graphicData uri="http://schemas.openxmlformats.org/drawingml/2006/picture">
                      <pic:pic xmlns:pic="http://schemas.openxmlformats.org/drawingml/2006/picture">
                        <pic:nvPicPr>
                          <pic:cNvPr id="3522" name="图片_1_SpCnt_8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02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3" name="图片_1_SpCnt_876"/>
                  <wp:cNvGraphicFramePr/>
                  <a:graphic xmlns:a="http://schemas.openxmlformats.org/drawingml/2006/main">
                    <a:graphicData uri="http://schemas.openxmlformats.org/drawingml/2006/picture">
                      <pic:pic xmlns:pic="http://schemas.openxmlformats.org/drawingml/2006/picture">
                        <pic:nvPicPr>
                          <pic:cNvPr id="3523" name="图片_1_SpCnt_8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368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424" name="图片_1_SpCnt_877"/>
                  <wp:cNvGraphicFramePr/>
                  <a:graphic xmlns:a="http://schemas.openxmlformats.org/drawingml/2006/main">
                    <a:graphicData uri="http://schemas.openxmlformats.org/drawingml/2006/picture">
                      <pic:pic xmlns:pic="http://schemas.openxmlformats.org/drawingml/2006/picture">
                        <pic:nvPicPr>
                          <pic:cNvPr id="3424" name="图片_1_SpCnt_8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12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4" name="图片_1_SpCnt_878"/>
                  <wp:cNvGraphicFramePr/>
                  <a:graphic xmlns:a="http://schemas.openxmlformats.org/drawingml/2006/main">
                    <a:graphicData uri="http://schemas.openxmlformats.org/drawingml/2006/picture">
                      <pic:pic xmlns:pic="http://schemas.openxmlformats.org/drawingml/2006/picture">
                        <pic:nvPicPr>
                          <pic:cNvPr id="3524" name="图片_1_SpCnt_8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2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5" name="图片_1_SpCnt_879"/>
                  <wp:cNvGraphicFramePr/>
                  <a:graphic xmlns:a="http://schemas.openxmlformats.org/drawingml/2006/main">
                    <a:graphicData uri="http://schemas.openxmlformats.org/drawingml/2006/picture">
                      <pic:pic xmlns:pic="http://schemas.openxmlformats.org/drawingml/2006/picture">
                        <pic:nvPicPr>
                          <pic:cNvPr id="3525" name="图片_1_SpCnt_8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33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6" name="图片_1_SpCnt_880"/>
                  <wp:cNvGraphicFramePr/>
                  <a:graphic xmlns:a="http://schemas.openxmlformats.org/drawingml/2006/main">
                    <a:graphicData uri="http://schemas.openxmlformats.org/drawingml/2006/picture">
                      <pic:pic xmlns:pic="http://schemas.openxmlformats.org/drawingml/2006/picture">
                        <pic:nvPicPr>
                          <pic:cNvPr id="3526" name="图片_1_SpCnt_8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43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7" name="图片_1_SpCnt_881"/>
                  <wp:cNvGraphicFramePr/>
                  <a:graphic xmlns:a="http://schemas.openxmlformats.org/drawingml/2006/main">
                    <a:graphicData uri="http://schemas.openxmlformats.org/drawingml/2006/picture">
                      <pic:pic xmlns:pic="http://schemas.openxmlformats.org/drawingml/2006/picture">
                        <pic:nvPicPr>
                          <pic:cNvPr id="3527" name="图片_1_SpCnt_8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5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8" name="图片_1_SpCnt_882"/>
                  <wp:cNvGraphicFramePr/>
                  <a:graphic xmlns:a="http://schemas.openxmlformats.org/drawingml/2006/main">
                    <a:graphicData uri="http://schemas.openxmlformats.org/drawingml/2006/picture">
                      <pic:pic xmlns:pic="http://schemas.openxmlformats.org/drawingml/2006/picture">
                        <pic:nvPicPr>
                          <pic:cNvPr id="3528" name="图片_1_SpCnt_8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6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29" name="图片_1_SpCnt_883"/>
                  <wp:cNvGraphicFramePr/>
                  <a:graphic xmlns:a="http://schemas.openxmlformats.org/drawingml/2006/main">
                    <a:graphicData uri="http://schemas.openxmlformats.org/drawingml/2006/picture">
                      <pic:pic xmlns:pic="http://schemas.openxmlformats.org/drawingml/2006/picture">
                        <pic:nvPicPr>
                          <pic:cNvPr id="3529" name="图片_1_SpCnt_8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74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0" name="图片_1_SpCnt_884"/>
                  <wp:cNvGraphicFramePr/>
                  <a:graphic xmlns:a="http://schemas.openxmlformats.org/drawingml/2006/main">
                    <a:graphicData uri="http://schemas.openxmlformats.org/drawingml/2006/picture">
                      <pic:pic xmlns:pic="http://schemas.openxmlformats.org/drawingml/2006/picture">
                        <pic:nvPicPr>
                          <pic:cNvPr id="3530" name="图片_1_SpCnt_8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84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1" name="图片_1_SpCnt_885"/>
                  <wp:cNvGraphicFramePr/>
                  <a:graphic xmlns:a="http://schemas.openxmlformats.org/drawingml/2006/main">
                    <a:graphicData uri="http://schemas.openxmlformats.org/drawingml/2006/picture">
                      <pic:pic xmlns:pic="http://schemas.openxmlformats.org/drawingml/2006/picture">
                        <pic:nvPicPr>
                          <pic:cNvPr id="3531" name="图片_1_SpCnt_8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66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3" name="图片_1_SpCnt_886"/>
                  <wp:cNvGraphicFramePr/>
                  <a:graphic xmlns:a="http://schemas.openxmlformats.org/drawingml/2006/main">
                    <a:graphicData uri="http://schemas.openxmlformats.org/drawingml/2006/picture">
                      <pic:pic xmlns:pic="http://schemas.openxmlformats.org/drawingml/2006/picture">
                        <pic:nvPicPr>
                          <pic:cNvPr id="2933" name="图片_1_SpCnt_8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79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2" name="图片_1_SpCnt_887"/>
                  <wp:cNvGraphicFramePr/>
                  <a:graphic xmlns:a="http://schemas.openxmlformats.org/drawingml/2006/main">
                    <a:graphicData uri="http://schemas.openxmlformats.org/drawingml/2006/picture">
                      <pic:pic xmlns:pic="http://schemas.openxmlformats.org/drawingml/2006/picture">
                        <pic:nvPicPr>
                          <pic:cNvPr id="3532" name="图片_1_SpCnt_8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05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3" name="图片_1_SpCnt_888"/>
                  <wp:cNvGraphicFramePr/>
                  <a:graphic xmlns:a="http://schemas.openxmlformats.org/drawingml/2006/main">
                    <a:graphicData uri="http://schemas.openxmlformats.org/drawingml/2006/picture">
                      <pic:pic xmlns:pic="http://schemas.openxmlformats.org/drawingml/2006/picture">
                        <pic:nvPicPr>
                          <pic:cNvPr id="3533" name="图片_1_SpCnt_8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15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4" name="图片_1_SpCnt_889"/>
                  <wp:cNvGraphicFramePr/>
                  <a:graphic xmlns:a="http://schemas.openxmlformats.org/drawingml/2006/main">
                    <a:graphicData uri="http://schemas.openxmlformats.org/drawingml/2006/picture">
                      <pic:pic xmlns:pic="http://schemas.openxmlformats.org/drawingml/2006/picture">
                        <pic:nvPicPr>
                          <pic:cNvPr id="3534" name="图片_1_SpCnt_8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2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5" name="图片_1_SpCnt_890"/>
                  <wp:cNvGraphicFramePr/>
                  <a:graphic xmlns:a="http://schemas.openxmlformats.org/drawingml/2006/main">
                    <a:graphicData uri="http://schemas.openxmlformats.org/drawingml/2006/picture">
                      <pic:pic xmlns:pic="http://schemas.openxmlformats.org/drawingml/2006/picture">
                        <pic:nvPicPr>
                          <pic:cNvPr id="3535" name="图片_1_SpCnt_8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3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6" name="图片_1_SpCnt_891"/>
                  <wp:cNvGraphicFramePr/>
                  <a:graphic xmlns:a="http://schemas.openxmlformats.org/drawingml/2006/main">
                    <a:graphicData uri="http://schemas.openxmlformats.org/drawingml/2006/picture">
                      <pic:pic xmlns:pic="http://schemas.openxmlformats.org/drawingml/2006/picture">
                        <pic:nvPicPr>
                          <pic:cNvPr id="3536" name="图片_1_SpCnt_8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4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7" name="图片_1_SpCnt_892"/>
                  <wp:cNvGraphicFramePr/>
                  <a:graphic xmlns:a="http://schemas.openxmlformats.org/drawingml/2006/main">
                    <a:graphicData uri="http://schemas.openxmlformats.org/drawingml/2006/picture">
                      <pic:pic xmlns:pic="http://schemas.openxmlformats.org/drawingml/2006/picture">
                        <pic:nvPicPr>
                          <pic:cNvPr id="3537" name="图片_1_SpCnt_8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56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8" name="图片_1_SpCnt_893"/>
                  <wp:cNvGraphicFramePr/>
                  <a:graphic xmlns:a="http://schemas.openxmlformats.org/drawingml/2006/main">
                    <a:graphicData uri="http://schemas.openxmlformats.org/drawingml/2006/picture">
                      <pic:pic xmlns:pic="http://schemas.openxmlformats.org/drawingml/2006/picture">
                        <pic:nvPicPr>
                          <pic:cNvPr id="3538" name="图片_1_SpCnt_8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6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39" name="图片_1_SpCnt_894"/>
                  <wp:cNvGraphicFramePr/>
                  <a:graphic xmlns:a="http://schemas.openxmlformats.org/drawingml/2006/main">
                    <a:graphicData uri="http://schemas.openxmlformats.org/drawingml/2006/picture">
                      <pic:pic xmlns:pic="http://schemas.openxmlformats.org/drawingml/2006/picture">
                        <pic:nvPicPr>
                          <pic:cNvPr id="3539" name="图片_1_SpCnt_8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67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4" name="图片_1_SpCnt_895"/>
                  <wp:cNvGraphicFramePr/>
                  <a:graphic xmlns:a="http://schemas.openxmlformats.org/drawingml/2006/main">
                    <a:graphicData uri="http://schemas.openxmlformats.org/drawingml/2006/picture">
                      <pic:pic xmlns:pic="http://schemas.openxmlformats.org/drawingml/2006/picture">
                        <pic:nvPicPr>
                          <pic:cNvPr id="2934" name="图片_1_SpCnt_8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76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0" name="图片_1_SpCnt_896"/>
                  <wp:cNvGraphicFramePr/>
                  <a:graphic xmlns:a="http://schemas.openxmlformats.org/drawingml/2006/main">
                    <a:graphicData uri="http://schemas.openxmlformats.org/drawingml/2006/picture">
                      <pic:pic xmlns:pic="http://schemas.openxmlformats.org/drawingml/2006/picture">
                        <pic:nvPicPr>
                          <pic:cNvPr id="3540" name="图片_1_SpCnt_8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87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1" name="图片_1_SpCnt_897"/>
                  <wp:cNvGraphicFramePr/>
                  <a:graphic xmlns:a="http://schemas.openxmlformats.org/drawingml/2006/main">
                    <a:graphicData uri="http://schemas.openxmlformats.org/drawingml/2006/picture">
                      <pic:pic xmlns:pic="http://schemas.openxmlformats.org/drawingml/2006/picture">
                        <pic:nvPicPr>
                          <pic:cNvPr id="3541" name="图片_1_SpCnt_8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897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2" name="图片_1_SpCnt_898"/>
                  <wp:cNvGraphicFramePr/>
                  <a:graphic xmlns:a="http://schemas.openxmlformats.org/drawingml/2006/main">
                    <a:graphicData uri="http://schemas.openxmlformats.org/drawingml/2006/picture">
                      <pic:pic xmlns:pic="http://schemas.openxmlformats.org/drawingml/2006/picture">
                        <pic:nvPicPr>
                          <pic:cNvPr id="3542" name="图片_1_SpCnt_8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07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3" name="图片_1_SpCnt_899"/>
                  <wp:cNvGraphicFramePr/>
                  <a:graphic xmlns:a="http://schemas.openxmlformats.org/drawingml/2006/main">
                    <a:graphicData uri="http://schemas.openxmlformats.org/drawingml/2006/picture">
                      <pic:pic xmlns:pic="http://schemas.openxmlformats.org/drawingml/2006/picture">
                        <pic:nvPicPr>
                          <pic:cNvPr id="3543" name="图片_1_SpCnt_8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17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4" name="图片_1_SpCnt_900"/>
                  <wp:cNvGraphicFramePr/>
                  <a:graphic xmlns:a="http://schemas.openxmlformats.org/drawingml/2006/main">
                    <a:graphicData uri="http://schemas.openxmlformats.org/drawingml/2006/picture">
                      <pic:pic xmlns:pic="http://schemas.openxmlformats.org/drawingml/2006/picture">
                        <pic:nvPicPr>
                          <pic:cNvPr id="3544" name="图片_1_SpCnt_9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28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5" name="图片_1_SpCnt_901"/>
                  <wp:cNvGraphicFramePr/>
                  <a:graphic xmlns:a="http://schemas.openxmlformats.org/drawingml/2006/main">
                    <a:graphicData uri="http://schemas.openxmlformats.org/drawingml/2006/picture">
                      <pic:pic xmlns:pic="http://schemas.openxmlformats.org/drawingml/2006/picture">
                        <pic:nvPicPr>
                          <pic:cNvPr id="3545" name="图片_1_SpCnt_9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3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6" name="图片_1_SpCnt_902"/>
                  <wp:cNvGraphicFramePr/>
                  <a:graphic xmlns:a="http://schemas.openxmlformats.org/drawingml/2006/main">
                    <a:graphicData uri="http://schemas.openxmlformats.org/drawingml/2006/picture">
                      <pic:pic xmlns:pic="http://schemas.openxmlformats.org/drawingml/2006/picture">
                        <pic:nvPicPr>
                          <pic:cNvPr id="3546" name="图片_1_SpCnt_9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4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7" name="图片_1_SpCnt_903"/>
                  <wp:cNvGraphicFramePr/>
                  <a:graphic xmlns:a="http://schemas.openxmlformats.org/drawingml/2006/main">
                    <a:graphicData uri="http://schemas.openxmlformats.org/drawingml/2006/picture">
                      <pic:pic xmlns:pic="http://schemas.openxmlformats.org/drawingml/2006/picture">
                        <pic:nvPicPr>
                          <pic:cNvPr id="3547" name="图片_1_SpCnt_9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68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5" name="图片_1_SpCnt_904"/>
                  <wp:cNvGraphicFramePr/>
                  <a:graphic xmlns:a="http://schemas.openxmlformats.org/drawingml/2006/main">
                    <a:graphicData uri="http://schemas.openxmlformats.org/drawingml/2006/picture">
                      <pic:pic xmlns:pic="http://schemas.openxmlformats.org/drawingml/2006/picture">
                        <pic:nvPicPr>
                          <pic:cNvPr id="2935" name="图片_1_SpCnt_9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5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8" name="图片_1_SpCnt_905"/>
                  <wp:cNvGraphicFramePr/>
                  <a:graphic xmlns:a="http://schemas.openxmlformats.org/drawingml/2006/main">
                    <a:graphicData uri="http://schemas.openxmlformats.org/drawingml/2006/picture">
                      <pic:pic xmlns:pic="http://schemas.openxmlformats.org/drawingml/2006/picture">
                        <pic:nvPicPr>
                          <pic:cNvPr id="3548" name="图片_1_SpCnt_9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6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49" name="图片_1_SpCnt_906"/>
                  <wp:cNvGraphicFramePr/>
                  <a:graphic xmlns:a="http://schemas.openxmlformats.org/drawingml/2006/main">
                    <a:graphicData uri="http://schemas.openxmlformats.org/drawingml/2006/picture">
                      <pic:pic xmlns:pic="http://schemas.openxmlformats.org/drawingml/2006/picture">
                        <pic:nvPicPr>
                          <pic:cNvPr id="3549" name="图片_1_SpCnt_9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7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0" name="图片_1_SpCnt_907"/>
                  <wp:cNvGraphicFramePr/>
                  <a:graphic xmlns:a="http://schemas.openxmlformats.org/drawingml/2006/main">
                    <a:graphicData uri="http://schemas.openxmlformats.org/drawingml/2006/picture">
                      <pic:pic xmlns:pic="http://schemas.openxmlformats.org/drawingml/2006/picture">
                        <pic:nvPicPr>
                          <pic:cNvPr id="3550" name="图片_1_SpCnt_9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8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1" name="图片_1_SpCnt_908"/>
                  <wp:cNvGraphicFramePr/>
                  <a:graphic xmlns:a="http://schemas.openxmlformats.org/drawingml/2006/main">
                    <a:graphicData uri="http://schemas.openxmlformats.org/drawingml/2006/picture">
                      <pic:pic xmlns:pic="http://schemas.openxmlformats.org/drawingml/2006/picture">
                        <pic:nvPicPr>
                          <pic:cNvPr id="3551" name="图片_1_SpCnt_9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4999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2" name="图片_1_SpCnt_909"/>
                  <wp:cNvGraphicFramePr/>
                  <a:graphic xmlns:a="http://schemas.openxmlformats.org/drawingml/2006/main">
                    <a:graphicData uri="http://schemas.openxmlformats.org/drawingml/2006/picture">
                      <pic:pic xmlns:pic="http://schemas.openxmlformats.org/drawingml/2006/picture">
                        <pic:nvPicPr>
                          <pic:cNvPr id="3552" name="图片_1_SpCnt_9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0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3" name="图片_1_SpCnt_910"/>
                  <wp:cNvGraphicFramePr/>
                  <a:graphic xmlns:a="http://schemas.openxmlformats.org/drawingml/2006/main">
                    <a:graphicData uri="http://schemas.openxmlformats.org/drawingml/2006/picture">
                      <pic:pic xmlns:pic="http://schemas.openxmlformats.org/drawingml/2006/picture">
                        <pic:nvPicPr>
                          <pic:cNvPr id="3553" name="图片_1_SpCnt_9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2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4" name="图片_1_SpCnt_911"/>
                  <wp:cNvGraphicFramePr/>
                  <a:graphic xmlns:a="http://schemas.openxmlformats.org/drawingml/2006/main">
                    <a:graphicData uri="http://schemas.openxmlformats.org/drawingml/2006/picture">
                      <pic:pic xmlns:pic="http://schemas.openxmlformats.org/drawingml/2006/picture">
                        <pic:nvPicPr>
                          <pic:cNvPr id="3554" name="图片_1_SpCnt_9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3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5" name="图片_1_SpCnt_912"/>
                  <wp:cNvGraphicFramePr/>
                  <a:graphic xmlns:a="http://schemas.openxmlformats.org/drawingml/2006/main">
                    <a:graphicData uri="http://schemas.openxmlformats.org/drawingml/2006/picture">
                      <pic:pic xmlns:pic="http://schemas.openxmlformats.org/drawingml/2006/picture">
                        <pic:nvPicPr>
                          <pic:cNvPr id="3555" name="图片_1_SpCnt_9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40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6" name="图片_1_SpCnt_913"/>
                  <wp:cNvGraphicFramePr/>
                  <a:graphic xmlns:a="http://schemas.openxmlformats.org/drawingml/2006/main">
                    <a:graphicData uri="http://schemas.openxmlformats.org/drawingml/2006/picture">
                      <pic:pic xmlns:pic="http://schemas.openxmlformats.org/drawingml/2006/picture">
                        <pic:nvPicPr>
                          <pic:cNvPr id="3556" name="图片_1_SpCnt_9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50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7" name="图片_1_SpCnt_914"/>
                  <wp:cNvGraphicFramePr/>
                  <a:graphic xmlns:a="http://schemas.openxmlformats.org/drawingml/2006/main">
                    <a:graphicData uri="http://schemas.openxmlformats.org/drawingml/2006/picture">
                      <pic:pic xmlns:pic="http://schemas.openxmlformats.org/drawingml/2006/picture">
                        <pic:nvPicPr>
                          <pic:cNvPr id="3557" name="图片_1_SpCnt_9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6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8" name="图片_1_SpCnt_915"/>
                  <wp:cNvGraphicFramePr/>
                  <a:graphic xmlns:a="http://schemas.openxmlformats.org/drawingml/2006/main">
                    <a:graphicData uri="http://schemas.openxmlformats.org/drawingml/2006/picture">
                      <pic:pic xmlns:pic="http://schemas.openxmlformats.org/drawingml/2006/picture">
                        <pic:nvPicPr>
                          <pic:cNvPr id="3558" name="图片_1_SpCnt_9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7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59" name="图片_1_SpCnt_916"/>
                  <wp:cNvGraphicFramePr/>
                  <a:graphic xmlns:a="http://schemas.openxmlformats.org/drawingml/2006/main">
                    <a:graphicData uri="http://schemas.openxmlformats.org/drawingml/2006/picture">
                      <pic:pic xmlns:pic="http://schemas.openxmlformats.org/drawingml/2006/picture">
                        <pic:nvPicPr>
                          <pic:cNvPr id="3559" name="图片_1_SpCnt_9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8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0" name="图片_1_SpCnt_917"/>
                  <wp:cNvGraphicFramePr/>
                  <a:graphic xmlns:a="http://schemas.openxmlformats.org/drawingml/2006/main">
                    <a:graphicData uri="http://schemas.openxmlformats.org/drawingml/2006/picture">
                      <pic:pic xmlns:pic="http://schemas.openxmlformats.org/drawingml/2006/picture">
                        <pic:nvPicPr>
                          <pic:cNvPr id="3560" name="图片_1_SpCnt_9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09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1" name="图片_1_SpCnt_918"/>
                  <wp:cNvGraphicFramePr/>
                  <a:graphic xmlns:a="http://schemas.openxmlformats.org/drawingml/2006/main">
                    <a:graphicData uri="http://schemas.openxmlformats.org/drawingml/2006/picture">
                      <pic:pic xmlns:pic="http://schemas.openxmlformats.org/drawingml/2006/picture">
                        <pic:nvPicPr>
                          <pic:cNvPr id="3561" name="图片_1_SpCnt_9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0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2" name="图片_1_SpCnt_919"/>
                  <wp:cNvGraphicFramePr/>
                  <a:graphic xmlns:a="http://schemas.openxmlformats.org/drawingml/2006/main">
                    <a:graphicData uri="http://schemas.openxmlformats.org/drawingml/2006/picture">
                      <pic:pic xmlns:pic="http://schemas.openxmlformats.org/drawingml/2006/picture">
                        <pic:nvPicPr>
                          <pic:cNvPr id="3562" name="图片_1_SpCnt_9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1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3" name="图片_1_SpCnt_920"/>
                  <wp:cNvGraphicFramePr/>
                  <a:graphic xmlns:a="http://schemas.openxmlformats.org/drawingml/2006/main">
                    <a:graphicData uri="http://schemas.openxmlformats.org/drawingml/2006/picture">
                      <pic:pic xmlns:pic="http://schemas.openxmlformats.org/drawingml/2006/picture">
                        <pic:nvPicPr>
                          <pic:cNvPr id="3563" name="图片_1_SpCnt_9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22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4" name="图片_1_SpCnt_921"/>
                  <wp:cNvGraphicFramePr/>
                  <a:graphic xmlns:a="http://schemas.openxmlformats.org/drawingml/2006/main">
                    <a:graphicData uri="http://schemas.openxmlformats.org/drawingml/2006/picture">
                      <pic:pic xmlns:pic="http://schemas.openxmlformats.org/drawingml/2006/picture">
                        <pic:nvPicPr>
                          <pic:cNvPr id="3564" name="图片_1_SpCnt_9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3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5" name="图片_1_SpCnt_922"/>
                  <wp:cNvGraphicFramePr/>
                  <a:graphic xmlns:a="http://schemas.openxmlformats.org/drawingml/2006/main">
                    <a:graphicData uri="http://schemas.openxmlformats.org/drawingml/2006/picture">
                      <pic:pic xmlns:pic="http://schemas.openxmlformats.org/drawingml/2006/picture">
                        <pic:nvPicPr>
                          <pic:cNvPr id="3565" name="图片_1_SpCnt_9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43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6" name="图片_1_SpCnt_923"/>
                  <wp:cNvGraphicFramePr/>
                  <a:graphic xmlns:a="http://schemas.openxmlformats.org/drawingml/2006/main">
                    <a:graphicData uri="http://schemas.openxmlformats.org/drawingml/2006/picture">
                      <pic:pic xmlns:pic="http://schemas.openxmlformats.org/drawingml/2006/picture">
                        <pic:nvPicPr>
                          <pic:cNvPr id="3566" name="图片_1_SpCnt_9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53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7" name="图片_1_SpCnt_924"/>
                  <wp:cNvGraphicFramePr/>
                  <a:graphic xmlns:a="http://schemas.openxmlformats.org/drawingml/2006/main">
                    <a:graphicData uri="http://schemas.openxmlformats.org/drawingml/2006/picture">
                      <pic:pic xmlns:pic="http://schemas.openxmlformats.org/drawingml/2006/picture">
                        <pic:nvPicPr>
                          <pic:cNvPr id="3567" name="图片_1_SpCnt_9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63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8" name="图片_1_SpCnt_925"/>
                  <wp:cNvGraphicFramePr/>
                  <a:graphic xmlns:a="http://schemas.openxmlformats.org/drawingml/2006/main">
                    <a:graphicData uri="http://schemas.openxmlformats.org/drawingml/2006/picture">
                      <pic:pic xmlns:pic="http://schemas.openxmlformats.org/drawingml/2006/picture">
                        <pic:nvPicPr>
                          <pic:cNvPr id="3568" name="图片_1_SpCnt_9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73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69" name="图片_1_SpCnt_926"/>
                  <wp:cNvGraphicFramePr/>
                  <a:graphic xmlns:a="http://schemas.openxmlformats.org/drawingml/2006/main">
                    <a:graphicData uri="http://schemas.openxmlformats.org/drawingml/2006/picture">
                      <pic:pic xmlns:pic="http://schemas.openxmlformats.org/drawingml/2006/picture">
                        <pic:nvPicPr>
                          <pic:cNvPr id="3569" name="图片_1_SpCnt_9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84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0" name="图片_1_SpCnt_927"/>
                  <wp:cNvGraphicFramePr/>
                  <a:graphic xmlns:a="http://schemas.openxmlformats.org/drawingml/2006/main">
                    <a:graphicData uri="http://schemas.openxmlformats.org/drawingml/2006/picture">
                      <pic:pic xmlns:pic="http://schemas.openxmlformats.org/drawingml/2006/picture">
                        <pic:nvPicPr>
                          <pic:cNvPr id="3570" name="图片_1_SpCnt_9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194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1" name="图片_1_SpCnt_928"/>
                  <wp:cNvGraphicFramePr/>
                  <a:graphic xmlns:a="http://schemas.openxmlformats.org/drawingml/2006/main">
                    <a:graphicData uri="http://schemas.openxmlformats.org/drawingml/2006/picture">
                      <pic:pic xmlns:pic="http://schemas.openxmlformats.org/drawingml/2006/picture">
                        <pic:nvPicPr>
                          <pic:cNvPr id="3571" name="图片_1_SpCnt_9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04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2" name="图片_1_SpCnt_929"/>
                  <wp:cNvGraphicFramePr/>
                  <a:graphic xmlns:a="http://schemas.openxmlformats.org/drawingml/2006/main">
                    <a:graphicData uri="http://schemas.openxmlformats.org/drawingml/2006/picture">
                      <pic:pic xmlns:pic="http://schemas.openxmlformats.org/drawingml/2006/picture">
                        <pic:nvPicPr>
                          <pic:cNvPr id="3572" name="图片_1_SpCnt_9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14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3" name="图片_1_SpCnt_930"/>
                  <wp:cNvGraphicFramePr/>
                  <a:graphic xmlns:a="http://schemas.openxmlformats.org/drawingml/2006/main">
                    <a:graphicData uri="http://schemas.openxmlformats.org/drawingml/2006/picture">
                      <pic:pic xmlns:pic="http://schemas.openxmlformats.org/drawingml/2006/picture">
                        <pic:nvPicPr>
                          <pic:cNvPr id="3573" name="图片_1_SpCnt_9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24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4" name="图片_1_SpCnt_931"/>
                  <wp:cNvGraphicFramePr/>
                  <a:graphic xmlns:a="http://schemas.openxmlformats.org/drawingml/2006/main">
                    <a:graphicData uri="http://schemas.openxmlformats.org/drawingml/2006/picture">
                      <pic:pic xmlns:pic="http://schemas.openxmlformats.org/drawingml/2006/picture">
                        <pic:nvPicPr>
                          <pic:cNvPr id="3574" name="图片_1_SpCnt_9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35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5" name="图片_1_SpCnt_932"/>
                  <wp:cNvGraphicFramePr/>
                  <a:graphic xmlns:a="http://schemas.openxmlformats.org/drawingml/2006/main">
                    <a:graphicData uri="http://schemas.openxmlformats.org/drawingml/2006/picture">
                      <pic:pic xmlns:pic="http://schemas.openxmlformats.org/drawingml/2006/picture">
                        <pic:nvPicPr>
                          <pic:cNvPr id="3575" name="图片_1_SpCnt_9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45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6" name="图片_1_SpCnt_933"/>
                  <wp:cNvGraphicFramePr/>
                  <a:graphic xmlns:a="http://schemas.openxmlformats.org/drawingml/2006/main">
                    <a:graphicData uri="http://schemas.openxmlformats.org/drawingml/2006/picture">
                      <pic:pic xmlns:pic="http://schemas.openxmlformats.org/drawingml/2006/picture">
                        <pic:nvPicPr>
                          <pic:cNvPr id="3576" name="图片_1_SpCnt_9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55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7" name="图片_1_SpCnt_934"/>
                  <wp:cNvGraphicFramePr/>
                  <a:graphic xmlns:a="http://schemas.openxmlformats.org/drawingml/2006/main">
                    <a:graphicData uri="http://schemas.openxmlformats.org/drawingml/2006/picture">
                      <pic:pic xmlns:pic="http://schemas.openxmlformats.org/drawingml/2006/picture">
                        <pic:nvPicPr>
                          <pic:cNvPr id="3577" name="图片_1_SpCnt_9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65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8" name="图片_1_SpCnt_935"/>
                  <wp:cNvGraphicFramePr/>
                  <a:graphic xmlns:a="http://schemas.openxmlformats.org/drawingml/2006/main">
                    <a:graphicData uri="http://schemas.openxmlformats.org/drawingml/2006/picture">
                      <pic:pic xmlns:pic="http://schemas.openxmlformats.org/drawingml/2006/picture">
                        <pic:nvPicPr>
                          <pic:cNvPr id="3578" name="图片_1_SpCnt_9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76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79" name="图片_1_SpCnt_936"/>
                  <wp:cNvGraphicFramePr/>
                  <a:graphic xmlns:a="http://schemas.openxmlformats.org/drawingml/2006/main">
                    <a:graphicData uri="http://schemas.openxmlformats.org/drawingml/2006/picture">
                      <pic:pic xmlns:pic="http://schemas.openxmlformats.org/drawingml/2006/picture">
                        <pic:nvPicPr>
                          <pic:cNvPr id="3579" name="图片_1_SpCnt_9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86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0" name="图片_1_SpCnt_937"/>
                  <wp:cNvGraphicFramePr/>
                  <a:graphic xmlns:a="http://schemas.openxmlformats.org/drawingml/2006/main">
                    <a:graphicData uri="http://schemas.openxmlformats.org/drawingml/2006/picture">
                      <pic:pic xmlns:pic="http://schemas.openxmlformats.org/drawingml/2006/picture">
                        <pic:nvPicPr>
                          <pic:cNvPr id="3580" name="图片_1_SpCnt_9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296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1" name="图片_1_SpCnt_938"/>
                  <wp:cNvGraphicFramePr/>
                  <a:graphic xmlns:a="http://schemas.openxmlformats.org/drawingml/2006/main">
                    <a:graphicData uri="http://schemas.openxmlformats.org/drawingml/2006/picture">
                      <pic:pic xmlns:pic="http://schemas.openxmlformats.org/drawingml/2006/picture">
                        <pic:nvPicPr>
                          <pic:cNvPr id="3581" name="图片_1_SpCnt_9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06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2" name="图片_1_SpCnt_939"/>
                  <wp:cNvGraphicFramePr/>
                  <a:graphic xmlns:a="http://schemas.openxmlformats.org/drawingml/2006/main">
                    <a:graphicData uri="http://schemas.openxmlformats.org/drawingml/2006/picture">
                      <pic:pic xmlns:pic="http://schemas.openxmlformats.org/drawingml/2006/picture">
                        <pic:nvPicPr>
                          <pic:cNvPr id="3582" name="图片_1_SpCnt_9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17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3" name="图片_1_SpCnt_940"/>
                  <wp:cNvGraphicFramePr/>
                  <a:graphic xmlns:a="http://schemas.openxmlformats.org/drawingml/2006/main">
                    <a:graphicData uri="http://schemas.openxmlformats.org/drawingml/2006/picture">
                      <pic:pic xmlns:pic="http://schemas.openxmlformats.org/drawingml/2006/picture">
                        <pic:nvPicPr>
                          <pic:cNvPr id="3583" name="图片_1_SpCnt_9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27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4" name="图片_1_SpCnt_941"/>
                  <wp:cNvGraphicFramePr/>
                  <a:graphic xmlns:a="http://schemas.openxmlformats.org/drawingml/2006/main">
                    <a:graphicData uri="http://schemas.openxmlformats.org/drawingml/2006/picture">
                      <pic:pic xmlns:pic="http://schemas.openxmlformats.org/drawingml/2006/picture">
                        <pic:nvPicPr>
                          <pic:cNvPr id="3584" name="图片_1_SpCnt_9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37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5" name="图片_1_SpCnt_942"/>
                  <wp:cNvGraphicFramePr/>
                  <a:graphic xmlns:a="http://schemas.openxmlformats.org/drawingml/2006/main">
                    <a:graphicData uri="http://schemas.openxmlformats.org/drawingml/2006/picture">
                      <pic:pic xmlns:pic="http://schemas.openxmlformats.org/drawingml/2006/picture">
                        <pic:nvPicPr>
                          <pic:cNvPr id="3585" name="图片_1_SpCnt_9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47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6" name="图片_1_SpCnt_943"/>
                  <wp:cNvGraphicFramePr/>
                  <a:graphic xmlns:a="http://schemas.openxmlformats.org/drawingml/2006/main">
                    <a:graphicData uri="http://schemas.openxmlformats.org/drawingml/2006/picture">
                      <pic:pic xmlns:pic="http://schemas.openxmlformats.org/drawingml/2006/picture">
                        <pic:nvPicPr>
                          <pic:cNvPr id="3586" name="图片_1_SpCnt_9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58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7" name="图片_1_SpCnt_944"/>
                  <wp:cNvGraphicFramePr/>
                  <a:graphic xmlns:a="http://schemas.openxmlformats.org/drawingml/2006/main">
                    <a:graphicData uri="http://schemas.openxmlformats.org/drawingml/2006/picture">
                      <pic:pic xmlns:pic="http://schemas.openxmlformats.org/drawingml/2006/picture">
                        <pic:nvPicPr>
                          <pic:cNvPr id="3587" name="图片_1_SpCnt_9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68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8" name="图片_1_SpCnt_945"/>
                  <wp:cNvGraphicFramePr/>
                  <a:graphic xmlns:a="http://schemas.openxmlformats.org/drawingml/2006/main">
                    <a:graphicData uri="http://schemas.openxmlformats.org/drawingml/2006/picture">
                      <pic:pic xmlns:pic="http://schemas.openxmlformats.org/drawingml/2006/picture">
                        <pic:nvPicPr>
                          <pic:cNvPr id="3588" name="图片_1_SpCnt_9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78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89" name="图片_1_SpCnt_946"/>
                  <wp:cNvGraphicFramePr/>
                  <a:graphic xmlns:a="http://schemas.openxmlformats.org/drawingml/2006/main">
                    <a:graphicData uri="http://schemas.openxmlformats.org/drawingml/2006/picture">
                      <pic:pic xmlns:pic="http://schemas.openxmlformats.org/drawingml/2006/picture">
                        <pic:nvPicPr>
                          <pic:cNvPr id="3589" name="图片_1_SpCnt_9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88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0" name="图片_1_SpCnt_947"/>
                  <wp:cNvGraphicFramePr/>
                  <a:graphic xmlns:a="http://schemas.openxmlformats.org/drawingml/2006/main">
                    <a:graphicData uri="http://schemas.openxmlformats.org/drawingml/2006/picture">
                      <pic:pic xmlns:pic="http://schemas.openxmlformats.org/drawingml/2006/picture">
                        <pic:nvPicPr>
                          <pic:cNvPr id="3590" name="图片_1_SpCnt_9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69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6" name="图片_1_SpCnt_948"/>
                  <wp:cNvGraphicFramePr/>
                  <a:graphic xmlns:a="http://schemas.openxmlformats.org/drawingml/2006/main">
                    <a:graphicData uri="http://schemas.openxmlformats.org/drawingml/2006/picture">
                      <pic:pic xmlns:pic="http://schemas.openxmlformats.org/drawingml/2006/picture">
                        <pic:nvPicPr>
                          <pic:cNvPr id="2936" name="图片_1_SpCnt_9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399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1" name="图片_1_SpCnt_949"/>
                  <wp:cNvGraphicFramePr/>
                  <a:graphic xmlns:a="http://schemas.openxmlformats.org/drawingml/2006/main">
                    <a:graphicData uri="http://schemas.openxmlformats.org/drawingml/2006/picture">
                      <pic:pic xmlns:pic="http://schemas.openxmlformats.org/drawingml/2006/picture">
                        <pic:nvPicPr>
                          <pic:cNvPr id="3591" name="图片_1_SpCnt_9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09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2" name="图片_1_SpCnt_950"/>
                  <wp:cNvGraphicFramePr/>
                  <a:graphic xmlns:a="http://schemas.openxmlformats.org/drawingml/2006/main">
                    <a:graphicData uri="http://schemas.openxmlformats.org/drawingml/2006/picture">
                      <pic:pic xmlns:pic="http://schemas.openxmlformats.org/drawingml/2006/picture">
                        <pic:nvPicPr>
                          <pic:cNvPr id="3592" name="图片_1_SpCnt_95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19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3" name="图片_1_SpCnt_951"/>
                  <wp:cNvGraphicFramePr/>
                  <a:graphic xmlns:a="http://schemas.openxmlformats.org/drawingml/2006/main">
                    <a:graphicData uri="http://schemas.openxmlformats.org/drawingml/2006/picture">
                      <pic:pic xmlns:pic="http://schemas.openxmlformats.org/drawingml/2006/picture">
                        <pic:nvPicPr>
                          <pic:cNvPr id="3593" name="图片_1_SpCnt_95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29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4" name="图片_1_SpCnt_952"/>
                  <wp:cNvGraphicFramePr/>
                  <a:graphic xmlns:a="http://schemas.openxmlformats.org/drawingml/2006/main">
                    <a:graphicData uri="http://schemas.openxmlformats.org/drawingml/2006/picture">
                      <pic:pic xmlns:pic="http://schemas.openxmlformats.org/drawingml/2006/picture">
                        <pic:nvPicPr>
                          <pic:cNvPr id="3594" name="图片_1_SpCnt_95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40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5" name="图片_1_SpCnt_953"/>
                  <wp:cNvGraphicFramePr/>
                  <a:graphic xmlns:a="http://schemas.openxmlformats.org/drawingml/2006/main">
                    <a:graphicData uri="http://schemas.openxmlformats.org/drawingml/2006/picture">
                      <pic:pic xmlns:pic="http://schemas.openxmlformats.org/drawingml/2006/picture">
                        <pic:nvPicPr>
                          <pic:cNvPr id="3595" name="图片_1_SpCnt_95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50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6" name="图片_1_SpCnt_954"/>
                  <wp:cNvGraphicFramePr/>
                  <a:graphic xmlns:a="http://schemas.openxmlformats.org/drawingml/2006/main">
                    <a:graphicData uri="http://schemas.openxmlformats.org/drawingml/2006/picture">
                      <pic:pic xmlns:pic="http://schemas.openxmlformats.org/drawingml/2006/picture">
                        <pic:nvPicPr>
                          <pic:cNvPr id="3596" name="图片_1_SpCnt_95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60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7" name="图片_1_SpCnt_955"/>
                  <wp:cNvGraphicFramePr/>
                  <a:graphic xmlns:a="http://schemas.openxmlformats.org/drawingml/2006/main">
                    <a:graphicData uri="http://schemas.openxmlformats.org/drawingml/2006/picture">
                      <pic:pic xmlns:pic="http://schemas.openxmlformats.org/drawingml/2006/picture">
                        <pic:nvPicPr>
                          <pic:cNvPr id="3597" name="图片_1_SpCnt_95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70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8" name="图片_1_SpCnt_956"/>
                  <wp:cNvGraphicFramePr/>
                  <a:graphic xmlns:a="http://schemas.openxmlformats.org/drawingml/2006/main">
                    <a:graphicData uri="http://schemas.openxmlformats.org/drawingml/2006/picture">
                      <pic:pic xmlns:pic="http://schemas.openxmlformats.org/drawingml/2006/picture">
                        <pic:nvPicPr>
                          <pic:cNvPr id="3598" name="图片_1_SpCnt_95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702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7" name="图片_1_SpCnt_957"/>
                  <wp:cNvGraphicFramePr/>
                  <a:graphic xmlns:a="http://schemas.openxmlformats.org/drawingml/2006/main">
                    <a:graphicData uri="http://schemas.openxmlformats.org/drawingml/2006/picture">
                      <pic:pic xmlns:pic="http://schemas.openxmlformats.org/drawingml/2006/picture">
                        <pic:nvPicPr>
                          <pic:cNvPr id="2937" name="图片_1_SpCnt_95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80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599" name="图片_1_SpCnt_958"/>
                  <wp:cNvGraphicFramePr/>
                  <a:graphic xmlns:a="http://schemas.openxmlformats.org/drawingml/2006/main">
                    <a:graphicData uri="http://schemas.openxmlformats.org/drawingml/2006/picture">
                      <pic:pic xmlns:pic="http://schemas.openxmlformats.org/drawingml/2006/picture">
                        <pic:nvPicPr>
                          <pic:cNvPr id="3599" name="图片_1_SpCnt_95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491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0" name="图片_1_SpCnt_959"/>
                  <wp:cNvGraphicFramePr/>
                  <a:graphic xmlns:a="http://schemas.openxmlformats.org/drawingml/2006/main">
                    <a:graphicData uri="http://schemas.openxmlformats.org/drawingml/2006/picture">
                      <pic:pic xmlns:pic="http://schemas.openxmlformats.org/drawingml/2006/picture">
                        <pic:nvPicPr>
                          <pic:cNvPr id="3600" name="图片_1_SpCnt_95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01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1" name="图片_1_SpCnt_960"/>
                  <wp:cNvGraphicFramePr/>
                  <a:graphic xmlns:a="http://schemas.openxmlformats.org/drawingml/2006/main">
                    <a:graphicData uri="http://schemas.openxmlformats.org/drawingml/2006/picture">
                      <pic:pic xmlns:pic="http://schemas.openxmlformats.org/drawingml/2006/picture">
                        <pic:nvPicPr>
                          <pic:cNvPr id="3601" name="图片_1_SpCnt_96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11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2" name="图片_1_SpCnt_961"/>
                  <wp:cNvGraphicFramePr/>
                  <a:graphic xmlns:a="http://schemas.openxmlformats.org/drawingml/2006/main">
                    <a:graphicData uri="http://schemas.openxmlformats.org/drawingml/2006/picture">
                      <pic:pic xmlns:pic="http://schemas.openxmlformats.org/drawingml/2006/picture">
                        <pic:nvPicPr>
                          <pic:cNvPr id="3602" name="图片_1_SpCnt_96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21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3" name="图片_1_SpCnt_962"/>
                  <wp:cNvGraphicFramePr/>
                  <a:graphic xmlns:a="http://schemas.openxmlformats.org/drawingml/2006/main">
                    <a:graphicData uri="http://schemas.openxmlformats.org/drawingml/2006/picture">
                      <pic:pic xmlns:pic="http://schemas.openxmlformats.org/drawingml/2006/picture">
                        <pic:nvPicPr>
                          <pic:cNvPr id="3603" name="图片_1_SpCnt_96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32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4" name="图片_1_SpCnt_963"/>
                  <wp:cNvGraphicFramePr/>
                  <a:graphic xmlns:a="http://schemas.openxmlformats.org/drawingml/2006/main">
                    <a:graphicData uri="http://schemas.openxmlformats.org/drawingml/2006/picture">
                      <pic:pic xmlns:pic="http://schemas.openxmlformats.org/drawingml/2006/picture">
                        <pic:nvPicPr>
                          <pic:cNvPr id="3604" name="图片_1_SpCnt_96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42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5" name="图片_1_SpCnt_964"/>
                  <wp:cNvGraphicFramePr/>
                  <a:graphic xmlns:a="http://schemas.openxmlformats.org/drawingml/2006/main">
                    <a:graphicData uri="http://schemas.openxmlformats.org/drawingml/2006/picture">
                      <pic:pic xmlns:pic="http://schemas.openxmlformats.org/drawingml/2006/picture">
                        <pic:nvPicPr>
                          <pic:cNvPr id="3605" name="图片_1_SpCnt_96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52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6" name="图片_1_SpCnt_965"/>
                  <wp:cNvGraphicFramePr/>
                  <a:graphic xmlns:a="http://schemas.openxmlformats.org/drawingml/2006/main">
                    <a:graphicData uri="http://schemas.openxmlformats.org/drawingml/2006/picture">
                      <pic:pic xmlns:pic="http://schemas.openxmlformats.org/drawingml/2006/picture">
                        <pic:nvPicPr>
                          <pic:cNvPr id="3606" name="图片_1_SpCnt_96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712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8" name="图片_1_SpCnt_966"/>
                  <wp:cNvGraphicFramePr/>
                  <a:graphic xmlns:a="http://schemas.openxmlformats.org/drawingml/2006/main">
                    <a:graphicData uri="http://schemas.openxmlformats.org/drawingml/2006/picture">
                      <pic:pic xmlns:pic="http://schemas.openxmlformats.org/drawingml/2006/picture">
                        <pic:nvPicPr>
                          <pic:cNvPr id="2938" name="图片_1_SpCnt_96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62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7" name="图片_1_SpCnt_967"/>
                  <wp:cNvGraphicFramePr/>
                  <a:graphic xmlns:a="http://schemas.openxmlformats.org/drawingml/2006/main">
                    <a:graphicData uri="http://schemas.openxmlformats.org/drawingml/2006/picture">
                      <pic:pic xmlns:pic="http://schemas.openxmlformats.org/drawingml/2006/picture">
                        <pic:nvPicPr>
                          <pic:cNvPr id="3607" name="图片_1_SpCnt_96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73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8" name="图片_1_SpCnt_968"/>
                  <wp:cNvGraphicFramePr/>
                  <a:graphic xmlns:a="http://schemas.openxmlformats.org/drawingml/2006/main">
                    <a:graphicData uri="http://schemas.openxmlformats.org/drawingml/2006/picture">
                      <pic:pic xmlns:pic="http://schemas.openxmlformats.org/drawingml/2006/picture">
                        <pic:nvPicPr>
                          <pic:cNvPr id="3608" name="图片_1_SpCnt_96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83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09" name="图片_1_SpCnt_969"/>
                  <wp:cNvGraphicFramePr/>
                  <a:graphic xmlns:a="http://schemas.openxmlformats.org/drawingml/2006/main">
                    <a:graphicData uri="http://schemas.openxmlformats.org/drawingml/2006/picture">
                      <pic:pic xmlns:pic="http://schemas.openxmlformats.org/drawingml/2006/picture">
                        <pic:nvPicPr>
                          <pic:cNvPr id="3609" name="图片_1_SpCnt_96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593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0" name="图片_1_SpCnt_970"/>
                  <wp:cNvGraphicFramePr/>
                  <a:graphic xmlns:a="http://schemas.openxmlformats.org/drawingml/2006/main">
                    <a:graphicData uri="http://schemas.openxmlformats.org/drawingml/2006/picture">
                      <pic:pic xmlns:pic="http://schemas.openxmlformats.org/drawingml/2006/picture">
                        <pic:nvPicPr>
                          <pic:cNvPr id="3610" name="图片_1_SpCnt_97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03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1" name="图片_1_SpCnt_971"/>
                  <wp:cNvGraphicFramePr/>
                  <a:graphic xmlns:a="http://schemas.openxmlformats.org/drawingml/2006/main">
                    <a:graphicData uri="http://schemas.openxmlformats.org/drawingml/2006/picture">
                      <pic:pic xmlns:pic="http://schemas.openxmlformats.org/drawingml/2006/picture">
                        <pic:nvPicPr>
                          <pic:cNvPr id="3611" name="图片_1_SpCnt_97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14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2" name="图片_1_SpCnt_972"/>
                  <wp:cNvGraphicFramePr/>
                  <a:graphic xmlns:a="http://schemas.openxmlformats.org/drawingml/2006/main">
                    <a:graphicData uri="http://schemas.openxmlformats.org/drawingml/2006/picture">
                      <pic:pic xmlns:pic="http://schemas.openxmlformats.org/drawingml/2006/picture">
                        <pic:nvPicPr>
                          <pic:cNvPr id="3612" name="图片_1_SpCnt_97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24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3" name="图片_1_SpCnt_973"/>
                  <wp:cNvGraphicFramePr/>
                  <a:graphic xmlns:a="http://schemas.openxmlformats.org/drawingml/2006/main">
                    <a:graphicData uri="http://schemas.openxmlformats.org/drawingml/2006/picture">
                      <pic:pic xmlns:pic="http://schemas.openxmlformats.org/drawingml/2006/picture">
                        <pic:nvPicPr>
                          <pic:cNvPr id="3613" name="图片_1_SpCnt_97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34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4" name="图片_1_SpCnt_974"/>
                  <wp:cNvGraphicFramePr/>
                  <a:graphic xmlns:a="http://schemas.openxmlformats.org/drawingml/2006/main">
                    <a:graphicData uri="http://schemas.openxmlformats.org/drawingml/2006/picture">
                      <pic:pic xmlns:pic="http://schemas.openxmlformats.org/drawingml/2006/picture">
                        <pic:nvPicPr>
                          <pic:cNvPr id="3614" name="图片_1_SpCnt_97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44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5" name="图片_1_SpCnt_975"/>
                  <wp:cNvGraphicFramePr/>
                  <a:graphic xmlns:a="http://schemas.openxmlformats.org/drawingml/2006/main">
                    <a:graphicData uri="http://schemas.openxmlformats.org/drawingml/2006/picture">
                      <pic:pic xmlns:pic="http://schemas.openxmlformats.org/drawingml/2006/picture">
                        <pic:nvPicPr>
                          <pic:cNvPr id="3615" name="图片_1_SpCnt_97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55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6" name="图片_1_SpCnt_976"/>
                  <wp:cNvGraphicFramePr/>
                  <a:graphic xmlns:a="http://schemas.openxmlformats.org/drawingml/2006/main">
                    <a:graphicData uri="http://schemas.openxmlformats.org/drawingml/2006/picture">
                      <pic:pic xmlns:pic="http://schemas.openxmlformats.org/drawingml/2006/picture">
                        <pic:nvPicPr>
                          <pic:cNvPr id="3616" name="图片_1_SpCnt_97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65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7" name="图片_1_SpCnt_977"/>
                  <wp:cNvGraphicFramePr/>
                  <a:graphic xmlns:a="http://schemas.openxmlformats.org/drawingml/2006/main">
                    <a:graphicData uri="http://schemas.openxmlformats.org/drawingml/2006/picture">
                      <pic:pic xmlns:pic="http://schemas.openxmlformats.org/drawingml/2006/picture">
                        <pic:nvPicPr>
                          <pic:cNvPr id="3617" name="图片_1_SpCnt_97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75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8" name="图片_1_SpCnt_978"/>
                  <wp:cNvGraphicFramePr/>
                  <a:graphic xmlns:a="http://schemas.openxmlformats.org/drawingml/2006/main">
                    <a:graphicData uri="http://schemas.openxmlformats.org/drawingml/2006/picture">
                      <pic:pic xmlns:pic="http://schemas.openxmlformats.org/drawingml/2006/picture">
                        <pic:nvPicPr>
                          <pic:cNvPr id="3618" name="图片_1_SpCnt_97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85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19" name="图片_1_SpCnt_979"/>
                  <wp:cNvGraphicFramePr/>
                  <a:graphic xmlns:a="http://schemas.openxmlformats.org/drawingml/2006/main">
                    <a:graphicData uri="http://schemas.openxmlformats.org/drawingml/2006/picture">
                      <pic:pic xmlns:pic="http://schemas.openxmlformats.org/drawingml/2006/picture">
                        <pic:nvPicPr>
                          <pic:cNvPr id="3619" name="图片_1_SpCnt_97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696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0" name="图片_1_SpCnt_980"/>
                  <wp:cNvGraphicFramePr/>
                  <a:graphic xmlns:a="http://schemas.openxmlformats.org/drawingml/2006/main">
                    <a:graphicData uri="http://schemas.openxmlformats.org/drawingml/2006/picture">
                      <pic:pic xmlns:pic="http://schemas.openxmlformats.org/drawingml/2006/picture">
                        <pic:nvPicPr>
                          <pic:cNvPr id="3620" name="图片_1_SpCnt_98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06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1" name="图片_1_SpCnt_981"/>
                  <wp:cNvGraphicFramePr/>
                  <a:graphic xmlns:a="http://schemas.openxmlformats.org/drawingml/2006/main">
                    <a:graphicData uri="http://schemas.openxmlformats.org/drawingml/2006/picture">
                      <pic:pic xmlns:pic="http://schemas.openxmlformats.org/drawingml/2006/picture">
                        <pic:nvPicPr>
                          <pic:cNvPr id="3621" name="图片_1_SpCnt_98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16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2" name="图片_1_SpCnt_982"/>
                  <wp:cNvGraphicFramePr/>
                  <a:graphic xmlns:a="http://schemas.openxmlformats.org/drawingml/2006/main">
                    <a:graphicData uri="http://schemas.openxmlformats.org/drawingml/2006/picture">
                      <pic:pic xmlns:pic="http://schemas.openxmlformats.org/drawingml/2006/picture">
                        <pic:nvPicPr>
                          <pic:cNvPr id="3622" name="图片_1_SpCnt_98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26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3" name="图片_1_SpCnt_983"/>
                  <wp:cNvGraphicFramePr/>
                  <a:graphic xmlns:a="http://schemas.openxmlformats.org/drawingml/2006/main">
                    <a:graphicData uri="http://schemas.openxmlformats.org/drawingml/2006/picture">
                      <pic:pic xmlns:pic="http://schemas.openxmlformats.org/drawingml/2006/picture">
                        <pic:nvPicPr>
                          <pic:cNvPr id="3623" name="图片_1_SpCnt_98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36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4" name="图片_1_SpCnt_984"/>
                  <wp:cNvGraphicFramePr/>
                  <a:graphic xmlns:a="http://schemas.openxmlformats.org/drawingml/2006/main">
                    <a:graphicData uri="http://schemas.openxmlformats.org/drawingml/2006/picture">
                      <pic:pic xmlns:pic="http://schemas.openxmlformats.org/drawingml/2006/picture">
                        <pic:nvPicPr>
                          <pic:cNvPr id="3624" name="图片_1_SpCnt_98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47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5" name="图片_1_SpCnt_985"/>
                  <wp:cNvGraphicFramePr/>
                  <a:graphic xmlns:a="http://schemas.openxmlformats.org/drawingml/2006/main">
                    <a:graphicData uri="http://schemas.openxmlformats.org/drawingml/2006/picture">
                      <pic:pic xmlns:pic="http://schemas.openxmlformats.org/drawingml/2006/picture">
                        <pic:nvPicPr>
                          <pic:cNvPr id="3625" name="图片_1_SpCnt_98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57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6" name="图片_1_SpCnt_986"/>
                  <wp:cNvGraphicFramePr/>
                  <a:graphic xmlns:a="http://schemas.openxmlformats.org/drawingml/2006/main">
                    <a:graphicData uri="http://schemas.openxmlformats.org/drawingml/2006/picture">
                      <pic:pic xmlns:pic="http://schemas.openxmlformats.org/drawingml/2006/picture">
                        <pic:nvPicPr>
                          <pic:cNvPr id="3626" name="图片_1_SpCnt_98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67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7" name="图片_1_SpCnt_987"/>
                  <wp:cNvGraphicFramePr/>
                  <a:graphic xmlns:a="http://schemas.openxmlformats.org/drawingml/2006/main">
                    <a:graphicData uri="http://schemas.openxmlformats.org/drawingml/2006/picture">
                      <pic:pic xmlns:pic="http://schemas.openxmlformats.org/drawingml/2006/picture">
                        <pic:nvPicPr>
                          <pic:cNvPr id="3627" name="图片_1_SpCnt_98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77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8" name="图片_1_SpCnt_988"/>
                  <wp:cNvGraphicFramePr/>
                  <a:graphic xmlns:a="http://schemas.openxmlformats.org/drawingml/2006/main">
                    <a:graphicData uri="http://schemas.openxmlformats.org/drawingml/2006/picture">
                      <pic:pic xmlns:pic="http://schemas.openxmlformats.org/drawingml/2006/picture">
                        <pic:nvPicPr>
                          <pic:cNvPr id="3628" name="图片_1_SpCnt_98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88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29" name="图片_1_SpCnt_989"/>
                  <wp:cNvGraphicFramePr/>
                  <a:graphic xmlns:a="http://schemas.openxmlformats.org/drawingml/2006/main">
                    <a:graphicData uri="http://schemas.openxmlformats.org/drawingml/2006/picture">
                      <pic:pic xmlns:pic="http://schemas.openxmlformats.org/drawingml/2006/picture">
                        <pic:nvPicPr>
                          <pic:cNvPr id="3629" name="图片_1_SpCnt_98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798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0" name="图片_1_SpCnt_990"/>
                  <wp:cNvGraphicFramePr/>
                  <a:graphic xmlns:a="http://schemas.openxmlformats.org/drawingml/2006/main">
                    <a:graphicData uri="http://schemas.openxmlformats.org/drawingml/2006/picture">
                      <pic:pic xmlns:pic="http://schemas.openxmlformats.org/drawingml/2006/picture">
                        <pic:nvPicPr>
                          <pic:cNvPr id="3630" name="图片_1_SpCnt_99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08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1" name="图片_1_SpCnt_991"/>
                  <wp:cNvGraphicFramePr/>
                  <a:graphic xmlns:a="http://schemas.openxmlformats.org/drawingml/2006/main">
                    <a:graphicData uri="http://schemas.openxmlformats.org/drawingml/2006/picture">
                      <pic:pic xmlns:pic="http://schemas.openxmlformats.org/drawingml/2006/picture">
                        <pic:nvPicPr>
                          <pic:cNvPr id="3631" name="图片_1_SpCnt_99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18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2" name="图片_1_SpCnt_992"/>
                  <wp:cNvGraphicFramePr/>
                  <a:graphic xmlns:a="http://schemas.openxmlformats.org/drawingml/2006/main">
                    <a:graphicData uri="http://schemas.openxmlformats.org/drawingml/2006/picture">
                      <pic:pic xmlns:pic="http://schemas.openxmlformats.org/drawingml/2006/picture">
                        <pic:nvPicPr>
                          <pic:cNvPr id="3632" name="图片_1_SpCnt_99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29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3" name="图片_1_SpCnt_993"/>
                  <wp:cNvGraphicFramePr/>
                  <a:graphic xmlns:a="http://schemas.openxmlformats.org/drawingml/2006/main">
                    <a:graphicData uri="http://schemas.openxmlformats.org/drawingml/2006/picture">
                      <pic:pic xmlns:pic="http://schemas.openxmlformats.org/drawingml/2006/picture">
                        <pic:nvPicPr>
                          <pic:cNvPr id="3633" name="图片_1_SpCnt_99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39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4" name="图片_1_SpCnt_994"/>
                  <wp:cNvGraphicFramePr/>
                  <a:graphic xmlns:a="http://schemas.openxmlformats.org/drawingml/2006/main">
                    <a:graphicData uri="http://schemas.openxmlformats.org/drawingml/2006/picture">
                      <pic:pic xmlns:pic="http://schemas.openxmlformats.org/drawingml/2006/picture">
                        <pic:nvPicPr>
                          <pic:cNvPr id="3634" name="图片_1_SpCnt_99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49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5" name="图片_1_SpCnt_995"/>
                  <wp:cNvGraphicFramePr/>
                  <a:graphic xmlns:a="http://schemas.openxmlformats.org/drawingml/2006/main">
                    <a:graphicData uri="http://schemas.openxmlformats.org/drawingml/2006/picture">
                      <pic:pic xmlns:pic="http://schemas.openxmlformats.org/drawingml/2006/picture">
                        <pic:nvPicPr>
                          <pic:cNvPr id="3635" name="图片_1_SpCnt_99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59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6" name="图片_1_SpCnt_996"/>
                  <wp:cNvGraphicFramePr/>
                  <a:graphic xmlns:a="http://schemas.openxmlformats.org/drawingml/2006/main">
                    <a:graphicData uri="http://schemas.openxmlformats.org/drawingml/2006/picture">
                      <pic:pic xmlns:pic="http://schemas.openxmlformats.org/drawingml/2006/picture">
                        <pic:nvPicPr>
                          <pic:cNvPr id="3636" name="图片_1_SpCnt_99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70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7" name="图片_1_SpCnt_997"/>
                  <wp:cNvGraphicFramePr/>
                  <a:graphic xmlns:a="http://schemas.openxmlformats.org/drawingml/2006/main">
                    <a:graphicData uri="http://schemas.openxmlformats.org/drawingml/2006/picture">
                      <pic:pic xmlns:pic="http://schemas.openxmlformats.org/drawingml/2006/picture">
                        <pic:nvPicPr>
                          <pic:cNvPr id="3637" name="图片_1_SpCnt_99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80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8" name="图片_1_SpCnt_998"/>
                  <wp:cNvGraphicFramePr/>
                  <a:graphic xmlns:a="http://schemas.openxmlformats.org/drawingml/2006/main">
                    <a:graphicData uri="http://schemas.openxmlformats.org/drawingml/2006/picture">
                      <pic:pic xmlns:pic="http://schemas.openxmlformats.org/drawingml/2006/picture">
                        <pic:nvPicPr>
                          <pic:cNvPr id="3638" name="图片_1_SpCnt_99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890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39" name="图片_1_SpCnt_999"/>
                  <wp:cNvGraphicFramePr/>
                  <a:graphic xmlns:a="http://schemas.openxmlformats.org/drawingml/2006/main">
                    <a:graphicData uri="http://schemas.openxmlformats.org/drawingml/2006/picture">
                      <pic:pic xmlns:pic="http://schemas.openxmlformats.org/drawingml/2006/picture">
                        <pic:nvPicPr>
                          <pic:cNvPr id="3639" name="图片_1_SpCnt_99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00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0" name="图片_1_SpCnt_1000"/>
                  <wp:cNvGraphicFramePr/>
                  <a:graphic xmlns:a="http://schemas.openxmlformats.org/drawingml/2006/main">
                    <a:graphicData uri="http://schemas.openxmlformats.org/drawingml/2006/picture">
                      <pic:pic xmlns:pic="http://schemas.openxmlformats.org/drawingml/2006/picture">
                        <pic:nvPicPr>
                          <pic:cNvPr id="3640" name="图片_1_SpCnt_100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11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1" name="图片_1_SpCnt_1001"/>
                  <wp:cNvGraphicFramePr/>
                  <a:graphic xmlns:a="http://schemas.openxmlformats.org/drawingml/2006/main">
                    <a:graphicData uri="http://schemas.openxmlformats.org/drawingml/2006/picture">
                      <pic:pic xmlns:pic="http://schemas.openxmlformats.org/drawingml/2006/picture">
                        <pic:nvPicPr>
                          <pic:cNvPr id="3641" name="图片_1_SpCnt_100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21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2" name="图片_1_SpCnt_1002"/>
                  <wp:cNvGraphicFramePr/>
                  <a:graphic xmlns:a="http://schemas.openxmlformats.org/drawingml/2006/main">
                    <a:graphicData uri="http://schemas.openxmlformats.org/drawingml/2006/picture">
                      <pic:pic xmlns:pic="http://schemas.openxmlformats.org/drawingml/2006/picture">
                        <pic:nvPicPr>
                          <pic:cNvPr id="3642" name="图片_1_SpCnt_100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31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3" name="图片_1_SpCnt_1003"/>
                  <wp:cNvGraphicFramePr/>
                  <a:graphic xmlns:a="http://schemas.openxmlformats.org/drawingml/2006/main">
                    <a:graphicData uri="http://schemas.openxmlformats.org/drawingml/2006/picture">
                      <pic:pic xmlns:pic="http://schemas.openxmlformats.org/drawingml/2006/picture">
                        <pic:nvPicPr>
                          <pic:cNvPr id="3643" name="图片_1_SpCnt_100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41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4" name="图片_1_SpCnt_1004"/>
                  <wp:cNvGraphicFramePr/>
                  <a:graphic xmlns:a="http://schemas.openxmlformats.org/drawingml/2006/main">
                    <a:graphicData uri="http://schemas.openxmlformats.org/drawingml/2006/picture">
                      <pic:pic xmlns:pic="http://schemas.openxmlformats.org/drawingml/2006/picture">
                        <pic:nvPicPr>
                          <pic:cNvPr id="3644" name="图片_1_SpCnt_100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52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5" name="图片_1_SpCnt_1005"/>
                  <wp:cNvGraphicFramePr/>
                  <a:graphic xmlns:a="http://schemas.openxmlformats.org/drawingml/2006/main">
                    <a:graphicData uri="http://schemas.openxmlformats.org/drawingml/2006/picture">
                      <pic:pic xmlns:pic="http://schemas.openxmlformats.org/drawingml/2006/picture">
                        <pic:nvPicPr>
                          <pic:cNvPr id="3645" name="图片_1_SpCnt_100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62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6" name="图片_1_SpCnt_1006"/>
                  <wp:cNvGraphicFramePr/>
                  <a:graphic xmlns:a="http://schemas.openxmlformats.org/drawingml/2006/main">
                    <a:graphicData uri="http://schemas.openxmlformats.org/drawingml/2006/picture">
                      <pic:pic xmlns:pic="http://schemas.openxmlformats.org/drawingml/2006/picture">
                        <pic:nvPicPr>
                          <pic:cNvPr id="3646" name="图片_1_SpCnt_100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72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7" name="图片_1_SpCnt_1007"/>
                  <wp:cNvGraphicFramePr/>
                  <a:graphic xmlns:a="http://schemas.openxmlformats.org/drawingml/2006/main">
                    <a:graphicData uri="http://schemas.openxmlformats.org/drawingml/2006/picture">
                      <pic:pic xmlns:pic="http://schemas.openxmlformats.org/drawingml/2006/picture">
                        <pic:nvPicPr>
                          <pic:cNvPr id="3647" name="图片_1_SpCnt_100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82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8" name="图片_1_SpCnt_1008"/>
                  <wp:cNvGraphicFramePr/>
                  <a:graphic xmlns:a="http://schemas.openxmlformats.org/drawingml/2006/main">
                    <a:graphicData uri="http://schemas.openxmlformats.org/drawingml/2006/picture">
                      <pic:pic xmlns:pic="http://schemas.openxmlformats.org/drawingml/2006/picture">
                        <pic:nvPicPr>
                          <pic:cNvPr id="3648" name="图片_1_SpCnt_100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5992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49" name="图片_1_SpCnt_1009"/>
                  <wp:cNvGraphicFramePr/>
                  <a:graphic xmlns:a="http://schemas.openxmlformats.org/drawingml/2006/main">
                    <a:graphicData uri="http://schemas.openxmlformats.org/drawingml/2006/picture">
                      <pic:pic xmlns:pic="http://schemas.openxmlformats.org/drawingml/2006/picture">
                        <pic:nvPicPr>
                          <pic:cNvPr id="3649" name="图片_1_SpCnt_100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722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39" name="图片_1_SpCnt_1010"/>
                  <wp:cNvGraphicFramePr/>
                  <a:graphic xmlns:a="http://schemas.openxmlformats.org/drawingml/2006/main">
                    <a:graphicData uri="http://schemas.openxmlformats.org/drawingml/2006/picture">
                      <pic:pic xmlns:pic="http://schemas.openxmlformats.org/drawingml/2006/picture">
                        <pic:nvPicPr>
                          <pic:cNvPr id="2939" name="图片_1_SpCnt_101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03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0" name="图片_1_SpCnt_1011"/>
                  <wp:cNvGraphicFramePr/>
                  <a:graphic xmlns:a="http://schemas.openxmlformats.org/drawingml/2006/main">
                    <a:graphicData uri="http://schemas.openxmlformats.org/drawingml/2006/picture">
                      <pic:pic xmlns:pic="http://schemas.openxmlformats.org/drawingml/2006/picture">
                        <pic:nvPicPr>
                          <pic:cNvPr id="3650" name="图片_1_SpCnt_101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13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1" name="图片_1_SpCnt_1012"/>
                  <wp:cNvGraphicFramePr/>
                  <a:graphic xmlns:a="http://schemas.openxmlformats.org/drawingml/2006/main">
                    <a:graphicData uri="http://schemas.openxmlformats.org/drawingml/2006/picture">
                      <pic:pic xmlns:pic="http://schemas.openxmlformats.org/drawingml/2006/picture">
                        <pic:nvPicPr>
                          <pic:cNvPr id="3651" name="图片_1_SpCnt_101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23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2" name="图片_1_SpCnt_1013"/>
                  <wp:cNvGraphicFramePr/>
                  <a:graphic xmlns:a="http://schemas.openxmlformats.org/drawingml/2006/main">
                    <a:graphicData uri="http://schemas.openxmlformats.org/drawingml/2006/picture">
                      <pic:pic xmlns:pic="http://schemas.openxmlformats.org/drawingml/2006/picture">
                        <pic:nvPicPr>
                          <pic:cNvPr id="3652" name="图片_1_SpCnt_101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33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3" name="图片_1_SpCnt_1014"/>
                  <wp:cNvGraphicFramePr/>
                  <a:graphic xmlns:a="http://schemas.openxmlformats.org/drawingml/2006/main">
                    <a:graphicData uri="http://schemas.openxmlformats.org/drawingml/2006/picture">
                      <pic:pic xmlns:pic="http://schemas.openxmlformats.org/drawingml/2006/picture">
                        <pic:nvPicPr>
                          <pic:cNvPr id="3653" name="图片_1_SpCnt_101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44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4" name="图片_1_SpCnt_1015"/>
                  <wp:cNvGraphicFramePr/>
                  <a:graphic xmlns:a="http://schemas.openxmlformats.org/drawingml/2006/main">
                    <a:graphicData uri="http://schemas.openxmlformats.org/drawingml/2006/picture">
                      <pic:pic xmlns:pic="http://schemas.openxmlformats.org/drawingml/2006/picture">
                        <pic:nvPicPr>
                          <pic:cNvPr id="3654" name="图片_1_SpCnt_101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54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5" name="图片_1_SpCnt_1016"/>
                  <wp:cNvGraphicFramePr/>
                  <a:graphic xmlns:a="http://schemas.openxmlformats.org/drawingml/2006/main">
                    <a:graphicData uri="http://schemas.openxmlformats.org/drawingml/2006/picture">
                      <pic:pic xmlns:pic="http://schemas.openxmlformats.org/drawingml/2006/picture">
                        <pic:nvPicPr>
                          <pic:cNvPr id="3655" name="图片_1_SpCnt_101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64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6" name="图片_1_SpCnt_1017"/>
                  <wp:cNvGraphicFramePr/>
                  <a:graphic xmlns:a="http://schemas.openxmlformats.org/drawingml/2006/main">
                    <a:graphicData uri="http://schemas.openxmlformats.org/drawingml/2006/picture">
                      <pic:pic xmlns:pic="http://schemas.openxmlformats.org/drawingml/2006/picture">
                        <pic:nvPicPr>
                          <pic:cNvPr id="3656" name="图片_1_SpCnt_101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74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7" name="图片_1_SpCnt_1018"/>
                  <wp:cNvGraphicFramePr/>
                  <a:graphic xmlns:a="http://schemas.openxmlformats.org/drawingml/2006/main">
                    <a:graphicData uri="http://schemas.openxmlformats.org/drawingml/2006/picture">
                      <pic:pic xmlns:pic="http://schemas.openxmlformats.org/drawingml/2006/picture">
                        <pic:nvPicPr>
                          <pic:cNvPr id="3657" name="图片_1_SpCnt_101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732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40" name="图片_1_SpCnt_1019"/>
                  <wp:cNvGraphicFramePr/>
                  <a:graphic xmlns:a="http://schemas.openxmlformats.org/drawingml/2006/main">
                    <a:graphicData uri="http://schemas.openxmlformats.org/drawingml/2006/picture">
                      <pic:pic xmlns:pic="http://schemas.openxmlformats.org/drawingml/2006/picture">
                        <pic:nvPicPr>
                          <pic:cNvPr id="2940" name="图片_1_SpCnt_101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85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8" name="图片_1_SpCnt_1020"/>
                  <wp:cNvGraphicFramePr/>
                  <a:graphic xmlns:a="http://schemas.openxmlformats.org/drawingml/2006/main">
                    <a:graphicData uri="http://schemas.openxmlformats.org/drawingml/2006/picture">
                      <pic:pic xmlns:pic="http://schemas.openxmlformats.org/drawingml/2006/picture">
                        <pic:nvPicPr>
                          <pic:cNvPr id="3658" name="图片_1_SpCnt_102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095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59" name="图片_1_SpCnt_1021"/>
                  <wp:cNvGraphicFramePr/>
                  <a:graphic xmlns:a="http://schemas.openxmlformats.org/drawingml/2006/main">
                    <a:graphicData uri="http://schemas.openxmlformats.org/drawingml/2006/picture">
                      <pic:pic xmlns:pic="http://schemas.openxmlformats.org/drawingml/2006/picture">
                        <pic:nvPicPr>
                          <pic:cNvPr id="3659" name="图片_1_SpCnt_102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05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0" name="图片_1_SpCnt_1022"/>
                  <wp:cNvGraphicFramePr/>
                  <a:graphic xmlns:a="http://schemas.openxmlformats.org/drawingml/2006/main">
                    <a:graphicData uri="http://schemas.openxmlformats.org/drawingml/2006/picture">
                      <pic:pic xmlns:pic="http://schemas.openxmlformats.org/drawingml/2006/picture">
                        <pic:nvPicPr>
                          <pic:cNvPr id="3660" name="图片_1_SpCnt_102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15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1" name="图片_1_SpCnt_1023"/>
                  <wp:cNvGraphicFramePr/>
                  <a:graphic xmlns:a="http://schemas.openxmlformats.org/drawingml/2006/main">
                    <a:graphicData uri="http://schemas.openxmlformats.org/drawingml/2006/picture">
                      <pic:pic xmlns:pic="http://schemas.openxmlformats.org/drawingml/2006/picture">
                        <pic:nvPicPr>
                          <pic:cNvPr id="3661" name="图片_1_SpCnt_102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260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2" name="图片_1_SpCnt_1024"/>
                  <wp:cNvGraphicFramePr/>
                  <a:graphic xmlns:a="http://schemas.openxmlformats.org/drawingml/2006/main">
                    <a:graphicData uri="http://schemas.openxmlformats.org/drawingml/2006/picture">
                      <pic:pic xmlns:pic="http://schemas.openxmlformats.org/drawingml/2006/picture">
                        <pic:nvPicPr>
                          <pic:cNvPr id="3662" name="图片_1_SpCnt_102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363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3" name="图片_1_SpCnt_1025"/>
                  <wp:cNvGraphicFramePr/>
                  <a:graphic xmlns:a="http://schemas.openxmlformats.org/drawingml/2006/main">
                    <a:graphicData uri="http://schemas.openxmlformats.org/drawingml/2006/picture">
                      <pic:pic xmlns:pic="http://schemas.openxmlformats.org/drawingml/2006/picture">
                        <pic:nvPicPr>
                          <pic:cNvPr id="3663" name="图片_1_SpCnt_102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465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4" name="图片_1_SpCnt_1026"/>
                  <wp:cNvGraphicFramePr/>
                  <a:graphic xmlns:a="http://schemas.openxmlformats.org/drawingml/2006/main">
                    <a:graphicData uri="http://schemas.openxmlformats.org/drawingml/2006/picture">
                      <pic:pic xmlns:pic="http://schemas.openxmlformats.org/drawingml/2006/picture">
                        <pic:nvPicPr>
                          <pic:cNvPr id="3664" name="图片_1_SpCnt_102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568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5" name="图片_1_SpCnt_1027"/>
                  <wp:cNvGraphicFramePr/>
                  <a:graphic xmlns:a="http://schemas.openxmlformats.org/drawingml/2006/main">
                    <a:graphicData uri="http://schemas.openxmlformats.org/drawingml/2006/picture">
                      <pic:pic xmlns:pic="http://schemas.openxmlformats.org/drawingml/2006/picture">
                        <pic:nvPicPr>
                          <pic:cNvPr id="3665" name="图片_1_SpCnt_102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18743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2941" name="图片_1_SpCnt_1028"/>
                  <wp:cNvGraphicFramePr/>
                  <a:graphic xmlns:a="http://schemas.openxmlformats.org/drawingml/2006/main">
                    <a:graphicData uri="http://schemas.openxmlformats.org/drawingml/2006/picture">
                      <pic:pic xmlns:pic="http://schemas.openxmlformats.org/drawingml/2006/picture">
                        <pic:nvPicPr>
                          <pic:cNvPr id="2941" name="图片_1_SpCnt_102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670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6" name="图片_1_SpCnt_1029"/>
                  <wp:cNvGraphicFramePr/>
                  <a:graphic xmlns:a="http://schemas.openxmlformats.org/drawingml/2006/main">
                    <a:graphicData uri="http://schemas.openxmlformats.org/drawingml/2006/picture">
                      <pic:pic xmlns:pic="http://schemas.openxmlformats.org/drawingml/2006/picture">
                        <pic:nvPicPr>
                          <pic:cNvPr id="3666" name="图片_1_SpCnt_102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772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7" name="图片_1_SpCnt_1030"/>
                  <wp:cNvGraphicFramePr/>
                  <a:graphic xmlns:a="http://schemas.openxmlformats.org/drawingml/2006/main">
                    <a:graphicData uri="http://schemas.openxmlformats.org/drawingml/2006/picture">
                      <pic:pic xmlns:pic="http://schemas.openxmlformats.org/drawingml/2006/picture">
                        <pic:nvPicPr>
                          <pic:cNvPr id="3667" name="图片_1_SpCnt_103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875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8" name="图片_1_SpCnt_1031"/>
                  <wp:cNvGraphicFramePr/>
                  <a:graphic xmlns:a="http://schemas.openxmlformats.org/drawingml/2006/main">
                    <a:graphicData uri="http://schemas.openxmlformats.org/drawingml/2006/picture">
                      <pic:pic xmlns:pic="http://schemas.openxmlformats.org/drawingml/2006/picture">
                        <pic:nvPicPr>
                          <pic:cNvPr id="3668" name="图片_1_SpCnt_103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1977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69" name="图片_1_SpCnt_1032"/>
                  <wp:cNvGraphicFramePr/>
                  <a:graphic xmlns:a="http://schemas.openxmlformats.org/drawingml/2006/main">
                    <a:graphicData uri="http://schemas.openxmlformats.org/drawingml/2006/picture">
                      <pic:pic xmlns:pic="http://schemas.openxmlformats.org/drawingml/2006/picture">
                        <pic:nvPicPr>
                          <pic:cNvPr id="3669" name="图片_1_SpCnt_103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080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0" name="图片_1_SpCnt_1033"/>
                  <wp:cNvGraphicFramePr/>
                  <a:graphic xmlns:a="http://schemas.openxmlformats.org/drawingml/2006/main">
                    <a:graphicData uri="http://schemas.openxmlformats.org/drawingml/2006/picture">
                      <pic:pic xmlns:pic="http://schemas.openxmlformats.org/drawingml/2006/picture">
                        <pic:nvPicPr>
                          <pic:cNvPr id="3670" name="图片_1_SpCnt_103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182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1" name="图片_1_SpCnt_1034"/>
                  <wp:cNvGraphicFramePr/>
                  <a:graphic xmlns:a="http://schemas.openxmlformats.org/drawingml/2006/main">
                    <a:graphicData uri="http://schemas.openxmlformats.org/drawingml/2006/picture">
                      <pic:pic xmlns:pic="http://schemas.openxmlformats.org/drawingml/2006/picture">
                        <pic:nvPicPr>
                          <pic:cNvPr id="3671" name="图片_1_SpCnt_103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284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2" name="图片_1_SpCnt_1035"/>
                  <wp:cNvGraphicFramePr/>
                  <a:graphic xmlns:a="http://schemas.openxmlformats.org/drawingml/2006/main">
                    <a:graphicData uri="http://schemas.openxmlformats.org/drawingml/2006/picture">
                      <pic:pic xmlns:pic="http://schemas.openxmlformats.org/drawingml/2006/picture">
                        <pic:nvPicPr>
                          <pic:cNvPr id="3672" name="图片_1_SpCnt_103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387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3" name="图片_1_SpCnt_1036"/>
                  <wp:cNvGraphicFramePr/>
                  <a:graphic xmlns:a="http://schemas.openxmlformats.org/drawingml/2006/main">
                    <a:graphicData uri="http://schemas.openxmlformats.org/drawingml/2006/picture">
                      <pic:pic xmlns:pic="http://schemas.openxmlformats.org/drawingml/2006/picture">
                        <pic:nvPicPr>
                          <pic:cNvPr id="3673" name="图片_1_SpCnt_103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489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4" name="图片_1_SpCnt_1037"/>
                  <wp:cNvGraphicFramePr/>
                  <a:graphic xmlns:a="http://schemas.openxmlformats.org/drawingml/2006/main">
                    <a:graphicData uri="http://schemas.openxmlformats.org/drawingml/2006/picture">
                      <pic:pic xmlns:pic="http://schemas.openxmlformats.org/drawingml/2006/picture">
                        <pic:nvPicPr>
                          <pic:cNvPr id="3674" name="图片_1_SpCnt_103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592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5" name="图片_1_SpCnt_1038"/>
                  <wp:cNvGraphicFramePr/>
                  <a:graphic xmlns:a="http://schemas.openxmlformats.org/drawingml/2006/main">
                    <a:graphicData uri="http://schemas.openxmlformats.org/drawingml/2006/picture">
                      <pic:pic xmlns:pic="http://schemas.openxmlformats.org/drawingml/2006/picture">
                        <pic:nvPicPr>
                          <pic:cNvPr id="3675" name="图片_1_SpCnt_103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694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6" name="图片_1_SpCnt_1039"/>
                  <wp:cNvGraphicFramePr/>
                  <a:graphic xmlns:a="http://schemas.openxmlformats.org/drawingml/2006/main">
                    <a:graphicData uri="http://schemas.openxmlformats.org/drawingml/2006/picture">
                      <pic:pic xmlns:pic="http://schemas.openxmlformats.org/drawingml/2006/picture">
                        <pic:nvPicPr>
                          <pic:cNvPr id="3676" name="图片_1_SpCnt_103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796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7" name="图片_1_SpCnt_1040"/>
                  <wp:cNvGraphicFramePr/>
                  <a:graphic xmlns:a="http://schemas.openxmlformats.org/drawingml/2006/main">
                    <a:graphicData uri="http://schemas.openxmlformats.org/drawingml/2006/picture">
                      <pic:pic xmlns:pic="http://schemas.openxmlformats.org/drawingml/2006/picture">
                        <pic:nvPicPr>
                          <pic:cNvPr id="3677" name="图片_1_SpCnt_1040"/>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2899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8" name="图片_1_SpCnt_1041"/>
                  <wp:cNvGraphicFramePr/>
                  <a:graphic xmlns:a="http://schemas.openxmlformats.org/drawingml/2006/main">
                    <a:graphicData uri="http://schemas.openxmlformats.org/drawingml/2006/picture">
                      <pic:pic xmlns:pic="http://schemas.openxmlformats.org/drawingml/2006/picture">
                        <pic:nvPicPr>
                          <pic:cNvPr id="3678" name="图片_1_SpCnt_1041"/>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001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79" name="图片_1_SpCnt_1042"/>
                  <wp:cNvGraphicFramePr/>
                  <a:graphic xmlns:a="http://schemas.openxmlformats.org/drawingml/2006/main">
                    <a:graphicData uri="http://schemas.openxmlformats.org/drawingml/2006/picture">
                      <pic:pic xmlns:pic="http://schemas.openxmlformats.org/drawingml/2006/picture">
                        <pic:nvPicPr>
                          <pic:cNvPr id="3679" name="图片_1_SpCnt_1042"/>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104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0" name="图片_1_SpCnt_1043"/>
                  <wp:cNvGraphicFramePr/>
                  <a:graphic xmlns:a="http://schemas.openxmlformats.org/drawingml/2006/main">
                    <a:graphicData uri="http://schemas.openxmlformats.org/drawingml/2006/picture">
                      <pic:pic xmlns:pic="http://schemas.openxmlformats.org/drawingml/2006/picture">
                        <pic:nvPicPr>
                          <pic:cNvPr id="3680" name="图片_1_SpCnt_1043"/>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206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1" name="图片_1_SpCnt_1044"/>
                  <wp:cNvGraphicFramePr/>
                  <a:graphic xmlns:a="http://schemas.openxmlformats.org/drawingml/2006/main">
                    <a:graphicData uri="http://schemas.openxmlformats.org/drawingml/2006/picture">
                      <pic:pic xmlns:pic="http://schemas.openxmlformats.org/drawingml/2006/picture">
                        <pic:nvPicPr>
                          <pic:cNvPr id="3681" name="图片_1_SpCnt_1044"/>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3088"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2" name="图片_1_SpCnt_1045"/>
                  <wp:cNvGraphicFramePr/>
                  <a:graphic xmlns:a="http://schemas.openxmlformats.org/drawingml/2006/main">
                    <a:graphicData uri="http://schemas.openxmlformats.org/drawingml/2006/picture">
                      <pic:pic xmlns:pic="http://schemas.openxmlformats.org/drawingml/2006/picture">
                        <pic:nvPicPr>
                          <pic:cNvPr id="3682" name="图片_1_SpCnt_1045"/>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4112"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3" name="图片_1_SpCnt_1046"/>
                  <wp:cNvGraphicFramePr/>
                  <a:graphic xmlns:a="http://schemas.openxmlformats.org/drawingml/2006/main">
                    <a:graphicData uri="http://schemas.openxmlformats.org/drawingml/2006/picture">
                      <pic:pic xmlns:pic="http://schemas.openxmlformats.org/drawingml/2006/picture">
                        <pic:nvPicPr>
                          <pic:cNvPr id="3683" name="图片_1_SpCnt_1046"/>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5136"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4" name="图片_1_SpCnt_1047"/>
                  <wp:cNvGraphicFramePr/>
                  <a:graphic xmlns:a="http://schemas.openxmlformats.org/drawingml/2006/main">
                    <a:graphicData uri="http://schemas.openxmlformats.org/drawingml/2006/picture">
                      <pic:pic xmlns:pic="http://schemas.openxmlformats.org/drawingml/2006/picture">
                        <pic:nvPicPr>
                          <pic:cNvPr id="3684" name="图片_1_SpCnt_1047"/>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6160"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5" name="图片_1_SpCnt_1048"/>
                  <wp:cNvGraphicFramePr/>
                  <a:graphic xmlns:a="http://schemas.openxmlformats.org/drawingml/2006/main">
                    <a:graphicData uri="http://schemas.openxmlformats.org/drawingml/2006/picture">
                      <pic:pic xmlns:pic="http://schemas.openxmlformats.org/drawingml/2006/picture">
                        <pic:nvPicPr>
                          <pic:cNvPr id="3685" name="图片_1_SpCnt_1048"/>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ascii="宋体" w:hAnsi="宋体" w:cs="宋体"/>
                <w:b/>
                <w:bCs/>
                <w:color w:val="auto"/>
                <w:sz w:val="21"/>
                <w:szCs w:val="21"/>
                <w:highlight w:val="none"/>
                <w:bdr w:val="single" w:color="000000" w:sz="4" w:space="0"/>
                <w:shd w:val="clear" w:color="auto" w:fill="FFFFFF"/>
                <w:lang w:bidi="ar"/>
              </w:rPr>
              <w:drawing>
                <wp:anchor distT="0" distB="0" distL="114300" distR="114300" simplePos="0" relativeHeight="252637184" behindDoc="0" locked="0" layoutInCell="1" allowOverlap="1">
                  <wp:simplePos x="0" y="0"/>
                  <wp:positionH relativeFrom="column">
                    <wp:posOffset>46355</wp:posOffset>
                  </wp:positionH>
                  <wp:positionV relativeFrom="paragraph">
                    <wp:posOffset>0</wp:posOffset>
                  </wp:positionV>
                  <wp:extent cx="1541145" cy="9525"/>
                  <wp:effectExtent l="0" t="0" r="0" b="0"/>
                  <wp:wrapNone/>
                  <wp:docPr id="3686" name="图片_1_SpCnt_1049"/>
                  <wp:cNvGraphicFramePr/>
                  <a:graphic xmlns:a="http://schemas.openxmlformats.org/drawingml/2006/main">
                    <a:graphicData uri="http://schemas.openxmlformats.org/drawingml/2006/picture">
                      <pic:pic xmlns:pic="http://schemas.openxmlformats.org/drawingml/2006/picture">
                        <pic:nvPicPr>
                          <pic:cNvPr id="3686" name="图片_1_SpCnt_1049"/>
                          <pic:cNvPicPr/>
                        </pic:nvPicPr>
                        <pic:blipFill>
                          <a:blip r:embed="rId14"/>
                          <a:stretch>
                            <a:fillRect/>
                          </a:stretch>
                        </pic:blipFill>
                        <pic:spPr>
                          <a:xfrm>
                            <a:off x="0" y="0"/>
                            <a:ext cx="1541145" cy="9525"/>
                          </a:xfrm>
                          <a:prstGeom prst="rect">
                            <a:avLst/>
                          </a:prstGeom>
                          <a:noFill/>
                          <a:ln>
                            <a:noFill/>
                          </a:ln>
                        </pic:spPr>
                      </pic:pic>
                    </a:graphicData>
                  </a:graphic>
                </wp:anchor>
              </w:drawing>
            </w:r>
            <w:r>
              <w:rPr>
                <w:rFonts w:hint="eastAsia" w:ascii="宋体" w:hAnsi="宋体" w:cs="宋体"/>
                <w:b/>
                <w:bCs/>
                <w:color w:val="auto"/>
                <w:sz w:val="21"/>
                <w:szCs w:val="21"/>
                <w:highlight w:val="none"/>
                <w:bdr w:val="single" w:color="000000" w:sz="4" w:space="0"/>
                <w:shd w:val="clear" w:color="auto" w:fill="FFFFFF"/>
                <w:lang w:bidi="ar"/>
              </w:rPr>
              <w:t>捌拾柒万贰仟壹佰壹拾伍</w:t>
            </w:r>
            <w:r>
              <w:rPr>
                <w:rFonts w:ascii="宋体" w:hAnsi="宋体" w:cs="宋体"/>
                <w:b/>
                <w:bCs/>
                <w:color w:val="auto"/>
                <w:sz w:val="21"/>
                <w:szCs w:val="21"/>
                <w:highlight w:val="none"/>
                <w:lang w:bidi="ar"/>
              </w:rPr>
              <w:t>元整</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8ED4">
            <w:pPr>
              <w:widowControl w:val="0"/>
              <w:jc w:val="center"/>
              <w:rPr>
                <w:rFonts w:hint="eastAsia" w:ascii="宋体" w:hAnsi="宋体" w:cs="宋体"/>
                <w:b/>
                <w:bCs/>
                <w:color w:val="auto"/>
                <w:kern w:val="2"/>
                <w:sz w:val="21"/>
                <w:szCs w:val="21"/>
                <w:highlight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2043A">
            <w:pPr>
              <w:widowControl w:val="0"/>
              <w:jc w:val="center"/>
              <w:rPr>
                <w:rFonts w:hint="eastAsia" w:ascii="宋体" w:hAnsi="宋体" w:cs="宋体"/>
                <w:b/>
                <w:bCs/>
                <w:color w:val="auto"/>
                <w:kern w:val="2"/>
                <w:sz w:val="21"/>
                <w:szCs w:val="21"/>
                <w:highlight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FB2A">
            <w:pPr>
              <w:widowControl w:val="0"/>
              <w:jc w:val="center"/>
              <w:rPr>
                <w:rFonts w:hint="eastAsia" w:ascii="宋体" w:hAnsi="宋体" w:cs="宋体"/>
                <w:b/>
                <w:bCs/>
                <w:color w:val="auto"/>
                <w:kern w:val="2"/>
                <w:sz w:val="21"/>
                <w:szCs w:val="21"/>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848C9">
            <w:pPr>
              <w:jc w:val="center"/>
              <w:textAlignment w:val="center"/>
              <w:rPr>
                <w:rFonts w:hint="eastAsia" w:ascii="宋体" w:hAnsi="宋体" w:cs="宋体"/>
                <w:b/>
                <w:bCs/>
                <w:color w:val="auto"/>
                <w:kern w:val="2"/>
                <w:sz w:val="21"/>
                <w:szCs w:val="21"/>
                <w:highlight w:val="none"/>
              </w:rPr>
            </w:pPr>
            <w:r>
              <w:rPr>
                <w:rFonts w:hint="eastAsia" w:ascii="宋体" w:hAnsi="宋体" w:cs="宋体"/>
                <w:b/>
                <w:bCs/>
                <w:color w:val="auto"/>
                <w:sz w:val="21"/>
                <w:szCs w:val="21"/>
                <w:highlight w:val="none"/>
                <w:lang w:bidi="ar"/>
              </w:rPr>
              <w:t>872115</w:t>
            </w:r>
          </w:p>
        </w:tc>
      </w:tr>
    </w:tbl>
    <w:p w14:paraId="2F239404">
      <w:pPr>
        <w:spacing w:line="360" w:lineRule="auto"/>
        <w:outlineLvl w:val="1"/>
        <w:rPr>
          <w:b/>
          <w:bCs/>
          <w:color w:val="auto"/>
          <w:highlight w:val="none"/>
        </w:rPr>
      </w:pPr>
      <w:r>
        <w:rPr>
          <w:b/>
          <w:bCs/>
          <w:color w:val="auto"/>
          <w:highlight w:val="none"/>
        </w:rPr>
        <w:t>三、质量、售后服务要求</w:t>
      </w:r>
    </w:p>
    <w:bookmarkEnd w:id="48"/>
    <w:p w14:paraId="02F2197A">
      <w:pPr>
        <w:spacing w:line="360" w:lineRule="auto"/>
        <w:ind w:firstLine="480" w:firstLineChars="200"/>
        <w:rPr>
          <w:color w:val="auto"/>
          <w:highlight w:val="none"/>
        </w:rPr>
      </w:pPr>
      <w:bookmarkStart w:id="49" w:name="_Hlk93996520"/>
      <w:r>
        <w:rPr>
          <w:color w:val="auto"/>
          <w:highlight w:val="none"/>
        </w:rPr>
        <w:t>（一）设备要求</w:t>
      </w:r>
    </w:p>
    <w:p w14:paraId="1CC7FD64">
      <w:pPr>
        <w:spacing w:line="360" w:lineRule="auto"/>
        <w:ind w:firstLine="480" w:firstLineChars="200"/>
        <w:rPr>
          <w:color w:val="auto"/>
          <w:highlight w:val="none"/>
        </w:rPr>
      </w:pPr>
      <w:r>
        <w:rPr>
          <w:color w:val="auto"/>
          <w:highlight w:val="none"/>
        </w:rPr>
        <w:t>1.投标人提供的设备必须是全新的原装优质产品（包括所有零部件、元器件、附件、备件），符合相应的国家标准，并提供相关产品的产品合格证、产品说明书和安装说明等资料，投标人所提供的产品在安装调试完成后，并试运行一次，达到相关功能要求。</w:t>
      </w:r>
    </w:p>
    <w:p w14:paraId="3F50B548">
      <w:pPr>
        <w:spacing w:line="360" w:lineRule="auto"/>
        <w:ind w:firstLine="480" w:firstLineChars="200"/>
        <w:rPr>
          <w:color w:val="auto"/>
          <w:highlight w:val="none"/>
        </w:rPr>
      </w:pPr>
      <w:r>
        <w:rPr>
          <w:color w:val="auto"/>
          <w:highlight w:val="none"/>
        </w:rPr>
        <w:t>2.投标人应列出详细的产品配置清单。</w:t>
      </w:r>
    </w:p>
    <w:p w14:paraId="16474E5F">
      <w:pPr>
        <w:spacing w:line="360" w:lineRule="auto"/>
        <w:ind w:firstLine="480" w:firstLineChars="200"/>
        <w:rPr>
          <w:color w:val="auto"/>
          <w:highlight w:val="none"/>
        </w:rPr>
      </w:pPr>
      <w:r>
        <w:rPr>
          <w:rFonts w:hint="eastAsia"/>
          <w:color w:val="auto"/>
          <w:highlight w:val="none"/>
        </w:rPr>
        <w:t>3.备品备件范围及质量要求</w:t>
      </w:r>
    </w:p>
    <w:p w14:paraId="4896435D">
      <w:pPr>
        <w:spacing w:line="360" w:lineRule="auto"/>
        <w:ind w:firstLine="480" w:firstLineChars="200"/>
        <w:rPr>
          <w:color w:val="auto"/>
          <w:highlight w:val="none"/>
        </w:rPr>
      </w:pPr>
      <w:r>
        <w:rPr>
          <w:color w:val="auto"/>
          <w:highlight w:val="none"/>
        </w:rPr>
        <w:t>范围界定：在质保期内中标人需提供本项目采购清单内所有设备（如多功能实训美容仪、智能恒温烫发机、头皮检测仪等）所需的关键备品备件，包括但不限于设备核心部件（如美容仪的射频头、烫发机的控温芯片、检测仪的镜头等）、易损耗部件（如吹风机的滤网、化妆工具包的刷子、消毒机的紫外线灯管等）。</w:t>
      </w:r>
    </w:p>
    <w:p w14:paraId="47A3311C">
      <w:pPr>
        <w:spacing w:line="360" w:lineRule="auto"/>
        <w:ind w:firstLine="480" w:firstLineChars="200"/>
        <w:rPr>
          <w:color w:val="auto"/>
          <w:highlight w:val="none"/>
        </w:rPr>
      </w:pPr>
      <w:r>
        <w:rPr>
          <w:color w:val="auto"/>
          <w:highlight w:val="none"/>
        </w:rPr>
        <w:t>质量标准：所有备品备件必须是原装正品，与设备原配部件型号、规格一致，符合国家相关质量标准及设备制造商的技术要求，并随备品备件提供产品合格证、质量检测报告等证明文件。</w:t>
      </w:r>
    </w:p>
    <w:p w14:paraId="5A9FCF58">
      <w:pPr>
        <w:spacing w:line="360" w:lineRule="auto"/>
        <w:ind w:firstLine="480" w:firstLineChars="200"/>
        <w:rPr>
          <w:color w:val="auto"/>
          <w:highlight w:val="none"/>
        </w:rPr>
      </w:pPr>
      <w:r>
        <w:rPr>
          <w:color w:val="auto"/>
          <w:highlight w:val="none"/>
        </w:rPr>
        <w:t>（二）工期和质保期要求</w:t>
      </w:r>
    </w:p>
    <w:p w14:paraId="3FE24A72">
      <w:pPr>
        <w:spacing w:line="360" w:lineRule="auto"/>
        <w:ind w:firstLine="480" w:firstLineChars="200"/>
        <w:rPr>
          <w:color w:val="auto"/>
          <w:highlight w:val="none"/>
        </w:rPr>
      </w:pPr>
      <w:r>
        <w:rPr>
          <w:color w:val="auto"/>
          <w:highlight w:val="none"/>
        </w:rPr>
        <w:t>1.交货及完工时间：</w:t>
      </w:r>
      <w:r>
        <w:rPr>
          <w:rFonts w:hint="eastAsia"/>
          <w:color w:val="auto"/>
          <w:highlight w:val="none"/>
        </w:rPr>
        <w:t>中标人在合同签订后30日内供货并安装调试完毕，同时提交完整的技术资料向采购人申请验收。</w:t>
      </w:r>
    </w:p>
    <w:p w14:paraId="674ECB55">
      <w:pPr>
        <w:spacing w:line="360" w:lineRule="auto"/>
        <w:ind w:firstLine="480" w:firstLineChars="200"/>
        <w:rPr>
          <w:color w:val="auto"/>
          <w:highlight w:val="none"/>
        </w:rPr>
      </w:pPr>
      <w:r>
        <w:rPr>
          <w:color w:val="auto"/>
          <w:highlight w:val="none"/>
        </w:rPr>
        <w:t>2.质保期：投标人必须提供3年的质保期。质保期从安装调试完毕、最终验收合格之日开始计算。除非采购人另有要求，质保期内的服务均为免费上门服务。</w:t>
      </w:r>
    </w:p>
    <w:p w14:paraId="54DB6680">
      <w:pPr>
        <w:spacing w:line="360" w:lineRule="auto"/>
        <w:ind w:firstLine="480" w:firstLineChars="200"/>
        <w:rPr>
          <w:color w:val="auto"/>
          <w:highlight w:val="none"/>
        </w:rPr>
      </w:pPr>
      <w:r>
        <w:rPr>
          <w:color w:val="auto"/>
          <w:highlight w:val="none"/>
        </w:rPr>
        <w:t>3.响应时间：</w:t>
      </w:r>
      <w:r>
        <w:rPr>
          <w:rFonts w:hint="eastAsia"/>
          <w:color w:val="auto"/>
          <w:highlight w:val="none"/>
        </w:rPr>
        <w:t>如在使用过程中发生质量问题中标人在接到采购人通知后在24小时内到达采购人现场。</w:t>
      </w:r>
      <w:r>
        <w:rPr>
          <w:color w:val="auto"/>
          <w:highlight w:val="none"/>
        </w:rPr>
        <w:t>出现故障后，中标人如未按上述要求进行响应，采购人可以采取必要的补救措施，由此产生的风险和费用全部由中标人承担。</w:t>
      </w:r>
    </w:p>
    <w:p w14:paraId="7FF8288B">
      <w:pPr>
        <w:spacing w:line="360" w:lineRule="auto"/>
        <w:ind w:firstLine="480" w:firstLineChars="200"/>
        <w:rPr>
          <w:color w:val="auto"/>
          <w:highlight w:val="none"/>
        </w:rPr>
      </w:pPr>
      <w:r>
        <w:rPr>
          <w:color w:val="auto"/>
          <w:highlight w:val="none"/>
        </w:rPr>
        <w:t>（三）验收要求</w:t>
      </w:r>
    </w:p>
    <w:p w14:paraId="6E3859D9">
      <w:pPr>
        <w:spacing w:line="360" w:lineRule="auto"/>
        <w:ind w:firstLine="480" w:firstLineChars="200"/>
        <w:rPr>
          <w:color w:val="auto"/>
          <w:highlight w:val="none"/>
        </w:rPr>
      </w:pPr>
      <w:r>
        <w:rPr>
          <w:color w:val="auto"/>
          <w:highlight w:val="none"/>
        </w:rPr>
        <w:t>1.验收时间：中标人在设备送达指定地点并安装调试完毕后，书面通知采购人报验。</w:t>
      </w:r>
    </w:p>
    <w:p w14:paraId="02DBD5B1">
      <w:pPr>
        <w:spacing w:line="360" w:lineRule="auto"/>
        <w:ind w:firstLine="480" w:firstLineChars="200"/>
        <w:rPr>
          <w:color w:val="auto"/>
          <w:highlight w:val="none"/>
        </w:rPr>
      </w:pPr>
      <w:r>
        <w:rPr>
          <w:color w:val="auto"/>
          <w:highlight w:val="none"/>
        </w:rPr>
        <w:t>2.验收</w:t>
      </w:r>
      <w:r>
        <w:rPr>
          <w:rFonts w:hint="eastAsia"/>
          <w:color w:val="auto"/>
          <w:highlight w:val="none"/>
        </w:rPr>
        <w:t>方式</w:t>
      </w:r>
      <w:r>
        <w:rPr>
          <w:color w:val="auto"/>
          <w:highlight w:val="none"/>
        </w:rPr>
        <w:t xml:space="preserve">： </w:t>
      </w:r>
    </w:p>
    <w:p w14:paraId="46A1A484">
      <w:pPr>
        <w:widowControl w:val="0"/>
        <w:adjustRightInd w:val="0"/>
        <w:snapToGrid w:val="0"/>
        <w:spacing w:line="360" w:lineRule="auto"/>
        <w:ind w:firstLine="537" w:firstLineChars="224"/>
        <w:rPr>
          <w:color w:val="auto"/>
          <w:highlight w:val="none"/>
        </w:rPr>
      </w:pPr>
      <w:r>
        <w:rPr>
          <w:rFonts w:hint="eastAsia"/>
          <w:color w:val="auto"/>
          <w:highlight w:val="none"/>
        </w:rPr>
        <w:t>（1）采购人</w:t>
      </w:r>
      <w:r>
        <w:rPr>
          <w:color w:val="auto"/>
          <w:highlight w:val="none"/>
        </w:rPr>
        <w:t>对</w:t>
      </w:r>
      <w:r>
        <w:rPr>
          <w:rFonts w:hint="eastAsia"/>
          <w:color w:val="auto"/>
          <w:highlight w:val="none"/>
        </w:rPr>
        <w:t>中标人</w:t>
      </w:r>
      <w:r>
        <w:rPr>
          <w:color w:val="auto"/>
          <w:highlight w:val="none"/>
        </w:rPr>
        <w:t>提交的货物依据招标文件上的技术规格要求和国家有关质量标准进行现场初步验收，外观、说明书符合招标文件技术要求的，给予签收，初步验收不合格的不予签收。</w:t>
      </w:r>
    </w:p>
    <w:p w14:paraId="42314528">
      <w:pPr>
        <w:widowControl w:val="0"/>
        <w:adjustRightInd w:val="0"/>
        <w:snapToGrid w:val="0"/>
        <w:spacing w:line="360" w:lineRule="auto"/>
        <w:ind w:firstLine="537" w:firstLineChars="224"/>
        <w:rPr>
          <w:color w:val="auto"/>
          <w:highlight w:val="none"/>
        </w:rPr>
      </w:pPr>
      <w:r>
        <w:rPr>
          <w:rFonts w:hint="eastAsia"/>
          <w:color w:val="auto"/>
          <w:highlight w:val="none"/>
        </w:rPr>
        <w:t>（2）初步验收完成后，</w:t>
      </w:r>
      <w:r>
        <w:rPr>
          <w:color w:val="auto"/>
          <w:highlight w:val="none"/>
        </w:rPr>
        <w:t>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736DAE8">
      <w:pPr>
        <w:widowControl w:val="0"/>
        <w:adjustRightInd w:val="0"/>
        <w:snapToGrid w:val="0"/>
        <w:spacing w:line="360" w:lineRule="auto"/>
        <w:ind w:firstLine="537" w:firstLineChars="224"/>
        <w:rPr>
          <w:color w:val="auto"/>
          <w:highlight w:val="none"/>
        </w:rPr>
      </w:pPr>
      <w:r>
        <w:rPr>
          <w:rFonts w:hint="eastAsia"/>
          <w:color w:val="auto"/>
          <w:highlight w:val="none"/>
        </w:rPr>
        <w:t>（3）</w:t>
      </w:r>
      <w:r>
        <w:rPr>
          <w:color w:val="auto"/>
          <w:highlight w:val="none"/>
        </w:rPr>
        <w:t>采购人可以邀请参加本项目的其他投标人或者第三方机构参与验收。参与验收的投标人或者第三方机构的意见作为验收书的参考资料一并存档。</w:t>
      </w:r>
    </w:p>
    <w:p w14:paraId="0E78EC26">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0816A4">
      <w:pPr>
        <w:widowControl w:val="0"/>
        <w:adjustRightInd w:val="0"/>
        <w:snapToGrid w:val="0"/>
        <w:spacing w:line="360" w:lineRule="auto"/>
        <w:ind w:firstLine="537" w:firstLineChars="224"/>
        <w:rPr>
          <w:color w:val="auto"/>
          <w:highlight w:val="none"/>
        </w:rPr>
      </w:pPr>
      <w:r>
        <w:rPr>
          <w:rFonts w:hint="eastAsia"/>
          <w:color w:val="auto"/>
          <w:highlight w:val="none"/>
        </w:rPr>
        <w:t>（5）</w:t>
      </w:r>
      <w:r>
        <w:rPr>
          <w:color w:val="auto"/>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61596B31">
      <w:pPr>
        <w:widowControl w:val="0"/>
        <w:adjustRightInd w:val="0"/>
        <w:snapToGrid w:val="0"/>
        <w:spacing w:line="360" w:lineRule="auto"/>
        <w:ind w:firstLine="537" w:firstLineChars="224"/>
        <w:rPr>
          <w:color w:val="auto"/>
          <w:highlight w:val="none"/>
        </w:rPr>
      </w:pPr>
      <w:r>
        <w:rPr>
          <w:rFonts w:hint="eastAsia"/>
          <w:color w:val="auto"/>
          <w:highlight w:val="none"/>
        </w:rPr>
        <w:t>（6）</w:t>
      </w:r>
      <w:r>
        <w:rPr>
          <w:color w:val="auto"/>
          <w:highlight w:val="none"/>
        </w:rPr>
        <w:t>验收时</w:t>
      </w:r>
      <w:r>
        <w:rPr>
          <w:rFonts w:hint="eastAsia"/>
          <w:color w:val="auto"/>
          <w:highlight w:val="none"/>
        </w:rPr>
        <w:t>中标人</w:t>
      </w:r>
      <w:r>
        <w:rPr>
          <w:color w:val="auto"/>
          <w:highlight w:val="none"/>
        </w:rPr>
        <w:t>必须在现场，验收过程中相关费用（如有）由</w:t>
      </w:r>
      <w:r>
        <w:rPr>
          <w:rFonts w:hint="eastAsia"/>
          <w:color w:val="auto"/>
          <w:highlight w:val="none"/>
        </w:rPr>
        <w:t>采购人</w:t>
      </w:r>
      <w:r>
        <w:rPr>
          <w:color w:val="auto"/>
          <w:highlight w:val="none"/>
        </w:rPr>
        <w:t>负责。</w:t>
      </w:r>
    </w:p>
    <w:p w14:paraId="3E7219EE">
      <w:pPr>
        <w:widowControl w:val="0"/>
        <w:adjustRightInd w:val="0"/>
        <w:snapToGrid w:val="0"/>
        <w:spacing w:line="360" w:lineRule="auto"/>
        <w:ind w:firstLine="537" w:firstLineChars="224"/>
        <w:rPr>
          <w:color w:val="auto"/>
          <w:highlight w:val="none"/>
        </w:rPr>
      </w:pPr>
      <w:r>
        <w:rPr>
          <w:rFonts w:hint="eastAsia"/>
          <w:color w:val="auto"/>
          <w:highlight w:val="none"/>
        </w:rPr>
        <w:t>（7）采购人原则上应当在履约验收之日起2个工作日内，将履约验收结果在浙江政府采购网上公告。</w:t>
      </w:r>
    </w:p>
    <w:p w14:paraId="3A59A537">
      <w:pPr>
        <w:spacing w:line="360" w:lineRule="auto"/>
        <w:ind w:firstLine="480" w:firstLineChars="200"/>
        <w:rPr>
          <w:color w:val="auto"/>
          <w:highlight w:val="none"/>
        </w:rPr>
      </w:pPr>
      <w:r>
        <w:rPr>
          <w:color w:val="auto"/>
          <w:highlight w:val="none"/>
        </w:rPr>
        <w:t>（四）包装及运输要求</w:t>
      </w:r>
    </w:p>
    <w:p w14:paraId="1C23FC16">
      <w:pPr>
        <w:spacing w:line="360" w:lineRule="auto"/>
        <w:ind w:firstLine="480" w:firstLineChars="200"/>
        <w:rPr>
          <w:color w:val="auto"/>
          <w:highlight w:val="none"/>
        </w:rPr>
      </w:pPr>
      <w:r>
        <w:rPr>
          <w:color w:val="auto"/>
          <w:highlight w:val="none"/>
        </w:rP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2B8A87F3">
      <w:pPr>
        <w:spacing w:line="360" w:lineRule="auto"/>
        <w:ind w:firstLine="480" w:firstLineChars="200"/>
        <w:rPr>
          <w:color w:val="auto"/>
          <w:highlight w:val="none"/>
        </w:rPr>
      </w:pPr>
      <w:r>
        <w:rPr>
          <w:color w:val="auto"/>
          <w:highlight w:val="none"/>
        </w:rPr>
        <w:t>2.由投标人将设备直接免费送至采购人指定的位置。如在运输、搬运、安装过程中造成设备损坏，采购人有权不签收并由中标人承担相应经济损失。</w:t>
      </w:r>
    </w:p>
    <w:p w14:paraId="7C8E3257">
      <w:pPr>
        <w:spacing w:line="360" w:lineRule="auto"/>
        <w:ind w:firstLine="480" w:firstLineChars="200"/>
        <w:rPr>
          <w:color w:val="auto"/>
          <w:highlight w:val="none"/>
        </w:rPr>
      </w:pPr>
      <w:r>
        <w:rPr>
          <w:color w:val="auto"/>
          <w:highlight w:val="none"/>
        </w:rPr>
        <w:t>（五）资料要求</w:t>
      </w:r>
    </w:p>
    <w:p w14:paraId="762E353A">
      <w:pPr>
        <w:spacing w:line="360" w:lineRule="auto"/>
        <w:ind w:firstLine="480" w:firstLineChars="200"/>
        <w:rPr>
          <w:color w:val="auto"/>
          <w:highlight w:val="none"/>
        </w:rPr>
      </w:pPr>
      <w:r>
        <w:rPr>
          <w:color w:val="auto"/>
          <w:highlight w:val="none"/>
        </w:rPr>
        <w:t>提供全套使用说明书。</w:t>
      </w:r>
    </w:p>
    <w:p w14:paraId="65BCFB90">
      <w:pPr>
        <w:spacing w:line="360" w:lineRule="auto"/>
        <w:ind w:firstLine="480" w:firstLineChars="200"/>
        <w:rPr>
          <w:b/>
          <w:bCs/>
          <w:color w:val="auto"/>
          <w:highlight w:val="none"/>
        </w:rPr>
      </w:pPr>
      <w:r>
        <w:rPr>
          <w:color w:val="auto"/>
          <w:highlight w:val="none"/>
        </w:rPr>
        <w:t>（六）技术服务：要求中标设备随机资料需齐全，备品备件齐全有效。中标人需提供对使用部门的操作人员进行集中使用培训或委派专业工程师上门不少于一天的专门培训，培训人次不少于1人。如额外增加培训名额或进行厂家培训的，需</w:t>
      </w:r>
      <w:r>
        <w:rPr>
          <w:rFonts w:hint="eastAsia"/>
          <w:color w:val="auto"/>
          <w:highlight w:val="none"/>
        </w:rPr>
        <w:t>在技术资信</w:t>
      </w:r>
      <w:r>
        <w:rPr>
          <w:color w:val="auto"/>
          <w:highlight w:val="none"/>
        </w:rPr>
        <w:t>标书中予以明确承诺。</w:t>
      </w:r>
    </w:p>
    <w:bookmarkEnd w:id="49"/>
    <w:p w14:paraId="1E0BA924">
      <w:pPr>
        <w:spacing w:line="360" w:lineRule="auto"/>
        <w:rPr>
          <w:b/>
          <w:bCs/>
          <w:color w:val="auto"/>
          <w:highlight w:val="none"/>
        </w:rPr>
      </w:pPr>
      <w:r>
        <w:rPr>
          <w:rFonts w:ascii="Segoe UI Symbol" w:hAnsi="Segoe UI Symbol" w:cs="Segoe UI Symbol"/>
          <w:color w:val="auto"/>
          <w:highlight w:val="none"/>
        </w:rPr>
        <w:t>★</w:t>
      </w:r>
      <w:r>
        <w:rPr>
          <w:b/>
          <w:bCs/>
          <w:color w:val="auto"/>
          <w:highlight w:val="none"/>
        </w:rPr>
        <w:t>四、付款方式</w:t>
      </w:r>
    </w:p>
    <w:bookmarkEnd w:id="45"/>
    <w:p w14:paraId="40649E26">
      <w:pPr>
        <w:widowControl w:val="0"/>
        <w:spacing w:line="360" w:lineRule="auto"/>
        <w:ind w:firstLine="480" w:firstLineChars="200"/>
        <w:rPr>
          <w:color w:val="auto"/>
          <w:highlight w:val="none"/>
        </w:rPr>
      </w:pPr>
      <w:bookmarkStart w:id="50" w:name="_Toc39239706"/>
      <w:r>
        <w:rPr>
          <w:rFonts w:hint="eastAsia"/>
          <w:color w:val="auto"/>
          <w:highlight w:val="none"/>
        </w:rPr>
        <w:t>（一）</w:t>
      </w:r>
      <w:bookmarkStart w:id="51" w:name="_Hlk110266047"/>
      <w:r>
        <w:rPr>
          <w:rFonts w:hint="eastAsia"/>
          <w:color w:val="auto"/>
          <w:highlight w:val="none"/>
        </w:rPr>
        <w:t>合同生效以及具备实施条件后七个工作日内，采购人向中标人支付40%的合同预付款。（采购人根据项目特点、投标人诚信等因素，可要求投标人提供预付款保函。签订合同时，中标供应商是大型企业的或中标人明确表示无需预付款或者主动要求降低预付款比例的，可不适用此条款）</w:t>
      </w:r>
    </w:p>
    <w:bookmarkEnd w:id="51"/>
    <w:p w14:paraId="6F13EA00">
      <w:pPr>
        <w:widowControl w:val="0"/>
        <w:spacing w:line="360" w:lineRule="auto"/>
        <w:ind w:firstLine="480" w:firstLineChars="200"/>
        <w:rPr>
          <w:color w:val="auto"/>
          <w:highlight w:val="none"/>
        </w:rPr>
      </w:pPr>
      <w:r>
        <w:rPr>
          <w:rFonts w:hint="eastAsia"/>
          <w:color w:val="auto"/>
          <w:highlight w:val="none"/>
        </w:rPr>
        <w:t>（二）在货物送达并且系统经中标人安装调试完毕，经采购人验收合格后10个工作日内，采购人一次性付至货物总价的100%。</w:t>
      </w:r>
      <w:r>
        <w:rPr>
          <w:rFonts w:hint="eastAsia" w:ascii="宋体" w:hAnsi="宋体"/>
          <w:color w:val="auto"/>
          <w:highlight w:val="none"/>
        </w:rPr>
        <w:t>中标人</w:t>
      </w:r>
      <w:r>
        <w:rPr>
          <w:rFonts w:hint="eastAsia"/>
          <w:color w:val="auto"/>
          <w:highlight w:val="none"/>
        </w:rPr>
        <w:t>应随付款进度提供正式税务发票。</w:t>
      </w:r>
    </w:p>
    <w:p w14:paraId="6A04E5CD">
      <w:pPr>
        <w:pStyle w:val="3"/>
        <w:spacing w:before="120" w:after="240" w:line="240" w:lineRule="auto"/>
        <w:jc w:val="center"/>
        <w:rPr>
          <w:rFonts w:hint="eastAsia" w:ascii="宋体" w:hAnsi="宋体"/>
          <w:color w:val="auto"/>
          <w:highlight w:val="none"/>
        </w:rPr>
      </w:pPr>
      <w:bookmarkStart w:id="52" w:name="_Toc93668162"/>
      <w:r>
        <w:rPr>
          <w:rFonts w:ascii="宋体" w:hAnsi="宋体"/>
          <w:color w:val="auto"/>
          <w:highlight w:val="none"/>
        </w:rPr>
        <w:br w:type="page"/>
      </w:r>
      <w:r>
        <w:rPr>
          <w:rFonts w:ascii="宋体" w:hAnsi="宋体"/>
          <w:color w:val="auto"/>
          <w:highlight w:val="none"/>
        </w:rPr>
        <w:t>第四章  投标人须知</w:t>
      </w:r>
      <w:bookmarkEnd w:id="50"/>
      <w:bookmarkEnd w:id="52"/>
    </w:p>
    <w:p w14:paraId="58F0E793">
      <w:pPr>
        <w:pStyle w:val="24"/>
        <w:widowControl w:val="0"/>
        <w:adjustRightInd w:val="0"/>
        <w:snapToGrid w:val="0"/>
        <w:spacing w:before="0" w:beforeAutospacing="0" w:after="0" w:afterAutospacing="0" w:line="360" w:lineRule="auto"/>
        <w:ind w:firstLine="540" w:firstLineChars="224"/>
        <w:jc w:val="both"/>
        <w:rPr>
          <w:rFonts w:ascii="Times New Roman" w:hAnsi="Times New Roman"/>
          <w:b/>
          <w:bCs/>
          <w:color w:val="auto"/>
          <w:highlight w:val="none"/>
        </w:rPr>
      </w:pPr>
      <w:bookmarkStart w:id="53" w:name="_Toc198712702"/>
      <w:r>
        <w:rPr>
          <w:rFonts w:ascii="Times New Roman" w:hAnsi="Times New Roman"/>
          <w:b/>
          <w:bCs/>
          <w:color w:val="auto"/>
          <w:highlight w:val="none"/>
        </w:rPr>
        <w:t>一、总则</w:t>
      </w:r>
    </w:p>
    <w:p w14:paraId="2CF0E724">
      <w:pPr>
        <w:widowControl w:val="0"/>
        <w:adjustRightInd w:val="0"/>
        <w:snapToGrid w:val="0"/>
        <w:spacing w:line="360" w:lineRule="auto"/>
        <w:ind w:firstLine="537" w:firstLineChars="224"/>
        <w:rPr>
          <w:color w:val="auto"/>
          <w:highlight w:val="none"/>
        </w:rPr>
      </w:pPr>
      <w:r>
        <w:rPr>
          <w:color w:val="auto"/>
          <w:highlight w:val="none"/>
        </w:rPr>
        <w:t>（一）适用范围</w:t>
      </w:r>
    </w:p>
    <w:p w14:paraId="30E029C5">
      <w:pPr>
        <w:widowControl w:val="0"/>
        <w:adjustRightInd w:val="0"/>
        <w:snapToGrid w:val="0"/>
        <w:spacing w:line="360" w:lineRule="auto"/>
        <w:ind w:firstLine="537" w:firstLineChars="224"/>
        <w:rPr>
          <w:color w:val="auto"/>
          <w:highlight w:val="none"/>
        </w:rPr>
      </w:pPr>
      <w:r>
        <w:rPr>
          <w:color w:val="auto"/>
          <w:highlight w:val="none"/>
        </w:rPr>
        <w:t>本招标文件适用于该项目的招标、投标、开标、资格审查及信用信息查询、评标、定标、合同、验收等行为（法律、法规另有规定的，从其规定）。</w:t>
      </w:r>
    </w:p>
    <w:p w14:paraId="22AF2E4E">
      <w:pPr>
        <w:widowControl w:val="0"/>
        <w:adjustRightInd w:val="0"/>
        <w:snapToGrid w:val="0"/>
        <w:spacing w:line="360" w:lineRule="auto"/>
        <w:ind w:firstLine="537" w:firstLineChars="224"/>
        <w:rPr>
          <w:color w:val="auto"/>
          <w:highlight w:val="none"/>
        </w:rPr>
      </w:pPr>
      <w:r>
        <w:rPr>
          <w:color w:val="auto"/>
          <w:highlight w:val="none"/>
        </w:rPr>
        <w:t>（二）定义</w:t>
      </w:r>
    </w:p>
    <w:p w14:paraId="3590219B">
      <w:pPr>
        <w:widowControl w:val="0"/>
        <w:adjustRightInd w:val="0"/>
        <w:snapToGrid w:val="0"/>
        <w:spacing w:line="360" w:lineRule="auto"/>
        <w:ind w:firstLine="537" w:firstLineChars="224"/>
        <w:rPr>
          <w:color w:val="auto"/>
          <w:highlight w:val="none"/>
        </w:rPr>
      </w:pPr>
      <w:r>
        <w:rPr>
          <w:color w:val="auto"/>
          <w:highlight w:val="none"/>
        </w:rPr>
        <w:t>1.“采购人”系指</w:t>
      </w:r>
      <w:r>
        <w:rPr>
          <w:rFonts w:hint="eastAsia"/>
          <w:color w:val="auto"/>
          <w:highlight w:val="none"/>
        </w:rPr>
        <w:t>金华开放大学（浙江商贸学校）</w:t>
      </w:r>
      <w:r>
        <w:rPr>
          <w:color w:val="auto"/>
          <w:highlight w:val="none"/>
        </w:rPr>
        <w:t>。</w:t>
      </w:r>
    </w:p>
    <w:p w14:paraId="756604C8">
      <w:pPr>
        <w:widowControl w:val="0"/>
        <w:adjustRightInd w:val="0"/>
        <w:snapToGrid w:val="0"/>
        <w:spacing w:line="360" w:lineRule="auto"/>
        <w:ind w:firstLine="537" w:firstLineChars="224"/>
        <w:rPr>
          <w:color w:val="auto"/>
          <w:highlight w:val="none"/>
        </w:rPr>
      </w:pPr>
      <w:r>
        <w:rPr>
          <w:color w:val="auto"/>
          <w:highlight w:val="none"/>
        </w:rPr>
        <w:t>2.“投标人”系指是指响应招标、参加投标竞争的法人、其他组织或者自然人。</w:t>
      </w:r>
    </w:p>
    <w:p w14:paraId="65D265D0">
      <w:pPr>
        <w:widowControl w:val="0"/>
        <w:adjustRightInd w:val="0"/>
        <w:snapToGrid w:val="0"/>
        <w:spacing w:line="360" w:lineRule="auto"/>
        <w:ind w:firstLine="537" w:firstLineChars="224"/>
        <w:rPr>
          <w:color w:val="auto"/>
          <w:highlight w:val="none"/>
        </w:rPr>
      </w:pPr>
      <w:r>
        <w:rPr>
          <w:color w:val="auto"/>
          <w:highlight w:val="none"/>
        </w:rPr>
        <w:t>3.“代理机构”系指组织招标活动的浙江金华阳光招标代理有限公司。</w:t>
      </w:r>
    </w:p>
    <w:p w14:paraId="5398D1D3">
      <w:pPr>
        <w:widowControl w:val="0"/>
        <w:adjustRightInd w:val="0"/>
        <w:snapToGrid w:val="0"/>
        <w:spacing w:line="360" w:lineRule="auto"/>
        <w:ind w:firstLine="537" w:firstLineChars="224"/>
        <w:rPr>
          <w:color w:val="auto"/>
          <w:highlight w:val="none"/>
        </w:rPr>
      </w:pPr>
      <w:r>
        <w:rPr>
          <w:color w:val="auto"/>
          <w:highlight w:val="none"/>
        </w:rPr>
        <w:t>4.“负责人”系指法人企业的法定负责人，或其他组织为法律、行政法规规定代表单位行使职权的主要负责人，或自然人本人。</w:t>
      </w:r>
    </w:p>
    <w:p w14:paraId="28B66FC2">
      <w:pPr>
        <w:widowControl w:val="0"/>
        <w:adjustRightInd w:val="0"/>
        <w:snapToGrid w:val="0"/>
        <w:spacing w:line="360" w:lineRule="auto"/>
        <w:ind w:firstLine="537" w:firstLineChars="224"/>
        <w:rPr>
          <w:color w:val="auto"/>
          <w:highlight w:val="none"/>
        </w:rPr>
      </w:pPr>
      <w:r>
        <w:rPr>
          <w:color w:val="auto"/>
          <w:highlight w:val="none"/>
        </w:rPr>
        <w:t>5.“货物”系指招标文件规定投标人须向采购人提供的一切材料、设备、机械、仪器仪表、工具及其它有关技术资料和文字材料，详见数量及技术需求明细清单。</w:t>
      </w:r>
    </w:p>
    <w:p w14:paraId="79EA32B9">
      <w:pPr>
        <w:widowControl w:val="0"/>
        <w:adjustRightInd w:val="0"/>
        <w:snapToGrid w:val="0"/>
        <w:spacing w:line="360" w:lineRule="auto"/>
        <w:ind w:firstLine="537" w:firstLineChars="224"/>
        <w:rPr>
          <w:color w:val="auto"/>
          <w:highlight w:val="none"/>
        </w:rPr>
      </w:pPr>
      <w:r>
        <w:rPr>
          <w:color w:val="auto"/>
          <w:highlight w:val="none"/>
        </w:rPr>
        <w:t>6.“服务”系指招标文件规定投标人须承担的运输、送货、培训、质保以及其他与本项目有关的辅助服务。</w:t>
      </w:r>
    </w:p>
    <w:p w14:paraId="28A8EDD3">
      <w:pPr>
        <w:widowControl w:val="0"/>
        <w:adjustRightInd w:val="0"/>
        <w:snapToGrid w:val="0"/>
        <w:spacing w:line="360" w:lineRule="auto"/>
        <w:ind w:firstLine="537" w:firstLineChars="224"/>
        <w:rPr>
          <w:color w:val="auto"/>
          <w:highlight w:val="none"/>
        </w:rPr>
      </w:pPr>
      <w:r>
        <w:rPr>
          <w:color w:val="auto"/>
          <w:highlight w:val="none"/>
        </w:rPr>
        <w:t>7. “电子签章”系指数据电文中以电子形式所含、所附用于识别签名人身份并表明签名人认可其中内容的数据</w:t>
      </w:r>
      <w:r>
        <w:rPr>
          <w:rFonts w:hint="eastAsia"/>
          <w:color w:val="auto"/>
          <w:highlight w:val="none"/>
        </w:rPr>
        <w:t>。投标人在投标文件中的公章均为C</w:t>
      </w:r>
      <w:r>
        <w:rPr>
          <w:color w:val="auto"/>
          <w:highlight w:val="none"/>
        </w:rPr>
        <w:t>A</w:t>
      </w:r>
      <w:r>
        <w:rPr>
          <w:rFonts w:hint="eastAsia"/>
          <w:color w:val="auto"/>
          <w:highlight w:val="none"/>
        </w:rPr>
        <w:t>“电子签章”。本招标文件所涉及的法定代表人或其授权代表签字或盖章的内容，如果投标单位没有法定代表人电子签章，涉及法定代表或其授权代表签字或盖章的内容，投标单位可以线下签字或盖章后扫描上传。</w:t>
      </w:r>
    </w:p>
    <w:p w14:paraId="73B892FD">
      <w:pPr>
        <w:widowControl w:val="0"/>
        <w:adjustRightInd w:val="0"/>
        <w:snapToGrid w:val="0"/>
        <w:spacing w:line="360" w:lineRule="auto"/>
        <w:ind w:firstLine="537" w:firstLineChars="224"/>
        <w:rPr>
          <w:color w:val="auto"/>
          <w:highlight w:val="none"/>
        </w:rPr>
      </w:pPr>
      <w:r>
        <w:rPr>
          <w:color w:val="auto"/>
          <w:highlight w:val="none"/>
        </w:rPr>
        <w:t>8.“电子交易平台”是指本项目政府采购活动所依托的政府采购云平台（https://www.zcygov.cn/）。</w:t>
      </w:r>
    </w:p>
    <w:p w14:paraId="0AEBDDDD">
      <w:pPr>
        <w:widowControl w:val="0"/>
        <w:adjustRightInd w:val="0"/>
        <w:snapToGrid w:val="0"/>
        <w:spacing w:line="360" w:lineRule="auto"/>
        <w:ind w:firstLine="537" w:firstLineChars="224"/>
        <w:rPr>
          <w:color w:val="auto"/>
          <w:highlight w:val="none"/>
        </w:rPr>
      </w:pPr>
      <w:r>
        <w:rPr>
          <w:color w:val="auto"/>
          <w:highlight w:val="none"/>
        </w:rPr>
        <w:t>9.“</w:t>
      </w:r>
      <w:r>
        <w:rPr>
          <w:rFonts w:ascii="Segoe UI Symbol" w:hAnsi="Segoe UI Symbol" w:cs="Segoe UI Symbol"/>
          <w:color w:val="auto"/>
          <w:highlight w:val="none"/>
        </w:rPr>
        <w:t>★</w:t>
      </w:r>
      <w:r>
        <w:rPr>
          <w:color w:val="auto"/>
          <w:highlight w:val="none"/>
        </w:rPr>
        <w:t>”系指实质性要求条款，“▲” 系指重要条款，“</w:t>
      </w:r>
      <w:r>
        <w:rPr>
          <w:rFonts w:ascii="Segoe UI Symbol" w:hAnsi="Segoe UI Symbol" w:eastAsia="仿宋_GB2312" w:cs="Segoe UI Symbol"/>
          <w:color w:val="auto"/>
          <w:highlight w:val="none"/>
        </w:rPr>
        <w:t>☑</w:t>
      </w:r>
      <w:r>
        <w:rPr>
          <w:color w:val="auto"/>
          <w:highlight w:val="none"/>
        </w:rPr>
        <w:t>” 系指适用本项目的要求，“</w:t>
      </w:r>
      <w:r>
        <w:rPr>
          <w:rFonts w:ascii="Segoe UI Symbol" w:hAnsi="Segoe UI Symbol" w:cs="Segoe UI Symbol"/>
          <w:color w:val="auto"/>
          <w:highlight w:val="none"/>
        </w:rPr>
        <w:t>☐</w:t>
      </w:r>
      <w:r>
        <w:rPr>
          <w:color w:val="auto"/>
          <w:highlight w:val="none"/>
        </w:rPr>
        <w:t>” 系指不适用本项目的要求。</w:t>
      </w:r>
    </w:p>
    <w:p w14:paraId="15AB14C5">
      <w:pPr>
        <w:widowControl w:val="0"/>
        <w:adjustRightInd w:val="0"/>
        <w:snapToGrid w:val="0"/>
        <w:spacing w:line="360" w:lineRule="auto"/>
        <w:ind w:firstLine="540" w:firstLineChars="224"/>
        <w:rPr>
          <w:b/>
          <w:bCs/>
          <w:color w:val="auto"/>
          <w:highlight w:val="none"/>
        </w:rPr>
      </w:pPr>
      <w:r>
        <w:rPr>
          <w:b/>
          <w:bCs/>
          <w:color w:val="auto"/>
          <w:highlight w:val="none"/>
        </w:rPr>
        <w:t>（三）采购项目需要落实的政府采购政策</w:t>
      </w:r>
    </w:p>
    <w:p w14:paraId="5F4886DB">
      <w:pPr>
        <w:widowControl w:val="0"/>
        <w:adjustRightInd w:val="0"/>
        <w:snapToGrid w:val="0"/>
        <w:spacing w:line="360" w:lineRule="auto"/>
        <w:ind w:firstLine="537" w:firstLineChars="224"/>
        <w:rPr>
          <w:color w:val="auto"/>
          <w:highlight w:val="none"/>
        </w:rPr>
      </w:pPr>
      <w:r>
        <w:rPr>
          <w:color w:val="auto"/>
          <w:highlight w:val="none"/>
        </w:rPr>
        <w:t>1.本项目</w:t>
      </w:r>
      <w:r>
        <w:rPr>
          <w:rFonts w:hint="eastAsia"/>
          <w:color w:val="auto"/>
          <w:highlight w:val="none"/>
        </w:rPr>
        <w:t>不</w:t>
      </w:r>
      <w:r>
        <w:rPr>
          <w:color w:val="auto"/>
          <w:highlight w:val="none"/>
        </w:rPr>
        <w:t>允许采购进口产品。</w:t>
      </w:r>
    </w:p>
    <w:p w14:paraId="7C6A6FB9">
      <w:pPr>
        <w:widowControl w:val="0"/>
        <w:adjustRightInd w:val="0"/>
        <w:snapToGrid w:val="0"/>
        <w:spacing w:line="360" w:lineRule="auto"/>
        <w:ind w:firstLine="537" w:firstLineChars="224"/>
        <w:rPr>
          <w:color w:val="auto"/>
          <w:highlight w:val="none"/>
        </w:rPr>
      </w:pPr>
      <w:r>
        <w:rPr>
          <w:color w:val="auto"/>
          <w:highlight w:val="none"/>
        </w:rPr>
        <w:t>2.采购人拟采购的产品</w:t>
      </w:r>
      <w:r>
        <w:rPr>
          <w:rFonts w:hint="eastAsia"/>
          <w:color w:val="auto"/>
          <w:highlight w:val="none"/>
        </w:rPr>
        <w:t>不</w:t>
      </w:r>
      <w:r>
        <w:rPr>
          <w:color w:val="auto"/>
          <w:highlight w:val="none"/>
        </w:rPr>
        <w:t>属于品目清单范围</w:t>
      </w:r>
      <w:r>
        <w:rPr>
          <w:b/>
          <w:color w:val="auto"/>
          <w:highlight w:val="none"/>
        </w:rPr>
        <w:t>。</w:t>
      </w:r>
    </w:p>
    <w:p w14:paraId="1A4D0931">
      <w:pPr>
        <w:widowControl w:val="0"/>
        <w:adjustRightInd w:val="0"/>
        <w:snapToGrid w:val="0"/>
        <w:spacing w:line="360" w:lineRule="auto"/>
        <w:ind w:firstLine="537" w:firstLineChars="224"/>
        <w:rPr>
          <w:color w:val="auto"/>
          <w:highlight w:val="none"/>
        </w:rPr>
      </w:pPr>
      <w:r>
        <w:rPr>
          <w:color w:val="auto"/>
          <w:highlight w:val="none"/>
        </w:rPr>
        <w:t>3.支持中小企业发展</w:t>
      </w:r>
    </w:p>
    <w:p w14:paraId="18664F61">
      <w:pPr>
        <w:widowControl w:val="0"/>
        <w:adjustRightInd w:val="0"/>
        <w:snapToGrid w:val="0"/>
        <w:spacing w:line="360" w:lineRule="auto"/>
        <w:ind w:firstLine="537" w:firstLineChars="224"/>
        <w:rPr>
          <w:color w:val="auto"/>
          <w:highlight w:val="none"/>
        </w:rPr>
      </w:pPr>
      <w:r>
        <w:rPr>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8000705">
      <w:pPr>
        <w:widowControl w:val="0"/>
        <w:adjustRightInd w:val="0"/>
        <w:snapToGrid w:val="0"/>
        <w:spacing w:line="360" w:lineRule="auto"/>
        <w:ind w:firstLine="537" w:firstLineChars="224"/>
        <w:rPr>
          <w:color w:val="auto"/>
          <w:highlight w:val="none"/>
        </w:rPr>
      </w:pPr>
      <w:r>
        <w:rPr>
          <w:color w:val="auto"/>
          <w:highlight w:val="none"/>
        </w:rPr>
        <w:t>符合中小企业划分标准的个体工商户，在政府采购活动中视同中小企业。</w:t>
      </w:r>
    </w:p>
    <w:p w14:paraId="241A08EF">
      <w:pPr>
        <w:widowControl w:val="0"/>
        <w:adjustRightInd w:val="0"/>
        <w:snapToGrid w:val="0"/>
        <w:spacing w:line="360" w:lineRule="auto"/>
        <w:ind w:firstLine="537" w:firstLineChars="224"/>
        <w:rPr>
          <w:color w:val="auto"/>
          <w:highlight w:val="none"/>
        </w:rPr>
      </w:pPr>
      <w:r>
        <w:rPr>
          <w:color w:val="auto"/>
          <w:highlight w:val="none"/>
        </w:rPr>
        <w:t>3.2在政府采购活动中，投标人提供的货物、工程或者服务符合下列情形的，享受中小企业扶持政策：</w:t>
      </w:r>
    </w:p>
    <w:p w14:paraId="15D5828E">
      <w:pPr>
        <w:widowControl w:val="0"/>
        <w:adjustRightInd w:val="0"/>
        <w:snapToGrid w:val="0"/>
        <w:spacing w:line="360" w:lineRule="auto"/>
        <w:ind w:firstLine="537" w:firstLineChars="224"/>
        <w:rPr>
          <w:color w:val="auto"/>
          <w:highlight w:val="none"/>
        </w:rPr>
      </w:pPr>
      <w:r>
        <w:rPr>
          <w:color w:val="auto"/>
          <w:highlight w:val="none"/>
        </w:rPr>
        <w:t>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AFE513C">
      <w:pPr>
        <w:widowControl w:val="0"/>
        <w:adjustRightInd w:val="0"/>
        <w:snapToGrid w:val="0"/>
        <w:spacing w:line="360" w:lineRule="auto"/>
        <w:ind w:firstLine="537" w:firstLineChars="224"/>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497F47DC">
      <w:pPr>
        <w:widowControl w:val="0"/>
        <w:adjustRightInd w:val="0"/>
        <w:snapToGrid w:val="0"/>
        <w:spacing w:line="360" w:lineRule="auto"/>
        <w:ind w:firstLine="537" w:firstLineChars="224"/>
        <w:rPr>
          <w:color w:val="auto"/>
          <w:highlight w:val="none"/>
        </w:rPr>
      </w:pPr>
      <w:r>
        <w:rPr>
          <w:color w:val="auto"/>
          <w:highlight w:val="none"/>
        </w:rPr>
        <w:t>3.3符合《关于促进残疾人就业政府采购政策的通知》（财库〔2017〕141号）规定的条件并提供《残疾人福利性单位声明函》的残疾人福利性单位视同小型、微型企业；</w:t>
      </w:r>
    </w:p>
    <w:p w14:paraId="32F48D54">
      <w:pPr>
        <w:widowControl w:val="0"/>
        <w:adjustRightInd w:val="0"/>
        <w:snapToGrid w:val="0"/>
        <w:spacing w:line="360" w:lineRule="auto"/>
        <w:ind w:firstLine="537" w:firstLineChars="224"/>
        <w:rPr>
          <w:color w:val="auto"/>
          <w:highlight w:val="none"/>
        </w:rPr>
      </w:pPr>
      <w:r>
        <w:rPr>
          <w:color w:val="auto"/>
          <w:highlight w:val="none"/>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6ADE9127">
      <w:pPr>
        <w:widowControl w:val="0"/>
        <w:adjustRightInd w:val="0"/>
        <w:snapToGrid w:val="0"/>
        <w:spacing w:line="360" w:lineRule="auto"/>
        <w:ind w:firstLine="537" w:firstLineChars="224"/>
        <w:rPr>
          <w:color w:val="auto"/>
          <w:highlight w:val="none"/>
        </w:rPr>
      </w:pPr>
      <w:r>
        <w:rPr>
          <w:color w:val="auto"/>
          <w:highlight w:val="none"/>
        </w:rPr>
        <w:t>3.5可享受中小企业扶持政策的投标人应按照采购文件格式要求提供《中小企业声明函》，投标人提供的《中小企业声明函》与实际情况不符的，不享受中小企业扶持政策。声明内容不实的，属于提供虚假材料谋取成交、成交的，依法承担法律责任。</w:t>
      </w:r>
    </w:p>
    <w:p w14:paraId="77736380">
      <w:pPr>
        <w:widowControl w:val="0"/>
        <w:adjustRightInd w:val="0"/>
        <w:snapToGrid w:val="0"/>
        <w:spacing w:line="360" w:lineRule="auto"/>
        <w:ind w:firstLine="537" w:firstLineChars="224"/>
        <w:rPr>
          <w:color w:val="auto"/>
          <w:highlight w:val="none"/>
        </w:rPr>
      </w:pPr>
      <w:r>
        <w:rPr>
          <w:color w:val="auto"/>
          <w:highlight w:val="none"/>
        </w:rPr>
        <w:t>3.6中小企业享受扶持政策获得政府采购合同的，小微企业不得将合同分包给大中型企业，中型企业不得将合同分包给大型企业。</w:t>
      </w:r>
    </w:p>
    <w:p w14:paraId="20BD19B7">
      <w:pPr>
        <w:widowControl w:val="0"/>
        <w:adjustRightInd w:val="0"/>
        <w:snapToGrid w:val="0"/>
        <w:spacing w:line="360" w:lineRule="auto"/>
        <w:ind w:firstLine="537" w:firstLineChars="224"/>
        <w:rPr>
          <w:color w:val="auto"/>
          <w:highlight w:val="none"/>
        </w:rPr>
      </w:pPr>
      <w:r>
        <w:rPr>
          <w:color w:val="auto"/>
          <w:highlight w:val="none"/>
        </w:rPr>
        <w:t>3.7</w:t>
      </w:r>
      <w:r>
        <w:rPr>
          <w:bCs/>
          <w:color w:val="auto"/>
          <w:highlight w:val="none"/>
        </w:rPr>
        <w:t>根据财库[2020]46 号文件《政府采购促进中小企业发展管理办法》和财库[2022]19号文件《关于进一步加大政府采购支持中小企业力度的通知》的要求，对小型和微型企业的价格给予10%扣除，用扣除后的价格参与评审（需主动提供小微企业声明函，否则不予扣），</w:t>
      </w:r>
      <w:r>
        <w:rPr>
          <w:rFonts w:hint="eastAsia" w:ascii="宋体" w:hAnsi="宋体"/>
          <w:color w:val="auto"/>
          <w:highlight w:val="none"/>
        </w:rPr>
        <w:t>对于联合协议或者分包意向协议约定小微企业的合同份额占到合同总金额30%以上的</w:t>
      </w:r>
      <w:r>
        <w:rPr>
          <w:color w:val="auto"/>
          <w:highlight w:val="none"/>
        </w:rPr>
        <w:t>，评审优惠幅度为6%</w:t>
      </w:r>
      <w:r>
        <w:rPr>
          <w:bCs/>
          <w:color w:val="auto"/>
          <w:highlight w:val="none"/>
        </w:rPr>
        <w:t>。监狱企业提供由省级以上监狱管理局、戒毒管理局（含新疆生产建设兵团）出具的监狱企业的证明文件视同小微企业，残疾人福利性企业提供《残疾人福利性单位声明函》的视同小微企业，同样享受上述优惠扣除。</w:t>
      </w:r>
      <w:r>
        <w:rPr>
          <w:color w:val="auto"/>
          <w:highlight w:val="none"/>
        </w:rPr>
        <w:t>政府采购工程的价格评审优惠按照财库〔2020〕46号文件的规定执行。</w:t>
      </w:r>
    </w:p>
    <w:p w14:paraId="119050D5">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w:t>
      </w:r>
      <w:r>
        <w:rPr>
          <w:rFonts w:hint="eastAsia"/>
          <w:color w:val="auto"/>
          <w:highlight w:val="none"/>
        </w:rPr>
        <w:t>支持创新发展</w:t>
      </w:r>
    </w:p>
    <w:p w14:paraId="6879BC90">
      <w:pPr>
        <w:widowControl w:val="0"/>
        <w:adjustRightInd w:val="0"/>
        <w:snapToGrid w:val="0"/>
        <w:spacing w:line="360" w:lineRule="auto"/>
        <w:ind w:firstLine="537" w:firstLineChars="224"/>
        <w:rPr>
          <w:color w:val="auto"/>
          <w:highlight w:val="none"/>
        </w:rPr>
      </w:pPr>
      <w:r>
        <w:rPr>
          <w:color w:val="auto"/>
          <w:highlight w:val="none"/>
        </w:rPr>
        <w:t>4.1</w:t>
      </w:r>
      <w:r>
        <w:rPr>
          <w:rFonts w:hint="eastAsia"/>
          <w:bCs/>
          <w:color w:val="auto"/>
          <w:highlight w:val="none"/>
        </w:rPr>
        <w:t>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w:t>
      </w:r>
    </w:p>
    <w:p w14:paraId="2143E191">
      <w:pPr>
        <w:widowControl w:val="0"/>
        <w:adjustRightInd w:val="0"/>
        <w:snapToGrid w:val="0"/>
        <w:spacing w:line="360" w:lineRule="auto"/>
        <w:ind w:firstLine="537" w:firstLineChars="224"/>
        <w:rPr>
          <w:color w:val="auto"/>
          <w:highlight w:val="none"/>
        </w:rPr>
      </w:pPr>
      <w:r>
        <w:rPr>
          <w:color w:val="auto"/>
          <w:highlight w:val="none"/>
        </w:rPr>
        <w:t>（</w:t>
      </w:r>
      <w:r>
        <w:rPr>
          <w:rFonts w:hint="eastAsia"/>
          <w:color w:val="auto"/>
          <w:highlight w:val="none"/>
        </w:rPr>
        <w:t>四</w:t>
      </w:r>
      <w:r>
        <w:rPr>
          <w:color w:val="auto"/>
          <w:highlight w:val="none"/>
        </w:rPr>
        <w:t>）投标费用</w:t>
      </w:r>
    </w:p>
    <w:p w14:paraId="443137D1">
      <w:pPr>
        <w:spacing w:line="360" w:lineRule="auto"/>
        <w:ind w:firstLine="482" w:firstLineChars="200"/>
        <w:jc w:val="both"/>
        <w:rPr>
          <w:b/>
          <w:bCs/>
          <w:color w:val="auto"/>
          <w:highlight w:val="none"/>
        </w:rPr>
      </w:pPr>
      <w:r>
        <w:rPr>
          <w:rFonts w:hint="eastAsia"/>
          <w:b/>
          <w:bCs/>
          <w:color w:val="auto"/>
          <w:highlight w:val="none"/>
        </w:rPr>
        <w:t>无论投标过程中的做法和结果如何，投标人自行承担所有与参加投标有关的费用，投标人取得中标资格后，须向招标代理机构支付成交服务费（详见前附表）。因中标人原因放弃中标资格的，须正常向代理机构支付服务费，并由代理机构上报财政，作相应处理。招标代理机构和中标人之间发生的任何争议，双方均可通过和解或者调解解决；不愿和解、调解或者和解、调解不成的，可以向招标代理机构所在地人民法院起诉。</w:t>
      </w:r>
    </w:p>
    <w:p w14:paraId="2F3712FC">
      <w:pPr>
        <w:spacing w:line="360" w:lineRule="auto"/>
        <w:ind w:firstLine="480" w:firstLineChars="200"/>
        <w:jc w:val="both"/>
        <w:rPr>
          <w:color w:val="auto"/>
          <w:highlight w:val="none"/>
        </w:rPr>
      </w:pPr>
      <w:r>
        <w:rPr>
          <w:color w:val="auto"/>
          <w:highlight w:val="none"/>
        </w:rPr>
        <w:t>（</w:t>
      </w:r>
      <w:r>
        <w:rPr>
          <w:rFonts w:hint="eastAsia"/>
          <w:color w:val="auto"/>
          <w:highlight w:val="none"/>
        </w:rPr>
        <w:t>五</w:t>
      </w:r>
      <w:r>
        <w:rPr>
          <w:color w:val="auto"/>
          <w:highlight w:val="none"/>
        </w:rPr>
        <w:t>）特别说明：</w:t>
      </w:r>
    </w:p>
    <w:p w14:paraId="6EE02104">
      <w:pPr>
        <w:spacing w:line="360" w:lineRule="auto"/>
        <w:ind w:firstLine="480" w:firstLineChars="200"/>
        <w:jc w:val="both"/>
        <w:rPr>
          <w:color w:val="auto"/>
          <w:highlight w:val="none"/>
        </w:rPr>
      </w:pPr>
      <w:r>
        <w:rPr>
          <w:color w:val="auto"/>
          <w:highlight w:val="none"/>
        </w:rPr>
        <w:t>1.投标人投标所使用的资格、信誉、荣誉、业绩与企业认证必须为本法人所拥有。</w:t>
      </w:r>
    </w:p>
    <w:p w14:paraId="275F7DA2">
      <w:pPr>
        <w:spacing w:line="360" w:lineRule="auto"/>
        <w:ind w:firstLine="480" w:firstLineChars="200"/>
        <w:jc w:val="both"/>
        <w:rPr>
          <w:color w:val="auto"/>
          <w:highlight w:val="none"/>
        </w:rPr>
      </w:pPr>
      <w:r>
        <w:rPr>
          <w:rFonts w:hint="eastAsia"/>
          <w:color w:val="auto"/>
          <w:highlight w:val="none"/>
        </w:rPr>
        <w:t>2</w:t>
      </w:r>
      <w:r>
        <w:rPr>
          <w:color w:val="auto"/>
          <w:highlight w:val="none"/>
        </w:rPr>
        <w:t>.投标人应仔细阅读</w:t>
      </w:r>
      <w:r>
        <w:rPr>
          <w:color w:val="auto"/>
          <w:highlight w:val="none"/>
          <w:u w:val="thick" w:color="FFFFFF"/>
        </w:rPr>
        <w:t>招标文件</w:t>
      </w:r>
      <w:r>
        <w:rPr>
          <w:color w:val="auto"/>
          <w:highlight w:val="none"/>
        </w:rPr>
        <w:t>的所有内容，按</w:t>
      </w:r>
      <w:r>
        <w:rPr>
          <w:color w:val="auto"/>
          <w:highlight w:val="none"/>
          <w:u w:val="thick" w:color="FFFFFF"/>
        </w:rPr>
        <w:t>招标文件</w:t>
      </w:r>
      <w:r>
        <w:rPr>
          <w:color w:val="auto"/>
          <w:highlight w:val="none"/>
        </w:rPr>
        <w:t>的要求提供投标文件，并保证所提供的全部资料的真实性，以使其投标对</w:t>
      </w:r>
      <w:r>
        <w:rPr>
          <w:color w:val="auto"/>
          <w:highlight w:val="none"/>
          <w:u w:val="thick" w:color="FFFFFF"/>
        </w:rPr>
        <w:t>招标文件</w:t>
      </w:r>
      <w:r>
        <w:rPr>
          <w:color w:val="auto"/>
          <w:highlight w:val="none"/>
        </w:rPr>
        <w:t>的实质性要求做出完全响应，否则其投标将被拒绝。</w:t>
      </w:r>
    </w:p>
    <w:p w14:paraId="156367FA">
      <w:pPr>
        <w:spacing w:line="360" w:lineRule="auto"/>
        <w:ind w:firstLine="480" w:firstLineChars="200"/>
        <w:jc w:val="both"/>
        <w:rPr>
          <w:color w:val="auto"/>
          <w:highlight w:val="none"/>
        </w:rPr>
      </w:pPr>
      <w:r>
        <w:rPr>
          <w:rFonts w:hint="eastAsia"/>
          <w:color w:val="auto"/>
          <w:highlight w:val="none"/>
        </w:rPr>
        <w:t>3</w:t>
      </w:r>
      <w:r>
        <w:rPr>
          <w:color w:val="auto"/>
          <w:highlight w:val="none"/>
        </w:rPr>
        <w:t>.投标人应按照招标文件要求及有关资料编制投标文件，并保证投标文件的正确性和真实性，所有文件资料必须是针对本次招标。</w:t>
      </w:r>
    </w:p>
    <w:p w14:paraId="2198972C">
      <w:pPr>
        <w:widowControl w:val="0"/>
        <w:adjustRightInd w:val="0"/>
        <w:snapToGrid w:val="0"/>
        <w:spacing w:line="360" w:lineRule="auto"/>
        <w:ind w:firstLine="537" w:firstLineChars="224"/>
        <w:rPr>
          <w:color w:val="auto"/>
          <w:highlight w:val="none"/>
        </w:rPr>
      </w:pPr>
      <w:r>
        <w:rPr>
          <w:color w:val="auto"/>
          <w:highlight w:val="none"/>
        </w:rPr>
        <w:t>（</w:t>
      </w:r>
      <w:r>
        <w:rPr>
          <w:rFonts w:hint="eastAsia"/>
          <w:color w:val="auto"/>
          <w:highlight w:val="none"/>
        </w:rPr>
        <w:t>六</w:t>
      </w:r>
      <w:r>
        <w:rPr>
          <w:color w:val="auto"/>
          <w:highlight w:val="none"/>
        </w:rPr>
        <w:t>）现场踏勘</w:t>
      </w:r>
    </w:p>
    <w:p w14:paraId="75EC330C">
      <w:pPr>
        <w:widowControl w:val="0"/>
        <w:adjustRightInd w:val="0"/>
        <w:snapToGrid w:val="0"/>
        <w:spacing w:line="360" w:lineRule="auto"/>
        <w:ind w:firstLine="537" w:firstLineChars="224"/>
        <w:rPr>
          <w:color w:val="auto"/>
          <w:highlight w:val="none"/>
        </w:rPr>
      </w:pPr>
      <w:r>
        <w:rPr>
          <w:color w:val="auto"/>
          <w:highlight w:val="none"/>
        </w:rPr>
        <w:t>1.不组织集中踏勘，由各投标人自行安排。投标人在踏勘过程中发生的各类事件和所发生的各项费用，均由投标人自行承担，采购人和代理机构概不负责。</w:t>
      </w:r>
    </w:p>
    <w:p w14:paraId="016F38D1">
      <w:pPr>
        <w:spacing w:line="360" w:lineRule="auto"/>
        <w:ind w:firstLine="480" w:firstLineChars="200"/>
        <w:jc w:val="both"/>
        <w:rPr>
          <w:color w:val="auto"/>
          <w:highlight w:val="none"/>
        </w:rPr>
      </w:pPr>
      <w:r>
        <w:rPr>
          <w:color w:val="auto"/>
          <w:highlight w:val="none"/>
        </w:rPr>
        <w:t>2.采购人向投标人提供的有关现场的数据和资料，是采购人现有的能被投标人利用的资料，采购人对投标人据此做出的任何推论、理解和结论不负责任。</w:t>
      </w:r>
    </w:p>
    <w:p w14:paraId="22E35B4E">
      <w:pPr>
        <w:spacing w:line="360" w:lineRule="auto"/>
        <w:ind w:firstLine="480" w:firstLineChars="200"/>
        <w:jc w:val="both"/>
        <w:rPr>
          <w:color w:val="auto"/>
          <w:highlight w:val="none"/>
        </w:rPr>
      </w:pPr>
      <w:r>
        <w:rPr>
          <w:color w:val="auto"/>
          <w:highlight w:val="none"/>
        </w:rPr>
        <w:t>（</w:t>
      </w:r>
      <w:r>
        <w:rPr>
          <w:rFonts w:hint="eastAsia"/>
          <w:color w:val="auto"/>
          <w:highlight w:val="none"/>
        </w:rPr>
        <w:t>七</w:t>
      </w:r>
      <w:r>
        <w:rPr>
          <w:color w:val="auto"/>
          <w:highlight w:val="none"/>
        </w:rPr>
        <w:t>）质疑</w:t>
      </w:r>
      <w:r>
        <w:rPr>
          <w:rFonts w:hint="eastAsia"/>
          <w:color w:val="auto"/>
          <w:highlight w:val="none"/>
        </w:rPr>
        <w:t>与</w:t>
      </w:r>
      <w:r>
        <w:rPr>
          <w:color w:val="auto"/>
          <w:highlight w:val="none"/>
        </w:rPr>
        <w:t>投诉</w:t>
      </w:r>
    </w:p>
    <w:p w14:paraId="07328DB7">
      <w:pPr>
        <w:spacing w:line="360" w:lineRule="auto"/>
        <w:ind w:firstLine="480" w:firstLineChars="200"/>
        <w:jc w:val="both"/>
        <w:rPr>
          <w:color w:val="auto"/>
          <w:highlight w:val="none"/>
        </w:rPr>
      </w:pPr>
      <w:r>
        <w:rPr>
          <w:color w:val="auto"/>
          <w:highlight w:val="none"/>
        </w:rPr>
        <w:t>1.质疑</w:t>
      </w:r>
    </w:p>
    <w:p w14:paraId="3973644F">
      <w:pPr>
        <w:spacing w:line="360" w:lineRule="auto"/>
        <w:ind w:firstLine="480" w:firstLineChars="200"/>
        <w:jc w:val="both"/>
        <w:rPr>
          <w:color w:val="auto"/>
          <w:highlight w:val="none"/>
        </w:rPr>
      </w:pPr>
      <w:r>
        <w:rPr>
          <w:color w:val="auto"/>
          <w:highlight w:val="none"/>
        </w:rPr>
        <w:t>1.1提出质疑的供应商应当是参与所质疑项目采购活动的供应商。潜在供应商已依法获取其可质疑的</w:t>
      </w:r>
      <w:r>
        <w:rPr>
          <w:rFonts w:hint="eastAsia"/>
          <w:color w:val="auto"/>
          <w:highlight w:val="none"/>
        </w:rPr>
        <w:t>招标文件</w:t>
      </w:r>
      <w:r>
        <w:rPr>
          <w:color w:val="auto"/>
          <w:highlight w:val="none"/>
        </w:rPr>
        <w:t>的，可以对该文件提出质疑。</w:t>
      </w:r>
    </w:p>
    <w:p w14:paraId="1ADBFD16">
      <w:pPr>
        <w:spacing w:line="360" w:lineRule="auto"/>
        <w:ind w:firstLine="480" w:firstLineChars="200"/>
        <w:jc w:val="both"/>
        <w:rPr>
          <w:color w:val="auto"/>
          <w:highlight w:val="none"/>
        </w:rPr>
      </w:pPr>
      <w:r>
        <w:rPr>
          <w:color w:val="auto"/>
          <w:highlight w:val="none"/>
          <w:lang w:val="zh-CN"/>
        </w:rPr>
        <w:t>1</w:t>
      </w:r>
      <w:r>
        <w:rPr>
          <w:color w:val="auto"/>
          <w:highlight w:val="none"/>
        </w:rPr>
        <w:t>.2供应商认为</w:t>
      </w:r>
      <w:r>
        <w:rPr>
          <w:rFonts w:hint="eastAsia"/>
          <w:color w:val="auto"/>
          <w:highlight w:val="none"/>
        </w:rPr>
        <w:t>招标文件</w:t>
      </w:r>
      <w:r>
        <w:rPr>
          <w:color w:val="auto"/>
          <w:highlight w:val="none"/>
        </w:rPr>
        <w:t>、采购过程和成交结果使自己的权益受到损害的，可以在知道或者应知其权益受到损害之日起</w:t>
      </w:r>
      <w:r>
        <w:rPr>
          <w:rFonts w:hint="eastAsia"/>
          <w:color w:val="auto"/>
          <w:highlight w:val="none"/>
        </w:rPr>
        <w:t>7</w:t>
      </w:r>
      <w:r>
        <w:rPr>
          <w:color w:val="auto"/>
          <w:highlight w:val="none"/>
        </w:rPr>
        <w:t>个工作日内，以书面形式向采购人或者采购代理机构提出质疑，否则，采购人或者采购代理机构不予受理：</w:t>
      </w:r>
    </w:p>
    <w:p w14:paraId="0488F0A4">
      <w:pPr>
        <w:spacing w:line="360" w:lineRule="auto"/>
        <w:ind w:firstLine="480" w:firstLineChars="200"/>
        <w:jc w:val="both"/>
        <w:rPr>
          <w:color w:val="auto"/>
          <w:kern w:val="2"/>
          <w:highlight w:val="none"/>
        </w:rPr>
      </w:pPr>
      <w:r>
        <w:rPr>
          <w:color w:val="auto"/>
          <w:highlight w:val="none"/>
        </w:rPr>
        <w:t>（1）</w:t>
      </w:r>
      <w:r>
        <w:rPr>
          <w:color w:val="auto"/>
          <w:kern w:val="2"/>
          <w:highlight w:val="none"/>
        </w:rPr>
        <w:t>对</w:t>
      </w:r>
      <w:r>
        <w:rPr>
          <w:rFonts w:hint="eastAsia"/>
          <w:color w:val="auto"/>
          <w:kern w:val="2"/>
          <w:highlight w:val="none"/>
        </w:rPr>
        <w:t>招标文件</w:t>
      </w:r>
      <w:r>
        <w:rPr>
          <w:color w:val="auto"/>
          <w:kern w:val="2"/>
          <w:highlight w:val="none"/>
        </w:rPr>
        <w:t>提出质疑的，质疑期限为供应商获得</w:t>
      </w:r>
      <w:r>
        <w:rPr>
          <w:rFonts w:hint="eastAsia"/>
          <w:color w:val="auto"/>
          <w:kern w:val="2"/>
          <w:highlight w:val="none"/>
        </w:rPr>
        <w:t>招标文件</w:t>
      </w:r>
      <w:r>
        <w:rPr>
          <w:color w:val="auto"/>
          <w:kern w:val="2"/>
          <w:highlight w:val="none"/>
        </w:rPr>
        <w:t>之日或者</w:t>
      </w:r>
      <w:r>
        <w:rPr>
          <w:rFonts w:hint="eastAsia"/>
          <w:color w:val="auto"/>
          <w:kern w:val="2"/>
          <w:highlight w:val="none"/>
        </w:rPr>
        <w:t>招标文件</w:t>
      </w:r>
      <w:r>
        <w:rPr>
          <w:color w:val="auto"/>
          <w:kern w:val="2"/>
          <w:highlight w:val="none"/>
        </w:rPr>
        <w:t>公告期限届满之日起计算。</w:t>
      </w:r>
    </w:p>
    <w:p w14:paraId="1484672C">
      <w:pPr>
        <w:spacing w:line="360" w:lineRule="auto"/>
        <w:ind w:firstLine="480" w:firstLineChars="200"/>
        <w:jc w:val="both"/>
        <w:rPr>
          <w:color w:val="auto"/>
          <w:highlight w:val="none"/>
        </w:rPr>
      </w:pPr>
      <w:r>
        <w:rPr>
          <w:color w:val="auto"/>
          <w:highlight w:val="none"/>
        </w:rPr>
        <w:t>（2）对采购过程提出质疑的，质疑期限为各采购程序环节结束之日起计算。对同一采购程序环节的质疑，供应商须一次性提出。</w:t>
      </w:r>
    </w:p>
    <w:p w14:paraId="3676C12D">
      <w:pPr>
        <w:spacing w:line="360" w:lineRule="auto"/>
        <w:ind w:firstLine="480" w:firstLineChars="200"/>
        <w:jc w:val="both"/>
        <w:rPr>
          <w:color w:val="auto"/>
          <w:highlight w:val="none"/>
        </w:rPr>
      </w:pPr>
      <w:r>
        <w:rPr>
          <w:color w:val="auto"/>
          <w:highlight w:val="none"/>
        </w:rPr>
        <w:t>（3）对采购结果提出质疑的，质疑期限自采购结果公告期限届满之日起计算。</w:t>
      </w:r>
    </w:p>
    <w:p w14:paraId="04DDAC0D">
      <w:pPr>
        <w:spacing w:line="360" w:lineRule="auto"/>
        <w:ind w:firstLine="480" w:firstLineChars="200"/>
        <w:jc w:val="both"/>
        <w:rPr>
          <w:color w:val="auto"/>
          <w:highlight w:val="none"/>
        </w:rPr>
      </w:pPr>
      <w:r>
        <w:rPr>
          <w:color w:val="auto"/>
          <w:highlight w:val="none"/>
        </w:rPr>
        <w:t>1.3供应商提出质疑应当提交质疑函和必要的证明材料。</w:t>
      </w:r>
    </w:p>
    <w:p w14:paraId="471E13E3">
      <w:pPr>
        <w:spacing w:line="360" w:lineRule="auto"/>
        <w:ind w:firstLine="480" w:firstLineChars="200"/>
        <w:jc w:val="both"/>
        <w:rPr>
          <w:color w:val="auto"/>
          <w:highlight w:val="none"/>
        </w:rPr>
      </w:pPr>
      <w:r>
        <w:rPr>
          <w:color w:val="auto"/>
          <w:highlight w:val="none"/>
        </w:rPr>
        <w:t>1.4采购人或者采购代理机构应当在收到供应商的书面质疑后</w:t>
      </w:r>
      <w:r>
        <w:rPr>
          <w:rFonts w:hint="eastAsia"/>
          <w:color w:val="auto"/>
          <w:highlight w:val="none"/>
        </w:rPr>
        <w:t>7</w:t>
      </w:r>
      <w:r>
        <w:rPr>
          <w:color w:val="auto"/>
          <w:highlight w:val="none"/>
        </w:rPr>
        <w:t>个工作日内作出答复，并以书面形式通知质疑供应商和其他与质疑处理结果有利害关系的政府采购当事人，但答复的内容不得涉及商业秘密。</w:t>
      </w:r>
    </w:p>
    <w:p w14:paraId="67EDC8E6">
      <w:pPr>
        <w:spacing w:line="360" w:lineRule="auto"/>
        <w:ind w:firstLine="480" w:firstLineChars="200"/>
        <w:jc w:val="both"/>
        <w:rPr>
          <w:color w:val="auto"/>
          <w:highlight w:val="none"/>
        </w:rPr>
      </w:pPr>
      <w:r>
        <w:rPr>
          <w:color w:val="auto"/>
          <w:highlight w:val="none"/>
        </w:rPr>
        <w:t>1.5供应商须在法定质疑期内一次性提出针对同一采购程序环节的质疑。未按上述要求提供的质疑函，采购代理机构不予受理。</w:t>
      </w:r>
    </w:p>
    <w:p w14:paraId="28410CCD">
      <w:pPr>
        <w:spacing w:line="360" w:lineRule="auto"/>
        <w:ind w:firstLine="480" w:firstLineChars="200"/>
        <w:jc w:val="both"/>
        <w:rPr>
          <w:color w:val="auto"/>
          <w:highlight w:val="none"/>
        </w:rPr>
      </w:pPr>
      <w:r>
        <w:rPr>
          <w:color w:val="auto"/>
          <w:highlight w:val="none"/>
        </w:rPr>
        <w:t>2.投诉</w:t>
      </w:r>
    </w:p>
    <w:p w14:paraId="6294E7DE">
      <w:pPr>
        <w:spacing w:line="360" w:lineRule="auto"/>
        <w:ind w:firstLine="480" w:firstLineChars="200"/>
        <w:jc w:val="both"/>
        <w:rPr>
          <w:color w:val="auto"/>
          <w:highlight w:val="none"/>
        </w:rPr>
      </w:pPr>
      <w:r>
        <w:rPr>
          <w:color w:val="auto"/>
          <w:highlight w:val="none"/>
        </w:rPr>
        <w:t>2.1质疑供应商对采购人、采购代理机构的答复不满意或者采购人、采购代理机构未在规定的时间内作出答复的，可以在答复期满后</w:t>
      </w:r>
      <w:r>
        <w:rPr>
          <w:rFonts w:hint="eastAsia"/>
          <w:color w:val="auto"/>
          <w:highlight w:val="none"/>
        </w:rPr>
        <w:t>1</w:t>
      </w:r>
      <w:r>
        <w:rPr>
          <w:color w:val="auto"/>
          <w:highlight w:val="none"/>
        </w:rPr>
        <w:t>5个工作日内向同级政府采购监督管理部门提出投诉。</w:t>
      </w:r>
    </w:p>
    <w:p w14:paraId="05900FDC">
      <w:pPr>
        <w:spacing w:line="360" w:lineRule="auto"/>
        <w:ind w:firstLine="480" w:firstLineChars="200"/>
        <w:jc w:val="both"/>
        <w:rPr>
          <w:color w:val="auto"/>
          <w:highlight w:val="none"/>
        </w:rPr>
      </w:pPr>
      <w:r>
        <w:rPr>
          <w:color w:val="auto"/>
          <w:highlight w:val="none"/>
        </w:rPr>
        <w:t>2.2供应商投诉的事项不得超出已质疑事项的范围，基于质疑答复内容提出的投诉事项除外。</w:t>
      </w:r>
    </w:p>
    <w:p w14:paraId="02BD2718">
      <w:pPr>
        <w:spacing w:line="360" w:lineRule="auto"/>
        <w:ind w:firstLine="480" w:firstLineChars="200"/>
        <w:jc w:val="both"/>
        <w:rPr>
          <w:color w:val="auto"/>
          <w:highlight w:val="none"/>
        </w:rPr>
      </w:pPr>
      <w:r>
        <w:rPr>
          <w:color w:val="auto"/>
          <w:highlight w:val="none"/>
        </w:rPr>
        <w:t>2.3供应商投诉应当有明确的请求和必要的证明材料。</w:t>
      </w:r>
    </w:p>
    <w:p w14:paraId="2D9171BA">
      <w:pPr>
        <w:spacing w:line="360" w:lineRule="auto"/>
        <w:ind w:firstLine="480" w:firstLineChars="200"/>
        <w:jc w:val="both"/>
        <w:rPr>
          <w:color w:val="auto"/>
          <w:highlight w:val="none"/>
        </w:rPr>
      </w:pPr>
      <w:r>
        <w:rPr>
          <w:rFonts w:hint="eastAsia"/>
          <w:color w:val="auto"/>
          <w:highlight w:val="none"/>
        </w:rPr>
        <w:t>2</w:t>
      </w:r>
      <w:r>
        <w:rPr>
          <w:color w:val="auto"/>
          <w:highlight w:val="none"/>
        </w:rPr>
        <w:t>.4</w:t>
      </w:r>
      <w:r>
        <w:rPr>
          <w:rFonts w:hint="eastAsia"/>
          <w:color w:val="auto"/>
          <w:highlight w:val="none"/>
        </w:rPr>
        <w:t>根据《政府采购质疑和投诉办法》第三十七条的规定，投诉人在全国范围12个月内三次以上投诉查无实据的，由财政部门列入不良行为记录名单。</w:t>
      </w:r>
    </w:p>
    <w:p w14:paraId="3FC4B448">
      <w:pPr>
        <w:spacing w:line="360" w:lineRule="auto"/>
        <w:ind w:firstLine="480" w:firstLineChars="200"/>
        <w:jc w:val="both"/>
        <w:rPr>
          <w:color w:val="auto"/>
          <w:highlight w:val="none"/>
        </w:rPr>
      </w:pPr>
      <w:r>
        <w:rPr>
          <w:rFonts w:hint="eastAsia"/>
          <w:color w:val="auto"/>
          <w:highlight w:val="none"/>
        </w:rPr>
        <w:t>投诉人有下列行为之一的，属于虚假、恶意投诉，由财政部门列入不良行为记录名单，禁止其1至3年内参加政府采购活动：</w:t>
      </w:r>
    </w:p>
    <w:p w14:paraId="7844F21D">
      <w:pPr>
        <w:spacing w:line="360" w:lineRule="auto"/>
        <w:ind w:firstLine="480" w:firstLineChars="200"/>
        <w:jc w:val="both"/>
        <w:rPr>
          <w:color w:val="auto"/>
          <w:highlight w:val="none"/>
        </w:rPr>
      </w:pPr>
      <w:r>
        <w:rPr>
          <w:rFonts w:hint="eastAsia"/>
          <w:color w:val="auto"/>
          <w:highlight w:val="none"/>
        </w:rPr>
        <w:t>（1）捏造事实；</w:t>
      </w:r>
    </w:p>
    <w:p w14:paraId="08093913">
      <w:pPr>
        <w:spacing w:line="360" w:lineRule="auto"/>
        <w:ind w:firstLine="480" w:firstLineChars="200"/>
        <w:jc w:val="both"/>
        <w:rPr>
          <w:color w:val="auto"/>
          <w:highlight w:val="none"/>
        </w:rPr>
      </w:pPr>
      <w:r>
        <w:rPr>
          <w:rFonts w:hint="eastAsia"/>
          <w:color w:val="auto"/>
          <w:highlight w:val="none"/>
        </w:rPr>
        <w:t>（2）提供虚假材料；</w:t>
      </w:r>
    </w:p>
    <w:p w14:paraId="64DF4F2A">
      <w:pPr>
        <w:spacing w:line="360" w:lineRule="auto"/>
        <w:ind w:firstLine="480" w:firstLineChars="200"/>
        <w:jc w:val="both"/>
        <w:rPr>
          <w:color w:val="auto"/>
          <w:highlight w:val="none"/>
        </w:rPr>
      </w:pPr>
      <w:r>
        <w:rPr>
          <w:rFonts w:hint="eastAsia"/>
          <w:color w:val="auto"/>
          <w:highlight w:val="none"/>
        </w:rPr>
        <w:t>（3）以非法手段取得证明材料。证据来源的合法性存在明显疑问，投诉人无法证明其取得方式合法的，视为以非法手段取得证明材料。</w:t>
      </w:r>
    </w:p>
    <w:p w14:paraId="65ECE01D">
      <w:pPr>
        <w:spacing w:line="360" w:lineRule="auto"/>
        <w:ind w:firstLine="482" w:firstLineChars="200"/>
        <w:jc w:val="both"/>
        <w:rPr>
          <w:color w:val="auto"/>
          <w:highlight w:val="none"/>
        </w:rPr>
      </w:pPr>
      <w:r>
        <w:rPr>
          <w:b/>
          <w:bCs/>
          <w:color w:val="auto"/>
          <w:highlight w:val="none"/>
        </w:rPr>
        <w:t>质疑函范本、投诉书范本请到浙江政府采购网下载专区下载</w:t>
      </w:r>
      <w:r>
        <w:rPr>
          <w:color w:val="auto"/>
          <w:highlight w:val="none"/>
        </w:rPr>
        <w:t>。</w:t>
      </w:r>
    </w:p>
    <w:p w14:paraId="4B5E9AEA">
      <w:pPr>
        <w:spacing w:line="360" w:lineRule="auto"/>
        <w:ind w:firstLine="482" w:firstLineChars="200"/>
        <w:jc w:val="both"/>
        <w:rPr>
          <w:b/>
          <w:color w:val="auto"/>
          <w:highlight w:val="none"/>
        </w:rPr>
      </w:pPr>
      <w:r>
        <w:rPr>
          <w:b/>
          <w:color w:val="auto"/>
          <w:highlight w:val="none"/>
        </w:rPr>
        <w:t>二、招标文件构成、澄清、 修改</w:t>
      </w:r>
    </w:p>
    <w:p w14:paraId="0769EFCF">
      <w:pPr>
        <w:widowControl w:val="0"/>
        <w:adjustRightInd w:val="0"/>
        <w:snapToGrid w:val="0"/>
        <w:spacing w:line="360" w:lineRule="auto"/>
        <w:ind w:firstLine="537" w:firstLineChars="224"/>
        <w:rPr>
          <w:color w:val="auto"/>
          <w:highlight w:val="none"/>
        </w:rPr>
      </w:pPr>
      <w:r>
        <w:rPr>
          <w:color w:val="auto"/>
          <w:highlight w:val="none"/>
        </w:rPr>
        <w:t>（一）招标文件的构成：</w:t>
      </w:r>
    </w:p>
    <w:p w14:paraId="062181CA">
      <w:pPr>
        <w:widowControl w:val="0"/>
        <w:adjustRightInd w:val="0"/>
        <w:snapToGrid w:val="0"/>
        <w:spacing w:line="360" w:lineRule="auto"/>
        <w:ind w:firstLine="537" w:firstLineChars="224"/>
        <w:rPr>
          <w:color w:val="auto"/>
          <w:highlight w:val="none"/>
        </w:rPr>
      </w:pPr>
      <w:r>
        <w:rPr>
          <w:color w:val="auto"/>
          <w:highlight w:val="none"/>
        </w:rPr>
        <w:t>1.招标公告</w:t>
      </w:r>
    </w:p>
    <w:p w14:paraId="4E7CCE97">
      <w:pPr>
        <w:widowControl w:val="0"/>
        <w:adjustRightInd w:val="0"/>
        <w:snapToGrid w:val="0"/>
        <w:spacing w:line="360" w:lineRule="auto"/>
        <w:ind w:firstLine="537" w:firstLineChars="224"/>
        <w:rPr>
          <w:color w:val="auto"/>
          <w:highlight w:val="none"/>
        </w:rPr>
      </w:pPr>
      <w:r>
        <w:rPr>
          <w:color w:val="auto"/>
          <w:highlight w:val="none"/>
        </w:rPr>
        <w:t>2.前附表</w:t>
      </w:r>
    </w:p>
    <w:p w14:paraId="250E5724">
      <w:pPr>
        <w:widowControl w:val="0"/>
        <w:adjustRightInd w:val="0"/>
        <w:snapToGrid w:val="0"/>
        <w:spacing w:line="360" w:lineRule="auto"/>
        <w:ind w:firstLine="537" w:firstLineChars="224"/>
        <w:rPr>
          <w:color w:val="auto"/>
          <w:highlight w:val="none"/>
        </w:rPr>
      </w:pPr>
      <w:r>
        <w:rPr>
          <w:color w:val="auto"/>
          <w:highlight w:val="none"/>
        </w:rPr>
        <w:t>3.项目技术规范和要求</w:t>
      </w:r>
    </w:p>
    <w:p w14:paraId="3231C337">
      <w:pPr>
        <w:widowControl w:val="0"/>
        <w:adjustRightInd w:val="0"/>
        <w:snapToGrid w:val="0"/>
        <w:spacing w:line="360" w:lineRule="auto"/>
        <w:ind w:firstLine="537" w:firstLineChars="224"/>
        <w:rPr>
          <w:color w:val="auto"/>
          <w:highlight w:val="none"/>
        </w:rPr>
      </w:pPr>
      <w:r>
        <w:rPr>
          <w:color w:val="auto"/>
          <w:highlight w:val="none"/>
        </w:rPr>
        <w:t>4.投标人须知</w:t>
      </w:r>
    </w:p>
    <w:p w14:paraId="3A1AE53B">
      <w:pPr>
        <w:widowControl w:val="0"/>
        <w:adjustRightInd w:val="0"/>
        <w:snapToGrid w:val="0"/>
        <w:spacing w:line="360" w:lineRule="auto"/>
        <w:ind w:firstLine="537" w:firstLineChars="224"/>
        <w:rPr>
          <w:color w:val="auto"/>
          <w:highlight w:val="none"/>
        </w:rPr>
      </w:pPr>
      <w:r>
        <w:rPr>
          <w:color w:val="auto"/>
          <w:highlight w:val="none"/>
        </w:rPr>
        <w:t>5.评标办法</w:t>
      </w:r>
    </w:p>
    <w:p w14:paraId="34D8D084">
      <w:pPr>
        <w:widowControl w:val="0"/>
        <w:adjustRightInd w:val="0"/>
        <w:snapToGrid w:val="0"/>
        <w:spacing w:line="360" w:lineRule="auto"/>
        <w:ind w:firstLine="537" w:firstLineChars="224"/>
        <w:rPr>
          <w:color w:val="auto"/>
          <w:highlight w:val="none"/>
        </w:rPr>
      </w:pPr>
      <w:r>
        <w:rPr>
          <w:color w:val="auto"/>
          <w:highlight w:val="none"/>
        </w:rPr>
        <w:t>6.合同范本</w:t>
      </w:r>
    </w:p>
    <w:p w14:paraId="7CC427C0">
      <w:pPr>
        <w:widowControl w:val="0"/>
        <w:adjustRightInd w:val="0"/>
        <w:snapToGrid w:val="0"/>
        <w:spacing w:line="360" w:lineRule="auto"/>
        <w:ind w:firstLine="537" w:firstLineChars="224"/>
        <w:rPr>
          <w:color w:val="auto"/>
          <w:highlight w:val="none"/>
        </w:rPr>
      </w:pPr>
      <w:r>
        <w:rPr>
          <w:color w:val="auto"/>
          <w:highlight w:val="none"/>
        </w:rPr>
        <w:t>7.投标文件格式</w:t>
      </w:r>
    </w:p>
    <w:p w14:paraId="0C35DBC0">
      <w:pPr>
        <w:widowControl w:val="0"/>
        <w:adjustRightInd w:val="0"/>
        <w:snapToGrid w:val="0"/>
        <w:spacing w:line="360" w:lineRule="auto"/>
        <w:ind w:firstLine="537" w:firstLineChars="224"/>
        <w:rPr>
          <w:color w:val="auto"/>
          <w:highlight w:val="none"/>
        </w:rPr>
      </w:pPr>
      <w:r>
        <w:rPr>
          <w:color w:val="auto"/>
          <w:highlight w:val="none"/>
        </w:rPr>
        <w:t>8.本项目招标文件的澄清、答复、修改、补充的内容</w:t>
      </w:r>
    </w:p>
    <w:p w14:paraId="093C16EA">
      <w:pPr>
        <w:widowControl w:val="0"/>
        <w:adjustRightInd w:val="0"/>
        <w:snapToGrid w:val="0"/>
        <w:spacing w:line="360" w:lineRule="auto"/>
        <w:ind w:firstLine="537" w:firstLineChars="224"/>
        <w:rPr>
          <w:color w:val="auto"/>
          <w:highlight w:val="none"/>
        </w:rPr>
      </w:pPr>
      <w:r>
        <w:rPr>
          <w:color w:val="auto"/>
          <w:highlight w:val="none"/>
        </w:rPr>
        <w:t xml:space="preserve">（二）招标文件的澄清与修改 </w:t>
      </w:r>
    </w:p>
    <w:p w14:paraId="6147D164">
      <w:pPr>
        <w:widowControl w:val="0"/>
        <w:adjustRightInd w:val="0"/>
        <w:snapToGrid w:val="0"/>
        <w:spacing w:line="360" w:lineRule="auto"/>
        <w:ind w:firstLine="537" w:firstLineChars="224"/>
        <w:rPr>
          <w:color w:val="auto"/>
          <w:highlight w:val="none"/>
        </w:rPr>
      </w:pPr>
      <w:r>
        <w:rPr>
          <w:color w:val="auto"/>
          <w:highlight w:val="none"/>
        </w:rPr>
        <w:t>1.已获取招标文件的潜在投标人，若有问题需要澄清，应于投标截止时间前，以书面形式向采购代理机构提出。</w:t>
      </w:r>
    </w:p>
    <w:p w14:paraId="1B38E6FC">
      <w:pPr>
        <w:widowControl w:val="0"/>
        <w:adjustRightInd w:val="0"/>
        <w:snapToGrid w:val="0"/>
        <w:spacing w:line="360" w:lineRule="auto"/>
        <w:ind w:firstLine="537" w:firstLineChars="224"/>
        <w:rPr>
          <w:color w:val="auto"/>
          <w:highlight w:val="none"/>
        </w:rPr>
      </w:pPr>
      <w:r>
        <w:rPr>
          <w:color w:val="auto"/>
          <w:highlight w:val="none"/>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021C79">
      <w:pPr>
        <w:pStyle w:val="24"/>
        <w:widowControl w:val="0"/>
        <w:adjustRightInd w:val="0"/>
        <w:snapToGrid w:val="0"/>
        <w:spacing w:before="0" w:beforeAutospacing="0" w:after="0" w:afterAutospacing="0" w:line="360" w:lineRule="auto"/>
        <w:ind w:firstLine="540" w:firstLineChars="224"/>
        <w:rPr>
          <w:rFonts w:ascii="Times New Roman" w:hAnsi="Times New Roman"/>
          <w:b/>
          <w:color w:val="auto"/>
          <w:highlight w:val="none"/>
        </w:rPr>
      </w:pPr>
      <w:r>
        <w:rPr>
          <w:rFonts w:ascii="Times New Roman" w:hAnsi="Times New Roman"/>
          <w:b/>
          <w:color w:val="auto"/>
          <w:highlight w:val="none"/>
        </w:rPr>
        <w:t>三、投标</w:t>
      </w:r>
    </w:p>
    <w:p w14:paraId="790B405F">
      <w:pPr>
        <w:widowControl w:val="0"/>
        <w:adjustRightInd w:val="0"/>
        <w:snapToGrid w:val="0"/>
        <w:spacing w:line="360" w:lineRule="auto"/>
        <w:ind w:firstLine="537" w:firstLineChars="224"/>
        <w:rPr>
          <w:color w:val="auto"/>
          <w:highlight w:val="none"/>
        </w:rPr>
      </w:pPr>
      <w:r>
        <w:rPr>
          <w:color w:val="auto"/>
          <w:highlight w:val="none"/>
        </w:rPr>
        <w:t>（一）投标保证金</w:t>
      </w:r>
    </w:p>
    <w:p w14:paraId="3FB16470">
      <w:pPr>
        <w:widowControl w:val="0"/>
        <w:adjustRightInd w:val="0"/>
        <w:snapToGrid w:val="0"/>
        <w:spacing w:line="360" w:lineRule="auto"/>
        <w:ind w:firstLine="537" w:firstLineChars="224"/>
        <w:rPr>
          <w:color w:val="auto"/>
          <w:highlight w:val="none"/>
        </w:rPr>
      </w:pPr>
      <w:r>
        <w:rPr>
          <w:color w:val="auto"/>
          <w:highlight w:val="none"/>
        </w:rPr>
        <w:t>本项目不需缴纳投标保证金。</w:t>
      </w:r>
    </w:p>
    <w:p w14:paraId="1366F422">
      <w:pPr>
        <w:widowControl w:val="0"/>
        <w:adjustRightInd w:val="0"/>
        <w:snapToGrid w:val="0"/>
        <w:spacing w:line="360" w:lineRule="auto"/>
        <w:ind w:firstLine="537" w:firstLineChars="224"/>
        <w:rPr>
          <w:color w:val="auto"/>
          <w:highlight w:val="none"/>
        </w:rPr>
      </w:pPr>
      <w:r>
        <w:rPr>
          <w:color w:val="auto"/>
          <w:highlight w:val="none"/>
        </w:rPr>
        <w:t>（二）投标文件的语言</w:t>
      </w:r>
    </w:p>
    <w:p w14:paraId="6FB06EDA">
      <w:pPr>
        <w:widowControl w:val="0"/>
        <w:adjustRightInd w:val="0"/>
        <w:snapToGrid w:val="0"/>
        <w:spacing w:line="360" w:lineRule="auto"/>
        <w:ind w:firstLine="537" w:firstLineChars="224"/>
        <w:rPr>
          <w:color w:val="auto"/>
          <w:highlight w:val="none"/>
        </w:rPr>
      </w:pPr>
      <w:r>
        <w:rPr>
          <w:color w:val="auto"/>
          <w:highlight w:val="none"/>
        </w:rPr>
        <w:t>投标文件及投标人与采购有关的来往通知、函件和文件均应使用中文。</w:t>
      </w:r>
    </w:p>
    <w:p w14:paraId="5E998B5E">
      <w:pPr>
        <w:widowControl w:val="0"/>
        <w:adjustRightInd w:val="0"/>
        <w:snapToGrid w:val="0"/>
        <w:spacing w:line="360" w:lineRule="auto"/>
        <w:ind w:firstLine="537" w:firstLineChars="224"/>
        <w:rPr>
          <w:color w:val="auto"/>
          <w:highlight w:val="none"/>
        </w:rPr>
      </w:pPr>
      <w:r>
        <w:rPr>
          <w:color w:val="auto"/>
          <w:highlight w:val="none"/>
        </w:rPr>
        <w:t>（三）计量单位</w:t>
      </w:r>
    </w:p>
    <w:p w14:paraId="43847DD3">
      <w:pPr>
        <w:widowControl w:val="0"/>
        <w:adjustRightInd w:val="0"/>
        <w:snapToGrid w:val="0"/>
        <w:spacing w:line="360" w:lineRule="auto"/>
        <w:ind w:firstLine="537" w:firstLineChars="224"/>
        <w:rPr>
          <w:color w:val="auto"/>
          <w:highlight w:val="none"/>
        </w:rPr>
      </w:pPr>
      <w:r>
        <w:rPr>
          <w:color w:val="auto"/>
          <w:highlight w:val="none"/>
        </w:rPr>
        <w:t>除在招标文件中另有规定外，计量单位应使用中华人民共和国法定计量单位（国际单位制和国家选定的其他计量单位）。</w:t>
      </w:r>
    </w:p>
    <w:p w14:paraId="4CDBD7FA">
      <w:pPr>
        <w:widowControl w:val="0"/>
        <w:adjustRightInd w:val="0"/>
        <w:snapToGrid w:val="0"/>
        <w:spacing w:line="360" w:lineRule="auto"/>
        <w:ind w:firstLine="537" w:firstLineChars="224"/>
        <w:rPr>
          <w:color w:val="auto"/>
          <w:highlight w:val="none"/>
        </w:rPr>
      </w:pPr>
      <w:r>
        <w:rPr>
          <w:color w:val="auto"/>
          <w:highlight w:val="none"/>
        </w:rPr>
        <w:t>（四）投标文件的组成</w:t>
      </w:r>
    </w:p>
    <w:p w14:paraId="28F960DF">
      <w:pPr>
        <w:widowControl w:val="0"/>
        <w:adjustRightInd w:val="0"/>
        <w:snapToGrid w:val="0"/>
        <w:spacing w:line="360" w:lineRule="auto"/>
        <w:ind w:firstLine="540" w:firstLineChars="224"/>
        <w:rPr>
          <w:b/>
          <w:bCs/>
          <w:color w:val="auto"/>
          <w:highlight w:val="none"/>
        </w:rPr>
      </w:pPr>
      <w:bookmarkStart w:id="54" w:name="_Hlk94089038"/>
      <w:r>
        <w:rPr>
          <w:b/>
          <w:bCs/>
          <w:color w:val="auto"/>
          <w:highlight w:val="none"/>
        </w:rPr>
        <w:t>1.资格文件</w:t>
      </w:r>
      <w:r>
        <w:rPr>
          <w:color w:val="auto"/>
          <w:highlight w:val="none"/>
        </w:rPr>
        <w:t>（</w:t>
      </w:r>
      <w:r>
        <w:rPr>
          <w:b/>
          <w:color w:val="auto"/>
          <w:highlight w:val="none"/>
          <w:u w:val="single"/>
        </w:rPr>
        <w:t>未提供齐全将导致资格审查不通过，投标文件无效</w:t>
      </w:r>
      <w:r>
        <w:rPr>
          <w:color w:val="auto"/>
          <w:highlight w:val="none"/>
        </w:rPr>
        <w:t>）</w:t>
      </w:r>
    </w:p>
    <w:p w14:paraId="020616B2">
      <w:pPr>
        <w:widowControl w:val="0"/>
        <w:adjustRightInd w:val="0"/>
        <w:snapToGrid w:val="0"/>
        <w:spacing w:line="360" w:lineRule="auto"/>
        <w:ind w:firstLine="537" w:firstLineChars="224"/>
        <w:rPr>
          <w:color w:val="auto"/>
          <w:highlight w:val="none"/>
        </w:rPr>
      </w:pPr>
      <w:bookmarkStart w:id="55" w:name="_Hlk114148040"/>
      <w:r>
        <w:rPr>
          <w:color w:val="auto"/>
          <w:highlight w:val="none"/>
        </w:rPr>
        <w:t>1.1</w:t>
      </w:r>
      <w:r>
        <w:rPr>
          <w:rFonts w:hint="eastAsia"/>
          <w:color w:val="auto"/>
          <w:highlight w:val="none"/>
        </w:rPr>
        <w:t>投标人</w:t>
      </w:r>
      <w:r>
        <w:rPr>
          <w:color w:val="auto"/>
          <w:highlight w:val="none"/>
        </w:rPr>
        <w:t>法人营业执照（副本）或事业单位法人证书（副本）或个体工商户营业执照或有效的自然人身份证明或社会团体法人登记证书（提供复印件</w:t>
      </w:r>
      <w:r>
        <w:rPr>
          <w:rFonts w:hint="eastAsia"/>
          <w:color w:val="auto"/>
          <w:highlight w:val="none"/>
        </w:rPr>
        <w:t>上传</w:t>
      </w:r>
      <w:r>
        <w:rPr>
          <w:color w:val="auto"/>
          <w:highlight w:val="none"/>
        </w:rPr>
        <w:t>）</w:t>
      </w:r>
    </w:p>
    <w:p w14:paraId="3EA1494F">
      <w:pPr>
        <w:widowControl w:val="0"/>
        <w:adjustRightInd w:val="0"/>
        <w:snapToGrid w:val="0"/>
        <w:spacing w:line="360" w:lineRule="auto"/>
        <w:ind w:firstLine="537" w:firstLineChars="224"/>
        <w:rPr>
          <w:color w:val="auto"/>
          <w:highlight w:val="none"/>
        </w:rPr>
      </w:pPr>
      <w:r>
        <w:rPr>
          <w:color w:val="auto"/>
          <w:highlight w:val="none"/>
        </w:rPr>
        <w:t>1.2符合参加政府采购活动应当具备的一般条件的承诺函</w:t>
      </w:r>
      <w:r>
        <w:rPr>
          <w:rFonts w:hint="eastAsia"/>
          <w:color w:val="auto"/>
          <w:highlight w:val="none"/>
        </w:rPr>
        <w:t>（格式详见第七章）；</w:t>
      </w:r>
    </w:p>
    <w:bookmarkEnd w:id="55"/>
    <w:p w14:paraId="4C8640B4">
      <w:pPr>
        <w:widowControl w:val="0"/>
        <w:adjustRightInd w:val="0"/>
        <w:snapToGrid w:val="0"/>
        <w:spacing w:line="360" w:lineRule="auto"/>
        <w:ind w:firstLine="540" w:firstLineChars="224"/>
        <w:rPr>
          <w:b/>
          <w:color w:val="auto"/>
          <w:highlight w:val="none"/>
        </w:rPr>
      </w:pPr>
      <w:r>
        <w:rPr>
          <w:b/>
          <w:color w:val="auto"/>
          <w:highlight w:val="none"/>
        </w:rPr>
        <w:t>2.技术资信文件</w:t>
      </w:r>
    </w:p>
    <w:p w14:paraId="556D2489">
      <w:pPr>
        <w:widowControl w:val="0"/>
        <w:adjustRightInd w:val="0"/>
        <w:snapToGrid w:val="0"/>
        <w:spacing w:line="360" w:lineRule="auto"/>
        <w:ind w:firstLine="537" w:firstLineChars="224"/>
        <w:rPr>
          <w:color w:val="auto"/>
          <w:highlight w:val="none"/>
        </w:rPr>
      </w:pPr>
      <w:r>
        <w:rPr>
          <w:color w:val="auto"/>
          <w:highlight w:val="none"/>
        </w:rPr>
        <w:t>2.1投标函。</w:t>
      </w:r>
    </w:p>
    <w:p w14:paraId="571F923B">
      <w:pPr>
        <w:widowControl w:val="0"/>
        <w:adjustRightInd w:val="0"/>
        <w:snapToGrid w:val="0"/>
        <w:spacing w:line="360" w:lineRule="auto"/>
        <w:ind w:firstLine="537" w:firstLineChars="224"/>
        <w:rPr>
          <w:color w:val="auto"/>
          <w:highlight w:val="none"/>
        </w:rPr>
      </w:pPr>
      <w:r>
        <w:rPr>
          <w:rFonts w:hint="eastAsia"/>
          <w:color w:val="auto"/>
          <w:highlight w:val="none"/>
        </w:rPr>
        <w:t>2</w:t>
      </w:r>
      <w:r>
        <w:rPr>
          <w:color w:val="auto"/>
          <w:highlight w:val="none"/>
        </w:rPr>
        <w:t>.2法定代表人（负责人）授权委托书（法定代表人或负责人亲自参加的仅</w:t>
      </w:r>
      <w:r>
        <w:rPr>
          <w:rFonts w:hint="eastAsia"/>
          <w:color w:val="auto"/>
          <w:highlight w:val="none"/>
        </w:rPr>
        <w:t>需</w:t>
      </w:r>
      <w:r>
        <w:rPr>
          <w:color w:val="auto"/>
          <w:highlight w:val="none"/>
        </w:rPr>
        <w:t>提供身份证复印件）；</w:t>
      </w:r>
    </w:p>
    <w:p w14:paraId="7139C1F0">
      <w:pPr>
        <w:widowControl w:val="0"/>
        <w:adjustRightInd w:val="0"/>
        <w:snapToGrid w:val="0"/>
        <w:spacing w:line="360" w:lineRule="auto"/>
        <w:ind w:firstLine="537" w:firstLineChars="224"/>
        <w:rPr>
          <w:color w:val="auto"/>
          <w:highlight w:val="none"/>
        </w:rPr>
      </w:pPr>
      <w:r>
        <w:rPr>
          <w:color w:val="auto"/>
          <w:highlight w:val="none"/>
        </w:rPr>
        <w:t>2.3投标货物技术参数明细表。</w:t>
      </w:r>
    </w:p>
    <w:p w14:paraId="4FD21297">
      <w:pPr>
        <w:widowControl w:val="0"/>
        <w:adjustRightInd w:val="0"/>
        <w:snapToGrid w:val="0"/>
        <w:spacing w:line="360" w:lineRule="auto"/>
        <w:ind w:firstLine="537" w:firstLineChars="224"/>
        <w:rPr>
          <w:color w:val="auto"/>
          <w:highlight w:val="none"/>
        </w:rPr>
      </w:pPr>
      <w:r>
        <w:rPr>
          <w:color w:val="auto"/>
          <w:highlight w:val="none"/>
        </w:rPr>
        <w:t>2.4技术要求偏离表。（投标人拟提供的技术要求与招标文件中的要求不一致时，则必须在《技术要求偏离表》中予以明确，否则将视为投标人完全响应招标文件的要求，并以招标文件作为合同条件。）</w:t>
      </w:r>
    </w:p>
    <w:p w14:paraId="4920152E">
      <w:pPr>
        <w:widowControl w:val="0"/>
        <w:adjustRightInd w:val="0"/>
        <w:snapToGrid w:val="0"/>
        <w:spacing w:line="360" w:lineRule="auto"/>
        <w:ind w:firstLine="537" w:firstLineChars="224"/>
        <w:rPr>
          <w:color w:val="auto"/>
          <w:highlight w:val="none"/>
        </w:rPr>
      </w:pPr>
      <w:r>
        <w:rPr>
          <w:color w:val="auto"/>
          <w:highlight w:val="none"/>
        </w:rPr>
        <w:t>2.5服务条款偏离表/响应表。（投标人拟提供的服务要求与</w:t>
      </w:r>
      <w:r>
        <w:rPr>
          <w:color w:val="auto"/>
          <w:highlight w:val="none"/>
          <w:u w:val="thick" w:color="FFFFFF"/>
        </w:rPr>
        <w:t>招标文件</w:t>
      </w:r>
      <w:r>
        <w:rPr>
          <w:color w:val="auto"/>
          <w:highlight w:val="none"/>
        </w:rPr>
        <w:t>中的要求不一致时，则必须在《服务条款偏离表/响应表》中予以明确，否则将视为投标人完全响应</w:t>
      </w:r>
      <w:r>
        <w:rPr>
          <w:color w:val="auto"/>
          <w:highlight w:val="none"/>
          <w:u w:val="thick" w:color="FFFFFF"/>
        </w:rPr>
        <w:t>招标文件</w:t>
      </w:r>
      <w:r>
        <w:rPr>
          <w:color w:val="auto"/>
          <w:highlight w:val="none"/>
        </w:rPr>
        <w:t>的要求，并以</w:t>
      </w:r>
      <w:r>
        <w:rPr>
          <w:color w:val="auto"/>
          <w:highlight w:val="none"/>
          <w:u w:val="thick" w:color="FFFFFF"/>
        </w:rPr>
        <w:t>招标文件</w:t>
      </w:r>
      <w:r>
        <w:rPr>
          <w:color w:val="auto"/>
          <w:highlight w:val="none"/>
        </w:rPr>
        <w:t>作为合同条件。）</w:t>
      </w:r>
    </w:p>
    <w:p w14:paraId="6ED955E2">
      <w:pPr>
        <w:widowControl w:val="0"/>
        <w:adjustRightInd w:val="0"/>
        <w:snapToGrid w:val="0"/>
        <w:spacing w:line="360" w:lineRule="auto"/>
        <w:ind w:firstLine="537" w:firstLineChars="224"/>
        <w:rPr>
          <w:color w:val="auto"/>
          <w:highlight w:val="none"/>
        </w:rPr>
      </w:pPr>
      <w:r>
        <w:rPr>
          <w:color w:val="auto"/>
          <w:highlight w:val="none"/>
        </w:rPr>
        <w:t>2.6项目实施人员一览表。</w:t>
      </w:r>
    </w:p>
    <w:p w14:paraId="22C0A694">
      <w:pPr>
        <w:widowControl w:val="0"/>
        <w:adjustRightInd w:val="0"/>
        <w:snapToGrid w:val="0"/>
        <w:spacing w:line="360" w:lineRule="auto"/>
        <w:ind w:firstLine="537" w:firstLineChars="224"/>
        <w:rPr>
          <w:color w:val="auto"/>
          <w:highlight w:val="none"/>
        </w:rPr>
      </w:pPr>
      <w:r>
        <w:rPr>
          <w:color w:val="auto"/>
          <w:highlight w:val="none"/>
        </w:rPr>
        <w:t>2.7服务计划书（例：质量保证措施及承诺，服务措施及承诺，售后服务措施及承诺，其他服务措施及承诺）。</w:t>
      </w:r>
    </w:p>
    <w:p w14:paraId="53C34FC2">
      <w:pPr>
        <w:widowControl w:val="0"/>
        <w:adjustRightInd w:val="0"/>
        <w:snapToGrid w:val="0"/>
        <w:spacing w:line="360" w:lineRule="auto"/>
        <w:ind w:firstLine="537" w:firstLineChars="224"/>
        <w:rPr>
          <w:color w:val="auto"/>
          <w:highlight w:val="none"/>
        </w:rPr>
      </w:pPr>
      <w:r>
        <w:rPr>
          <w:color w:val="auto"/>
          <w:highlight w:val="none"/>
        </w:rPr>
        <w:t>2.8投标人情况：</w:t>
      </w:r>
    </w:p>
    <w:p w14:paraId="06D7B712">
      <w:pPr>
        <w:widowControl w:val="0"/>
        <w:adjustRightInd w:val="0"/>
        <w:snapToGrid w:val="0"/>
        <w:spacing w:line="360" w:lineRule="auto"/>
        <w:ind w:firstLine="537" w:firstLineChars="224"/>
        <w:rPr>
          <w:color w:val="auto"/>
          <w:highlight w:val="none"/>
        </w:rPr>
      </w:pPr>
      <w:r>
        <w:rPr>
          <w:color w:val="auto"/>
          <w:highlight w:val="none"/>
        </w:rPr>
        <w:t>（1）单位简介；</w:t>
      </w:r>
    </w:p>
    <w:p w14:paraId="1C96EF1B">
      <w:pPr>
        <w:widowControl w:val="0"/>
        <w:adjustRightInd w:val="0"/>
        <w:snapToGrid w:val="0"/>
        <w:spacing w:line="360" w:lineRule="auto"/>
        <w:ind w:firstLine="537" w:firstLineChars="224"/>
        <w:rPr>
          <w:color w:val="auto"/>
          <w:highlight w:val="none"/>
        </w:rPr>
      </w:pPr>
      <w:r>
        <w:rPr>
          <w:color w:val="auto"/>
          <w:highlight w:val="none"/>
        </w:rPr>
        <w:t>（2）投标人的信誉、荣誉证书；（如有）</w:t>
      </w:r>
    </w:p>
    <w:p w14:paraId="655F8FCF">
      <w:pPr>
        <w:widowControl w:val="0"/>
        <w:adjustRightInd w:val="0"/>
        <w:snapToGrid w:val="0"/>
        <w:spacing w:line="360" w:lineRule="auto"/>
        <w:ind w:firstLine="537" w:firstLineChars="224"/>
        <w:rPr>
          <w:color w:val="auto"/>
          <w:highlight w:val="none"/>
        </w:rPr>
      </w:pPr>
      <w:r>
        <w:rPr>
          <w:color w:val="auto"/>
          <w:highlight w:val="none"/>
        </w:rPr>
        <w:t>（3）投标人质量管理和质量保证体系等方面的认证证书。（如有）</w:t>
      </w:r>
    </w:p>
    <w:p w14:paraId="1E1CF076">
      <w:pPr>
        <w:widowControl w:val="0"/>
        <w:adjustRightInd w:val="0"/>
        <w:snapToGrid w:val="0"/>
        <w:spacing w:line="360" w:lineRule="auto"/>
        <w:ind w:firstLine="537" w:firstLineChars="224"/>
        <w:rPr>
          <w:color w:val="auto"/>
          <w:highlight w:val="none"/>
        </w:rPr>
      </w:pPr>
      <w:r>
        <w:rPr>
          <w:color w:val="auto"/>
          <w:highlight w:val="none"/>
        </w:rPr>
        <w:t>（4）同类业绩证明（如有，需提供合同复印件）；</w:t>
      </w:r>
    </w:p>
    <w:p w14:paraId="5741A6CC">
      <w:pPr>
        <w:widowControl w:val="0"/>
        <w:adjustRightInd w:val="0"/>
        <w:snapToGrid w:val="0"/>
        <w:spacing w:line="360" w:lineRule="auto"/>
        <w:ind w:firstLine="537" w:firstLineChars="224"/>
        <w:rPr>
          <w:color w:val="auto"/>
          <w:highlight w:val="none"/>
        </w:rPr>
      </w:pPr>
      <w:r>
        <w:rPr>
          <w:color w:val="auto"/>
          <w:highlight w:val="none"/>
        </w:rPr>
        <w:t>2.9评标标准相应的技术资信资料。</w:t>
      </w:r>
    </w:p>
    <w:p w14:paraId="0CA8C857">
      <w:pPr>
        <w:widowControl w:val="0"/>
        <w:adjustRightInd w:val="0"/>
        <w:snapToGrid w:val="0"/>
        <w:spacing w:line="360" w:lineRule="auto"/>
        <w:ind w:firstLine="540" w:firstLineChars="224"/>
        <w:rPr>
          <w:b/>
          <w:color w:val="auto"/>
          <w:highlight w:val="none"/>
        </w:rPr>
      </w:pPr>
      <w:r>
        <w:rPr>
          <w:b/>
          <w:color w:val="auto"/>
          <w:highlight w:val="none"/>
        </w:rPr>
        <w:t>3.报价文件</w:t>
      </w:r>
    </w:p>
    <w:p w14:paraId="421A581E">
      <w:pPr>
        <w:widowControl w:val="0"/>
        <w:adjustRightInd w:val="0"/>
        <w:snapToGrid w:val="0"/>
        <w:spacing w:line="360" w:lineRule="auto"/>
        <w:ind w:firstLine="537" w:firstLineChars="224"/>
        <w:rPr>
          <w:color w:val="auto"/>
          <w:highlight w:val="none"/>
        </w:rPr>
      </w:pPr>
      <w:r>
        <w:rPr>
          <w:color w:val="auto"/>
          <w:highlight w:val="none"/>
        </w:rPr>
        <w:t xml:space="preserve">3.1开标一览表。 </w:t>
      </w:r>
    </w:p>
    <w:p w14:paraId="07B35EAE">
      <w:pPr>
        <w:widowControl w:val="0"/>
        <w:adjustRightInd w:val="0"/>
        <w:snapToGrid w:val="0"/>
        <w:spacing w:line="360" w:lineRule="auto"/>
        <w:ind w:firstLine="537" w:firstLineChars="224"/>
        <w:rPr>
          <w:color w:val="auto"/>
          <w:highlight w:val="none"/>
        </w:rPr>
      </w:pPr>
      <w:r>
        <w:rPr>
          <w:rFonts w:hint="eastAsia"/>
          <w:color w:val="auto"/>
          <w:highlight w:val="none"/>
        </w:rPr>
        <w:t>3.2报价说明（如有）。</w:t>
      </w:r>
    </w:p>
    <w:p w14:paraId="0743DC48">
      <w:pPr>
        <w:widowControl w:val="0"/>
        <w:adjustRightInd w:val="0"/>
        <w:snapToGrid w:val="0"/>
        <w:spacing w:line="360" w:lineRule="auto"/>
        <w:ind w:firstLine="537" w:firstLineChars="224"/>
        <w:rPr>
          <w:color w:val="auto"/>
          <w:highlight w:val="none"/>
        </w:rPr>
      </w:pPr>
      <w:r>
        <w:rPr>
          <w:rFonts w:hint="eastAsia"/>
          <w:color w:val="auto"/>
          <w:highlight w:val="none"/>
        </w:rPr>
        <w:t>3.3</w:t>
      </w:r>
      <w:r>
        <w:rPr>
          <w:color w:val="auto"/>
          <w:highlight w:val="none"/>
        </w:rPr>
        <w:t>《中小微企业声明函》、残疾人福利性单位、监狱企业声明函（如有）。</w:t>
      </w:r>
    </w:p>
    <w:p w14:paraId="516669EE">
      <w:pPr>
        <w:widowControl w:val="0"/>
        <w:adjustRightInd w:val="0"/>
        <w:snapToGrid w:val="0"/>
        <w:spacing w:line="360" w:lineRule="auto"/>
        <w:ind w:firstLine="540" w:firstLineChars="224"/>
        <w:rPr>
          <w:color w:val="auto"/>
          <w:highlight w:val="none"/>
        </w:rPr>
      </w:pPr>
      <w:r>
        <w:rPr>
          <w:b/>
          <w:color w:val="auto"/>
          <w:highlight w:val="none"/>
        </w:rPr>
        <w:t>资格文件和技术资信文件不得出现报价，否则作无效标处理。</w:t>
      </w:r>
    </w:p>
    <w:bookmarkEnd w:id="54"/>
    <w:p w14:paraId="60FABD01">
      <w:pPr>
        <w:widowControl w:val="0"/>
        <w:adjustRightInd w:val="0"/>
        <w:snapToGrid w:val="0"/>
        <w:spacing w:line="360" w:lineRule="auto"/>
        <w:ind w:firstLine="537" w:firstLineChars="224"/>
        <w:rPr>
          <w:color w:val="auto"/>
          <w:highlight w:val="none"/>
        </w:rPr>
      </w:pPr>
      <w:r>
        <w:rPr>
          <w:rFonts w:ascii="Segoe UI Symbol" w:hAnsi="Segoe UI Symbol" w:cs="Segoe UI Symbol"/>
          <w:color w:val="auto"/>
          <w:highlight w:val="none"/>
        </w:rPr>
        <w:t>★</w:t>
      </w:r>
      <w:r>
        <w:rPr>
          <w:color w:val="auto"/>
          <w:highlight w:val="none"/>
        </w:rPr>
        <w:t>（五）投标报价</w:t>
      </w:r>
    </w:p>
    <w:p w14:paraId="0E31BEA3">
      <w:pPr>
        <w:widowControl w:val="0"/>
        <w:adjustRightInd w:val="0"/>
        <w:snapToGrid w:val="0"/>
        <w:spacing w:line="360" w:lineRule="auto"/>
        <w:ind w:firstLine="537" w:firstLineChars="224"/>
        <w:rPr>
          <w:color w:val="auto"/>
          <w:highlight w:val="none"/>
        </w:rPr>
      </w:pPr>
      <w:r>
        <w:rPr>
          <w:color w:val="auto"/>
          <w:highlight w:val="none"/>
        </w:rPr>
        <w:t>1.有关本项目实施所需的所有费用（含税费）均计入报价。招标文件未列明，而投标人认为必需的费用也需列入报价。</w:t>
      </w:r>
    </w:p>
    <w:p w14:paraId="256B1C94">
      <w:pPr>
        <w:widowControl w:val="0"/>
        <w:adjustRightInd w:val="0"/>
        <w:snapToGrid w:val="0"/>
        <w:spacing w:line="360" w:lineRule="auto"/>
        <w:ind w:firstLine="537" w:firstLineChars="224"/>
        <w:rPr>
          <w:color w:val="auto"/>
          <w:highlight w:val="none"/>
        </w:rPr>
      </w:pPr>
      <w:r>
        <w:rPr>
          <w:color w:val="auto"/>
          <w:highlight w:val="none"/>
        </w:rPr>
        <w:t>2.</w:t>
      </w:r>
      <w:r>
        <w:rPr>
          <w:rFonts w:hint="eastAsia"/>
          <w:color w:val="auto"/>
          <w:highlight w:val="none"/>
        </w:rPr>
        <w:t>报价口径详见前附表</w:t>
      </w:r>
      <w:r>
        <w:rPr>
          <w:color w:val="auto"/>
          <w:highlight w:val="none"/>
        </w:rPr>
        <w:t>。</w:t>
      </w:r>
    </w:p>
    <w:p w14:paraId="1934176F">
      <w:pPr>
        <w:widowControl w:val="0"/>
        <w:adjustRightInd w:val="0"/>
        <w:snapToGrid w:val="0"/>
        <w:spacing w:line="360" w:lineRule="auto"/>
        <w:ind w:firstLine="537" w:firstLineChars="224"/>
        <w:rPr>
          <w:color w:val="auto"/>
          <w:highlight w:val="none"/>
        </w:rPr>
      </w:pPr>
      <w:r>
        <w:rPr>
          <w:color w:val="auto"/>
          <w:highlight w:val="none"/>
        </w:rPr>
        <w:t>3.投标人根据企业内部的管理水平，结合市场综合分析后自主确定。投标人报价时需考虑以下因素：</w:t>
      </w:r>
    </w:p>
    <w:p w14:paraId="7E73C39A">
      <w:pPr>
        <w:widowControl w:val="0"/>
        <w:adjustRightInd w:val="0"/>
        <w:snapToGrid w:val="0"/>
        <w:spacing w:line="360" w:lineRule="auto"/>
        <w:ind w:firstLine="537" w:firstLineChars="224"/>
        <w:rPr>
          <w:color w:val="auto"/>
          <w:highlight w:val="none"/>
        </w:rPr>
      </w:pPr>
      <w:r>
        <w:rPr>
          <w:color w:val="auto"/>
          <w:highlight w:val="none"/>
        </w:rPr>
        <w:t>3.1因国家政策性调整或市场供求关系引起的各种材料、货物的价格调整。</w:t>
      </w:r>
    </w:p>
    <w:p w14:paraId="3A23F9AF">
      <w:pPr>
        <w:widowControl w:val="0"/>
        <w:adjustRightInd w:val="0"/>
        <w:snapToGrid w:val="0"/>
        <w:spacing w:line="360" w:lineRule="auto"/>
        <w:ind w:firstLine="537" w:firstLineChars="224"/>
        <w:rPr>
          <w:color w:val="auto"/>
          <w:highlight w:val="none"/>
        </w:rPr>
      </w:pPr>
      <w:r>
        <w:rPr>
          <w:color w:val="auto"/>
          <w:highlight w:val="none"/>
        </w:rPr>
        <w:t>3.2其它各种风险和费用。</w:t>
      </w:r>
    </w:p>
    <w:p w14:paraId="112E8977">
      <w:pPr>
        <w:widowControl w:val="0"/>
        <w:adjustRightInd w:val="0"/>
        <w:snapToGrid w:val="0"/>
        <w:spacing w:line="360" w:lineRule="auto"/>
        <w:ind w:firstLine="540" w:firstLineChars="224"/>
        <w:rPr>
          <w:b/>
          <w:color w:val="auto"/>
          <w:highlight w:val="none"/>
        </w:rPr>
      </w:pPr>
      <w:r>
        <w:rPr>
          <w:b/>
          <w:color w:val="auto"/>
          <w:highlight w:val="none"/>
        </w:rPr>
        <w:t>4.本次招标项目设有最高限价</w:t>
      </w:r>
      <w:r>
        <w:rPr>
          <w:rFonts w:hint="eastAsia"/>
          <w:b/>
          <w:color w:val="auto"/>
          <w:highlight w:val="none"/>
        </w:rPr>
        <w:t>和单价限价（如有）</w:t>
      </w:r>
      <w:r>
        <w:rPr>
          <w:b/>
          <w:color w:val="auto"/>
          <w:highlight w:val="none"/>
        </w:rPr>
        <w:t>，超过最高限价的投标作无效标处理。</w:t>
      </w:r>
    </w:p>
    <w:p w14:paraId="415C5A5F">
      <w:pPr>
        <w:widowControl w:val="0"/>
        <w:adjustRightInd w:val="0"/>
        <w:snapToGrid w:val="0"/>
        <w:spacing w:line="360" w:lineRule="auto"/>
        <w:ind w:firstLine="540" w:firstLineChars="224"/>
        <w:rPr>
          <w:b/>
          <w:bCs/>
          <w:color w:val="auto"/>
          <w:highlight w:val="none"/>
        </w:rPr>
      </w:pPr>
      <w:r>
        <w:rPr>
          <w:b/>
          <w:bCs/>
          <w:color w:val="auto"/>
          <w:highlight w:val="none"/>
        </w:rPr>
        <w:t>5.投标文件只允许有一个报价，有选择的或有条件的报价作无效标处理。</w:t>
      </w:r>
    </w:p>
    <w:p w14:paraId="0F03B493">
      <w:pPr>
        <w:adjustRightInd w:val="0"/>
        <w:snapToGrid w:val="0"/>
        <w:spacing w:line="360" w:lineRule="auto"/>
        <w:ind w:firstLine="537" w:firstLineChars="224"/>
        <w:rPr>
          <w:color w:val="auto"/>
          <w:highlight w:val="none"/>
        </w:rPr>
      </w:pPr>
      <w:r>
        <w:rPr>
          <w:color w:val="auto"/>
          <w:highlight w:val="none"/>
        </w:rPr>
        <w:t>（六）投标文件的编制</w:t>
      </w:r>
    </w:p>
    <w:p w14:paraId="1C331883">
      <w:pPr>
        <w:widowControl w:val="0"/>
        <w:adjustRightInd w:val="0"/>
        <w:snapToGrid w:val="0"/>
        <w:spacing w:line="360" w:lineRule="auto"/>
        <w:ind w:firstLine="537" w:firstLineChars="224"/>
        <w:rPr>
          <w:color w:val="auto"/>
          <w:highlight w:val="none"/>
        </w:rPr>
      </w:pPr>
      <w:r>
        <w:rPr>
          <w:color w:val="auto"/>
          <w:highlight w:val="none"/>
        </w:rPr>
        <w:t>1.投标文件分为资格文件、技术资信文件、报价文件三部分。各投标人在编制投标文件时请参照招标文件第七</w:t>
      </w:r>
      <w:r>
        <w:rPr>
          <w:rFonts w:hint="eastAsia"/>
          <w:color w:val="auto"/>
          <w:highlight w:val="none"/>
        </w:rPr>
        <w:t>章</w:t>
      </w:r>
      <w:r>
        <w:rPr>
          <w:color w:val="auto"/>
          <w:highlight w:val="none"/>
        </w:rPr>
        <w:t>的格式进行，混乱的编排导致投标文件被误读或评标委员会查找不到有效文件是投标人的风险。</w:t>
      </w:r>
    </w:p>
    <w:p w14:paraId="6F401A66">
      <w:pPr>
        <w:widowControl w:val="0"/>
        <w:adjustRightInd w:val="0"/>
        <w:snapToGrid w:val="0"/>
        <w:spacing w:line="360" w:lineRule="auto"/>
        <w:ind w:firstLine="537" w:firstLineChars="224"/>
        <w:rPr>
          <w:color w:val="auto"/>
          <w:highlight w:val="none"/>
        </w:rPr>
      </w:pPr>
      <w:r>
        <w:rPr>
          <w:color w:val="auto"/>
          <w:highlight w:val="none"/>
        </w:rPr>
        <w:t>2.投标人进行电子投标应安装客户端软件—“政采云电子交易客户端”，并按照招标文件和电子交易平台的要求编制并加密投标文件。投标人未按规定加密的投标文件，电子交易平台将拒收并提示。</w:t>
      </w:r>
    </w:p>
    <w:p w14:paraId="0941BFD5">
      <w:pPr>
        <w:widowControl w:val="0"/>
        <w:adjustRightInd w:val="0"/>
        <w:snapToGrid w:val="0"/>
        <w:spacing w:line="360" w:lineRule="auto"/>
        <w:ind w:firstLine="537" w:firstLineChars="224"/>
        <w:rPr>
          <w:color w:val="auto"/>
          <w:highlight w:val="none"/>
        </w:rPr>
      </w:pPr>
      <w:r>
        <w:rPr>
          <w:color w:val="auto"/>
          <w:highlight w:val="none"/>
        </w:rPr>
        <w:t>3.使用“政采云电子交易客户端”需要提前申领CA数字证书，申领流程请自行前往“浙江政府采购网-下载专区-电子交易客户端-CA驱动和申领流程”进行查阅。</w:t>
      </w:r>
    </w:p>
    <w:p w14:paraId="3A68FCC3">
      <w:pPr>
        <w:widowControl w:val="0"/>
        <w:adjustRightInd w:val="0"/>
        <w:snapToGrid w:val="0"/>
        <w:spacing w:line="360" w:lineRule="auto"/>
        <w:ind w:firstLine="537" w:firstLineChars="224"/>
        <w:rPr>
          <w:color w:val="auto"/>
          <w:highlight w:val="none"/>
        </w:rPr>
      </w:pPr>
      <w:r>
        <w:rPr>
          <w:color w:val="auto"/>
          <w:highlight w:val="none"/>
        </w:rPr>
        <w:t>（七）投标文件的签署、盖章</w:t>
      </w:r>
    </w:p>
    <w:p w14:paraId="68B58906">
      <w:pPr>
        <w:widowControl w:val="0"/>
        <w:adjustRightInd w:val="0"/>
        <w:snapToGrid w:val="0"/>
        <w:spacing w:line="360" w:lineRule="auto"/>
        <w:ind w:firstLine="537" w:firstLineChars="224"/>
        <w:rPr>
          <w:color w:val="auto"/>
          <w:highlight w:val="none"/>
        </w:rPr>
      </w:pPr>
      <w:r>
        <w:rPr>
          <w:color w:val="auto"/>
          <w:highlight w:val="none"/>
        </w:rPr>
        <w:t>1.投标文件按照招标文件第</w:t>
      </w:r>
      <w:r>
        <w:rPr>
          <w:rFonts w:hint="eastAsia"/>
          <w:color w:val="auto"/>
          <w:highlight w:val="none"/>
        </w:rPr>
        <w:t>七章</w:t>
      </w:r>
      <w:r>
        <w:rPr>
          <w:color w:val="auto"/>
          <w:highlight w:val="none"/>
        </w:rPr>
        <w:t>格式要求进行签署、盖章。</w:t>
      </w:r>
      <w:r>
        <w:rPr>
          <w:rFonts w:ascii="Segoe UI Symbol" w:hAnsi="Segoe UI Symbol" w:cs="Segoe UI Symbol"/>
          <w:b/>
          <w:bCs/>
          <w:color w:val="auto"/>
          <w:highlight w:val="none"/>
        </w:rPr>
        <w:t>★</w:t>
      </w:r>
      <w:r>
        <w:rPr>
          <w:b/>
          <w:bCs/>
          <w:color w:val="auto"/>
          <w:highlight w:val="none"/>
        </w:rPr>
        <w:t>投标人的投标文件未按照招标文件要求签署、盖章的，其投标无效。</w:t>
      </w:r>
    </w:p>
    <w:p w14:paraId="17569043">
      <w:pPr>
        <w:widowControl w:val="0"/>
        <w:adjustRightInd w:val="0"/>
        <w:snapToGrid w:val="0"/>
        <w:spacing w:line="360" w:lineRule="auto"/>
        <w:ind w:firstLine="537" w:firstLineChars="224"/>
        <w:rPr>
          <w:color w:val="auto"/>
          <w:highlight w:val="none"/>
        </w:rPr>
      </w:pPr>
      <w:r>
        <w:rPr>
          <w:color w:val="auto"/>
          <w:highlight w:val="none"/>
        </w:rPr>
        <w:t>2.为确保网上操作合法、有效和安全，投标人应当在投标截止时间前完成在“政府采购云平台”的身份认证，确保在电子投标过程中能够对相关数据电文进行加密和使用电子签章。</w:t>
      </w:r>
    </w:p>
    <w:p w14:paraId="6EE90F16">
      <w:pPr>
        <w:widowControl w:val="0"/>
        <w:adjustRightInd w:val="0"/>
        <w:snapToGrid w:val="0"/>
        <w:spacing w:line="360" w:lineRule="auto"/>
        <w:ind w:firstLine="537" w:firstLineChars="224"/>
        <w:rPr>
          <w:color w:val="auto"/>
          <w:highlight w:val="none"/>
        </w:rPr>
      </w:pPr>
      <w:r>
        <w:rPr>
          <w:color w:val="auto"/>
          <w:highlight w:val="none"/>
        </w:rPr>
        <w:t>3.招标文件对投标文件签署、盖章的要求适用于电子签章。</w:t>
      </w:r>
    </w:p>
    <w:p w14:paraId="7DF4BA65">
      <w:pPr>
        <w:widowControl w:val="0"/>
        <w:adjustRightInd w:val="0"/>
        <w:snapToGrid w:val="0"/>
        <w:spacing w:line="360" w:lineRule="auto"/>
        <w:ind w:firstLine="537" w:firstLineChars="224"/>
        <w:rPr>
          <w:color w:val="auto"/>
          <w:highlight w:val="none"/>
        </w:rPr>
      </w:pPr>
      <w:bookmarkStart w:id="56" w:name="_Hlk93998502"/>
      <w:r>
        <w:rPr>
          <w:color w:val="auto"/>
          <w:highlight w:val="none"/>
        </w:rPr>
        <w:t>（八） 投标文件的提交、补充、修改、撤回</w:t>
      </w:r>
    </w:p>
    <w:p w14:paraId="309FBB30">
      <w:pPr>
        <w:widowControl w:val="0"/>
        <w:adjustRightInd w:val="0"/>
        <w:snapToGrid w:val="0"/>
        <w:spacing w:line="360" w:lineRule="auto"/>
        <w:ind w:firstLine="537" w:firstLineChars="224"/>
        <w:rPr>
          <w:color w:val="auto"/>
          <w:highlight w:val="none"/>
        </w:rPr>
      </w:pPr>
      <w:r>
        <w:rPr>
          <w:color w:val="auto"/>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DCFC12">
      <w:pPr>
        <w:widowControl w:val="0"/>
        <w:adjustRightInd w:val="0"/>
        <w:snapToGrid w:val="0"/>
        <w:spacing w:line="360" w:lineRule="auto"/>
        <w:ind w:firstLine="537" w:firstLineChars="224"/>
        <w:rPr>
          <w:color w:val="auto"/>
          <w:highlight w:val="none"/>
        </w:rPr>
      </w:pPr>
      <w:r>
        <w:rPr>
          <w:color w:val="auto"/>
          <w:highlight w:val="none"/>
        </w:rPr>
        <w:t>2.电子交易平台收到投标文件，将妥善保存并即时向供应商发出确认回执通知。在投标截止时间前，除供应商补充、修改或者撤回投标文件外，任何单位和个人不得解密或提取投标文件。</w:t>
      </w:r>
    </w:p>
    <w:p w14:paraId="0ABF445D">
      <w:pPr>
        <w:widowControl w:val="0"/>
        <w:adjustRightInd w:val="0"/>
        <w:snapToGrid w:val="0"/>
        <w:spacing w:line="360" w:lineRule="auto"/>
        <w:ind w:firstLine="537" w:firstLineChars="224"/>
        <w:rPr>
          <w:color w:val="auto"/>
          <w:highlight w:val="none"/>
        </w:rPr>
      </w:pPr>
      <w:r>
        <w:rPr>
          <w:color w:val="auto"/>
          <w:highlight w:val="none"/>
        </w:rPr>
        <w:t>3.采购人、采购代理机构可以视情况延长投标文件提交的截止时间。</w:t>
      </w:r>
    </w:p>
    <w:bookmarkEnd w:id="56"/>
    <w:p w14:paraId="66AE6725">
      <w:pPr>
        <w:widowControl w:val="0"/>
        <w:adjustRightInd w:val="0"/>
        <w:snapToGrid w:val="0"/>
        <w:spacing w:line="360" w:lineRule="auto"/>
        <w:ind w:firstLine="537" w:firstLineChars="224"/>
        <w:rPr>
          <w:color w:val="auto"/>
          <w:highlight w:val="none"/>
        </w:rPr>
      </w:pPr>
      <w:r>
        <w:rPr>
          <w:color w:val="auto"/>
          <w:highlight w:val="none"/>
        </w:rPr>
        <w:t>（九）备份投标文件</w:t>
      </w:r>
    </w:p>
    <w:p w14:paraId="4BB7DB98">
      <w:pPr>
        <w:widowControl w:val="0"/>
        <w:adjustRightInd w:val="0"/>
        <w:snapToGrid w:val="0"/>
        <w:spacing w:line="360" w:lineRule="auto"/>
        <w:ind w:firstLine="537" w:firstLineChars="224"/>
        <w:rPr>
          <w:b/>
          <w:bCs/>
          <w:color w:val="auto"/>
          <w:highlight w:val="none"/>
        </w:rPr>
      </w:pPr>
      <w:r>
        <w:rPr>
          <w:color w:val="auto"/>
          <w:highlight w:val="none"/>
        </w:rPr>
        <w:t>1.投标人在电子交易平台传输递交投标文件后，可自行选择</w:t>
      </w:r>
      <w:r>
        <w:rPr>
          <w:rFonts w:hint="eastAsia"/>
          <w:color w:val="auto"/>
          <w:highlight w:val="none"/>
        </w:rPr>
        <w:t>是否递交备份电子投标文件，递交事项详见前附表</w:t>
      </w:r>
      <w:r>
        <w:rPr>
          <w:color w:val="auto"/>
          <w:highlight w:val="none"/>
        </w:rPr>
        <w:t>。</w:t>
      </w:r>
      <w:r>
        <w:rPr>
          <w:b/>
          <w:bCs/>
          <w:color w:val="auto"/>
          <w:kern w:val="2"/>
          <w:highlight w:val="none"/>
        </w:rPr>
        <w:t>“电子备份投标文件”为非强制性要求，但如遇投标人未按时解密成功且未提供“电子备份投标文件”的，作投标无效处理，后果由投标人自负。</w:t>
      </w:r>
    </w:p>
    <w:p w14:paraId="6770384C">
      <w:pPr>
        <w:widowControl w:val="0"/>
        <w:adjustRightInd w:val="0"/>
        <w:snapToGrid w:val="0"/>
        <w:spacing w:line="360" w:lineRule="auto"/>
        <w:ind w:firstLine="540" w:firstLineChars="224"/>
        <w:rPr>
          <w:color w:val="auto"/>
          <w:highlight w:val="none"/>
        </w:rPr>
      </w:pPr>
      <w:r>
        <w:rPr>
          <w:b/>
          <w:color w:val="auto"/>
          <w:highlight w:val="none"/>
        </w:rPr>
        <w:t>2.投标人仅提交</w:t>
      </w:r>
      <w:r>
        <w:rPr>
          <w:rFonts w:hint="eastAsia"/>
          <w:b/>
          <w:color w:val="auto"/>
          <w:highlight w:val="none"/>
        </w:rPr>
        <w:t>电子</w:t>
      </w:r>
      <w:r>
        <w:rPr>
          <w:b/>
          <w:color w:val="auto"/>
          <w:highlight w:val="none"/>
        </w:rPr>
        <w:t>备份投标文件，没有在电子交易平台传输递交投标文件的，投标无效。</w:t>
      </w:r>
    </w:p>
    <w:p w14:paraId="572CB2E5">
      <w:pPr>
        <w:widowControl w:val="0"/>
        <w:adjustRightInd w:val="0"/>
        <w:snapToGrid w:val="0"/>
        <w:spacing w:line="360" w:lineRule="auto"/>
        <w:ind w:firstLine="537" w:firstLineChars="224"/>
        <w:rPr>
          <w:color w:val="auto"/>
          <w:highlight w:val="none"/>
        </w:rPr>
      </w:pPr>
      <w:r>
        <w:rPr>
          <w:color w:val="auto"/>
          <w:highlight w:val="none"/>
        </w:rPr>
        <w:t>（十）投标有效期</w:t>
      </w:r>
    </w:p>
    <w:p w14:paraId="68D7DB9F">
      <w:pPr>
        <w:widowControl w:val="0"/>
        <w:adjustRightInd w:val="0"/>
        <w:snapToGrid w:val="0"/>
        <w:spacing w:line="360" w:lineRule="auto"/>
        <w:ind w:firstLine="537" w:firstLineChars="224"/>
        <w:rPr>
          <w:color w:val="auto"/>
          <w:highlight w:val="none"/>
        </w:rPr>
      </w:pPr>
      <w:r>
        <w:rPr>
          <w:color w:val="auto"/>
          <w:highlight w:val="none"/>
        </w:rPr>
        <w:t>1.自投标截止日起90天投标文件应保持有效。</w:t>
      </w:r>
      <w:r>
        <w:rPr>
          <w:b/>
          <w:color w:val="auto"/>
          <w:highlight w:val="none"/>
        </w:rPr>
        <w:t>投标人的投标文件中承诺的投标有效期少于招标文件中载明的投标有效期的，投标无效。</w:t>
      </w:r>
    </w:p>
    <w:p w14:paraId="3C115A33">
      <w:pPr>
        <w:snapToGrid w:val="0"/>
        <w:spacing w:line="360" w:lineRule="auto"/>
        <w:ind w:firstLine="480" w:firstLineChars="200"/>
        <w:rPr>
          <w:color w:val="auto"/>
          <w:highlight w:val="none"/>
        </w:rPr>
      </w:pPr>
      <w:r>
        <w:rPr>
          <w:color w:val="auto"/>
          <w:highlight w:val="none"/>
        </w:rPr>
        <w:t>2.投标文件合格投递后，自投标截止日期起，在投标有效期内有效。</w:t>
      </w:r>
    </w:p>
    <w:p w14:paraId="00BE1E8A">
      <w:pPr>
        <w:snapToGrid w:val="0"/>
        <w:spacing w:line="360" w:lineRule="auto"/>
        <w:ind w:firstLine="480" w:firstLineChars="200"/>
        <w:rPr>
          <w:color w:val="auto"/>
          <w:highlight w:val="none"/>
        </w:rPr>
      </w:pPr>
      <w:r>
        <w:rPr>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18A6369A">
      <w:pPr>
        <w:widowControl w:val="0"/>
        <w:adjustRightInd w:val="0"/>
        <w:snapToGrid w:val="0"/>
        <w:spacing w:line="360" w:lineRule="auto"/>
        <w:ind w:firstLine="540" w:firstLineChars="224"/>
        <w:rPr>
          <w:b/>
          <w:bCs/>
          <w:color w:val="auto"/>
          <w:highlight w:val="none"/>
        </w:rPr>
      </w:pPr>
      <w:r>
        <w:rPr>
          <w:b/>
          <w:bCs/>
          <w:color w:val="auto"/>
          <w:highlight w:val="none"/>
        </w:rPr>
        <w:t>（十一）投标无效的情形</w:t>
      </w:r>
    </w:p>
    <w:p w14:paraId="3B897AB4">
      <w:pPr>
        <w:pStyle w:val="20"/>
        <w:snapToGrid w:val="0"/>
        <w:spacing w:line="360" w:lineRule="auto"/>
        <w:ind w:firstLine="470" w:firstLineChars="196"/>
        <w:rPr>
          <w:rFonts w:eastAsia="宋体"/>
          <w:color w:val="auto"/>
          <w:highlight w:val="none"/>
        </w:rPr>
      </w:pPr>
      <w:r>
        <w:rPr>
          <w:rFonts w:eastAsia="宋体"/>
          <w:color w:val="auto"/>
          <w:highlight w:val="none"/>
        </w:rPr>
        <w:t>1.投标人不具备招标文件中规定的资格要求的（投标人未提供有效的资格文件的，视为投标人不具备招标文件中规定的资格要求）；</w:t>
      </w:r>
    </w:p>
    <w:p w14:paraId="243518AE">
      <w:pPr>
        <w:pStyle w:val="20"/>
        <w:snapToGrid w:val="0"/>
        <w:spacing w:line="360" w:lineRule="auto"/>
        <w:ind w:firstLine="470" w:firstLineChars="196"/>
        <w:rPr>
          <w:rFonts w:eastAsia="宋体"/>
          <w:color w:val="auto"/>
          <w:highlight w:val="none"/>
        </w:rPr>
      </w:pPr>
      <w:r>
        <w:rPr>
          <w:rFonts w:eastAsia="宋体"/>
          <w:color w:val="auto"/>
          <w:highlight w:val="none"/>
        </w:rPr>
        <w:t>2.投标人仅提交备份投标文件，没有在电子交易平台传输递交投标文件的；</w:t>
      </w:r>
    </w:p>
    <w:p w14:paraId="24009FBB">
      <w:pPr>
        <w:pStyle w:val="20"/>
        <w:snapToGrid w:val="0"/>
        <w:spacing w:line="360" w:lineRule="auto"/>
        <w:ind w:firstLine="470" w:firstLineChars="196"/>
        <w:rPr>
          <w:rFonts w:eastAsia="宋体"/>
          <w:color w:val="auto"/>
          <w:highlight w:val="none"/>
        </w:rPr>
      </w:pPr>
      <w:r>
        <w:rPr>
          <w:rFonts w:eastAsia="宋体"/>
          <w:color w:val="auto"/>
          <w:highlight w:val="none"/>
        </w:rPr>
        <w:t>3.投标文件未按照招标文件要求签署、盖章的；</w:t>
      </w:r>
    </w:p>
    <w:p w14:paraId="46FC9E94">
      <w:pPr>
        <w:pStyle w:val="20"/>
        <w:snapToGrid w:val="0"/>
        <w:spacing w:line="360" w:lineRule="auto"/>
        <w:ind w:firstLine="470" w:firstLineChars="196"/>
        <w:rPr>
          <w:rFonts w:eastAsia="宋体"/>
          <w:color w:val="auto"/>
          <w:highlight w:val="none"/>
        </w:rPr>
      </w:pPr>
      <w:r>
        <w:rPr>
          <w:rFonts w:eastAsia="宋体"/>
          <w:color w:val="auto"/>
          <w:highlight w:val="none"/>
        </w:rPr>
        <w:t>4.投标文件不满足招标文件的实质性要求的；</w:t>
      </w:r>
    </w:p>
    <w:p w14:paraId="645C5ED8">
      <w:pPr>
        <w:pStyle w:val="20"/>
        <w:snapToGrid w:val="0"/>
        <w:spacing w:line="360" w:lineRule="auto"/>
        <w:ind w:firstLine="470" w:firstLineChars="196"/>
        <w:rPr>
          <w:rFonts w:eastAsia="宋体"/>
          <w:color w:val="auto"/>
          <w:highlight w:val="none"/>
        </w:rPr>
      </w:pPr>
      <w:r>
        <w:rPr>
          <w:rFonts w:eastAsia="宋体"/>
          <w:color w:val="auto"/>
          <w:highlight w:val="none"/>
        </w:rPr>
        <w:t>5.允许偏离的技术、性能指标或者辅助功能项目发生负偏离与招标文件的要求存在差异并严重影响项目实施的，经评标委员会集体（少数服从多数原则）认定确属的；</w:t>
      </w:r>
    </w:p>
    <w:p w14:paraId="46AF5E75">
      <w:pPr>
        <w:pStyle w:val="20"/>
        <w:snapToGrid w:val="0"/>
        <w:spacing w:line="360" w:lineRule="auto"/>
        <w:ind w:firstLine="470" w:firstLineChars="196"/>
        <w:rPr>
          <w:rFonts w:eastAsia="宋体"/>
          <w:color w:val="auto"/>
          <w:highlight w:val="none"/>
        </w:rPr>
      </w:pPr>
      <w:r>
        <w:rPr>
          <w:rFonts w:eastAsia="宋体"/>
          <w:color w:val="auto"/>
          <w:highlight w:val="none"/>
        </w:rPr>
        <w:t>6.投标方案不明确，存在一个或一个以上备选（替代）投标方案的；</w:t>
      </w:r>
    </w:p>
    <w:p w14:paraId="50C78E1D">
      <w:pPr>
        <w:pStyle w:val="20"/>
        <w:snapToGrid w:val="0"/>
        <w:spacing w:line="360" w:lineRule="auto"/>
        <w:ind w:firstLine="470" w:firstLineChars="196"/>
        <w:rPr>
          <w:rFonts w:eastAsia="宋体"/>
          <w:color w:val="auto"/>
          <w:highlight w:val="none"/>
        </w:rPr>
      </w:pPr>
      <w:r>
        <w:rPr>
          <w:rFonts w:eastAsia="宋体"/>
          <w:color w:val="auto"/>
          <w:highlight w:val="none"/>
        </w:rPr>
        <w:t>7.投标人提供虚假材料投标的；（包括中标后发现的）</w:t>
      </w:r>
    </w:p>
    <w:p w14:paraId="12A3BFB0">
      <w:pPr>
        <w:pStyle w:val="20"/>
        <w:snapToGrid w:val="0"/>
        <w:spacing w:line="360" w:lineRule="auto"/>
        <w:ind w:firstLine="470" w:firstLineChars="196"/>
        <w:rPr>
          <w:rFonts w:eastAsia="宋体"/>
          <w:color w:val="auto"/>
          <w:highlight w:val="none"/>
        </w:rPr>
      </w:pPr>
      <w:r>
        <w:rPr>
          <w:rFonts w:eastAsia="宋体"/>
          <w:color w:val="auto"/>
          <w:highlight w:val="none"/>
        </w:rPr>
        <w:t>8.投标文件有采购人不能接受的附加条件的；</w:t>
      </w:r>
    </w:p>
    <w:p w14:paraId="2EFD6B8D">
      <w:pPr>
        <w:pStyle w:val="20"/>
        <w:snapToGrid w:val="0"/>
        <w:spacing w:line="360" w:lineRule="auto"/>
        <w:ind w:firstLine="470" w:firstLineChars="196"/>
        <w:rPr>
          <w:rFonts w:eastAsia="宋体"/>
          <w:color w:val="auto"/>
          <w:highlight w:val="none"/>
        </w:rPr>
      </w:pPr>
      <w:r>
        <w:rPr>
          <w:rFonts w:eastAsia="宋体"/>
          <w:color w:val="auto"/>
          <w:highlight w:val="none"/>
        </w:rPr>
        <w:t>9.资格文件或技术资信文件中包含有本次投标报价内容的；</w:t>
      </w:r>
    </w:p>
    <w:p w14:paraId="4B13C4EE">
      <w:pPr>
        <w:pStyle w:val="20"/>
        <w:snapToGrid w:val="0"/>
        <w:spacing w:line="360" w:lineRule="auto"/>
        <w:ind w:firstLine="470" w:firstLineChars="196"/>
        <w:rPr>
          <w:rFonts w:eastAsia="宋体"/>
          <w:color w:val="auto"/>
          <w:highlight w:val="none"/>
        </w:rPr>
      </w:pPr>
      <w:r>
        <w:rPr>
          <w:rFonts w:eastAsia="宋体"/>
          <w:color w:val="auto"/>
          <w:highlight w:val="none"/>
        </w:rPr>
        <w:t>10.投标报价未按照招标文件标明报价口径进行报价的；</w:t>
      </w:r>
    </w:p>
    <w:p w14:paraId="5076CDF4">
      <w:pPr>
        <w:pStyle w:val="20"/>
        <w:snapToGrid w:val="0"/>
        <w:spacing w:line="360" w:lineRule="auto"/>
        <w:ind w:firstLine="470" w:firstLineChars="196"/>
        <w:rPr>
          <w:rFonts w:eastAsia="宋体"/>
          <w:color w:val="auto"/>
          <w:highlight w:val="none"/>
        </w:rPr>
      </w:pPr>
      <w:r>
        <w:rPr>
          <w:rFonts w:eastAsia="宋体"/>
          <w:color w:val="auto"/>
          <w:highlight w:val="none"/>
        </w:rPr>
        <w:t>11.投标报价超出最高限价</w:t>
      </w:r>
      <w:r>
        <w:rPr>
          <w:rFonts w:hint="eastAsia"/>
          <w:color w:val="auto"/>
          <w:highlight w:val="none"/>
        </w:rPr>
        <w:t>和单价限价（如有）</w:t>
      </w:r>
      <w:r>
        <w:rPr>
          <w:rFonts w:eastAsia="宋体"/>
          <w:color w:val="auto"/>
          <w:highlight w:val="none"/>
        </w:rPr>
        <w:t>，或者超出采购预算金额，采购人不能支付的；</w:t>
      </w:r>
    </w:p>
    <w:p w14:paraId="78C7EE44">
      <w:pPr>
        <w:pStyle w:val="20"/>
        <w:snapToGrid w:val="0"/>
        <w:spacing w:line="360" w:lineRule="auto"/>
        <w:rPr>
          <w:rFonts w:eastAsia="宋体"/>
          <w:color w:val="auto"/>
          <w:highlight w:val="none"/>
        </w:rPr>
      </w:pPr>
      <w:r>
        <w:rPr>
          <w:rFonts w:eastAsia="宋体"/>
          <w:color w:val="auto"/>
          <w:highlight w:val="none"/>
        </w:rPr>
        <w:t>12.投标报价具有选择性，投标人在一套投标文件中对同一项目有二个或多个报价，且未声明哪个有效的；</w:t>
      </w:r>
    </w:p>
    <w:p w14:paraId="290CA4BC">
      <w:pPr>
        <w:pStyle w:val="20"/>
        <w:snapToGrid w:val="0"/>
        <w:spacing w:line="360" w:lineRule="auto"/>
        <w:rPr>
          <w:rFonts w:eastAsia="宋体"/>
          <w:color w:val="auto"/>
          <w:highlight w:val="none"/>
        </w:rPr>
      </w:pPr>
      <w:r>
        <w:rPr>
          <w:rFonts w:eastAsia="宋体"/>
          <w:color w:val="auto"/>
          <w:highlight w:val="none"/>
        </w:rPr>
        <w:t>13.投标报价出现计算或表达上的错误，投标人拒绝修正的；</w:t>
      </w:r>
    </w:p>
    <w:p w14:paraId="651887DA">
      <w:pPr>
        <w:pStyle w:val="20"/>
        <w:snapToGrid w:val="0"/>
        <w:spacing w:line="360" w:lineRule="auto"/>
        <w:rPr>
          <w:rFonts w:eastAsia="宋体"/>
          <w:color w:val="auto"/>
          <w:highlight w:val="none"/>
        </w:rPr>
      </w:pPr>
      <w:r>
        <w:rPr>
          <w:rFonts w:eastAsia="宋体"/>
          <w:color w:val="auto"/>
          <w:highlight w:val="none"/>
        </w:rPr>
        <w:t>14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7920A1F0">
      <w:pPr>
        <w:pStyle w:val="20"/>
        <w:snapToGrid w:val="0"/>
        <w:spacing w:line="360" w:lineRule="auto"/>
        <w:rPr>
          <w:rFonts w:eastAsia="宋体"/>
          <w:color w:val="auto"/>
          <w:highlight w:val="none"/>
        </w:rPr>
      </w:pPr>
      <w:r>
        <w:rPr>
          <w:rFonts w:eastAsia="宋体"/>
          <w:color w:val="auto"/>
          <w:highlight w:val="none"/>
        </w:rPr>
        <w:t>15.</w:t>
      </w:r>
      <w:r>
        <w:rPr>
          <w:rFonts w:hint="eastAsia" w:eastAsia="宋体"/>
          <w:color w:val="auto"/>
          <w:highlight w:val="none"/>
        </w:rPr>
        <w:t>不符合法律、法规规定的其他要求的；</w:t>
      </w:r>
    </w:p>
    <w:p w14:paraId="73F17C08">
      <w:pPr>
        <w:pStyle w:val="20"/>
        <w:snapToGrid w:val="0"/>
        <w:spacing w:line="360" w:lineRule="auto"/>
        <w:rPr>
          <w:rFonts w:eastAsia="宋体"/>
          <w:color w:val="auto"/>
          <w:highlight w:val="none"/>
        </w:rPr>
      </w:pPr>
      <w:r>
        <w:rPr>
          <w:rFonts w:eastAsia="宋体"/>
          <w:color w:val="auto"/>
          <w:highlight w:val="none"/>
        </w:rPr>
        <w:t>16.</w:t>
      </w:r>
      <w:r>
        <w:rPr>
          <w:rFonts w:hint="eastAsia" w:eastAsia="宋体"/>
          <w:color w:val="auto"/>
          <w:highlight w:val="none"/>
        </w:rPr>
        <w:t>除政府采购法律法规规定的恶意串通、视同串通投标情形外，在不影响公平竞争的前提下，参与同一个标段</w:t>
      </w:r>
      <w:r>
        <w:rPr>
          <w:rFonts w:eastAsia="宋体"/>
          <w:color w:val="auto"/>
          <w:highlight w:val="none"/>
        </w:rPr>
        <w:t>(</w:t>
      </w:r>
      <w:r>
        <w:rPr>
          <w:rFonts w:hint="eastAsia" w:eastAsia="宋体"/>
          <w:color w:val="auto"/>
          <w:highlight w:val="none"/>
        </w:rPr>
        <w:t>包</w:t>
      </w:r>
      <w:r>
        <w:rPr>
          <w:rFonts w:eastAsia="宋体"/>
          <w:color w:val="auto"/>
          <w:highlight w:val="none"/>
        </w:rPr>
        <w:t>)</w:t>
      </w:r>
      <w:r>
        <w:rPr>
          <w:rFonts w:hint="eastAsia" w:eastAsia="宋体"/>
          <w:color w:val="auto"/>
          <w:highlight w:val="none"/>
        </w:rPr>
        <w:t>的供应商存在下列情形之一的，其投标</w:t>
      </w:r>
      <w:r>
        <w:rPr>
          <w:rFonts w:eastAsia="宋体"/>
          <w:color w:val="auto"/>
          <w:highlight w:val="none"/>
        </w:rPr>
        <w:t>(</w:t>
      </w:r>
      <w:r>
        <w:rPr>
          <w:rFonts w:hint="eastAsia" w:eastAsia="宋体"/>
          <w:color w:val="auto"/>
          <w:highlight w:val="none"/>
        </w:rPr>
        <w:t>响应</w:t>
      </w:r>
      <w:r>
        <w:rPr>
          <w:rFonts w:eastAsia="宋体"/>
          <w:color w:val="auto"/>
          <w:highlight w:val="none"/>
        </w:rPr>
        <w:t>)</w:t>
      </w:r>
      <w:r>
        <w:rPr>
          <w:rFonts w:hint="eastAsia" w:eastAsia="宋体"/>
          <w:color w:val="auto"/>
          <w:highlight w:val="none"/>
        </w:rPr>
        <w:t>文件无效：（</w:t>
      </w:r>
      <w:r>
        <w:rPr>
          <w:rFonts w:eastAsia="宋体"/>
          <w:color w:val="auto"/>
          <w:highlight w:val="none"/>
        </w:rPr>
        <w:t>1</w:t>
      </w:r>
      <w:r>
        <w:rPr>
          <w:rFonts w:hint="eastAsia" w:eastAsia="宋体"/>
          <w:color w:val="auto"/>
          <w:highlight w:val="none"/>
        </w:rPr>
        <w:t>）不同供应商制作电子投标</w:t>
      </w:r>
      <w:r>
        <w:rPr>
          <w:rFonts w:eastAsia="宋体"/>
          <w:color w:val="auto"/>
          <w:highlight w:val="none"/>
        </w:rPr>
        <w:t>(</w:t>
      </w:r>
      <w:r>
        <w:rPr>
          <w:rFonts w:hint="eastAsia" w:eastAsia="宋体"/>
          <w:color w:val="auto"/>
          <w:highlight w:val="none"/>
        </w:rPr>
        <w:t>响应</w:t>
      </w:r>
      <w:r>
        <w:rPr>
          <w:rFonts w:eastAsia="宋体"/>
          <w:color w:val="auto"/>
          <w:highlight w:val="none"/>
        </w:rPr>
        <w:t>)</w:t>
      </w:r>
      <w:r>
        <w:rPr>
          <w:rFonts w:hint="eastAsia" w:eastAsia="宋体"/>
          <w:color w:val="auto"/>
          <w:highlight w:val="none"/>
        </w:rPr>
        <w:t>文件的计算机网卡</w:t>
      </w:r>
      <w:r>
        <w:rPr>
          <w:rFonts w:eastAsia="宋体"/>
          <w:color w:val="auto"/>
          <w:highlight w:val="none"/>
        </w:rPr>
        <w:t>MAC</w:t>
      </w:r>
      <w:r>
        <w:rPr>
          <w:rFonts w:hint="eastAsia" w:eastAsia="宋体"/>
          <w:color w:val="auto"/>
          <w:highlight w:val="none"/>
        </w:rPr>
        <w:t>地址相同的；（</w:t>
      </w:r>
      <w:r>
        <w:rPr>
          <w:rFonts w:eastAsia="宋体"/>
          <w:color w:val="auto"/>
          <w:highlight w:val="none"/>
        </w:rPr>
        <w:t>2</w:t>
      </w:r>
      <w:r>
        <w:rPr>
          <w:rFonts w:hint="eastAsia" w:eastAsia="宋体"/>
          <w:color w:val="auto"/>
          <w:highlight w:val="none"/>
        </w:rPr>
        <w:t>）不同供应商制作电子投标</w:t>
      </w:r>
      <w:r>
        <w:rPr>
          <w:rFonts w:eastAsia="宋体"/>
          <w:color w:val="auto"/>
          <w:highlight w:val="none"/>
        </w:rPr>
        <w:t>(</w:t>
      </w:r>
      <w:r>
        <w:rPr>
          <w:rFonts w:hint="eastAsia" w:eastAsia="宋体"/>
          <w:color w:val="auto"/>
          <w:highlight w:val="none"/>
        </w:rPr>
        <w:t>响应</w:t>
      </w:r>
      <w:r>
        <w:rPr>
          <w:rFonts w:eastAsia="宋体"/>
          <w:color w:val="auto"/>
          <w:highlight w:val="none"/>
        </w:rPr>
        <w:t>)</w:t>
      </w:r>
      <w:r>
        <w:rPr>
          <w:rFonts w:hint="eastAsia" w:eastAsia="宋体"/>
          <w:color w:val="auto"/>
          <w:highlight w:val="none"/>
        </w:rPr>
        <w:t>文件的计算机硬盘序列号相同的；（</w:t>
      </w:r>
      <w:r>
        <w:rPr>
          <w:rFonts w:eastAsia="宋体"/>
          <w:color w:val="auto"/>
          <w:highlight w:val="none"/>
        </w:rPr>
        <w:t>3</w:t>
      </w:r>
      <w:r>
        <w:rPr>
          <w:rFonts w:hint="eastAsia" w:eastAsia="宋体"/>
          <w:color w:val="auto"/>
          <w:highlight w:val="none"/>
        </w:rPr>
        <w:t>）不同供应商的投标</w:t>
      </w:r>
      <w:r>
        <w:rPr>
          <w:rFonts w:eastAsia="宋体"/>
          <w:color w:val="auto"/>
          <w:highlight w:val="none"/>
        </w:rPr>
        <w:t>(</w:t>
      </w:r>
      <w:r>
        <w:rPr>
          <w:rFonts w:hint="eastAsia" w:eastAsia="宋体"/>
          <w:color w:val="auto"/>
          <w:highlight w:val="none"/>
        </w:rPr>
        <w:t>响应</w:t>
      </w:r>
      <w:r>
        <w:rPr>
          <w:rFonts w:eastAsia="宋体"/>
          <w:color w:val="auto"/>
          <w:highlight w:val="none"/>
        </w:rPr>
        <w:t>)</w:t>
      </w:r>
      <w:r>
        <w:rPr>
          <w:rFonts w:hint="eastAsia" w:eastAsia="宋体"/>
          <w:color w:val="auto"/>
          <w:highlight w:val="none"/>
        </w:rPr>
        <w:t>文件的内容存在两处以上细节错误一致，且无法合理解释的。</w:t>
      </w:r>
    </w:p>
    <w:p w14:paraId="123024E3">
      <w:pPr>
        <w:pStyle w:val="20"/>
        <w:snapToGrid w:val="0"/>
        <w:spacing w:line="360" w:lineRule="auto"/>
        <w:ind w:firstLine="472" w:firstLineChars="196"/>
        <w:rPr>
          <w:rFonts w:eastAsia="宋体"/>
          <w:b/>
          <w:bCs/>
          <w:color w:val="auto"/>
          <w:highlight w:val="none"/>
        </w:rPr>
      </w:pPr>
      <w:r>
        <w:rPr>
          <w:rFonts w:eastAsia="宋体"/>
          <w:b/>
          <w:bCs/>
          <w:color w:val="auto"/>
          <w:highlight w:val="none"/>
        </w:rPr>
        <w:t>（十二）废标</w:t>
      </w:r>
    </w:p>
    <w:p w14:paraId="5C03D42E">
      <w:pPr>
        <w:pStyle w:val="20"/>
        <w:snapToGrid w:val="0"/>
        <w:spacing w:line="360" w:lineRule="auto"/>
        <w:rPr>
          <w:rFonts w:eastAsia="宋体"/>
          <w:color w:val="auto"/>
          <w:highlight w:val="none"/>
        </w:rPr>
      </w:pPr>
      <w:r>
        <w:rPr>
          <w:rFonts w:hint="eastAsia" w:eastAsia="宋体"/>
          <w:color w:val="auto"/>
          <w:highlight w:val="none"/>
        </w:rPr>
        <w:t>1</w:t>
      </w:r>
      <w:r>
        <w:rPr>
          <w:rFonts w:eastAsia="宋体"/>
          <w:color w:val="auto"/>
          <w:highlight w:val="none"/>
        </w:rPr>
        <w:t>.根据《中华人民共和国政府采购法》第三十六条之规定，在采购中，出现下列情形之一的，应予废标：</w:t>
      </w:r>
    </w:p>
    <w:p w14:paraId="19EFE000">
      <w:pPr>
        <w:pStyle w:val="20"/>
        <w:snapToGrid w:val="0"/>
        <w:spacing w:line="360" w:lineRule="auto"/>
        <w:rPr>
          <w:rFonts w:eastAsia="宋体"/>
          <w:color w:val="auto"/>
          <w:highlight w:val="none"/>
        </w:rPr>
      </w:pPr>
      <w:r>
        <w:rPr>
          <w:rFonts w:eastAsia="宋体"/>
          <w:color w:val="auto"/>
          <w:highlight w:val="none"/>
        </w:rPr>
        <w:t>1.1符合专业条件的供应商或者对招标文件作实质响应的供应商不足3家的；</w:t>
      </w:r>
    </w:p>
    <w:p w14:paraId="22711A12">
      <w:pPr>
        <w:pStyle w:val="20"/>
        <w:snapToGrid w:val="0"/>
        <w:spacing w:line="360" w:lineRule="auto"/>
        <w:rPr>
          <w:rFonts w:eastAsia="宋体"/>
          <w:color w:val="auto"/>
          <w:highlight w:val="none"/>
        </w:rPr>
      </w:pPr>
      <w:r>
        <w:rPr>
          <w:rFonts w:eastAsia="宋体"/>
          <w:color w:val="auto"/>
          <w:highlight w:val="none"/>
        </w:rPr>
        <w:t>1.2出现影响采购公正的违法、违规行为的；</w:t>
      </w:r>
    </w:p>
    <w:p w14:paraId="6801F59C">
      <w:pPr>
        <w:pStyle w:val="20"/>
        <w:snapToGrid w:val="0"/>
        <w:spacing w:line="360" w:lineRule="auto"/>
        <w:rPr>
          <w:rFonts w:eastAsia="宋体"/>
          <w:color w:val="auto"/>
          <w:highlight w:val="none"/>
        </w:rPr>
      </w:pPr>
      <w:r>
        <w:rPr>
          <w:rFonts w:eastAsia="宋体"/>
          <w:color w:val="auto"/>
          <w:highlight w:val="none"/>
        </w:rPr>
        <w:t>1.3投标人的报价均超过了采购预算，采购人不能支付的；</w:t>
      </w:r>
    </w:p>
    <w:p w14:paraId="2E38500B">
      <w:pPr>
        <w:pStyle w:val="20"/>
        <w:snapToGrid w:val="0"/>
        <w:spacing w:line="360" w:lineRule="auto"/>
        <w:rPr>
          <w:rFonts w:eastAsia="宋体"/>
          <w:color w:val="auto"/>
          <w:highlight w:val="none"/>
        </w:rPr>
      </w:pPr>
      <w:r>
        <w:rPr>
          <w:rFonts w:eastAsia="宋体"/>
          <w:color w:val="auto"/>
          <w:highlight w:val="none"/>
        </w:rPr>
        <w:t>1.4因重大变故，采购任务取消的。</w:t>
      </w:r>
    </w:p>
    <w:p w14:paraId="41637ED4">
      <w:pPr>
        <w:pStyle w:val="20"/>
        <w:snapToGrid w:val="0"/>
        <w:spacing w:line="360" w:lineRule="auto"/>
        <w:rPr>
          <w:rFonts w:eastAsia="宋体"/>
          <w:color w:val="auto"/>
          <w:highlight w:val="none"/>
        </w:rPr>
      </w:pPr>
      <w:r>
        <w:rPr>
          <w:rFonts w:eastAsia="宋体"/>
          <w:color w:val="auto"/>
          <w:highlight w:val="none"/>
        </w:rPr>
        <w:t>废标后，采购代理机构应当将废标理由通知所有投标人。</w:t>
      </w:r>
    </w:p>
    <w:p w14:paraId="210553C6">
      <w:pPr>
        <w:pStyle w:val="24"/>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2.除采购任务取消情形外，按照以下方式处理：</w:t>
      </w:r>
    </w:p>
    <w:p w14:paraId="646B94B7">
      <w:pPr>
        <w:pStyle w:val="24"/>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2.1招标文件存在不合理条款或者招标程序不符合规定的，改正后依法重新招标；</w:t>
      </w:r>
    </w:p>
    <w:p w14:paraId="0E351CC1">
      <w:pPr>
        <w:pStyle w:val="24"/>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2.2招标文件没有不合理条款、招标程序符合规定，需要采用其他采购方式采购的，采购人应当依法报财政部门批准。</w:t>
      </w:r>
    </w:p>
    <w:p w14:paraId="269CDDA6">
      <w:pPr>
        <w:pStyle w:val="20"/>
        <w:snapToGrid w:val="0"/>
        <w:spacing w:line="360" w:lineRule="auto"/>
        <w:ind w:firstLine="482"/>
        <w:rPr>
          <w:rFonts w:eastAsia="宋体"/>
          <w:b/>
          <w:bCs/>
          <w:color w:val="auto"/>
          <w:highlight w:val="none"/>
        </w:rPr>
      </w:pPr>
      <w:r>
        <w:rPr>
          <w:rFonts w:eastAsia="宋体"/>
          <w:b/>
          <w:bCs/>
          <w:color w:val="auto"/>
          <w:highlight w:val="none"/>
        </w:rPr>
        <w:t>（十三）修改招标文件，重新组织采购活动</w:t>
      </w:r>
    </w:p>
    <w:p w14:paraId="6AEFF25C">
      <w:pPr>
        <w:pStyle w:val="20"/>
        <w:snapToGrid w:val="0"/>
        <w:spacing w:line="360" w:lineRule="auto"/>
        <w:rPr>
          <w:rFonts w:eastAsia="宋体"/>
          <w:color w:val="auto"/>
          <w:highlight w:val="none"/>
        </w:rPr>
      </w:pPr>
      <w:r>
        <w:rPr>
          <w:rFonts w:eastAsia="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319116">
      <w:pPr>
        <w:pStyle w:val="20"/>
        <w:snapToGrid w:val="0"/>
        <w:spacing w:line="360" w:lineRule="auto"/>
        <w:ind w:firstLine="590" w:firstLineChars="245"/>
        <w:rPr>
          <w:rFonts w:eastAsia="宋体"/>
          <w:b/>
          <w:color w:val="auto"/>
          <w:highlight w:val="none"/>
        </w:rPr>
      </w:pPr>
      <w:r>
        <w:rPr>
          <w:rFonts w:eastAsia="宋体"/>
          <w:b/>
          <w:bCs/>
          <w:color w:val="auto"/>
          <w:highlight w:val="none"/>
        </w:rPr>
        <w:t>（十四）重新开展采购</w:t>
      </w:r>
    </w:p>
    <w:p w14:paraId="1297AE92">
      <w:pPr>
        <w:pStyle w:val="20"/>
        <w:snapToGrid w:val="0"/>
        <w:spacing w:line="360" w:lineRule="auto"/>
        <w:rPr>
          <w:rFonts w:eastAsia="宋体"/>
          <w:color w:val="auto"/>
          <w:highlight w:val="none"/>
        </w:rPr>
      </w:pPr>
      <w:r>
        <w:rPr>
          <w:rFonts w:eastAsia="宋体"/>
          <w:color w:val="auto"/>
          <w:highlight w:val="none"/>
        </w:rPr>
        <w:t>有政府采购法第七十一条、第七十二条规定的违法行为之一，影响或者可能影响中标、成交结果的，依照下列规定处理：</w:t>
      </w:r>
    </w:p>
    <w:p w14:paraId="6010C5A5">
      <w:pPr>
        <w:pStyle w:val="20"/>
        <w:snapToGrid w:val="0"/>
        <w:spacing w:line="360" w:lineRule="auto"/>
        <w:rPr>
          <w:rFonts w:eastAsia="宋体"/>
          <w:color w:val="auto"/>
          <w:highlight w:val="none"/>
        </w:rPr>
      </w:pPr>
      <w:r>
        <w:rPr>
          <w:rFonts w:eastAsia="宋体"/>
          <w:color w:val="auto"/>
          <w:highlight w:val="none"/>
        </w:rPr>
        <w:t>1.未确定中标或者中标人的，终止本次政府采购活动，重新开展政府采购活动。</w:t>
      </w:r>
    </w:p>
    <w:p w14:paraId="7E7B2407">
      <w:pPr>
        <w:pStyle w:val="20"/>
        <w:snapToGrid w:val="0"/>
        <w:spacing w:line="360" w:lineRule="auto"/>
        <w:rPr>
          <w:rFonts w:eastAsia="宋体"/>
          <w:color w:val="auto"/>
          <w:highlight w:val="none"/>
        </w:rPr>
      </w:pPr>
      <w:r>
        <w:rPr>
          <w:rFonts w:eastAsia="宋体"/>
          <w:color w:val="auto"/>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55221F9F">
      <w:pPr>
        <w:pStyle w:val="20"/>
        <w:snapToGrid w:val="0"/>
        <w:spacing w:line="360" w:lineRule="auto"/>
        <w:rPr>
          <w:rFonts w:eastAsia="宋体"/>
          <w:color w:val="auto"/>
          <w:highlight w:val="none"/>
        </w:rPr>
      </w:pPr>
      <w:r>
        <w:rPr>
          <w:rFonts w:eastAsia="宋体"/>
          <w:color w:val="auto"/>
          <w:highlight w:val="none"/>
        </w:rPr>
        <w:t>3.政府采购合同已签订但尚未履行的，撤销合同，从合格的中标或者成交候选人中另行确定中标或者中标人；没有合格的中标或者成交候选人的，重新开展政府采购活动。</w:t>
      </w:r>
    </w:p>
    <w:p w14:paraId="1923F300">
      <w:pPr>
        <w:pStyle w:val="20"/>
        <w:snapToGrid w:val="0"/>
        <w:spacing w:line="360" w:lineRule="auto"/>
        <w:rPr>
          <w:rFonts w:eastAsia="宋体"/>
          <w:color w:val="auto"/>
          <w:highlight w:val="none"/>
        </w:rPr>
      </w:pPr>
      <w:r>
        <w:rPr>
          <w:rFonts w:eastAsia="宋体"/>
          <w:color w:val="auto"/>
          <w:highlight w:val="none"/>
        </w:rPr>
        <w:t>4.政府采购合同已经履行，给采购人、供应商造成损失的，由责任人承担赔偿责任。</w:t>
      </w:r>
    </w:p>
    <w:p w14:paraId="132E117B">
      <w:pPr>
        <w:pStyle w:val="20"/>
        <w:snapToGrid w:val="0"/>
        <w:spacing w:line="360" w:lineRule="auto"/>
        <w:rPr>
          <w:rFonts w:eastAsia="宋体"/>
          <w:color w:val="auto"/>
          <w:highlight w:val="none"/>
        </w:rPr>
      </w:pPr>
      <w:r>
        <w:rPr>
          <w:rFonts w:eastAsia="宋体"/>
          <w:color w:val="auto"/>
          <w:highlight w:val="none"/>
        </w:rPr>
        <w:t>5.政府采购当事人有其他违反政府采购法或者政府采购法实施条例等法律法规规定的行为，经改正后仍然影响或者可能影响中标、成交结果或者依法被认定为中标、成交无效的，依照1-4规定处理。</w:t>
      </w:r>
    </w:p>
    <w:p w14:paraId="69616449">
      <w:pPr>
        <w:pStyle w:val="20"/>
        <w:snapToGrid w:val="0"/>
        <w:spacing w:line="360" w:lineRule="auto"/>
        <w:ind w:firstLine="482"/>
        <w:rPr>
          <w:rFonts w:eastAsia="宋体"/>
          <w:b/>
          <w:bCs/>
          <w:color w:val="auto"/>
          <w:highlight w:val="none"/>
        </w:rPr>
      </w:pPr>
      <w:r>
        <w:rPr>
          <w:rFonts w:eastAsia="宋体"/>
          <w:b/>
          <w:bCs/>
          <w:color w:val="auto"/>
          <w:highlight w:val="none"/>
        </w:rPr>
        <w:t>四、开标</w:t>
      </w:r>
    </w:p>
    <w:p w14:paraId="58514518">
      <w:pPr>
        <w:pStyle w:val="20"/>
        <w:snapToGrid w:val="0"/>
        <w:spacing w:line="360" w:lineRule="auto"/>
        <w:rPr>
          <w:rFonts w:eastAsia="宋体"/>
          <w:color w:val="auto"/>
          <w:highlight w:val="none"/>
        </w:rPr>
      </w:pPr>
      <w:r>
        <w:rPr>
          <w:rFonts w:eastAsia="宋体"/>
          <w:color w:val="auto"/>
          <w:highlight w:val="none"/>
        </w:rPr>
        <w:t>1.采购代理机构按照招标文件规定的时间通过电子交易平台组织开标，所有投标人均应当准时在线参加。投标人不足3家的，不得开标。</w:t>
      </w:r>
    </w:p>
    <w:p w14:paraId="40D49E3C">
      <w:pPr>
        <w:pStyle w:val="20"/>
        <w:snapToGrid w:val="0"/>
        <w:spacing w:line="360" w:lineRule="auto"/>
        <w:rPr>
          <w:rFonts w:eastAsia="宋体"/>
          <w:color w:val="auto"/>
          <w:highlight w:val="none"/>
        </w:rPr>
      </w:pPr>
      <w:r>
        <w:rPr>
          <w:rFonts w:eastAsia="宋体"/>
          <w:color w:val="auto"/>
          <w:highlight w:val="none"/>
        </w:rPr>
        <w:t>2.开标时，电子交易平台按开标时间自动提取所有投标文件。采购代理机构依托电子交易平台发起开始解密指令，投标人按照平台提示和招标文件的规定在半小时内完成在线解密。</w:t>
      </w:r>
    </w:p>
    <w:p w14:paraId="37C72895">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3.投标文件未按时解密，投标人提供了备份投标文件的，以备份投标文件作为依据，否则视为投标文件撤回。投标文件已按时解密的，备份投标文件自动失效。</w:t>
      </w:r>
    </w:p>
    <w:p w14:paraId="6E6CAC3A">
      <w:pPr>
        <w:pStyle w:val="24"/>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五、评标</w:t>
      </w:r>
    </w:p>
    <w:p w14:paraId="5A180D94">
      <w:pPr>
        <w:pStyle w:val="24"/>
        <w:widowControl w:val="0"/>
        <w:snapToGrid w:val="0"/>
        <w:spacing w:before="0" w:beforeAutospacing="0" w:after="0" w:afterAutospacing="0" w:line="360" w:lineRule="auto"/>
        <w:ind w:firstLine="477" w:firstLineChars="199"/>
        <w:rPr>
          <w:rFonts w:ascii="Times New Roman" w:hAnsi="Times New Roman"/>
          <w:b/>
          <w:bCs/>
          <w:color w:val="auto"/>
          <w:highlight w:val="none"/>
        </w:rPr>
      </w:pPr>
      <w:r>
        <w:rPr>
          <w:rFonts w:ascii="Times New Roman" w:hAnsi="Times New Roman"/>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imes New Roman" w:hAnsi="Times New Roman"/>
          <w:b/>
          <w:bCs/>
          <w:color w:val="auto"/>
          <w:highlight w:val="none"/>
        </w:rPr>
        <w:t>详见招标文件第</w:t>
      </w:r>
      <w:r>
        <w:rPr>
          <w:rFonts w:hint="eastAsia" w:ascii="Times New Roman" w:hAnsi="Times New Roman"/>
          <w:b/>
          <w:bCs/>
          <w:color w:val="auto"/>
          <w:highlight w:val="none"/>
        </w:rPr>
        <w:t>五章</w:t>
      </w:r>
      <w:r>
        <w:rPr>
          <w:rFonts w:ascii="Times New Roman" w:hAnsi="Times New Roman"/>
          <w:b/>
          <w:bCs/>
          <w:color w:val="auto"/>
          <w:highlight w:val="none"/>
        </w:rPr>
        <w:t>评标办法。</w:t>
      </w:r>
    </w:p>
    <w:p w14:paraId="67CDBECE">
      <w:pPr>
        <w:pStyle w:val="24"/>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六、定标</w:t>
      </w:r>
    </w:p>
    <w:p w14:paraId="5B1DCF15">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1.确定中标人</w:t>
      </w:r>
    </w:p>
    <w:p w14:paraId="219E4833">
      <w:pPr>
        <w:widowControl w:val="0"/>
        <w:adjustRightInd w:val="0"/>
        <w:snapToGrid w:val="0"/>
        <w:spacing w:line="360" w:lineRule="auto"/>
        <w:ind w:firstLine="435"/>
        <w:jc w:val="both"/>
        <w:rPr>
          <w:color w:val="auto"/>
          <w:kern w:val="2"/>
          <w:highlight w:val="none"/>
        </w:rPr>
      </w:pPr>
      <w:r>
        <w:rPr>
          <w:color w:val="auto"/>
          <w:kern w:val="2"/>
          <w:highlight w:val="none"/>
        </w:rPr>
        <w:t>1.1评标委员会将根据综合得分由高到低排序推荐中标候选人。</w:t>
      </w:r>
    </w:p>
    <w:p w14:paraId="504491C3">
      <w:pPr>
        <w:widowControl w:val="0"/>
        <w:adjustRightInd w:val="0"/>
        <w:snapToGrid w:val="0"/>
        <w:spacing w:line="360" w:lineRule="auto"/>
        <w:ind w:firstLine="435"/>
        <w:jc w:val="both"/>
        <w:rPr>
          <w:color w:val="auto"/>
          <w:kern w:val="2"/>
          <w:highlight w:val="none"/>
        </w:rPr>
      </w:pPr>
      <w:r>
        <w:rPr>
          <w:color w:val="auto"/>
          <w:highlight w:val="none"/>
        </w:rPr>
        <w:t>1.2采购人自收到评审报告之日起5个工作日内通过电子交易平台在评审报告推荐的中标候选人中按顺序确定中标人。</w:t>
      </w:r>
    </w:p>
    <w:p w14:paraId="7198B962">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2.中标通知书与中标结果公告</w:t>
      </w:r>
    </w:p>
    <w:p w14:paraId="0B0CD2C0">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2.1自中标人确定之日起2个工作日内，采购代理机构在省级及以上财政部门指定媒体上发布采购结果公告。同时，采购代理机构也以书面形式发出中标通知书。</w:t>
      </w:r>
    </w:p>
    <w:p w14:paraId="05FDC3D4">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2.2公告期限为1个工作日。</w:t>
      </w:r>
    </w:p>
    <w:p w14:paraId="734E58B4">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2.3《中标通知书》一经发出即产生法律效力，采购人改变中标结果或中标人放弃中标的，应当依法承担法律责任。</w:t>
      </w:r>
    </w:p>
    <w:p w14:paraId="1FADF68A">
      <w:pPr>
        <w:pStyle w:val="24"/>
        <w:widowControl w:val="0"/>
        <w:snapToGrid w:val="0"/>
        <w:spacing w:before="0" w:beforeAutospacing="0" w:after="0" w:afterAutospacing="0" w:line="360" w:lineRule="auto"/>
        <w:ind w:firstLine="479" w:firstLineChars="199"/>
        <w:rPr>
          <w:rFonts w:ascii="Times New Roman" w:hAnsi="Times New Roman"/>
          <w:b/>
          <w:bCs/>
          <w:color w:val="auto"/>
          <w:highlight w:val="none"/>
        </w:rPr>
      </w:pPr>
      <w:r>
        <w:rPr>
          <w:rFonts w:ascii="Times New Roman" w:hAnsi="Times New Roman"/>
          <w:b/>
          <w:bCs/>
          <w:color w:val="auto"/>
          <w:highlight w:val="none"/>
        </w:rPr>
        <w:t>七、合同授予</w:t>
      </w:r>
    </w:p>
    <w:p w14:paraId="6FD7DD6D">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1.合同的签订</w:t>
      </w:r>
    </w:p>
    <w:p w14:paraId="4756A1DF">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618CCAD7">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1.2中标人按规定的日期、时间、地点，由法定代表人或其授权代表与采购人代表签订合同。如成交人为联合体的，由联合体成员各方法定代表人或其授权代表与采购人代表签订合同。</w:t>
      </w:r>
    </w:p>
    <w:p w14:paraId="714E8A58">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1.3如签订合同并生效后，供应商无故拒绝或延期，除按照合同条款处理外，列入不良行为记录一次，并给予通报。</w:t>
      </w:r>
    </w:p>
    <w:p w14:paraId="6D1E55EA">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1.4中标人拒绝与采购人签订合同的，采购人可以按照评审报告推荐的中标或者成交候选人名单排序，确定下一候选人为中标人，也可以重新开展政府采购活动。</w:t>
      </w:r>
    </w:p>
    <w:p w14:paraId="3FD2ED44">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5</w:t>
      </w:r>
      <w:r>
        <w:rPr>
          <w:rFonts w:hint="eastAsia" w:ascii="Times New Roman" w:hAnsi="Times New Roman"/>
          <w:color w:val="auto"/>
          <w:highlight w:val="none"/>
        </w:rPr>
        <w:t>政府采购货物和服务项目不得收取质量保证金。政府采购工程以及与工程建设有关的货物、服务，采用招标方式采购的，按国家和省有关规定执行。</w:t>
      </w:r>
    </w:p>
    <w:p w14:paraId="19E51BE7">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1.6招标文件、投标文件、投标人作出的承诺及其澄清文件、中标通知书等，均为合同的组成部分。</w:t>
      </w:r>
    </w:p>
    <w:p w14:paraId="056C2A5D">
      <w:pPr>
        <w:pStyle w:val="24"/>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2.履约保证金</w:t>
      </w:r>
    </w:p>
    <w:p w14:paraId="21A1E32A">
      <w:pPr>
        <w:pStyle w:val="24"/>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2.1</w:t>
      </w:r>
      <w:r>
        <w:rPr>
          <w:rFonts w:hint="eastAsia" w:ascii="Times New Roman" w:hAnsi="Times New Roman"/>
          <w:color w:val="auto"/>
          <w:highlight w:val="none"/>
        </w:rPr>
        <w:t>缴纳规则详见前附表。</w:t>
      </w:r>
    </w:p>
    <w:p w14:paraId="5A9490A2">
      <w:pPr>
        <w:widowControl w:val="0"/>
        <w:adjustRightInd w:val="0"/>
        <w:snapToGrid w:val="0"/>
        <w:spacing w:line="360" w:lineRule="auto"/>
        <w:ind w:firstLine="537" w:firstLineChars="224"/>
        <w:rPr>
          <w:color w:val="auto"/>
          <w:highlight w:val="none"/>
        </w:rPr>
      </w:pPr>
      <w:r>
        <w:rPr>
          <w:color w:val="auto"/>
          <w:highlight w:val="none"/>
        </w:rPr>
        <w:t>2.2签订合同后，如中标人不按双方合同约定履约，违反有关法律法规的规定及合同约定的条款，损害了采购人利益的，采购人将没收全部履约保证金。履约保证金不足以赔偿损失的，按实际损失赔偿。</w:t>
      </w:r>
    </w:p>
    <w:p w14:paraId="107D708B">
      <w:pPr>
        <w:widowControl w:val="0"/>
        <w:adjustRightInd w:val="0"/>
        <w:snapToGrid w:val="0"/>
        <w:spacing w:line="360" w:lineRule="auto"/>
        <w:ind w:firstLine="537" w:firstLineChars="224"/>
        <w:rPr>
          <w:color w:val="auto"/>
          <w:highlight w:val="none"/>
        </w:rPr>
      </w:pPr>
      <w:r>
        <w:rPr>
          <w:rFonts w:hint="eastAsia"/>
          <w:color w:val="auto"/>
          <w:highlight w:val="none"/>
        </w:rPr>
        <w:t>2</w:t>
      </w:r>
      <w:r>
        <w:rPr>
          <w:color w:val="auto"/>
          <w:highlight w:val="none"/>
        </w:rPr>
        <w:t>.3</w:t>
      </w:r>
      <w:r>
        <w:rPr>
          <w:rFonts w:hint="eastAsia"/>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53483B">
      <w:pPr>
        <w:widowControl w:val="0"/>
        <w:adjustRightInd w:val="0"/>
        <w:snapToGrid w:val="0"/>
        <w:spacing w:line="360" w:lineRule="auto"/>
        <w:ind w:firstLine="537" w:firstLineChars="224"/>
        <w:rPr>
          <w:color w:val="auto"/>
          <w:highlight w:val="none"/>
        </w:rPr>
      </w:pPr>
      <w:r>
        <w:rPr>
          <w:rFonts w:hint="eastAsia"/>
          <w:color w:val="auto"/>
          <w:highlight w:val="none"/>
        </w:rPr>
        <w:t>3</w:t>
      </w:r>
      <w:r>
        <w:rPr>
          <w:color w:val="auto"/>
          <w:highlight w:val="none"/>
        </w:rPr>
        <w:t>.</w:t>
      </w:r>
      <w:r>
        <w:rPr>
          <w:rFonts w:hint="eastAsia"/>
          <w:color w:val="auto"/>
          <w:highlight w:val="none"/>
        </w:rPr>
        <w:t>预付款</w:t>
      </w:r>
    </w:p>
    <w:p w14:paraId="1106E111">
      <w:pPr>
        <w:widowControl w:val="0"/>
        <w:adjustRightInd w:val="0"/>
        <w:snapToGrid w:val="0"/>
        <w:spacing w:line="360" w:lineRule="auto"/>
        <w:ind w:firstLine="537" w:firstLineChars="224"/>
        <w:rPr>
          <w:color w:val="auto"/>
          <w:highlight w:val="none"/>
        </w:rPr>
      </w:pPr>
      <w:r>
        <w:rPr>
          <w:rFonts w:hint="eastAsia"/>
          <w:color w:val="auto"/>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4FF516A7">
      <w:pPr>
        <w:widowControl w:val="0"/>
        <w:adjustRightInd w:val="0"/>
        <w:snapToGrid w:val="0"/>
        <w:spacing w:line="360" w:lineRule="auto"/>
        <w:ind w:firstLine="537" w:firstLineChars="224"/>
        <w:rPr>
          <w:color w:val="auto"/>
          <w:highlight w:val="none"/>
        </w:rPr>
      </w:pPr>
      <w:r>
        <w:rPr>
          <w:rFonts w:hint="eastAsia"/>
          <w:color w:val="auto"/>
          <w:highlight w:val="none"/>
        </w:rPr>
        <w:t>4</w:t>
      </w:r>
      <w:r>
        <w:rPr>
          <w:color w:val="auto"/>
          <w:highlight w:val="none"/>
        </w:rPr>
        <w:t>.</w:t>
      </w:r>
      <w:r>
        <w:rPr>
          <w:rFonts w:hint="eastAsia"/>
          <w:color w:val="auto"/>
          <w:highlight w:val="none"/>
        </w:rPr>
        <w:t>资金支付</w:t>
      </w:r>
    </w:p>
    <w:p w14:paraId="0872D778">
      <w:pPr>
        <w:widowControl w:val="0"/>
        <w:adjustRightInd w:val="0"/>
        <w:snapToGrid w:val="0"/>
        <w:spacing w:line="360" w:lineRule="auto"/>
        <w:ind w:firstLine="537" w:firstLineChars="224"/>
        <w:rPr>
          <w:color w:val="auto"/>
          <w:highlight w:val="none"/>
        </w:rPr>
      </w:pPr>
      <w:r>
        <w:rPr>
          <w:rFonts w:hint="eastAsia"/>
          <w:color w:val="auto"/>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38C0BF0E">
      <w:pPr>
        <w:widowControl w:val="0"/>
        <w:adjustRightInd w:val="0"/>
        <w:snapToGrid w:val="0"/>
        <w:spacing w:line="360" w:lineRule="auto"/>
        <w:ind w:firstLine="540" w:firstLineChars="224"/>
        <w:rPr>
          <w:b/>
          <w:bCs/>
          <w:color w:val="auto"/>
          <w:highlight w:val="none"/>
        </w:rPr>
      </w:pPr>
      <w:r>
        <w:rPr>
          <w:rFonts w:hint="eastAsia"/>
          <w:b/>
          <w:bCs/>
          <w:color w:val="auto"/>
          <w:highlight w:val="none"/>
        </w:rPr>
        <w:t>八</w:t>
      </w:r>
      <w:r>
        <w:rPr>
          <w:b/>
          <w:bCs/>
          <w:color w:val="auto"/>
          <w:highlight w:val="none"/>
        </w:rPr>
        <w:t>、电子交易活动的中止</w:t>
      </w:r>
    </w:p>
    <w:p w14:paraId="556E5939">
      <w:pPr>
        <w:widowControl w:val="0"/>
        <w:adjustRightInd w:val="0"/>
        <w:snapToGrid w:val="0"/>
        <w:spacing w:line="360" w:lineRule="auto"/>
        <w:ind w:firstLine="537" w:firstLineChars="224"/>
        <w:rPr>
          <w:color w:val="auto"/>
          <w:highlight w:val="none"/>
        </w:rPr>
      </w:pPr>
      <w:r>
        <w:rPr>
          <w:color w:val="auto"/>
          <w:highlight w:val="none"/>
        </w:rPr>
        <w:t>1.采购过程中出现以下情形，导致电子交易平台无法正常运行，或者无法保证电子交易的公平、公正和安全时，采购代理机构可中止电子交易活动：</w:t>
      </w:r>
    </w:p>
    <w:p w14:paraId="0561B115">
      <w:pPr>
        <w:widowControl w:val="0"/>
        <w:adjustRightInd w:val="0"/>
        <w:snapToGrid w:val="0"/>
        <w:spacing w:line="360" w:lineRule="auto"/>
        <w:ind w:firstLine="537" w:firstLineChars="224"/>
        <w:rPr>
          <w:color w:val="auto"/>
          <w:highlight w:val="none"/>
        </w:rPr>
      </w:pPr>
      <w:r>
        <w:rPr>
          <w:color w:val="auto"/>
          <w:highlight w:val="none"/>
        </w:rPr>
        <w:t xml:space="preserve">1.1电子交易平台发生故障而无法登录访问的； </w:t>
      </w:r>
    </w:p>
    <w:p w14:paraId="0FD33026">
      <w:pPr>
        <w:widowControl w:val="0"/>
        <w:adjustRightInd w:val="0"/>
        <w:snapToGrid w:val="0"/>
        <w:spacing w:line="360" w:lineRule="auto"/>
        <w:ind w:firstLine="537" w:firstLineChars="224"/>
        <w:rPr>
          <w:color w:val="auto"/>
          <w:highlight w:val="none"/>
        </w:rPr>
      </w:pPr>
      <w:r>
        <w:rPr>
          <w:color w:val="auto"/>
          <w:highlight w:val="none"/>
        </w:rPr>
        <w:t>1.2电子交易平台应用或数据库出现错误，不能进行正常操作的；</w:t>
      </w:r>
    </w:p>
    <w:p w14:paraId="33EADA27">
      <w:pPr>
        <w:widowControl w:val="0"/>
        <w:adjustRightInd w:val="0"/>
        <w:snapToGrid w:val="0"/>
        <w:spacing w:line="360" w:lineRule="auto"/>
        <w:ind w:firstLine="537" w:firstLineChars="224"/>
        <w:rPr>
          <w:color w:val="auto"/>
          <w:highlight w:val="none"/>
        </w:rPr>
      </w:pPr>
      <w:r>
        <w:rPr>
          <w:color w:val="auto"/>
          <w:highlight w:val="none"/>
        </w:rPr>
        <w:t>1.3电子交易平台发现严重安全漏洞，有潜在泄密危险的；</w:t>
      </w:r>
    </w:p>
    <w:p w14:paraId="53BFD46C">
      <w:pPr>
        <w:widowControl w:val="0"/>
        <w:adjustRightInd w:val="0"/>
        <w:snapToGrid w:val="0"/>
        <w:spacing w:line="360" w:lineRule="auto"/>
        <w:ind w:firstLine="537" w:firstLineChars="224"/>
        <w:rPr>
          <w:color w:val="auto"/>
          <w:highlight w:val="none"/>
        </w:rPr>
      </w:pPr>
      <w:r>
        <w:rPr>
          <w:color w:val="auto"/>
          <w:highlight w:val="none"/>
        </w:rPr>
        <w:t xml:space="preserve">1.4病毒发作导致不能进行正常操作的； </w:t>
      </w:r>
    </w:p>
    <w:p w14:paraId="01450D4D">
      <w:pPr>
        <w:widowControl w:val="0"/>
        <w:adjustRightInd w:val="0"/>
        <w:snapToGrid w:val="0"/>
        <w:spacing w:line="360" w:lineRule="auto"/>
        <w:ind w:firstLine="537" w:firstLineChars="224"/>
        <w:rPr>
          <w:color w:val="auto"/>
          <w:highlight w:val="none"/>
        </w:rPr>
      </w:pPr>
      <w:r>
        <w:rPr>
          <w:color w:val="auto"/>
          <w:highlight w:val="none"/>
        </w:rPr>
        <w:t>1.5其他无法保证电子交易的公平、公正和安全的情况。</w:t>
      </w:r>
    </w:p>
    <w:p w14:paraId="511C032F">
      <w:pPr>
        <w:widowControl w:val="0"/>
        <w:adjustRightInd w:val="0"/>
        <w:spacing w:line="360" w:lineRule="auto"/>
        <w:ind w:firstLine="537" w:firstLineChars="224"/>
        <w:rPr>
          <w:color w:val="auto"/>
          <w:highlight w:val="none"/>
        </w:rPr>
      </w:pPr>
      <w:r>
        <w:rPr>
          <w:color w:val="auto"/>
          <w:highlight w:val="none"/>
        </w:rPr>
        <w:t xml:space="preserve">2.出现以上情形，不影响采购公平、公正性的，采购组织机构可以待上述情形消除后继续组织电子交易活动；影响或可能影响采购公平、公正性的，应当重新采购。                                                                                             </w:t>
      </w:r>
      <w:bookmarkStart w:id="57" w:name="_Hlk69810139"/>
      <w:bookmarkStart w:id="58" w:name="_Hlk62118689"/>
    </w:p>
    <w:bookmarkEnd w:id="53"/>
    <w:bookmarkEnd w:id="57"/>
    <w:bookmarkEnd w:id="58"/>
    <w:p w14:paraId="3AB31577">
      <w:pPr>
        <w:pStyle w:val="3"/>
        <w:spacing w:before="120" w:after="240" w:line="240" w:lineRule="auto"/>
        <w:jc w:val="center"/>
        <w:rPr>
          <w:rFonts w:hint="eastAsia" w:ascii="宋体" w:hAnsi="宋体"/>
          <w:b w:val="0"/>
          <w:color w:val="auto"/>
          <w:sz w:val="48"/>
          <w:szCs w:val="48"/>
          <w:highlight w:val="none"/>
        </w:rPr>
      </w:pPr>
      <w:r>
        <w:rPr>
          <w:color w:val="auto"/>
          <w:spacing w:val="60"/>
          <w:highlight w:val="none"/>
        </w:rPr>
        <w:br w:type="page"/>
      </w:r>
      <w:bookmarkStart w:id="59" w:name="_Toc39239707"/>
      <w:bookmarkStart w:id="60" w:name="_Toc93668163"/>
      <w:r>
        <w:rPr>
          <w:rFonts w:ascii="宋体" w:hAnsi="宋体"/>
          <w:color w:val="auto"/>
          <w:highlight w:val="none"/>
        </w:rPr>
        <w:t xml:space="preserve">第五章  </w:t>
      </w:r>
      <w:bookmarkEnd w:id="59"/>
      <w:r>
        <w:rPr>
          <w:rFonts w:hint="eastAsia" w:ascii="宋体" w:hAnsi="宋体"/>
          <w:color w:val="auto"/>
          <w:highlight w:val="none"/>
        </w:rPr>
        <w:t>评标办法</w:t>
      </w:r>
      <w:bookmarkEnd w:id="60"/>
    </w:p>
    <w:p w14:paraId="034B510C">
      <w:pPr>
        <w:widowControl w:val="0"/>
        <w:adjustRightInd w:val="0"/>
        <w:snapToGrid w:val="0"/>
        <w:spacing w:line="360" w:lineRule="auto"/>
        <w:ind w:firstLine="435"/>
        <w:jc w:val="both"/>
        <w:rPr>
          <w:b/>
          <w:bCs/>
          <w:color w:val="auto"/>
          <w:highlight w:val="none"/>
        </w:rPr>
      </w:pPr>
      <w:r>
        <w:rPr>
          <w:b/>
          <w:bCs/>
          <w:color w:val="auto"/>
          <w:highlight w:val="none"/>
        </w:rPr>
        <w:t>一、评标</w:t>
      </w:r>
    </w:p>
    <w:p w14:paraId="7B70F287">
      <w:pPr>
        <w:pStyle w:val="24"/>
        <w:widowControl w:val="0"/>
        <w:adjustRightInd w:val="0"/>
        <w:snapToGrid w:val="0"/>
        <w:spacing w:before="0" w:beforeAutospacing="0" w:after="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1.评标办法</w:t>
      </w:r>
    </w:p>
    <w:p w14:paraId="37151597">
      <w:pPr>
        <w:pStyle w:val="24"/>
        <w:widowControl w:val="0"/>
        <w:adjustRightInd w:val="0"/>
        <w:snapToGrid w:val="0"/>
        <w:spacing w:before="0" w:beforeAutospacing="0" w:after="0" w:afterAutospacing="0" w:line="360" w:lineRule="auto"/>
        <w:ind w:firstLine="482" w:firstLineChars="200"/>
        <w:rPr>
          <w:rFonts w:ascii="Times New Roman" w:hAnsi="Times New Roman"/>
          <w:color w:val="auto"/>
          <w:highlight w:val="none"/>
        </w:rPr>
      </w:pPr>
      <w:r>
        <w:rPr>
          <w:rFonts w:ascii="Times New Roman" w:hAnsi="Times New Roman"/>
          <w:b/>
          <w:bCs/>
          <w:color w:val="auto"/>
          <w:highlight w:val="none"/>
        </w:rPr>
        <w:t>本项目采用综合评分法</w:t>
      </w:r>
      <w:r>
        <w:rPr>
          <w:rFonts w:ascii="Times New Roman" w:hAnsi="Times New Roman"/>
          <w:color w:val="auto"/>
          <w:highlight w:val="none"/>
        </w:rPr>
        <w:t>。综合评分法，是指投标文件满足招标文件全部实质性要求，且按照评审因素的量化指标评审得分最高的投标人为中标候选人的评标方法。先进行资格审查和</w:t>
      </w:r>
      <w:r>
        <w:rPr>
          <w:rFonts w:hint="eastAsia" w:ascii="Times New Roman" w:hAnsi="Times New Roman"/>
          <w:color w:val="auto"/>
          <w:highlight w:val="none"/>
        </w:rPr>
        <w:t>技术资信</w:t>
      </w:r>
      <w:r>
        <w:rPr>
          <w:rFonts w:ascii="Times New Roman" w:hAnsi="Times New Roman"/>
          <w:color w:val="auto"/>
          <w:highlight w:val="none"/>
        </w:rPr>
        <w:t>评审，评定计算</w:t>
      </w:r>
      <w:r>
        <w:rPr>
          <w:rFonts w:hint="eastAsia" w:ascii="Times New Roman" w:hAnsi="Times New Roman"/>
          <w:color w:val="auto"/>
          <w:highlight w:val="none"/>
        </w:rPr>
        <w:t>技术资信</w:t>
      </w:r>
      <w:r>
        <w:rPr>
          <w:rFonts w:ascii="Times New Roman" w:hAnsi="Times New Roman"/>
          <w:color w:val="auto"/>
          <w:highlight w:val="none"/>
        </w:rPr>
        <w:t>分后再进行价格评审。</w:t>
      </w:r>
    </w:p>
    <w:p w14:paraId="3EEA05AA">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2.评标组织</w:t>
      </w:r>
    </w:p>
    <w:p w14:paraId="32E8335C">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采购人和代理机构将根据本项目的特点依法组建评标委员会，评标委员会由采购人代表和评审专家组成，成员人数应当为5人或以上单数，其中评审专家不得少于成员总数的三分之二。评审专家统一在省级以上财政部门设立的政府采购评审专家库中随机抽取。</w:t>
      </w:r>
    </w:p>
    <w:p w14:paraId="110719C8">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3.评标方式</w:t>
      </w:r>
    </w:p>
    <w:p w14:paraId="5874BA76">
      <w:pPr>
        <w:pStyle w:val="24"/>
        <w:widowControl w:val="0"/>
        <w:snapToGrid w:val="0"/>
        <w:spacing w:before="0" w:beforeAutospacing="0" w:after="0" w:afterAutospacing="0" w:line="360" w:lineRule="auto"/>
        <w:ind w:firstLine="477" w:firstLineChars="199"/>
        <w:rPr>
          <w:rFonts w:ascii="Times New Roman" w:hAnsi="Times New Roman"/>
          <w:color w:val="auto"/>
          <w:highlight w:val="none"/>
        </w:rPr>
      </w:pPr>
      <w:r>
        <w:rPr>
          <w:rFonts w:ascii="Times New Roman" w:hAnsi="Times New Roman"/>
          <w:color w:val="auto"/>
          <w:highlight w:val="none"/>
        </w:rPr>
        <w:t>3.1本项目采用电子评标，评标的依据为招标文件和投标文件。投标人在投标截止以后提供的资料不得作为评标依据，但应评标委员会要求提供的证明、说明不在此列。</w:t>
      </w:r>
    </w:p>
    <w:p w14:paraId="11223289">
      <w:pPr>
        <w:widowControl w:val="0"/>
        <w:adjustRightInd w:val="0"/>
        <w:snapToGrid w:val="0"/>
        <w:spacing w:line="360" w:lineRule="auto"/>
        <w:ind w:firstLine="435"/>
        <w:jc w:val="both"/>
        <w:rPr>
          <w:color w:val="auto"/>
          <w:highlight w:val="none"/>
        </w:rPr>
      </w:pPr>
      <w:r>
        <w:rPr>
          <w:color w:val="auto"/>
          <w:highlight w:val="none"/>
        </w:rPr>
        <w:t>3.2评标是招标过程中的重要环节，评标工作在评标委员会成员内独立进行。评标委员会将遵照评标原则，公正、公平、客观地对待所有投标人。</w:t>
      </w:r>
    </w:p>
    <w:p w14:paraId="67F97A4C">
      <w:pPr>
        <w:widowControl w:val="0"/>
        <w:adjustRightInd w:val="0"/>
        <w:snapToGrid w:val="0"/>
        <w:spacing w:line="360" w:lineRule="auto"/>
        <w:ind w:firstLine="435"/>
        <w:rPr>
          <w:color w:val="auto"/>
          <w:highlight w:val="none"/>
        </w:rPr>
      </w:pPr>
      <w:r>
        <w:rPr>
          <w:color w:val="auto"/>
          <w:highlight w:val="none"/>
        </w:rPr>
        <w:t>3.3采购人、代理机构及评标委员会不向落标方解释落标原因。</w:t>
      </w:r>
    </w:p>
    <w:p w14:paraId="68D5AF37">
      <w:pPr>
        <w:widowControl w:val="0"/>
        <w:adjustRightInd w:val="0"/>
        <w:snapToGrid w:val="0"/>
        <w:spacing w:line="360" w:lineRule="auto"/>
        <w:ind w:firstLine="435"/>
        <w:rPr>
          <w:color w:val="auto"/>
          <w:highlight w:val="none"/>
        </w:rPr>
      </w:pPr>
      <w:r>
        <w:rPr>
          <w:color w:val="auto"/>
          <w:highlight w:val="none"/>
        </w:rPr>
        <w:t>3.4本项目评标过程实行全程录音、录像监控。</w:t>
      </w:r>
    </w:p>
    <w:p w14:paraId="68AFC99D">
      <w:pPr>
        <w:widowControl w:val="0"/>
        <w:adjustRightInd w:val="0"/>
        <w:snapToGrid w:val="0"/>
        <w:spacing w:line="360" w:lineRule="auto"/>
        <w:ind w:firstLine="435"/>
        <w:jc w:val="both"/>
        <w:rPr>
          <w:b/>
          <w:bCs/>
          <w:color w:val="auto"/>
          <w:highlight w:val="none"/>
        </w:rPr>
      </w:pPr>
      <w:r>
        <w:rPr>
          <w:b/>
          <w:bCs/>
          <w:color w:val="auto"/>
          <w:highlight w:val="none"/>
        </w:rPr>
        <w:t>二、评标办法</w:t>
      </w:r>
    </w:p>
    <w:p w14:paraId="3AD676CF">
      <w:pPr>
        <w:widowControl w:val="0"/>
        <w:adjustRightInd w:val="0"/>
        <w:snapToGrid w:val="0"/>
        <w:spacing w:line="360" w:lineRule="auto"/>
        <w:ind w:firstLine="480" w:firstLineChars="200"/>
        <w:jc w:val="both"/>
        <w:rPr>
          <w:color w:val="auto"/>
          <w:highlight w:val="none"/>
        </w:rPr>
      </w:pPr>
      <w:r>
        <w:rPr>
          <w:color w:val="auto"/>
          <w:highlight w:val="none"/>
        </w:rPr>
        <w:t>1.</w:t>
      </w:r>
      <w:r>
        <w:rPr>
          <w:rFonts w:hint="eastAsia"/>
          <w:color w:val="auto"/>
          <w:highlight w:val="none"/>
        </w:rPr>
        <w:t>技术资信</w:t>
      </w:r>
      <w:r>
        <w:rPr>
          <w:color w:val="auto"/>
          <w:highlight w:val="none"/>
        </w:rPr>
        <w:t>评审：由评标委员会采用记名方式独立进行评审，此项评分计算方法为：</w:t>
      </w:r>
      <w:r>
        <w:rPr>
          <w:rFonts w:hint="eastAsia"/>
          <w:color w:val="auto"/>
          <w:highlight w:val="none"/>
        </w:rPr>
        <w:t>技术资信</w:t>
      </w:r>
      <w:r>
        <w:rPr>
          <w:color w:val="auto"/>
          <w:highlight w:val="none"/>
        </w:rPr>
        <w:t>得分=（评标委员会所有成员评分之和）÷（评标委员会组成人数）。</w:t>
      </w:r>
    </w:p>
    <w:p w14:paraId="5098B6D2">
      <w:pPr>
        <w:pStyle w:val="39"/>
        <w:widowControl w:val="0"/>
        <w:adjustRightInd w:val="0"/>
        <w:snapToGrid w:val="0"/>
        <w:spacing w:before="0" w:beforeAutospacing="0" w:after="0" w:afterAutospacing="0"/>
        <w:jc w:val="center"/>
        <w:outlineLvl w:val="1"/>
        <w:rPr>
          <w:rFonts w:hint="default" w:ascii="Times New Roman" w:hAnsi="Times New Roman"/>
          <w:b/>
          <w:color w:val="auto"/>
          <w:sz w:val="36"/>
          <w:szCs w:val="36"/>
          <w:highlight w:val="none"/>
        </w:rPr>
      </w:pPr>
      <w:r>
        <w:rPr>
          <w:rFonts w:ascii="Times New Roman" w:hAnsi="Times New Roman"/>
          <w:b/>
          <w:color w:val="auto"/>
          <w:sz w:val="36"/>
          <w:szCs w:val="36"/>
          <w:highlight w:val="none"/>
        </w:rPr>
        <w:t>技术资信</w:t>
      </w:r>
      <w:r>
        <w:rPr>
          <w:rFonts w:hint="default" w:ascii="Times New Roman" w:hAnsi="Times New Roman"/>
          <w:b/>
          <w:color w:val="auto"/>
          <w:sz w:val="36"/>
          <w:szCs w:val="36"/>
          <w:highlight w:val="none"/>
        </w:rPr>
        <w:t>评分明细表</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071"/>
        <w:gridCol w:w="6405"/>
        <w:gridCol w:w="805"/>
      </w:tblGrid>
      <w:tr w14:paraId="333A9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57" w:hRule="atLeast"/>
          <w:jc w:val="center"/>
        </w:trPr>
        <w:tc>
          <w:tcPr>
            <w:tcW w:w="651" w:type="dxa"/>
            <w:vAlign w:val="center"/>
          </w:tcPr>
          <w:p w14:paraId="0DAA650B">
            <w:pPr>
              <w:widowControl w:val="0"/>
              <w:spacing w:line="360" w:lineRule="auto"/>
              <w:jc w:val="center"/>
              <w:rPr>
                <w:rFonts w:hint="eastAsia" w:ascii="宋体" w:hAnsi="宋体"/>
                <w:color w:val="auto"/>
                <w:kern w:val="2"/>
                <w:sz w:val="21"/>
                <w:szCs w:val="21"/>
                <w:highlight w:val="none"/>
              </w:rPr>
            </w:pPr>
            <w:bookmarkStart w:id="61" w:name="_Hlk103607879"/>
            <w:r>
              <w:rPr>
                <w:rFonts w:hint="eastAsia" w:ascii="宋体" w:hAnsi="宋体"/>
                <w:color w:val="auto"/>
                <w:kern w:val="2"/>
                <w:sz w:val="21"/>
                <w:szCs w:val="21"/>
                <w:highlight w:val="none"/>
              </w:rPr>
              <w:t>序号</w:t>
            </w:r>
          </w:p>
        </w:tc>
        <w:tc>
          <w:tcPr>
            <w:tcW w:w="1071" w:type="dxa"/>
            <w:vAlign w:val="center"/>
          </w:tcPr>
          <w:p w14:paraId="5CF306CD">
            <w:pPr>
              <w:widowControl w:val="0"/>
              <w:spacing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评审项目</w:t>
            </w:r>
          </w:p>
        </w:tc>
        <w:tc>
          <w:tcPr>
            <w:tcW w:w="6405" w:type="dxa"/>
            <w:vAlign w:val="center"/>
          </w:tcPr>
          <w:p w14:paraId="7258BBF7">
            <w:pPr>
              <w:widowControl w:val="0"/>
              <w:spacing w:line="360" w:lineRule="auto"/>
              <w:jc w:val="center"/>
              <w:rPr>
                <w:rFonts w:hint="eastAsia" w:ascii="宋体" w:hAnsi="宋体"/>
                <w:color w:val="auto"/>
                <w:kern w:val="2"/>
                <w:sz w:val="21"/>
                <w:szCs w:val="21"/>
                <w:highlight w:val="none"/>
              </w:rPr>
            </w:pPr>
            <w:r>
              <w:rPr>
                <w:rFonts w:hint="eastAsia" w:ascii="宋体" w:hAnsi="宋体" w:cs="宋体"/>
                <w:color w:val="auto"/>
                <w:highlight w:val="none"/>
              </w:rPr>
              <w:t>评分细则</w:t>
            </w:r>
          </w:p>
        </w:tc>
        <w:tc>
          <w:tcPr>
            <w:tcW w:w="805" w:type="dxa"/>
            <w:vAlign w:val="center"/>
          </w:tcPr>
          <w:p w14:paraId="512FD63C">
            <w:pPr>
              <w:widowControl w:val="0"/>
              <w:spacing w:line="360" w:lineRule="auto"/>
              <w:jc w:val="center"/>
              <w:rPr>
                <w:rFonts w:hint="eastAsia" w:ascii="宋体" w:hAnsi="宋体"/>
                <w:color w:val="auto"/>
                <w:kern w:val="2"/>
                <w:sz w:val="21"/>
                <w:szCs w:val="21"/>
                <w:highlight w:val="none"/>
              </w:rPr>
            </w:pPr>
            <w:r>
              <w:rPr>
                <w:rFonts w:hint="eastAsia" w:ascii="宋体" w:hAnsi="宋体"/>
                <w:color w:val="auto"/>
                <w:kern w:val="2"/>
                <w:sz w:val="21"/>
                <w:szCs w:val="21"/>
                <w:highlight w:val="none"/>
              </w:rPr>
              <w:t>分值</w:t>
            </w:r>
          </w:p>
        </w:tc>
      </w:tr>
      <w:tr w14:paraId="0349E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vAlign w:val="center"/>
          </w:tcPr>
          <w:p w14:paraId="6ACD5166">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61B8B49B">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highlight w:val="none"/>
              </w:rPr>
              <w:t>技术响应情况</w:t>
            </w:r>
          </w:p>
        </w:tc>
        <w:tc>
          <w:tcPr>
            <w:tcW w:w="6405" w:type="dxa"/>
            <w:vAlign w:val="center"/>
          </w:tcPr>
          <w:p w14:paraId="05F59693">
            <w:pPr>
              <w:spacing w:line="360" w:lineRule="auto"/>
              <w:rPr>
                <w:rFonts w:hint="eastAsia" w:ascii="宋体" w:hAnsi="宋体" w:cs="宋体"/>
                <w:color w:val="auto"/>
                <w:kern w:val="2"/>
                <w:sz w:val="21"/>
                <w:szCs w:val="22"/>
                <w:highlight w:val="none"/>
              </w:rPr>
            </w:pPr>
            <w:r>
              <w:rPr>
                <w:rFonts w:hint="eastAsia" w:ascii="宋体" w:hAnsi="宋体" w:cs="宋体"/>
                <w:snapToGrid w:val="0"/>
                <w:color w:val="auto"/>
                <w:kern w:val="28"/>
                <w:sz w:val="21"/>
                <w:szCs w:val="21"/>
                <w:highlight w:val="none"/>
              </w:rPr>
              <w:t>投标产品总体性能符合标书要求得2</w:t>
            </w:r>
            <w:r>
              <w:rPr>
                <w:rFonts w:hint="eastAsia" w:ascii="宋体" w:hAnsi="宋体" w:cs="宋体"/>
                <w:snapToGrid w:val="0"/>
                <w:color w:val="auto"/>
                <w:kern w:val="28"/>
                <w:sz w:val="21"/>
                <w:szCs w:val="21"/>
                <w:highlight w:val="none"/>
                <w:lang w:val="en-US" w:eastAsia="zh-CN"/>
              </w:rPr>
              <w:t>4</w:t>
            </w:r>
            <w:r>
              <w:rPr>
                <w:rFonts w:hint="eastAsia" w:ascii="宋体" w:hAnsi="宋体" w:cs="宋体"/>
                <w:snapToGrid w:val="0"/>
                <w:color w:val="auto"/>
                <w:kern w:val="28"/>
                <w:sz w:val="21"/>
                <w:szCs w:val="21"/>
                <w:highlight w:val="none"/>
              </w:rPr>
              <w:t>分，根据《技术偏离表》正负偏离情况，负偏离每项减1分，▲每项负偏离减2分，减完为止。是否负偏离由评委认定。</w:t>
            </w:r>
          </w:p>
        </w:tc>
        <w:tc>
          <w:tcPr>
            <w:tcW w:w="805" w:type="dxa"/>
            <w:vAlign w:val="center"/>
          </w:tcPr>
          <w:p w14:paraId="399E26F9">
            <w:pPr>
              <w:widowControl w:val="0"/>
              <w:spacing w:line="360" w:lineRule="auto"/>
              <w:jc w:val="center"/>
              <w:rPr>
                <w:rFonts w:hint="default" w:ascii="宋体" w:hAnsi="宋体" w:eastAsia="宋体" w:cs="宋体"/>
                <w:color w:val="auto"/>
                <w:kern w:val="2"/>
                <w:sz w:val="21"/>
                <w:highlight w:val="none"/>
                <w:lang w:val="en-US" w:eastAsia="zh-CN"/>
              </w:rPr>
            </w:pPr>
            <w:r>
              <w:rPr>
                <w:rFonts w:hint="eastAsia" w:ascii="宋体" w:hAnsi="宋体" w:cs="宋体"/>
                <w:color w:val="auto"/>
                <w:kern w:val="2"/>
                <w:sz w:val="21"/>
                <w:highlight w:val="none"/>
                <w:lang w:val="en-US" w:eastAsia="zh-CN"/>
              </w:rPr>
              <w:t>24</w:t>
            </w:r>
          </w:p>
        </w:tc>
      </w:tr>
      <w:tr w14:paraId="67376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vAlign w:val="center"/>
          </w:tcPr>
          <w:p w14:paraId="442F76AA">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6BE83F89">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highlight w:val="none"/>
              </w:rPr>
              <w:t>业绩</w:t>
            </w:r>
          </w:p>
        </w:tc>
        <w:tc>
          <w:tcPr>
            <w:tcW w:w="6405" w:type="dxa"/>
            <w:vAlign w:val="center"/>
          </w:tcPr>
          <w:p w14:paraId="47DA4B34">
            <w:pPr>
              <w:widowControl w:val="0"/>
              <w:autoSpaceDE w:val="0"/>
              <w:autoSpaceDN w:val="0"/>
              <w:adjustRightInd w:val="0"/>
              <w:snapToGrid w:val="0"/>
              <w:spacing w:line="360" w:lineRule="auto"/>
              <w:rPr>
                <w:rFonts w:hint="eastAsia" w:ascii="宋体" w:hAnsi="宋体" w:cs="宋体"/>
                <w:color w:val="auto"/>
                <w:kern w:val="2"/>
                <w:sz w:val="21"/>
                <w:highlight w:val="none"/>
              </w:rPr>
            </w:pPr>
            <w:r>
              <w:rPr>
                <w:rFonts w:ascii="宋体" w:hAnsi="宋体" w:cs="宋体"/>
                <w:color w:val="auto"/>
                <w:kern w:val="2"/>
                <w:sz w:val="21"/>
                <w:highlight w:val="none"/>
              </w:rPr>
              <w:t>投标人2021年1月1日以来承担的同类业绩情况，每项业绩得1分，最多得</w:t>
            </w:r>
            <w:r>
              <w:rPr>
                <w:rFonts w:hint="eastAsia" w:ascii="宋体" w:hAnsi="宋体" w:cs="宋体"/>
                <w:color w:val="auto"/>
                <w:kern w:val="2"/>
                <w:sz w:val="21"/>
                <w:highlight w:val="none"/>
                <w:lang w:val="en-US" w:eastAsia="zh-CN"/>
              </w:rPr>
              <w:t>3</w:t>
            </w:r>
            <w:r>
              <w:rPr>
                <w:rFonts w:ascii="宋体" w:hAnsi="宋体" w:cs="宋体"/>
                <w:color w:val="auto"/>
                <w:kern w:val="2"/>
                <w:sz w:val="21"/>
                <w:highlight w:val="none"/>
              </w:rPr>
              <w:t>分。</w:t>
            </w:r>
          </w:p>
          <w:p w14:paraId="1C83DB0A">
            <w:pPr>
              <w:widowControl w:val="0"/>
              <w:autoSpaceDE w:val="0"/>
              <w:autoSpaceDN w:val="0"/>
              <w:adjustRightInd w:val="0"/>
              <w:snapToGrid w:val="0"/>
              <w:spacing w:line="360" w:lineRule="auto"/>
              <w:rPr>
                <w:rFonts w:hint="eastAsia" w:ascii="宋体" w:hAnsi="宋体" w:cs="宋体"/>
                <w:color w:val="auto"/>
                <w:kern w:val="2"/>
                <w:sz w:val="21"/>
                <w:highlight w:val="none"/>
              </w:rPr>
            </w:pPr>
            <w:r>
              <w:rPr>
                <w:rFonts w:ascii="宋体" w:hAnsi="宋体" w:cs="宋体"/>
                <w:color w:val="auto"/>
                <w:kern w:val="2"/>
                <w:sz w:val="21"/>
                <w:highlight w:val="none"/>
              </w:rPr>
              <w:t>备注：1.投标人未按要求提供合同复印件、或提供的合同复印件字迹模糊无法辨识的，该笔业绩均不予计分。有效业绩以评标委员会集体判定为准。</w:t>
            </w:r>
          </w:p>
          <w:p w14:paraId="0976DD9C">
            <w:pPr>
              <w:spacing w:line="360" w:lineRule="auto"/>
              <w:rPr>
                <w:rFonts w:hint="eastAsia" w:ascii="宋体" w:hAnsi="宋体" w:cs="宋体"/>
                <w:color w:val="auto"/>
                <w:kern w:val="2"/>
                <w:sz w:val="21"/>
                <w:szCs w:val="22"/>
                <w:highlight w:val="none"/>
              </w:rPr>
            </w:pPr>
            <w:r>
              <w:rPr>
                <w:rFonts w:ascii="宋体" w:hAnsi="宋体" w:cs="宋体"/>
                <w:color w:val="auto"/>
                <w:kern w:val="2"/>
                <w:sz w:val="21"/>
                <w:highlight w:val="none"/>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805" w:type="dxa"/>
            <w:vAlign w:val="center"/>
          </w:tcPr>
          <w:p w14:paraId="30206E62">
            <w:pPr>
              <w:widowControl w:val="0"/>
              <w:spacing w:line="360" w:lineRule="auto"/>
              <w:jc w:val="center"/>
              <w:rPr>
                <w:rFonts w:hint="eastAsia" w:ascii="宋体" w:hAnsi="宋体" w:eastAsia="宋体" w:cs="宋体"/>
                <w:color w:val="auto"/>
                <w:kern w:val="2"/>
                <w:sz w:val="21"/>
                <w:highlight w:val="none"/>
                <w:lang w:eastAsia="zh-CN"/>
              </w:rPr>
            </w:pPr>
            <w:r>
              <w:rPr>
                <w:rFonts w:hint="eastAsia" w:ascii="宋体" w:hAnsi="宋体" w:cs="宋体"/>
                <w:color w:val="auto"/>
                <w:kern w:val="2"/>
                <w:sz w:val="21"/>
                <w:highlight w:val="none"/>
                <w:lang w:val="en-US" w:eastAsia="zh-CN"/>
              </w:rPr>
              <w:t>3</w:t>
            </w:r>
          </w:p>
        </w:tc>
      </w:tr>
      <w:tr w14:paraId="6C0DA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vAlign w:val="center"/>
          </w:tcPr>
          <w:p w14:paraId="549FE090">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1476CBFB">
            <w:pPr>
              <w:widowControl w:val="0"/>
              <w:spacing w:line="360" w:lineRule="auto"/>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质保期</w:t>
            </w:r>
          </w:p>
        </w:tc>
        <w:tc>
          <w:tcPr>
            <w:tcW w:w="6405" w:type="dxa"/>
            <w:vAlign w:val="center"/>
          </w:tcPr>
          <w:p w14:paraId="2C7C2397">
            <w:pPr>
              <w:widowControl w:val="0"/>
              <w:autoSpaceDE w:val="0"/>
              <w:autoSpaceDN w:val="0"/>
              <w:adjustRightInd w:val="0"/>
              <w:snapToGrid w:val="0"/>
              <w:spacing w:line="360" w:lineRule="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根据投标人承诺的免费保修期，在满足招标文件（3年）的基础上，每增加1年加2分，最高加</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分。</w:t>
            </w:r>
          </w:p>
        </w:tc>
        <w:tc>
          <w:tcPr>
            <w:tcW w:w="805" w:type="dxa"/>
            <w:vAlign w:val="center"/>
          </w:tcPr>
          <w:p w14:paraId="316E35AB">
            <w:pPr>
              <w:widowControl w:val="0"/>
              <w:spacing w:line="360" w:lineRule="auto"/>
              <w:jc w:val="center"/>
              <w:rPr>
                <w:rFonts w:hint="eastAsia" w:ascii="宋体" w:hAnsi="宋体" w:eastAsia="宋体" w:cs="宋体"/>
                <w:color w:val="auto"/>
                <w:kern w:val="2"/>
                <w:sz w:val="21"/>
                <w:highlight w:val="none"/>
                <w:lang w:eastAsia="zh-CN"/>
              </w:rPr>
            </w:pPr>
            <w:r>
              <w:rPr>
                <w:rFonts w:hint="eastAsia" w:ascii="宋体" w:hAnsi="宋体" w:cs="宋体"/>
                <w:color w:val="auto"/>
                <w:kern w:val="2"/>
                <w:sz w:val="21"/>
                <w:highlight w:val="none"/>
                <w:lang w:val="en-US" w:eastAsia="zh-CN"/>
              </w:rPr>
              <w:t>4</w:t>
            </w:r>
          </w:p>
        </w:tc>
      </w:tr>
      <w:tr w14:paraId="5BD38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vAlign w:val="center"/>
          </w:tcPr>
          <w:p w14:paraId="626BE7D6">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60A9DEF9">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highlight w:val="none"/>
              </w:rPr>
              <w:t>项目实施方案</w:t>
            </w:r>
          </w:p>
        </w:tc>
        <w:tc>
          <w:tcPr>
            <w:tcW w:w="6405" w:type="dxa"/>
          </w:tcPr>
          <w:p w14:paraId="6FDBD550">
            <w:pPr>
              <w:widowControl w:val="0"/>
              <w:snapToGrid w:val="0"/>
              <w:spacing w:line="360" w:lineRule="auto"/>
              <w:ind w:left="-3" w:hanging="21"/>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根据供应商提供的实施方案包括保证文明施工、安全施工、保证工期、施工进度的方案和措施等内容综合评审打分。</w:t>
            </w:r>
          </w:p>
          <w:p w14:paraId="5F935C9D">
            <w:pPr>
              <w:spacing w:line="360" w:lineRule="auto"/>
              <w:rPr>
                <w:color w:val="auto"/>
                <w:kern w:val="2"/>
                <w:sz w:val="21"/>
                <w:highlight w:val="none"/>
              </w:rPr>
            </w:pPr>
            <w:r>
              <w:rPr>
                <w:rFonts w:hint="eastAsia" w:ascii="宋体" w:hAnsi="宋体" w:cs="宋体"/>
                <w:color w:val="auto"/>
                <w:kern w:val="2"/>
                <w:sz w:val="21"/>
                <w:szCs w:val="21"/>
                <w:highlight w:val="none"/>
              </w:rPr>
              <w:t>方案合理、切实、针对性强的得6分；方案存在欠佳或缺陷的每项（次）扣1分；扣完该项得分为止。无方案无措施的不得分。</w:t>
            </w:r>
          </w:p>
        </w:tc>
        <w:tc>
          <w:tcPr>
            <w:tcW w:w="805" w:type="dxa"/>
            <w:vAlign w:val="center"/>
          </w:tcPr>
          <w:p w14:paraId="3354EB4C">
            <w:pPr>
              <w:widowControl w:val="0"/>
              <w:spacing w:line="360" w:lineRule="auto"/>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6</w:t>
            </w:r>
          </w:p>
        </w:tc>
      </w:tr>
      <w:tr w14:paraId="15FA5A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shd w:val="clear" w:color="auto" w:fill="auto"/>
            <w:vAlign w:val="center"/>
          </w:tcPr>
          <w:p w14:paraId="5D76B85B">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shd w:val="clear" w:color="auto" w:fill="auto"/>
            <w:vAlign w:val="center"/>
          </w:tcPr>
          <w:p w14:paraId="2E8B6E4D">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项目建设方案</w:t>
            </w:r>
          </w:p>
        </w:tc>
        <w:tc>
          <w:tcPr>
            <w:tcW w:w="6405" w:type="dxa"/>
            <w:shd w:val="clear" w:color="auto" w:fill="auto"/>
          </w:tcPr>
          <w:p w14:paraId="36134163">
            <w:pPr>
              <w:widowControl w:val="0"/>
              <w:spacing w:line="360" w:lineRule="auto"/>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针对专业发展和建设提供详实的建设性方案，比如专业发展现状分析、师资队伍建设、课程体系改革、教科研成果孵化、师生技能竞赛培训支持等等。根据所提供内容的详实情况以及科学性、合理性、针对性等，由评委进行打分。</w:t>
            </w:r>
          </w:p>
          <w:p w14:paraId="1BC03C66">
            <w:pPr>
              <w:spacing w:line="360" w:lineRule="auto"/>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方案全面完整、科学合理的得</w:t>
            </w:r>
            <w:r>
              <w:rPr>
                <w:rFonts w:hint="eastAsia" w:ascii="宋体" w:hAnsi="宋体" w:cs="宋体"/>
                <w:color w:val="auto"/>
                <w:kern w:val="2"/>
                <w:sz w:val="21"/>
                <w:szCs w:val="22"/>
                <w:highlight w:val="none"/>
                <w:lang w:val="en-US" w:eastAsia="zh-CN"/>
              </w:rPr>
              <w:t>9</w:t>
            </w:r>
            <w:r>
              <w:rPr>
                <w:rFonts w:hint="eastAsia" w:ascii="宋体" w:hAnsi="宋体" w:cs="宋体"/>
                <w:color w:val="auto"/>
                <w:kern w:val="2"/>
                <w:sz w:val="21"/>
                <w:szCs w:val="22"/>
                <w:highlight w:val="none"/>
              </w:rPr>
              <w:t>分；方案存在欠佳或缺陷的每项（次）扣1分；扣完该项得分为止。无方案无措施的不得分。</w:t>
            </w:r>
          </w:p>
        </w:tc>
        <w:tc>
          <w:tcPr>
            <w:tcW w:w="805" w:type="dxa"/>
            <w:shd w:val="clear" w:color="auto" w:fill="auto"/>
            <w:vAlign w:val="center"/>
          </w:tcPr>
          <w:p w14:paraId="38D9C8D5">
            <w:pPr>
              <w:widowControl w:val="0"/>
              <w:spacing w:line="360" w:lineRule="auto"/>
              <w:jc w:val="center"/>
              <w:rPr>
                <w:rFonts w:hint="eastAsia" w:ascii="宋体" w:hAnsi="宋体" w:eastAsia="宋体" w:cs="宋体"/>
                <w:color w:val="auto"/>
                <w:kern w:val="2"/>
                <w:sz w:val="21"/>
                <w:szCs w:val="22"/>
                <w:highlight w:val="none"/>
                <w:lang w:eastAsia="zh-CN"/>
              </w:rPr>
            </w:pPr>
            <w:r>
              <w:rPr>
                <w:rFonts w:hint="eastAsia" w:ascii="宋体" w:hAnsi="宋体" w:cs="宋体"/>
                <w:color w:val="auto"/>
                <w:kern w:val="2"/>
                <w:sz w:val="21"/>
                <w:szCs w:val="22"/>
                <w:highlight w:val="none"/>
                <w:lang w:val="en-US" w:eastAsia="zh-CN"/>
              </w:rPr>
              <w:t>9</w:t>
            </w:r>
          </w:p>
        </w:tc>
      </w:tr>
      <w:tr w14:paraId="00F039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1" w:type="dxa"/>
            <w:vAlign w:val="center"/>
          </w:tcPr>
          <w:p w14:paraId="40710F38">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4C61A711">
            <w:pPr>
              <w:widowControl w:val="0"/>
              <w:spacing w:line="360" w:lineRule="auto"/>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设计方案</w:t>
            </w:r>
          </w:p>
        </w:tc>
        <w:tc>
          <w:tcPr>
            <w:tcW w:w="6405" w:type="dxa"/>
            <w:vAlign w:val="center"/>
          </w:tcPr>
          <w:p w14:paraId="59531B34">
            <w:pPr>
              <w:widowControl w:val="0"/>
              <w:snapToGrid w:val="0"/>
              <w:spacing w:line="360" w:lineRule="auto"/>
              <w:ind w:left="-3" w:hanging="21"/>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投标人提供符合场地要求的设计规划方案，评委根据方案的合理性、创新性、科学性、可行性、效果图、平面图资料等进行打分。</w:t>
            </w:r>
          </w:p>
          <w:p w14:paraId="64478689">
            <w:pPr>
              <w:spacing w:line="360" w:lineRule="auto"/>
              <w:rPr>
                <w:color w:val="auto"/>
                <w:highlight w:val="none"/>
              </w:rPr>
            </w:pPr>
            <w:r>
              <w:rPr>
                <w:rFonts w:hint="eastAsia" w:ascii="宋体" w:hAnsi="宋体" w:cs="宋体"/>
                <w:color w:val="auto"/>
                <w:kern w:val="2"/>
                <w:sz w:val="21"/>
                <w:szCs w:val="21"/>
                <w:highlight w:val="none"/>
              </w:rPr>
              <w:t>设计方案合理、创新、科学、可行，效果图、平面图理解优秀的得</w:t>
            </w:r>
          </w:p>
          <w:p w14:paraId="27011E26">
            <w:pPr>
              <w:spacing w:line="360" w:lineRule="auto"/>
              <w:rPr>
                <w:rFonts w:hint="eastAsia" w:ascii="宋体" w:hAnsi="宋体" w:cs="宋体"/>
                <w:color w:val="auto"/>
                <w:kern w:val="2"/>
                <w:sz w:val="21"/>
                <w:highlight w:val="none"/>
              </w:rPr>
            </w:pP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分，方案存在欠佳或缺陷的每项（次）扣1分；扣完该项得分为止。无方案的不得分。</w:t>
            </w:r>
          </w:p>
        </w:tc>
        <w:tc>
          <w:tcPr>
            <w:tcW w:w="805" w:type="dxa"/>
            <w:vAlign w:val="center"/>
          </w:tcPr>
          <w:p w14:paraId="70EE4C40">
            <w:pPr>
              <w:widowControl w:val="0"/>
              <w:spacing w:line="360" w:lineRule="auto"/>
              <w:jc w:val="center"/>
              <w:rPr>
                <w:rFonts w:hint="eastAsia" w:ascii="宋体" w:hAnsi="宋体" w:eastAsia="宋体" w:cs="宋体"/>
                <w:color w:val="auto"/>
                <w:kern w:val="2"/>
                <w:sz w:val="21"/>
                <w:highlight w:val="none"/>
                <w:lang w:eastAsia="zh-CN"/>
              </w:rPr>
            </w:pPr>
            <w:r>
              <w:rPr>
                <w:rFonts w:hint="eastAsia" w:ascii="宋体" w:hAnsi="宋体" w:cs="宋体"/>
                <w:color w:val="auto"/>
                <w:kern w:val="2"/>
                <w:sz w:val="21"/>
                <w:highlight w:val="none"/>
                <w:lang w:val="en-US" w:eastAsia="zh-CN"/>
              </w:rPr>
              <w:t>5</w:t>
            </w:r>
          </w:p>
        </w:tc>
      </w:tr>
      <w:tr w14:paraId="32936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651" w:type="dxa"/>
            <w:vAlign w:val="center"/>
          </w:tcPr>
          <w:p w14:paraId="1ACD3110">
            <w:pPr>
              <w:widowControl w:val="0"/>
              <w:numPr>
                <w:ilvl w:val="0"/>
                <w:numId w:val="12"/>
              </w:numPr>
              <w:spacing w:line="360" w:lineRule="auto"/>
              <w:jc w:val="center"/>
              <w:rPr>
                <w:rFonts w:hint="eastAsia" w:ascii="宋体" w:hAnsi="宋体" w:cs="宋体"/>
                <w:color w:val="auto"/>
                <w:kern w:val="2"/>
                <w:sz w:val="21"/>
                <w:highlight w:val="none"/>
              </w:rPr>
            </w:pPr>
          </w:p>
        </w:tc>
        <w:tc>
          <w:tcPr>
            <w:tcW w:w="1071" w:type="dxa"/>
            <w:vAlign w:val="center"/>
          </w:tcPr>
          <w:p w14:paraId="4CDFE684">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highlight w:val="none"/>
              </w:rPr>
              <w:t>培训方案</w:t>
            </w:r>
          </w:p>
        </w:tc>
        <w:tc>
          <w:tcPr>
            <w:tcW w:w="6405" w:type="dxa"/>
          </w:tcPr>
          <w:p w14:paraId="449B21AB">
            <w:pPr>
              <w:widowControl w:val="0"/>
              <w:snapToGrid w:val="0"/>
              <w:spacing w:line="360" w:lineRule="auto"/>
              <w:ind w:left="-3" w:hanging="21"/>
              <w:jc w:val="both"/>
              <w:rPr>
                <w:rFonts w:hint="eastAsia" w:ascii="宋体" w:hAnsi="宋体" w:cs="宋体"/>
                <w:color w:val="auto"/>
                <w:kern w:val="2"/>
                <w:sz w:val="21"/>
                <w:szCs w:val="22"/>
                <w:highlight w:val="none"/>
              </w:rPr>
            </w:pPr>
            <w:r>
              <w:rPr>
                <w:rFonts w:hint="eastAsia" w:ascii="宋体" w:hAnsi="宋体" w:cs="宋体"/>
                <w:color w:val="auto"/>
                <w:kern w:val="2"/>
                <w:sz w:val="21"/>
                <w:szCs w:val="21"/>
                <w:highlight w:val="none"/>
              </w:rPr>
              <w:t>根据供应商提供的本项目技术培训服务方案（包括培训计划、培训内容、培训人员配备情况、培训时效性等）的科学性、合理性、可操作性等综合评审：培训方案合理且规范，培训内容具体且丰富，人员配备合理的得7分，方案存在欠佳或缺陷的每项（次）扣1分；扣完该项得分为止。无方案的不得分。</w:t>
            </w:r>
          </w:p>
        </w:tc>
        <w:tc>
          <w:tcPr>
            <w:tcW w:w="805" w:type="dxa"/>
            <w:vAlign w:val="center"/>
          </w:tcPr>
          <w:p w14:paraId="0E6778D6">
            <w:pPr>
              <w:widowControl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7</w:t>
            </w:r>
          </w:p>
        </w:tc>
      </w:tr>
      <w:tr w14:paraId="2BAAB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651" w:type="dxa"/>
            <w:vAlign w:val="center"/>
          </w:tcPr>
          <w:p w14:paraId="5C4EE94A">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5A589379">
            <w:pPr>
              <w:widowControl w:val="0"/>
              <w:spacing w:line="360" w:lineRule="auto"/>
              <w:jc w:val="center"/>
              <w:rPr>
                <w:rFonts w:ascii="Calibri" w:hAnsi="Calibri" w:eastAsia="仿宋_GB2312"/>
                <w:color w:val="auto"/>
                <w:kern w:val="2"/>
                <w:sz w:val="21"/>
                <w:szCs w:val="22"/>
                <w:highlight w:val="none"/>
              </w:rPr>
            </w:pPr>
            <w:r>
              <w:rPr>
                <w:rFonts w:hint="eastAsia" w:ascii="宋体" w:hAnsi="宋体" w:cs="宋体"/>
                <w:color w:val="auto"/>
                <w:kern w:val="2"/>
                <w:sz w:val="21"/>
                <w:highlight w:val="none"/>
              </w:rPr>
              <w:t>售后服务方案</w:t>
            </w:r>
          </w:p>
        </w:tc>
        <w:tc>
          <w:tcPr>
            <w:tcW w:w="6405" w:type="dxa"/>
            <w:vAlign w:val="center"/>
          </w:tcPr>
          <w:p w14:paraId="131E6FC3">
            <w:pPr>
              <w:widowControl w:val="0"/>
              <w:snapToGrid w:val="0"/>
              <w:spacing w:line="360" w:lineRule="auto"/>
              <w:ind w:left="-3" w:hanging="21"/>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包括服务内容、人员素质、服务体系及措施、定期巡检、回访制度、技术支持和维护能力、人员管理需求及服务响应说明。</w:t>
            </w:r>
          </w:p>
          <w:p w14:paraId="11B24769">
            <w:pPr>
              <w:spacing w:line="360" w:lineRule="auto"/>
              <w:rPr>
                <w:rFonts w:hint="eastAsia" w:ascii="宋体" w:hAnsi="宋体" w:cs="宋体"/>
                <w:color w:val="auto"/>
                <w:kern w:val="2"/>
                <w:sz w:val="21"/>
                <w:highlight w:val="none"/>
              </w:rPr>
            </w:pPr>
            <w:r>
              <w:rPr>
                <w:rFonts w:hint="eastAsia" w:ascii="宋体" w:hAnsi="宋体" w:cs="宋体"/>
                <w:color w:val="auto"/>
                <w:kern w:val="2"/>
                <w:sz w:val="21"/>
                <w:szCs w:val="21"/>
                <w:highlight w:val="none"/>
              </w:rPr>
              <w:t>售后服务方案、措施、响应等客观、合理、全面周到得8分，方案存在欠佳或缺陷的每项（次）扣1分；扣完该项得分为止。无方案的不得分</w:t>
            </w:r>
          </w:p>
        </w:tc>
        <w:tc>
          <w:tcPr>
            <w:tcW w:w="805" w:type="dxa"/>
            <w:vAlign w:val="center"/>
          </w:tcPr>
          <w:p w14:paraId="7F6A4A20">
            <w:pPr>
              <w:widowControl w:val="0"/>
              <w:autoSpaceDE w:val="0"/>
              <w:autoSpaceDN w:val="0"/>
              <w:adjustRightInd w:val="0"/>
              <w:spacing w:line="360" w:lineRule="auto"/>
              <w:jc w:val="center"/>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8</w:t>
            </w:r>
          </w:p>
        </w:tc>
      </w:tr>
      <w:tr w14:paraId="21D72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51" w:type="dxa"/>
            <w:vAlign w:val="center"/>
          </w:tcPr>
          <w:p w14:paraId="50149628">
            <w:pPr>
              <w:widowControl w:val="0"/>
              <w:numPr>
                <w:ilvl w:val="0"/>
                <w:numId w:val="12"/>
              </w:numPr>
              <w:spacing w:line="360" w:lineRule="auto"/>
              <w:jc w:val="center"/>
              <w:rPr>
                <w:rFonts w:hint="eastAsia" w:ascii="宋体" w:hAnsi="宋体" w:cs="宋体"/>
                <w:color w:val="auto"/>
                <w:kern w:val="2"/>
                <w:sz w:val="21"/>
                <w:szCs w:val="22"/>
                <w:highlight w:val="none"/>
              </w:rPr>
            </w:pPr>
          </w:p>
        </w:tc>
        <w:tc>
          <w:tcPr>
            <w:tcW w:w="1071" w:type="dxa"/>
            <w:vAlign w:val="center"/>
          </w:tcPr>
          <w:p w14:paraId="40D1528D">
            <w:pPr>
              <w:widowControl w:val="0"/>
              <w:snapToGrid w:val="0"/>
              <w:spacing w:line="360" w:lineRule="auto"/>
              <w:jc w:val="center"/>
              <w:rPr>
                <w:rFonts w:hint="eastAsia" w:ascii="仿宋" w:hAnsi="仿宋" w:eastAsia="仿宋" w:cs="仿宋"/>
                <w:color w:val="auto"/>
                <w:kern w:val="2"/>
                <w:szCs w:val="22"/>
                <w:highlight w:val="none"/>
              </w:rPr>
            </w:pPr>
            <w:r>
              <w:rPr>
                <w:rFonts w:hint="eastAsia" w:ascii="宋体" w:hAnsi="宋体" w:cs="宋体"/>
                <w:color w:val="auto"/>
                <w:kern w:val="2"/>
                <w:sz w:val="21"/>
                <w:highlight w:val="none"/>
              </w:rPr>
              <w:t>合理化建议</w:t>
            </w:r>
          </w:p>
        </w:tc>
        <w:tc>
          <w:tcPr>
            <w:tcW w:w="6405" w:type="dxa"/>
            <w:vAlign w:val="center"/>
          </w:tcPr>
          <w:p w14:paraId="3958B2C8">
            <w:pPr>
              <w:widowControl w:val="0"/>
              <w:autoSpaceDE w:val="0"/>
              <w:autoSpaceDN w:val="0"/>
              <w:adjustRightInd w:val="0"/>
              <w:spacing w:line="360" w:lineRule="auto"/>
              <w:jc w:val="both"/>
              <w:rPr>
                <w:rFonts w:hint="eastAsia" w:ascii="宋体" w:hAnsi="宋体" w:cs="宋体"/>
                <w:color w:val="auto"/>
                <w:kern w:val="2"/>
                <w:sz w:val="21"/>
                <w:highlight w:val="none"/>
              </w:rPr>
            </w:pPr>
            <w:r>
              <w:rPr>
                <w:rFonts w:hint="eastAsia" w:ascii="宋体" w:hAnsi="宋体" w:cs="宋体"/>
                <w:color w:val="auto"/>
                <w:kern w:val="2"/>
                <w:sz w:val="21"/>
                <w:szCs w:val="21"/>
                <w:highlight w:val="none"/>
              </w:rPr>
              <w:t>投标人对项目产品在教学、实训及竞赛中的使用进行客观仔细地分析，并结合采购人专业等实际情况，提出合理化建议，每采纳一项得1分，最高2分。</w:t>
            </w:r>
          </w:p>
        </w:tc>
        <w:tc>
          <w:tcPr>
            <w:tcW w:w="805" w:type="dxa"/>
            <w:vAlign w:val="center"/>
          </w:tcPr>
          <w:p w14:paraId="1ACF680B">
            <w:pPr>
              <w:widowControl w:val="0"/>
              <w:snapToGrid w:val="0"/>
              <w:spacing w:line="360" w:lineRule="auto"/>
              <w:jc w:val="center"/>
              <w:rPr>
                <w:rFonts w:hint="eastAsia" w:ascii="仿宋" w:hAnsi="仿宋" w:eastAsia="仿宋" w:cs="仿宋"/>
                <w:color w:val="auto"/>
                <w:kern w:val="2"/>
                <w:szCs w:val="22"/>
                <w:highlight w:val="none"/>
              </w:rPr>
            </w:pPr>
            <w:r>
              <w:rPr>
                <w:rFonts w:hint="eastAsia" w:ascii="宋体" w:hAnsi="宋体" w:cs="宋体"/>
                <w:color w:val="auto"/>
                <w:kern w:val="2"/>
                <w:sz w:val="21"/>
                <w:szCs w:val="22"/>
                <w:highlight w:val="none"/>
              </w:rPr>
              <w:t>2</w:t>
            </w:r>
          </w:p>
        </w:tc>
      </w:tr>
      <w:tr w14:paraId="481A2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651" w:type="dxa"/>
            <w:vAlign w:val="center"/>
          </w:tcPr>
          <w:p w14:paraId="56512370">
            <w:pPr>
              <w:widowControl w:val="0"/>
              <w:numPr>
                <w:ilvl w:val="0"/>
                <w:numId w:val="12"/>
              </w:numPr>
              <w:spacing w:line="360" w:lineRule="auto"/>
              <w:jc w:val="center"/>
              <w:rPr>
                <w:rFonts w:hint="eastAsia" w:ascii="宋体" w:hAnsi="宋体" w:cs="宋体"/>
                <w:color w:val="auto"/>
                <w:kern w:val="2"/>
                <w:sz w:val="21"/>
                <w:highlight w:val="none"/>
              </w:rPr>
            </w:pPr>
          </w:p>
        </w:tc>
        <w:tc>
          <w:tcPr>
            <w:tcW w:w="1071" w:type="dxa"/>
            <w:vAlign w:val="center"/>
          </w:tcPr>
          <w:p w14:paraId="01C95ABB">
            <w:pPr>
              <w:widowControl w:val="0"/>
              <w:tabs>
                <w:tab w:val="left" w:pos="3850"/>
              </w:tabs>
              <w:spacing w:line="360" w:lineRule="auto"/>
              <w:jc w:val="center"/>
              <w:rPr>
                <w:rFonts w:hint="eastAsia" w:ascii="宋体" w:hAnsi="宋体" w:cs="宋体"/>
                <w:color w:val="auto"/>
                <w:kern w:val="2"/>
                <w:sz w:val="21"/>
                <w:highlight w:val="none"/>
              </w:rPr>
            </w:pPr>
            <w:r>
              <w:rPr>
                <w:color w:val="auto"/>
                <w:kern w:val="2"/>
                <w:sz w:val="21"/>
                <w:szCs w:val="21"/>
                <w:highlight w:val="none"/>
              </w:rPr>
              <w:t>政策分</w:t>
            </w:r>
          </w:p>
        </w:tc>
        <w:tc>
          <w:tcPr>
            <w:tcW w:w="6405" w:type="dxa"/>
            <w:vAlign w:val="center"/>
          </w:tcPr>
          <w:p w14:paraId="24AA5FA6">
            <w:pPr>
              <w:keepNext/>
              <w:widowControl w:val="0"/>
              <w:tabs>
                <w:tab w:val="left" w:pos="3808"/>
              </w:tabs>
              <w:adjustRightInd w:val="0"/>
              <w:snapToGrid w:val="0"/>
              <w:spacing w:before="60" w:after="60" w:line="360" w:lineRule="auto"/>
              <w:jc w:val="both"/>
              <w:rPr>
                <w:color w:val="auto"/>
                <w:kern w:val="2"/>
                <w:sz w:val="21"/>
                <w:szCs w:val="21"/>
                <w:highlight w:val="none"/>
              </w:rPr>
            </w:pPr>
            <w:r>
              <w:rPr>
                <w:rFonts w:hint="eastAsia"/>
                <w:color w:val="auto"/>
                <w:kern w:val="2"/>
                <w:sz w:val="21"/>
                <w:szCs w:val="21"/>
                <w:highlight w:val="none"/>
              </w:rPr>
              <w:t>1.投标产品列入财政部、发展改革委、生态环境部等部门发布的节能产品品目清单（财库〔2019〕19号）且提供国家确定的认证机构出具的、处于有效期之内的节能产品认证证书的，每项证书得0.5分，最高得1分。</w:t>
            </w:r>
          </w:p>
          <w:p w14:paraId="37242120">
            <w:pPr>
              <w:keepNext/>
              <w:widowControl w:val="0"/>
              <w:tabs>
                <w:tab w:val="left" w:pos="3808"/>
              </w:tabs>
              <w:adjustRightInd w:val="0"/>
              <w:snapToGrid w:val="0"/>
              <w:spacing w:before="60" w:after="60" w:line="360" w:lineRule="auto"/>
              <w:jc w:val="both"/>
              <w:rPr>
                <w:color w:val="auto"/>
                <w:kern w:val="2"/>
                <w:sz w:val="21"/>
                <w:szCs w:val="21"/>
                <w:highlight w:val="none"/>
              </w:rPr>
            </w:pPr>
            <w:r>
              <w:rPr>
                <w:rFonts w:hint="eastAsia"/>
                <w:color w:val="auto"/>
                <w:kern w:val="2"/>
                <w:sz w:val="21"/>
                <w:szCs w:val="21"/>
                <w:highlight w:val="none"/>
              </w:rPr>
              <w:t>2.投标产品列入财政部、发展改革委、生态环境部等部门发布的环境标志产品品目清单（财库〔2019〕18号）且提供国家确定的认证机构出具的、处于有效期之内的环境标志产品认证证书的，每项证书得0.5分，最高得1分。</w:t>
            </w:r>
          </w:p>
          <w:p w14:paraId="00178D7D">
            <w:pPr>
              <w:keepNext/>
              <w:widowControl w:val="0"/>
              <w:tabs>
                <w:tab w:val="left" w:pos="3808"/>
              </w:tabs>
              <w:adjustRightInd w:val="0"/>
              <w:snapToGrid w:val="0"/>
              <w:spacing w:before="60" w:after="60" w:line="360" w:lineRule="auto"/>
              <w:jc w:val="both"/>
              <w:rPr>
                <w:rFonts w:hint="eastAsia" w:ascii="宋体" w:hAnsi="宋体" w:cs="宋体"/>
                <w:color w:val="auto"/>
                <w:kern w:val="2"/>
                <w:sz w:val="21"/>
                <w:szCs w:val="21"/>
                <w:highlight w:val="none"/>
              </w:rPr>
            </w:pPr>
            <w:r>
              <w:rPr>
                <w:rFonts w:hint="eastAsia"/>
                <w:color w:val="auto"/>
                <w:kern w:val="2"/>
                <w:sz w:val="21"/>
                <w:szCs w:val="21"/>
                <w:highlight w:val="none"/>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805" w:type="dxa"/>
            <w:vAlign w:val="center"/>
          </w:tcPr>
          <w:p w14:paraId="229BA51E">
            <w:pPr>
              <w:widowControl w:val="0"/>
              <w:kinsoku w:val="0"/>
              <w:spacing w:line="360" w:lineRule="auto"/>
              <w:jc w:val="center"/>
              <w:rPr>
                <w:rFonts w:hint="eastAsia" w:ascii="宋体" w:hAnsi="宋体" w:cs="宋体"/>
                <w:color w:val="auto"/>
                <w:kern w:val="2"/>
                <w:sz w:val="21"/>
                <w:szCs w:val="22"/>
                <w:highlight w:val="none"/>
              </w:rPr>
            </w:pPr>
            <w:r>
              <w:rPr>
                <w:color w:val="auto"/>
                <w:kern w:val="2"/>
                <w:sz w:val="21"/>
                <w:szCs w:val="21"/>
                <w:highlight w:val="none"/>
              </w:rPr>
              <w:t>2</w:t>
            </w:r>
          </w:p>
        </w:tc>
      </w:tr>
      <w:tr w14:paraId="28A4DB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8127" w:type="dxa"/>
            <w:gridSpan w:val="3"/>
            <w:vAlign w:val="center"/>
          </w:tcPr>
          <w:p w14:paraId="2E2DB4CA">
            <w:pPr>
              <w:widowControl w:val="0"/>
              <w:kinsoku w:val="0"/>
              <w:spacing w:line="360" w:lineRule="auto"/>
              <w:ind w:right="-22" w:rightChars="-9"/>
              <w:jc w:val="center"/>
              <w:rPr>
                <w:color w:val="auto"/>
                <w:kern w:val="2"/>
                <w:sz w:val="21"/>
                <w:szCs w:val="21"/>
                <w:highlight w:val="none"/>
              </w:rPr>
            </w:pPr>
            <w:r>
              <w:rPr>
                <w:rFonts w:hint="eastAsia"/>
                <w:color w:val="auto"/>
                <w:kern w:val="2"/>
                <w:sz w:val="21"/>
                <w:szCs w:val="21"/>
                <w:highlight w:val="none"/>
              </w:rPr>
              <w:t>合计</w:t>
            </w:r>
          </w:p>
        </w:tc>
        <w:tc>
          <w:tcPr>
            <w:tcW w:w="805" w:type="dxa"/>
            <w:vAlign w:val="center"/>
          </w:tcPr>
          <w:p w14:paraId="2A7D6BFF">
            <w:pPr>
              <w:widowControl w:val="0"/>
              <w:kinsoku w:val="0"/>
              <w:spacing w:line="360" w:lineRule="auto"/>
              <w:jc w:val="center"/>
              <w:rPr>
                <w:color w:val="auto"/>
                <w:kern w:val="2"/>
                <w:sz w:val="21"/>
                <w:szCs w:val="21"/>
                <w:highlight w:val="none"/>
              </w:rPr>
            </w:pPr>
            <w:r>
              <w:rPr>
                <w:rFonts w:hint="eastAsia"/>
                <w:color w:val="auto"/>
                <w:kern w:val="2"/>
                <w:sz w:val="21"/>
                <w:szCs w:val="21"/>
                <w:highlight w:val="none"/>
              </w:rPr>
              <w:t>70</w:t>
            </w:r>
          </w:p>
        </w:tc>
      </w:tr>
      <w:bookmarkEnd w:id="61"/>
    </w:tbl>
    <w:p w14:paraId="57846F85">
      <w:pPr>
        <w:rPr>
          <w:b/>
          <w:bCs/>
          <w:color w:val="auto"/>
          <w:highlight w:val="none"/>
        </w:rPr>
      </w:pPr>
      <w:r>
        <w:rPr>
          <w:rFonts w:hint="eastAsia"/>
          <w:b/>
          <w:bCs/>
          <w:color w:val="auto"/>
          <w:highlight w:val="none"/>
        </w:rPr>
        <w:t>备注:1.投标人提供的检测报告、认证证书等客观分须同时附完整网址或二维码等查询途径，否则不予计分。</w:t>
      </w:r>
    </w:p>
    <w:p w14:paraId="0EB734DC">
      <w:pPr>
        <w:rPr>
          <w:b/>
          <w:bCs/>
          <w:color w:val="auto"/>
          <w:highlight w:val="none"/>
        </w:rPr>
      </w:pPr>
      <w:r>
        <w:rPr>
          <w:rFonts w:hint="eastAsia"/>
          <w:b/>
          <w:bCs/>
          <w:color w:val="auto"/>
          <w:highlight w:val="none"/>
        </w:rPr>
        <w:t>2.根据《浙江省财政厅关于进一步规范政府采购秩序促进公平竞争的通知》(浙财采监(2025)2号)的要求，在评审结束后、合同签订前，中标人须将投标(响应)文件中涉及客观分评审内容的检测报告、认证证书等资料原件递交至采购代理机构进行复核，复核情况详细记录，并纳入采购档案。发现供应商提供虚假材料的，将及时书面报告同级财政部门。</w:t>
      </w:r>
    </w:p>
    <w:p w14:paraId="257392D9">
      <w:pPr>
        <w:rPr>
          <w:b/>
          <w:bCs/>
          <w:color w:val="auto"/>
          <w:highlight w:val="none"/>
        </w:rPr>
      </w:pPr>
      <w:r>
        <w:rPr>
          <w:rFonts w:hint="eastAsia"/>
          <w:b/>
          <w:bCs/>
          <w:color w:val="auto"/>
          <w:highlight w:val="none"/>
        </w:rPr>
        <w:t>3.复核方式：（1） 网站、二维码查询复核，打印网页截图(包含打印时间、网址链接)；（2）无网站、二维码查询途径的，应核对原件；由代理机构复印原件(评分的关键页)并加盖“复印件与原件一致章”；未提供原件或发现供应商提供虚假材料的，将及时书面报告同级财政部门。</w:t>
      </w:r>
    </w:p>
    <w:p w14:paraId="5DD547C7">
      <w:pPr>
        <w:pStyle w:val="39"/>
        <w:widowControl w:val="0"/>
        <w:adjustRightInd w:val="0"/>
        <w:snapToGrid w:val="0"/>
        <w:spacing w:before="0" w:beforeAutospacing="0" w:after="0" w:afterAutospacing="0" w:line="360" w:lineRule="auto"/>
        <w:ind w:firstLine="470" w:firstLineChars="196"/>
        <w:rPr>
          <w:rFonts w:hint="default" w:ascii="Times New Roman" w:hAnsi="Times New Roman"/>
          <w:color w:val="auto"/>
          <w:highlight w:val="none"/>
        </w:rPr>
      </w:pPr>
      <w:r>
        <w:rPr>
          <w:rFonts w:hint="default" w:ascii="Times New Roman" w:hAnsi="Times New Roman"/>
          <w:color w:val="auto"/>
          <w:highlight w:val="none"/>
        </w:rPr>
        <w:t xml:space="preserve">2.价格评审：有效投标报价的最低价作为评标基准价，其最低报价为满分，其余各投标人价格得分的计算公式为：（评标基准价÷各投标人的有效报价）×30分。 </w:t>
      </w:r>
    </w:p>
    <w:p w14:paraId="5A2F78EE">
      <w:pPr>
        <w:widowControl w:val="0"/>
        <w:adjustRightInd w:val="0"/>
        <w:snapToGrid w:val="0"/>
        <w:spacing w:line="360" w:lineRule="auto"/>
        <w:ind w:firstLine="361" w:firstLineChars="150"/>
        <w:rPr>
          <w:b/>
          <w:color w:val="auto"/>
          <w:highlight w:val="none"/>
        </w:rPr>
      </w:pPr>
      <w:r>
        <w:rPr>
          <w:b/>
          <w:color w:val="auto"/>
          <w:highlight w:val="none"/>
        </w:rPr>
        <w:t>注：根据相关扶持政策的规定，对符合相关要求的有效投标人，给予小型和微型企业10%的价格扣除，以调整后的价格计算评标基准价和投标报价。</w:t>
      </w:r>
    </w:p>
    <w:p w14:paraId="6A3F21EB">
      <w:pPr>
        <w:widowControl w:val="0"/>
        <w:adjustRightInd w:val="0"/>
        <w:snapToGrid w:val="0"/>
        <w:spacing w:line="360" w:lineRule="auto"/>
        <w:ind w:firstLine="361" w:firstLineChars="150"/>
        <w:rPr>
          <w:b/>
          <w:color w:val="auto"/>
          <w:highlight w:val="none"/>
        </w:rPr>
      </w:pPr>
      <w:r>
        <w:rPr>
          <w:b/>
          <w:color w:val="auto"/>
          <w:highlight w:val="none"/>
        </w:rPr>
        <w:t>小型和微型企业评标价格＝符合小微企业的报价×(1-10%)</w:t>
      </w:r>
    </w:p>
    <w:p w14:paraId="13051DF3">
      <w:pPr>
        <w:widowControl w:val="0"/>
        <w:adjustRightInd w:val="0"/>
        <w:snapToGrid w:val="0"/>
        <w:spacing w:line="360" w:lineRule="auto"/>
        <w:ind w:firstLine="480" w:firstLineChars="200"/>
        <w:rPr>
          <w:color w:val="auto"/>
          <w:highlight w:val="none"/>
        </w:rPr>
      </w:pPr>
      <w:r>
        <w:rPr>
          <w:color w:val="auto"/>
          <w:highlight w:val="none"/>
        </w:rPr>
        <w:t>3.总分计算（满分为100分）</w:t>
      </w:r>
    </w:p>
    <w:p w14:paraId="465AA421">
      <w:pPr>
        <w:widowControl w:val="0"/>
        <w:adjustRightInd w:val="0"/>
        <w:snapToGrid w:val="0"/>
        <w:spacing w:line="360" w:lineRule="auto"/>
        <w:ind w:firstLine="480" w:firstLineChars="200"/>
        <w:rPr>
          <w:color w:val="auto"/>
          <w:highlight w:val="none"/>
        </w:rPr>
      </w:pPr>
      <w:r>
        <w:rPr>
          <w:color w:val="auto"/>
          <w:highlight w:val="none"/>
        </w:rPr>
        <w:t>投标人的最终得分=</w:t>
      </w:r>
      <w:r>
        <w:rPr>
          <w:rFonts w:hint="eastAsia"/>
          <w:color w:val="auto"/>
          <w:highlight w:val="none"/>
        </w:rPr>
        <w:t>技术资信</w:t>
      </w:r>
      <w:r>
        <w:rPr>
          <w:color w:val="auto"/>
          <w:highlight w:val="none"/>
        </w:rPr>
        <w:t>得分+价格得分</w:t>
      </w:r>
    </w:p>
    <w:p w14:paraId="1E577050">
      <w:pPr>
        <w:widowControl w:val="0"/>
        <w:adjustRightInd w:val="0"/>
        <w:snapToGrid w:val="0"/>
        <w:spacing w:line="360" w:lineRule="auto"/>
        <w:ind w:firstLine="435"/>
        <w:jc w:val="both"/>
        <w:rPr>
          <w:b/>
          <w:bCs/>
          <w:color w:val="auto"/>
          <w:highlight w:val="none"/>
        </w:rPr>
      </w:pPr>
      <w:r>
        <w:rPr>
          <w:b/>
          <w:bCs/>
          <w:color w:val="auto"/>
          <w:highlight w:val="none"/>
        </w:rPr>
        <w:t>三、评标程序</w:t>
      </w:r>
    </w:p>
    <w:p w14:paraId="1B7C7D3D">
      <w:pPr>
        <w:pStyle w:val="24"/>
        <w:widowControl w:val="0"/>
        <w:snapToGrid w:val="0"/>
        <w:spacing w:before="0" w:beforeAutospacing="0" w:after="0" w:afterAutospacing="0" w:line="360" w:lineRule="auto"/>
        <w:ind w:firstLine="479" w:firstLineChars="199"/>
        <w:rPr>
          <w:rFonts w:ascii="Times New Roman" w:hAnsi="Times New Roman"/>
          <w:b/>
          <w:color w:val="auto"/>
          <w:highlight w:val="none"/>
        </w:rPr>
      </w:pPr>
      <w:bookmarkStart w:id="62" w:name="_Toc39239708"/>
      <w:r>
        <w:rPr>
          <w:rFonts w:ascii="Times New Roman" w:hAnsi="Times New Roman"/>
          <w:b/>
          <w:color w:val="auto"/>
          <w:highlight w:val="none"/>
        </w:rPr>
        <w:t>1.资格</w:t>
      </w:r>
      <w:r>
        <w:rPr>
          <w:rFonts w:hint="eastAsia" w:ascii="Times New Roman" w:hAnsi="Times New Roman"/>
          <w:b/>
          <w:color w:val="auto"/>
          <w:highlight w:val="none"/>
        </w:rPr>
        <w:t>性</w:t>
      </w:r>
      <w:r>
        <w:rPr>
          <w:rFonts w:ascii="Times New Roman" w:hAnsi="Times New Roman"/>
          <w:b/>
          <w:color w:val="auto"/>
          <w:highlight w:val="none"/>
        </w:rPr>
        <w:t>审查</w:t>
      </w:r>
      <w:r>
        <w:rPr>
          <w:rFonts w:hint="eastAsia" w:ascii="Times New Roman" w:hAnsi="Times New Roman"/>
          <w:b/>
          <w:color w:val="auto"/>
          <w:highlight w:val="none"/>
        </w:rPr>
        <w:t>。</w:t>
      </w:r>
      <w:r>
        <w:rPr>
          <w:rFonts w:hint="eastAsia" w:cs="宋体"/>
          <w:color w:val="auto"/>
          <w:highlight w:val="none"/>
        </w:rPr>
        <w:t>采购人或者</w:t>
      </w:r>
      <w:r>
        <w:rPr>
          <w:rFonts w:ascii="Times New Roman" w:hAnsi="Times New Roman"/>
          <w:color w:val="auto"/>
          <w:highlight w:val="none"/>
        </w:rPr>
        <w:t>代理机构</w:t>
      </w:r>
      <w:r>
        <w:rPr>
          <w:rFonts w:hint="eastAsia" w:cs="宋体"/>
          <w:color w:val="auto"/>
          <w:highlight w:val="none"/>
        </w:rPr>
        <w:t>对各投标人的资格进行审查，投标人资格条件不符合招标文件要求的投标无效，</w:t>
      </w:r>
      <w:r>
        <w:rPr>
          <w:rFonts w:hint="eastAsia" w:cs="宋体"/>
          <w:bCs/>
          <w:color w:val="auto"/>
          <w:highlight w:val="none"/>
        </w:rPr>
        <w:t>不再进入符合性审查。</w:t>
      </w:r>
      <w:r>
        <w:rPr>
          <w:rFonts w:ascii="Times New Roman" w:hAnsi="Times New Roman"/>
          <w:color w:val="auto"/>
          <w:highlight w:val="none"/>
        </w:rPr>
        <w:t>合格供应商不足3家的，不再评审，项目作流标处理。</w:t>
      </w:r>
    </w:p>
    <w:p w14:paraId="11DD4E47">
      <w:pPr>
        <w:spacing w:line="360" w:lineRule="auto"/>
        <w:ind w:firstLine="472" w:firstLineChars="196"/>
        <w:rPr>
          <w:color w:val="auto"/>
          <w:highlight w:val="none"/>
        </w:rPr>
      </w:pPr>
      <w:r>
        <w:rPr>
          <w:rFonts w:hint="eastAsia"/>
          <w:b/>
          <w:color w:val="auto"/>
          <w:highlight w:val="none"/>
        </w:rPr>
        <w:t>2</w:t>
      </w:r>
      <w:r>
        <w:rPr>
          <w:b/>
          <w:color w:val="auto"/>
          <w:highlight w:val="none"/>
        </w:rPr>
        <w:t>.符合性审查。</w:t>
      </w:r>
      <w:r>
        <w:rPr>
          <w:color w:val="auto"/>
          <w:highlight w:val="none"/>
        </w:rPr>
        <w:t>评标委员会应当对符合资格的投标人的投标文件进行符合性审查，以确定其是否满足招标文件的实质性要求。不满足招标文件的实质性要求的，投标无效。</w:t>
      </w:r>
    </w:p>
    <w:p w14:paraId="7210A759">
      <w:pPr>
        <w:spacing w:line="360" w:lineRule="auto"/>
        <w:ind w:firstLine="472" w:firstLineChars="196"/>
        <w:rPr>
          <w:color w:val="auto"/>
          <w:highlight w:val="none"/>
        </w:rPr>
      </w:pPr>
      <w:r>
        <w:rPr>
          <w:rFonts w:hint="eastAsia"/>
          <w:b/>
          <w:color w:val="auto"/>
          <w:highlight w:val="none"/>
        </w:rPr>
        <w:t>3</w:t>
      </w:r>
      <w:r>
        <w:rPr>
          <w:b/>
          <w:color w:val="auto"/>
          <w:highlight w:val="none"/>
        </w:rPr>
        <w:t>.比较与评价。</w:t>
      </w:r>
      <w:r>
        <w:rPr>
          <w:color w:val="auto"/>
          <w:highlight w:val="none"/>
        </w:rPr>
        <w:t>评标委员会应当按照招标文件中规定的评标方法和标准，对符合性审查合格的投标文件进行技术资信评估，综合比较与评价。</w:t>
      </w:r>
    </w:p>
    <w:p w14:paraId="03F0EBF6">
      <w:pPr>
        <w:widowControl w:val="0"/>
        <w:adjustRightInd w:val="0"/>
        <w:snapToGrid w:val="0"/>
        <w:spacing w:line="360" w:lineRule="auto"/>
        <w:ind w:firstLine="435"/>
        <w:jc w:val="both"/>
        <w:rPr>
          <w:color w:val="auto"/>
          <w:highlight w:val="none"/>
        </w:rPr>
      </w:pPr>
      <w:r>
        <w:rPr>
          <w:rFonts w:hint="eastAsia"/>
          <w:b/>
          <w:bCs/>
          <w:color w:val="auto"/>
          <w:highlight w:val="none"/>
        </w:rPr>
        <w:t>4</w:t>
      </w:r>
      <w:r>
        <w:rPr>
          <w:b/>
          <w:bCs/>
          <w:color w:val="auto"/>
          <w:highlight w:val="none"/>
        </w:rPr>
        <w:t>.投标人澄清、说明或者补正。</w:t>
      </w:r>
      <w:r>
        <w:rPr>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对投标文件中含义不明确、同类问题表述不一致或者有明显文字和计算错误的内容，评标委员会可要求投标人作出必要的澄清说明。投标人的澄清说明应当在政采云端口进行，内容不得超出投标文件的范围或者改变投标文件的实质性内容。</w:t>
      </w:r>
    </w:p>
    <w:p w14:paraId="4C98DBC3">
      <w:pPr>
        <w:spacing w:line="360" w:lineRule="auto"/>
        <w:ind w:firstLine="472" w:firstLineChars="196"/>
        <w:rPr>
          <w:color w:val="auto"/>
          <w:highlight w:val="none"/>
        </w:rPr>
      </w:pPr>
      <w:r>
        <w:rPr>
          <w:rFonts w:hint="eastAsia"/>
          <w:b/>
          <w:color w:val="auto"/>
          <w:highlight w:val="none"/>
        </w:rPr>
        <w:t>5</w:t>
      </w:r>
      <w:r>
        <w:rPr>
          <w:b/>
          <w:color w:val="auto"/>
          <w:highlight w:val="none"/>
        </w:rPr>
        <w:t>.汇总技术资信得分。</w:t>
      </w:r>
      <w:r>
        <w:rPr>
          <w:color w:val="auto"/>
          <w:highlight w:val="none"/>
        </w:rPr>
        <w:t>评标委员会各成员应当独立对每个投标人的技术资信文件进行评价，并汇总技术资信得分情况。</w:t>
      </w:r>
    </w:p>
    <w:p w14:paraId="1F33A5CD">
      <w:pPr>
        <w:widowControl w:val="0"/>
        <w:adjustRightInd w:val="0"/>
        <w:snapToGrid w:val="0"/>
        <w:spacing w:line="360" w:lineRule="auto"/>
        <w:ind w:firstLine="435"/>
        <w:jc w:val="both"/>
        <w:rPr>
          <w:b/>
          <w:bCs/>
          <w:color w:val="auto"/>
          <w:highlight w:val="none"/>
        </w:rPr>
      </w:pPr>
      <w:r>
        <w:rPr>
          <w:rFonts w:hint="eastAsia"/>
          <w:b/>
          <w:bCs/>
          <w:color w:val="auto"/>
          <w:highlight w:val="none"/>
        </w:rPr>
        <w:t>6</w:t>
      </w:r>
      <w:r>
        <w:rPr>
          <w:b/>
          <w:bCs/>
          <w:color w:val="auto"/>
          <w:highlight w:val="none"/>
        </w:rPr>
        <w:t>.错误修正</w:t>
      </w:r>
    </w:p>
    <w:p w14:paraId="1B6C7AC6">
      <w:pPr>
        <w:widowControl w:val="0"/>
        <w:adjustRightInd w:val="0"/>
        <w:snapToGrid w:val="0"/>
        <w:spacing w:line="360" w:lineRule="auto"/>
        <w:ind w:firstLine="435"/>
        <w:jc w:val="both"/>
        <w:rPr>
          <w:color w:val="auto"/>
          <w:highlight w:val="none"/>
        </w:rPr>
      </w:pPr>
      <w:r>
        <w:rPr>
          <w:color w:val="auto"/>
          <w:highlight w:val="none"/>
        </w:rPr>
        <w:t>报价文件如果出现计算或表达上的错误，修正错误的原则如下：</w:t>
      </w:r>
    </w:p>
    <w:p w14:paraId="2BAEB47B">
      <w:pPr>
        <w:widowControl w:val="0"/>
        <w:adjustRightInd w:val="0"/>
        <w:snapToGrid w:val="0"/>
        <w:spacing w:line="360" w:lineRule="auto"/>
        <w:ind w:firstLine="435"/>
        <w:jc w:val="both"/>
        <w:rPr>
          <w:color w:val="auto"/>
          <w:highlight w:val="none"/>
        </w:rPr>
      </w:pPr>
      <w:bookmarkStart w:id="63" w:name="_Hlk92876645"/>
      <w:r>
        <w:rPr>
          <w:rFonts w:hint="eastAsia"/>
          <w:color w:val="auto"/>
          <w:highlight w:val="none"/>
        </w:rPr>
        <w:t>6</w:t>
      </w:r>
      <w:r>
        <w:rPr>
          <w:color w:val="auto"/>
          <w:highlight w:val="none"/>
        </w:rPr>
        <w:t>.1电子交易平台中“开标一览表”与投标人上传报价文件中“开标一览表”不一致的，以投标人上传报价文件的“开标一览表”为准。</w:t>
      </w:r>
    </w:p>
    <w:p w14:paraId="684E8F26">
      <w:pPr>
        <w:widowControl w:val="0"/>
        <w:adjustRightInd w:val="0"/>
        <w:snapToGrid w:val="0"/>
        <w:spacing w:line="360" w:lineRule="auto"/>
        <w:ind w:firstLine="435"/>
        <w:jc w:val="both"/>
        <w:rPr>
          <w:color w:val="auto"/>
          <w:highlight w:val="none"/>
        </w:rPr>
      </w:pPr>
      <w:r>
        <w:rPr>
          <w:rFonts w:hint="eastAsia"/>
          <w:color w:val="auto"/>
          <w:highlight w:val="none"/>
        </w:rPr>
        <w:t>6</w:t>
      </w:r>
      <w:r>
        <w:rPr>
          <w:color w:val="auto"/>
          <w:highlight w:val="none"/>
        </w:rPr>
        <w:t>.2投标文件中开标一览表（报价表）内容与投标文件中相应内容不一致的，以开标一览表（报价表）为准；</w:t>
      </w:r>
    </w:p>
    <w:p w14:paraId="28D6950D">
      <w:pPr>
        <w:widowControl w:val="0"/>
        <w:adjustRightInd w:val="0"/>
        <w:snapToGrid w:val="0"/>
        <w:spacing w:line="360" w:lineRule="auto"/>
        <w:ind w:firstLine="435"/>
        <w:jc w:val="both"/>
        <w:rPr>
          <w:color w:val="auto"/>
          <w:highlight w:val="none"/>
        </w:rPr>
      </w:pPr>
      <w:r>
        <w:rPr>
          <w:rFonts w:hint="eastAsia"/>
          <w:color w:val="auto"/>
          <w:highlight w:val="none"/>
        </w:rPr>
        <w:t>6</w:t>
      </w:r>
      <w:r>
        <w:rPr>
          <w:color w:val="auto"/>
          <w:highlight w:val="none"/>
        </w:rPr>
        <w:t>.3大写金额和小写金额不一致的，以大写金额为准；</w:t>
      </w:r>
    </w:p>
    <w:p w14:paraId="4B20CAF2">
      <w:pPr>
        <w:widowControl w:val="0"/>
        <w:adjustRightInd w:val="0"/>
        <w:snapToGrid w:val="0"/>
        <w:spacing w:line="360" w:lineRule="auto"/>
        <w:ind w:firstLine="435"/>
        <w:jc w:val="both"/>
        <w:rPr>
          <w:color w:val="auto"/>
          <w:highlight w:val="none"/>
        </w:rPr>
      </w:pPr>
      <w:r>
        <w:rPr>
          <w:rFonts w:hint="eastAsia"/>
          <w:color w:val="auto"/>
          <w:highlight w:val="none"/>
        </w:rPr>
        <w:t>6</w:t>
      </w:r>
      <w:r>
        <w:rPr>
          <w:color w:val="auto"/>
          <w:highlight w:val="none"/>
        </w:rPr>
        <w:t>.4单价金额小数点或者百分比有明显错位的，以报价一览表的总价为准，并修改单价；</w:t>
      </w:r>
    </w:p>
    <w:p w14:paraId="44167ABC">
      <w:pPr>
        <w:widowControl w:val="0"/>
        <w:adjustRightInd w:val="0"/>
        <w:snapToGrid w:val="0"/>
        <w:spacing w:line="360" w:lineRule="auto"/>
        <w:ind w:firstLine="435"/>
        <w:jc w:val="both"/>
        <w:rPr>
          <w:color w:val="auto"/>
          <w:highlight w:val="none"/>
        </w:rPr>
      </w:pPr>
      <w:r>
        <w:rPr>
          <w:rFonts w:hint="eastAsia"/>
          <w:color w:val="auto"/>
          <w:highlight w:val="none"/>
        </w:rPr>
        <w:t>6</w:t>
      </w:r>
      <w:r>
        <w:rPr>
          <w:color w:val="auto"/>
          <w:highlight w:val="none"/>
        </w:rPr>
        <w:t>.5总价金额与按单价汇总金额不一致的，以单价金额计算结果为准。</w:t>
      </w:r>
    </w:p>
    <w:bookmarkEnd w:id="63"/>
    <w:p w14:paraId="2D6F4974">
      <w:pPr>
        <w:pStyle w:val="65"/>
        <w:spacing w:before="0"/>
        <w:ind w:firstLine="482"/>
        <w:rPr>
          <w:b/>
          <w:bCs/>
          <w:color w:val="auto"/>
          <w:highlight w:val="none"/>
        </w:rPr>
      </w:pPr>
      <w:r>
        <w:rPr>
          <w:b/>
          <w:bCs/>
          <w:color w:val="auto"/>
          <w:highlight w:val="none"/>
        </w:rPr>
        <w:t>同时出现两种以上不一致的，按照顺序修正，修正后的报价按照财政部第87号令 《政府采购货物和服务招标投标管理办法》第五十一条第二款的规定经投标人确认后产生约束力。</w:t>
      </w:r>
    </w:p>
    <w:p w14:paraId="2161A1BD">
      <w:pPr>
        <w:widowControl w:val="0"/>
        <w:adjustRightInd w:val="0"/>
        <w:snapToGrid w:val="0"/>
        <w:spacing w:line="360" w:lineRule="auto"/>
        <w:ind w:firstLine="435"/>
        <w:jc w:val="both"/>
        <w:rPr>
          <w:color w:val="auto"/>
          <w:kern w:val="2"/>
          <w:highlight w:val="none"/>
        </w:rPr>
      </w:pPr>
      <w:r>
        <w:rPr>
          <w:rFonts w:hint="eastAsia"/>
          <w:b/>
          <w:bCs/>
          <w:color w:val="auto"/>
          <w:highlight w:val="none"/>
        </w:rPr>
        <w:t>7</w:t>
      </w:r>
      <w:r>
        <w:rPr>
          <w:b/>
          <w:bCs/>
          <w:color w:val="auto"/>
          <w:highlight w:val="none"/>
        </w:rPr>
        <w:t>.</w:t>
      </w:r>
      <w:r>
        <w:rPr>
          <w:b/>
          <w:color w:val="auto"/>
          <w:highlight w:val="none"/>
        </w:rPr>
        <w:t>排序与推荐。</w:t>
      </w:r>
      <w:r>
        <w:rPr>
          <w:color w:val="auto"/>
          <w:highlight w:val="none"/>
        </w:rPr>
        <w:t>采用综合评分法的，评标结果按评审后得分由高到低顺序排列。如出现得分相同的，则按投标报价由低到高顺序排列；得分且投标报价相同的并列，</w:t>
      </w:r>
      <w:r>
        <w:rPr>
          <w:rFonts w:hint="eastAsia"/>
          <w:color w:val="auto"/>
          <w:highlight w:val="none"/>
        </w:rPr>
        <w:t>由</w:t>
      </w:r>
      <w:r>
        <w:rPr>
          <w:color w:val="auto"/>
          <w:highlight w:val="none"/>
        </w:rPr>
        <w:t>评标委员会采取抽签方式确定排序。</w:t>
      </w:r>
    </w:p>
    <w:p w14:paraId="398684C9">
      <w:pPr>
        <w:spacing w:line="360" w:lineRule="auto"/>
        <w:ind w:firstLine="472" w:firstLineChars="196"/>
        <w:rPr>
          <w:color w:val="auto"/>
          <w:highlight w:val="none"/>
        </w:rPr>
      </w:pPr>
      <w:r>
        <w:rPr>
          <w:rFonts w:hint="eastAsia"/>
          <w:b/>
          <w:color w:val="auto"/>
          <w:highlight w:val="none"/>
        </w:rPr>
        <w:t>8</w:t>
      </w:r>
      <w:r>
        <w:rPr>
          <w:b/>
          <w:color w:val="auto"/>
          <w:highlight w:val="none"/>
        </w:rPr>
        <w:t>.编写评标报告。</w:t>
      </w:r>
      <w:r>
        <w:rPr>
          <w:color w:val="auto"/>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A0E48A">
      <w:pPr>
        <w:widowControl w:val="0"/>
        <w:adjustRightInd w:val="0"/>
        <w:snapToGrid w:val="0"/>
        <w:spacing w:line="360" w:lineRule="auto"/>
        <w:ind w:firstLine="435"/>
        <w:jc w:val="both"/>
        <w:rPr>
          <w:b/>
          <w:bCs/>
          <w:color w:val="auto"/>
          <w:highlight w:val="none"/>
        </w:rPr>
      </w:pPr>
      <w:r>
        <w:rPr>
          <w:rFonts w:hint="eastAsia"/>
          <w:b/>
          <w:bCs/>
          <w:color w:val="auto"/>
          <w:highlight w:val="none"/>
        </w:rPr>
        <w:t>四、评审纪律和要求</w:t>
      </w:r>
    </w:p>
    <w:p w14:paraId="4F6C73F3">
      <w:pPr>
        <w:spacing w:line="360" w:lineRule="auto"/>
        <w:ind w:firstLine="480" w:firstLineChars="200"/>
        <w:rPr>
          <w:color w:val="auto"/>
          <w:highlight w:val="none"/>
        </w:rPr>
      </w:pPr>
      <w:r>
        <w:rPr>
          <w:color w:val="auto"/>
          <w:highlight w:val="none"/>
        </w:rPr>
        <w:t>1.评审专家必须公平、公正评审，遵纪守法，客观、廉洁地履行职责。</w:t>
      </w:r>
    </w:p>
    <w:p w14:paraId="0EA907D3">
      <w:pPr>
        <w:spacing w:line="360" w:lineRule="auto"/>
        <w:ind w:firstLine="480" w:firstLineChars="200"/>
        <w:rPr>
          <w:color w:val="auto"/>
          <w:highlight w:val="none"/>
        </w:rPr>
      </w:pPr>
      <w:r>
        <w:rPr>
          <w:color w:val="auto"/>
          <w:highlight w:val="none"/>
        </w:rPr>
        <w:t>2.评审专家在评审开始前，应关闭并上交随身携带的各种通信工具。</w:t>
      </w:r>
    </w:p>
    <w:p w14:paraId="059DD544">
      <w:pPr>
        <w:spacing w:line="360" w:lineRule="auto"/>
        <w:ind w:firstLine="480" w:firstLineChars="200"/>
        <w:rPr>
          <w:color w:val="auto"/>
          <w:highlight w:val="none"/>
        </w:rPr>
      </w:pPr>
      <w:r>
        <w:rPr>
          <w:color w:val="auto"/>
          <w:highlight w:val="none"/>
        </w:rPr>
        <w:t>3.评审专家在评审过程中，未经许可不得中途离开评审现场，不得迟到早退。</w:t>
      </w:r>
    </w:p>
    <w:p w14:paraId="130B3A3E">
      <w:pPr>
        <w:spacing w:line="360" w:lineRule="auto"/>
        <w:ind w:firstLine="480" w:firstLineChars="200"/>
        <w:rPr>
          <w:color w:val="auto"/>
          <w:highlight w:val="none"/>
        </w:rPr>
      </w:pPr>
      <w:r>
        <w:rPr>
          <w:color w:val="auto"/>
          <w:highlight w:val="none"/>
        </w:rPr>
        <w:t>4.评审专家和工作人员不得透露评审过程中的讨论情况和评审结果。</w:t>
      </w:r>
    </w:p>
    <w:p w14:paraId="30C61A44">
      <w:pPr>
        <w:spacing w:line="360" w:lineRule="auto"/>
        <w:ind w:firstLine="480" w:firstLineChars="200"/>
        <w:rPr>
          <w:color w:val="auto"/>
          <w:highlight w:val="none"/>
        </w:rPr>
      </w:pPr>
      <w:r>
        <w:rPr>
          <w:color w:val="auto"/>
          <w:highlight w:val="none"/>
        </w:rPr>
        <w:t>5.评审时，评审专家须按招标文件规定的程序、条件和标准，对投标人投标文件的合规性、完整性和有效性进行审查、比较和评估，其中对投标人</w:t>
      </w:r>
      <w:r>
        <w:rPr>
          <w:rFonts w:hint="eastAsia"/>
          <w:color w:val="auto"/>
          <w:highlight w:val="none"/>
        </w:rPr>
        <w:t>的</w:t>
      </w:r>
      <w:r>
        <w:rPr>
          <w:color w:val="auto"/>
          <w:highlight w:val="none"/>
        </w:rPr>
        <w:t>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AEA6FF4">
      <w:pPr>
        <w:spacing w:line="360" w:lineRule="auto"/>
        <w:ind w:firstLine="480" w:firstLineChars="200"/>
        <w:rPr>
          <w:color w:val="auto"/>
          <w:highlight w:val="none"/>
        </w:rPr>
      </w:pPr>
      <w:r>
        <w:rPr>
          <w:color w:val="auto"/>
          <w:highlight w:val="none"/>
        </w:rPr>
        <w:t>6.采购人、采购代理机构不得向评审委员会的评审专家作倾向性、误导性的解释或者说明。</w:t>
      </w:r>
    </w:p>
    <w:p w14:paraId="4ED5C7E5">
      <w:pPr>
        <w:spacing w:line="360" w:lineRule="auto"/>
        <w:ind w:firstLine="480" w:firstLineChars="200"/>
        <w:rPr>
          <w:color w:val="auto"/>
          <w:highlight w:val="none"/>
        </w:rPr>
      </w:pPr>
      <w:r>
        <w:rPr>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A627760">
      <w:pPr>
        <w:spacing w:line="360" w:lineRule="auto"/>
        <w:ind w:firstLine="480" w:firstLineChars="200"/>
        <w:rPr>
          <w:color w:val="auto"/>
          <w:highlight w:val="none"/>
        </w:rPr>
      </w:pPr>
      <w:r>
        <w:rPr>
          <w:color w:val="auto"/>
          <w:highlight w:val="none"/>
        </w:rPr>
        <w:t>8.评审专家在评审过程中不得将自己的观点强加给其他评审专家，评审专家应自主发表见解，对评审意见承担个人责任。</w:t>
      </w:r>
    </w:p>
    <w:p w14:paraId="2E8AA040">
      <w:pPr>
        <w:spacing w:line="360" w:lineRule="auto"/>
        <w:ind w:firstLine="480" w:firstLineChars="200"/>
        <w:rPr>
          <w:color w:val="auto"/>
          <w:highlight w:val="none"/>
        </w:rPr>
      </w:pPr>
      <w:r>
        <w:rPr>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7329331">
      <w:pPr>
        <w:spacing w:line="360" w:lineRule="auto"/>
        <w:ind w:firstLine="480" w:firstLineChars="200"/>
        <w:rPr>
          <w:color w:val="auto"/>
          <w:highlight w:val="none"/>
        </w:rPr>
      </w:pPr>
      <w:r>
        <w:rPr>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A456D69">
      <w:pPr>
        <w:spacing w:line="360" w:lineRule="auto"/>
        <w:ind w:firstLine="480" w:firstLineChars="200"/>
        <w:rPr>
          <w:color w:val="auto"/>
          <w:highlight w:val="none"/>
        </w:rPr>
      </w:pPr>
      <w:r>
        <w:rPr>
          <w:color w:val="auto"/>
          <w:highlight w:val="none"/>
        </w:rPr>
        <w:t>11.评审专家应当遵守评审工作纪律，不得泄露评审文件、评审情况和评审中获悉的商业秘密。</w:t>
      </w:r>
    </w:p>
    <w:p w14:paraId="248307DF">
      <w:pPr>
        <w:spacing w:line="360" w:lineRule="auto"/>
        <w:ind w:firstLine="480" w:firstLineChars="200"/>
        <w:rPr>
          <w:color w:val="auto"/>
          <w:highlight w:val="none"/>
        </w:rPr>
      </w:pPr>
      <w:r>
        <w:rPr>
          <w:color w:val="auto"/>
          <w:highlight w:val="none"/>
        </w:rPr>
        <w:t>评审委员会在评审过程中发现投标人有行贿、提供虚假材料或者串通等违法行为的，应当及时向财政部门报告。</w:t>
      </w:r>
    </w:p>
    <w:p w14:paraId="51D1CEBA">
      <w:pPr>
        <w:spacing w:line="360" w:lineRule="auto"/>
        <w:ind w:firstLine="480" w:firstLineChars="200"/>
        <w:rPr>
          <w:color w:val="auto"/>
          <w:highlight w:val="none"/>
        </w:rPr>
      </w:pPr>
      <w:r>
        <w:rPr>
          <w:color w:val="auto"/>
          <w:highlight w:val="none"/>
        </w:rPr>
        <w:t>12.招标文件内容违反国家有关强制性规定的，评审委员会应当停止评审并向采购代理机构说明情况。</w:t>
      </w:r>
    </w:p>
    <w:p w14:paraId="78F491CE">
      <w:pPr>
        <w:spacing w:line="360" w:lineRule="auto"/>
        <w:ind w:firstLine="480" w:firstLineChars="200"/>
        <w:rPr>
          <w:color w:val="auto"/>
          <w:highlight w:val="none"/>
        </w:rPr>
      </w:pPr>
      <w:r>
        <w:rPr>
          <w:color w:val="auto"/>
          <w:highlight w:val="none"/>
        </w:rPr>
        <w:t>13.评审专家应当配合采购代理机构答复投标人提出的质疑。</w:t>
      </w:r>
    </w:p>
    <w:p w14:paraId="598A7CAD">
      <w:pPr>
        <w:spacing w:line="360" w:lineRule="auto"/>
        <w:ind w:firstLine="480" w:firstLineChars="200"/>
        <w:rPr>
          <w:color w:val="auto"/>
          <w:highlight w:val="none"/>
        </w:rPr>
      </w:pPr>
      <w:r>
        <w:rPr>
          <w:color w:val="auto"/>
          <w:highlight w:val="none"/>
        </w:rPr>
        <w:t>14.评审专家应当配合财政部门的投诉处理工作。</w:t>
      </w:r>
    </w:p>
    <w:p w14:paraId="30DDE7F8">
      <w:pPr>
        <w:spacing w:line="360" w:lineRule="auto"/>
        <w:ind w:firstLine="480" w:firstLineChars="200"/>
        <w:rPr>
          <w:color w:val="auto"/>
          <w:highlight w:val="none"/>
        </w:rPr>
      </w:pPr>
      <w:r>
        <w:rPr>
          <w:color w:val="auto"/>
          <w:highlight w:val="none"/>
        </w:rPr>
        <w:t>15.评审专家有如下行为之一的，责令改正，给予警告，可以并处一千元以下的罚款：</w:t>
      </w:r>
    </w:p>
    <w:p w14:paraId="4C18D6E1">
      <w:pPr>
        <w:spacing w:line="360" w:lineRule="auto"/>
        <w:ind w:firstLine="480" w:firstLineChars="200"/>
        <w:rPr>
          <w:color w:val="auto"/>
          <w:highlight w:val="none"/>
        </w:rPr>
      </w:pPr>
      <w:r>
        <w:rPr>
          <w:rFonts w:hint="eastAsia" w:ascii="宋体" w:hAnsi="宋体" w:cs="宋体"/>
          <w:color w:val="auto"/>
          <w:highlight w:val="none"/>
        </w:rPr>
        <w:t>①</w:t>
      </w:r>
      <w:r>
        <w:rPr>
          <w:color w:val="auto"/>
          <w:highlight w:val="none"/>
        </w:rPr>
        <w:t>明知应当回避而未主动回避的；</w:t>
      </w:r>
    </w:p>
    <w:p w14:paraId="6FF86202">
      <w:pPr>
        <w:spacing w:line="360" w:lineRule="auto"/>
        <w:ind w:firstLine="480" w:firstLineChars="200"/>
        <w:rPr>
          <w:color w:val="auto"/>
          <w:highlight w:val="none"/>
        </w:rPr>
      </w:pPr>
      <w:r>
        <w:rPr>
          <w:rFonts w:hint="eastAsia" w:ascii="宋体" w:hAnsi="宋体" w:cs="宋体"/>
          <w:color w:val="auto"/>
          <w:highlight w:val="none"/>
        </w:rPr>
        <w:t>②</w:t>
      </w:r>
      <w:r>
        <w:rPr>
          <w:color w:val="auto"/>
          <w:highlight w:val="none"/>
        </w:rPr>
        <w:t>在得知自己为评审专家身份后至评审结束前时段内私下接触投标人的；</w:t>
      </w:r>
    </w:p>
    <w:p w14:paraId="26D4D2A0">
      <w:pPr>
        <w:spacing w:line="360" w:lineRule="auto"/>
        <w:ind w:firstLine="480" w:firstLineChars="200"/>
        <w:rPr>
          <w:color w:val="auto"/>
          <w:highlight w:val="none"/>
        </w:rPr>
      </w:pPr>
      <w:r>
        <w:rPr>
          <w:rFonts w:hint="eastAsia" w:ascii="宋体" w:hAnsi="宋体" w:cs="宋体"/>
          <w:color w:val="auto"/>
          <w:highlight w:val="none"/>
        </w:rPr>
        <w:t>③</w:t>
      </w:r>
      <w:r>
        <w:rPr>
          <w:color w:val="auto"/>
          <w:highlight w:val="none"/>
        </w:rPr>
        <w:t>在评审过程中擅离职守，影响评审程序正常进行的；</w:t>
      </w:r>
    </w:p>
    <w:p w14:paraId="4DA10D2E">
      <w:pPr>
        <w:spacing w:line="360" w:lineRule="auto"/>
        <w:ind w:firstLine="480" w:firstLineChars="200"/>
        <w:rPr>
          <w:color w:val="auto"/>
          <w:highlight w:val="none"/>
        </w:rPr>
      </w:pPr>
      <w:r>
        <w:rPr>
          <w:rFonts w:hint="eastAsia" w:ascii="宋体" w:hAnsi="宋体" w:cs="宋体"/>
          <w:color w:val="auto"/>
          <w:highlight w:val="none"/>
        </w:rPr>
        <w:t>④</w:t>
      </w:r>
      <w:r>
        <w:rPr>
          <w:color w:val="auto"/>
          <w:highlight w:val="none"/>
        </w:rPr>
        <w:t>在评审过程有明显不合理或者不正当倾向性的；</w:t>
      </w:r>
    </w:p>
    <w:p w14:paraId="36837B5F">
      <w:pPr>
        <w:spacing w:line="360" w:lineRule="auto"/>
        <w:ind w:firstLine="480" w:firstLineChars="200"/>
        <w:rPr>
          <w:color w:val="auto"/>
          <w:highlight w:val="none"/>
        </w:rPr>
      </w:pPr>
      <w:r>
        <w:rPr>
          <w:rFonts w:hint="eastAsia" w:ascii="宋体" w:hAnsi="宋体" w:cs="宋体"/>
          <w:color w:val="auto"/>
          <w:highlight w:val="none"/>
        </w:rPr>
        <w:t>⑤</w:t>
      </w:r>
      <w:r>
        <w:rPr>
          <w:color w:val="auto"/>
          <w:highlight w:val="none"/>
        </w:rPr>
        <w:t>未按招标文件规定的评审方法和标准进行评审的。</w:t>
      </w:r>
    </w:p>
    <w:p w14:paraId="6D20C74C">
      <w:pPr>
        <w:spacing w:line="360" w:lineRule="auto"/>
        <w:ind w:firstLine="480" w:firstLineChars="200"/>
        <w:rPr>
          <w:color w:val="auto"/>
          <w:highlight w:val="none"/>
        </w:rPr>
      </w:pPr>
      <w:r>
        <w:rPr>
          <w:rFonts w:hint="eastAsia" w:ascii="宋体" w:hAnsi="宋体" w:cs="宋体"/>
          <w:color w:val="auto"/>
          <w:highlight w:val="none"/>
        </w:rPr>
        <w:t>⑥</w:t>
      </w:r>
      <w:r>
        <w:rPr>
          <w:color w:val="auto"/>
          <w:highlight w:val="none"/>
        </w:rPr>
        <w:t>上述</w:t>
      </w:r>
      <w:r>
        <w:rPr>
          <w:rFonts w:hint="eastAsia" w:ascii="宋体" w:hAnsi="宋体" w:cs="宋体"/>
          <w:color w:val="auto"/>
          <w:highlight w:val="none"/>
        </w:rPr>
        <w:t>①</w:t>
      </w:r>
      <w:r>
        <w:rPr>
          <w:color w:val="auto"/>
          <w:highlight w:val="none"/>
        </w:rPr>
        <w:t>至</w:t>
      </w:r>
      <w:r>
        <w:rPr>
          <w:rFonts w:hint="eastAsia" w:ascii="宋体" w:hAnsi="宋体" w:cs="宋体"/>
          <w:color w:val="auto"/>
          <w:highlight w:val="none"/>
        </w:rPr>
        <w:t>⑤</w:t>
      </w:r>
      <w:r>
        <w:rPr>
          <w:color w:val="auto"/>
          <w:highlight w:val="none"/>
        </w:rPr>
        <w:t>行为影响中标结果的，中标结果无效。</w:t>
      </w:r>
    </w:p>
    <w:p w14:paraId="1D8A9C02">
      <w:pPr>
        <w:spacing w:line="360" w:lineRule="auto"/>
        <w:ind w:firstLine="480" w:firstLineChars="200"/>
        <w:rPr>
          <w:color w:val="auto"/>
          <w:highlight w:val="none"/>
        </w:rPr>
      </w:pPr>
      <w:r>
        <w:rPr>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98FB3B1">
      <w:pPr>
        <w:spacing w:line="360" w:lineRule="auto"/>
        <w:ind w:firstLine="480" w:firstLineChars="200"/>
        <w:rPr>
          <w:color w:val="auto"/>
          <w:highlight w:val="none"/>
        </w:rPr>
      </w:pPr>
      <w:r>
        <w:rPr>
          <w:color w:val="auto"/>
          <w:highlight w:val="none"/>
        </w:rPr>
        <w:t>政府采购评审专家与投标人存在利害关系未回避的，处2万元以上5万元以下的罚款，禁止其参加政府采购评审活动。</w:t>
      </w:r>
    </w:p>
    <w:p w14:paraId="48ED8BA1">
      <w:pPr>
        <w:spacing w:line="360" w:lineRule="auto"/>
        <w:ind w:firstLine="480" w:firstLineChars="200"/>
        <w:rPr>
          <w:color w:val="auto"/>
          <w:highlight w:val="none"/>
        </w:rPr>
      </w:pPr>
      <w:r>
        <w:rPr>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C1282C4">
      <w:pPr>
        <w:spacing w:line="360" w:lineRule="auto"/>
        <w:ind w:firstLine="480" w:firstLineChars="200"/>
        <w:rPr>
          <w:color w:val="auto"/>
          <w:highlight w:val="none"/>
        </w:rPr>
      </w:pPr>
      <w:r>
        <w:rPr>
          <w:color w:val="auto"/>
          <w:highlight w:val="none"/>
        </w:rPr>
        <w:t>政府采购评审专家有上述违法行为的，其评审意见无效，不得获取评审费；有违法所得的，没收违法所得；给他人造成损失的，依法承担民事责任。</w:t>
      </w:r>
    </w:p>
    <w:p w14:paraId="4D2F8CE4">
      <w:pPr>
        <w:spacing w:line="360" w:lineRule="auto"/>
        <w:ind w:firstLine="480" w:firstLineChars="200"/>
        <w:rPr>
          <w:color w:val="auto"/>
          <w:highlight w:val="none"/>
        </w:rPr>
      </w:pPr>
    </w:p>
    <w:p w14:paraId="343CF20D">
      <w:pPr>
        <w:spacing w:line="360" w:lineRule="auto"/>
        <w:ind w:firstLine="480" w:firstLineChars="200"/>
        <w:rPr>
          <w:color w:val="auto"/>
          <w:highlight w:val="none"/>
        </w:rPr>
        <w:sectPr>
          <w:pgSz w:w="11906" w:h="16838"/>
          <w:pgMar w:top="1259" w:right="1287" w:bottom="1361" w:left="1622" w:header="709" w:footer="971" w:gutter="0"/>
          <w:cols w:space="720" w:num="1"/>
          <w:docGrid w:linePitch="360" w:charSpace="0"/>
        </w:sectPr>
      </w:pPr>
    </w:p>
    <w:p w14:paraId="211EB3CB">
      <w:pPr>
        <w:pStyle w:val="3"/>
        <w:spacing w:before="120" w:after="240" w:line="240" w:lineRule="auto"/>
        <w:jc w:val="center"/>
        <w:rPr>
          <w:rFonts w:hint="eastAsia" w:ascii="宋体" w:hAnsi="宋体"/>
          <w:color w:val="auto"/>
          <w:highlight w:val="none"/>
        </w:rPr>
      </w:pPr>
      <w:bookmarkStart w:id="64" w:name="_Toc93668164"/>
      <w:r>
        <w:rPr>
          <w:rFonts w:ascii="宋体" w:hAnsi="宋体"/>
          <w:color w:val="auto"/>
          <w:highlight w:val="none"/>
        </w:rPr>
        <w:t xml:space="preserve">第六章  </w:t>
      </w:r>
      <w:bookmarkEnd w:id="62"/>
      <w:bookmarkStart w:id="65" w:name="_Toc39239709"/>
      <w:r>
        <w:rPr>
          <w:rFonts w:ascii="宋体" w:hAnsi="宋体"/>
          <w:color w:val="auto"/>
          <w:highlight w:val="none"/>
        </w:rPr>
        <w:t>合同</w:t>
      </w:r>
      <w:r>
        <w:rPr>
          <w:rFonts w:hint="eastAsia" w:ascii="宋体" w:hAnsi="宋体"/>
          <w:color w:val="auto"/>
          <w:highlight w:val="none"/>
        </w:rPr>
        <w:t>范本</w:t>
      </w:r>
      <w:bookmarkEnd w:id="64"/>
    </w:p>
    <w:p w14:paraId="31E428C5">
      <w:pPr>
        <w:widowControl w:val="0"/>
        <w:adjustRightInd w:val="0"/>
        <w:snapToGrid w:val="0"/>
        <w:spacing w:after="60" w:line="360" w:lineRule="auto"/>
        <w:rPr>
          <w:rFonts w:hint="eastAsia" w:ascii="宋体" w:hAnsi="宋体"/>
          <w:b/>
          <w:color w:val="auto"/>
          <w:szCs w:val="22"/>
          <w:highlight w:val="none"/>
        </w:rPr>
      </w:pPr>
      <w:r>
        <w:rPr>
          <w:rFonts w:hint="eastAsia" w:ascii="宋体" w:hAnsi="宋体"/>
          <w:b/>
          <w:color w:val="auto"/>
          <w:szCs w:val="22"/>
          <w:highlight w:val="none"/>
        </w:rPr>
        <w:t>本合同为样稿，最终稿由甲乙双方协商后确定，但不允许偏离招投标文件。中标人须将合同电子版交由采购代理机构审核（邮件发送至j</w:t>
      </w:r>
      <w:r>
        <w:rPr>
          <w:rFonts w:ascii="宋体" w:hAnsi="宋体"/>
          <w:b/>
          <w:color w:val="auto"/>
          <w:szCs w:val="22"/>
          <w:highlight w:val="none"/>
        </w:rPr>
        <w:t>hygzbht@qq.com</w:t>
      </w:r>
      <w:r>
        <w:rPr>
          <w:rFonts w:hint="eastAsia" w:ascii="宋体" w:hAnsi="宋体"/>
          <w:b/>
          <w:color w:val="auto"/>
          <w:szCs w:val="22"/>
          <w:highlight w:val="none"/>
        </w:rPr>
        <w:t>），审核后的合同经甲乙双方盖章签字后送至采购代理机构盖章备案。</w:t>
      </w:r>
    </w:p>
    <w:p w14:paraId="18FCE5FC">
      <w:pPr>
        <w:widowControl w:val="0"/>
        <w:adjustRightInd w:val="0"/>
        <w:snapToGrid w:val="0"/>
        <w:spacing w:after="60" w:line="360" w:lineRule="auto"/>
        <w:jc w:val="center"/>
        <w:rPr>
          <w:rFonts w:hint="eastAsia" w:ascii="宋体" w:hAnsi="宋体"/>
          <w:b/>
          <w:color w:val="auto"/>
          <w:sz w:val="36"/>
          <w:highlight w:val="none"/>
        </w:rPr>
      </w:pPr>
      <w:r>
        <w:rPr>
          <w:rFonts w:hint="eastAsia" w:ascii="宋体" w:hAnsi="宋体"/>
          <w:b/>
          <w:color w:val="auto"/>
          <w:sz w:val="36"/>
          <w:highlight w:val="none"/>
        </w:rPr>
        <w:t>XXX项目合同</w:t>
      </w:r>
    </w:p>
    <w:p w14:paraId="390FB4E9">
      <w:pPr>
        <w:spacing w:before="120" w:line="22" w:lineRule="atLeast"/>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p>
    <w:p w14:paraId="2A9C299C">
      <w:pPr>
        <w:spacing w:before="120" w:line="22" w:lineRule="atLeast"/>
        <w:rPr>
          <w:rFonts w:hint="eastAsia" w:ascii="宋体" w:hAnsi="宋体" w:cs="宋体"/>
          <w:color w:val="auto"/>
          <w:highlight w:val="none"/>
          <w:u w:val="single"/>
        </w:rPr>
      </w:pPr>
      <w:r>
        <w:rPr>
          <w:color w:val="auto"/>
          <w:highlight w:val="none"/>
        </w:rPr>
        <w:t>项目编号：</w:t>
      </w:r>
      <w:r>
        <w:rPr>
          <w:rFonts w:hint="eastAsia" w:ascii="宋体" w:hAnsi="宋体" w:cs="宋体"/>
          <w:color w:val="auto"/>
          <w:highlight w:val="none"/>
          <w:u w:val="single"/>
        </w:rPr>
        <w:t xml:space="preserve">                                   </w:t>
      </w:r>
    </w:p>
    <w:p w14:paraId="43F50CC7">
      <w:pPr>
        <w:spacing w:before="120" w:line="22" w:lineRule="atLeast"/>
        <w:rPr>
          <w:rFonts w:hint="eastAsia" w:ascii="宋体" w:hAnsi="宋体" w:cs="宋体"/>
          <w:color w:val="auto"/>
          <w:highlight w:val="none"/>
          <w:u w:val="single"/>
        </w:rPr>
      </w:pPr>
      <w:r>
        <w:rPr>
          <w:rFonts w:hint="eastAsia" w:ascii="宋体" w:hAnsi="宋体" w:cs="宋体"/>
          <w:color w:val="auto"/>
          <w:highlight w:val="none"/>
        </w:rPr>
        <w:t>甲方（采购人）：</w:t>
      </w:r>
      <w:r>
        <w:rPr>
          <w:rFonts w:hint="eastAsia" w:ascii="宋体" w:hAnsi="宋体" w:cs="宋体"/>
          <w:color w:val="auto"/>
          <w:highlight w:val="none"/>
          <w:u w:val="single"/>
        </w:rPr>
        <w:t xml:space="preserve">                                       </w:t>
      </w:r>
    </w:p>
    <w:p w14:paraId="2AF81698">
      <w:pPr>
        <w:spacing w:before="120" w:line="22" w:lineRule="atLeast"/>
        <w:rPr>
          <w:rFonts w:hint="eastAsia" w:ascii="宋体" w:hAnsi="宋体" w:cs="宋体"/>
          <w:color w:val="auto"/>
          <w:highlight w:val="none"/>
          <w:u w:val="single"/>
        </w:rPr>
      </w:pPr>
      <w:r>
        <w:rPr>
          <w:rFonts w:hint="eastAsia" w:ascii="宋体" w:hAnsi="宋体" w:cs="宋体"/>
          <w:color w:val="auto"/>
          <w:highlight w:val="none"/>
        </w:rPr>
        <w:t>乙方（中标人）：</w:t>
      </w:r>
      <w:r>
        <w:rPr>
          <w:rFonts w:hint="eastAsia" w:ascii="宋体" w:hAnsi="宋体" w:cs="宋体"/>
          <w:color w:val="auto"/>
          <w:highlight w:val="none"/>
          <w:u w:val="single"/>
        </w:rPr>
        <w:t xml:space="preserve">                                       </w:t>
      </w:r>
    </w:p>
    <w:p w14:paraId="0A879911">
      <w:pPr>
        <w:spacing w:before="120" w:line="22" w:lineRule="atLeast"/>
        <w:rPr>
          <w:rFonts w:hint="eastAsia" w:ascii="宋体" w:hAnsi="宋体" w:cs="宋体"/>
          <w:color w:val="auto"/>
          <w:highlight w:val="none"/>
        </w:rPr>
      </w:pPr>
    </w:p>
    <w:p w14:paraId="0F07DE78">
      <w:pPr>
        <w:widowControl w:val="0"/>
        <w:adjustRightInd w:val="0"/>
        <w:snapToGrid w:val="0"/>
        <w:spacing w:line="360" w:lineRule="auto"/>
        <w:ind w:firstLine="480" w:firstLineChars="200"/>
        <w:rPr>
          <w:color w:val="auto"/>
          <w:highlight w:val="none"/>
        </w:rPr>
      </w:pPr>
    </w:p>
    <w:p w14:paraId="3BEE6B66">
      <w:pPr>
        <w:widowControl w:val="0"/>
        <w:adjustRightInd w:val="0"/>
        <w:snapToGrid w:val="0"/>
        <w:spacing w:line="360" w:lineRule="auto"/>
        <w:ind w:firstLine="480" w:firstLineChars="200"/>
        <w:rPr>
          <w:color w:val="auto"/>
          <w:highlight w:val="none"/>
        </w:rPr>
      </w:pPr>
      <w:r>
        <w:rPr>
          <w:rFonts w:hint="eastAsia"/>
          <w:color w:val="auto"/>
          <w:highlight w:val="none"/>
        </w:rPr>
        <w:t>甲方以</w:t>
      </w:r>
      <w:r>
        <w:rPr>
          <w:color w:val="auto"/>
          <w:highlight w:val="none"/>
          <w:u w:val="single"/>
        </w:rPr>
        <w:t xml:space="preserve">         </w:t>
      </w:r>
      <w:r>
        <w:rPr>
          <w:rFonts w:hint="eastAsia"/>
          <w:color w:val="auto"/>
          <w:highlight w:val="none"/>
        </w:rPr>
        <w:t>的方式确定乙方为</w:t>
      </w:r>
      <w:r>
        <w:rPr>
          <w:color w:val="auto"/>
          <w:highlight w:val="none"/>
          <w:u w:val="single"/>
        </w:rPr>
        <w:t xml:space="preserve">                                  </w:t>
      </w:r>
      <w:r>
        <w:rPr>
          <w:rFonts w:hint="eastAsia"/>
          <w:color w:val="auto"/>
          <w:highlight w:val="none"/>
        </w:rPr>
        <w:t>项目的中标人，</w:t>
      </w:r>
      <w:r>
        <w:rPr>
          <w:rFonts w:hint="eastAsia"/>
          <w:color w:val="auto"/>
          <w:highlight w:val="none"/>
          <w:lang w:val="zh-CN"/>
        </w:rPr>
        <w:t>根据《中华人民共和国民法典》《中华人民共和国政府采购法》等相关法律法规之规定，按照平等、自愿、公平和诚实信用的原则，经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w:t>
      </w:r>
      <w:r>
        <w:rPr>
          <w:rFonts w:hint="eastAsia"/>
          <w:color w:val="auto"/>
          <w:highlight w:val="none"/>
          <w:lang w:val="zh-CN"/>
        </w:rPr>
        <w:t>以下简称：甲方</w:t>
      </w:r>
      <w:r>
        <w:rPr>
          <w:color w:val="auto"/>
          <w:highlight w:val="none"/>
          <w:lang w:val="zh-CN"/>
        </w:rPr>
        <w:t>)</w:t>
      </w:r>
      <w:r>
        <w:rPr>
          <w:rFonts w:hint="eastAsia"/>
          <w:color w:val="auto"/>
          <w:highlight w:val="none"/>
          <w:lang w:val="zh-CN"/>
        </w:rPr>
        <w:t>和</w:t>
      </w:r>
      <w:r>
        <w:rPr>
          <w:color w:val="auto"/>
          <w:highlight w:val="none"/>
          <w:u w:val="single"/>
        </w:rPr>
        <w:t xml:space="preserve">   </w:t>
      </w:r>
      <w:r>
        <w:rPr>
          <w:rFonts w:hint="eastAsia"/>
          <w:color w:val="auto"/>
          <w:highlight w:val="none"/>
          <w:u w:val="single"/>
        </w:rPr>
        <w:t>（中或者成交标供应商名称）</w:t>
      </w:r>
      <w:r>
        <w:rPr>
          <w:color w:val="auto"/>
          <w:highlight w:val="none"/>
          <w:u w:val="single"/>
        </w:rPr>
        <w:t xml:space="preserve">   </w:t>
      </w:r>
      <w:r>
        <w:rPr>
          <w:color w:val="auto"/>
          <w:highlight w:val="none"/>
          <w:lang w:val="zh-CN"/>
        </w:rPr>
        <w:t>(</w:t>
      </w:r>
      <w:r>
        <w:rPr>
          <w:rFonts w:hint="eastAsia"/>
          <w:color w:val="auto"/>
          <w:highlight w:val="none"/>
          <w:lang w:val="zh-CN"/>
        </w:rPr>
        <w:t>以下简称：乙方</w:t>
      </w:r>
      <w:r>
        <w:rPr>
          <w:color w:val="auto"/>
          <w:highlight w:val="none"/>
          <w:lang w:val="zh-CN"/>
        </w:rPr>
        <w:t>)</w:t>
      </w:r>
      <w:r>
        <w:rPr>
          <w:rFonts w:hint="eastAsia"/>
          <w:color w:val="auto"/>
          <w:highlight w:val="none"/>
          <w:lang w:val="zh-CN"/>
        </w:rPr>
        <w:t>协商一致，约定以下合同</w:t>
      </w:r>
      <w:r>
        <w:rPr>
          <w:rFonts w:hint="eastAsia"/>
          <w:color w:val="auto"/>
          <w:highlight w:val="none"/>
        </w:rPr>
        <w:t>条款，以兹共同遵守、全面履行。</w:t>
      </w:r>
    </w:p>
    <w:p w14:paraId="449AFEAC">
      <w:pPr>
        <w:widowControl w:val="0"/>
        <w:adjustRightInd w:val="0"/>
        <w:snapToGrid w:val="0"/>
        <w:spacing w:after="60" w:line="360" w:lineRule="auto"/>
        <w:ind w:firstLine="480" w:firstLineChars="200"/>
        <w:rPr>
          <w:color w:val="auto"/>
          <w:highlight w:val="none"/>
        </w:rPr>
      </w:pPr>
      <w:r>
        <w:rPr>
          <w:rFonts w:hint="eastAsia"/>
          <w:color w:val="auto"/>
          <w:highlight w:val="none"/>
        </w:rPr>
        <w:t>一、货物内容（可附清单）</w:t>
      </w:r>
    </w:p>
    <w:p w14:paraId="0928E56E">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货物名称：</w:t>
      </w:r>
    </w:p>
    <w:p w14:paraId="00F65161">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型号规格：</w:t>
      </w:r>
    </w:p>
    <w:p w14:paraId="049CB45C">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数量：</w:t>
      </w:r>
    </w:p>
    <w:p w14:paraId="0ABFD0CB">
      <w:pPr>
        <w:widowControl w:val="0"/>
        <w:adjustRightInd w:val="0"/>
        <w:snapToGrid w:val="0"/>
        <w:spacing w:after="60" w:line="360" w:lineRule="auto"/>
        <w:ind w:firstLine="480" w:firstLineChars="200"/>
        <w:rPr>
          <w:color w:val="auto"/>
          <w:highlight w:val="none"/>
        </w:rPr>
      </w:pPr>
      <w:r>
        <w:rPr>
          <w:rFonts w:hint="eastAsia"/>
          <w:color w:val="auto"/>
          <w:highlight w:val="none"/>
        </w:rPr>
        <w:t>二、合同金额（可附清单）</w:t>
      </w:r>
    </w:p>
    <w:p w14:paraId="7BB9B086">
      <w:pPr>
        <w:spacing w:line="360" w:lineRule="auto"/>
        <w:ind w:firstLine="480" w:firstLineChars="200"/>
        <w:rPr>
          <w:color w:val="auto"/>
          <w:highlight w:val="none"/>
        </w:rPr>
      </w:pPr>
      <w:r>
        <w:rPr>
          <w:rFonts w:hint="eastAsia"/>
          <w:color w:val="auto"/>
          <w:highlight w:val="none"/>
        </w:rPr>
        <w:t>本项目采用以下第</w:t>
      </w:r>
      <w:r>
        <w:rPr>
          <w:color w:val="auto"/>
          <w:highlight w:val="none"/>
          <w:u w:val="single"/>
        </w:rPr>
        <w:t xml:space="preserve">     </w:t>
      </w:r>
      <w:r>
        <w:rPr>
          <w:rFonts w:hint="eastAsia"/>
          <w:color w:val="auto"/>
          <w:highlight w:val="none"/>
        </w:rPr>
        <w:t>条款规定的计价方式计价。</w:t>
      </w:r>
    </w:p>
    <w:p w14:paraId="1DB60F22">
      <w:pPr>
        <w:spacing w:line="360" w:lineRule="auto"/>
        <w:ind w:firstLine="480" w:firstLineChars="200"/>
        <w:rPr>
          <w:color w:val="auto"/>
          <w:highlight w:val="none"/>
        </w:rPr>
      </w:pPr>
      <w:r>
        <w:rPr>
          <w:color w:val="auto"/>
          <w:highlight w:val="none"/>
        </w:rPr>
        <w:t>（一）总价合同，本合同总价（含税）为：</w:t>
      </w:r>
      <w:r>
        <w:rPr>
          <w:rFonts w:hint="eastAsia" w:ascii="华文细黑" w:hAnsi="华文细黑" w:eastAsia="华文细黑" w:cs="华文细黑"/>
          <w:color w:val="auto"/>
          <w:highlight w:val="none"/>
        </w:rPr>
        <w:t>￥</w:t>
      </w:r>
      <w:r>
        <w:rPr>
          <w:color w:val="auto"/>
          <w:highlight w:val="none"/>
          <w:u w:val="single"/>
        </w:rPr>
        <w:t xml:space="preserve">           </w:t>
      </w:r>
      <w:r>
        <w:rPr>
          <w:color w:val="auto"/>
          <w:highlight w:val="none"/>
        </w:rPr>
        <w:t>元（大写：人民币</w:t>
      </w:r>
      <w:r>
        <w:rPr>
          <w:color w:val="auto"/>
          <w:highlight w:val="none"/>
          <w:u w:val="single"/>
        </w:rPr>
        <w:t xml:space="preserve">                 </w:t>
      </w:r>
      <w:r>
        <w:rPr>
          <w:color w:val="auto"/>
          <w:highlight w:val="none"/>
        </w:rPr>
        <w:t>元</w:t>
      </w:r>
      <w:r>
        <w:rPr>
          <w:rFonts w:hint="eastAsia"/>
          <w:color w:val="auto"/>
          <w:highlight w:val="none"/>
        </w:rPr>
        <w:t>整</w:t>
      </w:r>
      <w:r>
        <w:rPr>
          <w:color w:val="auto"/>
          <w:highlight w:val="none"/>
        </w:rPr>
        <w:t>）。</w:t>
      </w:r>
    </w:p>
    <w:p w14:paraId="6C6F3A2E">
      <w:pPr>
        <w:spacing w:line="360" w:lineRule="auto"/>
        <w:ind w:firstLine="480" w:firstLineChars="200"/>
        <w:rPr>
          <w:color w:val="auto"/>
          <w:highlight w:val="none"/>
          <w:u w:val="single"/>
        </w:rPr>
      </w:pPr>
      <w:r>
        <w:rPr>
          <w:rFonts w:hint="eastAsia"/>
          <w:color w:val="auto"/>
          <w:highlight w:val="none"/>
        </w:rPr>
        <w:t>分项价格（可附清单）：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F9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217E4B6">
            <w:pPr>
              <w:pStyle w:val="145"/>
              <w:spacing w:line="560" w:lineRule="exact"/>
              <w:jc w:val="center"/>
              <w:rPr>
                <w:rFonts w:hAnsi="宋体" w:cs="宋体"/>
                <w:color w:val="auto"/>
                <w:sz w:val="24"/>
                <w:szCs w:val="24"/>
                <w:highlight w:val="none"/>
              </w:rPr>
            </w:pPr>
            <w:r>
              <w:rPr>
                <w:rFonts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ADC01B">
            <w:pPr>
              <w:pStyle w:val="145"/>
              <w:spacing w:line="560" w:lineRule="exact"/>
              <w:ind w:firstLine="200"/>
              <w:jc w:val="center"/>
              <w:rPr>
                <w:rFonts w:hAnsi="宋体" w:cs="宋体"/>
                <w:color w:val="auto"/>
                <w:sz w:val="24"/>
                <w:szCs w:val="24"/>
                <w:highlight w:val="none"/>
              </w:rPr>
            </w:pPr>
            <w:r>
              <w:rPr>
                <w:rFonts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9AFA92C">
            <w:pPr>
              <w:pStyle w:val="145"/>
              <w:spacing w:line="560" w:lineRule="exact"/>
              <w:jc w:val="center"/>
              <w:rPr>
                <w:rFonts w:hAnsi="宋体" w:cs="宋体"/>
                <w:color w:val="auto"/>
                <w:sz w:val="24"/>
                <w:szCs w:val="24"/>
                <w:highlight w:val="none"/>
              </w:rPr>
            </w:pPr>
            <w:r>
              <w:rPr>
                <w:rFonts w:hAnsi="宋体" w:cs="宋体"/>
                <w:color w:val="auto"/>
                <w:sz w:val="24"/>
                <w:szCs w:val="24"/>
                <w:highlight w:val="none"/>
              </w:rPr>
              <w:t>分项价格</w:t>
            </w:r>
          </w:p>
        </w:tc>
      </w:tr>
      <w:tr w14:paraId="7B64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43135D">
            <w:pPr>
              <w:pStyle w:val="14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4ADDE2">
            <w:pPr>
              <w:pStyle w:val="14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2EEDC2">
            <w:pPr>
              <w:pStyle w:val="145"/>
              <w:spacing w:line="560" w:lineRule="exact"/>
              <w:ind w:firstLine="200"/>
              <w:jc w:val="center"/>
              <w:rPr>
                <w:rFonts w:hAnsi="宋体" w:cs="宋体"/>
                <w:color w:val="auto"/>
                <w:sz w:val="24"/>
                <w:szCs w:val="24"/>
                <w:highlight w:val="none"/>
              </w:rPr>
            </w:pPr>
          </w:p>
        </w:tc>
      </w:tr>
      <w:tr w14:paraId="4262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D35316">
            <w:pPr>
              <w:pStyle w:val="14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E275479">
            <w:pPr>
              <w:pStyle w:val="14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E08BDB">
            <w:pPr>
              <w:pStyle w:val="145"/>
              <w:spacing w:line="560" w:lineRule="exact"/>
              <w:ind w:firstLine="200"/>
              <w:jc w:val="center"/>
              <w:rPr>
                <w:rFonts w:hAnsi="宋体" w:cs="宋体"/>
                <w:color w:val="auto"/>
                <w:sz w:val="24"/>
                <w:szCs w:val="24"/>
                <w:highlight w:val="none"/>
              </w:rPr>
            </w:pPr>
          </w:p>
        </w:tc>
      </w:tr>
      <w:tr w14:paraId="1050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EF1884">
            <w:pPr>
              <w:pStyle w:val="14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F8C6B19">
            <w:pPr>
              <w:pStyle w:val="14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F5948B">
            <w:pPr>
              <w:pStyle w:val="145"/>
              <w:spacing w:line="560" w:lineRule="exact"/>
              <w:ind w:firstLine="200"/>
              <w:jc w:val="center"/>
              <w:rPr>
                <w:rFonts w:hAnsi="宋体" w:cs="宋体"/>
                <w:color w:val="auto"/>
                <w:sz w:val="24"/>
                <w:szCs w:val="24"/>
                <w:highlight w:val="none"/>
              </w:rPr>
            </w:pPr>
          </w:p>
        </w:tc>
      </w:tr>
      <w:tr w14:paraId="2A50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41D345">
            <w:pPr>
              <w:pStyle w:val="14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530A8F">
            <w:pPr>
              <w:pStyle w:val="14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EC8D99A">
            <w:pPr>
              <w:pStyle w:val="145"/>
              <w:spacing w:line="560" w:lineRule="exact"/>
              <w:ind w:firstLine="200"/>
              <w:jc w:val="center"/>
              <w:rPr>
                <w:rFonts w:hAnsi="宋体" w:cs="宋体"/>
                <w:color w:val="auto"/>
                <w:sz w:val="24"/>
                <w:szCs w:val="24"/>
                <w:highlight w:val="none"/>
              </w:rPr>
            </w:pPr>
          </w:p>
        </w:tc>
      </w:tr>
      <w:tr w14:paraId="3B82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A7AE63D">
            <w:pPr>
              <w:pStyle w:val="145"/>
              <w:spacing w:line="560" w:lineRule="exact"/>
              <w:ind w:firstLine="200"/>
              <w:jc w:val="center"/>
              <w:rPr>
                <w:rFonts w:hAnsi="宋体" w:cs="宋体"/>
                <w:color w:val="auto"/>
                <w:sz w:val="24"/>
                <w:szCs w:val="24"/>
                <w:highlight w:val="none"/>
              </w:rPr>
            </w:pPr>
            <w:r>
              <w:rPr>
                <w:rFonts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DFB07D">
            <w:pPr>
              <w:pStyle w:val="145"/>
              <w:spacing w:line="560" w:lineRule="exact"/>
              <w:ind w:firstLine="200"/>
              <w:jc w:val="center"/>
              <w:rPr>
                <w:rFonts w:hAnsi="宋体" w:cs="宋体"/>
                <w:color w:val="auto"/>
                <w:sz w:val="24"/>
                <w:szCs w:val="24"/>
                <w:highlight w:val="none"/>
              </w:rPr>
            </w:pPr>
          </w:p>
        </w:tc>
      </w:tr>
    </w:tbl>
    <w:p w14:paraId="1AAEA95F">
      <w:pPr>
        <w:numPr>
          <w:ilvl w:val="0"/>
          <w:numId w:val="13"/>
        </w:numPr>
        <w:spacing w:line="360" w:lineRule="auto"/>
        <w:ind w:firstLine="480" w:firstLineChars="200"/>
        <w:rPr>
          <w:bCs/>
          <w:color w:val="auto"/>
          <w:highlight w:val="none"/>
        </w:rPr>
      </w:pPr>
      <w:bookmarkStart w:id="66" w:name="_Toc30506"/>
      <w:bookmarkStart w:id="67" w:name="_Toc26916"/>
      <w:bookmarkStart w:id="68" w:name="_Toc14993"/>
      <w:bookmarkStart w:id="69" w:name="_Toc3654"/>
      <w:bookmarkStart w:id="70" w:name="_Toc30158"/>
      <w:r>
        <w:rPr>
          <w:rFonts w:hint="eastAsia"/>
          <w:bCs/>
          <w:color w:val="auto"/>
          <w:highlight w:val="none"/>
        </w:rPr>
        <w:t>单价合同（合同总价为据实结算的方式时适用）。</w:t>
      </w:r>
    </w:p>
    <w:p w14:paraId="39A45E21">
      <w:pPr>
        <w:widowControl w:val="0"/>
        <w:adjustRightInd w:val="0"/>
        <w:snapToGrid w:val="0"/>
        <w:spacing w:after="60" w:line="360" w:lineRule="auto"/>
        <w:ind w:firstLine="480" w:firstLineChars="200"/>
        <w:rPr>
          <w:color w:val="auto"/>
          <w:highlight w:val="none"/>
        </w:rPr>
      </w:pPr>
      <w:r>
        <w:rPr>
          <w:rFonts w:hint="eastAsia"/>
          <w:bCs/>
          <w:color w:val="auto"/>
          <w:highlight w:val="none"/>
        </w:rPr>
        <w:t>本合同结算单价（含税）标准为：</w:t>
      </w:r>
      <w:r>
        <w:rPr>
          <w:bCs/>
          <w:color w:val="auto"/>
          <w:highlight w:val="none"/>
          <w:u w:val="single"/>
        </w:rPr>
        <w:t xml:space="preserve">        </w:t>
      </w:r>
      <w:r>
        <w:rPr>
          <w:rFonts w:hint="eastAsia"/>
          <w:color w:val="auto"/>
          <w:highlight w:val="none"/>
        </w:rPr>
        <w:t>。服务工作量的计量方式为：</w:t>
      </w:r>
      <w:r>
        <w:rPr>
          <w:bCs/>
          <w:color w:val="auto"/>
          <w:highlight w:val="none"/>
          <w:u w:val="single"/>
        </w:rPr>
        <w:t xml:space="preserve">         </w:t>
      </w:r>
      <w:r>
        <w:rPr>
          <w:rFonts w:hint="eastAsia"/>
          <w:color w:val="auto"/>
          <w:highlight w:val="none"/>
        </w:rPr>
        <w:t>。单价合同，在合同履行期间内，根据实际完成的工作量据实结算，但结算总价上限不得超过预算金额或者双方确定的金额</w:t>
      </w:r>
      <w:r>
        <w:rPr>
          <w:rFonts w:hint="eastAsia" w:ascii="华文细黑" w:hAnsi="华文细黑" w:eastAsia="华文细黑" w:cs="华文细黑"/>
          <w:color w:val="auto"/>
          <w:highlight w:val="none"/>
        </w:rPr>
        <w:t>￥</w:t>
      </w:r>
      <w:r>
        <w:rPr>
          <w:color w:val="auto"/>
          <w:highlight w:val="none"/>
          <w:u w:val="single"/>
        </w:rPr>
        <w:t xml:space="preserve">           </w:t>
      </w:r>
      <w:r>
        <w:rPr>
          <w:rFonts w:hint="eastAsia"/>
          <w:color w:val="auto"/>
          <w:highlight w:val="none"/>
        </w:rPr>
        <w:t>元（大写：人民币</w:t>
      </w:r>
      <w:r>
        <w:rPr>
          <w:color w:val="auto"/>
          <w:highlight w:val="none"/>
          <w:u w:val="single"/>
        </w:rPr>
        <w:t xml:space="preserve">                 </w:t>
      </w:r>
      <w:r>
        <w:rPr>
          <w:rFonts w:hint="eastAsia"/>
          <w:color w:val="auto"/>
          <w:highlight w:val="none"/>
        </w:rPr>
        <w:t>元整）。</w:t>
      </w:r>
      <w:bookmarkEnd w:id="66"/>
      <w:bookmarkEnd w:id="67"/>
      <w:bookmarkEnd w:id="68"/>
      <w:bookmarkEnd w:id="69"/>
      <w:bookmarkEnd w:id="70"/>
    </w:p>
    <w:p w14:paraId="71BBEFCD">
      <w:pPr>
        <w:widowControl w:val="0"/>
        <w:adjustRightInd w:val="0"/>
        <w:snapToGrid w:val="0"/>
        <w:spacing w:after="60" w:line="360" w:lineRule="auto"/>
        <w:ind w:firstLine="480" w:firstLineChars="200"/>
        <w:rPr>
          <w:color w:val="auto"/>
          <w:highlight w:val="none"/>
        </w:rPr>
      </w:pPr>
      <w:r>
        <w:rPr>
          <w:rFonts w:hint="eastAsia"/>
          <w:color w:val="auto"/>
          <w:highlight w:val="none"/>
        </w:rPr>
        <w:t>三、技术规范</w:t>
      </w:r>
    </w:p>
    <w:p w14:paraId="51EB872E">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乙方应按招标文件规定的时间向甲方提供使用货物的有关技术资料。</w:t>
      </w:r>
    </w:p>
    <w:p w14:paraId="53ADC55A">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C78FF23">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所供货物的设备质量及施工安装质量符合国家标准和招标文件的合格要求，同时符合甲方管理的质量、安全要求。</w:t>
      </w:r>
    </w:p>
    <w:p w14:paraId="58E0BBB4">
      <w:pPr>
        <w:widowControl w:val="0"/>
        <w:adjustRightInd w:val="0"/>
        <w:snapToGrid w:val="0"/>
        <w:spacing w:after="60" w:line="360" w:lineRule="auto"/>
        <w:ind w:firstLine="480" w:firstLineChars="200"/>
        <w:rPr>
          <w:color w:val="auto"/>
          <w:highlight w:val="none"/>
        </w:rPr>
      </w:pPr>
      <w:r>
        <w:rPr>
          <w:rFonts w:hint="eastAsia"/>
          <w:color w:val="auto"/>
          <w:highlight w:val="none"/>
        </w:rPr>
        <w:t>四、知识产权</w:t>
      </w:r>
    </w:p>
    <w:p w14:paraId="408DC800">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3E7926">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若因乙方所供产品侵犯他人知识产权的，甲方有权单方解除合同，合同约定的剩余费用不予支付。甲方若退回乙方所提供的侵权产品，乙方必须退回甲方为侵权产品支付的所有费用。因此给甲方造成损失的，由乙方赔偿甲方全部损失，包括但不限于损害赔偿金、再次采购费用、诉讼费、保全费、律师费等所有损失。</w:t>
      </w:r>
      <w:r>
        <w:rPr>
          <w:color w:val="auto"/>
          <w:highlight w:val="none"/>
        </w:rPr>
        <w:t xml:space="preserve"> </w:t>
      </w:r>
    </w:p>
    <w:p w14:paraId="69BA75C7">
      <w:pPr>
        <w:widowControl w:val="0"/>
        <w:adjustRightInd w:val="0"/>
        <w:snapToGrid w:val="0"/>
        <w:spacing w:after="60" w:line="360" w:lineRule="auto"/>
        <w:ind w:firstLine="480" w:firstLineChars="200"/>
        <w:rPr>
          <w:color w:val="auto"/>
          <w:highlight w:val="none"/>
        </w:rPr>
      </w:pPr>
      <w:r>
        <w:rPr>
          <w:rFonts w:hint="eastAsia"/>
          <w:color w:val="auto"/>
          <w:highlight w:val="none"/>
        </w:rPr>
        <w:t>五、产权担保</w:t>
      </w:r>
    </w:p>
    <w:p w14:paraId="31453E5E">
      <w:pPr>
        <w:widowControl w:val="0"/>
        <w:adjustRightInd w:val="0"/>
        <w:snapToGrid w:val="0"/>
        <w:spacing w:after="60" w:line="360" w:lineRule="auto"/>
        <w:ind w:firstLine="480" w:firstLineChars="200"/>
        <w:rPr>
          <w:color w:val="auto"/>
          <w:highlight w:val="none"/>
        </w:rPr>
      </w:pPr>
      <w:r>
        <w:rPr>
          <w:rFonts w:hint="eastAsia"/>
          <w:color w:val="auto"/>
          <w:highlight w:val="none"/>
        </w:rPr>
        <w:t>乙方保证所交付的货物的所有权完全属于乙方且无任何抵押、查封等产权瑕疵。</w:t>
      </w:r>
    </w:p>
    <w:p w14:paraId="48766547">
      <w:pPr>
        <w:widowControl w:val="0"/>
        <w:adjustRightInd w:val="0"/>
        <w:snapToGrid w:val="0"/>
        <w:spacing w:after="60" w:line="360" w:lineRule="auto"/>
        <w:ind w:firstLine="480" w:firstLineChars="200"/>
        <w:rPr>
          <w:color w:val="auto"/>
          <w:highlight w:val="none"/>
        </w:rPr>
      </w:pPr>
      <w:r>
        <w:rPr>
          <w:rFonts w:hint="eastAsia"/>
          <w:color w:val="auto"/>
          <w:highlight w:val="none"/>
        </w:rPr>
        <w:t>六、履约保证金</w:t>
      </w:r>
    </w:p>
    <w:p w14:paraId="0118396D">
      <w:pPr>
        <w:pStyle w:val="24"/>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缴纳规则按招标文件前附表执行。</w:t>
      </w:r>
    </w:p>
    <w:p w14:paraId="195FBBE7">
      <w:pPr>
        <w:pStyle w:val="24"/>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签订合同后，如中标人不按双方合同约定履约，违反有关法律法规的规定及合同约定的条款，损害了采购人利益的，采购人将没收全部履约保证金。履约保证金不足以赔偿损失的，甲方可要求乙方承担合同约定的超过履约保证金的违约责任的权利。</w:t>
      </w:r>
    </w:p>
    <w:p w14:paraId="08B85454">
      <w:pPr>
        <w:pStyle w:val="24"/>
        <w:widowControl w:val="0"/>
        <w:adjustRightInd w:val="0"/>
        <w:snapToGrid w:val="0"/>
        <w:spacing w:before="0" w:beforeAutospacing="0" w:after="0" w:afterAutospacing="0" w:line="360" w:lineRule="auto"/>
        <w:ind w:firstLine="537" w:firstLineChars="224"/>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甲方在项目验收结束后及时退还履约保证金。</w:t>
      </w:r>
    </w:p>
    <w:p w14:paraId="2287DD77">
      <w:pPr>
        <w:widowControl w:val="0"/>
        <w:adjustRightInd w:val="0"/>
        <w:snapToGrid w:val="0"/>
        <w:spacing w:line="360" w:lineRule="auto"/>
        <w:ind w:firstLine="537" w:firstLineChars="224"/>
        <w:rPr>
          <w:color w:val="auto"/>
          <w:highlight w:val="none"/>
        </w:rPr>
      </w:pPr>
      <w:r>
        <w:rPr>
          <w:color w:val="auto"/>
          <w:highlight w:val="none"/>
        </w:rPr>
        <w:t>4.</w:t>
      </w:r>
      <w:r>
        <w:rPr>
          <w:rFonts w:hint="eastAsia"/>
          <w:color w:val="auto"/>
          <w:highlight w:val="none"/>
        </w:rPr>
        <w:t>中标供应商可登录政采云平台</w:t>
      </w:r>
      <w:r>
        <w:rPr>
          <w:color w:val="auto"/>
          <w:highlight w:val="none"/>
        </w:rPr>
        <w:t>-</w:t>
      </w:r>
      <w:r>
        <w:rPr>
          <w:rFonts w:hint="eastAsia"/>
          <w:color w:val="auto"/>
          <w:highlight w:val="none"/>
        </w:rPr>
        <w:t>【金融服务】</w:t>
      </w:r>
      <w:r>
        <w:rPr>
          <w:color w:val="auto"/>
          <w:highlight w:val="none"/>
        </w:rPr>
        <w:t>—</w:t>
      </w:r>
      <w:r>
        <w:rPr>
          <w:rFonts w:hint="eastAsia"/>
          <w:color w:val="auto"/>
          <w:highlight w:val="none"/>
        </w:rPr>
        <w:t>【我的项目】</w:t>
      </w:r>
      <w:r>
        <w:rPr>
          <w:color w:val="auto"/>
          <w:highlight w:val="none"/>
        </w:rPr>
        <w:t>—</w:t>
      </w:r>
      <w:r>
        <w:rPr>
          <w:rFonts w:hint="eastAsia"/>
          <w:color w:val="auto"/>
          <w:highlight w:val="none"/>
        </w:rPr>
        <w:t>【已备案合同】以保函形式提供：</w:t>
      </w:r>
      <w:r>
        <w:rPr>
          <w:color w:val="auto"/>
          <w:highlight w:val="none"/>
        </w:rPr>
        <w:t>1</w:t>
      </w:r>
      <w:r>
        <w:rPr>
          <w:rFonts w:hint="eastAsia"/>
          <w:color w:val="auto"/>
          <w:highlight w:val="none"/>
        </w:rPr>
        <w:t>、供应商在合同列表选择需要投保的合同，点击</w:t>
      </w:r>
      <w:r>
        <w:rPr>
          <w:color w:val="auto"/>
          <w:highlight w:val="none"/>
        </w:rPr>
        <w:t>[</w:t>
      </w:r>
      <w:r>
        <w:rPr>
          <w:rFonts w:hint="eastAsia"/>
          <w:color w:val="auto"/>
          <w:highlight w:val="none"/>
        </w:rPr>
        <w:t>保函推荐</w:t>
      </w:r>
      <w:r>
        <w:rPr>
          <w:color w:val="auto"/>
          <w:highlight w:val="none"/>
        </w:rPr>
        <w:t>]</w:t>
      </w:r>
      <w:r>
        <w:rPr>
          <w:rFonts w:hint="eastAsia"/>
          <w:color w:val="auto"/>
          <w:highlight w:val="none"/>
        </w:rPr>
        <w:t>。</w:t>
      </w:r>
      <w:r>
        <w:rPr>
          <w:color w:val="auto"/>
          <w:highlight w:val="none"/>
        </w:rPr>
        <w:t>2</w:t>
      </w:r>
      <w:r>
        <w:rPr>
          <w:rFonts w:hint="eastAsia"/>
          <w:color w:val="auto"/>
          <w:highlight w:val="none"/>
        </w:rPr>
        <w:t>、在弹框里查看推荐的保函产品，供应商自行选择保函产品，点击</w:t>
      </w:r>
      <w:r>
        <w:rPr>
          <w:color w:val="auto"/>
          <w:highlight w:val="none"/>
        </w:rPr>
        <w:t>[</w:t>
      </w:r>
      <w:r>
        <w:rPr>
          <w:rFonts w:hint="eastAsia"/>
          <w:color w:val="auto"/>
          <w:highlight w:val="none"/>
        </w:rPr>
        <w:t>立即申请</w:t>
      </w:r>
      <w:r>
        <w:rPr>
          <w:color w:val="auto"/>
          <w:highlight w:val="none"/>
        </w:rPr>
        <w:t>]</w:t>
      </w:r>
      <w:r>
        <w:rPr>
          <w:rFonts w:hint="eastAsia"/>
          <w:color w:val="auto"/>
          <w:highlight w:val="none"/>
        </w:rPr>
        <w:t>。</w:t>
      </w:r>
      <w:r>
        <w:rPr>
          <w:color w:val="auto"/>
          <w:highlight w:val="none"/>
        </w:rPr>
        <w:t>3</w:t>
      </w:r>
      <w:r>
        <w:rPr>
          <w:rFonts w:hint="eastAsia"/>
          <w:color w:val="auto"/>
          <w:highlight w:val="none"/>
        </w:rPr>
        <w:t>、在弹框里填写保函申请信息。具体步骤：选择产品</w:t>
      </w:r>
      <w:r>
        <w:rPr>
          <w:color w:val="auto"/>
          <w:highlight w:val="none"/>
        </w:rPr>
        <w:t>—</w:t>
      </w:r>
      <w:r>
        <w:rPr>
          <w:rFonts w:hint="eastAsia"/>
          <w:color w:val="auto"/>
          <w:highlight w:val="none"/>
        </w:rPr>
        <w:t>填写供应商信息</w:t>
      </w:r>
      <w:r>
        <w:rPr>
          <w:color w:val="auto"/>
          <w:highlight w:val="none"/>
        </w:rPr>
        <w:t>—</w:t>
      </w:r>
      <w:r>
        <w:rPr>
          <w:rFonts w:hint="eastAsia"/>
          <w:color w:val="auto"/>
          <w:highlight w:val="none"/>
        </w:rPr>
        <w:t>选择中标项目</w:t>
      </w:r>
      <w:r>
        <w:rPr>
          <w:color w:val="auto"/>
          <w:highlight w:val="none"/>
        </w:rPr>
        <w:t>—</w:t>
      </w:r>
      <w:r>
        <w:rPr>
          <w:rFonts w:hint="eastAsia"/>
          <w:color w:val="auto"/>
          <w:highlight w:val="none"/>
        </w:rPr>
        <w:t>确认信息</w:t>
      </w:r>
      <w:r>
        <w:rPr>
          <w:color w:val="auto"/>
          <w:highlight w:val="none"/>
        </w:rPr>
        <w:t>—</w:t>
      </w:r>
      <w:r>
        <w:rPr>
          <w:rFonts w:hint="eastAsia"/>
          <w:color w:val="auto"/>
          <w:highlight w:val="none"/>
        </w:rPr>
        <w:t>等待保险</w:t>
      </w:r>
      <w:r>
        <w:rPr>
          <w:color w:val="auto"/>
          <w:highlight w:val="none"/>
        </w:rPr>
        <w:t>/</w:t>
      </w:r>
      <w:r>
        <w:rPr>
          <w:rFonts w:hint="eastAsia"/>
          <w:color w:val="auto"/>
          <w:highlight w:val="none"/>
        </w:rPr>
        <w:t>保函受理</w:t>
      </w:r>
      <w:r>
        <w:rPr>
          <w:color w:val="auto"/>
          <w:highlight w:val="none"/>
        </w:rPr>
        <w:t>—</w:t>
      </w:r>
      <w:r>
        <w:rPr>
          <w:rFonts w:hint="eastAsia"/>
          <w:color w:val="auto"/>
          <w:highlight w:val="none"/>
        </w:rPr>
        <w:t>确认保单</w:t>
      </w:r>
      <w:r>
        <w:rPr>
          <w:color w:val="auto"/>
          <w:highlight w:val="none"/>
        </w:rPr>
        <w:t>—</w:t>
      </w:r>
      <w:r>
        <w:rPr>
          <w:rFonts w:hint="eastAsia"/>
          <w:color w:val="auto"/>
          <w:highlight w:val="none"/>
        </w:rPr>
        <w:t>支付保费</w:t>
      </w:r>
      <w:r>
        <w:rPr>
          <w:color w:val="auto"/>
          <w:highlight w:val="none"/>
        </w:rPr>
        <w:t>—</w:t>
      </w:r>
      <w:r>
        <w:rPr>
          <w:rFonts w:hint="eastAsia"/>
          <w:color w:val="auto"/>
          <w:highlight w:val="none"/>
        </w:rPr>
        <w:t>成功出单。政采云金融专线</w:t>
      </w:r>
      <w:r>
        <w:rPr>
          <w:color w:val="auto"/>
          <w:highlight w:val="none"/>
        </w:rPr>
        <w:t>400-903-9583</w:t>
      </w:r>
      <w:r>
        <w:rPr>
          <w:rFonts w:hint="eastAsia"/>
          <w:color w:val="auto"/>
          <w:highlight w:val="none"/>
        </w:rPr>
        <w:t>。</w:t>
      </w:r>
    </w:p>
    <w:p w14:paraId="5147F03D">
      <w:pPr>
        <w:widowControl w:val="0"/>
        <w:adjustRightInd w:val="0"/>
        <w:snapToGrid w:val="0"/>
        <w:spacing w:after="60" w:line="360" w:lineRule="auto"/>
        <w:ind w:firstLine="480" w:firstLineChars="200"/>
        <w:rPr>
          <w:color w:val="auto"/>
          <w:highlight w:val="none"/>
        </w:rPr>
      </w:pPr>
      <w:r>
        <w:rPr>
          <w:rFonts w:hint="eastAsia"/>
          <w:color w:val="auto"/>
          <w:highlight w:val="none"/>
        </w:rPr>
        <w:t>七、转包或分包</w:t>
      </w:r>
    </w:p>
    <w:p w14:paraId="4FD839BA">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本合同范围的货物，应由乙方直接供应，不得转让他人供应；</w:t>
      </w:r>
    </w:p>
    <w:p w14:paraId="352B6365">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如有转让和未经甲方同意的分包行为，甲方有权解除合同，没收履约保证金并追究乙方的违约责任。</w:t>
      </w:r>
    </w:p>
    <w:p w14:paraId="5C90F6D3">
      <w:pPr>
        <w:widowControl w:val="0"/>
        <w:adjustRightInd w:val="0"/>
        <w:snapToGrid w:val="0"/>
        <w:spacing w:after="60" w:line="360" w:lineRule="auto"/>
        <w:ind w:firstLine="480" w:firstLineChars="200"/>
        <w:rPr>
          <w:color w:val="auto"/>
          <w:highlight w:val="none"/>
        </w:rPr>
      </w:pPr>
      <w:r>
        <w:rPr>
          <w:rFonts w:hint="eastAsia"/>
          <w:color w:val="auto"/>
          <w:highlight w:val="none"/>
        </w:rPr>
        <w:t>八、交货期、交货方式及交货地点</w:t>
      </w:r>
    </w:p>
    <w:p w14:paraId="4059F463">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交货期：</w:t>
      </w:r>
    </w:p>
    <w:p w14:paraId="56015DD8">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交货方式：</w:t>
      </w:r>
    </w:p>
    <w:p w14:paraId="0D7A062E">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交货地点：</w:t>
      </w:r>
    </w:p>
    <w:p w14:paraId="1D4BDCF8">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延迟交货（若有）：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68C9CC">
      <w:pPr>
        <w:widowControl w:val="0"/>
        <w:adjustRightInd w:val="0"/>
        <w:snapToGrid w:val="0"/>
        <w:spacing w:after="60" w:line="360" w:lineRule="auto"/>
        <w:ind w:firstLine="480" w:firstLineChars="200"/>
        <w:rPr>
          <w:color w:val="auto"/>
          <w:highlight w:val="none"/>
        </w:rPr>
      </w:pPr>
      <w:r>
        <w:rPr>
          <w:rFonts w:hint="eastAsia"/>
          <w:color w:val="auto"/>
          <w:highlight w:val="none"/>
        </w:rPr>
        <w:t>九、货款支付</w:t>
      </w:r>
    </w:p>
    <w:p w14:paraId="09125754">
      <w:pPr>
        <w:widowControl w:val="0"/>
        <w:adjustRightInd w:val="0"/>
        <w:snapToGrid w:val="0"/>
        <w:spacing w:after="60" w:line="360" w:lineRule="auto"/>
        <w:ind w:firstLine="480" w:firstLineChars="200"/>
        <w:rPr>
          <w:color w:val="auto"/>
          <w:highlight w:val="none"/>
        </w:rPr>
      </w:pPr>
      <w:r>
        <w:rPr>
          <w:rFonts w:ascii="Segoe UI Symbol" w:hAnsi="Segoe UI Symbol" w:cs="Segoe UI Symbol"/>
          <w:color w:val="auto"/>
          <w:highlight w:val="none"/>
        </w:rPr>
        <w:t>☐</w:t>
      </w:r>
      <w:r>
        <w:rPr>
          <w:color w:val="auto"/>
          <w:highlight w:val="none"/>
        </w:rPr>
        <w:t xml:space="preserve">不需要预付款，……   </w:t>
      </w:r>
    </w:p>
    <w:p w14:paraId="1FACD82F">
      <w:pPr>
        <w:widowControl w:val="0"/>
        <w:adjustRightInd w:val="0"/>
        <w:snapToGrid w:val="0"/>
        <w:spacing w:after="60" w:line="360" w:lineRule="auto"/>
        <w:ind w:firstLine="480" w:firstLineChars="200"/>
        <w:rPr>
          <w:color w:val="auto"/>
          <w:highlight w:val="none"/>
        </w:rPr>
      </w:pPr>
      <w:r>
        <w:rPr>
          <w:rFonts w:ascii="Segoe UI Symbol" w:hAnsi="Segoe UI Symbol" w:cs="Segoe UI Symbol"/>
          <w:color w:val="auto"/>
          <w:highlight w:val="none"/>
        </w:rPr>
        <w:t>☐</w:t>
      </w:r>
      <w:r>
        <w:rPr>
          <w:color w:val="auto"/>
          <w:highlight w:val="none"/>
        </w:rPr>
        <w:t>需要预付款，……</w:t>
      </w:r>
    </w:p>
    <w:p w14:paraId="44EE430E">
      <w:pPr>
        <w:widowControl w:val="0"/>
        <w:adjustRightInd w:val="0"/>
        <w:snapToGrid w:val="0"/>
        <w:spacing w:after="60" w:line="360" w:lineRule="auto"/>
        <w:ind w:firstLine="480" w:firstLineChars="200"/>
        <w:rPr>
          <w:color w:val="auto"/>
          <w:highlight w:val="none"/>
        </w:rPr>
      </w:pPr>
      <w:r>
        <w:rPr>
          <w:rFonts w:hint="eastAsia"/>
          <w:color w:val="auto"/>
          <w:highlight w:val="none"/>
        </w:rPr>
        <w:t>十、税费</w:t>
      </w:r>
    </w:p>
    <w:p w14:paraId="038F3F54">
      <w:pPr>
        <w:widowControl w:val="0"/>
        <w:adjustRightInd w:val="0"/>
        <w:snapToGrid w:val="0"/>
        <w:spacing w:after="60" w:line="360" w:lineRule="auto"/>
        <w:ind w:firstLine="480" w:firstLineChars="200"/>
        <w:rPr>
          <w:color w:val="auto"/>
          <w:highlight w:val="none"/>
        </w:rPr>
      </w:pPr>
      <w:r>
        <w:rPr>
          <w:rFonts w:hint="eastAsia"/>
          <w:color w:val="auto"/>
          <w:highlight w:val="none"/>
        </w:rPr>
        <w:t>本合同执行中相关的一切税费均由乙方负担。</w:t>
      </w:r>
    </w:p>
    <w:p w14:paraId="297D1D09">
      <w:pPr>
        <w:widowControl w:val="0"/>
        <w:adjustRightInd w:val="0"/>
        <w:snapToGrid w:val="0"/>
        <w:spacing w:after="60" w:line="360" w:lineRule="auto"/>
        <w:ind w:firstLine="480" w:firstLineChars="200"/>
        <w:rPr>
          <w:color w:val="auto"/>
          <w:highlight w:val="none"/>
        </w:rPr>
      </w:pPr>
      <w:r>
        <w:rPr>
          <w:rFonts w:hint="eastAsia"/>
          <w:color w:val="auto"/>
          <w:highlight w:val="none"/>
        </w:rPr>
        <w:t>十一、质量保证及售后服务</w:t>
      </w:r>
    </w:p>
    <w:p w14:paraId="3FCF997E">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乙方所供货物的质保期为自验收合格之日起</w:t>
      </w:r>
      <w:r>
        <w:rPr>
          <w:color w:val="auto"/>
          <w:highlight w:val="none"/>
          <w:u w:val="single"/>
        </w:rPr>
        <w:t xml:space="preserve">     </w:t>
      </w:r>
      <w:r>
        <w:rPr>
          <w:rFonts w:hint="eastAsia"/>
          <w:color w:val="auto"/>
          <w:highlight w:val="none"/>
        </w:rPr>
        <w:t>年。因人为因素出现的故障不在免费保修范围内。超过保修期的机器货物，终生维修，维修时只收部件成本费。在质保期内，乙方应对货物出现的质量及安全问题负责处理解决并承担一切费用。</w:t>
      </w:r>
    </w:p>
    <w:p w14:paraId="1A404B98">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乙方应按招标文件规定的货物性能、技术要求、质量标准向甲方提供未经使用的全新产品。</w:t>
      </w:r>
    </w:p>
    <w:p w14:paraId="2FA0D160">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乙方提供的货物在质保期内因货物本身的质量问题发生故障，乙方应负责免费更换。对达不到技术要求者，根据实际情况，经双方协商，可按以下办法处理：</w:t>
      </w:r>
    </w:p>
    <w:p w14:paraId="478D0A78">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）更换：由乙方承担所发生的全部费用。</w:t>
      </w:r>
    </w:p>
    <w:p w14:paraId="08D77916">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）贬值处理：由甲乙双方合议定价。</w:t>
      </w:r>
    </w:p>
    <w:p w14:paraId="4D4CEC27">
      <w:pPr>
        <w:widowControl w:val="0"/>
        <w:adjustRightInd w:val="0"/>
        <w:snapToGrid w:val="0"/>
        <w:spacing w:after="60" w:line="360" w:lineRule="auto"/>
        <w:ind w:firstLine="48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）退货处理：乙方应退还甲方支付的合同款，同时应承担该货物的直接费用（运输、保险、检验、货款利息及银行手续费等）。</w:t>
      </w:r>
    </w:p>
    <w:p w14:paraId="1B0C5FA0">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如在使用过程中发生质量问题，乙方在接到甲方通知后在</w:t>
      </w:r>
      <w:r>
        <w:rPr>
          <w:rFonts w:hint="eastAsia"/>
          <w:color w:val="auto"/>
          <w:highlight w:val="none"/>
          <w:u w:val="single"/>
        </w:rPr>
        <w:t>（按招标文件或优于招标文件的承诺执行）小时</w:t>
      </w:r>
      <w:r>
        <w:rPr>
          <w:rFonts w:hint="eastAsia"/>
          <w:color w:val="auto"/>
          <w:highlight w:val="none"/>
        </w:rPr>
        <w:t>内到达甲方现场，并在</w:t>
      </w:r>
      <w:r>
        <w:rPr>
          <w:color w:val="auto"/>
          <w:highlight w:val="none"/>
          <w:u w:val="single"/>
        </w:rPr>
        <w:t xml:space="preserve">     </w:t>
      </w:r>
      <w:r>
        <w:rPr>
          <w:rFonts w:hint="eastAsia"/>
          <w:color w:val="auto"/>
          <w:highlight w:val="none"/>
        </w:rPr>
        <w:t>小时内修复。若无法按规定及时修复的须根据使用单位要求提供备用设备。</w:t>
      </w:r>
    </w:p>
    <w:p w14:paraId="44BD2D3B">
      <w:pPr>
        <w:widowControl w:val="0"/>
        <w:adjustRightInd w:val="0"/>
        <w:snapToGrid w:val="0"/>
        <w:spacing w:after="60" w:line="360" w:lineRule="auto"/>
        <w:ind w:firstLine="480" w:firstLineChars="200"/>
        <w:rPr>
          <w:color w:val="auto"/>
          <w:highlight w:val="none"/>
        </w:rPr>
      </w:pPr>
      <w:r>
        <w:rPr>
          <w:rFonts w:hint="eastAsia"/>
          <w:color w:val="auto"/>
          <w:highlight w:val="none"/>
        </w:rPr>
        <w:t>十二、调试和验收</w:t>
      </w:r>
    </w:p>
    <w:p w14:paraId="287CFB70">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验收时间：服务期满或提交服务成果后</w:t>
      </w:r>
      <w:r>
        <w:rPr>
          <w:color w:val="auto"/>
          <w:highlight w:val="none"/>
        </w:rPr>
        <w:t>7</w:t>
      </w:r>
      <w:r>
        <w:rPr>
          <w:rFonts w:hint="eastAsia"/>
          <w:color w:val="auto"/>
          <w:highlight w:val="none"/>
        </w:rPr>
        <w:t>个工作日内由甲方组成验收小组进行验收。</w:t>
      </w:r>
    </w:p>
    <w:p w14:paraId="5DC6CAB5">
      <w:pPr>
        <w:widowControl w:val="0"/>
        <w:adjustRightInd w:val="0"/>
        <w:snapToGrid w:val="0"/>
        <w:spacing w:line="360" w:lineRule="auto"/>
        <w:ind w:firstLine="537" w:firstLineChars="224"/>
        <w:rPr>
          <w:color w:val="auto"/>
          <w:highlight w:val="none"/>
        </w:rPr>
      </w:pPr>
      <w:r>
        <w:rPr>
          <w:color w:val="auto"/>
          <w:highlight w:val="none"/>
        </w:rPr>
        <w:t xml:space="preserve">2. </w:t>
      </w:r>
      <w:r>
        <w:rPr>
          <w:rFonts w:hint="eastAsia"/>
          <w:color w:val="auto"/>
          <w:highlight w:val="none"/>
        </w:rPr>
        <w:t>验收方式</w:t>
      </w:r>
    </w:p>
    <w:p w14:paraId="2E5B657C">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1</w:t>
      </w:r>
      <w:r>
        <w:rPr>
          <w:rFonts w:hint="eastAsia"/>
          <w:color w:val="auto"/>
          <w:highlight w:val="none"/>
        </w:rPr>
        <w:t>）乙方应对提交的服务成果作出全面检查和整理，并列出清单，作为甲方验收和使用技术条件依据，清单应随提交的服务成果交给甲方。甲方应当根据招标文件内容、国家、行业验收标准，对服务成果进行详细而全面的验收。验收不合格的甲方有权限根据验收结果要求乙方立即更换或者提出索赔要求。验收合格后，由甲方组成的验收小组签署验收报告，作为付款凭据之一。</w:t>
      </w:r>
    </w:p>
    <w:p w14:paraId="035116D3">
      <w:pPr>
        <w:widowControl w:val="0"/>
        <w:adjustRightInd w:val="0"/>
        <w:snapToGrid w:val="0"/>
        <w:spacing w:line="360" w:lineRule="auto"/>
        <w:ind w:firstLine="537" w:firstLineChars="224"/>
        <w:rPr>
          <w:color w:val="auto"/>
          <w:highlight w:val="none"/>
        </w:rPr>
      </w:pPr>
      <w:r>
        <w:rPr>
          <w:rFonts w:hint="eastAsia"/>
          <w:color w:val="auto"/>
          <w:highlight w:val="none"/>
        </w:rPr>
        <w:t>（</w:t>
      </w:r>
      <w:r>
        <w:rPr>
          <w:color w:val="auto"/>
          <w:highlight w:val="none"/>
        </w:rPr>
        <w:t>2</w:t>
      </w:r>
      <w:r>
        <w:rPr>
          <w:rFonts w:hint="eastAsia"/>
          <w:color w:val="auto"/>
          <w:highlight w:val="none"/>
        </w:rPr>
        <w:t>）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14:paraId="58E548C9">
      <w:pPr>
        <w:widowControl w:val="0"/>
        <w:adjustRightInd w:val="0"/>
        <w:snapToGrid w:val="0"/>
        <w:spacing w:line="360" w:lineRule="auto"/>
        <w:ind w:firstLine="537" w:firstLineChars="224"/>
        <w:rPr>
          <w:color w:val="auto"/>
          <w:highlight w:val="none"/>
        </w:rPr>
      </w:pPr>
      <w:r>
        <w:rPr>
          <w:rFonts w:hint="eastAsia"/>
          <w:color w:val="auto"/>
          <w:highlight w:val="none"/>
        </w:rPr>
        <w:t>（3）甲方可以邀请参加本项目的其他投标人或者第三方机构参与验收。参与验收的投标人或者第三方机构的意见作为验收书的参考资料一并存档。</w:t>
      </w:r>
    </w:p>
    <w:p w14:paraId="6F262055">
      <w:pPr>
        <w:widowControl w:val="0"/>
        <w:adjustRightInd w:val="0"/>
        <w:snapToGrid w:val="0"/>
        <w:spacing w:line="360" w:lineRule="auto"/>
        <w:ind w:firstLine="537" w:firstLineChars="224"/>
        <w:rPr>
          <w:color w:val="auto"/>
          <w:highlight w:val="none"/>
        </w:rPr>
      </w:pPr>
      <w:r>
        <w:rPr>
          <w:rFonts w:hint="eastAsia"/>
          <w:color w:val="auto"/>
          <w:highlight w:val="none"/>
        </w:rPr>
        <w:t>（4）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B36181">
      <w:pPr>
        <w:widowControl w:val="0"/>
        <w:adjustRightInd w:val="0"/>
        <w:snapToGrid w:val="0"/>
        <w:spacing w:line="360" w:lineRule="auto"/>
        <w:ind w:firstLine="537" w:firstLineChars="224"/>
        <w:rPr>
          <w:color w:val="auto"/>
          <w:highlight w:val="none"/>
        </w:rPr>
      </w:pPr>
      <w:r>
        <w:rPr>
          <w:rFonts w:hint="eastAsia"/>
          <w:color w:val="auto"/>
          <w:highlight w:val="none"/>
        </w:rPr>
        <w:t>（5）验收合格的项目，甲方将根据采购合同的约定及时向乙方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14:paraId="10B058D3">
      <w:pPr>
        <w:widowControl w:val="0"/>
        <w:adjustRightInd w:val="0"/>
        <w:snapToGrid w:val="0"/>
        <w:spacing w:after="60" w:line="360" w:lineRule="auto"/>
        <w:ind w:firstLine="480" w:firstLineChars="200"/>
        <w:rPr>
          <w:color w:val="auto"/>
          <w:highlight w:val="none"/>
        </w:rPr>
      </w:pPr>
      <w:r>
        <w:rPr>
          <w:rFonts w:hint="eastAsia"/>
          <w:color w:val="auto"/>
          <w:highlight w:val="none"/>
        </w:rPr>
        <w:t>（6）验收时乙方必须在现场，验收过程中相关检测费用（如有）由甲方负责。</w:t>
      </w:r>
    </w:p>
    <w:p w14:paraId="584C4AA7">
      <w:pPr>
        <w:widowControl w:val="0"/>
        <w:adjustRightInd w:val="0"/>
        <w:snapToGrid w:val="0"/>
        <w:spacing w:after="60" w:line="360" w:lineRule="auto"/>
        <w:ind w:firstLine="480" w:firstLineChars="200"/>
        <w:rPr>
          <w:color w:val="auto"/>
          <w:highlight w:val="none"/>
        </w:rPr>
      </w:pPr>
      <w:r>
        <w:rPr>
          <w:rFonts w:hint="eastAsia"/>
          <w:color w:val="auto"/>
          <w:highlight w:val="none"/>
        </w:rPr>
        <w:t>（7）甲方原则上应当在履约验收之日起</w:t>
      </w:r>
      <w:r>
        <w:rPr>
          <w:color w:val="auto"/>
          <w:highlight w:val="none"/>
        </w:rPr>
        <w:t>2</w:t>
      </w:r>
      <w:r>
        <w:rPr>
          <w:rFonts w:hint="eastAsia"/>
          <w:color w:val="auto"/>
          <w:highlight w:val="none"/>
        </w:rPr>
        <w:t>个工作日内，将履约验收结果在浙江政府采购网上公告。</w:t>
      </w:r>
    </w:p>
    <w:p w14:paraId="01D8C4C2">
      <w:pPr>
        <w:widowControl w:val="0"/>
        <w:adjustRightInd w:val="0"/>
        <w:snapToGrid w:val="0"/>
        <w:spacing w:after="60" w:line="360" w:lineRule="auto"/>
        <w:ind w:firstLine="480" w:firstLineChars="200"/>
        <w:rPr>
          <w:color w:val="auto"/>
          <w:highlight w:val="none"/>
        </w:rPr>
      </w:pPr>
      <w:r>
        <w:rPr>
          <w:rFonts w:hint="eastAsia"/>
          <w:color w:val="auto"/>
          <w:highlight w:val="none"/>
        </w:rPr>
        <w:t>（8）进口的原材料需提供相关进口证明材料（如有）。</w:t>
      </w:r>
    </w:p>
    <w:p w14:paraId="74010304">
      <w:pPr>
        <w:widowControl w:val="0"/>
        <w:adjustRightInd w:val="0"/>
        <w:snapToGrid w:val="0"/>
        <w:spacing w:after="60" w:line="360" w:lineRule="auto"/>
        <w:ind w:firstLine="480" w:firstLineChars="200"/>
        <w:rPr>
          <w:color w:val="auto"/>
          <w:highlight w:val="none"/>
        </w:rPr>
      </w:pPr>
      <w:r>
        <w:rPr>
          <w:rFonts w:hint="eastAsia"/>
          <w:color w:val="auto"/>
          <w:highlight w:val="none"/>
        </w:rPr>
        <w:t>十三、货物包装、发运及运输</w:t>
      </w:r>
    </w:p>
    <w:p w14:paraId="65DDA7AA">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乙方应在货物发运前对其进行满足运输距离、防潮、防震、防锈和防破损装卸等要求包装，以保证货物安全运达甲方指定地点。</w:t>
      </w:r>
    </w:p>
    <w:p w14:paraId="0376153B">
      <w:pPr>
        <w:widowControl w:val="0"/>
        <w:adjustRightInd w:val="0"/>
        <w:snapToGrid w:val="0"/>
        <w:spacing w:after="60" w:line="360" w:lineRule="auto"/>
        <w:ind w:firstLine="480" w:firstLineChars="200"/>
        <w:rPr>
          <w:color w:val="auto"/>
          <w:highlight w:val="none"/>
        </w:rPr>
      </w:pPr>
      <w:r>
        <w:rPr>
          <w:color w:val="auto"/>
          <w:highlight w:val="none"/>
        </w:rPr>
        <w:t>2.</w:t>
      </w:r>
      <w:r>
        <w:rPr>
          <w:rFonts w:hint="eastAsia"/>
          <w:color w:val="auto"/>
          <w:highlight w:val="none"/>
        </w:rPr>
        <w:t>使用说明书、质量检验证明书、随配附件和工具以及清单一并附于货物内。</w:t>
      </w:r>
    </w:p>
    <w:p w14:paraId="64191E32">
      <w:pPr>
        <w:widowControl w:val="0"/>
        <w:adjustRightInd w:val="0"/>
        <w:snapToGrid w:val="0"/>
        <w:spacing w:after="60" w:line="360" w:lineRule="auto"/>
        <w:ind w:firstLine="480" w:firstLineChars="200"/>
        <w:rPr>
          <w:color w:val="auto"/>
          <w:highlight w:val="none"/>
        </w:rPr>
      </w:pPr>
      <w:r>
        <w:rPr>
          <w:color w:val="auto"/>
          <w:highlight w:val="none"/>
        </w:rPr>
        <w:t>3.</w:t>
      </w:r>
      <w:r>
        <w:rPr>
          <w:rFonts w:hint="eastAsia"/>
          <w:color w:val="auto"/>
          <w:highlight w:val="none"/>
        </w:rPr>
        <w:t>乙方在货物发运手续办理完毕后</w:t>
      </w:r>
      <w:r>
        <w:rPr>
          <w:color w:val="auto"/>
          <w:highlight w:val="none"/>
        </w:rPr>
        <w:t>24</w:t>
      </w:r>
      <w:r>
        <w:rPr>
          <w:rFonts w:hint="eastAsia"/>
          <w:color w:val="auto"/>
          <w:highlight w:val="none"/>
        </w:rPr>
        <w:t>小时内或货到甲方</w:t>
      </w:r>
      <w:r>
        <w:rPr>
          <w:color w:val="auto"/>
          <w:highlight w:val="none"/>
        </w:rPr>
        <w:t>48</w:t>
      </w:r>
      <w:r>
        <w:rPr>
          <w:rFonts w:hint="eastAsia"/>
          <w:color w:val="auto"/>
          <w:highlight w:val="none"/>
        </w:rPr>
        <w:t>小时前通知甲方，以准备接货。</w:t>
      </w:r>
    </w:p>
    <w:p w14:paraId="32A852FC">
      <w:pPr>
        <w:widowControl w:val="0"/>
        <w:adjustRightInd w:val="0"/>
        <w:snapToGrid w:val="0"/>
        <w:spacing w:after="60" w:line="360" w:lineRule="auto"/>
        <w:ind w:firstLine="480" w:firstLineChars="200"/>
        <w:rPr>
          <w:color w:val="auto"/>
          <w:highlight w:val="none"/>
        </w:rPr>
      </w:pPr>
      <w:r>
        <w:rPr>
          <w:color w:val="auto"/>
          <w:highlight w:val="none"/>
        </w:rPr>
        <w:t>4.</w:t>
      </w:r>
      <w:r>
        <w:rPr>
          <w:rFonts w:hint="eastAsia"/>
          <w:color w:val="auto"/>
          <w:highlight w:val="none"/>
        </w:rPr>
        <w:t>货物在交付甲方前发生的风险均由乙方负责。</w:t>
      </w:r>
    </w:p>
    <w:p w14:paraId="7E8459D2">
      <w:pPr>
        <w:widowControl w:val="0"/>
        <w:adjustRightInd w:val="0"/>
        <w:snapToGrid w:val="0"/>
        <w:spacing w:after="60" w:line="360" w:lineRule="auto"/>
        <w:ind w:firstLine="480" w:firstLineChars="200"/>
        <w:rPr>
          <w:color w:val="auto"/>
          <w:highlight w:val="none"/>
        </w:rPr>
      </w:pPr>
      <w:r>
        <w:rPr>
          <w:color w:val="auto"/>
          <w:highlight w:val="none"/>
        </w:rPr>
        <w:t>5.</w:t>
      </w:r>
      <w:r>
        <w:rPr>
          <w:rFonts w:hint="eastAsia"/>
          <w:color w:val="auto"/>
          <w:highlight w:val="none"/>
        </w:rPr>
        <w:t>货物在规定的交付期限内由乙方送达甲方指定的地点视为交付，乙方同时需通知甲方货物已送达。</w:t>
      </w:r>
    </w:p>
    <w:p w14:paraId="3676CA0C">
      <w:pPr>
        <w:widowControl w:val="0"/>
        <w:adjustRightInd w:val="0"/>
        <w:snapToGrid w:val="0"/>
        <w:spacing w:after="60" w:line="360" w:lineRule="auto"/>
        <w:ind w:firstLine="480" w:firstLineChars="200"/>
        <w:rPr>
          <w:color w:val="auto"/>
          <w:highlight w:val="none"/>
        </w:rPr>
      </w:pPr>
      <w:r>
        <w:rPr>
          <w:rFonts w:hint="eastAsia"/>
          <w:color w:val="auto"/>
          <w:highlight w:val="none"/>
        </w:rPr>
        <w:t>十四、违约责任</w:t>
      </w:r>
    </w:p>
    <w:p w14:paraId="0631F279">
      <w:pPr>
        <w:widowControl w:val="0"/>
        <w:adjustRightInd w:val="0"/>
        <w:snapToGrid w:val="0"/>
        <w:spacing w:after="60" w:line="360" w:lineRule="auto"/>
        <w:ind w:firstLine="480" w:firstLineChars="200"/>
        <w:rPr>
          <w:color w:val="auto"/>
          <w:highlight w:val="none"/>
        </w:rPr>
      </w:pPr>
      <w:r>
        <w:rPr>
          <w:color w:val="auto"/>
          <w:highlight w:val="none"/>
        </w:rPr>
        <w:t>1.</w:t>
      </w:r>
      <w:r>
        <w:rPr>
          <w:rFonts w:hint="eastAsia"/>
          <w:color w:val="auto"/>
          <w:highlight w:val="none"/>
        </w:rPr>
        <w:t>除不可抗力外，如果乙方没有按照本合同约定的期限、地点和方式交付货物，那么甲方可要求乙方支付违约金，违约金按每迟延交付货物一日的应交付而未交付货物价格的</w:t>
      </w:r>
      <w:r>
        <w:rPr>
          <w:color w:val="auto"/>
          <w:highlight w:val="none"/>
          <w:u w:val="single"/>
        </w:rPr>
        <w:t xml:space="preserve"> 0.05</w:t>
      </w:r>
      <w:r>
        <w:rPr>
          <w:color w:val="auto"/>
          <w:highlight w:val="none"/>
        </w:rPr>
        <w:t>%</w:t>
      </w:r>
      <w:r>
        <w:rPr>
          <w:rFonts w:hint="eastAsia"/>
          <w:color w:val="auto"/>
          <w:highlight w:val="none"/>
        </w:rPr>
        <w:t>计算，最高限额为本合同总价的</w:t>
      </w:r>
      <w:r>
        <w:rPr>
          <w:color w:val="auto"/>
          <w:highlight w:val="none"/>
          <w:u w:val="single"/>
        </w:rPr>
        <w:t xml:space="preserve"> 20 </w:t>
      </w:r>
      <w:r>
        <w:rPr>
          <w:color w:val="auto"/>
          <w:highlight w:val="none"/>
        </w:rPr>
        <w:t>%</w:t>
      </w:r>
      <w:r>
        <w:rPr>
          <w:rFonts w:hint="eastAsia"/>
          <w:color w:val="auto"/>
          <w:highlight w:val="none"/>
        </w:rPr>
        <w:t>；迟延交付货物的违约金计算数额达到前述最高限额之日起，甲方有权在要求乙方支付违约金的同时，书面通知乙方解除本合同；</w:t>
      </w:r>
    </w:p>
    <w:p w14:paraId="452FC3B4">
      <w:pPr>
        <w:spacing w:line="360" w:lineRule="auto"/>
        <w:ind w:firstLine="480" w:firstLineChars="200"/>
        <w:rPr>
          <w:color w:val="auto"/>
          <w:highlight w:val="none"/>
        </w:rPr>
      </w:pPr>
      <w:r>
        <w:rPr>
          <w:color w:val="auto"/>
          <w:highlight w:val="none"/>
        </w:rPr>
        <w:t>2.</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0.05 </w:t>
      </w:r>
      <w:r>
        <w:rPr>
          <w:color w:val="auto"/>
          <w:highlight w:val="none"/>
        </w:rPr>
        <w:t>%</w:t>
      </w:r>
      <w:r>
        <w:rPr>
          <w:rFonts w:hint="eastAsia"/>
          <w:color w:val="auto"/>
          <w:highlight w:val="none"/>
        </w:rPr>
        <w:t>计算，最高限额为本合同总价的</w:t>
      </w:r>
      <w:r>
        <w:rPr>
          <w:color w:val="auto"/>
          <w:highlight w:val="none"/>
          <w:u w:val="single"/>
        </w:rPr>
        <w:t xml:space="preserve"> 20 </w:t>
      </w:r>
      <w:r>
        <w:rPr>
          <w:color w:val="auto"/>
          <w:highlight w:val="none"/>
        </w:rPr>
        <w:t>%</w:t>
      </w:r>
      <w:r>
        <w:rPr>
          <w:rFonts w:hint="eastAsia"/>
          <w:color w:val="auto"/>
          <w:highlight w:val="none"/>
        </w:rPr>
        <w:t>；迟延付款的违约金计算数额达到前述最高限额之日起，乙方有权在要求甲方支付违约金的同时，书面通知甲方解除本合同；</w:t>
      </w:r>
    </w:p>
    <w:p w14:paraId="5473AFA0">
      <w:pPr>
        <w:spacing w:line="360" w:lineRule="auto"/>
        <w:ind w:firstLine="480" w:firstLineChars="200"/>
        <w:rPr>
          <w:color w:val="auto"/>
          <w:highlight w:val="none"/>
        </w:rPr>
      </w:pPr>
      <w:r>
        <w:rPr>
          <w:color w:val="auto"/>
          <w:highlight w:val="none"/>
        </w:rPr>
        <w:t>3.</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2561CB">
      <w:pPr>
        <w:spacing w:line="360" w:lineRule="auto"/>
        <w:ind w:firstLine="480" w:firstLineChars="200"/>
        <w:rPr>
          <w:color w:val="auto"/>
          <w:highlight w:val="none"/>
        </w:rPr>
      </w:pPr>
      <w:r>
        <w:rPr>
          <w:color w:val="auto"/>
          <w:highlight w:val="none"/>
        </w:rPr>
        <w:t>4.</w:t>
      </w:r>
      <w:r>
        <w:rPr>
          <w:rFonts w:hint="eastAsia"/>
          <w:color w:val="auto"/>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6258C54">
      <w:pPr>
        <w:spacing w:line="360" w:lineRule="auto"/>
        <w:ind w:firstLine="480" w:firstLineChars="200"/>
        <w:rPr>
          <w:color w:val="auto"/>
          <w:highlight w:val="none"/>
        </w:rPr>
      </w:pPr>
      <w:r>
        <w:rPr>
          <w:color w:val="auto"/>
          <w:highlight w:val="none"/>
        </w:rPr>
        <w:t>5.</w:t>
      </w:r>
      <w:r>
        <w:rPr>
          <w:rFonts w:hint="eastAsia"/>
          <w:color w:val="auto"/>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5985356D">
      <w:pPr>
        <w:spacing w:line="360" w:lineRule="auto"/>
        <w:ind w:firstLine="480" w:firstLineChars="200"/>
        <w:rPr>
          <w:color w:val="auto"/>
          <w:highlight w:val="none"/>
        </w:rPr>
      </w:pPr>
      <w:r>
        <w:rPr>
          <w:rFonts w:hint="eastAsia"/>
          <w:color w:val="auto"/>
          <w:highlight w:val="none"/>
        </w:rPr>
        <w:t>十五、不可抗力事件处理</w:t>
      </w:r>
    </w:p>
    <w:p w14:paraId="665F784D">
      <w:pPr>
        <w:spacing w:line="360" w:lineRule="auto"/>
        <w:ind w:firstLine="480" w:firstLineChars="200"/>
        <w:rPr>
          <w:color w:val="auto"/>
          <w:highlight w:val="none"/>
        </w:rPr>
      </w:pPr>
      <w:r>
        <w:rPr>
          <w:color w:val="auto"/>
          <w:highlight w:val="none"/>
        </w:rPr>
        <w:t>1.</w:t>
      </w:r>
      <w:r>
        <w:rPr>
          <w:rFonts w:hint="eastAsia"/>
          <w:color w:val="auto"/>
          <w:highlight w:val="none"/>
        </w:rPr>
        <w:t>在合同有效期内，任何一方因不可抗力事件导致不能履行合同，则合同履行期可延长，其延长期与不可抗力影响期相同。</w:t>
      </w:r>
    </w:p>
    <w:p w14:paraId="77971CC7">
      <w:pPr>
        <w:spacing w:line="360" w:lineRule="auto"/>
        <w:ind w:firstLine="480" w:firstLineChars="200"/>
        <w:rPr>
          <w:color w:val="auto"/>
          <w:highlight w:val="none"/>
        </w:rPr>
      </w:pPr>
      <w:r>
        <w:rPr>
          <w:color w:val="auto"/>
          <w:highlight w:val="none"/>
        </w:rPr>
        <w:t>2.</w:t>
      </w:r>
      <w:r>
        <w:rPr>
          <w:rFonts w:hint="eastAsia"/>
          <w:color w:val="auto"/>
          <w:highlight w:val="none"/>
        </w:rPr>
        <w:t>不可抗力事件发生后，应立即通知对方，并寄送有关权威机构出具的证明。</w:t>
      </w:r>
    </w:p>
    <w:p w14:paraId="7B37F354">
      <w:pPr>
        <w:spacing w:line="360" w:lineRule="auto"/>
        <w:ind w:firstLine="480" w:firstLineChars="200"/>
        <w:rPr>
          <w:color w:val="auto"/>
          <w:highlight w:val="none"/>
        </w:rPr>
      </w:pPr>
      <w:r>
        <w:rPr>
          <w:color w:val="auto"/>
          <w:highlight w:val="none"/>
        </w:rPr>
        <w:t>3.</w:t>
      </w:r>
      <w:r>
        <w:rPr>
          <w:rFonts w:hint="eastAsia"/>
          <w:color w:val="auto"/>
          <w:highlight w:val="none"/>
        </w:rPr>
        <w:t>不可抗力事件延续</w:t>
      </w:r>
      <w:r>
        <w:rPr>
          <w:color w:val="auto"/>
          <w:highlight w:val="none"/>
        </w:rPr>
        <w:t>120</w:t>
      </w:r>
      <w:r>
        <w:rPr>
          <w:rFonts w:hint="eastAsia"/>
          <w:color w:val="auto"/>
          <w:highlight w:val="none"/>
        </w:rPr>
        <w:t>天以上，双方应通过友好协商，确定是否继续履行合同。</w:t>
      </w:r>
    </w:p>
    <w:p w14:paraId="2C7ED33B">
      <w:pPr>
        <w:spacing w:line="360" w:lineRule="auto"/>
        <w:ind w:firstLine="480" w:firstLineChars="200"/>
        <w:rPr>
          <w:color w:val="auto"/>
          <w:highlight w:val="none"/>
        </w:rPr>
      </w:pPr>
      <w:r>
        <w:rPr>
          <w:rFonts w:hint="eastAsia"/>
          <w:color w:val="auto"/>
          <w:highlight w:val="none"/>
        </w:rPr>
        <w:t>十六、诉讼</w:t>
      </w:r>
    </w:p>
    <w:p w14:paraId="187A3FB3">
      <w:pPr>
        <w:spacing w:line="360" w:lineRule="auto"/>
        <w:ind w:firstLine="480" w:firstLineChars="200"/>
        <w:rPr>
          <w:color w:val="auto"/>
          <w:highlight w:val="none"/>
        </w:rPr>
      </w:pPr>
      <w:r>
        <w:rPr>
          <w:rFonts w:hint="eastAsia"/>
          <w:color w:val="auto"/>
          <w:highlight w:val="none"/>
        </w:rPr>
        <w:t>1.凡有关本合同或执行本合同而发生的一切争执应通过双方友好协商解决，如不能解决，双方均可将争议提交</w:t>
      </w:r>
      <w:r>
        <w:rPr>
          <w:rFonts w:hint="eastAsia"/>
          <w:color w:val="auto"/>
          <w:highlight w:val="none"/>
          <w:u w:val="single"/>
        </w:rPr>
        <w:t>甲方所在地</w:t>
      </w:r>
      <w:r>
        <w:rPr>
          <w:rFonts w:hint="eastAsia"/>
          <w:color w:val="auto"/>
          <w:highlight w:val="none"/>
        </w:rPr>
        <w:t>人民法院裁决。</w:t>
      </w:r>
    </w:p>
    <w:p w14:paraId="24EA7186">
      <w:pPr>
        <w:spacing w:line="360" w:lineRule="auto"/>
        <w:ind w:firstLine="480" w:firstLineChars="200"/>
        <w:rPr>
          <w:color w:val="auto"/>
          <w:highlight w:val="none"/>
        </w:rPr>
      </w:pPr>
      <w:r>
        <w:rPr>
          <w:rFonts w:hint="eastAsia"/>
          <w:color w:val="auto"/>
          <w:highlight w:val="none"/>
        </w:rPr>
        <w:t>2.因任何一方违约致使对方采取诉讼方式解决纠纷的，违约方须承担另一方为此而发生的一切费用（包括但不限于诉讼费、律师费、保全费、调查费、差旅费、任何一方已支付的成交服务费等）。</w:t>
      </w:r>
    </w:p>
    <w:p w14:paraId="5111DDB2">
      <w:pPr>
        <w:spacing w:line="360" w:lineRule="auto"/>
        <w:ind w:firstLine="480" w:firstLineChars="200"/>
        <w:rPr>
          <w:color w:val="auto"/>
          <w:highlight w:val="none"/>
        </w:rPr>
      </w:pPr>
      <w:r>
        <w:rPr>
          <w:rFonts w:hint="eastAsia"/>
          <w:color w:val="auto"/>
          <w:highlight w:val="none"/>
        </w:rPr>
        <w:t>十七、合同构成</w:t>
      </w:r>
    </w:p>
    <w:p w14:paraId="3572E276">
      <w:pPr>
        <w:spacing w:line="360" w:lineRule="auto"/>
        <w:ind w:firstLine="480" w:firstLineChars="200"/>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6698D2">
      <w:pPr>
        <w:spacing w:line="360" w:lineRule="auto"/>
        <w:ind w:firstLine="480" w:firstLineChars="200"/>
        <w:rPr>
          <w:color w:val="auto"/>
          <w:highlight w:val="none"/>
        </w:rPr>
      </w:pPr>
      <w:r>
        <w:rPr>
          <w:color w:val="auto"/>
          <w:highlight w:val="none"/>
        </w:rPr>
        <w:t>1.</w:t>
      </w:r>
      <w:r>
        <w:rPr>
          <w:rFonts w:hint="eastAsia"/>
          <w:color w:val="auto"/>
          <w:highlight w:val="none"/>
        </w:rPr>
        <w:t>本合同及其补充合同、变更协议；</w:t>
      </w:r>
    </w:p>
    <w:p w14:paraId="62015C7F">
      <w:pPr>
        <w:spacing w:line="360" w:lineRule="auto"/>
        <w:ind w:firstLine="480" w:firstLineChars="200"/>
        <w:rPr>
          <w:color w:val="auto"/>
          <w:highlight w:val="none"/>
        </w:rPr>
      </w:pPr>
      <w:r>
        <w:rPr>
          <w:color w:val="auto"/>
          <w:highlight w:val="none"/>
        </w:rPr>
        <w:t>2.</w:t>
      </w:r>
      <w:r>
        <w:rPr>
          <w:rFonts w:hint="eastAsia"/>
          <w:color w:val="auto"/>
          <w:highlight w:val="none"/>
        </w:rPr>
        <w:t>中标或者成交通知书；</w:t>
      </w:r>
    </w:p>
    <w:p w14:paraId="6946546B">
      <w:pPr>
        <w:spacing w:line="360" w:lineRule="auto"/>
        <w:ind w:firstLine="480" w:firstLineChars="200"/>
        <w:rPr>
          <w:color w:val="auto"/>
          <w:highlight w:val="none"/>
        </w:rPr>
      </w:pPr>
      <w:r>
        <w:rPr>
          <w:color w:val="auto"/>
          <w:highlight w:val="none"/>
        </w:rPr>
        <w:t>3.</w:t>
      </w:r>
      <w:r>
        <w:rPr>
          <w:rFonts w:hint="eastAsia"/>
          <w:color w:val="auto"/>
          <w:highlight w:val="none"/>
        </w:rPr>
        <w:t>投标或者响应文件（含澄清或者说明文件）；</w:t>
      </w:r>
    </w:p>
    <w:p w14:paraId="4A21765F">
      <w:pPr>
        <w:spacing w:line="360" w:lineRule="auto"/>
        <w:ind w:firstLine="480" w:firstLineChars="200"/>
        <w:rPr>
          <w:color w:val="auto"/>
          <w:highlight w:val="none"/>
        </w:rPr>
      </w:pPr>
      <w:r>
        <w:rPr>
          <w:color w:val="auto"/>
          <w:highlight w:val="none"/>
        </w:rPr>
        <w:t>4.</w:t>
      </w:r>
      <w:r>
        <w:rPr>
          <w:rFonts w:hint="eastAsia"/>
          <w:color w:val="auto"/>
          <w:highlight w:val="none"/>
        </w:rPr>
        <w:t>采购文件（含澄清或者修改文件）；</w:t>
      </w:r>
    </w:p>
    <w:p w14:paraId="00C6EAC4">
      <w:pPr>
        <w:spacing w:line="360" w:lineRule="auto"/>
        <w:ind w:firstLine="480" w:firstLineChars="200"/>
        <w:rPr>
          <w:color w:val="auto"/>
          <w:highlight w:val="none"/>
        </w:rPr>
      </w:pPr>
      <w:r>
        <w:rPr>
          <w:color w:val="auto"/>
          <w:highlight w:val="none"/>
        </w:rPr>
        <w:t>5.</w:t>
      </w:r>
      <w:r>
        <w:rPr>
          <w:rFonts w:hint="eastAsia"/>
          <w:color w:val="auto"/>
          <w:highlight w:val="none"/>
        </w:rPr>
        <w:t>其他相关采购文件；</w:t>
      </w:r>
    </w:p>
    <w:p w14:paraId="6A2902EB">
      <w:pPr>
        <w:spacing w:line="360" w:lineRule="auto"/>
        <w:ind w:firstLine="480" w:firstLineChars="200"/>
        <w:rPr>
          <w:color w:val="auto"/>
          <w:highlight w:val="none"/>
        </w:rPr>
      </w:pPr>
      <w:r>
        <w:rPr>
          <w:rFonts w:hint="eastAsia"/>
          <w:color w:val="auto"/>
          <w:highlight w:val="none"/>
        </w:rPr>
        <w:t>6.有关技术文件，图纸；</w:t>
      </w:r>
    </w:p>
    <w:p w14:paraId="4261E789">
      <w:pPr>
        <w:spacing w:line="360" w:lineRule="auto"/>
        <w:ind w:firstLine="480" w:firstLineChars="200"/>
        <w:rPr>
          <w:color w:val="auto"/>
          <w:highlight w:val="none"/>
        </w:rPr>
      </w:pPr>
      <w:r>
        <w:rPr>
          <w:rFonts w:hint="eastAsia"/>
          <w:color w:val="auto"/>
          <w:highlight w:val="none"/>
        </w:rPr>
        <w:t>7.国家法律、行政法规和规章制度规定或合同约定的作为合同组成部分的其他文件。</w:t>
      </w:r>
    </w:p>
    <w:p w14:paraId="40FC42DE">
      <w:pPr>
        <w:spacing w:line="360" w:lineRule="auto"/>
        <w:ind w:firstLine="480" w:firstLineChars="200"/>
        <w:rPr>
          <w:color w:val="auto"/>
          <w:highlight w:val="none"/>
        </w:rPr>
      </w:pPr>
      <w:r>
        <w:rPr>
          <w:rFonts w:hint="eastAsia"/>
          <w:color w:val="auto"/>
          <w:highlight w:val="none"/>
        </w:rPr>
        <w:t>十八、合同生效及其它</w:t>
      </w:r>
    </w:p>
    <w:p w14:paraId="289E1F28">
      <w:pPr>
        <w:spacing w:line="360" w:lineRule="auto"/>
        <w:ind w:firstLine="480" w:firstLineChars="200"/>
        <w:rPr>
          <w:color w:val="auto"/>
          <w:highlight w:val="none"/>
        </w:rPr>
      </w:pPr>
      <w:r>
        <w:rPr>
          <w:color w:val="auto"/>
          <w:highlight w:val="none"/>
        </w:rPr>
        <w:t>1.</w:t>
      </w:r>
      <w:r>
        <w:rPr>
          <w:rFonts w:hint="eastAsia"/>
          <w:color w:val="auto"/>
          <w:highlight w:val="none"/>
        </w:rPr>
        <w:t>本合同自双方当事人盖章并签字后生效。</w:t>
      </w:r>
    </w:p>
    <w:p w14:paraId="551E1992">
      <w:pPr>
        <w:spacing w:line="360" w:lineRule="auto"/>
        <w:ind w:firstLine="480" w:firstLineChars="200"/>
        <w:rPr>
          <w:color w:val="auto"/>
          <w:highlight w:val="none"/>
        </w:rPr>
      </w:pPr>
      <w:r>
        <w:rPr>
          <w:color w:val="auto"/>
          <w:highlight w:val="none"/>
        </w:rPr>
        <w:t>2.</w:t>
      </w:r>
      <w:r>
        <w:rPr>
          <w:rFonts w:hint="eastAsia"/>
          <w:color w:val="auto"/>
          <w:highlight w:val="none"/>
        </w:rPr>
        <w:t>合同执行中涉及采购资金和采购内容修改或补充的，须经财政部门审批，并签书面补充协议报政府采购监督管理部门备案，方可作为主合同不可分割的一部分。</w:t>
      </w:r>
    </w:p>
    <w:p w14:paraId="7EC7E049">
      <w:pPr>
        <w:spacing w:line="360" w:lineRule="auto"/>
        <w:ind w:firstLine="480" w:firstLineChars="200"/>
        <w:rPr>
          <w:color w:val="auto"/>
          <w:highlight w:val="none"/>
        </w:rPr>
      </w:pPr>
      <w:r>
        <w:rPr>
          <w:color w:val="auto"/>
          <w:highlight w:val="none"/>
        </w:rPr>
        <w:t>3.</w:t>
      </w:r>
      <w:r>
        <w:rPr>
          <w:rFonts w:hint="eastAsia"/>
          <w:color w:val="auto"/>
          <w:highlight w:val="none"/>
        </w:rPr>
        <w:t>本合同未尽事宜，遵照《中华人民共和国民法典》有关条文执行。</w:t>
      </w:r>
    </w:p>
    <w:p w14:paraId="54F44016">
      <w:pPr>
        <w:spacing w:line="360" w:lineRule="auto"/>
        <w:ind w:firstLine="480" w:firstLineChars="200"/>
        <w:rPr>
          <w:color w:val="auto"/>
          <w:highlight w:val="none"/>
        </w:rPr>
      </w:pPr>
      <w:r>
        <w:rPr>
          <w:color w:val="auto"/>
          <w:highlight w:val="none"/>
        </w:rPr>
        <w:t>4.</w:t>
      </w:r>
      <w:r>
        <w:rPr>
          <w:rFonts w:hint="eastAsia"/>
          <w:color w:val="auto"/>
          <w:highlight w:val="none"/>
        </w:rPr>
        <w:t>本合同壹式陆份，甲乙双方各执贰份，招标代理机构贰份（备案及资料归集）。</w:t>
      </w:r>
    </w:p>
    <w:p w14:paraId="394B77AA">
      <w:pPr>
        <w:widowControl w:val="0"/>
        <w:adjustRightInd w:val="0"/>
        <w:snapToGrid w:val="0"/>
        <w:spacing w:after="60" w:line="360" w:lineRule="auto"/>
        <w:ind w:firstLine="480" w:firstLineChars="200"/>
        <w:rPr>
          <w:color w:val="auto"/>
          <w:highlight w:val="none"/>
          <w:u w:val="single"/>
        </w:rPr>
      </w:pPr>
      <w:r>
        <w:rPr>
          <w:rFonts w:hint="eastAsia"/>
          <w:color w:val="auto"/>
          <w:highlight w:val="none"/>
        </w:rPr>
        <w:t>十九、其他补充条款：</w:t>
      </w:r>
      <w:r>
        <w:rPr>
          <w:color w:val="auto"/>
          <w:highlight w:val="none"/>
          <w:u w:val="single"/>
        </w:rPr>
        <w:t xml:space="preserve"> </w:t>
      </w:r>
      <w:r>
        <w:rPr>
          <w:rFonts w:hint="eastAsia"/>
          <w:color w:val="auto"/>
          <w:highlight w:val="none"/>
          <w:u w:val="single"/>
        </w:rPr>
        <w:t>（如有）</w:t>
      </w:r>
      <w:r>
        <w:rPr>
          <w:color w:val="auto"/>
          <w:highlight w:val="none"/>
          <w:u w:val="single"/>
        </w:rPr>
        <w:t xml:space="preserve">                           </w:t>
      </w:r>
      <w:r>
        <w:rPr>
          <w:rFonts w:hint="eastAsia"/>
          <w:color w:val="auto"/>
          <w:highlight w:val="none"/>
          <w:u w:val="single"/>
        </w:rPr>
        <w:t>。</w:t>
      </w:r>
    </w:p>
    <w:p w14:paraId="1F3A8F46">
      <w:pPr>
        <w:spacing w:line="360" w:lineRule="auto"/>
        <w:ind w:firstLine="480" w:firstLineChars="200"/>
        <w:rPr>
          <w:rFonts w:hint="eastAsia" w:ascii="宋体" w:hAnsi="宋体" w:cs="宋体"/>
          <w:color w:val="auto"/>
          <w:highlight w:val="none"/>
        </w:rPr>
      </w:pPr>
    </w:p>
    <w:p w14:paraId="24973418">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甲方（盖章）：                              乙方（盖章）：                            </w:t>
      </w:r>
    </w:p>
    <w:p w14:paraId="57B6310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法定代表人：                                法定代表人： </w:t>
      </w:r>
    </w:p>
    <w:p w14:paraId="03835E6B">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 xml:space="preserve">委托代理人：                                委托代理人：   </w:t>
      </w:r>
    </w:p>
    <w:p w14:paraId="61C9DAED">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电话：                                      电话：</w:t>
      </w:r>
    </w:p>
    <w:p w14:paraId="17E0AECF">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开户银行：                                  开户银行：</w:t>
      </w:r>
    </w:p>
    <w:p w14:paraId="219F0694">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银行账号：                                  银行账号：</w:t>
      </w:r>
    </w:p>
    <w:p w14:paraId="6CCC2B43">
      <w:pPr>
        <w:widowControl w:val="0"/>
        <w:adjustRightInd w:val="0"/>
        <w:snapToGrid w:val="0"/>
        <w:spacing w:after="60" w:line="360" w:lineRule="auto"/>
        <w:ind w:firstLine="480" w:firstLineChars="200"/>
        <w:rPr>
          <w:rFonts w:hint="eastAsia" w:ascii="宋体" w:hAnsi="宋体" w:cs="宋体"/>
          <w:color w:val="auto"/>
          <w:highlight w:val="none"/>
        </w:rPr>
      </w:pPr>
      <w:r>
        <w:rPr>
          <w:rFonts w:hint="eastAsia" w:ascii="宋体" w:hAnsi="宋体" w:cs="宋体"/>
          <w:bCs/>
          <w:color w:val="auto"/>
          <w:highlight w:val="none"/>
        </w:rPr>
        <w:t>签订日期：  年  月  日                       签订日期：  年  月  日</w:t>
      </w:r>
    </w:p>
    <w:p w14:paraId="6FA49ED3">
      <w:pPr>
        <w:widowControl w:val="0"/>
        <w:adjustRightInd w:val="0"/>
        <w:snapToGrid w:val="0"/>
        <w:spacing w:after="60" w:line="360" w:lineRule="auto"/>
        <w:ind w:firstLine="480" w:firstLineChars="200"/>
        <w:rPr>
          <w:rFonts w:hint="eastAsia" w:ascii="宋体" w:hAnsi="宋体" w:cs="宋体"/>
          <w:bCs/>
          <w:color w:val="auto"/>
          <w:highlight w:val="none"/>
        </w:rPr>
      </w:pPr>
      <w:r>
        <w:rPr>
          <w:rFonts w:hint="eastAsia" w:ascii="宋体" w:hAnsi="宋体" w:cs="宋体"/>
          <w:bCs/>
          <w:color w:val="auto"/>
          <w:highlight w:val="none"/>
        </w:rPr>
        <w:t xml:space="preserve">   </w:t>
      </w:r>
    </w:p>
    <w:p w14:paraId="196DFDAA">
      <w:pPr>
        <w:widowControl w:val="0"/>
        <w:spacing w:line="360" w:lineRule="auto"/>
        <w:ind w:right="-120" w:rightChars="-50" w:firstLine="480" w:firstLineChars="200"/>
        <w:rPr>
          <w:rFonts w:hint="eastAsia" w:ascii="宋体" w:hAnsi="宋体" w:cs="宋体"/>
          <w:bCs/>
          <w:color w:val="auto"/>
          <w:highlight w:val="none"/>
        </w:rPr>
      </w:pPr>
    </w:p>
    <w:p w14:paraId="2BA923B9">
      <w:pPr>
        <w:widowControl w:val="0"/>
        <w:spacing w:line="360" w:lineRule="auto"/>
        <w:ind w:right="-120" w:rightChars="-50" w:firstLine="480" w:firstLineChars="200"/>
        <w:rPr>
          <w:rFonts w:hint="eastAsia" w:ascii="宋体" w:hAnsi="宋体" w:cs="宋体"/>
          <w:bCs/>
          <w:color w:val="auto"/>
          <w:highlight w:val="none"/>
        </w:rPr>
      </w:pPr>
      <w:r>
        <w:rPr>
          <w:rFonts w:hint="eastAsia" w:ascii="宋体" w:hAnsi="宋体" w:cs="宋体"/>
          <w:bCs/>
          <w:color w:val="auto"/>
          <w:highlight w:val="none"/>
        </w:rPr>
        <w:t>采购代理机构意见：</w:t>
      </w:r>
    </w:p>
    <w:p w14:paraId="12CC3631">
      <w:pPr>
        <w:ind w:firstLine="480" w:firstLineChars="200"/>
        <w:rPr>
          <w:rFonts w:hint="eastAsia" w:ascii="宋体" w:hAnsi="宋体" w:cs="宋体"/>
          <w:color w:val="auto"/>
          <w:highlight w:val="none"/>
        </w:rPr>
      </w:pPr>
      <w:r>
        <w:rPr>
          <w:rFonts w:hint="eastAsia" w:ascii="宋体" w:hAnsi="宋体" w:cs="宋体"/>
          <w:bCs/>
          <w:color w:val="auto"/>
          <w:highlight w:val="none"/>
        </w:rPr>
        <w:t>年  月  日</w:t>
      </w:r>
    </w:p>
    <w:p w14:paraId="3F47C24E">
      <w:pPr>
        <w:spacing w:line="360" w:lineRule="auto"/>
        <w:jc w:val="center"/>
        <w:rPr>
          <w:rFonts w:hint="eastAsia" w:ascii="宋体" w:hAnsi="宋体"/>
          <w:b/>
          <w:color w:val="auto"/>
          <w:sz w:val="48"/>
          <w:szCs w:val="48"/>
          <w:highlight w:val="none"/>
        </w:rPr>
        <w:sectPr>
          <w:pgSz w:w="11906" w:h="16838"/>
          <w:pgMar w:top="1259" w:right="1287" w:bottom="1361" w:left="1622" w:header="709" w:footer="971" w:gutter="0"/>
          <w:cols w:space="720" w:num="1"/>
          <w:docGrid w:linePitch="360" w:charSpace="0"/>
        </w:sectPr>
      </w:pPr>
    </w:p>
    <w:p w14:paraId="3EF5EF45">
      <w:pPr>
        <w:pStyle w:val="3"/>
        <w:spacing w:before="120" w:after="240" w:line="240" w:lineRule="auto"/>
        <w:jc w:val="center"/>
        <w:rPr>
          <w:rFonts w:hint="eastAsia" w:ascii="宋体" w:hAnsi="宋体"/>
          <w:color w:val="auto"/>
          <w:highlight w:val="none"/>
        </w:rPr>
      </w:pPr>
      <w:bookmarkStart w:id="71" w:name="_Toc93668165"/>
      <w:r>
        <w:rPr>
          <w:rFonts w:ascii="宋体" w:hAnsi="宋体"/>
          <w:color w:val="auto"/>
          <w:highlight w:val="none"/>
        </w:rPr>
        <w:t>第七章  投标文件格式</w:t>
      </w:r>
      <w:bookmarkEnd w:id="65"/>
      <w:bookmarkEnd w:id="71"/>
    </w:p>
    <w:p w14:paraId="7BE90819">
      <w:pPr>
        <w:pStyle w:val="39"/>
        <w:widowControl w:val="0"/>
        <w:adjustRightInd w:val="0"/>
        <w:snapToGrid w:val="0"/>
        <w:spacing w:line="390" w:lineRule="atLeast"/>
        <w:rPr>
          <w:b/>
          <w:color w:val="auto"/>
          <w:sz w:val="32"/>
          <w:szCs w:val="32"/>
          <w:highlight w:val="none"/>
        </w:rPr>
      </w:pPr>
      <w:bookmarkStart w:id="72" w:name="_Hlk94088670"/>
      <w:r>
        <w:rPr>
          <w:b/>
          <w:color w:val="auto"/>
          <w:sz w:val="32"/>
          <w:szCs w:val="32"/>
          <w:highlight w:val="none"/>
        </w:rPr>
        <w:t>资格文件：</w:t>
      </w:r>
      <w:r>
        <w:rPr>
          <w:color w:val="auto"/>
          <w:highlight w:val="none"/>
        </w:rPr>
        <w:t>（</w:t>
      </w:r>
      <w:r>
        <w:rPr>
          <w:b/>
          <w:color w:val="auto"/>
          <w:highlight w:val="none"/>
          <w:u w:val="single"/>
        </w:rPr>
        <w:t>未提供齐全将导致资格审查不通过，投标文件无效</w:t>
      </w:r>
      <w:r>
        <w:rPr>
          <w:color w:val="auto"/>
          <w:highlight w:val="none"/>
        </w:rPr>
        <w:t>）</w:t>
      </w:r>
    </w:p>
    <w:p w14:paraId="35E8A5B6">
      <w:pPr>
        <w:widowControl w:val="0"/>
        <w:adjustRightInd w:val="0"/>
        <w:snapToGrid w:val="0"/>
        <w:spacing w:line="360" w:lineRule="auto"/>
        <w:ind w:firstLine="537" w:firstLineChars="224"/>
        <w:rPr>
          <w:color w:val="auto"/>
          <w:highlight w:val="none"/>
        </w:rPr>
      </w:pPr>
      <w:r>
        <w:rPr>
          <w:color w:val="auto"/>
          <w:highlight w:val="none"/>
        </w:rPr>
        <w:t>1.</w:t>
      </w:r>
      <w:r>
        <w:rPr>
          <w:rFonts w:hint="eastAsia"/>
          <w:color w:val="auto"/>
          <w:highlight w:val="none"/>
        </w:rPr>
        <w:t>投标人</w:t>
      </w:r>
      <w:r>
        <w:rPr>
          <w:color w:val="auto"/>
          <w:highlight w:val="none"/>
        </w:rPr>
        <w:t>法人营业执照（副本）或事业单位法人证书（副本）或个体工商户营业执照或有效的自然人身份证明或社会团体法人登记证书（提供复印件</w:t>
      </w:r>
      <w:r>
        <w:rPr>
          <w:rFonts w:hint="eastAsia"/>
          <w:color w:val="auto"/>
          <w:highlight w:val="none"/>
        </w:rPr>
        <w:t>上传</w:t>
      </w:r>
      <w:r>
        <w:rPr>
          <w:color w:val="auto"/>
          <w:highlight w:val="none"/>
        </w:rPr>
        <w:t>）</w:t>
      </w:r>
    </w:p>
    <w:p w14:paraId="392A100F">
      <w:pPr>
        <w:widowControl w:val="0"/>
        <w:adjustRightInd w:val="0"/>
        <w:snapToGrid w:val="0"/>
        <w:spacing w:line="360" w:lineRule="auto"/>
        <w:ind w:firstLine="537" w:firstLineChars="224"/>
        <w:rPr>
          <w:color w:val="auto"/>
          <w:highlight w:val="none"/>
        </w:rPr>
      </w:pPr>
      <w:r>
        <w:rPr>
          <w:color w:val="auto"/>
          <w:highlight w:val="none"/>
        </w:rPr>
        <w:t>2.符合参加政府采购活动应当具备的一般条件的承诺函</w:t>
      </w:r>
      <w:r>
        <w:rPr>
          <w:rFonts w:hint="eastAsia"/>
          <w:color w:val="auto"/>
          <w:highlight w:val="none"/>
        </w:rPr>
        <w:t>（格式详见第七章）；</w:t>
      </w:r>
    </w:p>
    <w:p w14:paraId="1DB6DA3B">
      <w:pPr>
        <w:snapToGrid w:val="0"/>
        <w:spacing w:line="360" w:lineRule="auto"/>
        <w:ind w:right="480"/>
        <w:rPr>
          <w:b/>
          <w:color w:val="auto"/>
          <w:sz w:val="32"/>
          <w:szCs w:val="32"/>
          <w:highlight w:val="none"/>
        </w:rPr>
        <w:sectPr>
          <w:pgSz w:w="11906" w:h="16838"/>
          <w:pgMar w:top="1259" w:right="1287" w:bottom="1361" w:left="1622" w:header="709" w:footer="975" w:gutter="0"/>
          <w:cols w:space="720" w:num="1"/>
          <w:docGrid w:linePitch="360" w:charSpace="0"/>
        </w:sectPr>
      </w:pPr>
      <w:r>
        <w:rPr>
          <w:b/>
          <w:color w:val="auto"/>
          <w:sz w:val="32"/>
          <w:szCs w:val="32"/>
          <w:highlight w:val="none"/>
        </w:rPr>
        <w:br w:type="page"/>
      </w:r>
      <w:r>
        <w:rPr>
          <w:b/>
          <w:color w:val="auto"/>
          <w:sz w:val="32"/>
          <w:szCs w:val="32"/>
          <w:highlight w:val="none"/>
        </w:rPr>
        <w:t>一、</w:t>
      </w:r>
      <w:r>
        <w:rPr>
          <w:rFonts w:hint="eastAsia"/>
          <w:b/>
          <w:color w:val="auto"/>
          <w:sz w:val="32"/>
          <w:szCs w:val="32"/>
          <w:highlight w:val="none"/>
        </w:rPr>
        <w:t>投标人</w:t>
      </w:r>
      <w:r>
        <w:rPr>
          <w:b/>
          <w:color w:val="auto"/>
          <w:sz w:val="32"/>
          <w:szCs w:val="32"/>
          <w:highlight w:val="none"/>
        </w:rPr>
        <w:t>法人营业执照（副本）或事业单位法人证书（副本）或个体工商户营业执照或有效的自然人身份证明或社会团体法人登记证书（提供复印件</w:t>
      </w:r>
      <w:r>
        <w:rPr>
          <w:rFonts w:hint="eastAsia"/>
          <w:b/>
          <w:color w:val="auto"/>
          <w:sz w:val="32"/>
          <w:szCs w:val="32"/>
          <w:highlight w:val="none"/>
        </w:rPr>
        <w:t>上传</w:t>
      </w:r>
      <w:r>
        <w:rPr>
          <w:b/>
          <w:color w:val="auto"/>
          <w:sz w:val="32"/>
          <w:szCs w:val="32"/>
          <w:highlight w:val="none"/>
        </w:rPr>
        <w:t>）</w:t>
      </w:r>
    </w:p>
    <w:p w14:paraId="0ADEC78D">
      <w:pPr>
        <w:snapToGrid w:val="0"/>
        <w:spacing w:line="360" w:lineRule="auto"/>
        <w:ind w:right="480"/>
        <w:rPr>
          <w:b/>
          <w:color w:val="auto"/>
          <w:sz w:val="32"/>
          <w:szCs w:val="32"/>
          <w:highlight w:val="none"/>
        </w:rPr>
      </w:pPr>
      <w:r>
        <w:rPr>
          <w:rFonts w:hint="eastAsia"/>
          <w:b/>
          <w:color w:val="auto"/>
          <w:sz w:val="32"/>
          <w:szCs w:val="32"/>
          <w:highlight w:val="none"/>
        </w:rPr>
        <w:t>二</w:t>
      </w:r>
      <w:r>
        <w:rPr>
          <w:b/>
          <w:color w:val="auto"/>
          <w:sz w:val="32"/>
          <w:szCs w:val="32"/>
          <w:highlight w:val="none"/>
        </w:rPr>
        <w:t>、 符合参加政府采购活动应当具备的一般条件的承诺函</w:t>
      </w:r>
    </w:p>
    <w:p w14:paraId="1F9A35F4">
      <w:pPr>
        <w:snapToGrid w:val="0"/>
        <w:spacing w:line="360" w:lineRule="auto"/>
        <w:rPr>
          <w:color w:val="auto"/>
          <w:highlight w:val="none"/>
        </w:rPr>
      </w:pPr>
      <w:r>
        <w:rPr>
          <w:color w:val="auto"/>
          <w:highlight w:val="none"/>
        </w:rPr>
        <w:t>（采购人）、（采购代理机构）：</w:t>
      </w:r>
    </w:p>
    <w:p w14:paraId="7A14A149">
      <w:pPr>
        <w:snapToGrid w:val="0"/>
        <w:spacing w:line="360" w:lineRule="auto"/>
        <w:ind w:firstLine="480" w:firstLineChars="200"/>
        <w:rPr>
          <w:color w:val="auto"/>
          <w:highlight w:val="none"/>
        </w:rPr>
      </w:pPr>
      <w:r>
        <w:rPr>
          <w:color w:val="auto"/>
          <w:highlight w:val="none"/>
        </w:rPr>
        <w:t>我方参与</w:t>
      </w:r>
      <w:r>
        <w:rPr>
          <w:color w:val="auto"/>
          <w:highlight w:val="none"/>
          <w:u w:val="single"/>
        </w:rPr>
        <w:t>（项目名称）             【项目编号：    】</w:t>
      </w:r>
      <w:r>
        <w:rPr>
          <w:color w:val="auto"/>
          <w:highlight w:val="none"/>
        </w:rPr>
        <w:t>政府采购活动，郑重承诺：</w:t>
      </w:r>
    </w:p>
    <w:p w14:paraId="047C70F3">
      <w:pPr>
        <w:snapToGrid w:val="0"/>
        <w:spacing w:line="360" w:lineRule="auto"/>
        <w:ind w:firstLine="360" w:firstLineChars="150"/>
        <w:rPr>
          <w:color w:val="auto"/>
          <w:highlight w:val="none"/>
        </w:rPr>
      </w:pPr>
      <w:r>
        <w:rPr>
          <w:color w:val="auto"/>
          <w:highlight w:val="none"/>
        </w:rPr>
        <w:t>（一）具备《中华人民共和国政府采购法》第二十二条第一款规定的条件：</w:t>
      </w:r>
    </w:p>
    <w:p w14:paraId="3505BE78">
      <w:pPr>
        <w:snapToGrid w:val="0"/>
        <w:spacing w:line="360" w:lineRule="auto"/>
        <w:ind w:firstLine="480" w:firstLineChars="200"/>
        <w:rPr>
          <w:color w:val="auto"/>
          <w:highlight w:val="none"/>
        </w:rPr>
      </w:pPr>
      <w:r>
        <w:rPr>
          <w:color w:val="auto"/>
          <w:highlight w:val="none"/>
        </w:rPr>
        <w:t>1.具有独立承担民事责任的能力；</w:t>
      </w:r>
    </w:p>
    <w:p w14:paraId="3868D12B">
      <w:pPr>
        <w:snapToGrid w:val="0"/>
        <w:spacing w:line="360" w:lineRule="auto"/>
        <w:ind w:firstLine="480" w:firstLineChars="200"/>
        <w:rPr>
          <w:color w:val="auto"/>
          <w:highlight w:val="none"/>
        </w:rPr>
      </w:pPr>
      <w:r>
        <w:rPr>
          <w:color w:val="auto"/>
          <w:highlight w:val="none"/>
        </w:rPr>
        <w:t xml:space="preserve">2.具有良好的商业信誉和健全的财务会计制度； </w:t>
      </w:r>
    </w:p>
    <w:p w14:paraId="282D34B7">
      <w:pPr>
        <w:snapToGrid w:val="0"/>
        <w:spacing w:line="360" w:lineRule="auto"/>
        <w:ind w:firstLine="480" w:firstLineChars="200"/>
        <w:rPr>
          <w:color w:val="auto"/>
          <w:highlight w:val="none"/>
        </w:rPr>
      </w:pPr>
      <w:r>
        <w:rPr>
          <w:color w:val="auto"/>
          <w:highlight w:val="none"/>
        </w:rPr>
        <w:t>3.具有履行合同所必需的设备和专业技术能力；</w:t>
      </w:r>
    </w:p>
    <w:p w14:paraId="694C1F01">
      <w:pPr>
        <w:snapToGrid w:val="0"/>
        <w:spacing w:line="360" w:lineRule="auto"/>
        <w:ind w:firstLine="480" w:firstLineChars="200"/>
        <w:rPr>
          <w:color w:val="auto"/>
          <w:highlight w:val="none"/>
        </w:rPr>
      </w:pPr>
      <w:r>
        <w:rPr>
          <w:color w:val="auto"/>
          <w:highlight w:val="none"/>
        </w:rPr>
        <w:t>4.有依法缴纳税收和社会保障资金的良好记录；</w:t>
      </w:r>
    </w:p>
    <w:p w14:paraId="284E50FE">
      <w:pPr>
        <w:snapToGrid w:val="0"/>
        <w:spacing w:line="360" w:lineRule="auto"/>
        <w:ind w:firstLine="480" w:firstLineChars="200"/>
        <w:rPr>
          <w:color w:val="auto"/>
          <w:highlight w:val="none"/>
        </w:rPr>
      </w:pPr>
      <w:r>
        <w:rPr>
          <w:color w:val="auto"/>
          <w:highlight w:val="none"/>
        </w:rPr>
        <w:t>5.参加政府采购活动前三年内，在经营活动中没有重大违法记录；</w:t>
      </w:r>
    </w:p>
    <w:p w14:paraId="5F85DBC4">
      <w:pPr>
        <w:snapToGrid w:val="0"/>
        <w:spacing w:line="360" w:lineRule="auto"/>
        <w:ind w:firstLine="480" w:firstLineChars="200"/>
        <w:rPr>
          <w:color w:val="auto"/>
          <w:highlight w:val="none"/>
        </w:rPr>
      </w:pPr>
      <w:r>
        <w:rPr>
          <w:color w:val="auto"/>
          <w:highlight w:val="none"/>
        </w:rPr>
        <w:t>6.具有法律、行政法规规定的其他条件。</w:t>
      </w:r>
    </w:p>
    <w:p w14:paraId="2D4CD096">
      <w:pPr>
        <w:snapToGrid w:val="0"/>
        <w:spacing w:line="360" w:lineRule="auto"/>
        <w:ind w:firstLine="480" w:firstLineChars="200"/>
        <w:rPr>
          <w:color w:val="auto"/>
          <w:highlight w:val="none"/>
        </w:rPr>
      </w:pPr>
      <w:r>
        <w:rPr>
          <w:color w:val="auto"/>
          <w:highlight w:val="none"/>
        </w:rPr>
        <w:t>（二）未被信用中国（www.creditchina.gov.cn)、中国政府采购网（www.ccgp.gov.cn）列入失信被执行人、重大税收违法案件当事人名单、政府采购严重违法失信行为记录名单。</w:t>
      </w:r>
    </w:p>
    <w:p w14:paraId="76EAD0EC">
      <w:pPr>
        <w:snapToGrid w:val="0"/>
        <w:spacing w:line="360" w:lineRule="auto"/>
        <w:ind w:firstLine="480" w:firstLineChars="200"/>
        <w:rPr>
          <w:color w:val="auto"/>
          <w:highlight w:val="none"/>
        </w:rPr>
      </w:pPr>
      <w:r>
        <w:rPr>
          <w:color w:val="auto"/>
          <w:highlight w:val="none"/>
        </w:rPr>
        <w:t>（三）不存在以下情况：</w:t>
      </w:r>
    </w:p>
    <w:p w14:paraId="295DE40C">
      <w:pPr>
        <w:snapToGrid w:val="0"/>
        <w:spacing w:line="360" w:lineRule="auto"/>
        <w:ind w:firstLine="480" w:firstLineChars="200"/>
        <w:rPr>
          <w:color w:val="auto"/>
          <w:highlight w:val="none"/>
        </w:rPr>
      </w:pPr>
      <w:r>
        <w:rPr>
          <w:color w:val="auto"/>
          <w:highlight w:val="none"/>
        </w:rPr>
        <w:t>1.单位负责人为同一人或者存在直接控股、管理关系的不同供应商参加同一合同项下的政府采购活动的；</w:t>
      </w:r>
    </w:p>
    <w:p w14:paraId="12027302">
      <w:pPr>
        <w:snapToGrid w:val="0"/>
        <w:spacing w:line="360" w:lineRule="auto"/>
        <w:ind w:firstLine="480" w:firstLineChars="200"/>
        <w:rPr>
          <w:color w:val="auto"/>
          <w:highlight w:val="none"/>
        </w:rPr>
      </w:pPr>
      <w:r>
        <w:rPr>
          <w:color w:val="auto"/>
          <w:highlight w:val="none"/>
        </w:rPr>
        <w:t>2.为采购项目提供整体设计、规范编制或者项目管理、监理、检测等服务后再参加该采购项目的其他采购活动的。</w:t>
      </w:r>
    </w:p>
    <w:p w14:paraId="0302D49E">
      <w:pPr>
        <w:pStyle w:val="42"/>
        <w:ind w:left="480" w:firstLine="480"/>
        <w:rPr>
          <w:color w:val="auto"/>
          <w:highlight w:val="none"/>
        </w:rPr>
      </w:pPr>
    </w:p>
    <w:p w14:paraId="1EA3706A">
      <w:pPr>
        <w:pStyle w:val="42"/>
        <w:ind w:left="480" w:firstLine="480"/>
        <w:rPr>
          <w:color w:val="auto"/>
          <w:highlight w:val="none"/>
        </w:rPr>
      </w:pPr>
    </w:p>
    <w:p w14:paraId="7F1C6321">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r>
        <w:rPr>
          <w:rFonts w:ascii="Times New Roman" w:hAnsi="Times New Roman"/>
          <w:color w:val="auto"/>
          <w:highlight w:val="none"/>
        </w:rPr>
        <w:t>投标人（电子签章）：__________________________</w:t>
      </w:r>
    </w:p>
    <w:p w14:paraId="7F13EAE9">
      <w:pPr>
        <w:pStyle w:val="24"/>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r>
        <w:rPr>
          <w:rFonts w:ascii="Times New Roman" w:hAnsi="Times New Roman"/>
          <w:color w:val="auto"/>
          <w:highlight w:val="none"/>
        </w:rPr>
        <w:t>日期：____年____月____日</w:t>
      </w:r>
    </w:p>
    <w:p w14:paraId="3A27EBA6">
      <w:pPr>
        <w:snapToGrid w:val="0"/>
        <w:spacing w:line="360" w:lineRule="auto"/>
        <w:ind w:right="480"/>
        <w:jc w:val="center"/>
        <w:rPr>
          <w:rFonts w:eastAsia="仿宋_GB2312"/>
          <w:b/>
          <w:color w:val="auto"/>
          <w:sz w:val="32"/>
          <w:szCs w:val="32"/>
          <w:highlight w:val="none"/>
        </w:rPr>
      </w:pPr>
    </w:p>
    <w:p w14:paraId="288814A6">
      <w:pPr>
        <w:snapToGrid w:val="0"/>
        <w:spacing w:line="360" w:lineRule="auto"/>
        <w:ind w:right="480"/>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w:t>
      </w:r>
    </w:p>
    <w:p w14:paraId="078CF9E0">
      <w:pPr>
        <w:pStyle w:val="42"/>
        <w:ind w:left="0" w:leftChars="0" w:firstLine="0" w:firstLineChars="0"/>
        <w:rPr>
          <w:color w:val="auto"/>
          <w:highlight w:val="none"/>
        </w:rPr>
        <w:sectPr>
          <w:pgSz w:w="11906" w:h="16838"/>
          <w:pgMar w:top="1259" w:right="1287" w:bottom="1361" w:left="1622" w:header="709" w:footer="975" w:gutter="0"/>
          <w:cols w:space="720" w:num="1"/>
          <w:docGrid w:linePitch="360" w:charSpace="0"/>
        </w:sectPr>
      </w:pPr>
      <w:r>
        <w:rPr>
          <w:rFonts w:hint="eastAsia"/>
          <w:color w:val="auto"/>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465ACA7C">
      <w:pPr>
        <w:pStyle w:val="39"/>
        <w:widowControl w:val="0"/>
        <w:adjustRightInd w:val="0"/>
        <w:snapToGrid w:val="0"/>
        <w:spacing w:line="276" w:lineRule="auto"/>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技术资信文件：</w:t>
      </w:r>
    </w:p>
    <w:p w14:paraId="2416D529">
      <w:pPr>
        <w:pStyle w:val="39"/>
        <w:widowControl w:val="0"/>
        <w:adjustRightInd w:val="0"/>
        <w:snapToGrid w:val="0"/>
        <w:spacing w:line="276" w:lineRule="auto"/>
        <w:jc w:val="center"/>
        <w:rPr>
          <w:rFonts w:hint="default" w:ascii="Times New Roman" w:hAnsi="Times New Roman"/>
          <w:b/>
          <w:color w:val="auto"/>
          <w:sz w:val="32"/>
          <w:szCs w:val="32"/>
          <w:highlight w:val="none"/>
        </w:rPr>
      </w:pPr>
      <w:r>
        <w:rPr>
          <w:rFonts w:hint="default" w:ascii="Times New Roman" w:hAnsi="Times New Roman"/>
          <w:b/>
          <w:color w:val="auto"/>
          <w:sz w:val="32"/>
          <w:szCs w:val="32"/>
          <w:highlight w:val="none"/>
        </w:rPr>
        <w:t>目录</w:t>
      </w:r>
    </w:p>
    <w:p w14:paraId="1AFC3EC5">
      <w:pPr>
        <w:widowControl w:val="0"/>
        <w:adjustRightInd w:val="0"/>
        <w:snapToGrid w:val="0"/>
        <w:spacing w:line="360" w:lineRule="auto"/>
        <w:ind w:firstLine="537" w:firstLineChars="224"/>
        <w:rPr>
          <w:color w:val="auto"/>
          <w:highlight w:val="none"/>
        </w:rPr>
      </w:pPr>
      <w:r>
        <w:rPr>
          <w:color w:val="auto"/>
          <w:highlight w:val="none"/>
        </w:rPr>
        <w:t>1.投标函。</w:t>
      </w:r>
    </w:p>
    <w:p w14:paraId="5A00B9DF">
      <w:pPr>
        <w:widowControl w:val="0"/>
        <w:adjustRightInd w:val="0"/>
        <w:snapToGrid w:val="0"/>
        <w:spacing w:line="360" w:lineRule="auto"/>
        <w:ind w:firstLine="537" w:firstLineChars="224"/>
        <w:rPr>
          <w:color w:val="auto"/>
          <w:highlight w:val="none"/>
        </w:rPr>
      </w:pPr>
      <w:r>
        <w:rPr>
          <w:color w:val="auto"/>
          <w:highlight w:val="none"/>
        </w:rPr>
        <w:t>2.法定代表人（负责人）授权委托书（法定代表人或负责人亲自参加的仅</w:t>
      </w:r>
      <w:r>
        <w:rPr>
          <w:rFonts w:hint="eastAsia"/>
          <w:color w:val="auto"/>
          <w:highlight w:val="none"/>
        </w:rPr>
        <w:t>需</w:t>
      </w:r>
      <w:r>
        <w:rPr>
          <w:color w:val="auto"/>
          <w:highlight w:val="none"/>
        </w:rPr>
        <w:t>提供身份证复印件）；</w:t>
      </w:r>
    </w:p>
    <w:p w14:paraId="68E78397">
      <w:pPr>
        <w:widowControl w:val="0"/>
        <w:adjustRightInd w:val="0"/>
        <w:snapToGrid w:val="0"/>
        <w:spacing w:line="360" w:lineRule="auto"/>
        <w:ind w:firstLine="537" w:firstLineChars="224"/>
        <w:rPr>
          <w:color w:val="auto"/>
          <w:highlight w:val="none"/>
        </w:rPr>
      </w:pPr>
      <w:r>
        <w:rPr>
          <w:color w:val="auto"/>
          <w:highlight w:val="none"/>
        </w:rPr>
        <w:t>3.投标货物技术参数明细表。</w:t>
      </w:r>
    </w:p>
    <w:p w14:paraId="14B0210F">
      <w:pPr>
        <w:widowControl w:val="0"/>
        <w:adjustRightInd w:val="0"/>
        <w:snapToGrid w:val="0"/>
        <w:spacing w:line="360" w:lineRule="auto"/>
        <w:ind w:firstLine="537" w:firstLineChars="224"/>
        <w:rPr>
          <w:color w:val="auto"/>
          <w:highlight w:val="none"/>
        </w:rPr>
      </w:pPr>
      <w:r>
        <w:rPr>
          <w:color w:val="auto"/>
          <w:highlight w:val="none"/>
        </w:rPr>
        <w:t>4.技术要求偏离表。（投标人拟提供的技术要求与招标文件中的要求不一致时，则必须在《技术要求偏离表》中予以明确，否则将视为投标人完全响应招标文件的要求，并以招标文件作为合同条件。）</w:t>
      </w:r>
    </w:p>
    <w:p w14:paraId="43F0F0D3">
      <w:pPr>
        <w:widowControl w:val="0"/>
        <w:adjustRightInd w:val="0"/>
        <w:snapToGrid w:val="0"/>
        <w:spacing w:line="360" w:lineRule="auto"/>
        <w:ind w:firstLine="537" w:firstLineChars="224"/>
        <w:rPr>
          <w:color w:val="auto"/>
          <w:highlight w:val="none"/>
        </w:rPr>
      </w:pPr>
      <w:r>
        <w:rPr>
          <w:color w:val="auto"/>
          <w:highlight w:val="none"/>
        </w:rPr>
        <w:t>5.服务条款偏离表/响应表。（投标人拟提供的服务要求与</w:t>
      </w:r>
      <w:r>
        <w:rPr>
          <w:color w:val="auto"/>
          <w:highlight w:val="none"/>
          <w:u w:val="thick" w:color="FFFFFF"/>
        </w:rPr>
        <w:t>招标文件</w:t>
      </w:r>
      <w:r>
        <w:rPr>
          <w:color w:val="auto"/>
          <w:highlight w:val="none"/>
        </w:rPr>
        <w:t>中的要求不一致时，则必须在《服务条款偏离表/响应表》中予以明确，否则将视为投标人完全响应</w:t>
      </w:r>
      <w:r>
        <w:rPr>
          <w:color w:val="auto"/>
          <w:highlight w:val="none"/>
          <w:u w:val="thick" w:color="FFFFFF"/>
        </w:rPr>
        <w:t>招标文件</w:t>
      </w:r>
      <w:r>
        <w:rPr>
          <w:color w:val="auto"/>
          <w:highlight w:val="none"/>
        </w:rPr>
        <w:t>的要求，并以</w:t>
      </w:r>
      <w:r>
        <w:rPr>
          <w:color w:val="auto"/>
          <w:highlight w:val="none"/>
          <w:u w:val="thick" w:color="FFFFFF"/>
        </w:rPr>
        <w:t>招标文件</w:t>
      </w:r>
      <w:r>
        <w:rPr>
          <w:color w:val="auto"/>
          <w:highlight w:val="none"/>
        </w:rPr>
        <w:t>作为合同条件。）</w:t>
      </w:r>
    </w:p>
    <w:p w14:paraId="0D53A739">
      <w:pPr>
        <w:widowControl w:val="0"/>
        <w:adjustRightInd w:val="0"/>
        <w:snapToGrid w:val="0"/>
        <w:spacing w:line="360" w:lineRule="auto"/>
        <w:ind w:firstLine="537" w:firstLineChars="224"/>
        <w:rPr>
          <w:color w:val="auto"/>
          <w:highlight w:val="none"/>
        </w:rPr>
      </w:pPr>
      <w:r>
        <w:rPr>
          <w:color w:val="auto"/>
          <w:highlight w:val="none"/>
        </w:rPr>
        <w:t>6.项目实施人员一览表。</w:t>
      </w:r>
    </w:p>
    <w:p w14:paraId="5D42DDA4">
      <w:pPr>
        <w:widowControl w:val="0"/>
        <w:adjustRightInd w:val="0"/>
        <w:snapToGrid w:val="0"/>
        <w:spacing w:line="360" w:lineRule="auto"/>
        <w:ind w:firstLine="537" w:firstLineChars="224"/>
        <w:rPr>
          <w:color w:val="auto"/>
          <w:highlight w:val="none"/>
        </w:rPr>
      </w:pPr>
      <w:r>
        <w:rPr>
          <w:color w:val="auto"/>
          <w:highlight w:val="none"/>
        </w:rPr>
        <w:t>7.服务计划书（例：质量保证措施及承诺，服务措施及承诺，售后服务措施及承诺，其他服务措施及承诺）。</w:t>
      </w:r>
    </w:p>
    <w:p w14:paraId="693DD5A9">
      <w:pPr>
        <w:widowControl w:val="0"/>
        <w:adjustRightInd w:val="0"/>
        <w:snapToGrid w:val="0"/>
        <w:spacing w:line="360" w:lineRule="auto"/>
        <w:ind w:firstLine="537" w:firstLineChars="224"/>
        <w:rPr>
          <w:color w:val="auto"/>
          <w:highlight w:val="none"/>
        </w:rPr>
      </w:pPr>
      <w:r>
        <w:rPr>
          <w:color w:val="auto"/>
          <w:highlight w:val="none"/>
        </w:rPr>
        <w:t>8.投标人情况：</w:t>
      </w:r>
    </w:p>
    <w:p w14:paraId="043AA29E">
      <w:pPr>
        <w:widowControl w:val="0"/>
        <w:adjustRightInd w:val="0"/>
        <w:snapToGrid w:val="0"/>
        <w:spacing w:line="360" w:lineRule="auto"/>
        <w:ind w:firstLine="537" w:firstLineChars="224"/>
        <w:rPr>
          <w:color w:val="auto"/>
          <w:highlight w:val="none"/>
        </w:rPr>
      </w:pPr>
      <w:r>
        <w:rPr>
          <w:color w:val="auto"/>
          <w:highlight w:val="none"/>
        </w:rPr>
        <w:t>（1）单位简介；</w:t>
      </w:r>
    </w:p>
    <w:p w14:paraId="587D424A">
      <w:pPr>
        <w:widowControl w:val="0"/>
        <w:adjustRightInd w:val="0"/>
        <w:snapToGrid w:val="0"/>
        <w:spacing w:line="360" w:lineRule="auto"/>
        <w:ind w:firstLine="537" w:firstLineChars="224"/>
        <w:rPr>
          <w:color w:val="auto"/>
          <w:highlight w:val="none"/>
        </w:rPr>
      </w:pPr>
      <w:r>
        <w:rPr>
          <w:color w:val="auto"/>
          <w:highlight w:val="none"/>
        </w:rPr>
        <w:t>（2）投标人的信誉、荣誉证书；（如有）</w:t>
      </w:r>
    </w:p>
    <w:p w14:paraId="5865083E">
      <w:pPr>
        <w:widowControl w:val="0"/>
        <w:adjustRightInd w:val="0"/>
        <w:snapToGrid w:val="0"/>
        <w:spacing w:line="360" w:lineRule="auto"/>
        <w:ind w:firstLine="537" w:firstLineChars="224"/>
        <w:rPr>
          <w:color w:val="auto"/>
          <w:highlight w:val="none"/>
        </w:rPr>
      </w:pPr>
      <w:r>
        <w:rPr>
          <w:color w:val="auto"/>
          <w:highlight w:val="none"/>
        </w:rPr>
        <w:t>（3）投标人质量管理和质量保证体系等方面的认证证书。（如有）</w:t>
      </w:r>
    </w:p>
    <w:p w14:paraId="36FA19ED">
      <w:pPr>
        <w:widowControl w:val="0"/>
        <w:adjustRightInd w:val="0"/>
        <w:snapToGrid w:val="0"/>
        <w:spacing w:line="360" w:lineRule="auto"/>
        <w:ind w:firstLine="537" w:firstLineChars="224"/>
        <w:rPr>
          <w:color w:val="auto"/>
          <w:highlight w:val="none"/>
        </w:rPr>
      </w:pPr>
      <w:r>
        <w:rPr>
          <w:color w:val="auto"/>
          <w:highlight w:val="none"/>
        </w:rPr>
        <w:t>（4）同类业绩证明（如有，需提供合同复印件）；</w:t>
      </w:r>
    </w:p>
    <w:p w14:paraId="33C1660D">
      <w:pPr>
        <w:widowControl w:val="0"/>
        <w:adjustRightInd w:val="0"/>
        <w:snapToGrid w:val="0"/>
        <w:spacing w:line="360" w:lineRule="auto"/>
        <w:ind w:firstLine="537" w:firstLineChars="224"/>
        <w:rPr>
          <w:color w:val="auto"/>
          <w:highlight w:val="none"/>
        </w:rPr>
      </w:pPr>
      <w:r>
        <w:rPr>
          <w:color w:val="auto"/>
          <w:highlight w:val="none"/>
        </w:rPr>
        <w:t>9.评标标准相应的技术资信资料。</w:t>
      </w:r>
    </w:p>
    <w:p w14:paraId="1D74C91B">
      <w:pPr>
        <w:shd w:val="clear" w:color="auto" w:fill="FFFFFF"/>
        <w:snapToGrid w:val="0"/>
        <w:spacing w:after="50"/>
        <w:jc w:val="center"/>
        <w:rPr>
          <w:rFonts w:hint="eastAsia" w:ascii="宋体" w:hAnsi="宋体"/>
          <w:b/>
          <w:color w:val="auto"/>
          <w:highlight w:val="none"/>
        </w:rPr>
      </w:pPr>
      <w:r>
        <w:rPr>
          <w:rFonts w:ascii="宋体" w:hAnsi="宋体"/>
          <w:b/>
          <w:color w:val="auto"/>
          <w:sz w:val="32"/>
          <w:highlight w:val="none"/>
        </w:rPr>
        <w:t>评分索引表</w:t>
      </w:r>
    </w:p>
    <w:tbl>
      <w:tblPr>
        <w:tblStyle w:val="4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45"/>
        <w:gridCol w:w="4821"/>
        <w:gridCol w:w="1270"/>
        <w:gridCol w:w="1858"/>
        <w:gridCol w:w="721"/>
      </w:tblGrid>
      <w:tr w14:paraId="5AB4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2453D61F">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序号</w:t>
            </w:r>
          </w:p>
        </w:tc>
        <w:tc>
          <w:tcPr>
            <w:tcW w:w="645" w:type="dxa"/>
            <w:vAlign w:val="center"/>
          </w:tcPr>
          <w:p w14:paraId="3F4A176A">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项目</w:t>
            </w:r>
          </w:p>
        </w:tc>
        <w:tc>
          <w:tcPr>
            <w:tcW w:w="4821" w:type="dxa"/>
            <w:vAlign w:val="center"/>
          </w:tcPr>
          <w:p w14:paraId="1871012C">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评分标准</w:t>
            </w:r>
          </w:p>
        </w:tc>
        <w:tc>
          <w:tcPr>
            <w:tcW w:w="1270" w:type="dxa"/>
            <w:vAlign w:val="center"/>
          </w:tcPr>
          <w:p w14:paraId="4246A949">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分值</w:t>
            </w:r>
          </w:p>
        </w:tc>
        <w:tc>
          <w:tcPr>
            <w:tcW w:w="1858" w:type="dxa"/>
            <w:vAlign w:val="center"/>
          </w:tcPr>
          <w:p w14:paraId="2BD9271E">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自评分</w:t>
            </w:r>
          </w:p>
        </w:tc>
        <w:tc>
          <w:tcPr>
            <w:tcW w:w="721" w:type="dxa"/>
            <w:vAlign w:val="center"/>
          </w:tcPr>
          <w:p w14:paraId="44BE7C52">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页码</w:t>
            </w:r>
          </w:p>
        </w:tc>
      </w:tr>
      <w:tr w14:paraId="2CD0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4C749218">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1</w:t>
            </w:r>
          </w:p>
        </w:tc>
        <w:tc>
          <w:tcPr>
            <w:tcW w:w="645" w:type="dxa"/>
            <w:vAlign w:val="center"/>
          </w:tcPr>
          <w:p w14:paraId="2F157238">
            <w:pPr>
              <w:keepNext/>
              <w:tabs>
                <w:tab w:val="left" w:pos="3808"/>
              </w:tabs>
              <w:adjustRightInd w:val="0"/>
              <w:snapToGrid w:val="0"/>
              <w:spacing w:before="60" w:after="60"/>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w:t>
            </w:r>
          </w:p>
        </w:tc>
        <w:tc>
          <w:tcPr>
            <w:tcW w:w="4821" w:type="dxa"/>
            <w:vAlign w:val="center"/>
          </w:tcPr>
          <w:p w14:paraId="64CB9D77">
            <w:pPr>
              <w:keepNext/>
              <w:tabs>
                <w:tab w:val="left" w:pos="3808"/>
              </w:tabs>
              <w:adjustRightInd w:val="0"/>
              <w:snapToGrid w:val="0"/>
              <w:spacing w:before="60" w:after="60"/>
              <w:rPr>
                <w:rFonts w:hint="eastAsia" w:ascii="宋体" w:hAnsi="宋体"/>
                <w:bCs/>
                <w:color w:val="auto"/>
                <w:kern w:val="2"/>
                <w:sz w:val="21"/>
                <w:szCs w:val="21"/>
                <w:highlight w:val="none"/>
              </w:rPr>
            </w:pPr>
            <w:r>
              <w:rPr>
                <w:rFonts w:ascii="宋体" w:hAnsi="宋体"/>
                <w:bCs/>
                <w:color w:val="auto"/>
                <w:kern w:val="2"/>
                <w:sz w:val="21"/>
                <w:szCs w:val="21"/>
                <w:highlight w:val="none"/>
              </w:rPr>
              <w:t>…（请按</w:t>
            </w:r>
            <w:r>
              <w:rPr>
                <w:rFonts w:hint="eastAsia" w:ascii="宋体" w:hAnsi="宋体"/>
                <w:bCs/>
                <w:color w:val="auto"/>
                <w:kern w:val="2"/>
                <w:sz w:val="21"/>
                <w:szCs w:val="21"/>
                <w:highlight w:val="none"/>
              </w:rPr>
              <w:t>技术资信</w:t>
            </w:r>
            <w:r>
              <w:rPr>
                <w:rFonts w:ascii="宋体" w:hAnsi="宋体"/>
                <w:bCs/>
                <w:color w:val="auto"/>
                <w:kern w:val="2"/>
                <w:sz w:val="21"/>
                <w:szCs w:val="21"/>
                <w:highlight w:val="none"/>
              </w:rPr>
              <w:t>评分标准填写）</w:t>
            </w:r>
          </w:p>
        </w:tc>
        <w:tc>
          <w:tcPr>
            <w:tcW w:w="1270" w:type="dxa"/>
            <w:vAlign w:val="center"/>
          </w:tcPr>
          <w:p w14:paraId="7264D73D">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c>
          <w:tcPr>
            <w:tcW w:w="1858" w:type="dxa"/>
            <w:vAlign w:val="center"/>
          </w:tcPr>
          <w:p w14:paraId="21A2266A">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c>
          <w:tcPr>
            <w:tcW w:w="721" w:type="dxa"/>
            <w:vAlign w:val="center"/>
          </w:tcPr>
          <w:p w14:paraId="64A86FAC">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r>
      <w:tr w14:paraId="6F86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3" w:type="dxa"/>
            <w:vAlign w:val="center"/>
          </w:tcPr>
          <w:p w14:paraId="67C8A0AD">
            <w:pPr>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2</w:t>
            </w:r>
          </w:p>
        </w:tc>
        <w:tc>
          <w:tcPr>
            <w:tcW w:w="645" w:type="dxa"/>
            <w:vAlign w:val="center"/>
          </w:tcPr>
          <w:p w14:paraId="16C8EF28">
            <w:pPr>
              <w:keepNext/>
              <w:tabs>
                <w:tab w:val="left" w:pos="3808"/>
              </w:tabs>
              <w:adjustRightInd w:val="0"/>
              <w:snapToGrid w:val="0"/>
              <w:spacing w:before="60" w:after="60"/>
              <w:jc w:val="center"/>
              <w:rPr>
                <w:rFonts w:hint="eastAsia" w:ascii="宋体" w:hAnsi="宋体"/>
                <w:bCs/>
                <w:color w:val="auto"/>
                <w:kern w:val="2"/>
                <w:sz w:val="21"/>
                <w:szCs w:val="21"/>
                <w:highlight w:val="none"/>
              </w:rPr>
            </w:pPr>
            <w:r>
              <w:rPr>
                <w:rFonts w:ascii="宋体" w:hAnsi="宋体"/>
                <w:bCs/>
                <w:color w:val="auto"/>
                <w:kern w:val="2"/>
                <w:sz w:val="21"/>
                <w:szCs w:val="21"/>
                <w:highlight w:val="none"/>
              </w:rPr>
              <w:t>…</w:t>
            </w:r>
          </w:p>
        </w:tc>
        <w:tc>
          <w:tcPr>
            <w:tcW w:w="4821" w:type="dxa"/>
            <w:vAlign w:val="center"/>
          </w:tcPr>
          <w:p w14:paraId="358B90FF">
            <w:pPr>
              <w:keepNext/>
              <w:tabs>
                <w:tab w:val="left" w:pos="3808"/>
              </w:tabs>
              <w:adjustRightInd w:val="0"/>
              <w:snapToGrid w:val="0"/>
              <w:spacing w:before="60" w:after="60"/>
              <w:rPr>
                <w:rFonts w:hint="eastAsia" w:ascii="宋体" w:hAnsi="宋体"/>
                <w:bCs/>
                <w:color w:val="auto"/>
                <w:kern w:val="2"/>
                <w:sz w:val="21"/>
                <w:szCs w:val="21"/>
                <w:highlight w:val="none"/>
              </w:rPr>
            </w:pPr>
            <w:r>
              <w:rPr>
                <w:rFonts w:ascii="宋体" w:hAnsi="宋体"/>
                <w:bCs/>
                <w:color w:val="auto"/>
                <w:kern w:val="2"/>
                <w:sz w:val="21"/>
                <w:szCs w:val="21"/>
                <w:highlight w:val="none"/>
              </w:rPr>
              <w:t>…</w:t>
            </w:r>
          </w:p>
        </w:tc>
        <w:tc>
          <w:tcPr>
            <w:tcW w:w="1270" w:type="dxa"/>
            <w:vAlign w:val="center"/>
          </w:tcPr>
          <w:p w14:paraId="46465AB5">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c>
          <w:tcPr>
            <w:tcW w:w="1858" w:type="dxa"/>
            <w:vAlign w:val="center"/>
          </w:tcPr>
          <w:p w14:paraId="1412A3F4">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c>
          <w:tcPr>
            <w:tcW w:w="721" w:type="dxa"/>
            <w:vAlign w:val="center"/>
          </w:tcPr>
          <w:p w14:paraId="2A288515">
            <w:pPr>
              <w:keepNext/>
              <w:tabs>
                <w:tab w:val="left" w:pos="3808"/>
              </w:tabs>
              <w:adjustRightInd w:val="0"/>
              <w:snapToGrid w:val="0"/>
              <w:spacing w:before="60" w:after="60"/>
              <w:jc w:val="center"/>
              <w:rPr>
                <w:rFonts w:hint="eastAsia" w:ascii="宋体" w:hAnsi="宋体"/>
                <w:bCs/>
                <w:color w:val="auto"/>
                <w:spacing w:val="20"/>
                <w:kern w:val="2"/>
                <w:sz w:val="21"/>
                <w:szCs w:val="21"/>
                <w:highlight w:val="none"/>
              </w:rPr>
            </w:pPr>
          </w:p>
        </w:tc>
      </w:tr>
    </w:tbl>
    <w:p w14:paraId="0E7960E4">
      <w:pPr>
        <w:shd w:val="clear" w:color="auto" w:fill="FFFFFF"/>
        <w:snapToGrid w:val="0"/>
        <w:spacing w:after="50"/>
        <w:rPr>
          <w:rFonts w:hint="eastAsia" w:ascii="宋体" w:hAnsi="宋体"/>
          <w:color w:val="auto"/>
          <w:szCs w:val="20"/>
          <w:highlight w:val="none"/>
        </w:rPr>
      </w:pPr>
      <w:r>
        <w:rPr>
          <w:rFonts w:ascii="宋体" w:hAnsi="宋体"/>
          <w:b/>
          <w:color w:val="auto"/>
          <w:spacing w:val="-4"/>
          <w:sz w:val="21"/>
          <w:szCs w:val="21"/>
          <w:highlight w:val="none"/>
        </w:rPr>
        <w:t>备注：该表格仅为方便评标之用，表格放置在</w:t>
      </w:r>
      <w:r>
        <w:rPr>
          <w:rFonts w:hint="eastAsia" w:ascii="宋体" w:hAnsi="宋体"/>
          <w:b/>
          <w:color w:val="auto"/>
          <w:spacing w:val="-4"/>
          <w:sz w:val="21"/>
          <w:szCs w:val="21"/>
          <w:highlight w:val="none"/>
        </w:rPr>
        <w:t>技术资信</w:t>
      </w:r>
      <w:r>
        <w:rPr>
          <w:rFonts w:ascii="宋体" w:hAnsi="宋体"/>
          <w:b/>
          <w:color w:val="auto"/>
          <w:spacing w:val="-4"/>
          <w:sz w:val="21"/>
          <w:szCs w:val="21"/>
          <w:highlight w:val="none"/>
        </w:rPr>
        <w:t>文件目录的前页，以方便评标委员会进行评审。</w:t>
      </w:r>
    </w:p>
    <w:p w14:paraId="6186BE4D">
      <w:pPr>
        <w:shd w:val="clear" w:color="auto" w:fill="FFFFFF"/>
        <w:spacing w:before="100" w:beforeAutospacing="1" w:after="100" w:afterAutospacing="1" w:line="500" w:lineRule="atLeast"/>
        <w:jc w:val="center"/>
        <w:rPr>
          <w:b/>
          <w:color w:val="auto"/>
          <w:sz w:val="32"/>
          <w:szCs w:val="32"/>
          <w:highlight w:val="none"/>
        </w:rPr>
        <w:sectPr>
          <w:pgSz w:w="11906" w:h="16838"/>
          <w:pgMar w:top="1259" w:right="1287" w:bottom="1361" w:left="1622" w:header="709" w:footer="975" w:gutter="0"/>
          <w:cols w:space="720" w:num="1"/>
          <w:docGrid w:linePitch="360" w:charSpace="0"/>
        </w:sectPr>
      </w:pPr>
    </w:p>
    <w:p w14:paraId="093F8803">
      <w:pPr>
        <w:shd w:val="clear" w:color="auto" w:fill="FFFFFF"/>
        <w:spacing w:before="100" w:beforeAutospacing="1" w:after="100" w:afterAutospacing="1" w:line="500" w:lineRule="atLeast"/>
        <w:jc w:val="center"/>
        <w:rPr>
          <w:b/>
          <w:color w:val="auto"/>
          <w:sz w:val="32"/>
          <w:szCs w:val="32"/>
          <w:highlight w:val="none"/>
        </w:rPr>
      </w:pPr>
      <w:r>
        <w:rPr>
          <w:b/>
          <w:color w:val="auto"/>
          <w:sz w:val="32"/>
          <w:szCs w:val="32"/>
          <w:highlight w:val="none"/>
        </w:rPr>
        <w:t>一、投标函</w:t>
      </w:r>
    </w:p>
    <w:p w14:paraId="65518E1D">
      <w:pPr>
        <w:snapToGrid w:val="0"/>
        <w:spacing w:line="360" w:lineRule="auto"/>
        <w:rPr>
          <w:color w:val="auto"/>
          <w:highlight w:val="none"/>
        </w:rPr>
      </w:pPr>
      <w:r>
        <w:rPr>
          <w:color w:val="auto"/>
          <w:highlight w:val="none"/>
        </w:rPr>
        <w:t>（采购人）、（采购代理机构）：</w:t>
      </w:r>
    </w:p>
    <w:p w14:paraId="04C5E321">
      <w:pPr>
        <w:snapToGrid w:val="0"/>
        <w:spacing w:line="360" w:lineRule="auto"/>
        <w:ind w:firstLine="480" w:firstLineChars="200"/>
        <w:rPr>
          <w:color w:val="auto"/>
          <w:highlight w:val="none"/>
        </w:rPr>
      </w:pPr>
      <w:r>
        <w:rPr>
          <w:color w:val="auto"/>
          <w:highlight w:val="none"/>
        </w:rPr>
        <w:t>我方参加你方组织的</w:t>
      </w:r>
      <w:r>
        <w:rPr>
          <w:color w:val="auto"/>
          <w:highlight w:val="none"/>
          <w:u w:val="single"/>
        </w:rPr>
        <w:t>（项目名称）        （项目编号：      ）</w:t>
      </w:r>
      <w:r>
        <w:rPr>
          <w:color w:val="auto"/>
          <w:highlight w:val="none"/>
        </w:rPr>
        <w:t>招标的有关活动，并对此项目进行投标。为此：</w:t>
      </w:r>
    </w:p>
    <w:p w14:paraId="36A70E61">
      <w:pPr>
        <w:snapToGrid w:val="0"/>
        <w:spacing w:line="360" w:lineRule="auto"/>
        <w:ind w:firstLine="480" w:firstLineChars="200"/>
        <w:rPr>
          <w:color w:val="auto"/>
          <w:highlight w:val="none"/>
        </w:rPr>
      </w:pPr>
      <w:r>
        <w:rPr>
          <w:color w:val="auto"/>
          <w:highlight w:val="none"/>
        </w:rPr>
        <w:t>1.我方承诺投标有效期从提交投标文件的截止之日起</w:t>
      </w:r>
      <w:r>
        <w:rPr>
          <w:color w:val="auto"/>
          <w:highlight w:val="none"/>
          <w:u w:val="single"/>
        </w:rPr>
        <w:t xml:space="preserve">     </w:t>
      </w:r>
      <w:r>
        <w:rPr>
          <w:color w:val="auto"/>
          <w:highlight w:val="none"/>
        </w:rPr>
        <w:t>天（不少于90天），本投标文件在投标有效期满之前均具有约束力。</w:t>
      </w:r>
    </w:p>
    <w:p w14:paraId="41DF6B37">
      <w:pPr>
        <w:snapToGrid w:val="0"/>
        <w:spacing w:line="360" w:lineRule="auto"/>
        <w:ind w:firstLine="480" w:firstLineChars="200"/>
        <w:rPr>
          <w:color w:val="auto"/>
          <w:highlight w:val="none"/>
        </w:rPr>
      </w:pPr>
      <w:r>
        <w:rPr>
          <w:color w:val="auto"/>
          <w:highlight w:val="none"/>
        </w:rPr>
        <w:t>2.我方的投标文件包括以下内容：</w:t>
      </w:r>
    </w:p>
    <w:p w14:paraId="3320FDDD">
      <w:pPr>
        <w:snapToGrid w:val="0"/>
        <w:spacing w:line="360" w:lineRule="auto"/>
        <w:ind w:firstLine="480" w:firstLineChars="200"/>
        <w:rPr>
          <w:color w:val="auto"/>
          <w:highlight w:val="none"/>
        </w:rPr>
      </w:pPr>
      <w:r>
        <w:rPr>
          <w:color w:val="auto"/>
          <w:highlight w:val="none"/>
        </w:rPr>
        <w:t>2.1资格文件</w:t>
      </w:r>
    </w:p>
    <w:p w14:paraId="13B7DBCF">
      <w:pPr>
        <w:snapToGrid w:val="0"/>
        <w:spacing w:line="360" w:lineRule="auto"/>
        <w:ind w:firstLine="480" w:firstLineChars="200"/>
        <w:rPr>
          <w:color w:val="auto"/>
          <w:highlight w:val="none"/>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color w:val="auto"/>
          <w:highlight w:val="none"/>
        </w:rPr>
        <w:t>技术资信</w:t>
      </w:r>
      <w:r>
        <w:rPr>
          <w:color w:val="auto"/>
          <w:highlight w:val="none"/>
          <w:lang w:val="zh-CN"/>
        </w:rPr>
        <w:t>文件</w:t>
      </w:r>
    </w:p>
    <w:p w14:paraId="0F78437B">
      <w:pPr>
        <w:snapToGrid w:val="0"/>
        <w:spacing w:line="360" w:lineRule="auto"/>
        <w:ind w:firstLine="480" w:firstLineChars="200"/>
        <w:rPr>
          <w:color w:val="auto"/>
          <w:highlight w:val="none"/>
        </w:rPr>
      </w:pPr>
      <w:r>
        <w:rPr>
          <w:color w:val="auto"/>
          <w:highlight w:val="none"/>
        </w:rPr>
        <w:t>2</w:t>
      </w:r>
      <w:r>
        <w:rPr>
          <w:color w:val="auto"/>
          <w:highlight w:val="none"/>
          <w:lang w:val="zh-CN"/>
        </w:rPr>
        <w:t>.</w:t>
      </w:r>
      <w:r>
        <w:rPr>
          <w:color w:val="auto"/>
          <w:highlight w:val="none"/>
        </w:rPr>
        <w:t>3报价文件</w:t>
      </w:r>
    </w:p>
    <w:p w14:paraId="13C190C4">
      <w:pPr>
        <w:snapToGrid w:val="0"/>
        <w:spacing w:line="360" w:lineRule="auto"/>
        <w:ind w:firstLine="480" w:firstLineChars="200"/>
        <w:rPr>
          <w:color w:val="auto"/>
          <w:highlight w:val="none"/>
        </w:rPr>
      </w:pPr>
      <w:r>
        <w:rPr>
          <w:color w:val="auto"/>
          <w:highlight w:val="none"/>
        </w:rPr>
        <w:t>3.我方承诺除偏离表列出的负偏离外，我方响应招标文件的全部要求。</w:t>
      </w:r>
    </w:p>
    <w:p w14:paraId="03DB62D5">
      <w:pPr>
        <w:snapToGrid w:val="0"/>
        <w:spacing w:line="360" w:lineRule="auto"/>
        <w:ind w:firstLine="480" w:firstLineChars="200"/>
        <w:rPr>
          <w:color w:val="auto"/>
          <w:highlight w:val="none"/>
        </w:rPr>
      </w:pPr>
      <w:r>
        <w:rPr>
          <w:color w:val="auto"/>
          <w:highlight w:val="none"/>
        </w:rPr>
        <w:t>4.如我方中标，我方承诺：</w:t>
      </w:r>
    </w:p>
    <w:p w14:paraId="126B3EA1">
      <w:pPr>
        <w:snapToGrid w:val="0"/>
        <w:spacing w:line="360" w:lineRule="auto"/>
        <w:ind w:firstLine="480" w:firstLineChars="200"/>
        <w:rPr>
          <w:color w:val="auto"/>
          <w:highlight w:val="none"/>
        </w:rPr>
      </w:pPr>
      <w:r>
        <w:rPr>
          <w:color w:val="auto"/>
          <w:highlight w:val="none"/>
        </w:rPr>
        <w:t xml:space="preserve">4.1在收到中标通知书后，在中标通知书规定的期限内与你方签订合同； </w:t>
      </w:r>
    </w:p>
    <w:p w14:paraId="374E5146">
      <w:pPr>
        <w:snapToGrid w:val="0"/>
        <w:spacing w:line="360" w:lineRule="auto"/>
        <w:ind w:firstLine="480" w:firstLineChars="200"/>
        <w:rPr>
          <w:color w:val="auto"/>
          <w:highlight w:val="none"/>
        </w:rPr>
      </w:pPr>
      <w:r>
        <w:rPr>
          <w:color w:val="auto"/>
          <w:highlight w:val="none"/>
        </w:rPr>
        <w:t xml:space="preserve">4.2在签订合同时不向你方提出附加条件； </w:t>
      </w:r>
    </w:p>
    <w:p w14:paraId="5290B967">
      <w:pPr>
        <w:snapToGrid w:val="0"/>
        <w:spacing w:line="360" w:lineRule="auto"/>
        <w:ind w:firstLine="480" w:firstLineChars="200"/>
        <w:rPr>
          <w:color w:val="auto"/>
          <w:highlight w:val="none"/>
        </w:rPr>
      </w:pPr>
      <w:r>
        <w:rPr>
          <w:color w:val="auto"/>
          <w:highlight w:val="none"/>
        </w:rPr>
        <w:t xml:space="preserve">4.3按照招标文件要求提交履约保证金； </w:t>
      </w:r>
    </w:p>
    <w:p w14:paraId="15258F7E">
      <w:pPr>
        <w:snapToGrid w:val="0"/>
        <w:spacing w:line="360" w:lineRule="auto"/>
        <w:ind w:firstLine="480" w:firstLineChars="200"/>
        <w:rPr>
          <w:color w:val="auto"/>
          <w:highlight w:val="none"/>
        </w:rPr>
      </w:pPr>
      <w:r>
        <w:rPr>
          <w:color w:val="auto"/>
          <w:highlight w:val="none"/>
        </w:rPr>
        <w:t xml:space="preserve">4.4在合同约定的期限内完成合同规定的全部义务。 </w:t>
      </w:r>
    </w:p>
    <w:p w14:paraId="5CFE9DE7">
      <w:pPr>
        <w:snapToGrid w:val="0"/>
        <w:spacing w:line="360" w:lineRule="auto"/>
        <w:ind w:firstLine="480" w:firstLineChars="200"/>
        <w:rPr>
          <w:color w:val="auto"/>
          <w:highlight w:val="none"/>
        </w:rPr>
      </w:pPr>
      <w:r>
        <w:rPr>
          <w:color w:val="auto"/>
          <w:highlight w:val="none"/>
        </w:rPr>
        <w:t>5.其他补充说明:</w:t>
      </w:r>
      <w:r>
        <w:rPr>
          <w:color w:val="auto"/>
          <w:highlight w:val="none"/>
          <w:u w:val="single"/>
        </w:rPr>
        <w:t xml:space="preserve">                                        </w:t>
      </w:r>
      <w:r>
        <w:rPr>
          <w:color w:val="auto"/>
          <w:highlight w:val="none"/>
        </w:rPr>
        <w:t>。</w:t>
      </w:r>
    </w:p>
    <w:p w14:paraId="2EFC8B8C">
      <w:pPr>
        <w:snapToGrid w:val="0"/>
        <w:spacing w:line="360" w:lineRule="auto"/>
        <w:ind w:firstLine="480" w:firstLineChars="200"/>
        <w:rPr>
          <w:color w:val="auto"/>
          <w:highlight w:val="none"/>
        </w:rPr>
      </w:pPr>
    </w:p>
    <w:p w14:paraId="29825187">
      <w:pPr>
        <w:pStyle w:val="24"/>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077E6F74">
      <w:pPr>
        <w:pStyle w:val="24"/>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18866C97">
      <w:pPr>
        <w:pStyle w:val="24"/>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p>
    <w:p w14:paraId="7800A037">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r>
        <w:rPr>
          <w:rFonts w:ascii="Times New Roman" w:hAnsi="Times New Roman"/>
          <w:color w:val="auto"/>
          <w:highlight w:val="none"/>
        </w:rPr>
        <w:t>投标人</w:t>
      </w:r>
      <w:r>
        <w:rPr>
          <w:color w:val="auto"/>
          <w:highlight w:val="none"/>
        </w:rPr>
        <w:t>（</w:t>
      </w:r>
      <w:r>
        <w:rPr>
          <w:rFonts w:hint="eastAsia"/>
          <w:color w:val="auto"/>
          <w:highlight w:val="none"/>
        </w:rPr>
        <w:t>电子签章</w:t>
      </w:r>
      <w:r>
        <w:rPr>
          <w:color w:val="auto"/>
          <w:highlight w:val="none"/>
        </w:rPr>
        <w:t>）</w:t>
      </w:r>
      <w:r>
        <w:rPr>
          <w:rFonts w:ascii="Times New Roman" w:hAnsi="Times New Roman"/>
          <w:color w:val="auto"/>
          <w:highlight w:val="none"/>
        </w:rPr>
        <w:t>：__________________________</w:t>
      </w:r>
    </w:p>
    <w:p w14:paraId="4B0F4322">
      <w:pPr>
        <w:spacing w:line="360" w:lineRule="auto"/>
        <w:jc w:val="center"/>
        <w:rPr>
          <w:color w:val="auto"/>
          <w:highlight w:val="none"/>
        </w:rPr>
        <w:sectPr>
          <w:pgSz w:w="11906" w:h="16838"/>
          <w:pgMar w:top="1259" w:right="1287" w:bottom="1361" w:left="1622" w:header="709" w:footer="975" w:gutter="0"/>
          <w:cols w:space="720" w:num="1"/>
          <w:docGrid w:linePitch="360" w:charSpace="0"/>
        </w:sectPr>
      </w:pPr>
      <w:r>
        <w:rPr>
          <w:rFonts w:hint="eastAsia"/>
          <w:color w:val="auto"/>
          <w:highlight w:val="none"/>
        </w:rPr>
        <w:t xml:space="preserve"> </w:t>
      </w:r>
      <w:r>
        <w:rPr>
          <w:color w:val="auto"/>
          <w:highlight w:val="none"/>
        </w:rPr>
        <w:t xml:space="preserve">            日期：____年____月____日</w:t>
      </w:r>
    </w:p>
    <w:p w14:paraId="238F5196">
      <w:pPr>
        <w:pStyle w:val="39"/>
        <w:widowControl w:val="0"/>
        <w:adjustRightInd w:val="0"/>
        <w:snapToGrid w:val="0"/>
        <w:spacing w:line="390" w:lineRule="atLeast"/>
        <w:jc w:val="center"/>
        <w:rPr>
          <w:b/>
          <w:color w:val="auto"/>
          <w:sz w:val="32"/>
          <w:szCs w:val="32"/>
          <w:highlight w:val="none"/>
        </w:rPr>
      </w:pPr>
      <w:r>
        <w:rPr>
          <w:b/>
          <w:color w:val="auto"/>
          <w:sz w:val="32"/>
          <w:szCs w:val="32"/>
          <w:highlight w:val="none"/>
        </w:rPr>
        <w:t>二、</w:t>
      </w:r>
      <w:r>
        <w:rPr>
          <w:rFonts w:hint="default"/>
          <w:b/>
          <w:color w:val="auto"/>
          <w:sz w:val="32"/>
          <w:szCs w:val="32"/>
          <w:highlight w:val="none"/>
        </w:rPr>
        <w:t>授权委托书或法定代表人（单位负责人、自然人本人）身份证明</w:t>
      </w:r>
    </w:p>
    <w:p w14:paraId="4C399FFD">
      <w:pPr>
        <w:pStyle w:val="39"/>
        <w:widowControl w:val="0"/>
        <w:adjustRightInd w:val="0"/>
        <w:snapToGrid w:val="0"/>
        <w:spacing w:line="390" w:lineRule="atLeast"/>
        <w:jc w:val="center"/>
        <w:rPr>
          <w:b/>
          <w:color w:val="auto"/>
          <w:sz w:val="32"/>
          <w:szCs w:val="32"/>
          <w:highlight w:val="none"/>
        </w:rPr>
      </w:pPr>
      <w:r>
        <w:rPr>
          <w:b/>
          <w:color w:val="auto"/>
          <w:sz w:val="32"/>
          <w:szCs w:val="32"/>
          <w:highlight w:val="none"/>
        </w:rPr>
        <w:t>授权委托书</w:t>
      </w:r>
    </w:p>
    <w:p w14:paraId="59BB8519">
      <w:pPr>
        <w:snapToGrid w:val="0"/>
        <w:spacing w:line="360" w:lineRule="auto"/>
        <w:rPr>
          <w:color w:val="auto"/>
          <w:highlight w:val="none"/>
        </w:rPr>
      </w:pPr>
      <w:r>
        <w:rPr>
          <w:color w:val="auto"/>
          <w:highlight w:val="none"/>
        </w:rPr>
        <w:t>（采购人）、（采购代理机构）</w:t>
      </w:r>
      <w:r>
        <w:rPr>
          <w:color w:val="auto"/>
          <w:highlight w:val="none"/>
          <w:lang w:val="zh-CN"/>
        </w:rPr>
        <w:t>：</w:t>
      </w:r>
    </w:p>
    <w:p w14:paraId="09EE0845">
      <w:pPr>
        <w:snapToGrid w:val="0"/>
        <w:spacing w:line="360" w:lineRule="auto"/>
        <w:ind w:firstLine="480" w:firstLineChars="200"/>
        <w:rPr>
          <w:color w:val="auto"/>
          <w:highlight w:val="none"/>
        </w:rPr>
      </w:pPr>
      <w:r>
        <w:rPr>
          <w:color w:val="auto"/>
          <w:highlight w:val="none"/>
        </w:rPr>
        <w:t>现</w:t>
      </w:r>
      <w:r>
        <w:rPr>
          <w:color w:val="auto"/>
          <w:highlight w:val="none"/>
          <w:lang w:val="zh-CN"/>
        </w:rPr>
        <w:t>委托</w:t>
      </w:r>
      <w:r>
        <w:rPr>
          <w:color w:val="auto"/>
          <w:highlight w:val="none"/>
          <w:u w:val="single"/>
          <w:lang w:val="zh-CN"/>
        </w:rPr>
        <w:t xml:space="preserve">          </w:t>
      </w:r>
      <w:r>
        <w:rPr>
          <w:color w:val="auto"/>
          <w:highlight w:val="none"/>
          <w:lang w:val="zh-CN"/>
        </w:rPr>
        <w:t>（姓名）为我方代理人（身份证号码：</w:t>
      </w:r>
      <w:r>
        <w:rPr>
          <w:color w:val="auto"/>
          <w:highlight w:val="none"/>
          <w:u w:val="single"/>
          <w:lang w:val="zh-CN"/>
        </w:rPr>
        <w:t xml:space="preserve">          </w:t>
      </w:r>
      <w:r>
        <w:rPr>
          <w:color w:val="auto"/>
          <w:highlight w:val="none"/>
          <w:lang w:val="zh-CN"/>
        </w:rPr>
        <w:t>，手机：</w:t>
      </w:r>
      <w:r>
        <w:rPr>
          <w:color w:val="auto"/>
          <w:highlight w:val="none"/>
          <w:u w:val="single"/>
          <w:lang w:val="zh-CN"/>
        </w:rPr>
        <w:t xml:space="preserve">          </w:t>
      </w:r>
      <w:r>
        <w:rPr>
          <w:color w:val="auto"/>
          <w:highlight w:val="none"/>
          <w:lang w:val="zh-CN"/>
        </w:rPr>
        <w:t>），以我方名义处理</w:t>
      </w:r>
      <w:r>
        <w:rPr>
          <w:color w:val="auto"/>
          <w:highlight w:val="none"/>
          <w:u w:val="single"/>
        </w:rPr>
        <w:t>（项目名称）</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项目</w:t>
      </w:r>
      <w:r>
        <w:rPr>
          <w:color w:val="auto"/>
          <w:highlight w:val="none"/>
          <w:u w:val="single"/>
        </w:rPr>
        <w:t>编号：</w:t>
      </w:r>
      <w:r>
        <w:rPr>
          <w:color w:val="auto"/>
          <w:highlight w:val="none"/>
          <w:lang w:val="zh-CN"/>
        </w:rPr>
        <w:t>）政府采购投标的一切事项，其法律后果由我方承担。</w:t>
      </w:r>
      <w:r>
        <w:rPr>
          <w:rFonts w:hint="eastAsia"/>
          <w:color w:val="auto"/>
          <w:highlight w:val="none"/>
          <w:lang w:val="zh-CN"/>
        </w:rPr>
        <w:t>授权代表如非本单位在职员工，须提供相关说明。</w:t>
      </w:r>
    </w:p>
    <w:p w14:paraId="0BC00008">
      <w:pPr>
        <w:snapToGrid w:val="0"/>
        <w:spacing w:line="360" w:lineRule="auto"/>
        <w:ind w:firstLine="480" w:firstLineChars="200"/>
        <w:rPr>
          <w:color w:val="auto"/>
          <w:highlight w:val="none"/>
        </w:rPr>
      </w:pPr>
      <w:r>
        <w:rPr>
          <w:color w:val="auto"/>
          <w:highlight w:val="none"/>
        </w:rPr>
        <w:t>委托期限：自   年 月  日起至  年  月  日止。</w:t>
      </w:r>
    </w:p>
    <w:p w14:paraId="5FCDF8E3">
      <w:pPr>
        <w:snapToGrid w:val="0"/>
        <w:spacing w:line="360" w:lineRule="auto"/>
        <w:rPr>
          <w:color w:val="auto"/>
          <w:highlight w:val="none"/>
        </w:rPr>
      </w:pPr>
      <w:r>
        <w:rPr>
          <w:color w:val="auto"/>
          <w:highlight w:val="none"/>
        </w:rPr>
        <w:t xml:space="preserve">        特此告知。</w:t>
      </w:r>
    </w:p>
    <w:p w14:paraId="7BD20F54">
      <w:pPr>
        <w:pStyle w:val="42"/>
        <w:ind w:left="480" w:firstLine="480"/>
        <w:rPr>
          <w:color w:val="auto"/>
          <w:highlight w:val="none"/>
        </w:rPr>
      </w:pPr>
    </w:p>
    <w:p w14:paraId="44A2F4D0">
      <w:pPr>
        <w:pStyle w:val="42"/>
        <w:ind w:left="480" w:firstLine="480"/>
        <w:rPr>
          <w:color w:val="auto"/>
          <w:highlight w:val="none"/>
        </w:rPr>
      </w:pPr>
    </w:p>
    <w:p w14:paraId="3A96AD99">
      <w:pPr>
        <w:snapToGrid w:val="0"/>
        <w:spacing w:line="360" w:lineRule="auto"/>
        <w:rPr>
          <w:color w:val="auto"/>
          <w:highlight w:val="none"/>
        </w:rPr>
      </w:pPr>
      <w:r>
        <w:rPr>
          <w:color w:val="auto"/>
          <w:highlight w:val="none"/>
        </w:rPr>
        <w:t>附：授权代表身份证复印件（正反面）</w:t>
      </w:r>
    </w:p>
    <w:p w14:paraId="418E9ED9">
      <w:pPr>
        <w:pStyle w:val="42"/>
        <w:ind w:left="480" w:firstLine="480"/>
        <w:rPr>
          <w:color w:val="auto"/>
          <w:highlight w:val="none"/>
        </w:rPr>
      </w:pPr>
    </w:p>
    <w:p w14:paraId="1770C3A0">
      <w:pPr>
        <w:pStyle w:val="39"/>
        <w:widowControl w:val="0"/>
        <w:adjustRightInd w:val="0"/>
        <w:snapToGrid w:val="0"/>
        <w:spacing w:line="480" w:lineRule="auto"/>
        <w:rPr>
          <w:color w:val="auto"/>
          <w:highlight w:val="none"/>
        </w:rPr>
      </w:pPr>
    </w:p>
    <w:p w14:paraId="5C0D8DF7">
      <w:pPr>
        <w:pStyle w:val="39"/>
        <w:widowControl w:val="0"/>
        <w:tabs>
          <w:tab w:val="left" w:pos="2144"/>
        </w:tabs>
        <w:adjustRightInd w:val="0"/>
        <w:snapToGrid w:val="0"/>
        <w:spacing w:line="480" w:lineRule="auto"/>
        <w:rPr>
          <w:color w:val="auto"/>
          <w:highlight w:val="none"/>
        </w:rPr>
      </w:pPr>
      <w:r>
        <w:rPr>
          <w:rFonts w:hint="default"/>
          <w:color w:val="auto"/>
          <w:highlight w:val="none"/>
        </w:rPr>
        <w:tab/>
      </w:r>
    </w:p>
    <w:p w14:paraId="0F0C2974">
      <w:pPr>
        <w:snapToGrid w:val="0"/>
        <w:spacing w:line="360" w:lineRule="auto"/>
        <w:ind w:left="4819" w:leftChars="2008"/>
        <w:rPr>
          <w:color w:val="auto"/>
          <w:highlight w:val="none"/>
        </w:rPr>
      </w:pPr>
      <w:r>
        <w:rPr>
          <w:color w:val="auto"/>
          <w:highlight w:val="none"/>
        </w:rPr>
        <w:t>单位名称</w:t>
      </w:r>
      <w:r>
        <w:rPr>
          <w:rFonts w:ascii="宋体" w:hAnsi="宋体"/>
          <w:color w:val="auto"/>
          <w:highlight w:val="none"/>
        </w:rPr>
        <w:t>（</w:t>
      </w:r>
      <w:r>
        <w:rPr>
          <w:rFonts w:hint="eastAsia" w:ascii="宋体" w:hAnsi="宋体"/>
          <w:color w:val="auto"/>
          <w:highlight w:val="none"/>
        </w:rPr>
        <w:t>电子签章</w:t>
      </w:r>
      <w:r>
        <w:rPr>
          <w:rFonts w:ascii="宋体" w:hAnsi="宋体"/>
          <w:color w:val="auto"/>
          <w:highlight w:val="none"/>
        </w:rPr>
        <w:t>）</w:t>
      </w:r>
      <w:r>
        <w:rPr>
          <w:color w:val="auto"/>
          <w:highlight w:val="none"/>
        </w:rPr>
        <w:t>：         </w:t>
      </w:r>
    </w:p>
    <w:p w14:paraId="609F101E">
      <w:pPr>
        <w:snapToGrid w:val="0"/>
        <w:spacing w:line="360" w:lineRule="auto"/>
        <w:ind w:left="4819" w:leftChars="2008"/>
        <w:rPr>
          <w:color w:val="auto"/>
          <w:highlight w:val="none"/>
        </w:rPr>
      </w:pPr>
      <w:r>
        <w:rPr>
          <w:color w:val="auto"/>
          <w:highlight w:val="none"/>
        </w:rPr>
        <w:t>法定代表人签字（或</w:t>
      </w:r>
      <w:r>
        <w:rPr>
          <w:rFonts w:hint="eastAsia"/>
          <w:color w:val="auto"/>
          <w:highlight w:val="none"/>
        </w:rPr>
        <w:t>盖章或电子签章</w:t>
      </w:r>
      <w:r>
        <w:rPr>
          <w:color w:val="auto"/>
          <w:highlight w:val="none"/>
        </w:rPr>
        <w:t>）：</w:t>
      </w:r>
    </w:p>
    <w:p w14:paraId="513A4BF4">
      <w:pPr>
        <w:pStyle w:val="42"/>
        <w:ind w:left="4819" w:leftChars="2008" w:firstLine="0" w:firstLineChars="0"/>
        <w:rPr>
          <w:color w:val="auto"/>
          <w:highlight w:val="none"/>
        </w:rPr>
      </w:pPr>
      <w:r>
        <w:rPr>
          <w:rFonts w:hint="eastAsia"/>
          <w:color w:val="auto"/>
          <w:highlight w:val="none"/>
        </w:rPr>
        <w:t>授权代表</w:t>
      </w:r>
      <w:r>
        <w:rPr>
          <w:color w:val="auto"/>
          <w:highlight w:val="none"/>
        </w:rPr>
        <w:t>签字（或</w:t>
      </w:r>
      <w:r>
        <w:rPr>
          <w:rFonts w:hint="eastAsia"/>
          <w:color w:val="auto"/>
          <w:highlight w:val="none"/>
        </w:rPr>
        <w:t>盖章或电子签章</w:t>
      </w:r>
      <w:r>
        <w:rPr>
          <w:color w:val="auto"/>
          <w:highlight w:val="none"/>
        </w:rPr>
        <w:t>）</w:t>
      </w:r>
      <w:r>
        <w:rPr>
          <w:rFonts w:hint="eastAsia"/>
          <w:color w:val="auto"/>
          <w:highlight w:val="none"/>
        </w:rPr>
        <w:t>：</w:t>
      </w:r>
    </w:p>
    <w:p w14:paraId="4480AF8D">
      <w:pPr>
        <w:snapToGrid w:val="0"/>
        <w:spacing w:line="360" w:lineRule="auto"/>
        <w:ind w:left="4819" w:leftChars="2008"/>
        <w:rPr>
          <w:color w:val="auto"/>
          <w:highlight w:val="none"/>
        </w:rPr>
      </w:pPr>
      <w:r>
        <w:rPr>
          <w:color w:val="auto"/>
          <w:highlight w:val="none"/>
        </w:rPr>
        <w:t> 年         月        日</w:t>
      </w:r>
    </w:p>
    <w:p w14:paraId="17DB7AE2">
      <w:pPr>
        <w:snapToGrid w:val="0"/>
        <w:spacing w:line="360" w:lineRule="auto"/>
        <w:rPr>
          <w:color w:val="auto"/>
          <w:highlight w:val="none"/>
        </w:rPr>
      </w:pPr>
    </w:p>
    <w:p w14:paraId="5A05EE97">
      <w:pPr>
        <w:snapToGrid w:val="0"/>
        <w:spacing w:line="360" w:lineRule="auto"/>
        <w:rPr>
          <w:rFonts w:hint="eastAsia" w:ascii="仿宋_GB2312" w:hAnsi="仿宋" w:eastAsia="仿宋_GB2312" w:cs="仿宋_GB2312"/>
          <w:color w:val="auto"/>
          <w:highlight w:val="none"/>
        </w:rPr>
      </w:pPr>
    </w:p>
    <w:p w14:paraId="309F036E">
      <w:pPr>
        <w:snapToGrid w:val="0"/>
        <w:spacing w:line="360" w:lineRule="auto"/>
        <w:rPr>
          <w:rFonts w:hint="eastAsia" w:ascii="仿宋_GB2312" w:hAnsi="仿宋" w:eastAsia="仿宋_GB2312" w:cs="仿宋_GB2312"/>
          <w:color w:val="auto"/>
          <w:highlight w:val="none"/>
        </w:rPr>
      </w:pPr>
    </w:p>
    <w:p w14:paraId="5F534E01">
      <w:pPr>
        <w:pStyle w:val="42"/>
        <w:ind w:left="480" w:firstLine="480"/>
        <w:rPr>
          <w:color w:val="auto"/>
          <w:highlight w:val="none"/>
        </w:rPr>
      </w:pPr>
    </w:p>
    <w:p w14:paraId="19E45B4D">
      <w:pPr>
        <w:pStyle w:val="42"/>
        <w:ind w:left="480" w:firstLine="480"/>
        <w:rPr>
          <w:color w:val="auto"/>
          <w:highlight w:val="none"/>
        </w:rPr>
      </w:pPr>
    </w:p>
    <w:p w14:paraId="688F51C4">
      <w:pPr>
        <w:pStyle w:val="42"/>
        <w:ind w:left="480" w:firstLine="480"/>
        <w:rPr>
          <w:color w:val="auto"/>
          <w:highlight w:val="none"/>
        </w:rPr>
      </w:pPr>
    </w:p>
    <w:p w14:paraId="5D40C044">
      <w:pPr>
        <w:pStyle w:val="42"/>
        <w:ind w:left="480" w:firstLine="480"/>
        <w:rPr>
          <w:color w:val="auto"/>
          <w:highlight w:val="none"/>
        </w:rPr>
      </w:pPr>
    </w:p>
    <w:p w14:paraId="181CD868">
      <w:pPr>
        <w:snapToGrid w:val="0"/>
        <w:spacing w:line="360" w:lineRule="auto"/>
        <w:rPr>
          <w:color w:val="auto"/>
          <w:highlight w:val="none"/>
          <w:lang w:val="zh-CN"/>
        </w:rPr>
      </w:pPr>
      <w:r>
        <w:rPr>
          <w:rFonts w:ascii="仿宋_GB2312" w:hAnsi="仿宋" w:eastAsia="仿宋_GB2312" w:cs="仿宋_GB2312"/>
          <w:b/>
          <w:color w:val="auto"/>
          <w:sz w:val="32"/>
          <w:szCs w:val="32"/>
          <w:highlight w:val="none"/>
          <w:lang w:val="zh-CN"/>
        </w:rPr>
        <w:t xml:space="preserve">   </w:t>
      </w:r>
    </w:p>
    <w:p w14:paraId="25A6D03F">
      <w:pPr>
        <w:shd w:val="clear" w:color="auto" w:fill="FFFFFF"/>
        <w:spacing w:before="100" w:beforeAutospacing="1" w:after="100" w:afterAutospacing="1"/>
        <w:jc w:val="center"/>
        <w:rPr>
          <w:rFonts w:hint="eastAsia" w:ascii="宋体" w:hAnsi="宋体"/>
          <w:b/>
          <w:color w:val="auto"/>
          <w:sz w:val="32"/>
          <w:szCs w:val="32"/>
          <w:highlight w:val="none"/>
        </w:rPr>
      </w:pPr>
      <w:r>
        <w:rPr>
          <w:rFonts w:hint="eastAsia" w:ascii="宋体" w:hAnsi="宋体"/>
          <w:b/>
          <w:color w:val="auto"/>
          <w:sz w:val="32"/>
          <w:szCs w:val="32"/>
          <w:highlight w:val="none"/>
        </w:rPr>
        <w:t>法定代表人、单位负责人或自然人本人的身份证明（适用于法定代表人、单位负责人或者自然人本人代表投标人参加投标）</w:t>
      </w:r>
    </w:p>
    <w:p w14:paraId="0B8FB8C9">
      <w:pPr>
        <w:shd w:val="clear" w:color="auto" w:fill="FFFFFF"/>
        <w:spacing w:before="100" w:beforeAutospacing="1" w:after="100" w:afterAutospacing="1" w:line="500" w:lineRule="atLeast"/>
        <w:ind w:firstLine="358"/>
        <w:jc w:val="center"/>
        <w:rPr>
          <w:rFonts w:hint="eastAsia" w:ascii="宋体" w:hAnsi="宋体"/>
          <w:color w:val="auto"/>
          <w:szCs w:val="28"/>
          <w:highlight w:val="none"/>
        </w:rPr>
        <w:sectPr>
          <w:pgSz w:w="11906" w:h="16838"/>
          <w:pgMar w:top="1259" w:right="1287" w:bottom="1361" w:left="1622" w:header="709" w:footer="975" w:gutter="0"/>
          <w:cols w:space="720" w:num="1"/>
          <w:docGrid w:linePitch="360" w:charSpace="0"/>
        </w:sectPr>
      </w:pPr>
      <w:r>
        <w:rPr>
          <w:rFonts w:hint="eastAsia" w:ascii="宋体" w:hAnsi="宋体"/>
          <w:color w:val="auto"/>
          <w:szCs w:val="28"/>
          <w:highlight w:val="none"/>
        </w:rPr>
        <w:t>仅提供身份证正反面即可</w:t>
      </w:r>
    </w:p>
    <w:p w14:paraId="23B0BDD4">
      <w:pPr>
        <w:pStyle w:val="39"/>
        <w:widowControl w:val="0"/>
        <w:adjustRightInd w:val="0"/>
        <w:snapToGrid w:val="0"/>
        <w:jc w:val="center"/>
        <w:rPr>
          <w:b/>
          <w:color w:val="auto"/>
          <w:sz w:val="32"/>
          <w:szCs w:val="32"/>
          <w:highlight w:val="none"/>
        </w:rPr>
      </w:pPr>
      <w:r>
        <w:rPr>
          <w:b/>
          <w:color w:val="auto"/>
          <w:sz w:val="32"/>
          <w:szCs w:val="32"/>
          <w:highlight w:val="none"/>
        </w:rPr>
        <w:t>三</w:t>
      </w:r>
      <w:r>
        <w:rPr>
          <w:rFonts w:hint="default"/>
          <w:b/>
          <w:color w:val="auto"/>
          <w:sz w:val="32"/>
          <w:szCs w:val="32"/>
          <w:highlight w:val="none"/>
        </w:rPr>
        <w:t>、投标货物技术参数明细表</w:t>
      </w:r>
    </w:p>
    <w:tbl>
      <w:tblPr>
        <w:tblStyle w:val="43"/>
        <w:tblW w:w="15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1196"/>
        <w:gridCol w:w="1879"/>
        <w:gridCol w:w="1879"/>
        <w:gridCol w:w="1560"/>
        <w:gridCol w:w="4988"/>
      </w:tblGrid>
      <w:tr w14:paraId="24C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4E6F3A71">
            <w:pPr>
              <w:pStyle w:val="39"/>
              <w:widowControl w:val="0"/>
              <w:adjustRightInd w:val="0"/>
              <w:snapToGrid w:val="0"/>
              <w:jc w:val="center"/>
              <w:rPr>
                <w:b/>
                <w:color w:val="auto"/>
                <w:sz w:val="21"/>
                <w:szCs w:val="44"/>
                <w:highlight w:val="none"/>
              </w:rPr>
            </w:pPr>
            <w:r>
              <w:rPr>
                <w:rFonts w:hint="default"/>
                <w:b/>
                <w:color w:val="auto"/>
                <w:sz w:val="21"/>
                <w:szCs w:val="44"/>
                <w:highlight w:val="none"/>
              </w:rPr>
              <w:t>序号</w:t>
            </w:r>
          </w:p>
        </w:tc>
        <w:tc>
          <w:tcPr>
            <w:tcW w:w="3135" w:type="dxa"/>
            <w:vAlign w:val="center"/>
          </w:tcPr>
          <w:p w14:paraId="1C21E562">
            <w:pPr>
              <w:pStyle w:val="39"/>
              <w:widowControl w:val="0"/>
              <w:adjustRightInd w:val="0"/>
              <w:snapToGrid w:val="0"/>
              <w:jc w:val="center"/>
              <w:rPr>
                <w:b/>
                <w:color w:val="auto"/>
                <w:sz w:val="21"/>
                <w:szCs w:val="44"/>
                <w:highlight w:val="none"/>
              </w:rPr>
            </w:pPr>
            <w:r>
              <w:rPr>
                <w:b/>
                <w:color w:val="auto"/>
                <w:sz w:val="21"/>
                <w:szCs w:val="44"/>
                <w:highlight w:val="none"/>
              </w:rPr>
              <w:t>标的</w:t>
            </w:r>
            <w:r>
              <w:rPr>
                <w:rFonts w:hint="default"/>
                <w:b/>
                <w:color w:val="auto"/>
                <w:sz w:val="21"/>
                <w:szCs w:val="44"/>
                <w:highlight w:val="none"/>
              </w:rPr>
              <w:t>名称</w:t>
            </w:r>
          </w:p>
        </w:tc>
        <w:tc>
          <w:tcPr>
            <w:tcW w:w="1196" w:type="dxa"/>
            <w:vAlign w:val="center"/>
          </w:tcPr>
          <w:p w14:paraId="5B699C65">
            <w:pPr>
              <w:pStyle w:val="39"/>
              <w:widowControl w:val="0"/>
              <w:adjustRightInd w:val="0"/>
              <w:snapToGrid w:val="0"/>
              <w:jc w:val="center"/>
              <w:rPr>
                <w:b/>
                <w:color w:val="auto"/>
                <w:sz w:val="21"/>
                <w:szCs w:val="44"/>
                <w:highlight w:val="none"/>
              </w:rPr>
            </w:pPr>
            <w:r>
              <w:rPr>
                <w:rFonts w:hint="default"/>
                <w:b/>
                <w:color w:val="auto"/>
                <w:sz w:val="21"/>
                <w:szCs w:val="44"/>
                <w:highlight w:val="none"/>
              </w:rPr>
              <w:t>品牌</w:t>
            </w:r>
          </w:p>
        </w:tc>
        <w:tc>
          <w:tcPr>
            <w:tcW w:w="1879" w:type="dxa"/>
            <w:vAlign w:val="center"/>
          </w:tcPr>
          <w:p w14:paraId="7DA1A694">
            <w:pPr>
              <w:pStyle w:val="39"/>
              <w:widowControl w:val="0"/>
              <w:adjustRightInd w:val="0"/>
              <w:snapToGrid w:val="0"/>
              <w:jc w:val="center"/>
              <w:rPr>
                <w:b/>
                <w:color w:val="auto"/>
                <w:sz w:val="21"/>
                <w:szCs w:val="44"/>
                <w:highlight w:val="none"/>
              </w:rPr>
            </w:pPr>
            <w:r>
              <w:rPr>
                <w:b/>
                <w:color w:val="auto"/>
                <w:sz w:val="21"/>
                <w:szCs w:val="44"/>
                <w:highlight w:val="none"/>
              </w:rPr>
              <w:t>制造商全称</w:t>
            </w:r>
          </w:p>
        </w:tc>
        <w:tc>
          <w:tcPr>
            <w:tcW w:w="1879" w:type="dxa"/>
            <w:vAlign w:val="center"/>
          </w:tcPr>
          <w:p w14:paraId="3D807E71">
            <w:pPr>
              <w:pStyle w:val="39"/>
              <w:widowControl w:val="0"/>
              <w:adjustRightInd w:val="0"/>
              <w:snapToGrid w:val="0"/>
              <w:jc w:val="center"/>
              <w:rPr>
                <w:b/>
                <w:color w:val="auto"/>
                <w:sz w:val="21"/>
                <w:szCs w:val="44"/>
                <w:highlight w:val="none"/>
              </w:rPr>
            </w:pPr>
            <w:r>
              <w:rPr>
                <w:rFonts w:hint="default"/>
                <w:b/>
                <w:color w:val="auto"/>
                <w:sz w:val="21"/>
                <w:szCs w:val="44"/>
                <w:highlight w:val="none"/>
              </w:rPr>
              <w:t>型号规格</w:t>
            </w:r>
          </w:p>
        </w:tc>
        <w:tc>
          <w:tcPr>
            <w:tcW w:w="1560" w:type="dxa"/>
            <w:vAlign w:val="center"/>
          </w:tcPr>
          <w:p w14:paraId="057F8680">
            <w:pPr>
              <w:pStyle w:val="39"/>
              <w:widowControl w:val="0"/>
              <w:adjustRightInd w:val="0"/>
              <w:snapToGrid w:val="0"/>
              <w:jc w:val="center"/>
              <w:rPr>
                <w:b/>
                <w:color w:val="auto"/>
                <w:sz w:val="21"/>
                <w:szCs w:val="44"/>
                <w:highlight w:val="none"/>
              </w:rPr>
            </w:pPr>
            <w:r>
              <w:rPr>
                <w:rFonts w:hint="default"/>
                <w:b/>
                <w:color w:val="auto"/>
                <w:sz w:val="21"/>
                <w:szCs w:val="44"/>
                <w:highlight w:val="none"/>
              </w:rPr>
              <w:t>数量（单位）</w:t>
            </w:r>
          </w:p>
        </w:tc>
        <w:tc>
          <w:tcPr>
            <w:tcW w:w="4988" w:type="dxa"/>
            <w:vAlign w:val="center"/>
          </w:tcPr>
          <w:p w14:paraId="0857A0FD">
            <w:pPr>
              <w:pStyle w:val="39"/>
              <w:widowControl w:val="0"/>
              <w:adjustRightInd w:val="0"/>
              <w:snapToGrid w:val="0"/>
              <w:jc w:val="center"/>
              <w:rPr>
                <w:b/>
                <w:color w:val="auto"/>
                <w:sz w:val="21"/>
                <w:szCs w:val="44"/>
                <w:highlight w:val="none"/>
              </w:rPr>
            </w:pPr>
            <w:r>
              <w:rPr>
                <w:b/>
                <w:color w:val="auto"/>
                <w:sz w:val="21"/>
                <w:szCs w:val="44"/>
                <w:highlight w:val="none"/>
              </w:rPr>
              <w:t>详细</w:t>
            </w:r>
            <w:r>
              <w:rPr>
                <w:rFonts w:hint="default"/>
                <w:b/>
                <w:color w:val="auto"/>
                <w:sz w:val="21"/>
                <w:szCs w:val="44"/>
                <w:highlight w:val="none"/>
              </w:rPr>
              <w:t>技术参数</w:t>
            </w:r>
          </w:p>
        </w:tc>
      </w:tr>
      <w:tr w14:paraId="5113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1DD60F59">
            <w:pPr>
              <w:pStyle w:val="39"/>
              <w:widowControl w:val="0"/>
              <w:adjustRightInd w:val="0"/>
              <w:snapToGrid w:val="0"/>
              <w:jc w:val="center"/>
              <w:rPr>
                <w:b/>
                <w:color w:val="auto"/>
                <w:sz w:val="21"/>
                <w:szCs w:val="44"/>
                <w:highlight w:val="none"/>
              </w:rPr>
            </w:pPr>
            <w:r>
              <w:rPr>
                <w:rFonts w:hint="default"/>
                <w:b/>
                <w:color w:val="auto"/>
                <w:sz w:val="21"/>
                <w:szCs w:val="44"/>
                <w:highlight w:val="none"/>
              </w:rPr>
              <w:t>1</w:t>
            </w:r>
          </w:p>
        </w:tc>
        <w:tc>
          <w:tcPr>
            <w:tcW w:w="3135" w:type="dxa"/>
            <w:vAlign w:val="center"/>
          </w:tcPr>
          <w:p w14:paraId="38177983">
            <w:pPr>
              <w:pStyle w:val="39"/>
              <w:widowControl w:val="0"/>
              <w:adjustRightInd w:val="0"/>
              <w:snapToGrid w:val="0"/>
              <w:rPr>
                <w:color w:val="auto"/>
                <w:sz w:val="21"/>
                <w:szCs w:val="44"/>
                <w:highlight w:val="none"/>
              </w:rPr>
            </w:pPr>
            <w:r>
              <w:rPr>
                <w:color w:val="auto"/>
                <w:sz w:val="21"/>
                <w:szCs w:val="44"/>
                <w:highlight w:val="none"/>
              </w:rPr>
              <w:t xml:space="preserve"> </w:t>
            </w:r>
          </w:p>
        </w:tc>
        <w:tc>
          <w:tcPr>
            <w:tcW w:w="1196" w:type="dxa"/>
            <w:vAlign w:val="center"/>
          </w:tcPr>
          <w:p w14:paraId="779D688F">
            <w:pPr>
              <w:pStyle w:val="39"/>
              <w:widowControl w:val="0"/>
              <w:adjustRightInd w:val="0"/>
              <w:snapToGrid w:val="0"/>
              <w:jc w:val="center"/>
              <w:rPr>
                <w:color w:val="auto"/>
                <w:sz w:val="21"/>
                <w:szCs w:val="44"/>
                <w:highlight w:val="none"/>
              </w:rPr>
            </w:pPr>
          </w:p>
        </w:tc>
        <w:tc>
          <w:tcPr>
            <w:tcW w:w="1879" w:type="dxa"/>
            <w:vAlign w:val="center"/>
          </w:tcPr>
          <w:p w14:paraId="6CC12B36">
            <w:pPr>
              <w:pStyle w:val="39"/>
              <w:widowControl w:val="0"/>
              <w:adjustRightInd w:val="0"/>
              <w:snapToGrid w:val="0"/>
              <w:jc w:val="center"/>
              <w:rPr>
                <w:b/>
                <w:color w:val="auto"/>
                <w:sz w:val="21"/>
                <w:szCs w:val="44"/>
                <w:highlight w:val="none"/>
              </w:rPr>
            </w:pPr>
          </w:p>
        </w:tc>
        <w:tc>
          <w:tcPr>
            <w:tcW w:w="1879" w:type="dxa"/>
            <w:vAlign w:val="center"/>
          </w:tcPr>
          <w:p w14:paraId="49A39ACC">
            <w:pPr>
              <w:pStyle w:val="39"/>
              <w:widowControl w:val="0"/>
              <w:adjustRightInd w:val="0"/>
              <w:snapToGrid w:val="0"/>
              <w:jc w:val="center"/>
              <w:rPr>
                <w:b/>
                <w:color w:val="auto"/>
                <w:sz w:val="21"/>
                <w:szCs w:val="44"/>
                <w:highlight w:val="none"/>
              </w:rPr>
            </w:pPr>
          </w:p>
        </w:tc>
        <w:tc>
          <w:tcPr>
            <w:tcW w:w="1560" w:type="dxa"/>
            <w:vAlign w:val="center"/>
          </w:tcPr>
          <w:p w14:paraId="24765868">
            <w:pPr>
              <w:pStyle w:val="39"/>
              <w:widowControl w:val="0"/>
              <w:adjustRightInd w:val="0"/>
              <w:snapToGrid w:val="0"/>
              <w:jc w:val="center"/>
              <w:rPr>
                <w:b/>
                <w:color w:val="auto"/>
                <w:sz w:val="21"/>
                <w:szCs w:val="44"/>
                <w:highlight w:val="none"/>
              </w:rPr>
            </w:pPr>
          </w:p>
        </w:tc>
        <w:tc>
          <w:tcPr>
            <w:tcW w:w="4988" w:type="dxa"/>
            <w:vAlign w:val="center"/>
          </w:tcPr>
          <w:p w14:paraId="6B2A4E84">
            <w:pPr>
              <w:pStyle w:val="39"/>
              <w:widowControl w:val="0"/>
              <w:adjustRightInd w:val="0"/>
              <w:snapToGrid w:val="0"/>
              <w:jc w:val="center"/>
              <w:rPr>
                <w:b/>
                <w:color w:val="auto"/>
                <w:sz w:val="21"/>
                <w:szCs w:val="44"/>
                <w:highlight w:val="none"/>
              </w:rPr>
            </w:pPr>
          </w:p>
        </w:tc>
      </w:tr>
      <w:tr w14:paraId="1FDD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651CBA6A">
            <w:pPr>
              <w:pStyle w:val="39"/>
              <w:widowControl w:val="0"/>
              <w:adjustRightInd w:val="0"/>
              <w:snapToGrid w:val="0"/>
              <w:jc w:val="center"/>
              <w:rPr>
                <w:b/>
                <w:color w:val="auto"/>
                <w:sz w:val="21"/>
                <w:szCs w:val="44"/>
                <w:highlight w:val="none"/>
              </w:rPr>
            </w:pPr>
            <w:r>
              <w:rPr>
                <w:rFonts w:hint="default"/>
                <w:b/>
                <w:color w:val="auto"/>
                <w:sz w:val="21"/>
                <w:szCs w:val="44"/>
                <w:highlight w:val="none"/>
              </w:rPr>
              <w:t>2</w:t>
            </w:r>
          </w:p>
        </w:tc>
        <w:tc>
          <w:tcPr>
            <w:tcW w:w="3135" w:type="dxa"/>
            <w:vAlign w:val="center"/>
          </w:tcPr>
          <w:p w14:paraId="1A2865A7">
            <w:pPr>
              <w:pStyle w:val="39"/>
              <w:widowControl w:val="0"/>
              <w:adjustRightInd w:val="0"/>
              <w:snapToGrid w:val="0"/>
              <w:jc w:val="both"/>
              <w:rPr>
                <w:color w:val="auto"/>
                <w:sz w:val="21"/>
                <w:szCs w:val="44"/>
                <w:highlight w:val="none"/>
              </w:rPr>
            </w:pPr>
            <w:r>
              <w:rPr>
                <w:rFonts w:hint="default"/>
                <w:color w:val="auto"/>
                <w:sz w:val="21"/>
                <w:szCs w:val="44"/>
                <w:highlight w:val="none"/>
              </w:rPr>
              <w:t xml:space="preserve"> </w:t>
            </w:r>
          </w:p>
        </w:tc>
        <w:tc>
          <w:tcPr>
            <w:tcW w:w="1196" w:type="dxa"/>
            <w:vAlign w:val="center"/>
          </w:tcPr>
          <w:p w14:paraId="1AD075C9">
            <w:pPr>
              <w:pStyle w:val="39"/>
              <w:widowControl w:val="0"/>
              <w:adjustRightInd w:val="0"/>
              <w:snapToGrid w:val="0"/>
              <w:jc w:val="center"/>
              <w:rPr>
                <w:color w:val="auto"/>
                <w:sz w:val="21"/>
                <w:szCs w:val="44"/>
                <w:highlight w:val="none"/>
              </w:rPr>
            </w:pPr>
          </w:p>
        </w:tc>
        <w:tc>
          <w:tcPr>
            <w:tcW w:w="1879" w:type="dxa"/>
            <w:vAlign w:val="center"/>
          </w:tcPr>
          <w:p w14:paraId="4A4369C0">
            <w:pPr>
              <w:pStyle w:val="39"/>
              <w:widowControl w:val="0"/>
              <w:adjustRightInd w:val="0"/>
              <w:snapToGrid w:val="0"/>
              <w:jc w:val="center"/>
              <w:rPr>
                <w:b/>
                <w:color w:val="auto"/>
                <w:sz w:val="21"/>
                <w:szCs w:val="44"/>
                <w:highlight w:val="none"/>
              </w:rPr>
            </w:pPr>
          </w:p>
        </w:tc>
        <w:tc>
          <w:tcPr>
            <w:tcW w:w="1879" w:type="dxa"/>
            <w:vAlign w:val="center"/>
          </w:tcPr>
          <w:p w14:paraId="173CBA67">
            <w:pPr>
              <w:pStyle w:val="39"/>
              <w:widowControl w:val="0"/>
              <w:adjustRightInd w:val="0"/>
              <w:snapToGrid w:val="0"/>
              <w:jc w:val="center"/>
              <w:rPr>
                <w:b/>
                <w:color w:val="auto"/>
                <w:sz w:val="21"/>
                <w:szCs w:val="44"/>
                <w:highlight w:val="none"/>
              </w:rPr>
            </w:pPr>
          </w:p>
        </w:tc>
        <w:tc>
          <w:tcPr>
            <w:tcW w:w="1560" w:type="dxa"/>
            <w:vAlign w:val="center"/>
          </w:tcPr>
          <w:p w14:paraId="0FC7B81E">
            <w:pPr>
              <w:pStyle w:val="39"/>
              <w:widowControl w:val="0"/>
              <w:adjustRightInd w:val="0"/>
              <w:snapToGrid w:val="0"/>
              <w:jc w:val="center"/>
              <w:rPr>
                <w:b/>
                <w:color w:val="auto"/>
                <w:sz w:val="21"/>
                <w:szCs w:val="44"/>
                <w:highlight w:val="none"/>
              </w:rPr>
            </w:pPr>
          </w:p>
        </w:tc>
        <w:tc>
          <w:tcPr>
            <w:tcW w:w="4988" w:type="dxa"/>
            <w:vAlign w:val="center"/>
          </w:tcPr>
          <w:p w14:paraId="7BEF214D">
            <w:pPr>
              <w:widowControl w:val="0"/>
              <w:adjustRightInd w:val="0"/>
              <w:snapToGrid w:val="0"/>
              <w:jc w:val="center"/>
              <w:rPr>
                <w:rFonts w:hint="eastAsia" w:ascii="宋体" w:hAnsi="宋体"/>
                <w:b/>
                <w:color w:val="auto"/>
                <w:sz w:val="21"/>
                <w:szCs w:val="44"/>
                <w:highlight w:val="none"/>
              </w:rPr>
            </w:pPr>
          </w:p>
        </w:tc>
      </w:tr>
      <w:tr w14:paraId="1016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0CF724CC">
            <w:pPr>
              <w:pStyle w:val="39"/>
              <w:widowControl w:val="0"/>
              <w:adjustRightInd w:val="0"/>
              <w:snapToGrid w:val="0"/>
              <w:jc w:val="center"/>
              <w:rPr>
                <w:b/>
                <w:color w:val="auto"/>
                <w:sz w:val="21"/>
                <w:szCs w:val="44"/>
                <w:highlight w:val="none"/>
              </w:rPr>
            </w:pPr>
            <w:r>
              <w:rPr>
                <w:b/>
                <w:color w:val="auto"/>
                <w:sz w:val="21"/>
                <w:szCs w:val="44"/>
                <w:highlight w:val="none"/>
              </w:rPr>
              <w:t>3</w:t>
            </w:r>
          </w:p>
        </w:tc>
        <w:tc>
          <w:tcPr>
            <w:tcW w:w="3135" w:type="dxa"/>
            <w:vAlign w:val="center"/>
          </w:tcPr>
          <w:p w14:paraId="004B4D87">
            <w:pPr>
              <w:pStyle w:val="39"/>
              <w:widowControl w:val="0"/>
              <w:adjustRightInd w:val="0"/>
              <w:snapToGrid w:val="0"/>
              <w:jc w:val="both"/>
              <w:rPr>
                <w:color w:val="auto"/>
                <w:sz w:val="21"/>
                <w:szCs w:val="44"/>
                <w:highlight w:val="none"/>
              </w:rPr>
            </w:pPr>
          </w:p>
        </w:tc>
        <w:tc>
          <w:tcPr>
            <w:tcW w:w="1196" w:type="dxa"/>
            <w:vAlign w:val="center"/>
          </w:tcPr>
          <w:p w14:paraId="63E9D5FC">
            <w:pPr>
              <w:pStyle w:val="39"/>
              <w:widowControl w:val="0"/>
              <w:adjustRightInd w:val="0"/>
              <w:snapToGrid w:val="0"/>
              <w:jc w:val="center"/>
              <w:rPr>
                <w:color w:val="auto"/>
                <w:sz w:val="21"/>
                <w:szCs w:val="44"/>
                <w:highlight w:val="none"/>
              </w:rPr>
            </w:pPr>
          </w:p>
        </w:tc>
        <w:tc>
          <w:tcPr>
            <w:tcW w:w="1879" w:type="dxa"/>
            <w:vAlign w:val="center"/>
          </w:tcPr>
          <w:p w14:paraId="1CC30941">
            <w:pPr>
              <w:pStyle w:val="39"/>
              <w:widowControl w:val="0"/>
              <w:adjustRightInd w:val="0"/>
              <w:snapToGrid w:val="0"/>
              <w:jc w:val="center"/>
              <w:rPr>
                <w:b/>
                <w:color w:val="auto"/>
                <w:sz w:val="21"/>
                <w:szCs w:val="44"/>
                <w:highlight w:val="none"/>
              </w:rPr>
            </w:pPr>
          </w:p>
        </w:tc>
        <w:tc>
          <w:tcPr>
            <w:tcW w:w="1879" w:type="dxa"/>
            <w:vAlign w:val="center"/>
          </w:tcPr>
          <w:p w14:paraId="0146C946">
            <w:pPr>
              <w:pStyle w:val="39"/>
              <w:widowControl w:val="0"/>
              <w:adjustRightInd w:val="0"/>
              <w:snapToGrid w:val="0"/>
              <w:jc w:val="center"/>
              <w:rPr>
                <w:b/>
                <w:color w:val="auto"/>
                <w:sz w:val="21"/>
                <w:szCs w:val="44"/>
                <w:highlight w:val="none"/>
              </w:rPr>
            </w:pPr>
          </w:p>
        </w:tc>
        <w:tc>
          <w:tcPr>
            <w:tcW w:w="1560" w:type="dxa"/>
            <w:vAlign w:val="center"/>
          </w:tcPr>
          <w:p w14:paraId="13A440EC">
            <w:pPr>
              <w:pStyle w:val="39"/>
              <w:widowControl w:val="0"/>
              <w:adjustRightInd w:val="0"/>
              <w:snapToGrid w:val="0"/>
              <w:jc w:val="center"/>
              <w:rPr>
                <w:b/>
                <w:color w:val="auto"/>
                <w:sz w:val="21"/>
                <w:szCs w:val="44"/>
                <w:highlight w:val="none"/>
              </w:rPr>
            </w:pPr>
          </w:p>
        </w:tc>
        <w:tc>
          <w:tcPr>
            <w:tcW w:w="4988" w:type="dxa"/>
            <w:vAlign w:val="center"/>
          </w:tcPr>
          <w:p w14:paraId="1F5B63F2">
            <w:pPr>
              <w:widowControl w:val="0"/>
              <w:adjustRightInd w:val="0"/>
              <w:snapToGrid w:val="0"/>
              <w:jc w:val="center"/>
              <w:rPr>
                <w:rFonts w:hint="eastAsia" w:ascii="宋体" w:hAnsi="宋体"/>
                <w:b/>
                <w:color w:val="auto"/>
                <w:sz w:val="21"/>
                <w:szCs w:val="44"/>
                <w:highlight w:val="none"/>
              </w:rPr>
            </w:pPr>
          </w:p>
        </w:tc>
      </w:tr>
      <w:tr w14:paraId="2131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3742D316">
            <w:pPr>
              <w:pStyle w:val="39"/>
              <w:widowControl w:val="0"/>
              <w:adjustRightInd w:val="0"/>
              <w:snapToGrid w:val="0"/>
              <w:jc w:val="center"/>
              <w:rPr>
                <w:b/>
                <w:color w:val="auto"/>
                <w:sz w:val="21"/>
                <w:szCs w:val="44"/>
                <w:highlight w:val="none"/>
              </w:rPr>
            </w:pPr>
            <w:r>
              <w:rPr>
                <w:b/>
                <w:color w:val="auto"/>
                <w:sz w:val="21"/>
                <w:szCs w:val="44"/>
                <w:highlight w:val="none"/>
              </w:rPr>
              <w:t>4</w:t>
            </w:r>
          </w:p>
        </w:tc>
        <w:tc>
          <w:tcPr>
            <w:tcW w:w="3135" w:type="dxa"/>
            <w:vAlign w:val="center"/>
          </w:tcPr>
          <w:p w14:paraId="19A8D291">
            <w:pPr>
              <w:pStyle w:val="39"/>
              <w:widowControl w:val="0"/>
              <w:adjustRightInd w:val="0"/>
              <w:snapToGrid w:val="0"/>
              <w:jc w:val="both"/>
              <w:rPr>
                <w:color w:val="auto"/>
                <w:sz w:val="21"/>
                <w:szCs w:val="44"/>
                <w:highlight w:val="none"/>
              </w:rPr>
            </w:pPr>
          </w:p>
        </w:tc>
        <w:tc>
          <w:tcPr>
            <w:tcW w:w="1196" w:type="dxa"/>
            <w:vAlign w:val="center"/>
          </w:tcPr>
          <w:p w14:paraId="7CA2BF1E">
            <w:pPr>
              <w:pStyle w:val="39"/>
              <w:widowControl w:val="0"/>
              <w:adjustRightInd w:val="0"/>
              <w:snapToGrid w:val="0"/>
              <w:jc w:val="center"/>
              <w:rPr>
                <w:color w:val="auto"/>
                <w:sz w:val="21"/>
                <w:szCs w:val="44"/>
                <w:highlight w:val="none"/>
              </w:rPr>
            </w:pPr>
          </w:p>
        </w:tc>
        <w:tc>
          <w:tcPr>
            <w:tcW w:w="1879" w:type="dxa"/>
            <w:vAlign w:val="center"/>
          </w:tcPr>
          <w:p w14:paraId="0A8AD5D1">
            <w:pPr>
              <w:pStyle w:val="39"/>
              <w:widowControl w:val="0"/>
              <w:adjustRightInd w:val="0"/>
              <w:snapToGrid w:val="0"/>
              <w:jc w:val="center"/>
              <w:rPr>
                <w:b/>
                <w:color w:val="auto"/>
                <w:sz w:val="21"/>
                <w:szCs w:val="44"/>
                <w:highlight w:val="none"/>
              </w:rPr>
            </w:pPr>
          </w:p>
        </w:tc>
        <w:tc>
          <w:tcPr>
            <w:tcW w:w="1879" w:type="dxa"/>
            <w:vAlign w:val="center"/>
          </w:tcPr>
          <w:p w14:paraId="0B396668">
            <w:pPr>
              <w:pStyle w:val="39"/>
              <w:widowControl w:val="0"/>
              <w:adjustRightInd w:val="0"/>
              <w:snapToGrid w:val="0"/>
              <w:jc w:val="center"/>
              <w:rPr>
                <w:b/>
                <w:color w:val="auto"/>
                <w:sz w:val="21"/>
                <w:szCs w:val="44"/>
                <w:highlight w:val="none"/>
              </w:rPr>
            </w:pPr>
          </w:p>
        </w:tc>
        <w:tc>
          <w:tcPr>
            <w:tcW w:w="1560" w:type="dxa"/>
            <w:vAlign w:val="center"/>
          </w:tcPr>
          <w:p w14:paraId="341A4F17">
            <w:pPr>
              <w:pStyle w:val="39"/>
              <w:widowControl w:val="0"/>
              <w:adjustRightInd w:val="0"/>
              <w:snapToGrid w:val="0"/>
              <w:jc w:val="center"/>
              <w:rPr>
                <w:b/>
                <w:color w:val="auto"/>
                <w:sz w:val="21"/>
                <w:szCs w:val="44"/>
                <w:highlight w:val="none"/>
              </w:rPr>
            </w:pPr>
          </w:p>
        </w:tc>
        <w:tc>
          <w:tcPr>
            <w:tcW w:w="4988" w:type="dxa"/>
            <w:vAlign w:val="center"/>
          </w:tcPr>
          <w:p w14:paraId="7058FEBE">
            <w:pPr>
              <w:widowControl w:val="0"/>
              <w:adjustRightInd w:val="0"/>
              <w:snapToGrid w:val="0"/>
              <w:jc w:val="center"/>
              <w:rPr>
                <w:rFonts w:hint="eastAsia" w:ascii="宋体" w:hAnsi="宋体"/>
                <w:b/>
                <w:color w:val="auto"/>
                <w:sz w:val="21"/>
                <w:szCs w:val="44"/>
                <w:highlight w:val="none"/>
              </w:rPr>
            </w:pPr>
          </w:p>
        </w:tc>
      </w:tr>
      <w:tr w14:paraId="089D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0AC459CB">
            <w:pPr>
              <w:pStyle w:val="39"/>
              <w:widowControl w:val="0"/>
              <w:adjustRightInd w:val="0"/>
              <w:snapToGrid w:val="0"/>
              <w:jc w:val="center"/>
              <w:rPr>
                <w:b/>
                <w:color w:val="auto"/>
                <w:sz w:val="21"/>
                <w:szCs w:val="44"/>
                <w:highlight w:val="none"/>
              </w:rPr>
            </w:pPr>
            <w:r>
              <w:rPr>
                <w:b/>
                <w:color w:val="auto"/>
                <w:sz w:val="21"/>
                <w:szCs w:val="44"/>
                <w:highlight w:val="none"/>
              </w:rPr>
              <w:t>5</w:t>
            </w:r>
          </w:p>
        </w:tc>
        <w:tc>
          <w:tcPr>
            <w:tcW w:w="3135" w:type="dxa"/>
            <w:vAlign w:val="center"/>
          </w:tcPr>
          <w:p w14:paraId="29B5665D">
            <w:pPr>
              <w:pStyle w:val="39"/>
              <w:widowControl w:val="0"/>
              <w:adjustRightInd w:val="0"/>
              <w:snapToGrid w:val="0"/>
              <w:jc w:val="both"/>
              <w:rPr>
                <w:color w:val="auto"/>
                <w:sz w:val="21"/>
                <w:szCs w:val="44"/>
                <w:highlight w:val="none"/>
              </w:rPr>
            </w:pPr>
            <w:r>
              <w:rPr>
                <w:color w:val="auto"/>
                <w:sz w:val="21"/>
                <w:szCs w:val="44"/>
                <w:highlight w:val="none"/>
              </w:rPr>
              <w:t>……</w:t>
            </w:r>
          </w:p>
        </w:tc>
        <w:tc>
          <w:tcPr>
            <w:tcW w:w="1196" w:type="dxa"/>
            <w:vAlign w:val="center"/>
          </w:tcPr>
          <w:p w14:paraId="2F24B84E">
            <w:pPr>
              <w:pStyle w:val="39"/>
              <w:widowControl w:val="0"/>
              <w:adjustRightInd w:val="0"/>
              <w:snapToGrid w:val="0"/>
              <w:jc w:val="center"/>
              <w:rPr>
                <w:color w:val="auto"/>
                <w:sz w:val="21"/>
                <w:szCs w:val="44"/>
                <w:highlight w:val="none"/>
              </w:rPr>
            </w:pPr>
          </w:p>
        </w:tc>
        <w:tc>
          <w:tcPr>
            <w:tcW w:w="1879" w:type="dxa"/>
            <w:vAlign w:val="center"/>
          </w:tcPr>
          <w:p w14:paraId="2EBF5CDB">
            <w:pPr>
              <w:pStyle w:val="39"/>
              <w:widowControl w:val="0"/>
              <w:adjustRightInd w:val="0"/>
              <w:snapToGrid w:val="0"/>
              <w:jc w:val="center"/>
              <w:rPr>
                <w:b/>
                <w:color w:val="auto"/>
                <w:sz w:val="21"/>
                <w:szCs w:val="44"/>
                <w:highlight w:val="none"/>
              </w:rPr>
            </w:pPr>
          </w:p>
        </w:tc>
        <w:tc>
          <w:tcPr>
            <w:tcW w:w="1879" w:type="dxa"/>
            <w:vAlign w:val="center"/>
          </w:tcPr>
          <w:p w14:paraId="7E5A1333">
            <w:pPr>
              <w:pStyle w:val="39"/>
              <w:widowControl w:val="0"/>
              <w:adjustRightInd w:val="0"/>
              <w:snapToGrid w:val="0"/>
              <w:jc w:val="center"/>
              <w:rPr>
                <w:b/>
                <w:color w:val="auto"/>
                <w:sz w:val="21"/>
                <w:szCs w:val="44"/>
                <w:highlight w:val="none"/>
              </w:rPr>
            </w:pPr>
          </w:p>
        </w:tc>
        <w:tc>
          <w:tcPr>
            <w:tcW w:w="1560" w:type="dxa"/>
            <w:vAlign w:val="center"/>
          </w:tcPr>
          <w:p w14:paraId="609F7CF8">
            <w:pPr>
              <w:pStyle w:val="39"/>
              <w:widowControl w:val="0"/>
              <w:adjustRightInd w:val="0"/>
              <w:snapToGrid w:val="0"/>
              <w:jc w:val="center"/>
              <w:rPr>
                <w:b/>
                <w:color w:val="auto"/>
                <w:sz w:val="21"/>
                <w:szCs w:val="44"/>
                <w:highlight w:val="none"/>
              </w:rPr>
            </w:pPr>
          </w:p>
        </w:tc>
        <w:tc>
          <w:tcPr>
            <w:tcW w:w="4988" w:type="dxa"/>
            <w:vAlign w:val="center"/>
          </w:tcPr>
          <w:p w14:paraId="618A103B">
            <w:pPr>
              <w:widowControl w:val="0"/>
              <w:adjustRightInd w:val="0"/>
              <w:snapToGrid w:val="0"/>
              <w:jc w:val="center"/>
              <w:rPr>
                <w:rFonts w:hint="eastAsia" w:ascii="宋体" w:hAnsi="宋体"/>
                <w:b/>
                <w:color w:val="auto"/>
                <w:sz w:val="21"/>
                <w:szCs w:val="44"/>
                <w:highlight w:val="none"/>
              </w:rPr>
            </w:pPr>
          </w:p>
        </w:tc>
      </w:tr>
      <w:tr w14:paraId="3793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14:paraId="20692A17">
            <w:pPr>
              <w:pStyle w:val="39"/>
              <w:widowControl w:val="0"/>
              <w:adjustRightInd w:val="0"/>
              <w:snapToGrid w:val="0"/>
              <w:jc w:val="center"/>
              <w:rPr>
                <w:b/>
                <w:color w:val="auto"/>
                <w:sz w:val="21"/>
                <w:szCs w:val="44"/>
                <w:highlight w:val="none"/>
              </w:rPr>
            </w:pPr>
          </w:p>
        </w:tc>
        <w:tc>
          <w:tcPr>
            <w:tcW w:w="3135" w:type="dxa"/>
            <w:vAlign w:val="center"/>
          </w:tcPr>
          <w:p w14:paraId="7D808413">
            <w:pPr>
              <w:pStyle w:val="39"/>
              <w:widowControl w:val="0"/>
              <w:adjustRightInd w:val="0"/>
              <w:snapToGrid w:val="0"/>
              <w:jc w:val="both"/>
              <w:rPr>
                <w:color w:val="auto"/>
                <w:sz w:val="21"/>
                <w:szCs w:val="44"/>
                <w:highlight w:val="none"/>
              </w:rPr>
            </w:pPr>
            <w:r>
              <w:rPr>
                <w:rFonts w:hint="default"/>
                <w:color w:val="auto"/>
                <w:sz w:val="21"/>
                <w:szCs w:val="44"/>
                <w:highlight w:val="none"/>
              </w:rPr>
              <w:t>（按照</w:t>
            </w:r>
            <w:r>
              <w:rPr>
                <w:color w:val="auto"/>
                <w:sz w:val="21"/>
                <w:szCs w:val="44"/>
                <w:highlight w:val="none"/>
              </w:rPr>
              <w:t>采购</w:t>
            </w:r>
            <w:r>
              <w:rPr>
                <w:rFonts w:hint="default"/>
                <w:color w:val="auto"/>
                <w:sz w:val="21"/>
                <w:szCs w:val="44"/>
                <w:highlight w:val="none"/>
              </w:rPr>
              <w:t>清单填写）</w:t>
            </w:r>
          </w:p>
        </w:tc>
        <w:tc>
          <w:tcPr>
            <w:tcW w:w="1196" w:type="dxa"/>
            <w:vAlign w:val="center"/>
          </w:tcPr>
          <w:p w14:paraId="4657D74B">
            <w:pPr>
              <w:pStyle w:val="39"/>
              <w:widowControl w:val="0"/>
              <w:adjustRightInd w:val="0"/>
              <w:snapToGrid w:val="0"/>
              <w:jc w:val="center"/>
              <w:rPr>
                <w:color w:val="auto"/>
                <w:sz w:val="21"/>
                <w:szCs w:val="44"/>
                <w:highlight w:val="none"/>
              </w:rPr>
            </w:pPr>
          </w:p>
        </w:tc>
        <w:tc>
          <w:tcPr>
            <w:tcW w:w="1879" w:type="dxa"/>
            <w:vAlign w:val="center"/>
          </w:tcPr>
          <w:p w14:paraId="32EB44F8">
            <w:pPr>
              <w:pStyle w:val="39"/>
              <w:widowControl w:val="0"/>
              <w:adjustRightInd w:val="0"/>
              <w:snapToGrid w:val="0"/>
              <w:jc w:val="center"/>
              <w:rPr>
                <w:b/>
                <w:color w:val="auto"/>
                <w:sz w:val="21"/>
                <w:szCs w:val="44"/>
                <w:highlight w:val="none"/>
              </w:rPr>
            </w:pPr>
          </w:p>
        </w:tc>
        <w:tc>
          <w:tcPr>
            <w:tcW w:w="1879" w:type="dxa"/>
            <w:vAlign w:val="center"/>
          </w:tcPr>
          <w:p w14:paraId="06C1A714">
            <w:pPr>
              <w:pStyle w:val="39"/>
              <w:widowControl w:val="0"/>
              <w:adjustRightInd w:val="0"/>
              <w:snapToGrid w:val="0"/>
              <w:jc w:val="center"/>
              <w:rPr>
                <w:b/>
                <w:color w:val="auto"/>
                <w:sz w:val="21"/>
                <w:szCs w:val="44"/>
                <w:highlight w:val="none"/>
              </w:rPr>
            </w:pPr>
          </w:p>
        </w:tc>
        <w:tc>
          <w:tcPr>
            <w:tcW w:w="1560" w:type="dxa"/>
            <w:vAlign w:val="center"/>
          </w:tcPr>
          <w:p w14:paraId="4E335A98">
            <w:pPr>
              <w:pStyle w:val="39"/>
              <w:widowControl w:val="0"/>
              <w:adjustRightInd w:val="0"/>
              <w:snapToGrid w:val="0"/>
              <w:jc w:val="center"/>
              <w:rPr>
                <w:b/>
                <w:color w:val="auto"/>
                <w:sz w:val="21"/>
                <w:szCs w:val="44"/>
                <w:highlight w:val="none"/>
              </w:rPr>
            </w:pPr>
          </w:p>
        </w:tc>
        <w:tc>
          <w:tcPr>
            <w:tcW w:w="4988" w:type="dxa"/>
            <w:vAlign w:val="center"/>
          </w:tcPr>
          <w:p w14:paraId="23275921">
            <w:pPr>
              <w:widowControl w:val="0"/>
              <w:adjustRightInd w:val="0"/>
              <w:snapToGrid w:val="0"/>
              <w:jc w:val="center"/>
              <w:rPr>
                <w:rFonts w:hint="eastAsia" w:ascii="宋体" w:hAnsi="宋体"/>
                <w:b/>
                <w:color w:val="auto"/>
                <w:sz w:val="21"/>
                <w:szCs w:val="44"/>
                <w:highlight w:val="none"/>
              </w:rPr>
            </w:pPr>
          </w:p>
        </w:tc>
      </w:tr>
    </w:tbl>
    <w:p w14:paraId="1F7F57CC">
      <w:pPr>
        <w:pStyle w:val="24"/>
        <w:widowControl w:val="0"/>
        <w:adjustRightInd w:val="0"/>
        <w:snapToGrid w:val="0"/>
        <w:spacing w:before="0" w:beforeAutospacing="0" w:after="0" w:afterAutospacing="0"/>
        <w:ind w:firstLine="978" w:firstLineChars="466"/>
        <w:rPr>
          <w:rFonts w:hint="eastAsia"/>
          <w:color w:val="auto"/>
          <w:sz w:val="21"/>
          <w:szCs w:val="21"/>
          <w:highlight w:val="none"/>
        </w:rPr>
      </w:pPr>
    </w:p>
    <w:p w14:paraId="7357F350">
      <w:pPr>
        <w:widowControl w:val="0"/>
        <w:tabs>
          <w:tab w:val="left" w:pos="3435"/>
        </w:tabs>
        <w:adjustRightInd w:val="0"/>
        <w:snapToGrid w:val="0"/>
        <w:ind w:firstLine="435"/>
        <w:rPr>
          <w:rFonts w:hint="eastAsia" w:ascii="宋体" w:hAnsi="宋体"/>
          <w:b/>
          <w:color w:val="auto"/>
          <w:sz w:val="22"/>
          <w:szCs w:val="22"/>
          <w:highlight w:val="none"/>
        </w:rPr>
      </w:pPr>
      <w:r>
        <w:rPr>
          <w:rFonts w:ascii="宋体" w:hAnsi="宋体"/>
          <w:b/>
          <w:color w:val="auto"/>
          <w:sz w:val="22"/>
          <w:szCs w:val="22"/>
          <w:highlight w:val="none"/>
        </w:rPr>
        <w:t>注：1.投标人须根据拟提供的货物参数详细填写此表，凡与《招标文件》要求不一致的内容，均详细在《技术要求偏离表</w:t>
      </w:r>
      <w:r>
        <w:rPr>
          <w:rFonts w:hint="eastAsia" w:ascii="宋体" w:hAnsi="宋体"/>
          <w:b/>
          <w:color w:val="auto"/>
          <w:sz w:val="22"/>
          <w:szCs w:val="22"/>
          <w:highlight w:val="none"/>
        </w:rPr>
        <w:t>/响应表</w:t>
      </w:r>
      <w:r>
        <w:rPr>
          <w:rFonts w:ascii="宋体" w:hAnsi="宋体"/>
          <w:b/>
          <w:color w:val="auto"/>
          <w:sz w:val="22"/>
          <w:szCs w:val="22"/>
          <w:highlight w:val="none"/>
        </w:rPr>
        <w:t>》中填写。</w:t>
      </w:r>
    </w:p>
    <w:p w14:paraId="101E4BD6">
      <w:pPr>
        <w:widowControl w:val="0"/>
        <w:tabs>
          <w:tab w:val="left" w:pos="3435"/>
        </w:tabs>
        <w:adjustRightInd w:val="0"/>
        <w:snapToGrid w:val="0"/>
        <w:ind w:firstLine="435"/>
        <w:rPr>
          <w:rFonts w:hint="eastAsia" w:ascii="宋体" w:hAnsi="宋体"/>
          <w:b/>
          <w:color w:val="auto"/>
          <w:sz w:val="22"/>
          <w:szCs w:val="22"/>
          <w:highlight w:val="none"/>
        </w:rPr>
      </w:pPr>
      <w:r>
        <w:rPr>
          <w:rFonts w:ascii="宋体" w:hAnsi="宋体"/>
          <w:b/>
          <w:color w:val="auto"/>
          <w:sz w:val="22"/>
          <w:szCs w:val="22"/>
          <w:highlight w:val="none"/>
        </w:rPr>
        <w:t xml:space="preserve">    2. 此表中的货物必须与《</w:t>
      </w:r>
      <w:r>
        <w:rPr>
          <w:rFonts w:hint="eastAsia" w:ascii="宋体" w:hAnsi="宋体"/>
          <w:b/>
          <w:color w:val="auto"/>
          <w:sz w:val="22"/>
          <w:szCs w:val="22"/>
          <w:highlight w:val="none"/>
        </w:rPr>
        <w:t>开标一览表（报价表）</w:t>
      </w:r>
      <w:r>
        <w:rPr>
          <w:rFonts w:ascii="宋体" w:hAnsi="宋体"/>
          <w:b/>
          <w:color w:val="auto"/>
          <w:sz w:val="22"/>
          <w:szCs w:val="22"/>
          <w:highlight w:val="none"/>
        </w:rPr>
        <w:t>》中填报的内容相一致。</w:t>
      </w:r>
    </w:p>
    <w:p w14:paraId="7550094F">
      <w:pPr>
        <w:widowControl w:val="0"/>
        <w:tabs>
          <w:tab w:val="left" w:pos="3435"/>
        </w:tabs>
        <w:adjustRightInd w:val="0"/>
        <w:snapToGrid w:val="0"/>
        <w:spacing w:line="420" w:lineRule="exact"/>
        <w:ind w:firstLine="435"/>
        <w:rPr>
          <w:rFonts w:hint="eastAsia" w:ascii="宋体" w:hAnsi="宋体"/>
          <w:b/>
          <w:color w:val="auto"/>
          <w:sz w:val="21"/>
          <w:szCs w:val="21"/>
          <w:highlight w:val="none"/>
        </w:rPr>
      </w:pPr>
    </w:p>
    <w:p w14:paraId="1A822139">
      <w:pPr>
        <w:pStyle w:val="24"/>
        <w:widowControl w:val="0"/>
        <w:adjustRightInd w:val="0"/>
        <w:snapToGrid w:val="0"/>
        <w:spacing w:before="0" w:beforeAutospacing="0" w:after="0" w:afterAutospacing="0" w:line="360" w:lineRule="auto"/>
        <w:ind w:firstLine="7200" w:firstLineChars="3000"/>
        <w:rPr>
          <w:rFonts w:hint="eastAsia"/>
          <w:color w:val="auto"/>
          <w:highlight w:val="none"/>
        </w:rPr>
      </w:pPr>
      <w:r>
        <w:rPr>
          <w:color w:val="auto"/>
          <w:highlight w:val="none"/>
        </w:rPr>
        <w:t>投标人（电子签章）：__________________________</w:t>
      </w:r>
    </w:p>
    <w:p w14:paraId="0D415590">
      <w:pPr>
        <w:spacing w:line="360" w:lineRule="auto"/>
        <w:jc w:val="center"/>
        <w:rPr>
          <w:color w:val="auto"/>
          <w:highlight w:val="none"/>
        </w:rPr>
        <w:sectPr>
          <w:pgSz w:w="16838" w:h="11906" w:orient="landscape"/>
          <w:pgMar w:top="1622" w:right="1259" w:bottom="1287" w:left="1361" w:header="709" w:footer="975" w:gutter="0"/>
          <w:cols w:space="720" w:num="1"/>
          <w:docGrid w:linePitch="360" w:charSpace="0"/>
        </w:sectPr>
      </w:pPr>
      <w:r>
        <w:rPr>
          <w:rFonts w:hint="eastAsia"/>
          <w:color w:val="auto"/>
          <w:highlight w:val="none"/>
        </w:rPr>
        <w:t xml:space="preserve"> </w:t>
      </w:r>
      <w:r>
        <w:rPr>
          <w:color w:val="auto"/>
          <w:highlight w:val="none"/>
        </w:rPr>
        <w:t xml:space="preserve">                                                    日期：____年____月____日</w:t>
      </w:r>
    </w:p>
    <w:p w14:paraId="1E7C1E3A">
      <w:pPr>
        <w:pStyle w:val="39"/>
        <w:widowControl w:val="0"/>
        <w:adjustRightInd w:val="0"/>
        <w:snapToGrid w:val="0"/>
        <w:spacing w:line="390" w:lineRule="atLeast"/>
        <w:jc w:val="center"/>
        <w:rPr>
          <w:b/>
          <w:color w:val="auto"/>
          <w:sz w:val="32"/>
          <w:szCs w:val="32"/>
          <w:highlight w:val="none"/>
        </w:rPr>
      </w:pPr>
      <w:r>
        <w:rPr>
          <w:b/>
          <w:color w:val="auto"/>
          <w:sz w:val="32"/>
          <w:szCs w:val="32"/>
          <w:highlight w:val="none"/>
        </w:rPr>
        <w:t>四</w:t>
      </w:r>
      <w:r>
        <w:rPr>
          <w:rFonts w:hint="default"/>
          <w:b/>
          <w:color w:val="auto"/>
          <w:sz w:val="32"/>
          <w:szCs w:val="32"/>
          <w:highlight w:val="none"/>
        </w:rPr>
        <w:t>、</w:t>
      </w:r>
      <w:bookmarkStart w:id="73" w:name="_Hlk93401427"/>
      <w:r>
        <w:rPr>
          <w:rFonts w:hint="default"/>
          <w:b/>
          <w:color w:val="auto"/>
          <w:sz w:val="32"/>
          <w:szCs w:val="32"/>
          <w:highlight w:val="none"/>
        </w:rPr>
        <w:t>技术要求偏离表</w:t>
      </w:r>
      <w:r>
        <w:rPr>
          <w:b/>
          <w:color w:val="auto"/>
          <w:sz w:val="32"/>
          <w:szCs w:val="32"/>
          <w:highlight w:val="none"/>
        </w:rPr>
        <w:t>/响应表</w:t>
      </w:r>
    </w:p>
    <w:p w14:paraId="1AA0514B">
      <w:pPr>
        <w:pStyle w:val="39"/>
        <w:widowControl w:val="0"/>
        <w:adjustRightInd w:val="0"/>
        <w:snapToGrid w:val="0"/>
        <w:rPr>
          <w:color w:val="auto"/>
          <w:highlight w:val="none"/>
        </w:rPr>
      </w:pPr>
      <w:r>
        <w:rPr>
          <w:rFonts w:hint="default"/>
          <w:color w:val="auto"/>
          <w:highlight w:val="none"/>
        </w:rPr>
        <w:t xml:space="preserve"> </w:t>
      </w:r>
    </w:p>
    <w:tbl>
      <w:tblPr>
        <w:tblStyle w:val="43"/>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14:paraId="1213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35B62E5">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2754" w:type="dxa"/>
            <w:vAlign w:val="center"/>
          </w:tcPr>
          <w:p w14:paraId="33EDAAF5">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u w:val="thick" w:color="FFFFFF"/>
              </w:rPr>
              <w:t>招标文件</w:t>
            </w:r>
            <w:r>
              <w:rPr>
                <w:rFonts w:hint="default" w:ascii="Times New Roman" w:hAnsi="Times New Roman"/>
                <w:color w:val="auto"/>
                <w:highlight w:val="none"/>
              </w:rPr>
              <w:t>要求</w:t>
            </w:r>
          </w:p>
        </w:tc>
        <w:tc>
          <w:tcPr>
            <w:tcW w:w="2812" w:type="dxa"/>
            <w:vAlign w:val="center"/>
          </w:tcPr>
          <w:p w14:paraId="3FC44295">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投标响应参数</w:t>
            </w:r>
          </w:p>
        </w:tc>
        <w:tc>
          <w:tcPr>
            <w:tcW w:w="1522" w:type="dxa"/>
            <w:vAlign w:val="center"/>
          </w:tcPr>
          <w:p w14:paraId="673B3634">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偏离情况</w:t>
            </w:r>
          </w:p>
        </w:tc>
        <w:tc>
          <w:tcPr>
            <w:tcW w:w="1572" w:type="dxa"/>
            <w:vAlign w:val="center"/>
          </w:tcPr>
          <w:p w14:paraId="659B4E31">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备注</w:t>
            </w:r>
          </w:p>
        </w:tc>
      </w:tr>
      <w:tr w14:paraId="4622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59A49F9">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2754" w:type="dxa"/>
            <w:vAlign w:val="center"/>
          </w:tcPr>
          <w:p w14:paraId="5B149046">
            <w:pPr>
              <w:pStyle w:val="39"/>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2812" w:type="dxa"/>
            <w:vAlign w:val="center"/>
          </w:tcPr>
          <w:p w14:paraId="3EEFBDD3">
            <w:pPr>
              <w:pStyle w:val="39"/>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1522" w:type="dxa"/>
            <w:vAlign w:val="center"/>
          </w:tcPr>
          <w:p w14:paraId="0E520CD1">
            <w:pPr>
              <w:pStyle w:val="39"/>
              <w:widowControl w:val="0"/>
              <w:adjustRightInd w:val="0"/>
              <w:snapToGrid w:val="0"/>
              <w:jc w:val="center"/>
              <w:rPr>
                <w:rFonts w:hint="default" w:ascii="Times New Roman" w:hAnsi="Times New Roman"/>
                <w:color w:val="auto"/>
                <w:highlight w:val="none"/>
              </w:rPr>
            </w:pPr>
          </w:p>
        </w:tc>
        <w:tc>
          <w:tcPr>
            <w:tcW w:w="1572" w:type="dxa"/>
            <w:vAlign w:val="center"/>
          </w:tcPr>
          <w:p w14:paraId="7CC25423">
            <w:pPr>
              <w:pStyle w:val="39"/>
              <w:widowControl w:val="0"/>
              <w:adjustRightInd w:val="0"/>
              <w:snapToGrid w:val="0"/>
              <w:jc w:val="both"/>
              <w:rPr>
                <w:rFonts w:hint="default" w:ascii="Times New Roman" w:hAnsi="Times New Roman"/>
                <w:color w:val="auto"/>
                <w:highlight w:val="none"/>
              </w:rPr>
            </w:pPr>
          </w:p>
        </w:tc>
      </w:tr>
      <w:tr w14:paraId="1547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85DB2C">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2754" w:type="dxa"/>
            <w:vAlign w:val="center"/>
          </w:tcPr>
          <w:p w14:paraId="76360697">
            <w:pPr>
              <w:widowControl w:val="0"/>
              <w:adjustRightInd w:val="0"/>
              <w:snapToGrid w:val="0"/>
              <w:jc w:val="both"/>
              <w:rPr>
                <w:color w:val="auto"/>
                <w:sz w:val="21"/>
                <w:szCs w:val="21"/>
                <w:highlight w:val="none"/>
              </w:rPr>
            </w:pPr>
          </w:p>
        </w:tc>
        <w:tc>
          <w:tcPr>
            <w:tcW w:w="2812" w:type="dxa"/>
            <w:vAlign w:val="center"/>
          </w:tcPr>
          <w:p w14:paraId="11A7C65F">
            <w:pPr>
              <w:widowControl w:val="0"/>
              <w:adjustRightInd w:val="0"/>
              <w:snapToGrid w:val="0"/>
              <w:ind w:left="360" w:hanging="360" w:hangingChars="150"/>
              <w:jc w:val="both"/>
              <w:rPr>
                <w:color w:val="auto"/>
                <w:highlight w:val="none"/>
              </w:rPr>
            </w:pPr>
          </w:p>
        </w:tc>
        <w:tc>
          <w:tcPr>
            <w:tcW w:w="1522" w:type="dxa"/>
            <w:vAlign w:val="center"/>
          </w:tcPr>
          <w:p w14:paraId="6C71D332">
            <w:pPr>
              <w:pStyle w:val="39"/>
              <w:widowControl w:val="0"/>
              <w:adjustRightInd w:val="0"/>
              <w:snapToGrid w:val="0"/>
              <w:jc w:val="center"/>
              <w:rPr>
                <w:rFonts w:hint="default" w:ascii="Times New Roman" w:hAnsi="Times New Roman"/>
                <w:color w:val="auto"/>
                <w:highlight w:val="none"/>
              </w:rPr>
            </w:pPr>
          </w:p>
        </w:tc>
        <w:tc>
          <w:tcPr>
            <w:tcW w:w="1572" w:type="dxa"/>
            <w:vAlign w:val="center"/>
          </w:tcPr>
          <w:p w14:paraId="65C01734">
            <w:pPr>
              <w:pStyle w:val="39"/>
              <w:widowControl w:val="0"/>
              <w:adjustRightInd w:val="0"/>
              <w:snapToGrid w:val="0"/>
              <w:jc w:val="both"/>
              <w:rPr>
                <w:rFonts w:hint="default" w:ascii="Times New Roman" w:hAnsi="Times New Roman"/>
                <w:color w:val="auto"/>
                <w:highlight w:val="none"/>
              </w:rPr>
            </w:pPr>
          </w:p>
        </w:tc>
      </w:tr>
      <w:tr w14:paraId="46D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273DC15">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2754" w:type="dxa"/>
            <w:vAlign w:val="center"/>
          </w:tcPr>
          <w:p w14:paraId="11CF03E6">
            <w:pPr>
              <w:pStyle w:val="39"/>
              <w:widowControl w:val="0"/>
              <w:adjustRightInd w:val="0"/>
              <w:snapToGrid w:val="0"/>
              <w:ind w:firstLine="840" w:firstLineChars="350"/>
              <w:jc w:val="both"/>
              <w:rPr>
                <w:rFonts w:hint="default" w:ascii="Times New Roman" w:hAnsi="Times New Roman"/>
                <w:color w:val="auto"/>
                <w:highlight w:val="none"/>
              </w:rPr>
            </w:pPr>
          </w:p>
        </w:tc>
        <w:tc>
          <w:tcPr>
            <w:tcW w:w="2812" w:type="dxa"/>
            <w:vAlign w:val="center"/>
          </w:tcPr>
          <w:p w14:paraId="4DD5421B">
            <w:pPr>
              <w:widowControl w:val="0"/>
              <w:adjustRightInd w:val="0"/>
              <w:snapToGrid w:val="0"/>
              <w:jc w:val="both"/>
              <w:rPr>
                <w:color w:val="auto"/>
                <w:highlight w:val="none"/>
              </w:rPr>
            </w:pPr>
          </w:p>
        </w:tc>
        <w:tc>
          <w:tcPr>
            <w:tcW w:w="1522" w:type="dxa"/>
            <w:vAlign w:val="center"/>
          </w:tcPr>
          <w:p w14:paraId="0955DE74">
            <w:pPr>
              <w:pStyle w:val="39"/>
              <w:widowControl w:val="0"/>
              <w:adjustRightInd w:val="0"/>
              <w:snapToGrid w:val="0"/>
              <w:jc w:val="center"/>
              <w:rPr>
                <w:rFonts w:hint="default" w:ascii="Times New Roman" w:hAnsi="Times New Roman"/>
                <w:color w:val="auto"/>
                <w:highlight w:val="none"/>
              </w:rPr>
            </w:pPr>
          </w:p>
        </w:tc>
        <w:tc>
          <w:tcPr>
            <w:tcW w:w="1572" w:type="dxa"/>
            <w:vAlign w:val="center"/>
          </w:tcPr>
          <w:p w14:paraId="3E43B70C">
            <w:pPr>
              <w:pStyle w:val="39"/>
              <w:widowControl w:val="0"/>
              <w:adjustRightInd w:val="0"/>
              <w:snapToGrid w:val="0"/>
              <w:jc w:val="both"/>
              <w:rPr>
                <w:rFonts w:hint="default" w:ascii="Times New Roman" w:hAnsi="Times New Roman"/>
                <w:color w:val="auto"/>
                <w:highlight w:val="none"/>
              </w:rPr>
            </w:pPr>
          </w:p>
        </w:tc>
      </w:tr>
      <w:tr w14:paraId="16A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04A1469A">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4</w:t>
            </w:r>
          </w:p>
        </w:tc>
        <w:tc>
          <w:tcPr>
            <w:tcW w:w="2754" w:type="dxa"/>
            <w:vAlign w:val="center"/>
          </w:tcPr>
          <w:p w14:paraId="3A1E3951">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3489BB2F">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22DEBCFD">
            <w:pPr>
              <w:pStyle w:val="39"/>
              <w:widowControl w:val="0"/>
              <w:adjustRightInd w:val="0"/>
              <w:snapToGrid w:val="0"/>
              <w:jc w:val="center"/>
              <w:rPr>
                <w:rFonts w:hint="default" w:ascii="Times New Roman" w:hAnsi="Times New Roman"/>
                <w:color w:val="auto"/>
                <w:highlight w:val="none"/>
              </w:rPr>
            </w:pPr>
          </w:p>
        </w:tc>
        <w:tc>
          <w:tcPr>
            <w:tcW w:w="1572" w:type="dxa"/>
            <w:vAlign w:val="center"/>
          </w:tcPr>
          <w:p w14:paraId="5604F141">
            <w:pPr>
              <w:pStyle w:val="39"/>
              <w:widowControl w:val="0"/>
              <w:adjustRightInd w:val="0"/>
              <w:snapToGrid w:val="0"/>
              <w:jc w:val="both"/>
              <w:rPr>
                <w:rFonts w:hint="default" w:ascii="Times New Roman" w:hAnsi="Times New Roman"/>
                <w:color w:val="auto"/>
                <w:highlight w:val="none"/>
              </w:rPr>
            </w:pPr>
          </w:p>
        </w:tc>
      </w:tr>
      <w:tr w14:paraId="424A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ABC5120">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5</w:t>
            </w:r>
          </w:p>
        </w:tc>
        <w:tc>
          <w:tcPr>
            <w:tcW w:w="2754" w:type="dxa"/>
            <w:vAlign w:val="center"/>
          </w:tcPr>
          <w:p w14:paraId="358107D3">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32160345">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11882AD6">
            <w:pPr>
              <w:pStyle w:val="39"/>
              <w:widowControl w:val="0"/>
              <w:adjustRightInd w:val="0"/>
              <w:snapToGrid w:val="0"/>
              <w:jc w:val="both"/>
              <w:rPr>
                <w:rFonts w:hint="default" w:ascii="Times New Roman" w:hAnsi="Times New Roman"/>
                <w:color w:val="auto"/>
                <w:highlight w:val="none"/>
              </w:rPr>
            </w:pPr>
          </w:p>
        </w:tc>
        <w:tc>
          <w:tcPr>
            <w:tcW w:w="1572" w:type="dxa"/>
            <w:vAlign w:val="center"/>
          </w:tcPr>
          <w:p w14:paraId="2FE01322">
            <w:pPr>
              <w:pStyle w:val="39"/>
              <w:widowControl w:val="0"/>
              <w:adjustRightInd w:val="0"/>
              <w:snapToGrid w:val="0"/>
              <w:jc w:val="both"/>
              <w:rPr>
                <w:rFonts w:hint="default" w:ascii="Times New Roman" w:hAnsi="Times New Roman"/>
                <w:color w:val="auto"/>
                <w:highlight w:val="none"/>
              </w:rPr>
            </w:pPr>
          </w:p>
        </w:tc>
      </w:tr>
      <w:tr w14:paraId="1C47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A925475">
            <w:pPr>
              <w:pStyle w:val="39"/>
              <w:widowControl w:val="0"/>
              <w:adjustRightInd w:val="0"/>
              <w:snapToGrid w:val="0"/>
              <w:jc w:val="center"/>
              <w:rPr>
                <w:rFonts w:hint="default" w:ascii="Times New Roman" w:hAnsi="Times New Roman"/>
                <w:color w:val="auto"/>
                <w:highlight w:val="none"/>
              </w:rPr>
            </w:pPr>
          </w:p>
        </w:tc>
        <w:tc>
          <w:tcPr>
            <w:tcW w:w="2754" w:type="dxa"/>
            <w:vAlign w:val="center"/>
          </w:tcPr>
          <w:p w14:paraId="6ABEEFEE">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3A077F16">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4CA351F9">
            <w:pPr>
              <w:pStyle w:val="39"/>
              <w:widowControl w:val="0"/>
              <w:adjustRightInd w:val="0"/>
              <w:snapToGrid w:val="0"/>
              <w:jc w:val="both"/>
              <w:rPr>
                <w:rFonts w:hint="default" w:ascii="Times New Roman" w:hAnsi="Times New Roman"/>
                <w:color w:val="auto"/>
                <w:highlight w:val="none"/>
              </w:rPr>
            </w:pPr>
          </w:p>
        </w:tc>
        <w:tc>
          <w:tcPr>
            <w:tcW w:w="1572" w:type="dxa"/>
            <w:vAlign w:val="center"/>
          </w:tcPr>
          <w:p w14:paraId="308C9546">
            <w:pPr>
              <w:pStyle w:val="39"/>
              <w:widowControl w:val="0"/>
              <w:adjustRightInd w:val="0"/>
              <w:snapToGrid w:val="0"/>
              <w:jc w:val="both"/>
              <w:rPr>
                <w:rFonts w:hint="default" w:ascii="Times New Roman" w:hAnsi="Times New Roman"/>
                <w:color w:val="auto"/>
                <w:highlight w:val="none"/>
              </w:rPr>
            </w:pPr>
          </w:p>
        </w:tc>
      </w:tr>
      <w:tr w14:paraId="22CE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C31487F">
            <w:pPr>
              <w:pStyle w:val="39"/>
              <w:widowControl w:val="0"/>
              <w:adjustRightInd w:val="0"/>
              <w:snapToGrid w:val="0"/>
              <w:jc w:val="center"/>
              <w:rPr>
                <w:rFonts w:hint="default" w:ascii="Times New Roman" w:hAnsi="Times New Roman"/>
                <w:color w:val="auto"/>
                <w:highlight w:val="none"/>
              </w:rPr>
            </w:pPr>
          </w:p>
        </w:tc>
        <w:tc>
          <w:tcPr>
            <w:tcW w:w="2754" w:type="dxa"/>
            <w:vAlign w:val="center"/>
          </w:tcPr>
          <w:p w14:paraId="09B71A9D">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5084B0DB">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0D81A7C4">
            <w:pPr>
              <w:pStyle w:val="39"/>
              <w:widowControl w:val="0"/>
              <w:adjustRightInd w:val="0"/>
              <w:snapToGrid w:val="0"/>
              <w:jc w:val="both"/>
              <w:rPr>
                <w:rFonts w:hint="default" w:ascii="Times New Roman" w:hAnsi="Times New Roman"/>
                <w:color w:val="auto"/>
                <w:highlight w:val="none"/>
              </w:rPr>
            </w:pPr>
          </w:p>
        </w:tc>
        <w:tc>
          <w:tcPr>
            <w:tcW w:w="1572" w:type="dxa"/>
            <w:vAlign w:val="center"/>
          </w:tcPr>
          <w:p w14:paraId="420DB463">
            <w:pPr>
              <w:pStyle w:val="39"/>
              <w:widowControl w:val="0"/>
              <w:adjustRightInd w:val="0"/>
              <w:snapToGrid w:val="0"/>
              <w:jc w:val="both"/>
              <w:rPr>
                <w:rFonts w:hint="default" w:ascii="Times New Roman" w:hAnsi="Times New Roman"/>
                <w:color w:val="auto"/>
                <w:highlight w:val="none"/>
              </w:rPr>
            </w:pPr>
          </w:p>
        </w:tc>
      </w:tr>
      <w:tr w14:paraId="5C01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585EA60C">
            <w:pPr>
              <w:pStyle w:val="39"/>
              <w:widowControl w:val="0"/>
              <w:adjustRightInd w:val="0"/>
              <w:snapToGrid w:val="0"/>
              <w:jc w:val="center"/>
              <w:rPr>
                <w:rFonts w:hint="default" w:ascii="Times New Roman" w:hAnsi="Times New Roman"/>
                <w:color w:val="auto"/>
                <w:highlight w:val="none"/>
              </w:rPr>
            </w:pPr>
          </w:p>
        </w:tc>
        <w:tc>
          <w:tcPr>
            <w:tcW w:w="2754" w:type="dxa"/>
            <w:vAlign w:val="center"/>
          </w:tcPr>
          <w:p w14:paraId="421506DB">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3BB4D9FF">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241BEEB2">
            <w:pPr>
              <w:pStyle w:val="39"/>
              <w:widowControl w:val="0"/>
              <w:adjustRightInd w:val="0"/>
              <w:snapToGrid w:val="0"/>
              <w:jc w:val="both"/>
              <w:rPr>
                <w:rFonts w:hint="default" w:ascii="Times New Roman" w:hAnsi="Times New Roman"/>
                <w:color w:val="auto"/>
                <w:highlight w:val="none"/>
              </w:rPr>
            </w:pPr>
          </w:p>
        </w:tc>
        <w:tc>
          <w:tcPr>
            <w:tcW w:w="1572" w:type="dxa"/>
            <w:vAlign w:val="center"/>
          </w:tcPr>
          <w:p w14:paraId="5EA0DB15">
            <w:pPr>
              <w:pStyle w:val="39"/>
              <w:widowControl w:val="0"/>
              <w:adjustRightInd w:val="0"/>
              <w:snapToGrid w:val="0"/>
              <w:jc w:val="both"/>
              <w:rPr>
                <w:rFonts w:hint="default" w:ascii="Times New Roman" w:hAnsi="Times New Roman"/>
                <w:color w:val="auto"/>
                <w:highlight w:val="none"/>
              </w:rPr>
            </w:pPr>
          </w:p>
        </w:tc>
      </w:tr>
      <w:tr w14:paraId="6F41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47388FEC">
            <w:pPr>
              <w:pStyle w:val="39"/>
              <w:widowControl w:val="0"/>
              <w:adjustRightInd w:val="0"/>
              <w:snapToGrid w:val="0"/>
              <w:jc w:val="center"/>
              <w:rPr>
                <w:rFonts w:hint="default" w:ascii="Times New Roman" w:hAnsi="Times New Roman"/>
                <w:color w:val="auto"/>
                <w:highlight w:val="none"/>
              </w:rPr>
            </w:pPr>
          </w:p>
        </w:tc>
        <w:tc>
          <w:tcPr>
            <w:tcW w:w="2754" w:type="dxa"/>
            <w:vAlign w:val="center"/>
          </w:tcPr>
          <w:p w14:paraId="5FF637AF">
            <w:pPr>
              <w:pStyle w:val="39"/>
              <w:widowControl w:val="0"/>
              <w:adjustRightInd w:val="0"/>
              <w:snapToGrid w:val="0"/>
              <w:jc w:val="both"/>
              <w:rPr>
                <w:rFonts w:hint="default" w:ascii="Times New Roman" w:hAnsi="Times New Roman"/>
                <w:color w:val="auto"/>
                <w:highlight w:val="none"/>
              </w:rPr>
            </w:pPr>
          </w:p>
        </w:tc>
        <w:tc>
          <w:tcPr>
            <w:tcW w:w="2812" w:type="dxa"/>
            <w:vAlign w:val="center"/>
          </w:tcPr>
          <w:p w14:paraId="03C32472">
            <w:pPr>
              <w:pStyle w:val="39"/>
              <w:widowControl w:val="0"/>
              <w:adjustRightInd w:val="0"/>
              <w:snapToGrid w:val="0"/>
              <w:jc w:val="both"/>
              <w:rPr>
                <w:rFonts w:hint="default" w:ascii="Times New Roman" w:hAnsi="Times New Roman"/>
                <w:color w:val="auto"/>
                <w:highlight w:val="none"/>
              </w:rPr>
            </w:pPr>
          </w:p>
        </w:tc>
        <w:tc>
          <w:tcPr>
            <w:tcW w:w="1522" w:type="dxa"/>
            <w:vAlign w:val="center"/>
          </w:tcPr>
          <w:p w14:paraId="7059E428">
            <w:pPr>
              <w:pStyle w:val="39"/>
              <w:widowControl w:val="0"/>
              <w:adjustRightInd w:val="0"/>
              <w:snapToGrid w:val="0"/>
              <w:jc w:val="both"/>
              <w:rPr>
                <w:rFonts w:hint="default" w:ascii="Times New Roman" w:hAnsi="Times New Roman"/>
                <w:color w:val="auto"/>
                <w:highlight w:val="none"/>
              </w:rPr>
            </w:pPr>
          </w:p>
        </w:tc>
        <w:tc>
          <w:tcPr>
            <w:tcW w:w="1572" w:type="dxa"/>
            <w:vAlign w:val="center"/>
          </w:tcPr>
          <w:p w14:paraId="4392BBF5">
            <w:pPr>
              <w:pStyle w:val="39"/>
              <w:widowControl w:val="0"/>
              <w:adjustRightInd w:val="0"/>
              <w:snapToGrid w:val="0"/>
              <w:jc w:val="both"/>
              <w:rPr>
                <w:rFonts w:hint="default" w:ascii="Times New Roman" w:hAnsi="Times New Roman"/>
                <w:color w:val="auto"/>
                <w:highlight w:val="none"/>
              </w:rPr>
            </w:pPr>
          </w:p>
        </w:tc>
      </w:tr>
      <w:bookmarkEnd w:id="73"/>
    </w:tbl>
    <w:p w14:paraId="3C59EF98">
      <w:pPr>
        <w:widowControl w:val="0"/>
        <w:tabs>
          <w:tab w:val="left" w:pos="3435"/>
        </w:tabs>
        <w:adjustRightInd w:val="0"/>
        <w:snapToGrid w:val="0"/>
        <w:rPr>
          <w:rFonts w:hint="eastAsia" w:ascii="宋体" w:hAnsi="宋体"/>
          <w:b/>
          <w:color w:val="auto"/>
          <w:sz w:val="21"/>
          <w:szCs w:val="21"/>
          <w:highlight w:val="none"/>
        </w:rPr>
      </w:pPr>
    </w:p>
    <w:p w14:paraId="614965AB">
      <w:pPr>
        <w:widowControl w:val="0"/>
        <w:tabs>
          <w:tab w:val="left" w:pos="3435"/>
        </w:tabs>
        <w:adjustRightInd w:val="0"/>
        <w:snapToGrid w:val="0"/>
        <w:rPr>
          <w:rFonts w:hint="eastAsia" w:ascii="宋体" w:hAnsi="宋体"/>
          <w:b/>
          <w:color w:val="auto"/>
          <w:sz w:val="21"/>
          <w:szCs w:val="21"/>
          <w:highlight w:val="none"/>
        </w:rPr>
      </w:pPr>
      <w:r>
        <w:rPr>
          <w:rFonts w:ascii="宋体" w:hAnsi="宋体"/>
          <w:b/>
          <w:color w:val="auto"/>
          <w:sz w:val="21"/>
          <w:szCs w:val="21"/>
          <w:highlight w:val="none"/>
        </w:rPr>
        <w:t>说明：1.投标人拟投的货物与招标文件中设置的技术参数不一致时，则必须在</w:t>
      </w:r>
      <w:r>
        <w:rPr>
          <w:rFonts w:hint="eastAsia" w:ascii="宋体" w:hAnsi="宋体"/>
          <w:b/>
          <w:color w:val="auto"/>
          <w:sz w:val="21"/>
          <w:szCs w:val="21"/>
          <w:highlight w:val="none"/>
        </w:rPr>
        <w:t>此表</w:t>
      </w:r>
      <w:r>
        <w:rPr>
          <w:rFonts w:ascii="宋体" w:hAnsi="宋体"/>
          <w:b/>
          <w:color w:val="auto"/>
          <w:sz w:val="21"/>
          <w:szCs w:val="21"/>
          <w:highlight w:val="none"/>
        </w:rPr>
        <w:t>中予以明确。否则将视为投标人完全响应招标文件的要求，并以招标文件作为验收条件。</w:t>
      </w:r>
    </w:p>
    <w:p w14:paraId="57CE4DF3">
      <w:pPr>
        <w:widowControl w:val="0"/>
        <w:tabs>
          <w:tab w:val="left" w:pos="3435"/>
        </w:tabs>
        <w:adjustRightInd w:val="0"/>
        <w:snapToGrid w:val="0"/>
        <w:ind w:firstLine="620" w:firstLineChars="294"/>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偏离</w:t>
      </w:r>
      <w:r>
        <w:rPr>
          <w:rFonts w:ascii="宋体" w:hAnsi="宋体"/>
          <w:b/>
          <w:color w:val="auto"/>
          <w:sz w:val="21"/>
          <w:szCs w:val="21"/>
          <w:highlight w:val="none"/>
        </w:rPr>
        <w:t>情况分别为：正偏离、</w:t>
      </w:r>
      <w:r>
        <w:rPr>
          <w:rFonts w:hint="eastAsia" w:ascii="宋体" w:hAnsi="宋体"/>
          <w:b/>
          <w:color w:val="auto"/>
          <w:sz w:val="21"/>
          <w:szCs w:val="21"/>
          <w:highlight w:val="none"/>
        </w:rPr>
        <w:t>无偏离</w:t>
      </w:r>
      <w:r>
        <w:rPr>
          <w:rFonts w:ascii="宋体" w:hAnsi="宋体"/>
          <w:b/>
          <w:color w:val="auto"/>
          <w:sz w:val="21"/>
          <w:szCs w:val="21"/>
          <w:highlight w:val="none"/>
        </w:rPr>
        <w:t>或负偏离。投标人可在备注栏内就偏离原因进行简要说明。</w:t>
      </w:r>
    </w:p>
    <w:p w14:paraId="209154A5">
      <w:pPr>
        <w:pStyle w:val="24"/>
        <w:widowControl w:val="0"/>
        <w:adjustRightInd w:val="0"/>
        <w:snapToGrid w:val="0"/>
        <w:spacing w:before="0" w:beforeAutospacing="0" w:after="0" w:afterAutospacing="0" w:line="360" w:lineRule="auto"/>
        <w:ind w:firstLine="720" w:firstLineChars="300"/>
        <w:rPr>
          <w:rFonts w:hint="eastAsia"/>
          <w:color w:val="auto"/>
          <w:highlight w:val="none"/>
        </w:rPr>
      </w:pPr>
    </w:p>
    <w:p w14:paraId="026910F7">
      <w:pPr>
        <w:pStyle w:val="24"/>
        <w:widowControl w:val="0"/>
        <w:adjustRightInd w:val="0"/>
        <w:snapToGrid w:val="0"/>
        <w:spacing w:before="0" w:beforeAutospacing="0" w:after="0" w:afterAutospacing="0" w:line="360" w:lineRule="auto"/>
        <w:ind w:firstLine="720" w:firstLineChars="300"/>
        <w:rPr>
          <w:rFonts w:hint="eastAsia"/>
          <w:color w:val="auto"/>
          <w:highlight w:val="none"/>
        </w:rPr>
      </w:pPr>
    </w:p>
    <w:p w14:paraId="13BC911A">
      <w:pPr>
        <w:pStyle w:val="24"/>
        <w:widowControl w:val="0"/>
        <w:adjustRightInd w:val="0"/>
        <w:snapToGrid w:val="0"/>
        <w:spacing w:before="0" w:beforeAutospacing="0" w:after="0" w:afterAutospacing="0" w:line="360" w:lineRule="auto"/>
        <w:ind w:firstLine="720" w:firstLineChars="300"/>
        <w:rPr>
          <w:rFonts w:hint="eastAsia"/>
          <w:color w:val="auto"/>
          <w:highlight w:val="none"/>
        </w:rPr>
      </w:pPr>
      <w:r>
        <w:rPr>
          <w:color w:val="auto"/>
          <w:highlight w:val="none"/>
        </w:rPr>
        <w:t xml:space="preserve">投标人（电子签章）：__________________________ </w:t>
      </w:r>
    </w:p>
    <w:p w14:paraId="44173CDB">
      <w:pPr>
        <w:spacing w:line="360" w:lineRule="auto"/>
        <w:jc w:val="center"/>
        <w:rPr>
          <w:color w:val="auto"/>
          <w:highlight w:val="none"/>
        </w:rPr>
        <w:sectPr>
          <w:pgSz w:w="11906" w:h="16838"/>
          <w:pgMar w:top="1259" w:right="1287" w:bottom="1361" w:left="1622" w:header="709" w:footer="975" w:gutter="0"/>
          <w:cols w:space="720" w:num="1"/>
          <w:docGrid w:linePitch="360" w:charSpace="0"/>
        </w:sectPr>
      </w:pPr>
      <w:r>
        <w:rPr>
          <w:color w:val="auto"/>
          <w:highlight w:val="none"/>
        </w:rPr>
        <w:t>日期：_</w:t>
      </w:r>
      <w:r>
        <w:rPr>
          <w:color w:val="auto"/>
          <w:highlight w:val="none"/>
          <w:u w:val="single"/>
        </w:rPr>
        <w:t xml:space="preserve">      </w:t>
      </w:r>
      <w:r>
        <w:rPr>
          <w:color w:val="auto"/>
          <w:highlight w:val="none"/>
        </w:rPr>
        <w:t>年____月____日</w:t>
      </w:r>
    </w:p>
    <w:p w14:paraId="4A86870F">
      <w:pPr>
        <w:pStyle w:val="39"/>
        <w:widowControl w:val="0"/>
        <w:adjustRightInd w:val="0"/>
        <w:snapToGrid w:val="0"/>
        <w:spacing w:line="390" w:lineRule="atLeast"/>
        <w:jc w:val="center"/>
        <w:rPr>
          <w:b/>
          <w:color w:val="auto"/>
          <w:sz w:val="32"/>
          <w:szCs w:val="32"/>
          <w:highlight w:val="none"/>
        </w:rPr>
      </w:pPr>
      <w:r>
        <w:rPr>
          <w:b/>
          <w:color w:val="auto"/>
          <w:sz w:val="32"/>
          <w:szCs w:val="32"/>
          <w:highlight w:val="none"/>
        </w:rPr>
        <w:t>五</w:t>
      </w:r>
      <w:r>
        <w:rPr>
          <w:rFonts w:hint="default"/>
          <w:b/>
          <w:color w:val="auto"/>
          <w:sz w:val="32"/>
          <w:szCs w:val="32"/>
          <w:highlight w:val="none"/>
        </w:rPr>
        <w:t>、服务条款</w:t>
      </w:r>
      <w:r>
        <w:rPr>
          <w:b/>
          <w:color w:val="auto"/>
          <w:sz w:val="32"/>
          <w:szCs w:val="32"/>
          <w:highlight w:val="none"/>
        </w:rPr>
        <w:t>偏离</w:t>
      </w:r>
      <w:r>
        <w:rPr>
          <w:rFonts w:hint="default"/>
          <w:b/>
          <w:color w:val="auto"/>
          <w:sz w:val="32"/>
          <w:szCs w:val="32"/>
          <w:highlight w:val="none"/>
        </w:rPr>
        <w:t>表</w:t>
      </w:r>
      <w:r>
        <w:rPr>
          <w:b/>
          <w:color w:val="auto"/>
          <w:sz w:val="32"/>
          <w:szCs w:val="32"/>
          <w:highlight w:val="none"/>
        </w:rPr>
        <w:t>/响应表</w:t>
      </w:r>
    </w:p>
    <w:p w14:paraId="25F81AB3">
      <w:pPr>
        <w:pStyle w:val="39"/>
        <w:widowControl w:val="0"/>
        <w:adjustRightInd w:val="0"/>
        <w:snapToGrid w:val="0"/>
        <w:rPr>
          <w:color w:val="auto"/>
          <w:highlight w:val="none"/>
        </w:rPr>
      </w:pPr>
      <w:r>
        <w:rPr>
          <w:rFonts w:hint="default"/>
          <w:color w:val="auto"/>
          <w:highlight w:val="none"/>
        </w:rPr>
        <w:t xml:space="preserve"> </w:t>
      </w:r>
    </w:p>
    <w:tbl>
      <w:tblPr>
        <w:tblStyle w:val="4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0"/>
        <w:gridCol w:w="2773"/>
        <w:gridCol w:w="1452"/>
        <w:gridCol w:w="1134"/>
      </w:tblGrid>
      <w:tr w14:paraId="469C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3A250D1C">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序号</w:t>
            </w:r>
          </w:p>
        </w:tc>
        <w:tc>
          <w:tcPr>
            <w:tcW w:w="3180" w:type="dxa"/>
            <w:vAlign w:val="center"/>
          </w:tcPr>
          <w:p w14:paraId="3A74BAF9">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u w:val="thick" w:color="FFFFFF"/>
              </w:rPr>
              <w:t>招标文件</w:t>
            </w:r>
            <w:r>
              <w:rPr>
                <w:rFonts w:hint="default" w:ascii="Times New Roman" w:hAnsi="Times New Roman"/>
                <w:color w:val="auto"/>
                <w:highlight w:val="none"/>
              </w:rPr>
              <w:t>要求</w:t>
            </w:r>
          </w:p>
        </w:tc>
        <w:tc>
          <w:tcPr>
            <w:tcW w:w="2773" w:type="dxa"/>
            <w:vAlign w:val="center"/>
          </w:tcPr>
          <w:p w14:paraId="2B35A718">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投标响应内容</w:t>
            </w:r>
          </w:p>
        </w:tc>
        <w:tc>
          <w:tcPr>
            <w:tcW w:w="1452" w:type="dxa"/>
            <w:vAlign w:val="center"/>
          </w:tcPr>
          <w:p w14:paraId="445805E1">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偏离情况</w:t>
            </w:r>
          </w:p>
        </w:tc>
        <w:tc>
          <w:tcPr>
            <w:tcW w:w="1134" w:type="dxa"/>
            <w:vAlign w:val="center"/>
          </w:tcPr>
          <w:p w14:paraId="7FE6717C">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备注</w:t>
            </w:r>
          </w:p>
        </w:tc>
      </w:tr>
      <w:tr w14:paraId="2F0E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01A78766">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1</w:t>
            </w:r>
          </w:p>
        </w:tc>
        <w:tc>
          <w:tcPr>
            <w:tcW w:w="3180" w:type="dxa"/>
            <w:vAlign w:val="center"/>
          </w:tcPr>
          <w:p w14:paraId="130200B7">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（工期/交货时间）</w:t>
            </w:r>
          </w:p>
        </w:tc>
        <w:tc>
          <w:tcPr>
            <w:tcW w:w="2773" w:type="dxa"/>
            <w:vAlign w:val="center"/>
          </w:tcPr>
          <w:p w14:paraId="4EE229D9">
            <w:pPr>
              <w:pStyle w:val="39"/>
              <w:widowControl w:val="0"/>
              <w:adjustRightInd w:val="0"/>
              <w:snapToGrid w:val="0"/>
              <w:jc w:val="both"/>
              <w:rPr>
                <w:rFonts w:hint="default" w:ascii="Times New Roman" w:hAnsi="Times New Roman"/>
                <w:color w:val="auto"/>
                <w:highlight w:val="none"/>
              </w:rPr>
            </w:pPr>
          </w:p>
        </w:tc>
        <w:tc>
          <w:tcPr>
            <w:tcW w:w="1452" w:type="dxa"/>
            <w:vAlign w:val="center"/>
          </w:tcPr>
          <w:p w14:paraId="556C461B">
            <w:pPr>
              <w:pStyle w:val="39"/>
              <w:widowControl w:val="0"/>
              <w:adjustRightInd w:val="0"/>
              <w:snapToGrid w:val="0"/>
              <w:jc w:val="center"/>
              <w:rPr>
                <w:rFonts w:hint="default" w:ascii="Times New Roman" w:hAnsi="Times New Roman"/>
                <w:color w:val="auto"/>
                <w:highlight w:val="none"/>
              </w:rPr>
            </w:pPr>
          </w:p>
        </w:tc>
        <w:tc>
          <w:tcPr>
            <w:tcW w:w="1134" w:type="dxa"/>
            <w:vAlign w:val="center"/>
          </w:tcPr>
          <w:p w14:paraId="35CA5AEB">
            <w:pPr>
              <w:pStyle w:val="39"/>
              <w:widowControl w:val="0"/>
              <w:adjustRightInd w:val="0"/>
              <w:snapToGrid w:val="0"/>
              <w:jc w:val="both"/>
              <w:rPr>
                <w:rFonts w:hint="default" w:ascii="Times New Roman" w:hAnsi="Times New Roman"/>
                <w:color w:val="auto"/>
                <w:highlight w:val="none"/>
              </w:rPr>
            </w:pPr>
          </w:p>
        </w:tc>
      </w:tr>
      <w:tr w14:paraId="0D49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60F9E79A">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2</w:t>
            </w:r>
          </w:p>
        </w:tc>
        <w:tc>
          <w:tcPr>
            <w:tcW w:w="3180" w:type="dxa"/>
            <w:vAlign w:val="center"/>
          </w:tcPr>
          <w:p w14:paraId="6E36F182">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（质保期）</w:t>
            </w:r>
          </w:p>
        </w:tc>
        <w:tc>
          <w:tcPr>
            <w:tcW w:w="2773" w:type="dxa"/>
            <w:vAlign w:val="center"/>
          </w:tcPr>
          <w:p w14:paraId="4CDBFE03">
            <w:pPr>
              <w:pStyle w:val="39"/>
              <w:widowControl w:val="0"/>
              <w:adjustRightInd w:val="0"/>
              <w:snapToGrid w:val="0"/>
              <w:jc w:val="both"/>
              <w:rPr>
                <w:rFonts w:hint="default" w:ascii="Times New Roman" w:hAnsi="Times New Roman"/>
                <w:color w:val="auto"/>
                <w:highlight w:val="none"/>
              </w:rPr>
            </w:pPr>
          </w:p>
        </w:tc>
        <w:tc>
          <w:tcPr>
            <w:tcW w:w="1452" w:type="dxa"/>
            <w:vAlign w:val="center"/>
          </w:tcPr>
          <w:p w14:paraId="2EACA79C">
            <w:pPr>
              <w:pStyle w:val="39"/>
              <w:widowControl w:val="0"/>
              <w:adjustRightInd w:val="0"/>
              <w:snapToGrid w:val="0"/>
              <w:jc w:val="center"/>
              <w:rPr>
                <w:rFonts w:hint="default" w:ascii="Times New Roman" w:hAnsi="Times New Roman"/>
                <w:color w:val="auto"/>
                <w:highlight w:val="none"/>
              </w:rPr>
            </w:pPr>
          </w:p>
        </w:tc>
        <w:tc>
          <w:tcPr>
            <w:tcW w:w="1134" w:type="dxa"/>
            <w:vAlign w:val="center"/>
          </w:tcPr>
          <w:p w14:paraId="30A6E271">
            <w:pPr>
              <w:pStyle w:val="39"/>
              <w:widowControl w:val="0"/>
              <w:adjustRightInd w:val="0"/>
              <w:snapToGrid w:val="0"/>
              <w:jc w:val="both"/>
              <w:rPr>
                <w:rFonts w:hint="default" w:ascii="Times New Roman" w:hAnsi="Times New Roman"/>
                <w:color w:val="auto"/>
                <w:highlight w:val="none"/>
              </w:rPr>
            </w:pPr>
          </w:p>
        </w:tc>
      </w:tr>
      <w:tr w14:paraId="6BFE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62C68236">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3</w:t>
            </w:r>
          </w:p>
        </w:tc>
        <w:tc>
          <w:tcPr>
            <w:tcW w:w="3180" w:type="dxa"/>
            <w:vAlign w:val="center"/>
          </w:tcPr>
          <w:p w14:paraId="747E36D8">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（售后要求）</w:t>
            </w:r>
          </w:p>
        </w:tc>
        <w:tc>
          <w:tcPr>
            <w:tcW w:w="2773" w:type="dxa"/>
            <w:vAlign w:val="center"/>
          </w:tcPr>
          <w:p w14:paraId="290AE585">
            <w:pPr>
              <w:pStyle w:val="39"/>
              <w:widowControl w:val="0"/>
              <w:adjustRightInd w:val="0"/>
              <w:snapToGrid w:val="0"/>
              <w:jc w:val="both"/>
              <w:rPr>
                <w:rFonts w:hint="default" w:ascii="Times New Roman" w:hAnsi="Times New Roman"/>
                <w:color w:val="auto"/>
                <w:highlight w:val="none"/>
              </w:rPr>
            </w:pPr>
          </w:p>
        </w:tc>
        <w:tc>
          <w:tcPr>
            <w:tcW w:w="1452" w:type="dxa"/>
            <w:vAlign w:val="center"/>
          </w:tcPr>
          <w:p w14:paraId="2213EC45">
            <w:pPr>
              <w:pStyle w:val="39"/>
              <w:widowControl w:val="0"/>
              <w:adjustRightInd w:val="0"/>
              <w:snapToGrid w:val="0"/>
              <w:jc w:val="both"/>
              <w:rPr>
                <w:rFonts w:hint="default" w:ascii="Times New Roman" w:hAnsi="Times New Roman"/>
                <w:color w:val="auto"/>
                <w:highlight w:val="none"/>
              </w:rPr>
            </w:pPr>
          </w:p>
        </w:tc>
        <w:tc>
          <w:tcPr>
            <w:tcW w:w="1134" w:type="dxa"/>
            <w:vAlign w:val="center"/>
          </w:tcPr>
          <w:p w14:paraId="715BDB72">
            <w:pPr>
              <w:pStyle w:val="39"/>
              <w:widowControl w:val="0"/>
              <w:adjustRightInd w:val="0"/>
              <w:snapToGrid w:val="0"/>
              <w:jc w:val="both"/>
              <w:rPr>
                <w:rFonts w:hint="default" w:ascii="Times New Roman" w:hAnsi="Times New Roman"/>
                <w:color w:val="auto"/>
                <w:highlight w:val="none"/>
              </w:rPr>
            </w:pPr>
          </w:p>
        </w:tc>
      </w:tr>
      <w:tr w14:paraId="2010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1FEA7695">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4</w:t>
            </w:r>
          </w:p>
        </w:tc>
        <w:tc>
          <w:tcPr>
            <w:tcW w:w="3180" w:type="dxa"/>
            <w:vAlign w:val="center"/>
          </w:tcPr>
          <w:p w14:paraId="00D3FCD6">
            <w:pPr>
              <w:pStyle w:val="39"/>
              <w:widowControl w:val="0"/>
              <w:adjustRightInd w:val="0"/>
              <w:snapToGrid w:val="0"/>
              <w:jc w:val="center"/>
              <w:rPr>
                <w:rFonts w:hint="default" w:ascii="Times New Roman" w:hAnsi="Times New Roman"/>
                <w:color w:val="auto"/>
                <w:highlight w:val="none"/>
              </w:rPr>
            </w:pPr>
            <w:r>
              <w:rPr>
                <w:rFonts w:hint="default" w:ascii="Times New Roman" w:hAnsi="Times New Roman"/>
                <w:color w:val="auto"/>
                <w:highlight w:val="none"/>
              </w:rPr>
              <w:t>（付款方式）</w:t>
            </w:r>
          </w:p>
        </w:tc>
        <w:tc>
          <w:tcPr>
            <w:tcW w:w="2773" w:type="dxa"/>
            <w:vAlign w:val="center"/>
          </w:tcPr>
          <w:p w14:paraId="5F9754E3">
            <w:pPr>
              <w:pStyle w:val="39"/>
              <w:widowControl w:val="0"/>
              <w:adjustRightInd w:val="0"/>
              <w:snapToGrid w:val="0"/>
              <w:jc w:val="both"/>
              <w:rPr>
                <w:rFonts w:hint="default" w:ascii="Times New Roman" w:hAnsi="Times New Roman"/>
                <w:color w:val="auto"/>
                <w:highlight w:val="none"/>
              </w:rPr>
            </w:pPr>
          </w:p>
        </w:tc>
        <w:tc>
          <w:tcPr>
            <w:tcW w:w="1452" w:type="dxa"/>
            <w:vAlign w:val="center"/>
          </w:tcPr>
          <w:p w14:paraId="4BA07CAE">
            <w:pPr>
              <w:pStyle w:val="39"/>
              <w:widowControl w:val="0"/>
              <w:adjustRightInd w:val="0"/>
              <w:snapToGrid w:val="0"/>
              <w:jc w:val="both"/>
              <w:rPr>
                <w:rFonts w:hint="default" w:ascii="Times New Roman" w:hAnsi="Times New Roman"/>
                <w:color w:val="auto"/>
                <w:highlight w:val="none"/>
              </w:rPr>
            </w:pPr>
          </w:p>
        </w:tc>
        <w:tc>
          <w:tcPr>
            <w:tcW w:w="1134" w:type="dxa"/>
            <w:vAlign w:val="center"/>
          </w:tcPr>
          <w:p w14:paraId="66DBF9F2">
            <w:pPr>
              <w:pStyle w:val="39"/>
              <w:widowControl w:val="0"/>
              <w:adjustRightInd w:val="0"/>
              <w:snapToGrid w:val="0"/>
              <w:jc w:val="both"/>
              <w:rPr>
                <w:rFonts w:hint="default" w:ascii="Times New Roman" w:hAnsi="Times New Roman"/>
                <w:color w:val="auto"/>
                <w:highlight w:val="none"/>
              </w:rPr>
            </w:pPr>
          </w:p>
        </w:tc>
      </w:tr>
      <w:tr w14:paraId="4C12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14:paraId="3C69A7C5">
            <w:pPr>
              <w:pStyle w:val="39"/>
              <w:widowControl w:val="0"/>
              <w:adjustRightInd w:val="0"/>
              <w:snapToGrid w:val="0"/>
              <w:jc w:val="center"/>
              <w:rPr>
                <w:rFonts w:hint="default" w:ascii="Times New Roman" w:hAnsi="Times New Roman"/>
                <w:color w:val="auto"/>
                <w:highlight w:val="none"/>
              </w:rPr>
            </w:pPr>
          </w:p>
        </w:tc>
        <w:tc>
          <w:tcPr>
            <w:tcW w:w="3180" w:type="dxa"/>
            <w:vAlign w:val="center"/>
          </w:tcPr>
          <w:p w14:paraId="3C56034A">
            <w:pPr>
              <w:pStyle w:val="39"/>
              <w:widowControl w:val="0"/>
              <w:adjustRightInd w:val="0"/>
              <w:snapToGrid w:val="0"/>
              <w:jc w:val="both"/>
              <w:rPr>
                <w:rFonts w:hint="default" w:ascii="Times New Roman" w:hAnsi="Times New Roman"/>
                <w:color w:val="auto"/>
                <w:highlight w:val="none"/>
              </w:rPr>
            </w:pPr>
            <w:r>
              <w:rPr>
                <w:rFonts w:hint="default" w:ascii="Times New Roman" w:hAnsi="Times New Roman"/>
                <w:color w:val="auto"/>
                <w:highlight w:val="none"/>
              </w:rPr>
              <w:t>……</w:t>
            </w:r>
          </w:p>
        </w:tc>
        <w:tc>
          <w:tcPr>
            <w:tcW w:w="2773" w:type="dxa"/>
            <w:vAlign w:val="center"/>
          </w:tcPr>
          <w:p w14:paraId="4AC8F5BD">
            <w:pPr>
              <w:pStyle w:val="39"/>
              <w:widowControl w:val="0"/>
              <w:adjustRightInd w:val="0"/>
              <w:snapToGrid w:val="0"/>
              <w:jc w:val="both"/>
              <w:rPr>
                <w:rFonts w:hint="default" w:ascii="Times New Roman" w:hAnsi="Times New Roman"/>
                <w:color w:val="auto"/>
                <w:highlight w:val="none"/>
              </w:rPr>
            </w:pPr>
          </w:p>
        </w:tc>
        <w:tc>
          <w:tcPr>
            <w:tcW w:w="1452" w:type="dxa"/>
            <w:vAlign w:val="center"/>
          </w:tcPr>
          <w:p w14:paraId="1A8834EB">
            <w:pPr>
              <w:pStyle w:val="39"/>
              <w:widowControl w:val="0"/>
              <w:adjustRightInd w:val="0"/>
              <w:snapToGrid w:val="0"/>
              <w:jc w:val="both"/>
              <w:rPr>
                <w:rFonts w:hint="default" w:ascii="Times New Roman" w:hAnsi="Times New Roman"/>
                <w:color w:val="auto"/>
                <w:highlight w:val="none"/>
              </w:rPr>
            </w:pPr>
          </w:p>
        </w:tc>
        <w:tc>
          <w:tcPr>
            <w:tcW w:w="1134" w:type="dxa"/>
            <w:vAlign w:val="center"/>
          </w:tcPr>
          <w:p w14:paraId="7662EC5E">
            <w:pPr>
              <w:pStyle w:val="39"/>
              <w:widowControl w:val="0"/>
              <w:adjustRightInd w:val="0"/>
              <w:snapToGrid w:val="0"/>
              <w:jc w:val="both"/>
              <w:rPr>
                <w:rFonts w:hint="default" w:ascii="Times New Roman" w:hAnsi="Times New Roman"/>
                <w:color w:val="auto"/>
                <w:highlight w:val="none"/>
              </w:rPr>
            </w:pPr>
          </w:p>
        </w:tc>
      </w:tr>
    </w:tbl>
    <w:p w14:paraId="0565232E">
      <w:pPr>
        <w:pStyle w:val="24"/>
        <w:widowControl w:val="0"/>
        <w:adjustRightInd w:val="0"/>
        <w:snapToGrid w:val="0"/>
        <w:spacing w:before="0" w:beforeAutospacing="0" w:after="0" w:afterAutospacing="0" w:line="360" w:lineRule="auto"/>
        <w:rPr>
          <w:rFonts w:hint="eastAsia"/>
          <w:color w:val="auto"/>
          <w:highlight w:val="none"/>
        </w:rPr>
      </w:pPr>
    </w:p>
    <w:p w14:paraId="14033DBB">
      <w:pPr>
        <w:pStyle w:val="24"/>
        <w:widowControl w:val="0"/>
        <w:adjustRightInd w:val="0"/>
        <w:snapToGrid w:val="0"/>
        <w:spacing w:before="0" w:beforeAutospacing="0" w:after="0" w:afterAutospacing="0"/>
        <w:rPr>
          <w:rFonts w:hint="eastAsia"/>
          <w:b/>
          <w:color w:val="auto"/>
          <w:sz w:val="21"/>
          <w:szCs w:val="21"/>
          <w:highlight w:val="none"/>
        </w:rPr>
      </w:pPr>
      <w:r>
        <w:rPr>
          <w:b/>
          <w:color w:val="auto"/>
          <w:sz w:val="21"/>
          <w:szCs w:val="21"/>
          <w:highlight w:val="none"/>
        </w:rPr>
        <w:t>说明：1.投标人拟提供的服务承诺与招标文件中的要求不一致时，则必须在</w:t>
      </w:r>
      <w:r>
        <w:rPr>
          <w:rFonts w:hint="eastAsia"/>
          <w:b/>
          <w:color w:val="auto"/>
          <w:sz w:val="21"/>
          <w:szCs w:val="21"/>
          <w:highlight w:val="none"/>
        </w:rPr>
        <w:t>此表</w:t>
      </w:r>
      <w:r>
        <w:rPr>
          <w:b/>
          <w:color w:val="auto"/>
          <w:sz w:val="21"/>
          <w:szCs w:val="21"/>
          <w:highlight w:val="none"/>
        </w:rPr>
        <w:t>中予以明确。否则将视为投标人完全响应招标文件的要求，并以招标文件作为合同条件。</w:t>
      </w:r>
      <w:r>
        <w:rPr>
          <w:b/>
          <w:color w:val="auto"/>
          <w:sz w:val="21"/>
          <w:szCs w:val="21"/>
          <w:highlight w:val="none"/>
        </w:rPr>
        <w:br w:type="textWrapping"/>
      </w:r>
      <w:r>
        <w:rPr>
          <w:b/>
          <w:color w:val="auto"/>
          <w:sz w:val="21"/>
          <w:szCs w:val="21"/>
          <w:highlight w:val="none"/>
        </w:rPr>
        <w:t>    2.</w:t>
      </w:r>
      <w:r>
        <w:rPr>
          <w:rFonts w:hint="eastAsia"/>
          <w:b/>
          <w:color w:val="auto"/>
          <w:sz w:val="21"/>
          <w:szCs w:val="21"/>
          <w:highlight w:val="none"/>
        </w:rPr>
        <w:t>偏离</w:t>
      </w:r>
      <w:r>
        <w:rPr>
          <w:b/>
          <w:color w:val="auto"/>
          <w:sz w:val="21"/>
          <w:szCs w:val="21"/>
          <w:highlight w:val="none"/>
        </w:rPr>
        <w:t>情况分别为：正偏离、</w:t>
      </w:r>
      <w:r>
        <w:rPr>
          <w:rFonts w:hint="eastAsia"/>
          <w:b/>
          <w:color w:val="auto"/>
          <w:sz w:val="21"/>
          <w:szCs w:val="21"/>
          <w:highlight w:val="none"/>
        </w:rPr>
        <w:t>无偏离</w:t>
      </w:r>
      <w:r>
        <w:rPr>
          <w:b/>
          <w:color w:val="auto"/>
          <w:sz w:val="21"/>
          <w:szCs w:val="21"/>
          <w:highlight w:val="none"/>
        </w:rPr>
        <w:t>或负偏离。投标人可在备注栏内就偏离原因进行简要说明。</w:t>
      </w:r>
    </w:p>
    <w:p w14:paraId="5B63F43E">
      <w:pPr>
        <w:pStyle w:val="24"/>
        <w:widowControl w:val="0"/>
        <w:adjustRightInd w:val="0"/>
        <w:snapToGrid w:val="0"/>
        <w:spacing w:before="0" w:beforeAutospacing="0" w:after="0" w:afterAutospacing="0"/>
        <w:rPr>
          <w:rFonts w:hint="eastAsia"/>
          <w:color w:val="auto"/>
          <w:highlight w:val="none"/>
        </w:rPr>
      </w:pPr>
    </w:p>
    <w:p w14:paraId="249DC90A">
      <w:pPr>
        <w:pStyle w:val="24"/>
        <w:widowControl w:val="0"/>
        <w:adjustRightInd w:val="0"/>
        <w:snapToGrid w:val="0"/>
        <w:spacing w:before="0" w:beforeAutospacing="0" w:after="0" w:afterAutospacing="0"/>
        <w:rPr>
          <w:rFonts w:hint="eastAsia"/>
          <w:color w:val="auto"/>
          <w:highlight w:val="none"/>
        </w:rPr>
      </w:pPr>
    </w:p>
    <w:p w14:paraId="5436484B">
      <w:pPr>
        <w:pStyle w:val="24"/>
        <w:widowControl w:val="0"/>
        <w:adjustRightInd w:val="0"/>
        <w:snapToGrid w:val="0"/>
        <w:spacing w:before="0" w:beforeAutospacing="0" w:after="0" w:afterAutospacing="0"/>
        <w:rPr>
          <w:rFonts w:hint="eastAsia"/>
          <w:color w:val="auto"/>
          <w:highlight w:val="none"/>
        </w:rPr>
      </w:pPr>
    </w:p>
    <w:p w14:paraId="41803FE9">
      <w:pPr>
        <w:pStyle w:val="24"/>
        <w:widowControl w:val="0"/>
        <w:adjustRightInd w:val="0"/>
        <w:snapToGrid w:val="0"/>
        <w:spacing w:before="0" w:beforeAutospacing="0" w:after="0" w:afterAutospacing="0" w:line="360" w:lineRule="auto"/>
        <w:ind w:firstLine="720" w:firstLineChars="300"/>
        <w:rPr>
          <w:rFonts w:hint="eastAsia"/>
          <w:color w:val="auto"/>
          <w:highlight w:val="none"/>
        </w:rPr>
      </w:pPr>
      <w:r>
        <w:rPr>
          <w:color w:val="auto"/>
          <w:highlight w:val="none"/>
        </w:rPr>
        <w:t>投标人（电子签章）：__________________________</w:t>
      </w:r>
    </w:p>
    <w:p w14:paraId="70209F3D">
      <w:pPr>
        <w:pStyle w:val="24"/>
        <w:widowControl w:val="0"/>
        <w:adjustRightInd w:val="0"/>
        <w:snapToGrid w:val="0"/>
        <w:spacing w:before="0" w:beforeAutospacing="0" w:after="0" w:afterAutospacing="0"/>
        <w:ind w:firstLine="720" w:firstLineChars="300"/>
        <w:rPr>
          <w:rFonts w:hint="eastAsia"/>
          <w:color w:val="auto"/>
          <w:highlight w:val="none"/>
          <w:u w:val="single"/>
        </w:rPr>
      </w:pPr>
      <w:r>
        <w:rPr>
          <w:color w:val="auto"/>
          <w:highlight w:val="none"/>
        </w:rPr>
        <w:t>日期：____年____月____日</w:t>
      </w:r>
    </w:p>
    <w:p w14:paraId="2E89DFF2">
      <w:pPr>
        <w:spacing w:line="360" w:lineRule="auto"/>
        <w:jc w:val="center"/>
        <w:rPr>
          <w:color w:val="auto"/>
          <w:highlight w:val="none"/>
          <w:lang w:val="zh-CN"/>
        </w:rPr>
        <w:sectPr>
          <w:pgSz w:w="11906" w:h="16838"/>
          <w:pgMar w:top="1259" w:right="1287" w:bottom="1361" w:left="1622" w:header="709" w:footer="975" w:gutter="0"/>
          <w:cols w:space="720" w:num="1"/>
          <w:docGrid w:linePitch="360" w:charSpace="0"/>
        </w:sectPr>
      </w:pPr>
    </w:p>
    <w:p w14:paraId="7A611942">
      <w:pPr>
        <w:pStyle w:val="24"/>
        <w:widowControl w:val="0"/>
        <w:adjustRightInd w:val="0"/>
        <w:snapToGrid w:val="0"/>
        <w:jc w:val="center"/>
        <w:rPr>
          <w:rFonts w:hint="eastAsia"/>
          <w:color w:val="auto"/>
          <w:spacing w:val="60"/>
          <w:sz w:val="32"/>
          <w:szCs w:val="32"/>
          <w:highlight w:val="none"/>
        </w:rPr>
      </w:pPr>
      <w:r>
        <w:rPr>
          <w:rFonts w:hint="eastAsia"/>
          <w:b/>
          <w:color w:val="auto"/>
          <w:sz w:val="32"/>
          <w:szCs w:val="32"/>
          <w:highlight w:val="none"/>
        </w:rPr>
        <w:t>六</w:t>
      </w:r>
      <w:r>
        <w:rPr>
          <w:b/>
          <w:color w:val="auto"/>
          <w:sz w:val="32"/>
          <w:szCs w:val="32"/>
          <w:highlight w:val="none"/>
        </w:rPr>
        <w:t>、项目实施人员一览表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40"/>
        <w:gridCol w:w="2118"/>
        <w:gridCol w:w="2880"/>
        <w:gridCol w:w="1482"/>
      </w:tblGrid>
      <w:tr w14:paraId="56A3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7A12EAB7">
            <w:pPr>
              <w:pStyle w:val="24"/>
              <w:widowControl w:val="0"/>
              <w:snapToGrid w:val="0"/>
              <w:jc w:val="center"/>
              <w:rPr>
                <w:rFonts w:hint="eastAsia"/>
                <w:color w:val="auto"/>
                <w:highlight w:val="none"/>
              </w:rPr>
            </w:pPr>
            <w:r>
              <w:rPr>
                <w:color w:val="auto"/>
                <w:highlight w:val="none"/>
              </w:rPr>
              <w:t>序号</w:t>
            </w:r>
          </w:p>
        </w:tc>
        <w:tc>
          <w:tcPr>
            <w:tcW w:w="1740" w:type="dxa"/>
            <w:vAlign w:val="center"/>
          </w:tcPr>
          <w:p w14:paraId="42C3647E">
            <w:pPr>
              <w:pStyle w:val="24"/>
              <w:widowControl w:val="0"/>
              <w:snapToGrid w:val="0"/>
              <w:jc w:val="center"/>
              <w:rPr>
                <w:rFonts w:hint="eastAsia"/>
                <w:color w:val="auto"/>
                <w:highlight w:val="none"/>
              </w:rPr>
            </w:pPr>
            <w:r>
              <w:rPr>
                <w:color w:val="auto"/>
                <w:highlight w:val="none"/>
              </w:rPr>
              <w:t>姓名</w:t>
            </w:r>
          </w:p>
        </w:tc>
        <w:tc>
          <w:tcPr>
            <w:tcW w:w="2118" w:type="dxa"/>
            <w:vAlign w:val="center"/>
          </w:tcPr>
          <w:p w14:paraId="5CF312E8">
            <w:pPr>
              <w:pStyle w:val="24"/>
              <w:widowControl w:val="0"/>
              <w:snapToGrid w:val="0"/>
              <w:jc w:val="center"/>
              <w:rPr>
                <w:rFonts w:hint="eastAsia"/>
                <w:color w:val="auto"/>
                <w:highlight w:val="none"/>
              </w:rPr>
            </w:pPr>
            <w:r>
              <w:rPr>
                <w:color w:val="auto"/>
                <w:highlight w:val="none"/>
              </w:rPr>
              <w:t>职务/职称</w:t>
            </w:r>
          </w:p>
        </w:tc>
        <w:tc>
          <w:tcPr>
            <w:tcW w:w="2880" w:type="dxa"/>
            <w:vAlign w:val="center"/>
          </w:tcPr>
          <w:p w14:paraId="74294604">
            <w:pPr>
              <w:pStyle w:val="24"/>
              <w:widowControl w:val="0"/>
              <w:snapToGrid w:val="0"/>
              <w:jc w:val="center"/>
              <w:rPr>
                <w:rFonts w:hint="eastAsia"/>
                <w:color w:val="auto"/>
                <w:highlight w:val="none"/>
              </w:rPr>
            </w:pPr>
            <w:r>
              <w:rPr>
                <w:color w:val="auto"/>
                <w:highlight w:val="none"/>
              </w:rPr>
              <w:t>拟负责岗位</w:t>
            </w:r>
          </w:p>
        </w:tc>
        <w:tc>
          <w:tcPr>
            <w:tcW w:w="1482" w:type="dxa"/>
            <w:vAlign w:val="center"/>
          </w:tcPr>
          <w:p w14:paraId="6E6FEB54">
            <w:pPr>
              <w:pStyle w:val="24"/>
              <w:widowControl w:val="0"/>
              <w:snapToGrid w:val="0"/>
              <w:jc w:val="center"/>
              <w:rPr>
                <w:rFonts w:hint="eastAsia"/>
                <w:color w:val="auto"/>
                <w:highlight w:val="none"/>
              </w:rPr>
            </w:pPr>
            <w:r>
              <w:rPr>
                <w:color w:val="auto"/>
                <w:highlight w:val="none"/>
              </w:rPr>
              <w:t>联系电话</w:t>
            </w:r>
          </w:p>
        </w:tc>
      </w:tr>
      <w:tr w14:paraId="25D3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6BD41D0D">
            <w:pPr>
              <w:pStyle w:val="24"/>
              <w:widowControl w:val="0"/>
              <w:snapToGrid w:val="0"/>
              <w:ind w:left="480" w:firstLine="480"/>
              <w:jc w:val="center"/>
              <w:rPr>
                <w:rFonts w:hint="eastAsia"/>
                <w:color w:val="auto"/>
                <w:highlight w:val="none"/>
              </w:rPr>
            </w:pPr>
          </w:p>
        </w:tc>
        <w:tc>
          <w:tcPr>
            <w:tcW w:w="1740" w:type="dxa"/>
            <w:vAlign w:val="center"/>
          </w:tcPr>
          <w:p w14:paraId="436B7EFF">
            <w:pPr>
              <w:pStyle w:val="24"/>
              <w:widowControl w:val="0"/>
              <w:snapToGrid w:val="0"/>
              <w:rPr>
                <w:rFonts w:hint="eastAsia"/>
                <w:color w:val="auto"/>
                <w:highlight w:val="none"/>
              </w:rPr>
            </w:pPr>
            <w:r>
              <w:rPr>
                <w:color w:val="auto"/>
                <w:highlight w:val="none"/>
              </w:rPr>
              <w:t>……</w:t>
            </w:r>
          </w:p>
        </w:tc>
        <w:tc>
          <w:tcPr>
            <w:tcW w:w="2118" w:type="dxa"/>
            <w:vAlign w:val="center"/>
          </w:tcPr>
          <w:p w14:paraId="0DF3DF78">
            <w:pPr>
              <w:pStyle w:val="24"/>
              <w:widowControl w:val="0"/>
              <w:snapToGrid w:val="0"/>
              <w:ind w:left="480" w:firstLine="480"/>
              <w:jc w:val="center"/>
              <w:rPr>
                <w:rFonts w:hint="eastAsia"/>
                <w:color w:val="auto"/>
                <w:highlight w:val="none"/>
              </w:rPr>
            </w:pPr>
          </w:p>
        </w:tc>
        <w:tc>
          <w:tcPr>
            <w:tcW w:w="2880" w:type="dxa"/>
            <w:vAlign w:val="center"/>
          </w:tcPr>
          <w:p w14:paraId="5FD0C879">
            <w:pPr>
              <w:pStyle w:val="24"/>
              <w:widowControl w:val="0"/>
              <w:snapToGrid w:val="0"/>
              <w:ind w:left="480" w:firstLine="480"/>
              <w:jc w:val="center"/>
              <w:rPr>
                <w:rFonts w:hint="eastAsia"/>
                <w:color w:val="auto"/>
                <w:highlight w:val="none"/>
              </w:rPr>
            </w:pPr>
          </w:p>
        </w:tc>
        <w:tc>
          <w:tcPr>
            <w:tcW w:w="1482" w:type="dxa"/>
            <w:vAlign w:val="center"/>
          </w:tcPr>
          <w:p w14:paraId="67A7A78A">
            <w:pPr>
              <w:pStyle w:val="24"/>
              <w:widowControl w:val="0"/>
              <w:snapToGrid w:val="0"/>
              <w:ind w:left="480" w:firstLine="480"/>
              <w:jc w:val="center"/>
              <w:rPr>
                <w:rFonts w:hint="eastAsia"/>
                <w:color w:val="auto"/>
                <w:highlight w:val="none"/>
              </w:rPr>
            </w:pPr>
          </w:p>
        </w:tc>
      </w:tr>
      <w:tr w14:paraId="514C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37567294">
            <w:pPr>
              <w:pStyle w:val="24"/>
              <w:widowControl w:val="0"/>
              <w:snapToGrid w:val="0"/>
              <w:ind w:left="480" w:firstLine="480"/>
              <w:jc w:val="center"/>
              <w:rPr>
                <w:rFonts w:hint="eastAsia"/>
                <w:color w:val="auto"/>
                <w:highlight w:val="none"/>
              </w:rPr>
            </w:pPr>
          </w:p>
        </w:tc>
        <w:tc>
          <w:tcPr>
            <w:tcW w:w="1740" w:type="dxa"/>
            <w:vAlign w:val="center"/>
          </w:tcPr>
          <w:p w14:paraId="0A7678BA">
            <w:pPr>
              <w:pStyle w:val="24"/>
              <w:widowControl w:val="0"/>
              <w:snapToGrid w:val="0"/>
              <w:ind w:left="480" w:firstLine="480"/>
              <w:jc w:val="center"/>
              <w:rPr>
                <w:rFonts w:hint="eastAsia"/>
                <w:color w:val="auto"/>
                <w:highlight w:val="none"/>
              </w:rPr>
            </w:pPr>
          </w:p>
        </w:tc>
        <w:tc>
          <w:tcPr>
            <w:tcW w:w="2118" w:type="dxa"/>
            <w:vAlign w:val="center"/>
          </w:tcPr>
          <w:p w14:paraId="7E022CB1">
            <w:pPr>
              <w:pStyle w:val="24"/>
              <w:widowControl w:val="0"/>
              <w:snapToGrid w:val="0"/>
              <w:ind w:left="480" w:firstLine="480"/>
              <w:jc w:val="center"/>
              <w:rPr>
                <w:rFonts w:hint="eastAsia"/>
                <w:color w:val="auto"/>
                <w:highlight w:val="none"/>
              </w:rPr>
            </w:pPr>
          </w:p>
        </w:tc>
        <w:tc>
          <w:tcPr>
            <w:tcW w:w="2880" w:type="dxa"/>
            <w:vAlign w:val="center"/>
          </w:tcPr>
          <w:p w14:paraId="34797A30">
            <w:pPr>
              <w:pStyle w:val="24"/>
              <w:widowControl w:val="0"/>
              <w:snapToGrid w:val="0"/>
              <w:ind w:left="480" w:firstLine="480"/>
              <w:jc w:val="center"/>
              <w:rPr>
                <w:rFonts w:hint="eastAsia"/>
                <w:color w:val="auto"/>
                <w:highlight w:val="none"/>
              </w:rPr>
            </w:pPr>
          </w:p>
        </w:tc>
        <w:tc>
          <w:tcPr>
            <w:tcW w:w="1482" w:type="dxa"/>
            <w:vAlign w:val="center"/>
          </w:tcPr>
          <w:p w14:paraId="33514EE4">
            <w:pPr>
              <w:pStyle w:val="24"/>
              <w:widowControl w:val="0"/>
              <w:snapToGrid w:val="0"/>
              <w:ind w:left="480" w:firstLine="480"/>
              <w:jc w:val="center"/>
              <w:rPr>
                <w:rFonts w:hint="eastAsia"/>
                <w:color w:val="auto"/>
                <w:highlight w:val="none"/>
              </w:rPr>
            </w:pPr>
          </w:p>
        </w:tc>
      </w:tr>
      <w:tr w14:paraId="622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78BDC99C">
            <w:pPr>
              <w:pStyle w:val="24"/>
              <w:widowControl w:val="0"/>
              <w:snapToGrid w:val="0"/>
              <w:ind w:left="480" w:firstLine="480"/>
              <w:jc w:val="center"/>
              <w:rPr>
                <w:rFonts w:hint="eastAsia"/>
                <w:color w:val="auto"/>
                <w:highlight w:val="none"/>
              </w:rPr>
            </w:pPr>
          </w:p>
        </w:tc>
        <w:tc>
          <w:tcPr>
            <w:tcW w:w="1740" w:type="dxa"/>
            <w:vAlign w:val="center"/>
          </w:tcPr>
          <w:p w14:paraId="23EC5F0F">
            <w:pPr>
              <w:pStyle w:val="24"/>
              <w:widowControl w:val="0"/>
              <w:snapToGrid w:val="0"/>
              <w:ind w:left="480" w:firstLine="480"/>
              <w:jc w:val="center"/>
              <w:rPr>
                <w:rFonts w:hint="eastAsia"/>
                <w:color w:val="auto"/>
                <w:highlight w:val="none"/>
              </w:rPr>
            </w:pPr>
          </w:p>
        </w:tc>
        <w:tc>
          <w:tcPr>
            <w:tcW w:w="2118" w:type="dxa"/>
            <w:vAlign w:val="center"/>
          </w:tcPr>
          <w:p w14:paraId="3E077FD1">
            <w:pPr>
              <w:pStyle w:val="24"/>
              <w:widowControl w:val="0"/>
              <w:snapToGrid w:val="0"/>
              <w:ind w:left="480" w:firstLine="480"/>
              <w:jc w:val="center"/>
              <w:rPr>
                <w:rFonts w:hint="eastAsia"/>
                <w:color w:val="auto"/>
                <w:highlight w:val="none"/>
              </w:rPr>
            </w:pPr>
          </w:p>
        </w:tc>
        <w:tc>
          <w:tcPr>
            <w:tcW w:w="2880" w:type="dxa"/>
            <w:vAlign w:val="center"/>
          </w:tcPr>
          <w:p w14:paraId="40BF45B3">
            <w:pPr>
              <w:pStyle w:val="24"/>
              <w:widowControl w:val="0"/>
              <w:snapToGrid w:val="0"/>
              <w:ind w:left="480" w:firstLine="480"/>
              <w:jc w:val="center"/>
              <w:rPr>
                <w:rFonts w:hint="eastAsia"/>
                <w:color w:val="auto"/>
                <w:highlight w:val="none"/>
              </w:rPr>
            </w:pPr>
          </w:p>
        </w:tc>
        <w:tc>
          <w:tcPr>
            <w:tcW w:w="1482" w:type="dxa"/>
            <w:vAlign w:val="center"/>
          </w:tcPr>
          <w:p w14:paraId="04E1B687">
            <w:pPr>
              <w:pStyle w:val="24"/>
              <w:widowControl w:val="0"/>
              <w:snapToGrid w:val="0"/>
              <w:ind w:left="480" w:firstLine="480"/>
              <w:jc w:val="center"/>
              <w:rPr>
                <w:rFonts w:hint="eastAsia"/>
                <w:color w:val="auto"/>
                <w:highlight w:val="none"/>
              </w:rPr>
            </w:pPr>
          </w:p>
        </w:tc>
      </w:tr>
      <w:tr w14:paraId="1952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1BECFCE5">
            <w:pPr>
              <w:pStyle w:val="24"/>
              <w:widowControl w:val="0"/>
              <w:snapToGrid w:val="0"/>
              <w:ind w:left="480" w:firstLine="480"/>
              <w:jc w:val="center"/>
              <w:rPr>
                <w:rFonts w:hint="eastAsia"/>
                <w:color w:val="auto"/>
                <w:highlight w:val="none"/>
              </w:rPr>
            </w:pPr>
          </w:p>
        </w:tc>
        <w:tc>
          <w:tcPr>
            <w:tcW w:w="1740" w:type="dxa"/>
            <w:vAlign w:val="center"/>
          </w:tcPr>
          <w:p w14:paraId="6DAEAD10">
            <w:pPr>
              <w:pStyle w:val="24"/>
              <w:widowControl w:val="0"/>
              <w:snapToGrid w:val="0"/>
              <w:ind w:left="480" w:firstLine="480"/>
              <w:jc w:val="center"/>
              <w:rPr>
                <w:rFonts w:hint="eastAsia"/>
                <w:color w:val="auto"/>
                <w:highlight w:val="none"/>
              </w:rPr>
            </w:pPr>
          </w:p>
        </w:tc>
        <w:tc>
          <w:tcPr>
            <w:tcW w:w="2118" w:type="dxa"/>
            <w:vAlign w:val="center"/>
          </w:tcPr>
          <w:p w14:paraId="613230C7">
            <w:pPr>
              <w:pStyle w:val="24"/>
              <w:widowControl w:val="0"/>
              <w:snapToGrid w:val="0"/>
              <w:ind w:left="480" w:firstLine="480"/>
              <w:jc w:val="center"/>
              <w:rPr>
                <w:rFonts w:hint="eastAsia"/>
                <w:color w:val="auto"/>
                <w:highlight w:val="none"/>
              </w:rPr>
            </w:pPr>
          </w:p>
        </w:tc>
        <w:tc>
          <w:tcPr>
            <w:tcW w:w="2880" w:type="dxa"/>
            <w:vAlign w:val="center"/>
          </w:tcPr>
          <w:p w14:paraId="5D8626C5">
            <w:pPr>
              <w:pStyle w:val="24"/>
              <w:widowControl w:val="0"/>
              <w:snapToGrid w:val="0"/>
              <w:ind w:left="480" w:firstLine="480"/>
              <w:jc w:val="center"/>
              <w:rPr>
                <w:rFonts w:hint="eastAsia"/>
                <w:color w:val="auto"/>
                <w:highlight w:val="none"/>
              </w:rPr>
            </w:pPr>
          </w:p>
        </w:tc>
        <w:tc>
          <w:tcPr>
            <w:tcW w:w="1482" w:type="dxa"/>
            <w:vAlign w:val="center"/>
          </w:tcPr>
          <w:p w14:paraId="7E8A43A8">
            <w:pPr>
              <w:pStyle w:val="24"/>
              <w:widowControl w:val="0"/>
              <w:snapToGrid w:val="0"/>
              <w:ind w:left="480" w:firstLine="480"/>
              <w:jc w:val="center"/>
              <w:rPr>
                <w:rFonts w:hint="eastAsia"/>
                <w:color w:val="auto"/>
                <w:highlight w:val="none"/>
              </w:rPr>
            </w:pPr>
          </w:p>
        </w:tc>
      </w:tr>
      <w:tr w14:paraId="18DE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0C20D523">
            <w:pPr>
              <w:pStyle w:val="24"/>
              <w:widowControl w:val="0"/>
              <w:snapToGrid w:val="0"/>
              <w:ind w:left="480" w:firstLine="480"/>
              <w:jc w:val="center"/>
              <w:rPr>
                <w:rFonts w:hint="eastAsia"/>
                <w:color w:val="auto"/>
                <w:highlight w:val="none"/>
              </w:rPr>
            </w:pPr>
          </w:p>
        </w:tc>
        <w:tc>
          <w:tcPr>
            <w:tcW w:w="1740" w:type="dxa"/>
            <w:vAlign w:val="center"/>
          </w:tcPr>
          <w:p w14:paraId="629D4AB9">
            <w:pPr>
              <w:pStyle w:val="24"/>
              <w:widowControl w:val="0"/>
              <w:snapToGrid w:val="0"/>
              <w:ind w:left="480" w:firstLine="480"/>
              <w:jc w:val="center"/>
              <w:rPr>
                <w:rFonts w:hint="eastAsia"/>
                <w:color w:val="auto"/>
                <w:highlight w:val="none"/>
              </w:rPr>
            </w:pPr>
          </w:p>
        </w:tc>
        <w:tc>
          <w:tcPr>
            <w:tcW w:w="2118" w:type="dxa"/>
            <w:vAlign w:val="center"/>
          </w:tcPr>
          <w:p w14:paraId="47487F16">
            <w:pPr>
              <w:pStyle w:val="24"/>
              <w:widowControl w:val="0"/>
              <w:snapToGrid w:val="0"/>
              <w:ind w:left="480" w:firstLine="480"/>
              <w:jc w:val="center"/>
              <w:rPr>
                <w:rFonts w:hint="eastAsia"/>
                <w:color w:val="auto"/>
                <w:highlight w:val="none"/>
              </w:rPr>
            </w:pPr>
          </w:p>
        </w:tc>
        <w:tc>
          <w:tcPr>
            <w:tcW w:w="2880" w:type="dxa"/>
            <w:vAlign w:val="center"/>
          </w:tcPr>
          <w:p w14:paraId="43404DB4">
            <w:pPr>
              <w:pStyle w:val="24"/>
              <w:widowControl w:val="0"/>
              <w:snapToGrid w:val="0"/>
              <w:ind w:left="480" w:firstLine="480"/>
              <w:jc w:val="center"/>
              <w:rPr>
                <w:rFonts w:hint="eastAsia"/>
                <w:color w:val="auto"/>
                <w:highlight w:val="none"/>
              </w:rPr>
            </w:pPr>
          </w:p>
        </w:tc>
        <w:tc>
          <w:tcPr>
            <w:tcW w:w="1482" w:type="dxa"/>
            <w:vAlign w:val="center"/>
          </w:tcPr>
          <w:p w14:paraId="14F1BCA6">
            <w:pPr>
              <w:pStyle w:val="24"/>
              <w:widowControl w:val="0"/>
              <w:snapToGrid w:val="0"/>
              <w:ind w:left="480" w:firstLine="480"/>
              <w:jc w:val="center"/>
              <w:rPr>
                <w:rFonts w:hint="eastAsia"/>
                <w:color w:val="auto"/>
                <w:highlight w:val="none"/>
              </w:rPr>
            </w:pPr>
          </w:p>
        </w:tc>
      </w:tr>
      <w:tr w14:paraId="438F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39446CF1">
            <w:pPr>
              <w:pStyle w:val="24"/>
              <w:widowControl w:val="0"/>
              <w:snapToGrid w:val="0"/>
              <w:ind w:left="480" w:firstLine="480"/>
              <w:jc w:val="center"/>
              <w:rPr>
                <w:rFonts w:hint="eastAsia"/>
                <w:color w:val="auto"/>
                <w:highlight w:val="none"/>
              </w:rPr>
            </w:pPr>
          </w:p>
        </w:tc>
        <w:tc>
          <w:tcPr>
            <w:tcW w:w="1740" w:type="dxa"/>
            <w:vAlign w:val="center"/>
          </w:tcPr>
          <w:p w14:paraId="11142695">
            <w:pPr>
              <w:pStyle w:val="24"/>
              <w:widowControl w:val="0"/>
              <w:snapToGrid w:val="0"/>
              <w:ind w:left="480" w:firstLine="480"/>
              <w:jc w:val="center"/>
              <w:rPr>
                <w:rFonts w:hint="eastAsia"/>
                <w:color w:val="auto"/>
                <w:highlight w:val="none"/>
              </w:rPr>
            </w:pPr>
          </w:p>
        </w:tc>
        <w:tc>
          <w:tcPr>
            <w:tcW w:w="2118" w:type="dxa"/>
            <w:vAlign w:val="center"/>
          </w:tcPr>
          <w:p w14:paraId="4D18CB1D">
            <w:pPr>
              <w:pStyle w:val="24"/>
              <w:widowControl w:val="0"/>
              <w:snapToGrid w:val="0"/>
              <w:ind w:left="480" w:firstLine="480"/>
              <w:jc w:val="center"/>
              <w:rPr>
                <w:rFonts w:hint="eastAsia"/>
                <w:color w:val="auto"/>
                <w:highlight w:val="none"/>
              </w:rPr>
            </w:pPr>
          </w:p>
        </w:tc>
        <w:tc>
          <w:tcPr>
            <w:tcW w:w="2880" w:type="dxa"/>
            <w:vAlign w:val="center"/>
          </w:tcPr>
          <w:p w14:paraId="4B34FF16">
            <w:pPr>
              <w:pStyle w:val="24"/>
              <w:widowControl w:val="0"/>
              <w:snapToGrid w:val="0"/>
              <w:ind w:left="480" w:firstLine="480"/>
              <w:jc w:val="center"/>
              <w:rPr>
                <w:rFonts w:hint="eastAsia"/>
                <w:color w:val="auto"/>
                <w:highlight w:val="none"/>
              </w:rPr>
            </w:pPr>
          </w:p>
        </w:tc>
        <w:tc>
          <w:tcPr>
            <w:tcW w:w="1482" w:type="dxa"/>
            <w:vAlign w:val="center"/>
          </w:tcPr>
          <w:p w14:paraId="4B2AC9E1">
            <w:pPr>
              <w:pStyle w:val="24"/>
              <w:widowControl w:val="0"/>
              <w:snapToGrid w:val="0"/>
              <w:ind w:left="480" w:firstLine="480"/>
              <w:jc w:val="center"/>
              <w:rPr>
                <w:rFonts w:hint="eastAsia"/>
                <w:color w:val="auto"/>
                <w:highlight w:val="none"/>
              </w:rPr>
            </w:pPr>
          </w:p>
        </w:tc>
      </w:tr>
      <w:tr w14:paraId="4FA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78764794">
            <w:pPr>
              <w:pStyle w:val="24"/>
              <w:widowControl w:val="0"/>
              <w:snapToGrid w:val="0"/>
              <w:ind w:left="480" w:firstLine="480"/>
              <w:jc w:val="center"/>
              <w:rPr>
                <w:rFonts w:hint="eastAsia"/>
                <w:color w:val="auto"/>
                <w:highlight w:val="none"/>
              </w:rPr>
            </w:pPr>
          </w:p>
        </w:tc>
        <w:tc>
          <w:tcPr>
            <w:tcW w:w="1740" w:type="dxa"/>
            <w:vAlign w:val="center"/>
          </w:tcPr>
          <w:p w14:paraId="6CA4F299">
            <w:pPr>
              <w:pStyle w:val="24"/>
              <w:widowControl w:val="0"/>
              <w:snapToGrid w:val="0"/>
              <w:ind w:left="480" w:firstLine="480"/>
              <w:jc w:val="center"/>
              <w:rPr>
                <w:rFonts w:hint="eastAsia"/>
                <w:color w:val="auto"/>
                <w:highlight w:val="none"/>
              </w:rPr>
            </w:pPr>
          </w:p>
        </w:tc>
        <w:tc>
          <w:tcPr>
            <w:tcW w:w="2118" w:type="dxa"/>
            <w:vAlign w:val="center"/>
          </w:tcPr>
          <w:p w14:paraId="0EFBBEE9">
            <w:pPr>
              <w:pStyle w:val="24"/>
              <w:widowControl w:val="0"/>
              <w:snapToGrid w:val="0"/>
              <w:ind w:left="480" w:firstLine="480"/>
              <w:jc w:val="center"/>
              <w:rPr>
                <w:rFonts w:hint="eastAsia"/>
                <w:color w:val="auto"/>
                <w:highlight w:val="none"/>
              </w:rPr>
            </w:pPr>
          </w:p>
        </w:tc>
        <w:tc>
          <w:tcPr>
            <w:tcW w:w="2880" w:type="dxa"/>
            <w:vAlign w:val="center"/>
          </w:tcPr>
          <w:p w14:paraId="6AD7B6B3">
            <w:pPr>
              <w:pStyle w:val="24"/>
              <w:widowControl w:val="0"/>
              <w:snapToGrid w:val="0"/>
              <w:ind w:left="480" w:firstLine="480"/>
              <w:jc w:val="center"/>
              <w:rPr>
                <w:rFonts w:hint="eastAsia"/>
                <w:color w:val="auto"/>
                <w:highlight w:val="none"/>
              </w:rPr>
            </w:pPr>
          </w:p>
        </w:tc>
        <w:tc>
          <w:tcPr>
            <w:tcW w:w="1482" w:type="dxa"/>
            <w:vAlign w:val="center"/>
          </w:tcPr>
          <w:p w14:paraId="7088EADC">
            <w:pPr>
              <w:pStyle w:val="24"/>
              <w:widowControl w:val="0"/>
              <w:snapToGrid w:val="0"/>
              <w:ind w:left="480" w:firstLine="480"/>
              <w:jc w:val="center"/>
              <w:rPr>
                <w:rFonts w:hint="eastAsia"/>
                <w:color w:val="auto"/>
                <w:highlight w:val="none"/>
              </w:rPr>
            </w:pPr>
          </w:p>
        </w:tc>
      </w:tr>
    </w:tbl>
    <w:p w14:paraId="501C1A4F">
      <w:pPr>
        <w:pStyle w:val="24"/>
        <w:widowControl w:val="0"/>
        <w:snapToGrid w:val="0"/>
        <w:rPr>
          <w:rFonts w:hint="eastAsia"/>
          <w:color w:val="auto"/>
          <w:highlight w:val="none"/>
        </w:rPr>
      </w:pPr>
    </w:p>
    <w:p w14:paraId="612A1C2B">
      <w:pPr>
        <w:pStyle w:val="24"/>
        <w:widowControl w:val="0"/>
        <w:snapToGrid w:val="0"/>
        <w:rPr>
          <w:rFonts w:hint="eastAsia"/>
          <w:color w:val="auto"/>
          <w:highlight w:val="none"/>
        </w:rPr>
      </w:pPr>
    </w:p>
    <w:p w14:paraId="278784CD">
      <w:pPr>
        <w:pStyle w:val="24"/>
        <w:widowControl w:val="0"/>
        <w:adjustRightInd w:val="0"/>
        <w:snapToGrid w:val="0"/>
        <w:spacing w:before="0" w:beforeAutospacing="0" w:after="0" w:afterAutospacing="0" w:line="360" w:lineRule="auto"/>
        <w:rPr>
          <w:rFonts w:hint="eastAsia"/>
          <w:color w:val="auto"/>
          <w:highlight w:val="none"/>
        </w:rPr>
      </w:pPr>
      <w:r>
        <w:rPr>
          <w:color w:val="auto"/>
          <w:highlight w:val="none"/>
        </w:rPr>
        <w:t>投标人（电子签章）：__________________________</w:t>
      </w:r>
    </w:p>
    <w:p w14:paraId="14FE6486">
      <w:pPr>
        <w:pStyle w:val="24"/>
        <w:widowControl w:val="0"/>
        <w:adjustRightInd w:val="0"/>
        <w:snapToGrid w:val="0"/>
        <w:spacing w:before="0" w:beforeAutospacing="0" w:after="0" w:afterAutospacing="0" w:line="360" w:lineRule="auto"/>
        <w:rPr>
          <w:rFonts w:hint="eastAsia"/>
          <w:color w:val="auto"/>
          <w:highlight w:val="none"/>
        </w:rPr>
      </w:pPr>
      <w:r>
        <w:rPr>
          <w:color w:val="auto"/>
          <w:highlight w:val="none"/>
        </w:rPr>
        <w:t>日期：____年____月____日</w:t>
      </w:r>
    </w:p>
    <w:p w14:paraId="7E63170F">
      <w:pPr>
        <w:pStyle w:val="24"/>
        <w:widowControl w:val="0"/>
        <w:adjustRightInd w:val="0"/>
        <w:snapToGrid w:val="0"/>
        <w:jc w:val="center"/>
        <w:rPr>
          <w:rFonts w:hint="eastAsia"/>
          <w:b/>
          <w:color w:val="auto"/>
          <w:sz w:val="32"/>
          <w:szCs w:val="32"/>
          <w:highlight w:val="none"/>
        </w:rPr>
      </w:pPr>
    </w:p>
    <w:p w14:paraId="3A7884FF">
      <w:pPr>
        <w:pStyle w:val="24"/>
        <w:widowControl w:val="0"/>
        <w:adjustRightInd w:val="0"/>
        <w:snapToGrid w:val="0"/>
        <w:jc w:val="center"/>
        <w:rPr>
          <w:rFonts w:hint="eastAsia"/>
          <w:b/>
          <w:color w:val="auto"/>
          <w:sz w:val="32"/>
          <w:szCs w:val="32"/>
          <w:highlight w:val="none"/>
        </w:rPr>
      </w:pPr>
      <w:r>
        <w:rPr>
          <w:rFonts w:hint="eastAsia"/>
          <w:b/>
          <w:color w:val="auto"/>
          <w:sz w:val="32"/>
          <w:szCs w:val="32"/>
          <w:highlight w:val="none"/>
        </w:rPr>
        <w:t>七</w:t>
      </w:r>
      <w:r>
        <w:rPr>
          <w:b/>
          <w:color w:val="auto"/>
          <w:sz w:val="32"/>
          <w:szCs w:val="32"/>
          <w:highlight w:val="none"/>
        </w:rPr>
        <w:t>、同类业绩</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65"/>
        <w:gridCol w:w="1456"/>
        <w:gridCol w:w="1757"/>
        <w:gridCol w:w="1531"/>
        <w:gridCol w:w="1132"/>
      </w:tblGrid>
      <w:tr w14:paraId="58AA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8" w:hRule="exact"/>
          <w:jc w:val="center"/>
        </w:trPr>
        <w:tc>
          <w:tcPr>
            <w:tcW w:w="2765" w:type="dxa"/>
            <w:tcMar>
              <w:top w:w="0" w:type="dxa"/>
              <w:left w:w="108" w:type="dxa"/>
              <w:bottom w:w="0" w:type="dxa"/>
              <w:right w:w="108" w:type="dxa"/>
            </w:tcMar>
            <w:vAlign w:val="center"/>
          </w:tcPr>
          <w:p w14:paraId="3C930FDE">
            <w:pPr>
              <w:spacing w:before="100" w:beforeAutospacing="1" w:after="100" w:afterAutospacing="1" w:line="360" w:lineRule="atLeast"/>
              <w:jc w:val="center"/>
              <w:rPr>
                <w:rFonts w:hint="eastAsia" w:ascii="宋体" w:hAnsi="宋体"/>
                <w:color w:val="auto"/>
                <w:highlight w:val="none"/>
              </w:rPr>
            </w:pPr>
            <w:r>
              <w:rPr>
                <w:rFonts w:ascii="宋体" w:hAnsi="宋体"/>
                <w:color w:val="auto"/>
                <w:sz w:val="27"/>
                <w:szCs w:val="27"/>
                <w:highlight w:val="none"/>
              </w:rPr>
              <w:t> </w:t>
            </w:r>
            <w:r>
              <w:rPr>
                <w:rFonts w:ascii="宋体" w:hAnsi="宋体"/>
                <w:color w:val="auto"/>
                <w:highlight w:val="none"/>
              </w:rPr>
              <w:t>项目名称</w:t>
            </w:r>
          </w:p>
        </w:tc>
        <w:tc>
          <w:tcPr>
            <w:tcW w:w="1456" w:type="dxa"/>
            <w:tcMar>
              <w:top w:w="0" w:type="dxa"/>
              <w:left w:w="108" w:type="dxa"/>
              <w:bottom w:w="0" w:type="dxa"/>
              <w:right w:w="108" w:type="dxa"/>
            </w:tcMar>
            <w:vAlign w:val="center"/>
          </w:tcPr>
          <w:p w14:paraId="70D47A55">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合同金额</w:t>
            </w:r>
          </w:p>
        </w:tc>
        <w:tc>
          <w:tcPr>
            <w:tcW w:w="1757" w:type="dxa"/>
            <w:tcMar>
              <w:top w:w="0" w:type="dxa"/>
              <w:left w:w="108" w:type="dxa"/>
              <w:bottom w:w="0" w:type="dxa"/>
              <w:right w:w="108" w:type="dxa"/>
            </w:tcMar>
            <w:vAlign w:val="center"/>
          </w:tcPr>
          <w:p w14:paraId="2266020C">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签订时间</w:t>
            </w:r>
          </w:p>
        </w:tc>
        <w:tc>
          <w:tcPr>
            <w:tcW w:w="1531" w:type="dxa"/>
            <w:tcMar>
              <w:top w:w="0" w:type="dxa"/>
              <w:left w:w="108" w:type="dxa"/>
              <w:bottom w:w="0" w:type="dxa"/>
              <w:right w:w="108" w:type="dxa"/>
            </w:tcMar>
            <w:vAlign w:val="center"/>
          </w:tcPr>
          <w:p w14:paraId="3E6940E1">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业主名称及联系方式</w:t>
            </w:r>
          </w:p>
        </w:tc>
        <w:tc>
          <w:tcPr>
            <w:tcW w:w="1132" w:type="dxa"/>
            <w:tcMar>
              <w:top w:w="0" w:type="dxa"/>
              <w:left w:w="108" w:type="dxa"/>
              <w:bottom w:w="0" w:type="dxa"/>
              <w:right w:w="108" w:type="dxa"/>
            </w:tcMar>
            <w:vAlign w:val="center"/>
          </w:tcPr>
          <w:p w14:paraId="66EACC41">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备注</w:t>
            </w:r>
          </w:p>
        </w:tc>
      </w:tr>
      <w:tr w14:paraId="6E87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2CD1FFD7">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456" w:type="dxa"/>
            <w:tcMar>
              <w:top w:w="0" w:type="dxa"/>
              <w:left w:w="108" w:type="dxa"/>
              <w:bottom w:w="0" w:type="dxa"/>
              <w:right w:w="108" w:type="dxa"/>
            </w:tcMar>
            <w:vAlign w:val="center"/>
          </w:tcPr>
          <w:p w14:paraId="0F50B519">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757" w:type="dxa"/>
            <w:tcMar>
              <w:top w:w="0" w:type="dxa"/>
              <w:left w:w="108" w:type="dxa"/>
              <w:bottom w:w="0" w:type="dxa"/>
              <w:right w:w="108" w:type="dxa"/>
            </w:tcMar>
            <w:vAlign w:val="center"/>
          </w:tcPr>
          <w:p w14:paraId="26403954">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531" w:type="dxa"/>
            <w:tcMar>
              <w:top w:w="0" w:type="dxa"/>
              <w:left w:w="108" w:type="dxa"/>
              <w:bottom w:w="0" w:type="dxa"/>
              <w:right w:w="108" w:type="dxa"/>
            </w:tcMar>
            <w:vAlign w:val="center"/>
          </w:tcPr>
          <w:p w14:paraId="08E41CAB">
            <w:pPr>
              <w:spacing w:before="100" w:beforeAutospacing="1" w:after="100" w:afterAutospacing="1" w:line="360" w:lineRule="atLeast"/>
              <w:jc w:val="center"/>
              <w:rPr>
                <w:rFonts w:hint="eastAsia" w:ascii="宋体" w:hAnsi="宋体"/>
                <w:color w:val="auto"/>
                <w:highlight w:val="none"/>
              </w:rPr>
            </w:pPr>
          </w:p>
        </w:tc>
        <w:tc>
          <w:tcPr>
            <w:tcW w:w="1132" w:type="dxa"/>
            <w:tcMar>
              <w:top w:w="0" w:type="dxa"/>
              <w:left w:w="108" w:type="dxa"/>
              <w:bottom w:w="0" w:type="dxa"/>
              <w:right w:w="108" w:type="dxa"/>
            </w:tcMar>
            <w:vAlign w:val="center"/>
          </w:tcPr>
          <w:p w14:paraId="322C74BC">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r>
      <w:tr w14:paraId="7C95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4F3DB6DB">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456" w:type="dxa"/>
            <w:tcMar>
              <w:top w:w="0" w:type="dxa"/>
              <w:left w:w="108" w:type="dxa"/>
              <w:bottom w:w="0" w:type="dxa"/>
              <w:right w:w="108" w:type="dxa"/>
            </w:tcMar>
            <w:vAlign w:val="center"/>
          </w:tcPr>
          <w:p w14:paraId="0D9CD431">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757" w:type="dxa"/>
            <w:tcMar>
              <w:top w:w="0" w:type="dxa"/>
              <w:left w:w="108" w:type="dxa"/>
              <w:bottom w:w="0" w:type="dxa"/>
              <w:right w:w="108" w:type="dxa"/>
            </w:tcMar>
            <w:vAlign w:val="center"/>
          </w:tcPr>
          <w:p w14:paraId="54850D1A">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531" w:type="dxa"/>
            <w:tcMar>
              <w:top w:w="0" w:type="dxa"/>
              <w:left w:w="108" w:type="dxa"/>
              <w:bottom w:w="0" w:type="dxa"/>
              <w:right w:w="108" w:type="dxa"/>
            </w:tcMar>
            <w:vAlign w:val="center"/>
          </w:tcPr>
          <w:p w14:paraId="0F548C38">
            <w:pPr>
              <w:spacing w:before="100" w:beforeAutospacing="1" w:after="100" w:afterAutospacing="1" w:line="360" w:lineRule="atLeast"/>
              <w:jc w:val="center"/>
              <w:rPr>
                <w:rFonts w:hint="eastAsia" w:ascii="宋体" w:hAnsi="宋体"/>
                <w:color w:val="auto"/>
                <w:highlight w:val="none"/>
              </w:rPr>
            </w:pPr>
          </w:p>
        </w:tc>
        <w:tc>
          <w:tcPr>
            <w:tcW w:w="1132" w:type="dxa"/>
            <w:tcMar>
              <w:top w:w="0" w:type="dxa"/>
              <w:left w:w="108" w:type="dxa"/>
              <w:bottom w:w="0" w:type="dxa"/>
              <w:right w:w="108" w:type="dxa"/>
            </w:tcMar>
            <w:vAlign w:val="center"/>
          </w:tcPr>
          <w:p w14:paraId="3993F7CB">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r>
      <w:tr w14:paraId="5DD17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1E42F2F7">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456" w:type="dxa"/>
            <w:tcMar>
              <w:top w:w="0" w:type="dxa"/>
              <w:left w:w="108" w:type="dxa"/>
              <w:bottom w:w="0" w:type="dxa"/>
              <w:right w:w="108" w:type="dxa"/>
            </w:tcMar>
            <w:vAlign w:val="center"/>
          </w:tcPr>
          <w:p w14:paraId="096FA99A">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757" w:type="dxa"/>
            <w:tcMar>
              <w:top w:w="0" w:type="dxa"/>
              <w:left w:w="108" w:type="dxa"/>
              <w:bottom w:w="0" w:type="dxa"/>
              <w:right w:w="108" w:type="dxa"/>
            </w:tcMar>
            <w:vAlign w:val="center"/>
          </w:tcPr>
          <w:p w14:paraId="1BCA3172">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531" w:type="dxa"/>
            <w:tcMar>
              <w:top w:w="0" w:type="dxa"/>
              <w:left w:w="108" w:type="dxa"/>
              <w:bottom w:w="0" w:type="dxa"/>
              <w:right w:w="108" w:type="dxa"/>
            </w:tcMar>
            <w:vAlign w:val="center"/>
          </w:tcPr>
          <w:p w14:paraId="36D7943E">
            <w:pPr>
              <w:spacing w:before="100" w:beforeAutospacing="1" w:after="100" w:afterAutospacing="1" w:line="360" w:lineRule="atLeast"/>
              <w:jc w:val="center"/>
              <w:rPr>
                <w:rFonts w:hint="eastAsia" w:ascii="宋体" w:hAnsi="宋体"/>
                <w:color w:val="auto"/>
                <w:highlight w:val="none"/>
              </w:rPr>
            </w:pPr>
          </w:p>
        </w:tc>
        <w:tc>
          <w:tcPr>
            <w:tcW w:w="1132" w:type="dxa"/>
            <w:tcMar>
              <w:top w:w="0" w:type="dxa"/>
              <w:left w:w="108" w:type="dxa"/>
              <w:bottom w:w="0" w:type="dxa"/>
              <w:right w:w="108" w:type="dxa"/>
            </w:tcMar>
            <w:vAlign w:val="center"/>
          </w:tcPr>
          <w:p w14:paraId="075EE059">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r>
      <w:tr w14:paraId="7260B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exact"/>
          <w:jc w:val="center"/>
        </w:trPr>
        <w:tc>
          <w:tcPr>
            <w:tcW w:w="2765" w:type="dxa"/>
            <w:tcMar>
              <w:top w:w="0" w:type="dxa"/>
              <w:left w:w="108" w:type="dxa"/>
              <w:bottom w:w="0" w:type="dxa"/>
              <w:right w:w="108" w:type="dxa"/>
            </w:tcMar>
            <w:vAlign w:val="center"/>
          </w:tcPr>
          <w:p w14:paraId="47DA6498">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456" w:type="dxa"/>
            <w:tcMar>
              <w:top w:w="0" w:type="dxa"/>
              <w:left w:w="108" w:type="dxa"/>
              <w:bottom w:w="0" w:type="dxa"/>
              <w:right w:w="108" w:type="dxa"/>
            </w:tcMar>
            <w:vAlign w:val="center"/>
          </w:tcPr>
          <w:p w14:paraId="2051E7B9">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757" w:type="dxa"/>
            <w:tcMar>
              <w:top w:w="0" w:type="dxa"/>
              <w:left w:w="108" w:type="dxa"/>
              <w:bottom w:w="0" w:type="dxa"/>
              <w:right w:w="108" w:type="dxa"/>
            </w:tcMar>
            <w:vAlign w:val="center"/>
          </w:tcPr>
          <w:p w14:paraId="01336925">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c>
          <w:tcPr>
            <w:tcW w:w="1531" w:type="dxa"/>
            <w:tcMar>
              <w:top w:w="0" w:type="dxa"/>
              <w:left w:w="108" w:type="dxa"/>
              <w:bottom w:w="0" w:type="dxa"/>
              <w:right w:w="108" w:type="dxa"/>
            </w:tcMar>
            <w:vAlign w:val="center"/>
          </w:tcPr>
          <w:p w14:paraId="2C55681D">
            <w:pPr>
              <w:spacing w:before="100" w:beforeAutospacing="1" w:after="100" w:afterAutospacing="1" w:line="360" w:lineRule="atLeast"/>
              <w:jc w:val="center"/>
              <w:rPr>
                <w:rFonts w:hint="eastAsia" w:ascii="宋体" w:hAnsi="宋体"/>
                <w:color w:val="auto"/>
                <w:highlight w:val="none"/>
              </w:rPr>
            </w:pPr>
          </w:p>
        </w:tc>
        <w:tc>
          <w:tcPr>
            <w:tcW w:w="1132" w:type="dxa"/>
            <w:tcMar>
              <w:top w:w="0" w:type="dxa"/>
              <w:left w:w="108" w:type="dxa"/>
              <w:bottom w:w="0" w:type="dxa"/>
              <w:right w:w="108" w:type="dxa"/>
            </w:tcMar>
            <w:vAlign w:val="center"/>
          </w:tcPr>
          <w:p w14:paraId="6387F8CD">
            <w:pPr>
              <w:spacing w:before="100" w:beforeAutospacing="1" w:after="100" w:afterAutospacing="1" w:line="360" w:lineRule="atLeast"/>
              <w:jc w:val="center"/>
              <w:rPr>
                <w:rFonts w:hint="eastAsia" w:ascii="宋体" w:hAnsi="宋体"/>
                <w:color w:val="auto"/>
                <w:highlight w:val="none"/>
              </w:rPr>
            </w:pPr>
            <w:r>
              <w:rPr>
                <w:rFonts w:ascii="宋体" w:hAnsi="宋体"/>
                <w:color w:val="auto"/>
                <w:highlight w:val="none"/>
              </w:rPr>
              <w:t> </w:t>
            </w:r>
          </w:p>
        </w:tc>
      </w:tr>
    </w:tbl>
    <w:p w14:paraId="03038EBC">
      <w:pPr>
        <w:spacing w:line="360" w:lineRule="auto"/>
        <w:rPr>
          <w:rFonts w:hint="eastAsia" w:ascii="宋体" w:hAnsi="宋体"/>
          <w:color w:val="auto"/>
          <w:highlight w:val="none"/>
        </w:rPr>
        <w:sectPr>
          <w:pgSz w:w="11906" w:h="16838"/>
          <w:pgMar w:top="1259" w:right="1287" w:bottom="1361" w:left="1622" w:header="709" w:footer="975" w:gutter="0"/>
          <w:cols w:space="720" w:num="1"/>
          <w:docGrid w:linePitch="360" w:charSpace="0"/>
        </w:sectPr>
      </w:pPr>
      <w:r>
        <w:rPr>
          <w:rFonts w:ascii="宋体" w:hAnsi="宋体"/>
          <w:color w:val="auto"/>
          <w:highlight w:val="none"/>
        </w:rPr>
        <w:t>注：</w:t>
      </w:r>
      <w:r>
        <w:rPr>
          <w:rFonts w:hint="eastAsia" w:ascii="宋体" w:hAnsi="宋体"/>
          <w:color w:val="auto"/>
          <w:highlight w:val="none"/>
        </w:rPr>
        <w:t>须附</w:t>
      </w:r>
      <w:r>
        <w:rPr>
          <w:rFonts w:ascii="宋体" w:hAnsi="宋体"/>
          <w:color w:val="auto"/>
          <w:highlight w:val="none"/>
        </w:rPr>
        <w:t>合同复印件</w:t>
      </w:r>
      <w:r>
        <w:rPr>
          <w:rFonts w:hint="eastAsia" w:ascii="宋体" w:hAnsi="宋体"/>
          <w:color w:val="auto"/>
          <w:highlight w:val="none"/>
        </w:rPr>
        <w:t>。</w:t>
      </w:r>
    </w:p>
    <w:p w14:paraId="3A87795F">
      <w:pPr>
        <w:pStyle w:val="39"/>
        <w:widowControl w:val="0"/>
        <w:tabs>
          <w:tab w:val="left" w:pos="3277"/>
          <w:tab w:val="center" w:pos="4411"/>
        </w:tabs>
        <w:adjustRightInd w:val="0"/>
        <w:snapToGrid w:val="0"/>
        <w:spacing w:line="276" w:lineRule="auto"/>
        <w:rPr>
          <w:b/>
          <w:color w:val="auto"/>
          <w:sz w:val="32"/>
          <w:szCs w:val="32"/>
          <w:highlight w:val="none"/>
        </w:rPr>
      </w:pPr>
      <w:bookmarkStart w:id="74" w:name="_Hlk94088800"/>
      <w:r>
        <w:rPr>
          <w:b/>
          <w:color w:val="auto"/>
          <w:sz w:val="32"/>
          <w:szCs w:val="32"/>
          <w:highlight w:val="none"/>
        </w:rPr>
        <w:t>报价文件</w:t>
      </w:r>
      <w:r>
        <w:rPr>
          <w:rFonts w:hint="default"/>
          <w:b/>
          <w:color w:val="auto"/>
          <w:sz w:val="32"/>
          <w:szCs w:val="32"/>
          <w:highlight w:val="none"/>
        </w:rPr>
        <w:t>：</w:t>
      </w:r>
      <w:r>
        <w:rPr>
          <w:rFonts w:hint="default"/>
          <w:color w:val="auto"/>
          <w:highlight w:val="none"/>
        </w:rPr>
        <w:tab/>
      </w:r>
      <w:r>
        <w:rPr>
          <w:rFonts w:hint="default"/>
          <w:b/>
          <w:color w:val="auto"/>
          <w:sz w:val="32"/>
          <w:szCs w:val="32"/>
          <w:highlight w:val="none"/>
        </w:rPr>
        <w:t xml:space="preserve">    </w:t>
      </w:r>
    </w:p>
    <w:p w14:paraId="7A47F865">
      <w:pPr>
        <w:pStyle w:val="24"/>
        <w:widowControl w:val="0"/>
        <w:adjustRightInd w:val="0"/>
        <w:snapToGrid w:val="0"/>
        <w:spacing w:before="0" w:beforeAutospacing="0" w:after="0" w:afterAutospacing="0" w:line="276" w:lineRule="auto"/>
        <w:jc w:val="center"/>
        <w:rPr>
          <w:rFonts w:hint="eastAsia"/>
          <w:b/>
          <w:color w:val="auto"/>
          <w:sz w:val="32"/>
          <w:szCs w:val="32"/>
          <w:highlight w:val="none"/>
        </w:rPr>
      </w:pPr>
      <w:r>
        <w:rPr>
          <w:rFonts w:hint="eastAsia"/>
          <w:b/>
          <w:color w:val="auto"/>
          <w:sz w:val="32"/>
          <w:szCs w:val="32"/>
          <w:highlight w:val="none"/>
        </w:rPr>
        <w:t>一</w:t>
      </w:r>
      <w:r>
        <w:rPr>
          <w:b/>
          <w:color w:val="auto"/>
          <w:sz w:val="32"/>
          <w:szCs w:val="32"/>
          <w:highlight w:val="none"/>
        </w:rPr>
        <w:t>、开标一览表</w:t>
      </w:r>
      <w:r>
        <w:rPr>
          <w:rFonts w:hint="eastAsia"/>
          <w:b/>
          <w:color w:val="auto"/>
          <w:sz w:val="32"/>
          <w:szCs w:val="32"/>
          <w:highlight w:val="none"/>
        </w:rPr>
        <w:t>（报价表）</w:t>
      </w:r>
    </w:p>
    <w:p w14:paraId="36112517">
      <w:pPr>
        <w:snapToGrid w:val="0"/>
        <w:spacing w:line="276" w:lineRule="auto"/>
        <w:rPr>
          <w:color w:val="auto"/>
          <w:highlight w:val="none"/>
        </w:rPr>
      </w:pPr>
      <w:r>
        <w:rPr>
          <w:color w:val="auto"/>
          <w:highlight w:val="none"/>
        </w:rPr>
        <w:t>（采购人）、（采购代理机构）</w:t>
      </w:r>
      <w:r>
        <w:rPr>
          <w:color w:val="auto"/>
          <w:highlight w:val="none"/>
          <w:lang w:val="zh-CN"/>
        </w:rPr>
        <w:t>：</w:t>
      </w:r>
    </w:p>
    <w:p w14:paraId="4AC8BA7F">
      <w:pPr>
        <w:snapToGrid w:val="0"/>
        <w:spacing w:line="276" w:lineRule="auto"/>
        <w:ind w:firstLine="482"/>
        <w:rPr>
          <w:color w:val="auto"/>
          <w:highlight w:val="none"/>
          <w:lang w:val="zh-CN"/>
        </w:rPr>
      </w:pPr>
      <w:r>
        <w:rPr>
          <w:color w:val="auto"/>
          <w:highlight w:val="none"/>
          <w:lang w:val="zh-CN"/>
        </w:rPr>
        <w:t>按你方招标文件要求，</w:t>
      </w:r>
      <w:r>
        <w:rPr>
          <w:rFonts w:hint="eastAsia"/>
          <w:color w:val="auto"/>
          <w:highlight w:val="none"/>
          <w:lang w:val="zh-CN"/>
        </w:rPr>
        <w:t>我方承诺按照如下开标一览表（报价表）的价格完成</w:t>
      </w:r>
      <w:r>
        <w:rPr>
          <w:rFonts w:hint="eastAsia"/>
          <w:color w:val="auto"/>
          <w:highlight w:val="none"/>
          <w:u w:val="single"/>
          <w:lang w:val="zh-CN"/>
        </w:rPr>
        <w:t xml:space="preserve">（项目名称） </w:t>
      </w:r>
      <w:r>
        <w:rPr>
          <w:color w:val="auto"/>
          <w:highlight w:val="none"/>
          <w:u w:val="single"/>
          <w:lang w:val="zh-CN"/>
        </w:rPr>
        <w:t xml:space="preserve">         </w:t>
      </w:r>
      <w:r>
        <w:rPr>
          <w:rFonts w:hint="eastAsia"/>
          <w:color w:val="auto"/>
          <w:highlight w:val="none"/>
          <w:u w:val="single"/>
          <w:lang w:val="zh-CN"/>
        </w:rPr>
        <w:t xml:space="preserve">（项目编号： </w:t>
      </w:r>
      <w:r>
        <w:rPr>
          <w:color w:val="auto"/>
          <w:highlight w:val="none"/>
          <w:u w:val="single"/>
          <w:lang w:val="zh-CN"/>
        </w:rPr>
        <w:t xml:space="preserve">   </w:t>
      </w:r>
      <w:r>
        <w:rPr>
          <w:rFonts w:hint="eastAsia"/>
          <w:color w:val="auto"/>
          <w:highlight w:val="none"/>
          <w:u w:val="single"/>
          <w:lang w:val="zh-CN"/>
        </w:rPr>
        <w:t>）</w:t>
      </w:r>
      <w:r>
        <w:rPr>
          <w:rFonts w:hint="eastAsia"/>
          <w:color w:val="auto"/>
          <w:highlight w:val="none"/>
          <w:lang w:val="zh-CN"/>
        </w:rPr>
        <w:t>的实施。</w:t>
      </w:r>
    </w:p>
    <w:bookmarkEnd w:id="74"/>
    <w:tbl>
      <w:tblPr>
        <w:tblStyle w:val="43"/>
        <w:tblW w:w="14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2551"/>
        <w:gridCol w:w="3124"/>
        <w:gridCol w:w="993"/>
        <w:gridCol w:w="1559"/>
        <w:gridCol w:w="1984"/>
      </w:tblGrid>
      <w:tr w14:paraId="0A2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11A77D7F">
            <w:pPr>
              <w:spacing w:line="360" w:lineRule="auto"/>
              <w:jc w:val="center"/>
              <w:rPr>
                <w:b/>
                <w:color w:val="auto"/>
                <w:sz w:val="22"/>
                <w:szCs w:val="22"/>
                <w:highlight w:val="none"/>
              </w:rPr>
            </w:pPr>
            <w:r>
              <w:rPr>
                <w:b/>
                <w:color w:val="auto"/>
                <w:sz w:val="22"/>
                <w:szCs w:val="22"/>
                <w:highlight w:val="none"/>
              </w:rPr>
              <w:t>序号</w:t>
            </w:r>
          </w:p>
        </w:tc>
        <w:tc>
          <w:tcPr>
            <w:tcW w:w="1701" w:type="dxa"/>
            <w:vAlign w:val="center"/>
          </w:tcPr>
          <w:p w14:paraId="61861F11">
            <w:pPr>
              <w:spacing w:line="360" w:lineRule="auto"/>
              <w:jc w:val="center"/>
              <w:rPr>
                <w:b/>
                <w:color w:val="auto"/>
                <w:sz w:val="22"/>
                <w:szCs w:val="22"/>
                <w:highlight w:val="none"/>
              </w:rPr>
            </w:pPr>
            <w:r>
              <w:rPr>
                <w:rFonts w:hint="eastAsia"/>
                <w:b/>
                <w:color w:val="auto"/>
                <w:sz w:val="22"/>
                <w:szCs w:val="22"/>
                <w:highlight w:val="none"/>
              </w:rPr>
              <w:t>标的</w:t>
            </w:r>
            <w:r>
              <w:rPr>
                <w:b/>
                <w:color w:val="auto"/>
                <w:sz w:val="22"/>
                <w:szCs w:val="22"/>
                <w:highlight w:val="none"/>
              </w:rPr>
              <w:t>名称</w:t>
            </w:r>
          </w:p>
        </w:tc>
        <w:tc>
          <w:tcPr>
            <w:tcW w:w="1843" w:type="dxa"/>
            <w:vAlign w:val="center"/>
          </w:tcPr>
          <w:p w14:paraId="7162B646">
            <w:pPr>
              <w:spacing w:line="360" w:lineRule="auto"/>
              <w:jc w:val="center"/>
              <w:rPr>
                <w:b/>
                <w:color w:val="auto"/>
                <w:sz w:val="22"/>
                <w:szCs w:val="22"/>
                <w:highlight w:val="none"/>
              </w:rPr>
            </w:pPr>
            <w:r>
              <w:rPr>
                <w:b/>
                <w:color w:val="auto"/>
                <w:sz w:val="22"/>
                <w:szCs w:val="22"/>
                <w:highlight w:val="none"/>
              </w:rPr>
              <w:t>品牌</w:t>
            </w:r>
          </w:p>
        </w:tc>
        <w:tc>
          <w:tcPr>
            <w:tcW w:w="2551" w:type="dxa"/>
            <w:vAlign w:val="center"/>
          </w:tcPr>
          <w:p w14:paraId="72F7993B">
            <w:pPr>
              <w:spacing w:line="360" w:lineRule="auto"/>
              <w:jc w:val="center"/>
              <w:rPr>
                <w:b/>
                <w:color w:val="auto"/>
                <w:sz w:val="22"/>
                <w:szCs w:val="22"/>
                <w:highlight w:val="none"/>
              </w:rPr>
            </w:pPr>
            <w:r>
              <w:rPr>
                <w:rFonts w:hint="eastAsia"/>
                <w:b/>
                <w:color w:val="auto"/>
                <w:sz w:val="21"/>
                <w:szCs w:val="44"/>
                <w:highlight w:val="none"/>
              </w:rPr>
              <w:t>制造商</w:t>
            </w:r>
            <w:r>
              <w:rPr>
                <w:b/>
                <w:color w:val="auto"/>
                <w:sz w:val="21"/>
                <w:szCs w:val="44"/>
                <w:highlight w:val="none"/>
              </w:rPr>
              <w:t>全称</w:t>
            </w:r>
          </w:p>
        </w:tc>
        <w:tc>
          <w:tcPr>
            <w:tcW w:w="3118" w:type="dxa"/>
            <w:vAlign w:val="center"/>
          </w:tcPr>
          <w:p w14:paraId="1FBE6BBD">
            <w:pPr>
              <w:spacing w:line="360" w:lineRule="auto"/>
              <w:jc w:val="center"/>
              <w:rPr>
                <w:b/>
                <w:color w:val="auto"/>
                <w:sz w:val="22"/>
                <w:szCs w:val="22"/>
                <w:highlight w:val="none"/>
              </w:rPr>
            </w:pPr>
            <w:r>
              <w:rPr>
                <w:b/>
                <w:color w:val="auto"/>
                <w:sz w:val="22"/>
                <w:szCs w:val="22"/>
                <w:highlight w:val="none"/>
              </w:rPr>
              <w:t>规格型号</w:t>
            </w:r>
          </w:p>
        </w:tc>
        <w:tc>
          <w:tcPr>
            <w:tcW w:w="993" w:type="dxa"/>
            <w:vAlign w:val="center"/>
          </w:tcPr>
          <w:p w14:paraId="6737FC83">
            <w:pPr>
              <w:spacing w:line="360" w:lineRule="auto"/>
              <w:jc w:val="center"/>
              <w:rPr>
                <w:b/>
                <w:color w:val="auto"/>
                <w:sz w:val="22"/>
                <w:szCs w:val="22"/>
                <w:highlight w:val="none"/>
              </w:rPr>
            </w:pPr>
            <w:r>
              <w:rPr>
                <w:b/>
                <w:color w:val="auto"/>
                <w:sz w:val="22"/>
                <w:szCs w:val="22"/>
                <w:highlight w:val="none"/>
              </w:rPr>
              <w:t>数量</w:t>
            </w:r>
          </w:p>
        </w:tc>
        <w:tc>
          <w:tcPr>
            <w:tcW w:w="1559" w:type="dxa"/>
            <w:vAlign w:val="center"/>
          </w:tcPr>
          <w:p w14:paraId="69DF1909">
            <w:pPr>
              <w:spacing w:line="360" w:lineRule="auto"/>
              <w:jc w:val="center"/>
              <w:rPr>
                <w:b/>
                <w:color w:val="auto"/>
                <w:sz w:val="22"/>
                <w:szCs w:val="22"/>
                <w:highlight w:val="none"/>
              </w:rPr>
            </w:pPr>
            <w:r>
              <w:rPr>
                <w:b/>
                <w:color w:val="auto"/>
                <w:sz w:val="22"/>
                <w:szCs w:val="22"/>
                <w:highlight w:val="none"/>
              </w:rPr>
              <w:t>单价</w:t>
            </w:r>
          </w:p>
        </w:tc>
        <w:tc>
          <w:tcPr>
            <w:tcW w:w="1984" w:type="dxa"/>
            <w:vAlign w:val="center"/>
          </w:tcPr>
          <w:p w14:paraId="2ED05A3E">
            <w:pPr>
              <w:spacing w:line="360" w:lineRule="auto"/>
              <w:jc w:val="center"/>
              <w:rPr>
                <w:b/>
                <w:color w:val="auto"/>
                <w:sz w:val="22"/>
                <w:szCs w:val="22"/>
                <w:highlight w:val="none"/>
              </w:rPr>
            </w:pPr>
            <w:r>
              <w:rPr>
                <w:b/>
                <w:color w:val="auto"/>
                <w:sz w:val="22"/>
                <w:szCs w:val="22"/>
                <w:highlight w:val="none"/>
              </w:rPr>
              <w:t>总价</w:t>
            </w:r>
          </w:p>
        </w:tc>
      </w:tr>
      <w:tr w14:paraId="1DD9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740DF065">
            <w:pPr>
              <w:spacing w:line="360" w:lineRule="auto"/>
              <w:jc w:val="center"/>
              <w:rPr>
                <w:color w:val="auto"/>
                <w:sz w:val="22"/>
                <w:szCs w:val="22"/>
                <w:highlight w:val="none"/>
              </w:rPr>
            </w:pPr>
            <w:r>
              <w:rPr>
                <w:color w:val="auto"/>
                <w:sz w:val="22"/>
                <w:szCs w:val="22"/>
                <w:highlight w:val="none"/>
              </w:rPr>
              <w:t>1</w:t>
            </w:r>
          </w:p>
        </w:tc>
        <w:tc>
          <w:tcPr>
            <w:tcW w:w="1701" w:type="dxa"/>
            <w:vAlign w:val="center"/>
          </w:tcPr>
          <w:p w14:paraId="55CC5537">
            <w:pPr>
              <w:snapToGrid w:val="0"/>
              <w:jc w:val="center"/>
              <w:rPr>
                <w:color w:val="auto"/>
                <w:sz w:val="22"/>
                <w:szCs w:val="22"/>
                <w:highlight w:val="none"/>
              </w:rPr>
            </w:pPr>
            <w:r>
              <w:rPr>
                <w:rFonts w:hint="eastAsia"/>
                <w:color w:val="auto"/>
                <w:sz w:val="22"/>
                <w:szCs w:val="22"/>
                <w:highlight w:val="none"/>
              </w:rPr>
              <w:t>（根据采购清单填写）</w:t>
            </w:r>
          </w:p>
        </w:tc>
        <w:tc>
          <w:tcPr>
            <w:tcW w:w="1843" w:type="dxa"/>
            <w:vAlign w:val="center"/>
          </w:tcPr>
          <w:p w14:paraId="1AEE0902">
            <w:pPr>
              <w:snapToGrid w:val="0"/>
              <w:spacing w:line="360" w:lineRule="auto"/>
              <w:jc w:val="center"/>
              <w:rPr>
                <w:color w:val="auto"/>
                <w:sz w:val="22"/>
                <w:szCs w:val="22"/>
                <w:highlight w:val="none"/>
              </w:rPr>
            </w:pPr>
          </w:p>
        </w:tc>
        <w:tc>
          <w:tcPr>
            <w:tcW w:w="2551" w:type="dxa"/>
            <w:vAlign w:val="center"/>
          </w:tcPr>
          <w:p w14:paraId="38DC4607">
            <w:pPr>
              <w:snapToGrid w:val="0"/>
              <w:spacing w:line="360" w:lineRule="auto"/>
              <w:jc w:val="center"/>
              <w:rPr>
                <w:color w:val="auto"/>
                <w:sz w:val="22"/>
                <w:szCs w:val="22"/>
                <w:highlight w:val="none"/>
              </w:rPr>
            </w:pPr>
          </w:p>
        </w:tc>
        <w:tc>
          <w:tcPr>
            <w:tcW w:w="3118" w:type="dxa"/>
            <w:vAlign w:val="center"/>
          </w:tcPr>
          <w:p w14:paraId="75774C23">
            <w:pPr>
              <w:snapToGrid w:val="0"/>
              <w:spacing w:line="360" w:lineRule="auto"/>
              <w:jc w:val="center"/>
              <w:rPr>
                <w:color w:val="auto"/>
                <w:sz w:val="22"/>
                <w:szCs w:val="22"/>
                <w:highlight w:val="none"/>
              </w:rPr>
            </w:pPr>
          </w:p>
        </w:tc>
        <w:tc>
          <w:tcPr>
            <w:tcW w:w="993" w:type="dxa"/>
            <w:vAlign w:val="center"/>
          </w:tcPr>
          <w:p w14:paraId="7CB0D37F">
            <w:pPr>
              <w:snapToGrid w:val="0"/>
              <w:spacing w:line="360" w:lineRule="auto"/>
              <w:jc w:val="center"/>
              <w:rPr>
                <w:color w:val="auto"/>
                <w:sz w:val="22"/>
                <w:szCs w:val="22"/>
                <w:highlight w:val="none"/>
              </w:rPr>
            </w:pPr>
          </w:p>
        </w:tc>
        <w:tc>
          <w:tcPr>
            <w:tcW w:w="1559" w:type="dxa"/>
            <w:vAlign w:val="center"/>
          </w:tcPr>
          <w:p w14:paraId="26AEA7D9">
            <w:pPr>
              <w:spacing w:line="360" w:lineRule="auto"/>
              <w:jc w:val="center"/>
              <w:rPr>
                <w:color w:val="auto"/>
                <w:sz w:val="22"/>
                <w:szCs w:val="22"/>
                <w:highlight w:val="none"/>
              </w:rPr>
            </w:pPr>
          </w:p>
        </w:tc>
        <w:tc>
          <w:tcPr>
            <w:tcW w:w="1984" w:type="dxa"/>
            <w:vAlign w:val="center"/>
          </w:tcPr>
          <w:p w14:paraId="1569FB4A">
            <w:pPr>
              <w:spacing w:line="360" w:lineRule="auto"/>
              <w:jc w:val="center"/>
              <w:rPr>
                <w:color w:val="auto"/>
                <w:sz w:val="22"/>
                <w:szCs w:val="22"/>
                <w:highlight w:val="none"/>
              </w:rPr>
            </w:pPr>
          </w:p>
        </w:tc>
      </w:tr>
      <w:tr w14:paraId="639F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4DBEB5EA">
            <w:pPr>
              <w:spacing w:line="360" w:lineRule="auto"/>
              <w:jc w:val="center"/>
              <w:rPr>
                <w:color w:val="auto"/>
                <w:sz w:val="22"/>
                <w:szCs w:val="22"/>
                <w:highlight w:val="none"/>
              </w:rPr>
            </w:pPr>
            <w:r>
              <w:rPr>
                <w:color w:val="auto"/>
                <w:sz w:val="22"/>
                <w:szCs w:val="22"/>
                <w:highlight w:val="none"/>
              </w:rPr>
              <w:t>2</w:t>
            </w:r>
          </w:p>
        </w:tc>
        <w:tc>
          <w:tcPr>
            <w:tcW w:w="1701" w:type="dxa"/>
            <w:vAlign w:val="center"/>
          </w:tcPr>
          <w:p w14:paraId="2855A508">
            <w:pPr>
              <w:snapToGrid w:val="0"/>
              <w:spacing w:line="360" w:lineRule="auto"/>
              <w:jc w:val="center"/>
              <w:rPr>
                <w:color w:val="auto"/>
                <w:sz w:val="22"/>
                <w:szCs w:val="22"/>
                <w:highlight w:val="none"/>
              </w:rPr>
            </w:pPr>
          </w:p>
        </w:tc>
        <w:tc>
          <w:tcPr>
            <w:tcW w:w="1843" w:type="dxa"/>
            <w:vAlign w:val="center"/>
          </w:tcPr>
          <w:p w14:paraId="78A8E145">
            <w:pPr>
              <w:snapToGrid w:val="0"/>
              <w:spacing w:line="360" w:lineRule="auto"/>
              <w:jc w:val="center"/>
              <w:rPr>
                <w:color w:val="auto"/>
                <w:sz w:val="22"/>
                <w:szCs w:val="22"/>
                <w:highlight w:val="none"/>
              </w:rPr>
            </w:pPr>
          </w:p>
        </w:tc>
        <w:tc>
          <w:tcPr>
            <w:tcW w:w="2551" w:type="dxa"/>
            <w:vAlign w:val="center"/>
          </w:tcPr>
          <w:p w14:paraId="01D70B35">
            <w:pPr>
              <w:snapToGrid w:val="0"/>
              <w:spacing w:line="360" w:lineRule="auto"/>
              <w:jc w:val="center"/>
              <w:rPr>
                <w:color w:val="auto"/>
                <w:sz w:val="22"/>
                <w:szCs w:val="22"/>
                <w:highlight w:val="none"/>
              </w:rPr>
            </w:pPr>
          </w:p>
        </w:tc>
        <w:tc>
          <w:tcPr>
            <w:tcW w:w="3118" w:type="dxa"/>
            <w:vAlign w:val="center"/>
          </w:tcPr>
          <w:p w14:paraId="31D59C8A">
            <w:pPr>
              <w:snapToGrid w:val="0"/>
              <w:spacing w:line="360" w:lineRule="auto"/>
              <w:jc w:val="center"/>
              <w:rPr>
                <w:color w:val="auto"/>
                <w:sz w:val="22"/>
                <w:szCs w:val="22"/>
                <w:highlight w:val="none"/>
              </w:rPr>
            </w:pPr>
          </w:p>
        </w:tc>
        <w:tc>
          <w:tcPr>
            <w:tcW w:w="993" w:type="dxa"/>
            <w:vAlign w:val="center"/>
          </w:tcPr>
          <w:p w14:paraId="6AE31B05">
            <w:pPr>
              <w:snapToGrid w:val="0"/>
              <w:spacing w:line="360" w:lineRule="auto"/>
              <w:jc w:val="center"/>
              <w:rPr>
                <w:color w:val="auto"/>
                <w:sz w:val="22"/>
                <w:szCs w:val="22"/>
                <w:highlight w:val="none"/>
              </w:rPr>
            </w:pPr>
          </w:p>
        </w:tc>
        <w:tc>
          <w:tcPr>
            <w:tcW w:w="1559" w:type="dxa"/>
            <w:vAlign w:val="center"/>
          </w:tcPr>
          <w:p w14:paraId="25908B33">
            <w:pPr>
              <w:spacing w:line="360" w:lineRule="auto"/>
              <w:jc w:val="center"/>
              <w:rPr>
                <w:color w:val="auto"/>
                <w:sz w:val="22"/>
                <w:szCs w:val="22"/>
                <w:highlight w:val="none"/>
              </w:rPr>
            </w:pPr>
          </w:p>
        </w:tc>
        <w:tc>
          <w:tcPr>
            <w:tcW w:w="1984" w:type="dxa"/>
            <w:vAlign w:val="center"/>
          </w:tcPr>
          <w:p w14:paraId="3538EB16">
            <w:pPr>
              <w:spacing w:line="360" w:lineRule="auto"/>
              <w:jc w:val="center"/>
              <w:rPr>
                <w:color w:val="auto"/>
                <w:sz w:val="22"/>
                <w:szCs w:val="22"/>
                <w:highlight w:val="none"/>
              </w:rPr>
            </w:pPr>
          </w:p>
        </w:tc>
      </w:tr>
      <w:tr w14:paraId="56C8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76A6F45B">
            <w:pPr>
              <w:spacing w:line="360" w:lineRule="auto"/>
              <w:jc w:val="center"/>
              <w:rPr>
                <w:color w:val="auto"/>
                <w:sz w:val="22"/>
                <w:szCs w:val="22"/>
                <w:highlight w:val="none"/>
              </w:rPr>
            </w:pPr>
            <w:r>
              <w:rPr>
                <w:color w:val="auto"/>
                <w:sz w:val="22"/>
                <w:szCs w:val="22"/>
                <w:highlight w:val="none"/>
              </w:rPr>
              <w:t>…</w:t>
            </w:r>
          </w:p>
        </w:tc>
        <w:tc>
          <w:tcPr>
            <w:tcW w:w="1701" w:type="dxa"/>
            <w:vAlign w:val="center"/>
          </w:tcPr>
          <w:p w14:paraId="7DF92CF5">
            <w:pPr>
              <w:snapToGrid w:val="0"/>
              <w:spacing w:line="360" w:lineRule="auto"/>
              <w:jc w:val="center"/>
              <w:rPr>
                <w:color w:val="auto"/>
                <w:sz w:val="22"/>
                <w:szCs w:val="22"/>
                <w:highlight w:val="none"/>
              </w:rPr>
            </w:pPr>
          </w:p>
        </w:tc>
        <w:tc>
          <w:tcPr>
            <w:tcW w:w="1843" w:type="dxa"/>
            <w:vAlign w:val="center"/>
          </w:tcPr>
          <w:p w14:paraId="5B3EB467">
            <w:pPr>
              <w:snapToGrid w:val="0"/>
              <w:spacing w:line="360" w:lineRule="auto"/>
              <w:jc w:val="center"/>
              <w:rPr>
                <w:color w:val="auto"/>
                <w:sz w:val="22"/>
                <w:szCs w:val="22"/>
                <w:highlight w:val="none"/>
              </w:rPr>
            </w:pPr>
          </w:p>
        </w:tc>
        <w:tc>
          <w:tcPr>
            <w:tcW w:w="2551" w:type="dxa"/>
            <w:vAlign w:val="center"/>
          </w:tcPr>
          <w:p w14:paraId="0F9BC7EF">
            <w:pPr>
              <w:snapToGrid w:val="0"/>
              <w:spacing w:line="360" w:lineRule="auto"/>
              <w:jc w:val="center"/>
              <w:rPr>
                <w:color w:val="auto"/>
                <w:sz w:val="22"/>
                <w:szCs w:val="22"/>
                <w:highlight w:val="none"/>
              </w:rPr>
            </w:pPr>
          </w:p>
        </w:tc>
        <w:tc>
          <w:tcPr>
            <w:tcW w:w="3118" w:type="dxa"/>
            <w:vAlign w:val="center"/>
          </w:tcPr>
          <w:p w14:paraId="6651E09B">
            <w:pPr>
              <w:snapToGrid w:val="0"/>
              <w:spacing w:line="360" w:lineRule="auto"/>
              <w:jc w:val="center"/>
              <w:rPr>
                <w:color w:val="auto"/>
                <w:sz w:val="22"/>
                <w:szCs w:val="22"/>
                <w:highlight w:val="none"/>
              </w:rPr>
            </w:pPr>
          </w:p>
        </w:tc>
        <w:tc>
          <w:tcPr>
            <w:tcW w:w="993" w:type="dxa"/>
            <w:vAlign w:val="center"/>
          </w:tcPr>
          <w:p w14:paraId="6E2290C5">
            <w:pPr>
              <w:snapToGrid w:val="0"/>
              <w:spacing w:line="360" w:lineRule="auto"/>
              <w:jc w:val="center"/>
              <w:rPr>
                <w:color w:val="auto"/>
                <w:sz w:val="22"/>
                <w:szCs w:val="22"/>
                <w:highlight w:val="none"/>
              </w:rPr>
            </w:pPr>
          </w:p>
        </w:tc>
        <w:tc>
          <w:tcPr>
            <w:tcW w:w="1559" w:type="dxa"/>
            <w:vAlign w:val="center"/>
          </w:tcPr>
          <w:p w14:paraId="3F18B613">
            <w:pPr>
              <w:spacing w:line="360" w:lineRule="auto"/>
              <w:jc w:val="center"/>
              <w:rPr>
                <w:color w:val="auto"/>
                <w:sz w:val="22"/>
                <w:szCs w:val="22"/>
                <w:highlight w:val="none"/>
              </w:rPr>
            </w:pPr>
          </w:p>
        </w:tc>
        <w:tc>
          <w:tcPr>
            <w:tcW w:w="1984" w:type="dxa"/>
            <w:vAlign w:val="center"/>
          </w:tcPr>
          <w:p w14:paraId="320DCEF2">
            <w:pPr>
              <w:spacing w:line="360" w:lineRule="auto"/>
              <w:jc w:val="center"/>
              <w:rPr>
                <w:color w:val="auto"/>
                <w:sz w:val="22"/>
                <w:szCs w:val="22"/>
                <w:highlight w:val="none"/>
              </w:rPr>
            </w:pPr>
          </w:p>
        </w:tc>
      </w:tr>
      <w:tr w14:paraId="1774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72F1CAAD">
            <w:pPr>
              <w:spacing w:line="360" w:lineRule="auto"/>
              <w:jc w:val="center"/>
              <w:rPr>
                <w:color w:val="auto"/>
                <w:sz w:val="22"/>
                <w:szCs w:val="22"/>
                <w:highlight w:val="none"/>
              </w:rPr>
            </w:pPr>
          </w:p>
        </w:tc>
        <w:tc>
          <w:tcPr>
            <w:tcW w:w="1701" w:type="dxa"/>
            <w:vAlign w:val="center"/>
          </w:tcPr>
          <w:p w14:paraId="40F93A72">
            <w:pPr>
              <w:snapToGrid w:val="0"/>
              <w:spacing w:line="360" w:lineRule="auto"/>
              <w:jc w:val="center"/>
              <w:rPr>
                <w:color w:val="auto"/>
                <w:sz w:val="22"/>
                <w:szCs w:val="22"/>
                <w:highlight w:val="none"/>
              </w:rPr>
            </w:pPr>
          </w:p>
        </w:tc>
        <w:tc>
          <w:tcPr>
            <w:tcW w:w="1843" w:type="dxa"/>
            <w:vAlign w:val="center"/>
          </w:tcPr>
          <w:p w14:paraId="3443FAF6">
            <w:pPr>
              <w:snapToGrid w:val="0"/>
              <w:spacing w:line="360" w:lineRule="auto"/>
              <w:jc w:val="center"/>
              <w:rPr>
                <w:color w:val="auto"/>
                <w:sz w:val="22"/>
                <w:szCs w:val="22"/>
                <w:highlight w:val="none"/>
              </w:rPr>
            </w:pPr>
          </w:p>
        </w:tc>
        <w:tc>
          <w:tcPr>
            <w:tcW w:w="2551" w:type="dxa"/>
            <w:vAlign w:val="center"/>
          </w:tcPr>
          <w:p w14:paraId="2EFF7726">
            <w:pPr>
              <w:snapToGrid w:val="0"/>
              <w:spacing w:line="360" w:lineRule="auto"/>
              <w:jc w:val="center"/>
              <w:rPr>
                <w:color w:val="auto"/>
                <w:sz w:val="22"/>
                <w:szCs w:val="22"/>
                <w:highlight w:val="none"/>
              </w:rPr>
            </w:pPr>
          </w:p>
        </w:tc>
        <w:tc>
          <w:tcPr>
            <w:tcW w:w="3118" w:type="dxa"/>
            <w:vAlign w:val="center"/>
          </w:tcPr>
          <w:p w14:paraId="198AC719">
            <w:pPr>
              <w:snapToGrid w:val="0"/>
              <w:spacing w:line="360" w:lineRule="auto"/>
              <w:jc w:val="center"/>
              <w:rPr>
                <w:color w:val="auto"/>
                <w:sz w:val="22"/>
                <w:szCs w:val="22"/>
                <w:highlight w:val="none"/>
              </w:rPr>
            </w:pPr>
          </w:p>
        </w:tc>
        <w:tc>
          <w:tcPr>
            <w:tcW w:w="993" w:type="dxa"/>
            <w:vAlign w:val="center"/>
          </w:tcPr>
          <w:p w14:paraId="7C04B8D5">
            <w:pPr>
              <w:snapToGrid w:val="0"/>
              <w:spacing w:line="360" w:lineRule="auto"/>
              <w:jc w:val="center"/>
              <w:rPr>
                <w:color w:val="auto"/>
                <w:sz w:val="22"/>
                <w:szCs w:val="22"/>
                <w:highlight w:val="none"/>
              </w:rPr>
            </w:pPr>
          </w:p>
        </w:tc>
        <w:tc>
          <w:tcPr>
            <w:tcW w:w="1559" w:type="dxa"/>
            <w:vAlign w:val="center"/>
          </w:tcPr>
          <w:p w14:paraId="5C33D0C4">
            <w:pPr>
              <w:spacing w:line="360" w:lineRule="auto"/>
              <w:jc w:val="center"/>
              <w:rPr>
                <w:color w:val="auto"/>
                <w:sz w:val="22"/>
                <w:szCs w:val="22"/>
                <w:highlight w:val="none"/>
              </w:rPr>
            </w:pPr>
          </w:p>
        </w:tc>
        <w:tc>
          <w:tcPr>
            <w:tcW w:w="1984" w:type="dxa"/>
            <w:vAlign w:val="center"/>
          </w:tcPr>
          <w:p w14:paraId="4ADCE61D">
            <w:pPr>
              <w:spacing w:line="360" w:lineRule="auto"/>
              <w:jc w:val="center"/>
              <w:rPr>
                <w:color w:val="auto"/>
                <w:sz w:val="22"/>
                <w:szCs w:val="22"/>
                <w:highlight w:val="none"/>
              </w:rPr>
            </w:pPr>
          </w:p>
        </w:tc>
      </w:tr>
      <w:tr w14:paraId="461B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14:paraId="76890316">
            <w:pPr>
              <w:spacing w:line="360" w:lineRule="auto"/>
              <w:jc w:val="center"/>
              <w:rPr>
                <w:color w:val="auto"/>
                <w:sz w:val="22"/>
                <w:szCs w:val="22"/>
                <w:highlight w:val="none"/>
              </w:rPr>
            </w:pPr>
          </w:p>
        </w:tc>
        <w:tc>
          <w:tcPr>
            <w:tcW w:w="1701" w:type="dxa"/>
            <w:vAlign w:val="center"/>
          </w:tcPr>
          <w:p w14:paraId="01484F7E">
            <w:pPr>
              <w:snapToGrid w:val="0"/>
              <w:spacing w:line="360" w:lineRule="auto"/>
              <w:jc w:val="center"/>
              <w:rPr>
                <w:color w:val="auto"/>
                <w:sz w:val="22"/>
                <w:szCs w:val="22"/>
                <w:highlight w:val="none"/>
              </w:rPr>
            </w:pPr>
          </w:p>
        </w:tc>
        <w:tc>
          <w:tcPr>
            <w:tcW w:w="1843" w:type="dxa"/>
            <w:vAlign w:val="center"/>
          </w:tcPr>
          <w:p w14:paraId="4E1E48D9">
            <w:pPr>
              <w:snapToGrid w:val="0"/>
              <w:spacing w:line="360" w:lineRule="auto"/>
              <w:jc w:val="center"/>
              <w:rPr>
                <w:color w:val="auto"/>
                <w:sz w:val="22"/>
                <w:szCs w:val="22"/>
                <w:highlight w:val="none"/>
              </w:rPr>
            </w:pPr>
          </w:p>
        </w:tc>
        <w:tc>
          <w:tcPr>
            <w:tcW w:w="2551" w:type="dxa"/>
            <w:vAlign w:val="center"/>
          </w:tcPr>
          <w:p w14:paraId="7ADD8FE3">
            <w:pPr>
              <w:snapToGrid w:val="0"/>
              <w:spacing w:line="360" w:lineRule="auto"/>
              <w:jc w:val="center"/>
              <w:rPr>
                <w:color w:val="auto"/>
                <w:sz w:val="22"/>
                <w:szCs w:val="22"/>
                <w:highlight w:val="none"/>
              </w:rPr>
            </w:pPr>
          </w:p>
        </w:tc>
        <w:tc>
          <w:tcPr>
            <w:tcW w:w="3118" w:type="dxa"/>
            <w:vAlign w:val="center"/>
          </w:tcPr>
          <w:p w14:paraId="20E5E1B7">
            <w:pPr>
              <w:snapToGrid w:val="0"/>
              <w:spacing w:line="360" w:lineRule="auto"/>
              <w:jc w:val="center"/>
              <w:rPr>
                <w:color w:val="auto"/>
                <w:sz w:val="22"/>
                <w:szCs w:val="22"/>
                <w:highlight w:val="none"/>
              </w:rPr>
            </w:pPr>
          </w:p>
        </w:tc>
        <w:tc>
          <w:tcPr>
            <w:tcW w:w="993" w:type="dxa"/>
            <w:vAlign w:val="center"/>
          </w:tcPr>
          <w:p w14:paraId="2E10F2D6">
            <w:pPr>
              <w:snapToGrid w:val="0"/>
              <w:spacing w:line="360" w:lineRule="auto"/>
              <w:jc w:val="center"/>
              <w:rPr>
                <w:color w:val="auto"/>
                <w:sz w:val="22"/>
                <w:szCs w:val="22"/>
                <w:highlight w:val="none"/>
              </w:rPr>
            </w:pPr>
          </w:p>
        </w:tc>
        <w:tc>
          <w:tcPr>
            <w:tcW w:w="1559" w:type="dxa"/>
            <w:vAlign w:val="center"/>
          </w:tcPr>
          <w:p w14:paraId="5B40CEE9">
            <w:pPr>
              <w:spacing w:line="360" w:lineRule="auto"/>
              <w:jc w:val="center"/>
              <w:rPr>
                <w:color w:val="auto"/>
                <w:sz w:val="22"/>
                <w:szCs w:val="22"/>
                <w:highlight w:val="none"/>
              </w:rPr>
            </w:pPr>
          </w:p>
        </w:tc>
        <w:tc>
          <w:tcPr>
            <w:tcW w:w="1984" w:type="dxa"/>
            <w:vAlign w:val="center"/>
          </w:tcPr>
          <w:p w14:paraId="604EB24F">
            <w:pPr>
              <w:spacing w:line="360" w:lineRule="auto"/>
              <w:jc w:val="center"/>
              <w:rPr>
                <w:color w:val="auto"/>
                <w:sz w:val="22"/>
                <w:szCs w:val="22"/>
                <w:highlight w:val="none"/>
              </w:rPr>
            </w:pPr>
          </w:p>
        </w:tc>
      </w:tr>
      <w:tr w14:paraId="49F3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5"/>
            <w:vAlign w:val="center"/>
          </w:tcPr>
          <w:p w14:paraId="2594ED77">
            <w:pPr>
              <w:snapToGrid w:val="0"/>
              <w:spacing w:line="360" w:lineRule="auto"/>
              <w:jc w:val="center"/>
              <w:rPr>
                <w:color w:val="auto"/>
                <w:sz w:val="22"/>
                <w:szCs w:val="22"/>
                <w:highlight w:val="none"/>
              </w:rPr>
            </w:pPr>
            <w:r>
              <w:rPr>
                <w:b/>
                <w:color w:val="auto"/>
                <w:sz w:val="22"/>
                <w:szCs w:val="22"/>
                <w:highlight w:val="none"/>
              </w:rPr>
              <w:t>投标报价（小写）</w:t>
            </w:r>
          </w:p>
        </w:tc>
        <w:tc>
          <w:tcPr>
            <w:tcW w:w="4536" w:type="dxa"/>
            <w:gridSpan w:val="3"/>
            <w:vAlign w:val="center"/>
          </w:tcPr>
          <w:p w14:paraId="5D66C080">
            <w:pPr>
              <w:spacing w:line="360" w:lineRule="auto"/>
              <w:jc w:val="center"/>
              <w:rPr>
                <w:color w:val="auto"/>
                <w:sz w:val="22"/>
                <w:szCs w:val="22"/>
                <w:highlight w:val="none"/>
              </w:rPr>
            </w:pPr>
          </w:p>
        </w:tc>
      </w:tr>
      <w:tr w14:paraId="5987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036" w:type="dxa"/>
            <w:gridSpan w:val="5"/>
            <w:vAlign w:val="center"/>
          </w:tcPr>
          <w:p w14:paraId="2AE3260D">
            <w:pPr>
              <w:snapToGrid w:val="0"/>
              <w:spacing w:line="360" w:lineRule="auto"/>
              <w:jc w:val="center"/>
              <w:rPr>
                <w:color w:val="auto"/>
                <w:sz w:val="22"/>
                <w:szCs w:val="22"/>
                <w:highlight w:val="none"/>
              </w:rPr>
            </w:pPr>
            <w:r>
              <w:rPr>
                <w:b/>
                <w:color w:val="auto"/>
                <w:sz w:val="22"/>
                <w:szCs w:val="22"/>
                <w:highlight w:val="none"/>
              </w:rPr>
              <w:t>投标报价（大写）</w:t>
            </w:r>
          </w:p>
        </w:tc>
        <w:tc>
          <w:tcPr>
            <w:tcW w:w="4536" w:type="dxa"/>
            <w:gridSpan w:val="3"/>
            <w:vAlign w:val="center"/>
          </w:tcPr>
          <w:p w14:paraId="67378F78">
            <w:pPr>
              <w:spacing w:line="360" w:lineRule="auto"/>
              <w:jc w:val="center"/>
              <w:rPr>
                <w:color w:val="auto"/>
                <w:sz w:val="22"/>
                <w:szCs w:val="22"/>
                <w:highlight w:val="none"/>
              </w:rPr>
            </w:pPr>
          </w:p>
        </w:tc>
      </w:tr>
    </w:tbl>
    <w:p w14:paraId="4E54001E">
      <w:pPr>
        <w:snapToGrid w:val="0"/>
        <w:spacing w:line="276" w:lineRule="auto"/>
        <w:ind w:left="480"/>
        <w:rPr>
          <w:b/>
          <w:color w:val="auto"/>
          <w:highlight w:val="none"/>
          <w:lang w:val="zh-CN"/>
        </w:rPr>
      </w:pPr>
      <w:r>
        <w:rPr>
          <w:b/>
          <w:color w:val="auto"/>
          <w:highlight w:val="none"/>
          <w:lang w:val="zh-CN"/>
        </w:rPr>
        <w:t>注：</w:t>
      </w:r>
    </w:p>
    <w:p w14:paraId="07956268">
      <w:pPr>
        <w:spacing w:line="276" w:lineRule="auto"/>
        <w:ind w:left="-2" w:leftChars="-1" w:firstLine="480" w:firstLineChars="200"/>
        <w:rPr>
          <w:color w:val="auto"/>
          <w:highlight w:val="none"/>
          <w:lang w:val="zh-CN"/>
        </w:rPr>
      </w:pPr>
      <w:r>
        <w:rPr>
          <w:color w:val="auto"/>
          <w:highlight w:val="none"/>
          <w:lang w:val="zh-CN"/>
        </w:rPr>
        <w:t>1.投标人需按本表格式填写，不得自行更改。</w:t>
      </w:r>
      <w:r>
        <w:rPr>
          <w:b/>
          <w:color w:val="auto"/>
          <w:highlight w:val="none"/>
          <w:lang w:val="zh-CN"/>
        </w:rPr>
        <w:t>此表中的货物必须与《货物技术参数明细表》中填报的内容相一致。</w:t>
      </w:r>
    </w:p>
    <w:p w14:paraId="08ECEBA7">
      <w:pPr>
        <w:spacing w:line="276" w:lineRule="auto"/>
        <w:ind w:firstLine="480" w:firstLineChars="200"/>
        <w:rPr>
          <w:color w:val="auto"/>
          <w:highlight w:val="none"/>
          <w:lang w:val="zh-CN"/>
        </w:rPr>
      </w:pPr>
      <w:r>
        <w:rPr>
          <w:color w:val="auto"/>
          <w:highlight w:val="none"/>
          <w:lang w:val="zh-CN"/>
        </w:rPr>
        <w:t>2.</w:t>
      </w:r>
      <w:r>
        <w:rPr>
          <w:rFonts w:hint="eastAsia"/>
          <w:color w:val="auto"/>
          <w:highlight w:val="none"/>
          <w:lang w:val="zh-CN"/>
        </w:rPr>
        <w:t>有关本项目实施所涉及的一切费用均计入报价。</w:t>
      </w:r>
      <w:r>
        <w:rPr>
          <w:rFonts w:hint="eastAsia"/>
          <w:b/>
          <w:color w:val="auto"/>
          <w:highlight w:val="none"/>
          <w:lang w:val="zh-CN"/>
        </w:rPr>
        <w:t>采购人将以合同形式有偿取得采购清单中货物或服务，报价表中不得出现</w:t>
      </w:r>
      <w:r>
        <w:rPr>
          <w:b/>
          <w:color w:val="auto"/>
          <w:highlight w:val="none"/>
          <w:lang w:val="zh-CN"/>
        </w:rPr>
        <w:t>“0</w:t>
      </w:r>
      <w:r>
        <w:rPr>
          <w:rFonts w:hint="eastAsia"/>
          <w:b/>
          <w:color w:val="auto"/>
          <w:highlight w:val="none"/>
          <w:lang w:val="zh-CN"/>
        </w:rPr>
        <w:t>元</w:t>
      </w:r>
      <w:r>
        <w:rPr>
          <w:b/>
          <w:color w:val="auto"/>
          <w:highlight w:val="none"/>
          <w:lang w:val="zh-CN"/>
        </w:rPr>
        <w:t>”“</w:t>
      </w:r>
      <w:r>
        <w:rPr>
          <w:rFonts w:hint="eastAsia"/>
          <w:b/>
          <w:color w:val="auto"/>
          <w:highlight w:val="none"/>
          <w:lang w:val="zh-CN"/>
        </w:rPr>
        <w:t>免费赠送</w:t>
      </w:r>
      <w:r>
        <w:rPr>
          <w:b/>
          <w:color w:val="auto"/>
          <w:highlight w:val="none"/>
          <w:lang w:val="zh-CN"/>
        </w:rPr>
        <w:t>”</w:t>
      </w:r>
      <w:r>
        <w:rPr>
          <w:rFonts w:hint="eastAsia"/>
          <w:b/>
          <w:color w:val="auto"/>
          <w:highlight w:val="none"/>
          <w:lang w:val="zh-CN"/>
        </w:rPr>
        <w:t>等形式的无偿报价，</w:t>
      </w:r>
      <w:r>
        <w:rPr>
          <w:rFonts w:hint="eastAsia"/>
          <w:b/>
          <w:color w:val="auto"/>
          <w:highlight w:val="none"/>
        </w:rPr>
        <w:t>否则视为响应文件含有采购人不能接受的附加条件的，响应无效</w:t>
      </w:r>
      <w:r>
        <w:rPr>
          <w:rFonts w:hint="eastAsia"/>
          <w:b/>
          <w:color w:val="auto"/>
          <w:highlight w:val="none"/>
          <w:lang w:val="zh-CN"/>
        </w:rPr>
        <w:t>。</w:t>
      </w:r>
    </w:p>
    <w:p w14:paraId="04191E2B">
      <w:pPr>
        <w:snapToGrid w:val="0"/>
        <w:spacing w:line="276" w:lineRule="auto"/>
        <w:ind w:firstLine="480" w:firstLineChars="200"/>
        <w:rPr>
          <w:color w:val="auto"/>
          <w:highlight w:val="none"/>
          <w:lang w:val="zh-CN"/>
        </w:rPr>
      </w:pPr>
      <w:r>
        <w:rPr>
          <w:color w:val="auto"/>
          <w:highlight w:val="none"/>
          <w:lang w:val="zh-CN"/>
        </w:rPr>
        <w:t>3.特别提示：采购代理机构将对项目名称和项目编号，中标供应商名称、地址和中标金额，主要中标标的的名称、规格型号、数量、单价、服务要求等予以公示。</w:t>
      </w:r>
    </w:p>
    <w:p w14:paraId="52A70973">
      <w:pPr>
        <w:snapToGrid w:val="0"/>
        <w:spacing w:line="276" w:lineRule="auto"/>
        <w:ind w:firstLine="480" w:firstLineChars="200"/>
        <w:rPr>
          <w:color w:val="auto"/>
          <w:highlight w:val="none"/>
          <w:lang w:val="zh-CN"/>
        </w:rPr>
      </w:pPr>
      <w:r>
        <w:rPr>
          <w:color w:val="auto"/>
          <w:szCs w:val="22"/>
          <w:highlight w:val="none"/>
          <w:lang w:val="zh-CN"/>
        </w:rPr>
        <w:t>4.</w:t>
      </w:r>
      <w:r>
        <w:rPr>
          <w:color w:val="auto"/>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225299">
      <w:pPr>
        <w:pStyle w:val="24"/>
        <w:widowControl w:val="0"/>
        <w:adjustRightInd w:val="0"/>
        <w:snapToGrid w:val="0"/>
        <w:spacing w:before="0" w:beforeAutospacing="0" w:after="0" w:afterAutospacing="0" w:line="360" w:lineRule="auto"/>
        <w:rPr>
          <w:rFonts w:ascii="Times New Roman" w:hAnsi="Times New Roman"/>
          <w:color w:val="auto"/>
          <w:highlight w:val="none"/>
        </w:rPr>
      </w:pPr>
    </w:p>
    <w:p w14:paraId="58C79EE8">
      <w:pPr>
        <w:pStyle w:val="24"/>
        <w:widowControl w:val="0"/>
        <w:adjustRightInd w:val="0"/>
        <w:snapToGrid w:val="0"/>
        <w:spacing w:before="0" w:beforeAutospacing="0" w:after="0" w:afterAutospacing="0" w:line="360" w:lineRule="auto"/>
        <w:rPr>
          <w:rFonts w:ascii="Times New Roman" w:hAnsi="Times New Roman"/>
          <w:color w:val="auto"/>
          <w:highlight w:val="none"/>
        </w:rPr>
      </w:pPr>
    </w:p>
    <w:p w14:paraId="7D2816B3">
      <w:pPr>
        <w:pStyle w:val="24"/>
        <w:widowControl w:val="0"/>
        <w:adjustRightInd w:val="0"/>
        <w:snapToGrid w:val="0"/>
        <w:spacing w:before="0" w:beforeAutospacing="0" w:after="0" w:afterAutospacing="0" w:line="360" w:lineRule="auto"/>
        <w:rPr>
          <w:rFonts w:ascii="Times New Roman" w:hAnsi="Times New Roman"/>
          <w:color w:val="auto"/>
          <w:highlight w:val="none"/>
        </w:rPr>
      </w:pPr>
    </w:p>
    <w:p w14:paraId="05FBCADD">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bookmarkStart w:id="75" w:name="_Hlk94088846"/>
      <w:r>
        <w:rPr>
          <w:rFonts w:ascii="Times New Roman" w:hAnsi="Times New Roman"/>
          <w:color w:val="auto"/>
          <w:highlight w:val="none"/>
        </w:rPr>
        <w:t>投标人</w:t>
      </w:r>
      <w:r>
        <w:rPr>
          <w:color w:val="auto"/>
          <w:highlight w:val="none"/>
        </w:rPr>
        <w:t>（电子签章）</w:t>
      </w:r>
      <w:r>
        <w:rPr>
          <w:rFonts w:ascii="Times New Roman" w:hAnsi="Times New Roman"/>
          <w:color w:val="auto"/>
          <w:highlight w:val="none"/>
        </w:rPr>
        <w:t>：__________________________</w:t>
      </w:r>
    </w:p>
    <w:p w14:paraId="27A24140">
      <w:pPr>
        <w:pStyle w:val="24"/>
        <w:widowControl w:val="0"/>
        <w:adjustRightInd w:val="0"/>
        <w:snapToGrid w:val="0"/>
        <w:spacing w:before="0" w:beforeAutospacing="0" w:after="0" w:afterAutospacing="0"/>
        <w:ind w:firstLine="900" w:firstLineChars="375"/>
        <w:jc w:val="right"/>
        <w:rPr>
          <w:rFonts w:ascii="Times New Roman" w:hAnsi="Times New Roman"/>
          <w:color w:val="auto"/>
          <w:highlight w:val="none"/>
        </w:rPr>
      </w:pPr>
      <w:r>
        <w:rPr>
          <w:rFonts w:ascii="Times New Roman" w:hAnsi="Times New Roman"/>
          <w:color w:val="auto"/>
          <w:highlight w:val="none"/>
        </w:rPr>
        <w:t>日期：____年____月____日</w:t>
      </w:r>
    </w:p>
    <w:bookmarkEnd w:id="75"/>
    <w:p w14:paraId="16ADFA3C">
      <w:pPr>
        <w:spacing w:line="360" w:lineRule="auto"/>
        <w:rPr>
          <w:color w:val="auto"/>
          <w:highlight w:val="none"/>
          <w:lang w:val="zh-CN"/>
        </w:rPr>
        <w:sectPr>
          <w:headerReference r:id="rId8" w:type="default"/>
          <w:pgSz w:w="16838" w:h="11906" w:orient="landscape"/>
          <w:pgMar w:top="1622" w:right="1259" w:bottom="1287" w:left="1361" w:header="709" w:footer="975" w:gutter="0"/>
          <w:cols w:space="720" w:num="1"/>
          <w:docGrid w:linePitch="360" w:charSpace="0"/>
        </w:sectPr>
      </w:pPr>
    </w:p>
    <w:p w14:paraId="2B659C4D">
      <w:pPr>
        <w:pStyle w:val="24"/>
        <w:widowControl w:val="0"/>
        <w:adjustRightInd w:val="0"/>
        <w:snapToGrid w:val="0"/>
        <w:spacing w:line="276" w:lineRule="auto"/>
        <w:ind w:firstLine="643"/>
        <w:jc w:val="center"/>
        <w:rPr>
          <w:rFonts w:hint="eastAsia"/>
          <w:b/>
          <w:color w:val="auto"/>
          <w:sz w:val="32"/>
          <w:szCs w:val="32"/>
          <w:highlight w:val="none"/>
        </w:rPr>
      </w:pPr>
      <w:r>
        <w:rPr>
          <w:rFonts w:ascii="Times New Roman" w:hAnsi="Times New Roman"/>
          <w:b/>
          <w:color w:val="auto"/>
          <w:sz w:val="32"/>
          <w:szCs w:val="32"/>
          <w:highlight w:val="none"/>
        </w:rPr>
        <w:t>二、</w:t>
      </w:r>
      <w:r>
        <w:rPr>
          <w:rFonts w:hint="eastAsia"/>
          <w:b/>
          <w:color w:val="auto"/>
          <w:sz w:val="32"/>
          <w:szCs w:val="32"/>
          <w:highlight w:val="none"/>
        </w:rPr>
        <w:t>报价说明（如有）</w:t>
      </w:r>
    </w:p>
    <w:p w14:paraId="7429FAE7">
      <w:pPr>
        <w:ind w:firstLine="562" w:firstLineChars="200"/>
        <w:rPr>
          <w:color w:val="auto"/>
          <w:highlight w:val="none"/>
        </w:rPr>
      </w:pPr>
      <w:r>
        <w:rPr>
          <w:rFonts w:hint="eastAsia"/>
          <w:b/>
          <w:bCs/>
          <w:color w:val="auto"/>
          <w:sz w:val="28"/>
          <w:szCs w:val="28"/>
          <w:highlight w:val="none"/>
          <w:lang w:val="zh-CN"/>
        </w:rPr>
        <w:t>投标人不得进行影响产品(或服务、工程)质量或者诚信履约的恶意报价。投标人报价低于项目最高限价50%的，应当详细阐述不影响产品(或服务、工程)质量或者诚信约的具体原因如下：</w:t>
      </w:r>
      <w:r>
        <w:rPr>
          <w:b/>
          <w:bCs/>
          <w:color w:val="auto"/>
          <w:sz w:val="28"/>
          <w:szCs w:val="28"/>
          <w:highlight w:val="none"/>
        </w:rPr>
        <w:t>__________________________</w:t>
      </w:r>
    </w:p>
    <w:p w14:paraId="098B7452">
      <w:pPr>
        <w:pStyle w:val="24"/>
        <w:widowControl w:val="0"/>
        <w:adjustRightInd w:val="0"/>
        <w:snapToGrid w:val="0"/>
        <w:spacing w:before="0" w:beforeAutospacing="0" w:after="0" w:afterAutospacing="0" w:line="360" w:lineRule="auto"/>
        <w:ind w:firstLine="240"/>
        <w:rPr>
          <w:rFonts w:ascii="Times New Roman" w:hAnsi="Times New Roman"/>
          <w:color w:val="auto"/>
          <w:highlight w:val="none"/>
        </w:rPr>
      </w:pPr>
    </w:p>
    <w:p w14:paraId="45FA1FC4">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p>
    <w:p w14:paraId="27A181F7">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p>
    <w:p w14:paraId="7A039973">
      <w:pPr>
        <w:pStyle w:val="24"/>
        <w:widowControl w:val="0"/>
        <w:adjustRightInd w:val="0"/>
        <w:snapToGrid w:val="0"/>
        <w:spacing w:before="0" w:beforeAutospacing="0" w:after="0" w:afterAutospacing="0" w:line="360" w:lineRule="auto"/>
        <w:ind w:firstLine="900" w:firstLineChars="375"/>
        <w:jc w:val="right"/>
        <w:rPr>
          <w:rFonts w:ascii="Times New Roman" w:hAnsi="Times New Roman"/>
          <w:color w:val="auto"/>
          <w:highlight w:val="none"/>
        </w:rPr>
      </w:pPr>
      <w:r>
        <w:rPr>
          <w:rFonts w:hint="eastAsia" w:ascii="Times New Roman" w:hAnsi="Times New Roman"/>
          <w:color w:val="auto"/>
          <w:highlight w:val="none"/>
        </w:rPr>
        <w:t>投标人</w:t>
      </w:r>
      <w:r>
        <w:rPr>
          <w:color w:val="auto"/>
          <w:highlight w:val="none"/>
        </w:rPr>
        <w:t>（电子签章）</w:t>
      </w:r>
      <w:r>
        <w:rPr>
          <w:rFonts w:ascii="Times New Roman" w:hAnsi="Times New Roman"/>
          <w:color w:val="auto"/>
          <w:highlight w:val="none"/>
        </w:rPr>
        <w:t>：__________________________</w:t>
      </w:r>
    </w:p>
    <w:p w14:paraId="7722BDDF">
      <w:pPr>
        <w:pStyle w:val="24"/>
        <w:widowControl w:val="0"/>
        <w:adjustRightInd w:val="0"/>
        <w:snapToGrid w:val="0"/>
        <w:ind w:firstLine="240"/>
        <w:jc w:val="center"/>
        <w:rPr>
          <w:rFonts w:ascii="Times New Roman" w:hAnsi="Times New Roman"/>
          <w:b/>
          <w:color w:val="auto"/>
          <w:sz w:val="32"/>
          <w:szCs w:val="32"/>
          <w:highlight w:val="none"/>
        </w:rPr>
      </w:pPr>
      <w:r>
        <w:rPr>
          <w:rFonts w:hint="eastAsia" w:ascii="Times New Roman" w:hAnsi="Times New Roman"/>
          <w:color w:val="auto"/>
          <w:highlight w:val="none"/>
        </w:rPr>
        <w:t xml:space="preserve">               </w:t>
      </w:r>
      <w:r>
        <w:rPr>
          <w:rFonts w:ascii="Times New Roman" w:hAnsi="Times New Roman"/>
          <w:color w:val="auto"/>
          <w:highlight w:val="none"/>
        </w:rPr>
        <w:t>日期：____年____月____日</w:t>
      </w:r>
    </w:p>
    <w:p w14:paraId="0ADAFFD6">
      <w:pPr>
        <w:pStyle w:val="24"/>
        <w:widowControl w:val="0"/>
        <w:adjustRightInd w:val="0"/>
        <w:snapToGrid w:val="0"/>
        <w:spacing w:line="360" w:lineRule="auto"/>
        <w:jc w:val="center"/>
        <w:rPr>
          <w:rFonts w:hint="eastAsia"/>
          <w:b/>
          <w:color w:val="auto"/>
          <w:sz w:val="32"/>
          <w:szCs w:val="32"/>
          <w:highlight w:val="none"/>
        </w:rPr>
        <w:sectPr>
          <w:pgSz w:w="11906" w:h="16838"/>
          <w:pgMar w:top="1259" w:right="1287" w:bottom="1361" w:left="1622" w:header="709" w:footer="975" w:gutter="0"/>
          <w:cols w:space="720" w:num="1"/>
          <w:docGrid w:linePitch="360" w:charSpace="0"/>
        </w:sectPr>
      </w:pPr>
    </w:p>
    <w:p w14:paraId="0E9576E8">
      <w:pPr>
        <w:pStyle w:val="24"/>
        <w:widowControl w:val="0"/>
        <w:adjustRightInd w:val="0"/>
        <w:snapToGrid w:val="0"/>
        <w:spacing w:line="360" w:lineRule="auto"/>
        <w:jc w:val="center"/>
        <w:rPr>
          <w:rFonts w:hint="eastAsia"/>
          <w:b/>
          <w:color w:val="auto"/>
          <w:sz w:val="32"/>
          <w:szCs w:val="32"/>
          <w:highlight w:val="none"/>
        </w:rPr>
      </w:pPr>
      <w:r>
        <w:rPr>
          <w:rFonts w:hint="eastAsia"/>
          <w:b/>
          <w:color w:val="auto"/>
          <w:sz w:val="32"/>
          <w:szCs w:val="32"/>
          <w:highlight w:val="none"/>
        </w:rPr>
        <w:t>三、中小企业声明函（货物）</w:t>
      </w:r>
    </w:p>
    <w:p w14:paraId="16FF64AC">
      <w:pPr>
        <w:spacing w:line="360" w:lineRule="auto"/>
        <w:ind w:firstLine="480" w:firstLineChars="200"/>
        <w:rPr>
          <w:rFonts w:hint="eastAsia" w:ascii="宋体" w:hAnsi="宋体"/>
          <w:color w:val="auto"/>
          <w:highlight w:val="none"/>
        </w:rPr>
      </w:pPr>
      <w:r>
        <w:rPr>
          <w:rFonts w:hint="eastAsia" w:ascii="宋体" w:hAnsi="宋体"/>
          <w:color w:val="auto"/>
          <w:highlight w:val="none"/>
        </w:rPr>
        <w:t>本公司郑重声明，根据《政府采购促进中小企业发展管理办法》（财库[2020]46号）的规定，本公司（联合体）参加______（单位名称）的______（项目名称）采购活动，提供的货物全部由符合政策要求的中小企业制造。相关企业（含联合体中的中小企业、签订分包意向协议的中小企业）的具体情况如下：</w:t>
      </w:r>
    </w:p>
    <w:p w14:paraId="5EC5CB69">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1._____（标的名称），属于</w:t>
      </w:r>
      <w:r>
        <w:rPr>
          <w:rFonts w:hint="eastAsia" w:ascii="宋体" w:hAnsi="宋体"/>
          <w:color w:val="auto"/>
          <w:highlight w:val="none"/>
          <w:u w:val="single"/>
        </w:rPr>
        <w:t>（采购文件中明确的所属行业）</w:t>
      </w:r>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65196C6F">
      <w:pPr>
        <w:shd w:val="clear" w:color="auto" w:fill="FFFFFF"/>
        <w:spacing w:line="360" w:lineRule="auto"/>
        <w:ind w:firstLine="480" w:firstLineChars="200"/>
        <w:rPr>
          <w:rFonts w:hint="eastAsia" w:ascii="宋体" w:hAnsi="宋体"/>
          <w:color w:val="auto"/>
          <w:highlight w:val="none"/>
        </w:rPr>
      </w:pPr>
      <w:r>
        <w:rPr>
          <w:rFonts w:hint="eastAsia" w:ascii="宋体" w:hAnsi="宋体"/>
          <w:color w:val="auto"/>
          <w:highlight w:val="none"/>
        </w:rPr>
        <w:t>2._____（标的名称），属于</w:t>
      </w:r>
      <w:r>
        <w:rPr>
          <w:rFonts w:hint="eastAsia" w:ascii="宋体" w:hAnsi="宋体"/>
          <w:color w:val="auto"/>
          <w:highlight w:val="none"/>
          <w:u w:val="single"/>
        </w:rPr>
        <w:t>（采购文件中明确的所属行业）</w:t>
      </w:r>
      <w:r>
        <w:rPr>
          <w:rFonts w:hint="eastAsia" w:ascii="宋体" w:hAnsi="宋体"/>
          <w:color w:val="auto"/>
          <w:highlight w:val="none"/>
        </w:rPr>
        <w:t>行业；制造商为</w:t>
      </w:r>
      <w:r>
        <w:rPr>
          <w:rFonts w:hint="eastAsia" w:ascii="宋体" w:hAnsi="宋体"/>
          <w:color w:val="auto"/>
          <w:highlight w:val="none"/>
          <w:u w:val="single"/>
        </w:rPr>
        <w:t>（企业名称）</w:t>
      </w:r>
      <w:r>
        <w:rPr>
          <w:rFonts w:hint="eastAsia" w:ascii="宋体" w:hAnsi="宋体"/>
          <w:color w:val="auto"/>
          <w:highlight w:val="none"/>
        </w:rPr>
        <w:t>，从业人员_____人，营业收入为_____万元，资产总额为_____万元¹，属于（</w:t>
      </w:r>
      <w:r>
        <w:rPr>
          <w:rFonts w:hint="eastAsia" w:ascii="宋体" w:hAnsi="宋体"/>
          <w:color w:val="auto"/>
          <w:highlight w:val="none"/>
          <w:u w:val="single"/>
        </w:rPr>
        <w:t>中型企业、小型企业、微型企业</w:t>
      </w:r>
      <w:r>
        <w:rPr>
          <w:rFonts w:hint="eastAsia" w:ascii="宋体" w:hAnsi="宋体"/>
          <w:color w:val="auto"/>
          <w:highlight w:val="none"/>
        </w:rPr>
        <w:t>）；</w:t>
      </w:r>
    </w:p>
    <w:p w14:paraId="1B61D0BE">
      <w:pPr>
        <w:spacing w:line="360" w:lineRule="auto"/>
        <w:ind w:firstLine="480" w:firstLineChars="200"/>
        <w:rPr>
          <w:rFonts w:hint="eastAsia" w:ascii="宋体" w:hAnsi="宋体"/>
          <w:color w:val="auto"/>
          <w:highlight w:val="none"/>
        </w:rPr>
      </w:pPr>
      <w:r>
        <w:rPr>
          <w:rFonts w:hint="eastAsia" w:ascii="宋体" w:hAnsi="宋体"/>
          <w:color w:val="auto"/>
          <w:highlight w:val="none"/>
        </w:rPr>
        <w:t>……</w:t>
      </w:r>
    </w:p>
    <w:p w14:paraId="1291CA84">
      <w:pPr>
        <w:spacing w:line="360" w:lineRule="auto"/>
        <w:ind w:firstLine="482" w:firstLineChars="200"/>
        <w:rPr>
          <w:rFonts w:hint="eastAsia" w:ascii="宋体" w:hAnsi="宋体"/>
          <w:b/>
          <w:bCs/>
          <w:color w:val="auto"/>
          <w:highlight w:val="none"/>
        </w:rPr>
      </w:pPr>
      <w:r>
        <w:rPr>
          <w:rFonts w:hint="eastAsia" w:ascii="宋体" w:hAnsi="宋体"/>
          <w:b/>
          <w:bCs/>
          <w:color w:val="auto"/>
          <w:highlight w:val="none"/>
        </w:rPr>
        <w:t>以上企业，不属于大型企业的分支机构，不存在控股股东为大型企业的情形，也不存在与大企业的负责人为同一人的情形。</w:t>
      </w:r>
    </w:p>
    <w:p w14:paraId="7E12D3FC">
      <w:pPr>
        <w:spacing w:line="360" w:lineRule="auto"/>
        <w:ind w:firstLine="480" w:firstLineChars="200"/>
        <w:rPr>
          <w:rFonts w:hint="eastAsia"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335B66EE">
      <w:pPr>
        <w:pStyle w:val="24"/>
        <w:widowControl w:val="0"/>
        <w:adjustRightInd w:val="0"/>
        <w:snapToGrid w:val="0"/>
        <w:jc w:val="center"/>
        <w:rPr>
          <w:rFonts w:hint="eastAsia"/>
          <w:color w:val="auto"/>
          <w:highlight w:val="none"/>
        </w:rPr>
      </w:pPr>
      <w:r>
        <w:rPr>
          <w:color w:val="auto"/>
          <w:highlight w:val="none"/>
        </w:rPr>
        <w:t>　　　　　　  　　　　　　　　　　　　　　　　　企业名称（电子签章）：</w:t>
      </w:r>
    </w:p>
    <w:p w14:paraId="54888004">
      <w:pPr>
        <w:shd w:val="clear" w:color="auto" w:fill="FFFFFF"/>
        <w:spacing w:before="100" w:beforeAutospacing="1" w:after="100" w:afterAutospacing="1" w:line="360" w:lineRule="auto"/>
        <w:rPr>
          <w:color w:val="auto"/>
          <w:highlight w:val="none"/>
        </w:rPr>
      </w:pPr>
      <w:r>
        <w:rPr>
          <w:color w:val="auto"/>
          <w:highlight w:val="none"/>
        </w:rPr>
        <w:t>　　　　　　　　　　　　　　　　　　　　　　　　　　　日  期：</w:t>
      </w:r>
    </w:p>
    <w:p w14:paraId="13A40534">
      <w:pPr>
        <w:spacing w:after="120"/>
        <w:ind w:left="200" w:firstLine="200"/>
        <w:rPr>
          <w:color w:val="auto"/>
          <w:highlight w:val="none"/>
        </w:rPr>
      </w:pPr>
      <w:r>
        <w:rPr>
          <w:color w:val="auto"/>
          <w:highlight w:val="none"/>
        </w:rPr>
        <w:t>-----------------------------------------------------------------------------------------------------------</w:t>
      </w:r>
    </w:p>
    <w:p w14:paraId="16685703">
      <w:pPr>
        <w:pStyle w:val="24"/>
        <w:widowControl w:val="0"/>
        <w:adjustRightInd w:val="0"/>
        <w:snapToGrid w:val="0"/>
        <w:rPr>
          <w:rFonts w:ascii="Times New Roman" w:hAnsi="Times New Roman"/>
          <w:color w:val="auto"/>
          <w:highlight w:val="none"/>
        </w:rPr>
      </w:pPr>
      <w:r>
        <w:rPr>
          <w:rFonts w:ascii="Times New Roman" w:hAnsi="Times New Roman"/>
          <w:color w:val="auto"/>
          <w:highlight w:val="none"/>
        </w:rPr>
        <w:t>¹从业人员、营业收入、资产总额填报上一年度的数据，无上一年度数据的新成立企业可不填报。</w:t>
      </w:r>
    </w:p>
    <w:p w14:paraId="3BDECDA1">
      <w:pPr>
        <w:pStyle w:val="24"/>
        <w:widowControl w:val="0"/>
        <w:adjustRightInd w:val="0"/>
        <w:snapToGrid w:val="0"/>
        <w:rPr>
          <w:rFonts w:ascii="Times New Roman" w:hAnsi="Times New Roman"/>
          <w:b/>
          <w:bCs/>
          <w:color w:val="auto"/>
          <w:sz w:val="32"/>
          <w:szCs w:val="32"/>
          <w:highlight w:val="none"/>
        </w:rPr>
        <w:sectPr>
          <w:pgSz w:w="11906" w:h="16838"/>
          <w:pgMar w:top="1259" w:right="1287" w:bottom="1361" w:left="1622" w:header="709" w:footer="975" w:gutter="0"/>
          <w:cols w:space="720" w:num="1"/>
          <w:docGrid w:linePitch="360" w:charSpace="0"/>
        </w:sectPr>
      </w:pPr>
      <w:bookmarkStart w:id="76" w:name="_Hlk95828324"/>
      <w:r>
        <w:rPr>
          <w:rFonts w:ascii="Times New Roman" w:hAnsi="Times New Roman"/>
          <w:b/>
          <w:bCs/>
          <w:color w:val="auto"/>
          <w:sz w:val="32"/>
          <w:szCs w:val="32"/>
          <w:highlight w:val="none"/>
        </w:rPr>
        <w:t>代理公司特别提醒：</w:t>
      </w:r>
      <w:r>
        <w:rPr>
          <w:rFonts w:hint="eastAsia" w:ascii="Times New Roman" w:hAnsi="Times New Roman"/>
          <w:b/>
          <w:bCs/>
          <w:color w:val="auto"/>
          <w:sz w:val="32"/>
          <w:szCs w:val="32"/>
          <w:highlight w:val="none"/>
        </w:rPr>
        <w:t>标的名称为产品清单中货物名称，为方便统计，</w:t>
      </w:r>
      <w:r>
        <w:rPr>
          <w:rFonts w:ascii="Times New Roman" w:hAnsi="Times New Roman"/>
          <w:b/>
          <w:bCs/>
          <w:color w:val="auto"/>
          <w:sz w:val="32"/>
          <w:szCs w:val="32"/>
          <w:highlight w:val="none"/>
        </w:rPr>
        <w:t>声明函</w:t>
      </w:r>
      <w:r>
        <w:rPr>
          <w:rFonts w:hint="eastAsia" w:ascii="Times New Roman" w:hAnsi="Times New Roman"/>
          <w:b/>
          <w:bCs/>
          <w:color w:val="auto"/>
          <w:sz w:val="32"/>
          <w:szCs w:val="32"/>
          <w:highlight w:val="none"/>
        </w:rPr>
        <w:t>中每序号只允许按清单顺序填写一样产品。</w:t>
      </w:r>
    </w:p>
    <w:p w14:paraId="6D837486">
      <w:pPr>
        <w:tabs>
          <w:tab w:val="left" w:pos="6300"/>
        </w:tabs>
        <w:snapToGrid w:val="0"/>
        <w:spacing w:line="500" w:lineRule="exact"/>
        <w:rPr>
          <w:rFonts w:hint="eastAsia" w:ascii="宋体" w:hAnsi="宋体"/>
          <w:color w:val="auto"/>
          <w:sz w:val="22"/>
          <w:szCs w:val="22"/>
          <w:highlight w:val="none"/>
        </w:rPr>
      </w:pPr>
      <w:r>
        <w:rPr>
          <w:rFonts w:hint="eastAsia" w:ascii="宋体" w:hAnsi="宋体"/>
          <w:color w:val="auto"/>
          <w:sz w:val="22"/>
          <w:szCs w:val="22"/>
          <w:highlight w:val="none"/>
        </w:rPr>
        <w:t>注：各行业划型标准：</w:t>
      </w:r>
    </w:p>
    <w:p w14:paraId="671A2D1E">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7241BC3A">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EDEDF3A">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268C1D">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D9F86C">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1C1071">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AF8449">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472B812">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C2BF5">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FF304B">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EC825E">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5210CF">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5BCC09">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AF5242">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F37169">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52B544">
      <w:pPr>
        <w:tabs>
          <w:tab w:val="left" w:pos="6300"/>
        </w:tabs>
        <w:snapToGrid w:val="0"/>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2600CFAA">
      <w:pPr>
        <w:pStyle w:val="24"/>
        <w:widowControl w:val="0"/>
        <w:adjustRightInd w:val="0"/>
        <w:snapToGrid w:val="0"/>
        <w:rPr>
          <w:rFonts w:ascii="Times New Roman" w:hAnsi="Times New Roman"/>
          <w:color w:val="auto"/>
          <w:sz w:val="28"/>
          <w:szCs w:val="28"/>
          <w:highlight w:val="none"/>
        </w:rPr>
        <w:sectPr>
          <w:pgSz w:w="11906" w:h="16838"/>
          <w:pgMar w:top="1259" w:right="1287" w:bottom="1361" w:left="1622" w:header="709" w:footer="975" w:gutter="0"/>
          <w:cols w:space="720" w:num="1"/>
          <w:docGrid w:linePitch="360" w:charSpace="0"/>
        </w:sectPr>
      </w:pPr>
    </w:p>
    <w:p w14:paraId="082B7E0F">
      <w:pPr>
        <w:widowControl w:val="0"/>
        <w:autoSpaceDE w:val="0"/>
        <w:autoSpaceDN w:val="0"/>
        <w:adjustRightInd w:val="0"/>
        <w:jc w:val="center"/>
        <w:rPr>
          <w:b/>
          <w:color w:val="auto"/>
          <w:sz w:val="32"/>
          <w:szCs w:val="32"/>
          <w:highlight w:val="none"/>
        </w:rPr>
      </w:pPr>
      <w:bookmarkStart w:id="77" w:name="_Hlk122084099"/>
      <w:r>
        <w:rPr>
          <w:b/>
          <w:color w:val="auto"/>
          <w:sz w:val="32"/>
          <w:szCs w:val="32"/>
          <w:highlight w:val="none"/>
        </w:rPr>
        <w:t>残疾人福利性单位声明函</w:t>
      </w:r>
    </w:p>
    <w:p w14:paraId="078FBC00">
      <w:pPr>
        <w:shd w:val="clear" w:color="auto" w:fill="FFFFFF"/>
        <w:spacing w:before="100" w:beforeAutospacing="1" w:after="100" w:afterAutospacing="1" w:line="360" w:lineRule="auto"/>
        <w:ind w:firstLine="480" w:firstLineChars="200"/>
        <w:rPr>
          <w:color w:val="auto"/>
          <w:highlight w:val="none"/>
        </w:rPr>
      </w:pPr>
      <w:r>
        <w:rPr>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2C0878">
      <w:pPr>
        <w:shd w:val="clear" w:color="auto" w:fill="FFFFFF"/>
        <w:spacing w:before="100" w:beforeAutospacing="1" w:after="100" w:afterAutospacing="1" w:line="360" w:lineRule="auto"/>
        <w:rPr>
          <w:color w:val="auto"/>
          <w:highlight w:val="none"/>
        </w:rPr>
      </w:pPr>
      <w:r>
        <w:rPr>
          <w:color w:val="auto"/>
          <w:highlight w:val="none"/>
        </w:rPr>
        <w:t>本单位对上述声明的真实性负责。如有虚假，将依法承担相应责任。</w:t>
      </w:r>
    </w:p>
    <w:p w14:paraId="244DAD7A">
      <w:pPr>
        <w:shd w:val="clear" w:color="auto" w:fill="FFFFFF"/>
        <w:spacing w:before="100" w:beforeAutospacing="1" w:after="100" w:afterAutospacing="1" w:line="360" w:lineRule="auto"/>
        <w:rPr>
          <w:color w:val="auto"/>
          <w:highlight w:val="none"/>
        </w:rPr>
      </w:pPr>
    </w:p>
    <w:p w14:paraId="5304D88B">
      <w:pPr>
        <w:shd w:val="clear" w:color="auto" w:fill="FFFFFF"/>
        <w:spacing w:before="100" w:beforeAutospacing="1" w:after="100" w:afterAutospacing="1" w:line="360" w:lineRule="auto"/>
        <w:ind w:firstLine="6360" w:firstLineChars="2650"/>
        <w:rPr>
          <w:color w:val="auto"/>
          <w:highlight w:val="none"/>
        </w:rPr>
      </w:pPr>
      <w:r>
        <w:rPr>
          <w:color w:val="auto"/>
          <w:highlight w:val="none"/>
        </w:rPr>
        <w:t>投标人</w:t>
      </w:r>
      <w:r>
        <w:rPr>
          <w:rFonts w:ascii="宋体" w:hAnsi="宋体"/>
          <w:color w:val="auto"/>
          <w:highlight w:val="none"/>
        </w:rPr>
        <w:t>（电子签章）</w:t>
      </w:r>
      <w:r>
        <w:rPr>
          <w:color w:val="auto"/>
          <w:highlight w:val="none"/>
        </w:rPr>
        <w:t>：</w:t>
      </w:r>
    </w:p>
    <w:p w14:paraId="7BF42150">
      <w:pPr>
        <w:shd w:val="clear" w:color="auto" w:fill="FFFFFF"/>
        <w:spacing w:before="100" w:beforeAutospacing="1" w:after="100" w:afterAutospacing="1" w:line="360" w:lineRule="auto"/>
        <w:rPr>
          <w:color w:val="auto"/>
          <w:highlight w:val="none"/>
        </w:rPr>
      </w:pPr>
      <w:r>
        <w:rPr>
          <w:color w:val="auto"/>
          <w:highlight w:val="none"/>
        </w:rPr>
        <w:t>　　　　　　　　　　　　　　　　　　　　　　　　　　　日  期：</w:t>
      </w:r>
    </w:p>
    <w:p w14:paraId="5FAEEB94">
      <w:pPr>
        <w:shd w:val="clear" w:color="auto" w:fill="FFFFFF"/>
        <w:spacing w:before="100" w:beforeAutospacing="1" w:after="100" w:afterAutospacing="1" w:line="360" w:lineRule="auto"/>
        <w:rPr>
          <w:color w:val="auto"/>
          <w:highlight w:val="none"/>
        </w:rPr>
      </w:pPr>
    </w:p>
    <w:p w14:paraId="54906DCC">
      <w:pPr>
        <w:widowControl w:val="0"/>
        <w:autoSpaceDE w:val="0"/>
        <w:autoSpaceDN w:val="0"/>
        <w:adjustRightInd w:val="0"/>
        <w:jc w:val="center"/>
        <w:rPr>
          <w:b/>
          <w:color w:val="auto"/>
          <w:sz w:val="32"/>
          <w:szCs w:val="32"/>
          <w:highlight w:val="none"/>
        </w:rPr>
      </w:pPr>
      <w:r>
        <w:rPr>
          <w:b/>
          <w:color w:val="auto"/>
          <w:sz w:val="32"/>
          <w:szCs w:val="32"/>
          <w:highlight w:val="none"/>
        </w:rPr>
        <w:t>监狱企业证明文件</w:t>
      </w:r>
    </w:p>
    <w:p w14:paraId="43D10D91">
      <w:pPr>
        <w:pStyle w:val="24"/>
        <w:widowControl w:val="0"/>
        <w:adjustRightInd w:val="0"/>
        <w:snapToGrid w:val="0"/>
        <w:spacing w:before="0" w:beforeAutospacing="0" w:after="0" w:afterAutospacing="0"/>
        <w:rPr>
          <w:rFonts w:ascii="Times New Roman" w:hAnsi="Times New Roman"/>
          <w:color w:val="auto"/>
          <w:highlight w:val="none"/>
        </w:rPr>
      </w:pPr>
      <w:r>
        <w:rPr>
          <w:rFonts w:ascii="Times New Roman" w:hAnsi="Times New Roman"/>
          <w:color w:val="auto"/>
          <w:highlight w:val="none"/>
        </w:rPr>
        <w:t>注：监狱企业参加政府采购活动时，应当提供由省级以上监狱管理局、戒毒管理局（含新疆生产建设兵团）出具的属于监狱企业的证明文件</w:t>
      </w:r>
      <w:r>
        <w:rPr>
          <w:rFonts w:hint="eastAsia" w:ascii="Times New Roman" w:hAnsi="Times New Roman"/>
          <w:color w:val="auto"/>
          <w:highlight w:val="none"/>
        </w:rPr>
        <w:t>。</w:t>
      </w:r>
      <w:bookmarkEnd w:id="72"/>
      <w:bookmarkEnd w:id="76"/>
      <w:bookmarkStart w:id="78" w:name="_Hlk94088739"/>
      <w:bookmarkEnd w:id="78"/>
      <w:bookmarkStart w:id="79" w:name="_Hlk93401532"/>
      <w:bookmarkEnd w:id="79"/>
    </w:p>
    <w:bookmarkEnd w:id="77"/>
    <w:p w14:paraId="46024114">
      <w:pPr>
        <w:pStyle w:val="24"/>
        <w:widowControl w:val="0"/>
        <w:adjustRightInd w:val="0"/>
        <w:snapToGrid w:val="0"/>
        <w:spacing w:line="276" w:lineRule="auto"/>
        <w:jc w:val="center"/>
        <w:rPr>
          <w:rFonts w:hint="eastAsia"/>
          <w:b/>
          <w:color w:val="auto"/>
          <w:sz w:val="32"/>
          <w:szCs w:val="32"/>
          <w:highlight w:val="none"/>
        </w:rPr>
      </w:pPr>
    </w:p>
    <w:p w14:paraId="5F876817">
      <w:pPr>
        <w:pStyle w:val="24"/>
        <w:widowControl w:val="0"/>
        <w:adjustRightInd w:val="0"/>
        <w:snapToGrid w:val="0"/>
        <w:spacing w:line="276" w:lineRule="auto"/>
        <w:jc w:val="center"/>
        <w:rPr>
          <w:rFonts w:hint="eastAsia"/>
          <w:b/>
          <w:color w:val="auto"/>
          <w:sz w:val="32"/>
          <w:szCs w:val="32"/>
          <w:highlight w:val="none"/>
        </w:rPr>
      </w:pPr>
    </w:p>
    <w:p w14:paraId="68B133AA">
      <w:pPr>
        <w:pStyle w:val="24"/>
        <w:widowControl w:val="0"/>
        <w:adjustRightInd w:val="0"/>
        <w:snapToGrid w:val="0"/>
        <w:spacing w:line="276" w:lineRule="auto"/>
        <w:jc w:val="center"/>
        <w:rPr>
          <w:rFonts w:hint="eastAsia"/>
          <w:b/>
          <w:color w:val="auto"/>
          <w:sz w:val="32"/>
          <w:szCs w:val="32"/>
          <w:highlight w:val="none"/>
        </w:rPr>
      </w:pPr>
      <w:r>
        <w:rPr>
          <w:rFonts w:hint="eastAsia"/>
          <w:b/>
          <w:color w:val="auto"/>
          <w:sz w:val="32"/>
          <w:szCs w:val="32"/>
          <w:highlight w:val="none"/>
        </w:rPr>
        <w:t>四、承诺函（如有）</w:t>
      </w:r>
    </w:p>
    <w:p w14:paraId="7117DD84">
      <w:pPr>
        <w:shd w:val="clear" w:color="auto" w:fill="FFFFFF"/>
        <w:spacing w:line="276" w:lineRule="auto"/>
        <w:ind w:firstLine="480" w:firstLineChars="200"/>
        <w:rPr>
          <w:rFonts w:hint="eastAsia" w:ascii="宋体" w:hAnsi="宋体"/>
          <w:color w:val="auto"/>
          <w:highlight w:val="none"/>
        </w:rPr>
      </w:pPr>
      <w:r>
        <w:rPr>
          <w:rFonts w:ascii="宋体" w:hAnsi="宋体"/>
          <w:color w:val="auto"/>
          <w:highlight w:val="none"/>
        </w:rPr>
        <w:t>本公司</w:t>
      </w:r>
      <w:r>
        <w:rPr>
          <w:rFonts w:hint="eastAsia" w:ascii="宋体" w:hAnsi="宋体"/>
          <w:color w:val="auto"/>
          <w:highlight w:val="none"/>
        </w:rPr>
        <w:t>承诺</w:t>
      </w:r>
      <w:r>
        <w:rPr>
          <w:rFonts w:ascii="宋体" w:hAnsi="宋体"/>
          <w:color w:val="auto"/>
          <w:highlight w:val="none"/>
        </w:rPr>
        <w:t>，本公司参加______（单位名称）的______（项目名称）采购活动，</w:t>
      </w:r>
      <w:r>
        <w:rPr>
          <w:rFonts w:hint="eastAsia" w:ascii="宋体" w:hAnsi="宋体" w:cs="宋体"/>
          <w:color w:val="auto"/>
          <w:spacing w:val="8"/>
          <w:highlight w:val="none"/>
        </w:rPr>
        <w:t>项目总额的4</w:t>
      </w:r>
      <w:r>
        <w:rPr>
          <w:rFonts w:ascii="宋体" w:hAnsi="宋体" w:cs="宋体"/>
          <w:color w:val="auto"/>
          <w:spacing w:val="8"/>
          <w:highlight w:val="none"/>
        </w:rPr>
        <w:t>0</w:t>
      </w:r>
      <w:r>
        <w:rPr>
          <w:rFonts w:hint="eastAsia" w:ascii="宋体" w:hAnsi="宋体" w:cs="宋体"/>
          <w:color w:val="auto"/>
          <w:spacing w:val="8"/>
          <w:highlight w:val="none"/>
        </w:rPr>
        <w:t>%以上由中小企业提供，项目总额的2</w:t>
      </w:r>
      <w:r>
        <w:rPr>
          <w:rFonts w:ascii="宋体" w:hAnsi="宋体" w:cs="宋体"/>
          <w:color w:val="auto"/>
          <w:spacing w:val="8"/>
          <w:highlight w:val="none"/>
        </w:rPr>
        <w:t>8</w:t>
      </w:r>
      <w:r>
        <w:rPr>
          <w:rFonts w:hint="eastAsia" w:ascii="宋体" w:hAnsi="宋体" w:cs="宋体"/>
          <w:color w:val="auto"/>
          <w:spacing w:val="8"/>
          <w:highlight w:val="none"/>
        </w:rPr>
        <w:t>%以上由</w:t>
      </w:r>
      <w:r>
        <w:rPr>
          <w:rFonts w:ascii="宋体" w:hAnsi="宋体"/>
          <w:color w:val="auto"/>
          <w:highlight w:val="none"/>
        </w:rPr>
        <w:t>小</w:t>
      </w:r>
      <w:r>
        <w:rPr>
          <w:rFonts w:hint="eastAsia" w:ascii="宋体" w:hAnsi="宋体"/>
          <w:color w:val="auto"/>
          <w:highlight w:val="none"/>
        </w:rPr>
        <w:t>微企业提供。</w:t>
      </w:r>
    </w:p>
    <w:p w14:paraId="3B9A0C36">
      <w:pPr>
        <w:pStyle w:val="24"/>
        <w:widowControl w:val="0"/>
        <w:adjustRightInd w:val="0"/>
        <w:snapToGrid w:val="0"/>
        <w:spacing w:line="276" w:lineRule="auto"/>
        <w:rPr>
          <w:rFonts w:hint="eastAsia"/>
          <w:b/>
          <w:color w:val="auto"/>
          <w:sz w:val="32"/>
          <w:szCs w:val="32"/>
          <w:highlight w:val="none"/>
        </w:rPr>
      </w:pPr>
    </w:p>
    <w:p w14:paraId="1FD345D1">
      <w:pPr>
        <w:pStyle w:val="24"/>
        <w:widowControl w:val="0"/>
        <w:adjustRightInd w:val="0"/>
        <w:snapToGrid w:val="0"/>
        <w:spacing w:before="0" w:beforeAutospacing="0" w:after="0" w:afterAutospacing="0" w:line="360" w:lineRule="auto"/>
        <w:ind w:firstLine="3120" w:firstLineChars="1300"/>
        <w:rPr>
          <w:rFonts w:hint="eastAsia"/>
          <w:color w:val="auto"/>
          <w:highlight w:val="none"/>
        </w:rPr>
      </w:pPr>
      <w:r>
        <w:rPr>
          <w:color w:val="auto"/>
          <w:highlight w:val="none"/>
        </w:rPr>
        <w:t>投标人（电子签章）：__________________________</w:t>
      </w:r>
    </w:p>
    <w:p w14:paraId="072A205F">
      <w:pPr>
        <w:shd w:val="clear" w:color="auto" w:fill="FFFFFF"/>
        <w:spacing w:before="100" w:beforeAutospacing="1" w:after="100" w:afterAutospacing="1" w:line="500" w:lineRule="atLeast"/>
        <w:ind w:firstLine="358"/>
        <w:jc w:val="center"/>
        <w:rPr>
          <w:color w:val="auto"/>
          <w:highlight w:val="none"/>
          <w:lang w:val="zh-CN"/>
        </w:rPr>
      </w:pPr>
      <w:r>
        <w:rPr>
          <w:color w:val="auto"/>
          <w:highlight w:val="none"/>
        </w:rPr>
        <w:t>日期：____年____月____日</w:t>
      </w:r>
    </w:p>
    <w:p w14:paraId="76288DE3">
      <w:pPr>
        <w:pStyle w:val="24"/>
        <w:widowControl w:val="0"/>
        <w:adjustRightInd w:val="0"/>
        <w:snapToGrid w:val="0"/>
        <w:spacing w:before="0" w:beforeAutospacing="0" w:after="0" w:afterAutospacing="0"/>
        <w:rPr>
          <w:rFonts w:hint="eastAsia"/>
          <w:color w:val="auto"/>
          <w:highlight w:val="none"/>
          <w:u w:val="single"/>
        </w:rPr>
      </w:pPr>
    </w:p>
    <w:sectPr>
      <w:headerReference r:id="rId9" w:type="first"/>
      <w:footerReference r:id="rId10" w:type="first"/>
      <w:pgSz w:w="11906" w:h="16838"/>
      <w:pgMar w:top="1259" w:right="1287" w:bottom="1361" w:left="1622" w:header="709" w:footer="97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Univers LT Std 45 Light">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D86B">
    <w:pPr>
      <w:pStyle w:val="29"/>
      <w:ind w:right="360"/>
      <w:jc w:val="center"/>
      <w:rPr>
        <w:rFonts w:hint="eastAsia" w:ascii="宋体" w:hAnsi="宋体" w:cs="宋体"/>
        <w:szCs w:val="21"/>
        <w:u w:val="single"/>
      </w:rPr>
    </w:pPr>
    <w:r>
      <w:rPr>
        <w:rFonts w:hint="eastAsia" w:ascii="宋体" w:hAnsi="宋体"/>
        <w:szCs w:val="21"/>
      </w:rPr>
      <w:t xml:space="preserve">浙江金华阳光招标代理有限公司                                       </w:t>
    </w:r>
    <w:r>
      <w:rPr>
        <w:rFonts w:ascii="宋体" w:hAnsi="宋体" w:cs="宋体"/>
        <w:szCs w:val="21"/>
      </w:rPr>
      <w:t xml:space="preserve"> </w:t>
    </w:r>
    <w:r>
      <w:fldChar w:fldCharType="begin"/>
    </w:r>
    <w:r>
      <w:instrText xml:space="preserve"> HYPERLINK "mailto:jhygzb@qq.com" </w:instrText>
    </w:r>
    <w:r>
      <w:fldChar w:fldCharType="separate"/>
    </w:r>
    <w:r>
      <w:rPr>
        <w:rStyle w:val="50"/>
        <w:rFonts w:hint="eastAsia" w:ascii="宋体" w:hAnsi="宋体" w:cs="宋体"/>
        <w:color w:val="auto"/>
        <w:szCs w:val="21"/>
        <w:u w:val="none"/>
      </w:rPr>
      <w:t>jhygzb@qq.com</w:t>
    </w:r>
    <w:r>
      <w:rPr>
        <w:rStyle w:val="50"/>
        <w:rFonts w:hint="eastAsia" w:ascii="宋体" w:hAnsi="宋体" w:cs="宋体"/>
        <w:color w:val="auto"/>
        <w:szCs w:val="21"/>
        <w:u w:val="none"/>
      </w:rPr>
      <w:fldChar w:fldCharType="end"/>
    </w:r>
  </w:p>
  <w:p w14:paraId="4A85353F">
    <w:pPr>
      <w:pStyle w:val="29"/>
      <w:framePr w:wrap="around" w:vAnchor="text" w:hAnchor="page" w:x="5792" w:y="66"/>
      <w:jc w:val="center"/>
      <w:rPr>
        <w:rStyle w:val="47"/>
        <w:rFonts w:hint="eastAsia" w:ascii="宋体" w:hAnsi="宋体"/>
      </w:rPr>
    </w:pPr>
    <w:r>
      <w:rPr>
        <w:rStyle w:val="47"/>
        <w:rFonts w:hint="eastAsia" w:ascii="宋体" w:hAnsi="宋体"/>
        <w:szCs w:val="21"/>
      </w:rPr>
      <w:t xml:space="preserve">第 </w:t>
    </w:r>
    <w:r>
      <w:rPr>
        <w:rFonts w:ascii="宋体" w:hAnsi="宋体"/>
        <w:szCs w:val="21"/>
      </w:rPr>
      <w:fldChar w:fldCharType="begin"/>
    </w:r>
    <w:r>
      <w:rPr>
        <w:rStyle w:val="47"/>
        <w:rFonts w:ascii="宋体" w:hAnsi="宋体"/>
        <w:szCs w:val="21"/>
      </w:rPr>
      <w:instrText xml:space="preserve"> PAGE </w:instrText>
    </w:r>
    <w:r>
      <w:rPr>
        <w:rFonts w:ascii="宋体" w:hAnsi="宋体"/>
        <w:szCs w:val="21"/>
      </w:rPr>
      <w:fldChar w:fldCharType="separate"/>
    </w:r>
    <w:r>
      <w:rPr>
        <w:rStyle w:val="47"/>
        <w:rFonts w:ascii="宋体" w:hAnsi="宋体"/>
        <w:szCs w:val="21"/>
      </w:rPr>
      <w:t>14</w:t>
    </w:r>
    <w:r>
      <w:rPr>
        <w:rFonts w:ascii="宋体" w:hAnsi="宋体"/>
        <w:szCs w:val="21"/>
      </w:rPr>
      <w:fldChar w:fldCharType="end"/>
    </w:r>
    <w:r>
      <w:rPr>
        <w:rStyle w:val="47"/>
        <w:rFonts w:hint="eastAsia" w:ascii="宋体" w:hAnsi="宋体"/>
        <w:szCs w:val="21"/>
      </w:rPr>
      <w:t xml:space="preserve"> 页 共 </w:t>
    </w:r>
    <w:r>
      <w:rPr>
        <w:rFonts w:ascii="宋体" w:hAnsi="宋体"/>
        <w:szCs w:val="21"/>
      </w:rPr>
      <w:fldChar w:fldCharType="begin"/>
    </w:r>
    <w:r>
      <w:rPr>
        <w:rStyle w:val="47"/>
        <w:rFonts w:ascii="宋体" w:hAnsi="宋体"/>
        <w:szCs w:val="21"/>
      </w:rPr>
      <w:instrText xml:space="preserve"> NUMPAGES </w:instrText>
    </w:r>
    <w:r>
      <w:rPr>
        <w:rFonts w:ascii="宋体" w:hAnsi="宋体"/>
        <w:szCs w:val="21"/>
      </w:rPr>
      <w:fldChar w:fldCharType="separate"/>
    </w:r>
    <w:r>
      <w:rPr>
        <w:rStyle w:val="47"/>
        <w:rFonts w:ascii="宋体" w:hAnsi="宋体"/>
        <w:szCs w:val="21"/>
      </w:rPr>
      <w:t>58</w:t>
    </w:r>
    <w:r>
      <w:rPr>
        <w:rFonts w:ascii="宋体" w:hAnsi="宋体"/>
        <w:szCs w:val="21"/>
      </w:rPr>
      <w:fldChar w:fldCharType="end"/>
    </w:r>
    <w:r>
      <w:rPr>
        <w:rStyle w:val="47"/>
        <w:rFonts w:hint="eastAsia" w:ascii="宋体" w:hAnsi="宋体"/>
        <w:szCs w:val="21"/>
      </w:rPr>
      <w:t xml:space="preserve"> 页</w:t>
    </w:r>
  </w:p>
  <w:p w14:paraId="73588A73">
    <w:pPr>
      <w:pStyle w:val="29"/>
      <w:ind w:right="360"/>
      <w:jc w:val="center"/>
      <w:rPr>
        <w:rFonts w:hint="eastAsia"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73F7">
    <w:pPr>
      <w:pStyle w:val="29"/>
      <w:framePr w:wrap="around" w:vAnchor="text" w:hAnchor="margin" w:xAlign="right" w:y="1"/>
      <w:rPr>
        <w:rStyle w:val="47"/>
      </w:rPr>
    </w:pPr>
    <w:r>
      <w:fldChar w:fldCharType="begin"/>
    </w:r>
    <w:r>
      <w:rPr>
        <w:rStyle w:val="47"/>
      </w:rPr>
      <w:instrText xml:space="preserve">PAGE  </w:instrText>
    </w:r>
    <w:r>
      <w:fldChar w:fldCharType="end"/>
    </w:r>
  </w:p>
  <w:p w14:paraId="3A26A6E5">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6232">
    <w:pPr>
      <w:pStyle w:val="2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71</w:t>
    </w:r>
    <w:r>
      <w:rPr>
        <w:rFonts w:hint="eastAsia" w:ascii="仿宋_GB2312" w:eastAsia="仿宋_GB2312"/>
      </w:rPr>
      <w:fldChar w:fldCharType="end"/>
    </w:r>
    <w:r>
      <w:rPr>
        <w:rFonts w:hint="eastAsia" w:ascii="仿宋_GB2312" w:eastAsia="仿宋_GB2312"/>
      </w:rPr>
      <w:t xml:space="preserve"> 页</w:t>
    </w:r>
  </w:p>
  <w:p w14:paraId="39E6EE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F44D7">
    <w:pPr>
      <w:pStyle w:val="30"/>
      <w:pBdr>
        <w:bottom w:val="single" w:color="auto" w:sz="6" w:space="0"/>
      </w:pBdr>
      <w:jc w:val="left"/>
    </w:pPr>
    <w:r>
      <w:rPr>
        <w:rFonts w:hint="eastAsia"/>
      </w:rPr>
      <w:t>金华开放大学数字媒体公共实训基地人物造型设备采购项目招标文件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EB62">
    <w:pPr>
      <w:pStyle w:val="30"/>
    </w:pPr>
    <w:r>
      <w:pict>
        <v:shape id="_x0000_s1025" o:spid="_x0000_s1025" o:spt="136" type="#_x0000_t136" style="position:absolute;left:0pt;height:39.75pt;width:324pt;mso-position-horizontal:center;mso-position-horizontal-relative:margin;mso-position-vertical:center;mso-position-vertical-relative:margin;rotation:-2949120f;z-index:-251117568;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8BD8">
    <w:pPr>
      <w:pStyle w:val="30"/>
    </w:pPr>
    <w:r>
      <w:pict>
        <v:shape id="_x0000_s1026" o:spid="_x0000_s1026" o:spt="136" type="#_x0000_t136" style="position:absolute;left:0pt;height:39.75pt;width:324pt;mso-position-horizontal:center;mso-position-horizontal-relative:margin;mso-position-vertical:center;mso-position-vertical-relative:margin;rotation:-2949120f;z-index:-251118592;mso-width-relative:page;mso-height-relative:page;" fillcolor="#C0C0C0" filled="t" stroked="f" coordsize="21600,21600" o:allowincell="f">
          <v:path/>
          <v:fill on="t" opacity="32768f" focussize="0,0"/>
          <v:stroke on="f"/>
          <v:imagedata o:title=""/>
          <o:lock v:ext="edit"/>
          <v:textpath on="t" fitshape="t" fitpath="t" trim="t" xscale="f" string="金华阳光招标代理" style="font-family:楷体_GB2312;font-size:4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542B">
    <w:pPr>
      <w:pStyle w:val="30"/>
      <w:pBdr>
        <w:bottom w:val="single" w:color="auto" w:sz="6" w:space="0"/>
      </w:pBdr>
      <w:jc w:val="left"/>
    </w:pPr>
    <w:r>
      <w:rPr>
        <w:rFonts w:hint="eastAsia"/>
      </w:rPr>
      <w:t>金华开放大学数字媒体公共实训基地人物造型设备采购项目招标文件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C207">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A81A3"/>
    <w:multiLevelType w:val="singleLevel"/>
    <w:tmpl w:val="90FA81A3"/>
    <w:lvl w:ilvl="0" w:tentative="0">
      <w:start w:val="1"/>
      <w:numFmt w:val="chineseCounting"/>
      <w:lvlText w:val="%1."/>
      <w:lvlJc w:val="left"/>
      <w:pPr>
        <w:tabs>
          <w:tab w:val="left" w:pos="312"/>
        </w:tabs>
      </w:pPr>
      <w:rPr>
        <w:rFonts w:hint="eastAsia"/>
      </w:rPr>
    </w:lvl>
  </w:abstractNum>
  <w:abstractNum w:abstractNumId="1">
    <w:nsid w:val="9DDED9AA"/>
    <w:multiLevelType w:val="singleLevel"/>
    <w:tmpl w:val="9DDED9AA"/>
    <w:lvl w:ilvl="0" w:tentative="0">
      <w:start w:val="2"/>
      <w:numFmt w:val="decimal"/>
      <w:lvlText w:val="%1."/>
      <w:lvlJc w:val="left"/>
      <w:pPr>
        <w:tabs>
          <w:tab w:val="left" w:pos="312"/>
        </w:tabs>
      </w:pPr>
    </w:lvl>
  </w:abstractNum>
  <w:abstractNum w:abstractNumId="2">
    <w:nsid w:val="A411944E"/>
    <w:multiLevelType w:val="singleLevel"/>
    <w:tmpl w:val="A411944E"/>
    <w:lvl w:ilvl="0" w:tentative="0">
      <w:start w:val="2"/>
      <w:numFmt w:val="decimal"/>
      <w:lvlText w:val="%1."/>
      <w:lvlJc w:val="left"/>
      <w:pPr>
        <w:tabs>
          <w:tab w:val="left" w:pos="312"/>
        </w:tabs>
      </w:pPr>
    </w:lvl>
  </w:abstractNum>
  <w:abstractNum w:abstractNumId="3">
    <w:nsid w:val="B427B799"/>
    <w:multiLevelType w:val="singleLevel"/>
    <w:tmpl w:val="B427B799"/>
    <w:lvl w:ilvl="0" w:tentative="0">
      <w:start w:val="12"/>
      <w:numFmt w:val="decimal"/>
      <w:suff w:val="nothing"/>
      <w:lvlText w:val="%1."/>
      <w:lvlJc w:val="left"/>
    </w:lvl>
  </w:abstractNum>
  <w:abstractNum w:abstractNumId="4">
    <w:nsid w:val="BCBED8BD"/>
    <w:multiLevelType w:val="singleLevel"/>
    <w:tmpl w:val="BCBED8BD"/>
    <w:lvl w:ilvl="0" w:tentative="0">
      <w:start w:val="1"/>
      <w:numFmt w:val="decimal"/>
      <w:lvlText w:val="%1."/>
      <w:lvlJc w:val="left"/>
      <w:pPr>
        <w:tabs>
          <w:tab w:val="left" w:pos="312"/>
        </w:tabs>
      </w:pPr>
    </w:lvl>
  </w:abstractNum>
  <w:abstractNum w:abstractNumId="5">
    <w:nsid w:val="C6DAE519"/>
    <w:multiLevelType w:val="singleLevel"/>
    <w:tmpl w:val="C6DAE519"/>
    <w:lvl w:ilvl="0" w:tentative="0">
      <w:start w:val="2"/>
      <w:numFmt w:val="chineseCounting"/>
      <w:suff w:val="nothing"/>
      <w:lvlText w:val="（%1）"/>
      <w:lvlJc w:val="left"/>
      <w:rPr>
        <w:rFonts w:hint="eastAsia"/>
      </w:rPr>
    </w:lvl>
  </w:abstractNum>
  <w:abstractNum w:abstractNumId="6">
    <w:nsid w:val="D22F96C1"/>
    <w:multiLevelType w:val="singleLevel"/>
    <w:tmpl w:val="D22F96C1"/>
    <w:lvl w:ilvl="0" w:tentative="0">
      <w:start w:val="1"/>
      <w:numFmt w:val="chineseCounting"/>
      <w:suff w:val="nothing"/>
      <w:lvlText w:val="%1、"/>
      <w:lvlJc w:val="left"/>
      <w:rPr>
        <w:rFonts w:hint="eastAsia"/>
      </w:rPr>
    </w:lvl>
  </w:abstractNum>
  <w:abstractNum w:abstractNumId="7">
    <w:nsid w:val="EE1CDB94"/>
    <w:multiLevelType w:val="singleLevel"/>
    <w:tmpl w:val="EE1CDB94"/>
    <w:lvl w:ilvl="0" w:tentative="0">
      <w:start w:val="1"/>
      <w:numFmt w:val="chineseCounting"/>
      <w:suff w:val="nothing"/>
      <w:lvlText w:val="%1、"/>
      <w:lvlJc w:val="left"/>
      <w:rPr>
        <w:rFonts w:hint="eastAsia"/>
      </w:rPr>
    </w:lvl>
  </w:abstractNum>
  <w:abstractNum w:abstractNumId="8">
    <w:nsid w:val="00000001"/>
    <w:multiLevelType w:val="singleLevel"/>
    <w:tmpl w:val="00000001"/>
    <w:lvl w:ilvl="0" w:tentative="0">
      <w:start w:val="1"/>
      <w:numFmt w:val="decimal"/>
      <w:pStyle w:val="13"/>
      <w:lvlText w:val="%1."/>
      <w:lvlJc w:val="left"/>
      <w:pPr>
        <w:tabs>
          <w:tab w:val="left" w:pos="360"/>
        </w:tabs>
        <w:ind w:left="360" w:hanging="360"/>
      </w:pPr>
    </w:lvl>
  </w:abstractNum>
  <w:abstractNum w:abstractNumId="9">
    <w:nsid w:val="01B436B1"/>
    <w:multiLevelType w:val="singleLevel"/>
    <w:tmpl w:val="01B436B1"/>
    <w:lvl w:ilvl="0" w:tentative="0">
      <w:start w:val="2"/>
      <w:numFmt w:val="decimal"/>
      <w:lvlText w:val="%1."/>
      <w:lvlJc w:val="left"/>
      <w:pPr>
        <w:tabs>
          <w:tab w:val="left" w:pos="312"/>
        </w:tabs>
      </w:pPr>
    </w:lvl>
  </w:abstractNum>
  <w:abstractNum w:abstractNumId="10">
    <w:nsid w:val="0286908D"/>
    <w:multiLevelType w:val="singleLevel"/>
    <w:tmpl w:val="0286908D"/>
    <w:lvl w:ilvl="0" w:tentative="0">
      <w:start w:val="1"/>
      <w:numFmt w:val="decimal"/>
      <w:lvlText w:val="%1."/>
      <w:lvlJc w:val="left"/>
      <w:pPr>
        <w:tabs>
          <w:tab w:val="left" w:pos="312"/>
        </w:tabs>
      </w:pPr>
    </w:lvl>
  </w:abstractNum>
  <w:abstractNum w:abstractNumId="11">
    <w:nsid w:val="071F783D"/>
    <w:multiLevelType w:val="singleLevel"/>
    <w:tmpl w:val="071F783D"/>
    <w:lvl w:ilvl="0" w:tentative="0">
      <w:start w:val="1"/>
      <w:numFmt w:val="decimal"/>
      <w:suff w:val="nothing"/>
      <w:lvlText w:val="%1"/>
      <w:lvlJc w:val="left"/>
      <w:pPr>
        <w:ind w:left="425" w:hanging="425"/>
      </w:pPr>
      <w:rPr>
        <w:rFonts w:hint="default"/>
      </w:rPr>
    </w:lvl>
  </w:abstractNum>
  <w:abstractNum w:abstractNumId="12">
    <w:nsid w:val="120EBDC4"/>
    <w:multiLevelType w:val="singleLevel"/>
    <w:tmpl w:val="120EBDC4"/>
    <w:lvl w:ilvl="0" w:tentative="0">
      <w:start w:val="2"/>
      <w:numFmt w:val="decimal"/>
      <w:lvlText w:val="%1."/>
      <w:lvlJc w:val="left"/>
      <w:pPr>
        <w:tabs>
          <w:tab w:val="left" w:pos="312"/>
        </w:tabs>
      </w:pPr>
    </w:lvl>
  </w:abstractNum>
  <w:num w:numId="1">
    <w:abstractNumId w:val="8"/>
  </w:num>
  <w:num w:numId="2">
    <w:abstractNumId w:val="7"/>
  </w:num>
  <w:num w:numId="3">
    <w:abstractNumId w:val="4"/>
  </w:num>
  <w:num w:numId="4">
    <w:abstractNumId w:val="9"/>
  </w:num>
  <w:num w:numId="5">
    <w:abstractNumId w:val="10"/>
  </w:num>
  <w:num w:numId="6">
    <w:abstractNumId w:val="6"/>
  </w:num>
  <w:num w:numId="7">
    <w:abstractNumId w:val="3"/>
  </w:num>
  <w:num w:numId="8">
    <w:abstractNumId w:val="0"/>
  </w:num>
  <w:num w:numId="9">
    <w:abstractNumId w:val="1"/>
  </w:num>
  <w:num w:numId="10">
    <w:abstractNumId w:val="12"/>
  </w:num>
  <w:num w:numId="11">
    <w:abstractNumId w:val="2"/>
  </w:num>
  <w:num w:numId="12">
    <w:abstractNumId w:val="11"/>
  </w:num>
  <w:num w:numId="13">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ShadeFormData w:val="1"/>
  <w:noPunctuationKerning w:val="1"/>
  <w:characterSpacingControl w:val="doNotCompress"/>
  <w:doNotValidateAgainstSchema/>
  <w:doNotDemarcateInvalidXml/>
  <w:hdrShapeDefaults>
    <o:shapelayout v:ext="edit">
      <o:idmap v:ext="edit" data="1"/>
    </o:shapelayout>
  </w:hdrShapeDefault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EwMThkMWE4ZDYzYTJiNDY3OWJjNTNjOTk1NTIifQ=="/>
  </w:docVars>
  <w:rsids>
    <w:rsidRoot w:val="00172A27"/>
    <w:rsid w:val="00000476"/>
    <w:rsid w:val="000008B3"/>
    <w:rsid w:val="000010BD"/>
    <w:rsid w:val="00001BD1"/>
    <w:rsid w:val="00002E41"/>
    <w:rsid w:val="00003B3F"/>
    <w:rsid w:val="00004F9E"/>
    <w:rsid w:val="00005A6A"/>
    <w:rsid w:val="0000637E"/>
    <w:rsid w:val="0000735E"/>
    <w:rsid w:val="00007458"/>
    <w:rsid w:val="0000762E"/>
    <w:rsid w:val="00010807"/>
    <w:rsid w:val="00010B5F"/>
    <w:rsid w:val="000115B6"/>
    <w:rsid w:val="00012BE0"/>
    <w:rsid w:val="00012CF0"/>
    <w:rsid w:val="000140C6"/>
    <w:rsid w:val="0001509E"/>
    <w:rsid w:val="00015115"/>
    <w:rsid w:val="0001514E"/>
    <w:rsid w:val="000154FF"/>
    <w:rsid w:val="00015D48"/>
    <w:rsid w:val="00015D83"/>
    <w:rsid w:val="0001721F"/>
    <w:rsid w:val="000173FC"/>
    <w:rsid w:val="00017926"/>
    <w:rsid w:val="00017FDE"/>
    <w:rsid w:val="00020298"/>
    <w:rsid w:val="000205E0"/>
    <w:rsid w:val="00020AE9"/>
    <w:rsid w:val="0002187D"/>
    <w:rsid w:val="0002202D"/>
    <w:rsid w:val="000221EF"/>
    <w:rsid w:val="00022AB6"/>
    <w:rsid w:val="000230D4"/>
    <w:rsid w:val="00023D91"/>
    <w:rsid w:val="000242CA"/>
    <w:rsid w:val="000262C6"/>
    <w:rsid w:val="00026CC4"/>
    <w:rsid w:val="000302AC"/>
    <w:rsid w:val="0003056F"/>
    <w:rsid w:val="00032A00"/>
    <w:rsid w:val="000330C9"/>
    <w:rsid w:val="000332F6"/>
    <w:rsid w:val="000335B0"/>
    <w:rsid w:val="0003457A"/>
    <w:rsid w:val="00034978"/>
    <w:rsid w:val="00034CDF"/>
    <w:rsid w:val="00035518"/>
    <w:rsid w:val="000356A7"/>
    <w:rsid w:val="00036698"/>
    <w:rsid w:val="000403F8"/>
    <w:rsid w:val="00042F2A"/>
    <w:rsid w:val="000446D0"/>
    <w:rsid w:val="00044D31"/>
    <w:rsid w:val="00046B09"/>
    <w:rsid w:val="000470EA"/>
    <w:rsid w:val="000518BA"/>
    <w:rsid w:val="00052686"/>
    <w:rsid w:val="00052E3E"/>
    <w:rsid w:val="00054BA5"/>
    <w:rsid w:val="00055EA0"/>
    <w:rsid w:val="00055F7C"/>
    <w:rsid w:val="000567A4"/>
    <w:rsid w:val="00057367"/>
    <w:rsid w:val="0006016F"/>
    <w:rsid w:val="000603B1"/>
    <w:rsid w:val="000608C6"/>
    <w:rsid w:val="00061562"/>
    <w:rsid w:val="00061B10"/>
    <w:rsid w:val="0006264B"/>
    <w:rsid w:val="00062A62"/>
    <w:rsid w:val="000630DA"/>
    <w:rsid w:val="000647B7"/>
    <w:rsid w:val="0006664E"/>
    <w:rsid w:val="00066D2C"/>
    <w:rsid w:val="00066DE7"/>
    <w:rsid w:val="00070293"/>
    <w:rsid w:val="00070E59"/>
    <w:rsid w:val="00071EFA"/>
    <w:rsid w:val="000731F4"/>
    <w:rsid w:val="000733B0"/>
    <w:rsid w:val="00074121"/>
    <w:rsid w:val="000756CE"/>
    <w:rsid w:val="00076C9E"/>
    <w:rsid w:val="00077297"/>
    <w:rsid w:val="0007739C"/>
    <w:rsid w:val="00077E19"/>
    <w:rsid w:val="00077E89"/>
    <w:rsid w:val="0008062F"/>
    <w:rsid w:val="0008101D"/>
    <w:rsid w:val="00081379"/>
    <w:rsid w:val="00081F25"/>
    <w:rsid w:val="00082EBE"/>
    <w:rsid w:val="00083647"/>
    <w:rsid w:val="00083704"/>
    <w:rsid w:val="0008387B"/>
    <w:rsid w:val="0008392B"/>
    <w:rsid w:val="00083F36"/>
    <w:rsid w:val="00084AEB"/>
    <w:rsid w:val="00084ECA"/>
    <w:rsid w:val="00085A77"/>
    <w:rsid w:val="000864AB"/>
    <w:rsid w:val="0008694F"/>
    <w:rsid w:val="0009086B"/>
    <w:rsid w:val="00091035"/>
    <w:rsid w:val="00091BD4"/>
    <w:rsid w:val="00092275"/>
    <w:rsid w:val="00092D80"/>
    <w:rsid w:val="00093557"/>
    <w:rsid w:val="00094323"/>
    <w:rsid w:val="00095C59"/>
    <w:rsid w:val="00096570"/>
    <w:rsid w:val="00097B92"/>
    <w:rsid w:val="000A0277"/>
    <w:rsid w:val="000A0662"/>
    <w:rsid w:val="000A1693"/>
    <w:rsid w:val="000A1760"/>
    <w:rsid w:val="000A2BE1"/>
    <w:rsid w:val="000A3413"/>
    <w:rsid w:val="000A3D42"/>
    <w:rsid w:val="000A3F43"/>
    <w:rsid w:val="000A5BF5"/>
    <w:rsid w:val="000A70D5"/>
    <w:rsid w:val="000A76AE"/>
    <w:rsid w:val="000B0195"/>
    <w:rsid w:val="000B0BC4"/>
    <w:rsid w:val="000B121E"/>
    <w:rsid w:val="000B23DE"/>
    <w:rsid w:val="000B42AC"/>
    <w:rsid w:val="000B4370"/>
    <w:rsid w:val="000B4957"/>
    <w:rsid w:val="000B4C35"/>
    <w:rsid w:val="000B4E0C"/>
    <w:rsid w:val="000B5323"/>
    <w:rsid w:val="000B6FC7"/>
    <w:rsid w:val="000C06F5"/>
    <w:rsid w:val="000C0BE0"/>
    <w:rsid w:val="000C0F6F"/>
    <w:rsid w:val="000C1898"/>
    <w:rsid w:val="000C2987"/>
    <w:rsid w:val="000C2E29"/>
    <w:rsid w:val="000C3935"/>
    <w:rsid w:val="000C3961"/>
    <w:rsid w:val="000C4AB2"/>
    <w:rsid w:val="000C548D"/>
    <w:rsid w:val="000C604B"/>
    <w:rsid w:val="000C6D92"/>
    <w:rsid w:val="000C768A"/>
    <w:rsid w:val="000C7E5D"/>
    <w:rsid w:val="000C7F71"/>
    <w:rsid w:val="000D017D"/>
    <w:rsid w:val="000D062C"/>
    <w:rsid w:val="000D1FFB"/>
    <w:rsid w:val="000D218E"/>
    <w:rsid w:val="000D29B3"/>
    <w:rsid w:val="000D387A"/>
    <w:rsid w:val="000D3F3D"/>
    <w:rsid w:val="000D48B7"/>
    <w:rsid w:val="000D4970"/>
    <w:rsid w:val="000D4A1A"/>
    <w:rsid w:val="000D50D8"/>
    <w:rsid w:val="000D52F5"/>
    <w:rsid w:val="000D6BF2"/>
    <w:rsid w:val="000D6F0B"/>
    <w:rsid w:val="000D70D8"/>
    <w:rsid w:val="000E031D"/>
    <w:rsid w:val="000E0B27"/>
    <w:rsid w:val="000E21A4"/>
    <w:rsid w:val="000E22E2"/>
    <w:rsid w:val="000E2610"/>
    <w:rsid w:val="000E2D92"/>
    <w:rsid w:val="000E2FCA"/>
    <w:rsid w:val="000E36A8"/>
    <w:rsid w:val="000E469F"/>
    <w:rsid w:val="000E4D1F"/>
    <w:rsid w:val="000E50B5"/>
    <w:rsid w:val="000E5592"/>
    <w:rsid w:val="000E5E0F"/>
    <w:rsid w:val="000E6B91"/>
    <w:rsid w:val="000E6BB7"/>
    <w:rsid w:val="000E6BDD"/>
    <w:rsid w:val="000E7218"/>
    <w:rsid w:val="000E7567"/>
    <w:rsid w:val="000E79E0"/>
    <w:rsid w:val="000E7B76"/>
    <w:rsid w:val="000E7CB9"/>
    <w:rsid w:val="000F0758"/>
    <w:rsid w:val="000F0B8A"/>
    <w:rsid w:val="000F126A"/>
    <w:rsid w:val="000F16FA"/>
    <w:rsid w:val="000F27B8"/>
    <w:rsid w:val="000F2E93"/>
    <w:rsid w:val="000F3A53"/>
    <w:rsid w:val="000F4023"/>
    <w:rsid w:val="000F424B"/>
    <w:rsid w:val="000F43DF"/>
    <w:rsid w:val="000F4597"/>
    <w:rsid w:val="000F47AA"/>
    <w:rsid w:val="000F5204"/>
    <w:rsid w:val="000F5327"/>
    <w:rsid w:val="000F53C4"/>
    <w:rsid w:val="000F59F1"/>
    <w:rsid w:val="000F5E96"/>
    <w:rsid w:val="000F5EB6"/>
    <w:rsid w:val="000F6B3D"/>
    <w:rsid w:val="000F7613"/>
    <w:rsid w:val="000F7F4C"/>
    <w:rsid w:val="00101E0C"/>
    <w:rsid w:val="00102476"/>
    <w:rsid w:val="001037A6"/>
    <w:rsid w:val="00103E37"/>
    <w:rsid w:val="00104086"/>
    <w:rsid w:val="00104093"/>
    <w:rsid w:val="001049BD"/>
    <w:rsid w:val="00104EDF"/>
    <w:rsid w:val="00105323"/>
    <w:rsid w:val="00105370"/>
    <w:rsid w:val="00106078"/>
    <w:rsid w:val="001074A9"/>
    <w:rsid w:val="00110A10"/>
    <w:rsid w:val="00110B3C"/>
    <w:rsid w:val="00113E4E"/>
    <w:rsid w:val="0011406E"/>
    <w:rsid w:val="00114281"/>
    <w:rsid w:val="001144F4"/>
    <w:rsid w:val="00116EC5"/>
    <w:rsid w:val="001200C1"/>
    <w:rsid w:val="001232B5"/>
    <w:rsid w:val="00123E2D"/>
    <w:rsid w:val="00124315"/>
    <w:rsid w:val="001245E9"/>
    <w:rsid w:val="001246FC"/>
    <w:rsid w:val="001270C2"/>
    <w:rsid w:val="001273C8"/>
    <w:rsid w:val="001309AB"/>
    <w:rsid w:val="00130AC8"/>
    <w:rsid w:val="00130EA5"/>
    <w:rsid w:val="0013142A"/>
    <w:rsid w:val="00131EBE"/>
    <w:rsid w:val="001323AC"/>
    <w:rsid w:val="001328CE"/>
    <w:rsid w:val="00132E8D"/>
    <w:rsid w:val="00133DC1"/>
    <w:rsid w:val="00133FB0"/>
    <w:rsid w:val="0013482F"/>
    <w:rsid w:val="00135325"/>
    <w:rsid w:val="00136C02"/>
    <w:rsid w:val="001378A5"/>
    <w:rsid w:val="00137A8F"/>
    <w:rsid w:val="001400D1"/>
    <w:rsid w:val="00140F5D"/>
    <w:rsid w:val="001414D2"/>
    <w:rsid w:val="00141FB3"/>
    <w:rsid w:val="0014304A"/>
    <w:rsid w:val="0014403C"/>
    <w:rsid w:val="00144A44"/>
    <w:rsid w:val="0014513E"/>
    <w:rsid w:val="001455EA"/>
    <w:rsid w:val="00145CEC"/>
    <w:rsid w:val="00145D0C"/>
    <w:rsid w:val="001472D7"/>
    <w:rsid w:val="001474F8"/>
    <w:rsid w:val="0014754E"/>
    <w:rsid w:val="001477E2"/>
    <w:rsid w:val="00147FCA"/>
    <w:rsid w:val="00150470"/>
    <w:rsid w:val="00150A2B"/>
    <w:rsid w:val="0015121D"/>
    <w:rsid w:val="001513EC"/>
    <w:rsid w:val="0015165C"/>
    <w:rsid w:val="00151696"/>
    <w:rsid w:val="00151D6D"/>
    <w:rsid w:val="00151E47"/>
    <w:rsid w:val="00152713"/>
    <w:rsid w:val="00153914"/>
    <w:rsid w:val="00153B6F"/>
    <w:rsid w:val="00153C1D"/>
    <w:rsid w:val="00154453"/>
    <w:rsid w:val="00154D46"/>
    <w:rsid w:val="00155650"/>
    <w:rsid w:val="00156FD2"/>
    <w:rsid w:val="00157349"/>
    <w:rsid w:val="00157F9F"/>
    <w:rsid w:val="0016096D"/>
    <w:rsid w:val="00161371"/>
    <w:rsid w:val="00161FA7"/>
    <w:rsid w:val="001625A3"/>
    <w:rsid w:val="00162CA9"/>
    <w:rsid w:val="00165514"/>
    <w:rsid w:val="00166964"/>
    <w:rsid w:val="00166B53"/>
    <w:rsid w:val="00166DAB"/>
    <w:rsid w:val="00167ADF"/>
    <w:rsid w:val="00170BBA"/>
    <w:rsid w:val="00171A6E"/>
    <w:rsid w:val="001722C9"/>
    <w:rsid w:val="001725F5"/>
    <w:rsid w:val="00172789"/>
    <w:rsid w:val="00172A27"/>
    <w:rsid w:val="00174C76"/>
    <w:rsid w:val="0017758B"/>
    <w:rsid w:val="001812B1"/>
    <w:rsid w:val="00182D83"/>
    <w:rsid w:val="001832DB"/>
    <w:rsid w:val="00183460"/>
    <w:rsid w:val="00183E97"/>
    <w:rsid w:val="001858E2"/>
    <w:rsid w:val="00185A16"/>
    <w:rsid w:val="00187019"/>
    <w:rsid w:val="0018752A"/>
    <w:rsid w:val="00190154"/>
    <w:rsid w:val="00190CB5"/>
    <w:rsid w:val="00190E0A"/>
    <w:rsid w:val="00191546"/>
    <w:rsid w:val="0019193B"/>
    <w:rsid w:val="00192F4D"/>
    <w:rsid w:val="001934A7"/>
    <w:rsid w:val="00193C0C"/>
    <w:rsid w:val="00194985"/>
    <w:rsid w:val="00194B56"/>
    <w:rsid w:val="0019556A"/>
    <w:rsid w:val="00195A7B"/>
    <w:rsid w:val="00195FFF"/>
    <w:rsid w:val="00196244"/>
    <w:rsid w:val="00196451"/>
    <w:rsid w:val="00196DFB"/>
    <w:rsid w:val="00197552"/>
    <w:rsid w:val="00197688"/>
    <w:rsid w:val="001979F0"/>
    <w:rsid w:val="00197D65"/>
    <w:rsid w:val="001A0487"/>
    <w:rsid w:val="001A1962"/>
    <w:rsid w:val="001A2967"/>
    <w:rsid w:val="001A3C44"/>
    <w:rsid w:val="001A4C59"/>
    <w:rsid w:val="001A6896"/>
    <w:rsid w:val="001A7EC6"/>
    <w:rsid w:val="001B115B"/>
    <w:rsid w:val="001B13BC"/>
    <w:rsid w:val="001B1415"/>
    <w:rsid w:val="001B1F0E"/>
    <w:rsid w:val="001B22FE"/>
    <w:rsid w:val="001B33CD"/>
    <w:rsid w:val="001B39A8"/>
    <w:rsid w:val="001B4514"/>
    <w:rsid w:val="001B4573"/>
    <w:rsid w:val="001B4D15"/>
    <w:rsid w:val="001B55A2"/>
    <w:rsid w:val="001B5852"/>
    <w:rsid w:val="001B653F"/>
    <w:rsid w:val="001B7D11"/>
    <w:rsid w:val="001C002D"/>
    <w:rsid w:val="001C0A4D"/>
    <w:rsid w:val="001C1825"/>
    <w:rsid w:val="001C24AC"/>
    <w:rsid w:val="001C2CC4"/>
    <w:rsid w:val="001C30B6"/>
    <w:rsid w:val="001C3A80"/>
    <w:rsid w:val="001C3CA3"/>
    <w:rsid w:val="001C3E69"/>
    <w:rsid w:val="001C485D"/>
    <w:rsid w:val="001C49B0"/>
    <w:rsid w:val="001C4D69"/>
    <w:rsid w:val="001C5484"/>
    <w:rsid w:val="001C5EC5"/>
    <w:rsid w:val="001C7BF5"/>
    <w:rsid w:val="001C7FA3"/>
    <w:rsid w:val="001D2882"/>
    <w:rsid w:val="001D4FB2"/>
    <w:rsid w:val="001D506D"/>
    <w:rsid w:val="001D5A51"/>
    <w:rsid w:val="001D5C1E"/>
    <w:rsid w:val="001D6D34"/>
    <w:rsid w:val="001D6D39"/>
    <w:rsid w:val="001D775A"/>
    <w:rsid w:val="001D79A6"/>
    <w:rsid w:val="001E089E"/>
    <w:rsid w:val="001E14C5"/>
    <w:rsid w:val="001E1AFF"/>
    <w:rsid w:val="001E217C"/>
    <w:rsid w:val="001E28F1"/>
    <w:rsid w:val="001E2BE3"/>
    <w:rsid w:val="001E2EB2"/>
    <w:rsid w:val="001E2FAE"/>
    <w:rsid w:val="001E352C"/>
    <w:rsid w:val="001E3BC9"/>
    <w:rsid w:val="001E3EEC"/>
    <w:rsid w:val="001E519D"/>
    <w:rsid w:val="001E6414"/>
    <w:rsid w:val="001F0A82"/>
    <w:rsid w:val="001F0B26"/>
    <w:rsid w:val="001F369D"/>
    <w:rsid w:val="001F3ACE"/>
    <w:rsid w:val="001F4931"/>
    <w:rsid w:val="001F4B48"/>
    <w:rsid w:val="001F5F8B"/>
    <w:rsid w:val="001F7E58"/>
    <w:rsid w:val="002002FF"/>
    <w:rsid w:val="0020082E"/>
    <w:rsid w:val="00200950"/>
    <w:rsid w:val="002021A5"/>
    <w:rsid w:val="00202D9C"/>
    <w:rsid w:val="0020322C"/>
    <w:rsid w:val="00203BAC"/>
    <w:rsid w:val="00203D91"/>
    <w:rsid w:val="00204F4B"/>
    <w:rsid w:val="00205E3A"/>
    <w:rsid w:val="00206337"/>
    <w:rsid w:val="0020653C"/>
    <w:rsid w:val="002068C9"/>
    <w:rsid w:val="00207AD3"/>
    <w:rsid w:val="00211EF3"/>
    <w:rsid w:val="0021273A"/>
    <w:rsid w:val="00212B6E"/>
    <w:rsid w:val="00212F0D"/>
    <w:rsid w:val="0021301E"/>
    <w:rsid w:val="00214EDB"/>
    <w:rsid w:val="00214F9D"/>
    <w:rsid w:val="00215096"/>
    <w:rsid w:val="00215E1D"/>
    <w:rsid w:val="002162DD"/>
    <w:rsid w:val="0022020F"/>
    <w:rsid w:val="00220F14"/>
    <w:rsid w:val="00221380"/>
    <w:rsid w:val="00221769"/>
    <w:rsid w:val="002218B2"/>
    <w:rsid w:val="00222069"/>
    <w:rsid w:val="002235A3"/>
    <w:rsid w:val="00224782"/>
    <w:rsid w:val="002252B5"/>
    <w:rsid w:val="002253D2"/>
    <w:rsid w:val="002311D5"/>
    <w:rsid w:val="00232C9D"/>
    <w:rsid w:val="00232DEE"/>
    <w:rsid w:val="00232E5C"/>
    <w:rsid w:val="00233E2D"/>
    <w:rsid w:val="002347E8"/>
    <w:rsid w:val="00234A0E"/>
    <w:rsid w:val="00235957"/>
    <w:rsid w:val="0023674F"/>
    <w:rsid w:val="0023689F"/>
    <w:rsid w:val="00236B9C"/>
    <w:rsid w:val="00236C6D"/>
    <w:rsid w:val="0023782F"/>
    <w:rsid w:val="002406ED"/>
    <w:rsid w:val="0024199F"/>
    <w:rsid w:val="00242F80"/>
    <w:rsid w:val="00243C29"/>
    <w:rsid w:val="00243DA5"/>
    <w:rsid w:val="00246BFF"/>
    <w:rsid w:val="00251397"/>
    <w:rsid w:val="0025251B"/>
    <w:rsid w:val="00252B3B"/>
    <w:rsid w:val="002548A2"/>
    <w:rsid w:val="00254EED"/>
    <w:rsid w:val="00254F08"/>
    <w:rsid w:val="00255451"/>
    <w:rsid w:val="0025551C"/>
    <w:rsid w:val="00255C42"/>
    <w:rsid w:val="00256417"/>
    <w:rsid w:val="00256CB0"/>
    <w:rsid w:val="002605DD"/>
    <w:rsid w:val="0026154A"/>
    <w:rsid w:val="00262220"/>
    <w:rsid w:val="002623FA"/>
    <w:rsid w:val="00262BC3"/>
    <w:rsid w:val="0026616C"/>
    <w:rsid w:val="002664A4"/>
    <w:rsid w:val="00266A18"/>
    <w:rsid w:val="00266A99"/>
    <w:rsid w:val="00266D87"/>
    <w:rsid w:val="00266F02"/>
    <w:rsid w:val="002673DC"/>
    <w:rsid w:val="00267CF1"/>
    <w:rsid w:val="00267D95"/>
    <w:rsid w:val="00267ECC"/>
    <w:rsid w:val="00270545"/>
    <w:rsid w:val="00270BD7"/>
    <w:rsid w:val="00271505"/>
    <w:rsid w:val="002718C7"/>
    <w:rsid w:val="00271987"/>
    <w:rsid w:val="00273B96"/>
    <w:rsid w:val="00274221"/>
    <w:rsid w:val="00275383"/>
    <w:rsid w:val="002765F4"/>
    <w:rsid w:val="002774A2"/>
    <w:rsid w:val="002777DE"/>
    <w:rsid w:val="00277D30"/>
    <w:rsid w:val="002809F1"/>
    <w:rsid w:val="00280B10"/>
    <w:rsid w:val="002810C0"/>
    <w:rsid w:val="00282B8C"/>
    <w:rsid w:val="00282DA3"/>
    <w:rsid w:val="00283A7F"/>
    <w:rsid w:val="0028401C"/>
    <w:rsid w:val="0028408C"/>
    <w:rsid w:val="002841A8"/>
    <w:rsid w:val="00286108"/>
    <w:rsid w:val="002877AB"/>
    <w:rsid w:val="00287952"/>
    <w:rsid w:val="00287A99"/>
    <w:rsid w:val="002900F6"/>
    <w:rsid w:val="00290E29"/>
    <w:rsid w:val="00290E4D"/>
    <w:rsid w:val="00291BDF"/>
    <w:rsid w:val="00292664"/>
    <w:rsid w:val="0029323A"/>
    <w:rsid w:val="00293A65"/>
    <w:rsid w:val="002949D5"/>
    <w:rsid w:val="00295CF2"/>
    <w:rsid w:val="002A0D53"/>
    <w:rsid w:val="002A0E35"/>
    <w:rsid w:val="002A0EEF"/>
    <w:rsid w:val="002A1274"/>
    <w:rsid w:val="002A158E"/>
    <w:rsid w:val="002A1E2C"/>
    <w:rsid w:val="002A23AA"/>
    <w:rsid w:val="002A2B29"/>
    <w:rsid w:val="002A2EA0"/>
    <w:rsid w:val="002A3E9E"/>
    <w:rsid w:val="002A48BC"/>
    <w:rsid w:val="002A59D0"/>
    <w:rsid w:val="002A5D5E"/>
    <w:rsid w:val="002A5DF1"/>
    <w:rsid w:val="002A79A2"/>
    <w:rsid w:val="002B0123"/>
    <w:rsid w:val="002B10EF"/>
    <w:rsid w:val="002B14B5"/>
    <w:rsid w:val="002B1E66"/>
    <w:rsid w:val="002B1EB1"/>
    <w:rsid w:val="002B2894"/>
    <w:rsid w:val="002B2B57"/>
    <w:rsid w:val="002B2E8D"/>
    <w:rsid w:val="002B3737"/>
    <w:rsid w:val="002B3E63"/>
    <w:rsid w:val="002B4BF1"/>
    <w:rsid w:val="002B5AA9"/>
    <w:rsid w:val="002B622C"/>
    <w:rsid w:val="002B72CC"/>
    <w:rsid w:val="002B74FC"/>
    <w:rsid w:val="002C0C68"/>
    <w:rsid w:val="002C0C91"/>
    <w:rsid w:val="002C0FFE"/>
    <w:rsid w:val="002C24E3"/>
    <w:rsid w:val="002C2BEB"/>
    <w:rsid w:val="002C3114"/>
    <w:rsid w:val="002C42EA"/>
    <w:rsid w:val="002C4961"/>
    <w:rsid w:val="002C5EE8"/>
    <w:rsid w:val="002C755D"/>
    <w:rsid w:val="002C7821"/>
    <w:rsid w:val="002D0F4F"/>
    <w:rsid w:val="002D18D3"/>
    <w:rsid w:val="002D1AE8"/>
    <w:rsid w:val="002D27DB"/>
    <w:rsid w:val="002D3072"/>
    <w:rsid w:val="002D4630"/>
    <w:rsid w:val="002D48BA"/>
    <w:rsid w:val="002D51CD"/>
    <w:rsid w:val="002D52C3"/>
    <w:rsid w:val="002D5302"/>
    <w:rsid w:val="002D6A2D"/>
    <w:rsid w:val="002D716D"/>
    <w:rsid w:val="002D7589"/>
    <w:rsid w:val="002D7926"/>
    <w:rsid w:val="002D792C"/>
    <w:rsid w:val="002E02D8"/>
    <w:rsid w:val="002E0B05"/>
    <w:rsid w:val="002E0B81"/>
    <w:rsid w:val="002E1114"/>
    <w:rsid w:val="002E157D"/>
    <w:rsid w:val="002E4154"/>
    <w:rsid w:val="002E4717"/>
    <w:rsid w:val="002E4DDE"/>
    <w:rsid w:val="002E794D"/>
    <w:rsid w:val="002F0A57"/>
    <w:rsid w:val="002F19C2"/>
    <w:rsid w:val="002F2D60"/>
    <w:rsid w:val="002F34E3"/>
    <w:rsid w:val="002F353C"/>
    <w:rsid w:val="002F4C04"/>
    <w:rsid w:val="002F4DE4"/>
    <w:rsid w:val="002F697A"/>
    <w:rsid w:val="002F6AC1"/>
    <w:rsid w:val="002F708C"/>
    <w:rsid w:val="002F7462"/>
    <w:rsid w:val="002F74D0"/>
    <w:rsid w:val="002F75FD"/>
    <w:rsid w:val="002F7D5C"/>
    <w:rsid w:val="003003B3"/>
    <w:rsid w:val="00300AB5"/>
    <w:rsid w:val="0030125C"/>
    <w:rsid w:val="00301FA9"/>
    <w:rsid w:val="003023B6"/>
    <w:rsid w:val="00302618"/>
    <w:rsid w:val="00302F52"/>
    <w:rsid w:val="00304B09"/>
    <w:rsid w:val="00304B66"/>
    <w:rsid w:val="00305883"/>
    <w:rsid w:val="00305A9F"/>
    <w:rsid w:val="003063B1"/>
    <w:rsid w:val="0030689C"/>
    <w:rsid w:val="00306B6D"/>
    <w:rsid w:val="00306EC1"/>
    <w:rsid w:val="00307B4D"/>
    <w:rsid w:val="0031104A"/>
    <w:rsid w:val="0031192E"/>
    <w:rsid w:val="00311F72"/>
    <w:rsid w:val="0031271F"/>
    <w:rsid w:val="00312A6F"/>
    <w:rsid w:val="00312E4B"/>
    <w:rsid w:val="0031354E"/>
    <w:rsid w:val="00313F6E"/>
    <w:rsid w:val="00314AB6"/>
    <w:rsid w:val="003155BA"/>
    <w:rsid w:val="00315853"/>
    <w:rsid w:val="00316732"/>
    <w:rsid w:val="00316822"/>
    <w:rsid w:val="00324FED"/>
    <w:rsid w:val="00325979"/>
    <w:rsid w:val="00326DDC"/>
    <w:rsid w:val="0032793F"/>
    <w:rsid w:val="0032798E"/>
    <w:rsid w:val="00327EFF"/>
    <w:rsid w:val="00330E62"/>
    <w:rsid w:val="0033176A"/>
    <w:rsid w:val="00331EEA"/>
    <w:rsid w:val="0033276B"/>
    <w:rsid w:val="00333806"/>
    <w:rsid w:val="00333A2C"/>
    <w:rsid w:val="00333BC4"/>
    <w:rsid w:val="003348B7"/>
    <w:rsid w:val="00334997"/>
    <w:rsid w:val="00334A38"/>
    <w:rsid w:val="00334E1F"/>
    <w:rsid w:val="003355C1"/>
    <w:rsid w:val="003357FC"/>
    <w:rsid w:val="00335822"/>
    <w:rsid w:val="00335F17"/>
    <w:rsid w:val="00336323"/>
    <w:rsid w:val="003363C0"/>
    <w:rsid w:val="00336554"/>
    <w:rsid w:val="00336A0E"/>
    <w:rsid w:val="00336D7F"/>
    <w:rsid w:val="00336F39"/>
    <w:rsid w:val="00337C12"/>
    <w:rsid w:val="00337E77"/>
    <w:rsid w:val="00340478"/>
    <w:rsid w:val="00340B3D"/>
    <w:rsid w:val="00340C86"/>
    <w:rsid w:val="003415F7"/>
    <w:rsid w:val="00341960"/>
    <w:rsid w:val="00341FEF"/>
    <w:rsid w:val="003422EC"/>
    <w:rsid w:val="003427B1"/>
    <w:rsid w:val="00343F9B"/>
    <w:rsid w:val="00344442"/>
    <w:rsid w:val="00345519"/>
    <w:rsid w:val="00346759"/>
    <w:rsid w:val="00346FAA"/>
    <w:rsid w:val="0034725B"/>
    <w:rsid w:val="00347A4C"/>
    <w:rsid w:val="00350F51"/>
    <w:rsid w:val="00351B45"/>
    <w:rsid w:val="003524A4"/>
    <w:rsid w:val="0035253D"/>
    <w:rsid w:val="00352A3F"/>
    <w:rsid w:val="00352F45"/>
    <w:rsid w:val="003535A7"/>
    <w:rsid w:val="003539C6"/>
    <w:rsid w:val="0035471C"/>
    <w:rsid w:val="00355E67"/>
    <w:rsid w:val="00355EC9"/>
    <w:rsid w:val="0035714A"/>
    <w:rsid w:val="003579A4"/>
    <w:rsid w:val="00357C19"/>
    <w:rsid w:val="00357C71"/>
    <w:rsid w:val="00357C82"/>
    <w:rsid w:val="00357D06"/>
    <w:rsid w:val="00357F75"/>
    <w:rsid w:val="00357FBD"/>
    <w:rsid w:val="0036030C"/>
    <w:rsid w:val="00360636"/>
    <w:rsid w:val="0036261C"/>
    <w:rsid w:val="003628B8"/>
    <w:rsid w:val="00362B5A"/>
    <w:rsid w:val="00362F03"/>
    <w:rsid w:val="00362FF2"/>
    <w:rsid w:val="00363C22"/>
    <w:rsid w:val="0036425D"/>
    <w:rsid w:val="0036453D"/>
    <w:rsid w:val="00364C5A"/>
    <w:rsid w:val="00367D12"/>
    <w:rsid w:val="00370F70"/>
    <w:rsid w:val="0037111A"/>
    <w:rsid w:val="0037294E"/>
    <w:rsid w:val="00372FD7"/>
    <w:rsid w:val="0037350D"/>
    <w:rsid w:val="003767E6"/>
    <w:rsid w:val="00376830"/>
    <w:rsid w:val="0037759F"/>
    <w:rsid w:val="00377D02"/>
    <w:rsid w:val="00381445"/>
    <w:rsid w:val="0038360F"/>
    <w:rsid w:val="00384F90"/>
    <w:rsid w:val="00386412"/>
    <w:rsid w:val="00386902"/>
    <w:rsid w:val="00386CDA"/>
    <w:rsid w:val="00387719"/>
    <w:rsid w:val="00390B3A"/>
    <w:rsid w:val="00390FBC"/>
    <w:rsid w:val="00391172"/>
    <w:rsid w:val="00391539"/>
    <w:rsid w:val="00391C08"/>
    <w:rsid w:val="003920F7"/>
    <w:rsid w:val="00393D40"/>
    <w:rsid w:val="0039695F"/>
    <w:rsid w:val="0039706A"/>
    <w:rsid w:val="003973CA"/>
    <w:rsid w:val="003A0C8A"/>
    <w:rsid w:val="003A12F9"/>
    <w:rsid w:val="003A1DF4"/>
    <w:rsid w:val="003A1FBF"/>
    <w:rsid w:val="003A20AB"/>
    <w:rsid w:val="003A3761"/>
    <w:rsid w:val="003A3F3E"/>
    <w:rsid w:val="003A44B8"/>
    <w:rsid w:val="003A45BA"/>
    <w:rsid w:val="003A47AF"/>
    <w:rsid w:val="003A5D07"/>
    <w:rsid w:val="003A5DF0"/>
    <w:rsid w:val="003A6547"/>
    <w:rsid w:val="003A7D9B"/>
    <w:rsid w:val="003A7FE9"/>
    <w:rsid w:val="003B0021"/>
    <w:rsid w:val="003B036A"/>
    <w:rsid w:val="003B1627"/>
    <w:rsid w:val="003B1F05"/>
    <w:rsid w:val="003B26AB"/>
    <w:rsid w:val="003B2884"/>
    <w:rsid w:val="003B2AA3"/>
    <w:rsid w:val="003B2EE6"/>
    <w:rsid w:val="003B3640"/>
    <w:rsid w:val="003B3D20"/>
    <w:rsid w:val="003B545A"/>
    <w:rsid w:val="003B5F94"/>
    <w:rsid w:val="003B658D"/>
    <w:rsid w:val="003B6670"/>
    <w:rsid w:val="003B7B82"/>
    <w:rsid w:val="003B7D0F"/>
    <w:rsid w:val="003C1545"/>
    <w:rsid w:val="003C1C1E"/>
    <w:rsid w:val="003C1DD2"/>
    <w:rsid w:val="003C2BB6"/>
    <w:rsid w:val="003C2D06"/>
    <w:rsid w:val="003C3A18"/>
    <w:rsid w:val="003C44B4"/>
    <w:rsid w:val="003C6BB4"/>
    <w:rsid w:val="003C73C7"/>
    <w:rsid w:val="003C782D"/>
    <w:rsid w:val="003C78E4"/>
    <w:rsid w:val="003C7F2E"/>
    <w:rsid w:val="003D01A2"/>
    <w:rsid w:val="003D0297"/>
    <w:rsid w:val="003D03B4"/>
    <w:rsid w:val="003D10E5"/>
    <w:rsid w:val="003D1239"/>
    <w:rsid w:val="003D13A3"/>
    <w:rsid w:val="003D1A83"/>
    <w:rsid w:val="003D3FFE"/>
    <w:rsid w:val="003D4D30"/>
    <w:rsid w:val="003D4DF8"/>
    <w:rsid w:val="003D617D"/>
    <w:rsid w:val="003D65C3"/>
    <w:rsid w:val="003E0B9D"/>
    <w:rsid w:val="003E1079"/>
    <w:rsid w:val="003E1A7D"/>
    <w:rsid w:val="003E1E60"/>
    <w:rsid w:val="003E21EB"/>
    <w:rsid w:val="003E4559"/>
    <w:rsid w:val="003E586C"/>
    <w:rsid w:val="003E5E16"/>
    <w:rsid w:val="003E6C67"/>
    <w:rsid w:val="003E76A2"/>
    <w:rsid w:val="003E7D0C"/>
    <w:rsid w:val="003F0E8F"/>
    <w:rsid w:val="003F0FF5"/>
    <w:rsid w:val="003F1068"/>
    <w:rsid w:val="003F1713"/>
    <w:rsid w:val="003F1DA5"/>
    <w:rsid w:val="003F1FFB"/>
    <w:rsid w:val="003F20C9"/>
    <w:rsid w:val="003F2829"/>
    <w:rsid w:val="003F3BBB"/>
    <w:rsid w:val="003F6013"/>
    <w:rsid w:val="003F6347"/>
    <w:rsid w:val="003F6EF2"/>
    <w:rsid w:val="003F78C9"/>
    <w:rsid w:val="004003DC"/>
    <w:rsid w:val="00400856"/>
    <w:rsid w:val="0040106C"/>
    <w:rsid w:val="00401FB1"/>
    <w:rsid w:val="0040254D"/>
    <w:rsid w:val="00402A3A"/>
    <w:rsid w:val="004042BC"/>
    <w:rsid w:val="00404C53"/>
    <w:rsid w:val="0040501C"/>
    <w:rsid w:val="00405576"/>
    <w:rsid w:val="00405CD0"/>
    <w:rsid w:val="00405DCD"/>
    <w:rsid w:val="004070D9"/>
    <w:rsid w:val="0041028C"/>
    <w:rsid w:val="00410B82"/>
    <w:rsid w:val="0041105F"/>
    <w:rsid w:val="00411463"/>
    <w:rsid w:val="004128EE"/>
    <w:rsid w:val="004139BE"/>
    <w:rsid w:val="00414614"/>
    <w:rsid w:val="004146D0"/>
    <w:rsid w:val="0041550D"/>
    <w:rsid w:val="00415A7D"/>
    <w:rsid w:val="004161ED"/>
    <w:rsid w:val="004200CE"/>
    <w:rsid w:val="0042013D"/>
    <w:rsid w:val="0042050A"/>
    <w:rsid w:val="004219BE"/>
    <w:rsid w:val="00423F8A"/>
    <w:rsid w:val="0042420E"/>
    <w:rsid w:val="004243FF"/>
    <w:rsid w:val="0042515B"/>
    <w:rsid w:val="004253AD"/>
    <w:rsid w:val="00426557"/>
    <w:rsid w:val="00426A40"/>
    <w:rsid w:val="0043060F"/>
    <w:rsid w:val="00430754"/>
    <w:rsid w:val="0043137A"/>
    <w:rsid w:val="00431D66"/>
    <w:rsid w:val="00431E13"/>
    <w:rsid w:val="004324E4"/>
    <w:rsid w:val="00432620"/>
    <w:rsid w:val="00433E24"/>
    <w:rsid w:val="0043506C"/>
    <w:rsid w:val="00435692"/>
    <w:rsid w:val="00435B88"/>
    <w:rsid w:val="004374A5"/>
    <w:rsid w:val="00437D37"/>
    <w:rsid w:val="00437F00"/>
    <w:rsid w:val="0044018F"/>
    <w:rsid w:val="004403E6"/>
    <w:rsid w:val="00440956"/>
    <w:rsid w:val="00441BA7"/>
    <w:rsid w:val="0044200B"/>
    <w:rsid w:val="00442681"/>
    <w:rsid w:val="00442A3C"/>
    <w:rsid w:val="00443148"/>
    <w:rsid w:val="004434BA"/>
    <w:rsid w:val="0044401A"/>
    <w:rsid w:val="00445EBB"/>
    <w:rsid w:val="004460E3"/>
    <w:rsid w:val="00446362"/>
    <w:rsid w:val="00446705"/>
    <w:rsid w:val="00446A8D"/>
    <w:rsid w:val="004478C6"/>
    <w:rsid w:val="004509E7"/>
    <w:rsid w:val="00450CE9"/>
    <w:rsid w:val="004513EE"/>
    <w:rsid w:val="00451BEE"/>
    <w:rsid w:val="00453E16"/>
    <w:rsid w:val="00454130"/>
    <w:rsid w:val="00454D62"/>
    <w:rsid w:val="004550C9"/>
    <w:rsid w:val="004552BD"/>
    <w:rsid w:val="00455354"/>
    <w:rsid w:val="004555DC"/>
    <w:rsid w:val="00455682"/>
    <w:rsid w:val="00455BC5"/>
    <w:rsid w:val="00456A72"/>
    <w:rsid w:val="00456DCB"/>
    <w:rsid w:val="0045735E"/>
    <w:rsid w:val="00460F45"/>
    <w:rsid w:val="00461368"/>
    <w:rsid w:val="00461BA7"/>
    <w:rsid w:val="004620FF"/>
    <w:rsid w:val="00462EF2"/>
    <w:rsid w:val="00463EB4"/>
    <w:rsid w:val="00465188"/>
    <w:rsid w:val="0046520E"/>
    <w:rsid w:val="00465E7D"/>
    <w:rsid w:val="004661EC"/>
    <w:rsid w:val="0046724D"/>
    <w:rsid w:val="004672DC"/>
    <w:rsid w:val="00467336"/>
    <w:rsid w:val="004677C5"/>
    <w:rsid w:val="00467E59"/>
    <w:rsid w:val="00470306"/>
    <w:rsid w:val="004703E3"/>
    <w:rsid w:val="00470605"/>
    <w:rsid w:val="004715BE"/>
    <w:rsid w:val="00471FDD"/>
    <w:rsid w:val="00472917"/>
    <w:rsid w:val="00472B73"/>
    <w:rsid w:val="00474296"/>
    <w:rsid w:val="0047494A"/>
    <w:rsid w:val="0047597E"/>
    <w:rsid w:val="00475F30"/>
    <w:rsid w:val="00476AE7"/>
    <w:rsid w:val="00476C78"/>
    <w:rsid w:val="00477115"/>
    <w:rsid w:val="00480337"/>
    <w:rsid w:val="004809A3"/>
    <w:rsid w:val="0048192A"/>
    <w:rsid w:val="00481C09"/>
    <w:rsid w:val="00482660"/>
    <w:rsid w:val="00485BCF"/>
    <w:rsid w:val="004869AA"/>
    <w:rsid w:val="00486E45"/>
    <w:rsid w:val="00487687"/>
    <w:rsid w:val="00490010"/>
    <w:rsid w:val="004900F7"/>
    <w:rsid w:val="00490E53"/>
    <w:rsid w:val="0049108A"/>
    <w:rsid w:val="00492125"/>
    <w:rsid w:val="004921E7"/>
    <w:rsid w:val="00492D47"/>
    <w:rsid w:val="00493301"/>
    <w:rsid w:val="004937DF"/>
    <w:rsid w:val="00493918"/>
    <w:rsid w:val="00493D69"/>
    <w:rsid w:val="0049400E"/>
    <w:rsid w:val="00494598"/>
    <w:rsid w:val="00496584"/>
    <w:rsid w:val="00497790"/>
    <w:rsid w:val="004A06A5"/>
    <w:rsid w:val="004A0D4D"/>
    <w:rsid w:val="004A1829"/>
    <w:rsid w:val="004A35D1"/>
    <w:rsid w:val="004A367A"/>
    <w:rsid w:val="004A37FA"/>
    <w:rsid w:val="004A3E52"/>
    <w:rsid w:val="004A462B"/>
    <w:rsid w:val="004A4DD5"/>
    <w:rsid w:val="004A4F44"/>
    <w:rsid w:val="004A5006"/>
    <w:rsid w:val="004A55FB"/>
    <w:rsid w:val="004A589C"/>
    <w:rsid w:val="004A6D0C"/>
    <w:rsid w:val="004A7A0E"/>
    <w:rsid w:val="004B0027"/>
    <w:rsid w:val="004B133B"/>
    <w:rsid w:val="004B1BA0"/>
    <w:rsid w:val="004B20B0"/>
    <w:rsid w:val="004B2DA8"/>
    <w:rsid w:val="004B3132"/>
    <w:rsid w:val="004B346B"/>
    <w:rsid w:val="004B3934"/>
    <w:rsid w:val="004B39CE"/>
    <w:rsid w:val="004B45B5"/>
    <w:rsid w:val="004B4721"/>
    <w:rsid w:val="004B4A19"/>
    <w:rsid w:val="004B4A3D"/>
    <w:rsid w:val="004B55A3"/>
    <w:rsid w:val="004B64F6"/>
    <w:rsid w:val="004B6EB2"/>
    <w:rsid w:val="004B71DC"/>
    <w:rsid w:val="004B7A23"/>
    <w:rsid w:val="004C0DAA"/>
    <w:rsid w:val="004C1591"/>
    <w:rsid w:val="004C3E23"/>
    <w:rsid w:val="004C4952"/>
    <w:rsid w:val="004C584F"/>
    <w:rsid w:val="004C602C"/>
    <w:rsid w:val="004C795F"/>
    <w:rsid w:val="004D0712"/>
    <w:rsid w:val="004D0EB9"/>
    <w:rsid w:val="004D17AE"/>
    <w:rsid w:val="004D2B0C"/>
    <w:rsid w:val="004D3DDD"/>
    <w:rsid w:val="004D6BF7"/>
    <w:rsid w:val="004D7240"/>
    <w:rsid w:val="004D7AA6"/>
    <w:rsid w:val="004E1275"/>
    <w:rsid w:val="004E181F"/>
    <w:rsid w:val="004E1A9B"/>
    <w:rsid w:val="004E2185"/>
    <w:rsid w:val="004E2FC2"/>
    <w:rsid w:val="004E3D61"/>
    <w:rsid w:val="004E4BB3"/>
    <w:rsid w:val="004E4D7A"/>
    <w:rsid w:val="004E544C"/>
    <w:rsid w:val="004E6EFA"/>
    <w:rsid w:val="004E747A"/>
    <w:rsid w:val="004F04A4"/>
    <w:rsid w:val="004F0EAF"/>
    <w:rsid w:val="004F1019"/>
    <w:rsid w:val="004F10CB"/>
    <w:rsid w:val="004F2075"/>
    <w:rsid w:val="004F2C29"/>
    <w:rsid w:val="004F477D"/>
    <w:rsid w:val="004F5263"/>
    <w:rsid w:val="004F5CB5"/>
    <w:rsid w:val="004F6409"/>
    <w:rsid w:val="004F7882"/>
    <w:rsid w:val="005005EF"/>
    <w:rsid w:val="005009D6"/>
    <w:rsid w:val="005016AC"/>
    <w:rsid w:val="00501798"/>
    <w:rsid w:val="0050308D"/>
    <w:rsid w:val="00503D23"/>
    <w:rsid w:val="0050486F"/>
    <w:rsid w:val="00504C50"/>
    <w:rsid w:val="005060D9"/>
    <w:rsid w:val="0050627E"/>
    <w:rsid w:val="005064BD"/>
    <w:rsid w:val="005068C4"/>
    <w:rsid w:val="00510148"/>
    <w:rsid w:val="005119AB"/>
    <w:rsid w:val="005132E5"/>
    <w:rsid w:val="005137CB"/>
    <w:rsid w:val="00514537"/>
    <w:rsid w:val="00514D56"/>
    <w:rsid w:val="00515ECD"/>
    <w:rsid w:val="00515F71"/>
    <w:rsid w:val="00515FA7"/>
    <w:rsid w:val="0051641B"/>
    <w:rsid w:val="0051646D"/>
    <w:rsid w:val="00517CFF"/>
    <w:rsid w:val="00517F59"/>
    <w:rsid w:val="00520180"/>
    <w:rsid w:val="00520736"/>
    <w:rsid w:val="00521194"/>
    <w:rsid w:val="00521782"/>
    <w:rsid w:val="0052199A"/>
    <w:rsid w:val="00521F4D"/>
    <w:rsid w:val="005238FB"/>
    <w:rsid w:val="0052620D"/>
    <w:rsid w:val="0052768D"/>
    <w:rsid w:val="005300CC"/>
    <w:rsid w:val="005305F7"/>
    <w:rsid w:val="005308FE"/>
    <w:rsid w:val="00530AD9"/>
    <w:rsid w:val="00530C3A"/>
    <w:rsid w:val="00530F53"/>
    <w:rsid w:val="00530F86"/>
    <w:rsid w:val="005311C3"/>
    <w:rsid w:val="005315D7"/>
    <w:rsid w:val="00531D2A"/>
    <w:rsid w:val="00531E39"/>
    <w:rsid w:val="005330B9"/>
    <w:rsid w:val="005333D1"/>
    <w:rsid w:val="005340C7"/>
    <w:rsid w:val="0053455A"/>
    <w:rsid w:val="0053457F"/>
    <w:rsid w:val="00535157"/>
    <w:rsid w:val="0053656F"/>
    <w:rsid w:val="00536EEC"/>
    <w:rsid w:val="00537E57"/>
    <w:rsid w:val="00537E62"/>
    <w:rsid w:val="005409E4"/>
    <w:rsid w:val="00541A79"/>
    <w:rsid w:val="00542F1B"/>
    <w:rsid w:val="00543150"/>
    <w:rsid w:val="005449D1"/>
    <w:rsid w:val="005450E8"/>
    <w:rsid w:val="0054671A"/>
    <w:rsid w:val="00546759"/>
    <w:rsid w:val="005509A7"/>
    <w:rsid w:val="00550D81"/>
    <w:rsid w:val="0055160A"/>
    <w:rsid w:val="00551B01"/>
    <w:rsid w:val="0055298A"/>
    <w:rsid w:val="00552F16"/>
    <w:rsid w:val="005530A1"/>
    <w:rsid w:val="00554062"/>
    <w:rsid w:val="0055406F"/>
    <w:rsid w:val="0055438F"/>
    <w:rsid w:val="00554F93"/>
    <w:rsid w:val="00555B09"/>
    <w:rsid w:val="005577C9"/>
    <w:rsid w:val="0056093A"/>
    <w:rsid w:val="00560A3D"/>
    <w:rsid w:val="00560E36"/>
    <w:rsid w:val="00563CCF"/>
    <w:rsid w:val="00566555"/>
    <w:rsid w:val="0056691F"/>
    <w:rsid w:val="00567701"/>
    <w:rsid w:val="0057176A"/>
    <w:rsid w:val="00572C56"/>
    <w:rsid w:val="0057390B"/>
    <w:rsid w:val="00573DF9"/>
    <w:rsid w:val="0057401C"/>
    <w:rsid w:val="00574219"/>
    <w:rsid w:val="005745C9"/>
    <w:rsid w:val="00574909"/>
    <w:rsid w:val="00575470"/>
    <w:rsid w:val="00575637"/>
    <w:rsid w:val="005757F2"/>
    <w:rsid w:val="005758B0"/>
    <w:rsid w:val="00575A0D"/>
    <w:rsid w:val="00575FBE"/>
    <w:rsid w:val="00576B41"/>
    <w:rsid w:val="005773AC"/>
    <w:rsid w:val="00577E29"/>
    <w:rsid w:val="005804CC"/>
    <w:rsid w:val="005805F9"/>
    <w:rsid w:val="00581D30"/>
    <w:rsid w:val="00583424"/>
    <w:rsid w:val="00583F69"/>
    <w:rsid w:val="0058406A"/>
    <w:rsid w:val="0058415D"/>
    <w:rsid w:val="0058467A"/>
    <w:rsid w:val="00584A77"/>
    <w:rsid w:val="00585369"/>
    <w:rsid w:val="00585C5F"/>
    <w:rsid w:val="00585E48"/>
    <w:rsid w:val="0058600B"/>
    <w:rsid w:val="005866AD"/>
    <w:rsid w:val="005874AE"/>
    <w:rsid w:val="00587A1D"/>
    <w:rsid w:val="005906B1"/>
    <w:rsid w:val="0059088B"/>
    <w:rsid w:val="005909B6"/>
    <w:rsid w:val="005909FE"/>
    <w:rsid w:val="00590C0F"/>
    <w:rsid w:val="00590DF8"/>
    <w:rsid w:val="00590F12"/>
    <w:rsid w:val="00590F77"/>
    <w:rsid w:val="005911EB"/>
    <w:rsid w:val="00591808"/>
    <w:rsid w:val="0059202B"/>
    <w:rsid w:val="00592850"/>
    <w:rsid w:val="00592E14"/>
    <w:rsid w:val="00593CE0"/>
    <w:rsid w:val="00593D48"/>
    <w:rsid w:val="005941F4"/>
    <w:rsid w:val="00594463"/>
    <w:rsid w:val="00594EC3"/>
    <w:rsid w:val="00595E56"/>
    <w:rsid w:val="005960AF"/>
    <w:rsid w:val="005961EE"/>
    <w:rsid w:val="005972B7"/>
    <w:rsid w:val="0059771F"/>
    <w:rsid w:val="005979B3"/>
    <w:rsid w:val="005A028C"/>
    <w:rsid w:val="005A1037"/>
    <w:rsid w:val="005A12D2"/>
    <w:rsid w:val="005A201D"/>
    <w:rsid w:val="005A21F1"/>
    <w:rsid w:val="005A2258"/>
    <w:rsid w:val="005A246A"/>
    <w:rsid w:val="005A2B52"/>
    <w:rsid w:val="005A2C1E"/>
    <w:rsid w:val="005A38A2"/>
    <w:rsid w:val="005A3E78"/>
    <w:rsid w:val="005A468F"/>
    <w:rsid w:val="005A4887"/>
    <w:rsid w:val="005A5314"/>
    <w:rsid w:val="005A5DC5"/>
    <w:rsid w:val="005A6946"/>
    <w:rsid w:val="005A73AE"/>
    <w:rsid w:val="005B13C2"/>
    <w:rsid w:val="005B1489"/>
    <w:rsid w:val="005B1B2C"/>
    <w:rsid w:val="005B3592"/>
    <w:rsid w:val="005B44EC"/>
    <w:rsid w:val="005B4AB2"/>
    <w:rsid w:val="005B4C3A"/>
    <w:rsid w:val="005B4CBC"/>
    <w:rsid w:val="005B5836"/>
    <w:rsid w:val="005B5EB3"/>
    <w:rsid w:val="005B6002"/>
    <w:rsid w:val="005B6779"/>
    <w:rsid w:val="005B7117"/>
    <w:rsid w:val="005B79C0"/>
    <w:rsid w:val="005B7B5C"/>
    <w:rsid w:val="005B7C30"/>
    <w:rsid w:val="005B7F7A"/>
    <w:rsid w:val="005C047B"/>
    <w:rsid w:val="005C0790"/>
    <w:rsid w:val="005C134B"/>
    <w:rsid w:val="005C1851"/>
    <w:rsid w:val="005C2807"/>
    <w:rsid w:val="005C2BCE"/>
    <w:rsid w:val="005C4B43"/>
    <w:rsid w:val="005C56E9"/>
    <w:rsid w:val="005C7FEA"/>
    <w:rsid w:val="005D04AD"/>
    <w:rsid w:val="005D067D"/>
    <w:rsid w:val="005D124D"/>
    <w:rsid w:val="005D23EB"/>
    <w:rsid w:val="005D31F2"/>
    <w:rsid w:val="005D326F"/>
    <w:rsid w:val="005D3420"/>
    <w:rsid w:val="005D49B9"/>
    <w:rsid w:val="005D55DA"/>
    <w:rsid w:val="005D60A7"/>
    <w:rsid w:val="005D66D0"/>
    <w:rsid w:val="005D6C3C"/>
    <w:rsid w:val="005D719A"/>
    <w:rsid w:val="005D7520"/>
    <w:rsid w:val="005D7E6F"/>
    <w:rsid w:val="005E06CE"/>
    <w:rsid w:val="005E1029"/>
    <w:rsid w:val="005E198A"/>
    <w:rsid w:val="005E1BA7"/>
    <w:rsid w:val="005E1BE1"/>
    <w:rsid w:val="005E1EA2"/>
    <w:rsid w:val="005E1F4F"/>
    <w:rsid w:val="005E2C8E"/>
    <w:rsid w:val="005E4301"/>
    <w:rsid w:val="005E4525"/>
    <w:rsid w:val="005E68D2"/>
    <w:rsid w:val="005E7344"/>
    <w:rsid w:val="005E79CE"/>
    <w:rsid w:val="005E7A2A"/>
    <w:rsid w:val="005F1756"/>
    <w:rsid w:val="005F1843"/>
    <w:rsid w:val="005F1D8F"/>
    <w:rsid w:val="005F2A51"/>
    <w:rsid w:val="005F2ED9"/>
    <w:rsid w:val="005F4308"/>
    <w:rsid w:val="005F48E9"/>
    <w:rsid w:val="005F5183"/>
    <w:rsid w:val="005F55F7"/>
    <w:rsid w:val="005F6C05"/>
    <w:rsid w:val="005F6F59"/>
    <w:rsid w:val="005F7D95"/>
    <w:rsid w:val="00600114"/>
    <w:rsid w:val="00600C85"/>
    <w:rsid w:val="0060166D"/>
    <w:rsid w:val="006018B0"/>
    <w:rsid w:val="00604F70"/>
    <w:rsid w:val="00605026"/>
    <w:rsid w:val="0060545C"/>
    <w:rsid w:val="00605876"/>
    <w:rsid w:val="00606D42"/>
    <w:rsid w:val="0060799D"/>
    <w:rsid w:val="0061018C"/>
    <w:rsid w:val="0061038E"/>
    <w:rsid w:val="00610CD4"/>
    <w:rsid w:val="006119D5"/>
    <w:rsid w:val="00611F30"/>
    <w:rsid w:val="00612A34"/>
    <w:rsid w:val="006133EE"/>
    <w:rsid w:val="006135AC"/>
    <w:rsid w:val="0061380C"/>
    <w:rsid w:val="0061418F"/>
    <w:rsid w:val="006145F6"/>
    <w:rsid w:val="006149FD"/>
    <w:rsid w:val="00614D74"/>
    <w:rsid w:val="0061595E"/>
    <w:rsid w:val="00615AD3"/>
    <w:rsid w:val="0061614C"/>
    <w:rsid w:val="006165ED"/>
    <w:rsid w:val="00616EAF"/>
    <w:rsid w:val="006171D1"/>
    <w:rsid w:val="00617B36"/>
    <w:rsid w:val="00617DAC"/>
    <w:rsid w:val="006213BC"/>
    <w:rsid w:val="00621584"/>
    <w:rsid w:val="00621BD8"/>
    <w:rsid w:val="00622242"/>
    <w:rsid w:val="00623719"/>
    <w:rsid w:val="00623CA7"/>
    <w:rsid w:val="00624C13"/>
    <w:rsid w:val="00625639"/>
    <w:rsid w:val="00626684"/>
    <w:rsid w:val="00626F28"/>
    <w:rsid w:val="00627F05"/>
    <w:rsid w:val="006304C4"/>
    <w:rsid w:val="006307EA"/>
    <w:rsid w:val="00632458"/>
    <w:rsid w:val="006331AF"/>
    <w:rsid w:val="00633CAF"/>
    <w:rsid w:val="00634C1E"/>
    <w:rsid w:val="006354A7"/>
    <w:rsid w:val="00635EBD"/>
    <w:rsid w:val="00635ECA"/>
    <w:rsid w:val="006404BD"/>
    <w:rsid w:val="006418D4"/>
    <w:rsid w:val="006419C6"/>
    <w:rsid w:val="00642363"/>
    <w:rsid w:val="0064273C"/>
    <w:rsid w:val="00642CBA"/>
    <w:rsid w:val="00643B09"/>
    <w:rsid w:val="00643E55"/>
    <w:rsid w:val="006445E9"/>
    <w:rsid w:val="006456A8"/>
    <w:rsid w:val="00645922"/>
    <w:rsid w:val="006459A4"/>
    <w:rsid w:val="006479D4"/>
    <w:rsid w:val="006501E1"/>
    <w:rsid w:val="00651E8E"/>
    <w:rsid w:val="0065259E"/>
    <w:rsid w:val="00653F0D"/>
    <w:rsid w:val="00653FE2"/>
    <w:rsid w:val="00654906"/>
    <w:rsid w:val="006549CF"/>
    <w:rsid w:val="0065577C"/>
    <w:rsid w:val="00656097"/>
    <w:rsid w:val="00656378"/>
    <w:rsid w:val="0065673C"/>
    <w:rsid w:val="006571AE"/>
    <w:rsid w:val="006578BC"/>
    <w:rsid w:val="00660009"/>
    <w:rsid w:val="006601F8"/>
    <w:rsid w:val="00661E77"/>
    <w:rsid w:val="00662239"/>
    <w:rsid w:val="00662F6E"/>
    <w:rsid w:val="00663E1D"/>
    <w:rsid w:val="006641E3"/>
    <w:rsid w:val="00664312"/>
    <w:rsid w:val="00664DEF"/>
    <w:rsid w:val="00664E34"/>
    <w:rsid w:val="00666FCD"/>
    <w:rsid w:val="00667ABD"/>
    <w:rsid w:val="0067215D"/>
    <w:rsid w:val="00672E44"/>
    <w:rsid w:val="006732D3"/>
    <w:rsid w:val="00673775"/>
    <w:rsid w:val="00673B3A"/>
    <w:rsid w:val="00673FFD"/>
    <w:rsid w:val="00676B78"/>
    <w:rsid w:val="0067737E"/>
    <w:rsid w:val="0068165E"/>
    <w:rsid w:val="00682BA7"/>
    <w:rsid w:val="00682E57"/>
    <w:rsid w:val="00683CF6"/>
    <w:rsid w:val="00683F65"/>
    <w:rsid w:val="0068444E"/>
    <w:rsid w:val="00685070"/>
    <w:rsid w:val="00685B61"/>
    <w:rsid w:val="006869CB"/>
    <w:rsid w:val="00687680"/>
    <w:rsid w:val="006878EE"/>
    <w:rsid w:val="00690971"/>
    <w:rsid w:val="00691535"/>
    <w:rsid w:val="006917DC"/>
    <w:rsid w:val="0069191B"/>
    <w:rsid w:val="00692702"/>
    <w:rsid w:val="006929A1"/>
    <w:rsid w:val="00694D9D"/>
    <w:rsid w:val="00694E86"/>
    <w:rsid w:val="00696C8A"/>
    <w:rsid w:val="00697431"/>
    <w:rsid w:val="006A0652"/>
    <w:rsid w:val="006A2EAC"/>
    <w:rsid w:val="006A2EE6"/>
    <w:rsid w:val="006A4835"/>
    <w:rsid w:val="006A4D47"/>
    <w:rsid w:val="006A4FB8"/>
    <w:rsid w:val="006A703A"/>
    <w:rsid w:val="006A78B5"/>
    <w:rsid w:val="006A7C95"/>
    <w:rsid w:val="006A7EFA"/>
    <w:rsid w:val="006B044B"/>
    <w:rsid w:val="006B1DB7"/>
    <w:rsid w:val="006B2223"/>
    <w:rsid w:val="006B29D8"/>
    <w:rsid w:val="006B3739"/>
    <w:rsid w:val="006B40D3"/>
    <w:rsid w:val="006B6860"/>
    <w:rsid w:val="006B6C07"/>
    <w:rsid w:val="006B731F"/>
    <w:rsid w:val="006B76A9"/>
    <w:rsid w:val="006B7899"/>
    <w:rsid w:val="006C25B8"/>
    <w:rsid w:val="006C2929"/>
    <w:rsid w:val="006C2E37"/>
    <w:rsid w:val="006C2EAD"/>
    <w:rsid w:val="006C33D2"/>
    <w:rsid w:val="006C38AE"/>
    <w:rsid w:val="006C3BD1"/>
    <w:rsid w:val="006C422F"/>
    <w:rsid w:val="006C4F88"/>
    <w:rsid w:val="006C52AD"/>
    <w:rsid w:val="006C53F9"/>
    <w:rsid w:val="006C620D"/>
    <w:rsid w:val="006C7D5B"/>
    <w:rsid w:val="006D01DE"/>
    <w:rsid w:val="006D0C93"/>
    <w:rsid w:val="006D1A89"/>
    <w:rsid w:val="006D2492"/>
    <w:rsid w:val="006D273F"/>
    <w:rsid w:val="006D299E"/>
    <w:rsid w:val="006D2AAE"/>
    <w:rsid w:val="006D2D24"/>
    <w:rsid w:val="006D2E37"/>
    <w:rsid w:val="006D43CB"/>
    <w:rsid w:val="006D54D8"/>
    <w:rsid w:val="006D58C9"/>
    <w:rsid w:val="006D5E7D"/>
    <w:rsid w:val="006D61FA"/>
    <w:rsid w:val="006D6E00"/>
    <w:rsid w:val="006D7ADE"/>
    <w:rsid w:val="006D7F31"/>
    <w:rsid w:val="006E08DF"/>
    <w:rsid w:val="006E0C42"/>
    <w:rsid w:val="006E179C"/>
    <w:rsid w:val="006E27E2"/>
    <w:rsid w:val="006E4362"/>
    <w:rsid w:val="006E5D4E"/>
    <w:rsid w:val="006E699A"/>
    <w:rsid w:val="006F0270"/>
    <w:rsid w:val="006F0691"/>
    <w:rsid w:val="006F0AC2"/>
    <w:rsid w:val="006F0B6C"/>
    <w:rsid w:val="006F0E12"/>
    <w:rsid w:val="006F0E76"/>
    <w:rsid w:val="006F137F"/>
    <w:rsid w:val="006F1659"/>
    <w:rsid w:val="006F2765"/>
    <w:rsid w:val="006F3122"/>
    <w:rsid w:val="006F365D"/>
    <w:rsid w:val="006F3CEF"/>
    <w:rsid w:val="006F4674"/>
    <w:rsid w:val="006F4B0C"/>
    <w:rsid w:val="006F5EEB"/>
    <w:rsid w:val="006F6021"/>
    <w:rsid w:val="006F6AD2"/>
    <w:rsid w:val="006F6D88"/>
    <w:rsid w:val="006F6E0B"/>
    <w:rsid w:val="006F760E"/>
    <w:rsid w:val="006F7780"/>
    <w:rsid w:val="007008F1"/>
    <w:rsid w:val="00700E56"/>
    <w:rsid w:val="00701547"/>
    <w:rsid w:val="007019F9"/>
    <w:rsid w:val="00702452"/>
    <w:rsid w:val="00702E4D"/>
    <w:rsid w:val="00702FE0"/>
    <w:rsid w:val="00703100"/>
    <w:rsid w:val="007047BE"/>
    <w:rsid w:val="00704AAA"/>
    <w:rsid w:val="00705413"/>
    <w:rsid w:val="00705C20"/>
    <w:rsid w:val="00706592"/>
    <w:rsid w:val="007112FE"/>
    <w:rsid w:val="00711339"/>
    <w:rsid w:val="00713963"/>
    <w:rsid w:val="00713C2A"/>
    <w:rsid w:val="00714298"/>
    <w:rsid w:val="0071456C"/>
    <w:rsid w:val="007160FE"/>
    <w:rsid w:val="00716A86"/>
    <w:rsid w:val="00716D5D"/>
    <w:rsid w:val="00716DBB"/>
    <w:rsid w:val="00717B00"/>
    <w:rsid w:val="0072124F"/>
    <w:rsid w:val="00721F2D"/>
    <w:rsid w:val="00722884"/>
    <w:rsid w:val="00722CB1"/>
    <w:rsid w:val="00723E75"/>
    <w:rsid w:val="0072423B"/>
    <w:rsid w:val="007248B2"/>
    <w:rsid w:val="00724A6F"/>
    <w:rsid w:val="00724BAD"/>
    <w:rsid w:val="0072520C"/>
    <w:rsid w:val="007258EB"/>
    <w:rsid w:val="00725F0F"/>
    <w:rsid w:val="007273EE"/>
    <w:rsid w:val="00727D2E"/>
    <w:rsid w:val="00730FB0"/>
    <w:rsid w:val="0073133D"/>
    <w:rsid w:val="007338A6"/>
    <w:rsid w:val="00733BDC"/>
    <w:rsid w:val="00733DA6"/>
    <w:rsid w:val="007340A6"/>
    <w:rsid w:val="00735154"/>
    <w:rsid w:val="0073551D"/>
    <w:rsid w:val="0074129E"/>
    <w:rsid w:val="00741421"/>
    <w:rsid w:val="00741F41"/>
    <w:rsid w:val="00741FCD"/>
    <w:rsid w:val="0074261F"/>
    <w:rsid w:val="0074281E"/>
    <w:rsid w:val="0074413A"/>
    <w:rsid w:val="00744C04"/>
    <w:rsid w:val="00744E84"/>
    <w:rsid w:val="00745231"/>
    <w:rsid w:val="00745FE9"/>
    <w:rsid w:val="00747CD1"/>
    <w:rsid w:val="0075071F"/>
    <w:rsid w:val="0075074B"/>
    <w:rsid w:val="007513AF"/>
    <w:rsid w:val="00751AC3"/>
    <w:rsid w:val="00751C60"/>
    <w:rsid w:val="00751E45"/>
    <w:rsid w:val="00752D95"/>
    <w:rsid w:val="0075318A"/>
    <w:rsid w:val="00753F57"/>
    <w:rsid w:val="00754294"/>
    <w:rsid w:val="00754DFF"/>
    <w:rsid w:val="007558B8"/>
    <w:rsid w:val="007568E2"/>
    <w:rsid w:val="00756C43"/>
    <w:rsid w:val="00757144"/>
    <w:rsid w:val="0075751D"/>
    <w:rsid w:val="007577E0"/>
    <w:rsid w:val="007604A5"/>
    <w:rsid w:val="00760935"/>
    <w:rsid w:val="00760BA1"/>
    <w:rsid w:val="00761336"/>
    <w:rsid w:val="00762D28"/>
    <w:rsid w:val="007639AD"/>
    <w:rsid w:val="00763BAE"/>
    <w:rsid w:val="00763FDF"/>
    <w:rsid w:val="007641A3"/>
    <w:rsid w:val="00764CBF"/>
    <w:rsid w:val="007679FE"/>
    <w:rsid w:val="007707EA"/>
    <w:rsid w:val="00771DC8"/>
    <w:rsid w:val="00772085"/>
    <w:rsid w:val="00773F38"/>
    <w:rsid w:val="00774764"/>
    <w:rsid w:val="007754BA"/>
    <w:rsid w:val="007755E4"/>
    <w:rsid w:val="00780386"/>
    <w:rsid w:val="007804F4"/>
    <w:rsid w:val="00780BC1"/>
    <w:rsid w:val="00780EC6"/>
    <w:rsid w:val="00781805"/>
    <w:rsid w:val="00781BB1"/>
    <w:rsid w:val="007823E0"/>
    <w:rsid w:val="0078286C"/>
    <w:rsid w:val="0078361A"/>
    <w:rsid w:val="00783BB2"/>
    <w:rsid w:val="00783EFC"/>
    <w:rsid w:val="0078525F"/>
    <w:rsid w:val="00785B48"/>
    <w:rsid w:val="00785E01"/>
    <w:rsid w:val="007862A4"/>
    <w:rsid w:val="00786ACE"/>
    <w:rsid w:val="0078753C"/>
    <w:rsid w:val="007916C7"/>
    <w:rsid w:val="00791FC5"/>
    <w:rsid w:val="00793BEA"/>
    <w:rsid w:val="00793C60"/>
    <w:rsid w:val="0079433A"/>
    <w:rsid w:val="00794DEE"/>
    <w:rsid w:val="00795A25"/>
    <w:rsid w:val="00795B8E"/>
    <w:rsid w:val="007A0470"/>
    <w:rsid w:val="007A1DD8"/>
    <w:rsid w:val="007A2788"/>
    <w:rsid w:val="007A2E43"/>
    <w:rsid w:val="007A3961"/>
    <w:rsid w:val="007A41E4"/>
    <w:rsid w:val="007A4847"/>
    <w:rsid w:val="007A4A5D"/>
    <w:rsid w:val="007A502A"/>
    <w:rsid w:val="007A51D1"/>
    <w:rsid w:val="007A56C3"/>
    <w:rsid w:val="007A5B16"/>
    <w:rsid w:val="007A60D4"/>
    <w:rsid w:val="007A78D0"/>
    <w:rsid w:val="007A792E"/>
    <w:rsid w:val="007B291E"/>
    <w:rsid w:val="007B3238"/>
    <w:rsid w:val="007B3442"/>
    <w:rsid w:val="007B3950"/>
    <w:rsid w:val="007B3B0F"/>
    <w:rsid w:val="007B3D4A"/>
    <w:rsid w:val="007B3E8E"/>
    <w:rsid w:val="007B43D2"/>
    <w:rsid w:val="007B537D"/>
    <w:rsid w:val="007B585B"/>
    <w:rsid w:val="007B7730"/>
    <w:rsid w:val="007C070C"/>
    <w:rsid w:val="007C09A3"/>
    <w:rsid w:val="007C0B35"/>
    <w:rsid w:val="007C1584"/>
    <w:rsid w:val="007C198A"/>
    <w:rsid w:val="007C1BB4"/>
    <w:rsid w:val="007C1CED"/>
    <w:rsid w:val="007C2AE3"/>
    <w:rsid w:val="007C3AF8"/>
    <w:rsid w:val="007C46AB"/>
    <w:rsid w:val="007C53E2"/>
    <w:rsid w:val="007C6E7D"/>
    <w:rsid w:val="007D01D5"/>
    <w:rsid w:val="007D099A"/>
    <w:rsid w:val="007D125D"/>
    <w:rsid w:val="007D18EA"/>
    <w:rsid w:val="007D1D40"/>
    <w:rsid w:val="007D4491"/>
    <w:rsid w:val="007D5BE4"/>
    <w:rsid w:val="007D7723"/>
    <w:rsid w:val="007D7B72"/>
    <w:rsid w:val="007E0736"/>
    <w:rsid w:val="007E163C"/>
    <w:rsid w:val="007E260E"/>
    <w:rsid w:val="007E264B"/>
    <w:rsid w:val="007E28A1"/>
    <w:rsid w:val="007E29C6"/>
    <w:rsid w:val="007E2CB7"/>
    <w:rsid w:val="007E3580"/>
    <w:rsid w:val="007E3F2A"/>
    <w:rsid w:val="007E4FCA"/>
    <w:rsid w:val="007E5C07"/>
    <w:rsid w:val="007E5D77"/>
    <w:rsid w:val="007E5F30"/>
    <w:rsid w:val="007E6842"/>
    <w:rsid w:val="007E79DA"/>
    <w:rsid w:val="007F0216"/>
    <w:rsid w:val="007F037D"/>
    <w:rsid w:val="007F17D2"/>
    <w:rsid w:val="007F186F"/>
    <w:rsid w:val="007F2653"/>
    <w:rsid w:val="007F265A"/>
    <w:rsid w:val="007F2AC5"/>
    <w:rsid w:val="007F4D1F"/>
    <w:rsid w:val="007F5A0E"/>
    <w:rsid w:val="007F6199"/>
    <w:rsid w:val="007F61D3"/>
    <w:rsid w:val="007F696B"/>
    <w:rsid w:val="007F707D"/>
    <w:rsid w:val="007F7131"/>
    <w:rsid w:val="007F7E1D"/>
    <w:rsid w:val="007F7EDA"/>
    <w:rsid w:val="008005CF"/>
    <w:rsid w:val="00800715"/>
    <w:rsid w:val="008018ED"/>
    <w:rsid w:val="00802ECD"/>
    <w:rsid w:val="00803B51"/>
    <w:rsid w:val="0080538D"/>
    <w:rsid w:val="00805A1D"/>
    <w:rsid w:val="008069BB"/>
    <w:rsid w:val="00806F0D"/>
    <w:rsid w:val="00807B72"/>
    <w:rsid w:val="00810040"/>
    <w:rsid w:val="008119F1"/>
    <w:rsid w:val="00812A75"/>
    <w:rsid w:val="00812C95"/>
    <w:rsid w:val="00812D0F"/>
    <w:rsid w:val="00812FC5"/>
    <w:rsid w:val="00813EC7"/>
    <w:rsid w:val="0081496C"/>
    <w:rsid w:val="00814B5C"/>
    <w:rsid w:val="008150F5"/>
    <w:rsid w:val="00815823"/>
    <w:rsid w:val="00815A4A"/>
    <w:rsid w:val="00815B19"/>
    <w:rsid w:val="0081700F"/>
    <w:rsid w:val="0082026D"/>
    <w:rsid w:val="00820C94"/>
    <w:rsid w:val="00820E04"/>
    <w:rsid w:val="00821DB5"/>
    <w:rsid w:val="00821DBD"/>
    <w:rsid w:val="00821F89"/>
    <w:rsid w:val="00822322"/>
    <w:rsid w:val="008225E5"/>
    <w:rsid w:val="008227EB"/>
    <w:rsid w:val="00822CB0"/>
    <w:rsid w:val="008235DF"/>
    <w:rsid w:val="00823976"/>
    <w:rsid w:val="008259D3"/>
    <w:rsid w:val="008306CA"/>
    <w:rsid w:val="00831655"/>
    <w:rsid w:val="0083174C"/>
    <w:rsid w:val="008334D7"/>
    <w:rsid w:val="00833629"/>
    <w:rsid w:val="00833848"/>
    <w:rsid w:val="00833A13"/>
    <w:rsid w:val="00833ADF"/>
    <w:rsid w:val="0083413E"/>
    <w:rsid w:val="008341E1"/>
    <w:rsid w:val="008342BC"/>
    <w:rsid w:val="00836B1E"/>
    <w:rsid w:val="00840242"/>
    <w:rsid w:val="00841540"/>
    <w:rsid w:val="008428B4"/>
    <w:rsid w:val="00843193"/>
    <w:rsid w:val="008439F7"/>
    <w:rsid w:val="00843FF7"/>
    <w:rsid w:val="00845F2F"/>
    <w:rsid w:val="008465E6"/>
    <w:rsid w:val="00846642"/>
    <w:rsid w:val="00846783"/>
    <w:rsid w:val="00846FC5"/>
    <w:rsid w:val="00847391"/>
    <w:rsid w:val="00847667"/>
    <w:rsid w:val="00850A9C"/>
    <w:rsid w:val="0085103C"/>
    <w:rsid w:val="0085247C"/>
    <w:rsid w:val="00852C8A"/>
    <w:rsid w:val="008531CA"/>
    <w:rsid w:val="00853A9A"/>
    <w:rsid w:val="008540E7"/>
    <w:rsid w:val="0085493D"/>
    <w:rsid w:val="00854E78"/>
    <w:rsid w:val="0085504B"/>
    <w:rsid w:val="00856436"/>
    <w:rsid w:val="00856A00"/>
    <w:rsid w:val="00856BB2"/>
    <w:rsid w:val="00857292"/>
    <w:rsid w:val="00857763"/>
    <w:rsid w:val="00857B4C"/>
    <w:rsid w:val="00861AE4"/>
    <w:rsid w:val="008620CC"/>
    <w:rsid w:val="0086260A"/>
    <w:rsid w:val="0086394C"/>
    <w:rsid w:val="00863987"/>
    <w:rsid w:val="00863BA1"/>
    <w:rsid w:val="00863CDE"/>
    <w:rsid w:val="00864142"/>
    <w:rsid w:val="0086473F"/>
    <w:rsid w:val="00864D13"/>
    <w:rsid w:val="00864EDE"/>
    <w:rsid w:val="00865846"/>
    <w:rsid w:val="00865D6F"/>
    <w:rsid w:val="00866427"/>
    <w:rsid w:val="00870B73"/>
    <w:rsid w:val="00871D37"/>
    <w:rsid w:val="00873A2B"/>
    <w:rsid w:val="00873DC8"/>
    <w:rsid w:val="00875ECD"/>
    <w:rsid w:val="008771B1"/>
    <w:rsid w:val="008776C6"/>
    <w:rsid w:val="00877866"/>
    <w:rsid w:val="008807D1"/>
    <w:rsid w:val="00882626"/>
    <w:rsid w:val="0088389E"/>
    <w:rsid w:val="00884CA2"/>
    <w:rsid w:val="00884D58"/>
    <w:rsid w:val="00884FFB"/>
    <w:rsid w:val="00887053"/>
    <w:rsid w:val="00890478"/>
    <w:rsid w:val="008906B2"/>
    <w:rsid w:val="00891EF0"/>
    <w:rsid w:val="00892F2B"/>
    <w:rsid w:val="00893956"/>
    <w:rsid w:val="00893D6D"/>
    <w:rsid w:val="00894187"/>
    <w:rsid w:val="008943C4"/>
    <w:rsid w:val="008944E9"/>
    <w:rsid w:val="008951D8"/>
    <w:rsid w:val="00895471"/>
    <w:rsid w:val="00895504"/>
    <w:rsid w:val="008956F3"/>
    <w:rsid w:val="00897D46"/>
    <w:rsid w:val="008A17D3"/>
    <w:rsid w:val="008A26EF"/>
    <w:rsid w:val="008A3A86"/>
    <w:rsid w:val="008A4070"/>
    <w:rsid w:val="008A412B"/>
    <w:rsid w:val="008A4522"/>
    <w:rsid w:val="008A58F5"/>
    <w:rsid w:val="008A5A1C"/>
    <w:rsid w:val="008A5F40"/>
    <w:rsid w:val="008A64BB"/>
    <w:rsid w:val="008A658B"/>
    <w:rsid w:val="008A719B"/>
    <w:rsid w:val="008A71CC"/>
    <w:rsid w:val="008A71ED"/>
    <w:rsid w:val="008A7C46"/>
    <w:rsid w:val="008B0338"/>
    <w:rsid w:val="008B0F7E"/>
    <w:rsid w:val="008B1472"/>
    <w:rsid w:val="008B1981"/>
    <w:rsid w:val="008B1D2C"/>
    <w:rsid w:val="008B320F"/>
    <w:rsid w:val="008B3E20"/>
    <w:rsid w:val="008B485A"/>
    <w:rsid w:val="008B4B9F"/>
    <w:rsid w:val="008B5933"/>
    <w:rsid w:val="008B5B4F"/>
    <w:rsid w:val="008B6DD6"/>
    <w:rsid w:val="008B6FBD"/>
    <w:rsid w:val="008B70A5"/>
    <w:rsid w:val="008B7456"/>
    <w:rsid w:val="008B7D05"/>
    <w:rsid w:val="008C018E"/>
    <w:rsid w:val="008C03D9"/>
    <w:rsid w:val="008C04E0"/>
    <w:rsid w:val="008C075D"/>
    <w:rsid w:val="008C0BB3"/>
    <w:rsid w:val="008C0C31"/>
    <w:rsid w:val="008C2009"/>
    <w:rsid w:val="008C29E3"/>
    <w:rsid w:val="008C3390"/>
    <w:rsid w:val="008C3EDE"/>
    <w:rsid w:val="008C4402"/>
    <w:rsid w:val="008C4434"/>
    <w:rsid w:val="008C4935"/>
    <w:rsid w:val="008C4E61"/>
    <w:rsid w:val="008C5257"/>
    <w:rsid w:val="008C5947"/>
    <w:rsid w:val="008C67E3"/>
    <w:rsid w:val="008C72AA"/>
    <w:rsid w:val="008C7B8C"/>
    <w:rsid w:val="008C7EE3"/>
    <w:rsid w:val="008D0850"/>
    <w:rsid w:val="008D2A8B"/>
    <w:rsid w:val="008D2F23"/>
    <w:rsid w:val="008D312C"/>
    <w:rsid w:val="008D4A33"/>
    <w:rsid w:val="008D54EB"/>
    <w:rsid w:val="008D5ACF"/>
    <w:rsid w:val="008D5BBD"/>
    <w:rsid w:val="008D5CF0"/>
    <w:rsid w:val="008D79ED"/>
    <w:rsid w:val="008E0E9F"/>
    <w:rsid w:val="008E1070"/>
    <w:rsid w:val="008E29E8"/>
    <w:rsid w:val="008E39E8"/>
    <w:rsid w:val="008E4019"/>
    <w:rsid w:val="008E440B"/>
    <w:rsid w:val="008E4BC2"/>
    <w:rsid w:val="008E6385"/>
    <w:rsid w:val="008E75EF"/>
    <w:rsid w:val="008F1768"/>
    <w:rsid w:val="008F2688"/>
    <w:rsid w:val="008F2870"/>
    <w:rsid w:val="008F29E0"/>
    <w:rsid w:val="008F3260"/>
    <w:rsid w:val="008F3E24"/>
    <w:rsid w:val="008F4773"/>
    <w:rsid w:val="008F4F74"/>
    <w:rsid w:val="008F4F82"/>
    <w:rsid w:val="008F5E03"/>
    <w:rsid w:val="008F730F"/>
    <w:rsid w:val="008F77EA"/>
    <w:rsid w:val="008F7C09"/>
    <w:rsid w:val="00901337"/>
    <w:rsid w:val="00902326"/>
    <w:rsid w:val="0090243D"/>
    <w:rsid w:val="00902FCC"/>
    <w:rsid w:val="00904475"/>
    <w:rsid w:val="00904760"/>
    <w:rsid w:val="00904998"/>
    <w:rsid w:val="00904D44"/>
    <w:rsid w:val="00905B49"/>
    <w:rsid w:val="009064ED"/>
    <w:rsid w:val="00907E88"/>
    <w:rsid w:val="009102C7"/>
    <w:rsid w:val="00910681"/>
    <w:rsid w:val="009107A7"/>
    <w:rsid w:val="00910DA6"/>
    <w:rsid w:val="0091197B"/>
    <w:rsid w:val="00911AA7"/>
    <w:rsid w:val="00913232"/>
    <w:rsid w:val="009134C5"/>
    <w:rsid w:val="00913971"/>
    <w:rsid w:val="0091397B"/>
    <w:rsid w:val="0091586E"/>
    <w:rsid w:val="00915C93"/>
    <w:rsid w:val="00916152"/>
    <w:rsid w:val="0091679B"/>
    <w:rsid w:val="00917503"/>
    <w:rsid w:val="0091765D"/>
    <w:rsid w:val="009216B0"/>
    <w:rsid w:val="00921D1E"/>
    <w:rsid w:val="009220FE"/>
    <w:rsid w:val="009237F1"/>
    <w:rsid w:val="00923B13"/>
    <w:rsid w:val="00923E8D"/>
    <w:rsid w:val="009258B4"/>
    <w:rsid w:val="00925C45"/>
    <w:rsid w:val="00926170"/>
    <w:rsid w:val="00926A89"/>
    <w:rsid w:val="00926D7A"/>
    <w:rsid w:val="0092742A"/>
    <w:rsid w:val="00930447"/>
    <w:rsid w:val="009337AD"/>
    <w:rsid w:val="00933B40"/>
    <w:rsid w:val="00933BC1"/>
    <w:rsid w:val="00934BB3"/>
    <w:rsid w:val="009365C0"/>
    <w:rsid w:val="00936995"/>
    <w:rsid w:val="00936A50"/>
    <w:rsid w:val="00937C26"/>
    <w:rsid w:val="0094114F"/>
    <w:rsid w:val="009427D8"/>
    <w:rsid w:val="009428CD"/>
    <w:rsid w:val="00943377"/>
    <w:rsid w:val="009439F6"/>
    <w:rsid w:val="00943F0B"/>
    <w:rsid w:val="009440FB"/>
    <w:rsid w:val="009442E8"/>
    <w:rsid w:val="00944824"/>
    <w:rsid w:val="009449CA"/>
    <w:rsid w:val="00944D4D"/>
    <w:rsid w:val="00944E35"/>
    <w:rsid w:val="0094586A"/>
    <w:rsid w:val="0094616B"/>
    <w:rsid w:val="00946B2C"/>
    <w:rsid w:val="00946D59"/>
    <w:rsid w:val="0095200B"/>
    <w:rsid w:val="00952334"/>
    <w:rsid w:val="009544EB"/>
    <w:rsid w:val="00955236"/>
    <w:rsid w:val="00955AEE"/>
    <w:rsid w:val="00955F33"/>
    <w:rsid w:val="00956D55"/>
    <w:rsid w:val="00957841"/>
    <w:rsid w:val="00960182"/>
    <w:rsid w:val="0096074A"/>
    <w:rsid w:val="009614D4"/>
    <w:rsid w:val="00961FC8"/>
    <w:rsid w:val="00962CE1"/>
    <w:rsid w:val="00963312"/>
    <w:rsid w:val="00965081"/>
    <w:rsid w:val="009658B4"/>
    <w:rsid w:val="0096653D"/>
    <w:rsid w:val="0096695E"/>
    <w:rsid w:val="00966C1A"/>
    <w:rsid w:val="009707CB"/>
    <w:rsid w:val="009708BB"/>
    <w:rsid w:val="00970BAD"/>
    <w:rsid w:val="00971D6E"/>
    <w:rsid w:val="00973138"/>
    <w:rsid w:val="0097373F"/>
    <w:rsid w:val="009740F1"/>
    <w:rsid w:val="009748A2"/>
    <w:rsid w:val="00975463"/>
    <w:rsid w:val="00976299"/>
    <w:rsid w:val="00976FCC"/>
    <w:rsid w:val="009775D9"/>
    <w:rsid w:val="00981058"/>
    <w:rsid w:val="00981718"/>
    <w:rsid w:val="00982CD8"/>
    <w:rsid w:val="00982E9D"/>
    <w:rsid w:val="009833B3"/>
    <w:rsid w:val="00983DB7"/>
    <w:rsid w:val="00984364"/>
    <w:rsid w:val="00984B7A"/>
    <w:rsid w:val="00984FC9"/>
    <w:rsid w:val="00985C11"/>
    <w:rsid w:val="0098624F"/>
    <w:rsid w:val="00986D21"/>
    <w:rsid w:val="009878DE"/>
    <w:rsid w:val="00987BA4"/>
    <w:rsid w:val="00990020"/>
    <w:rsid w:val="00990BD3"/>
    <w:rsid w:val="009912D0"/>
    <w:rsid w:val="00991441"/>
    <w:rsid w:val="00991840"/>
    <w:rsid w:val="00991EF9"/>
    <w:rsid w:val="009923C8"/>
    <w:rsid w:val="009926F5"/>
    <w:rsid w:val="00992919"/>
    <w:rsid w:val="00993D02"/>
    <w:rsid w:val="00994328"/>
    <w:rsid w:val="009949A0"/>
    <w:rsid w:val="009965AA"/>
    <w:rsid w:val="009968C2"/>
    <w:rsid w:val="00996C96"/>
    <w:rsid w:val="00996F2A"/>
    <w:rsid w:val="00997361"/>
    <w:rsid w:val="0099778E"/>
    <w:rsid w:val="00997933"/>
    <w:rsid w:val="009A28C7"/>
    <w:rsid w:val="009A2D1D"/>
    <w:rsid w:val="009A2EDF"/>
    <w:rsid w:val="009A329F"/>
    <w:rsid w:val="009A34E4"/>
    <w:rsid w:val="009A37F9"/>
    <w:rsid w:val="009A3DB6"/>
    <w:rsid w:val="009A3F25"/>
    <w:rsid w:val="009A4BD6"/>
    <w:rsid w:val="009A4F3B"/>
    <w:rsid w:val="009A5527"/>
    <w:rsid w:val="009A60EC"/>
    <w:rsid w:val="009A634A"/>
    <w:rsid w:val="009A68CA"/>
    <w:rsid w:val="009A6D00"/>
    <w:rsid w:val="009A7318"/>
    <w:rsid w:val="009B024C"/>
    <w:rsid w:val="009B0645"/>
    <w:rsid w:val="009B0ADC"/>
    <w:rsid w:val="009B0CBC"/>
    <w:rsid w:val="009B12CE"/>
    <w:rsid w:val="009B1CC0"/>
    <w:rsid w:val="009B2049"/>
    <w:rsid w:val="009B28C5"/>
    <w:rsid w:val="009B353D"/>
    <w:rsid w:val="009B3B3B"/>
    <w:rsid w:val="009B5D78"/>
    <w:rsid w:val="009B64B6"/>
    <w:rsid w:val="009B6D16"/>
    <w:rsid w:val="009B7222"/>
    <w:rsid w:val="009C035F"/>
    <w:rsid w:val="009C0C06"/>
    <w:rsid w:val="009C2B86"/>
    <w:rsid w:val="009C4C34"/>
    <w:rsid w:val="009C5150"/>
    <w:rsid w:val="009C5B8B"/>
    <w:rsid w:val="009C5EA9"/>
    <w:rsid w:val="009C7A3A"/>
    <w:rsid w:val="009D02BF"/>
    <w:rsid w:val="009D08A0"/>
    <w:rsid w:val="009D1728"/>
    <w:rsid w:val="009D1C9D"/>
    <w:rsid w:val="009D1F7E"/>
    <w:rsid w:val="009D3902"/>
    <w:rsid w:val="009D40AC"/>
    <w:rsid w:val="009D4718"/>
    <w:rsid w:val="009D4C31"/>
    <w:rsid w:val="009D7B69"/>
    <w:rsid w:val="009D7DD1"/>
    <w:rsid w:val="009E0612"/>
    <w:rsid w:val="009E18D7"/>
    <w:rsid w:val="009E1B79"/>
    <w:rsid w:val="009E2931"/>
    <w:rsid w:val="009E2C1F"/>
    <w:rsid w:val="009E2D0C"/>
    <w:rsid w:val="009E343F"/>
    <w:rsid w:val="009E3CDD"/>
    <w:rsid w:val="009E41A5"/>
    <w:rsid w:val="009E5151"/>
    <w:rsid w:val="009E65F5"/>
    <w:rsid w:val="009E6B9D"/>
    <w:rsid w:val="009E758D"/>
    <w:rsid w:val="009F0074"/>
    <w:rsid w:val="009F06B9"/>
    <w:rsid w:val="009F2DD6"/>
    <w:rsid w:val="009F4941"/>
    <w:rsid w:val="009F4F39"/>
    <w:rsid w:val="009F608A"/>
    <w:rsid w:val="009F61BC"/>
    <w:rsid w:val="009F6D66"/>
    <w:rsid w:val="009F719F"/>
    <w:rsid w:val="009F7F59"/>
    <w:rsid w:val="00A0025D"/>
    <w:rsid w:val="00A006E8"/>
    <w:rsid w:val="00A00DA7"/>
    <w:rsid w:val="00A01278"/>
    <w:rsid w:val="00A0154C"/>
    <w:rsid w:val="00A01913"/>
    <w:rsid w:val="00A01C48"/>
    <w:rsid w:val="00A01C6B"/>
    <w:rsid w:val="00A02AD5"/>
    <w:rsid w:val="00A03DFA"/>
    <w:rsid w:val="00A03E89"/>
    <w:rsid w:val="00A055DB"/>
    <w:rsid w:val="00A07D2B"/>
    <w:rsid w:val="00A1008C"/>
    <w:rsid w:val="00A10508"/>
    <w:rsid w:val="00A109AF"/>
    <w:rsid w:val="00A12157"/>
    <w:rsid w:val="00A131BA"/>
    <w:rsid w:val="00A137BF"/>
    <w:rsid w:val="00A139EF"/>
    <w:rsid w:val="00A14FB2"/>
    <w:rsid w:val="00A16521"/>
    <w:rsid w:val="00A168F0"/>
    <w:rsid w:val="00A17033"/>
    <w:rsid w:val="00A204A8"/>
    <w:rsid w:val="00A20D74"/>
    <w:rsid w:val="00A23634"/>
    <w:rsid w:val="00A2586E"/>
    <w:rsid w:val="00A262BA"/>
    <w:rsid w:val="00A264EC"/>
    <w:rsid w:val="00A266C7"/>
    <w:rsid w:val="00A26913"/>
    <w:rsid w:val="00A305C8"/>
    <w:rsid w:val="00A30677"/>
    <w:rsid w:val="00A308AD"/>
    <w:rsid w:val="00A30F68"/>
    <w:rsid w:val="00A3144A"/>
    <w:rsid w:val="00A326EC"/>
    <w:rsid w:val="00A32DFC"/>
    <w:rsid w:val="00A3306E"/>
    <w:rsid w:val="00A33994"/>
    <w:rsid w:val="00A3476B"/>
    <w:rsid w:val="00A35A94"/>
    <w:rsid w:val="00A36A69"/>
    <w:rsid w:val="00A371BE"/>
    <w:rsid w:val="00A400C2"/>
    <w:rsid w:val="00A40D32"/>
    <w:rsid w:val="00A410B9"/>
    <w:rsid w:val="00A41491"/>
    <w:rsid w:val="00A42E37"/>
    <w:rsid w:val="00A43685"/>
    <w:rsid w:val="00A4392F"/>
    <w:rsid w:val="00A43DCE"/>
    <w:rsid w:val="00A45199"/>
    <w:rsid w:val="00A45BEF"/>
    <w:rsid w:val="00A45E6C"/>
    <w:rsid w:val="00A4705E"/>
    <w:rsid w:val="00A4709C"/>
    <w:rsid w:val="00A50140"/>
    <w:rsid w:val="00A50C26"/>
    <w:rsid w:val="00A515B3"/>
    <w:rsid w:val="00A520AC"/>
    <w:rsid w:val="00A52A2C"/>
    <w:rsid w:val="00A5458B"/>
    <w:rsid w:val="00A5618B"/>
    <w:rsid w:val="00A56966"/>
    <w:rsid w:val="00A56BA6"/>
    <w:rsid w:val="00A61582"/>
    <w:rsid w:val="00A6167D"/>
    <w:rsid w:val="00A61AD0"/>
    <w:rsid w:val="00A61D73"/>
    <w:rsid w:val="00A62174"/>
    <w:rsid w:val="00A6217F"/>
    <w:rsid w:val="00A625E3"/>
    <w:rsid w:val="00A62B65"/>
    <w:rsid w:val="00A63A8D"/>
    <w:rsid w:val="00A63C1C"/>
    <w:rsid w:val="00A64F62"/>
    <w:rsid w:val="00A65A64"/>
    <w:rsid w:val="00A660CC"/>
    <w:rsid w:val="00A66447"/>
    <w:rsid w:val="00A70543"/>
    <w:rsid w:val="00A708AF"/>
    <w:rsid w:val="00A70D91"/>
    <w:rsid w:val="00A71A9B"/>
    <w:rsid w:val="00A73B34"/>
    <w:rsid w:val="00A73D43"/>
    <w:rsid w:val="00A73D76"/>
    <w:rsid w:val="00A74840"/>
    <w:rsid w:val="00A75158"/>
    <w:rsid w:val="00A76FEF"/>
    <w:rsid w:val="00A770C0"/>
    <w:rsid w:val="00A7748D"/>
    <w:rsid w:val="00A77ED2"/>
    <w:rsid w:val="00A80C3C"/>
    <w:rsid w:val="00A80D63"/>
    <w:rsid w:val="00A8137E"/>
    <w:rsid w:val="00A8144C"/>
    <w:rsid w:val="00A820F4"/>
    <w:rsid w:val="00A822FF"/>
    <w:rsid w:val="00A83453"/>
    <w:rsid w:val="00A84A17"/>
    <w:rsid w:val="00A84C80"/>
    <w:rsid w:val="00A853A4"/>
    <w:rsid w:val="00A855C9"/>
    <w:rsid w:val="00A859FC"/>
    <w:rsid w:val="00A862E1"/>
    <w:rsid w:val="00A87142"/>
    <w:rsid w:val="00A90490"/>
    <w:rsid w:val="00A90BDB"/>
    <w:rsid w:val="00A90E56"/>
    <w:rsid w:val="00A910E4"/>
    <w:rsid w:val="00A91207"/>
    <w:rsid w:val="00A9298E"/>
    <w:rsid w:val="00A94273"/>
    <w:rsid w:val="00A94350"/>
    <w:rsid w:val="00A9488B"/>
    <w:rsid w:val="00A94FCF"/>
    <w:rsid w:val="00A94FF6"/>
    <w:rsid w:val="00A9553B"/>
    <w:rsid w:val="00A955EB"/>
    <w:rsid w:val="00A96423"/>
    <w:rsid w:val="00A9695F"/>
    <w:rsid w:val="00A96BAF"/>
    <w:rsid w:val="00A97248"/>
    <w:rsid w:val="00A9782C"/>
    <w:rsid w:val="00AA013C"/>
    <w:rsid w:val="00AA026C"/>
    <w:rsid w:val="00AA0C18"/>
    <w:rsid w:val="00AA16E3"/>
    <w:rsid w:val="00AA18BC"/>
    <w:rsid w:val="00AA21BA"/>
    <w:rsid w:val="00AA22C2"/>
    <w:rsid w:val="00AA23C1"/>
    <w:rsid w:val="00AA3758"/>
    <w:rsid w:val="00AA3FF1"/>
    <w:rsid w:val="00AA48DB"/>
    <w:rsid w:val="00AA4919"/>
    <w:rsid w:val="00AA561E"/>
    <w:rsid w:val="00AA68C9"/>
    <w:rsid w:val="00AA7438"/>
    <w:rsid w:val="00AA7C80"/>
    <w:rsid w:val="00AA7DD6"/>
    <w:rsid w:val="00AB008B"/>
    <w:rsid w:val="00AB0B70"/>
    <w:rsid w:val="00AB1721"/>
    <w:rsid w:val="00AB1738"/>
    <w:rsid w:val="00AB19A5"/>
    <w:rsid w:val="00AB1C27"/>
    <w:rsid w:val="00AB2534"/>
    <w:rsid w:val="00AB3218"/>
    <w:rsid w:val="00AB38C1"/>
    <w:rsid w:val="00AB69C0"/>
    <w:rsid w:val="00AB7356"/>
    <w:rsid w:val="00AC25A0"/>
    <w:rsid w:val="00AC3610"/>
    <w:rsid w:val="00AC38B7"/>
    <w:rsid w:val="00AC3978"/>
    <w:rsid w:val="00AC3AE6"/>
    <w:rsid w:val="00AC3F2E"/>
    <w:rsid w:val="00AC761F"/>
    <w:rsid w:val="00AC7909"/>
    <w:rsid w:val="00AC7EBD"/>
    <w:rsid w:val="00AD1CB6"/>
    <w:rsid w:val="00AD2568"/>
    <w:rsid w:val="00AD2ABB"/>
    <w:rsid w:val="00AD33B2"/>
    <w:rsid w:val="00AD4873"/>
    <w:rsid w:val="00AD5909"/>
    <w:rsid w:val="00AD7048"/>
    <w:rsid w:val="00AD7C77"/>
    <w:rsid w:val="00AE0B03"/>
    <w:rsid w:val="00AE1252"/>
    <w:rsid w:val="00AE14BC"/>
    <w:rsid w:val="00AE15A3"/>
    <w:rsid w:val="00AE1D1D"/>
    <w:rsid w:val="00AE229A"/>
    <w:rsid w:val="00AE23E1"/>
    <w:rsid w:val="00AE2725"/>
    <w:rsid w:val="00AE2979"/>
    <w:rsid w:val="00AE2EE9"/>
    <w:rsid w:val="00AE3B72"/>
    <w:rsid w:val="00AE4ADE"/>
    <w:rsid w:val="00AE4C2D"/>
    <w:rsid w:val="00AE55B5"/>
    <w:rsid w:val="00AE5CE8"/>
    <w:rsid w:val="00AE637A"/>
    <w:rsid w:val="00AE734B"/>
    <w:rsid w:val="00AF066C"/>
    <w:rsid w:val="00AF1B70"/>
    <w:rsid w:val="00AF1B71"/>
    <w:rsid w:val="00AF26E1"/>
    <w:rsid w:val="00AF3D20"/>
    <w:rsid w:val="00AF406D"/>
    <w:rsid w:val="00AF4170"/>
    <w:rsid w:val="00AF4C36"/>
    <w:rsid w:val="00AF5074"/>
    <w:rsid w:val="00AF7416"/>
    <w:rsid w:val="00AF775E"/>
    <w:rsid w:val="00AF7FA9"/>
    <w:rsid w:val="00B018E8"/>
    <w:rsid w:val="00B01CAF"/>
    <w:rsid w:val="00B02073"/>
    <w:rsid w:val="00B02DAF"/>
    <w:rsid w:val="00B030D2"/>
    <w:rsid w:val="00B0397C"/>
    <w:rsid w:val="00B04045"/>
    <w:rsid w:val="00B04A50"/>
    <w:rsid w:val="00B06178"/>
    <w:rsid w:val="00B07373"/>
    <w:rsid w:val="00B07901"/>
    <w:rsid w:val="00B07D05"/>
    <w:rsid w:val="00B10FDC"/>
    <w:rsid w:val="00B1245D"/>
    <w:rsid w:val="00B12911"/>
    <w:rsid w:val="00B138AB"/>
    <w:rsid w:val="00B150DF"/>
    <w:rsid w:val="00B15226"/>
    <w:rsid w:val="00B1539D"/>
    <w:rsid w:val="00B15E25"/>
    <w:rsid w:val="00B17764"/>
    <w:rsid w:val="00B2068D"/>
    <w:rsid w:val="00B20B66"/>
    <w:rsid w:val="00B22134"/>
    <w:rsid w:val="00B225CB"/>
    <w:rsid w:val="00B23735"/>
    <w:rsid w:val="00B23857"/>
    <w:rsid w:val="00B23DBB"/>
    <w:rsid w:val="00B2411B"/>
    <w:rsid w:val="00B2452E"/>
    <w:rsid w:val="00B2461F"/>
    <w:rsid w:val="00B2476F"/>
    <w:rsid w:val="00B2600D"/>
    <w:rsid w:val="00B26A59"/>
    <w:rsid w:val="00B27040"/>
    <w:rsid w:val="00B271B1"/>
    <w:rsid w:val="00B27723"/>
    <w:rsid w:val="00B27A81"/>
    <w:rsid w:val="00B30580"/>
    <w:rsid w:val="00B31119"/>
    <w:rsid w:val="00B311F4"/>
    <w:rsid w:val="00B325F9"/>
    <w:rsid w:val="00B326AD"/>
    <w:rsid w:val="00B328CE"/>
    <w:rsid w:val="00B3341E"/>
    <w:rsid w:val="00B33B25"/>
    <w:rsid w:val="00B33DAE"/>
    <w:rsid w:val="00B34176"/>
    <w:rsid w:val="00B346FB"/>
    <w:rsid w:val="00B34E65"/>
    <w:rsid w:val="00B34FF6"/>
    <w:rsid w:val="00B35934"/>
    <w:rsid w:val="00B36EDB"/>
    <w:rsid w:val="00B37295"/>
    <w:rsid w:val="00B373C9"/>
    <w:rsid w:val="00B37798"/>
    <w:rsid w:val="00B377E5"/>
    <w:rsid w:val="00B41C8A"/>
    <w:rsid w:val="00B42B74"/>
    <w:rsid w:val="00B42D6B"/>
    <w:rsid w:val="00B4301F"/>
    <w:rsid w:val="00B43328"/>
    <w:rsid w:val="00B438B5"/>
    <w:rsid w:val="00B43B18"/>
    <w:rsid w:val="00B43C3F"/>
    <w:rsid w:val="00B43F53"/>
    <w:rsid w:val="00B44A68"/>
    <w:rsid w:val="00B451C4"/>
    <w:rsid w:val="00B451FA"/>
    <w:rsid w:val="00B47946"/>
    <w:rsid w:val="00B5088B"/>
    <w:rsid w:val="00B51B04"/>
    <w:rsid w:val="00B51EA7"/>
    <w:rsid w:val="00B5266A"/>
    <w:rsid w:val="00B55B65"/>
    <w:rsid w:val="00B56D72"/>
    <w:rsid w:val="00B5704F"/>
    <w:rsid w:val="00B5775E"/>
    <w:rsid w:val="00B607B5"/>
    <w:rsid w:val="00B6085D"/>
    <w:rsid w:val="00B614AC"/>
    <w:rsid w:val="00B62BFA"/>
    <w:rsid w:val="00B6421F"/>
    <w:rsid w:val="00B65CF8"/>
    <w:rsid w:val="00B66858"/>
    <w:rsid w:val="00B669E5"/>
    <w:rsid w:val="00B67B0B"/>
    <w:rsid w:val="00B67CAB"/>
    <w:rsid w:val="00B71566"/>
    <w:rsid w:val="00B71DBD"/>
    <w:rsid w:val="00B72937"/>
    <w:rsid w:val="00B74598"/>
    <w:rsid w:val="00B74793"/>
    <w:rsid w:val="00B74B53"/>
    <w:rsid w:val="00B75557"/>
    <w:rsid w:val="00B75A36"/>
    <w:rsid w:val="00B76D23"/>
    <w:rsid w:val="00B77002"/>
    <w:rsid w:val="00B77C5C"/>
    <w:rsid w:val="00B77DDD"/>
    <w:rsid w:val="00B8047B"/>
    <w:rsid w:val="00B81886"/>
    <w:rsid w:val="00B81D39"/>
    <w:rsid w:val="00B81DA7"/>
    <w:rsid w:val="00B8329D"/>
    <w:rsid w:val="00B832A5"/>
    <w:rsid w:val="00B835D6"/>
    <w:rsid w:val="00B83E7F"/>
    <w:rsid w:val="00B85287"/>
    <w:rsid w:val="00B858EA"/>
    <w:rsid w:val="00B8596F"/>
    <w:rsid w:val="00B85FEF"/>
    <w:rsid w:val="00B86158"/>
    <w:rsid w:val="00B86293"/>
    <w:rsid w:val="00B866A4"/>
    <w:rsid w:val="00B874E6"/>
    <w:rsid w:val="00B90A57"/>
    <w:rsid w:val="00B91295"/>
    <w:rsid w:val="00B9192A"/>
    <w:rsid w:val="00B91E6D"/>
    <w:rsid w:val="00B92080"/>
    <w:rsid w:val="00B921B9"/>
    <w:rsid w:val="00B92F50"/>
    <w:rsid w:val="00B92FCC"/>
    <w:rsid w:val="00B93985"/>
    <w:rsid w:val="00B94124"/>
    <w:rsid w:val="00B94427"/>
    <w:rsid w:val="00B9459C"/>
    <w:rsid w:val="00B94E59"/>
    <w:rsid w:val="00B95893"/>
    <w:rsid w:val="00B965B1"/>
    <w:rsid w:val="00B97703"/>
    <w:rsid w:val="00B97BE8"/>
    <w:rsid w:val="00B97E37"/>
    <w:rsid w:val="00BA02F3"/>
    <w:rsid w:val="00BA1404"/>
    <w:rsid w:val="00BA218A"/>
    <w:rsid w:val="00BA2C07"/>
    <w:rsid w:val="00BA34FF"/>
    <w:rsid w:val="00BA3947"/>
    <w:rsid w:val="00BA44F3"/>
    <w:rsid w:val="00BA56D8"/>
    <w:rsid w:val="00BA5BA7"/>
    <w:rsid w:val="00BA600A"/>
    <w:rsid w:val="00BA685C"/>
    <w:rsid w:val="00BA6A69"/>
    <w:rsid w:val="00BA6E56"/>
    <w:rsid w:val="00BA7027"/>
    <w:rsid w:val="00BA7DB9"/>
    <w:rsid w:val="00BB1EDE"/>
    <w:rsid w:val="00BB2370"/>
    <w:rsid w:val="00BB30A9"/>
    <w:rsid w:val="00BB3815"/>
    <w:rsid w:val="00BB4901"/>
    <w:rsid w:val="00BB4C2E"/>
    <w:rsid w:val="00BB511C"/>
    <w:rsid w:val="00BB531F"/>
    <w:rsid w:val="00BB67AA"/>
    <w:rsid w:val="00BB7225"/>
    <w:rsid w:val="00BC00E6"/>
    <w:rsid w:val="00BC02CB"/>
    <w:rsid w:val="00BC031C"/>
    <w:rsid w:val="00BC09A2"/>
    <w:rsid w:val="00BC0F63"/>
    <w:rsid w:val="00BC12EA"/>
    <w:rsid w:val="00BC2293"/>
    <w:rsid w:val="00BC2527"/>
    <w:rsid w:val="00BC2603"/>
    <w:rsid w:val="00BC3882"/>
    <w:rsid w:val="00BC4704"/>
    <w:rsid w:val="00BC528D"/>
    <w:rsid w:val="00BC57C6"/>
    <w:rsid w:val="00BC62BF"/>
    <w:rsid w:val="00BC6BB5"/>
    <w:rsid w:val="00BC766E"/>
    <w:rsid w:val="00BC7AA7"/>
    <w:rsid w:val="00BD0A65"/>
    <w:rsid w:val="00BD0FD5"/>
    <w:rsid w:val="00BD1B34"/>
    <w:rsid w:val="00BD1BAD"/>
    <w:rsid w:val="00BD2FEB"/>
    <w:rsid w:val="00BD325F"/>
    <w:rsid w:val="00BD37EC"/>
    <w:rsid w:val="00BD3A31"/>
    <w:rsid w:val="00BD4270"/>
    <w:rsid w:val="00BD4B12"/>
    <w:rsid w:val="00BD4F47"/>
    <w:rsid w:val="00BD5261"/>
    <w:rsid w:val="00BD6D6D"/>
    <w:rsid w:val="00BD6FB8"/>
    <w:rsid w:val="00BD73F3"/>
    <w:rsid w:val="00BD746D"/>
    <w:rsid w:val="00BE0806"/>
    <w:rsid w:val="00BE0BAB"/>
    <w:rsid w:val="00BE45EE"/>
    <w:rsid w:val="00BE4763"/>
    <w:rsid w:val="00BE5211"/>
    <w:rsid w:val="00BE6A1B"/>
    <w:rsid w:val="00BE6D5C"/>
    <w:rsid w:val="00BE77F2"/>
    <w:rsid w:val="00BF0024"/>
    <w:rsid w:val="00BF1519"/>
    <w:rsid w:val="00BF16E1"/>
    <w:rsid w:val="00BF1CAC"/>
    <w:rsid w:val="00BF2151"/>
    <w:rsid w:val="00BF2389"/>
    <w:rsid w:val="00BF2E5D"/>
    <w:rsid w:val="00BF4100"/>
    <w:rsid w:val="00BF4BA8"/>
    <w:rsid w:val="00BF5C37"/>
    <w:rsid w:val="00BF7D9E"/>
    <w:rsid w:val="00C001A4"/>
    <w:rsid w:val="00C00366"/>
    <w:rsid w:val="00C003E2"/>
    <w:rsid w:val="00C0063B"/>
    <w:rsid w:val="00C012AA"/>
    <w:rsid w:val="00C012D1"/>
    <w:rsid w:val="00C01432"/>
    <w:rsid w:val="00C019CF"/>
    <w:rsid w:val="00C025DB"/>
    <w:rsid w:val="00C02AC7"/>
    <w:rsid w:val="00C03B1E"/>
    <w:rsid w:val="00C056DA"/>
    <w:rsid w:val="00C06FEF"/>
    <w:rsid w:val="00C07419"/>
    <w:rsid w:val="00C076C4"/>
    <w:rsid w:val="00C10A89"/>
    <w:rsid w:val="00C11568"/>
    <w:rsid w:val="00C11829"/>
    <w:rsid w:val="00C1182D"/>
    <w:rsid w:val="00C11BE6"/>
    <w:rsid w:val="00C1274F"/>
    <w:rsid w:val="00C12DE0"/>
    <w:rsid w:val="00C13247"/>
    <w:rsid w:val="00C13515"/>
    <w:rsid w:val="00C138A1"/>
    <w:rsid w:val="00C13AA7"/>
    <w:rsid w:val="00C13B5E"/>
    <w:rsid w:val="00C1496E"/>
    <w:rsid w:val="00C157E9"/>
    <w:rsid w:val="00C15B41"/>
    <w:rsid w:val="00C170CE"/>
    <w:rsid w:val="00C17132"/>
    <w:rsid w:val="00C171CA"/>
    <w:rsid w:val="00C1734A"/>
    <w:rsid w:val="00C1753D"/>
    <w:rsid w:val="00C17AD0"/>
    <w:rsid w:val="00C2046F"/>
    <w:rsid w:val="00C21CB4"/>
    <w:rsid w:val="00C22253"/>
    <w:rsid w:val="00C22B8D"/>
    <w:rsid w:val="00C242DE"/>
    <w:rsid w:val="00C2433E"/>
    <w:rsid w:val="00C24A5A"/>
    <w:rsid w:val="00C24C2B"/>
    <w:rsid w:val="00C24EAD"/>
    <w:rsid w:val="00C25284"/>
    <w:rsid w:val="00C257CF"/>
    <w:rsid w:val="00C25E56"/>
    <w:rsid w:val="00C2670D"/>
    <w:rsid w:val="00C26E83"/>
    <w:rsid w:val="00C27478"/>
    <w:rsid w:val="00C3004D"/>
    <w:rsid w:val="00C3054E"/>
    <w:rsid w:val="00C31C7E"/>
    <w:rsid w:val="00C32177"/>
    <w:rsid w:val="00C32AB1"/>
    <w:rsid w:val="00C3329B"/>
    <w:rsid w:val="00C34E75"/>
    <w:rsid w:val="00C35721"/>
    <w:rsid w:val="00C35B1D"/>
    <w:rsid w:val="00C35B69"/>
    <w:rsid w:val="00C35EDF"/>
    <w:rsid w:val="00C36416"/>
    <w:rsid w:val="00C41078"/>
    <w:rsid w:val="00C41208"/>
    <w:rsid w:val="00C42622"/>
    <w:rsid w:val="00C428DA"/>
    <w:rsid w:val="00C428F9"/>
    <w:rsid w:val="00C44202"/>
    <w:rsid w:val="00C45782"/>
    <w:rsid w:val="00C45927"/>
    <w:rsid w:val="00C45DCC"/>
    <w:rsid w:val="00C526B6"/>
    <w:rsid w:val="00C52763"/>
    <w:rsid w:val="00C5280C"/>
    <w:rsid w:val="00C5298F"/>
    <w:rsid w:val="00C533DC"/>
    <w:rsid w:val="00C5368B"/>
    <w:rsid w:val="00C53706"/>
    <w:rsid w:val="00C53E6D"/>
    <w:rsid w:val="00C541B5"/>
    <w:rsid w:val="00C54F60"/>
    <w:rsid w:val="00C55F18"/>
    <w:rsid w:val="00C5696C"/>
    <w:rsid w:val="00C604E0"/>
    <w:rsid w:val="00C60A5B"/>
    <w:rsid w:val="00C61300"/>
    <w:rsid w:val="00C61E85"/>
    <w:rsid w:val="00C631A2"/>
    <w:rsid w:val="00C63268"/>
    <w:rsid w:val="00C6334B"/>
    <w:rsid w:val="00C63F9A"/>
    <w:rsid w:val="00C63FF1"/>
    <w:rsid w:val="00C6451F"/>
    <w:rsid w:val="00C6641F"/>
    <w:rsid w:val="00C66CD5"/>
    <w:rsid w:val="00C676C5"/>
    <w:rsid w:val="00C6771D"/>
    <w:rsid w:val="00C70E30"/>
    <w:rsid w:val="00C70F8C"/>
    <w:rsid w:val="00C71770"/>
    <w:rsid w:val="00C723D3"/>
    <w:rsid w:val="00C72806"/>
    <w:rsid w:val="00C72C99"/>
    <w:rsid w:val="00C72F94"/>
    <w:rsid w:val="00C74258"/>
    <w:rsid w:val="00C743B1"/>
    <w:rsid w:val="00C74DFB"/>
    <w:rsid w:val="00C754B8"/>
    <w:rsid w:val="00C75708"/>
    <w:rsid w:val="00C763FE"/>
    <w:rsid w:val="00C76460"/>
    <w:rsid w:val="00C76648"/>
    <w:rsid w:val="00C76BE2"/>
    <w:rsid w:val="00C77870"/>
    <w:rsid w:val="00C7788D"/>
    <w:rsid w:val="00C8002E"/>
    <w:rsid w:val="00C8024B"/>
    <w:rsid w:val="00C80278"/>
    <w:rsid w:val="00C80A04"/>
    <w:rsid w:val="00C81735"/>
    <w:rsid w:val="00C81EFE"/>
    <w:rsid w:val="00C823EA"/>
    <w:rsid w:val="00C82F31"/>
    <w:rsid w:val="00C82F96"/>
    <w:rsid w:val="00C84A78"/>
    <w:rsid w:val="00C84BDE"/>
    <w:rsid w:val="00C84CBD"/>
    <w:rsid w:val="00C84D21"/>
    <w:rsid w:val="00C8593C"/>
    <w:rsid w:val="00C8675A"/>
    <w:rsid w:val="00C8756E"/>
    <w:rsid w:val="00C87955"/>
    <w:rsid w:val="00C87A5A"/>
    <w:rsid w:val="00C87AA3"/>
    <w:rsid w:val="00C87F2B"/>
    <w:rsid w:val="00C90E16"/>
    <w:rsid w:val="00C9255B"/>
    <w:rsid w:val="00C93D98"/>
    <w:rsid w:val="00C94422"/>
    <w:rsid w:val="00C945D1"/>
    <w:rsid w:val="00C94C73"/>
    <w:rsid w:val="00C95EFC"/>
    <w:rsid w:val="00C96990"/>
    <w:rsid w:val="00C96A1B"/>
    <w:rsid w:val="00C96ECA"/>
    <w:rsid w:val="00C97629"/>
    <w:rsid w:val="00C976F9"/>
    <w:rsid w:val="00C97807"/>
    <w:rsid w:val="00C97B90"/>
    <w:rsid w:val="00C97CD4"/>
    <w:rsid w:val="00CA0087"/>
    <w:rsid w:val="00CA0AA6"/>
    <w:rsid w:val="00CA1B49"/>
    <w:rsid w:val="00CA2F81"/>
    <w:rsid w:val="00CA3362"/>
    <w:rsid w:val="00CA3483"/>
    <w:rsid w:val="00CA3851"/>
    <w:rsid w:val="00CA40A9"/>
    <w:rsid w:val="00CA4227"/>
    <w:rsid w:val="00CA4831"/>
    <w:rsid w:val="00CA4CE9"/>
    <w:rsid w:val="00CA503B"/>
    <w:rsid w:val="00CA5B9F"/>
    <w:rsid w:val="00CA601A"/>
    <w:rsid w:val="00CA693C"/>
    <w:rsid w:val="00CA7C41"/>
    <w:rsid w:val="00CA7F7D"/>
    <w:rsid w:val="00CB006C"/>
    <w:rsid w:val="00CB115B"/>
    <w:rsid w:val="00CB1CE1"/>
    <w:rsid w:val="00CB1D89"/>
    <w:rsid w:val="00CB25FF"/>
    <w:rsid w:val="00CB2AA6"/>
    <w:rsid w:val="00CB3636"/>
    <w:rsid w:val="00CB3A95"/>
    <w:rsid w:val="00CB3B3C"/>
    <w:rsid w:val="00CB41C8"/>
    <w:rsid w:val="00CB489C"/>
    <w:rsid w:val="00CB4923"/>
    <w:rsid w:val="00CB5C25"/>
    <w:rsid w:val="00CB6052"/>
    <w:rsid w:val="00CB64B8"/>
    <w:rsid w:val="00CB733C"/>
    <w:rsid w:val="00CB7DCF"/>
    <w:rsid w:val="00CC0749"/>
    <w:rsid w:val="00CC1742"/>
    <w:rsid w:val="00CC20DD"/>
    <w:rsid w:val="00CC3219"/>
    <w:rsid w:val="00CC32E2"/>
    <w:rsid w:val="00CC3E21"/>
    <w:rsid w:val="00CC40B1"/>
    <w:rsid w:val="00CC4428"/>
    <w:rsid w:val="00CC44FC"/>
    <w:rsid w:val="00CC520F"/>
    <w:rsid w:val="00CC547D"/>
    <w:rsid w:val="00CC5A67"/>
    <w:rsid w:val="00CC728E"/>
    <w:rsid w:val="00CC72EF"/>
    <w:rsid w:val="00CC79F2"/>
    <w:rsid w:val="00CC7BE6"/>
    <w:rsid w:val="00CD00F9"/>
    <w:rsid w:val="00CD1617"/>
    <w:rsid w:val="00CD1979"/>
    <w:rsid w:val="00CD1CE6"/>
    <w:rsid w:val="00CD2BF9"/>
    <w:rsid w:val="00CD35DC"/>
    <w:rsid w:val="00CD3C42"/>
    <w:rsid w:val="00CD4423"/>
    <w:rsid w:val="00CD4669"/>
    <w:rsid w:val="00CD4887"/>
    <w:rsid w:val="00CD530D"/>
    <w:rsid w:val="00CD5AF5"/>
    <w:rsid w:val="00CD5EB9"/>
    <w:rsid w:val="00CD630D"/>
    <w:rsid w:val="00CD7FBE"/>
    <w:rsid w:val="00CE019C"/>
    <w:rsid w:val="00CE1C47"/>
    <w:rsid w:val="00CE28BB"/>
    <w:rsid w:val="00CE30E5"/>
    <w:rsid w:val="00CE42BC"/>
    <w:rsid w:val="00CE4E2B"/>
    <w:rsid w:val="00CE5CDD"/>
    <w:rsid w:val="00CE69B1"/>
    <w:rsid w:val="00CE6ACB"/>
    <w:rsid w:val="00CE6E5B"/>
    <w:rsid w:val="00CE746C"/>
    <w:rsid w:val="00CF1369"/>
    <w:rsid w:val="00CF1BAE"/>
    <w:rsid w:val="00CF1CDE"/>
    <w:rsid w:val="00CF26BE"/>
    <w:rsid w:val="00CF2B49"/>
    <w:rsid w:val="00CF3F87"/>
    <w:rsid w:val="00CF5431"/>
    <w:rsid w:val="00D00D1C"/>
    <w:rsid w:val="00D01270"/>
    <w:rsid w:val="00D01F55"/>
    <w:rsid w:val="00D0207F"/>
    <w:rsid w:val="00D02336"/>
    <w:rsid w:val="00D02431"/>
    <w:rsid w:val="00D02DD6"/>
    <w:rsid w:val="00D03E6A"/>
    <w:rsid w:val="00D04EF8"/>
    <w:rsid w:val="00D06013"/>
    <w:rsid w:val="00D06F9D"/>
    <w:rsid w:val="00D07198"/>
    <w:rsid w:val="00D07378"/>
    <w:rsid w:val="00D1183F"/>
    <w:rsid w:val="00D1248B"/>
    <w:rsid w:val="00D13601"/>
    <w:rsid w:val="00D13B57"/>
    <w:rsid w:val="00D13E5D"/>
    <w:rsid w:val="00D14E11"/>
    <w:rsid w:val="00D16608"/>
    <w:rsid w:val="00D16A78"/>
    <w:rsid w:val="00D17B01"/>
    <w:rsid w:val="00D20A6F"/>
    <w:rsid w:val="00D21B3B"/>
    <w:rsid w:val="00D21ED2"/>
    <w:rsid w:val="00D221AF"/>
    <w:rsid w:val="00D22203"/>
    <w:rsid w:val="00D2290B"/>
    <w:rsid w:val="00D22B96"/>
    <w:rsid w:val="00D22C1E"/>
    <w:rsid w:val="00D24CFF"/>
    <w:rsid w:val="00D25C09"/>
    <w:rsid w:val="00D25C48"/>
    <w:rsid w:val="00D262A4"/>
    <w:rsid w:val="00D26759"/>
    <w:rsid w:val="00D26798"/>
    <w:rsid w:val="00D274E8"/>
    <w:rsid w:val="00D30593"/>
    <w:rsid w:val="00D30D40"/>
    <w:rsid w:val="00D31C34"/>
    <w:rsid w:val="00D31EDD"/>
    <w:rsid w:val="00D32765"/>
    <w:rsid w:val="00D3398B"/>
    <w:rsid w:val="00D358F8"/>
    <w:rsid w:val="00D35D8D"/>
    <w:rsid w:val="00D367C7"/>
    <w:rsid w:val="00D37B93"/>
    <w:rsid w:val="00D405A0"/>
    <w:rsid w:val="00D40F32"/>
    <w:rsid w:val="00D41469"/>
    <w:rsid w:val="00D42AFB"/>
    <w:rsid w:val="00D43097"/>
    <w:rsid w:val="00D43EEC"/>
    <w:rsid w:val="00D44064"/>
    <w:rsid w:val="00D443F5"/>
    <w:rsid w:val="00D444CA"/>
    <w:rsid w:val="00D450B3"/>
    <w:rsid w:val="00D451B2"/>
    <w:rsid w:val="00D460C1"/>
    <w:rsid w:val="00D461A0"/>
    <w:rsid w:val="00D471D2"/>
    <w:rsid w:val="00D4784C"/>
    <w:rsid w:val="00D47897"/>
    <w:rsid w:val="00D50966"/>
    <w:rsid w:val="00D50A31"/>
    <w:rsid w:val="00D511F3"/>
    <w:rsid w:val="00D51925"/>
    <w:rsid w:val="00D5194F"/>
    <w:rsid w:val="00D51D67"/>
    <w:rsid w:val="00D521A3"/>
    <w:rsid w:val="00D535B2"/>
    <w:rsid w:val="00D53C48"/>
    <w:rsid w:val="00D53D1B"/>
    <w:rsid w:val="00D54883"/>
    <w:rsid w:val="00D54C6F"/>
    <w:rsid w:val="00D55AED"/>
    <w:rsid w:val="00D563FD"/>
    <w:rsid w:val="00D564C7"/>
    <w:rsid w:val="00D56B8D"/>
    <w:rsid w:val="00D60C26"/>
    <w:rsid w:val="00D611EE"/>
    <w:rsid w:val="00D6146F"/>
    <w:rsid w:val="00D629CA"/>
    <w:rsid w:val="00D63162"/>
    <w:rsid w:val="00D63E5B"/>
    <w:rsid w:val="00D642F8"/>
    <w:rsid w:val="00D64970"/>
    <w:rsid w:val="00D64B13"/>
    <w:rsid w:val="00D654B8"/>
    <w:rsid w:val="00D6610C"/>
    <w:rsid w:val="00D67151"/>
    <w:rsid w:val="00D6745F"/>
    <w:rsid w:val="00D677AA"/>
    <w:rsid w:val="00D7250B"/>
    <w:rsid w:val="00D72F33"/>
    <w:rsid w:val="00D730FA"/>
    <w:rsid w:val="00D7319F"/>
    <w:rsid w:val="00D735CC"/>
    <w:rsid w:val="00D736F6"/>
    <w:rsid w:val="00D74361"/>
    <w:rsid w:val="00D7524E"/>
    <w:rsid w:val="00D754BB"/>
    <w:rsid w:val="00D75DAB"/>
    <w:rsid w:val="00D76104"/>
    <w:rsid w:val="00D77027"/>
    <w:rsid w:val="00D803BB"/>
    <w:rsid w:val="00D80E81"/>
    <w:rsid w:val="00D81D01"/>
    <w:rsid w:val="00D81E45"/>
    <w:rsid w:val="00D82B07"/>
    <w:rsid w:val="00D82E8D"/>
    <w:rsid w:val="00D83FD1"/>
    <w:rsid w:val="00D845DD"/>
    <w:rsid w:val="00D852DD"/>
    <w:rsid w:val="00D8578E"/>
    <w:rsid w:val="00D85C45"/>
    <w:rsid w:val="00D85DFA"/>
    <w:rsid w:val="00D85E02"/>
    <w:rsid w:val="00D868B1"/>
    <w:rsid w:val="00D87172"/>
    <w:rsid w:val="00D878C8"/>
    <w:rsid w:val="00D87ABE"/>
    <w:rsid w:val="00D90169"/>
    <w:rsid w:val="00D9052F"/>
    <w:rsid w:val="00D90CA4"/>
    <w:rsid w:val="00D90F8A"/>
    <w:rsid w:val="00D91647"/>
    <w:rsid w:val="00D91F25"/>
    <w:rsid w:val="00D923D1"/>
    <w:rsid w:val="00D9257B"/>
    <w:rsid w:val="00D93437"/>
    <w:rsid w:val="00D934A6"/>
    <w:rsid w:val="00D93A0B"/>
    <w:rsid w:val="00D93A72"/>
    <w:rsid w:val="00D94C03"/>
    <w:rsid w:val="00D950DC"/>
    <w:rsid w:val="00D95266"/>
    <w:rsid w:val="00D958B9"/>
    <w:rsid w:val="00D95BA2"/>
    <w:rsid w:val="00D95F7C"/>
    <w:rsid w:val="00D97A78"/>
    <w:rsid w:val="00DA0388"/>
    <w:rsid w:val="00DA0CC6"/>
    <w:rsid w:val="00DA26C0"/>
    <w:rsid w:val="00DA2753"/>
    <w:rsid w:val="00DA3CC5"/>
    <w:rsid w:val="00DA3EE5"/>
    <w:rsid w:val="00DA491F"/>
    <w:rsid w:val="00DA4E72"/>
    <w:rsid w:val="00DA4FAC"/>
    <w:rsid w:val="00DA4FEF"/>
    <w:rsid w:val="00DA5550"/>
    <w:rsid w:val="00DA5CF9"/>
    <w:rsid w:val="00DA60E3"/>
    <w:rsid w:val="00DA72B4"/>
    <w:rsid w:val="00DA7CE6"/>
    <w:rsid w:val="00DB006E"/>
    <w:rsid w:val="00DB033D"/>
    <w:rsid w:val="00DB041F"/>
    <w:rsid w:val="00DB15F7"/>
    <w:rsid w:val="00DB20E6"/>
    <w:rsid w:val="00DB2A27"/>
    <w:rsid w:val="00DB2C28"/>
    <w:rsid w:val="00DB338F"/>
    <w:rsid w:val="00DB41A0"/>
    <w:rsid w:val="00DB4E81"/>
    <w:rsid w:val="00DB4F33"/>
    <w:rsid w:val="00DB551B"/>
    <w:rsid w:val="00DB55E5"/>
    <w:rsid w:val="00DB64A0"/>
    <w:rsid w:val="00DB7247"/>
    <w:rsid w:val="00DB7D60"/>
    <w:rsid w:val="00DC047B"/>
    <w:rsid w:val="00DC05B5"/>
    <w:rsid w:val="00DC0B4E"/>
    <w:rsid w:val="00DC2748"/>
    <w:rsid w:val="00DC35CB"/>
    <w:rsid w:val="00DC3BE1"/>
    <w:rsid w:val="00DC3D69"/>
    <w:rsid w:val="00DC40A6"/>
    <w:rsid w:val="00DC4112"/>
    <w:rsid w:val="00DC5045"/>
    <w:rsid w:val="00DC532D"/>
    <w:rsid w:val="00DC5D51"/>
    <w:rsid w:val="00DC65EB"/>
    <w:rsid w:val="00DC6813"/>
    <w:rsid w:val="00DC684D"/>
    <w:rsid w:val="00DC6ED9"/>
    <w:rsid w:val="00DC6F89"/>
    <w:rsid w:val="00DD0133"/>
    <w:rsid w:val="00DD019E"/>
    <w:rsid w:val="00DD0AC7"/>
    <w:rsid w:val="00DD0E05"/>
    <w:rsid w:val="00DD262E"/>
    <w:rsid w:val="00DD2918"/>
    <w:rsid w:val="00DD2DD9"/>
    <w:rsid w:val="00DD2E21"/>
    <w:rsid w:val="00DD6391"/>
    <w:rsid w:val="00DD697E"/>
    <w:rsid w:val="00DD69EF"/>
    <w:rsid w:val="00DD6A64"/>
    <w:rsid w:val="00DD6AC6"/>
    <w:rsid w:val="00DD6B93"/>
    <w:rsid w:val="00DD6E3D"/>
    <w:rsid w:val="00DD6ECC"/>
    <w:rsid w:val="00DD74BE"/>
    <w:rsid w:val="00DD7608"/>
    <w:rsid w:val="00DD768B"/>
    <w:rsid w:val="00DE025D"/>
    <w:rsid w:val="00DE135D"/>
    <w:rsid w:val="00DE1930"/>
    <w:rsid w:val="00DE198E"/>
    <w:rsid w:val="00DE5282"/>
    <w:rsid w:val="00DE60CF"/>
    <w:rsid w:val="00DE64EE"/>
    <w:rsid w:val="00DF033B"/>
    <w:rsid w:val="00DF06E2"/>
    <w:rsid w:val="00DF0F07"/>
    <w:rsid w:val="00DF1546"/>
    <w:rsid w:val="00DF1FC9"/>
    <w:rsid w:val="00DF24C0"/>
    <w:rsid w:val="00DF2B87"/>
    <w:rsid w:val="00DF37C4"/>
    <w:rsid w:val="00DF3ACC"/>
    <w:rsid w:val="00DF6B25"/>
    <w:rsid w:val="00DF6BC6"/>
    <w:rsid w:val="00DF6BF7"/>
    <w:rsid w:val="00DF6F85"/>
    <w:rsid w:val="00DF7B81"/>
    <w:rsid w:val="00DF7BDE"/>
    <w:rsid w:val="00E00D33"/>
    <w:rsid w:val="00E0141C"/>
    <w:rsid w:val="00E02902"/>
    <w:rsid w:val="00E0354F"/>
    <w:rsid w:val="00E03C83"/>
    <w:rsid w:val="00E04106"/>
    <w:rsid w:val="00E04522"/>
    <w:rsid w:val="00E04D77"/>
    <w:rsid w:val="00E052D9"/>
    <w:rsid w:val="00E053A8"/>
    <w:rsid w:val="00E0645F"/>
    <w:rsid w:val="00E07C46"/>
    <w:rsid w:val="00E07EB4"/>
    <w:rsid w:val="00E106BE"/>
    <w:rsid w:val="00E10776"/>
    <w:rsid w:val="00E10C34"/>
    <w:rsid w:val="00E1137F"/>
    <w:rsid w:val="00E115FD"/>
    <w:rsid w:val="00E11AC1"/>
    <w:rsid w:val="00E12B94"/>
    <w:rsid w:val="00E13628"/>
    <w:rsid w:val="00E13B34"/>
    <w:rsid w:val="00E13E6F"/>
    <w:rsid w:val="00E14054"/>
    <w:rsid w:val="00E14440"/>
    <w:rsid w:val="00E1522C"/>
    <w:rsid w:val="00E15975"/>
    <w:rsid w:val="00E15B18"/>
    <w:rsid w:val="00E16443"/>
    <w:rsid w:val="00E167E3"/>
    <w:rsid w:val="00E168AD"/>
    <w:rsid w:val="00E168DE"/>
    <w:rsid w:val="00E2022D"/>
    <w:rsid w:val="00E20913"/>
    <w:rsid w:val="00E22150"/>
    <w:rsid w:val="00E22238"/>
    <w:rsid w:val="00E22EB0"/>
    <w:rsid w:val="00E22F7C"/>
    <w:rsid w:val="00E2308A"/>
    <w:rsid w:val="00E23546"/>
    <w:rsid w:val="00E241F4"/>
    <w:rsid w:val="00E24C0A"/>
    <w:rsid w:val="00E24EA6"/>
    <w:rsid w:val="00E25922"/>
    <w:rsid w:val="00E26417"/>
    <w:rsid w:val="00E2641D"/>
    <w:rsid w:val="00E2652E"/>
    <w:rsid w:val="00E2695B"/>
    <w:rsid w:val="00E26C2B"/>
    <w:rsid w:val="00E270F9"/>
    <w:rsid w:val="00E27545"/>
    <w:rsid w:val="00E27E07"/>
    <w:rsid w:val="00E31E29"/>
    <w:rsid w:val="00E32E83"/>
    <w:rsid w:val="00E32E98"/>
    <w:rsid w:val="00E331CA"/>
    <w:rsid w:val="00E34213"/>
    <w:rsid w:val="00E34F57"/>
    <w:rsid w:val="00E35139"/>
    <w:rsid w:val="00E351F9"/>
    <w:rsid w:val="00E35F98"/>
    <w:rsid w:val="00E3613E"/>
    <w:rsid w:val="00E37FC0"/>
    <w:rsid w:val="00E409FB"/>
    <w:rsid w:val="00E4179E"/>
    <w:rsid w:val="00E429CD"/>
    <w:rsid w:val="00E43CEA"/>
    <w:rsid w:val="00E442B4"/>
    <w:rsid w:val="00E45726"/>
    <w:rsid w:val="00E466B8"/>
    <w:rsid w:val="00E4688C"/>
    <w:rsid w:val="00E472DD"/>
    <w:rsid w:val="00E51CE1"/>
    <w:rsid w:val="00E52653"/>
    <w:rsid w:val="00E53122"/>
    <w:rsid w:val="00E546B8"/>
    <w:rsid w:val="00E55A1A"/>
    <w:rsid w:val="00E55B98"/>
    <w:rsid w:val="00E55ED5"/>
    <w:rsid w:val="00E57C5C"/>
    <w:rsid w:val="00E57DEB"/>
    <w:rsid w:val="00E60B8E"/>
    <w:rsid w:val="00E613FA"/>
    <w:rsid w:val="00E6286C"/>
    <w:rsid w:val="00E62F83"/>
    <w:rsid w:val="00E67D8F"/>
    <w:rsid w:val="00E701A7"/>
    <w:rsid w:val="00E73617"/>
    <w:rsid w:val="00E73E72"/>
    <w:rsid w:val="00E73FB0"/>
    <w:rsid w:val="00E746F8"/>
    <w:rsid w:val="00E762F8"/>
    <w:rsid w:val="00E76397"/>
    <w:rsid w:val="00E76FCF"/>
    <w:rsid w:val="00E77C54"/>
    <w:rsid w:val="00E77F5B"/>
    <w:rsid w:val="00E80886"/>
    <w:rsid w:val="00E8152F"/>
    <w:rsid w:val="00E81A80"/>
    <w:rsid w:val="00E82281"/>
    <w:rsid w:val="00E83D04"/>
    <w:rsid w:val="00E83E63"/>
    <w:rsid w:val="00E84A08"/>
    <w:rsid w:val="00E858F3"/>
    <w:rsid w:val="00E85BB5"/>
    <w:rsid w:val="00E86439"/>
    <w:rsid w:val="00E87555"/>
    <w:rsid w:val="00E87839"/>
    <w:rsid w:val="00E900F8"/>
    <w:rsid w:val="00E9056F"/>
    <w:rsid w:val="00E905C4"/>
    <w:rsid w:val="00E905D8"/>
    <w:rsid w:val="00E915CE"/>
    <w:rsid w:val="00E91B52"/>
    <w:rsid w:val="00E91DE3"/>
    <w:rsid w:val="00E92118"/>
    <w:rsid w:val="00E93F1A"/>
    <w:rsid w:val="00E941D7"/>
    <w:rsid w:val="00E96FF0"/>
    <w:rsid w:val="00E972FA"/>
    <w:rsid w:val="00E97551"/>
    <w:rsid w:val="00E97C8B"/>
    <w:rsid w:val="00E97F64"/>
    <w:rsid w:val="00EA17D4"/>
    <w:rsid w:val="00EA1B87"/>
    <w:rsid w:val="00EA3B44"/>
    <w:rsid w:val="00EA43B7"/>
    <w:rsid w:val="00EA5FA3"/>
    <w:rsid w:val="00EA6A2B"/>
    <w:rsid w:val="00EA7D41"/>
    <w:rsid w:val="00EA7FBE"/>
    <w:rsid w:val="00EB08F2"/>
    <w:rsid w:val="00EB2D48"/>
    <w:rsid w:val="00EB43F9"/>
    <w:rsid w:val="00EB55F8"/>
    <w:rsid w:val="00EB59B4"/>
    <w:rsid w:val="00EB5E86"/>
    <w:rsid w:val="00EB5F9F"/>
    <w:rsid w:val="00EB644F"/>
    <w:rsid w:val="00EB70FC"/>
    <w:rsid w:val="00EB7284"/>
    <w:rsid w:val="00EC0A95"/>
    <w:rsid w:val="00EC11DA"/>
    <w:rsid w:val="00EC1931"/>
    <w:rsid w:val="00EC3582"/>
    <w:rsid w:val="00EC4703"/>
    <w:rsid w:val="00EC54B6"/>
    <w:rsid w:val="00EC559D"/>
    <w:rsid w:val="00EC5AAF"/>
    <w:rsid w:val="00EC5FD3"/>
    <w:rsid w:val="00EC673D"/>
    <w:rsid w:val="00EC6D6F"/>
    <w:rsid w:val="00EC711D"/>
    <w:rsid w:val="00EC7B82"/>
    <w:rsid w:val="00EC7FBB"/>
    <w:rsid w:val="00ED020B"/>
    <w:rsid w:val="00ED0671"/>
    <w:rsid w:val="00ED1787"/>
    <w:rsid w:val="00ED21B5"/>
    <w:rsid w:val="00ED4792"/>
    <w:rsid w:val="00ED4C15"/>
    <w:rsid w:val="00ED525C"/>
    <w:rsid w:val="00ED6898"/>
    <w:rsid w:val="00ED701D"/>
    <w:rsid w:val="00ED72D7"/>
    <w:rsid w:val="00ED7A4A"/>
    <w:rsid w:val="00EE018C"/>
    <w:rsid w:val="00EE0845"/>
    <w:rsid w:val="00EE1927"/>
    <w:rsid w:val="00EE2B1B"/>
    <w:rsid w:val="00EE3319"/>
    <w:rsid w:val="00EE371C"/>
    <w:rsid w:val="00EE5CFE"/>
    <w:rsid w:val="00EE5FF9"/>
    <w:rsid w:val="00EE650C"/>
    <w:rsid w:val="00EE6D79"/>
    <w:rsid w:val="00EE7141"/>
    <w:rsid w:val="00EF02B2"/>
    <w:rsid w:val="00EF0FF3"/>
    <w:rsid w:val="00EF10E0"/>
    <w:rsid w:val="00EF188C"/>
    <w:rsid w:val="00EF2068"/>
    <w:rsid w:val="00EF436F"/>
    <w:rsid w:val="00EF4903"/>
    <w:rsid w:val="00EF6784"/>
    <w:rsid w:val="00EF7D17"/>
    <w:rsid w:val="00EF7E21"/>
    <w:rsid w:val="00F00CDC"/>
    <w:rsid w:val="00F00F1D"/>
    <w:rsid w:val="00F0143E"/>
    <w:rsid w:val="00F0237C"/>
    <w:rsid w:val="00F027B3"/>
    <w:rsid w:val="00F02E30"/>
    <w:rsid w:val="00F03703"/>
    <w:rsid w:val="00F0516F"/>
    <w:rsid w:val="00F074AD"/>
    <w:rsid w:val="00F10535"/>
    <w:rsid w:val="00F11356"/>
    <w:rsid w:val="00F11A64"/>
    <w:rsid w:val="00F12DB9"/>
    <w:rsid w:val="00F131DB"/>
    <w:rsid w:val="00F13594"/>
    <w:rsid w:val="00F13645"/>
    <w:rsid w:val="00F141E6"/>
    <w:rsid w:val="00F14671"/>
    <w:rsid w:val="00F15316"/>
    <w:rsid w:val="00F158D1"/>
    <w:rsid w:val="00F15B32"/>
    <w:rsid w:val="00F178A4"/>
    <w:rsid w:val="00F17F1D"/>
    <w:rsid w:val="00F20586"/>
    <w:rsid w:val="00F206D4"/>
    <w:rsid w:val="00F222DF"/>
    <w:rsid w:val="00F22467"/>
    <w:rsid w:val="00F231BD"/>
    <w:rsid w:val="00F23DD9"/>
    <w:rsid w:val="00F25619"/>
    <w:rsid w:val="00F260A3"/>
    <w:rsid w:val="00F261EC"/>
    <w:rsid w:val="00F262BA"/>
    <w:rsid w:val="00F2641A"/>
    <w:rsid w:val="00F2664C"/>
    <w:rsid w:val="00F3048A"/>
    <w:rsid w:val="00F31089"/>
    <w:rsid w:val="00F31206"/>
    <w:rsid w:val="00F32BBD"/>
    <w:rsid w:val="00F3325F"/>
    <w:rsid w:val="00F33484"/>
    <w:rsid w:val="00F33BD8"/>
    <w:rsid w:val="00F34707"/>
    <w:rsid w:val="00F35E1B"/>
    <w:rsid w:val="00F37EFF"/>
    <w:rsid w:val="00F40F9D"/>
    <w:rsid w:val="00F4116F"/>
    <w:rsid w:val="00F4187B"/>
    <w:rsid w:val="00F41EA7"/>
    <w:rsid w:val="00F42113"/>
    <w:rsid w:val="00F430B4"/>
    <w:rsid w:val="00F43638"/>
    <w:rsid w:val="00F4366A"/>
    <w:rsid w:val="00F442C0"/>
    <w:rsid w:val="00F44397"/>
    <w:rsid w:val="00F44F7E"/>
    <w:rsid w:val="00F46C43"/>
    <w:rsid w:val="00F46FCC"/>
    <w:rsid w:val="00F47E91"/>
    <w:rsid w:val="00F50B4E"/>
    <w:rsid w:val="00F51BC3"/>
    <w:rsid w:val="00F52112"/>
    <w:rsid w:val="00F52155"/>
    <w:rsid w:val="00F532F2"/>
    <w:rsid w:val="00F53325"/>
    <w:rsid w:val="00F54167"/>
    <w:rsid w:val="00F561BD"/>
    <w:rsid w:val="00F57003"/>
    <w:rsid w:val="00F57531"/>
    <w:rsid w:val="00F576B8"/>
    <w:rsid w:val="00F57B07"/>
    <w:rsid w:val="00F60D3C"/>
    <w:rsid w:val="00F6133D"/>
    <w:rsid w:val="00F62591"/>
    <w:rsid w:val="00F62F00"/>
    <w:rsid w:val="00F62F2D"/>
    <w:rsid w:val="00F63EEC"/>
    <w:rsid w:val="00F64E48"/>
    <w:rsid w:val="00F6536D"/>
    <w:rsid w:val="00F65922"/>
    <w:rsid w:val="00F65DF2"/>
    <w:rsid w:val="00F6626A"/>
    <w:rsid w:val="00F66B1D"/>
    <w:rsid w:val="00F7120D"/>
    <w:rsid w:val="00F715A9"/>
    <w:rsid w:val="00F71EAA"/>
    <w:rsid w:val="00F72913"/>
    <w:rsid w:val="00F73507"/>
    <w:rsid w:val="00F73ABF"/>
    <w:rsid w:val="00F74B0C"/>
    <w:rsid w:val="00F75AB7"/>
    <w:rsid w:val="00F765C7"/>
    <w:rsid w:val="00F768DE"/>
    <w:rsid w:val="00F77938"/>
    <w:rsid w:val="00F77AE2"/>
    <w:rsid w:val="00F77D40"/>
    <w:rsid w:val="00F77E11"/>
    <w:rsid w:val="00F819E5"/>
    <w:rsid w:val="00F820E4"/>
    <w:rsid w:val="00F82133"/>
    <w:rsid w:val="00F83220"/>
    <w:rsid w:val="00F835BB"/>
    <w:rsid w:val="00F83CA0"/>
    <w:rsid w:val="00F84852"/>
    <w:rsid w:val="00F84C46"/>
    <w:rsid w:val="00F84E83"/>
    <w:rsid w:val="00F84EF8"/>
    <w:rsid w:val="00F91359"/>
    <w:rsid w:val="00F91D4D"/>
    <w:rsid w:val="00F92735"/>
    <w:rsid w:val="00F9374A"/>
    <w:rsid w:val="00F93E4C"/>
    <w:rsid w:val="00F94037"/>
    <w:rsid w:val="00F94286"/>
    <w:rsid w:val="00F95DA2"/>
    <w:rsid w:val="00F96069"/>
    <w:rsid w:val="00F96344"/>
    <w:rsid w:val="00F96B3D"/>
    <w:rsid w:val="00F96D7B"/>
    <w:rsid w:val="00FA0053"/>
    <w:rsid w:val="00FA0279"/>
    <w:rsid w:val="00FA0855"/>
    <w:rsid w:val="00FA1409"/>
    <w:rsid w:val="00FA14DA"/>
    <w:rsid w:val="00FA1FD0"/>
    <w:rsid w:val="00FA2429"/>
    <w:rsid w:val="00FA26EF"/>
    <w:rsid w:val="00FA28C0"/>
    <w:rsid w:val="00FA333C"/>
    <w:rsid w:val="00FA38B7"/>
    <w:rsid w:val="00FA3AEA"/>
    <w:rsid w:val="00FA41F4"/>
    <w:rsid w:val="00FA4217"/>
    <w:rsid w:val="00FA44A3"/>
    <w:rsid w:val="00FA7741"/>
    <w:rsid w:val="00FB08E2"/>
    <w:rsid w:val="00FB0CF5"/>
    <w:rsid w:val="00FB11AA"/>
    <w:rsid w:val="00FB12EE"/>
    <w:rsid w:val="00FB13D7"/>
    <w:rsid w:val="00FB1A78"/>
    <w:rsid w:val="00FB2496"/>
    <w:rsid w:val="00FB2F6D"/>
    <w:rsid w:val="00FB3E76"/>
    <w:rsid w:val="00FB433F"/>
    <w:rsid w:val="00FB4437"/>
    <w:rsid w:val="00FB45BE"/>
    <w:rsid w:val="00FB5C48"/>
    <w:rsid w:val="00FB6616"/>
    <w:rsid w:val="00FB7254"/>
    <w:rsid w:val="00FC0EE5"/>
    <w:rsid w:val="00FC302C"/>
    <w:rsid w:val="00FC46F0"/>
    <w:rsid w:val="00FC4948"/>
    <w:rsid w:val="00FC52B3"/>
    <w:rsid w:val="00FC53C5"/>
    <w:rsid w:val="00FC5AC1"/>
    <w:rsid w:val="00FC5C52"/>
    <w:rsid w:val="00FC64AE"/>
    <w:rsid w:val="00FC7950"/>
    <w:rsid w:val="00FC7ECC"/>
    <w:rsid w:val="00FD0579"/>
    <w:rsid w:val="00FD09E6"/>
    <w:rsid w:val="00FD24BD"/>
    <w:rsid w:val="00FD2A55"/>
    <w:rsid w:val="00FD2AF9"/>
    <w:rsid w:val="00FD325E"/>
    <w:rsid w:val="00FD3925"/>
    <w:rsid w:val="00FD4EBE"/>
    <w:rsid w:val="00FD6777"/>
    <w:rsid w:val="00FD6EEC"/>
    <w:rsid w:val="00FD78A5"/>
    <w:rsid w:val="00FD7973"/>
    <w:rsid w:val="00FE11FB"/>
    <w:rsid w:val="00FE183C"/>
    <w:rsid w:val="00FE3302"/>
    <w:rsid w:val="00FE402D"/>
    <w:rsid w:val="00FE44F1"/>
    <w:rsid w:val="00FE5640"/>
    <w:rsid w:val="00FE5C66"/>
    <w:rsid w:val="00FE6D0E"/>
    <w:rsid w:val="00FE7606"/>
    <w:rsid w:val="00FE76A9"/>
    <w:rsid w:val="00FF006D"/>
    <w:rsid w:val="00FF09B2"/>
    <w:rsid w:val="00FF0AD3"/>
    <w:rsid w:val="00FF109F"/>
    <w:rsid w:val="00FF182F"/>
    <w:rsid w:val="00FF276B"/>
    <w:rsid w:val="00FF3963"/>
    <w:rsid w:val="00FF3D6C"/>
    <w:rsid w:val="00FF4242"/>
    <w:rsid w:val="00FF456A"/>
    <w:rsid w:val="00FF4988"/>
    <w:rsid w:val="023E4112"/>
    <w:rsid w:val="047A70C5"/>
    <w:rsid w:val="063744C3"/>
    <w:rsid w:val="089A0945"/>
    <w:rsid w:val="11416BCD"/>
    <w:rsid w:val="12F62DC0"/>
    <w:rsid w:val="13000D0B"/>
    <w:rsid w:val="1485151A"/>
    <w:rsid w:val="152828CA"/>
    <w:rsid w:val="160F5857"/>
    <w:rsid w:val="16E925CC"/>
    <w:rsid w:val="192063A5"/>
    <w:rsid w:val="1B4309D2"/>
    <w:rsid w:val="1B81318F"/>
    <w:rsid w:val="1CB34610"/>
    <w:rsid w:val="1E4362F3"/>
    <w:rsid w:val="1E817046"/>
    <w:rsid w:val="1EEF6827"/>
    <w:rsid w:val="23FA1FD5"/>
    <w:rsid w:val="2646649D"/>
    <w:rsid w:val="290C261D"/>
    <w:rsid w:val="29775CE3"/>
    <w:rsid w:val="2A8E0261"/>
    <w:rsid w:val="2CC03060"/>
    <w:rsid w:val="2CE43660"/>
    <w:rsid w:val="2D473C16"/>
    <w:rsid w:val="2F882902"/>
    <w:rsid w:val="3B357927"/>
    <w:rsid w:val="40291CE7"/>
    <w:rsid w:val="40BB68F0"/>
    <w:rsid w:val="41035F24"/>
    <w:rsid w:val="41D4571E"/>
    <w:rsid w:val="45843A95"/>
    <w:rsid w:val="460F004B"/>
    <w:rsid w:val="468641AA"/>
    <w:rsid w:val="47975850"/>
    <w:rsid w:val="482B06C4"/>
    <w:rsid w:val="49A61989"/>
    <w:rsid w:val="4A0871BF"/>
    <w:rsid w:val="4DE62ABF"/>
    <w:rsid w:val="4E715161"/>
    <w:rsid w:val="50EA6473"/>
    <w:rsid w:val="50F31C00"/>
    <w:rsid w:val="556E16E1"/>
    <w:rsid w:val="5F7A1677"/>
    <w:rsid w:val="5FB46FD8"/>
    <w:rsid w:val="61406BA8"/>
    <w:rsid w:val="62304C65"/>
    <w:rsid w:val="633D4D68"/>
    <w:rsid w:val="679C60E3"/>
    <w:rsid w:val="68B56280"/>
    <w:rsid w:val="749E2EDC"/>
    <w:rsid w:val="753866D1"/>
    <w:rsid w:val="76D81424"/>
    <w:rsid w:val="78A12F6F"/>
    <w:rsid w:val="7A053625"/>
    <w:rsid w:val="7DD8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6" w:lineRule="auto"/>
      <w:ind w:left="992" w:hanging="141"/>
      <w:jc w:val="both"/>
      <w:outlineLvl w:val="2"/>
    </w:pPr>
    <w:rPr>
      <w:b/>
      <w:bCs/>
      <w:kern w:val="2"/>
      <w:sz w:val="32"/>
      <w:szCs w:val="32"/>
    </w:rPr>
  </w:style>
  <w:style w:type="paragraph" w:styleId="5">
    <w:name w:val="heading 4"/>
    <w:basedOn w:val="1"/>
    <w:next w:val="1"/>
    <w:qFormat/>
    <w:uiPriority w:val="0"/>
    <w:pPr>
      <w:keepNext/>
      <w:keepLines/>
      <w:widowControl w:val="0"/>
      <w:spacing w:before="280" w:after="290" w:line="376" w:lineRule="auto"/>
      <w:ind w:left="1276"/>
      <w:jc w:val="both"/>
      <w:outlineLvl w:val="3"/>
    </w:pPr>
    <w:rPr>
      <w:rFonts w:ascii="Arial" w:hAnsi="Arial" w:eastAsia="黑体"/>
      <w:b/>
      <w:bCs/>
      <w:kern w:val="2"/>
      <w:sz w:val="28"/>
      <w:szCs w:val="28"/>
    </w:rPr>
  </w:style>
  <w:style w:type="paragraph" w:styleId="6">
    <w:name w:val="heading 5"/>
    <w:basedOn w:val="1"/>
    <w:next w:val="7"/>
    <w:qFormat/>
    <w:uiPriority w:val="0"/>
    <w:pPr>
      <w:keepNext/>
      <w:keepLines/>
      <w:widowControl w:val="0"/>
      <w:tabs>
        <w:tab w:val="left" w:pos="2580"/>
      </w:tabs>
      <w:spacing w:before="280" w:after="290" w:line="376" w:lineRule="auto"/>
      <w:ind w:left="2580" w:hanging="420"/>
      <w:jc w:val="both"/>
      <w:outlineLvl w:val="4"/>
    </w:pPr>
    <w:rPr>
      <w:b/>
      <w:kern w:val="2"/>
      <w:sz w:val="28"/>
      <w:szCs w:val="20"/>
    </w:rPr>
  </w:style>
  <w:style w:type="paragraph" w:styleId="8">
    <w:name w:val="heading 6"/>
    <w:basedOn w:val="1"/>
    <w:next w:val="7"/>
    <w:qFormat/>
    <w:uiPriority w:val="0"/>
    <w:pPr>
      <w:keepNext/>
      <w:widowControl w:val="0"/>
      <w:tabs>
        <w:tab w:val="left" w:pos="2157"/>
      </w:tabs>
      <w:spacing w:line="440" w:lineRule="exact"/>
      <w:ind w:left="1437" w:hanging="720"/>
      <w:jc w:val="both"/>
      <w:outlineLvl w:val="5"/>
    </w:pPr>
    <w:rPr>
      <w:kern w:val="2"/>
      <w:sz w:val="28"/>
      <w:szCs w:val="20"/>
    </w:rPr>
  </w:style>
  <w:style w:type="paragraph" w:styleId="9">
    <w:name w:val="heading 7"/>
    <w:basedOn w:val="1"/>
    <w:next w:val="1"/>
    <w:qFormat/>
    <w:uiPriority w:val="0"/>
    <w:pPr>
      <w:keepNext/>
      <w:keepLines/>
      <w:widowControl w:val="0"/>
      <w:spacing w:before="240" w:after="64" w:line="320" w:lineRule="auto"/>
      <w:jc w:val="both"/>
      <w:outlineLvl w:val="6"/>
    </w:pPr>
    <w:rPr>
      <w:b/>
      <w:bCs/>
      <w:kern w:val="2"/>
    </w:rPr>
  </w:style>
  <w:style w:type="paragraph" w:styleId="10">
    <w:name w:val="heading 8"/>
    <w:basedOn w:val="1"/>
    <w:next w:val="7"/>
    <w:qFormat/>
    <w:uiPriority w:val="0"/>
    <w:pPr>
      <w:keepNext/>
      <w:keepLines/>
      <w:widowControl w:val="0"/>
      <w:tabs>
        <w:tab w:val="left" w:pos="3840"/>
      </w:tabs>
      <w:spacing w:before="240" w:after="64" w:line="320" w:lineRule="auto"/>
      <w:ind w:left="3840" w:hanging="420"/>
      <w:jc w:val="both"/>
      <w:outlineLvl w:val="7"/>
    </w:pPr>
    <w:rPr>
      <w:rFonts w:ascii="Arial" w:hAnsi="Arial" w:eastAsia="黑体"/>
      <w:kern w:val="2"/>
      <w:szCs w:val="20"/>
    </w:rPr>
  </w:style>
  <w:style w:type="paragraph" w:styleId="11">
    <w:name w:val="heading 9"/>
    <w:basedOn w:val="1"/>
    <w:next w:val="7"/>
    <w:qFormat/>
    <w:uiPriority w:val="0"/>
    <w:pPr>
      <w:keepNext/>
      <w:keepLines/>
      <w:widowControl w:val="0"/>
      <w:tabs>
        <w:tab w:val="left" w:pos="4260"/>
      </w:tabs>
      <w:spacing w:before="240" w:after="64" w:line="320" w:lineRule="auto"/>
      <w:ind w:left="4260" w:hanging="420"/>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widowControl w:val="0"/>
      <w:spacing w:line="360" w:lineRule="auto"/>
      <w:ind w:firstLine="200" w:firstLineChars="200"/>
    </w:pPr>
    <w:rPr>
      <w:kern w:val="2"/>
      <w:sz w:val="21"/>
      <w:szCs w:val="20"/>
    </w:rPr>
  </w:style>
  <w:style w:type="paragraph" w:styleId="12">
    <w:name w:val="toc 7"/>
    <w:basedOn w:val="1"/>
    <w:next w:val="1"/>
    <w:unhideWhenUsed/>
    <w:qFormat/>
    <w:uiPriority w:val="39"/>
    <w:pPr>
      <w:ind w:left="1440"/>
    </w:pPr>
    <w:rPr>
      <w:rFonts w:ascii="等线" w:eastAsia="等线"/>
      <w:sz w:val="18"/>
      <w:szCs w:val="18"/>
    </w:rPr>
  </w:style>
  <w:style w:type="paragraph" w:styleId="13">
    <w:name w:val="List Number"/>
    <w:basedOn w:val="1"/>
    <w:qFormat/>
    <w:uiPriority w:val="0"/>
    <w:pPr>
      <w:numPr>
        <w:ilvl w:val="0"/>
        <w:numId w:val="1"/>
      </w:numPr>
      <w:contextualSpacing/>
    </w:p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55"/>
    <w:qFormat/>
    <w:uiPriority w:val="0"/>
    <w:pPr>
      <w:widowControl w:val="0"/>
    </w:pPr>
    <w:rPr>
      <w:kern w:val="2"/>
      <w:sz w:val="21"/>
    </w:rPr>
  </w:style>
  <w:style w:type="paragraph" w:styleId="17">
    <w:name w:val="index 6"/>
    <w:next w:val="1"/>
    <w:qFormat/>
    <w:uiPriority w:val="0"/>
    <w:pPr>
      <w:jc w:val="both"/>
    </w:pPr>
    <w:rPr>
      <w:rFonts w:ascii="Times New Roman" w:hAnsi="Times New Roman" w:eastAsia="宋体" w:cs="Times New Roman"/>
      <w:sz w:val="21"/>
      <w:szCs w:val="24"/>
      <w:lang w:val="en-US" w:eastAsia="zh-CN" w:bidi="ar-SA"/>
    </w:rPr>
  </w:style>
  <w:style w:type="paragraph" w:styleId="18">
    <w:name w:val="Body Text 3"/>
    <w:basedOn w:val="1"/>
    <w:qFormat/>
    <w:uiPriority w:val="0"/>
    <w:pPr>
      <w:widowControl w:val="0"/>
      <w:tabs>
        <w:tab w:val="left" w:pos="6480"/>
      </w:tabs>
      <w:spacing w:line="360" w:lineRule="auto"/>
      <w:ind w:right="-512" w:rightChars="-244"/>
      <w:jc w:val="both"/>
    </w:pPr>
    <w:rPr>
      <w:rFonts w:ascii="宋体" w:hAnsi="宋体"/>
      <w:kern w:val="2"/>
    </w:rPr>
  </w:style>
  <w:style w:type="paragraph" w:styleId="19">
    <w:name w:val="Body Text"/>
    <w:basedOn w:val="1"/>
    <w:qFormat/>
    <w:uiPriority w:val="0"/>
    <w:pPr>
      <w:widowControl w:val="0"/>
      <w:jc w:val="both"/>
    </w:pPr>
    <w:rPr>
      <w:kern w:val="2"/>
      <w:sz w:val="28"/>
    </w:rPr>
  </w:style>
  <w:style w:type="paragraph" w:styleId="20">
    <w:name w:val="Body Text Indent"/>
    <w:basedOn w:val="1"/>
    <w:qFormat/>
    <w:uiPriority w:val="0"/>
    <w:pPr>
      <w:spacing w:line="440" w:lineRule="exact"/>
      <w:ind w:firstLine="480" w:firstLineChars="200"/>
      <w:jc w:val="both"/>
    </w:pPr>
    <w:rPr>
      <w:rFonts w:eastAsia="仿宋_GB2312"/>
    </w:rPr>
  </w:style>
  <w:style w:type="paragraph" w:styleId="21">
    <w:name w:val="List 2"/>
    <w:basedOn w:val="1"/>
    <w:qFormat/>
    <w:uiPriority w:val="0"/>
    <w:pPr>
      <w:ind w:left="100" w:leftChars="200" w:hanging="200" w:hangingChars="200"/>
    </w:pPr>
  </w:style>
  <w:style w:type="paragraph" w:styleId="22">
    <w:name w:val="toc 5"/>
    <w:basedOn w:val="1"/>
    <w:next w:val="1"/>
    <w:unhideWhenUsed/>
    <w:qFormat/>
    <w:uiPriority w:val="39"/>
    <w:pPr>
      <w:ind w:left="960"/>
    </w:pPr>
    <w:rPr>
      <w:rFonts w:ascii="等线" w:eastAsia="等线"/>
      <w:sz w:val="18"/>
      <w:szCs w:val="18"/>
    </w:rPr>
  </w:style>
  <w:style w:type="paragraph" w:styleId="23">
    <w:name w:val="toc 3"/>
    <w:basedOn w:val="1"/>
    <w:next w:val="1"/>
    <w:qFormat/>
    <w:uiPriority w:val="0"/>
    <w:pPr>
      <w:ind w:left="480"/>
    </w:pPr>
    <w:rPr>
      <w:rFonts w:ascii="等线" w:eastAsia="等线"/>
      <w:i/>
      <w:iCs/>
      <w:sz w:val="20"/>
      <w:szCs w:val="20"/>
    </w:rPr>
  </w:style>
  <w:style w:type="paragraph" w:styleId="24">
    <w:name w:val="Plain Text"/>
    <w:basedOn w:val="1"/>
    <w:link w:val="56"/>
    <w:qFormat/>
    <w:uiPriority w:val="99"/>
    <w:pPr>
      <w:spacing w:before="100" w:beforeAutospacing="1" w:after="100" w:afterAutospacing="1"/>
    </w:pPr>
    <w:rPr>
      <w:rFonts w:ascii="宋体" w:hAnsi="宋体"/>
    </w:rPr>
  </w:style>
  <w:style w:type="paragraph" w:styleId="25">
    <w:name w:val="toc 8"/>
    <w:basedOn w:val="1"/>
    <w:next w:val="1"/>
    <w:unhideWhenUsed/>
    <w:qFormat/>
    <w:uiPriority w:val="39"/>
    <w:pPr>
      <w:ind w:left="1680"/>
    </w:pPr>
    <w:rPr>
      <w:rFonts w:ascii="等线" w:eastAsia="等线"/>
      <w:sz w:val="18"/>
      <w:szCs w:val="18"/>
    </w:rPr>
  </w:style>
  <w:style w:type="paragraph" w:styleId="26">
    <w:name w:val="Date"/>
    <w:basedOn w:val="1"/>
    <w:next w:val="1"/>
    <w:qFormat/>
    <w:uiPriority w:val="0"/>
    <w:pPr>
      <w:widowControl w:val="0"/>
      <w:ind w:left="100" w:leftChars="2500"/>
      <w:jc w:val="both"/>
    </w:pPr>
    <w:rPr>
      <w:kern w:val="2"/>
      <w:sz w:val="21"/>
    </w:rPr>
  </w:style>
  <w:style w:type="paragraph" w:styleId="27">
    <w:name w:val="Body Text Indent 2"/>
    <w:basedOn w:val="1"/>
    <w:qFormat/>
    <w:uiPriority w:val="0"/>
    <w:pPr>
      <w:ind w:firstLine="435"/>
    </w:pPr>
    <w:rPr>
      <w:rFonts w:ascii="仿宋_GB2312" w:eastAsia="仿宋_GB2312"/>
    </w:rPr>
  </w:style>
  <w:style w:type="paragraph" w:styleId="28">
    <w:name w:val="Balloon Text"/>
    <w:basedOn w:val="1"/>
    <w:qFormat/>
    <w:uiPriority w:val="0"/>
    <w:rPr>
      <w:sz w:val="18"/>
      <w:szCs w:val="18"/>
    </w:rPr>
  </w:style>
  <w:style w:type="paragraph" w:styleId="29">
    <w:name w:val="footer"/>
    <w:basedOn w:val="1"/>
    <w:link w:val="57"/>
    <w:qFormat/>
    <w:uiPriority w:val="0"/>
    <w:pPr>
      <w:tabs>
        <w:tab w:val="center" w:pos="4153"/>
        <w:tab w:val="right" w:pos="8306"/>
      </w:tabs>
      <w:snapToGrid w:val="0"/>
    </w:pPr>
    <w:rPr>
      <w:sz w:val="18"/>
      <w:szCs w:val="18"/>
    </w:rPr>
  </w:style>
  <w:style w:type="paragraph" w:styleId="30">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pPr>
    <w:rPr>
      <w:rFonts w:ascii="等线" w:eastAsia="等线"/>
      <w:b/>
      <w:bCs/>
      <w:caps/>
      <w:sz w:val="20"/>
      <w:szCs w:val="20"/>
    </w:rPr>
  </w:style>
  <w:style w:type="paragraph" w:styleId="32">
    <w:name w:val="toc 4"/>
    <w:basedOn w:val="1"/>
    <w:next w:val="1"/>
    <w:unhideWhenUsed/>
    <w:qFormat/>
    <w:uiPriority w:val="39"/>
    <w:pPr>
      <w:ind w:left="720"/>
    </w:pPr>
    <w:rPr>
      <w:rFonts w:ascii="等线" w:eastAsia="等线"/>
      <w:sz w:val="18"/>
      <w:szCs w:val="18"/>
    </w:rPr>
  </w:style>
  <w:style w:type="paragraph" w:styleId="33">
    <w:name w:val="List"/>
    <w:basedOn w:val="1"/>
    <w:qFormat/>
    <w:uiPriority w:val="0"/>
    <w:pPr>
      <w:ind w:left="200" w:hanging="200" w:hangingChars="200"/>
    </w:pPr>
  </w:style>
  <w:style w:type="paragraph" w:styleId="34">
    <w:name w:val="toc 6"/>
    <w:basedOn w:val="1"/>
    <w:next w:val="1"/>
    <w:unhideWhenUsed/>
    <w:qFormat/>
    <w:uiPriority w:val="39"/>
    <w:pPr>
      <w:ind w:left="1200"/>
    </w:pPr>
    <w:rPr>
      <w:rFonts w:ascii="等线" w:eastAsia="等线"/>
      <w:sz w:val="18"/>
      <w:szCs w:val="18"/>
    </w:rPr>
  </w:style>
  <w:style w:type="paragraph" w:styleId="35">
    <w:name w:val="Body Text Indent 3"/>
    <w:basedOn w:val="1"/>
    <w:qFormat/>
    <w:uiPriority w:val="0"/>
    <w:pPr>
      <w:ind w:firstLine="540" w:firstLineChars="225"/>
      <w:jc w:val="both"/>
    </w:pPr>
    <w:rPr>
      <w:rFonts w:ascii="仿宋_GB2312" w:eastAsia="仿宋_GB2312"/>
      <w:szCs w:val="14"/>
    </w:rPr>
  </w:style>
  <w:style w:type="paragraph" w:styleId="36">
    <w:name w:val="toc 2"/>
    <w:basedOn w:val="1"/>
    <w:next w:val="1"/>
    <w:qFormat/>
    <w:uiPriority w:val="39"/>
    <w:pPr>
      <w:ind w:left="240"/>
    </w:pPr>
    <w:rPr>
      <w:rFonts w:ascii="等线" w:eastAsia="等线"/>
      <w:smallCaps/>
      <w:sz w:val="20"/>
      <w:szCs w:val="20"/>
    </w:rPr>
  </w:style>
  <w:style w:type="paragraph" w:styleId="37">
    <w:name w:val="toc 9"/>
    <w:basedOn w:val="1"/>
    <w:next w:val="1"/>
    <w:unhideWhenUsed/>
    <w:qFormat/>
    <w:uiPriority w:val="39"/>
    <w:pPr>
      <w:ind w:left="1920"/>
    </w:pPr>
    <w:rPr>
      <w:rFonts w:ascii="等线" w:eastAsia="等线"/>
      <w:sz w:val="18"/>
      <w:szCs w:val="18"/>
    </w:rPr>
  </w:style>
  <w:style w:type="paragraph" w:styleId="38">
    <w:name w:val="Body Text 2"/>
    <w:basedOn w:val="1"/>
    <w:qFormat/>
    <w:uiPriority w:val="0"/>
    <w:pPr>
      <w:spacing w:line="360" w:lineRule="exact"/>
      <w:jc w:val="both"/>
    </w:pPr>
    <w:rPr>
      <w:rFonts w:ascii="仿宋_GB2312" w:eastAsia="仿宋_GB2312"/>
    </w:rPr>
  </w:style>
  <w:style w:type="paragraph" w:styleId="39">
    <w:name w:val="Normal (Web)"/>
    <w:basedOn w:val="1"/>
    <w:qFormat/>
    <w:uiPriority w:val="99"/>
    <w:pPr>
      <w:spacing w:before="100" w:beforeAutospacing="1" w:after="100" w:afterAutospacing="1"/>
    </w:pPr>
    <w:rPr>
      <w:rFonts w:hint="eastAsia" w:ascii="宋体" w:hAnsi="宋体"/>
    </w:rPr>
  </w:style>
  <w:style w:type="paragraph" w:styleId="40">
    <w:name w:val="annotation subject"/>
    <w:basedOn w:val="16"/>
    <w:next w:val="16"/>
    <w:qFormat/>
    <w:uiPriority w:val="0"/>
    <w:rPr>
      <w:b/>
      <w:bCs/>
    </w:rPr>
  </w:style>
  <w:style w:type="paragraph" w:styleId="41">
    <w:name w:val="Body Text First Indent"/>
    <w:basedOn w:val="19"/>
    <w:link w:val="59"/>
    <w:qFormat/>
    <w:uiPriority w:val="0"/>
    <w:pPr>
      <w:widowControl/>
      <w:spacing w:after="120"/>
      <w:ind w:firstLine="420" w:firstLineChars="100"/>
      <w:jc w:val="left"/>
    </w:pPr>
    <w:rPr>
      <w:kern w:val="0"/>
      <w:sz w:val="24"/>
    </w:rPr>
  </w:style>
  <w:style w:type="paragraph" w:styleId="42">
    <w:name w:val="Body Text First Indent 2"/>
    <w:basedOn w:val="20"/>
    <w:link w:val="60"/>
    <w:qFormat/>
    <w:uiPriority w:val="0"/>
    <w:pPr>
      <w:spacing w:after="120" w:line="240" w:lineRule="auto"/>
      <w:ind w:left="420" w:leftChars="200" w:firstLine="420"/>
      <w:jc w:val="left"/>
    </w:pPr>
    <w:rPr>
      <w:rFonts w:eastAsia="宋体"/>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imes New Roman" w:hAnsi="Times New Roman" w:eastAsia="宋体" w:cs="Times New Roman"/>
      <w:b/>
      <w:bCs/>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line number"/>
    <w:unhideWhenUsed/>
    <w:qFormat/>
    <w:uiPriority w:val="99"/>
  </w:style>
  <w:style w:type="character" w:styleId="50">
    <w:name w:val="Hyperlink"/>
    <w:qFormat/>
    <w:uiPriority w:val="99"/>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标题 2 字符1"/>
    <w:link w:val="2"/>
    <w:qFormat/>
    <w:uiPriority w:val="0"/>
    <w:rPr>
      <w:rFonts w:ascii="Arial" w:hAnsi="Arial" w:eastAsia="黑体" w:cs="Times New Roman"/>
      <w:b/>
      <w:bCs/>
      <w:sz w:val="32"/>
      <w:szCs w:val="32"/>
      <w:lang w:val="en-US" w:eastAsia="zh-CN" w:bidi="ar-SA"/>
    </w:rPr>
  </w:style>
  <w:style w:type="character" w:customStyle="1" w:styleId="53">
    <w:name w:val="标题 1 字符1"/>
    <w:link w:val="3"/>
    <w:qFormat/>
    <w:uiPriority w:val="0"/>
    <w:rPr>
      <w:rFonts w:ascii="Times New Roman" w:hAnsi="Times New Roman" w:eastAsia="宋体" w:cs="Times New Roman"/>
      <w:b/>
      <w:bCs/>
      <w:kern w:val="44"/>
      <w:sz w:val="44"/>
      <w:szCs w:val="44"/>
      <w:lang w:val="en-US" w:eastAsia="zh-CN" w:bidi="ar-SA"/>
    </w:rPr>
  </w:style>
  <w:style w:type="character" w:customStyle="1" w:styleId="54">
    <w:name w:val="正文缩进 字符"/>
    <w:link w:val="7"/>
    <w:qFormat/>
    <w:uiPriority w:val="0"/>
    <w:rPr>
      <w:kern w:val="2"/>
      <w:sz w:val="21"/>
    </w:rPr>
  </w:style>
  <w:style w:type="character" w:customStyle="1" w:styleId="55">
    <w:name w:val="批注文字 字符"/>
    <w:link w:val="16"/>
    <w:qFormat/>
    <w:uiPriority w:val="0"/>
    <w:rPr>
      <w:rFonts w:ascii="Times New Roman" w:hAnsi="Times New Roman" w:eastAsia="宋体" w:cs="Times New Roman"/>
      <w:kern w:val="2"/>
      <w:sz w:val="21"/>
      <w:szCs w:val="24"/>
      <w:lang w:val="en-US" w:eastAsia="zh-CN" w:bidi="ar-SA"/>
    </w:rPr>
  </w:style>
  <w:style w:type="character" w:customStyle="1" w:styleId="56">
    <w:name w:val="纯文本 字符"/>
    <w:link w:val="24"/>
    <w:qFormat/>
    <w:uiPriority w:val="99"/>
    <w:rPr>
      <w:rFonts w:ascii="宋体" w:hAnsi="宋体" w:eastAsia="宋体" w:cs="Times New Roman"/>
      <w:sz w:val="24"/>
      <w:szCs w:val="24"/>
      <w:lang w:val="en-US" w:eastAsia="zh-CN" w:bidi="ar-SA"/>
    </w:rPr>
  </w:style>
  <w:style w:type="character" w:customStyle="1" w:styleId="57">
    <w:name w:val="页脚 字符"/>
    <w:link w:val="29"/>
    <w:qFormat/>
    <w:uiPriority w:val="0"/>
    <w:rPr>
      <w:rFonts w:ascii="Times New Roman" w:hAnsi="Times New Roman" w:eastAsia="宋体" w:cs="Times New Roman"/>
      <w:sz w:val="18"/>
      <w:szCs w:val="18"/>
      <w:lang w:val="en-US" w:eastAsia="zh-CN" w:bidi="ar-SA"/>
    </w:rPr>
  </w:style>
  <w:style w:type="character" w:customStyle="1" w:styleId="58">
    <w:name w:val="页眉 字符"/>
    <w:link w:val="30"/>
    <w:qFormat/>
    <w:uiPriority w:val="0"/>
    <w:rPr>
      <w:rFonts w:ascii="Times New Roman" w:hAnsi="Times New Roman" w:eastAsia="宋体" w:cs="Times New Roman"/>
      <w:sz w:val="18"/>
      <w:szCs w:val="18"/>
      <w:lang w:val="en-US" w:eastAsia="zh-CN" w:bidi="ar-SA"/>
    </w:rPr>
  </w:style>
  <w:style w:type="character" w:customStyle="1" w:styleId="59">
    <w:name w:val="正文文本首行缩进 字符"/>
    <w:link w:val="41"/>
    <w:qFormat/>
    <w:uiPriority w:val="0"/>
    <w:rPr>
      <w:sz w:val="24"/>
      <w:szCs w:val="24"/>
    </w:rPr>
  </w:style>
  <w:style w:type="character" w:customStyle="1" w:styleId="60">
    <w:name w:val="正文文本首行缩进 2 字符"/>
    <w:link w:val="42"/>
    <w:qFormat/>
    <w:uiPriority w:val="0"/>
    <w:rPr>
      <w:sz w:val="24"/>
      <w:szCs w:val="24"/>
    </w:rPr>
  </w:style>
  <w:style w:type="character" w:customStyle="1" w:styleId="61">
    <w:name w:val="font01"/>
    <w:qFormat/>
    <w:uiPriority w:val="0"/>
    <w:rPr>
      <w:rFonts w:hint="default" w:ascii="Times New Roman" w:hAnsi="Times New Roman" w:eastAsia="宋体" w:cs="Times New Roman"/>
      <w:color w:val="000000"/>
      <w:sz w:val="18"/>
      <w:szCs w:val="18"/>
      <w:u w:val="none"/>
      <w:vertAlign w:val="superscript"/>
    </w:rPr>
  </w:style>
  <w:style w:type="character" w:customStyle="1" w:styleId="62">
    <w:name w:val="zyp-正文 Char"/>
    <w:link w:val="63"/>
    <w:qFormat/>
    <w:uiPriority w:val="0"/>
    <w:rPr>
      <w:rFonts w:ascii="宋体" w:hAnsi="宋体" w:eastAsia="宋体" w:cs="Times New Roman"/>
      <w:color w:val="000000"/>
      <w:kern w:val="2"/>
      <w:sz w:val="28"/>
      <w:szCs w:val="18"/>
      <w:lang w:val="en-US" w:eastAsia="zh-CN" w:bidi="ar-SA"/>
    </w:rPr>
  </w:style>
  <w:style w:type="paragraph" w:customStyle="1" w:styleId="63">
    <w:name w:val="zyp-正文"/>
    <w:basedOn w:val="39"/>
    <w:link w:val="62"/>
    <w:qFormat/>
    <w:uiPriority w:val="0"/>
    <w:pPr>
      <w:spacing w:before="0" w:beforeAutospacing="0" w:after="0" w:afterAutospacing="0" w:line="360" w:lineRule="auto"/>
      <w:ind w:firstLine="200" w:firstLineChars="200"/>
    </w:pPr>
    <w:rPr>
      <w:rFonts w:hint="default"/>
      <w:color w:val="000000"/>
      <w:kern w:val="2"/>
      <w:sz w:val="28"/>
      <w:szCs w:val="18"/>
    </w:rPr>
  </w:style>
  <w:style w:type="character" w:customStyle="1" w:styleId="64">
    <w:name w:val="正文2 Char Char"/>
    <w:link w:val="65"/>
    <w:qFormat/>
    <w:uiPriority w:val="0"/>
    <w:rPr>
      <w:kern w:val="2"/>
      <w:sz w:val="24"/>
    </w:rPr>
  </w:style>
  <w:style w:type="paragraph" w:customStyle="1" w:styleId="65">
    <w:name w:val="正文2"/>
    <w:basedOn w:val="1"/>
    <w:link w:val="64"/>
    <w:qFormat/>
    <w:uiPriority w:val="0"/>
    <w:pPr>
      <w:widowControl w:val="0"/>
      <w:spacing w:before="156" w:line="360" w:lineRule="auto"/>
      <w:ind w:firstLine="510" w:firstLineChars="200"/>
      <w:jc w:val="both"/>
    </w:pPr>
    <w:rPr>
      <w:kern w:val="2"/>
      <w:szCs w:val="20"/>
    </w:rPr>
  </w:style>
  <w:style w:type="character" w:customStyle="1" w:styleId="66">
    <w:name w:val="A1"/>
    <w:qFormat/>
    <w:uiPriority w:val="0"/>
    <w:rPr>
      <w:rFonts w:ascii="Univers LT Std 45 Light" w:hAnsi="Times New Roman" w:eastAsia="Univers LT Std 45 Light" w:cs="Univers LT Std 45 Light"/>
      <w:color w:val="221E1F"/>
      <w:sz w:val="10"/>
      <w:szCs w:val="10"/>
    </w:rPr>
  </w:style>
  <w:style w:type="character" w:customStyle="1" w:styleId="67">
    <w:name w:val="标题 1 字符"/>
    <w:qFormat/>
    <w:uiPriority w:val="0"/>
    <w:rPr>
      <w:rFonts w:hint="default" w:ascii="Calibri" w:hAnsi="Calibri" w:eastAsia="宋体" w:cs="Times New Roman"/>
      <w:b/>
      <w:kern w:val="44"/>
      <w:sz w:val="44"/>
      <w:szCs w:val="44"/>
    </w:rPr>
  </w:style>
  <w:style w:type="character" w:customStyle="1" w:styleId="68">
    <w:name w:val="value"/>
    <w:qFormat/>
    <w:uiPriority w:val="0"/>
    <w:rPr>
      <w:rFonts w:ascii="Times New Roman" w:hAnsi="Times New Roman" w:eastAsia="宋体" w:cs="Times New Roman"/>
    </w:rPr>
  </w:style>
  <w:style w:type="character" w:customStyle="1" w:styleId="69">
    <w:name w:val="页眉 字符2"/>
    <w:qFormat/>
    <w:uiPriority w:val="99"/>
    <w:rPr>
      <w:kern w:val="2"/>
      <w:sz w:val="18"/>
      <w:szCs w:val="18"/>
    </w:rPr>
  </w:style>
  <w:style w:type="character" w:customStyle="1" w:styleId="70">
    <w:name w:val="para"/>
    <w:qFormat/>
    <w:uiPriority w:val="0"/>
    <w:rPr>
      <w:rFonts w:ascii="Times New Roman" w:hAnsi="Times New Roman" w:eastAsia="宋体" w:cs="Times New Roman"/>
    </w:rPr>
  </w:style>
  <w:style w:type="character" w:customStyle="1" w:styleId="71">
    <w:name w:val="font31"/>
    <w:qFormat/>
    <w:uiPriority w:val="0"/>
    <w:rPr>
      <w:rFonts w:hint="eastAsia" w:ascii="宋体" w:hAnsi="宋体" w:eastAsia="宋体" w:cs="宋体"/>
      <w:color w:val="000000"/>
      <w:sz w:val="18"/>
      <w:szCs w:val="18"/>
      <w:u w:val="none"/>
    </w:rPr>
  </w:style>
  <w:style w:type="character" w:customStyle="1" w:styleId="72">
    <w:name w:val="txt1"/>
    <w:qFormat/>
    <w:uiPriority w:val="0"/>
    <w:rPr>
      <w:rFonts w:hint="default" w:ascii="ˎ̥" w:hAnsi="ˎ̥" w:eastAsia="宋体" w:cs="Times New Roman"/>
      <w:sz w:val="18"/>
      <w:szCs w:val="18"/>
    </w:rPr>
  </w:style>
  <w:style w:type="character" w:customStyle="1" w:styleId="73">
    <w:name w:val="font11"/>
    <w:qFormat/>
    <w:uiPriority w:val="0"/>
    <w:rPr>
      <w:rFonts w:hint="default" w:ascii="Times New Roman" w:hAnsi="Times New Roman" w:eastAsia="宋体" w:cs="Times New Roman"/>
      <w:color w:val="000000"/>
      <w:sz w:val="18"/>
      <w:szCs w:val="18"/>
      <w:u w:val="none"/>
    </w:rPr>
  </w:style>
  <w:style w:type="character" w:customStyle="1" w:styleId="74">
    <w:name w:val="纯文本 字符1"/>
    <w:qFormat/>
    <w:uiPriority w:val="0"/>
    <w:rPr>
      <w:rFonts w:ascii="宋体" w:hAnsi="Courier New" w:eastAsia="宋体" w:cs="Arial"/>
      <w:snapToGrid/>
      <w:kern w:val="2"/>
      <w:sz w:val="21"/>
      <w:szCs w:val="21"/>
      <w:lang w:val="en-US" w:eastAsia="zh-CN" w:bidi="ar-SA"/>
    </w:rPr>
  </w:style>
  <w:style w:type="character" w:customStyle="1" w:styleId="75">
    <w:name w:val="NormalCharacter"/>
    <w:qFormat/>
    <w:uiPriority w:val="0"/>
  </w:style>
  <w:style w:type="character" w:customStyle="1" w:styleId="76">
    <w:name w:val="页脚 字符2"/>
    <w:qFormat/>
    <w:locked/>
    <w:uiPriority w:val="99"/>
    <w:rPr>
      <w:kern w:val="2"/>
      <w:sz w:val="18"/>
      <w:szCs w:val="18"/>
    </w:rPr>
  </w:style>
  <w:style w:type="character" w:customStyle="1" w:styleId="77">
    <w:name w:val="font51"/>
    <w:qFormat/>
    <w:uiPriority w:val="0"/>
    <w:rPr>
      <w:rFonts w:hint="eastAsia" w:ascii="宋体" w:hAnsi="宋体" w:eastAsia="宋体" w:cs="宋体"/>
      <w:color w:val="000000"/>
      <w:sz w:val="22"/>
      <w:szCs w:val="22"/>
      <w:u w:val="none"/>
    </w:rPr>
  </w:style>
  <w:style w:type="character" w:customStyle="1" w:styleId="78">
    <w:name w:val="zyp-正文 Char Char"/>
    <w:qFormat/>
    <w:uiPriority w:val="0"/>
    <w:rPr>
      <w:rFonts w:ascii="宋体" w:hAnsi="宋体" w:eastAsia="宋体" w:cs="Times New Roman"/>
      <w:color w:val="000000"/>
      <w:kern w:val="2"/>
      <w:sz w:val="28"/>
      <w:szCs w:val="18"/>
      <w:lang w:val="en-US" w:eastAsia="zh-CN" w:bidi="ar-SA"/>
    </w:rPr>
  </w:style>
  <w:style w:type="character" w:customStyle="1" w:styleId="79">
    <w:name w:val="Char Char3"/>
    <w:qFormat/>
    <w:uiPriority w:val="0"/>
    <w:rPr>
      <w:rFonts w:ascii="Times New Roman" w:hAnsi="Times New Roman" w:eastAsia="宋体" w:cs="Times New Roman"/>
      <w:kern w:val="2"/>
      <w:sz w:val="18"/>
    </w:rPr>
  </w:style>
  <w:style w:type="character" w:customStyle="1" w:styleId="80">
    <w:name w:val="Char Char4"/>
    <w:qFormat/>
    <w:uiPriority w:val="0"/>
    <w:rPr>
      <w:rFonts w:ascii="宋体" w:hAnsi="Courier New" w:eastAsia="宋体" w:cs="Courier New"/>
      <w:kern w:val="2"/>
      <w:sz w:val="21"/>
      <w:szCs w:val="21"/>
      <w:lang w:val="en-US" w:eastAsia="zh-CN" w:bidi="ar-SA"/>
    </w:rPr>
  </w:style>
  <w:style w:type="character" w:customStyle="1" w:styleId="81">
    <w:name w:val="Char Char Char Char Char Char"/>
    <w:qFormat/>
    <w:uiPriority w:val="0"/>
    <w:rPr>
      <w:rFonts w:ascii="Times New Roman" w:hAnsi="Times New Roman" w:eastAsia="宋体" w:cs="Times New Roman"/>
      <w:kern w:val="2"/>
      <w:sz w:val="21"/>
      <w:szCs w:val="24"/>
      <w:lang w:val="en-US" w:eastAsia="zh-CN" w:bidi="ar-SA"/>
    </w:rPr>
  </w:style>
  <w:style w:type="character" w:customStyle="1" w:styleId="82">
    <w:name w:val="普通文字 Char Char1"/>
    <w:qFormat/>
    <w:uiPriority w:val="0"/>
    <w:rPr>
      <w:rFonts w:ascii="宋体" w:hAnsi="宋体" w:eastAsia="宋体" w:cs="Times New Roman"/>
      <w:sz w:val="24"/>
      <w:szCs w:val="24"/>
      <w:lang w:val="en-US" w:eastAsia="zh-CN" w:bidi="ar-SA"/>
    </w:rPr>
  </w:style>
  <w:style w:type="character" w:customStyle="1" w:styleId="83">
    <w:name w:val="样式1 Char Char"/>
    <w:link w:val="84"/>
    <w:qFormat/>
    <w:uiPriority w:val="0"/>
    <w:rPr>
      <w:rFonts w:ascii="Arial" w:hAnsi="Arial"/>
      <w:kern w:val="2"/>
      <w:sz w:val="21"/>
      <w:szCs w:val="24"/>
    </w:rPr>
  </w:style>
  <w:style w:type="paragraph" w:customStyle="1" w:styleId="84">
    <w:name w:val="样式1"/>
    <w:basedOn w:val="1"/>
    <w:link w:val="83"/>
    <w:qFormat/>
    <w:uiPriority w:val="0"/>
    <w:pPr>
      <w:widowControl w:val="0"/>
      <w:spacing w:line="360" w:lineRule="exact"/>
      <w:ind w:firstLine="200" w:firstLineChars="200"/>
      <w:jc w:val="both"/>
    </w:pPr>
    <w:rPr>
      <w:rFonts w:ascii="Arial" w:hAnsi="Arial"/>
      <w:kern w:val="2"/>
      <w:sz w:val="21"/>
    </w:rPr>
  </w:style>
  <w:style w:type="character" w:customStyle="1" w:styleId="85">
    <w:name w:val="Z2 Char Char"/>
    <w:qFormat/>
    <w:uiPriority w:val="0"/>
    <w:rPr>
      <w:rFonts w:ascii="Arial" w:hAnsi="Arial" w:eastAsia="黑体" w:cs="Times New Roman"/>
      <w:b/>
      <w:bCs/>
      <w:sz w:val="32"/>
      <w:szCs w:val="32"/>
      <w:lang w:val="en-US" w:eastAsia="zh-CN" w:bidi="ar-SA"/>
    </w:rPr>
  </w:style>
  <w:style w:type="character" w:customStyle="1" w:styleId="86">
    <w:name w:val="Char Char Char Char"/>
    <w:qFormat/>
    <w:uiPriority w:val="0"/>
    <w:rPr>
      <w:rFonts w:ascii="Times New Roman" w:hAnsi="Times New Roman" w:eastAsia="宋体" w:cs="Times New Roman"/>
      <w:kern w:val="2"/>
      <w:sz w:val="21"/>
      <w:szCs w:val="24"/>
      <w:lang w:val="en-US" w:eastAsia="zh-CN" w:bidi="ar-SA"/>
    </w:rPr>
  </w:style>
  <w:style w:type="character" w:customStyle="1" w:styleId="87">
    <w:name w:val="Char Char Char Char Char"/>
    <w:qFormat/>
    <w:uiPriority w:val="0"/>
    <w:rPr>
      <w:rFonts w:ascii="宋体" w:hAnsi="宋体" w:eastAsia="宋体" w:cs="Times New Roman"/>
      <w:sz w:val="24"/>
      <w:szCs w:val="24"/>
      <w:lang w:val="en-US" w:eastAsia="zh-CN" w:bidi="ar-SA"/>
    </w:rPr>
  </w:style>
  <w:style w:type="character" w:customStyle="1" w:styleId="88">
    <w:name w:val="标题 3 Char"/>
    <w:qFormat/>
    <w:uiPriority w:val="0"/>
    <w:rPr>
      <w:rFonts w:ascii="黑体" w:hAnsi="Trebuchet MS" w:eastAsia="黑体" w:cs="Times New Roman"/>
      <w:b/>
      <w:bCs/>
      <w:snapToGrid w:val="0"/>
      <w:sz w:val="28"/>
      <w:szCs w:val="28"/>
      <w:lang w:val="en-US" w:eastAsia="zh-CN" w:bidi="ar-SA"/>
    </w:rPr>
  </w:style>
  <w:style w:type="character" w:customStyle="1" w:styleId="89">
    <w:name w:val="标题 2 字符"/>
    <w:qFormat/>
    <w:uiPriority w:val="0"/>
    <w:rPr>
      <w:rFonts w:ascii="Arial" w:hAnsi="Arial" w:eastAsia="黑体" w:cs="Arial"/>
      <w:b/>
      <w:color w:val="000000"/>
      <w:sz w:val="32"/>
      <w:szCs w:val="32"/>
    </w:rPr>
  </w:style>
  <w:style w:type="character" w:customStyle="1" w:styleId="90">
    <w:name w:val="Char Char1"/>
    <w:qFormat/>
    <w:uiPriority w:val="0"/>
    <w:rPr>
      <w:rFonts w:ascii="Times New Roman" w:hAnsi="Times New Roman" w:eastAsia="宋体" w:cs="Times New Roman"/>
      <w:sz w:val="18"/>
      <w:szCs w:val="18"/>
      <w:lang w:val="en-US" w:eastAsia="zh-CN" w:bidi="ar-SA"/>
    </w:rPr>
  </w:style>
  <w:style w:type="character" w:customStyle="1" w:styleId="91">
    <w:name w:val="apple-style-span"/>
    <w:qFormat/>
    <w:uiPriority w:val="0"/>
    <w:rPr>
      <w:rFonts w:ascii="Times New Roman" w:hAnsi="Times New Roman" w:eastAsia="宋体" w:cs="Times New Roman"/>
    </w:rPr>
  </w:style>
  <w:style w:type="character" w:customStyle="1" w:styleId="92">
    <w:name w:val="A10"/>
    <w:qFormat/>
    <w:uiPriority w:val="0"/>
    <w:rPr>
      <w:rFonts w:ascii="Univers LT Std 45 Light" w:hAnsi="Times New Roman" w:eastAsia="Univers LT Std 45 Light" w:cs="Univers LT Std 45 Light"/>
      <w:color w:val="221E1F"/>
      <w:sz w:val="8"/>
      <w:szCs w:val="8"/>
    </w:rPr>
  </w:style>
  <w:style w:type="character" w:customStyle="1" w:styleId="93">
    <w:name w:val="纯文本 Char_0"/>
    <w:link w:val="94"/>
    <w:qFormat/>
    <w:uiPriority w:val="0"/>
    <w:rPr>
      <w:rFonts w:ascii="宋体" w:hAnsi="Courier New"/>
      <w:kern w:val="2"/>
      <w:sz w:val="21"/>
      <w:szCs w:val="21"/>
    </w:rPr>
  </w:style>
  <w:style w:type="paragraph" w:customStyle="1" w:styleId="94">
    <w:name w:val="纯文本_0_0"/>
    <w:basedOn w:val="1"/>
    <w:link w:val="93"/>
    <w:qFormat/>
    <w:uiPriority w:val="0"/>
    <w:pPr>
      <w:widowControl w:val="0"/>
      <w:jc w:val="both"/>
    </w:pPr>
    <w:rPr>
      <w:rFonts w:ascii="宋体" w:hAnsi="Courier New"/>
      <w:kern w:val="2"/>
      <w:sz w:val="21"/>
      <w:szCs w:val="21"/>
    </w:rPr>
  </w:style>
  <w:style w:type="paragraph" w:customStyle="1" w:styleId="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97">
    <w:name w:val="Char Char Char Char1"/>
    <w:basedOn w:val="1"/>
    <w:qFormat/>
    <w:uiPriority w:val="0"/>
    <w:pPr>
      <w:spacing w:after="160" w:line="240" w:lineRule="exact"/>
    </w:pPr>
    <w:rPr>
      <w:kern w:val="2"/>
      <w:sz w:val="21"/>
      <w:szCs w:val="20"/>
    </w:rPr>
  </w:style>
  <w:style w:type="paragraph" w:customStyle="1" w:styleId="98">
    <w:name w:val="Char Char Char Char Char Char Char"/>
    <w:basedOn w:val="1"/>
    <w:qFormat/>
    <w:uiPriority w:val="0"/>
    <w:pPr>
      <w:widowControl w:val="0"/>
      <w:jc w:val="both"/>
    </w:pPr>
    <w:rPr>
      <w:rFonts w:ascii="Tahoma" w:hAnsi="Tahoma"/>
      <w:kern w:val="2"/>
      <w:szCs w:val="20"/>
    </w:rPr>
  </w:style>
  <w:style w:type="paragraph" w:customStyle="1" w:styleId="99">
    <w:name w:val="Char"/>
    <w:basedOn w:val="1"/>
    <w:qFormat/>
    <w:uiPriority w:val="0"/>
    <w:pPr>
      <w:widowControl w:val="0"/>
      <w:jc w:val="both"/>
    </w:pPr>
    <w:rPr>
      <w:rFonts w:ascii="仿宋_GB2312" w:eastAsia="仿宋_GB2312"/>
      <w:b/>
      <w:kern w:val="2"/>
      <w:sz w:val="32"/>
      <w:szCs w:val="32"/>
    </w:rPr>
  </w:style>
  <w:style w:type="paragraph" w:customStyle="1" w:styleId="100">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01">
    <w:name w:val="Char Char Char"/>
    <w:basedOn w:val="1"/>
    <w:qFormat/>
    <w:uiPriority w:val="0"/>
    <w:pPr>
      <w:widowControl w:val="0"/>
      <w:jc w:val="both"/>
    </w:pPr>
    <w:rPr>
      <w:kern w:val="2"/>
      <w:sz w:val="21"/>
    </w:rPr>
  </w:style>
  <w:style w:type="paragraph" w:customStyle="1" w:styleId="102">
    <w:name w:val="Char Char6 Char Char Char Char Char Char"/>
    <w:basedOn w:val="1"/>
    <w:qFormat/>
    <w:uiPriority w:val="0"/>
    <w:pPr>
      <w:widowControl w:val="0"/>
      <w:jc w:val="both"/>
    </w:pPr>
    <w:rPr>
      <w:rFonts w:ascii="Tahoma" w:hAnsi="Tahoma"/>
      <w:kern w:val="2"/>
      <w:szCs w:val="20"/>
    </w:rPr>
  </w:style>
  <w:style w:type="paragraph" w:customStyle="1" w:styleId="103">
    <w:name w:val="xl4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0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05">
    <w:name w:val="默认段落字体 Para Char Char Char Char Char Char Char Char Char Char"/>
    <w:basedOn w:val="1"/>
    <w:qFormat/>
    <w:uiPriority w:val="0"/>
    <w:pPr>
      <w:widowControl w:val="0"/>
      <w:jc w:val="both"/>
    </w:pPr>
    <w:rPr>
      <w:rFonts w:ascii="Tahoma" w:hAnsi="Tahoma"/>
      <w:kern w:val="2"/>
      <w:szCs w:val="20"/>
    </w:rPr>
  </w:style>
  <w:style w:type="paragraph" w:customStyle="1" w:styleId="106">
    <w:name w:val="三级条标题"/>
    <w:basedOn w:val="107"/>
    <w:next w:val="109"/>
    <w:qFormat/>
    <w:uiPriority w:val="0"/>
    <w:pPr>
      <w:tabs>
        <w:tab w:val="left" w:pos="360"/>
        <w:tab w:val="left" w:pos="2100"/>
      </w:tabs>
      <w:ind w:left="2100" w:hanging="420"/>
      <w:outlineLvl w:val="4"/>
    </w:pPr>
  </w:style>
  <w:style w:type="paragraph" w:customStyle="1" w:styleId="107">
    <w:name w:val="二级条标题"/>
    <w:basedOn w:val="108"/>
    <w:next w:val="109"/>
    <w:qFormat/>
    <w:uiPriority w:val="0"/>
    <w:pPr>
      <w:tabs>
        <w:tab w:val="left" w:pos="360"/>
      </w:tabs>
      <w:outlineLvl w:val="3"/>
    </w:pPr>
    <w:rPr>
      <w:rFonts w:eastAsia="宋体"/>
    </w:rPr>
  </w:style>
  <w:style w:type="paragraph" w:customStyle="1" w:styleId="108">
    <w:name w:val="一级条标题"/>
    <w:next w:val="109"/>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1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0">
    <w:name w:val="xl44"/>
    <w:basedOn w:val="1"/>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sz w:val="26"/>
      <w:szCs w:val="26"/>
    </w:rPr>
  </w:style>
  <w:style w:type="paragraph" w:customStyle="1" w:styleId="1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2">
    <w:name w:val="Char Char Char Char Char Char Char Char Char Char"/>
    <w:basedOn w:val="1"/>
    <w:qFormat/>
    <w:uiPriority w:val="0"/>
    <w:pPr>
      <w:widowControl w:val="0"/>
      <w:jc w:val="both"/>
    </w:pPr>
    <w:rPr>
      <w:rFonts w:ascii="Tahoma" w:hAnsi="Tahoma"/>
      <w:kern w:val="2"/>
      <w:szCs w:val="20"/>
    </w:rPr>
  </w:style>
  <w:style w:type="paragraph" w:customStyle="1" w:styleId="113">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14">
    <w:name w:val="五级条标题"/>
    <w:basedOn w:val="115"/>
    <w:next w:val="109"/>
    <w:qFormat/>
    <w:uiPriority w:val="0"/>
    <w:pPr>
      <w:tabs>
        <w:tab w:val="left" w:pos="360"/>
        <w:tab w:val="left" w:pos="2905"/>
        <w:tab w:val="left" w:pos="2940"/>
      </w:tabs>
      <w:ind w:left="2940" w:hanging="420"/>
      <w:outlineLvl w:val="6"/>
    </w:pPr>
  </w:style>
  <w:style w:type="paragraph" w:customStyle="1" w:styleId="115">
    <w:name w:val="四级条标题"/>
    <w:basedOn w:val="106"/>
    <w:next w:val="109"/>
    <w:qFormat/>
    <w:uiPriority w:val="0"/>
    <w:pPr>
      <w:tabs>
        <w:tab w:val="left" w:pos="2905"/>
        <w:tab w:val="clear" w:pos="2100"/>
      </w:tabs>
      <w:ind w:left="2905" w:hanging="720"/>
      <w:outlineLvl w:val="5"/>
    </w:pPr>
  </w:style>
  <w:style w:type="paragraph" w:customStyle="1" w:styleId="116">
    <w:name w:val="xl32"/>
    <w:basedOn w:val="1"/>
    <w:qFormat/>
    <w:uiPriority w:val="0"/>
    <w:pPr>
      <w:spacing w:before="100" w:beforeAutospacing="1" w:after="100" w:afterAutospacing="1"/>
      <w:jc w:val="center"/>
      <w:textAlignment w:val="center"/>
    </w:pPr>
    <w:rPr>
      <w:sz w:val="28"/>
      <w:szCs w:val="28"/>
    </w:rPr>
  </w:style>
  <w:style w:type="paragraph" w:customStyle="1" w:styleId="117">
    <w:name w:val="xl2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118">
    <w:name w:val="font6"/>
    <w:basedOn w:val="1"/>
    <w:qFormat/>
    <w:uiPriority w:val="0"/>
    <w:pPr>
      <w:spacing w:before="100" w:beforeAutospacing="1" w:after="100" w:afterAutospacing="1"/>
    </w:pPr>
    <w:rPr>
      <w:rFonts w:hint="eastAsia" w:ascii="宋体" w:hAnsi="宋体"/>
      <w:sz w:val="26"/>
      <w:szCs w:val="26"/>
    </w:rPr>
  </w:style>
  <w:style w:type="paragraph" w:customStyle="1" w:styleId="119">
    <w:name w:val="font7"/>
    <w:basedOn w:val="1"/>
    <w:qFormat/>
    <w:uiPriority w:val="0"/>
    <w:pPr>
      <w:spacing w:before="100" w:beforeAutospacing="1" w:after="100" w:afterAutospacing="1"/>
    </w:pPr>
    <w:rPr>
      <w:sz w:val="26"/>
      <w:szCs w:val="26"/>
    </w:rPr>
  </w:style>
  <w:style w:type="paragraph" w:customStyle="1" w:styleId="120">
    <w:name w:val="表格"/>
    <w:basedOn w:val="1"/>
    <w:next w:val="1"/>
    <w:qFormat/>
    <w:uiPriority w:val="0"/>
    <w:pPr>
      <w:keepNext/>
      <w:keepLines/>
      <w:widowControl w:val="0"/>
      <w:autoSpaceDE w:val="0"/>
      <w:autoSpaceDN w:val="0"/>
      <w:adjustRightInd w:val="0"/>
      <w:spacing w:before="120" w:after="120" w:line="240" w:lineRule="atLeast"/>
      <w:jc w:val="center"/>
      <w:textAlignment w:val="bottom"/>
    </w:pPr>
    <w:rPr>
      <w:rFonts w:ascii="黑体"/>
    </w:rPr>
  </w:style>
  <w:style w:type="paragraph" w:customStyle="1" w:styleId="121">
    <w:name w:val="xl65"/>
    <w:basedOn w:val="1"/>
    <w:qFormat/>
    <w:uiPriority w:val="0"/>
    <w:pPr>
      <w:shd w:val="clear" w:color="000000" w:fill="FFFFFF"/>
      <w:spacing w:before="100" w:beforeAutospacing="1" w:after="100" w:afterAutospacing="1"/>
      <w:jc w:val="center"/>
    </w:pPr>
    <w:rPr>
      <w:rFonts w:ascii="宋体" w:hAnsi="宋体" w:cs="宋体"/>
      <w:b/>
      <w:bCs/>
      <w:sz w:val="36"/>
      <w:szCs w:val="36"/>
    </w:rPr>
  </w:style>
  <w:style w:type="paragraph" w:customStyle="1" w:styleId="122">
    <w:name w:val="默认段落字体 Para Char Char Char Char"/>
    <w:basedOn w:val="1"/>
    <w:qFormat/>
    <w:uiPriority w:val="0"/>
    <w:pPr>
      <w:widowControl w:val="0"/>
      <w:jc w:val="both"/>
    </w:pPr>
    <w:rPr>
      <w:kern w:val="2"/>
      <w:sz w:val="21"/>
    </w:rPr>
  </w:style>
  <w:style w:type="paragraph" w:customStyle="1" w:styleId="123">
    <w:name w:val="p0"/>
    <w:basedOn w:val="1"/>
    <w:qFormat/>
    <w:uiPriority w:val="0"/>
    <w:pPr>
      <w:widowControl w:val="0"/>
      <w:autoSpaceDE w:val="0"/>
      <w:autoSpaceDN w:val="0"/>
      <w:adjustRightInd w:val="0"/>
      <w:spacing w:before="100" w:beforeAutospacing="1" w:after="100" w:afterAutospacing="1"/>
      <w:textAlignment w:val="baseline"/>
    </w:pPr>
    <w:rPr>
      <w:rFonts w:ascii="宋体" w:hAnsi="宋体" w:cs="宋体"/>
    </w:rPr>
  </w:style>
  <w:style w:type="paragraph" w:customStyle="1" w:styleId="12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25">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2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27">
    <w:name w:val="Char2"/>
    <w:basedOn w:val="15"/>
    <w:next w:val="1"/>
    <w:qFormat/>
    <w:uiPriority w:val="0"/>
    <w:pPr>
      <w:widowControl w:val="0"/>
      <w:jc w:val="both"/>
    </w:pPr>
    <w:rPr>
      <w:kern w:val="2"/>
      <w:sz w:val="21"/>
      <w:szCs w:val="20"/>
    </w:rPr>
  </w:style>
  <w:style w:type="paragraph" w:customStyle="1" w:styleId="12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9">
    <w:name w:val="标准小四"/>
    <w:basedOn w:val="1"/>
    <w:qFormat/>
    <w:uiPriority w:val="0"/>
    <w:pPr>
      <w:widowControl w:val="0"/>
      <w:spacing w:line="360" w:lineRule="auto"/>
      <w:ind w:firstLine="480" w:firstLineChars="200"/>
      <w:jc w:val="both"/>
    </w:pPr>
    <w:rPr>
      <w:rFonts w:ascii="Arial" w:hAnsi="Arial"/>
      <w:kern w:val="2"/>
      <w:szCs w:val="21"/>
    </w:rPr>
  </w:style>
  <w:style w:type="paragraph" w:customStyle="1" w:styleId="130">
    <w:name w:val="3"/>
    <w:basedOn w:val="1"/>
    <w:qFormat/>
    <w:uiPriority w:val="0"/>
    <w:pPr>
      <w:widowControl w:val="0"/>
      <w:jc w:val="both"/>
    </w:pPr>
    <w:rPr>
      <w:rFonts w:ascii="Tahoma" w:hAnsi="Tahoma"/>
      <w:kern w:val="2"/>
      <w:szCs w:val="20"/>
    </w:rPr>
  </w:style>
  <w:style w:type="paragraph" w:customStyle="1" w:styleId="131">
    <w:name w:val="xl41"/>
    <w:basedOn w:val="1"/>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sz w:val="26"/>
      <w:szCs w:val="26"/>
    </w:rPr>
  </w:style>
  <w:style w:type="paragraph" w:customStyle="1" w:styleId="132">
    <w:name w:val="font8"/>
    <w:basedOn w:val="1"/>
    <w:qFormat/>
    <w:uiPriority w:val="0"/>
    <w:pPr>
      <w:spacing w:before="100" w:beforeAutospacing="1" w:after="100" w:afterAutospacing="1"/>
    </w:pPr>
    <w:rPr>
      <w:sz w:val="26"/>
      <w:szCs w:val="26"/>
    </w:rPr>
  </w:style>
  <w:style w:type="paragraph" w:customStyle="1" w:styleId="133">
    <w:name w:val="xl4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4">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 w:val="26"/>
      <w:szCs w:val="26"/>
    </w:rPr>
  </w:style>
  <w:style w:type="paragraph" w:customStyle="1" w:styleId="135">
    <w:name w:val="font5"/>
    <w:basedOn w:val="1"/>
    <w:qFormat/>
    <w:uiPriority w:val="0"/>
    <w:pPr>
      <w:spacing w:before="100" w:beforeAutospacing="1" w:after="100" w:afterAutospacing="1"/>
    </w:pPr>
    <w:rPr>
      <w:rFonts w:hint="eastAsia" w:ascii="宋体" w:hAnsi="宋体"/>
      <w:sz w:val="18"/>
      <w:szCs w:val="18"/>
    </w:rPr>
  </w:style>
  <w:style w:type="paragraph" w:customStyle="1" w:styleId="13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customStyle="1" w:styleId="137">
    <w:name w:val="样式 标题 2节标题 1.1 + 段前: 1 行 段后: 0.5 行"/>
    <w:basedOn w:val="2"/>
    <w:qFormat/>
    <w:uiPriority w:val="0"/>
    <w:pPr>
      <w:widowControl w:val="0"/>
      <w:spacing w:before="240" w:after="120" w:line="360" w:lineRule="auto"/>
      <w:jc w:val="center"/>
    </w:pPr>
    <w:rPr>
      <w:rFonts w:ascii="宋体" w:hAnsi="宋体" w:eastAsia="宋体"/>
      <w:bCs w:val="0"/>
      <w:kern w:val="2"/>
      <w:sz w:val="24"/>
      <w:szCs w:val="20"/>
    </w:rPr>
  </w:style>
  <w:style w:type="paragraph" w:customStyle="1" w:styleId="138">
    <w:name w:val="font1"/>
    <w:basedOn w:val="1"/>
    <w:qFormat/>
    <w:uiPriority w:val="0"/>
    <w:pPr>
      <w:spacing w:before="100" w:beforeAutospacing="1" w:after="100" w:afterAutospacing="1"/>
    </w:pPr>
    <w:rPr>
      <w:rFonts w:hint="eastAsia" w:ascii="宋体" w:hAnsi="宋体"/>
    </w:rPr>
  </w:style>
  <w:style w:type="paragraph" w:customStyle="1" w:styleId="139">
    <w:name w:val="trs_editor"/>
    <w:basedOn w:val="1"/>
    <w:qFormat/>
    <w:uiPriority w:val="0"/>
    <w:pPr>
      <w:spacing w:before="100" w:beforeAutospacing="1" w:after="100" w:afterAutospacing="1"/>
    </w:pPr>
    <w:rPr>
      <w:rFonts w:ascii="宋体" w:hAnsi="宋体" w:cs="宋体"/>
    </w:rPr>
  </w:style>
  <w:style w:type="paragraph" w:customStyle="1" w:styleId="140">
    <w:name w:val="Char Char1 Char Char Char Char Char Char Char Char"/>
    <w:basedOn w:val="1"/>
    <w:qFormat/>
    <w:uiPriority w:val="0"/>
    <w:pPr>
      <w:spacing w:after="160" w:line="240" w:lineRule="exact"/>
    </w:pPr>
    <w:rPr>
      <w:kern w:val="2"/>
      <w:sz w:val="21"/>
    </w:rPr>
  </w:style>
  <w:style w:type="paragraph" w:customStyle="1" w:styleId="141">
    <w:name w:val="1"/>
    <w:basedOn w:val="1"/>
    <w:next w:val="18"/>
    <w:qFormat/>
    <w:uiPriority w:val="0"/>
    <w:pPr>
      <w:widowControl w:val="0"/>
      <w:tabs>
        <w:tab w:val="left" w:pos="6480"/>
      </w:tabs>
      <w:spacing w:line="360" w:lineRule="auto"/>
      <w:ind w:right="-512" w:rightChars="-244"/>
      <w:jc w:val="both"/>
    </w:pPr>
    <w:rPr>
      <w:rFonts w:ascii="宋体" w:hAnsi="宋体"/>
      <w:kern w:val="2"/>
    </w:rPr>
  </w:style>
  <w:style w:type="paragraph" w:customStyle="1" w:styleId="142">
    <w:name w:val="Char21"/>
    <w:basedOn w:val="15"/>
    <w:next w:val="1"/>
    <w:qFormat/>
    <w:uiPriority w:val="0"/>
    <w:pPr>
      <w:widowControl w:val="0"/>
      <w:jc w:val="both"/>
    </w:pPr>
    <w:rPr>
      <w:kern w:val="2"/>
      <w:sz w:val="21"/>
      <w:szCs w:val="20"/>
    </w:rPr>
  </w:style>
  <w:style w:type="paragraph" w:customStyle="1" w:styleId="143">
    <w:name w:val="章标题"/>
    <w:next w:val="109"/>
    <w:qFormat/>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14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6"/>
      <w:szCs w:val="26"/>
    </w:rPr>
  </w:style>
  <w:style w:type="paragraph" w:customStyle="1" w:styleId="145">
    <w:name w:val="纯文本1"/>
    <w:basedOn w:val="1"/>
    <w:qFormat/>
    <w:uiPriority w:val="0"/>
    <w:rPr>
      <w:rFonts w:hint="eastAsia" w:ascii="宋体" w:hAnsi="Courier New"/>
      <w:kern w:val="2"/>
      <w:sz w:val="21"/>
      <w:szCs w:val="20"/>
    </w:rPr>
  </w:style>
  <w:style w:type="paragraph" w:customStyle="1" w:styleId="146">
    <w:name w:val="xl27"/>
    <w:basedOn w:val="1"/>
    <w:qFormat/>
    <w:uiPriority w:val="0"/>
    <w:pPr>
      <w:pBdr>
        <w:left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47">
    <w:name w:val="def正文"/>
    <w:basedOn w:val="19"/>
    <w:qFormat/>
    <w:uiPriority w:val="0"/>
    <w:pPr>
      <w:widowControl/>
      <w:spacing w:line="360" w:lineRule="auto"/>
      <w:ind w:firstLine="510"/>
      <w:jc w:val="left"/>
    </w:pPr>
    <w:rPr>
      <w:kern w:val="0"/>
      <w:sz w:val="24"/>
    </w:rPr>
  </w:style>
  <w:style w:type="paragraph" w:customStyle="1" w:styleId="148">
    <w:name w:val="表内文字"/>
    <w:basedOn w:val="1"/>
    <w:qFormat/>
    <w:uiPriority w:val="0"/>
    <w:pPr>
      <w:widowControl w:val="0"/>
      <w:spacing w:line="500" w:lineRule="atLeast"/>
      <w:jc w:val="center"/>
    </w:pPr>
    <w:rPr>
      <w:rFonts w:ascii="楷体_GB2312" w:eastAsia="楷体_GB2312"/>
      <w:kern w:val="2"/>
      <w:sz w:val="28"/>
    </w:rPr>
  </w:style>
  <w:style w:type="paragraph" w:customStyle="1" w:styleId="149">
    <w:name w:val="xl31"/>
    <w:basedOn w:val="1"/>
    <w:qFormat/>
    <w:uiPriority w:val="0"/>
    <w:pPr>
      <w:spacing w:before="100" w:beforeAutospacing="1" w:after="100" w:afterAutospacing="1"/>
      <w:jc w:val="center"/>
      <w:textAlignment w:val="center"/>
    </w:pPr>
    <w:rPr>
      <w:rFonts w:hint="eastAsia" w:ascii="黑体" w:hAnsi="宋体" w:eastAsia="黑体"/>
      <w:sz w:val="40"/>
      <w:szCs w:val="40"/>
    </w:rPr>
  </w:style>
  <w:style w:type="paragraph" w:customStyle="1" w:styleId="15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6"/>
      <w:szCs w:val="26"/>
    </w:rPr>
  </w:style>
  <w:style w:type="paragraph" w:styleId="151">
    <w:name w:val="List Paragraph"/>
    <w:basedOn w:val="1"/>
    <w:qFormat/>
    <w:uiPriority w:val="0"/>
    <w:pPr>
      <w:widowControl w:val="0"/>
      <w:ind w:firstLine="420" w:firstLineChars="200"/>
      <w:jc w:val="both"/>
    </w:pPr>
    <w:rPr>
      <w:rFonts w:ascii="Calibri" w:hAnsi="Calibri"/>
      <w:kern w:val="2"/>
      <w:sz w:val="21"/>
      <w:szCs w:val="22"/>
    </w:rPr>
  </w:style>
  <w:style w:type="paragraph" w:customStyle="1" w:styleId="152">
    <w:name w:val="Char Char7 Char Char Char Char Char Char Char Char"/>
    <w:basedOn w:val="1"/>
    <w:qFormat/>
    <w:uiPriority w:val="0"/>
    <w:pPr>
      <w:widowControl w:val="0"/>
      <w:jc w:val="both"/>
    </w:pPr>
    <w:rPr>
      <w:rFonts w:ascii="Tahoma" w:hAnsi="Tahoma"/>
      <w:kern w:val="2"/>
      <w:szCs w:val="20"/>
    </w:rPr>
  </w:style>
  <w:style w:type="paragraph" w:customStyle="1" w:styleId="153">
    <w:name w:val="2"/>
    <w:basedOn w:val="1"/>
    <w:next w:val="19"/>
    <w:qFormat/>
    <w:uiPriority w:val="0"/>
    <w:pPr>
      <w:widowControl w:val="0"/>
      <w:adjustRightInd w:val="0"/>
      <w:spacing w:line="360" w:lineRule="auto"/>
      <w:jc w:val="both"/>
      <w:textAlignment w:val="baseline"/>
    </w:pPr>
    <w:rPr>
      <w:rFonts w:ascii="宋体"/>
      <w:sz w:val="30"/>
      <w:szCs w:val="20"/>
    </w:rPr>
  </w:style>
  <w:style w:type="paragraph" w:customStyle="1" w:styleId="154">
    <w:name w:val="正文－恩普"/>
    <w:basedOn w:val="7"/>
    <w:qFormat/>
    <w:uiPriority w:val="0"/>
    <w:pPr>
      <w:widowControl/>
      <w:spacing w:afterLines="50"/>
      <w:ind w:firstLine="480"/>
    </w:pPr>
    <w:rPr>
      <w:kern w:val="0"/>
      <w:sz w:val="24"/>
    </w:rPr>
  </w:style>
  <w:style w:type="paragraph" w:customStyle="1" w:styleId="155">
    <w:name w:val="p23"/>
    <w:basedOn w:val="1"/>
    <w:qFormat/>
    <w:uiPriority w:val="0"/>
    <w:pPr>
      <w:spacing w:before="100" w:beforeAutospacing="1" w:after="100" w:afterAutospacing="1"/>
    </w:pPr>
    <w:rPr>
      <w:rFonts w:ascii="宋体" w:hAnsi="宋体" w:cs="宋体"/>
    </w:rPr>
  </w:style>
  <w:style w:type="paragraph" w:customStyle="1" w:styleId="156">
    <w:name w:val="Char1"/>
    <w:basedOn w:val="1"/>
    <w:qFormat/>
    <w:uiPriority w:val="0"/>
    <w:pPr>
      <w:widowControl w:val="0"/>
      <w:jc w:val="both"/>
    </w:pPr>
    <w:rPr>
      <w:rFonts w:ascii="仿宋_GB2312" w:eastAsia="仿宋_GB2312"/>
      <w:b/>
      <w:kern w:val="2"/>
      <w:sz w:val="32"/>
      <w:szCs w:val="32"/>
    </w:rPr>
  </w:style>
  <w:style w:type="paragraph" w:customStyle="1" w:styleId="157">
    <w:name w:val="Char Char2 Char Char"/>
    <w:basedOn w:val="1"/>
    <w:qFormat/>
    <w:uiPriority w:val="0"/>
    <w:pPr>
      <w:widowControl w:val="0"/>
      <w:jc w:val="both"/>
    </w:pPr>
    <w:rPr>
      <w:rFonts w:ascii="Tahoma" w:hAnsi="Tahoma"/>
      <w:kern w:val="2"/>
      <w:szCs w:val="20"/>
    </w:rPr>
  </w:style>
  <w:style w:type="paragraph" w:customStyle="1" w:styleId="158">
    <w:name w:val="paragraph"/>
    <w:basedOn w:val="1"/>
    <w:qFormat/>
    <w:uiPriority w:val="0"/>
    <w:pPr>
      <w:spacing w:before="100" w:beforeAutospacing="1" w:after="100" w:afterAutospacing="1"/>
    </w:pPr>
    <w:rPr>
      <w:rFonts w:ascii="宋体" w:hAnsi="宋体" w:cs="宋体"/>
    </w:rPr>
  </w:style>
  <w:style w:type="character" w:customStyle="1" w:styleId="159">
    <w:name w:val="font21"/>
    <w:qFormat/>
    <w:uiPriority w:val="0"/>
    <w:rPr>
      <w:rFonts w:hint="default" w:ascii="Times New Roman" w:hAnsi="Times New Roman" w:cs="Times New Roman"/>
      <w:color w:val="000000"/>
      <w:sz w:val="20"/>
      <w:szCs w:val="20"/>
      <w:u w:val="none"/>
    </w:rPr>
  </w:style>
  <w:style w:type="character" w:customStyle="1" w:styleId="160">
    <w:name w:val="font61"/>
    <w:qFormat/>
    <w:uiPriority w:val="0"/>
    <w:rPr>
      <w:rFonts w:hint="eastAsia" w:ascii="宋体" w:hAnsi="宋体" w:eastAsia="宋体" w:cs="宋体"/>
      <w:b/>
      <w:bCs/>
      <w:color w:val="FF0000"/>
      <w:sz w:val="20"/>
      <w:szCs w:val="20"/>
      <w:u w:val="none"/>
    </w:rPr>
  </w:style>
  <w:style w:type="character" w:customStyle="1" w:styleId="161">
    <w:name w:val="font71"/>
    <w:qFormat/>
    <w:uiPriority w:val="0"/>
    <w:rPr>
      <w:rFonts w:hint="default" w:ascii="Times New Roman" w:hAnsi="Times New Roman" w:cs="Times New Roman"/>
      <w:b/>
      <w:bCs/>
      <w:color w:val="FF0000"/>
      <w:sz w:val="20"/>
      <w:szCs w:val="20"/>
      <w:u w:val="none"/>
    </w:rPr>
  </w:style>
  <w:style w:type="character" w:customStyle="1" w:styleId="162">
    <w:name w:val="font41"/>
    <w:qFormat/>
    <w:uiPriority w:val="0"/>
    <w:rPr>
      <w:rFonts w:hint="eastAsia" w:ascii="宋体" w:hAnsi="宋体" w:eastAsia="宋体" w:cs="宋体"/>
      <w:color w:val="FF0000"/>
      <w:sz w:val="20"/>
      <w:szCs w:val="20"/>
      <w:u w:val="none"/>
    </w:rPr>
  </w:style>
  <w:style w:type="character" w:customStyle="1" w:styleId="163">
    <w:name w:val="_Style 162"/>
    <w:unhideWhenUsed/>
    <w:qFormat/>
    <w:uiPriority w:val="99"/>
    <w:rPr>
      <w:rFonts w:ascii="Times New Roman" w:hAnsi="Times New Roman" w:eastAsia="宋体" w:cs="Times New Roman"/>
      <w:color w:val="605E5C"/>
      <w:shd w:val="clear" w:color="auto" w:fill="E1DFDD"/>
    </w:rPr>
  </w:style>
  <w:style w:type="paragraph" w:customStyle="1" w:styleId="164">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11573</Words>
  <Characters>13891</Characters>
  <Lines>1566</Lines>
  <Paragraphs>1366</Paragraphs>
  <TotalTime>17</TotalTime>
  <ScaleCrop>false</ScaleCrop>
  <LinksUpToDate>false</LinksUpToDate>
  <CharactersWithSpaces>14412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2024-04-15T06:06:00Z</dcterms:created>
  <dc:creator>刘</dc:creator>
  <cp:lastModifiedBy>M1fa_</cp:lastModifiedBy>
  <cp:lastPrinted>2021-04-09T04:02:00Z</cp:lastPrinted>
  <dcterms:modified xsi:type="dcterms:W3CDTF">2025-07-17T01:18:18Z</dcterms:modified>
  <dc:subject>金华监狱生活电器采购</dc:subject>
  <dc:title>公开招标文件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招标文件（466）">
    <vt:lpwstr>L</vt:lpwstr>
  </property>
  <property fmtid="{D5CDD505-2E9C-101B-9397-08002B2CF9AE}" pid="3" name="KSOProductBuildVer">
    <vt:lpwstr>2052-12.1.0.21915</vt:lpwstr>
  </property>
  <property fmtid="{D5CDD505-2E9C-101B-9397-08002B2CF9AE}" pid="4" name="ICV">
    <vt:lpwstr>C8C7E73C7CB24D2B97B4F338BDE7D1FB_13</vt:lpwstr>
  </property>
  <property fmtid="{D5CDD505-2E9C-101B-9397-08002B2CF9AE}" pid="5" name="KSOTemplateDocerSaveRecord">
    <vt:lpwstr>eyJoZGlkIjoiZGNkMjE3Y2JjYzczOThiNTc2Y2VmZTE4MmI4NjMxMTYiLCJ1c2VySWQiOiIxMjEzODEwNTI5In0=</vt:lpwstr>
  </property>
</Properties>
</file>