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57" w:lineRule="exact"/>
        <w:rPr>
          <w:sz w:val="5"/>
          <w:highlight w:val="none"/>
        </w:rPr>
      </w:pPr>
    </w:p>
    <w:p>
      <w:pPr>
        <w:spacing w:before="9"/>
        <w:ind w:right="136"/>
        <w:jc w:val="both"/>
        <w:rPr>
          <w:b/>
          <w:sz w:val="52"/>
          <w:highlight w:val="none"/>
        </w:rPr>
      </w:pPr>
    </w:p>
    <w:p>
      <w:pPr>
        <w:pStyle w:val="2"/>
      </w:pPr>
    </w:p>
    <w:p>
      <w:pPr>
        <w:pStyle w:val="13"/>
        <w:rPr>
          <w:highlight w:val="none"/>
        </w:rPr>
      </w:pPr>
    </w:p>
    <w:p>
      <w:pPr>
        <w:spacing w:before="9" w:line="360" w:lineRule="auto"/>
        <w:ind w:left="49" w:right="136"/>
        <w:jc w:val="center"/>
        <w:rPr>
          <w:b/>
          <w:sz w:val="56"/>
          <w:szCs w:val="24"/>
          <w:highlight w:val="none"/>
        </w:rPr>
      </w:pPr>
      <w:r>
        <w:rPr>
          <w:rFonts w:hint="eastAsia"/>
          <w:b/>
          <w:sz w:val="56"/>
          <w:szCs w:val="24"/>
          <w:highlight w:val="none"/>
        </w:rPr>
        <w:t>兰溪市综合交通“十四五”规划</w:t>
      </w:r>
    </w:p>
    <w:p>
      <w:pPr>
        <w:spacing w:before="9" w:line="360" w:lineRule="auto"/>
        <w:ind w:left="49" w:right="136"/>
        <w:jc w:val="center"/>
        <w:rPr>
          <w:b/>
          <w:sz w:val="56"/>
          <w:szCs w:val="24"/>
          <w:highlight w:val="none"/>
        </w:rPr>
      </w:pPr>
      <w:r>
        <w:rPr>
          <w:rFonts w:hint="eastAsia"/>
          <w:b/>
          <w:sz w:val="56"/>
          <w:szCs w:val="24"/>
          <w:highlight w:val="none"/>
        </w:rPr>
        <w:t>落地方案</w:t>
      </w:r>
    </w:p>
    <w:p>
      <w:pPr>
        <w:pStyle w:val="22"/>
        <w:spacing w:after="120"/>
        <w:rPr>
          <w:rFonts w:hint="default"/>
          <w:b/>
          <w:sz w:val="41"/>
          <w:highlight w:val="none"/>
        </w:rPr>
      </w:pPr>
    </w:p>
    <w:p>
      <w:pPr>
        <w:pStyle w:val="22"/>
        <w:spacing w:after="120"/>
        <w:rPr>
          <w:rFonts w:hint="default"/>
          <w:b/>
          <w:sz w:val="41"/>
          <w:highlight w:val="none"/>
        </w:rPr>
      </w:pPr>
    </w:p>
    <w:p>
      <w:pPr>
        <w:pStyle w:val="22"/>
        <w:spacing w:after="120"/>
        <w:rPr>
          <w:rFonts w:hint="default"/>
          <w:b/>
          <w:sz w:val="41"/>
          <w:highlight w:val="none"/>
        </w:rPr>
      </w:pPr>
    </w:p>
    <w:p>
      <w:pPr>
        <w:pStyle w:val="22"/>
        <w:spacing w:after="120"/>
        <w:rPr>
          <w:rFonts w:hint="default"/>
          <w:b/>
          <w:sz w:val="41"/>
          <w:highlight w:val="none"/>
        </w:rPr>
      </w:pPr>
    </w:p>
    <w:p>
      <w:pPr>
        <w:spacing w:before="606"/>
        <w:jc w:val="center"/>
        <w:rPr>
          <w:b/>
          <w:sz w:val="72"/>
          <w:szCs w:val="21"/>
          <w:highlight w:val="none"/>
        </w:rPr>
      </w:pPr>
      <w:r>
        <w:rPr>
          <w:rFonts w:hint="eastAsia"/>
          <w:b/>
          <w:sz w:val="72"/>
          <w:szCs w:val="21"/>
          <w:highlight w:val="none"/>
        </w:rPr>
        <w:t>公开招标采购文件</w:t>
      </w:r>
    </w:p>
    <w:p>
      <w:pPr>
        <w:spacing w:before="606"/>
        <w:rPr>
          <w:b/>
          <w:sz w:val="36"/>
          <w:szCs w:val="11"/>
          <w:highlight w:val="none"/>
        </w:rPr>
      </w:pPr>
    </w:p>
    <w:p>
      <w:pPr>
        <w:pStyle w:val="13"/>
        <w:rPr>
          <w:highlight w:val="none"/>
        </w:rPr>
      </w:pPr>
    </w:p>
    <w:p>
      <w:pPr>
        <w:pStyle w:val="13"/>
        <w:rPr>
          <w:highlight w:val="none"/>
        </w:rPr>
      </w:pPr>
    </w:p>
    <w:p>
      <w:pPr>
        <w:pStyle w:val="14"/>
      </w:pPr>
    </w:p>
    <w:p>
      <w:pPr>
        <w:pStyle w:val="14"/>
        <w:ind w:firstLine="0" w:firstLineChars="0"/>
        <w:rPr>
          <w:highlight w:val="none"/>
        </w:rPr>
      </w:pPr>
    </w:p>
    <w:p>
      <w:pPr>
        <w:spacing w:before="606"/>
        <w:ind w:left="876"/>
        <w:rPr>
          <w:rFonts w:hint="eastAsia" w:eastAsia="宋体"/>
          <w:b/>
          <w:sz w:val="36"/>
          <w:szCs w:val="24"/>
          <w:highlight w:val="none"/>
          <w:lang w:val="en-US" w:eastAsia="zh-CN"/>
        </w:rPr>
      </w:pPr>
      <w:r>
        <w:rPr>
          <w:rFonts w:hint="eastAsia"/>
          <w:b/>
          <w:sz w:val="36"/>
          <w:szCs w:val="24"/>
          <w:highlight w:val="none"/>
        </w:rPr>
        <w:t>项目编号：</w:t>
      </w:r>
      <w:r>
        <w:rPr>
          <w:rFonts w:hint="eastAsia"/>
          <w:b/>
          <w:sz w:val="36"/>
          <w:szCs w:val="24"/>
          <w:highlight w:val="none"/>
          <w:lang w:val="en-US"/>
        </w:rPr>
        <w:t>zjzx-lx202200</w:t>
      </w:r>
      <w:r>
        <w:rPr>
          <w:rFonts w:hint="eastAsia"/>
          <w:b/>
          <w:sz w:val="36"/>
          <w:szCs w:val="24"/>
          <w:highlight w:val="none"/>
          <w:lang w:val="en-US" w:eastAsia="zh-CN"/>
        </w:rPr>
        <w:t>9</w:t>
      </w:r>
    </w:p>
    <w:p>
      <w:pPr>
        <w:pStyle w:val="13"/>
        <w:spacing w:before="3"/>
        <w:rPr>
          <w:b/>
          <w:sz w:val="40"/>
          <w:szCs w:val="22"/>
          <w:highlight w:val="none"/>
        </w:rPr>
      </w:pPr>
    </w:p>
    <w:p>
      <w:pPr>
        <w:ind w:left="876"/>
        <w:rPr>
          <w:b/>
          <w:sz w:val="36"/>
          <w:szCs w:val="24"/>
          <w:highlight w:val="none"/>
        </w:rPr>
      </w:pPr>
      <w:r>
        <w:rPr>
          <w:rFonts w:hint="eastAsia"/>
          <w:b/>
          <w:sz w:val="36"/>
          <w:szCs w:val="24"/>
          <w:highlight w:val="none"/>
        </w:rPr>
        <w:t>采购单位：兰溪市交通</w:t>
      </w:r>
      <w:r>
        <w:rPr>
          <w:rFonts w:hint="eastAsia"/>
          <w:b/>
          <w:sz w:val="36"/>
          <w:szCs w:val="24"/>
          <w:highlight w:val="none"/>
          <w:lang w:val="en-US"/>
        </w:rPr>
        <w:t>运输</w:t>
      </w:r>
      <w:r>
        <w:rPr>
          <w:rFonts w:hint="eastAsia"/>
          <w:b/>
          <w:sz w:val="36"/>
          <w:szCs w:val="24"/>
          <w:highlight w:val="none"/>
        </w:rPr>
        <w:t>局（盖章）</w:t>
      </w:r>
    </w:p>
    <w:p>
      <w:pPr>
        <w:pStyle w:val="13"/>
        <w:spacing w:before="3"/>
        <w:rPr>
          <w:b/>
          <w:sz w:val="40"/>
          <w:szCs w:val="22"/>
          <w:highlight w:val="none"/>
        </w:rPr>
      </w:pPr>
    </w:p>
    <w:p>
      <w:pPr>
        <w:ind w:left="876"/>
        <w:rPr>
          <w:b/>
          <w:sz w:val="36"/>
          <w:szCs w:val="24"/>
          <w:highlight w:val="none"/>
        </w:rPr>
      </w:pPr>
      <w:r>
        <w:rPr>
          <w:rFonts w:hint="eastAsia"/>
          <w:b/>
          <w:sz w:val="36"/>
          <w:szCs w:val="24"/>
          <w:highlight w:val="none"/>
        </w:rPr>
        <w:t>代理机构：浙江中信工程咨询有限公司（盖章）</w:t>
      </w:r>
    </w:p>
    <w:p>
      <w:pPr>
        <w:pStyle w:val="13"/>
        <w:spacing w:before="6"/>
        <w:rPr>
          <w:b/>
          <w:sz w:val="32"/>
          <w:szCs w:val="22"/>
          <w:highlight w:val="none"/>
        </w:rPr>
      </w:pPr>
    </w:p>
    <w:p>
      <w:pPr>
        <w:ind w:left="49" w:right="138"/>
        <w:jc w:val="center"/>
        <w:rPr>
          <w:b/>
          <w:sz w:val="36"/>
          <w:szCs w:val="24"/>
          <w:highlight w:val="none"/>
        </w:rPr>
      </w:pPr>
      <w:r>
        <w:rPr>
          <w:rFonts w:hint="eastAsia"/>
          <w:b/>
          <w:sz w:val="36"/>
          <w:szCs w:val="24"/>
          <w:highlight w:val="none"/>
        </w:rPr>
        <w:t>二○二</w:t>
      </w:r>
      <w:r>
        <w:rPr>
          <w:rFonts w:hint="eastAsia"/>
          <w:b/>
          <w:sz w:val="36"/>
          <w:szCs w:val="24"/>
          <w:highlight w:val="none"/>
          <w:lang w:val="en-US"/>
        </w:rPr>
        <w:t>二</w:t>
      </w:r>
      <w:r>
        <w:rPr>
          <w:rFonts w:hint="eastAsia"/>
          <w:b/>
          <w:sz w:val="36"/>
          <w:szCs w:val="24"/>
          <w:highlight w:val="none"/>
        </w:rPr>
        <w:t>年</w:t>
      </w:r>
      <w:r>
        <w:rPr>
          <w:rFonts w:hint="eastAsia"/>
          <w:b/>
          <w:sz w:val="36"/>
          <w:szCs w:val="24"/>
          <w:highlight w:val="none"/>
          <w:lang w:val="en-US" w:eastAsia="zh-CN"/>
        </w:rPr>
        <w:t>五</w:t>
      </w:r>
      <w:r>
        <w:rPr>
          <w:rFonts w:hint="eastAsia"/>
          <w:b/>
          <w:sz w:val="36"/>
          <w:szCs w:val="24"/>
          <w:highlight w:val="none"/>
        </w:rPr>
        <w:t>月</w:t>
      </w:r>
    </w:p>
    <w:p>
      <w:pPr>
        <w:jc w:val="center"/>
        <w:rPr>
          <w:sz w:val="36"/>
          <w:szCs w:val="24"/>
          <w:highlight w:val="none"/>
        </w:rPr>
        <w:sectPr>
          <w:type w:val="continuous"/>
          <w:pgSz w:w="11910" w:h="16840"/>
          <w:pgMar w:top="1240" w:right="920" w:bottom="280" w:left="1180" w:header="1045" w:footer="720" w:gutter="0"/>
          <w:cols w:space="720" w:num="1"/>
        </w:sectPr>
      </w:pPr>
    </w:p>
    <w:p>
      <w:pPr>
        <w:pStyle w:val="13"/>
        <w:spacing w:before="11"/>
        <w:rPr>
          <w:b/>
          <w:sz w:val="3"/>
          <w:highlight w:val="none"/>
        </w:rPr>
      </w:pPr>
    </w:p>
    <w:p>
      <w:pPr>
        <w:pStyle w:val="13"/>
        <w:spacing w:line="57" w:lineRule="exact"/>
        <w:ind w:left="238"/>
        <w:rPr>
          <w:sz w:val="5"/>
          <w:highlight w:val="none"/>
        </w:rPr>
      </w:pPr>
      <w:bookmarkStart w:id="0" w:name="_bookmark0"/>
      <w:bookmarkEnd w:id="0"/>
    </w:p>
    <w:p>
      <w:pPr>
        <w:pStyle w:val="13"/>
        <w:rPr>
          <w:b/>
          <w:highlight w:val="none"/>
        </w:rPr>
      </w:pPr>
    </w:p>
    <w:p>
      <w:pPr>
        <w:tabs>
          <w:tab w:val="left" w:pos="853"/>
        </w:tabs>
        <w:spacing w:before="55"/>
        <w:ind w:left="49"/>
        <w:jc w:val="center"/>
        <w:rPr>
          <w:b/>
          <w:sz w:val="32"/>
          <w:highlight w:val="none"/>
        </w:rPr>
      </w:pPr>
      <w:r>
        <w:rPr>
          <w:rFonts w:hint="eastAsia"/>
          <w:b/>
          <w:sz w:val="32"/>
          <w:highlight w:val="none"/>
        </w:rPr>
        <w:t>目</w:t>
      </w:r>
      <w:r>
        <w:rPr>
          <w:rFonts w:hint="eastAsia"/>
          <w:b/>
          <w:sz w:val="32"/>
          <w:highlight w:val="none"/>
        </w:rPr>
        <w:tab/>
      </w:r>
      <w:r>
        <w:rPr>
          <w:rFonts w:hint="eastAsia"/>
          <w:b/>
          <w:sz w:val="32"/>
          <w:highlight w:val="none"/>
        </w:rPr>
        <w:t>录</w:t>
      </w:r>
    </w:p>
    <w:p>
      <w:pPr>
        <w:pStyle w:val="13"/>
        <w:rPr>
          <w:b/>
          <w:sz w:val="32"/>
          <w:highlight w:val="none"/>
        </w:rPr>
      </w:pPr>
    </w:p>
    <w:p>
      <w:pPr>
        <w:pStyle w:val="13"/>
        <w:rPr>
          <w:b/>
          <w:sz w:val="32"/>
          <w:highlight w:val="none"/>
        </w:rPr>
      </w:pPr>
    </w:p>
    <w:p>
      <w:pPr>
        <w:pStyle w:val="13"/>
        <w:rPr>
          <w:b/>
          <w:sz w:val="32"/>
          <w:highlight w:val="none"/>
        </w:rPr>
      </w:pPr>
    </w:p>
    <w:sdt>
      <w:sdtPr>
        <w:rPr>
          <w:rFonts w:hint="eastAsia"/>
          <w:highlight w:val="none"/>
        </w:rPr>
        <w:id w:val="2"/>
        <w:docPartObj>
          <w:docPartGallery w:val="Table of Contents"/>
          <w:docPartUnique/>
        </w:docPartObj>
      </w:sdtPr>
      <w:sdtEndPr>
        <w:rPr>
          <w:rFonts w:hint="eastAsia"/>
          <w:highlight w:val="none"/>
        </w:rPr>
      </w:sdtEndPr>
      <w:sdtContent>
        <w:p>
          <w:pPr>
            <w:pStyle w:val="20"/>
            <w:tabs>
              <w:tab w:val="left" w:pos="1361"/>
              <w:tab w:val="right" w:leader="dot" w:pos="9016"/>
            </w:tabs>
            <w:spacing w:before="1"/>
            <w:rPr>
              <w:b w:val="0"/>
              <w:highlight w:val="none"/>
            </w:rPr>
          </w:pPr>
          <w:r>
            <w:rPr>
              <w:highlight w:val="none"/>
            </w:rPr>
            <w:fldChar w:fldCharType="begin"/>
          </w:r>
          <w:r>
            <w:rPr>
              <w:highlight w:val="none"/>
            </w:rPr>
            <w:instrText xml:space="preserve"> HYPERLINK \l "_bookmark0" </w:instrText>
          </w:r>
          <w:r>
            <w:rPr>
              <w:highlight w:val="none"/>
            </w:rPr>
            <w:fldChar w:fldCharType="separate"/>
          </w:r>
          <w:r>
            <w:rPr>
              <w:rFonts w:hint="eastAsia"/>
              <w:highlight w:val="none"/>
            </w:rPr>
            <w:t>第一章</w:t>
          </w:r>
          <w:r>
            <w:rPr>
              <w:rFonts w:hint="eastAsia"/>
              <w:highlight w:val="none"/>
            </w:rPr>
            <w:tab/>
          </w:r>
          <w:r>
            <w:rPr>
              <w:rFonts w:hint="eastAsia"/>
              <w:highlight w:val="none"/>
            </w:rPr>
            <w:t>公开招标采购公告</w:t>
          </w:r>
          <w:r>
            <w:rPr>
              <w:rFonts w:hint="eastAsia"/>
              <w:highlight w:val="none"/>
            </w:rPr>
            <w:tab/>
          </w:r>
          <w:r>
            <w:rPr>
              <w:rFonts w:hint="eastAsia"/>
              <w:b w:val="0"/>
              <w:highlight w:val="none"/>
            </w:rPr>
            <w:t>1</w:t>
          </w:r>
          <w:r>
            <w:rPr>
              <w:rFonts w:hint="eastAsia"/>
              <w:b w:val="0"/>
              <w:highlight w:val="none"/>
            </w:rPr>
            <w:fldChar w:fldCharType="end"/>
          </w:r>
        </w:p>
        <w:p>
          <w:pPr>
            <w:pStyle w:val="20"/>
            <w:tabs>
              <w:tab w:val="left" w:pos="1361"/>
              <w:tab w:val="right" w:leader="dot" w:pos="9016"/>
            </w:tabs>
            <w:rPr>
              <w:b w:val="0"/>
              <w:highlight w:val="none"/>
            </w:rPr>
          </w:pPr>
          <w:r>
            <w:rPr>
              <w:highlight w:val="none"/>
            </w:rPr>
            <w:fldChar w:fldCharType="begin"/>
          </w:r>
          <w:r>
            <w:rPr>
              <w:highlight w:val="none"/>
            </w:rPr>
            <w:instrText xml:space="preserve"> HYPERLINK \l "_bookmark1" </w:instrText>
          </w:r>
          <w:r>
            <w:rPr>
              <w:highlight w:val="none"/>
            </w:rPr>
            <w:fldChar w:fldCharType="separate"/>
          </w:r>
          <w:r>
            <w:rPr>
              <w:rFonts w:hint="eastAsia"/>
              <w:highlight w:val="none"/>
            </w:rPr>
            <w:t>第二章</w:t>
          </w:r>
          <w:r>
            <w:rPr>
              <w:rFonts w:hint="eastAsia"/>
              <w:highlight w:val="none"/>
            </w:rPr>
            <w:tab/>
          </w:r>
          <w:r>
            <w:rPr>
              <w:rFonts w:hint="eastAsia"/>
              <w:highlight w:val="none"/>
            </w:rPr>
            <w:t>前附表</w:t>
          </w:r>
          <w:r>
            <w:rPr>
              <w:rFonts w:hint="eastAsia"/>
              <w:highlight w:val="none"/>
            </w:rPr>
            <w:tab/>
          </w:r>
          <w:r>
            <w:rPr>
              <w:rFonts w:hint="eastAsia"/>
              <w:b w:val="0"/>
              <w:highlight w:val="none"/>
              <w:lang w:val="en-US"/>
            </w:rPr>
            <w:t>7</w:t>
          </w:r>
          <w:r>
            <w:rPr>
              <w:rFonts w:hint="eastAsia"/>
              <w:b w:val="0"/>
              <w:highlight w:val="none"/>
              <w:lang w:val="en-US"/>
            </w:rPr>
            <w:fldChar w:fldCharType="end"/>
          </w:r>
        </w:p>
        <w:p>
          <w:pPr>
            <w:pStyle w:val="20"/>
            <w:tabs>
              <w:tab w:val="left" w:pos="1361"/>
              <w:tab w:val="right" w:leader="dot" w:pos="9016"/>
            </w:tabs>
            <w:spacing w:before="443"/>
            <w:rPr>
              <w:b w:val="0"/>
              <w:highlight w:val="none"/>
              <w:lang w:val="en-US"/>
            </w:rPr>
          </w:pPr>
          <w:r>
            <w:rPr>
              <w:highlight w:val="none"/>
            </w:rPr>
            <w:fldChar w:fldCharType="begin"/>
          </w:r>
          <w:r>
            <w:rPr>
              <w:highlight w:val="none"/>
            </w:rPr>
            <w:instrText xml:space="preserve"> HYPERLINK \l "_bookmark2" </w:instrText>
          </w:r>
          <w:r>
            <w:rPr>
              <w:highlight w:val="none"/>
            </w:rPr>
            <w:fldChar w:fldCharType="separate"/>
          </w:r>
          <w:r>
            <w:rPr>
              <w:rFonts w:hint="eastAsia"/>
              <w:highlight w:val="none"/>
            </w:rPr>
            <w:t>第三章</w:t>
          </w:r>
          <w:r>
            <w:rPr>
              <w:rFonts w:hint="eastAsia"/>
              <w:highlight w:val="none"/>
            </w:rPr>
            <w:tab/>
          </w:r>
          <w:r>
            <w:rPr>
              <w:rFonts w:hint="eastAsia"/>
              <w:highlight w:val="none"/>
            </w:rPr>
            <w:t>招标需求</w:t>
          </w:r>
          <w:r>
            <w:rPr>
              <w:rFonts w:hint="eastAsia"/>
              <w:highlight w:val="none"/>
            </w:rPr>
            <w:tab/>
          </w:r>
          <w:r>
            <w:rPr>
              <w:rFonts w:hint="eastAsia"/>
              <w:b w:val="0"/>
              <w:highlight w:val="none"/>
              <w:lang w:val="en-US"/>
            </w:rPr>
            <w:t>1</w:t>
          </w:r>
          <w:r>
            <w:rPr>
              <w:rFonts w:hint="eastAsia"/>
              <w:b w:val="0"/>
              <w:highlight w:val="none"/>
              <w:lang w:val="en-US"/>
            </w:rPr>
            <w:fldChar w:fldCharType="end"/>
          </w:r>
          <w:r>
            <w:rPr>
              <w:rFonts w:hint="eastAsia"/>
              <w:b w:val="0"/>
              <w:highlight w:val="none"/>
              <w:lang w:val="en-US"/>
            </w:rPr>
            <w:t>0</w:t>
          </w:r>
        </w:p>
        <w:p>
          <w:pPr>
            <w:pStyle w:val="20"/>
            <w:tabs>
              <w:tab w:val="left" w:pos="1361"/>
              <w:tab w:val="right" w:leader="dot" w:pos="9016"/>
            </w:tabs>
            <w:rPr>
              <w:b w:val="0"/>
              <w:highlight w:val="none"/>
            </w:rPr>
          </w:pPr>
          <w:r>
            <w:rPr>
              <w:highlight w:val="none"/>
            </w:rPr>
            <w:fldChar w:fldCharType="begin"/>
          </w:r>
          <w:r>
            <w:rPr>
              <w:highlight w:val="none"/>
            </w:rPr>
            <w:instrText xml:space="preserve"> HYPERLINK \l "_TOC_250002" </w:instrText>
          </w:r>
          <w:r>
            <w:rPr>
              <w:highlight w:val="none"/>
            </w:rPr>
            <w:fldChar w:fldCharType="separate"/>
          </w:r>
          <w:r>
            <w:rPr>
              <w:rFonts w:hint="eastAsia"/>
              <w:highlight w:val="none"/>
            </w:rPr>
            <w:t>第四章</w:t>
          </w:r>
          <w:r>
            <w:rPr>
              <w:rFonts w:hint="eastAsia"/>
              <w:highlight w:val="none"/>
            </w:rPr>
            <w:tab/>
          </w:r>
          <w:r>
            <w:rPr>
              <w:rFonts w:hint="eastAsia"/>
              <w:highlight w:val="none"/>
            </w:rPr>
            <w:t>投标人须知</w:t>
          </w:r>
          <w:r>
            <w:rPr>
              <w:rFonts w:hint="eastAsia"/>
              <w:highlight w:val="none"/>
            </w:rPr>
            <w:tab/>
          </w:r>
          <w:r>
            <w:rPr>
              <w:rFonts w:hint="eastAsia"/>
              <w:b w:val="0"/>
              <w:highlight w:val="none"/>
            </w:rPr>
            <w:t>1</w:t>
          </w:r>
          <w:r>
            <w:rPr>
              <w:rFonts w:hint="eastAsia"/>
              <w:b w:val="0"/>
              <w:highlight w:val="none"/>
              <w:lang w:val="en-US"/>
            </w:rPr>
            <w:t>5</w:t>
          </w:r>
          <w:r>
            <w:rPr>
              <w:rFonts w:hint="eastAsia"/>
              <w:b w:val="0"/>
              <w:highlight w:val="none"/>
              <w:lang w:val="en-US"/>
            </w:rPr>
            <w:fldChar w:fldCharType="end"/>
          </w:r>
        </w:p>
        <w:p>
          <w:pPr>
            <w:pStyle w:val="20"/>
            <w:tabs>
              <w:tab w:val="left" w:pos="1361"/>
              <w:tab w:val="right" w:leader="dot" w:pos="9016"/>
            </w:tabs>
            <w:spacing w:before="441"/>
            <w:rPr>
              <w:b w:val="0"/>
              <w:highlight w:val="none"/>
              <w:lang w:val="en-US"/>
            </w:rPr>
          </w:pPr>
          <w:r>
            <w:rPr>
              <w:highlight w:val="none"/>
            </w:rPr>
            <w:fldChar w:fldCharType="begin"/>
          </w:r>
          <w:r>
            <w:rPr>
              <w:highlight w:val="none"/>
            </w:rPr>
            <w:instrText xml:space="preserve"> HYPERLINK \l "_TOC_250001" </w:instrText>
          </w:r>
          <w:r>
            <w:rPr>
              <w:highlight w:val="none"/>
            </w:rPr>
            <w:fldChar w:fldCharType="separate"/>
          </w:r>
          <w:r>
            <w:rPr>
              <w:rFonts w:hint="eastAsia"/>
              <w:highlight w:val="none"/>
            </w:rPr>
            <w:t>第五章</w:t>
          </w:r>
          <w:r>
            <w:rPr>
              <w:rFonts w:hint="eastAsia"/>
              <w:highlight w:val="none"/>
            </w:rPr>
            <w:tab/>
          </w:r>
          <w:r>
            <w:rPr>
              <w:rFonts w:hint="eastAsia"/>
              <w:highlight w:val="none"/>
            </w:rPr>
            <w:t>开标和评标须知</w:t>
          </w:r>
          <w:r>
            <w:rPr>
              <w:rFonts w:hint="eastAsia"/>
              <w:highlight w:val="none"/>
            </w:rPr>
            <w:tab/>
          </w:r>
          <w:r>
            <w:rPr>
              <w:rFonts w:hint="eastAsia"/>
              <w:b w:val="0"/>
              <w:highlight w:val="none"/>
              <w:lang w:val="en-US"/>
            </w:rPr>
            <w:t>2</w:t>
          </w:r>
          <w:r>
            <w:rPr>
              <w:rFonts w:hint="eastAsia"/>
              <w:b w:val="0"/>
              <w:highlight w:val="none"/>
              <w:lang w:val="en-US"/>
            </w:rPr>
            <w:fldChar w:fldCharType="end"/>
          </w:r>
          <w:r>
            <w:rPr>
              <w:rFonts w:hint="eastAsia"/>
              <w:b w:val="0"/>
              <w:highlight w:val="none"/>
              <w:lang w:val="en-US"/>
            </w:rPr>
            <w:t>4</w:t>
          </w:r>
        </w:p>
        <w:p>
          <w:pPr>
            <w:pStyle w:val="20"/>
            <w:tabs>
              <w:tab w:val="left" w:pos="1361"/>
              <w:tab w:val="right" w:leader="dot" w:pos="9016"/>
            </w:tabs>
            <w:spacing w:before="443"/>
            <w:rPr>
              <w:b w:val="0"/>
              <w:highlight w:val="none"/>
            </w:rPr>
          </w:pPr>
          <w:r>
            <w:rPr>
              <w:highlight w:val="none"/>
            </w:rPr>
            <w:fldChar w:fldCharType="begin"/>
          </w:r>
          <w:r>
            <w:rPr>
              <w:highlight w:val="none"/>
            </w:rPr>
            <w:instrText xml:space="preserve"> HYPERLINK \l "_bookmark3" </w:instrText>
          </w:r>
          <w:r>
            <w:rPr>
              <w:highlight w:val="none"/>
            </w:rPr>
            <w:fldChar w:fldCharType="separate"/>
          </w:r>
          <w:r>
            <w:rPr>
              <w:rFonts w:hint="eastAsia"/>
              <w:highlight w:val="none"/>
            </w:rPr>
            <w:t>第六章</w:t>
          </w:r>
          <w:r>
            <w:rPr>
              <w:rFonts w:hint="eastAsia"/>
              <w:highlight w:val="none"/>
            </w:rPr>
            <w:tab/>
          </w:r>
          <w:r>
            <w:rPr>
              <w:rFonts w:hint="eastAsia"/>
              <w:highlight w:val="none"/>
            </w:rPr>
            <w:t>评 标细 则</w:t>
          </w:r>
          <w:r>
            <w:rPr>
              <w:rFonts w:hint="eastAsia"/>
              <w:highlight w:val="none"/>
            </w:rPr>
            <w:fldChar w:fldCharType="end"/>
          </w:r>
          <w:r>
            <w:rPr>
              <w:rFonts w:hint="eastAsia"/>
              <w:highlight w:val="none"/>
            </w:rPr>
            <w:tab/>
          </w:r>
          <w:r>
            <w:rPr>
              <w:rFonts w:hint="eastAsia"/>
              <w:b w:val="0"/>
              <w:highlight w:val="none"/>
            </w:rPr>
            <w:t>2</w:t>
          </w:r>
          <w:r>
            <w:rPr>
              <w:rFonts w:hint="eastAsia"/>
              <w:b w:val="0"/>
              <w:highlight w:val="none"/>
              <w:lang w:val="en-US"/>
            </w:rPr>
            <w:t>9</w:t>
          </w:r>
        </w:p>
        <w:p>
          <w:pPr>
            <w:pStyle w:val="20"/>
            <w:tabs>
              <w:tab w:val="left" w:pos="1361"/>
              <w:tab w:val="right" w:leader="dot" w:pos="9016"/>
            </w:tabs>
            <w:rPr>
              <w:b w:val="0"/>
              <w:highlight w:val="none"/>
            </w:rPr>
          </w:pPr>
          <w:r>
            <w:rPr>
              <w:highlight w:val="none"/>
            </w:rPr>
            <w:fldChar w:fldCharType="begin"/>
          </w:r>
          <w:r>
            <w:rPr>
              <w:highlight w:val="none"/>
            </w:rPr>
            <w:instrText xml:space="preserve"> HYPERLINK \l "_bookmark4" </w:instrText>
          </w:r>
          <w:r>
            <w:rPr>
              <w:highlight w:val="none"/>
            </w:rPr>
            <w:fldChar w:fldCharType="separate"/>
          </w:r>
          <w:r>
            <w:rPr>
              <w:rFonts w:hint="eastAsia"/>
              <w:highlight w:val="none"/>
            </w:rPr>
            <w:t>第七章</w:t>
          </w:r>
          <w:r>
            <w:rPr>
              <w:rFonts w:hint="eastAsia"/>
              <w:highlight w:val="none"/>
            </w:rPr>
            <w:tab/>
          </w:r>
          <w:r>
            <w:rPr>
              <w:rFonts w:hint="eastAsia"/>
              <w:highlight w:val="none"/>
            </w:rPr>
            <w:t>合同主要条款(范本)</w:t>
          </w:r>
          <w:r>
            <w:rPr>
              <w:rFonts w:hint="eastAsia"/>
              <w:highlight w:val="none"/>
            </w:rPr>
            <w:fldChar w:fldCharType="end"/>
          </w:r>
          <w:r>
            <w:rPr>
              <w:rFonts w:hint="eastAsia"/>
              <w:highlight w:val="none"/>
            </w:rPr>
            <w:tab/>
          </w:r>
          <w:r>
            <w:rPr>
              <w:rFonts w:hint="eastAsia"/>
              <w:b w:val="0"/>
              <w:highlight w:val="none"/>
            </w:rPr>
            <w:t>3</w:t>
          </w:r>
          <w:r>
            <w:rPr>
              <w:rFonts w:hint="eastAsia"/>
              <w:b w:val="0"/>
              <w:highlight w:val="none"/>
              <w:lang w:val="en-US"/>
            </w:rPr>
            <w:t>3</w:t>
          </w:r>
        </w:p>
        <w:p>
          <w:pPr>
            <w:pStyle w:val="20"/>
            <w:tabs>
              <w:tab w:val="left" w:pos="1361"/>
              <w:tab w:val="right" w:leader="dot" w:pos="9016"/>
            </w:tabs>
            <w:spacing w:before="441"/>
            <w:rPr>
              <w:b w:val="0"/>
              <w:highlight w:val="none"/>
            </w:rPr>
          </w:pPr>
          <w:r>
            <w:rPr>
              <w:highlight w:val="none"/>
            </w:rPr>
            <w:fldChar w:fldCharType="begin"/>
          </w:r>
          <w:r>
            <w:rPr>
              <w:highlight w:val="none"/>
            </w:rPr>
            <w:instrText xml:space="preserve"> HYPERLINK \l "_TOC_250000" </w:instrText>
          </w:r>
          <w:r>
            <w:rPr>
              <w:highlight w:val="none"/>
            </w:rPr>
            <w:fldChar w:fldCharType="separate"/>
          </w:r>
          <w:r>
            <w:rPr>
              <w:rFonts w:hint="eastAsia"/>
              <w:highlight w:val="none"/>
            </w:rPr>
            <w:t>第八章</w:t>
          </w:r>
          <w:r>
            <w:rPr>
              <w:rFonts w:hint="eastAsia"/>
              <w:highlight w:val="none"/>
            </w:rPr>
            <w:tab/>
          </w:r>
          <w:r>
            <w:rPr>
              <w:rFonts w:hint="eastAsia"/>
              <w:highlight w:val="none"/>
            </w:rPr>
            <w:t>投标文件格式</w:t>
          </w:r>
          <w:r>
            <w:rPr>
              <w:rFonts w:hint="eastAsia"/>
              <w:highlight w:val="none"/>
            </w:rPr>
            <w:tab/>
          </w:r>
          <w:r>
            <w:rPr>
              <w:rFonts w:hint="eastAsia"/>
              <w:b w:val="0"/>
              <w:highlight w:val="none"/>
              <w:lang w:val="en-US"/>
            </w:rPr>
            <w:t>4</w:t>
          </w:r>
          <w:r>
            <w:rPr>
              <w:rFonts w:hint="eastAsia"/>
              <w:b w:val="0"/>
              <w:highlight w:val="none"/>
              <w:lang w:val="en-US"/>
            </w:rPr>
            <w:fldChar w:fldCharType="end"/>
          </w:r>
          <w:r>
            <w:rPr>
              <w:rFonts w:hint="eastAsia"/>
              <w:b w:val="0"/>
              <w:highlight w:val="none"/>
              <w:lang w:val="en-US"/>
            </w:rPr>
            <w:t>2</w:t>
          </w:r>
        </w:p>
      </w:sdtContent>
    </w:sdt>
    <w:p>
      <w:pPr>
        <w:rPr>
          <w:highlight w:val="none"/>
        </w:rPr>
        <w:sectPr>
          <w:pgSz w:w="11910" w:h="16840"/>
          <w:pgMar w:top="1240" w:right="920" w:bottom="280" w:left="1180" w:header="1045" w:footer="0" w:gutter="0"/>
          <w:cols w:space="720" w:num="1"/>
        </w:sectPr>
      </w:pPr>
    </w:p>
    <w:p>
      <w:pPr>
        <w:tabs>
          <w:tab w:val="left" w:pos="1283"/>
        </w:tabs>
        <w:spacing w:before="272"/>
        <w:ind w:right="89"/>
        <w:jc w:val="center"/>
        <w:rPr>
          <w:b/>
          <w:sz w:val="32"/>
          <w:highlight w:val="none"/>
        </w:rPr>
      </w:pPr>
      <w:r>
        <w:rPr>
          <w:rFonts w:hint="eastAsia"/>
          <w:b/>
          <w:sz w:val="32"/>
          <w:highlight w:val="none"/>
        </w:rPr>
        <w:t>第一章</w:t>
      </w:r>
      <w:r>
        <w:rPr>
          <w:rFonts w:hint="eastAsia"/>
          <w:b/>
          <w:sz w:val="32"/>
          <w:highlight w:val="none"/>
        </w:rPr>
        <w:tab/>
      </w:r>
      <w:bookmarkStart w:id="1" w:name="第一章_公开招标公告"/>
      <w:bookmarkEnd w:id="1"/>
      <w:r>
        <w:rPr>
          <w:rFonts w:hint="eastAsia"/>
          <w:b/>
          <w:sz w:val="32"/>
          <w:highlight w:val="none"/>
        </w:rPr>
        <w:t>公开招标采购公告</w:t>
      </w:r>
    </w:p>
    <w:p>
      <w:pPr>
        <w:pStyle w:val="46"/>
        <w:widowControl w:val="0"/>
        <w:spacing w:afterLines="0" w:line="440" w:lineRule="exact"/>
        <w:ind w:firstLine="420"/>
        <w:outlineLvl w:val="1"/>
        <w:rPr>
          <w:sz w:val="21"/>
          <w:szCs w:val="21"/>
          <w:highlight w:val="none"/>
        </w:rPr>
      </w:pPr>
      <w:bookmarkStart w:id="2" w:name="_bookmark1"/>
      <w:bookmarkEnd w:id="2"/>
      <w:r>
        <w:rPr>
          <w:rFonts w:hint="eastAsia"/>
          <w:sz w:val="21"/>
          <w:szCs w:val="21"/>
          <w:highlight w:val="none"/>
        </w:rPr>
        <w:t>根据《中华人民共和国政府采购法》、《政府采购货物和服务招标投标管理办法》、《浙江省财政厅关于印发浙江省政府采购项目电子交易管理暂行办法的通知》（浙财采监〔2019〕10 号）规定，经</w:t>
      </w:r>
      <w:r>
        <w:rPr>
          <w:rFonts w:hint="eastAsia"/>
          <w:sz w:val="21"/>
          <w:szCs w:val="21"/>
          <w:highlight w:val="none"/>
          <w:u w:val="single"/>
        </w:rPr>
        <w:t>兰溪市政府采购计划书[202</w:t>
      </w:r>
      <w:r>
        <w:rPr>
          <w:rFonts w:hint="eastAsia"/>
          <w:sz w:val="21"/>
          <w:szCs w:val="21"/>
          <w:highlight w:val="none"/>
          <w:u w:val="single"/>
          <w:lang w:val="en-US" w:eastAsia="zh-CN"/>
        </w:rPr>
        <w:t>2</w:t>
      </w:r>
      <w:r>
        <w:rPr>
          <w:rFonts w:hint="eastAsia"/>
          <w:sz w:val="21"/>
          <w:szCs w:val="21"/>
          <w:highlight w:val="none"/>
          <w:u w:val="single"/>
        </w:rPr>
        <w:t>]号</w:t>
      </w:r>
      <w:r>
        <w:rPr>
          <w:rFonts w:hint="eastAsia"/>
          <w:sz w:val="21"/>
          <w:szCs w:val="21"/>
          <w:highlight w:val="none"/>
        </w:rPr>
        <w:t>批准，浙江中信工程咨询有限公司受</w:t>
      </w:r>
      <w:r>
        <w:rPr>
          <w:rFonts w:hint="eastAsia"/>
          <w:b/>
          <w:sz w:val="21"/>
          <w:szCs w:val="21"/>
          <w:highlight w:val="none"/>
          <w:u w:val="single"/>
        </w:rPr>
        <w:t>兰溪市交通运输局</w:t>
      </w:r>
      <w:r>
        <w:rPr>
          <w:rFonts w:hint="eastAsia"/>
          <w:sz w:val="21"/>
          <w:szCs w:val="21"/>
          <w:highlight w:val="none"/>
        </w:rPr>
        <w:t>委托，现就</w:t>
      </w:r>
      <w:r>
        <w:rPr>
          <w:rFonts w:hint="eastAsia"/>
          <w:sz w:val="21"/>
          <w:szCs w:val="21"/>
          <w:highlight w:val="none"/>
          <w:u w:val="single"/>
        </w:rPr>
        <w:t>兰溪市综合交通“十四五”规划落地方案</w:t>
      </w:r>
      <w:r>
        <w:rPr>
          <w:rFonts w:hint="eastAsia"/>
          <w:sz w:val="21"/>
          <w:szCs w:val="21"/>
          <w:highlight w:val="none"/>
        </w:rPr>
        <w:t>进行电子化公开招标采购，欢迎国内符合资格要求的潜在投标人参加投标。</w:t>
      </w:r>
    </w:p>
    <w:p>
      <w:pPr>
        <w:numPr>
          <w:ilvl w:val="0"/>
          <w:numId w:val="1"/>
        </w:numPr>
        <w:spacing w:line="440" w:lineRule="exact"/>
        <w:ind w:firstLine="422" w:firstLineChars="200"/>
        <w:rPr>
          <w:sz w:val="21"/>
          <w:szCs w:val="21"/>
          <w:highlight w:val="none"/>
        </w:rPr>
      </w:pPr>
      <w:r>
        <w:rPr>
          <w:rFonts w:hint="eastAsia"/>
          <w:b/>
          <w:sz w:val="21"/>
          <w:szCs w:val="20"/>
          <w:highlight w:val="none"/>
        </w:rPr>
        <w:t>项目编号：</w:t>
      </w:r>
      <w:r>
        <w:rPr>
          <w:rFonts w:hint="eastAsia"/>
          <w:sz w:val="21"/>
          <w:highlight w:val="none"/>
          <w:lang w:val="en-US"/>
        </w:rPr>
        <w:t>zjzx-lx202200</w:t>
      </w:r>
      <w:r>
        <w:rPr>
          <w:rFonts w:hint="eastAsia"/>
          <w:sz w:val="21"/>
          <w:highlight w:val="none"/>
          <w:lang w:val="en-US" w:eastAsia="zh-CN"/>
        </w:rPr>
        <w:t>9</w:t>
      </w:r>
    </w:p>
    <w:p>
      <w:pPr>
        <w:numPr>
          <w:ilvl w:val="0"/>
          <w:numId w:val="1"/>
        </w:numPr>
        <w:spacing w:line="440" w:lineRule="exact"/>
        <w:ind w:firstLine="422" w:firstLineChars="200"/>
        <w:rPr>
          <w:sz w:val="21"/>
          <w:szCs w:val="21"/>
          <w:highlight w:val="none"/>
        </w:rPr>
      </w:pPr>
      <w:r>
        <w:rPr>
          <w:rFonts w:hint="eastAsia"/>
          <w:b/>
          <w:sz w:val="21"/>
          <w:szCs w:val="20"/>
          <w:highlight w:val="none"/>
        </w:rPr>
        <w:t>采购组织类型：</w:t>
      </w:r>
      <w:r>
        <w:rPr>
          <w:rFonts w:hint="eastAsia"/>
          <w:sz w:val="21"/>
          <w:szCs w:val="21"/>
          <w:highlight w:val="none"/>
        </w:rPr>
        <w:t>分散采购委托代理</w:t>
      </w:r>
    </w:p>
    <w:p>
      <w:pPr>
        <w:snapToGrid w:val="0"/>
        <w:spacing w:line="440" w:lineRule="exact"/>
        <w:ind w:firstLine="422" w:firstLineChars="200"/>
        <w:rPr>
          <w:sz w:val="21"/>
          <w:highlight w:val="none"/>
        </w:rPr>
      </w:pPr>
      <w:r>
        <w:rPr>
          <w:rFonts w:hint="eastAsia"/>
          <w:b/>
          <w:sz w:val="21"/>
          <w:szCs w:val="20"/>
          <w:highlight w:val="none"/>
        </w:rPr>
        <w:t>三、采购方式：</w:t>
      </w:r>
      <w:r>
        <w:rPr>
          <w:rFonts w:hint="eastAsia"/>
          <w:sz w:val="21"/>
          <w:szCs w:val="20"/>
          <w:highlight w:val="none"/>
        </w:rPr>
        <w:t>公开招标</w:t>
      </w:r>
    </w:p>
    <w:p>
      <w:pPr>
        <w:snapToGrid w:val="0"/>
        <w:spacing w:line="440" w:lineRule="exact"/>
        <w:ind w:firstLine="422" w:firstLineChars="200"/>
        <w:outlineLvl w:val="1"/>
        <w:rPr>
          <w:b/>
          <w:bCs/>
          <w:sz w:val="21"/>
          <w:szCs w:val="21"/>
          <w:highlight w:val="none"/>
        </w:rPr>
      </w:pPr>
      <w:r>
        <w:rPr>
          <w:rFonts w:hint="eastAsia"/>
          <w:b/>
          <w:sz w:val="21"/>
          <w:szCs w:val="21"/>
          <w:highlight w:val="none"/>
        </w:rPr>
        <w:t>四、</w:t>
      </w:r>
      <w:r>
        <w:rPr>
          <w:rFonts w:hint="eastAsia"/>
          <w:b/>
          <w:bCs/>
          <w:sz w:val="21"/>
          <w:szCs w:val="21"/>
          <w:highlight w:val="none"/>
        </w:rPr>
        <w:t>采购内容及数量：</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91"/>
        <w:gridCol w:w="1350"/>
        <w:gridCol w:w="1744"/>
        <w:gridCol w:w="2126"/>
        <w:gridCol w:w="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2991" w:type="dxa"/>
            <w:noWrap/>
            <w:vAlign w:val="center"/>
          </w:tcPr>
          <w:p>
            <w:pPr>
              <w:spacing w:line="400" w:lineRule="exact"/>
              <w:jc w:val="center"/>
              <w:rPr>
                <w:b/>
                <w:sz w:val="21"/>
                <w:szCs w:val="21"/>
                <w:highlight w:val="none"/>
              </w:rPr>
            </w:pPr>
            <w:r>
              <w:rPr>
                <w:rFonts w:hint="eastAsia"/>
                <w:b/>
                <w:sz w:val="21"/>
                <w:szCs w:val="21"/>
                <w:highlight w:val="none"/>
              </w:rPr>
              <w:t xml:space="preserve">项目内容 </w:t>
            </w:r>
          </w:p>
        </w:tc>
        <w:tc>
          <w:tcPr>
            <w:tcW w:w="1350" w:type="dxa"/>
            <w:noWrap/>
            <w:vAlign w:val="center"/>
          </w:tcPr>
          <w:p>
            <w:pPr>
              <w:spacing w:line="400" w:lineRule="exact"/>
              <w:jc w:val="center"/>
              <w:rPr>
                <w:b/>
                <w:sz w:val="21"/>
                <w:szCs w:val="21"/>
                <w:highlight w:val="none"/>
                <w:lang w:val="en-US"/>
              </w:rPr>
            </w:pPr>
            <w:r>
              <w:rPr>
                <w:rFonts w:hint="eastAsia"/>
                <w:b/>
                <w:sz w:val="21"/>
                <w:szCs w:val="21"/>
                <w:highlight w:val="none"/>
                <w:lang w:val="en-US"/>
              </w:rPr>
              <w:t>单位及数量</w:t>
            </w:r>
          </w:p>
        </w:tc>
        <w:tc>
          <w:tcPr>
            <w:tcW w:w="1744" w:type="dxa"/>
            <w:noWrap/>
            <w:vAlign w:val="center"/>
          </w:tcPr>
          <w:p>
            <w:pPr>
              <w:spacing w:line="400" w:lineRule="exact"/>
              <w:jc w:val="center"/>
              <w:rPr>
                <w:b/>
                <w:sz w:val="21"/>
                <w:szCs w:val="21"/>
                <w:highlight w:val="none"/>
              </w:rPr>
            </w:pPr>
            <w:r>
              <w:rPr>
                <w:rFonts w:hint="eastAsia"/>
                <w:b/>
                <w:sz w:val="21"/>
                <w:szCs w:val="21"/>
                <w:highlight w:val="none"/>
              </w:rPr>
              <w:t>简要技术要求</w:t>
            </w:r>
          </w:p>
        </w:tc>
        <w:tc>
          <w:tcPr>
            <w:tcW w:w="2126" w:type="dxa"/>
            <w:noWrap/>
            <w:vAlign w:val="center"/>
          </w:tcPr>
          <w:p>
            <w:pPr>
              <w:spacing w:line="400" w:lineRule="exact"/>
              <w:ind w:left="207" w:hanging="207" w:hangingChars="98"/>
              <w:jc w:val="center"/>
              <w:rPr>
                <w:b/>
                <w:sz w:val="21"/>
                <w:szCs w:val="21"/>
                <w:highlight w:val="none"/>
              </w:rPr>
            </w:pPr>
            <w:r>
              <w:rPr>
                <w:rFonts w:hint="eastAsia"/>
                <w:b/>
                <w:sz w:val="21"/>
                <w:szCs w:val="21"/>
                <w:highlight w:val="none"/>
              </w:rPr>
              <w:t>预算</w:t>
            </w:r>
            <w:r>
              <w:rPr>
                <w:rFonts w:hint="eastAsia"/>
                <w:b/>
                <w:sz w:val="21"/>
                <w:szCs w:val="21"/>
                <w:highlight w:val="none"/>
                <w:lang w:val="en-US"/>
              </w:rPr>
              <w:t>金额</w:t>
            </w:r>
            <w:r>
              <w:rPr>
                <w:rFonts w:hint="eastAsia"/>
                <w:b/>
                <w:sz w:val="21"/>
                <w:szCs w:val="21"/>
                <w:highlight w:val="none"/>
              </w:rPr>
              <w:t>（万元）</w:t>
            </w:r>
          </w:p>
        </w:tc>
        <w:tc>
          <w:tcPr>
            <w:tcW w:w="943" w:type="dxa"/>
            <w:noWrap/>
            <w:vAlign w:val="center"/>
          </w:tcPr>
          <w:p>
            <w:pPr>
              <w:spacing w:line="400" w:lineRule="exact"/>
              <w:jc w:val="center"/>
              <w:rPr>
                <w:b/>
                <w:sz w:val="21"/>
                <w:szCs w:val="21"/>
                <w:highlight w:val="none"/>
              </w:rPr>
            </w:pPr>
            <w:r>
              <w:rPr>
                <w:rFonts w:hint="eastAsia"/>
                <w:b/>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2991" w:type="dxa"/>
            <w:noWrap/>
            <w:vAlign w:val="center"/>
          </w:tcPr>
          <w:p>
            <w:pPr>
              <w:snapToGrid w:val="0"/>
              <w:spacing w:line="400" w:lineRule="exact"/>
              <w:jc w:val="center"/>
              <w:outlineLvl w:val="1"/>
              <w:rPr>
                <w:rFonts w:cs="Arial"/>
                <w:sz w:val="21"/>
                <w:szCs w:val="21"/>
                <w:highlight w:val="none"/>
              </w:rPr>
            </w:pPr>
            <w:r>
              <w:rPr>
                <w:rFonts w:hint="eastAsia"/>
                <w:sz w:val="21"/>
                <w:szCs w:val="21"/>
                <w:highlight w:val="none"/>
              </w:rPr>
              <w:t>兰溪市综合交通“十四五”规划落地方案</w:t>
            </w:r>
          </w:p>
        </w:tc>
        <w:tc>
          <w:tcPr>
            <w:tcW w:w="1350" w:type="dxa"/>
            <w:noWrap/>
            <w:vAlign w:val="center"/>
          </w:tcPr>
          <w:p>
            <w:pPr>
              <w:snapToGrid w:val="0"/>
              <w:spacing w:line="400" w:lineRule="exact"/>
              <w:jc w:val="center"/>
              <w:outlineLvl w:val="1"/>
              <w:rPr>
                <w:rFonts w:cs="Arial"/>
                <w:sz w:val="21"/>
                <w:szCs w:val="21"/>
                <w:highlight w:val="none"/>
              </w:rPr>
            </w:pPr>
            <w:r>
              <w:rPr>
                <w:rFonts w:hint="eastAsia"/>
                <w:sz w:val="21"/>
                <w:szCs w:val="21"/>
                <w:highlight w:val="none"/>
                <w:lang w:val="en-US"/>
              </w:rPr>
              <w:t xml:space="preserve">1项 </w:t>
            </w:r>
          </w:p>
        </w:tc>
        <w:tc>
          <w:tcPr>
            <w:tcW w:w="1744" w:type="dxa"/>
            <w:noWrap/>
            <w:vAlign w:val="center"/>
          </w:tcPr>
          <w:p>
            <w:pPr>
              <w:spacing w:line="400" w:lineRule="exact"/>
              <w:jc w:val="center"/>
              <w:rPr>
                <w:rFonts w:cs="Arial"/>
                <w:sz w:val="21"/>
                <w:szCs w:val="21"/>
                <w:highlight w:val="none"/>
              </w:rPr>
            </w:pPr>
            <w:r>
              <w:rPr>
                <w:rFonts w:hint="eastAsia" w:cs="Arial"/>
                <w:sz w:val="21"/>
                <w:szCs w:val="21"/>
                <w:highlight w:val="none"/>
              </w:rPr>
              <w:t>具体要求详见</w:t>
            </w:r>
          </w:p>
          <w:p>
            <w:pPr>
              <w:spacing w:line="400" w:lineRule="exact"/>
              <w:jc w:val="center"/>
              <w:rPr>
                <w:sz w:val="21"/>
                <w:szCs w:val="21"/>
                <w:highlight w:val="none"/>
              </w:rPr>
            </w:pPr>
            <w:r>
              <w:rPr>
                <w:rFonts w:hint="eastAsia" w:cs="Arial"/>
                <w:sz w:val="21"/>
                <w:szCs w:val="21"/>
                <w:highlight w:val="none"/>
              </w:rPr>
              <w:t>《采购需求》</w:t>
            </w:r>
          </w:p>
        </w:tc>
        <w:tc>
          <w:tcPr>
            <w:tcW w:w="2126" w:type="dxa"/>
            <w:noWrap/>
            <w:vAlign w:val="center"/>
          </w:tcPr>
          <w:p>
            <w:pPr>
              <w:snapToGrid w:val="0"/>
              <w:spacing w:line="400" w:lineRule="exact"/>
              <w:jc w:val="center"/>
              <w:outlineLvl w:val="1"/>
              <w:rPr>
                <w:rFonts w:hint="default" w:eastAsia="宋体" w:cs="Arial"/>
                <w:sz w:val="21"/>
                <w:szCs w:val="21"/>
                <w:highlight w:val="none"/>
                <w:lang w:val="en-US" w:eastAsia="zh-CN"/>
              </w:rPr>
            </w:pPr>
            <w:r>
              <w:rPr>
                <w:rFonts w:hint="eastAsia" w:cs="Arial"/>
                <w:sz w:val="21"/>
                <w:szCs w:val="21"/>
                <w:highlight w:val="none"/>
                <w:lang w:val="en-US" w:eastAsia="zh-CN"/>
              </w:rPr>
              <w:t>330.0000</w:t>
            </w:r>
          </w:p>
        </w:tc>
        <w:tc>
          <w:tcPr>
            <w:tcW w:w="943" w:type="dxa"/>
            <w:noWrap/>
            <w:vAlign w:val="center"/>
          </w:tcPr>
          <w:p>
            <w:pPr>
              <w:spacing w:line="320" w:lineRule="exact"/>
              <w:jc w:val="center"/>
              <w:rPr>
                <w:sz w:val="21"/>
                <w:szCs w:val="21"/>
                <w:highlight w:val="none"/>
              </w:rPr>
            </w:pPr>
          </w:p>
        </w:tc>
      </w:tr>
    </w:tbl>
    <w:p>
      <w:pPr>
        <w:snapToGrid w:val="0"/>
        <w:spacing w:line="440" w:lineRule="exact"/>
        <w:ind w:firstLine="413" w:firstLineChars="196"/>
        <w:rPr>
          <w:b/>
          <w:bCs/>
          <w:sz w:val="21"/>
          <w:szCs w:val="21"/>
          <w:highlight w:val="none"/>
        </w:rPr>
      </w:pPr>
      <w:r>
        <w:rPr>
          <w:rFonts w:hint="eastAsia"/>
          <w:b/>
          <w:sz w:val="21"/>
          <w:szCs w:val="21"/>
          <w:highlight w:val="none"/>
        </w:rPr>
        <w:t>五</w:t>
      </w:r>
      <w:r>
        <w:rPr>
          <w:rFonts w:hint="eastAsia"/>
          <w:sz w:val="21"/>
          <w:szCs w:val="21"/>
          <w:highlight w:val="none"/>
        </w:rPr>
        <w:t>、</w:t>
      </w:r>
      <w:r>
        <w:rPr>
          <w:rFonts w:hint="eastAsia"/>
          <w:b/>
          <w:bCs/>
          <w:sz w:val="21"/>
          <w:szCs w:val="21"/>
          <w:highlight w:val="none"/>
        </w:rPr>
        <w:t>合格投标人的资格要求：</w:t>
      </w:r>
    </w:p>
    <w:p>
      <w:pPr>
        <w:snapToGrid w:val="0"/>
        <w:spacing w:line="440" w:lineRule="exact"/>
        <w:ind w:firstLine="420" w:firstLineChars="200"/>
        <w:rPr>
          <w:bCs/>
          <w:sz w:val="21"/>
          <w:szCs w:val="21"/>
          <w:highlight w:val="none"/>
        </w:rPr>
      </w:pPr>
      <w:r>
        <w:rPr>
          <w:rFonts w:hint="eastAsia"/>
          <w:bCs/>
          <w:sz w:val="21"/>
          <w:szCs w:val="21"/>
          <w:highlight w:val="none"/>
        </w:rPr>
        <w:t>1、符合《政府采购法》第二十二条规定的投标人资格条件和浙财采监【2013】24号《关于规范政府采购供应商资格设定及资格审查的通知》第六条规定；</w:t>
      </w:r>
    </w:p>
    <w:p>
      <w:pPr>
        <w:snapToGrid w:val="0"/>
        <w:spacing w:line="440" w:lineRule="exact"/>
        <w:ind w:firstLine="420" w:firstLineChars="200"/>
        <w:rPr>
          <w:bCs/>
          <w:color w:val="auto"/>
          <w:sz w:val="21"/>
          <w:szCs w:val="21"/>
          <w:highlight w:val="none"/>
        </w:rPr>
      </w:pPr>
      <w:r>
        <w:rPr>
          <w:rFonts w:hint="eastAsia"/>
          <w:bCs/>
          <w:color w:val="auto"/>
          <w:sz w:val="21"/>
          <w:szCs w:val="21"/>
          <w:highlight w:val="none"/>
        </w:rPr>
        <w:t>2、凡国内具有独立法人资格</w:t>
      </w:r>
      <w:r>
        <w:rPr>
          <w:rFonts w:hint="eastAsia"/>
          <w:bCs/>
          <w:color w:val="auto"/>
          <w:sz w:val="21"/>
          <w:szCs w:val="21"/>
          <w:highlight w:val="none"/>
          <w:lang w:val="en-US" w:eastAsia="zh-CN"/>
        </w:rPr>
        <w:t>且</w:t>
      </w:r>
      <w:r>
        <w:rPr>
          <w:rFonts w:hint="eastAsia"/>
          <w:bCs/>
          <w:color w:val="auto"/>
          <w:sz w:val="21"/>
          <w:szCs w:val="21"/>
          <w:highlight w:val="none"/>
        </w:rPr>
        <w:t>通过全国投资项目在线审批监管平台备案的咨询企业（备案专业公路）均可参加本项目的投标；</w:t>
      </w:r>
      <w:r>
        <w:rPr>
          <w:bCs/>
          <w:color w:val="auto"/>
          <w:sz w:val="21"/>
          <w:szCs w:val="21"/>
          <w:highlight w:val="none"/>
        </w:rPr>
        <w:t xml:space="preserve"> </w:t>
      </w:r>
    </w:p>
    <w:p>
      <w:pPr>
        <w:snapToGrid w:val="0"/>
        <w:spacing w:line="440" w:lineRule="exact"/>
        <w:ind w:firstLine="420" w:firstLineChars="200"/>
        <w:rPr>
          <w:bCs/>
          <w:sz w:val="21"/>
          <w:szCs w:val="21"/>
          <w:highlight w:val="none"/>
        </w:rPr>
      </w:pPr>
      <w:r>
        <w:rPr>
          <w:rFonts w:hint="eastAsia"/>
          <w:bCs/>
          <w:sz w:val="21"/>
          <w:szCs w:val="21"/>
          <w:highlight w:val="none"/>
          <w:lang w:val="en-US"/>
        </w:rPr>
        <w:t>3、</w:t>
      </w:r>
      <w:r>
        <w:rPr>
          <w:rFonts w:hint="eastAsia"/>
          <w:bCs/>
          <w:sz w:val="21"/>
          <w:szCs w:val="21"/>
          <w:highlight w:val="none"/>
        </w:rPr>
        <w:t>未被“信用中国”（www.creditchina.gov.cn）、中国政府采购网（www.ccgp.gov.cn）列入失信被执行人、重大税收违法案件当事人名单、政府采购严重违法失信行为记录名单；</w:t>
      </w:r>
    </w:p>
    <w:p>
      <w:pPr>
        <w:snapToGrid w:val="0"/>
        <w:spacing w:line="440" w:lineRule="exact"/>
        <w:ind w:firstLine="420" w:firstLineChars="200"/>
        <w:rPr>
          <w:highlight w:val="none"/>
          <w:lang w:val="en-US"/>
        </w:rPr>
      </w:pPr>
      <w:r>
        <w:rPr>
          <w:rFonts w:hint="eastAsia"/>
          <w:bCs/>
          <w:sz w:val="21"/>
          <w:szCs w:val="21"/>
          <w:highlight w:val="none"/>
          <w:lang w:val="en-US"/>
        </w:rPr>
        <w:t>4、</w:t>
      </w:r>
      <w:r>
        <w:rPr>
          <w:rFonts w:hint="eastAsia"/>
          <w:bCs/>
          <w:sz w:val="21"/>
          <w:szCs w:val="21"/>
          <w:highlight w:val="none"/>
        </w:rPr>
        <w:t>本项目不接受联合体投标。</w:t>
      </w:r>
    </w:p>
    <w:p>
      <w:pPr>
        <w:snapToGrid w:val="0"/>
        <w:spacing w:line="440" w:lineRule="exact"/>
        <w:ind w:firstLine="422" w:firstLineChars="200"/>
        <w:outlineLvl w:val="1"/>
        <w:rPr>
          <w:sz w:val="21"/>
          <w:szCs w:val="21"/>
          <w:highlight w:val="none"/>
        </w:rPr>
      </w:pPr>
      <w:r>
        <w:rPr>
          <w:rFonts w:hint="eastAsia"/>
          <w:b/>
          <w:bCs/>
          <w:sz w:val="21"/>
          <w:szCs w:val="21"/>
          <w:highlight w:val="none"/>
        </w:rPr>
        <w:t>六、采购文件获取及获取时间、地址</w:t>
      </w:r>
      <w:r>
        <w:rPr>
          <w:rFonts w:hint="eastAsia"/>
          <w:sz w:val="21"/>
          <w:szCs w:val="21"/>
          <w:highlight w:val="none"/>
        </w:rPr>
        <w:t>：</w:t>
      </w:r>
    </w:p>
    <w:p>
      <w:pPr>
        <w:snapToGrid w:val="0"/>
        <w:spacing w:line="440" w:lineRule="exact"/>
        <w:ind w:firstLine="388" w:firstLineChars="200"/>
        <w:outlineLvl w:val="1"/>
        <w:rPr>
          <w:b/>
          <w:spacing w:val="-8"/>
          <w:sz w:val="21"/>
          <w:szCs w:val="21"/>
          <w:highlight w:val="none"/>
        </w:rPr>
      </w:pPr>
      <w:r>
        <w:rPr>
          <w:rFonts w:hint="eastAsia"/>
          <w:spacing w:val="-8"/>
          <w:sz w:val="21"/>
          <w:szCs w:val="21"/>
          <w:highlight w:val="none"/>
        </w:rPr>
        <w:t>1、报名时间：</w:t>
      </w:r>
      <w:r>
        <w:rPr>
          <w:rFonts w:hint="eastAsia"/>
          <w:b/>
          <w:spacing w:val="-8"/>
          <w:sz w:val="21"/>
          <w:szCs w:val="21"/>
          <w:highlight w:val="none"/>
          <w:u w:val="single"/>
        </w:rPr>
        <w:t>202</w:t>
      </w:r>
      <w:r>
        <w:rPr>
          <w:rFonts w:hint="eastAsia"/>
          <w:b/>
          <w:spacing w:val="-8"/>
          <w:sz w:val="21"/>
          <w:szCs w:val="21"/>
          <w:highlight w:val="none"/>
          <w:u w:val="single"/>
          <w:lang w:val="en-US"/>
        </w:rPr>
        <w:t>2</w:t>
      </w:r>
      <w:r>
        <w:rPr>
          <w:rFonts w:hint="eastAsia"/>
          <w:b/>
          <w:spacing w:val="-8"/>
          <w:sz w:val="21"/>
          <w:szCs w:val="21"/>
          <w:highlight w:val="none"/>
        </w:rPr>
        <w:t>年</w:t>
      </w:r>
      <w:r>
        <w:rPr>
          <w:rFonts w:hint="eastAsia"/>
          <w:b/>
          <w:spacing w:val="-8"/>
          <w:sz w:val="21"/>
          <w:szCs w:val="21"/>
          <w:highlight w:val="none"/>
          <w:u w:val="single"/>
          <w:lang w:val="en-US" w:eastAsia="zh-CN"/>
        </w:rPr>
        <w:t>5</w:t>
      </w:r>
      <w:r>
        <w:rPr>
          <w:rFonts w:hint="eastAsia"/>
          <w:b/>
          <w:spacing w:val="-8"/>
          <w:sz w:val="21"/>
          <w:szCs w:val="21"/>
          <w:highlight w:val="none"/>
        </w:rPr>
        <w:t>月</w:t>
      </w:r>
      <w:r>
        <w:rPr>
          <w:rFonts w:hint="eastAsia"/>
          <w:b/>
          <w:spacing w:val="-8"/>
          <w:sz w:val="21"/>
          <w:szCs w:val="21"/>
          <w:highlight w:val="none"/>
          <w:u w:val="single"/>
          <w:lang w:val="en-US" w:eastAsia="zh-CN"/>
        </w:rPr>
        <w:t xml:space="preserve">20 </w:t>
      </w:r>
      <w:r>
        <w:rPr>
          <w:rFonts w:hint="eastAsia"/>
          <w:b/>
          <w:spacing w:val="-8"/>
          <w:sz w:val="21"/>
          <w:szCs w:val="21"/>
          <w:highlight w:val="none"/>
        </w:rPr>
        <w:t>日至</w:t>
      </w:r>
      <w:r>
        <w:rPr>
          <w:rFonts w:hint="eastAsia"/>
          <w:b/>
          <w:spacing w:val="-8"/>
          <w:sz w:val="21"/>
          <w:szCs w:val="21"/>
          <w:highlight w:val="none"/>
          <w:u w:val="single"/>
        </w:rPr>
        <w:t>202</w:t>
      </w:r>
      <w:r>
        <w:rPr>
          <w:rFonts w:hint="eastAsia"/>
          <w:b/>
          <w:spacing w:val="-8"/>
          <w:sz w:val="21"/>
          <w:szCs w:val="21"/>
          <w:highlight w:val="none"/>
          <w:u w:val="single"/>
          <w:lang w:val="en-US"/>
        </w:rPr>
        <w:t>2</w:t>
      </w:r>
      <w:r>
        <w:rPr>
          <w:rFonts w:hint="eastAsia"/>
          <w:b/>
          <w:spacing w:val="-8"/>
          <w:sz w:val="21"/>
          <w:szCs w:val="21"/>
          <w:highlight w:val="none"/>
        </w:rPr>
        <w:t>年</w:t>
      </w:r>
      <w:r>
        <w:rPr>
          <w:rFonts w:hint="eastAsia"/>
          <w:b/>
          <w:spacing w:val="-8"/>
          <w:sz w:val="21"/>
          <w:szCs w:val="21"/>
          <w:highlight w:val="none"/>
          <w:u w:val="single"/>
          <w:lang w:val="en-US"/>
        </w:rPr>
        <w:t xml:space="preserve"> </w:t>
      </w:r>
      <w:r>
        <w:rPr>
          <w:rFonts w:hint="eastAsia"/>
          <w:b/>
          <w:spacing w:val="-8"/>
          <w:sz w:val="21"/>
          <w:szCs w:val="21"/>
          <w:highlight w:val="none"/>
          <w:u w:val="single"/>
          <w:lang w:val="en-US" w:eastAsia="zh-CN"/>
        </w:rPr>
        <w:t xml:space="preserve">6 </w:t>
      </w:r>
      <w:r>
        <w:rPr>
          <w:rFonts w:hint="eastAsia"/>
          <w:b/>
          <w:spacing w:val="-8"/>
          <w:sz w:val="21"/>
          <w:szCs w:val="21"/>
          <w:highlight w:val="none"/>
        </w:rPr>
        <w:t>月</w:t>
      </w:r>
      <w:r>
        <w:rPr>
          <w:rFonts w:hint="eastAsia"/>
          <w:b/>
          <w:spacing w:val="-8"/>
          <w:sz w:val="21"/>
          <w:szCs w:val="21"/>
          <w:highlight w:val="none"/>
          <w:u w:val="single"/>
          <w:lang w:val="en-US" w:eastAsia="zh-CN"/>
        </w:rPr>
        <w:t xml:space="preserve"> 14 </w:t>
      </w:r>
      <w:r>
        <w:rPr>
          <w:rFonts w:hint="eastAsia"/>
          <w:b/>
          <w:spacing w:val="-8"/>
          <w:sz w:val="21"/>
          <w:szCs w:val="21"/>
          <w:highlight w:val="none"/>
        </w:rPr>
        <w:t>日</w:t>
      </w:r>
      <w:r>
        <w:rPr>
          <w:rFonts w:hint="eastAsia"/>
          <w:b/>
          <w:spacing w:val="-8"/>
          <w:sz w:val="21"/>
          <w:szCs w:val="21"/>
          <w:highlight w:val="none"/>
          <w:u w:val="single"/>
          <w:lang w:val="en-US"/>
        </w:rPr>
        <w:t>0</w:t>
      </w:r>
      <w:r>
        <w:rPr>
          <w:rFonts w:hint="eastAsia"/>
          <w:b/>
          <w:spacing w:val="-8"/>
          <w:sz w:val="21"/>
          <w:szCs w:val="21"/>
          <w:highlight w:val="none"/>
          <w:u w:val="single"/>
        </w:rPr>
        <w:t>9:30时</w:t>
      </w:r>
      <w:r>
        <w:rPr>
          <w:rFonts w:hint="eastAsia"/>
          <w:b/>
          <w:spacing w:val="-8"/>
          <w:sz w:val="21"/>
          <w:szCs w:val="21"/>
          <w:highlight w:val="none"/>
        </w:rPr>
        <w:t>；</w:t>
      </w:r>
      <w:r>
        <w:rPr>
          <w:rFonts w:hint="eastAsia"/>
          <w:b/>
          <w:sz w:val="21"/>
          <w:szCs w:val="21"/>
          <w:highlight w:val="none"/>
        </w:rPr>
        <w:t>上午</w:t>
      </w:r>
      <w:r>
        <w:rPr>
          <w:rFonts w:hint="eastAsia"/>
          <w:b/>
          <w:sz w:val="21"/>
          <w:szCs w:val="21"/>
          <w:highlight w:val="none"/>
          <w:u w:val="single"/>
        </w:rPr>
        <w:t>00:00至12:00</w:t>
      </w:r>
      <w:r>
        <w:rPr>
          <w:rFonts w:hint="eastAsia"/>
          <w:b/>
          <w:sz w:val="21"/>
          <w:szCs w:val="21"/>
          <w:highlight w:val="none"/>
        </w:rPr>
        <w:t> ，下午</w:t>
      </w:r>
      <w:r>
        <w:rPr>
          <w:rFonts w:hint="eastAsia"/>
          <w:b/>
          <w:sz w:val="21"/>
          <w:szCs w:val="21"/>
          <w:highlight w:val="none"/>
          <w:u w:val="single"/>
        </w:rPr>
        <w:t>12:00至23:59。</w:t>
      </w:r>
    </w:p>
    <w:p>
      <w:pPr>
        <w:pStyle w:val="23"/>
        <w:spacing w:beforeAutospacing="0" w:afterAutospacing="0" w:line="480" w:lineRule="exact"/>
        <w:ind w:firstLine="420" w:firstLineChars="200"/>
        <w:rPr>
          <w:bCs/>
          <w:color w:val="auto"/>
          <w:kern w:val="2"/>
          <w:sz w:val="21"/>
          <w:szCs w:val="21"/>
          <w:highlight w:val="none"/>
        </w:rPr>
      </w:pPr>
      <w:r>
        <w:rPr>
          <w:rFonts w:hint="eastAsia"/>
          <w:bCs/>
          <w:color w:val="auto"/>
          <w:kern w:val="2"/>
          <w:sz w:val="21"/>
          <w:szCs w:val="21"/>
          <w:highlight w:val="none"/>
        </w:rPr>
        <w:t>2、采购文件获取地址：政采云平台线上获取。</w:t>
      </w:r>
    </w:p>
    <w:p>
      <w:pPr>
        <w:snapToGrid w:val="0"/>
        <w:spacing w:line="480" w:lineRule="exact"/>
        <w:ind w:firstLine="518" w:firstLineChars="247"/>
        <w:jc w:val="both"/>
        <w:rPr>
          <w:bCs/>
          <w:sz w:val="21"/>
          <w:szCs w:val="21"/>
          <w:highlight w:val="none"/>
        </w:rPr>
      </w:pPr>
      <w:r>
        <w:rPr>
          <w:rFonts w:hint="eastAsia"/>
          <w:bCs/>
          <w:sz w:val="21"/>
          <w:szCs w:val="21"/>
          <w:highlight w:val="none"/>
        </w:rPr>
        <w:t>政府云平台系统获取：已在浙江省政府采购网注</w:t>
      </w:r>
      <w:bookmarkStart w:id="19" w:name="_GoBack"/>
      <w:bookmarkEnd w:id="19"/>
      <w:r>
        <w:rPr>
          <w:rFonts w:hint="eastAsia"/>
          <w:bCs/>
          <w:sz w:val="21"/>
          <w:szCs w:val="21"/>
          <w:highlight w:val="none"/>
        </w:rPr>
        <w:t>册的正式供应商或临时供应商，可以登录 https://login.zcygov.cn/user-login/#/login 进行网上报名并获取采购文件，并致电 0579-88988422 进行确认。</w:t>
      </w:r>
    </w:p>
    <w:p>
      <w:pPr>
        <w:snapToGrid w:val="0"/>
        <w:spacing w:line="440" w:lineRule="exact"/>
        <w:ind w:firstLine="422" w:firstLineChars="200"/>
        <w:rPr>
          <w:b/>
          <w:bCs/>
          <w:sz w:val="21"/>
          <w:szCs w:val="21"/>
          <w:highlight w:val="none"/>
        </w:rPr>
      </w:pPr>
      <w:r>
        <w:rPr>
          <w:rFonts w:hint="eastAsia"/>
          <w:b/>
          <w:bCs/>
          <w:sz w:val="21"/>
          <w:szCs w:val="21"/>
          <w:highlight w:val="none"/>
        </w:rPr>
        <w:t>七、</w:t>
      </w:r>
      <w:r>
        <w:rPr>
          <w:rFonts w:hint="eastAsia"/>
          <w:b/>
          <w:sz w:val="21"/>
          <w:szCs w:val="21"/>
          <w:highlight w:val="none"/>
        </w:rPr>
        <w:t>投标文件递交截止时间</w:t>
      </w:r>
      <w:r>
        <w:rPr>
          <w:rFonts w:hint="eastAsia"/>
          <w:b/>
          <w:bCs/>
          <w:sz w:val="21"/>
          <w:szCs w:val="21"/>
          <w:highlight w:val="none"/>
        </w:rPr>
        <w:t>：202</w:t>
      </w:r>
      <w:r>
        <w:rPr>
          <w:rFonts w:hint="eastAsia"/>
          <w:b/>
          <w:bCs/>
          <w:sz w:val="21"/>
          <w:szCs w:val="21"/>
          <w:highlight w:val="none"/>
          <w:lang w:val="en-US"/>
        </w:rPr>
        <w:t>2</w:t>
      </w:r>
      <w:r>
        <w:rPr>
          <w:rFonts w:hint="eastAsia"/>
          <w:b/>
          <w:bCs/>
          <w:sz w:val="21"/>
          <w:szCs w:val="21"/>
          <w:highlight w:val="none"/>
        </w:rPr>
        <w:t>年</w:t>
      </w:r>
      <w:r>
        <w:rPr>
          <w:rFonts w:hint="eastAsia"/>
          <w:b/>
          <w:bCs/>
          <w:sz w:val="21"/>
          <w:szCs w:val="21"/>
          <w:highlight w:val="none"/>
          <w:lang w:val="en-US" w:eastAsia="zh-CN"/>
        </w:rPr>
        <w:t xml:space="preserve"> </w:t>
      </w:r>
      <w:r>
        <w:rPr>
          <w:rFonts w:hint="eastAsia"/>
          <w:b/>
          <w:spacing w:val="-8"/>
          <w:sz w:val="21"/>
          <w:szCs w:val="21"/>
          <w:highlight w:val="none"/>
          <w:lang w:val="en-US" w:eastAsia="zh-CN"/>
        </w:rPr>
        <w:t xml:space="preserve">6 </w:t>
      </w:r>
      <w:r>
        <w:rPr>
          <w:rFonts w:hint="eastAsia"/>
          <w:b/>
          <w:spacing w:val="-8"/>
          <w:sz w:val="21"/>
          <w:szCs w:val="21"/>
          <w:highlight w:val="none"/>
        </w:rPr>
        <w:t>月</w:t>
      </w:r>
      <w:r>
        <w:rPr>
          <w:rFonts w:hint="eastAsia"/>
          <w:b/>
          <w:spacing w:val="-8"/>
          <w:sz w:val="21"/>
          <w:szCs w:val="21"/>
          <w:highlight w:val="none"/>
          <w:lang w:val="en-US" w:eastAsia="zh-CN"/>
        </w:rPr>
        <w:t xml:space="preserve"> 15 </w:t>
      </w:r>
      <w:r>
        <w:rPr>
          <w:rFonts w:hint="eastAsia"/>
          <w:b/>
          <w:spacing w:val="-8"/>
          <w:sz w:val="21"/>
          <w:szCs w:val="21"/>
          <w:highlight w:val="none"/>
        </w:rPr>
        <w:t>日</w:t>
      </w:r>
      <w:r>
        <w:rPr>
          <w:rFonts w:hint="eastAsia"/>
          <w:b/>
          <w:spacing w:val="-8"/>
          <w:sz w:val="21"/>
          <w:szCs w:val="21"/>
          <w:highlight w:val="none"/>
          <w:lang w:val="en-US"/>
        </w:rPr>
        <w:t xml:space="preserve">09:30 </w:t>
      </w:r>
      <w:r>
        <w:rPr>
          <w:rFonts w:hint="eastAsia"/>
          <w:b/>
          <w:spacing w:val="-8"/>
          <w:sz w:val="21"/>
          <w:szCs w:val="21"/>
          <w:highlight w:val="none"/>
        </w:rPr>
        <w:t>时</w:t>
      </w:r>
    </w:p>
    <w:p>
      <w:pPr>
        <w:snapToGrid w:val="0"/>
        <w:spacing w:line="440" w:lineRule="exact"/>
        <w:ind w:firstLine="422" w:firstLineChars="200"/>
        <w:rPr>
          <w:b/>
          <w:bCs/>
          <w:sz w:val="21"/>
          <w:szCs w:val="21"/>
          <w:highlight w:val="none"/>
        </w:rPr>
      </w:pPr>
      <w:r>
        <w:rPr>
          <w:rFonts w:hint="eastAsia"/>
          <w:b/>
          <w:bCs/>
          <w:sz w:val="21"/>
          <w:szCs w:val="21"/>
          <w:highlight w:val="none"/>
        </w:rPr>
        <w:t>八、投标地址：政采云平台线上投标。</w:t>
      </w:r>
    </w:p>
    <w:p>
      <w:pPr>
        <w:snapToGrid w:val="0"/>
        <w:spacing w:line="440" w:lineRule="exact"/>
        <w:ind w:firstLine="422" w:firstLineChars="200"/>
        <w:rPr>
          <w:b/>
          <w:sz w:val="21"/>
          <w:szCs w:val="21"/>
          <w:highlight w:val="yellow"/>
        </w:rPr>
      </w:pPr>
      <w:r>
        <w:rPr>
          <w:rFonts w:hint="eastAsia"/>
          <w:b/>
          <w:sz w:val="21"/>
          <w:szCs w:val="21"/>
          <w:highlight w:val="none"/>
        </w:rPr>
        <w:t>九、开标时间及地点：</w:t>
      </w:r>
    </w:p>
    <w:p>
      <w:pPr>
        <w:snapToGrid w:val="0"/>
        <w:spacing w:line="440" w:lineRule="exact"/>
        <w:ind w:firstLine="420" w:firstLineChars="200"/>
        <w:rPr>
          <w:b/>
          <w:bCs/>
          <w:sz w:val="21"/>
          <w:szCs w:val="21"/>
          <w:highlight w:val="none"/>
        </w:rPr>
      </w:pPr>
      <w:r>
        <w:rPr>
          <w:rFonts w:hint="eastAsia"/>
          <w:bCs/>
          <w:sz w:val="21"/>
          <w:szCs w:val="21"/>
          <w:highlight w:val="none"/>
        </w:rPr>
        <w:t>本次开标将于202</w:t>
      </w:r>
      <w:r>
        <w:rPr>
          <w:rFonts w:hint="eastAsia"/>
          <w:bCs/>
          <w:sz w:val="21"/>
          <w:szCs w:val="21"/>
          <w:highlight w:val="none"/>
          <w:lang w:val="en-US"/>
        </w:rPr>
        <w:t>2</w:t>
      </w:r>
      <w:r>
        <w:rPr>
          <w:rFonts w:hint="eastAsia"/>
          <w:bCs/>
          <w:sz w:val="21"/>
          <w:szCs w:val="21"/>
          <w:highlight w:val="none"/>
        </w:rPr>
        <w:t>年</w:t>
      </w:r>
      <w:r>
        <w:rPr>
          <w:rFonts w:hint="eastAsia"/>
          <w:bCs/>
          <w:sz w:val="21"/>
          <w:szCs w:val="21"/>
          <w:highlight w:val="none"/>
          <w:lang w:val="en-US"/>
        </w:rPr>
        <w:t xml:space="preserve"> </w:t>
      </w:r>
      <w:r>
        <w:rPr>
          <w:rFonts w:hint="eastAsia"/>
          <w:bCs/>
          <w:sz w:val="21"/>
          <w:szCs w:val="21"/>
          <w:highlight w:val="none"/>
          <w:lang w:val="en-US" w:eastAsia="zh-CN"/>
        </w:rPr>
        <w:t>6</w:t>
      </w:r>
      <w:r>
        <w:rPr>
          <w:rFonts w:hint="eastAsia"/>
          <w:bCs/>
          <w:sz w:val="21"/>
          <w:szCs w:val="21"/>
          <w:highlight w:val="none"/>
          <w:lang w:val="en-US"/>
        </w:rPr>
        <w:t xml:space="preserve"> </w:t>
      </w:r>
      <w:r>
        <w:rPr>
          <w:rFonts w:hint="eastAsia"/>
          <w:bCs/>
          <w:sz w:val="21"/>
          <w:szCs w:val="21"/>
          <w:highlight w:val="none"/>
        </w:rPr>
        <w:t>月</w:t>
      </w:r>
      <w:r>
        <w:rPr>
          <w:rFonts w:hint="eastAsia"/>
          <w:bCs/>
          <w:sz w:val="21"/>
          <w:szCs w:val="21"/>
          <w:highlight w:val="none"/>
          <w:lang w:val="en-US" w:eastAsia="zh-CN"/>
        </w:rPr>
        <w:t xml:space="preserve"> 15 </w:t>
      </w:r>
      <w:r>
        <w:rPr>
          <w:rFonts w:hint="eastAsia"/>
          <w:bCs/>
          <w:sz w:val="21"/>
          <w:szCs w:val="21"/>
          <w:highlight w:val="none"/>
          <w:lang w:val="en-US"/>
        </w:rPr>
        <w:t>日09:30</w:t>
      </w:r>
      <w:r>
        <w:rPr>
          <w:rFonts w:hint="eastAsia"/>
          <w:bCs/>
          <w:sz w:val="21"/>
          <w:szCs w:val="21"/>
          <w:highlight w:val="none"/>
        </w:rPr>
        <w:t>时在金华市政府采购中心兰溪市分中心（兰溪市振兴路500</w:t>
      </w:r>
      <w:r>
        <w:rPr>
          <w:rFonts w:hint="eastAsia"/>
          <w:sz w:val="21"/>
          <w:szCs w:val="21"/>
          <w:highlight w:val="none"/>
        </w:rPr>
        <w:t>号行政服务中心开标室）通过“政府采购云平台（www.zcygov.cn）”实行在线开标。</w:t>
      </w:r>
    </w:p>
    <w:p>
      <w:pPr>
        <w:spacing w:line="440" w:lineRule="exact"/>
        <w:ind w:firstLine="422" w:firstLineChars="200"/>
        <w:rPr>
          <w:sz w:val="21"/>
          <w:szCs w:val="21"/>
          <w:highlight w:val="none"/>
        </w:rPr>
      </w:pPr>
      <w:r>
        <w:rPr>
          <w:rFonts w:hint="eastAsia"/>
          <w:b/>
          <w:bCs/>
          <w:sz w:val="21"/>
          <w:szCs w:val="21"/>
          <w:highlight w:val="none"/>
        </w:rPr>
        <w:t>十、信用记录：</w:t>
      </w:r>
    </w:p>
    <w:p>
      <w:pPr>
        <w:spacing w:line="440" w:lineRule="exact"/>
        <w:ind w:firstLine="360"/>
        <w:rPr>
          <w:sz w:val="21"/>
          <w:szCs w:val="21"/>
          <w:highlight w:val="none"/>
        </w:rPr>
      </w:pPr>
      <w:r>
        <w:rPr>
          <w:rFonts w:hint="eastAsia"/>
          <w:sz w:val="21"/>
          <w:szCs w:val="21"/>
          <w:highlight w:val="none"/>
        </w:rPr>
        <w:t> 根据财库[2016]125号《关于在政府采购活动中查询及使用信用记录有关问题的通知》要求，采购代理机构对供应商信用记录进行查询并甄别。</w:t>
      </w:r>
    </w:p>
    <w:p>
      <w:pPr>
        <w:spacing w:line="440" w:lineRule="exact"/>
        <w:ind w:firstLine="420" w:firstLineChars="200"/>
        <w:rPr>
          <w:sz w:val="21"/>
          <w:szCs w:val="21"/>
          <w:highlight w:val="none"/>
        </w:rPr>
      </w:pPr>
      <w:r>
        <w:rPr>
          <w:rFonts w:hint="eastAsia"/>
          <w:sz w:val="21"/>
          <w:szCs w:val="21"/>
          <w:highlight w:val="none"/>
        </w:rPr>
        <w:t>1.信用信息查询的截止时点：采购代理机构将在开标当日对本项目投标人的信用信息进行查询；</w:t>
      </w:r>
    </w:p>
    <w:p>
      <w:pPr>
        <w:spacing w:line="440" w:lineRule="exact"/>
        <w:ind w:firstLine="420" w:firstLineChars="200"/>
        <w:rPr>
          <w:sz w:val="21"/>
          <w:szCs w:val="21"/>
          <w:highlight w:val="none"/>
        </w:rPr>
      </w:pPr>
      <w:r>
        <w:rPr>
          <w:rFonts w:hint="eastAsia"/>
          <w:sz w:val="21"/>
          <w:szCs w:val="21"/>
          <w:highlight w:val="none"/>
        </w:rPr>
        <w:t>2.查询渠道：</w:t>
      </w:r>
    </w:p>
    <w:p>
      <w:pPr>
        <w:spacing w:line="440" w:lineRule="exact"/>
        <w:ind w:firstLine="360"/>
        <w:rPr>
          <w:sz w:val="21"/>
          <w:szCs w:val="21"/>
          <w:highlight w:val="none"/>
        </w:rPr>
      </w:pPr>
      <w:r>
        <w:rPr>
          <w:rFonts w:hint="eastAsia"/>
          <w:sz w:val="21"/>
          <w:szCs w:val="21"/>
          <w:highlight w:val="none"/>
        </w:rPr>
        <w:t> 信用中国（</w:t>
      </w:r>
      <w:r>
        <w:rPr>
          <w:rFonts w:hint="eastAsia"/>
          <w:sz w:val="21"/>
          <w:szCs w:val="21"/>
          <w:highlight w:val="none"/>
          <w:u w:val="single"/>
        </w:rPr>
        <w:t>www.creditchina.gov.cn</w:t>
      </w:r>
      <w:r>
        <w:rPr>
          <w:rFonts w:hint="eastAsia"/>
          <w:sz w:val="21"/>
          <w:szCs w:val="21"/>
          <w:highlight w:val="none"/>
        </w:rPr>
        <w:t>）；</w:t>
      </w:r>
    </w:p>
    <w:p>
      <w:pPr>
        <w:spacing w:line="440" w:lineRule="exact"/>
        <w:ind w:firstLine="360"/>
        <w:rPr>
          <w:sz w:val="21"/>
          <w:szCs w:val="21"/>
          <w:highlight w:val="none"/>
        </w:rPr>
      </w:pPr>
      <w:r>
        <w:rPr>
          <w:rFonts w:hint="eastAsia"/>
          <w:sz w:val="21"/>
          <w:szCs w:val="21"/>
          <w:highlight w:val="none"/>
        </w:rPr>
        <w:t> 中国政府采购网（</w:t>
      </w:r>
      <w:r>
        <w:rPr>
          <w:rFonts w:hint="eastAsia"/>
          <w:sz w:val="21"/>
          <w:szCs w:val="21"/>
          <w:highlight w:val="none"/>
          <w:u w:val="single"/>
        </w:rPr>
        <w:t>www.ccgp.gov.cn</w:t>
      </w:r>
      <w:r>
        <w:rPr>
          <w:rFonts w:hint="eastAsia"/>
          <w:sz w:val="21"/>
          <w:szCs w:val="21"/>
          <w:highlight w:val="none"/>
        </w:rPr>
        <w:t>）；</w:t>
      </w:r>
    </w:p>
    <w:p>
      <w:pPr>
        <w:spacing w:line="440" w:lineRule="exact"/>
        <w:ind w:firstLine="360"/>
        <w:rPr>
          <w:sz w:val="21"/>
          <w:szCs w:val="21"/>
          <w:highlight w:val="none"/>
        </w:rPr>
      </w:pPr>
      <w:r>
        <w:rPr>
          <w:rFonts w:hint="eastAsia"/>
          <w:sz w:val="21"/>
          <w:szCs w:val="21"/>
          <w:highlight w:val="none"/>
        </w:rPr>
        <w:t> 浙江政府采购网（</w:t>
      </w:r>
      <w:r>
        <w:rPr>
          <w:rFonts w:hint="eastAsia"/>
          <w:sz w:val="21"/>
          <w:szCs w:val="21"/>
          <w:highlight w:val="none"/>
          <w:u w:val="single"/>
        </w:rPr>
        <w:t>http://www.zjzfcg.gov.cn/</w:t>
      </w:r>
      <w:r>
        <w:rPr>
          <w:rFonts w:hint="eastAsia"/>
          <w:sz w:val="21"/>
          <w:szCs w:val="21"/>
          <w:highlight w:val="none"/>
        </w:rPr>
        <w:t>）；</w:t>
      </w:r>
    </w:p>
    <w:p>
      <w:pPr>
        <w:spacing w:line="440" w:lineRule="exact"/>
        <w:ind w:firstLine="420" w:firstLineChars="200"/>
        <w:rPr>
          <w:sz w:val="21"/>
          <w:szCs w:val="21"/>
          <w:highlight w:val="none"/>
        </w:rPr>
      </w:pPr>
      <w:r>
        <w:rPr>
          <w:rFonts w:hint="eastAsia"/>
          <w:sz w:val="21"/>
          <w:szCs w:val="21"/>
          <w:highlight w:val="none"/>
        </w:rPr>
        <w:t>3.信用信息查询记录和证据留存具体方式：采购代理机构经办人和监督人员将查询网页打印、签字与其他采购文件一并保存；</w:t>
      </w:r>
    </w:p>
    <w:p>
      <w:pPr>
        <w:spacing w:line="440" w:lineRule="exact"/>
        <w:ind w:firstLine="420" w:firstLineChars="200"/>
        <w:rPr>
          <w:sz w:val="21"/>
          <w:szCs w:val="21"/>
          <w:highlight w:val="none"/>
        </w:rPr>
      </w:pPr>
      <w:r>
        <w:rPr>
          <w:rFonts w:hint="eastAsia"/>
          <w:sz w:val="21"/>
          <w:szCs w:val="21"/>
          <w:highlight w:val="none"/>
        </w:rPr>
        <w:t>4.信用信息的使用规则：投标人存在不良信用记录的，其投标将被作为无效投标被拒绝。</w:t>
      </w:r>
    </w:p>
    <w:p>
      <w:pPr>
        <w:spacing w:line="440" w:lineRule="exact"/>
        <w:ind w:firstLine="420" w:firstLineChars="200"/>
        <w:rPr>
          <w:sz w:val="21"/>
          <w:szCs w:val="21"/>
          <w:highlight w:val="none"/>
        </w:rPr>
      </w:pPr>
      <w:r>
        <w:rPr>
          <w:rFonts w:hint="eastAsia"/>
          <w:sz w:val="21"/>
          <w:szCs w:val="21"/>
          <w:highlight w:val="none"/>
        </w:rPr>
        <w:t>5.不良信用记录指：被列入失信被执行人、重大税收违法案件当事人名单、政府采购严重违法失信行为记录名单或浙江政府采购网曝光台中尚在行政处罚期内的。</w:t>
      </w:r>
    </w:p>
    <w:p>
      <w:pPr>
        <w:spacing w:line="440" w:lineRule="exact"/>
        <w:ind w:firstLine="422" w:firstLineChars="200"/>
        <w:rPr>
          <w:b/>
          <w:bCs/>
          <w:sz w:val="21"/>
          <w:szCs w:val="21"/>
          <w:highlight w:val="none"/>
          <w:lang w:val="en-US"/>
        </w:rPr>
      </w:pPr>
      <w:r>
        <w:rPr>
          <w:rFonts w:hint="eastAsia"/>
          <w:b/>
          <w:bCs/>
          <w:sz w:val="21"/>
          <w:szCs w:val="21"/>
          <w:highlight w:val="none"/>
        </w:rPr>
        <w:t>十一、其他事项：</w:t>
      </w:r>
    </w:p>
    <w:p>
      <w:pPr>
        <w:spacing w:line="440" w:lineRule="exact"/>
        <w:ind w:left="0" w:leftChars="0" w:firstLine="438" w:firstLineChars="209"/>
        <w:rPr>
          <w:rFonts w:hint="eastAsia"/>
          <w:sz w:val="21"/>
          <w:szCs w:val="21"/>
          <w:highlight w:val="none"/>
        </w:rPr>
      </w:pPr>
      <w:r>
        <w:rPr>
          <w:rFonts w:hint="eastAsia"/>
          <w:sz w:val="21"/>
          <w:szCs w:val="21"/>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440" w:lineRule="exact"/>
        <w:ind w:firstLine="420" w:firstLineChars="200"/>
        <w:rPr>
          <w:rFonts w:hint="eastAsia"/>
          <w:sz w:val="21"/>
          <w:szCs w:val="21"/>
          <w:highlight w:val="none"/>
        </w:rPr>
      </w:pPr>
      <w:r>
        <w:rPr>
          <w:rFonts w:hint="eastAsia"/>
          <w:sz w:val="21"/>
          <w:szCs w:val="21"/>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440" w:lineRule="exact"/>
        <w:ind w:firstLine="420" w:firstLineChars="200"/>
        <w:rPr>
          <w:rFonts w:hint="eastAsia"/>
          <w:sz w:val="21"/>
          <w:szCs w:val="21"/>
          <w:highlight w:val="none"/>
        </w:rPr>
      </w:pPr>
      <w:r>
        <w:rPr>
          <w:rFonts w:hint="eastAsia"/>
          <w:sz w:val="21"/>
          <w:szCs w:val="21"/>
          <w:highlight w:val="none"/>
        </w:rPr>
        <w:t>3.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440" w:lineRule="exact"/>
        <w:ind w:firstLine="420" w:firstLineChars="200"/>
        <w:rPr>
          <w:rFonts w:hint="eastAsia"/>
          <w:sz w:val="21"/>
          <w:szCs w:val="21"/>
          <w:highlight w:val="none"/>
        </w:rPr>
      </w:pPr>
      <w:r>
        <w:rPr>
          <w:rFonts w:hint="eastAsia"/>
          <w:sz w:val="21"/>
          <w:szCs w:val="21"/>
          <w:highlight w:val="none"/>
        </w:rPr>
        <w:t>4.其他事项：见招标文件 </w:t>
      </w:r>
    </w:p>
    <w:p>
      <w:pPr>
        <w:spacing w:line="440" w:lineRule="exact"/>
        <w:ind w:firstLine="420" w:firstLineChars="200"/>
        <w:rPr>
          <w:rFonts w:hint="eastAsia"/>
          <w:sz w:val="21"/>
          <w:szCs w:val="21"/>
          <w:highlight w:val="none"/>
        </w:rPr>
      </w:pPr>
      <w:r>
        <w:rPr>
          <w:rFonts w:hint="eastAsia"/>
          <w:sz w:val="21"/>
          <w:szCs w:val="21"/>
          <w:highlight w:val="none"/>
        </w:rPr>
        <w:t>5.企业信用融资: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浙江政府采购( (tp:/www zizfcg gov.cn)的中小企业信用融资栏目了解相关信息。 供应商可以通过浙江政府采购网(https://zfcg. czt.zj. gov.cn/)首页的“浙江政采贷”模块进入申请，还可以通过政府采购云平台(https://wwwzcygov.cn/)首页的“金融服务”模块进入申请。</w:t>
      </w:r>
    </w:p>
    <w:p>
      <w:pPr>
        <w:spacing w:line="540" w:lineRule="exact"/>
        <w:ind w:firstLine="422" w:firstLineChars="200"/>
        <w:rPr>
          <w:rFonts w:hint="eastAsia" w:ascii="宋体" w:hAnsi="宋体" w:eastAsia="宋体" w:cs="宋体"/>
          <w:b/>
          <w:bCs w:val="0"/>
          <w:color w:val="000000"/>
          <w:sz w:val="21"/>
          <w:szCs w:val="20"/>
        </w:rPr>
      </w:pPr>
      <w:r>
        <w:rPr>
          <w:rFonts w:hint="eastAsia" w:ascii="宋体" w:hAnsi="宋体" w:eastAsia="宋体" w:cs="宋体"/>
          <w:b/>
          <w:bCs w:val="0"/>
          <w:sz w:val="21"/>
          <w:szCs w:val="18"/>
        </w:rPr>
        <w:t>政府采购金融服务提示：</w:t>
      </w:r>
    </w:p>
    <w:p>
      <w:pPr>
        <w:spacing w:line="440" w:lineRule="exact"/>
        <w:ind w:firstLine="422" w:firstLineChars="200"/>
        <w:rPr>
          <w:b/>
          <w:bCs w:val="0"/>
          <w:sz w:val="21"/>
          <w:szCs w:val="21"/>
          <w:highlight w:val="none"/>
          <w:lang w:val="en-US"/>
        </w:rPr>
      </w:pPr>
      <w:r>
        <w:rPr>
          <w:rFonts w:hint="eastAsia"/>
          <w:b/>
          <w:bCs w:val="0"/>
          <w:sz w:val="21"/>
          <w:szCs w:val="21"/>
          <w:highlight w:val="none"/>
          <w:lang w:val="en-US" w:eastAsia="zh-CN"/>
        </w:rPr>
        <w:t>5</w:t>
      </w:r>
      <w:r>
        <w:rPr>
          <w:rFonts w:hint="eastAsia"/>
          <w:b/>
          <w:bCs w:val="0"/>
          <w:sz w:val="21"/>
          <w:szCs w:val="21"/>
          <w:highlight w:val="none"/>
          <w:lang w:val="en-US"/>
        </w:rPr>
        <w:t>.为进一步发挥政府采购政策导向作用，有效缓解中小企业融资难等问题，根据《浙江省政府采购支持中小企业信用融资试点办法》(浙财采监[2012]13号)有关规定，中标人若有融资意向，可登录政府采购云平台(https://www.zcygov.cn/)“融资贷款”栏目了解相关扶持政策信息。为扩大政府采购金融服务面，除政采云网上金融服务合作银行外，兰溪市范围增加线下合作银行二家，具体信息如下：</w:t>
      </w:r>
    </w:p>
    <w:p>
      <w:pPr>
        <w:spacing w:line="440" w:lineRule="exact"/>
        <w:ind w:firstLine="422" w:firstLineChars="200"/>
        <w:rPr>
          <w:b/>
          <w:bCs w:val="0"/>
          <w:sz w:val="21"/>
          <w:szCs w:val="21"/>
          <w:highlight w:val="none"/>
          <w:lang w:val="en-US"/>
        </w:rPr>
      </w:pPr>
      <w:r>
        <w:rPr>
          <w:rFonts w:hint="eastAsia"/>
          <w:b/>
          <w:bCs w:val="0"/>
          <w:sz w:val="21"/>
          <w:szCs w:val="21"/>
          <w:highlight w:val="none"/>
          <w:lang w:val="en-US"/>
        </w:rPr>
        <w:t>杭州银行金华兰溪支行  联系人：江昌奇 联系电话：15558679555</w:t>
      </w:r>
    </w:p>
    <w:p>
      <w:pPr>
        <w:spacing w:line="440" w:lineRule="exact"/>
        <w:ind w:firstLine="422" w:firstLineChars="200"/>
        <w:rPr>
          <w:b/>
          <w:bCs w:val="0"/>
          <w:sz w:val="21"/>
          <w:szCs w:val="21"/>
          <w:highlight w:val="none"/>
          <w:lang w:val="en-US"/>
        </w:rPr>
      </w:pPr>
      <w:r>
        <w:rPr>
          <w:rFonts w:hint="eastAsia"/>
          <w:b/>
          <w:bCs w:val="0"/>
          <w:sz w:val="21"/>
          <w:szCs w:val="21"/>
          <w:highlight w:val="none"/>
          <w:lang w:val="en-US"/>
        </w:rPr>
        <w:t>邮政储蓄银行兰溪市支行 联系人：掌丽 联系电话：18357991025（0579-88824616）</w:t>
      </w:r>
    </w:p>
    <w:p>
      <w:pPr>
        <w:spacing w:line="440" w:lineRule="exact"/>
        <w:ind w:firstLine="420" w:firstLineChars="200"/>
        <w:rPr>
          <w:rFonts w:hint="eastAsia"/>
          <w:sz w:val="21"/>
          <w:szCs w:val="21"/>
          <w:highlight w:val="none"/>
        </w:rPr>
      </w:pPr>
      <w:r>
        <w:rPr>
          <w:rFonts w:hint="eastAsia"/>
          <w:sz w:val="21"/>
          <w:szCs w:val="21"/>
          <w:highlight w:val="none"/>
        </w:rPr>
        <w:t xml:space="preserve">采购项目需要落实的政府采购政策：执行节约能源、保护环境相关的节能产品政府强制采购和优先采购政策，执行环境标志产品政府优先采购政策；执行扶持不发达地区和少数民族地区、促进中小企业发展、支持监狱企业发展、促进残疾人就业、支持中小企业信用融资等政府采购政策。   </w:t>
      </w:r>
    </w:p>
    <w:p>
      <w:pPr>
        <w:spacing w:line="440" w:lineRule="exact"/>
        <w:ind w:firstLine="420" w:firstLineChars="200"/>
        <w:rPr>
          <w:sz w:val="21"/>
          <w:szCs w:val="21"/>
          <w:highlight w:val="none"/>
        </w:rPr>
      </w:pPr>
      <w:r>
        <w:rPr>
          <w:rFonts w:hint="eastAsia"/>
          <w:sz w:val="21"/>
          <w:szCs w:val="21"/>
          <w:highlight w:val="none"/>
        </w:rPr>
        <w:t>为确保招投标活动的公开、公平、公正，切实维护各方合法权益，凡在招标投标、开标评标过程中，受到敲诈、勒索或发现围标串标、虚假投标、恶意竞标等涉黑涉恶线索者，请及时保留相关证据并向有关部门举报。</w:t>
      </w:r>
    </w:p>
    <w:p>
      <w:pPr>
        <w:snapToGrid w:val="0"/>
        <w:spacing w:line="440" w:lineRule="exact"/>
        <w:ind w:firstLine="420" w:firstLineChars="200"/>
        <w:outlineLvl w:val="1"/>
        <w:rPr>
          <w:bCs/>
          <w:sz w:val="21"/>
          <w:szCs w:val="21"/>
          <w:highlight w:val="none"/>
        </w:rPr>
      </w:pPr>
      <w:r>
        <w:rPr>
          <w:rFonts w:hint="eastAsia"/>
          <w:bCs/>
          <w:sz w:val="21"/>
          <w:szCs w:val="21"/>
          <w:highlight w:val="none"/>
        </w:rPr>
        <w:t>兰溪市扫黑除恶专项斗争领导小组办公室（市委政法委）0579-88888432</w:t>
      </w:r>
    </w:p>
    <w:p>
      <w:pPr>
        <w:snapToGrid w:val="0"/>
        <w:spacing w:line="440" w:lineRule="exact"/>
        <w:ind w:firstLine="420" w:firstLineChars="200"/>
        <w:outlineLvl w:val="1"/>
        <w:rPr>
          <w:bCs/>
          <w:sz w:val="21"/>
          <w:szCs w:val="21"/>
          <w:highlight w:val="none"/>
        </w:rPr>
      </w:pPr>
      <w:r>
        <w:rPr>
          <w:rFonts w:hint="eastAsia"/>
          <w:bCs/>
          <w:sz w:val="21"/>
          <w:szCs w:val="21"/>
          <w:highlight w:val="none"/>
        </w:rPr>
        <w:t>兰溪市纪委（监察）机关：0579-88899324</w:t>
      </w:r>
    </w:p>
    <w:p>
      <w:pPr>
        <w:snapToGrid w:val="0"/>
        <w:spacing w:line="440" w:lineRule="exact"/>
        <w:ind w:firstLine="420" w:firstLineChars="200"/>
        <w:outlineLvl w:val="1"/>
        <w:rPr>
          <w:bCs/>
          <w:sz w:val="21"/>
          <w:szCs w:val="21"/>
          <w:highlight w:val="none"/>
        </w:rPr>
      </w:pPr>
      <w:r>
        <w:rPr>
          <w:rFonts w:hint="eastAsia"/>
          <w:bCs/>
          <w:sz w:val="21"/>
          <w:szCs w:val="21"/>
          <w:highlight w:val="none"/>
        </w:rPr>
        <w:t>兰溪市公安局0579-110</w:t>
      </w:r>
    </w:p>
    <w:p>
      <w:pPr>
        <w:snapToGrid w:val="0"/>
        <w:spacing w:line="440" w:lineRule="exact"/>
        <w:ind w:firstLine="420" w:firstLineChars="200"/>
        <w:outlineLvl w:val="1"/>
        <w:rPr>
          <w:sz w:val="21"/>
          <w:szCs w:val="21"/>
          <w:highlight w:val="none"/>
        </w:rPr>
      </w:pPr>
      <w:r>
        <w:rPr>
          <w:rFonts w:hint="eastAsia"/>
          <w:bCs/>
          <w:sz w:val="21"/>
          <w:szCs w:val="21"/>
          <w:highlight w:val="none"/>
        </w:rPr>
        <w:t>举报邮箱：lxspab0579@163.com</w:t>
      </w:r>
    </w:p>
    <w:p>
      <w:pPr>
        <w:numPr>
          <w:ilvl w:val="0"/>
          <w:numId w:val="2"/>
        </w:numPr>
        <w:spacing w:line="400" w:lineRule="exact"/>
        <w:ind w:firstLine="442" w:firstLineChars="200"/>
        <w:rPr>
          <w:sz w:val="21"/>
          <w:szCs w:val="21"/>
          <w:highlight w:val="none"/>
        </w:rPr>
      </w:pPr>
      <w:r>
        <w:rPr>
          <w:rFonts w:hint="eastAsia"/>
          <w:b/>
          <w:highlight w:val="none"/>
        </w:rPr>
        <w:t>在线投标响应（电子投标）说明</w:t>
      </w:r>
    </w:p>
    <w:p>
      <w:pPr>
        <w:spacing w:line="400" w:lineRule="exact"/>
        <w:ind w:firstLine="422" w:firstLineChars="200"/>
        <w:rPr>
          <w:b/>
          <w:bCs/>
          <w:sz w:val="21"/>
          <w:szCs w:val="21"/>
          <w:highlight w:val="none"/>
        </w:rPr>
      </w:pPr>
      <w:r>
        <w:rPr>
          <w:rFonts w:hint="eastAsia"/>
          <w:b/>
          <w:bCs/>
          <w:sz w:val="21"/>
          <w:szCs w:val="21"/>
          <w:highlight w:val="none"/>
        </w:rPr>
        <w:t>1.本项目实行电子投标，投标人应按照本项目采购文件和政采云平台的要求编制、加密并递交响应文件。投标人在使用系统进行投标的过程中遇到涉及平台使用的任何问题，可致电政采云平台 技术支持热线咨询，联系方式：400-881-7190。</w:t>
      </w:r>
    </w:p>
    <w:p>
      <w:pPr>
        <w:spacing w:line="400" w:lineRule="exact"/>
        <w:ind w:firstLine="422" w:firstLineChars="200"/>
        <w:rPr>
          <w:b/>
          <w:bCs/>
          <w:sz w:val="21"/>
          <w:szCs w:val="21"/>
          <w:highlight w:val="none"/>
        </w:rPr>
      </w:pPr>
      <w:r>
        <w:rPr>
          <w:rFonts w:hint="eastAsia"/>
          <w:b/>
          <w:bCs/>
          <w:sz w:val="21"/>
          <w:szCs w:val="21"/>
          <w:highlight w:val="none"/>
        </w:rPr>
        <w:t>2.投 标 人 应 在 开 标 前 完 成 CA 数 字 证 书 办 理 。 （ 办 理 流 程 详 见 http://www.zjzfcg.gov.cn/bidClientTemplate/2019-05-27/12945.html）。完成 CA 数字证书办理 预计一周左右，建议各投标人抓紧时间办理。</w:t>
      </w:r>
    </w:p>
    <w:p>
      <w:pPr>
        <w:spacing w:line="400" w:lineRule="exact"/>
        <w:ind w:firstLine="422" w:firstLineChars="200"/>
        <w:rPr>
          <w:b/>
          <w:bCs/>
          <w:sz w:val="21"/>
          <w:szCs w:val="21"/>
          <w:highlight w:val="none"/>
        </w:rPr>
      </w:pPr>
      <w:r>
        <w:rPr>
          <w:rFonts w:hint="eastAsia"/>
          <w:b/>
          <w:bCs/>
          <w:sz w:val="21"/>
          <w:szCs w:val="21"/>
          <w:highlight w:val="none"/>
        </w:rPr>
        <w:t xml:space="preserve">3.投标人通过政采云平台“电子交易客户端”制作响应文件，电子投标工具请投标人自行前往浙江省政府采购网下载并安装，（下载网址： </w:t>
      </w:r>
      <w:r>
        <w:rPr>
          <w:highlight w:val="none"/>
        </w:rPr>
        <w:fldChar w:fldCharType="begin"/>
      </w:r>
      <w:r>
        <w:rPr>
          <w:highlight w:val="none"/>
        </w:rPr>
        <w:instrText xml:space="preserve"> HYPERLINK "http://www.zjzfcg.gov.cn/bidClientTemplate/2019-05-27/12946.html）。" </w:instrText>
      </w:r>
      <w:r>
        <w:rPr>
          <w:highlight w:val="none"/>
        </w:rPr>
        <w:fldChar w:fldCharType="separate"/>
      </w:r>
      <w:r>
        <w:rPr>
          <w:rFonts w:hint="eastAsia"/>
          <w:b/>
          <w:bCs/>
          <w:sz w:val="21"/>
          <w:szCs w:val="21"/>
          <w:highlight w:val="none"/>
        </w:rPr>
        <w:t>http://www.zjzfcg.gov.cn/bidClientTemplate/2019-05-27/12946.html）。</w:t>
      </w:r>
      <w:r>
        <w:rPr>
          <w:rFonts w:hint="eastAsia"/>
          <w:b/>
          <w:bCs/>
          <w:sz w:val="21"/>
          <w:szCs w:val="21"/>
          <w:highlight w:val="none"/>
        </w:rPr>
        <w:fldChar w:fldCharType="end"/>
      </w:r>
    </w:p>
    <w:p>
      <w:pPr>
        <w:spacing w:line="400" w:lineRule="exact"/>
        <w:ind w:firstLine="422" w:firstLineChars="200"/>
        <w:rPr>
          <w:b/>
          <w:bCs/>
          <w:sz w:val="21"/>
          <w:szCs w:val="21"/>
          <w:highlight w:val="none"/>
        </w:rPr>
      </w:pPr>
      <w:r>
        <w:rPr>
          <w:rFonts w:hint="eastAsia"/>
          <w:b/>
          <w:bCs/>
          <w:sz w:val="21"/>
          <w:szCs w:val="21"/>
          <w:highlight w:val="none"/>
        </w:rPr>
        <w:t>4.投标人将加密的电子版响应文件于投标截止时间前上传到政采云系统中。</w:t>
      </w:r>
    </w:p>
    <w:p>
      <w:pPr>
        <w:spacing w:line="400" w:lineRule="exact"/>
        <w:ind w:firstLine="422" w:firstLineChars="200"/>
        <w:rPr>
          <w:b/>
          <w:bCs/>
          <w:sz w:val="21"/>
          <w:szCs w:val="21"/>
          <w:highlight w:val="none"/>
          <w:lang w:val="en-US"/>
        </w:rPr>
      </w:pPr>
      <w:r>
        <w:rPr>
          <w:rFonts w:hint="eastAsia"/>
          <w:b/>
          <w:bCs/>
          <w:sz w:val="21"/>
          <w:szCs w:val="21"/>
          <w:highlight w:val="none"/>
        </w:rPr>
        <w:t xml:space="preserve">5.具 体 的 响 应 文 件 加 密 上 传 等 操 作 详 见 政 采 云 平 台 操 作 指 南 。 </w:t>
      </w:r>
      <w:r>
        <w:rPr>
          <w:rFonts w:hint="eastAsia"/>
          <w:b/>
          <w:bCs/>
          <w:sz w:val="21"/>
          <w:szCs w:val="21"/>
          <w:highlight w:val="none"/>
          <w:lang w:val="en-US"/>
        </w:rPr>
        <w:t xml:space="preserve">https://edu.zcygov.cn/luban/e-biding?utm=a0004.2ef5001f.0001.0109.da8b35e0da8611e98d8937 b7ef8a3544 </w:t>
      </w:r>
      <w:r>
        <w:rPr>
          <w:rFonts w:hint="eastAsia"/>
          <w:b/>
          <w:bCs/>
          <w:sz w:val="21"/>
          <w:szCs w:val="21"/>
          <w:highlight w:val="none"/>
        </w:rPr>
        <w:t>。</w:t>
      </w:r>
    </w:p>
    <w:p>
      <w:pPr>
        <w:spacing w:line="400" w:lineRule="exact"/>
        <w:ind w:firstLine="422" w:firstLineChars="200"/>
        <w:rPr>
          <w:b/>
          <w:bCs/>
          <w:sz w:val="21"/>
          <w:szCs w:val="21"/>
          <w:highlight w:val="none"/>
        </w:rPr>
      </w:pPr>
      <w:r>
        <w:rPr>
          <w:rFonts w:hint="eastAsia"/>
          <w:b/>
          <w:bCs/>
          <w:sz w:val="21"/>
          <w:szCs w:val="21"/>
          <w:highlight w:val="none"/>
          <w:lang w:val="en-US"/>
        </w:rPr>
        <w:t xml:space="preserve"> </w:t>
      </w:r>
      <w:r>
        <w:rPr>
          <w:rFonts w:hint="eastAsia"/>
          <w:b/>
          <w:bCs/>
          <w:sz w:val="21"/>
          <w:szCs w:val="21"/>
          <w:highlight w:val="none"/>
        </w:rPr>
        <w:t xml:space="preserve">注：建议使用谷歌浏览器，使用其他浏览器可能发生无法解密等未知情况。 </w:t>
      </w:r>
    </w:p>
    <w:p>
      <w:pPr>
        <w:numPr>
          <w:ilvl w:val="0"/>
          <w:numId w:val="3"/>
        </w:numPr>
        <w:spacing w:line="400" w:lineRule="exact"/>
        <w:ind w:firstLine="422" w:firstLineChars="200"/>
        <w:rPr>
          <w:b/>
          <w:bCs/>
          <w:sz w:val="21"/>
          <w:szCs w:val="21"/>
          <w:highlight w:val="none"/>
        </w:rPr>
      </w:pPr>
      <w:r>
        <w:rPr>
          <w:rFonts w:hint="eastAsia"/>
          <w:b/>
          <w:bCs/>
          <w:sz w:val="21"/>
          <w:szCs w:val="21"/>
          <w:highlight w:val="none"/>
        </w:rPr>
        <w:t xml:space="preserve">投标人应当在投标截止时间前完成电子响应文件的传输递交，并可以补充、修改或者撤回电子 响应文件。补充或者修改电子响应文件的，应当先行撤回原文件，补充、修改后重新传输递交。投标截止时间前未完成传输的，视为撤回响应文件。投标、响应截止时间后送达的投标、响应文件，将被 政采云平台拒收。 </w:t>
      </w:r>
    </w:p>
    <w:p>
      <w:pPr>
        <w:spacing w:line="400" w:lineRule="exact"/>
        <w:ind w:firstLine="422" w:firstLineChars="200"/>
        <w:rPr>
          <w:b/>
          <w:bCs/>
          <w:sz w:val="21"/>
          <w:szCs w:val="21"/>
          <w:highlight w:val="none"/>
        </w:rPr>
      </w:pPr>
      <w:r>
        <w:rPr>
          <w:rFonts w:hint="eastAsia"/>
          <w:b/>
          <w:bCs/>
          <w:sz w:val="21"/>
          <w:szCs w:val="21"/>
          <w:highlight w:val="none"/>
          <w:u w:val="single"/>
        </w:rPr>
        <w:t>7.投标人在“政府采购云平台”完成“电子加密投标文件”的上传递交后，还可以（邮寄或现场送达形式）在202</w:t>
      </w:r>
      <w:r>
        <w:rPr>
          <w:rFonts w:hint="eastAsia"/>
          <w:b/>
          <w:bCs/>
          <w:sz w:val="21"/>
          <w:szCs w:val="21"/>
          <w:highlight w:val="none"/>
          <w:u w:val="single"/>
          <w:lang w:val="en-US"/>
        </w:rPr>
        <w:t>2</w:t>
      </w:r>
      <w:r>
        <w:rPr>
          <w:rFonts w:hint="eastAsia"/>
          <w:b/>
          <w:bCs/>
          <w:sz w:val="21"/>
          <w:szCs w:val="21"/>
          <w:highlight w:val="none"/>
          <w:u w:val="single"/>
        </w:rPr>
        <w:t>年</w:t>
      </w:r>
      <w:r>
        <w:rPr>
          <w:rFonts w:hint="eastAsia"/>
          <w:b/>
          <w:bCs/>
          <w:sz w:val="21"/>
          <w:szCs w:val="21"/>
          <w:highlight w:val="none"/>
          <w:u w:val="single"/>
          <w:lang w:val="en-US"/>
        </w:rPr>
        <w:t xml:space="preserve"> </w:t>
      </w:r>
      <w:r>
        <w:rPr>
          <w:rFonts w:hint="eastAsia"/>
          <w:b/>
          <w:bCs/>
          <w:sz w:val="21"/>
          <w:szCs w:val="21"/>
          <w:highlight w:val="none"/>
          <w:u w:val="single"/>
          <w:lang w:val="en-US" w:eastAsia="zh-CN"/>
        </w:rPr>
        <w:t>6</w:t>
      </w:r>
      <w:r>
        <w:rPr>
          <w:rFonts w:hint="eastAsia"/>
          <w:b/>
          <w:bCs/>
          <w:sz w:val="21"/>
          <w:szCs w:val="21"/>
          <w:highlight w:val="none"/>
          <w:u w:val="single"/>
          <w:lang w:val="en-US"/>
        </w:rPr>
        <w:t xml:space="preserve"> </w:t>
      </w:r>
      <w:r>
        <w:rPr>
          <w:rFonts w:hint="eastAsia"/>
          <w:b/>
          <w:bCs/>
          <w:sz w:val="21"/>
          <w:szCs w:val="21"/>
          <w:highlight w:val="none"/>
          <w:u w:val="single"/>
        </w:rPr>
        <w:t>月</w:t>
      </w:r>
      <w:r>
        <w:rPr>
          <w:rFonts w:hint="eastAsia"/>
          <w:b/>
          <w:bCs/>
          <w:sz w:val="21"/>
          <w:szCs w:val="21"/>
          <w:highlight w:val="none"/>
          <w:u w:val="single"/>
          <w:lang w:val="en-US" w:eastAsia="zh-CN"/>
        </w:rPr>
        <w:t xml:space="preserve"> 14 </w:t>
      </w:r>
      <w:r>
        <w:rPr>
          <w:rFonts w:hint="eastAsia"/>
          <w:b/>
          <w:bCs/>
          <w:sz w:val="21"/>
          <w:szCs w:val="21"/>
          <w:highlight w:val="none"/>
          <w:u w:val="single"/>
        </w:rPr>
        <w:t>日</w:t>
      </w:r>
      <w:r>
        <w:rPr>
          <w:rFonts w:hint="eastAsia"/>
          <w:b/>
          <w:bCs/>
          <w:sz w:val="21"/>
          <w:szCs w:val="21"/>
          <w:highlight w:val="none"/>
          <w:u w:val="single"/>
          <w:lang w:val="en-US"/>
        </w:rPr>
        <w:t>17:00时</w:t>
      </w:r>
      <w:r>
        <w:rPr>
          <w:rFonts w:hint="eastAsia"/>
          <w:b/>
          <w:bCs/>
          <w:sz w:val="21"/>
          <w:szCs w:val="21"/>
          <w:highlight w:val="none"/>
          <w:u w:val="single"/>
        </w:rPr>
        <w:t>前递交，以介质（U盘或DVD光盘）存储的数据电文形式的“备份投标文件”，将电子备份响应文件（后缀名为.bfbs，此备份文件为生成电子加密标书时自动生成的文件）密封，邮寄到浙江中信工程咨询有限公司（寄件地址：兰溪市</w:t>
      </w:r>
      <w:r>
        <w:rPr>
          <w:rFonts w:hint="eastAsia"/>
          <w:b/>
          <w:bCs/>
          <w:sz w:val="21"/>
          <w:szCs w:val="21"/>
          <w:highlight w:val="none"/>
          <w:u w:val="single"/>
          <w:lang w:val="en-US"/>
        </w:rPr>
        <w:t>兰江街道同济路71号</w:t>
      </w:r>
      <w:r>
        <w:rPr>
          <w:rFonts w:hint="eastAsia"/>
          <w:b/>
          <w:bCs/>
          <w:sz w:val="21"/>
          <w:szCs w:val="21"/>
          <w:highlight w:val="none"/>
          <w:u w:val="single"/>
        </w:rPr>
        <w:t>，联系人：徐女士，联系电话：</w:t>
      </w:r>
      <w:r>
        <w:rPr>
          <w:rFonts w:hint="eastAsia"/>
          <w:b/>
          <w:bCs/>
          <w:sz w:val="21"/>
          <w:szCs w:val="21"/>
          <w:highlight w:val="none"/>
          <w:u w:val="single"/>
          <w:lang w:val="en-US" w:eastAsia="zh-CN"/>
        </w:rPr>
        <w:t>0579-88320832</w:t>
      </w:r>
      <w:r>
        <w:rPr>
          <w:rFonts w:hint="eastAsia"/>
          <w:b/>
          <w:bCs/>
          <w:sz w:val="21"/>
          <w:szCs w:val="21"/>
          <w:highlight w:val="none"/>
          <w:u w:val="single"/>
          <w:lang w:val="en-US"/>
        </w:rPr>
        <w:t xml:space="preserve"> </w:t>
      </w:r>
      <w:r>
        <w:rPr>
          <w:rFonts w:hint="eastAsia"/>
          <w:b/>
          <w:bCs/>
          <w:sz w:val="21"/>
          <w:szCs w:val="21"/>
          <w:highlight w:val="none"/>
          <w:u w:val="single"/>
        </w:rPr>
        <w:t>）</w:t>
      </w:r>
      <w:r>
        <w:rPr>
          <w:rFonts w:hint="eastAsia"/>
          <w:b/>
          <w:bCs/>
          <w:sz w:val="21"/>
          <w:szCs w:val="21"/>
          <w:highlight w:val="none"/>
        </w:rPr>
        <w:t>，</w:t>
      </w:r>
      <w:r>
        <w:rPr>
          <w:rStyle w:val="29"/>
          <w:rFonts w:hint="eastAsia"/>
          <w:szCs w:val="21"/>
          <w:highlight w:val="none"/>
        </w:rPr>
        <w:t>逾期送达（视为放弃投标）或未密封完好将被拒收</w:t>
      </w:r>
      <w:r>
        <w:rPr>
          <w:rFonts w:hint="eastAsia"/>
          <w:b/>
          <w:bCs/>
          <w:sz w:val="21"/>
          <w:szCs w:val="21"/>
          <w:highlight w:val="none"/>
        </w:rPr>
        <w:t>。备份文件不强制要求提交，未提供造成项目开评标活动无法进行下去的，投标无效，相关风险由投标人自行承担。</w:t>
      </w:r>
    </w:p>
    <w:p>
      <w:pPr>
        <w:spacing w:line="400" w:lineRule="exact"/>
        <w:ind w:firstLine="389" w:firstLineChars="176"/>
        <w:rPr>
          <w:b/>
          <w:bCs/>
          <w:sz w:val="21"/>
          <w:szCs w:val="21"/>
          <w:highlight w:val="none"/>
          <w:lang w:val="en-US"/>
        </w:rPr>
      </w:pPr>
      <w:r>
        <w:rPr>
          <w:rFonts w:hint="eastAsia"/>
          <w:b/>
          <w:highlight w:val="none"/>
          <w:u w:val="single"/>
        </w:rPr>
        <w:t>8.通过“政府采购云平台”上传递交的“电子加密投标文件”无法按时解密，投标人递交了备份投标文件的，以备份投标文件为依据，否则视为投标文件撤回。通过“政府采购云平台”上传递交的“电子加密投标文件”已按时解密的，“备份投标文件”自动失效。投标人仅递交备份投标文件的，投标无效。</w:t>
      </w:r>
    </w:p>
    <w:p>
      <w:pPr>
        <w:snapToGrid w:val="0"/>
        <w:spacing w:line="440" w:lineRule="exact"/>
        <w:ind w:firstLine="422" w:firstLineChars="200"/>
        <w:outlineLvl w:val="1"/>
        <w:rPr>
          <w:bCs/>
          <w:sz w:val="21"/>
          <w:szCs w:val="21"/>
          <w:highlight w:val="none"/>
        </w:rPr>
      </w:pPr>
      <w:r>
        <w:rPr>
          <w:rFonts w:hint="eastAsia"/>
          <w:b/>
          <w:bCs/>
          <w:sz w:val="21"/>
          <w:szCs w:val="21"/>
          <w:highlight w:val="none"/>
        </w:rPr>
        <w:t>十三、联系方式：</w:t>
      </w:r>
    </w:p>
    <w:p>
      <w:pPr>
        <w:widowControl/>
        <w:autoSpaceDE/>
        <w:autoSpaceDN/>
        <w:spacing w:line="420" w:lineRule="exact"/>
        <w:ind w:firstLine="420" w:firstLineChars="200"/>
        <w:rPr>
          <w:rFonts w:hint="default" w:eastAsia="宋体"/>
          <w:sz w:val="21"/>
          <w:szCs w:val="21"/>
          <w:highlight w:val="none"/>
          <w:lang w:val="en-US" w:eastAsia="zh-CN"/>
        </w:rPr>
      </w:pPr>
      <w:r>
        <w:rPr>
          <w:rFonts w:hint="eastAsia"/>
          <w:sz w:val="21"/>
          <w:szCs w:val="21"/>
          <w:highlight w:val="none"/>
        </w:rPr>
        <w:t>采购单位联系人：</w:t>
      </w:r>
      <w:r>
        <w:rPr>
          <w:rFonts w:hint="eastAsia"/>
          <w:sz w:val="21"/>
          <w:szCs w:val="21"/>
          <w:highlight w:val="none"/>
          <w:lang w:val="en-US" w:eastAsia="zh-CN"/>
        </w:rPr>
        <w:t xml:space="preserve">柳先生        </w:t>
      </w:r>
      <w:r>
        <w:rPr>
          <w:rFonts w:hint="eastAsia"/>
          <w:sz w:val="21"/>
          <w:szCs w:val="21"/>
          <w:highlight w:val="none"/>
        </w:rPr>
        <w:t>联系电话：</w:t>
      </w:r>
      <w:r>
        <w:rPr>
          <w:rFonts w:hint="eastAsia"/>
          <w:sz w:val="21"/>
          <w:szCs w:val="21"/>
          <w:highlight w:val="none"/>
          <w:lang w:val="en-US" w:eastAsia="zh-CN"/>
        </w:rPr>
        <w:t>15258932138</w:t>
      </w:r>
    </w:p>
    <w:p>
      <w:pPr>
        <w:widowControl/>
        <w:autoSpaceDE/>
        <w:autoSpaceDN/>
        <w:spacing w:line="420" w:lineRule="exact"/>
        <w:ind w:firstLine="420" w:firstLineChars="200"/>
        <w:rPr>
          <w:sz w:val="21"/>
          <w:szCs w:val="21"/>
          <w:highlight w:val="none"/>
          <w:lang w:val="en-US"/>
        </w:rPr>
      </w:pPr>
      <w:r>
        <w:rPr>
          <w:rFonts w:hint="eastAsia"/>
          <w:sz w:val="21"/>
          <w:szCs w:val="21"/>
          <w:highlight w:val="none"/>
          <w:lang w:val="en-US"/>
        </w:rPr>
        <w:t>质疑受理联系人：</w:t>
      </w:r>
      <w:r>
        <w:rPr>
          <w:rFonts w:hint="eastAsia"/>
          <w:sz w:val="21"/>
          <w:szCs w:val="21"/>
          <w:highlight w:val="none"/>
          <w:lang w:val="en-US" w:eastAsia="zh-CN"/>
        </w:rPr>
        <w:t>卢先生</w:t>
      </w:r>
      <w:r>
        <w:rPr>
          <w:rFonts w:hint="eastAsia"/>
          <w:sz w:val="21"/>
          <w:szCs w:val="21"/>
          <w:highlight w:val="none"/>
          <w:lang w:val="en-US"/>
        </w:rPr>
        <w:t xml:space="preserve"> </w:t>
      </w:r>
      <w:r>
        <w:rPr>
          <w:rFonts w:hint="eastAsia"/>
          <w:sz w:val="21"/>
          <w:szCs w:val="21"/>
          <w:highlight w:val="none"/>
          <w:lang w:val="en-US" w:eastAsia="zh-CN"/>
        </w:rPr>
        <w:t xml:space="preserve">       </w:t>
      </w:r>
      <w:r>
        <w:rPr>
          <w:rFonts w:hint="eastAsia"/>
          <w:sz w:val="21"/>
          <w:szCs w:val="21"/>
          <w:highlight w:val="none"/>
          <w:lang w:val="en-US"/>
        </w:rPr>
        <w:t>质疑联系电话：13588630368</w:t>
      </w:r>
    </w:p>
    <w:p>
      <w:pPr>
        <w:widowControl/>
        <w:autoSpaceDE/>
        <w:autoSpaceDN/>
        <w:spacing w:line="420" w:lineRule="exact"/>
        <w:ind w:firstLine="420" w:firstLineChars="200"/>
        <w:rPr>
          <w:sz w:val="21"/>
          <w:szCs w:val="21"/>
          <w:highlight w:val="none"/>
        </w:rPr>
      </w:pPr>
      <w:r>
        <w:rPr>
          <w:rFonts w:hint="eastAsia"/>
          <w:sz w:val="21"/>
          <w:szCs w:val="21"/>
          <w:highlight w:val="none"/>
        </w:rPr>
        <w:t>代理机构：浙江中信工程咨询有限公司</w:t>
      </w:r>
    </w:p>
    <w:p>
      <w:pPr>
        <w:autoSpaceDE/>
        <w:autoSpaceDN/>
        <w:snapToGrid w:val="0"/>
        <w:spacing w:line="420" w:lineRule="exact"/>
        <w:ind w:firstLine="420" w:firstLineChars="200"/>
        <w:outlineLvl w:val="1"/>
        <w:rPr>
          <w:sz w:val="21"/>
          <w:szCs w:val="21"/>
          <w:highlight w:val="none"/>
          <w:lang w:val="en-US"/>
        </w:rPr>
      </w:pPr>
      <w:r>
        <w:rPr>
          <w:rFonts w:hint="eastAsia"/>
          <w:sz w:val="21"/>
          <w:szCs w:val="21"/>
          <w:highlight w:val="none"/>
        </w:rPr>
        <w:t>联系人：</w:t>
      </w:r>
      <w:r>
        <w:rPr>
          <w:rFonts w:hint="eastAsia"/>
          <w:sz w:val="21"/>
          <w:szCs w:val="21"/>
          <w:highlight w:val="none"/>
          <w:lang w:val="en-US"/>
        </w:rPr>
        <w:t>徐女士</w:t>
      </w:r>
      <w:r>
        <w:rPr>
          <w:rFonts w:hint="eastAsia"/>
          <w:sz w:val="21"/>
          <w:szCs w:val="21"/>
          <w:highlight w:val="none"/>
          <w:lang w:val="en-US" w:eastAsia="zh-CN"/>
        </w:rPr>
        <w:t xml:space="preserve">          </w:t>
      </w:r>
      <w:r>
        <w:rPr>
          <w:rFonts w:hint="eastAsia"/>
          <w:sz w:val="21"/>
          <w:szCs w:val="21"/>
          <w:highlight w:val="none"/>
        </w:rPr>
        <w:t>联系电话：</w:t>
      </w:r>
      <w:r>
        <w:rPr>
          <w:rFonts w:hint="eastAsia"/>
          <w:sz w:val="21"/>
          <w:szCs w:val="21"/>
          <w:highlight w:val="none"/>
          <w:lang w:val="en-US"/>
        </w:rPr>
        <w:t>15727927561</w:t>
      </w:r>
    </w:p>
    <w:p>
      <w:pPr>
        <w:widowControl/>
        <w:autoSpaceDE/>
        <w:autoSpaceDN/>
        <w:spacing w:line="420" w:lineRule="exact"/>
        <w:ind w:firstLine="420" w:firstLineChars="200"/>
        <w:rPr>
          <w:sz w:val="21"/>
          <w:szCs w:val="21"/>
          <w:highlight w:val="none"/>
          <w:lang w:val="en-US"/>
        </w:rPr>
      </w:pPr>
      <w:r>
        <w:rPr>
          <w:rFonts w:hint="eastAsia"/>
          <w:sz w:val="21"/>
          <w:szCs w:val="21"/>
          <w:highlight w:val="none"/>
          <w:lang w:val="en-US"/>
        </w:rPr>
        <w:t>质疑受理联系人:何女士   质疑联系电话：</w:t>
      </w:r>
      <w:r>
        <w:rPr>
          <w:rFonts w:hint="eastAsia"/>
          <w:sz w:val="21"/>
          <w:szCs w:val="21"/>
          <w:highlight w:val="none"/>
        </w:rPr>
        <w:t>0579-</w:t>
      </w:r>
      <w:r>
        <w:rPr>
          <w:rFonts w:hint="eastAsia"/>
          <w:sz w:val="21"/>
          <w:szCs w:val="21"/>
          <w:highlight w:val="none"/>
          <w:lang w:val="en-US"/>
        </w:rPr>
        <w:t>88320832</w:t>
      </w:r>
    </w:p>
    <w:p>
      <w:pPr>
        <w:autoSpaceDE/>
        <w:autoSpaceDN/>
        <w:snapToGrid w:val="0"/>
        <w:spacing w:line="420" w:lineRule="exact"/>
        <w:ind w:firstLine="422" w:firstLineChars="200"/>
        <w:outlineLvl w:val="1"/>
        <w:rPr>
          <w:sz w:val="21"/>
          <w:szCs w:val="21"/>
          <w:highlight w:val="none"/>
          <w:lang w:val="en-US"/>
        </w:rPr>
      </w:pPr>
      <w:r>
        <w:rPr>
          <w:rFonts w:hint="eastAsia"/>
          <w:b/>
          <w:sz w:val="21"/>
          <w:szCs w:val="21"/>
          <w:highlight w:val="none"/>
        </w:rPr>
        <w:t>业务监管及投诉受理单位：</w:t>
      </w:r>
      <w:r>
        <w:rPr>
          <w:rFonts w:hint="eastAsia"/>
          <w:b/>
          <w:sz w:val="21"/>
          <w:szCs w:val="21"/>
          <w:highlight w:val="none"/>
          <w:u w:val="single"/>
        </w:rPr>
        <w:t>兰溪市政府采购管理办公室</w:t>
      </w:r>
      <w:r>
        <w:rPr>
          <w:rFonts w:hint="eastAsia"/>
          <w:sz w:val="21"/>
          <w:szCs w:val="21"/>
          <w:highlight w:val="none"/>
        </w:rPr>
        <w:t>；</w:t>
      </w:r>
    </w:p>
    <w:p>
      <w:pPr>
        <w:autoSpaceDE/>
        <w:autoSpaceDN/>
        <w:snapToGrid w:val="0"/>
        <w:spacing w:line="420" w:lineRule="exact"/>
        <w:ind w:firstLine="420" w:firstLineChars="200"/>
        <w:outlineLvl w:val="1"/>
        <w:rPr>
          <w:sz w:val="21"/>
          <w:szCs w:val="21"/>
          <w:highlight w:val="none"/>
        </w:rPr>
      </w:pPr>
      <w:r>
        <w:rPr>
          <w:rFonts w:hint="eastAsia"/>
          <w:sz w:val="21"/>
          <w:szCs w:val="21"/>
          <w:highlight w:val="none"/>
        </w:rPr>
        <w:t>联 系 人：楼  影</w:t>
      </w:r>
    </w:p>
    <w:p>
      <w:pPr>
        <w:autoSpaceDE/>
        <w:autoSpaceDN/>
        <w:snapToGrid w:val="0"/>
        <w:spacing w:line="420" w:lineRule="exact"/>
        <w:ind w:firstLine="420" w:firstLineChars="200"/>
        <w:outlineLvl w:val="1"/>
        <w:rPr>
          <w:b/>
          <w:bCs/>
          <w:sz w:val="21"/>
          <w:szCs w:val="21"/>
          <w:highlight w:val="none"/>
        </w:rPr>
      </w:pPr>
      <w:r>
        <w:rPr>
          <w:rFonts w:hint="eastAsia"/>
          <w:sz w:val="21"/>
          <w:szCs w:val="21"/>
          <w:highlight w:val="none"/>
        </w:rPr>
        <w:t>联系电话：0579-88903736</w:t>
      </w:r>
    </w:p>
    <w:p>
      <w:pPr>
        <w:snapToGrid w:val="0"/>
        <w:spacing w:line="440" w:lineRule="exact"/>
        <w:ind w:firstLine="420" w:firstLineChars="200"/>
        <w:outlineLvl w:val="1"/>
        <w:rPr>
          <w:sz w:val="21"/>
          <w:szCs w:val="21"/>
          <w:highlight w:val="none"/>
        </w:rPr>
      </w:pPr>
    </w:p>
    <w:p>
      <w:pPr>
        <w:snapToGrid w:val="0"/>
        <w:spacing w:line="440" w:lineRule="exact"/>
        <w:jc w:val="right"/>
        <w:outlineLvl w:val="1"/>
        <w:rPr>
          <w:sz w:val="21"/>
          <w:szCs w:val="21"/>
          <w:highlight w:val="none"/>
        </w:rPr>
      </w:pPr>
      <w:r>
        <w:rPr>
          <w:rFonts w:hint="eastAsia"/>
          <w:sz w:val="21"/>
          <w:szCs w:val="21"/>
          <w:highlight w:val="none"/>
        </w:rPr>
        <w:t>兰溪市交通运输局</w:t>
      </w:r>
    </w:p>
    <w:p>
      <w:pPr>
        <w:snapToGrid w:val="0"/>
        <w:spacing w:line="440" w:lineRule="exact"/>
        <w:jc w:val="right"/>
        <w:outlineLvl w:val="1"/>
        <w:rPr>
          <w:sz w:val="21"/>
          <w:szCs w:val="21"/>
          <w:highlight w:val="none"/>
        </w:rPr>
      </w:pPr>
      <w:r>
        <w:rPr>
          <w:rFonts w:hint="eastAsia"/>
          <w:sz w:val="21"/>
          <w:szCs w:val="21"/>
          <w:highlight w:val="none"/>
        </w:rPr>
        <w:t xml:space="preserve">                   浙江</w:t>
      </w:r>
      <w:r>
        <w:rPr>
          <w:rFonts w:hint="eastAsia"/>
          <w:sz w:val="21"/>
          <w:szCs w:val="21"/>
          <w:highlight w:val="none"/>
          <w:lang w:val="en-US"/>
        </w:rPr>
        <w:t>中信工程咨询有限公司</w:t>
      </w:r>
    </w:p>
    <w:p>
      <w:pPr>
        <w:snapToGrid w:val="0"/>
        <w:spacing w:line="440" w:lineRule="exact"/>
        <w:jc w:val="right"/>
        <w:outlineLvl w:val="1"/>
        <w:rPr>
          <w:highlight w:val="none"/>
        </w:rPr>
      </w:pPr>
      <w:r>
        <w:rPr>
          <w:rFonts w:hint="eastAsia"/>
          <w:sz w:val="21"/>
          <w:szCs w:val="21"/>
          <w:highlight w:val="none"/>
        </w:rPr>
        <w:t>二〇二</w:t>
      </w:r>
      <w:r>
        <w:rPr>
          <w:rFonts w:hint="eastAsia"/>
          <w:sz w:val="21"/>
          <w:szCs w:val="21"/>
          <w:highlight w:val="none"/>
          <w:lang w:val="en-US"/>
        </w:rPr>
        <w:t>二</w:t>
      </w:r>
      <w:r>
        <w:rPr>
          <w:rFonts w:hint="eastAsia"/>
          <w:sz w:val="21"/>
          <w:szCs w:val="21"/>
          <w:highlight w:val="none"/>
        </w:rPr>
        <w:t>年</w:t>
      </w:r>
      <w:r>
        <w:rPr>
          <w:rFonts w:hint="eastAsia"/>
          <w:sz w:val="21"/>
          <w:szCs w:val="21"/>
          <w:highlight w:val="none"/>
          <w:lang w:val="en-US" w:eastAsia="zh-CN"/>
        </w:rPr>
        <w:t>五</w:t>
      </w:r>
      <w:r>
        <w:rPr>
          <w:rFonts w:hint="eastAsia"/>
          <w:sz w:val="21"/>
          <w:szCs w:val="21"/>
          <w:highlight w:val="none"/>
          <w:lang w:val="en-US"/>
        </w:rPr>
        <w:t>月</w:t>
      </w:r>
      <w:r>
        <w:rPr>
          <w:rFonts w:hint="eastAsia"/>
          <w:sz w:val="21"/>
          <w:szCs w:val="21"/>
          <w:highlight w:val="none"/>
          <w:lang w:val="en-US" w:eastAsia="zh-CN"/>
        </w:rPr>
        <w:t>十八</w:t>
      </w:r>
      <w:r>
        <w:rPr>
          <w:rFonts w:hint="eastAsia"/>
          <w:sz w:val="21"/>
          <w:szCs w:val="21"/>
          <w:highlight w:val="none"/>
        </w:rPr>
        <w:t>日</w:t>
      </w:r>
    </w:p>
    <w:p>
      <w:pPr>
        <w:pStyle w:val="47"/>
        <w:rPr>
          <w:rFonts w:ascii="宋体" w:hAnsi="宋体" w:eastAsia="宋体" w:cs="宋体"/>
          <w:highlight w:val="none"/>
        </w:rPr>
      </w:pPr>
    </w:p>
    <w:p>
      <w:pPr>
        <w:pStyle w:val="47"/>
        <w:spacing w:line="460" w:lineRule="exact"/>
        <w:ind w:firstLine="420" w:firstLineChars="200"/>
        <w:rPr>
          <w:rFonts w:ascii="宋体" w:hAnsi="宋体" w:eastAsia="宋体" w:cs="宋体"/>
          <w:kern w:val="2"/>
          <w:sz w:val="21"/>
          <w:szCs w:val="21"/>
          <w:highlight w:val="none"/>
        </w:rPr>
      </w:pPr>
      <w:r>
        <w:rPr>
          <w:rFonts w:hint="eastAsia" w:ascii="宋体" w:hAnsi="宋体" w:eastAsia="宋体" w:cs="宋体"/>
          <w:kern w:val="2"/>
          <w:sz w:val="21"/>
          <w:szCs w:val="21"/>
          <w:highlight w:val="none"/>
        </w:rPr>
        <w:t xml:space="preserve">若对项目采购电子交易系统操作有疑问，可登录政采云（https://www.zcygov.cn/），点击右侧咨询小采，获取采小蜜智能服务管家帮助，或拨打政采云服务热线400-881-7190获取热线服务帮助。       </w:t>
      </w:r>
    </w:p>
    <w:p>
      <w:pPr>
        <w:pStyle w:val="47"/>
        <w:spacing w:line="460" w:lineRule="exact"/>
        <w:ind w:firstLine="420" w:firstLineChars="200"/>
        <w:rPr>
          <w:sz w:val="3"/>
          <w:highlight w:val="none"/>
        </w:rPr>
      </w:pPr>
      <w:r>
        <w:rPr>
          <w:rFonts w:hint="eastAsia" w:ascii="宋体" w:hAnsi="宋体" w:eastAsia="宋体" w:cs="宋体"/>
          <w:kern w:val="2"/>
          <w:sz w:val="21"/>
          <w:szCs w:val="21"/>
          <w:highlight w:val="none"/>
        </w:rPr>
        <w:t>CA问题联系电话（人工）：汇信CA 400-888-4636；天谷CA 400-087-8198。</w:t>
      </w:r>
    </w:p>
    <w:p>
      <w:pPr>
        <w:pStyle w:val="13"/>
        <w:spacing w:before="11"/>
        <w:rPr>
          <w:sz w:val="3"/>
          <w:highlight w:val="none"/>
        </w:rPr>
      </w:pPr>
    </w:p>
    <w:p>
      <w:pPr>
        <w:pStyle w:val="13"/>
        <w:spacing w:before="11"/>
        <w:rPr>
          <w:sz w:val="3"/>
          <w:highlight w:val="none"/>
        </w:rPr>
      </w:pPr>
    </w:p>
    <w:p>
      <w:pPr>
        <w:pStyle w:val="13"/>
        <w:spacing w:before="11"/>
        <w:rPr>
          <w:sz w:val="3"/>
          <w:highlight w:val="none"/>
        </w:rPr>
      </w:pPr>
    </w:p>
    <w:p>
      <w:pPr>
        <w:pStyle w:val="13"/>
        <w:spacing w:line="57" w:lineRule="exact"/>
        <w:ind w:left="238"/>
        <w:rPr>
          <w:sz w:val="5"/>
          <w:highlight w:val="none"/>
        </w:rPr>
      </w:pPr>
    </w:p>
    <w:p>
      <w:pPr>
        <w:pStyle w:val="3"/>
        <w:tabs>
          <w:tab w:val="left" w:pos="1283"/>
        </w:tabs>
        <w:ind w:right="0"/>
        <w:rPr>
          <w:highlight w:val="none"/>
        </w:rPr>
      </w:pPr>
      <w:r>
        <w:rPr>
          <w:rFonts w:hint="eastAsia"/>
          <w:highlight w:val="none"/>
        </w:rPr>
        <w:t>第二章</w:t>
      </w:r>
      <w:r>
        <w:rPr>
          <w:rFonts w:hint="eastAsia"/>
          <w:highlight w:val="none"/>
        </w:rPr>
        <w:tab/>
      </w:r>
      <w:r>
        <w:rPr>
          <w:rFonts w:hint="eastAsia"/>
          <w:highlight w:val="none"/>
        </w:rPr>
        <w:t>前附表</w:t>
      </w:r>
    </w:p>
    <w:tbl>
      <w:tblPr>
        <w:tblStyle w:val="26"/>
        <w:tblW w:w="97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9"/>
        <w:gridCol w:w="2394"/>
        <w:gridCol w:w="65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69" w:type="dxa"/>
            <w:vAlign w:val="center"/>
          </w:tcPr>
          <w:p>
            <w:pPr>
              <w:pStyle w:val="35"/>
              <w:keepNext w:val="0"/>
              <w:keepLines w:val="0"/>
              <w:pageBreakBefore w:val="0"/>
              <w:kinsoku/>
              <w:wordWrap/>
              <w:overflowPunct/>
              <w:topLinePunct w:val="0"/>
              <w:bidi w:val="0"/>
              <w:adjustRightInd/>
              <w:spacing w:line="400" w:lineRule="exact"/>
              <w:ind w:left="0" w:left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8917" w:type="dxa"/>
            <w:gridSpan w:val="2"/>
            <w:vAlign w:val="center"/>
          </w:tcPr>
          <w:p>
            <w:pPr>
              <w:pStyle w:val="35"/>
              <w:keepNext w:val="0"/>
              <w:keepLines w:val="0"/>
              <w:pageBreakBefore w:val="0"/>
              <w:kinsoku/>
              <w:wordWrap/>
              <w:overflowPunct/>
              <w:topLinePunct w:val="0"/>
              <w:bidi w:val="0"/>
              <w:adjustRightInd/>
              <w:spacing w:line="400" w:lineRule="exact"/>
              <w:ind w:left="0" w:leftChars="0"/>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内容、要求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869" w:type="dxa"/>
            <w:vAlign w:val="center"/>
          </w:tcPr>
          <w:p>
            <w:pPr>
              <w:pStyle w:val="35"/>
              <w:keepNext w:val="0"/>
              <w:keepLines w:val="0"/>
              <w:pageBreakBefore w:val="0"/>
              <w:kinsoku/>
              <w:wordWrap/>
              <w:overflowPunct/>
              <w:topLinePunct w:val="0"/>
              <w:bidi w:val="0"/>
              <w:adjustRightInd/>
              <w:spacing w:line="400" w:lineRule="exact"/>
              <w:ind w:left="0" w:leftChars="0"/>
              <w:jc w:val="center"/>
              <w:textAlignment w:val="auto"/>
              <w:rPr>
                <w:rFonts w:hint="eastAsia" w:ascii="宋体" w:hAnsi="宋体" w:eastAsia="宋体" w:cs="宋体"/>
                <w:sz w:val="21"/>
                <w:szCs w:val="21"/>
                <w:highlight w:val="none"/>
              </w:rPr>
            </w:pPr>
            <w:r>
              <w:rPr>
                <w:rFonts w:hint="eastAsia" w:ascii="宋体" w:hAnsi="宋体" w:eastAsia="宋体" w:cs="宋体"/>
                <w:w w:val="99"/>
                <w:sz w:val="21"/>
                <w:szCs w:val="21"/>
                <w:highlight w:val="none"/>
              </w:rPr>
              <w:t>1</w:t>
            </w:r>
          </w:p>
        </w:tc>
        <w:tc>
          <w:tcPr>
            <w:tcW w:w="8917" w:type="dxa"/>
            <w:gridSpan w:val="2"/>
            <w:vAlign w:val="center"/>
          </w:tcPr>
          <w:p>
            <w:pPr>
              <w:pStyle w:val="35"/>
              <w:keepNext w:val="0"/>
              <w:keepLines w:val="0"/>
              <w:pageBreakBefore w:val="0"/>
              <w:kinsoku/>
              <w:wordWrap/>
              <w:overflowPunct/>
              <w:topLinePunct w:val="0"/>
              <w:bidi w:val="0"/>
              <w:adjustRightInd/>
              <w:spacing w:line="400" w:lineRule="exact"/>
              <w:ind w:left="0" w:left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项目名称：兰溪市综合交通“十四五”规划落地方案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trPr>
        <w:tc>
          <w:tcPr>
            <w:tcW w:w="869" w:type="dxa"/>
            <w:vAlign w:val="center"/>
          </w:tcPr>
          <w:p>
            <w:pPr>
              <w:pStyle w:val="35"/>
              <w:keepNext w:val="0"/>
              <w:keepLines w:val="0"/>
              <w:pageBreakBefore w:val="0"/>
              <w:kinsoku/>
              <w:wordWrap/>
              <w:overflowPunct/>
              <w:topLinePunct w:val="0"/>
              <w:bidi w:val="0"/>
              <w:adjustRightInd/>
              <w:spacing w:line="400" w:lineRule="exact"/>
              <w:ind w:left="0" w:leftChars="0"/>
              <w:jc w:val="center"/>
              <w:textAlignment w:val="auto"/>
              <w:rPr>
                <w:rFonts w:hint="eastAsia" w:ascii="宋体" w:hAnsi="宋体" w:eastAsia="宋体" w:cs="宋体"/>
                <w:sz w:val="21"/>
                <w:szCs w:val="21"/>
                <w:highlight w:val="none"/>
              </w:rPr>
            </w:pPr>
            <w:r>
              <w:rPr>
                <w:rFonts w:hint="eastAsia" w:ascii="宋体" w:hAnsi="宋体" w:eastAsia="宋体" w:cs="宋体"/>
                <w:w w:val="99"/>
                <w:sz w:val="21"/>
                <w:szCs w:val="21"/>
                <w:highlight w:val="none"/>
              </w:rPr>
              <w:t>2</w:t>
            </w:r>
          </w:p>
        </w:tc>
        <w:tc>
          <w:tcPr>
            <w:tcW w:w="8917" w:type="dxa"/>
            <w:gridSpan w:val="2"/>
            <w:vAlign w:val="center"/>
          </w:tcPr>
          <w:p>
            <w:pPr>
              <w:pStyle w:val="35"/>
              <w:keepNext w:val="0"/>
              <w:keepLines w:val="0"/>
              <w:pageBreakBefore w:val="0"/>
              <w:kinsoku/>
              <w:wordWrap/>
              <w:overflowPunct/>
              <w:topLinePunct w:val="0"/>
              <w:bidi w:val="0"/>
              <w:adjustRightInd/>
              <w:spacing w:line="400" w:lineRule="exact"/>
              <w:ind w:left="0" w:left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采购数量及单位：详见第三章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869" w:type="dxa"/>
            <w:vAlign w:val="center"/>
          </w:tcPr>
          <w:p>
            <w:pPr>
              <w:pStyle w:val="35"/>
              <w:keepNext w:val="0"/>
              <w:keepLines w:val="0"/>
              <w:pageBreakBefore w:val="0"/>
              <w:kinsoku/>
              <w:wordWrap/>
              <w:overflowPunct/>
              <w:topLinePunct w:val="0"/>
              <w:bidi w:val="0"/>
              <w:adjustRightInd/>
              <w:spacing w:line="400" w:lineRule="exact"/>
              <w:ind w:left="0" w:leftChars="0"/>
              <w:jc w:val="center"/>
              <w:textAlignment w:val="auto"/>
              <w:rPr>
                <w:rFonts w:hint="eastAsia" w:ascii="宋体" w:hAnsi="宋体" w:eastAsia="宋体" w:cs="宋体"/>
                <w:sz w:val="21"/>
                <w:szCs w:val="21"/>
                <w:highlight w:val="none"/>
              </w:rPr>
            </w:pPr>
            <w:r>
              <w:rPr>
                <w:rFonts w:hint="eastAsia" w:ascii="宋体" w:hAnsi="宋体" w:eastAsia="宋体" w:cs="宋体"/>
                <w:w w:val="99"/>
                <w:sz w:val="21"/>
                <w:szCs w:val="21"/>
                <w:highlight w:val="none"/>
              </w:rPr>
              <w:t>3</w:t>
            </w:r>
          </w:p>
        </w:tc>
        <w:tc>
          <w:tcPr>
            <w:tcW w:w="8917" w:type="dxa"/>
            <w:gridSpan w:val="2"/>
            <w:vAlign w:val="center"/>
          </w:tcPr>
          <w:p>
            <w:pPr>
              <w:pStyle w:val="35"/>
              <w:keepNext w:val="0"/>
              <w:keepLines w:val="0"/>
              <w:pageBreakBefore w:val="0"/>
              <w:kinsoku/>
              <w:wordWrap/>
              <w:overflowPunct/>
              <w:topLinePunct w:val="0"/>
              <w:bidi w:val="0"/>
              <w:adjustRightInd/>
              <w:spacing w:line="400" w:lineRule="exact"/>
              <w:ind w:left="0" w:left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现场踏勘：无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869" w:type="dxa"/>
            <w:vAlign w:val="center"/>
          </w:tcPr>
          <w:p>
            <w:pPr>
              <w:pStyle w:val="35"/>
              <w:keepNext w:val="0"/>
              <w:keepLines w:val="0"/>
              <w:pageBreakBefore w:val="0"/>
              <w:kinsoku/>
              <w:wordWrap/>
              <w:overflowPunct/>
              <w:topLinePunct w:val="0"/>
              <w:bidi w:val="0"/>
              <w:adjustRightInd/>
              <w:spacing w:line="400" w:lineRule="exact"/>
              <w:ind w:left="0" w:leftChars="0"/>
              <w:jc w:val="center"/>
              <w:textAlignment w:val="auto"/>
              <w:rPr>
                <w:rFonts w:hint="eastAsia" w:ascii="宋体" w:hAnsi="宋体" w:eastAsia="宋体" w:cs="宋体"/>
                <w:b/>
                <w:sz w:val="21"/>
                <w:szCs w:val="21"/>
                <w:highlight w:val="none"/>
              </w:rPr>
            </w:pPr>
          </w:p>
          <w:p>
            <w:pPr>
              <w:pStyle w:val="35"/>
              <w:keepNext w:val="0"/>
              <w:keepLines w:val="0"/>
              <w:pageBreakBefore w:val="0"/>
              <w:kinsoku/>
              <w:wordWrap/>
              <w:overflowPunct/>
              <w:topLinePunct w:val="0"/>
              <w:bidi w:val="0"/>
              <w:adjustRightInd/>
              <w:spacing w:line="400" w:lineRule="exact"/>
              <w:ind w:left="0" w:leftChars="0"/>
              <w:jc w:val="center"/>
              <w:textAlignment w:val="auto"/>
              <w:rPr>
                <w:rFonts w:hint="eastAsia" w:ascii="宋体" w:hAnsi="宋体" w:eastAsia="宋体" w:cs="宋体"/>
                <w:sz w:val="21"/>
                <w:szCs w:val="21"/>
                <w:highlight w:val="none"/>
              </w:rPr>
            </w:pPr>
            <w:r>
              <w:rPr>
                <w:rFonts w:hint="eastAsia" w:ascii="宋体" w:hAnsi="宋体" w:eastAsia="宋体" w:cs="宋体"/>
                <w:w w:val="99"/>
                <w:sz w:val="21"/>
                <w:szCs w:val="21"/>
                <w:highlight w:val="none"/>
              </w:rPr>
              <w:t>4</w:t>
            </w:r>
          </w:p>
        </w:tc>
        <w:tc>
          <w:tcPr>
            <w:tcW w:w="8917" w:type="dxa"/>
            <w:gridSpan w:val="2"/>
            <w:vAlign w:val="center"/>
          </w:tcPr>
          <w:p>
            <w:pPr>
              <w:pStyle w:val="35"/>
              <w:keepNext w:val="0"/>
              <w:keepLines w:val="0"/>
              <w:pageBreakBefore w:val="0"/>
              <w:kinsoku/>
              <w:wordWrap/>
              <w:overflowPunct/>
              <w:topLinePunct w:val="0"/>
              <w:bidi w:val="0"/>
              <w:adjustRightInd/>
              <w:spacing w:line="400" w:lineRule="exact"/>
              <w:ind w:left="0" w:left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投标报价及费用：1、本项目投标应以人民币报价；2、本项目</w:t>
            </w:r>
            <w:r>
              <w:rPr>
                <w:rFonts w:hint="eastAsia" w:ascii="宋体" w:hAnsi="宋体" w:eastAsia="宋体" w:cs="宋体"/>
                <w:sz w:val="21"/>
                <w:szCs w:val="21"/>
                <w:highlight w:val="none"/>
                <w:lang w:val="en-US" w:eastAsia="zh-CN"/>
              </w:rPr>
              <w:t>在</w:t>
            </w:r>
            <w:r>
              <w:rPr>
                <w:rFonts w:hint="eastAsia" w:ascii="宋体" w:hAnsi="宋体" w:eastAsia="宋体" w:cs="宋体"/>
                <w:sz w:val="21"/>
                <w:szCs w:val="21"/>
                <w:highlight w:val="none"/>
              </w:rPr>
              <w:t>参照《计价格［20</w:t>
            </w:r>
            <w:r>
              <w:rPr>
                <w:rFonts w:hint="eastAsia" w:ascii="宋体" w:hAnsi="宋体" w:eastAsia="宋体" w:cs="宋体"/>
                <w:sz w:val="21"/>
                <w:szCs w:val="21"/>
                <w:highlight w:val="none"/>
                <w:lang w:val="en-US"/>
              </w:rPr>
              <w:t>11</w:t>
            </w:r>
            <w:r>
              <w:rPr>
                <w:rFonts w:hint="eastAsia" w:ascii="宋体" w:hAnsi="宋体" w:eastAsia="宋体" w:cs="宋体"/>
                <w:sz w:val="21"/>
                <w:szCs w:val="21"/>
                <w:highlight w:val="none"/>
              </w:rPr>
              <w:t xml:space="preserve">］ </w:t>
            </w:r>
            <w:r>
              <w:rPr>
                <w:rFonts w:hint="eastAsia" w:ascii="宋体" w:hAnsi="宋体" w:eastAsia="宋体" w:cs="宋体"/>
                <w:sz w:val="21"/>
                <w:szCs w:val="21"/>
                <w:highlight w:val="none"/>
                <w:lang w:val="en-US"/>
              </w:rPr>
              <w:t>534</w:t>
            </w:r>
            <w:r>
              <w:rPr>
                <w:rFonts w:hint="eastAsia" w:ascii="宋体" w:hAnsi="宋体" w:eastAsia="宋体" w:cs="宋体"/>
                <w:sz w:val="21"/>
                <w:szCs w:val="21"/>
                <w:highlight w:val="none"/>
              </w:rPr>
              <w:t>号》及《发改办价格［2003］857 号》文件规定的计算标准</w:t>
            </w:r>
            <w:r>
              <w:rPr>
                <w:rFonts w:hint="eastAsia" w:ascii="宋体" w:hAnsi="宋体" w:eastAsia="宋体" w:cs="宋体"/>
                <w:sz w:val="21"/>
                <w:szCs w:val="21"/>
                <w:highlight w:val="none"/>
                <w:lang w:val="en-US" w:eastAsia="zh-CN"/>
              </w:rPr>
              <w:t>基础上，经采购单位与代理单位协商收取代理服务费</w:t>
            </w:r>
            <w:r>
              <w:rPr>
                <w:rFonts w:hint="eastAsia" w:ascii="宋体" w:hAnsi="宋体" w:eastAsia="宋体" w:cs="宋体"/>
                <w:sz w:val="21"/>
                <w:szCs w:val="21"/>
                <w:highlight w:val="none"/>
                <w:u w:val="single"/>
                <w:lang w:val="en-US" w:eastAsia="zh-CN"/>
              </w:rPr>
              <w:t xml:space="preserve"> 35000 </w:t>
            </w:r>
            <w:r>
              <w:rPr>
                <w:rFonts w:hint="eastAsia" w:ascii="宋体" w:hAnsi="宋体" w:eastAsia="宋体" w:cs="宋体"/>
                <w:sz w:val="21"/>
                <w:szCs w:val="21"/>
                <w:highlight w:val="none"/>
                <w:lang w:val="en-US" w:eastAsia="zh-CN"/>
              </w:rPr>
              <w:t>元，</w:t>
            </w:r>
            <w:r>
              <w:rPr>
                <w:rFonts w:hint="eastAsia" w:ascii="宋体" w:hAnsi="宋体" w:eastAsia="宋体" w:cs="宋体"/>
                <w:sz w:val="21"/>
                <w:szCs w:val="21"/>
                <w:highlight w:val="none"/>
              </w:rPr>
              <w:t>由中标供应商支付；3、不论投标结果如何，投标人均应自行承担所有与投标有关的全部费用。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7" w:hRule="atLeast"/>
        </w:trPr>
        <w:tc>
          <w:tcPr>
            <w:tcW w:w="869" w:type="dxa"/>
            <w:vAlign w:val="center"/>
          </w:tcPr>
          <w:p>
            <w:pPr>
              <w:pStyle w:val="35"/>
              <w:keepNext w:val="0"/>
              <w:keepLines w:val="0"/>
              <w:pageBreakBefore w:val="0"/>
              <w:kinsoku/>
              <w:wordWrap/>
              <w:overflowPunct/>
              <w:topLinePunct w:val="0"/>
              <w:bidi w:val="0"/>
              <w:adjustRightInd/>
              <w:spacing w:line="400" w:lineRule="exact"/>
              <w:ind w:left="0" w:leftChars="0"/>
              <w:jc w:val="center"/>
              <w:textAlignment w:val="auto"/>
              <w:rPr>
                <w:rFonts w:hint="eastAsia" w:ascii="宋体" w:hAnsi="宋体" w:eastAsia="宋体" w:cs="宋体"/>
                <w:b/>
                <w:sz w:val="21"/>
                <w:szCs w:val="21"/>
                <w:highlight w:val="none"/>
              </w:rPr>
            </w:pPr>
          </w:p>
          <w:p>
            <w:pPr>
              <w:pStyle w:val="35"/>
              <w:keepNext w:val="0"/>
              <w:keepLines w:val="0"/>
              <w:pageBreakBefore w:val="0"/>
              <w:kinsoku/>
              <w:wordWrap/>
              <w:overflowPunct/>
              <w:topLinePunct w:val="0"/>
              <w:bidi w:val="0"/>
              <w:adjustRightInd/>
              <w:spacing w:line="400" w:lineRule="exact"/>
              <w:ind w:left="0" w:leftChars="0"/>
              <w:jc w:val="center"/>
              <w:textAlignment w:val="auto"/>
              <w:rPr>
                <w:rFonts w:hint="eastAsia" w:ascii="宋体" w:hAnsi="宋体" w:eastAsia="宋体" w:cs="宋体"/>
                <w:b/>
                <w:sz w:val="21"/>
                <w:szCs w:val="21"/>
                <w:highlight w:val="none"/>
              </w:rPr>
            </w:pPr>
          </w:p>
          <w:p>
            <w:pPr>
              <w:pStyle w:val="35"/>
              <w:keepNext w:val="0"/>
              <w:keepLines w:val="0"/>
              <w:pageBreakBefore w:val="0"/>
              <w:kinsoku/>
              <w:wordWrap/>
              <w:overflowPunct/>
              <w:topLinePunct w:val="0"/>
              <w:bidi w:val="0"/>
              <w:adjustRightInd/>
              <w:spacing w:line="400" w:lineRule="exact"/>
              <w:ind w:left="0" w:leftChars="0"/>
              <w:jc w:val="center"/>
              <w:textAlignment w:val="auto"/>
              <w:rPr>
                <w:rFonts w:hint="eastAsia" w:ascii="宋体" w:hAnsi="宋体" w:eastAsia="宋体" w:cs="宋体"/>
                <w:sz w:val="21"/>
                <w:szCs w:val="21"/>
                <w:highlight w:val="none"/>
              </w:rPr>
            </w:pPr>
            <w:r>
              <w:rPr>
                <w:rFonts w:hint="eastAsia" w:ascii="宋体" w:hAnsi="宋体" w:eastAsia="宋体" w:cs="宋体"/>
                <w:w w:val="99"/>
                <w:sz w:val="21"/>
                <w:szCs w:val="21"/>
                <w:highlight w:val="none"/>
              </w:rPr>
              <w:t>5</w:t>
            </w:r>
          </w:p>
        </w:tc>
        <w:tc>
          <w:tcPr>
            <w:tcW w:w="8917" w:type="dxa"/>
            <w:gridSpan w:val="2"/>
            <w:vAlign w:val="center"/>
          </w:tcPr>
          <w:p>
            <w:pPr>
              <w:pStyle w:val="35"/>
              <w:keepNext w:val="0"/>
              <w:keepLines w:val="0"/>
              <w:pageBreakBefore w:val="0"/>
              <w:kinsoku/>
              <w:wordWrap/>
              <w:overflowPunct/>
              <w:topLinePunct w:val="0"/>
              <w:bidi w:val="0"/>
              <w:adjustRightInd/>
              <w:spacing w:line="400" w:lineRule="exact"/>
              <w:ind w:left="0" w:left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答疑与澄清：投标人如认为招标文件表述不清晰、存在歧视性或者其它违法内容的，应当于招标公告“质疑及投诉”款规定的时间前，以书面形式一次性提出，要求招标采购单位和招标组织单位作出书面解释、澄清。招标组织单位将于规定时间前将答疑内容以网上发布公告的形式通知所有已报名的供应商；答疑内容是招标文件的组成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69" w:type="dxa"/>
            <w:vAlign w:val="center"/>
          </w:tcPr>
          <w:p>
            <w:pPr>
              <w:pStyle w:val="35"/>
              <w:keepNext w:val="0"/>
              <w:keepLines w:val="0"/>
              <w:pageBreakBefore w:val="0"/>
              <w:kinsoku/>
              <w:wordWrap/>
              <w:overflowPunct/>
              <w:topLinePunct w:val="0"/>
              <w:bidi w:val="0"/>
              <w:adjustRightInd/>
              <w:spacing w:line="400" w:lineRule="exact"/>
              <w:ind w:left="0" w:leftChars="0"/>
              <w:jc w:val="center"/>
              <w:textAlignment w:val="auto"/>
              <w:rPr>
                <w:rFonts w:hint="eastAsia" w:ascii="宋体" w:hAnsi="宋体" w:eastAsia="宋体" w:cs="宋体"/>
                <w:w w:val="99"/>
                <w:sz w:val="21"/>
                <w:szCs w:val="21"/>
                <w:highlight w:val="none"/>
              </w:rPr>
            </w:pPr>
          </w:p>
          <w:p>
            <w:pPr>
              <w:pStyle w:val="35"/>
              <w:keepNext w:val="0"/>
              <w:keepLines w:val="0"/>
              <w:pageBreakBefore w:val="0"/>
              <w:kinsoku/>
              <w:wordWrap/>
              <w:overflowPunct/>
              <w:topLinePunct w:val="0"/>
              <w:bidi w:val="0"/>
              <w:adjustRightInd/>
              <w:spacing w:line="400" w:lineRule="exact"/>
              <w:ind w:left="0" w:leftChars="0"/>
              <w:jc w:val="center"/>
              <w:textAlignment w:val="auto"/>
              <w:rPr>
                <w:rFonts w:hint="eastAsia" w:ascii="宋体" w:hAnsi="宋体" w:eastAsia="宋体" w:cs="宋体"/>
                <w:sz w:val="21"/>
                <w:szCs w:val="21"/>
                <w:highlight w:val="none"/>
              </w:rPr>
            </w:pPr>
            <w:r>
              <w:rPr>
                <w:rFonts w:hint="eastAsia" w:ascii="宋体" w:hAnsi="宋体" w:eastAsia="宋体" w:cs="宋体"/>
                <w:w w:val="99"/>
                <w:sz w:val="21"/>
                <w:szCs w:val="21"/>
                <w:highlight w:val="none"/>
              </w:rPr>
              <w:t>6</w:t>
            </w:r>
          </w:p>
        </w:tc>
        <w:tc>
          <w:tcPr>
            <w:tcW w:w="8917" w:type="dxa"/>
            <w:gridSpan w:val="2"/>
            <w:vAlign w:val="center"/>
          </w:tcPr>
          <w:p>
            <w:pPr>
              <w:pStyle w:val="35"/>
              <w:keepNext w:val="0"/>
              <w:keepLines w:val="0"/>
              <w:pageBreakBefore w:val="0"/>
              <w:kinsoku/>
              <w:wordWrap/>
              <w:overflowPunct/>
              <w:topLinePunct w:val="0"/>
              <w:bidi w:val="0"/>
              <w:adjustRightInd/>
              <w:spacing w:line="400" w:lineRule="exact"/>
              <w:ind w:left="0" w:left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投标文件组成：资格证明文件、</w:t>
            </w:r>
            <w:r>
              <w:rPr>
                <w:rFonts w:hint="eastAsia" w:ascii="宋体" w:hAnsi="宋体" w:eastAsia="宋体" w:cs="宋体"/>
                <w:sz w:val="21"/>
                <w:szCs w:val="21"/>
                <w:highlight w:val="none"/>
                <w:lang w:val="en-US" w:eastAsia="zh-CN"/>
              </w:rPr>
              <w:t>技术资信标</w:t>
            </w:r>
            <w:r>
              <w:rPr>
                <w:rFonts w:hint="eastAsia" w:ascii="宋体" w:hAnsi="宋体" w:eastAsia="宋体" w:cs="宋体"/>
                <w:sz w:val="21"/>
                <w:szCs w:val="21"/>
                <w:highlight w:val="none"/>
              </w:rPr>
              <w:t>、价格标。注：递交电子版备份响应文件介质可以是U盘或DVD光盘（包括资格证明文件；</w:t>
            </w:r>
            <w:r>
              <w:rPr>
                <w:rFonts w:hint="eastAsia" w:ascii="宋体" w:hAnsi="宋体" w:eastAsia="宋体" w:cs="宋体"/>
                <w:sz w:val="21"/>
                <w:szCs w:val="21"/>
                <w:highlight w:val="none"/>
                <w:lang w:eastAsia="zh-CN"/>
              </w:rPr>
              <w:t>技术资信标</w:t>
            </w:r>
            <w:r>
              <w:rPr>
                <w:rFonts w:hint="eastAsia" w:ascii="宋体" w:hAnsi="宋体" w:eastAsia="宋体" w:cs="宋体"/>
                <w:sz w:val="21"/>
                <w:szCs w:val="21"/>
                <w:highlight w:val="none"/>
              </w:rPr>
              <w:t>；价格标）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7" w:hRule="atLeast"/>
        </w:trPr>
        <w:tc>
          <w:tcPr>
            <w:tcW w:w="869" w:type="dxa"/>
            <w:vAlign w:val="center"/>
          </w:tcPr>
          <w:p>
            <w:pPr>
              <w:pStyle w:val="35"/>
              <w:keepNext w:val="0"/>
              <w:keepLines w:val="0"/>
              <w:pageBreakBefore w:val="0"/>
              <w:kinsoku/>
              <w:wordWrap/>
              <w:overflowPunct/>
              <w:topLinePunct w:val="0"/>
              <w:bidi w:val="0"/>
              <w:adjustRightInd/>
              <w:spacing w:line="400" w:lineRule="exact"/>
              <w:ind w:left="0" w:leftChars="0"/>
              <w:jc w:val="center"/>
              <w:textAlignment w:val="auto"/>
              <w:rPr>
                <w:rFonts w:hint="eastAsia" w:ascii="宋体" w:hAnsi="宋体" w:eastAsia="宋体" w:cs="宋体"/>
                <w:b/>
                <w:sz w:val="21"/>
                <w:szCs w:val="21"/>
                <w:highlight w:val="none"/>
              </w:rPr>
            </w:pPr>
          </w:p>
          <w:p>
            <w:pPr>
              <w:pStyle w:val="35"/>
              <w:keepNext w:val="0"/>
              <w:keepLines w:val="0"/>
              <w:pageBreakBefore w:val="0"/>
              <w:kinsoku/>
              <w:wordWrap/>
              <w:overflowPunct/>
              <w:topLinePunct w:val="0"/>
              <w:bidi w:val="0"/>
              <w:adjustRightInd/>
              <w:spacing w:line="400" w:lineRule="exact"/>
              <w:ind w:left="0" w:leftChars="0"/>
              <w:jc w:val="center"/>
              <w:textAlignment w:val="auto"/>
              <w:rPr>
                <w:rFonts w:hint="eastAsia" w:ascii="宋体" w:hAnsi="宋体" w:eastAsia="宋体" w:cs="宋体"/>
                <w:b/>
                <w:sz w:val="21"/>
                <w:szCs w:val="21"/>
                <w:highlight w:val="none"/>
              </w:rPr>
            </w:pPr>
          </w:p>
          <w:p>
            <w:pPr>
              <w:pStyle w:val="35"/>
              <w:keepNext w:val="0"/>
              <w:keepLines w:val="0"/>
              <w:pageBreakBefore w:val="0"/>
              <w:kinsoku/>
              <w:wordWrap/>
              <w:overflowPunct/>
              <w:topLinePunct w:val="0"/>
              <w:bidi w:val="0"/>
              <w:adjustRightInd/>
              <w:spacing w:line="400" w:lineRule="exact"/>
              <w:ind w:left="0" w:leftChars="0"/>
              <w:jc w:val="center"/>
              <w:textAlignment w:val="auto"/>
              <w:rPr>
                <w:rFonts w:hint="eastAsia" w:ascii="宋体" w:hAnsi="宋体" w:eastAsia="宋体" w:cs="宋体"/>
                <w:w w:val="99"/>
                <w:sz w:val="21"/>
                <w:szCs w:val="21"/>
                <w:highlight w:val="none"/>
              </w:rPr>
            </w:pPr>
          </w:p>
          <w:p>
            <w:pPr>
              <w:pStyle w:val="35"/>
              <w:keepNext w:val="0"/>
              <w:keepLines w:val="0"/>
              <w:pageBreakBefore w:val="0"/>
              <w:kinsoku/>
              <w:wordWrap/>
              <w:overflowPunct/>
              <w:topLinePunct w:val="0"/>
              <w:bidi w:val="0"/>
              <w:adjustRightInd/>
              <w:spacing w:line="400" w:lineRule="exact"/>
              <w:ind w:left="0" w:leftChars="0"/>
              <w:jc w:val="center"/>
              <w:textAlignment w:val="auto"/>
              <w:rPr>
                <w:rFonts w:hint="eastAsia" w:ascii="宋体" w:hAnsi="宋体" w:eastAsia="宋体" w:cs="宋体"/>
                <w:w w:val="99"/>
                <w:sz w:val="21"/>
                <w:szCs w:val="21"/>
                <w:highlight w:val="none"/>
              </w:rPr>
            </w:pPr>
          </w:p>
          <w:p>
            <w:pPr>
              <w:pStyle w:val="35"/>
              <w:keepNext w:val="0"/>
              <w:keepLines w:val="0"/>
              <w:pageBreakBefore w:val="0"/>
              <w:kinsoku/>
              <w:wordWrap/>
              <w:overflowPunct/>
              <w:topLinePunct w:val="0"/>
              <w:bidi w:val="0"/>
              <w:adjustRightInd/>
              <w:spacing w:line="400" w:lineRule="exact"/>
              <w:ind w:left="0" w:leftChars="0"/>
              <w:jc w:val="center"/>
              <w:textAlignment w:val="auto"/>
              <w:rPr>
                <w:rFonts w:hint="eastAsia" w:ascii="宋体" w:hAnsi="宋体" w:eastAsia="宋体" w:cs="宋体"/>
                <w:w w:val="99"/>
                <w:sz w:val="21"/>
                <w:szCs w:val="21"/>
                <w:highlight w:val="none"/>
              </w:rPr>
            </w:pPr>
          </w:p>
          <w:p>
            <w:pPr>
              <w:pStyle w:val="35"/>
              <w:keepNext w:val="0"/>
              <w:keepLines w:val="0"/>
              <w:pageBreakBefore w:val="0"/>
              <w:kinsoku/>
              <w:wordWrap/>
              <w:overflowPunct/>
              <w:topLinePunct w:val="0"/>
              <w:bidi w:val="0"/>
              <w:adjustRightInd/>
              <w:spacing w:line="400" w:lineRule="exact"/>
              <w:ind w:left="0" w:leftChars="0"/>
              <w:jc w:val="center"/>
              <w:textAlignment w:val="auto"/>
              <w:rPr>
                <w:rFonts w:hint="eastAsia" w:ascii="宋体" w:hAnsi="宋体" w:eastAsia="宋体" w:cs="宋体"/>
                <w:sz w:val="21"/>
                <w:szCs w:val="21"/>
                <w:highlight w:val="none"/>
              </w:rPr>
            </w:pPr>
            <w:r>
              <w:rPr>
                <w:rFonts w:hint="eastAsia" w:ascii="宋体" w:hAnsi="宋体" w:eastAsia="宋体" w:cs="宋体"/>
                <w:w w:val="99"/>
                <w:sz w:val="21"/>
                <w:szCs w:val="21"/>
                <w:highlight w:val="none"/>
              </w:rPr>
              <w:t>7</w:t>
            </w:r>
          </w:p>
        </w:tc>
        <w:tc>
          <w:tcPr>
            <w:tcW w:w="8917" w:type="dxa"/>
            <w:gridSpan w:val="2"/>
            <w:vAlign w:val="center"/>
          </w:tcPr>
          <w:p>
            <w:pPr>
              <w:keepNext w:val="0"/>
              <w:keepLines w:val="0"/>
              <w:pageBreakBefore w:val="0"/>
              <w:kinsoku/>
              <w:wordWrap/>
              <w:overflowPunct/>
              <w:topLinePunct w:val="0"/>
              <w:bidi w:val="0"/>
              <w:adjustRightInd/>
              <w:snapToGrid w:val="0"/>
              <w:spacing w:line="400" w:lineRule="exact"/>
              <w:ind w:left="0" w:leftChars="0"/>
              <w:jc w:val="both"/>
              <w:textAlignment w:val="auto"/>
              <w:rPr>
                <w:rFonts w:hint="eastAsia"/>
              </w:rPr>
            </w:pPr>
            <w:r>
              <w:rPr>
                <w:rFonts w:hint="eastAsia"/>
              </w:rPr>
              <w:t>响应文件的上传和递交：</w:t>
            </w:r>
          </w:p>
          <w:p>
            <w:pPr>
              <w:keepNext w:val="0"/>
              <w:keepLines w:val="0"/>
              <w:pageBreakBefore w:val="0"/>
              <w:kinsoku/>
              <w:wordWrap/>
              <w:overflowPunct/>
              <w:topLinePunct w:val="0"/>
              <w:bidi w:val="0"/>
              <w:adjustRightInd/>
              <w:snapToGrid w:val="0"/>
              <w:spacing w:line="400" w:lineRule="exact"/>
              <w:ind w:left="0" w:leftChars="0"/>
              <w:jc w:val="both"/>
              <w:textAlignment w:val="auto"/>
              <w:rPr>
                <w:rFonts w:hint="eastAsia"/>
              </w:rPr>
            </w:pPr>
            <w:r>
              <w:rPr>
                <w:rFonts w:hint="eastAsia"/>
              </w:rPr>
              <w:t>1、“电子加密响应文件”的上传、递交：</w:t>
            </w:r>
          </w:p>
          <w:p>
            <w:pPr>
              <w:keepNext w:val="0"/>
              <w:keepLines w:val="0"/>
              <w:pageBreakBefore w:val="0"/>
              <w:kinsoku/>
              <w:wordWrap/>
              <w:overflowPunct/>
              <w:topLinePunct w:val="0"/>
              <w:bidi w:val="0"/>
              <w:adjustRightInd/>
              <w:snapToGrid w:val="0"/>
              <w:spacing w:line="400" w:lineRule="exact"/>
              <w:ind w:left="0" w:leftChars="0"/>
              <w:jc w:val="both"/>
              <w:textAlignment w:val="auto"/>
              <w:rPr>
                <w:rFonts w:hint="eastAsia"/>
              </w:rPr>
            </w:pPr>
            <w:r>
              <w:rPr>
                <w:rFonts w:hint="eastAsia"/>
              </w:rPr>
              <w:t>（1）投标人应在投标截止时间前将“电子加密响应文件”成功上传递交至“政府采购云平台”，否则投标无效。</w:t>
            </w:r>
          </w:p>
          <w:p>
            <w:pPr>
              <w:keepNext w:val="0"/>
              <w:keepLines w:val="0"/>
              <w:pageBreakBefore w:val="0"/>
              <w:kinsoku/>
              <w:wordWrap/>
              <w:overflowPunct/>
              <w:topLinePunct w:val="0"/>
              <w:bidi w:val="0"/>
              <w:adjustRightInd/>
              <w:snapToGrid w:val="0"/>
              <w:spacing w:line="400" w:lineRule="exact"/>
              <w:ind w:left="0" w:leftChars="0"/>
              <w:jc w:val="both"/>
              <w:textAlignment w:val="auto"/>
              <w:rPr>
                <w:rFonts w:hint="eastAsia"/>
              </w:rPr>
            </w:pPr>
            <w:r>
              <w:rPr>
                <w:rFonts w:hint="eastAsia"/>
              </w:rPr>
              <w:t>（2）“电子加密响应文件”成功上传递交后，供应商可自行打印响应文件接收回执。</w:t>
            </w:r>
          </w:p>
          <w:p>
            <w:pPr>
              <w:keepNext w:val="0"/>
              <w:keepLines w:val="0"/>
              <w:pageBreakBefore w:val="0"/>
              <w:kinsoku/>
              <w:wordWrap/>
              <w:overflowPunct/>
              <w:topLinePunct w:val="0"/>
              <w:bidi w:val="0"/>
              <w:adjustRightInd/>
              <w:snapToGrid w:val="0"/>
              <w:spacing w:line="400" w:lineRule="exact"/>
              <w:ind w:left="0" w:leftChars="0"/>
              <w:jc w:val="both"/>
              <w:textAlignment w:val="auto"/>
              <w:rPr>
                <w:rFonts w:hint="eastAsia"/>
              </w:rPr>
            </w:pPr>
            <w:r>
              <w:rPr>
                <w:rFonts w:hint="eastAsia"/>
              </w:rPr>
              <w:t>2、“备份响应文件”的密封包装、递交：</w:t>
            </w:r>
          </w:p>
          <w:p>
            <w:pPr>
              <w:keepNext w:val="0"/>
              <w:keepLines w:val="0"/>
              <w:pageBreakBefore w:val="0"/>
              <w:kinsoku/>
              <w:wordWrap/>
              <w:overflowPunct/>
              <w:topLinePunct w:val="0"/>
              <w:bidi w:val="0"/>
              <w:adjustRightInd/>
              <w:snapToGrid w:val="0"/>
              <w:spacing w:line="400" w:lineRule="exact"/>
              <w:ind w:left="0" w:leftChars="0"/>
              <w:jc w:val="both"/>
              <w:textAlignment w:val="auto"/>
              <w:rPr>
                <w:rFonts w:hint="eastAsia"/>
              </w:rPr>
            </w:pPr>
            <w:r>
              <w:rPr>
                <w:rFonts w:hint="eastAsia"/>
              </w:rPr>
              <w:t>（1）投标人在“政府采购云平台”完成“电子加密响应文件”的上传递交后，还可以（邮寄或现场送达形式）在投标截止时间前递交以介质是U盘或DVD光盘存储的 “备份响应文件”（一份）；</w:t>
            </w:r>
          </w:p>
          <w:p>
            <w:pPr>
              <w:keepNext w:val="0"/>
              <w:keepLines w:val="0"/>
              <w:pageBreakBefore w:val="0"/>
              <w:kinsoku/>
              <w:wordWrap/>
              <w:overflowPunct/>
              <w:topLinePunct w:val="0"/>
              <w:bidi w:val="0"/>
              <w:adjustRightInd/>
              <w:snapToGrid w:val="0"/>
              <w:spacing w:line="400" w:lineRule="exact"/>
              <w:ind w:left="0" w:leftChars="0"/>
              <w:jc w:val="both"/>
              <w:textAlignment w:val="auto"/>
              <w:rPr>
                <w:rFonts w:hint="eastAsia"/>
              </w:rPr>
            </w:pPr>
            <w:r>
              <w:rPr>
                <w:rFonts w:hint="eastAsia"/>
              </w:rPr>
              <w:t>（2）“备份响应文件”应当密封包装，并在包装上标注投标项目名称、投标单位名称并加盖公章。没有密封包装或者逾期邮寄送达至投标地点的“备份响应文件”将不予接收；</w:t>
            </w:r>
          </w:p>
          <w:p>
            <w:pPr>
              <w:keepNext w:val="0"/>
              <w:keepLines w:val="0"/>
              <w:pageBreakBefore w:val="0"/>
              <w:kinsoku/>
              <w:wordWrap/>
              <w:overflowPunct/>
              <w:topLinePunct w:val="0"/>
              <w:bidi w:val="0"/>
              <w:adjustRightInd/>
              <w:snapToGrid w:val="0"/>
              <w:spacing w:line="400" w:lineRule="exact"/>
              <w:ind w:left="0" w:leftChars="0"/>
              <w:jc w:val="both"/>
              <w:textAlignment w:val="auto"/>
              <w:rPr>
                <w:rFonts w:hint="eastAsia"/>
              </w:rPr>
            </w:pPr>
            <w:r>
              <w:rPr>
                <w:rFonts w:hint="eastAsia"/>
              </w:rPr>
              <w:t>（3）通过“政府采购云平台”成功上传递交的“电子加密响应文件”已按时解密的，“备份响应文件”自动失效。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5" w:hRule="atLeast"/>
        </w:trPr>
        <w:tc>
          <w:tcPr>
            <w:tcW w:w="869" w:type="dxa"/>
            <w:vAlign w:val="center"/>
          </w:tcPr>
          <w:p>
            <w:pPr>
              <w:pStyle w:val="35"/>
              <w:keepNext w:val="0"/>
              <w:keepLines w:val="0"/>
              <w:pageBreakBefore w:val="0"/>
              <w:kinsoku/>
              <w:wordWrap/>
              <w:overflowPunct/>
              <w:topLinePunct w:val="0"/>
              <w:bidi w:val="0"/>
              <w:adjustRightInd/>
              <w:spacing w:line="400" w:lineRule="exact"/>
              <w:ind w:left="0" w:leftChars="0"/>
              <w:jc w:val="both"/>
              <w:textAlignment w:val="auto"/>
              <w:rPr>
                <w:rFonts w:hint="eastAsia" w:ascii="宋体" w:hAnsi="宋体" w:eastAsia="宋体" w:cs="宋体"/>
                <w:w w:val="99"/>
                <w:sz w:val="21"/>
                <w:szCs w:val="21"/>
                <w:highlight w:val="none"/>
                <w:lang w:val="en-US"/>
              </w:rPr>
            </w:pPr>
          </w:p>
          <w:p>
            <w:pPr>
              <w:pStyle w:val="35"/>
              <w:keepNext w:val="0"/>
              <w:keepLines w:val="0"/>
              <w:pageBreakBefore w:val="0"/>
              <w:kinsoku/>
              <w:wordWrap/>
              <w:overflowPunct/>
              <w:topLinePunct w:val="0"/>
              <w:bidi w:val="0"/>
              <w:adjustRightInd/>
              <w:spacing w:line="400" w:lineRule="exact"/>
              <w:ind w:left="0" w:leftChars="0"/>
              <w:jc w:val="center"/>
              <w:textAlignment w:val="auto"/>
              <w:rPr>
                <w:rFonts w:hint="eastAsia" w:ascii="宋体" w:hAnsi="宋体" w:eastAsia="宋体" w:cs="宋体"/>
                <w:w w:val="99"/>
                <w:sz w:val="21"/>
                <w:szCs w:val="21"/>
                <w:highlight w:val="none"/>
                <w:lang w:val="en-US"/>
              </w:rPr>
            </w:pPr>
            <w:r>
              <w:rPr>
                <w:rFonts w:hint="eastAsia" w:ascii="宋体" w:hAnsi="宋体" w:eastAsia="宋体" w:cs="宋体"/>
                <w:w w:val="99"/>
                <w:sz w:val="21"/>
                <w:szCs w:val="21"/>
                <w:highlight w:val="none"/>
                <w:lang w:val="en-US"/>
              </w:rPr>
              <w:t>8</w:t>
            </w:r>
          </w:p>
        </w:tc>
        <w:tc>
          <w:tcPr>
            <w:tcW w:w="8917" w:type="dxa"/>
            <w:gridSpan w:val="2"/>
            <w:vAlign w:val="center"/>
          </w:tcPr>
          <w:p>
            <w:pPr>
              <w:keepNext w:val="0"/>
              <w:keepLines w:val="0"/>
              <w:pageBreakBefore w:val="0"/>
              <w:kinsoku/>
              <w:wordWrap/>
              <w:overflowPunct/>
              <w:topLinePunct w:val="0"/>
              <w:bidi w:val="0"/>
              <w:adjustRightInd/>
              <w:snapToGrid w:val="0"/>
              <w:spacing w:line="400" w:lineRule="exact"/>
              <w:ind w:left="0" w:leftChars="0"/>
              <w:jc w:val="both"/>
              <w:textAlignment w:val="auto"/>
              <w:rPr>
                <w:rFonts w:hint="eastAsia" w:ascii="宋体" w:hAnsi="宋体" w:eastAsia="宋体" w:cs="宋体"/>
                <w:sz w:val="21"/>
                <w:szCs w:val="21"/>
                <w:highlight w:val="none"/>
              </w:rPr>
            </w:pPr>
            <w:r>
              <w:rPr>
                <w:rFonts w:hint="eastAsia"/>
              </w:rPr>
              <w:t>超过规定时间送达的电子加密响应文件的解密和异常情况处理：</w:t>
            </w:r>
          </w:p>
          <w:p>
            <w:pPr>
              <w:keepNext w:val="0"/>
              <w:keepLines w:val="0"/>
              <w:pageBreakBefore w:val="0"/>
              <w:kinsoku/>
              <w:wordWrap/>
              <w:overflowPunct/>
              <w:topLinePunct w:val="0"/>
              <w:bidi w:val="0"/>
              <w:adjustRightInd/>
              <w:snapToGrid w:val="0"/>
              <w:spacing w:line="400" w:lineRule="exact"/>
              <w:ind w:left="0" w:left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（1）开标后，采购人将向各投标人发出“电子加密响应文件”的解密通知，各投标人代表应当在接到解密通知后30分钟内自行完成“电子加密响应文件”的在线解密。</w:t>
            </w:r>
          </w:p>
          <w:p>
            <w:pPr>
              <w:keepNext w:val="0"/>
              <w:keepLines w:val="0"/>
              <w:pageBreakBefore w:val="0"/>
              <w:kinsoku/>
              <w:wordWrap/>
              <w:overflowPunct/>
              <w:topLinePunct w:val="0"/>
              <w:bidi w:val="0"/>
              <w:adjustRightInd/>
              <w:snapToGrid w:val="0"/>
              <w:spacing w:line="400" w:lineRule="exact"/>
              <w:ind w:left="0" w:left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通过“政府采购云平台”成功上传递交的“电子加密响应文件”无法按时解密，投标人如按规定递交了“备份响应文件”的，以“备份响应文件”为依据（由采购组织机构按“政府采购云平台”操作规范将“备份响应文件”上传至“政府采购云平台”，上传成功后，“电子加密响应文件”自动失效），否则视为响应文件撤回。</w:t>
            </w:r>
          </w:p>
          <w:p>
            <w:pPr>
              <w:pStyle w:val="35"/>
              <w:keepNext w:val="0"/>
              <w:keepLines w:val="0"/>
              <w:pageBreakBefore w:val="0"/>
              <w:kinsoku/>
              <w:wordWrap/>
              <w:overflowPunct/>
              <w:topLinePunct w:val="0"/>
              <w:bidi w:val="0"/>
              <w:adjustRightInd/>
              <w:spacing w:line="400" w:lineRule="exact"/>
              <w:ind w:left="0" w:left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（3）投标截止时间前，投标人仅递交了“备份响应文件”而未将电子加密响应文件上传至“政府采购云平台”的，投标无效。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52" w:hRule="atLeast"/>
        </w:trPr>
        <w:tc>
          <w:tcPr>
            <w:tcW w:w="869" w:type="dxa"/>
            <w:vAlign w:val="center"/>
          </w:tcPr>
          <w:p>
            <w:pPr>
              <w:pStyle w:val="35"/>
              <w:keepNext w:val="0"/>
              <w:keepLines w:val="0"/>
              <w:pageBreakBefore w:val="0"/>
              <w:kinsoku/>
              <w:wordWrap/>
              <w:overflowPunct/>
              <w:topLinePunct w:val="0"/>
              <w:bidi w:val="0"/>
              <w:adjustRightInd/>
              <w:spacing w:line="400" w:lineRule="exact"/>
              <w:ind w:left="0" w:leftChars="0"/>
              <w:jc w:val="both"/>
              <w:textAlignment w:val="auto"/>
              <w:rPr>
                <w:rFonts w:hint="eastAsia" w:ascii="宋体" w:hAnsi="宋体" w:eastAsia="宋体" w:cs="宋体"/>
                <w:w w:val="99"/>
                <w:sz w:val="21"/>
                <w:szCs w:val="21"/>
                <w:highlight w:val="none"/>
                <w:lang w:val="en-US"/>
              </w:rPr>
            </w:pPr>
          </w:p>
          <w:p>
            <w:pPr>
              <w:pStyle w:val="35"/>
              <w:keepNext w:val="0"/>
              <w:keepLines w:val="0"/>
              <w:pageBreakBefore w:val="0"/>
              <w:kinsoku/>
              <w:wordWrap/>
              <w:overflowPunct/>
              <w:topLinePunct w:val="0"/>
              <w:bidi w:val="0"/>
              <w:adjustRightInd/>
              <w:spacing w:line="400" w:lineRule="exact"/>
              <w:ind w:left="0" w:leftChars="0"/>
              <w:jc w:val="center"/>
              <w:textAlignment w:val="auto"/>
              <w:rPr>
                <w:rFonts w:hint="eastAsia" w:ascii="宋体" w:hAnsi="宋体" w:eastAsia="宋体" w:cs="宋体"/>
                <w:w w:val="99"/>
                <w:sz w:val="21"/>
                <w:szCs w:val="21"/>
                <w:highlight w:val="none"/>
                <w:lang w:val="en-US"/>
              </w:rPr>
            </w:pPr>
          </w:p>
          <w:p>
            <w:pPr>
              <w:pStyle w:val="35"/>
              <w:keepNext w:val="0"/>
              <w:keepLines w:val="0"/>
              <w:pageBreakBefore w:val="0"/>
              <w:kinsoku/>
              <w:wordWrap/>
              <w:overflowPunct/>
              <w:topLinePunct w:val="0"/>
              <w:bidi w:val="0"/>
              <w:adjustRightInd/>
              <w:spacing w:line="400" w:lineRule="exact"/>
              <w:ind w:left="0" w:leftChars="0"/>
              <w:jc w:val="center"/>
              <w:textAlignment w:val="auto"/>
              <w:rPr>
                <w:rFonts w:hint="eastAsia" w:ascii="宋体" w:hAnsi="宋体" w:eastAsia="宋体" w:cs="宋体"/>
                <w:w w:val="99"/>
                <w:sz w:val="21"/>
                <w:szCs w:val="21"/>
                <w:highlight w:val="none"/>
                <w:lang w:val="en-US"/>
              </w:rPr>
            </w:pPr>
            <w:r>
              <w:rPr>
                <w:rFonts w:hint="eastAsia" w:ascii="宋体" w:hAnsi="宋体" w:eastAsia="宋体" w:cs="宋体"/>
                <w:w w:val="99"/>
                <w:sz w:val="21"/>
                <w:szCs w:val="21"/>
                <w:highlight w:val="none"/>
                <w:lang w:val="en-US"/>
              </w:rPr>
              <w:t>9</w:t>
            </w:r>
          </w:p>
        </w:tc>
        <w:tc>
          <w:tcPr>
            <w:tcW w:w="8917" w:type="dxa"/>
            <w:gridSpan w:val="2"/>
            <w:vAlign w:val="center"/>
          </w:tcPr>
          <w:p>
            <w:pPr>
              <w:keepNext w:val="0"/>
              <w:keepLines w:val="0"/>
              <w:pageBreakBefore w:val="0"/>
              <w:kinsoku/>
              <w:wordWrap/>
              <w:overflowPunct/>
              <w:topLinePunct w:val="0"/>
              <w:bidi w:val="0"/>
              <w:adjustRightInd/>
              <w:snapToGrid w:val="0"/>
              <w:spacing w:line="400" w:lineRule="exact"/>
              <w:ind w:left="0" w:left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响应文件的组成、份数、效力：</w:t>
            </w:r>
          </w:p>
          <w:p>
            <w:pPr>
              <w:keepNext w:val="0"/>
              <w:keepLines w:val="0"/>
              <w:pageBreakBefore w:val="0"/>
              <w:kinsoku/>
              <w:wordWrap/>
              <w:overflowPunct/>
              <w:topLinePunct w:val="0"/>
              <w:bidi w:val="0"/>
              <w:adjustRightInd/>
              <w:snapToGrid w:val="0"/>
              <w:spacing w:line="400" w:lineRule="exact"/>
              <w:ind w:left="0" w:left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本项目实行电子投标。</w:t>
            </w:r>
          </w:p>
          <w:p>
            <w:pPr>
              <w:keepNext w:val="0"/>
              <w:keepLines w:val="0"/>
              <w:pageBreakBefore w:val="0"/>
              <w:kinsoku/>
              <w:wordWrap/>
              <w:overflowPunct/>
              <w:topLinePunct w:val="0"/>
              <w:bidi w:val="0"/>
              <w:adjustRightInd/>
              <w:snapToGrid w:val="0"/>
              <w:spacing w:line="400" w:lineRule="exact"/>
              <w:ind w:left="0" w:left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供应商应准备电子响应文件、以介质存储的数据电文形式的备份响应文件两类：</w:t>
            </w:r>
          </w:p>
          <w:p>
            <w:pPr>
              <w:keepNext w:val="0"/>
              <w:keepLines w:val="0"/>
              <w:pageBreakBefore w:val="0"/>
              <w:kinsoku/>
              <w:wordWrap/>
              <w:overflowPunct/>
              <w:topLinePunct w:val="0"/>
              <w:bidi w:val="0"/>
              <w:adjustRightInd/>
              <w:snapToGrid w:val="0"/>
              <w:spacing w:line="400" w:lineRule="exact"/>
              <w:ind w:left="0" w:left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（1）电子响应文件，按政采云平台项目采购-电子招投标操作指南及本采购文件要求递交。</w:t>
            </w:r>
          </w:p>
          <w:p>
            <w:pPr>
              <w:keepNext w:val="0"/>
              <w:keepLines w:val="0"/>
              <w:pageBreakBefore w:val="0"/>
              <w:kinsoku/>
              <w:wordWrap/>
              <w:overflowPunct/>
              <w:topLinePunct w:val="0"/>
              <w:bidi w:val="0"/>
              <w:adjustRightInd/>
              <w:snapToGrid w:val="0"/>
              <w:spacing w:line="400" w:lineRule="exact"/>
              <w:ind w:left="0" w:left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（2）以介质存储的数据电文形式的备份响应文件，按政采云平台项目采购-电子招投标操作指南中上传的电子响应文件格式，以介质是U盘或DVD光盘形式提供。数量为1份。</w:t>
            </w:r>
          </w:p>
          <w:p>
            <w:pPr>
              <w:keepNext w:val="0"/>
              <w:keepLines w:val="0"/>
              <w:pageBreakBefore w:val="0"/>
              <w:kinsoku/>
              <w:wordWrap/>
              <w:overflowPunct/>
              <w:topLinePunct w:val="0"/>
              <w:bidi w:val="0"/>
              <w:adjustRightInd/>
              <w:snapToGrid w:val="0"/>
              <w:spacing w:line="400" w:lineRule="exact"/>
              <w:ind w:left="0" w:left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响应文件启用顺序和效力。响应文件的启用，按先后顺位分别为电子响应文件、以介质存储的数据电文形式的备份响应文件。顺位在先的响应文件已按时解密的，备份响应文件自动失效。在下一顺位的响应文件启用时，前一顺位的响应文件自动失效。</w:t>
            </w:r>
          </w:p>
          <w:p>
            <w:pPr>
              <w:pStyle w:val="35"/>
              <w:keepNext w:val="0"/>
              <w:keepLines w:val="0"/>
              <w:pageBreakBefore w:val="0"/>
              <w:kinsoku/>
              <w:wordWrap/>
              <w:overflowPunct/>
              <w:topLinePunct w:val="0"/>
              <w:bidi w:val="0"/>
              <w:adjustRightInd/>
              <w:spacing w:line="400" w:lineRule="exact"/>
              <w:ind w:left="0" w:left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★未传输递交电子响应文件的，投标无效。未按规定提供相应的备份响应文件，造成项目开评标活动无法进行下去的，投标无效。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7" w:hRule="atLeast"/>
        </w:trPr>
        <w:tc>
          <w:tcPr>
            <w:tcW w:w="869" w:type="dxa"/>
            <w:vAlign w:val="center"/>
          </w:tcPr>
          <w:p>
            <w:pPr>
              <w:pStyle w:val="35"/>
              <w:keepNext w:val="0"/>
              <w:keepLines w:val="0"/>
              <w:pageBreakBefore w:val="0"/>
              <w:kinsoku/>
              <w:wordWrap/>
              <w:overflowPunct/>
              <w:topLinePunct w:val="0"/>
              <w:bidi w:val="0"/>
              <w:adjustRightInd/>
              <w:spacing w:line="400" w:lineRule="exact"/>
              <w:ind w:left="0" w:leftChars="0"/>
              <w:jc w:val="both"/>
              <w:textAlignment w:val="auto"/>
              <w:rPr>
                <w:rFonts w:hint="eastAsia" w:ascii="宋体" w:hAnsi="宋体" w:eastAsia="宋体" w:cs="宋体"/>
                <w:w w:val="99"/>
                <w:sz w:val="21"/>
                <w:szCs w:val="21"/>
                <w:highlight w:val="none"/>
                <w:lang w:val="en-US"/>
              </w:rPr>
            </w:pPr>
          </w:p>
          <w:p>
            <w:pPr>
              <w:pStyle w:val="35"/>
              <w:keepNext w:val="0"/>
              <w:keepLines w:val="0"/>
              <w:pageBreakBefore w:val="0"/>
              <w:kinsoku/>
              <w:wordWrap/>
              <w:overflowPunct/>
              <w:topLinePunct w:val="0"/>
              <w:bidi w:val="0"/>
              <w:adjustRightInd/>
              <w:spacing w:line="400" w:lineRule="exact"/>
              <w:ind w:left="0" w:leftChars="0"/>
              <w:jc w:val="center"/>
              <w:textAlignment w:val="auto"/>
              <w:rPr>
                <w:rFonts w:hint="eastAsia" w:ascii="宋体" w:hAnsi="宋体" w:eastAsia="宋体" w:cs="宋体"/>
                <w:w w:val="99"/>
                <w:sz w:val="21"/>
                <w:szCs w:val="21"/>
                <w:highlight w:val="none"/>
                <w:lang w:val="en-US"/>
              </w:rPr>
            </w:pPr>
            <w:r>
              <w:rPr>
                <w:rFonts w:hint="eastAsia" w:ascii="宋体" w:hAnsi="宋体" w:eastAsia="宋体" w:cs="宋体"/>
                <w:w w:val="99"/>
                <w:sz w:val="21"/>
                <w:szCs w:val="21"/>
                <w:highlight w:val="none"/>
                <w:lang w:val="en-US"/>
              </w:rPr>
              <w:t>10</w:t>
            </w:r>
          </w:p>
        </w:tc>
        <w:tc>
          <w:tcPr>
            <w:tcW w:w="8917" w:type="dxa"/>
            <w:gridSpan w:val="2"/>
            <w:vAlign w:val="center"/>
          </w:tcPr>
          <w:p>
            <w:pPr>
              <w:keepNext w:val="0"/>
              <w:keepLines w:val="0"/>
              <w:pageBreakBefore w:val="0"/>
              <w:kinsoku/>
              <w:wordWrap/>
              <w:overflowPunct/>
              <w:topLinePunct w:val="0"/>
              <w:bidi w:val="0"/>
              <w:adjustRightInd/>
              <w:snapToGrid w:val="0"/>
              <w:spacing w:line="400" w:lineRule="exact"/>
              <w:ind w:left="0" w:left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1、以下情形视为未提交有效响应文件：</w:t>
            </w:r>
          </w:p>
          <w:p>
            <w:pPr>
              <w:keepNext w:val="0"/>
              <w:keepLines w:val="0"/>
              <w:pageBreakBefore w:val="0"/>
              <w:kinsoku/>
              <w:wordWrap/>
              <w:overflowPunct/>
              <w:topLinePunct w:val="0"/>
              <w:bidi w:val="0"/>
              <w:adjustRightInd/>
              <w:snapToGrid w:val="0"/>
              <w:spacing w:line="400" w:lineRule="exact"/>
              <w:ind w:left="0" w:left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（1）仅提交备份响应文件的；</w:t>
            </w:r>
          </w:p>
          <w:p>
            <w:pPr>
              <w:keepNext w:val="0"/>
              <w:keepLines w:val="0"/>
              <w:pageBreakBefore w:val="0"/>
              <w:kinsoku/>
              <w:wordWrap/>
              <w:overflowPunct/>
              <w:topLinePunct w:val="0"/>
              <w:bidi w:val="0"/>
              <w:adjustRightInd/>
              <w:snapToGrid w:val="0"/>
              <w:spacing w:line="400" w:lineRule="exact"/>
              <w:ind w:left="0" w:left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（2）加密文件解密异常，且提交备份响应文件无效的；</w:t>
            </w:r>
          </w:p>
          <w:p>
            <w:pPr>
              <w:keepNext w:val="0"/>
              <w:keepLines w:val="0"/>
              <w:pageBreakBefore w:val="0"/>
              <w:kinsoku/>
              <w:wordWrap/>
              <w:overflowPunct/>
              <w:topLinePunct w:val="0"/>
              <w:bidi w:val="0"/>
              <w:adjustRightInd/>
              <w:snapToGrid w:val="0"/>
              <w:spacing w:line="400" w:lineRule="exact"/>
              <w:ind w:left="0" w:left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（3）加密文件解密异常，且提交的备份响应文件不明确，存在一个或一个以上备选（替代）备份响应文件。</w:t>
            </w:r>
          </w:p>
          <w:p>
            <w:pPr>
              <w:keepNext w:val="0"/>
              <w:keepLines w:val="0"/>
              <w:pageBreakBefore w:val="0"/>
              <w:kinsoku/>
              <w:wordWrap/>
              <w:overflowPunct/>
              <w:topLinePunct w:val="0"/>
              <w:bidi w:val="0"/>
              <w:adjustRightInd/>
              <w:snapToGrid w:val="0"/>
              <w:spacing w:line="400" w:lineRule="exact"/>
              <w:ind w:left="0" w:left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2、投标人递交备份响应文件时，如出现下列情况之一的，将被拒收：</w:t>
            </w:r>
          </w:p>
          <w:p>
            <w:pPr>
              <w:keepNext w:val="0"/>
              <w:keepLines w:val="0"/>
              <w:pageBreakBefore w:val="0"/>
              <w:kinsoku/>
              <w:wordWrap/>
              <w:overflowPunct/>
              <w:topLinePunct w:val="0"/>
              <w:bidi w:val="0"/>
              <w:adjustRightInd/>
              <w:snapToGrid w:val="0"/>
              <w:spacing w:line="400" w:lineRule="exact"/>
              <w:ind w:left="0" w:left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（1）未按规定密封或标记的响应文件；</w:t>
            </w:r>
          </w:p>
          <w:p>
            <w:pPr>
              <w:keepNext w:val="0"/>
              <w:keepLines w:val="0"/>
              <w:pageBreakBefore w:val="0"/>
              <w:kinsoku/>
              <w:wordWrap/>
              <w:overflowPunct/>
              <w:topLinePunct w:val="0"/>
              <w:bidi w:val="0"/>
              <w:adjustRightInd/>
              <w:snapToGrid w:val="0"/>
              <w:spacing w:line="400" w:lineRule="exact"/>
              <w:ind w:left="0" w:left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（2）由于包装不妥，在送交途中严重损坏的；</w:t>
            </w:r>
          </w:p>
          <w:p>
            <w:pPr>
              <w:pStyle w:val="35"/>
              <w:keepNext w:val="0"/>
              <w:keepLines w:val="0"/>
              <w:pageBreakBefore w:val="0"/>
              <w:kinsoku/>
              <w:wordWrap/>
              <w:overflowPunct/>
              <w:topLinePunct w:val="0"/>
              <w:bidi w:val="0"/>
              <w:adjustRightInd/>
              <w:spacing w:line="400" w:lineRule="exact"/>
              <w:ind w:left="0" w:left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（3）超过规定时间送达的。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5" w:hRule="atLeast"/>
        </w:trPr>
        <w:tc>
          <w:tcPr>
            <w:tcW w:w="869" w:type="dxa"/>
            <w:vAlign w:val="center"/>
          </w:tcPr>
          <w:p>
            <w:pPr>
              <w:pStyle w:val="35"/>
              <w:keepNext w:val="0"/>
              <w:keepLines w:val="0"/>
              <w:pageBreakBefore w:val="0"/>
              <w:kinsoku/>
              <w:wordWrap/>
              <w:overflowPunct/>
              <w:topLinePunct w:val="0"/>
              <w:bidi w:val="0"/>
              <w:adjustRightInd/>
              <w:spacing w:line="400" w:lineRule="exact"/>
              <w:ind w:left="0" w:leftChars="0"/>
              <w:jc w:val="center"/>
              <w:textAlignment w:val="auto"/>
              <w:rPr>
                <w:rFonts w:hint="eastAsia" w:ascii="宋体" w:hAnsi="宋体" w:eastAsia="宋体" w:cs="宋体"/>
                <w:b/>
                <w:sz w:val="21"/>
                <w:szCs w:val="21"/>
                <w:highlight w:val="none"/>
              </w:rPr>
            </w:pPr>
          </w:p>
          <w:p>
            <w:pPr>
              <w:pStyle w:val="35"/>
              <w:keepNext w:val="0"/>
              <w:keepLines w:val="0"/>
              <w:pageBreakBefore w:val="0"/>
              <w:kinsoku/>
              <w:wordWrap/>
              <w:overflowPunct/>
              <w:topLinePunct w:val="0"/>
              <w:bidi w:val="0"/>
              <w:adjustRightInd/>
              <w:spacing w:line="400" w:lineRule="exact"/>
              <w:ind w:left="0" w:leftChars="0"/>
              <w:jc w:val="center"/>
              <w:textAlignment w:val="auto"/>
              <w:rPr>
                <w:rFonts w:hint="eastAsia" w:ascii="宋体" w:hAnsi="宋体" w:eastAsia="宋体" w:cs="宋体"/>
                <w:sz w:val="21"/>
                <w:szCs w:val="21"/>
                <w:highlight w:val="none"/>
                <w:lang w:val="en-US"/>
              </w:rPr>
            </w:pPr>
            <w:r>
              <w:rPr>
                <w:rFonts w:hint="eastAsia" w:ascii="宋体" w:hAnsi="宋体" w:eastAsia="宋体" w:cs="宋体"/>
                <w:w w:val="99"/>
                <w:sz w:val="21"/>
                <w:szCs w:val="21"/>
                <w:highlight w:val="none"/>
                <w:lang w:val="en-US"/>
              </w:rPr>
              <w:t>11</w:t>
            </w:r>
          </w:p>
        </w:tc>
        <w:tc>
          <w:tcPr>
            <w:tcW w:w="8917" w:type="dxa"/>
            <w:gridSpan w:val="2"/>
            <w:vAlign w:val="center"/>
          </w:tcPr>
          <w:p>
            <w:pPr>
              <w:keepNext w:val="0"/>
              <w:keepLines w:val="0"/>
              <w:pageBreakBefore w:val="0"/>
              <w:kinsoku/>
              <w:wordWrap/>
              <w:overflowPunct/>
              <w:topLinePunct w:val="0"/>
              <w:bidi w:val="0"/>
              <w:adjustRightInd/>
              <w:snapToGrid w:val="0"/>
              <w:spacing w:line="400" w:lineRule="exact"/>
              <w:ind w:left="0" w:left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1、投标人应当在202</w:t>
            </w:r>
            <w:r>
              <w:rPr>
                <w:rFonts w:hint="eastAsia" w:ascii="宋体" w:hAnsi="宋体" w:eastAsia="宋体" w:cs="宋体"/>
                <w:sz w:val="21"/>
                <w:szCs w:val="21"/>
                <w:highlight w:val="none"/>
                <w:lang w:val="en-US"/>
              </w:rPr>
              <w:t>2</w:t>
            </w:r>
            <w:r>
              <w:rPr>
                <w:rFonts w:hint="eastAsia" w:ascii="宋体" w:hAnsi="宋体" w:eastAsia="宋体" w:cs="宋体"/>
                <w:sz w:val="21"/>
                <w:szCs w:val="21"/>
                <w:highlight w:val="none"/>
              </w:rPr>
              <w:t>年</w:t>
            </w:r>
            <w:r>
              <w:rPr>
                <w:rFonts w:hint="eastAsia" w:cs="宋体"/>
                <w:sz w:val="21"/>
                <w:szCs w:val="21"/>
                <w:highlight w:val="none"/>
                <w:lang w:val="en-US" w:eastAsia="zh-CN"/>
              </w:rPr>
              <w:t>6</w:t>
            </w:r>
            <w:r>
              <w:rPr>
                <w:rFonts w:hint="eastAsia" w:ascii="宋体" w:hAnsi="宋体" w:eastAsia="宋体" w:cs="宋体"/>
                <w:sz w:val="21"/>
                <w:szCs w:val="21"/>
                <w:highlight w:val="none"/>
              </w:rPr>
              <w:t>月</w:t>
            </w:r>
            <w:r>
              <w:rPr>
                <w:rFonts w:hint="eastAsia" w:cs="宋体"/>
                <w:sz w:val="21"/>
                <w:szCs w:val="21"/>
                <w:highlight w:val="none"/>
                <w:lang w:val="en-US" w:eastAsia="zh-CN"/>
              </w:rPr>
              <w:t>15</w:t>
            </w:r>
            <w:r>
              <w:rPr>
                <w:rFonts w:hint="eastAsia" w:ascii="宋体" w:hAnsi="宋体" w:eastAsia="宋体" w:cs="宋体"/>
                <w:sz w:val="21"/>
                <w:szCs w:val="21"/>
                <w:highlight w:val="none"/>
              </w:rPr>
              <w:t>日</w:t>
            </w:r>
            <w:r>
              <w:rPr>
                <w:rFonts w:hint="eastAsia" w:ascii="宋体" w:hAnsi="宋体" w:eastAsia="宋体" w:cs="宋体"/>
                <w:sz w:val="21"/>
                <w:szCs w:val="21"/>
                <w:highlight w:val="none"/>
                <w:lang w:val="en-US"/>
              </w:rPr>
              <w:t>09</w:t>
            </w:r>
            <w:r>
              <w:rPr>
                <w:rFonts w:hint="eastAsia" w:ascii="宋体" w:hAnsi="宋体" w:eastAsia="宋体" w:cs="宋体"/>
                <w:sz w:val="21"/>
                <w:szCs w:val="21"/>
                <w:highlight w:val="none"/>
              </w:rPr>
              <w:t>时</w:t>
            </w:r>
            <w:r>
              <w:rPr>
                <w:rFonts w:hint="eastAsia" w:ascii="宋体" w:hAnsi="宋体" w:eastAsia="宋体" w:cs="宋体"/>
                <w:sz w:val="21"/>
                <w:szCs w:val="21"/>
                <w:highlight w:val="none"/>
                <w:lang w:val="en-US"/>
              </w:rPr>
              <w:t>30</w:t>
            </w:r>
            <w:r>
              <w:rPr>
                <w:rFonts w:hint="eastAsia" w:ascii="宋体" w:hAnsi="宋体" w:eastAsia="宋体" w:cs="宋体"/>
                <w:sz w:val="21"/>
                <w:szCs w:val="21"/>
                <w:highlight w:val="none"/>
              </w:rPr>
              <w:t>分前在“政采云”（电子交易平台）上自行上传加密的电子投标文件。投标文件递交截止时间后递交的电子投标文件，将被政采云平台拒收。</w:t>
            </w:r>
          </w:p>
          <w:p>
            <w:pPr>
              <w:pStyle w:val="35"/>
              <w:keepNext w:val="0"/>
              <w:keepLines w:val="0"/>
              <w:pageBreakBefore w:val="0"/>
              <w:kinsoku/>
              <w:wordWrap/>
              <w:overflowPunct/>
              <w:topLinePunct w:val="0"/>
              <w:bidi w:val="0"/>
              <w:adjustRightInd/>
              <w:spacing w:line="400" w:lineRule="exact"/>
              <w:ind w:left="0" w:leftChars="0"/>
              <w:jc w:val="both"/>
              <w:textAlignment w:val="auto"/>
              <w:rPr>
                <w:rFonts w:hint="eastAsia" w:ascii="宋体" w:hAnsi="宋体" w:eastAsia="宋体" w:cs="宋体"/>
                <w:b/>
                <w:sz w:val="21"/>
                <w:szCs w:val="21"/>
                <w:highlight w:val="none"/>
              </w:rPr>
            </w:pPr>
            <w:r>
              <w:rPr>
                <w:rFonts w:hint="eastAsia" w:ascii="宋体" w:hAnsi="宋体" w:eastAsia="宋体" w:cs="宋体"/>
                <w:sz w:val="21"/>
                <w:szCs w:val="21"/>
                <w:highlight w:val="none"/>
              </w:rPr>
              <w:t>2、电子备份投标文件的递交时间：投标人应当在202</w:t>
            </w:r>
            <w:r>
              <w:rPr>
                <w:rFonts w:hint="eastAsia" w:ascii="宋体" w:hAnsi="宋体" w:eastAsia="宋体" w:cs="宋体"/>
                <w:sz w:val="21"/>
                <w:szCs w:val="21"/>
                <w:highlight w:val="none"/>
                <w:lang w:val="en-US"/>
              </w:rPr>
              <w:t>2</w:t>
            </w:r>
            <w:r>
              <w:rPr>
                <w:rFonts w:hint="eastAsia" w:ascii="宋体" w:hAnsi="宋体" w:eastAsia="宋体" w:cs="宋体"/>
                <w:sz w:val="21"/>
                <w:szCs w:val="21"/>
                <w:highlight w:val="none"/>
              </w:rPr>
              <w:t>年</w:t>
            </w:r>
            <w:r>
              <w:rPr>
                <w:rFonts w:hint="eastAsia" w:cs="宋体"/>
                <w:sz w:val="21"/>
                <w:szCs w:val="21"/>
                <w:highlight w:val="none"/>
                <w:lang w:val="en-US" w:eastAsia="zh-CN"/>
              </w:rPr>
              <w:t xml:space="preserve"> 6 </w:t>
            </w:r>
            <w:r>
              <w:rPr>
                <w:rFonts w:hint="eastAsia" w:ascii="宋体" w:hAnsi="宋体" w:eastAsia="宋体" w:cs="宋体"/>
                <w:sz w:val="21"/>
                <w:szCs w:val="21"/>
                <w:highlight w:val="none"/>
              </w:rPr>
              <w:t>月</w:t>
            </w:r>
            <w:r>
              <w:rPr>
                <w:rFonts w:hint="eastAsia" w:ascii="宋体" w:hAnsi="宋体" w:eastAsia="宋体" w:cs="宋体"/>
                <w:sz w:val="21"/>
                <w:szCs w:val="21"/>
                <w:highlight w:val="none"/>
                <w:lang w:val="en-US" w:eastAsia="zh-CN"/>
              </w:rPr>
              <w:t xml:space="preserve"> </w:t>
            </w:r>
            <w:r>
              <w:rPr>
                <w:rFonts w:hint="eastAsia" w:cs="宋体"/>
                <w:sz w:val="21"/>
                <w:szCs w:val="21"/>
                <w:highlight w:val="none"/>
                <w:lang w:val="en-US" w:eastAsia="zh-CN"/>
              </w:rPr>
              <w:t>14</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日</w:t>
            </w:r>
            <w:r>
              <w:rPr>
                <w:rFonts w:hint="eastAsia" w:ascii="宋体" w:hAnsi="宋体" w:eastAsia="宋体" w:cs="宋体"/>
                <w:sz w:val="21"/>
                <w:szCs w:val="21"/>
                <w:highlight w:val="none"/>
                <w:lang w:val="en-US"/>
              </w:rPr>
              <w:t>17</w:t>
            </w:r>
            <w:r>
              <w:rPr>
                <w:rFonts w:hint="eastAsia" w:ascii="宋体" w:hAnsi="宋体" w:eastAsia="宋体" w:cs="宋体"/>
                <w:sz w:val="21"/>
                <w:szCs w:val="21"/>
                <w:highlight w:val="none"/>
              </w:rPr>
              <w:t>时</w:t>
            </w:r>
            <w:r>
              <w:rPr>
                <w:rFonts w:hint="eastAsia" w:ascii="宋体" w:hAnsi="宋体" w:eastAsia="宋体" w:cs="宋体"/>
                <w:sz w:val="21"/>
                <w:szCs w:val="21"/>
                <w:highlight w:val="none"/>
                <w:lang w:val="en-US"/>
              </w:rPr>
              <w:t>00</w:t>
            </w:r>
            <w:r>
              <w:rPr>
                <w:rFonts w:hint="eastAsia" w:ascii="宋体" w:hAnsi="宋体" w:eastAsia="宋体" w:cs="宋体"/>
                <w:sz w:val="21"/>
                <w:szCs w:val="21"/>
                <w:highlight w:val="none"/>
              </w:rPr>
              <w:t>分前，以（邮寄或现场送达形式）邮寄到浙江中信工程咨询有限公司</w:t>
            </w:r>
            <w:r>
              <w:rPr>
                <w:rFonts w:hint="eastAsia" w:cs="宋体"/>
                <w:sz w:val="21"/>
                <w:szCs w:val="21"/>
                <w:highlight w:val="none"/>
                <w:lang w:eastAsia="zh-CN"/>
              </w:rPr>
              <w:t>（</w:t>
            </w:r>
            <w:r>
              <w:rPr>
                <w:rFonts w:hint="eastAsia" w:cs="宋体"/>
                <w:sz w:val="21"/>
                <w:szCs w:val="21"/>
                <w:highlight w:val="none"/>
                <w:lang w:val="en-US" w:eastAsia="zh-CN"/>
              </w:rPr>
              <w:t>兰溪市兰江街道同济路71号</w:t>
            </w:r>
            <w:r>
              <w:rPr>
                <w:rFonts w:hint="eastAsia" w:cs="宋体"/>
                <w:sz w:val="21"/>
                <w:szCs w:val="21"/>
                <w:highlight w:val="none"/>
                <w:lang w:eastAsia="zh-CN"/>
              </w:rPr>
              <w:t>）</w:t>
            </w:r>
            <w:r>
              <w:rPr>
                <w:rFonts w:hint="eastAsia" w:ascii="宋体" w:hAnsi="宋体" w:eastAsia="宋体" w:cs="宋体"/>
                <w:sz w:val="21"/>
                <w:szCs w:val="21"/>
                <w:highlight w:val="none"/>
              </w:rPr>
              <w:t>，逾期未递交的视为自动放弃。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869" w:type="dxa"/>
            <w:vAlign w:val="center"/>
          </w:tcPr>
          <w:p>
            <w:pPr>
              <w:pStyle w:val="35"/>
              <w:keepNext w:val="0"/>
              <w:keepLines w:val="0"/>
              <w:pageBreakBefore w:val="0"/>
              <w:kinsoku/>
              <w:wordWrap/>
              <w:overflowPunct/>
              <w:topLinePunct w:val="0"/>
              <w:bidi w:val="0"/>
              <w:adjustRightInd/>
              <w:spacing w:line="400" w:lineRule="exact"/>
              <w:ind w:left="0" w:leftChars="0"/>
              <w:jc w:val="center"/>
              <w:textAlignment w:val="auto"/>
              <w:rPr>
                <w:rFonts w:hint="eastAsia" w:ascii="宋体" w:hAnsi="宋体" w:eastAsia="宋体" w:cs="宋体"/>
                <w:w w:val="99"/>
                <w:sz w:val="21"/>
                <w:szCs w:val="21"/>
                <w:highlight w:val="none"/>
                <w:lang w:val="en-US"/>
              </w:rPr>
            </w:pPr>
          </w:p>
          <w:p>
            <w:pPr>
              <w:pStyle w:val="35"/>
              <w:keepNext w:val="0"/>
              <w:keepLines w:val="0"/>
              <w:pageBreakBefore w:val="0"/>
              <w:kinsoku/>
              <w:wordWrap/>
              <w:overflowPunct/>
              <w:topLinePunct w:val="0"/>
              <w:bidi w:val="0"/>
              <w:adjustRightInd/>
              <w:spacing w:line="400" w:lineRule="exact"/>
              <w:ind w:left="0" w:leftChars="0"/>
              <w:jc w:val="center"/>
              <w:textAlignment w:val="auto"/>
              <w:rPr>
                <w:rFonts w:hint="eastAsia" w:ascii="宋体" w:hAnsi="宋体" w:eastAsia="宋体" w:cs="宋体"/>
                <w:sz w:val="21"/>
                <w:szCs w:val="21"/>
                <w:highlight w:val="none"/>
                <w:lang w:val="en-US"/>
              </w:rPr>
            </w:pPr>
            <w:r>
              <w:rPr>
                <w:rFonts w:hint="eastAsia" w:ascii="宋体" w:hAnsi="宋体" w:eastAsia="宋体" w:cs="宋体"/>
                <w:w w:val="99"/>
                <w:sz w:val="21"/>
                <w:szCs w:val="21"/>
                <w:highlight w:val="none"/>
                <w:lang w:val="en-US"/>
              </w:rPr>
              <w:t>12</w:t>
            </w:r>
          </w:p>
        </w:tc>
        <w:tc>
          <w:tcPr>
            <w:tcW w:w="8917" w:type="dxa"/>
            <w:gridSpan w:val="2"/>
            <w:vAlign w:val="center"/>
          </w:tcPr>
          <w:p>
            <w:pPr>
              <w:pStyle w:val="35"/>
              <w:keepNext w:val="0"/>
              <w:keepLines w:val="0"/>
              <w:pageBreakBefore w:val="0"/>
              <w:kinsoku/>
              <w:wordWrap/>
              <w:overflowPunct/>
              <w:topLinePunct w:val="0"/>
              <w:bidi w:val="0"/>
              <w:adjustRightInd/>
              <w:spacing w:line="400" w:lineRule="exact"/>
              <w:ind w:left="0" w:leftChars="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开标时间及地点：</w:t>
            </w:r>
            <w:r>
              <w:rPr>
                <w:rFonts w:hint="eastAsia" w:ascii="宋体" w:hAnsi="宋体" w:eastAsia="宋体" w:cs="宋体"/>
                <w:b/>
                <w:sz w:val="21"/>
                <w:szCs w:val="21"/>
                <w:highlight w:val="none"/>
                <w:u w:val="single"/>
              </w:rPr>
              <w:t>202</w:t>
            </w:r>
            <w:r>
              <w:rPr>
                <w:rFonts w:hint="eastAsia" w:ascii="宋体" w:hAnsi="宋体" w:eastAsia="宋体" w:cs="宋体"/>
                <w:b/>
                <w:sz w:val="21"/>
                <w:szCs w:val="21"/>
                <w:highlight w:val="none"/>
                <w:u w:val="single"/>
                <w:lang w:val="en-US"/>
              </w:rPr>
              <w:t>2</w:t>
            </w:r>
            <w:r>
              <w:rPr>
                <w:rFonts w:hint="eastAsia" w:ascii="宋体" w:hAnsi="宋体" w:eastAsia="宋体" w:cs="宋体"/>
                <w:b/>
                <w:spacing w:val="-37"/>
                <w:sz w:val="21"/>
                <w:szCs w:val="21"/>
                <w:highlight w:val="none"/>
                <w:u w:val="single"/>
              </w:rPr>
              <w:t xml:space="preserve"> 年 </w:t>
            </w:r>
            <w:r>
              <w:rPr>
                <w:rFonts w:hint="eastAsia" w:ascii="宋体" w:hAnsi="宋体" w:eastAsia="宋体" w:cs="宋体"/>
                <w:b/>
                <w:sz w:val="21"/>
                <w:szCs w:val="21"/>
                <w:highlight w:val="none"/>
                <w:u w:val="single"/>
                <w:lang w:val="en-US"/>
              </w:rPr>
              <w:t xml:space="preserve"> </w:t>
            </w:r>
            <w:r>
              <w:rPr>
                <w:rFonts w:hint="eastAsia" w:cs="宋体"/>
                <w:b/>
                <w:sz w:val="21"/>
                <w:szCs w:val="21"/>
                <w:highlight w:val="none"/>
                <w:u w:val="single"/>
                <w:lang w:val="en-US" w:eastAsia="zh-CN"/>
              </w:rPr>
              <w:t>6</w:t>
            </w:r>
            <w:r>
              <w:rPr>
                <w:rFonts w:hint="eastAsia" w:ascii="宋体" w:hAnsi="宋体" w:eastAsia="宋体" w:cs="宋体"/>
                <w:b/>
                <w:sz w:val="21"/>
                <w:szCs w:val="21"/>
                <w:highlight w:val="none"/>
                <w:u w:val="single"/>
                <w:lang w:val="en-US"/>
              </w:rPr>
              <w:t xml:space="preserve"> </w:t>
            </w:r>
            <w:r>
              <w:rPr>
                <w:rFonts w:hint="eastAsia" w:ascii="宋体" w:hAnsi="宋体" w:eastAsia="宋体" w:cs="宋体"/>
                <w:b/>
                <w:spacing w:val="-37"/>
                <w:sz w:val="21"/>
                <w:szCs w:val="21"/>
                <w:highlight w:val="none"/>
                <w:u w:val="single"/>
              </w:rPr>
              <w:t xml:space="preserve">月 </w:t>
            </w:r>
            <w:r>
              <w:rPr>
                <w:rFonts w:hint="eastAsia" w:ascii="宋体" w:hAnsi="宋体" w:eastAsia="宋体" w:cs="宋体"/>
                <w:b/>
                <w:spacing w:val="-37"/>
                <w:sz w:val="21"/>
                <w:szCs w:val="21"/>
                <w:highlight w:val="none"/>
                <w:u w:val="single"/>
                <w:lang w:val="en-US" w:eastAsia="zh-CN"/>
              </w:rPr>
              <w:t xml:space="preserve">  </w:t>
            </w:r>
            <w:r>
              <w:rPr>
                <w:rFonts w:hint="eastAsia" w:cs="宋体"/>
                <w:b/>
                <w:spacing w:val="-37"/>
                <w:sz w:val="21"/>
                <w:szCs w:val="21"/>
                <w:highlight w:val="none"/>
                <w:u w:val="single"/>
                <w:lang w:val="en-US" w:eastAsia="zh-CN"/>
              </w:rPr>
              <w:t xml:space="preserve">15    </w:t>
            </w:r>
            <w:r>
              <w:rPr>
                <w:rFonts w:hint="eastAsia" w:cs="宋体"/>
                <w:b/>
                <w:sz w:val="21"/>
                <w:szCs w:val="21"/>
                <w:highlight w:val="none"/>
                <w:u w:val="single"/>
                <w:lang w:val="en-US" w:eastAsia="zh-CN"/>
              </w:rPr>
              <w:t>日 0</w:t>
            </w:r>
            <w:r>
              <w:rPr>
                <w:rFonts w:hint="eastAsia" w:ascii="宋体" w:hAnsi="宋体" w:eastAsia="宋体" w:cs="宋体"/>
                <w:b/>
                <w:sz w:val="21"/>
                <w:szCs w:val="21"/>
                <w:highlight w:val="none"/>
                <w:u w:val="single"/>
              </w:rPr>
              <w:t>9:30</w:t>
            </w:r>
            <w:r>
              <w:rPr>
                <w:rFonts w:hint="eastAsia" w:ascii="宋体" w:hAnsi="宋体" w:eastAsia="宋体" w:cs="宋体"/>
                <w:b/>
                <w:spacing w:val="-18"/>
                <w:sz w:val="21"/>
                <w:szCs w:val="21"/>
                <w:highlight w:val="none"/>
                <w:u w:val="single"/>
              </w:rPr>
              <w:t xml:space="preserve"> 时整</w:t>
            </w:r>
            <w:r>
              <w:rPr>
                <w:rFonts w:hint="eastAsia" w:ascii="宋体" w:hAnsi="宋体" w:eastAsia="宋体" w:cs="宋体"/>
                <w:sz w:val="21"/>
                <w:szCs w:val="21"/>
                <w:highlight w:val="none"/>
              </w:rPr>
              <w:t>在</w:t>
            </w:r>
            <w:r>
              <w:rPr>
                <w:rFonts w:hint="eastAsia" w:ascii="宋体" w:hAnsi="宋体" w:eastAsia="宋体" w:cs="宋体"/>
                <w:b/>
                <w:spacing w:val="-1"/>
                <w:sz w:val="21"/>
                <w:szCs w:val="21"/>
                <w:highlight w:val="none"/>
                <w:u w:val="single"/>
              </w:rPr>
              <w:t>金华市政府采购中心兰溪市分中心兰溪市</w:t>
            </w:r>
            <w:r>
              <w:rPr>
                <w:rFonts w:hint="eastAsia" w:ascii="宋体" w:hAnsi="宋体" w:eastAsia="宋体" w:cs="宋体"/>
                <w:b/>
                <w:spacing w:val="-19"/>
                <w:sz w:val="21"/>
                <w:szCs w:val="21"/>
                <w:highlight w:val="none"/>
                <w:u w:val="single"/>
              </w:rPr>
              <w:t>行政服务中心开标室</w:t>
            </w:r>
            <w:r>
              <w:rPr>
                <w:rFonts w:hint="eastAsia" w:ascii="宋体" w:hAnsi="宋体" w:eastAsia="宋体" w:cs="宋体"/>
                <w:b/>
                <w:sz w:val="21"/>
                <w:szCs w:val="21"/>
                <w:highlight w:val="none"/>
                <w:u w:val="single"/>
              </w:rPr>
              <w:t>（</w:t>
            </w:r>
            <w:r>
              <w:rPr>
                <w:rFonts w:hint="eastAsia" w:ascii="宋体" w:hAnsi="宋体" w:eastAsia="宋体" w:cs="宋体"/>
                <w:b/>
                <w:spacing w:val="-8"/>
                <w:sz w:val="21"/>
                <w:szCs w:val="21"/>
                <w:highlight w:val="none"/>
                <w:u w:val="single"/>
              </w:rPr>
              <w:t xml:space="preserve">兰溪市振兴路 </w:t>
            </w:r>
            <w:r>
              <w:rPr>
                <w:rFonts w:hint="eastAsia" w:ascii="宋体" w:hAnsi="宋体" w:eastAsia="宋体" w:cs="宋体"/>
                <w:b/>
                <w:sz w:val="21"/>
                <w:szCs w:val="21"/>
                <w:highlight w:val="none"/>
                <w:u w:val="single"/>
              </w:rPr>
              <w:t>500</w:t>
            </w:r>
            <w:r>
              <w:rPr>
                <w:rFonts w:hint="eastAsia" w:ascii="宋体" w:hAnsi="宋体" w:eastAsia="宋体" w:cs="宋体"/>
                <w:b/>
                <w:spacing w:val="-28"/>
                <w:sz w:val="21"/>
                <w:szCs w:val="21"/>
                <w:highlight w:val="none"/>
                <w:u w:val="single"/>
              </w:rPr>
              <w:t xml:space="preserve"> 号</w:t>
            </w:r>
            <w:r>
              <w:rPr>
                <w:rFonts w:hint="eastAsia" w:ascii="宋体" w:hAnsi="宋体" w:eastAsia="宋体" w:cs="宋体"/>
                <w:b/>
                <w:sz w:val="21"/>
                <w:szCs w:val="21"/>
                <w:highlight w:val="none"/>
                <w:u w:val="single"/>
              </w:rPr>
              <w:t>）</w:t>
            </w:r>
            <w:r>
              <w:rPr>
                <w:rFonts w:hint="eastAsia" w:ascii="宋体" w:hAnsi="宋体" w:eastAsia="宋体" w:cs="宋体"/>
                <w:sz w:val="21"/>
                <w:szCs w:val="21"/>
                <w:highlight w:val="none"/>
              </w:rPr>
              <w:t>。</w:t>
            </w:r>
            <w:r>
              <w:rPr>
                <w:rFonts w:hint="eastAsia" w:cs="宋体"/>
                <w:sz w:val="21"/>
                <w:szCs w:val="21"/>
                <w:highlight w:val="non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869" w:type="dxa"/>
            <w:vAlign w:val="center"/>
          </w:tcPr>
          <w:p>
            <w:pPr>
              <w:keepNext w:val="0"/>
              <w:keepLines w:val="0"/>
              <w:pageBreakBefore w:val="0"/>
              <w:widowControl/>
              <w:kinsoku/>
              <w:wordWrap/>
              <w:overflowPunct/>
              <w:topLinePunct w:val="0"/>
              <w:bidi w:val="0"/>
              <w:adjustRightInd/>
              <w:snapToGrid w:val="0"/>
              <w:spacing w:line="400" w:lineRule="exact"/>
              <w:jc w:val="center"/>
              <w:textAlignment w:val="center"/>
              <w:rPr>
                <w:rFonts w:hint="default" w:ascii="宋体" w:hAnsi="宋体" w:eastAsia="宋体" w:cs="宋体"/>
                <w:b w:val="0"/>
                <w:bCs w:val="0"/>
                <w:w w:val="99"/>
                <w:sz w:val="21"/>
                <w:szCs w:val="21"/>
                <w:highlight w:val="none"/>
                <w:lang w:val="en-US" w:eastAsia="zh-CN"/>
              </w:rPr>
            </w:pPr>
            <w:r>
              <w:rPr>
                <w:rFonts w:hint="eastAsia" w:ascii="宋体" w:hAnsi="宋体" w:eastAsia="宋体" w:cs="宋体"/>
                <w:b w:val="0"/>
                <w:bCs w:val="0"/>
                <w:kern w:val="0"/>
                <w:sz w:val="21"/>
                <w:szCs w:val="21"/>
                <w:lang w:val="en-US" w:eastAsia="zh-CN"/>
              </w:rPr>
              <w:t>13</w:t>
            </w:r>
          </w:p>
        </w:tc>
        <w:tc>
          <w:tcPr>
            <w:tcW w:w="8917" w:type="dxa"/>
            <w:gridSpan w:val="2"/>
            <w:vAlign w:val="center"/>
          </w:tcPr>
          <w:p>
            <w:pPr>
              <w:keepNext w:val="0"/>
              <w:keepLines w:val="0"/>
              <w:pageBreakBefore w:val="0"/>
              <w:kinsoku/>
              <w:wordWrap/>
              <w:overflowPunct/>
              <w:topLinePunct w:val="0"/>
              <w:bidi w:val="0"/>
              <w:adjustRightInd/>
              <w:snapToGrid w:val="0"/>
              <w:spacing w:line="400" w:lineRule="exact"/>
              <w:ind w:left="110" w:leftChars="50" w:firstLine="420" w:firstLineChars="200"/>
              <w:rPr>
                <w:rFonts w:hint="eastAsia" w:ascii="宋体" w:hAnsi="宋体" w:eastAsia="宋体" w:cs="宋体"/>
                <w:sz w:val="21"/>
                <w:szCs w:val="21"/>
              </w:rPr>
            </w:pPr>
            <w:r>
              <w:rPr>
                <w:rFonts w:hint="eastAsia" w:ascii="宋体" w:hAnsi="宋体" w:eastAsia="宋体" w:cs="宋体"/>
                <w:sz w:val="21"/>
                <w:szCs w:val="21"/>
              </w:rPr>
              <w:t>根据《关于在政府采购活动中查询及使用信用记录有关问题的通知》财库[2016]125号的规定：</w:t>
            </w:r>
          </w:p>
          <w:p>
            <w:pPr>
              <w:keepNext w:val="0"/>
              <w:keepLines w:val="0"/>
              <w:pageBreakBefore w:val="0"/>
              <w:kinsoku/>
              <w:wordWrap/>
              <w:overflowPunct/>
              <w:topLinePunct w:val="0"/>
              <w:bidi w:val="0"/>
              <w:adjustRightInd/>
              <w:snapToGrid w:val="0"/>
              <w:spacing w:line="400" w:lineRule="exact"/>
              <w:ind w:left="110" w:leftChars="50"/>
              <w:rPr>
                <w:rFonts w:hint="eastAsia" w:ascii="宋体" w:hAnsi="宋体" w:eastAsia="宋体" w:cs="宋体"/>
                <w:sz w:val="21"/>
                <w:szCs w:val="21"/>
              </w:rPr>
            </w:pPr>
            <w:r>
              <w:rPr>
                <w:rFonts w:hint="eastAsia" w:ascii="宋体" w:hAnsi="宋体" w:eastAsia="宋体" w:cs="宋体"/>
                <w:kern w:val="0"/>
                <w:sz w:val="21"/>
                <w:szCs w:val="21"/>
              </w:rPr>
              <w:t>（</w:t>
            </w:r>
            <w:r>
              <w:rPr>
                <w:rFonts w:hint="eastAsia" w:ascii="宋体" w:hAnsi="宋体" w:eastAsia="宋体" w:cs="宋体"/>
                <w:sz w:val="21"/>
                <w:szCs w:val="21"/>
              </w:rPr>
              <w:t>1）采购人或采购代理机构将对本项目供应商的信用记录进行查询。查询渠道为信用中国网站（www.creditchina.gov.cn）、中国政府采购网（www.ccgp.gov.cn）；</w:t>
            </w:r>
          </w:p>
          <w:p>
            <w:pPr>
              <w:keepNext w:val="0"/>
              <w:keepLines w:val="0"/>
              <w:pageBreakBefore w:val="0"/>
              <w:kinsoku/>
              <w:wordWrap/>
              <w:overflowPunct/>
              <w:topLinePunct w:val="0"/>
              <w:bidi w:val="0"/>
              <w:adjustRightInd/>
              <w:snapToGrid w:val="0"/>
              <w:spacing w:line="400" w:lineRule="exact"/>
              <w:ind w:firstLine="105" w:firstLineChars="50"/>
              <w:rPr>
                <w:rFonts w:hint="eastAsia" w:ascii="宋体" w:hAnsi="宋体" w:eastAsia="宋体" w:cs="宋体"/>
                <w:sz w:val="21"/>
                <w:szCs w:val="21"/>
              </w:rPr>
            </w:pPr>
            <w:r>
              <w:rPr>
                <w:rFonts w:hint="eastAsia" w:ascii="宋体" w:hAnsi="宋体" w:eastAsia="宋体" w:cs="宋体"/>
                <w:kern w:val="0"/>
                <w:sz w:val="21"/>
                <w:szCs w:val="21"/>
              </w:rPr>
              <w:t>（</w:t>
            </w:r>
            <w:r>
              <w:rPr>
                <w:rFonts w:hint="eastAsia" w:ascii="宋体" w:hAnsi="宋体" w:eastAsia="宋体" w:cs="宋体"/>
                <w:sz w:val="21"/>
                <w:szCs w:val="21"/>
              </w:rPr>
              <w:t>2）截止时点：提交投标文件（响应文件）截止时间前3年内；</w:t>
            </w:r>
          </w:p>
          <w:p>
            <w:pPr>
              <w:keepNext w:val="0"/>
              <w:keepLines w:val="0"/>
              <w:pageBreakBefore w:val="0"/>
              <w:kinsoku/>
              <w:wordWrap/>
              <w:overflowPunct/>
              <w:topLinePunct w:val="0"/>
              <w:bidi w:val="0"/>
              <w:adjustRightInd/>
              <w:snapToGrid w:val="0"/>
              <w:spacing w:line="400" w:lineRule="exact"/>
              <w:ind w:left="110" w:leftChars="50"/>
              <w:rPr>
                <w:rFonts w:hint="eastAsia" w:ascii="宋体" w:hAnsi="宋体" w:eastAsia="宋体" w:cs="宋体"/>
                <w:sz w:val="21"/>
                <w:szCs w:val="21"/>
              </w:rPr>
            </w:pPr>
            <w:r>
              <w:rPr>
                <w:rFonts w:hint="eastAsia" w:ascii="宋体" w:hAnsi="宋体" w:eastAsia="宋体" w:cs="宋体"/>
                <w:kern w:val="0"/>
                <w:sz w:val="21"/>
                <w:szCs w:val="21"/>
              </w:rPr>
              <w:t>（</w:t>
            </w:r>
            <w:r>
              <w:rPr>
                <w:rFonts w:hint="eastAsia" w:ascii="宋体" w:hAnsi="宋体" w:eastAsia="宋体" w:cs="宋体"/>
                <w:sz w:val="21"/>
                <w:szCs w:val="21"/>
              </w:rPr>
              <w:t>3）查询记录和证据的留存：信用信息查询记录和证据以网页截图等方式留存。</w:t>
            </w:r>
          </w:p>
          <w:p>
            <w:pPr>
              <w:keepNext w:val="0"/>
              <w:keepLines w:val="0"/>
              <w:pageBreakBefore w:val="0"/>
              <w:kinsoku/>
              <w:wordWrap/>
              <w:overflowPunct/>
              <w:topLinePunct w:val="0"/>
              <w:bidi w:val="0"/>
              <w:adjustRightInd/>
              <w:snapToGrid w:val="0"/>
              <w:spacing w:line="400" w:lineRule="exact"/>
              <w:ind w:left="110" w:leftChars="50"/>
              <w:rPr>
                <w:rFonts w:hint="eastAsia" w:ascii="宋体" w:hAnsi="宋体" w:eastAsia="宋体" w:cs="宋体"/>
                <w:sz w:val="21"/>
                <w:szCs w:val="21"/>
              </w:rPr>
            </w:pPr>
            <w:r>
              <w:rPr>
                <w:rFonts w:hint="eastAsia" w:ascii="宋体" w:hAnsi="宋体" w:eastAsia="宋体" w:cs="宋体"/>
                <w:kern w:val="0"/>
                <w:sz w:val="21"/>
                <w:szCs w:val="21"/>
              </w:rPr>
              <w:t>（</w:t>
            </w:r>
            <w:r>
              <w:rPr>
                <w:rFonts w:hint="eastAsia" w:ascii="宋体" w:hAnsi="宋体" w:eastAsia="宋体" w:cs="宋体"/>
                <w:sz w:val="21"/>
                <w:szCs w:val="21"/>
              </w:rPr>
              <w:t>4）使用规则：被列入失信被执行人、重大税收违法案件当事人名单、政府采购严重违法失信行为记录名单及其它不符合《中华人民共和国政府采购法》第二十二条规定条件的，其投标将被拒绝。</w:t>
            </w:r>
          </w:p>
          <w:p>
            <w:pPr>
              <w:keepNext w:val="0"/>
              <w:keepLines w:val="0"/>
              <w:pageBreakBefore w:val="0"/>
              <w:kinsoku/>
              <w:wordWrap/>
              <w:overflowPunct/>
              <w:topLinePunct w:val="0"/>
              <w:bidi w:val="0"/>
              <w:adjustRightInd/>
              <w:snapToGrid w:val="0"/>
              <w:spacing w:line="400" w:lineRule="exact"/>
              <w:rPr>
                <w:rFonts w:hint="eastAsia" w:ascii="宋体" w:hAnsi="宋体" w:eastAsia="宋体" w:cs="宋体"/>
                <w:sz w:val="21"/>
                <w:szCs w:val="21"/>
                <w:highlight w:val="none"/>
              </w:rPr>
            </w:pPr>
            <w:r>
              <w:rPr>
                <w:rFonts w:hint="eastAsia" w:ascii="宋体" w:hAnsi="宋体" w:eastAsia="宋体" w:cs="宋体"/>
                <w:kern w:val="0"/>
                <w:sz w:val="21"/>
                <w:szCs w:val="21"/>
              </w:rPr>
              <w:t>（</w:t>
            </w:r>
            <w:r>
              <w:rPr>
                <w:rFonts w:hint="eastAsia" w:ascii="宋体" w:hAnsi="宋体" w:eastAsia="宋体" w:cs="宋体"/>
                <w:sz w:val="21"/>
                <w:szCs w:val="21"/>
              </w:rPr>
              <w:t>5）联合体成员任意一方存在不良信用记录的，视同联合体存在不良信用记录。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869" w:type="dxa"/>
            <w:vAlign w:val="center"/>
          </w:tcPr>
          <w:p>
            <w:pPr>
              <w:keepNext w:val="0"/>
              <w:keepLines w:val="0"/>
              <w:pageBreakBefore w:val="0"/>
              <w:widowControl/>
              <w:kinsoku/>
              <w:wordWrap/>
              <w:overflowPunct/>
              <w:topLinePunct w:val="0"/>
              <w:bidi w:val="0"/>
              <w:adjustRightInd/>
              <w:snapToGrid w:val="0"/>
              <w:spacing w:line="400" w:lineRule="exact"/>
              <w:jc w:val="center"/>
              <w:textAlignment w:val="center"/>
              <w:rPr>
                <w:rFonts w:hint="default" w:ascii="宋体" w:hAnsi="宋体" w:eastAsia="宋体" w:cs="宋体"/>
                <w:w w:val="99"/>
                <w:sz w:val="21"/>
                <w:szCs w:val="21"/>
                <w:highlight w:val="none"/>
                <w:lang w:val="en-US" w:eastAsia="zh-CN"/>
              </w:rPr>
            </w:pPr>
            <w:r>
              <w:rPr>
                <w:rFonts w:hint="eastAsia" w:ascii="宋体" w:hAnsi="宋体" w:eastAsia="宋体" w:cs="宋体"/>
                <w:b w:val="0"/>
                <w:bCs w:val="0"/>
                <w:kern w:val="0"/>
                <w:sz w:val="21"/>
                <w:szCs w:val="21"/>
                <w:lang w:val="en-US" w:eastAsia="zh-CN"/>
              </w:rPr>
              <w:t>14</w:t>
            </w:r>
          </w:p>
        </w:tc>
        <w:tc>
          <w:tcPr>
            <w:tcW w:w="2394" w:type="dxa"/>
            <w:vAlign w:val="center"/>
          </w:tcPr>
          <w:p>
            <w:pPr>
              <w:keepNext w:val="0"/>
              <w:keepLines w:val="0"/>
              <w:pageBreakBefore w:val="0"/>
              <w:kinsoku/>
              <w:wordWrap/>
              <w:overflowPunct/>
              <w:topLinePunct w:val="0"/>
              <w:bidi w:val="0"/>
              <w:adjustRightInd/>
              <w:snapToGrid w:val="0"/>
              <w:spacing w:line="400" w:lineRule="exact"/>
              <w:jc w:val="center"/>
              <w:rPr>
                <w:rFonts w:hint="eastAsia" w:ascii="宋体" w:hAnsi="宋体" w:eastAsia="宋体" w:cs="宋体"/>
                <w:sz w:val="21"/>
                <w:szCs w:val="21"/>
                <w:highlight w:val="none"/>
              </w:rPr>
            </w:pPr>
            <w:r>
              <w:rPr>
                <w:rFonts w:hint="eastAsia" w:ascii="宋体" w:hAnsi="宋体" w:eastAsia="宋体" w:cs="宋体"/>
                <w:snapToGrid w:val="0"/>
                <w:kern w:val="0"/>
                <w:sz w:val="21"/>
                <w:szCs w:val="21"/>
              </w:rPr>
              <w:t>本项目对应的中小企业划分标准所属行业</w:t>
            </w:r>
          </w:p>
        </w:tc>
        <w:tc>
          <w:tcPr>
            <w:tcW w:w="6523" w:type="dxa"/>
            <w:vAlign w:val="center"/>
          </w:tcPr>
          <w:p>
            <w:pPr>
              <w:keepNext w:val="0"/>
              <w:keepLines w:val="0"/>
              <w:pageBreakBefore w:val="0"/>
              <w:kinsoku/>
              <w:wordWrap/>
              <w:overflowPunct/>
              <w:topLinePunct w:val="0"/>
              <w:bidi w:val="0"/>
              <w:adjustRightInd/>
              <w:snapToGrid w:val="0"/>
              <w:spacing w:line="400" w:lineRule="exact"/>
              <w:rPr>
                <w:rFonts w:hint="eastAsia" w:ascii="宋体" w:hAnsi="宋体" w:eastAsia="宋体" w:cs="宋体"/>
                <w:sz w:val="21"/>
                <w:szCs w:val="21"/>
              </w:rPr>
            </w:pPr>
            <w:r>
              <w:rPr>
                <w:rFonts w:hint="eastAsia" w:ascii="宋体" w:hAnsi="宋体" w:eastAsia="宋体" w:cs="宋体"/>
                <w:kern w:val="0"/>
                <w:sz w:val="21"/>
                <w:szCs w:val="21"/>
              </w:rPr>
              <w:t>根据《关于印发中小企业划型标准规定的通知》（工信部联企业〔2011〕300号），本企业按所属行业为“</w:t>
            </w:r>
            <w:r>
              <w:rPr>
                <w:rFonts w:hint="eastAsia" w:ascii="宋体" w:hAnsi="宋体" w:eastAsia="宋体" w:cs="宋体"/>
                <w:kern w:val="0"/>
                <w:sz w:val="21"/>
                <w:szCs w:val="21"/>
                <w:lang w:val="en-US" w:eastAsia="zh-CN"/>
              </w:rPr>
              <w:t>其他未列明</w:t>
            </w:r>
            <w:r>
              <w:rPr>
                <w:rFonts w:hint="eastAsia" w:ascii="宋体" w:hAnsi="宋体" w:eastAsia="宋体" w:cs="宋体"/>
                <w:kern w:val="0"/>
                <w:sz w:val="21"/>
                <w:szCs w:val="21"/>
              </w:rPr>
              <w:t>行业”。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869" w:type="dxa"/>
            <w:vAlign w:val="center"/>
          </w:tcPr>
          <w:p>
            <w:pPr>
              <w:pStyle w:val="40"/>
              <w:keepNext w:val="0"/>
              <w:keepLines w:val="0"/>
              <w:pageBreakBefore w:val="0"/>
              <w:kinsoku/>
              <w:wordWrap/>
              <w:overflowPunct/>
              <w:topLinePunct w:val="0"/>
              <w:bidi w:val="0"/>
              <w:adjustRightInd/>
              <w:spacing w:line="400" w:lineRule="exact"/>
              <w:ind w:left="0" w:leftChars="0" w:firstLine="0" w:firstLineChars="0"/>
              <w:jc w:val="center"/>
              <w:rPr>
                <w:rFonts w:hint="default" w:ascii="宋体" w:hAnsi="宋体" w:eastAsia="宋体" w:cs="宋体"/>
                <w:w w:val="99"/>
                <w:sz w:val="21"/>
                <w:szCs w:val="21"/>
                <w:highlight w:val="none"/>
                <w:lang w:val="en-US" w:eastAsia="zh-CN"/>
              </w:rPr>
            </w:pPr>
            <w:r>
              <w:rPr>
                <w:rFonts w:hint="eastAsia" w:ascii="宋体" w:hAnsi="宋体" w:eastAsia="宋体" w:cs="宋体"/>
                <w:b w:val="0"/>
                <w:bCs w:val="0"/>
                <w:sz w:val="21"/>
                <w:szCs w:val="21"/>
                <w:lang w:val="en-US" w:eastAsia="zh-CN"/>
              </w:rPr>
              <w:t>15</w:t>
            </w:r>
          </w:p>
        </w:tc>
        <w:tc>
          <w:tcPr>
            <w:tcW w:w="2394" w:type="dxa"/>
            <w:vAlign w:val="center"/>
          </w:tcPr>
          <w:p>
            <w:pPr>
              <w:pStyle w:val="40"/>
              <w:keepNext w:val="0"/>
              <w:keepLines w:val="0"/>
              <w:pageBreakBefore w:val="0"/>
              <w:kinsoku/>
              <w:wordWrap/>
              <w:overflowPunct/>
              <w:topLinePunct w:val="0"/>
              <w:bidi w:val="0"/>
              <w:adjustRightInd/>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napToGrid w:val="0"/>
                <w:sz w:val="21"/>
                <w:szCs w:val="21"/>
              </w:rPr>
              <w:t>节能产品</w:t>
            </w:r>
          </w:p>
        </w:tc>
        <w:tc>
          <w:tcPr>
            <w:tcW w:w="6523" w:type="dxa"/>
            <w:vAlign w:val="center"/>
          </w:tcPr>
          <w:p>
            <w:pPr>
              <w:keepNext w:val="0"/>
              <w:keepLines w:val="0"/>
              <w:pageBreakBefore w:val="0"/>
              <w:kinsoku/>
              <w:wordWrap/>
              <w:overflowPunct/>
              <w:topLinePunct w:val="0"/>
              <w:bidi w:val="0"/>
              <w:adjustRightInd/>
              <w:snapToGrid w:val="0"/>
              <w:spacing w:line="24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rPr>
              <w:t xml:space="preserve"> 强制采购节能产品</w:t>
            </w:r>
            <w:r>
              <w:rPr>
                <w:rFonts w:hint="eastAsia" w:ascii="宋体" w:hAnsi="宋体" w:eastAsia="宋体" w:cs="宋体"/>
                <w:sz w:val="21"/>
                <w:szCs w:val="21"/>
                <w:lang w:val="en-US" w:eastAsia="zh-CN"/>
              </w:rPr>
              <w:t xml:space="preserve"> </w:t>
            </w:r>
          </w:p>
          <w:p>
            <w:pPr>
              <w:pStyle w:val="40"/>
              <w:keepNext w:val="0"/>
              <w:keepLines w:val="0"/>
              <w:pageBreakBefore w:val="0"/>
              <w:kinsoku/>
              <w:wordWrap/>
              <w:overflowPunct/>
              <w:topLinePunct w:val="0"/>
              <w:bidi w:val="0"/>
              <w:adjustRightInd/>
              <w:spacing w:line="240" w:lineRule="auto"/>
              <w:rPr>
                <w:rFonts w:hint="eastAsia" w:ascii="宋体" w:hAnsi="宋体" w:eastAsia="宋体" w:cs="宋体"/>
                <w:kern w:val="2"/>
                <w:sz w:val="21"/>
                <w:szCs w:val="21"/>
              </w:rPr>
            </w:pPr>
            <w:r>
              <w:rPr>
                <w:rFonts w:hint="eastAsia" w:ascii="宋体" w:hAnsi="宋体" w:eastAsia="宋体" w:cs="宋体"/>
                <w:kern w:val="2"/>
                <w:sz w:val="21"/>
                <w:szCs w:val="21"/>
              </w:rPr>
              <w:t>□ 优先采购节能产品</w:t>
            </w:r>
          </w:p>
          <w:p>
            <w:pPr>
              <w:pStyle w:val="40"/>
              <w:keepNext w:val="0"/>
              <w:keepLines w:val="0"/>
              <w:pageBreakBefore w:val="0"/>
              <w:kinsoku/>
              <w:wordWrap/>
              <w:overflowPunct/>
              <w:topLinePunct w:val="0"/>
              <w:bidi w:val="0"/>
              <w:adjustRightInd/>
              <w:spacing w:line="240" w:lineRule="auto"/>
              <w:ind w:firstLine="420" w:firstLineChars="200"/>
              <w:rPr>
                <w:rFonts w:hint="eastAsia" w:ascii="宋体" w:hAnsi="宋体" w:eastAsia="宋体" w:cs="宋体"/>
                <w:sz w:val="21"/>
                <w:szCs w:val="21"/>
              </w:rPr>
            </w:pPr>
            <w:r>
              <w:rPr>
                <w:rFonts w:hint="eastAsia" w:ascii="宋体" w:hAnsi="宋体" w:eastAsia="宋体" w:cs="宋体"/>
                <w:kern w:val="2"/>
                <w:sz w:val="21"/>
                <w:szCs w:val="21"/>
              </w:rPr>
              <w:sym w:font="Wingdings" w:char="00FE"/>
            </w:r>
            <w:r>
              <w:rPr>
                <w:rFonts w:hint="eastAsia" w:ascii="宋体" w:hAnsi="宋体" w:eastAsia="宋体" w:cs="宋体"/>
                <w:kern w:val="2"/>
                <w:sz w:val="21"/>
                <w:szCs w:val="21"/>
              </w:rPr>
              <w:t xml:space="preserve"> 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869" w:type="dxa"/>
            <w:vAlign w:val="center"/>
          </w:tcPr>
          <w:p>
            <w:pPr>
              <w:pStyle w:val="40"/>
              <w:keepNext w:val="0"/>
              <w:keepLines w:val="0"/>
              <w:pageBreakBefore w:val="0"/>
              <w:kinsoku/>
              <w:wordWrap/>
              <w:overflowPunct/>
              <w:topLinePunct w:val="0"/>
              <w:bidi w:val="0"/>
              <w:adjustRightInd/>
              <w:spacing w:line="400" w:lineRule="exact"/>
              <w:ind w:left="0" w:leftChars="0" w:firstLine="0" w:firstLineChars="0"/>
              <w:jc w:val="center"/>
              <w:rPr>
                <w:rFonts w:hint="default" w:ascii="宋体" w:hAnsi="宋体" w:eastAsia="宋体" w:cs="宋体"/>
                <w:w w:val="99"/>
                <w:sz w:val="21"/>
                <w:szCs w:val="21"/>
                <w:highlight w:val="none"/>
                <w:lang w:val="en-US" w:eastAsia="zh-CN"/>
              </w:rPr>
            </w:pPr>
            <w:r>
              <w:rPr>
                <w:rFonts w:hint="eastAsia" w:ascii="宋体" w:hAnsi="宋体" w:eastAsia="宋体" w:cs="宋体"/>
                <w:w w:val="99"/>
                <w:sz w:val="21"/>
                <w:szCs w:val="21"/>
                <w:highlight w:val="none"/>
                <w:lang w:val="en-US" w:eastAsia="zh-CN"/>
              </w:rPr>
              <w:t>16</w:t>
            </w:r>
          </w:p>
        </w:tc>
        <w:tc>
          <w:tcPr>
            <w:tcW w:w="2394" w:type="dxa"/>
            <w:vAlign w:val="center"/>
          </w:tcPr>
          <w:p>
            <w:pPr>
              <w:pStyle w:val="40"/>
              <w:keepNext w:val="0"/>
              <w:keepLines w:val="0"/>
              <w:pageBreakBefore w:val="0"/>
              <w:kinsoku/>
              <w:wordWrap/>
              <w:overflowPunct/>
              <w:topLinePunct w:val="0"/>
              <w:bidi w:val="0"/>
              <w:adjustRightInd/>
              <w:spacing w:line="400" w:lineRule="exact"/>
              <w:ind w:firstLine="420" w:firstLineChars="200"/>
              <w:rPr>
                <w:rFonts w:hint="eastAsia" w:ascii="宋体" w:hAnsi="宋体" w:eastAsia="宋体" w:cs="宋体"/>
                <w:sz w:val="21"/>
                <w:szCs w:val="21"/>
                <w:highlight w:val="none"/>
              </w:rPr>
            </w:pPr>
            <w:r>
              <w:rPr>
                <w:rFonts w:hint="eastAsia" w:ascii="宋体" w:hAnsi="宋体" w:eastAsia="宋体" w:cs="宋体"/>
                <w:snapToGrid w:val="0"/>
                <w:sz w:val="21"/>
                <w:szCs w:val="21"/>
              </w:rPr>
              <w:t>环境标志产品</w:t>
            </w:r>
          </w:p>
        </w:tc>
        <w:tc>
          <w:tcPr>
            <w:tcW w:w="6523" w:type="dxa"/>
            <w:vAlign w:val="center"/>
          </w:tcPr>
          <w:p>
            <w:pPr>
              <w:pStyle w:val="40"/>
              <w:keepNext w:val="0"/>
              <w:keepLines w:val="0"/>
              <w:pageBreakBefore w:val="0"/>
              <w:kinsoku/>
              <w:wordWrap/>
              <w:overflowPunct/>
              <w:topLinePunct w:val="0"/>
              <w:bidi w:val="0"/>
              <w:adjustRightInd/>
              <w:spacing w:line="240" w:lineRule="auto"/>
              <w:rPr>
                <w:rFonts w:hint="eastAsia" w:ascii="宋体" w:hAnsi="宋体" w:eastAsia="宋体" w:cs="宋体"/>
                <w:kern w:val="2"/>
                <w:sz w:val="21"/>
                <w:szCs w:val="21"/>
              </w:rPr>
            </w:pPr>
            <w:r>
              <w:rPr>
                <w:rFonts w:hint="eastAsia" w:ascii="宋体" w:hAnsi="宋体" w:eastAsia="宋体" w:cs="宋体"/>
                <w:kern w:val="2"/>
                <w:sz w:val="21"/>
                <w:szCs w:val="21"/>
              </w:rPr>
              <w:t>□ 优先采购环境标志产品</w:t>
            </w:r>
          </w:p>
          <w:p>
            <w:pPr>
              <w:keepNext w:val="0"/>
              <w:keepLines w:val="0"/>
              <w:pageBreakBefore w:val="0"/>
              <w:kinsoku/>
              <w:wordWrap/>
              <w:overflowPunct/>
              <w:topLinePunct w:val="0"/>
              <w:bidi w:val="0"/>
              <w:adjustRightInd/>
              <w:snapToGrid w:val="0"/>
              <w:spacing w:line="240" w:lineRule="auto"/>
              <w:ind w:firstLine="420" w:firstLineChars="200"/>
              <w:rPr>
                <w:rFonts w:hint="eastAsia" w:ascii="宋体" w:hAnsi="宋体" w:eastAsia="宋体" w:cs="宋体"/>
                <w:sz w:val="21"/>
                <w:szCs w:val="21"/>
              </w:rPr>
            </w:pPr>
            <w:r>
              <w:rPr>
                <w:rFonts w:hint="eastAsia" w:ascii="宋体" w:hAnsi="宋体" w:eastAsia="宋体" w:cs="宋体"/>
                <w:sz w:val="21"/>
                <w:szCs w:val="21"/>
              </w:rPr>
              <w:sym w:font="Wingdings" w:char="00FE"/>
            </w:r>
            <w:r>
              <w:rPr>
                <w:rFonts w:hint="eastAsia" w:ascii="宋体" w:hAnsi="宋体" w:eastAsia="宋体" w:cs="宋体"/>
                <w:sz w:val="21"/>
                <w:szCs w:val="21"/>
              </w:rPr>
              <w:t xml:space="preserve"> 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1" w:hRule="atLeast"/>
        </w:trPr>
        <w:tc>
          <w:tcPr>
            <w:tcW w:w="869" w:type="dxa"/>
            <w:vAlign w:val="top"/>
          </w:tcPr>
          <w:p>
            <w:pPr>
              <w:pStyle w:val="35"/>
              <w:spacing w:line="360" w:lineRule="auto"/>
              <w:jc w:val="center"/>
              <w:rPr>
                <w:rFonts w:hint="default" w:ascii="宋体" w:hAnsi="宋体" w:eastAsia="宋体" w:cs="宋体"/>
                <w:sz w:val="21"/>
                <w:szCs w:val="21"/>
                <w:highlight w:val="none"/>
                <w:lang w:val="en-US" w:eastAsia="zh-CN"/>
              </w:rPr>
            </w:pPr>
            <w:r>
              <w:rPr>
                <w:rFonts w:hint="eastAsia"/>
                <w:sz w:val="21"/>
                <w:highlight w:val="none"/>
                <w:lang w:val="en-US" w:eastAsia="zh-CN"/>
              </w:rPr>
              <w:t>17</w:t>
            </w:r>
          </w:p>
        </w:tc>
        <w:tc>
          <w:tcPr>
            <w:tcW w:w="8917" w:type="dxa"/>
            <w:gridSpan w:val="2"/>
            <w:vAlign w:val="center"/>
          </w:tcPr>
          <w:p>
            <w:pPr>
              <w:pStyle w:val="35"/>
              <w:keepNext w:val="0"/>
              <w:keepLines w:val="0"/>
              <w:pageBreakBefore w:val="0"/>
              <w:kinsoku/>
              <w:wordWrap/>
              <w:overflowPunct/>
              <w:topLinePunct w:val="0"/>
              <w:bidi w:val="0"/>
              <w:adjustRightInd/>
              <w:spacing w:line="400" w:lineRule="exact"/>
              <w:ind w:left="0" w:left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评标办法及评分标准：综合评分法。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869" w:type="dxa"/>
            <w:vAlign w:val="center"/>
          </w:tcPr>
          <w:p>
            <w:pPr>
              <w:pStyle w:val="35"/>
              <w:spacing w:line="360" w:lineRule="auto"/>
              <w:jc w:val="center"/>
              <w:rPr>
                <w:rFonts w:hint="eastAsia" w:ascii="宋体" w:hAnsi="宋体" w:eastAsia="宋体" w:cs="宋体"/>
                <w:sz w:val="21"/>
                <w:szCs w:val="21"/>
                <w:highlight w:val="none"/>
                <w:lang w:eastAsia="zh-CN"/>
              </w:rPr>
            </w:pPr>
            <w:r>
              <w:rPr>
                <w:rFonts w:hint="eastAsia"/>
                <w:sz w:val="21"/>
                <w:highlight w:val="none"/>
              </w:rPr>
              <w:t>1</w:t>
            </w:r>
            <w:r>
              <w:rPr>
                <w:rFonts w:hint="eastAsia"/>
                <w:sz w:val="21"/>
                <w:highlight w:val="none"/>
                <w:lang w:val="en-US" w:eastAsia="zh-CN"/>
              </w:rPr>
              <w:t>8</w:t>
            </w:r>
          </w:p>
        </w:tc>
        <w:tc>
          <w:tcPr>
            <w:tcW w:w="8917" w:type="dxa"/>
            <w:gridSpan w:val="2"/>
            <w:vAlign w:val="center"/>
          </w:tcPr>
          <w:p>
            <w:pPr>
              <w:pStyle w:val="35"/>
              <w:keepNext w:val="0"/>
              <w:keepLines w:val="0"/>
              <w:pageBreakBefore w:val="0"/>
              <w:kinsoku/>
              <w:wordWrap/>
              <w:overflowPunct/>
              <w:topLinePunct w:val="0"/>
              <w:bidi w:val="0"/>
              <w:adjustRightInd/>
              <w:spacing w:line="400" w:lineRule="exact"/>
              <w:ind w:left="0" w:left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评标结果公示：评标结束后2天内，评标结果公示于浙江政府采购网。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869" w:type="dxa"/>
            <w:vAlign w:val="center"/>
          </w:tcPr>
          <w:p>
            <w:pPr>
              <w:pStyle w:val="35"/>
              <w:spacing w:line="360" w:lineRule="auto"/>
              <w:jc w:val="center"/>
              <w:rPr>
                <w:sz w:val="21"/>
                <w:highlight w:val="none"/>
              </w:rPr>
            </w:pPr>
          </w:p>
          <w:p>
            <w:pPr>
              <w:pStyle w:val="35"/>
              <w:spacing w:line="360" w:lineRule="auto"/>
              <w:jc w:val="center"/>
              <w:rPr>
                <w:rFonts w:hint="default" w:ascii="宋体" w:hAnsi="宋体" w:eastAsia="宋体" w:cs="宋体"/>
                <w:sz w:val="21"/>
                <w:szCs w:val="21"/>
                <w:highlight w:val="none"/>
                <w:lang w:val="en-US" w:eastAsia="zh-CN"/>
              </w:rPr>
            </w:pPr>
            <w:r>
              <w:rPr>
                <w:rFonts w:hint="eastAsia"/>
                <w:sz w:val="21"/>
                <w:highlight w:val="none"/>
                <w:lang w:val="en-US" w:eastAsia="zh-CN"/>
              </w:rPr>
              <w:t>19</w:t>
            </w:r>
          </w:p>
        </w:tc>
        <w:tc>
          <w:tcPr>
            <w:tcW w:w="8917" w:type="dxa"/>
            <w:gridSpan w:val="2"/>
            <w:vAlign w:val="center"/>
          </w:tcPr>
          <w:p>
            <w:pPr>
              <w:pStyle w:val="35"/>
              <w:keepNext w:val="0"/>
              <w:keepLines w:val="0"/>
              <w:pageBreakBefore w:val="0"/>
              <w:kinsoku/>
              <w:wordWrap/>
              <w:overflowPunct/>
              <w:topLinePunct w:val="0"/>
              <w:bidi w:val="0"/>
              <w:adjustRightInd/>
              <w:spacing w:line="400" w:lineRule="exact"/>
              <w:ind w:left="0" w:left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中标公告及中标通知书：评标结束后2个工作日内公告，中标公告发布于上述媒体；中标供货商公告后2个工作日内到浙江中信工程咨询有限公司领取中标通知书。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869" w:type="dxa"/>
            <w:vAlign w:val="center"/>
          </w:tcPr>
          <w:p>
            <w:pPr>
              <w:pStyle w:val="35"/>
              <w:spacing w:line="360" w:lineRule="auto"/>
              <w:jc w:val="center"/>
              <w:rPr>
                <w:rFonts w:hint="default" w:ascii="宋体" w:hAnsi="宋体" w:eastAsia="宋体" w:cs="宋体"/>
                <w:sz w:val="21"/>
                <w:szCs w:val="21"/>
                <w:highlight w:val="none"/>
                <w:lang w:val="en-US" w:eastAsia="zh-CN"/>
              </w:rPr>
            </w:pPr>
            <w:r>
              <w:rPr>
                <w:rFonts w:hint="eastAsia"/>
                <w:sz w:val="21"/>
                <w:highlight w:val="none"/>
                <w:lang w:val="en-US" w:eastAsia="zh-CN"/>
              </w:rPr>
              <w:t>20</w:t>
            </w:r>
          </w:p>
        </w:tc>
        <w:tc>
          <w:tcPr>
            <w:tcW w:w="8917" w:type="dxa"/>
            <w:gridSpan w:val="2"/>
            <w:vAlign w:val="center"/>
          </w:tcPr>
          <w:p>
            <w:pPr>
              <w:pStyle w:val="35"/>
              <w:keepNext w:val="0"/>
              <w:keepLines w:val="0"/>
              <w:pageBreakBefore w:val="0"/>
              <w:kinsoku/>
              <w:wordWrap/>
              <w:overflowPunct/>
              <w:topLinePunct w:val="0"/>
              <w:bidi w:val="0"/>
              <w:adjustRightInd/>
              <w:spacing w:line="400" w:lineRule="exact"/>
              <w:ind w:left="0" w:left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中标人需在领取中标通知书前向招标代理机构提供纸质投标文件：</w:t>
            </w:r>
            <w:r>
              <w:rPr>
                <w:rFonts w:hint="eastAsia" w:ascii="宋体" w:hAnsi="宋体" w:eastAsia="宋体" w:cs="宋体"/>
                <w:sz w:val="21"/>
                <w:szCs w:val="21"/>
                <w:highlight w:val="none"/>
                <w:u w:val="single"/>
              </w:rPr>
              <w:t>正本一套、副本两套</w:t>
            </w:r>
            <w:r>
              <w:rPr>
                <w:rFonts w:hint="eastAsia" w:ascii="宋体" w:hAnsi="宋体" w:eastAsia="宋体" w:cs="宋体"/>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869" w:type="dxa"/>
            <w:vAlign w:val="center"/>
          </w:tcPr>
          <w:p>
            <w:pPr>
              <w:pStyle w:val="35"/>
              <w:spacing w:line="360" w:lineRule="auto"/>
              <w:jc w:val="center"/>
              <w:rPr>
                <w:rFonts w:hint="default" w:ascii="宋体" w:hAnsi="宋体" w:eastAsia="宋体" w:cs="宋体"/>
                <w:sz w:val="21"/>
                <w:szCs w:val="21"/>
                <w:highlight w:val="none"/>
                <w:lang w:val="en-US" w:eastAsia="zh-CN"/>
              </w:rPr>
            </w:pPr>
            <w:r>
              <w:rPr>
                <w:rFonts w:hint="eastAsia"/>
                <w:sz w:val="21"/>
                <w:highlight w:val="none"/>
                <w:lang w:val="en-US" w:eastAsia="zh-CN"/>
              </w:rPr>
              <w:t>21</w:t>
            </w:r>
          </w:p>
        </w:tc>
        <w:tc>
          <w:tcPr>
            <w:tcW w:w="8917" w:type="dxa"/>
            <w:gridSpan w:val="2"/>
            <w:vAlign w:val="center"/>
          </w:tcPr>
          <w:p>
            <w:pPr>
              <w:pStyle w:val="35"/>
              <w:keepNext w:val="0"/>
              <w:keepLines w:val="0"/>
              <w:pageBreakBefore w:val="0"/>
              <w:kinsoku/>
              <w:wordWrap/>
              <w:overflowPunct/>
              <w:topLinePunct w:val="0"/>
              <w:bidi w:val="0"/>
              <w:adjustRightInd/>
              <w:spacing w:line="400" w:lineRule="exact"/>
              <w:ind w:left="0" w:left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签订合同：中标通知书发出后30天内。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869" w:type="dxa"/>
            <w:vAlign w:val="center"/>
          </w:tcPr>
          <w:p>
            <w:pPr>
              <w:pStyle w:val="35"/>
              <w:spacing w:line="360" w:lineRule="auto"/>
              <w:jc w:val="center"/>
              <w:rPr>
                <w:sz w:val="21"/>
                <w:highlight w:val="none"/>
              </w:rPr>
            </w:pPr>
          </w:p>
          <w:p>
            <w:pPr>
              <w:pStyle w:val="35"/>
              <w:spacing w:line="360" w:lineRule="auto"/>
              <w:jc w:val="center"/>
              <w:rPr>
                <w:rFonts w:hint="default" w:ascii="宋体" w:hAnsi="宋体" w:eastAsia="宋体" w:cs="宋体"/>
                <w:sz w:val="21"/>
                <w:szCs w:val="21"/>
                <w:highlight w:val="none"/>
                <w:lang w:val="en-US" w:eastAsia="zh-CN"/>
              </w:rPr>
            </w:pPr>
            <w:r>
              <w:rPr>
                <w:rFonts w:hint="eastAsia"/>
                <w:sz w:val="21"/>
                <w:highlight w:val="none"/>
                <w:lang w:val="en-US" w:eastAsia="zh-CN"/>
              </w:rPr>
              <w:t>22</w:t>
            </w:r>
          </w:p>
        </w:tc>
        <w:tc>
          <w:tcPr>
            <w:tcW w:w="8917" w:type="dxa"/>
            <w:gridSpan w:val="2"/>
            <w:vAlign w:val="center"/>
          </w:tcPr>
          <w:p>
            <w:pPr>
              <w:pStyle w:val="35"/>
              <w:keepNext w:val="0"/>
              <w:keepLines w:val="0"/>
              <w:pageBreakBefore w:val="0"/>
              <w:kinsoku/>
              <w:wordWrap/>
              <w:overflowPunct/>
              <w:topLinePunct w:val="0"/>
              <w:bidi w:val="0"/>
              <w:adjustRightInd/>
              <w:spacing w:line="400" w:lineRule="exact"/>
              <w:ind w:left="0" w:left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采购资金来源及预算：预算内资金； 支付方式：授权支付。</w:t>
            </w:r>
          </w:p>
          <w:p>
            <w:pPr>
              <w:pStyle w:val="35"/>
              <w:keepNext w:val="0"/>
              <w:keepLines w:val="0"/>
              <w:pageBreakBefore w:val="0"/>
              <w:kinsoku/>
              <w:wordWrap/>
              <w:overflowPunct/>
              <w:topLinePunct w:val="0"/>
              <w:bidi w:val="0"/>
              <w:adjustRightInd/>
              <w:spacing w:line="400" w:lineRule="exact"/>
              <w:ind w:left="0" w:left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预算金额：</w:t>
            </w:r>
            <w:r>
              <w:rPr>
                <w:rFonts w:hint="eastAsia" w:ascii="宋体" w:hAnsi="宋体" w:eastAsia="宋体" w:cs="宋体"/>
                <w:sz w:val="21"/>
                <w:szCs w:val="21"/>
                <w:highlight w:val="none"/>
                <w:lang w:val="en-US" w:eastAsia="zh-CN"/>
              </w:rPr>
              <w:t>330</w:t>
            </w:r>
            <w:r>
              <w:rPr>
                <w:rFonts w:hint="eastAsia" w:cs="宋体"/>
                <w:sz w:val="21"/>
                <w:szCs w:val="21"/>
                <w:highlight w:val="none"/>
                <w:lang w:val="en-US" w:eastAsia="zh-CN"/>
              </w:rPr>
              <w:t>.0000</w:t>
            </w:r>
            <w:r>
              <w:rPr>
                <w:rFonts w:hint="eastAsia" w:ascii="宋体" w:hAnsi="宋体" w:eastAsia="宋体" w:cs="宋体"/>
                <w:sz w:val="21"/>
                <w:szCs w:val="21"/>
                <w:highlight w:val="none"/>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869" w:type="dxa"/>
            <w:vAlign w:val="center"/>
          </w:tcPr>
          <w:p>
            <w:pPr>
              <w:pStyle w:val="35"/>
              <w:spacing w:line="360" w:lineRule="auto"/>
              <w:jc w:val="center"/>
              <w:rPr>
                <w:rFonts w:hint="default" w:ascii="宋体" w:hAnsi="宋体" w:eastAsia="宋体" w:cs="宋体"/>
                <w:sz w:val="21"/>
                <w:szCs w:val="21"/>
                <w:highlight w:val="none"/>
                <w:lang w:val="en-US" w:eastAsia="zh-CN"/>
              </w:rPr>
            </w:pPr>
            <w:r>
              <w:rPr>
                <w:rFonts w:hint="eastAsia"/>
                <w:sz w:val="21"/>
                <w:highlight w:val="none"/>
                <w:lang w:val="en-US" w:eastAsia="zh-CN"/>
              </w:rPr>
              <w:t>23</w:t>
            </w:r>
          </w:p>
        </w:tc>
        <w:tc>
          <w:tcPr>
            <w:tcW w:w="8917" w:type="dxa"/>
            <w:gridSpan w:val="2"/>
            <w:vAlign w:val="center"/>
          </w:tcPr>
          <w:p>
            <w:pPr>
              <w:pStyle w:val="35"/>
              <w:keepNext w:val="0"/>
              <w:keepLines w:val="0"/>
              <w:pageBreakBefore w:val="0"/>
              <w:kinsoku/>
              <w:wordWrap/>
              <w:overflowPunct/>
              <w:topLinePunct w:val="0"/>
              <w:bidi w:val="0"/>
              <w:adjustRightInd/>
              <w:spacing w:line="400" w:lineRule="exact"/>
              <w:ind w:left="0" w:left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履约保证金:按合同总金额的2%以千为单位计收，履约保证金以银行电汇及转账支票或银行保函或履约保证保险等非现金形式通过投标人的账户汇出。本项目在供应商履行完合同约定义务事项后5个工作日内凭相关票据无息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2" w:hRule="atLeast"/>
        </w:trPr>
        <w:tc>
          <w:tcPr>
            <w:tcW w:w="869" w:type="dxa"/>
            <w:vAlign w:val="center"/>
          </w:tcPr>
          <w:p>
            <w:pPr>
              <w:pStyle w:val="35"/>
              <w:spacing w:line="360" w:lineRule="auto"/>
              <w:jc w:val="center"/>
              <w:rPr>
                <w:sz w:val="21"/>
                <w:highlight w:val="none"/>
                <w:lang w:val="en-US"/>
              </w:rPr>
            </w:pPr>
          </w:p>
          <w:p>
            <w:pPr>
              <w:pStyle w:val="35"/>
              <w:spacing w:line="360" w:lineRule="auto"/>
              <w:jc w:val="center"/>
              <w:rPr>
                <w:rFonts w:hint="default" w:ascii="宋体" w:hAnsi="宋体" w:eastAsia="宋体" w:cs="宋体"/>
                <w:sz w:val="21"/>
                <w:szCs w:val="21"/>
                <w:highlight w:val="none"/>
                <w:lang w:val="en-US" w:eastAsia="zh-CN"/>
              </w:rPr>
            </w:pPr>
            <w:r>
              <w:rPr>
                <w:rFonts w:hint="eastAsia"/>
                <w:sz w:val="21"/>
                <w:highlight w:val="none"/>
                <w:lang w:val="en-US" w:eastAsia="zh-CN"/>
              </w:rPr>
              <w:t>24</w:t>
            </w:r>
          </w:p>
        </w:tc>
        <w:tc>
          <w:tcPr>
            <w:tcW w:w="8917" w:type="dxa"/>
            <w:gridSpan w:val="2"/>
            <w:vAlign w:val="center"/>
          </w:tcPr>
          <w:p>
            <w:pPr>
              <w:pStyle w:val="35"/>
              <w:keepNext w:val="0"/>
              <w:keepLines w:val="0"/>
              <w:pageBreakBefore w:val="0"/>
              <w:kinsoku/>
              <w:wordWrap/>
              <w:overflowPunct/>
              <w:topLinePunct w:val="0"/>
              <w:bidi w:val="0"/>
              <w:adjustRightInd/>
              <w:spacing w:line="400" w:lineRule="exact"/>
              <w:ind w:left="0" w:leftChars="0"/>
              <w:jc w:val="both"/>
              <w:textAlignment w:val="auto"/>
              <w:rPr>
                <w:rFonts w:hint="eastAsia" w:ascii="宋体" w:hAnsi="宋体" w:eastAsia="宋体" w:cs="宋体"/>
                <w:sz w:val="21"/>
                <w:szCs w:val="21"/>
                <w:highlight w:val="none"/>
                <w:lang w:val="en-US"/>
              </w:rPr>
            </w:pPr>
            <w:r>
              <w:rPr>
                <w:rFonts w:hint="eastAsia" w:ascii="宋体" w:hAnsi="宋体" w:eastAsia="宋体" w:cs="宋体"/>
                <w:sz w:val="21"/>
                <w:szCs w:val="21"/>
                <w:highlight w:val="none"/>
                <w:lang w:val="en-US"/>
              </w:rPr>
              <w:t>有效期限：合同生效并接到委托方通知之日起至</w:t>
            </w:r>
            <w:r>
              <w:rPr>
                <w:rFonts w:hint="eastAsia" w:ascii="宋体" w:hAnsi="宋体" w:eastAsia="宋体" w:cs="宋体"/>
                <w:sz w:val="21"/>
                <w:szCs w:val="21"/>
                <w:highlight w:val="none"/>
              </w:rPr>
              <w:t>兰溪市综合交通规划“十四五”规划</w:t>
            </w:r>
            <w:r>
              <w:rPr>
                <w:rFonts w:hint="eastAsia" w:ascii="宋体" w:hAnsi="宋体" w:eastAsia="宋体" w:cs="宋体"/>
                <w:sz w:val="21"/>
                <w:szCs w:val="21"/>
                <w:highlight w:val="none"/>
                <w:lang w:val="en-US" w:eastAsia="zh-CN"/>
              </w:rPr>
              <w:t>落地</w:t>
            </w:r>
            <w:r>
              <w:rPr>
                <w:rFonts w:hint="eastAsia" w:ascii="宋体" w:hAnsi="宋体" w:eastAsia="宋体" w:cs="宋体"/>
                <w:sz w:val="21"/>
                <w:szCs w:val="21"/>
                <w:highlight w:val="none"/>
                <w:lang w:val="en-US"/>
              </w:rPr>
              <w:t>方案编制完成止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869" w:type="dxa"/>
            <w:vAlign w:val="center"/>
          </w:tcPr>
          <w:p>
            <w:pPr>
              <w:pStyle w:val="35"/>
              <w:spacing w:line="360" w:lineRule="auto"/>
              <w:jc w:val="center"/>
              <w:rPr>
                <w:rFonts w:hint="eastAsia" w:ascii="宋体" w:hAnsi="宋体" w:eastAsia="宋体" w:cs="宋体"/>
                <w:sz w:val="21"/>
                <w:szCs w:val="21"/>
                <w:highlight w:val="none"/>
                <w:lang w:val="en-US" w:eastAsia="zh-CN"/>
              </w:rPr>
            </w:pPr>
            <w:r>
              <w:rPr>
                <w:rFonts w:hint="eastAsia"/>
                <w:sz w:val="21"/>
                <w:highlight w:val="none"/>
                <w:lang w:val="en-US"/>
              </w:rPr>
              <w:t>2</w:t>
            </w:r>
            <w:r>
              <w:rPr>
                <w:rFonts w:hint="eastAsia"/>
                <w:sz w:val="21"/>
                <w:highlight w:val="none"/>
                <w:lang w:val="en-US" w:eastAsia="zh-CN"/>
              </w:rPr>
              <w:t>5</w:t>
            </w:r>
          </w:p>
        </w:tc>
        <w:tc>
          <w:tcPr>
            <w:tcW w:w="8917" w:type="dxa"/>
            <w:gridSpan w:val="2"/>
            <w:vAlign w:val="center"/>
          </w:tcPr>
          <w:p>
            <w:pPr>
              <w:pStyle w:val="35"/>
              <w:keepNext w:val="0"/>
              <w:keepLines w:val="0"/>
              <w:pageBreakBefore w:val="0"/>
              <w:kinsoku/>
              <w:wordWrap/>
              <w:overflowPunct/>
              <w:topLinePunct w:val="0"/>
              <w:bidi w:val="0"/>
              <w:adjustRightInd/>
              <w:spacing w:line="400" w:lineRule="exact"/>
              <w:ind w:left="0" w:leftChars="0"/>
              <w:jc w:val="both"/>
              <w:textAlignment w:val="auto"/>
              <w:rPr>
                <w:rFonts w:hint="eastAsia" w:ascii="宋体" w:hAnsi="宋体" w:eastAsia="宋体" w:cs="宋体"/>
                <w:sz w:val="21"/>
                <w:szCs w:val="21"/>
                <w:highlight w:val="none"/>
                <w:lang w:val="en-US"/>
              </w:rPr>
            </w:pPr>
            <w:r>
              <w:rPr>
                <w:rFonts w:hint="eastAsia" w:ascii="宋体" w:hAnsi="宋体" w:eastAsia="宋体" w:cs="宋体"/>
                <w:sz w:val="21"/>
                <w:szCs w:val="21"/>
                <w:highlight w:val="none"/>
                <w:lang w:val="en-US"/>
              </w:rPr>
              <w:t>质量要求：</w:t>
            </w:r>
            <w:r>
              <w:rPr>
                <w:rFonts w:hint="eastAsia" w:ascii="宋体" w:hAnsi="宋体" w:eastAsia="宋体" w:cs="宋体"/>
                <w:sz w:val="21"/>
                <w:szCs w:val="21"/>
                <w:highlight w:val="none"/>
              </w:rPr>
              <w:t>（1）调查资料详实准确；（2）充分研究论证；（3）通过专家评审；（4）通过相关部门审查；（5）</w:t>
            </w:r>
            <w:r>
              <w:rPr>
                <w:rFonts w:hint="eastAsia" w:ascii="宋体" w:hAnsi="宋体" w:eastAsia="宋体" w:cs="宋体"/>
                <w:sz w:val="21"/>
                <w:szCs w:val="21"/>
                <w:highlight w:val="none"/>
                <w:lang w:val="en-US" w:eastAsia="zh-CN"/>
              </w:rPr>
              <w:t>提交成果文件</w:t>
            </w:r>
            <w:r>
              <w:rPr>
                <w:rFonts w:hint="eastAsia" w:ascii="宋体" w:hAnsi="宋体" w:eastAsia="宋体" w:cs="宋体"/>
                <w:sz w:val="21"/>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869" w:type="dxa"/>
            <w:vAlign w:val="center"/>
          </w:tcPr>
          <w:p>
            <w:pPr>
              <w:pStyle w:val="35"/>
              <w:spacing w:line="360" w:lineRule="auto"/>
              <w:jc w:val="center"/>
              <w:rPr>
                <w:rFonts w:hint="eastAsia" w:ascii="宋体" w:hAnsi="宋体" w:eastAsia="宋体" w:cs="宋体"/>
                <w:sz w:val="21"/>
                <w:szCs w:val="21"/>
                <w:highlight w:val="none"/>
                <w:lang w:val="en-US" w:eastAsia="zh-CN"/>
              </w:rPr>
            </w:pPr>
            <w:r>
              <w:rPr>
                <w:rFonts w:hint="eastAsia"/>
                <w:sz w:val="21"/>
                <w:highlight w:val="none"/>
                <w:lang w:val="en-US"/>
              </w:rPr>
              <w:t>2</w:t>
            </w:r>
            <w:r>
              <w:rPr>
                <w:rFonts w:hint="eastAsia"/>
                <w:sz w:val="21"/>
                <w:highlight w:val="none"/>
                <w:lang w:val="en-US" w:eastAsia="zh-CN"/>
              </w:rPr>
              <w:t>6</w:t>
            </w:r>
          </w:p>
        </w:tc>
        <w:tc>
          <w:tcPr>
            <w:tcW w:w="8917" w:type="dxa"/>
            <w:gridSpan w:val="2"/>
            <w:vAlign w:val="center"/>
          </w:tcPr>
          <w:p>
            <w:pPr>
              <w:keepNext w:val="0"/>
              <w:keepLines w:val="0"/>
              <w:pageBreakBefore w:val="0"/>
              <w:kinsoku/>
              <w:wordWrap/>
              <w:overflowPunct/>
              <w:topLinePunct w:val="0"/>
              <w:bidi w:val="0"/>
              <w:adjustRightInd/>
              <w:snapToGrid w:val="0"/>
              <w:spacing w:line="400" w:lineRule="exact"/>
              <w:ind w:left="0" w:leftChars="0"/>
              <w:jc w:val="both"/>
              <w:textAlignment w:val="auto"/>
              <w:rPr>
                <w:rFonts w:hint="eastAsia" w:ascii="宋体" w:hAnsi="宋体" w:eastAsia="宋体" w:cs="宋体"/>
                <w:sz w:val="21"/>
                <w:szCs w:val="21"/>
                <w:highlight w:val="none"/>
                <w:lang w:val="en-US"/>
              </w:rPr>
            </w:pPr>
            <w:r>
              <w:rPr>
                <w:rFonts w:hint="eastAsia" w:ascii="宋体" w:hAnsi="宋体" w:eastAsia="宋体" w:cs="宋体"/>
                <w:b/>
                <w:bCs/>
                <w:sz w:val="21"/>
                <w:szCs w:val="21"/>
                <w:highlight w:val="none"/>
              </w:rPr>
              <w:t>付款方式：</w:t>
            </w:r>
            <w:r>
              <w:rPr>
                <w:rFonts w:hint="eastAsia" w:ascii="宋体" w:hAnsi="宋体" w:eastAsia="宋体" w:cs="宋体"/>
                <w:sz w:val="21"/>
                <w:szCs w:val="21"/>
                <w:highlight w:val="none"/>
              </w:rPr>
              <w:t>合同生效及具备实施条件支付合同价款的</w:t>
            </w:r>
            <w:r>
              <w:rPr>
                <w:rFonts w:hint="eastAsia" w:ascii="宋体" w:hAnsi="宋体" w:eastAsia="宋体" w:cs="宋体"/>
                <w:sz w:val="21"/>
                <w:szCs w:val="21"/>
                <w:highlight w:val="none"/>
                <w:lang w:val="en-US" w:eastAsia="zh-CN"/>
              </w:rPr>
              <w:t>30</w:t>
            </w:r>
            <w:r>
              <w:rPr>
                <w:rFonts w:hint="eastAsia" w:ascii="宋体" w:hAnsi="宋体" w:eastAsia="宋体" w:cs="宋体"/>
                <w:sz w:val="21"/>
                <w:szCs w:val="21"/>
                <w:highlight w:val="none"/>
              </w:rPr>
              <w:t>%作为预付款；采购人组织</w:t>
            </w:r>
            <w:r>
              <w:rPr>
                <w:rFonts w:hint="eastAsia" w:ascii="宋体" w:hAnsi="宋体" w:eastAsia="宋体" w:cs="宋体"/>
                <w:sz w:val="21"/>
                <w:szCs w:val="21"/>
                <w:highlight w:val="none"/>
                <w:lang w:val="en-US" w:eastAsia="zh-CN"/>
              </w:rPr>
              <w:t>专家评审后完成落地方案最终稿后</w:t>
            </w:r>
            <w:r>
              <w:rPr>
                <w:rFonts w:hint="eastAsia" w:ascii="宋体" w:hAnsi="宋体" w:eastAsia="宋体" w:cs="宋体"/>
                <w:sz w:val="21"/>
                <w:szCs w:val="21"/>
                <w:highlight w:val="none"/>
              </w:rPr>
              <w:t>支付剩余合同价尾款。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869" w:type="dxa"/>
            <w:vAlign w:val="center"/>
          </w:tcPr>
          <w:p>
            <w:pPr>
              <w:pStyle w:val="35"/>
              <w:spacing w:line="360" w:lineRule="auto"/>
              <w:jc w:val="center"/>
              <w:rPr>
                <w:sz w:val="17"/>
                <w:highlight w:val="none"/>
                <w:lang w:val="en-US"/>
              </w:rPr>
            </w:pPr>
          </w:p>
          <w:p>
            <w:pPr>
              <w:pStyle w:val="35"/>
              <w:spacing w:line="360" w:lineRule="auto"/>
              <w:jc w:val="center"/>
              <w:rPr>
                <w:sz w:val="17"/>
                <w:highlight w:val="none"/>
                <w:lang w:val="en-US"/>
              </w:rPr>
            </w:pPr>
          </w:p>
          <w:p>
            <w:pPr>
              <w:pStyle w:val="35"/>
              <w:spacing w:line="360" w:lineRule="auto"/>
              <w:jc w:val="center"/>
              <w:rPr>
                <w:rFonts w:hint="eastAsia" w:ascii="宋体" w:hAnsi="宋体" w:eastAsia="宋体" w:cs="宋体"/>
                <w:sz w:val="21"/>
                <w:szCs w:val="21"/>
                <w:highlight w:val="none"/>
                <w:lang w:val="en-US" w:eastAsia="zh-CN"/>
              </w:rPr>
            </w:pPr>
            <w:r>
              <w:rPr>
                <w:rFonts w:hint="eastAsia"/>
                <w:sz w:val="21"/>
                <w:highlight w:val="none"/>
                <w:lang w:val="en-US"/>
              </w:rPr>
              <w:t>2</w:t>
            </w:r>
            <w:r>
              <w:rPr>
                <w:rFonts w:hint="eastAsia"/>
                <w:sz w:val="21"/>
                <w:highlight w:val="none"/>
                <w:lang w:val="en-US" w:eastAsia="zh-CN"/>
              </w:rPr>
              <w:t>7</w:t>
            </w:r>
          </w:p>
        </w:tc>
        <w:tc>
          <w:tcPr>
            <w:tcW w:w="8917" w:type="dxa"/>
            <w:gridSpan w:val="2"/>
            <w:vAlign w:val="center"/>
          </w:tcPr>
          <w:p>
            <w:pPr>
              <w:keepNext w:val="0"/>
              <w:keepLines w:val="0"/>
              <w:pageBreakBefore w:val="0"/>
              <w:kinsoku/>
              <w:wordWrap/>
              <w:overflowPunct/>
              <w:topLinePunct w:val="0"/>
              <w:bidi w:val="0"/>
              <w:adjustRightInd/>
              <w:snapToGrid w:val="0"/>
              <w:spacing w:line="400" w:lineRule="exact"/>
              <w:ind w:left="0" w:leftChars="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b/>
                <w:bCs/>
                <w:sz w:val="21"/>
                <w:szCs w:val="21"/>
                <w:highlight w:val="none"/>
                <w:lang w:val="en-US" w:eastAsia="zh-CN"/>
              </w:rPr>
              <w:t>结算方式：按线路方案单独结算。</w:t>
            </w:r>
            <w:r>
              <w:rPr>
                <w:rFonts w:hint="eastAsia" w:ascii="宋体" w:hAnsi="宋体" w:eastAsia="宋体" w:cs="宋体"/>
                <w:sz w:val="21"/>
                <w:szCs w:val="21"/>
                <w:highlight w:val="none"/>
                <w:lang w:val="en-US" w:eastAsia="zh-CN"/>
              </w:rPr>
              <w:t>甲方有权利增、减需要方案研究的线路，如增加研究的线路，增加研究线路的服务费按报价一览表中同等级别、类型公路报价单价的平均值作为单价，以</w:t>
            </w:r>
          </w:p>
          <w:p>
            <w:pPr>
              <w:keepNext w:val="0"/>
              <w:keepLines w:val="0"/>
              <w:pageBreakBefore w:val="0"/>
              <w:kinsoku/>
              <w:wordWrap/>
              <w:overflowPunct/>
              <w:topLinePunct w:val="0"/>
              <w:bidi w:val="0"/>
              <w:adjustRightInd/>
              <w:snapToGrid w:val="0"/>
              <w:spacing w:line="400" w:lineRule="exact"/>
              <w:ind w:left="0" w:leftChars="0"/>
              <w:jc w:val="both"/>
              <w:textAlignment w:val="auto"/>
              <w:rPr>
                <w:rFonts w:hint="eastAsia" w:ascii="宋体" w:hAnsi="宋体" w:eastAsia="宋体" w:cs="宋体"/>
                <w:b/>
                <w:bCs/>
                <w:sz w:val="21"/>
                <w:szCs w:val="21"/>
                <w:highlight w:val="none"/>
                <w:lang w:val="en-US" w:eastAsia="zh-CN"/>
              </w:rPr>
            </w:pPr>
            <w:r>
              <w:rPr>
                <w:rFonts w:hint="eastAsia" w:ascii="宋体" w:hAnsi="宋体" w:eastAsia="宋体" w:cs="宋体"/>
                <w:sz w:val="21"/>
                <w:szCs w:val="21"/>
                <w:highlight w:val="none"/>
                <w:lang w:val="en-US" w:eastAsia="zh-CN"/>
              </w:rPr>
              <w:t>单价×公里数计算服务费；如减少研究的线路，减少研究线路的服务费按报价一览表中的报价核减服务费。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6" w:hRule="atLeast"/>
        </w:trPr>
        <w:tc>
          <w:tcPr>
            <w:tcW w:w="869" w:type="dxa"/>
            <w:vAlign w:val="center"/>
          </w:tcPr>
          <w:p>
            <w:pPr>
              <w:pStyle w:val="35"/>
              <w:spacing w:line="360" w:lineRule="auto"/>
              <w:jc w:val="center"/>
              <w:rPr>
                <w:rFonts w:hint="eastAsia" w:ascii="宋体" w:hAnsi="宋体" w:eastAsia="宋体" w:cs="宋体"/>
                <w:sz w:val="21"/>
                <w:szCs w:val="21"/>
                <w:highlight w:val="none"/>
                <w:lang w:val="en-US" w:eastAsia="zh-CN"/>
              </w:rPr>
            </w:pPr>
            <w:r>
              <w:rPr>
                <w:rFonts w:hint="eastAsia"/>
                <w:sz w:val="21"/>
                <w:highlight w:val="none"/>
                <w:lang w:val="en-US"/>
              </w:rPr>
              <w:t>2</w:t>
            </w:r>
            <w:r>
              <w:rPr>
                <w:rFonts w:hint="eastAsia"/>
                <w:sz w:val="21"/>
                <w:highlight w:val="none"/>
                <w:lang w:val="en-US" w:eastAsia="zh-CN"/>
              </w:rPr>
              <w:t>8</w:t>
            </w:r>
          </w:p>
        </w:tc>
        <w:tc>
          <w:tcPr>
            <w:tcW w:w="8917" w:type="dxa"/>
            <w:gridSpan w:val="2"/>
            <w:vAlign w:val="center"/>
          </w:tcPr>
          <w:p>
            <w:pPr>
              <w:pStyle w:val="35"/>
              <w:keepNext w:val="0"/>
              <w:keepLines w:val="0"/>
              <w:pageBreakBefore w:val="0"/>
              <w:kinsoku/>
              <w:wordWrap/>
              <w:overflowPunct/>
              <w:topLinePunct w:val="0"/>
              <w:bidi w:val="0"/>
              <w:adjustRightInd/>
              <w:spacing w:line="400" w:lineRule="exact"/>
              <w:ind w:left="0" w:left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人注册：各供应商须在投标截止时间前根据浙江省财政厅《关于开展政府采购供应商网上注册登记和诚信管理工作的通知》（浙财采监【2010】8号文）的要求，通过浙江政府采购网申请注册加入政府采购供应商库。以免影响享受相关政策优惠及成交后的款项支付。</w:t>
            </w:r>
          </w:p>
          <w:p>
            <w:pPr>
              <w:pStyle w:val="35"/>
              <w:keepNext w:val="0"/>
              <w:keepLines w:val="0"/>
              <w:pageBreakBefore w:val="0"/>
              <w:kinsoku/>
              <w:wordWrap/>
              <w:overflowPunct/>
              <w:topLinePunct w:val="0"/>
              <w:bidi w:val="0"/>
              <w:adjustRightInd/>
              <w:spacing w:line="400" w:lineRule="exact"/>
              <w:ind w:left="0" w:left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供应商在申请注册前，请认真阅读，学习《中华人民共和国政府采购法》和《浙江省政府采购供应商注册及诚信管理暂行办法》等相关法规规定。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trPr>
        <w:tc>
          <w:tcPr>
            <w:tcW w:w="869" w:type="dxa"/>
            <w:vAlign w:val="center"/>
          </w:tcPr>
          <w:p>
            <w:pPr>
              <w:pStyle w:val="35"/>
              <w:spacing w:line="360" w:lineRule="auto"/>
              <w:jc w:val="center"/>
              <w:rPr>
                <w:rFonts w:hint="default" w:ascii="宋体" w:hAnsi="宋体" w:eastAsia="宋体" w:cs="宋体"/>
                <w:sz w:val="21"/>
                <w:szCs w:val="21"/>
                <w:highlight w:val="none"/>
                <w:lang w:val="en-US" w:eastAsia="zh-CN"/>
              </w:rPr>
            </w:pPr>
            <w:r>
              <w:rPr>
                <w:rFonts w:hint="eastAsia"/>
                <w:sz w:val="21"/>
                <w:highlight w:val="none"/>
                <w:lang w:val="en-US" w:eastAsia="zh-CN"/>
              </w:rPr>
              <w:t>29</w:t>
            </w:r>
          </w:p>
        </w:tc>
        <w:tc>
          <w:tcPr>
            <w:tcW w:w="8917" w:type="dxa"/>
            <w:gridSpan w:val="2"/>
            <w:vAlign w:val="center"/>
          </w:tcPr>
          <w:p>
            <w:pPr>
              <w:pStyle w:val="35"/>
              <w:keepNext w:val="0"/>
              <w:keepLines w:val="0"/>
              <w:pageBreakBefore w:val="0"/>
              <w:kinsoku/>
              <w:wordWrap/>
              <w:overflowPunct/>
              <w:topLinePunct w:val="0"/>
              <w:bidi w:val="0"/>
              <w:adjustRightInd/>
              <w:spacing w:line="400" w:lineRule="exact"/>
              <w:ind w:left="0" w:left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投标文件有效期：</w:t>
            </w:r>
            <w:r>
              <w:rPr>
                <w:rFonts w:hint="eastAsia" w:ascii="宋体" w:hAnsi="宋体" w:eastAsia="宋体" w:cs="宋体"/>
                <w:sz w:val="21"/>
                <w:szCs w:val="21"/>
                <w:highlight w:val="none"/>
                <w:u w:val="single"/>
              </w:rPr>
              <w:t>90</w:t>
            </w:r>
            <w:r>
              <w:rPr>
                <w:rFonts w:hint="eastAsia" w:ascii="宋体" w:hAnsi="宋体" w:eastAsia="宋体" w:cs="宋体"/>
                <w:sz w:val="21"/>
                <w:szCs w:val="21"/>
                <w:highlight w:val="none"/>
              </w:rPr>
              <w:t xml:space="preserve"> 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869" w:type="dxa"/>
            <w:vAlign w:val="center"/>
          </w:tcPr>
          <w:p>
            <w:pPr>
              <w:pStyle w:val="35"/>
              <w:spacing w:line="360" w:lineRule="auto"/>
              <w:jc w:val="center"/>
              <w:rPr>
                <w:rFonts w:hint="default" w:ascii="宋体" w:hAnsi="宋体" w:eastAsia="宋体" w:cs="宋体"/>
                <w:sz w:val="21"/>
                <w:szCs w:val="21"/>
                <w:highlight w:val="none"/>
                <w:lang w:val="en-US" w:eastAsia="zh-CN"/>
              </w:rPr>
            </w:pPr>
            <w:r>
              <w:rPr>
                <w:rFonts w:hint="eastAsia" w:cs="宋体"/>
                <w:sz w:val="21"/>
                <w:szCs w:val="21"/>
                <w:highlight w:val="none"/>
                <w:lang w:val="en-US" w:eastAsia="zh-CN"/>
              </w:rPr>
              <w:t>30</w:t>
            </w:r>
          </w:p>
        </w:tc>
        <w:tc>
          <w:tcPr>
            <w:tcW w:w="8917" w:type="dxa"/>
            <w:gridSpan w:val="2"/>
            <w:vAlign w:val="center"/>
          </w:tcPr>
          <w:p>
            <w:pPr>
              <w:pStyle w:val="35"/>
              <w:keepNext w:val="0"/>
              <w:keepLines w:val="0"/>
              <w:pageBreakBefore w:val="0"/>
              <w:kinsoku/>
              <w:wordWrap/>
              <w:overflowPunct/>
              <w:topLinePunct w:val="0"/>
              <w:bidi w:val="0"/>
              <w:adjustRightInd/>
              <w:spacing w:line="400" w:lineRule="exact"/>
              <w:ind w:left="0" w:leftChars="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解释：本招标文件的解释权属于招标组织单位。</w:t>
            </w:r>
          </w:p>
        </w:tc>
      </w:tr>
    </w:tbl>
    <w:p>
      <w:pPr>
        <w:rPr>
          <w:sz w:val="21"/>
          <w:highlight w:val="none"/>
        </w:rPr>
        <w:sectPr>
          <w:headerReference r:id="rId3" w:type="default"/>
          <w:footerReference r:id="rId4" w:type="default"/>
          <w:pgSz w:w="11910" w:h="16840"/>
          <w:pgMar w:top="1300" w:right="920" w:bottom="1040" w:left="1180" w:header="880" w:footer="852" w:gutter="0"/>
          <w:cols w:space="720" w:num="1"/>
        </w:sectPr>
      </w:pPr>
    </w:p>
    <w:p>
      <w:pPr>
        <w:numPr>
          <w:ilvl w:val="0"/>
          <w:numId w:val="4"/>
        </w:numPr>
        <w:jc w:val="center"/>
        <w:rPr>
          <w:b/>
          <w:bCs/>
          <w:sz w:val="36"/>
          <w:szCs w:val="40"/>
          <w:highlight w:val="none"/>
          <w:lang w:val="en-US"/>
        </w:rPr>
      </w:pPr>
      <w:r>
        <w:rPr>
          <w:rFonts w:hint="eastAsia"/>
          <w:b/>
          <w:bCs/>
          <w:sz w:val="36"/>
          <w:szCs w:val="40"/>
          <w:highlight w:val="none"/>
          <w:lang w:val="en-US"/>
        </w:rPr>
        <w:t>招标需求</w:t>
      </w:r>
    </w:p>
    <w:p>
      <w:pPr>
        <w:pStyle w:val="13"/>
        <w:keepNext w:val="0"/>
        <w:keepLines w:val="0"/>
        <w:pageBreakBefore w:val="0"/>
        <w:widowControl w:val="0"/>
        <w:numPr>
          <w:ilvl w:val="0"/>
          <w:numId w:val="5"/>
        </w:numPr>
        <w:kinsoku/>
        <w:wordWrap/>
        <w:overflowPunct/>
        <w:topLinePunct w:val="0"/>
        <w:bidi w:val="0"/>
        <w:adjustRightInd/>
        <w:spacing w:line="340" w:lineRule="exact"/>
        <w:textAlignment w:val="auto"/>
        <w:rPr>
          <w:b/>
          <w:bCs/>
          <w:sz w:val="22"/>
          <w:szCs w:val="22"/>
          <w:highlight w:val="none"/>
          <w:lang w:val="en-US"/>
        </w:rPr>
      </w:pPr>
      <w:r>
        <w:rPr>
          <w:rFonts w:hint="eastAsia"/>
          <w:b/>
          <w:bCs/>
          <w:sz w:val="22"/>
          <w:szCs w:val="22"/>
          <w:highlight w:val="none"/>
          <w:lang w:val="en-US"/>
        </w:rPr>
        <w:t>项目概述</w:t>
      </w:r>
    </w:p>
    <w:p>
      <w:pPr>
        <w:keepNext w:val="0"/>
        <w:keepLines w:val="0"/>
        <w:pageBreakBefore w:val="0"/>
        <w:widowControl w:val="0"/>
        <w:numPr>
          <w:ilvl w:val="0"/>
          <w:numId w:val="6"/>
        </w:numPr>
        <w:kinsoku/>
        <w:wordWrap/>
        <w:overflowPunct/>
        <w:topLinePunct w:val="0"/>
        <w:bidi w:val="0"/>
        <w:adjustRightInd/>
        <w:spacing w:line="340" w:lineRule="exact"/>
        <w:ind w:firstLine="422" w:firstLineChars="200"/>
        <w:textAlignment w:val="auto"/>
        <w:rPr>
          <w:b/>
          <w:bCs/>
          <w:color w:val="000000" w:themeColor="text1"/>
          <w:sz w:val="21"/>
          <w:szCs w:val="21"/>
          <w:highlight w:val="none"/>
          <w:lang w:val="en-US"/>
        </w:rPr>
      </w:pPr>
      <w:r>
        <w:rPr>
          <w:rFonts w:hint="eastAsia"/>
          <w:b/>
          <w:bCs/>
          <w:color w:val="000000" w:themeColor="text1"/>
          <w:sz w:val="21"/>
          <w:szCs w:val="21"/>
          <w:highlight w:val="none"/>
          <w:lang w:val="en-US"/>
        </w:rPr>
        <w:t>项目编号：</w:t>
      </w:r>
      <w:r>
        <w:rPr>
          <w:rFonts w:hint="eastAsia"/>
          <w:b/>
          <w:bCs/>
          <w:sz w:val="21"/>
          <w:highlight w:val="none"/>
          <w:lang w:val="en-US"/>
        </w:rPr>
        <w:t>zjzx-lx202200</w:t>
      </w:r>
      <w:r>
        <w:rPr>
          <w:rFonts w:hint="eastAsia"/>
          <w:b/>
          <w:bCs/>
          <w:sz w:val="21"/>
          <w:highlight w:val="none"/>
          <w:lang w:val="en-US" w:eastAsia="zh-CN"/>
        </w:rPr>
        <w:t>9</w:t>
      </w:r>
    </w:p>
    <w:p>
      <w:pPr>
        <w:keepNext w:val="0"/>
        <w:keepLines w:val="0"/>
        <w:pageBreakBefore w:val="0"/>
        <w:widowControl w:val="0"/>
        <w:numPr>
          <w:ilvl w:val="0"/>
          <w:numId w:val="6"/>
        </w:numPr>
        <w:kinsoku/>
        <w:wordWrap/>
        <w:overflowPunct/>
        <w:topLinePunct w:val="0"/>
        <w:bidi w:val="0"/>
        <w:adjustRightInd/>
        <w:spacing w:line="340" w:lineRule="exact"/>
        <w:ind w:firstLine="422" w:firstLineChars="200"/>
        <w:textAlignment w:val="auto"/>
        <w:rPr>
          <w:b/>
          <w:bCs/>
          <w:color w:val="000000" w:themeColor="text1"/>
          <w:sz w:val="21"/>
          <w:szCs w:val="21"/>
          <w:highlight w:val="none"/>
          <w:lang w:val="en-US"/>
        </w:rPr>
      </w:pPr>
      <w:r>
        <w:rPr>
          <w:rFonts w:hint="eastAsia"/>
          <w:b/>
          <w:bCs/>
          <w:color w:val="000000" w:themeColor="text1"/>
          <w:sz w:val="21"/>
          <w:szCs w:val="21"/>
          <w:highlight w:val="none"/>
          <w:lang w:val="en-US"/>
        </w:rPr>
        <w:t>采购单位名称：兰溪市交通运输局</w:t>
      </w:r>
    </w:p>
    <w:p>
      <w:pPr>
        <w:keepNext w:val="0"/>
        <w:keepLines w:val="0"/>
        <w:pageBreakBefore w:val="0"/>
        <w:widowControl w:val="0"/>
        <w:numPr>
          <w:ilvl w:val="0"/>
          <w:numId w:val="6"/>
        </w:numPr>
        <w:kinsoku/>
        <w:wordWrap/>
        <w:overflowPunct/>
        <w:topLinePunct w:val="0"/>
        <w:bidi w:val="0"/>
        <w:adjustRightInd/>
        <w:spacing w:line="340" w:lineRule="exact"/>
        <w:ind w:firstLine="422" w:firstLineChars="200"/>
        <w:textAlignment w:val="auto"/>
        <w:rPr>
          <w:b/>
          <w:bCs/>
          <w:color w:val="000000" w:themeColor="text1"/>
          <w:sz w:val="21"/>
          <w:szCs w:val="21"/>
          <w:highlight w:val="none"/>
          <w:lang w:val="en-US"/>
        </w:rPr>
      </w:pPr>
      <w:r>
        <w:rPr>
          <w:rFonts w:hint="eastAsia"/>
          <w:b/>
          <w:bCs/>
          <w:color w:val="000000" w:themeColor="text1"/>
          <w:sz w:val="21"/>
          <w:szCs w:val="21"/>
          <w:highlight w:val="none"/>
          <w:lang w:val="en-US"/>
        </w:rPr>
        <w:t>项目名称：</w:t>
      </w:r>
      <w:r>
        <w:rPr>
          <w:rFonts w:hint="eastAsia"/>
          <w:b/>
          <w:bCs/>
          <w:color w:val="000000" w:themeColor="text1"/>
          <w:sz w:val="21"/>
          <w:szCs w:val="21"/>
          <w:highlight w:val="none"/>
        </w:rPr>
        <w:t>兰溪市综合交通“十四五”规划落地方案</w:t>
      </w:r>
    </w:p>
    <w:p>
      <w:pPr>
        <w:keepNext w:val="0"/>
        <w:keepLines w:val="0"/>
        <w:pageBreakBefore w:val="0"/>
        <w:widowControl w:val="0"/>
        <w:kinsoku/>
        <w:wordWrap/>
        <w:overflowPunct/>
        <w:topLinePunct w:val="0"/>
        <w:bidi w:val="0"/>
        <w:adjustRightInd/>
        <w:spacing w:line="340" w:lineRule="exact"/>
        <w:ind w:firstLine="422" w:firstLineChars="200"/>
        <w:textAlignment w:val="auto"/>
        <w:rPr>
          <w:b/>
          <w:bCs/>
          <w:color w:val="000000" w:themeColor="text1"/>
          <w:sz w:val="21"/>
          <w:szCs w:val="21"/>
          <w:highlight w:val="none"/>
        </w:rPr>
      </w:pPr>
      <w:r>
        <w:rPr>
          <w:rFonts w:hint="eastAsia"/>
          <w:b/>
          <w:bCs/>
          <w:color w:val="000000" w:themeColor="text1"/>
          <w:sz w:val="21"/>
          <w:szCs w:val="21"/>
          <w:highlight w:val="none"/>
        </w:rPr>
        <w:t>（</w:t>
      </w:r>
      <w:r>
        <w:rPr>
          <w:rFonts w:hint="eastAsia"/>
          <w:b/>
          <w:bCs/>
          <w:color w:val="000000" w:themeColor="text1"/>
          <w:sz w:val="21"/>
          <w:szCs w:val="21"/>
          <w:highlight w:val="none"/>
          <w:lang w:val="en-US"/>
        </w:rPr>
        <w:t>四</w:t>
      </w:r>
      <w:r>
        <w:rPr>
          <w:rFonts w:hint="eastAsia"/>
          <w:b/>
          <w:bCs/>
          <w:color w:val="000000" w:themeColor="text1"/>
          <w:sz w:val="21"/>
          <w:szCs w:val="21"/>
          <w:highlight w:val="none"/>
        </w:rPr>
        <w:t>）项目背景</w:t>
      </w:r>
    </w:p>
    <w:p>
      <w:pPr>
        <w:keepNext w:val="0"/>
        <w:keepLines w:val="0"/>
        <w:pageBreakBefore w:val="0"/>
        <w:widowControl w:val="0"/>
        <w:kinsoku/>
        <w:wordWrap/>
        <w:overflowPunct/>
        <w:topLinePunct w:val="0"/>
        <w:bidi w:val="0"/>
        <w:adjustRightInd/>
        <w:spacing w:line="340" w:lineRule="exact"/>
        <w:ind w:firstLine="420" w:firstLineChars="200"/>
        <w:textAlignment w:val="auto"/>
        <w:rPr>
          <w:sz w:val="21"/>
          <w:szCs w:val="20"/>
          <w:highlight w:val="none"/>
        </w:rPr>
      </w:pPr>
      <w:r>
        <w:rPr>
          <w:rFonts w:hint="eastAsia"/>
          <w:sz w:val="21"/>
          <w:szCs w:val="20"/>
          <w:highlight w:val="none"/>
        </w:rPr>
        <w:t>“十四五”时期是全面建成小康社会向基本实现社会主义现代化</w:t>
      </w:r>
      <w:r>
        <w:rPr>
          <w:rFonts w:hint="eastAsia"/>
          <w:sz w:val="21"/>
          <w:szCs w:val="20"/>
          <w:highlight w:val="none"/>
          <w:lang w:val="en-US" w:eastAsia="zh-CN"/>
        </w:rPr>
        <w:t>开启</w:t>
      </w:r>
      <w:r>
        <w:rPr>
          <w:rFonts w:hint="eastAsia"/>
          <w:sz w:val="21"/>
          <w:szCs w:val="20"/>
          <w:highlight w:val="none"/>
        </w:rPr>
        <w:t>的</w:t>
      </w:r>
      <w:r>
        <w:rPr>
          <w:rFonts w:hint="eastAsia"/>
          <w:sz w:val="21"/>
          <w:szCs w:val="20"/>
          <w:highlight w:val="none"/>
          <w:lang w:val="en-US" w:eastAsia="zh-CN"/>
        </w:rPr>
        <w:t>新征程</w:t>
      </w:r>
      <w:r>
        <w:rPr>
          <w:rFonts w:hint="eastAsia"/>
          <w:sz w:val="21"/>
          <w:szCs w:val="20"/>
          <w:highlight w:val="none"/>
        </w:rPr>
        <w:t>，对综合交通运输提出了新的要求和挑战。2019年9月，中共中央、国务院印发了《交通强国建设纲要》，要求交通在强国的道路上继续当好先行，加快推动交通发展由追求速度规模向质量效益转变。</w:t>
      </w:r>
    </w:p>
    <w:p>
      <w:pPr>
        <w:keepNext w:val="0"/>
        <w:keepLines w:val="0"/>
        <w:pageBreakBefore w:val="0"/>
        <w:widowControl w:val="0"/>
        <w:kinsoku/>
        <w:wordWrap/>
        <w:overflowPunct/>
        <w:topLinePunct w:val="0"/>
        <w:bidi w:val="0"/>
        <w:adjustRightInd/>
        <w:spacing w:line="340" w:lineRule="exact"/>
        <w:ind w:firstLine="420" w:firstLineChars="200"/>
        <w:textAlignment w:val="auto"/>
        <w:rPr>
          <w:sz w:val="21"/>
          <w:szCs w:val="20"/>
          <w:highlight w:val="none"/>
        </w:rPr>
      </w:pPr>
      <w:r>
        <w:rPr>
          <w:rFonts w:hint="eastAsia"/>
          <w:sz w:val="21"/>
          <w:szCs w:val="20"/>
          <w:highlight w:val="none"/>
        </w:rPr>
        <w:t>浙江省作为全国首批交通强国建设试点单位，要在十四五期间推动交通运输实现更高质量、更有效率、更加公平、更可持续的发展，立足交通强国和开放强省建设两个大势，为强国建设提供浙江方案。</w:t>
      </w:r>
    </w:p>
    <w:p>
      <w:pPr>
        <w:keepNext w:val="0"/>
        <w:keepLines w:val="0"/>
        <w:pageBreakBefore w:val="0"/>
        <w:widowControl w:val="0"/>
        <w:kinsoku/>
        <w:wordWrap/>
        <w:overflowPunct/>
        <w:topLinePunct w:val="0"/>
        <w:bidi w:val="0"/>
        <w:adjustRightInd/>
        <w:spacing w:line="340" w:lineRule="exact"/>
        <w:ind w:firstLine="420" w:firstLineChars="200"/>
        <w:textAlignment w:val="auto"/>
        <w:rPr>
          <w:sz w:val="21"/>
          <w:szCs w:val="20"/>
          <w:highlight w:val="none"/>
        </w:rPr>
      </w:pPr>
      <w:r>
        <w:rPr>
          <w:rFonts w:hint="eastAsia"/>
          <w:sz w:val="21"/>
          <w:szCs w:val="20"/>
          <w:highlight w:val="none"/>
          <w:lang w:val="en-US"/>
        </w:rPr>
        <w:t>兰溪市位于金华市西部，钱塘江中游，金衢盆地北部边缘。婺、衢两江在兰</w:t>
      </w:r>
      <w:r>
        <w:rPr>
          <w:rFonts w:hint="eastAsia"/>
          <w:sz w:val="21"/>
          <w:szCs w:val="20"/>
          <w:highlight w:val="none"/>
          <w:lang w:val="en-US" w:eastAsia="zh-CN"/>
        </w:rPr>
        <w:t>荫</w:t>
      </w:r>
      <w:r>
        <w:rPr>
          <w:rFonts w:hint="eastAsia"/>
          <w:sz w:val="21"/>
          <w:szCs w:val="20"/>
          <w:highlight w:val="none"/>
          <w:lang w:val="en-US"/>
        </w:rPr>
        <w:t>山麓汇成兰江，北行至梅城汇新安江而称富春江，继续北行，至富阳以下，称钱塘江。兰溪自古有“三江之汇”、“六水之腰”、“七省通衢”之称。市境东南邻金华市金东区、婺城区，西南接龙游县，西北毗邻建德市，东北与浦江县、义乌市交界。</w:t>
      </w:r>
      <w:r>
        <w:rPr>
          <w:rFonts w:hint="eastAsia"/>
          <w:sz w:val="21"/>
          <w:szCs w:val="20"/>
          <w:highlight w:val="none"/>
        </w:rPr>
        <w:t>区位优势显著，拥有全国一流的公路、内河水运中转港，已经进入高质量发展的关键阶段。</w:t>
      </w:r>
    </w:p>
    <w:p>
      <w:pPr>
        <w:keepNext w:val="0"/>
        <w:keepLines w:val="0"/>
        <w:pageBreakBefore w:val="0"/>
        <w:widowControl w:val="0"/>
        <w:kinsoku/>
        <w:wordWrap/>
        <w:overflowPunct/>
        <w:topLinePunct w:val="0"/>
        <w:bidi w:val="0"/>
        <w:adjustRightInd/>
        <w:spacing w:line="340" w:lineRule="exact"/>
        <w:ind w:firstLine="420" w:firstLineChars="200"/>
        <w:textAlignment w:val="auto"/>
        <w:rPr>
          <w:highlight w:val="none"/>
          <w:lang w:val="en-US"/>
        </w:rPr>
      </w:pPr>
      <w:r>
        <w:rPr>
          <w:rFonts w:hint="eastAsia"/>
          <w:sz w:val="21"/>
          <w:szCs w:val="20"/>
          <w:highlight w:val="none"/>
        </w:rPr>
        <w:t>为贯彻落实长三角一体化发展国家战略和省委“四大建设”、综合交通“三区”建设决策部署，大力推进我市交通补短板工作，进一步对接长三角、融入都市区。根据市委市政府关于印发《兰溪市交通大会战五年行动方案（2020-2024）》的通知，深入开展“8313”工程，更好的与国土空间规划进行衔接，预留交通工程建设通道。</w:t>
      </w:r>
    </w:p>
    <w:p>
      <w:pPr>
        <w:keepNext w:val="0"/>
        <w:keepLines w:val="0"/>
        <w:pageBreakBefore w:val="0"/>
        <w:widowControl w:val="0"/>
        <w:numPr>
          <w:ilvl w:val="0"/>
          <w:numId w:val="5"/>
        </w:numPr>
        <w:kinsoku/>
        <w:wordWrap/>
        <w:overflowPunct/>
        <w:topLinePunct w:val="0"/>
        <w:bidi w:val="0"/>
        <w:adjustRightInd/>
        <w:spacing w:line="340" w:lineRule="exact"/>
        <w:textAlignment w:val="auto"/>
        <w:rPr>
          <w:sz w:val="21"/>
          <w:szCs w:val="21"/>
          <w:highlight w:val="none"/>
          <w:lang w:val="en-US"/>
        </w:rPr>
      </w:pPr>
      <w:r>
        <w:rPr>
          <w:rFonts w:hint="eastAsia"/>
          <w:b/>
          <w:bCs/>
          <w:color w:val="000000" w:themeColor="text1"/>
          <w:sz w:val="22"/>
          <w:szCs w:val="22"/>
          <w:highlight w:val="none"/>
          <w:lang w:val="en-US"/>
        </w:rPr>
        <w:t>采购内容及要求</w:t>
      </w:r>
    </w:p>
    <w:p>
      <w:pPr>
        <w:keepNext w:val="0"/>
        <w:keepLines w:val="0"/>
        <w:pageBreakBefore w:val="0"/>
        <w:widowControl w:val="0"/>
        <w:numPr>
          <w:ilvl w:val="0"/>
          <w:numId w:val="7"/>
        </w:numPr>
        <w:kinsoku/>
        <w:wordWrap/>
        <w:overflowPunct/>
        <w:topLinePunct w:val="0"/>
        <w:bidi w:val="0"/>
        <w:adjustRightInd/>
        <w:spacing w:line="340" w:lineRule="exact"/>
        <w:ind w:firstLine="422" w:firstLineChars="200"/>
        <w:textAlignment w:val="auto"/>
        <w:rPr>
          <w:b/>
          <w:bCs/>
          <w:sz w:val="21"/>
          <w:szCs w:val="20"/>
          <w:highlight w:val="none"/>
          <w:lang w:val="en-US"/>
        </w:rPr>
      </w:pPr>
      <w:r>
        <w:rPr>
          <w:rFonts w:hint="eastAsia"/>
          <w:b/>
          <w:bCs/>
          <w:sz w:val="21"/>
          <w:szCs w:val="20"/>
          <w:highlight w:val="none"/>
          <w:lang w:val="en-US"/>
        </w:rPr>
        <w:t>采购内容：</w:t>
      </w:r>
    </w:p>
    <w:p>
      <w:pPr>
        <w:keepNext w:val="0"/>
        <w:keepLines w:val="0"/>
        <w:pageBreakBefore w:val="0"/>
        <w:widowControl w:val="0"/>
        <w:numPr>
          <w:ilvl w:val="0"/>
          <w:numId w:val="8"/>
        </w:numPr>
        <w:kinsoku/>
        <w:wordWrap/>
        <w:overflowPunct/>
        <w:topLinePunct w:val="0"/>
        <w:bidi w:val="0"/>
        <w:adjustRightInd/>
        <w:spacing w:line="340" w:lineRule="exact"/>
        <w:ind w:firstLine="438"/>
        <w:textAlignment w:val="auto"/>
        <w:rPr>
          <w:sz w:val="21"/>
          <w:szCs w:val="20"/>
          <w:highlight w:val="none"/>
          <w:lang w:val="en-US"/>
        </w:rPr>
      </w:pPr>
      <w:r>
        <w:rPr>
          <w:rFonts w:hint="eastAsia"/>
          <w:sz w:val="21"/>
          <w:szCs w:val="20"/>
          <w:highlight w:val="none"/>
          <w:lang w:val="en-US"/>
        </w:rPr>
        <w:t>对G527（白沙-塘雅）兰溪段、S319（义乌-江山）兰溪段、S317（婺城-淳安）兰溪段、S215（兰溪-龙泉）兰溪段、金兰北线货运通道、董蒋线二期、横水线、游埠至士元等线路进行方案研究。</w:t>
      </w:r>
    </w:p>
    <w:p>
      <w:pPr>
        <w:keepNext w:val="0"/>
        <w:keepLines w:val="0"/>
        <w:pageBreakBefore w:val="0"/>
        <w:widowControl w:val="0"/>
        <w:numPr>
          <w:ilvl w:val="0"/>
          <w:numId w:val="8"/>
        </w:numPr>
        <w:kinsoku/>
        <w:wordWrap/>
        <w:overflowPunct/>
        <w:topLinePunct w:val="0"/>
        <w:bidi w:val="0"/>
        <w:adjustRightInd/>
        <w:spacing w:line="340" w:lineRule="exact"/>
        <w:ind w:firstLine="438"/>
        <w:textAlignment w:val="auto"/>
        <w:rPr>
          <w:rFonts w:hint="default" w:eastAsia="宋体"/>
          <w:highlight w:val="none"/>
          <w:lang w:val="en-US" w:eastAsia="zh-CN"/>
        </w:rPr>
      </w:pPr>
      <w:r>
        <w:rPr>
          <w:rFonts w:hint="eastAsia"/>
          <w:sz w:val="21"/>
          <w:szCs w:val="20"/>
          <w:highlight w:val="none"/>
          <w:lang w:val="en-US"/>
        </w:rPr>
        <w:t>完成完整的《线位论证报告》，深度达到</w:t>
      </w:r>
      <w:r>
        <w:rPr>
          <w:rFonts w:hint="eastAsia"/>
          <w:sz w:val="21"/>
          <w:szCs w:val="20"/>
          <w:highlight w:val="none"/>
          <w:lang w:val="en-US" w:eastAsia="zh-CN"/>
        </w:rPr>
        <w:t>工可深度；落地方案用地红线达到初步设计深度</w:t>
      </w:r>
      <w:r>
        <w:rPr>
          <w:rFonts w:hint="eastAsia"/>
          <w:sz w:val="21"/>
          <w:szCs w:val="20"/>
          <w:highlight w:val="none"/>
          <w:lang w:val="en-US"/>
        </w:rPr>
        <w:t>。</w:t>
      </w:r>
      <w:r>
        <w:rPr>
          <w:rFonts w:hint="eastAsia"/>
          <w:sz w:val="21"/>
          <w:szCs w:val="21"/>
          <w:highlight w:val="none"/>
        </w:rPr>
        <w:t>在</w:t>
      </w:r>
      <w:r>
        <w:rPr>
          <w:rFonts w:hint="eastAsia"/>
          <w:sz w:val="21"/>
          <w:szCs w:val="21"/>
          <w:highlight w:val="none"/>
          <w:lang w:val="en-US" w:eastAsia="zh-CN"/>
        </w:rPr>
        <w:t xml:space="preserve">  </w:t>
      </w:r>
      <w:r>
        <w:rPr>
          <w:rFonts w:hint="eastAsia"/>
          <w:sz w:val="21"/>
          <w:szCs w:val="21"/>
          <w:highlight w:val="none"/>
        </w:rPr>
        <w:t>1：2000地形图上固化线位，以便在国土空间规划中预留通道。</w:t>
      </w:r>
      <w:r>
        <w:rPr>
          <w:rFonts w:hint="eastAsia"/>
          <w:sz w:val="21"/>
          <w:szCs w:val="20"/>
          <w:highlight w:val="none"/>
          <w:lang w:val="en-US"/>
        </w:rPr>
        <w:t>具有基本完善、稳定的路线线位，互通设置位置及形式规模，互通出口与地方接线，以及线位走廊带的用地红线等内容。</w:t>
      </w:r>
    </w:p>
    <w:p>
      <w:pPr>
        <w:keepNext w:val="0"/>
        <w:keepLines w:val="0"/>
        <w:pageBreakBefore w:val="0"/>
        <w:widowControl w:val="0"/>
        <w:numPr>
          <w:ilvl w:val="0"/>
          <w:numId w:val="8"/>
        </w:numPr>
        <w:kinsoku/>
        <w:wordWrap/>
        <w:overflowPunct/>
        <w:topLinePunct w:val="0"/>
        <w:bidi w:val="0"/>
        <w:adjustRightInd/>
        <w:spacing w:line="340" w:lineRule="exact"/>
        <w:ind w:firstLine="438"/>
        <w:textAlignment w:val="auto"/>
        <w:rPr>
          <w:rFonts w:hint="default" w:eastAsia="宋体"/>
          <w:highlight w:val="none"/>
          <w:lang w:val="en-US" w:eastAsia="zh-CN"/>
        </w:rPr>
      </w:pPr>
      <w:r>
        <w:rPr>
          <w:rFonts w:hint="eastAsia"/>
          <w:sz w:val="21"/>
          <w:szCs w:val="20"/>
          <w:highlight w:val="none"/>
          <w:lang w:val="en-US"/>
        </w:rPr>
        <w:t xml:space="preserve"> </w:t>
      </w:r>
      <w:r>
        <w:rPr>
          <w:rFonts w:hint="eastAsia"/>
          <w:sz w:val="21"/>
          <w:szCs w:val="20"/>
          <w:highlight w:val="none"/>
          <w:lang w:val="en-US" w:eastAsia="zh-CN"/>
        </w:rPr>
        <w:t>线路概况：</w:t>
      </w:r>
    </w:p>
    <w:p>
      <w:pPr>
        <w:pStyle w:val="31"/>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宋体"/>
          <w:sz w:val="21"/>
          <w:szCs w:val="20"/>
          <w:highlight w:val="none"/>
          <w:lang w:val="en-US" w:eastAsia="zh-CN"/>
        </w:rPr>
      </w:pPr>
      <w:r>
        <w:rPr>
          <w:rFonts w:hint="eastAsia"/>
          <w:sz w:val="21"/>
          <w:szCs w:val="20"/>
          <w:highlight w:val="none"/>
          <w:lang w:val="en-US" w:eastAsia="zh-CN"/>
        </w:rPr>
        <w:t xml:space="preserve">   </w:t>
      </w:r>
      <w:r>
        <w:rPr>
          <w:rFonts w:hint="eastAsia" w:ascii="宋体" w:hAnsi="宋体" w:eastAsia="宋体" w:cs="宋体"/>
          <w:sz w:val="21"/>
          <w:szCs w:val="20"/>
          <w:highlight w:val="none"/>
          <w:lang w:val="en-US" w:eastAsia="zh-CN"/>
        </w:rPr>
        <w:t xml:space="preserve"> 3.1、</w:t>
      </w:r>
      <w:r>
        <w:rPr>
          <w:rFonts w:hint="eastAsia" w:ascii="宋体" w:hAnsi="宋体" w:eastAsia="宋体" w:cs="宋体"/>
          <w:sz w:val="21"/>
          <w:szCs w:val="20"/>
          <w:highlight w:val="none"/>
          <w:lang w:val="en-US"/>
        </w:rPr>
        <w:t>G527（白沙-塘雅）兰溪段</w:t>
      </w:r>
      <w:r>
        <w:rPr>
          <w:rFonts w:hint="eastAsia" w:ascii="宋体" w:hAnsi="宋体" w:eastAsia="宋体" w:cs="宋体"/>
          <w:sz w:val="21"/>
          <w:szCs w:val="20"/>
          <w:highlight w:val="none"/>
          <w:lang w:val="en-US" w:eastAsia="zh-CN"/>
        </w:rPr>
        <w:t>：建设里程7.6km，一级公路标准，路基宽度33m，设计速度80km/h；</w:t>
      </w:r>
    </w:p>
    <w:p>
      <w:pPr>
        <w:pStyle w:val="31"/>
        <w:keepNext w:val="0"/>
        <w:keepLines w:val="0"/>
        <w:pageBreakBefore w:val="0"/>
        <w:widowControl w:val="0"/>
        <w:kinsoku/>
        <w:wordWrap/>
        <w:overflowPunct/>
        <w:topLinePunct w:val="0"/>
        <w:autoSpaceDE/>
        <w:autoSpaceDN/>
        <w:bidi w:val="0"/>
        <w:adjustRightInd/>
        <w:snapToGrid/>
        <w:spacing w:line="340" w:lineRule="exact"/>
        <w:ind w:firstLine="420"/>
        <w:textAlignment w:val="auto"/>
        <w:rPr>
          <w:rFonts w:hint="eastAsia" w:ascii="宋体" w:hAnsi="宋体" w:eastAsia="宋体" w:cs="宋体"/>
          <w:sz w:val="21"/>
          <w:szCs w:val="20"/>
          <w:highlight w:val="none"/>
          <w:lang w:val="en-US" w:eastAsia="zh-CN"/>
        </w:rPr>
      </w:pPr>
      <w:r>
        <w:rPr>
          <w:rFonts w:hint="eastAsia" w:ascii="宋体" w:hAnsi="宋体" w:eastAsia="宋体" w:cs="宋体"/>
          <w:sz w:val="21"/>
          <w:szCs w:val="20"/>
          <w:highlight w:val="none"/>
          <w:lang w:val="en-US" w:eastAsia="zh-CN"/>
        </w:rPr>
        <w:t>3.2、</w:t>
      </w:r>
      <w:r>
        <w:rPr>
          <w:rFonts w:hint="eastAsia" w:ascii="宋体" w:hAnsi="宋体" w:eastAsia="宋体" w:cs="宋体"/>
          <w:sz w:val="21"/>
          <w:szCs w:val="20"/>
          <w:highlight w:val="none"/>
          <w:lang w:val="en-US"/>
        </w:rPr>
        <w:t>S319（义乌-江山）兰溪段</w:t>
      </w:r>
      <w:r>
        <w:rPr>
          <w:rFonts w:hint="eastAsia" w:ascii="宋体" w:hAnsi="宋体" w:eastAsia="宋体" w:cs="宋体"/>
          <w:sz w:val="21"/>
          <w:szCs w:val="20"/>
          <w:highlight w:val="none"/>
          <w:lang w:val="en-US" w:eastAsia="zh-CN"/>
        </w:rPr>
        <w:t>：建设里程21.74km，一级公路标准，路基宽度33m，设计速度80km/h；</w:t>
      </w:r>
    </w:p>
    <w:p>
      <w:pPr>
        <w:pStyle w:val="31"/>
        <w:keepNext w:val="0"/>
        <w:keepLines w:val="0"/>
        <w:pageBreakBefore w:val="0"/>
        <w:widowControl w:val="0"/>
        <w:kinsoku/>
        <w:wordWrap/>
        <w:overflowPunct/>
        <w:topLinePunct w:val="0"/>
        <w:autoSpaceDE/>
        <w:autoSpaceDN/>
        <w:bidi w:val="0"/>
        <w:adjustRightInd/>
        <w:snapToGrid/>
        <w:spacing w:line="340" w:lineRule="exact"/>
        <w:ind w:firstLine="420"/>
        <w:textAlignment w:val="auto"/>
        <w:rPr>
          <w:rFonts w:hint="eastAsia" w:ascii="宋体" w:hAnsi="宋体" w:eastAsia="宋体" w:cs="宋体"/>
          <w:sz w:val="21"/>
          <w:szCs w:val="20"/>
          <w:highlight w:val="none"/>
          <w:lang w:val="en-US" w:eastAsia="zh-CN"/>
        </w:rPr>
      </w:pPr>
      <w:r>
        <w:rPr>
          <w:rFonts w:hint="eastAsia" w:ascii="宋体" w:hAnsi="宋体" w:eastAsia="宋体" w:cs="宋体"/>
          <w:sz w:val="21"/>
          <w:szCs w:val="20"/>
          <w:highlight w:val="none"/>
          <w:lang w:val="en-US" w:eastAsia="zh-CN"/>
        </w:rPr>
        <w:t>3.3、</w:t>
      </w:r>
      <w:r>
        <w:rPr>
          <w:rFonts w:hint="eastAsia" w:ascii="宋体" w:hAnsi="宋体" w:eastAsia="宋体" w:cs="宋体"/>
          <w:sz w:val="21"/>
          <w:szCs w:val="20"/>
          <w:highlight w:val="none"/>
          <w:lang w:val="en-US"/>
        </w:rPr>
        <w:t>S317（婺城-淳安）兰溪段</w:t>
      </w:r>
      <w:r>
        <w:rPr>
          <w:rFonts w:hint="eastAsia" w:ascii="宋体" w:hAnsi="宋体" w:eastAsia="宋体" w:cs="宋体"/>
          <w:sz w:val="21"/>
          <w:szCs w:val="20"/>
          <w:highlight w:val="none"/>
          <w:lang w:val="en-US" w:eastAsia="zh-CN"/>
        </w:rPr>
        <w:t>：建设里程17km，一级公路标准，路基宽度33m，设计速度80km/h；</w:t>
      </w:r>
    </w:p>
    <w:p>
      <w:pPr>
        <w:pStyle w:val="31"/>
        <w:keepNext w:val="0"/>
        <w:keepLines w:val="0"/>
        <w:pageBreakBefore w:val="0"/>
        <w:widowControl w:val="0"/>
        <w:kinsoku/>
        <w:wordWrap/>
        <w:overflowPunct/>
        <w:topLinePunct w:val="0"/>
        <w:autoSpaceDE/>
        <w:autoSpaceDN/>
        <w:bidi w:val="0"/>
        <w:adjustRightInd/>
        <w:snapToGrid/>
        <w:spacing w:line="340" w:lineRule="exact"/>
        <w:ind w:firstLine="420"/>
        <w:textAlignment w:val="auto"/>
        <w:rPr>
          <w:rFonts w:hint="eastAsia" w:ascii="宋体" w:hAnsi="宋体" w:eastAsia="宋体" w:cs="宋体"/>
          <w:sz w:val="21"/>
          <w:szCs w:val="20"/>
          <w:highlight w:val="none"/>
          <w:lang w:val="en-US" w:eastAsia="zh-CN"/>
        </w:rPr>
      </w:pPr>
      <w:r>
        <w:rPr>
          <w:rFonts w:hint="eastAsia" w:ascii="宋体" w:hAnsi="宋体" w:eastAsia="宋体" w:cs="宋体"/>
          <w:sz w:val="21"/>
          <w:szCs w:val="20"/>
          <w:highlight w:val="none"/>
          <w:lang w:val="en-US" w:eastAsia="zh-CN"/>
        </w:rPr>
        <w:t>3.4、</w:t>
      </w:r>
      <w:r>
        <w:rPr>
          <w:rFonts w:hint="eastAsia" w:ascii="宋体" w:hAnsi="宋体" w:eastAsia="宋体" w:cs="宋体"/>
          <w:sz w:val="21"/>
          <w:szCs w:val="20"/>
          <w:highlight w:val="none"/>
          <w:lang w:val="en-US"/>
        </w:rPr>
        <w:t>S215（兰溪-龙泉）兰溪段</w:t>
      </w:r>
      <w:r>
        <w:rPr>
          <w:rFonts w:hint="eastAsia" w:ascii="宋体" w:hAnsi="宋体" w:eastAsia="宋体" w:cs="宋体"/>
          <w:sz w:val="21"/>
          <w:szCs w:val="20"/>
          <w:highlight w:val="none"/>
          <w:lang w:val="en-US" w:eastAsia="zh-CN"/>
        </w:rPr>
        <w:t>：建设里程12.38km，一级公路标准，路基宽度26m，设计速度80km/h；</w:t>
      </w:r>
    </w:p>
    <w:p>
      <w:pPr>
        <w:pStyle w:val="31"/>
        <w:keepNext w:val="0"/>
        <w:keepLines w:val="0"/>
        <w:pageBreakBefore w:val="0"/>
        <w:widowControl w:val="0"/>
        <w:kinsoku/>
        <w:wordWrap/>
        <w:overflowPunct/>
        <w:topLinePunct w:val="0"/>
        <w:autoSpaceDE/>
        <w:autoSpaceDN/>
        <w:bidi w:val="0"/>
        <w:adjustRightInd/>
        <w:snapToGrid/>
        <w:spacing w:line="340" w:lineRule="exact"/>
        <w:ind w:firstLine="420"/>
        <w:textAlignment w:val="auto"/>
        <w:rPr>
          <w:rFonts w:hint="eastAsia" w:ascii="宋体" w:hAnsi="宋体" w:eastAsia="宋体" w:cs="宋体"/>
          <w:sz w:val="21"/>
          <w:szCs w:val="20"/>
          <w:highlight w:val="none"/>
          <w:lang w:val="en-US" w:eastAsia="zh-CN"/>
        </w:rPr>
      </w:pPr>
      <w:r>
        <w:rPr>
          <w:rFonts w:hint="eastAsia" w:ascii="宋体" w:hAnsi="宋体" w:eastAsia="宋体" w:cs="宋体"/>
          <w:sz w:val="21"/>
          <w:szCs w:val="20"/>
          <w:highlight w:val="none"/>
          <w:lang w:val="en-US" w:eastAsia="zh-CN"/>
        </w:rPr>
        <w:t>3.5、</w:t>
      </w:r>
      <w:r>
        <w:rPr>
          <w:rFonts w:hint="eastAsia" w:ascii="宋体" w:hAnsi="宋体" w:eastAsia="宋体" w:cs="宋体"/>
          <w:sz w:val="21"/>
          <w:szCs w:val="20"/>
          <w:highlight w:val="none"/>
          <w:lang w:val="en-US"/>
        </w:rPr>
        <w:t>金兰北线货运通道</w:t>
      </w:r>
      <w:r>
        <w:rPr>
          <w:rFonts w:hint="eastAsia" w:ascii="宋体" w:hAnsi="宋体" w:eastAsia="宋体" w:cs="宋体"/>
          <w:sz w:val="21"/>
          <w:szCs w:val="20"/>
          <w:highlight w:val="none"/>
          <w:lang w:val="en-US" w:eastAsia="zh-CN"/>
        </w:rPr>
        <w:t>：建设里程8km，二级公路标准，路基宽度12m，设计速度80km/h；</w:t>
      </w:r>
    </w:p>
    <w:p>
      <w:pPr>
        <w:pStyle w:val="31"/>
        <w:keepNext w:val="0"/>
        <w:keepLines w:val="0"/>
        <w:pageBreakBefore w:val="0"/>
        <w:widowControl w:val="0"/>
        <w:kinsoku/>
        <w:wordWrap/>
        <w:overflowPunct/>
        <w:topLinePunct w:val="0"/>
        <w:autoSpaceDE/>
        <w:autoSpaceDN/>
        <w:bidi w:val="0"/>
        <w:adjustRightInd/>
        <w:snapToGrid/>
        <w:spacing w:line="340" w:lineRule="exact"/>
        <w:ind w:firstLine="420"/>
        <w:textAlignment w:val="auto"/>
        <w:rPr>
          <w:rFonts w:hint="eastAsia" w:ascii="宋体" w:hAnsi="宋体" w:eastAsia="宋体" w:cs="宋体"/>
          <w:sz w:val="21"/>
          <w:szCs w:val="20"/>
          <w:highlight w:val="none"/>
          <w:lang w:val="en-US" w:eastAsia="zh-CN"/>
        </w:rPr>
      </w:pPr>
      <w:r>
        <w:rPr>
          <w:rFonts w:hint="eastAsia" w:ascii="宋体" w:hAnsi="宋体" w:eastAsia="宋体" w:cs="宋体"/>
          <w:sz w:val="21"/>
          <w:szCs w:val="20"/>
          <w:highlight w:val="none"/>
          <w:lang w:val="en-US" w:eastAsia="zh-CN"/>
        </w:rPr>
        <w:t>3.6、</w:t>
      </w:r>
      <w:r>
        <w:rPr>
          <w:rFonts w:hint="eastAsia" w:ascii="宋体" w:hAnsi="宋体" w:eastAsia="宋体" w:cs="宋体"/>
          <w:sz w:val="21"/>
          <w:szCs w:val="20"/>
          <w:highlight w:val="none"/>
          <w:lang w:val="en-US"/>
        </w:rPr>
        <w:t>董蒋线二期</w:t>
      </w:r>
      <w:r>
        <w:rPr>
          <w:rFonts w:hint="eastAsia" w:ascii="宋体" w:hAnsi="宋体" w:eastAsia="宋体" w:cs="宋体"/>
          <w:sz w:val="21"/>
          <w:szCs w:val="20"/>
          <w:highlight w:val="none"/>
          <w:lang w:val="en-US" w:eastAsia="zh-CN"/>
        </w:rPr>
        <w:t>：建设里程</w:t>
      </w:r>
      <w:r>
        <w:rPr>
          <w:rFonts w:hint="eastAsia" w:ascii="宋体" w:hAnsi="宋体" w:cs="宋体"/>
          <w:sz w:val="21"/>
          <w:szCs w:val="20"/>
          <w:highlight w:val="none"/>
          <w:lang w:val="en-US" w:eastAsia="zh-CN"/>
        </w:rPr>
        <w:t>5.1</w:t>
      </w:r>
      <w:r>
        <w:rPr>
          <w:rFonts w:hint="eastAsia" w:ascii="宋体" w:hAnsi="宋体" w:eastAsia="宋体" w:cs="宋体"/>
          <w:sz w:val="21"/>
          <w:szCs w:val="20"/>
          <w:highlight w:val="none"/>
          <w:lang w:val="en-US" w:eastAsia="zh-CN"/>
        </w:rPr>
        <w:t>km，二级公路标准，路基宽度12m，设计速度80km/h</w:t>
      </w:r>
      <w:r>
        <w:rPr>
          <w:rFonts w:hint="eastAsia" w:ascii="宋体" w:hAnsi="宋体" w:cs="宋体"/>
          <w:sz w:val="21"/>
          <w:szCs w:val="20"/>
          <w:highlight w:val="none"/>
          <w:lang w:val="en-US" w:eastAsia="zh-CN"/>
        </w:rPr>
        <w:t>；</w:t>
      </w:r>
    </w:p>
    <w:p>
      <w:pPr>
        <w:pStyle w:val="31"/>
        <w:keepNext w:val="0"/>
        <w:keepLines w:val="0"/>
        <w:pageBreakBefore w:val="0"/>
        <w:widowControl w:val="0"/>
        <w:kinsoku/>
        <w:wordWrap/>
        <w:overflowPunct/>
        <w:topLinePunct w:val="0"/>
        <w:autoSpaceDE/>
        <w:autoSpaceDN/>
        <w:bidi w:val="0"/>
        <w:adjustRightInd/>
        <w:snapToGrid/>
        <w:spacing w:line="340" w:lineRule="exact"/>
        <w:ind w:firstLine="420"/>
        <w:textAlignment w:val="auto"/>
        <w:rPr>
          <w:rFonts w:hint="eastAsia" w:ascii="宋体" w:hAnsi="宋体" w:eastAsia="宋体" w:cs="宋体"/>
          <w:sz w:val="21"/>
          <w:szCs w:val="20"/>
          <w:highlight w:val="none"/>
          <w:lang w:val="en-US" w:eastAsia="zh-CN"/>
        </w:rPr>
      </w:pPr>
      <w:r>
        <w:rPr>
          <w:rFonts w:hint="eastAsia" w:ascii="宋体" w:hAnsi="宋体" w:eastAsia="宋体" w:cs="宋体"/>
          <w:sz w:val="21"/>
          <w:szCs w:val="20"/>
          <w:highlight w:val="none"/>
          <w:lang w:val="en-US" w:eastAsia="zh-CN"/>
        </w:rPr>
        <w:t>3.7、</w:t>
      </w:r>
      <w:r>
        <w:rPr>
          <w:rFonts w:hint="eastAsia" w:ascii="宋体" w:hAnsi="宋体" w:eastAsia="宋体" w:cs="宋体"/>
          <w:sz w:val="21"/>
          <w:szCs w:val="20"/>
          <w:highlight w:val="none"/>
          <w:lang w:val="en-US"/>
        </w:rPr>
        <w:t>横水线</w:t>
      </w:r>
      <w:r>
        <w:rPr>
          <w:rFonts w:hint="eastAsia" w:ascii="宋体" w:hAnsi="宋体" w:eastAsia="宋体" w:cs="宋体"/>
          <w:sz w:val="21"/>
          <w:szCs w:val="20"/>
          <w:highlight w:val="none"/>
          <w:lang w:val="en-US" w:eastAsia="zh-CN"/>
        </w:rPr>
        <w:t>：建设里程3.7km，二级公路标准，路基宽度12m，设计速度60km/h</w:t>
      </w:r>
      <w:r>
        <w:rPr>
          <w:rFonts w:hint="eastAsia" w:ascii="宋体" w:hAnsi="宋体" w:cs="宋体"/>
          <w:sz w:val="21"/>
          <w:szCs w:val="20"/>
          <w:highlight w:val="none"/>
          <w:lang w:val="en-US" w:eastAsia="zh-CN"/>
        </w:rPr>
        <w:t>；</w:t>
      </w:r>
    </w:p>
    <w:p>
      <w:pPr>
        <w:pStyle w:val="31"/>
        <w:keepNext w:val="0"/>
        <w:keepLines w:val="0"/>
        <w:pageBreakBefore w:val="0"/>
        <w:widowControl w:val="0"/>
        <w:kinsoku/>
        <w:wordWrap/>
        <w:overflowPunct/>
        <w:topLinePunct w:val="0"/>
        <w:autoSpaceDE/>
        <w:autoSpaceDN/>
        <w:bidi w:val="0"/>
        <w:adjustRightInd/>
        <w:snapToGrid/>
        <w:spacing w:line="340" w:lineRule="exact"/>
        <w:ind w:firstLine="420"/>
        <w:textAlignment w:val="auto"/>
        <w:rPr>
          <w:rFonts w:hint="default"/>
          <w:highlight w:val="none"/>
          <w:lang w:val="en-US" w:eastAsia="zh-CN"/>
        </w:rPr>
      </w:pPr>
      <w:r>
        <w:rPr>
          <w:rFonts w:hint="eastAsia" w:ascii="宋体" w:hAnsi="宋体" w:eastAsia="宋体" w:cs="宋体"/>
          <w:sz w:val="21"/>
          <w:szCs w:val="20"/>
          <w:highlight w:val="none"/>
          <w:lang w:val="en-US" w:eastAsia="zh-CN"/>
        </w:rPr>
        <w:t>3.8、</w:t>
      </w:r>
      <w:r>
        <w:rPr>
          <w:rFonts w:hint="eastAsia" w:ascii="宋体" w:hAnsi="宋体" w:eastAsia="宋体" w:cs="宋体"/>
          <w:sz w:val="21"/>
          <w:szCs w:val="20"/>
          <w:highlight w:val="none"/>
          <w:lang w:val="en-US"/>
        </w:rPr>
        <w:t>游埠至士元</w:t>
      </w:r>
      <w:r>
        <w:rPr>
          <w:rFonts w:hint="eastAsia" w:ascii="宋体" w:hAnsi="宋体" w:eastAsia="宋体" w:cs="宋体"/>
          <w:sz w:val="21"/>
          <w:szCs w:val="20"/>
          <w:highlight w:val="none"/>
          <w:lang w:val="en-US" w:eastAsia="zh-CN"/>
        </w:rPr>
        <w:t>：建设里程6.5km，二级公路标准，路基宽度12m，设计速度60km/h</w:t>
      </w:r>
      <w:r>
        <w:rPr>
          <w:rFonts w:hint="eastAsia" w:ascii="宋体" w:hAnsi="宋体" w:cs="宋体"/>
          <w:sz w:val="21"/>
          <w:szCs w:val="20"/>
          <w:highlight w:val="none"/>
          <w:lang w:val="en-US" w:eastAsia="zh-CN"/>
        </w:rPr>
        <w:t>；</w:t>
      </w:r>
    </w:p>
    <w:p>
      <w:pPr>
        <w:keepNext w:val="0"/>
        <w:keepLines w:val="0"/>
        <w:pageBreakBefore w:val="0"/>
        <w:widowControl w:val="0"/>
        <w:numPr>
          <w:ilvl w:val="0"/>
          <w:numId w:val="7"/>
        </w:numPr>
        <w:kinsoku/>
        <w:wordWrap/>
        <w:overflowPunct/>
        <w:topLinePunct w:val="0"/>
        <w:bidi w:val="0"/>
        <w:adjustRightInd/>
        <w:spacing w:line="340" w:lineRule="exact"/>
        <w:ind w:firstLine="422" w:firstLineChars="200"/>
        <w:textAlignment w:val="auto"/>
        <w:rPr>
          <w:b/>
          <w:bCs/>
          <w:sz w:val="21"/>
          <w:szCs w:val="20"/>
          <w:highlight w:val="none"/>
          <w:lang w:val="en-US"/>
        </w:rPr>
      </w:pPr>
      <w:r>
        <w:rPr>
          <w:rFonts w:hint="eastAsia"/>
          <w:b/>
          <w:bCs/>
          <w:sz w:val="21"/>
          <w:szCs w:val="20"/>
          <w:highlight w:val="none"/>
          <w:lang w:val="en-US"/>
        </w:rPr>
        <w:t>项目成果及要求：</w:t>
      </w:r>
    </w:p>
    <w:p>
      <w:pPr>
        <w:keepNext w:val="0"/>
        <w:keepLines w:val="0"/>
        <w:pageBreakBefore w:val="0"/>
        <w:widowControl w:val="0"/>
        <w:kinsoku/>
        <w:wordWrap/>
        <w:overflowPunct/>
        <w:topLinePunct w:val="0"/>
        <w:bidi w:val="0"/>
        <w:adjustRightInd/>
        <w:spacing w:line="340" w:lineRule="exact"/>
        <w:ind w:left="460" w:leftChars="209"/>
        <w:textAlignment w:val="auto"/>
        <w:rPr>
          <w:sz w:val="21"/>
          <w:szCs w:val="20"/>
          <w:highlight w:val="none"/>
          <w:lang w:val="en-US"/>
        </w:rPr>
      </w:pPr>
      <w:bookmarkStart w:id="3" w:name="_TOC_250002"/>
      <w:bookmarkEnd w:id="3"/>
      <w:r>
        <w:rPr>
          <w:rFonts w:hint="eastAsia"/>
          <w:sz w:val="21"/>
          <w:szCs w:val="20"/>
          <w:highlight w:val="none"/>
          <w:lang w:val="en-US"/>
        </w:rPr>
        <w:t>1、编制完成线位论证报告</w:t>
      </w:r>
      <w:r>
        <w:rPr>
          <w:rFonts w:hint="eastAsia"/>
          <w:sz w:val="21"/>
          <w:szCs w:val="20"/>
          <w:highlight w:val="none"/>
          <w:lang w:val="en-US" w:eastAsia="zh-CN"/>
        </w:rPr>
        <w:t>、落地方案及</w:t>
      </w:r>
      <w:r>
        <w:rPr>
          <w:rFonts w:hint="eastAsia"/>
          <w:sz w:val="21"/>
          <w:szCs w:val="20"/>
          <w:highlight w:val="none"/>
          <w:lang w:val="en-US"/>
        </w:rPr>
        <w:t>方案图纸，图册等初步设计相关成果；</w:t>
      </w:r>
    </w:p>
    <w:p>
      <w:pPr>
        <w:keepNext w:val="0"/>
        <w:keepLines w:val="0"/>
        <w:pageBreakBefore w:val="0"/>
        <w:widowControl w:val="0"/>
        <w:kinsoku/>
        <w:wordWrap/>
        <w:overflowPunct/>
        <w:topLinePunct w:val="0"/>
        <w:bidi w:val="0"/>
        <w:adjustRightInd/>
        <w:spacing w:line="340" w:lineRule="exact"/>
        <w:ind w:left="460" w:leftChars="209"/>
        <w:textAlignment w:val="auto"/>
        <w:rPr>
          <w:highlight w:val="none"/>
        </w:rPr>
      </w:pPr>
      <w:r>
        <w:rPr>
          <w:rFonts w:hint="eastAsia"/>
          <w:sz w:val="21"/>
          <w:szCs w:val="20"/>
          <w:highlight w:val="none"/>
          <w:lang w:val="en-US"/>
        </w:rPr>
        <w:t>2、设计综合说明：线路总体布局说明、互通设置位置及形式规模构思方案说明、互通出口与地方接线方案说明、线位走廊带的用地红线说明、</w:t>
      </w:r>
      <w:r>
        <w:rPr>
          <w:rFonts w:hint="eastAsia"/>
          <w:sz w:val="21"/>
          <w:szCs w:val="21"/>
          <w:highlight w:val="none"/>
        </w:rPr>
        <w:t>主要经济技术指标。</w:t>
      </w:r>
    </w:p>
    <w:p>
      <w:pPr>
        <w:keepNext w:val="0"/>
        <w:keepLines w:val="0"/>
        <w:pageBreakBefore w:val="0"/>
        <w:widowControl w:val="0"/>
        <w:kinsoku/>
        <w:wordWrap/>
        <w:overflowPunct/>
        <w:topLinePunct w:val="0"/>
        <w:bidi w:val="0"/>
        <w:adjustRightInd/>
        <w:spacing w:line="340" w:lineRule="exact"/>
        <w:ind w:left="460" w:leftChars="209"/>
        <w:textAlignment w:val="auto"/>
        <w:rPr>
          <w:sz w:val="21"/>
          <w:szCs w:val="20"/>
          <w:highlight w:val="none"/>
          <w:lang w:val="en-US"/>
        </w:rPr>
      </w:pPr>
      <w:r>
        <w:rPr>
          <w:rFonts w:hint="eastAsia"/>
          <w:sz w:val="21"/>
          <w:szCs w:val="20"/>
          <w:highlight w:val="none"/>
          <w:lang w:val="en-US"/>
        </w:rPr>
        <w:t>3、图纸：总平面图（彩色）、交通分析图。</w:t>
      </w:r>
    </w:p>
    <w:p>
      <w:pPr>
        <w:keepNext w:val="0"/>
        <w:keepLines w:val="0"/>
        <w:pageBreakBefore w:val="0"/>
        <w:widowControl w:val="0"/>
        <w:kinsoku/>
        <w:wordWrap/>
        <w:overflowPunct/>
        <w:topLinePunct w:val="0"/>
        <w:bidi w:val="0"/>
        <w:adjustRightInd/>
        <w:spacing w:line="340" w:lineRule="exact"/>
        <w:ind w:left="460" w:leftChars="209"/>
        <w:textAlignment w:val="auto"/>
        <w:rPr>
          <w:sz w:val="21"/>
          <w:szCs w:val="20"/>
          <w:highlight w:val="none"/>
          <w:lang w:val="en-US"/>
        </w:rPr>
      </w:pPr>
      <w:r>
        <w:rPr>
          <w:rFonts w:hint="eastAsia"/>
          <w:sz w:val="21"/>
          <w:szCs w:val="20"/>
          <w:highlight w:val="none"/>
          <w:lang w:val="en-US"/>
        </w:rPr>
        <w:t>4、中间成果的份数满足审查需要提供；</w:t>
      </w:r>
    </w:p>
    <w:p>
      <w:pPr>
        <w:keepNext w:val="0"/>
        <w:keepLines w:val="0"/>
        <w:pageBreakBefore w:val="0"/>
        <w:widowControl w:val="0"/>
        <w:kinsoku/>
        <w:wordWrap/>
        <w:overflowPunct/>
        <w:topLinePunct w:val="0"/>
        <w:bidi w:val="0"/>
        <w:adjustRightInd/>
        <w:spacing w:line="340" w:lineRule="exact"/>
        <w:ind w:left="460" w:leftChars="209"/>
        <w:textAlignment w:val="auto"/>
        <w:rPr>
          <w:sz w:val="21"/>
          <w:szCs w:val="20"/>
          <w:highlight w:val="none"/>
          <w:lang w:val="en-US"/>
        </w:rPr>
      </w:pPr>
      <w:r>
        <w:rPr>
          <w:rFonts w:hint="eastAsia"/>
          <w:sz w:val="21"/>
          <w:szCs w:val="20"/>
          <w:highlight w:val="none"/>
          <w:lang w:val="en-US"/>
        </w:rPr>
        <w:t>5、最终成果报告需纸质</w:t>
      </w:r>
      <w:r>
        <w:rPr>
          <w:rFonts w:hint="eastAsia"/>
          <w:sz w:val="21"/>
          <w:szCs w:val="20"/>
          <w:highlight w:val="none"/>
          <w:lang w:val="en-US" w:eastAsia="zh-CN"/>
        </w:rPr>
        <w:t>5</w:t>
      </w:r>
      <w:r>
        <w:rPr>
          <w:rFonts w:hint="eastAsia"/>
          <w:sz w:val="21"/>
          <w:szCs w:val="20"/>
          <w:highlight w:val="none"/>
          <w:lang w:val="en-US"/>
        </w:rPr>
        <w:t>份，电子文件</w:t>
      </w:r>
      <w:r>
        <w:rPr>
          <w:rFonts w:hint="eastAsia"/>
          <w:sz w:val="21"/>
          <w:szCs w:val="20"/>
          <w:highlight w:val="none"/>
          <w:lang w:val="en-US" w:eastAsia="zh-CN"/>
        </w:rPr>
        <w:t>1</w:t>
      </w:r>
      <w:r>
        <w:rPr>
          <w:rFonts w:hint="eastAsia"/>
          <w:sz w:val="21"/>
          <w:szCs w:val="20"/>
          <w:highlight w:val="none"/>
          <w:lang w:val="en-US"/>
        </w:rPr>
        <w:t>份（包括文本最终稿、汇报PPT、课题摘要及CAD图纸等。文本为DOC格式文件，图纸为DWG,CAD,PDF格式文件，效果图为JPG格式文件）。</w:t>
      </w:r>
    </w:p>
    <w:p>
      <w:pPr>
        <w:keepNext w:val="0"/>
        <w:keepLines w:val="0"/>
        <w:pageBreakBefore w:val="0"/>
        <w:widowControl w:val="0"/>
        <w:kinsoku/>
        <w:wordWrap/>
        <w:overflowPunct/>
        <w:topLinePunct w:val="0"/>
        <w:bidi w:val="0"/>
        <w:adjustRightInd/>
        <w:spacing w:line="340" w:lineRule="exact"/>
        <w:ind w:left="460" w:leftChars="209"/>
        <w:textAlignment w:val="auto"/>
        <w:rPr>
          <w:sz w:val="21"/>
          <w:szCs w:val="20"/>
          <w:highlight w:val="none"/>
          <w:lang w:val="en-US"/>
        </w:rPr>
      </w:pPr>
      <w:r>
        <w:rPr>
          <w:rFonts w:hint="eastAsia"/>
          <w:sz w:val="21"/>
          <w:szCs w:val="20"/>
          <w:highlight w:val="none"/>
          <w:lang w:val="en-US"/>
        </w:rPr>
        <w:t>注：以上数量均为暂定，采购单位可根据实际情况要求调整。</w:t>
      </w:r>
    </w:p>
    <w:p>
      <w:pPr>
        <w:keepNext w:val="0"/>
        <w:keepLines w:val="0"/>
        <w:pageBreakBefore w:val="0"/>
        <w:widowControl w:val="0"/>
        <w:kinsoku/>
        <w:wordWrap/>
        <w:overflowPunct/>
        <w:topLinePunct w:val="0"/>
        <w:bidi w:val="0"/>
        <w:adjustRightInd/>
        <w:spacing w:line="340" w:lineRule="exact"/>
        <w:ind w:left="460" w:leftChars="209"/>
        <w:textAlignment w:val="auto"/>
        <w:rPr>
          <w:sz w:val="21"/>
          <w:szCs w:val="20"/>
          <w:highlight w:val="none"/>
          <w:lang w:val="en-US"/>
        </w:rPr>
      </w:pPr>
      <w:r>
        <w:rPr>
          <w:rFonts w:hint="eastAsia"/>
          <w:sz w:val="21"/>
          <w:szCs w:val="20"/>
          <w:highlight w:val="none"/>
          <w:lang w:val="en-US"/>
        </w:rPr>
        <w:t>6、最后成果必须盖章，并附单位资质等会相关资料。</w:t>
      </w:r>
    </w:p>
    <w:p>
      <w:pPr>
        <w:keepNext w:val="0"/>
        <w:keepLines w:val="0"/>
        <w:pageBreakBefore w:val="0"/>
        <w:widowControl w:val="0"/>
        <w:kinsoku/>
        <w:wordWrap/>
        <w:overflowPunct/>
        <w:topLinePunct w:val="0"/>
        <w:bidi w:val="0"/>
        <w:adjustRightInd/>
        <w:spacing w:line="340" w:lineRule="exact"/>
        <w:ind w:left="460" w:leftChars="209"/>
        <w:textAlignment w:val="auto"/>
        <w:rPr>
          <w:sz w:val="21"/>
          <w:szCs w:val="20"/>
          <w:highlight w:val="none"/>
          <w:lang w:val="en-US"/>
        </w:rPr>
      </w:pPr>
      <w:r>
        <w:rPr>
          <w:rFonts w:hint="eastAsia"/>
          <w:sz w:val="21"/>
          <w:szCs w:val="20"/>
          <w:highlight w:val="none"/>
          <w:lang w:val="en-US"/>
        </w:rPr>
        <w:t>7、其他</w:t>
      </w:r>
    </w:p>
    <w:p>
      <w:pPr>
        <w:keepNext w:val="0"/>
        <w:keepLines w:val="0"/>
        <w:pageBreakBefore w:val="0"/>
        <w:widowControl w:val="0"/>
        <w:kinsoku/>
        <w:wordWrap/>
        <w:overflowPunct/>
        <w:topLinePunct w:val="0"/>
        <w:bidi w:val="0"/>
        <w:adjustRightInd/>
        <w:spacing w:line="340" w:lineRule="exact"/>
        <w:ind w:left="460" w:leftChars="209"/>
        <w:textAlignment w:val="auto"/>
        <w:rPr>
          <w:sz w:val="21"/>
          <w:szCs w:val="20"/>
          <w:highlight w:val="none"/>
          <w:lang w:val="en-US"/>
        </w:rPr>
      </w:pPr>
      <w:r>
        <w:rPr>
          <w:rFonts w:hint="eastAsia"/>
          <w:sz w:val="21"/>
          <w:szCs w:val="20"/>
          <w:highlight w:val="none"/>
          <w:lang w:val="en-US"/>
        </w:rPr>
        <w:t>7.1咨询成果必须符合规划研究报告任务书中提出的有关规范设计目的、原则、内容等方面的要求。</w:t>
      </w:r>
    </w:p>
    <w:p>
      <w:pPr>
        <w:keepNext w:val="0"/>
        <w:keepLines w:val="0"/>
        <w:pageBreakBefore w:val="0"/>
        <w:widowControl w:val="0"/>
        <w:kinsoku/>
        <w:wordWrap/>
        <w:overflowPunct/>
        <w:topLinePunct w:val="0"/>
        <w:bidi w:val="0"/>
        <w:adjustRightInd/>
        <w:spacing w:line="340" w:lineRule="exact"/>
        <w:ind w:left="460" w:leftChars="209"/>
        <w:textAlignment w:val="auto"/>
        <w:rPr>
          <w:sz w:val="21"/>
          <w:szCs w:val="20"/>
          <w:highlight w:val="none"/>
          <w:lang w:val="en-US"/>
        </w:rPr>
      </w:pPr>
      <w:r>
        <w:rPr>
          <w:rFonts w:hint="eastAsia"/>
          <w:sz w:val="21"/>
          <w:szCs w:val="20"/>
          <w:highlight w:val="none"/>
          <w:lang w:val="en-US"/>
        </w:rPr>
        <w:t>7.2图纸和文本文件必须做到清晰、完整，尺寸齐全、准确，同类图纸规格尽量同一。</w:t>
      </w:r>
    </w:p>
    <w:p>
      <w:pPr>
        <w:keepNext w:val="0"/>
        <w:keepLines w:val="0"/>
        <w:pageBreakBefore w:val="0"/>
        <w:widowControl w:val="0"/>
        <w:kinsoku/>
        <w:wordWrap/>
        <w:overflowPunct/>
        <w:topLinePunct w:val="0"/>
        <w:bidi w:val="0"/>
        <w:adjustRightInd/>
        <w:spacing w:line="340" w:lineRule="exact"/>
        <w:ind w:left="460" w:leftChars="209"/>
        <w:textAlignment w:val="auto"/>
        <w:rPr>
          <w:rFonts w:hint="eastAsia"/>
          <w:sz w:val="21"/>
          <w:szCs w:val="20"/>
          <w:highlight w:val="none"/>
          <w:lang w:val="en-US"/>
        </w:rPr>
      </w:pPr>
      <w:r>
        <w:rPr>
          <w:rFonts w:hint="eastAsia"/>
          <w:sz w:val="21"/>
          <w:szCs w:val="20"/>
          <w:highlight w:val="none"/>
          <w:lang w:val="en-US"/>
        </w:rPr>
        <w:t>7.3量度单位按公制标准。</w:t>
      </w:r>
    </w:p>
    <w:p>
      <w:pPr>
        <w:keepNext w:val="0"/>
        <w:keepLines w:val="0"/>
        <w:pageBreakBefore w:val="0"/>
        <w:widowControl w:val="0"/>
        <w:kinsoku/>
        <w:wordWrap/>
        <w:overflowPunct/>
        <w:topLinePunct w:val="0"/>
        <w:bidi w:val="0"/>
        <w:adjustRightInd/>
        <w:spacing w:line="340" w:lineRule="exact"/>
        <w:ind w:firstLine="420" w:firstLineChars="200"/>
        <w:textAlignment w:val="auto"/>
        <w:rPr>
          <w:rFonts w:hint="default" w:eastAsia="宋体"/>
          <w:highlight w:val="none"/>
          <w:lang w:val="en-US" w:eastAsia="zh-CN"/>
        </w:rPr>
      </w:pPr>
      <w:r>
        <w:rPr>
          <w:rFonts w:hint="eastAsia" w:ascii="宋体" w:hAnsi="宋体" w:eastAsia="宋体" w:cs="宋体"/>
          <w:sz w:val="21"/>
          <w:szCs w:val="20"/>
          <w:highlight w:val="none"/>
          <w:lang w:val="en-US" w:eastAsia="zh-CN"/>
        </w:rPr>
        <w:t>8、项目成果报告</w:t>
      </w:r>
      <w:r>
        <w:rPr>
          <w:rFonts w:hint="eastAsia"/>
          <w:sz w:val="21"/>
          <w:szCs w:val="21"/>
          <w:highlight w:val="none"/>
        </w:rPr>
        <w:t>的知识产权归甲方所有。</w:t>
      </w:r>
    </w:p>
    <w:p>
      <w:pPr>
        <w:keepNext w:val="0"/>
        <w:keepLines w:val="0"/>
        <w:pageBreakBefore w:val="0"/>
        <w:widowControl w:val="0"/>
        <w:numPr>
          <w:ilvl w:val="0"/>
          <w:numId w:val="5"/>
        </w:numPr>
        <w:kinsoku/>
        <w:wordWrap/>
        <w:overflowPunct/>
        <w:topLinePunct w:val="0"/>
        <w:bidi w:val="0"/>
        <w:adjustRightInd/>
        <w:spacing w:line="340" w:lineRule="exact"/>
        <w:textAlignment w:val="auto"/>
        <w:rPr>
          <w:b/>
          <w:bCs/>
          <w:sz w:val="22"/>
          <w:szCs w:val="21"/>
          <w:highlight w:val="none"/>
          <w:lang w:val="en-US"/>
        </w:rPr>
      </w:pPr>
      <w:r>
        <w:rPr>
          <w:rFonts w:hint="eastAsia"/>
          <w:b/>
          <w:bCs/>
          <w:color w:val="000000" w:themeColor="text1"/>
          <w:sz w:val="22"/>
          <w:szCs w:val="22"/>
          <w:highlight w:val="none"/>
          <w:lang w:val="en-US"/>
        </w:rPr>
        <w:t>保密要求</w:t>
      </w:r>
    </w:p>
    <w:p>
      <w:pPr>
        <w:keepNext w:val="0"/>
        <w:keepLines w:val="0"/>
        <w:pageBreakBefore w:val="0"/>
        <w:widowControl w:val="0"/>
        <w:kinsoku/>
        <w:wordWrap/>
        <w:overflowPunct/>
        <w:topLinePunct w:val="0"/>
        <w:bidi w:val="0"/>
        <w:adjustRightInd/>
        <w:snapToGrid w:val="0"/>
        <w:spacing w:line="340" w:lineRule="exact"/>
        <w:ind w:firstLine="420" w:firstLineChars="200"/>
        <w:textAlignment w:val="auto"/>
        <w:rPr>
          <w:highlight w:val="none"/>
          <w:lang w:val="en-US"/>
        </w:rPr>
      </w:pPr>
      <w:r>
        <w:rPr>
          <w:rFonts w:hint="eastAsia"/>
          <w:sz w:val="21"/>
          <w:szCs w:val="21"/>
          <w:highlight w:val="none"/>
        </w:rPr>
        <w:t>招投标双方应分别为对方在投标文件和招标文件中涉及的商业和技术等秘密保密，违者应对由此造成的后果承担责任。</w:t>
      </w:r>
    </w:p>
    <w:p>
      <w:pPr>
        <w:keepNext w:val="0"/>
        <w:keepLines w:val="0"/>
        <w:pageBreakBefore w:val="0"/>
        <w:widowControl w:val="0"/>
        <w:numPr>
          <w:ilvl w:val="0"/>
          <w:numId w:val="5"/>
        </w:numPr>
        <w:kinsoku/>
        <w:wordWrap/>
        <w:overflowPunct/>
        <w:topLinePunct w:val="0"/>
        <w:bidi w:val="0"/>
        <w:adjustRightInd/>
        <w:spacing w:line="340" w:lineRule="exact"/>
        <w:textAlignment w:val="auto"/>
        <w:rPr>
          <w:b/>
          <w:bCs/>
          <w:sz w:val="22"/>
          <w:szCs w:val="21"/>
          <w:highlight w:val="none"/>
          <w:lang w:val="en-US"/>
        </w:rPr>
      </w:pPr>
      <w:r>
        <w:rPr>
          <w:rFonts w:hint="eastAsia"/>
          <w:b/>
          <w:bCs/>
          <w:sz w:val="22"/>
          <w:szCs w:val="21"/>
          <w:highlight w:val="none"/>
          <w:lang w:val="en-US"/>
        </w:rPr>
        <w:t>中标人需完成的其他工作（包括但不限于以下内容）：</w:t>
      </w:r>
    </w:p>
    <w:p>
      <w:pPr>
        <w:keepNext w:val="0"/>
        <w:keepLines w:val="0"/>
        <w:pageBreakBefore w:val="0"/>
        <w:widowControl w:val="0"/>
        <w:kinsoku/>
        <w:wordWrap/>
        <w:overflowPunct/>
        <w:topLinePunct w:val="0"/>
        <w:bidi w:val="0"/>
        <w:adjustRightInd/>
        <w:spacing w:line="340" w:lineRule="exact"/>
        <w:ind w:firstLine="420" w:firstLineChars="200"/>
        <w:textAlignment w:val="auto"/>
        <w:rPr>
          <w:sz w:val="21"/>
          <w:szCs w:val="21"/>
          <w:highlight w:val="none"/>
        </w:rPr>
      </w:pPr>
      <w:r>
        <w:rPr>
          <w:rFonts w:hint="eastAsia"/>
          <w:sz w:val="21"/>
          <w:szCs w:val="21"/>
          <w:highlight w:val="none"/>
          <w:lang w:val="en-US"/>
        </w:rPr>
        <w:t>1、</w:t>
      </w:r>
      <w:r>
        <w:rPr>
          <w:rFonts w:hint="eastAsia"/>
          <w:sz w:val="21"/>
          <w:szCs w:val="21"/>
          <w:highlight w:val="none"/>
        </w:rPr>
        <w:t>配合、协助采购人</w:t>
      </w:r>
      <w:r>
        <w:rPr>
          <w:rFonts w:hint="eastAsia"/>
          <w:sz w:val="21"/>
          <w:szCs w:val="21"/>
          <w:highlight w:val="none"/>
          <w:lang w:val="en-US"/>
        </w:rPr>
        <w:t>修改完善线位论证报批稿</w:t>
      </w:r>
      <w:r>
        <w:rPr>
          <w:rFonts w:hint="eastAsia"/>
          <w:sz w:val="21"/>
          <w:szCs w:val="21"/>
          <w:highlight w:val="none"/>
        </w:rPr>
        <w:t>。</w:t>
      </w:r>
    </w:p>
    <w:p>
      <w:pPr>
        <w:keepNext w:val="0"/>
        <w:keepLines w:val="0"/>
        <w:pageBreakBefore w:val="0"/>
        <w:widowControl w:val="0"/>
        <w:kinsoku/>
        <w:wordWrap/>
        <w:overflowPunct/>
        <w:topLinePunct w:val="0"/>
        <w:bidi w:val="0"/>
        <w:adjustRightInd/>
        <w:spacing w:line="340" w:lineRule="exact"/>
        <w:ind w:firstLine="420" w:firstLineChars="200"/>
        <w:textAlignment w:val="auto"/>
        <w:rPr>
          <w:sz w:val="21"/>
          <w:szCs w:val="21"/>
          <w:highlight w:val="none"/>
        </w:rPr>
      </w:pPr>
      <w:r>
        <w:rPr>
          <w:rFonts w:hint="eastAsia"/>
          <w:sz w:val="21"/>
          <w:szCs w:val="21"/>
          <w:highlight w:val="none"/>
          <w:lang w:val="en-US"/>
        </w:rPr>
        <w:t>2、</w:t>
      </w:r>
      <w:r>
        <w:rPr>
          <w:rFonts w:hint="eastAsia"/>
          <w:sz w:val="21"/>
          <w:szCs w:val="21"/>
          <w:highlight w:val="none"/>
        </w:rPr>
        <w:t>配合、协助采购人完成方案文件的审查、技术答疑、技术评审等。</w:t>
      </w:r>
    </w:p>
    <w:p>
      <w:pPr>
        <w:keepNext w:val="0"/>
        <w:keepLines w:val="0"/>
        <w:pageBreakBefore w:val="0"/>
        <w:widowControl w:val="0"/>
        <w:kinsoku/>
        <w:wordWrap/>
        <w:overflowPunct/>
        <w:topLinePunct w:val="0"/>
        <w:bidi w:val="0"/>
        <w:adjustRightInd/>
        <w:spacing w:line="340" w:lineRule="exact"/>
        <w:ind w:firstLine="420" w:firstLineChars="200"/>
        <w:textAlignment w:val="auto"/>
        <w:rPr>
          <w:sz w:val="21"/>
          <w:szCs w:val="21"/>
          <w:highlight w:val="none"/>
        </w:rPr>
      </w:pPr>
      <w:r>
        <w:rPr>
          <w:rFonts w:hint="eastAsia"/>
          <w:sz w:val="21"/>
          <w:szCs w:val="21"/>
          <w:highlight w:val="none"/>
          <w:lang w:val="en-US"/>
        </w:rPr>
        <w:t>3、</w:t>
      </w:r>
      <w:r>
        <w:rPr>
          <w:rFonts w:hint="eastAsia"/>
          <w:sz w:val="21"/>
          <w:szCs w:val="21"/>
          <w:highlight w:val="none"/>
        </w:rPr>
        <w:t>针对本项目投入人员要求：未经采购人许可，本项目投入人员不得擅自更换，工作期间，保证随叫随到。</w:t>
      </w:r>
    </w:p>
    <w:p>
      <w:pPr>
        <w:pStyle w:val="25"/>
        <w:keepNext w:val="0"/>
        <w:keepLines w:val="0"/>
        <w:pageBreakBefore w:val="0"/>
        <w:widowControl w:val="0"/>
        <w:kinsoku/>
        <w:wordWrap/>
        <w:overflowPunct/>
        <w:topLinePunct w:val="0"/>
        <w:bidi w:val="0"/>
        <w:adjustRightInd/>
        <w:spacing w:line="340" w:lineRule="exact"/>
        <w:ind w:left="0" w:leftChars="0" w:firstLine="0" w:firstLineChars="0"/>
        <w:textAlignment w:val="auto"/>
        <w:rPr>
          <w:b/>
          <w:bCs/>
          <w:sz w:val="22"/>
          <w:szCs w:val="24"/>
          <w:highlight w:val="none"/>
          <w:lang w:val="en-US"/>
        </w:rPr>
      </w:pPr>
      <w:r>
        <w:rPr>
          <w:rFonts w:hint="eastAsia"/>
          <w:b/>
          <w:bCs/>
          <w:sz w:val="22"/>
          <w:szCs w:val="24"/>
          <w:highlight w:val="none"/>
          <w:lang w:val="en-US"/>
        </w:rPr>
        <w:t>五、工期要求：</w:t>
      </w:r>
    </w:p>
    <w:p>
      <w:pPr>
        <w:pStyle w:val="25"/>
        <w:keepNext w:val="0"/>
        <w:keepLines w:val="0"/>
        <w:pageBreakBefore w:val="0"/>
        <w:widowControl w:val="0"/>
        <w:kinsoku/>
        <w:wordWrap/>
        <w:overflowPunct/>
        <w:topLinePunct w:val="0"/>
        <w:bidi w:val="0"/>
        <w:adjustRightInd/>
        <w:spacing w:line="240" w:lineRule="auto"/>
        <w:ind w:left="0" w:leftChars="0" w:firstLine="480" w:firstLineChars="0"/>
        <w:textAlignment w:val="auto"/>
        <w:rPr>
          <w:rFonts w:ascii="宋体" w:hAnsi="宋体"/>
          <w:highlight w:val="none"/>
          <w:lang w:val="en-US"/>
        </w:rPr>
      </w:pPr>
      <w:r>
        <w:rPr>
          <w:rFonts w:hint="eastAsia" w:ascii="宋体" w:hAnsi="宋体"/>
          <w:highlight w:val="none"/>
          <w:lang w:val="en-US"/>
        </w:rPr>
        <w:t>1、合同签订后7日内，编制形成详细工作大纲；</w:t>
      </w:r>
    </w:p>
    <w:p>
      <w:pPr>
        <w:pStyle w:val="25"/>
        <w:keepNext w:val="0"/>
        <w:keepLines w:val="0"/>
        <w:pageBreakBefore w:val="0"/>
        <w:widowControl w:val="0"/>
        <w:kinsoku/>
        <w:wordWrap/>
        <w:overflowPunct/>
        <w:topLinePunct w:val="0"/>
        <w:bidi w:val="0"/>
        <w:adjustRightInd/>
        <w:spacing w:line="240" w:lineRule="auto"/>
        <w:ind w:left="0" w:leftChars="0" w:firstLine="480" w:firstLineChars="0"/>
        <w:textAlignment w:val="auto"/>
        <w:rPr>
          <w:rFonts w:ascii="宋体" w:hAnsi="宋体"/>
          <w:highlight w:val="none"/>
          <w:lang w:val="en-US"/>
        </w:rPr>
      </w:pPr>
      <w:r>
        <w:rPr>
          <w:rFonts w:hint="eastAsia" w:ascii="宋体" w:hAnsi="宋体"/>
          <w:highlight w:val="none"/>
          <w:lang w:val="en-US"/>
        </w:rPr>
        <w:t>2、合同签订后</w:t>
      </w:r>
      <w:r>
        <w:rPr>
          <w:rFonts w:hint="eastAsia" w:ascii="宋体" w:hAnsi="宋体"/>
          <w:highlight w:val="none"/>
          <w:lang w:val="en-US" w:eastAsia="zh-CN"/>
        </w:rPr>
        <w:t>30</w:t>
      </w:r>
      <w:r>
        <w:rPr>
          <w:rFonts w:hint="eastAsia" w:ascii="宋体" w:hAnsi="宋体"/>
          <w:highlight w:val="none"/>
          <w:lang w:val="en-US"/>
        </w:rPr>
        <w:t>日内，编制</w:t>
      </w:r>
      <w:r>
        <w:rPr>
          <w:rFonts w:hint="eastAsia" w:ascii="宋体" w:hAnsi="宋体"/>
          <w:highlight w:val="none"/>
          <w:lang w:val="en-US" w:eastAsia="zh-CN"/>
        </w:rPr>
        <w:t>完成线位方案论证报告</w:t>
      </w:r>
      <w:r>
        <w:rPr>
          <w:rFonts w:hint="eastAsia" w:ascii="宋体" w:hAnsi="宋体"/>
          <w:highlight w:val="none"/>
          <w:lang w:val="en-US"/>
        </w:rPr>
        <w:t>；</w:t>
      </w:r>
    </w:p>
    <w:p>
      <w:pPr>
        <w:pStyle w:val="25"/>
        <w:keepNext w:val="0"/>
        <w:keepLines w:val="0"/>
        <w:pageBreakBefore w:val="0"/>
        <w:widowControl w:val="0"/>
        <w:kinsoku/>
        <w:wordWrap/>
        <w:overflowPunct/>
        <w:topLinePunct w:val="0"/>
        <w:bidi w:val="0"/>
        <w:adjustRightInd/>
        <w:spacing w:line="240" w:lineRule="auto"/>
        <w:ind w:left="0" w:leftChars="0" w:firstLine="480" w:firstLineChars="0"/>
        <w:textAlignment w:val="auto"/>
        <w:rPr>
          <w:rFonts w:ascii="宋体" w:hAnsi="宋体"/>
          <w:highlight w:val="none"/>
          <w:lang w:val="en-US"/>
        </w:rPr>
      </w:pPr>
      <w:r>
        <w:rPr>
          <w:rFonts w:hint="eastAsia" w:ascii="宋体" w:hAnsi="宋体"/>
          <w:highlight w:val="none"/>
          <w:lang w:val="en-US"/>
        </w:rPr>
        <w:t>3、合同签订后</w:t>
      </w:r>
      <w:r>
        <w:rPr>
          <w:rFonts w:hint="eastAsia" w:ascii="宋体" w:hAnsi="宋体"/>
          <w:highlight w:val="none"/>
          <w:lang w:val="en-US" w:eastAsia="zh-CN"/>
        </w:rPr>
        <w:t>60</w:t>
      </w:r>
      <w:r>
        <w:rPr>
          <w:rFonts w:hint="eastAsia" w:ascii="宋体" w:hAnsi="宋体"/>
          <w:highlight w:val="none"/>
          <w:lang w:val="en-US"/>
        </w:rPr>
        <w:t>日内，广泛征求各相关部门的意见，修改完善</w:t>
      </w:r>
      <w:r>
        <w:rPr>
          <w:rFonts w:hint="eastAsia" w:ascii="宋体" w:hAnsi="宋体"/>
          <w:highlight w:val="none"/>
          <w:lang w:val="en-US" w:eastAsia="zh-CN"/>
        </w:rPr>
        <w:t>线位方案论证报告</w:t>
      </w:r>
      <w:r>
        <w:rPr>
          <w:rFonts w:hint="eastAsia" w:ascii="宋体" w:hAnsi="宋体"/>
          <w:highlight w:val="none"/>
          <w:lang w:val="en-US"/>
        </w:rPr>
        <w:t>；</w:t>
      </w:r>
    </w:p>
    <w:p>
      <w:pPr>
        <w:pStyle w:val="25"/>
        <w:keepNext w:val="0"/>
        <w:keepLines w:val="0"/>
        <w:pageBreakBefore w:val="0"/>
        <w:widowControl w:val="0"/>
        <w:kinsoku/>
        <w:wordWrap/>
        <w:overflowPunct/>
        <w:topLinePunct w:val="0"/>
        <w:bidi w:val="0"/>
        <w:adjustRightInd/>
        <w:spacing w:line="240" w:lineRule="auto"/>
        <w:ind w:left="0" w:leftChars="0" w:firstLine="480" w:firstLineChars="0"/>
        <w:textAlignment w:val="auto"/>
        <w:rPr>
          <w:rFonts w:hint="eastAsia" w:ascii="宋体" w:hAnsi="宋体"/>
          <w:highlight w:val="none"/>
          <w:lang w:val="en-US"/>
        </w:rPr>
      </w:pPr>
      <w:r>
        <w:rPr>
          <w:rFonts w:hint="eastAsia" w:ascii="宋体" w:hAnsi="宋体"/>
          <w:highlight w:val="none"/>
          <w:lang w:val="en-US"/>
        </w:rPr>
        <w:t>4、</w:t>
      </w:r>
      <w:r>
        <w:rPr>
          <w:rFonts w:hint="eastAsia" w:ascii="宋体" w:hAnsi="宋体"/>
          <w:highlight w:val="none"/>
          <w:lang w:val="en-US" w:eastAsia="zh-CN"/>
        </w:rPr>
        <w:t>10月底前</w:t>
      </w:r>
      <w:r>
        <w:rPr>
          <w:rFonts w:hint="eastAsia" w:ascii="宋体" w:hAnsi="宋体"/>
          <w:highlight w:val="none"/>
          <w:lang w:val="en-US"/>
        </w:rPr>
        <w:t>，</w:t>
      </w:r>
      <w:r>
        <w:rPr>
          <w:rFonts w:hint="eastAsia" w:ascii="宋体" w:hAnsi="宋体"/>
          <w:highlight w:val="none"/>
          <w:lang w:val="en-US" w:eastAsia="zh-CN"/>
        </w:rPr>
        <w:t>完成落地方案审批稿</w:t>
      </w:r>
      <w:r>
        <w:rPr>
          <w:rFonts w:hint="eastAsia" w:ascii="宋体" w:hAnsi="宋体"/>
          <w:highlight w:val="none"/>
          <w:lang w:val="en-US"/>
        </w:rPr>
        <w:t>；</w:t>
      </w:r>
    </w:p>
    <w:p>
      <w:pPr>
        <w:pStyle w:val="25"/>
        <w:keepNext w:val="0"/>
        <w:keepLines w:val="0"/>
        <w:pageBreakBefore w:val="0"/>
        <w:widowControl w:val="0"/>
        <w:kinsoku/>
        <w:wordWrap/>
        <w:overflowPunct/>
        <w:topLinePunct w:val="0"/>
        <w:bidi w:val="0"/>
        <w:adjustRightInd/>
        <w:spacing w:line="240" w:lineRule="auto"/>
        <w:ind w:left="0" w:leftChars="0" w:firstLine="480" w:firstLineChars="0"/>
        <w:textAlignment w:val="auto"/>
        <w:rPr>
          <w:rFonts w:hint="eastAsia" w:ascii="宋体" w:hAnsi="宋体"/>
          <w:highlight w:val="none"/>
          <w:lang w:val="en-US"/>
        </w:rPr>
      </w:pPr>
      <w:r>
        <w:rPr>
          <w:rFonts w:hint="eastAsia" w:ascii="宋体" w:hAnsi="宋体"/>
          <w:highlight w:val="none"/>
          <w:lang w:val="en-US" w:eastAsia="zh-CN"/>
        </w:rPr>
        <w:t>5、12月底，组织专家评审，修改完善后形成落地方案最终稿。</w:t>
      </w:r>
    </w:p>
    <w:p>
      <w:pPr>
        <w:pStyle w:val="3"/>
        <w:keepNext w:val="0"/>
        <w:keepLines w:val="0"/>
        <w:pageBreakBefore w:val="0"/>
        <w:widowControl w:val="0"/>
        <w:tabs>
          <w:tab w:val="left" w:pos="1286"/>
        </w:tabs>
        <w:kinsoku/>
        <w:wordWrap/>
        <w:overflowPunct/>
        <w:topLinePunct w:val="0"/>
        <w:bidi w:val="0"/>
        <w:adjustRightInd/>
        <w:spacing w:before="7" w:line="340" w:lineRule="exact"/>
        <w:jc w:val="both"/>
        <w:textAlignment w:val="auto"/>
        <w:rPr>
          <w:sz w:val="22"/>
          <w:szCs w:val="22"/>
          <w:highlight w:val="none"/>
          <w:lang w:val="en-US"/>
        </w:rPr>
      </w:pPr>
      <w:r>
        <w:rPr>
          <w:rFonts w:hint="eastAsia"/>
          <w:sz w:val="22"/>
          <w:szCs w:val="22"/>
          <w:highlight w:val="none"/>
          <w:lang w:val="en-US"/>
        </w:rPr>
        <w:t>六、质量要求：</w:t>
      </w:r>
    </w:p>
    <w:p>
      <w:pPr>
        <w:keepNext w:val="0"/>
        <w:keepLines w:val="0"/>
        <w:pageBreakBefore w:val="0"/>
        <w:widowControl w:val="0"/>
        <w:kinsoku/>
        <w:wordWrap/>
        <w:overflowPunct/>
        <w:topLinePunct w:val="0"/>
        <w:bidi w:val="0"/>
        <w:adjustRightInd/>
        <w:snapToGrid w:val="0"/>
        <w:spacing w:line="340" w:lineRule="exact"/>
        <w:ind w:firstLine="420" w:firstLineChars="200"/>
        <w:textAlignment w:val="auto"/>
        <w:rPr>
          <w:sz w:val="21"/>
          <w:szCs w:val="21"/>
          <w:highlight w:val="none"/>
        </w:rPr>
      </w:pPr>
      <w:r>
        <w:rPr>
          <w:rFonts w:hint="eastAsia"/>
          <w:sz w:val="21"/>
          <w:szCs w:val="21"/>
          <w:highlight w:val="none"/>
        </w:rPr>
        <w:t>（1）调查资料详实准确；</w:t>
      </w:r>
    </w:p>
    <w:p>
      <w:pPr>
        <w:keepNext w:val="0"/>
        <w:keepLines w:val="0"/>
        <w:pageBreakBefore w:val="0"/>
        <w:widowControl w:val="0"/>
        <w:kinsoku/>
        <w:wordWrap/>
        <w:overflowPunct/>
        <w:topLinePunct w:val="0"/>
        <w:bidi w:val="0"/>
        <w:adjustRightInd/>
        <w:snapToGrid w:val="0"/>
        <w:spacing w:line="340" w:lineRule="exact"/>
        <w:ind w:firstLine="420" w:firstLineChars="200"/>
        <w:textAlignment w:val="auto"/>
        <w:rPr>
          <w:sz w:val="21"/>
          <w:szCs w:val="21"/>
          <w:highlight w:val="none"/>
        </w:rPr>
      </w:pPr>
      <w:r>
        <w:rPr>
          <w:rFonts w:hint="eastAsia"/>
          <w:sz w:val="21"/>
          <w:szCs w:val="21"/>
          <w:highlight w:val="none"/>
        </w:rPr>
        <w:t>（2）充分研究论证；</w:t>
      </w:r>
    </w:p>
    <w:p>
      <w:pPr>
        <w:keepNext w:val="0"/>
        <w:keepLines w:val="0"/>
        <w:pageBreakBefore w:val="0"/>
        <w:widowControl w:val="0"/>
        <w:kinsoku/>
        <w:wordWrap/>
        <w:overflowPunct/>
        <w:topLinePunct w:val="0"/>
        <w:bidi w:val="0"/>
        <w:adjustRightInd/>
        <w:snapToGrid w:val="0"/>
        <w:spacing w:line="340" w:lineRule="exact"/>
        <w:ind w:firstLine="420" w:firstLineChars="200"/>
        <w:textAlignment w:val="auto"/>
        <w:rPr>
          <w:sz w:val="21"/>
          <w:szCs w:val="21"/>
          <w:highlight w:val="none"/>
        </w:rPr>
      </w:pPr>
      <w:r>
        <w:rPr>
          <w:rFonts w:hint="eastAsia"/>
          <w:sz w:val="21"/>
          <w:szCs w:val="21"/>
          <w:highlight w:val="none"/>
        </w:rPr>
        <w:t>（3）通过专家评审；</w:t>
      </w:r>
    </w:p>
    <w:p>
      <w:pPr>
        <w:keepNext w:val="0"/>
        <w:keepLines w:val="0"/>
        <w:pageBreakBefore w:val="0"/>
        <w:widowControl w:val="0"/>
        <w:kinsoku/>
        <w:wordWrap/>
        <w:overflowPunct/>
        <w:topLinePunct w:val="0"/>
        <w:bidi w:val="0"/>
        <w:adjustRightInd/>
        <w:snapToGrid w:val="0"/>
        <w:spacing w:line="340" w:lineRule="exact"/>
        <w:ind w:firstLine="420" w:firstLineChars="200"/>
        <w:textAlignment w:val="auto"/>
        <w:rPr>
          <w:sz w:val="21"/>
          <w:szCs w:val="21"/>
          <w:highlight w:val="none"/>
        </w:rPr>
      </w:pPr>
      <w:r>
        <w:rPr>
          <w:rFonts w:hint="eastAsia"/>
          <w:sz w:val="21"/>
          <w:szCs w:val="21"/>
          <w:highlight w:val="none"/>
        </w:rPr>
        <w:t>（4）通过相关部门审查；</w:t>
      </w:r>
    </w:p>
    <w:p>
      <w:pPr>
        <w:keepNext w:val="0"/>
        <w:keepLines w:val="0"/>
        <w:pageBreakBefore w:val="0"/>
        <w:widowControl w:val="0"/>
        <w:kinsoku/>
        <w:wordWrap/>
        <w:overflowPunct/>
        <w:topLinePunct w:val="0"/>
        <w:bidi w:val="0"/>
        <w:adjustRightInd/>
        <w:snapToGrid w:val="0"/>
        <w:spacing w:line="340" w:lineRule="exact"/>
        <w:ind w:firstLine="420" w:firstLineChars="200"/>
        <w:textAlignment w:val="auto"/>
        <w:rPr>
          <w:highlight w:val="none"/>
          <w:lang w:val="en-US"/>
        </w:rPr>
      </w:pPr>
      <w:r>
        <w:rPr>
          <w:rFonts w:hint="eastAsia"/>
          <w:sz w:val="21"/>
          <w:szCs w:val="21"/>
          <w:highlight w:val="none"/>
        </w:rPr>
        <w:t>（5）</w:t>
      </w:r>
      <w:r>
        <w:rPr>
          <w:rFonts w:hint="eastAsia"/>
          <w:sz w:val="21"/>
          <w:szCs w:val="21"/>
          <w:highlight w:val="none"/>
          <w:lang w:val="en-US" w:eastAsia="zh-CN"/>
        </w:rPr>
        <w:t>提交成果文件</w:t>
      </w:r>
      <w:r>
        <w:rPr>
          <w:rFonts w:hint="eastAsia"/>
          <w:sz w:val="21"/>
          <w:szCs w:val="21"/>
          <w:highlight w:val="none"/>
        </w:rPr>
        <w:t>。</w:t>
      </w:r>
    </w:p>
    <w:p>
      <w:pPr>
        <w:pStyle w:val="3"/>
        <w:keepNext w:val="0"/>
        <w:keepLines w:val="0"/>
        <w:pageBreakBefore w:val="0"/>
        <w:widowControl w:val="0"/>
        <w:tabs>
          <w:tab w:val="left" w:pos="1286"/>
        </w:tabs>
        <w:kinsoku/>
        <w:wordWrap/>
        <w:overflowPunct/>
        <w:topLinePunct w:val="0"/>
        <w:bidi w:val="0"/>
        <w:adjustRightInd/>
        <w:spacing w:before="7" w:line="340" w:lineRule="exact"/>
        <w:jc w:val="both"/>
        <w:textAlignment w:val="auto"/>
        <w:rPr>
          <w:rFonts w:hint="eastAsia"/>
          <w:sz w:val="22"/>
          <w:szCs w:val="22"/>
          <w:highlight w:val="none"/>
          <w:lang w:val="en-US" w:eastAsia="zh-CN"/>
        </w:rPr>
      </w:pPr>
      <w:r>
        <w:rPr>
          <w:rFonts w:hint="eastAsia"/>
          <w:sz w:val="22"/>
          <w:szCs w:val="22"/>
          <w:highlight w:val="none"/>
          <w:lang w:val="en-US" w:eastAsia="zh-CN"/>
        </w:rPr>
        <w:t>七、付款方式：</w:t>
      </w:r>
    </w:p>
    <w:p>
      <w:pPr>
        <w:spacing w:line="360" w:lineRule="auto"/>
        <w:ind w:firstLine="420" w:firstLineChars="200"/>
        <w:rPr>
          <w:rFonts w:hint="eastAsia"/>
          <w:highlight w:val="none"/>
          <w:lang w:val="en-US" w:eastAsia="zh-CN"/>
        </w:rPr>
      </w:pPr>
      <w:r>
        <w:rPr>
          <w:rFonts w:hint="eastAsia" w:ascii="宋体" w:hAnsi="宋体" w:eastAsia="宋体" w:cs="宋体"/>
          <w:sz w:val="21"/>
          <w:highlight w:val="none"/>
        </w:rPr>
        <w:t>合同生效及具备实施条件支付合同价款的</w:t>
      </w:r>
      <w:r>
        <w:rPr>
          <w:rFonts w:hint="eastAsia" w:cs="宋体"/>
          <w:sz w:val="21"/>
          <w:highlight w:val="none"/>
          <w:lang w:val="en-US" w:eastAsia="zh-CN"/>
        </w:rPr>
        <w:t>30</w:t>
      </w:r>
      <w:r>
        <w:rPr>
          <w:rFonts w:hint="eastAsia" w:ascii="宋体" w:hAnsi="宋体" w:eastAsia="宋体" w:cs="宋体"/>
          <w:sz w:val="21"/>
          <w:highlight w:val="none"/>
        </w:rPr>
        <w:t>%作为预付款；</w:t>
      </w:r>
      <w:r>
        <w:rPr>
          <w:rFonts w:hint="eastAsia"/>
          <w:sz w:val="21"/>
          <w:szCs w:val="21"/>
          <w:highlight w:val="none"/>
        </w:rPr>
        <w:t>采购人组织</w:t>
      </w:r>
      <w:r>
        <w:rPr>
          <w:rFonts w:hint="eastAsia"/>
          <w:sz w:val="21"/>
          <w:szCs w:val="21"/>
          <w:highlight w:val="none"/>
          <w:lang w:val="en-US" w:eastAsia="zh-CN"/>
        </w:rPr>
        <w:t>专家评审后完成落地方案最终稿后</w:t>
      </w:r>
      <w:r>
        <w:rPr>
          <w:rFonts w:hint="eastAsia"/>
          <w:sz w:val="21"/>
          <w:szCs w:val="21"/>
          <w:highlight w:val="none"/>
        </w:rPr>
        <w:t>支付剩余合同价尾款。</w:t>
      </w:r>
    </w:p>
    <w:p>
      <w:pPr>
        <w:pStyle w:val="3"/>
        <w:keepNext w:val="0"/>
        <w:keepLines w:val="0"/>
        <w:pageBreakBefore w:val="0"/>
        <w:widowControl w:val="0"/>
        <w:tabs>
          <w:tab w:val="left" w:pos="1286"/>
        </w:tabs>
        <w:kinsoku/>
        <w:wordWrap/>
        <w:overflowPunct/>
        <w:topLinePunct w:val="0"/>
        <w:bidi w:val="0"/>
        <w:adjustRightInd/>
        <w:spacing w:before="7" w:line="340" w:lineRule="exact"/>
        <w:jc w:val="both"/>
        <w:textAlignment w:val="auto"/>
        <w:rPr>
          <w:rFonts w:hint="default"/>
          <w:sz w:val="22"/>
          <w:szCs w:val="22"/>
          <w:highlight w:val="none"/>
          <w:lang w:val="en-US" w:eastAsia="zh-CN"/>
        </w:rPr>
      </w:pPr>
      <w:r>
        <w:rPr>
          <w:rFonts w:hint="eastAsia"/>
          <w:sz w:val="22"/>
          <w:szCs w:val="22"/>
          <w:highlight w:val="none"/>
          <w:lang w:val="en-US" w:eastAsia="zh-CN"/>
        </w:rPr>
        <w:t>八、结算方式：</w:t>
      </w:r>
    </w:p>
    <w:p>
      <w:pPr>
        <w:keepNext w:val="0"/>
        <w:keepLines w:val="0"/>
        <w:pageBreakBefore w:val="0"/>
        <w:widowControl w:val="0"/>
        <w:kinsoku/>
        <w:wordWrap/>
        <w:overflowPunct/>
        <w:topLinePunct w:val="0"/>
        <w:bidi w:val="0"/>
        <w:adjustRightInd/>
        <w:snapToGrid/>
        <w:spacing w:line="360" w:lineRule="exact"/>
        <w:ind w:firstLine="440" w:firstLineChars="200"/>
        <w:textAlignment w:val="auto"/>
        <w:rPr>
          <w:rFonts w:hint="default" w:eastAsia="宋体"/>
          <w:highlight w:val="none"/>
          <w:lang w:val="en-US" w:eastAsia="zh-CN"/>
        </w:rPr>
      </w:pPr>
      <w:r>
        <w:rPr>
          <w:rFonts w:hint="eastAsia"/>
          <w:highlight w:val="none"/>
          <w:lang w:val="en-US" w:eastAsia="zh-CN"/>
        </w:rPr>
        <w:t>1、按线路方案单独结算；</w:t>
      </w:r>
    </w:p>
    <w:p>
      <w:pPr>
        <w:pStyle w:val="31"/>
        <w:keepNext w:val="0"/>
        <w:keepLines w:val="0"/>
        <w:pageBreakBefore w:val="0"/>
        <w:widowControl w:val="0"/>
        <w:kinsoku/>
        <w:wordWrap/>
        <w:overflowPunct/>
        <w:topLinePunct w:val="0"/>
        <w:bidi w:val="0"/>
        <w:adjustRightInd/>
        <w:snapToGrid/>
        <w:spacing w:line="360" w:lineRule="exact"/>
        <w:ind w:firstLine="420" w:firstLineChars="200"/>
        <w:textAlignment w:val="auto"/>
        <w:rPr>
          <w:highlight w:val="none"/>
        </w:rPr>
      </w:pPr>
      <w:r>
        <w:rPr>
          <w:rFonts w:hint="eastAsia"/>
          <w:sz w:val="21"/>
          <w:szCs w:val="20"/>
          <w:highlight w:val="none"/>
          <w:lang w:val="en-US" w:eastAsia="zh-CN"/>
        </w:rPr>
        <w:t>2、甲方有权利增、减需要方案研究的线路，如增加研究的线路，增加研究线路的服务费按报价一览表中同等级别、类型公路报价单价的平均值作为单价，以单价</w:t>
      </w:r>
      <w:r>
        <w:rPr>
          <w:rFonts w:hint="default" w:ascii="Arial" w:hAnsi="Arial" w:cs="Arial"/>
          <w:sz w:val="21"/>
          <w:szCs w:val="20"/>
          <w:highlight w:val="none"/>
          <w:lang w:val="en-US" w:eastAsia="zh-CN"/>
        </w:rPr>
        <w:t>×</w:t>
      </w:r>
      <w:r>
        <w:rPr>
          <w:rFonts w:hint="eastAsia"/>
          <w:sz w:val="21"/>
          <w:szCs w:val="20"/>
          <w:highlight w:val="none"/>
          <w:lang w:val="en-US" w:eastAsia="zh-CN"/>
        </w:rPr>
        <w:t>公里数计算服务费；如减少研究的线路，减少研究线路的服务费按报价一览表中的报价核减服务费。</w:t>
      </w:r>
    </w:p>
    <w:p>
      <w:pPr>
        <w:pStyle w:val="3"/>
        <w:tabs>
          <w:tab w:val="left" w:pos="1286"/>
        </w:tabs>
        <w:spacing w:before="7"/>
        <w:jc w:val="center"/>
        <w:rPr>
          <w:highlight w:val="none"/>
        </w:rPr>
      </w:pPr>
      <w:r>
        <w:rPr>
          <w:rFonts w:hint="eastAsia"/>
          <w:highlight w:val="none"/>
        </w:rPr>
        <w:t>第四章</w:t>
      </w:r>
      <w:r>
        <w:rPr>
          <w:rFonts w:hint="eastAsia"/>
          <w:highlight w:val="none"/>
        </w:rPr>
        <w:tab/>
      </w:r>
      <w:r>
        <w:rPr>
          <w:rFonts w:hint="eastAsia"/>
          <w:highlight w:val="none"/>
        </w:rPr>
        <w:t>投标人须知</w:t>
      </w:r>
    </w:p>
    <w:p>
      <w:pPr>
        <w:snapToGrid w:val="0"/>
        <w:spacing w:line="440" w:lineRule="exact"/>
        <w:ind w:firstLine="420" w:firstLineChars="200"/>
        <w:rPr>
          <w:bCs/>
          <w:sz w:val="21"/>
          <w:szCs w:val="21"/>
          <w:highlight w:val="none"/>
        </w:rPr>
      </w:pPr>
      <w:r>
        <w:rPr>
          <w:rFonts w:hint="eastAsia"/>
          <w:bCs/>
          <w:sz w:val="21"/>
          <w:szCs w:val="21"/>
          <w:highlight w:val="none"/>
        </w:rPr>
        <w:t>一、说明</w:t>
      </w:r>
    </w:p>
    <w:p>
      <w:pPr>
        <w:snapToGrid w:val="0"/>
        <w:spacing w:line="440" w:lineRule="exact"/>
        <w:ind w:firstLine="420" w:firstLineChars="200"/>
        <w:rPr>
          <w:bCs/>
          <w:sz w:val="21"/>
          <w:szCs w:val="21"/>
          <w:highlight w:val="none"/>
        </w:rPr>
      </w:pPr>
      <w:r>
        <w:rPr>
          <w:rFonts w:hint="eastAsia"/>
          <w:bCs/>
          <w:sz w:val="21"/>
          <w:szCs w:val="21"/>
          <w:highlight w:val="none"/>
        </w:rPr>
        <w:t>1、适用范围</w:t>
      </w:r>
    </w:p>
    <w:p>
      <w:pPr>
        <w:snapToGrid w:val="0"/>
        <w:spacing w:line="440" w:lineRule="exact"/>
        <w:ind w:firstLine="420" w:firstLineChars="200"/>
        <w:rPr>
          <w:bCs/>
          <w:sz w:val="21"/>
          <w:szCs w:val="21"/>
          <w:highlight w:val="none"/>
        </w:rPr>
      </w:pPr>
      <w:r>
        <w:rPr>
          <w:rFonts w:hint="eastAsia"/>
          <w:bCs/>
          <w:sz w:val="21"/>
          <w:szCs w:val="21"/>
          <w:highlight w:val="none"/>
        </w:rPr>
        <w:t>1.1 本采购文件仅适用于本次采购所叙述的服务采购项目。</w:t>
      </w:r>
    </w:p>
    <w:p>
      <w:pPr>
        <w:snapToGrid w:val="0"/>
        <w:spacing w:line="440" w:lineRule="exact"/>
        <w:ind w:firstLine="420" w:firstLineChars="200"/>
        <w:rPr>
          <w:bCs/>
          <w:sz w:val="21"/>
          <w:szCs w:val="21"/>
          <w:highlight w:val="none"/>
        </w:rPr>
      </w:pPr>
      <w:r>
        <w:rPr>
          <w:rFonts w:hint="eastAsia"/>
          <w:bCs/>
          <w:sz w:val="21"/>
          <w:szCs w:val="21"/>
          <w:highlight w:val="none"/>
        </w:rPr>
        <w:t>2、定义</w:t>
      </w:r>
    </w:p>
    <w:p>
      <w:pPr>
        <w:snapToGrid w:val="0"/>
        <w:spacing w:line="440" w:lineRule="exact"/>
        <w:ind w:firstLine="420" w:firstLineChars="200"/>
        <w:rPr>
          <w:bCs/>
          <w:sz w:val="21"/>
          <w:szCs w:val="21"/>
          <w:highlight w:val="none"/>
        </w:rPr>
      </w:pPr>
      <w:r>
        <w:rPr>
          <w:rFonts w:hint="eastAsia"/>
          <w:bCs/>
          <w:sz w:val="21"/>
          <w:szCs w:val="21"/>
          <w:highlight w:val="none"/>
        </w:rPr>
        <w:t>2.1“招标人”系指组织本次采购的浙江中信工程咨询有限公司；</w:t>
      </w:r>
    </w:p>
    <w:p>
      <w:pPr>
        <w:snapToGrid w:val="0"/>
        <w:spacing w:line="440" w:lineRule="exact"/>
        <w:ind w:firstLine="420" w:firstLineChars="200"/>
        <w:rPr>
          <w:bCs/>
          <w:sz w:val="21"/>
          <w:szCs w:val="21"/>
          <w:highlight w:val="none"/>
        </w:rPr>
      </w:pPr>
      <w:r>
        <w:rPr>
          <w:rFonts w:hint="eastAsia"/>
          <w:bCs/>
          <w:sz w:val="21"/>
          <w:szCs w:val="21"/>
          <w:highlight w:val="none"/>
        </w:rPr>
        <w:t>2.2“采购人”系指组织本次采购的兰溪市交通运输局；</w:t>
      </w:r>
    </w:p>
    <w:p>
      <w:pPr>
        <w:snapToGrid w:val="0"/>
        <w:spacing w:line="440" w:lineRule="exact"/>
        <w:ind w:firstLine="420" w:firstLineChars="200"/>
        <w:rPr>
          <w:bCs/>
          <w:sz w:val="21"/>
          <w:szCs w:val="21"/>
          <w:highlight w:val="none"/>
        </w:rPr>
      </w:pPr>
      <w:r>
        <w:rPr>
          <w:rFonts w:hint="eastAsia"/>
          <w:bCs/>
          <w:sz w:val="21"/>
          <w:szCs w:val="21"/>
          <w:highlight w:val="none"/>
        </w:rPr>
        <w:t>2.3“投标人”系指向招标人提交投标文件的服务供应商；</w:t>
      </w:r>
    </w:p>
    <w:p>
      <w:pPr>
        <w:snapToGrid w:val="0"/>
        <w:spacing w:line="440" w:lineRule="exact"/>
        <w:ind w:firstLine="422" w:firstLineChars="200"/>
        <w:rPr>
          <w:b/>
          <w:sz w:val="21"/>
          <w:szCs w:val="21"/>
          <w:highlight w:val="none"/>
        </w:rPr>
      </w:pPr>
      <w:r>
        <w:rPr>
          <w:rFonts w:hint="eastAsia"/>
          <w:b/>
          <w:sz w:val="21"/>
          <w:szCs w:val="21"/>
          <w:highlight w:val="none"/>
        </w:rPr>
        <w:t>2.</w:t>
      </w:r>
      <w:r>
        <w:rPr>
          <w:rFonts w:hint="eastAsia"/>
          <w:b/>
          <w:sz w:val="21"/>
          <w:szCs w:val="21"/>
          <w:highlight w:val="none"/>
          <w:lang w:val="en-US"/>
        </w:rPr>
        <w:t>4</w:t>
      </w:r>
      <w:r>
        <w:rPr>
          <w:rFonts w:hint="eastAsia"/>
          <w:b/>
          <w:sz w:val="21"/>
          <w:szCs w:val="21"/>
          <w:highlight w:val="none"/>
        </w:rPr>
        <w:t xml:space="preserve"> “服务”系指采购文件规定供方须承担的</w:t>
      </w:r>
      <w:r>
        <w:rPr>
          <w:rFonts w:hint="eastAsia"/>
          <w:b/>
          <w:sz w:val="21"/>
          <w:szCs w:val="21"/>
          <w:highlight w:val="none"/>
          <w:lang w:val="en-US"/>
        </w:rPr>
        <w:t>技术协助、培训、技术指导</w:t>
      </w:r>
      <w:r>
        <w:rPr>
          <w:rFonts w:hint="eastAsia"/>
          <w:b/>
          <w:sz w:val="21"/>
          <w:szCs w:val="21"/>
          <w:highlight w:val="none"/>
        </w:rPr>
        <w:t>及其它类似的服务；</w:t>
      </w:r>
    </w:p>
    <w:p>
      <w:pPr>
        <w:snapToGrid w:val="0"/>
        <w:spacing w:line="440" w:lineRule="exact"/>
        <w:ind w:firstLine="420" w:firstLineChars="200"/>
        <w:rPr>
          <w:bCs/>
          <w:sz w:val="21"/>
          <w:szCs w:val="21"/>
          <w:highlight w:val="none"/>
        </w:rPr>
      </w:pPr>
      <w:r>
        <w:rPr>
          <w:rFonts w:hint="eastAsia"/>
          <w:bCs/>
          <w:sz w:val="21"/>
          <w:szCs w:val="21"/>
          <w:highlight w:val="none"/>
        </w:rPr>
        <w:t>2.</w:t>
      </w:r>
      <w:r>
        <w:rPr>
          <w:rFonts w:hint="eastAsia"/>
          <w:bCs/>
          <w:sz w:val="21"/>
          <w:szCs w:val="21"/>
          <w:highlight w:val="none"/>
          <w:lang w:val="en-US"/>
        </w:rPr>
        <w:t>5</w:t>
      </w:r>
      <w:r>
        <w:rPr>
          <w:rFonts w:hint="eastAsia"/>
          <w:bCs/>
          <w:sz w:val="21"/>
          <w:szCs w:val="21"/>
          <w:highlight w:val="none"/>
        </w:rPr>
        <w:t xml:space="preserve"> “★”标记且加黑的文字系指必须满足不能负偏离或必须应答的条款。</w:t>
      </w:r>
    </w:p>
    <w:p>
      <w:pPr>
        <w:pStyle w:val="13"/>
        <w:spacing w:line="440" w:lineRule="exact"/>
        <w:ind w:right="-308" w:rightChars="-140" w:firstLine="207" w:firstLineChars="98"/>
        <w:outlineLvl w:val="1"/>
        <w:rPr>
          <w:b/>
          <w:highlight w:val="none"/>
        </w:rPr>
      </w:pPr>
      <w:r>
        <w:rPr>
          <w:rFonts w:hint="eastAsia"/>
          <w:b/>
          <w:highlight w:val="none"/>
        </w:rPr>
        <w:t>★3、合格的投标人</w:t>
      </w:r>
    </w:p>
    <w:p>
      <w:pPr>
        <w:snapToGrid w:val="0"/>
        <w:spacing w:line="440" w:lineRule="exact"/>
        <w:ind w:firstLine="420" w:firstLineChars="200"/>
        <w:rPr>
          <w:bCs/>
          <w:sz w:val="21"/>
          <w:szCs w:val="21"/>
          <w:highlight w:val="none"/>
        </w:rPr>
      </w:pPr>
      <w:r>
        <w:rPr>
          <w:rFonts w:hint="eastAsia"/>
          <w:bCs/>
          <w:sz w:val="21"/>
          <w:szCs w:val="21"/>
          <w:highlight w:val="none"/>
          <w:lang w:val="en-US" w:eastAsia="zh-CN"/>
        </w:rPr>
        <w:t>3.</w:t>
      </w:r>
      <w:r>
        <w:rPr>
          <w:rFonts w:hint="eastAsia"/>
          <w:bCs/>
          <w:sz w:val="21"/>
          <w:szCs w:val="21"/>
          <w:highlight w:val="none"/>
        </w:rPr>
        <w:t>1、符合《政府采购法》第二十二条规定的投标人资格条件和浙财采监【2013】24号《关于规范政府采购供应商资格设定及资格审查的通知》第六条规定；</w:t>
      </w:r>
    </w:p>
    <w:p>
      <w:pPr>
        <w:snapToGrid w:val="0"/>
        <w:spacing w:line="440" w:lineRule="exact"/>
        <w:ind w:firstLine="420" w:firstLineChars="200"/>
        <w:rPr>
          <w:bCs/>
          <w:sz w:val="21"/>
          <w:szCs w:val="21"/>
          <w:highlight w:val="none"/>
        </w:rPr>
      </w:pPr>
      <w:r>
        <w:rPr>
          <w:rFonts w:hint="eastAsia"/>
          <w:bCs/>
          <w:color w:val="auto"/>
          <w:sz w:val="21"/>
          <w:szCs w:val="21"/>
          <w:highlight w:val="none"/>
          <w:lang w:val="en-US" w:eastAsia="zh-CN"/>
        </w:rPr>
        <w:t>3.</w:t>
      </w:r>
      <w:r>
        <w:rPr>
          <w:rFonts w:hint="eastAsia"/>
          <w:bCs/>
          <w:color w:val="auto"/>
          <w:sz w:val="21"/>
          <w:szCs w:val="21"/>
          <w:highlight w:val="none"/>
        </w:rPr>
        <w:t>2、凡国内具有独立法人资格</w:t>
      </w:r>
      <w:r>
        <w:rPr>
          <w:rFonts w:hint="eastAsia"/>
          <w:bCs/>
          <w:color w:val="auto"/>
          <w:sz w:val="21"/>
          <w:szCs w:val="21"/>
          <w:highlight w:val="none"/>
          <w:lang w:val="en-US" w:eastAsia="zh-CN"/>
        </w:rPr>
        <w:t>且</w:t>
      </w:r>
      <w:r>
        <w:rPr>
          <w:rFonts w:hint="eastAsia"/>
          <w:bCs/>
          <w:color w:val="auto"/>
          <w:sz w:val="21"/>
          <w:szCs w:val="21"/>
          <w:highlight w:val="none"/>
        </w:rPr>
        <w:t>通过全国投资项目在线审批监管平台备案的咨询企业（备案专业公路）均可参加本项目的投标；</w:t>
      </w:r>
      <w:r>
        <w:rPr>
          <w:bCs/>
          <w:color w:val="auto"/>
          <w:sz w:val="21"/>
          <w:szCs w:val="21"/>
          <w:highlight w:val="none"/>
        </w:rPr>
        <w:t xml:space="preserve"> </w:t>
      </w:r>
    </w:p>
    <w:p>
      <w:pPr>
        <w:snapToGrid w:val="0"/>
        <w:spacing w:line="440" w:lineRule="exact"/>
        <w:ind w:firstLine="420" w:firstLineChars="200"/>
        <w:rPr>
          <w:bCs/>
          <w:sz w:val="21"/>
          <w:szCs w:val="21"/>
          <w:highlight w:val="none"/>
        </w:rPr>
      </w:pPr>
      <w:r>
        <w:rPr>
          <w:rFonts w:hint="eastAsia"/>
          <w:bCs/>
          <w:sz w:val="21"/>
          <w:szCs w:val="21"/>
          <w:highlight w:val="none"/>
          <w:lang w:val="en-US" w:eastAsia="zh-CN"/>
        </w:rPr>
        <w:t>3.</w:t>
      </w:r>
      <w:r>
        <w:rPr>
          <w:rFonts w:hint="eastAsia"/>
          <w:bCs/>
          <w:sz w:val="21"/>
          <w:szCs w:val="21"/>
          <w:highlight w:val="none"/>
          <w:lang w:val="en-US"/>
        </w:rPr>
        <w:t>3、</w:t>
      </w:r>
      <w:r>
        <w:rPr>
          <w:rFonts w:hint="eastAsia"/>
          <w:bCs/>
          <w:sz w:val="21"/>
          <w:szCs w:val="21"/>
          <w:highlight w:val="none"/>
        </w:rPr>
        <w:t>未被“信用中国”（www.creditchina.gov.cn）、中国政府采购网（www.ccgp.gov.cn）列入失信被执行人、重大税收违法案件当事人名单、政府采购严重违法失信行为记录名单；</w:t>
      </w:r>
    </w:p>
    <w:p>
      <w:pPr>
        <w:snapToGrid w:val="0"/>
        <w:spacing w:line="440" w:lineRule="exact"/>
        <w:ind w:firstLine="420" w:firstLineChars="200"/>
        <w:rPr>
          <w:highlight w:val="none"/>
          <w:lang w:val="en-US"/>
        </w:rPr>
      </w:pPr>
      <w:r>
        <w:rPr>
          <w:rFonts w:hint="eastAsia"/>
          <w:bCs/>
          <w:sz w:val="21"/>
          <w:szCs w:val="21"/>
          <w:highlight w:val="none"/>
          <w:lang w:val="en-US" w:eastAsia="zh-CN"/>
        </w:rPr>
        <w:t>3.</w:t>
      </w:r>
      <w:r>
        <w:rPr>
          <w:rFonts w:hint="eastAsia"/>
          <w:bCs/>
          <w:sz w:val="21"/>
          <w:szCs w:val="21"/>
          <w:highlight w:val="none"/>
          <w:lang w:val="en-US"/>
        </w:rPr>
        <w:t>4、</w:t>
      </w:r>
      <w:r>
        <w:rPr>
          <w:rFonts w:hint="eastAsia"/>
          <w:bCs/>
          <w:sz w:val="21"/>
          <w:szCs w:val="21"/>
          <w:highlight w:val="none"/>
        </w:rPr>
        <w:t>本项目不接受联合体投标。</w:t>
      </w:r>
    </w:p>
    <w:p>
      <w:pPr>
        <w:snapToGrid w:val="0"/>
        <w:spacing w:line="440" w:lineRule="exact"/>
        <w:ind w:firstLine="211" w:firstLineChars="100"/>
        <w:rPr>
          <w:bCs/>
          <w:sz w:val="21"/>
          <w:szCs w:val="21"/>
          <w:highlight w:val="none"/>
        </w:rPr>
      </w:pPr>
      <w:r>
        <w:rPr>
          <w:rFonts w:hint="eastAsia"/>
          <w:b/>
          <w:bCs/>
          <w:sz w:val="21"/>
          <w:szCs w:val="21"/>
          <w:highlight w:val="none"/>
        </w:rPr>
        <w:t>4、投标费用</w:t>
      </w:r>
    </w:p>
    <w:p>
      <w:pPr>
        <w:pStyle w:val="13"/>
        <w:spacing w:line="440" w:lineRule="exact"/>
        <w:ind w:left="-139" w:leftChars="-63" w:right="-306" w:rightChars="-139" w:firstLine="411" w:firstLineChars="195"/>
        <w:outlineLvl w:val="1"/>
        <w:rPr>
          <w:b/>
          <w:bCs/>
          <w:highlight w:val="none"/>
        </w:rPr>
      </w:pPr>
      <w:r>
        <w:rPr>
          <w:rFonts w:hint="eastAsia"/>
          <w:b/>
          <w:bCs/>
          <w:highlight w:val="none"/>
        </w:rPr>
        <w:t>4.1不论投标过程中的做法和结果如何，投标人应自行承担所有与投标有关的全部费用。招标人在任何情况下均无义务和责任承担上述这些费用。</w:t>
      </w:r>
    </w:p>
    <w:p>
      <w:pPr>
        <w:pStyle w:val="20"/>
        <w:spacing w:before="0" w:line="440" w:lineRule="exact"/>
        <w:ind w:left="0" w:firstLine="211" w:firstLineChars="100"/>
        <w:outlineLvl w:val="1"/>
        <w:rPr>
          <w:sz w:val="21"/>
          <w:szCs w:val="21"/>
          <w:highlight w:val="none"/>
        </w:rPr>
      </w:pPr>
      <w:r>
        <w:rPr>
          <w:rFonts w:hint="eastAsia"/>
          <w:sz w:val="21"/>
          <w:szCs w:val="21"/>
          <w:highlight w:val="none"/>
        </w:rPr>
        <w:t>二、采购文件细则</w:t>
      </w:r>
    </w:p>
    <w:p>
      <w:pPr>
        <w:pStyle w:val="20"/>
        <w:spacing w:before="0" w:line="440" w:lineRule="exact"/>
        <w:ind w:left="0" w:firstLine="211" w:firstLineChars="100"/>
        <w:outlineLvl w:val="1"/>
        <w:rPr>
          <w:sz w:val="21"/>
          <w:szCs w:val="21"/>
          <w:highlight w:val="none"/>
        </w:rPr>
      </w:pPr>
      <w:r>
        <w:rPr>
          <w:rFonts w:hint="eastAsia"/>
          <w:sz w:val="21"/>
          <w:szCs w:val="21"/>
          <w:highlight w:val="none"/>
        </w:rPr>
        <w:t>5、采购文件的组成</w:t>
      </w:r>
    </w:p>
    <w:p>
      <w:pPr>
        <w:pStyle w:val="20"/>
        <w:spacing w:before="0" w:line="440" w:lineRule="exact"/>
        <w:ind w:left="0"/>
        <w:outlineLvl w:val="1"/>
        <w:rPr>
          <w:sz w:val="21"/>
          <w:szCs w:val="21"/>
          <w:highlight w:val="none"/>
        </w:rPr>
      </w:pPr>
      <w:r>
        <w:rPr>
          <w:rFonts w:hint="eastAsia"/>
          <w:sz w:val="21"/>
          <w:szCs w:val="21"/>
          <w:highlight w:val="none"/>
        </w:rPr>
        <w:t>5.1采购文件除本《采购文件》内容外，招标人在采购期间发出的质疑回答、补遗文件和其它正式有效函件，均构成采购文件的组成部分。</w:t>
      </w:r>
    </w:p>
    <w:p>
      <w:pPr>
        <w:spacing w:line="440" w:lineRule="exact"/>
        <w:ind w:left="-139" w:leftChars="-63" w:right="-306" w:rightChars="-139" w:firstLine="420" w:firstLineChars="200"/>
        <w:outlineLvl w:val="1"/>
        <w:rPr>
          <w:b/>
          <w:bCs/>
          <w:sz w:val="21"/>
          <w:szCs w:val="21"/>
          <w:highlight w:val="none"/>
        </w:rPr>
      </w:pPr>
      <w:r>
        <w:rPr>
          <w:rFonts w:hint="eastAsia"/>
          <w:sz w:val="21"/>
          <w:szCs w:val="21"/>
          <w:highlight w:val="none"/>
        </w:rPr>
        <w:t>5.2 投标人应认真对照阅读采购文件中所有的事项、格式、条款和技术规范等。投标人没有按照采购文件要求提交全部资料，或者投标人没有对采购文件在各方面都做出实质性响应是投标人的风险，并可能导致其投标被拒绝。</w:t>
      </w:r>
    </w:p>
    <w:p>
      <w:pPr>
        <w:spacing w:line="440" w:lineRule="exact"/>
        <w:ind w:firstLine="207" w:firstLineChars="98"/>
        <w:outlineLvl w:val="1"/>
        <w:rPr>
          <w:b/>
          <w:bCs/>
          <w:sz w:val="21"/>
          <w:szCs w:val="21"/>
          <w:highlight w:val="none"/>
        </w:rPr>
      </w:pPr>
      <w:r>
        <w:rPr>
          <w:rFonts w:hint="eastAsia"/>
          <w:b/>
          <w:bCs/>
          <w:sz w:val="21"/>
          <w:szCs w:val="21"/>
          <w:highlight w:val="none"/>
        </w:rPr>
        <w:t>6、采购文件的解释</w:t>
      </w:r>
    </w:p>
    <w:p>
      <w:pPr>
        <w:spacing w:line="440" w:lineRule="exact"/>
        <w:ind w:firstLine="210" w:firstLineChars="100"/>
        <w:outlineLvl w:val="1"/>
        <w:rPr>
          <w:sz w:val="21"/>
          <w:szCs w:val="21"/>
          <w:highlight w:val="none"/>
        </w:rPr>
      </w:pPr>
      <w:r>
        <w:rPr>
          <w:rFonts w:hint="eastAsia"/>
          <w:sz w:val="21"/>
          <w:szCs w:val="21"/>
          <w:highlight w:val="none"/>
        </w:rPr>
        <w:t>规定的时间前，以书面形式一次性提出，要求采购人和招标人作出书面解释、澄清。招标人将于规定时间前将答疑内容以网上发布公告的形式通知所有已报名的投标人；答疑内容是采购文件的组成部分。</w:t>
      </w:r>
    </w:p>
    <w:p>
      <w:pPr>
        <w:widowControl/>
        <w:spacing w:line="440" w:lineRule="exact"/>
        <w:ind w:firstLine="420" w:firstLineChars="200"/>
        <w:rPr>
          <w:rFonts w:hint="default" w:eastAsia="宋体"/>
          <w:sz w:val="21"/>
          <w:szCs w:val="21"/>
          <w:highlight w:val="none"/>
          <w:lang w:val="en-US" w:eastAsia="zh-CN"/>
        </w:rPr>
      </w:pPr>
      <w:r>
        <w:rPr>
          <w:rFonts w:hint="eastAsia"/>
          <w:sz w:val="21"/>
          <w:szCs w:val="21"/>
          <w:highlight w:val="none"/>
        </w:rPr>
        <w:t>采购单位联系人：</w:t>
      </w:r>
      <w:r>
        <w:rPr>
          <w:rFonts w:hint="eastAsia"/>
          <w:sz w:val="21"/>
          <w:szCs w:val="21"/>
          <w:highlight w:val="none"/>
          <w:lang w:val="en-US" w:eastAsia="zh-CN"/>
        </w:rPr>
        <w:t xml:space="preserve">柳先生   </w:t>
      </w:r>
      <w:r>
        <w:rPr>
          <w:rFonts w:hint="eastAsia"/>
          <w:sz w:val="21"/>
          <w:szCs w:val="21"/>
          <w:highlight w:val="none"/>
        </w:rPr>
        <w:t>联系电话：</w:t>
      </w:r>
      <w:r>
        <w:rPr>
          <w:rFonts w:hint="eastAsia"/>
          <w:sz w:val="21"/>
          <w:szCs w:val="21"/>
          <w:highlight w:val="none"/>
          <w:lang w:val="en-US" w:eastAsia="zh-CN"/>
        </w:rPr>
        <w:t>15258932138</w:t>
      </w:r>
    </w:p>
    <w:p>
      <w:pPr>
        <w:widowControl/>
        <w:spacing w:line="440" w:lineRule="exact"/>
        <w:ind w:firstLine="420" w:firstLineChars="200"/>
        <w:rPr>
          <w:sz w:val="21"/>
          <w:szCs w:val="21"/>
          <w:highlight w:val="none"/>
          <w:lang w:val="en-US"/>
        </w:rPr>
      </w:pPr>
      <w:r>
        <w:rPr>
          <w:rFonts w:hint="eastAsia"/>
          <w:sz w:val="21"/>
          <w:szCs w:val="21"/>
          <w:highlight w:val="none"/>
        </w:rPr>
        <w:t>招标联系人</w:t>
      </w:r>
      <w:r>
        <w:rPr>
          <w:rFonts w:hint="eastAsia"/>
          <w:b/>
          <w:sz w:val="21"/>
          <w:szCs w:val="21"/>
          <w:highlight w:val="none"/>
        </w:rPr>
        <w:t>：</w:t>
      </w:r>
      <w:r>
        <w:rPr>
          <w:rFonts w:hint="eastAsia"/>
          <w:sz w:val="21"/>
          <w:szCs w:val="21"/>
          <w:highlight w:val="none"/>
        </w:rPr>
        <w:t xml:space="preserve">徐女士 </w:t>
      </w:r>
      <w:r>
        <w:rPr>
          <w:rFonts w:hint="eastAsia"/>
          <w:sz w:val="21"/>
          <w:szCs w:val="21"/>
          <w:highlight w:val="none"/>
          <w:lang w:val="en-US" w:eastAsia="zh-CN"/>
        </w:rPr>
        <w:t xml:space="preserve">      </w:t>
      </w:r>
      <w:r>
        <w:rPr>
          <w:rFonts w:hint="eastAsia"/>
          <w:sz w:val="21"/>
          <w:szCs w:val="21"/>
          <w:highlight w:val="none"/>
        </w:rPr>
        <w:t>联系电话：</w:t>
      </w:r>
      <w:r>
        <w:rPr>
          <w:rFonts w:hint="eastAsia"/>
          <w:sz w:val="21"/>
          <w:szCs w:val="21"/>
          <w:highlight w:val="none"/>
          <w:lang w:val="en-US"/>
        </w:rPr>
        <w:t>15727927561</w:t>
      </w:r>
    </w:p>
    <w:p>
      <w:pPr>
        <w:spacing w:line="440" w:lineRule="exact"/>
        <w:ind w:firstLine="310" w:firstLineChars="147"/>
        <w:outlineLvl w:val="1"/>
        <w:rPr>
          <w:b/>
          <w:bCs/>
          <w:sz w:val="21"/>
          <w:szCs w:val="21"/>
          <w:highlight w:val="none"/>
        </w:rPr>
      </w:pPr>
      <w:r>
        <w:rPr>
          <w:rFonts w:hint="eastAsia"/>
          <w:b/>
          <w:bCs/>
          <w:sz w:val="21"/>
          <w:szCs w:val="21"/>
          <w:highlight w:val="none"/>
        </w:rPr>
        <w:t>7、采购文件的修改</w:t>
      </w:r>
    </w:p>
    <w:p>
      <w:pPr>
        <w:spacing w:line="440" w:lineRule="exact"/>
        <w:ind w:firstLine="315" w:firstLineChars="150"/>
        <w:outlineLvl w:val="1"/>
        <w:rPr>
          <w:sz w:val="21"/>
          <w:szCs w:val="21"/>
          <w:highlight w:val="none"/>
        </w:rPr>
      </w:pPr>
      <w:r>
        <w:rPr>
          <w:rFonts w:hint="eastAsia"/>
          <w:sz w:val="21"/>
          <w:szCs w:val="21"/>
          <w:highlight w:val="none"/>
        </w:rPr>
        <w:t>7.1在采购文件递交截止时间前，招标人有权修改采购文件。招标人可主动地或在解答投标人提出的澄清问题时对采购文件进行修改。</w:t>
      </w:r>
    </w:p>
    <w:p>
      <w:pPr>
        <w:spacing w:line="440" w:lineRule="exact"/>
        <w:ind w:firstLine="315" w:firstLineChars="150"/>
        <w:outlineLvl w:val="1"/>
        <w:rPr>
          <w:sz w:val="21"/>
          <w:szCs w:val="21"/>
          <w:highlight w:val="none"/>
        </w:rPr>
      </w:pPr>
      <w:r>
        <w:rPr>
          <w:rFonts w:hint="eastAsia"/>
          <w:sz w:val="21"/>
          <w:szCs w:val="21"/>
          <w:highlight w:val="none"/>
        </w:rPr>
        <w:t>7.2采购文件的修改将以书面形式通知所有获取采购文件的投标人，并对其具有约束力。投标人在收到上述通知后，应立即向招标人回函确认。</w:t>
      </w:r>
    </w:p>
    <w:p>
      <w:pPr>
        <w:spacing w:line="440" w:lineRule="exact"/>
        <w:ind w:firstLine="315" w:firstLineChars="150"/>
        <w:outlineLvl w:val="1"/>
        <w:rPr>
          <w:sz w:val="21"/>
          <w:szCs w:val="21"/>
          <w:highlight w:val="none"/>
        </w:rPr>
      </w:pPr>
      <w:r>
        <w:rPr>
          <w:rFonts w:hint="eastAsia"/>
          <w:sz w:val="21"/>
          <w:szCs w:val="21"/>
          <w:highlight w:val="none"/>
        </w:rPr>
        <w:t>7.3为使投标人准备投标时有充分时间对采购文件的修改部分进行研究，招标人可在投标截止前递交截止前通知投标人，适当延长投标文件递交截止期。</w:t>
      </w:r>
    </w:p>
    <w:p>
      <w:pPr>
        <w:spacing w:line="440" w:lineRule="exact"/>
        <w:ind w:firstLine="420" w:firstLineChars="200"/>
        <w:rPr>
          <w:sz w:val="21"/>
          <w:szCs w:val="21"/>
          <w:highlight w:val="none"/>
        </w:rPr>
      </w:pPr>
      <w:r>
        <w:rPr>
          <w:rFonts w:hint="eastAsia"/>
          <w:sz w:val="21"/>
          <w:szCs w:val="21"/>
          <w:highlight w:val="none"/>
        </w:rPr>
        <w:t>7.4采购文件的澄清、答疑、修改、补充文件是采购文件的组成部分，投标人须按照采购文件的澄清、答疑、修改、补充文件的要求参与投标，投标人没有做出实质性响应是投标人的风险，并可能导致其投标被拒绝。</w:t>
      </w:r>
    </w:p>
    <w:p>
      <w:pPr>
        <w:pStyle w:val="20"/>
        <w:spacing w:before="0" w:line="440" w:lineRule="exact"/>
        <w:ind w:left="0" w:firstLine="316" w:firstLineChars="150"/>
        <w:outlineLvl w:val="1"/>
        <w:rPr>
          <w:sz w:val="21"/>
          <w:szCs w:val="21"/>
          <w:highlight w:val="none"/>
        </w:rPr>
      </w:pPr>
      <w:r>
        <w:rPr>
          <w:rFonts w:hint="eastAsia"/>
          <w:sz w:val="21"/>
          <w:szCs w:val="21"/>
          <w:highlight w:val="none"/>
        </w:rPr>
        <w:t>三、投标文件</w:t>
      </w:r>
    </w:p>
    <w:p>
      <w:pPr>
        <w:spacing w:line="440" w:lineRule="exact"/>
        <w:ind w:firstLine="310" w:firstLineChars="147"/>
        <w:textAlignment w:val="bottom"/>
        <w:outlineLvl w:val="1"/>
        <w:rPr>
          <w:sz w:val="21"/>
          <w:szCs w:val="21"/>
          <w:highlight w:val="none"/>
        </w:rPr>
      </w:pPr>
      <w:r>
        <w:rPr>
          <w:rFonts w:hint="eastAsia"/>
          <w:b/>
          <w:bCs/>
          <w:sz w:val="21"/>
          <w:szCs w:val="21"/>
          <w:highlight w:val="none"/>
          <w:lang w:val="en-US"/>
        </w:rPr>
        <w:t>8</w:t>
      </w:r>
      <w:r>
        <w:rPr>
          <w:rFonts w:hint="eastAsia"/>
          <w:b/>
          <w:bCs/>
          <w:sz w:val="21"/>
          <w:szCs w:val="21"/>
          <w:highlight w:val="none"/>
        </w:rPr>
        <w:t>、投标文件的语言、计量及货币</w:t>
      </w:r>
    </w:p>
    <w:p>
      <w:pPr>
        <w:spacing w:line="440" w:lineRule="exact"/>
        <w:ind w:firstLine="315" w:firstLineChars="150"/>
        <w:textAlignment w:val="bottom"/>
        <w:outlineLvl w:val="1"/>
        <w:rPr>
          <w:spacing w:val="-6"/>
          <w:sz w:val="21"/>
          <w:szCs w:val="21"/>
          <w:highlight w:val="none"/>
        </w:rPr>
      </w:pPr>
      <w:r>
        <w:rPr>
          <w:rFonts w:hint="eastAsia"/>
          <w:sz w:val="21"/>
          <w:szCs w:val="21"/>
          <w:highlight w:val="none"/>
          <w:lang w:val="en-US"/>
        </w:rPr>
        <w:t>8</w:t>
      </w:r>
      <w:r>
        <w:rPr>
          <w:rFonts w:hint="eastAsia"/>
          <w:sz w:val="21"/>
          <w:szCs w:val="21"/>
          <w:highlight w:val="none"/>
        </w:rPr>
        <w:t>.1投标及投标人与采购有关的来往通知、函件和文件均应使用中文</w:t>
      </w:r>
      <w:r>
        <w:rPr>
          <w:rFonts w:hint="eastAsia"/>
          <w:spacing w:val="-6"/>
          <w:sz w:val="21"/>
          <w:szCs w:val="21"/>
          <w:highlight w:val="none"/>
        </w:rPr>
        <w:t>编写。</w:t>
      </w:r>
    </w:p>
    <w:p>
      <w:pPr>
        <w:spacing w:line="440" w:lineRule="exact"/>
        <w:ind w:firstLine="315" w:firstLineChars="150"/>
        <w:textAlignment w:val="bottom"/>
        <w:outlineLvl w:val="1"/>
        <w:rPr>
          <w:sz w:val="21"/>
          <w:szCs w:val="21"/>
          <w:highlight w:val="none"/>
        </w:rPr>
      </w:pPr>
      <w:r>
        <w:rPr>
          <w:rFonts w:hint="eastAsia"/>
          <w:sz w:val="21"/>
          <w:szCs w:val="21"/>
          <w:highlight w:val="none"/>
          <w:lang w:val="en-US"/>
        </w:rPr>
        <w:t>8</w:t>
      </w:r>
      <w:r>
        <w:rPr>
          <w:rFonts w:hint="eastAsia"/>
          <w:sz w:val="21"/>
          <w:szCs w:val="21"/>
          <w:highlight w:val="none"/>
        </w:rPr>
        <w:t>.2除在技术规格中另有规定外，计量单位应使用法定计量单位。</w:t>
      </w:r>
    </w:p>
    <w:p>
      <w:pPr>
        <w:spacing w:line="440" w:lineRule="exact"/>
        <w:ind w:firstLine="315" w:firstLineChars="150"/>
        <w:outlineLvl w:val="1"/>
        <w:rPr>
          <w:sz w:val="21"/>
          <w:szCs w:val="21"/>
          <w:highlight w:val="none"/>
        </w:rPr>
      </w:pPr>
      <w:r>
        <w:rPr>
          <w:rFonts w:hint="eastAsia"/>
          <w:sz w:val="21"/>
          <w:szCs w:val="21"/>
          <w:highlight w:val="none"/>
          <w:lang w:val="en-US"/>
        </w:rPr>
        <w:t>8</w:t>
      </w:r>
      <w:r>
        <w:rPr>
          <w:rFonts w:hint="eastAsia"/>
          <w:sz w:val="21"/>
          <w:szCs w:val="21"/>
          <w:highlight w:val="none"/>
        </w:rPr>
        <w:t>.3投标报价货币为人民币，单位为元。</w:t>
      </w:r>
    </w:p>
    <w:p>
      <w:pPr>
        <w:spacing w:line="440" w:lineRule="exact"/>
        <w:ind w:firstLine="310" w:firstLineChars="147"/>
        <w:outlineLvl w:val="1"/>
        <w:rPr>
          <w:b/>
          <w:bCs/>
          <w:sz w:val="21"/>
          <w:szCs w:val="21"/>
          <w:highlight w:val="none"/>
        </w:rPr>
      </w:pPr>
      <w:r>
        <w:rPr>
          <w:rFonts w:hint="eastAsia"/>
          <w:b/>
          <w:bCs/>
          <w:sz w:val="21"/>
          <w:szCs w:val="21"/>
          <w:highlight w:val="none"/>
          <w:lang w:val="en-US"/>
        </w:rPr>
        <w:t>9</w:t>
      </w:r>
      <w:r>
        <w:rPr>
          <w:rFonts w:hint="eastAsia"/>
          <w:b/>
          <w:bCs/>
          <w:sz w:val="21"/>
          <w:szCs w:val="21"/>
          <w:highlight w:val="none"/>
        </w:rPr>
        <w:t>、对投标文件的要求</w:t>
      </w:r>
    </w:p>
    <w:p>
      <w:pPr>
        <w:spacing w:line="440" w:lineRule="exact"/>
        <w:ind w:firstLine="315" w:firstLineChars="150"/>
        <w:outlineLvl w:val="1"/>
        <w:rPr>
          <w:sz w:val="21"/>
          <w:szCs w:val="21"/>
          <w:highlight w:val="none"/>
        </w:rPr>
      </w:pPr>
      <w:r>
        <w:rPr>
          <w:rFonts w:hint="eastAsia"/>
          <w:sz w:val="21"/>
          <w:szCs w:val="21"/>
          <w:highlight w:val="none"/>
          <w:lang w:val="en-US"/>
        </w:rPr>
        <w:t>9</w:t>
      </w:r>
      <w:r>
        <w:rPr>
          <w:rFonts w:hint="eastAsia"/>
          <w:sz w:val="21"/>
          <w:szCs w:val="21"/>
          <w:highlight w:val="none"/>
        </w:rPr>
        <w:t>.1投标人应仔细阅读采购文件的所有内容，按采购文件的要求提供电子投标文件，并保证所提供的全部资料的真实性，以使其投标对采购文件做出实质性响应，否则，其投标可能被拒绝。</w:t>
      </w:r>
    </w:p>
    <w:p>
      <w:pPr>
        <w:spacing w:line="440" w:lineRule="exact"/>
        <w:ind w:firstLine="310" w:firstLineChars="147"/>
        <w:outlineLvl w:val="1"/>
        <w:rPr>
          <w:b/>
          <w:sz w:val="21"/>
          <w:szCs w:val="21"/>
          <w:highlight w:val="none"/>
          <w:u w:val="single"/>
        </w:rPr>
      </w:pPr>
      <w:r>
        <w:rPr>
          <w:rFonts w:hint="eastAsia"/>
          <w:b/>
          <w:sz w:val="21"/>
          <w:szCs w:val="21"/>
          <w:highlight w:val="none"/>
          <w:u w:val="single"/>
          <w:lang w:val="en-US"/>
        </w:rPr>
        <w:t>9</w:t>
      </w:r>
      <w:r>
        <w:rPr>
          <w:rFonts w:hint="eastAsia"/>
          <w:b/>
          <w:sz w:val="21"/>
          <w:szCs w:val="21"/>
          <w:highlight w:val="none"/>
          <w:u w:val="single"/>
        </w:rPr>
        <w:t>.2在采购文件对服务技术要求中，投标人必须充分应答应满足采购人的强制性的需求，如“★”等，否则将导致废标。</w:t>
      </w:r>
    </w:p>
    <w:p>
      <w:pPr>
        <w:spacing w:line="440" w:lineRule="exact"/>
        <w:ind w:firstLine="315" w:firstLineChars="150"/>
        <w:outlineLvl w:val="1"/>
        <w:rPr>
          <w:sz w:val="21"/>
          <w:szCs w:val="21"/>
          <w:highlight w:val="none"/>
        </w:rPr>
      </w:pPr>
      <w:r>
        <w:rPr>
          <w:rFonts w:hint="eastAsia"/>
          <w:sz w:val="21"/>
          <w:szCs w:val="21"/>
          <w:highlight w:val="none"/>
          <w:lang w:val="en-US"/>
        </w:rPr>
        <w:t>9</w:t>
      </w:r>
      <w:r>
        <w:rPr>
          <w:rFonts w:hint="eastAsia"/>
          <w:sz w:val="21"/>
          <w:szCs w:val="21"/>
          <w:highlight w:val="none"/>
        </w:rPr>
        <w:t>.3投标人须对所参投的服务的专利等知识产权负责，因知识产权问题引起的纠纷由投标人自行承担，采购人不承担因此产生的任何责任。</w:t>
      </w:r>
    </w:p>
    <w:p>
      <w:pPr>
        <w:widowControl/>
        <w:spacing w:line="440" w:lineRule="exact"/>
        <w:ind w:firstLine="422" w:firstLineChars="200"/>
        <w:rPr>
          <w:b/>
          <w:bCs/>
          <w:sz w:val="21"/>
          <w:szCs w:val="21"/>
          <w:highlight w:val="none"/>
        </w:rPr>
      </w:pPr>
      <w:r>
        <w:rPr>
          <w:rFonts w:hint="eastAsia"/>
          <w:b/>
          <w:bCs/>
          <w:sz w:val="21"/>
          <w:szCs w:val="21"/>
          <w:highlight w:val="none"/>
        </w:rPr>
        <w:t>1</w:t>
      </w:r>
      <w:r>
        <w:rPr>
          <w:rFonts w:hint="eastAsia"/>
          <w:b/>
          <w:bCs/>
          <w:sz w:val="21"/>
          <w:szCs w:val="21"/>
          <w:highlight w:val="none"/>
          <w:lang w:val="en-US"/>
        </w:rPr>
        <w:t>0</w:t>
      </w:r>
      <w:r>
        <w:rPr>
          <w:rFonts w:hint="eastAsia"/>
          <w:b/>
          <w:bCs/>
          <w:sz w:val="21"/>
          <w:szCs w:val="21"/>
          <w:highlight w:val="none"/>
        </w:rPr>
        <w:t>、投标文件的组成</w:t>
      </w:r>
    </w:p>
    <w:p>
      <w:pPr>
        <w:widowControl/>
        <w:spacing w:line="440" w:lineRule="exact"/>
        <w:ind w:firstLine="420" w:firstLineChars="200"/>
        <w:rPr>
          <w:b/>
          <w:bCs/>
          <w:sz w:val="21"/>
          <w:szCs w:val="21"/>
          <w:highlight w:val="none"/>
        </w:rPr>
      </w:pPr>
      <w:r>
        <w:rPr>
          <w:rFonts w:hint="eastAsia"/>
          <w:sz w:val="21"/>
          <w:szCs w:val="21"/>
          <w:highlight w:val="none"/>
        </w:rPr>
        <w:t>1</w:t>
      </w:r>
      <w:r>
        <w:rPr>
          <w:rFonts w:hint="eastAsia"/>
          <w:sz w:val="21"/>
          <w:szCs w:val="21"/>
          <w:highlight w:val="none"/>
          <w:lang w:val="en-US"/>
        </w:rPr>
        <w:t>0</w:t>
      </w:r>
      <w:r>
        <w:rPr>
          <w:rFonts w:hint="eastAsia"/>
          <w:sz w:val="21"/>
          <w:szCs w:val="21"/>
          <w:highlight w:val="none"/>
        </w:rPr>
        <w:t>.1 投标文件由资格证明文件、</w:t>
      </w:r>
      <w:r>
        <w:rPr>
          <w:rFonts w:hint="eastAsia"/>
          <w:sz w:val="21"/>
          <w:szCs w:val="21"/>
          <w:highlight w:val="none"/>
          <w:lang w:eastAsia="zh-CN"/>
        </w:rPr>
        <w:t>技术资信标</w:t>
      </w:r>
      <w:r>
        <w:rPr>
          <w:rFonts w:hint="eastAsia"/>
          <w:sz w:val="21"/>
          <w:szCs w:val="21"/>
          <w:highlight w:val="none"/>
        </w:rPr>
        <w:t>、价格标三部份组成。</w:t>
      </w:r>
      <w:r>
        <w:rPr>
          <w:rFonts w:hint="eastAsia"/>
          <w:b/>
          <w:bCs/>
          <w:sz w:val="21"/>
          <w:szCs w:val="21"/>
          <w:highlight w:val="none"/>
        </w:rPr>
        <w:t xml:space="preserve">电子响应文件中所须加盖公章部分均采用 CA 签章。投标人应根据“政采云供应商项目 采购-电子交易操作指南”及本采购文件规定的格式和顺序编制电子响应文件并进行关联定位。 </w:t>
      </w:r>
    </w:p>
    <w:p>
      <w:pPr>
        <w:spacing w:line="440" w:lineRule="exact"/>
        <w:ind w:firstLine="310" w:firstLineChars="147"/>
        <w:outlineLvl w:val="1"/>
        <w:rPr>
          <w:b/>
          <w:sz w:val="21"/>
          <w:szCs w:val="21"/>
          <w:highlight w:val="none"/>
          <w:u w:val="single"/>
        </w:rPr>
      </w:pPr>
      <w:r>
        <w:rPr>
          <w:rFonts w:hint="eastAsia"/>
          <w:b/>
          <w:sz w:val="21"/>
          <w:szCs w:val="21"/>
          <w:highlight w:val="none"/>
        </w:rPr>
        <w:t>★1</w:t>
      </w:r>
      <w:r>
        <w:rPr>
          <w:rFonts w:hint="eastAsia"/>
          <w:b/>
          <w:sz w:val="21"/>
          <w:szCs w:val="21"/>
          <w:highlight w:val="none"/>
          <w:lang w:val="en-US"/>
        </w:rPr>
        <w:t>0</w:t>
      </w:r>
      <w:r>
        <w:rPr>
          <w:rFonts w:hint="eastAsia"/>
          <w:b/>
          <w:sz w:val="21"/>
          <w:szCs w:val="21"/>
          <w:highlight w:val="none"/>
        </w:rPr>
        <w:t>.2递交的电子投标文件应分为资格证明文件、</w:t>
      </w:r>
      <w:r>
        <w:rPr>
          <w:rFonts w:hint="eastAsia"/>
          <w:b/>
          <w:sz w:val="21"/>
          <w:szCs w:val="21"/>
          <w:highlight w:val="none"/>
          <w:lang w:eastAsia="zh-CN"/>
        </w:rPr>
        <w:t>技术资信标</w:t>
      </w:r>
      <w:r>
        <w:rPr>
          <w:rFonts w:hint="eastAsia"/>
          <w:b/>
          <w:sz w:val="21"/>
          <w:szCs w:val="21"/>
          <w:highlight w:val="none"/>
        </w:rPr>
        <w:t>和价格标，</w:t>
      </w:r>
      <w:r>
        <w:rPr>
          <w:rFonts w:hint="eastAsia"/>
          <w:b/>
          <w:sz w:val="21"/>
          <w:szCs w:val="21"/>
          <w:highlight w:val="none"/>
          <w:lang w:eastAsia="zh-CN"/>
        </w:rPr>
        <w:t>技术资信标</w:t>
      </w:r>
      <w:r>
        <w:rPr>
          <w:rFonts w:hint="eastAsia"/>
          <w:b/>
          <w:sz w:val="21"/>
          <w:szCs w:val="21"/>
          <w:highlight w:val="none"/>
        </w:rPr>
        <w:t>为除价格标组成外的所有内容。</w:t>
      </w:r>
      <w:r>
        <w:rPr>
          <w:rFonts w:hint="eastAsia"/>
          <w:b/>
          <w:sz w:val="21"/>
          <w:szCs w:val="21"/>
          <w:highlight w:val="none"/>
          <w:u w:val="single"/>
        </w:rPr>
        <w:t>资格证明文件、</w:t>
      </w:r>
      <w:r>
        <w:rPr>
          <w:rFonts w:hint="eastAsia"/>
          <w:b/>
          <w:sz w:val="21"/>
          <w:szCs w:val="21"/>
          <w:highlight w:val="none"/>
          <w:u w:val="single"/>
          <w:lang w:eastAsia="zh-CN"/>
        </w:rPr>
        <w:t>技术资信标</w:t>
      </w:r>
      <w:r>
        <w:rPr>
          <w:rFonts w:hint="eastAsia"/>
          <w:b/>
          <w:sz w:val="21"/>
          <w:szCs w:val="21"/>
          <w:highlight w:val="none"/>
          <w:u w:val="single"/>
        </w:rPr>
        <w:t>不得含报价，否则作废标处理。</w:t>
      </w:r>
    </w:p>
    <w:p>
      <w:pPr>
        <w:widowControl/>
        <w:spacing w:line="440" w:lineRule="exact"/>
        <w:ind w:firstLine="422" w:firstLineChars="200"/>
        <w:rPr>
          <w:b/>
          <w:sz w:val="21"/>
          <w:szCs w:val="21"/>
          <w:highlight w:val="none"/>
        </w:rPr>
      </w:pPr>
      <w:r>
        <w:rPr>
          <w:rFonts w:hint="eastAsia"/>
          <w:b/>
          <w:sz w:val="21"/>
          <w:szCs w:val="21"/>
          <w:highlight w:val="none"/>
        </w:rPr>
        <w:t>1</w:t>
      </w:r>
      <w:r>
        <w:rPr>
          <w:rFonts w:hint="eastAsia"/>
          <w:b/>
          <w:sz w:val="21"/>
          <w:szCs w:val="21"/>
          <w:highlight w:val="none"/>
          <w:lang w:val="en-US"/>
        </w:rPr>
        <w:t>0</w:t>
      </w:r>
      <w:r>
        <w:rPr>
          <w:rFonts w:hint="eastAsia"/>
          <w:b/>
          <w:sz w:val="21"/>
          <w:szCs w:val="21"/>
          <w:highlight w:val="none"/>
        </w:rPr>
        <w:t>.3 资格证明文件的组成</w:t>
      </w:r>
    </w:p>
    <w:p>
      <w:pPr>
        <w:spacing w:line="440" w:lineRule="exact"/>
        <w:ind w:firstLine="315" w:firstLineChars="150"/>
        <w:outlineLvl w:val="1"/>
        <w:rPr>
          <w:sz w:val="21"/>
          <w:szCs w:val="21"/>
          <w:highlight w:val="none"/>
        </w:rPr>
      </w:pPr>
      <w:r>
        <w:rPr>
          <w:rFonts w:hint="eastAsia"/>
          <w:sz w:val="21"/>
          <w:szCs w:val="21"/>
          <w:highlight w:val="none"/>
        </w:rPr>
        <w:t>（1）有效的《营业执照》、《税务登记证》、《社保登记证》（或相关社保证明材料）或新版三证及以上合一的《营业执照》；</w:t>
      </w:r>
    </w:p>
    <w:p>
      <w:pPr>
        <w:spacing w:line="440" w:lineRule="exact"/>
        <w:ind w:firstLine="315" w:firstLineChars="150"/>
        <w:outlineLvl w:val="1"/>
        <w:rPr>
          <w:sz w:val="21"/>
          <w:szCs w:val="21"/>
          <w:highlight w:val="none"/>
        </w:rPr>
      </w:pPr>
      <w:r>
        <w:rPr>
          <w:rFonts w:hint="eastAsia"/>
          <w:sz w:val="21"/>
          <w:szCs w:val="21"/>
          <w:highlight w:val="none"/>
        </w:rPr>
        <w:t>（2）法定代表人授权委托书 、法人身份证复印件、受委托人身份证；</w:t>
      </w:r>
    </w:p>
    <w:p>
      <w:pPr>
        <w:spacing w:line="440" w:lineRule="exact"/>
        <w:ind w:firstLine="315" w:firstLineChars="150"/>
        <w:outlineLvl w:val="1"/>
        <w:rPr>
          <w:sz w:val="21"/>
          <w:szCs w:val="21"/>
          <w:highlight w:val="none"/>
        </w:rPr>
      </w:pPr>
      <w:r>
        <w:rPr>
          <w:rFonts w:hint="eastAsia"/>
          <w:sz w:val="21"/>
          <w:szCs w:val="21"/>
          <w:highlight w:val="none"/>
        </w:rPr>
        <w:t>（3）具备履行合同所必需的设备和专业技术能力的证明（资质）材料原件扫描件；</w:t>
      </w:r>
    </w:p>
    <w:p>
      <w:pPr>
        <w:spacing w:line="440" w:lineRule="exact"/>
        <w:ind w:firstLine="315" w:firstLineChars="150"/>
        <w:outlineLvl w:val="1"/>
        <w:rPr>
          <w:sz w:val="21"/>
          <w:szCs w:val="21"/>
          <w:highlight w:val="none"/>
        </w:rPr>
      </w:pPr>
      <w:r>
        <w:rPr>
          <w:rFonts w:hint="eastAsia"/>
          <w:sz w:val="21"/>
          <w:szCs w:val="21"/>
          <w:highlight w:val="none"/>
        </w:rPr>
        <w:t>（4）参加政府采购活动前3年内在经营活动中没有重大违法记录的书面声明原件扫描件；</w:t>
      </w:r>
    </w:p>
    <w:p>
      <w:pPr>
        <w:spacing w:line="440" w:lineRule="exact"/>
        <w:ind w:firstLine="315" w:firstLineChars="150"/>
        <w:outlineLvl w:val="1"/>
        <w:rPr>
          <w:sz w:val="21"/>
          <w:szCs w:val="21"/>
          <w:highlight w:val="none"/>
        </w:rPr>
      </w:pPr>
      <w:r>
        <w:rPr>
          <w:rFonts w:hint="eastAsia"/>
          <w:sz w:val="21"/>
          <w:szCs w:val="21"/>
          <w:highlight w:val="none"/>
        </w:rPr>
        <w:t>（5）无围标串标挂靠等负面行为承诺书；</w:t>
      </w:r>
    </w:p>
    <w:p>
      <w:pPr>
        <w:spacing w:line="440" w:lineRule="exact"/>
        <w:ind w:firstLine="315" w:firstLineChars="150"/>
        <w:outlineLvl w:val="1"/>
        <w:rPr>
          <w:sz w:val="21"/>
          <w:szCs w:val="21"/>
          <w:highlight w:val="none"/>
        </w:rPr>
      </w:pPr>
      <w:r>
        <w:rPr>
          <w:rFonts w:hint="eastAsia"/>
          <w:sz w:val="21"/>
          <w:szCs w:val="21"/>
          <w:highlight w:val="none"/>
        </w:rPr>
        <w:t>（6）信用记录网络查询页面截图（信用中国与中国政府采购网）任意一处即可；</w:t>
      </w:r>
    </w:p>
    <w:p>
      <w:pPr>
        <w:spacing w:line="440" w:lineRule="exact"/>
        <w:ind w:firstLine="315" w:firstLineChars="150"/>
        <w:outlineLvl w:val="1"/>
        <w:rPr>
          <w:sz w:val="21"/>
          <w:szCs w:val="21"/>
          <w:highlight w:val="none"/>
        </w:rPr>
      </w:pPr>
      <w:r>
        <w:rPr>
          <w:rFonts w:hint="eastAsia"/>
          <w:sz w:val="21"/>
          <w:szCs w:val="21"/>
          <w:highlight w:val="none"/>
        </w:rPr>
        <w:t>根据《关于在政府采购活动中查询及使用信用记录有关问题的通知》（财库[2016]125 号）要求，</w:t>
      </w:r>
    </w:p>
    <w:p>
      <w:pPr>
        <w:spacing w:line="440" w:lineRule="exact"/>
        <w:ind w:firstLine="315" w:firstLineChars="150"/>
        <w:outlineLvl w:val="1"/>
        <w:rPr>
          <w:sz w:val="21"/>
          <w:szCs w:val="21"/>
          <w:highlight w:val="none"/>
        </w:rPr>
      </w:pPr>
      <w:r>
        <w:rPr>
          <w:rFonts w:hint="eastAsia"/>
          <w:sz w:val="21"/>
          <w:szCs w:val="21"/>
          <w:highlight w:val="none"/>
        </w:rPr>
        <w:t>招标人对投标人信用记录进行查询并甄别。</w:t>
      </w:r>
    </w:p>
    <w:p>
      <w:pPr>
        <w:spacing w:line="440" w:lineRule="exact"/>
        <w:ind w:firstLine="735" w:firstLineChars="350"/>
        <w:outlineLvl w:val="1"/>
        <w:rPr>
          <w:sz w:val="21"/>
          <w:szCs w:val="21"/>
          <w:highlight w:val="none"/>
        </w:rPr>
      </w:pPr>
      <w:r>
        <w:rPr>
          <w:rFonts w:hint="eastAsia"/>
          <w:sz w:val="21"/>
          <w:szCs w:val="21"/>
          <w:highlight w:val="none"/>
        </w:rPr>
        <w:t>(1)信用信息查询的截止时点：开标当日进行查询；</w:t>
      </w:r>
    </w:p>
    <w:p>
      <w:pPr>
        <w:spacing w:line="440" w:lineRule="exact"/>
        <w:ind w:firstLine="735" w:firstLineChars="350"/>
        <w:outlineLvl w:val="1"/>
        <w:rPr>
          <w:sz w:val="21"/>
          <w:szCs w:val="21"/>
          <w:highlight w:val="none"/>
        </w:rPr>
      </w:pPr>
      <w:r>
        <w:rPr>
          <w:rFonts w:hint="eastAsia"/>
          <w:sz w:val="21"/>
          <w:szCs w:val="21"/>
          <w:highlight w:val="none"/>
        </w:rPr>
        <w:t>(2)查询渠道：</w:t>
      </w:r>
    </w:p>
    <w:p>
      <w:pPr>
        <w:spacing w:line="440" w:lineRule="exact"/>
        <w:ind w:firstLine="735" w:firstLineChars="350"/>
        <w:outlineLvl w:val="1"/>
        <w:rPr>
          <w:sz w:val="21"/>
          <w:szCs w:val="21"/>
          <w:highlight w:val="none"/>
        </w:rPr>
      </w:pPr>
      <w:r>
        <w:rPr>
          <w:rFonts w:hint="eastAsia"/>
          <w:sz w:val="21"/>
          <w:szCs w:val="21"/>
          <w:highlight w:val="none"/>
        </w:rPr>
        <w:t>信用中国（www.creditchina.gov.cn）；</w:t>
      </w:r>
    </w:p>
    <w:p>
      <w:pPr>
        <w:spacing w:line="440" w:lineRule="exact"/>
        <w:ind w:firstLine="735" w:firstLineChars="350"/>
        <w:outlineLvl w:val="1"/>
        <w:rPr>
          <w:sz w:val="21"/>
          <w:szCs w:val="21"/>
          <w:highlight w:val="none"/>
        </w:rPr>
      </w:pPr>
      <w:r>
        <w:rPr>
          <w:rFonts w:hint="eastAsia"/>
          <w:sz w:val="21"/>
          <w:szCs w:val="21"/>
          <w:highlight w:val="none"/>
        </w:rPr>
        <w:t>中国政府采购网（www.ccgp.gov.cn）；</w:t>
      </w:r>
    </w:p>
    <w:p>
      <w:pPr>
        <w:tabs>
          <w:tab w:val="left" w:pos="0"/>
        </w:tabs>
        <w:spacing w:line="440" w:lineRule="exact"/>
        <w:ind w:left="209" w:leftChars="95" w:firstLine="525" w:firstLineChars="250"/>
        <w:outlineLvl w:val="1"/>
        <w:rPr>
          <w:sz w:val="21"/>
          <w:szCs w:val="21"/>
          <w:highlight w:val="none"/>
        </w:rPr>
      </w:pPr>
      <w:r>
        <w:rPr>
          <w:rFonts w:hint="eastAsia"/>
          <w:sz w:val="21"/>
          <w:szCs w:val="21"/>
          <w:highlight w:val="none"/>
        </w:rPr>
        <w:t>(3)信用信息查询记录和证据留存具体方式：招标人和监督人员将查询网页打印、签字与其他采购文件一并保存；</w:t>
      </w:r>
    </w:p>
    <w:p>
      <w:pPr>
        <w:spacing w:line="440" w:lineRule="exact"/>
        <w:ind w:firstLine="630" w:firstLineChars="300"/>
        <w:outlineLvl w:val="1"/>
        <w:rPr>
          <w:sz w:val="21"/>
          <w:szCs w:val="21"/>
          <w:highlight w:val="none"/>
        </w:rPr>
      </w:pPr>
      <w:r>
        <w:rPr>
          <w:rFonts w:hint="eastAsia"/>
          <w:sz w:val="21"/>
          <w:szCs w:val="21"/>
          <w:highlight w:val="none"/>
        </w:rPr>
        <w:t>(4)信用信息的使用规则：投标人存在不良信用记录的，其投标将被作为无效投标。</w:t>
      </w:r>
    </w:p>
    <w:p>
      <w:pPr>
        <w:spacing w:line="440" w:lineRule="exact"/>
        <w:ind w:left="209" w:leftChars="95" w:firstLine="525" w:firstLineChars="250"/>
        <w:outlineLvl w:val="1"/>
        <w:rPr>
          <w:sz w:val="21"/>
          <w:szCs w:val="21"/>
          <w:highlight w:val="none"/>
        </w:rPr>
      </w:pPr>
      <w:r>
        <w:rPr>
          <w:rFonts w:hint="eastAsia"/>
          <w:sz w:val="21"/>
          <w:szCs w:val="21"/>
          <w:highlight w:val="none"/>
        </w:rPr>
        <w:t>不良信用记录指：被列入失信被执行人、重大税收违法案件当事人名单、政府采购严重违法失信行为记录名单或浙江政府采购网曝光台中尚在行政处罚期内的。</w:t>
      </w:r>
    </w:p>
    <w:p>
      <w:pPr>
        <w:pStyle w:val="13"/>
        <w:spacing w:line="440" w:lineRule="exact"/>
        <w:ind w:firstLine="422" w:firstLineChars="200"/>
        <w:outlineLvl w:val="1"/>
        <w:rPr>
          <w:b/>
          <w:highlight w:val="none"/>
        </w:rPr>
      </w:pPr>
      <w:r>
        <w:rPr>
          <w:rFonts w:hint="eastAsia"/>
          <w:b/>
          <w:highlight w:val="none"/>
        </w:rPr>
        <w:t>1</w:t>
      </w:r>
      <w:r>
        <w:rPr>
          <w:rFonts w:hint="eastAsia"/>
          <w:b/>
          <w:highlight w:val="none"/>
          <w:lang w:val="en-US"/>
        </w:rPr>
        <w:t>0</w:t>
      </w:r>
      <w:r>
        <w:rPr>
          <w:rFonts w:hint="eastAsia"/>
          <w:b/>
          <w:highlight w:val="none"/>
        </w:rPr>
        <w:t>.4</w:t>
      </w:r>
      <w:r>
        <w:rPr>
          <w:rFonts w:hint="eastAsia"/>
          <w:b/>
          <w:highlight w:val="none"/>
          <w:lang w:eastAsia="zh-CN"/>
        </w:rPr>
        <w:t>技术资信标</w:t>
      </w:r>
      <w:r>
        <w:rPr>
          <w:rFonts w:hint="eastAsia"/>
          <w:b/>
          <w:highlight w:val="none"/>
        </w:rPr>
        <w:t>的组成</w:t>
      </w:r>
    </w:p>
    <w:p>
      <w:pPr>
        <w:spacing w:line="370" w:lineRule="exact"/>
        <w:ind w:left="220" w:leftChars="100" w:firstLine="210" w:firstLineChars="100"/>
        <w:rPr>
          <w:sz w:val="21"/>
          <w:szCs w:val="21"/>
          <w:highlight w:val="none"/>
        </w:rPr>
      </w:pPr>
      <w:r>
        <w:rPr>
          <w:rFonts w:hint="eastAsia"/>
          <w:bCs/>
          <w:sz w:val="21"/>
          <w:szCs w:val="21"/>
          <w:highlight w:val="none"/>
        </w:rPr>
        <w:t>1</w:t>
      </w:r>
      <w:r>
        <w:rPr>
          <w:rFonts w:hint="eastAsia"/>
          <w:bCs/>
          <w:sz w:val="21"/>
          <w:szCs w:val="21"/>
          <w:highlight w:val="none"/>
          <w:lang w:val="en-US"/>
        </w:rPr>
        <w:t>0</w:t>
      </w:r>
      <w:r>
        <w:rPr>
          <w:rFonts w:hint="eastAsia"/>
          <w:bCs/>
          <w:sz w:val="21"/>
          <w:szCs w:val="21"/>
          <w:highlight w:val="none"/>
        </w:rPr>
        <w:t>.4.1  投标人资格、资信</w:t>
      </w:r>
      <w:r>
        <w:rPr>
          <w:rFonts w:hint="eastAsia"/>
          <w:sz w:val="21"/>
          <w:szCs w:val="21"/>
          <w:highlight w:val="none"/>
        </w:rPr>
        <w:t>合格性</w:t>
      </w:r>
      <w:r>
        <w:rPr>
          <w:rFonts w:hint="eastAsia"/>
          <w:bCs/>
          <w:sz w:val="21"/>
          <w:szCs w:val="21"/>
          <w:highlight w:val="none"/>
        </w:rPr>
        <w:t>的有关证明及资料；</w:t>
      </w:r>
      <w:r>
        <w:rPr>
          <w:rFonts w:hint="eastAsia"/>
          <w:sz w:val="21"/>
          <w:szCs w:val="21"/>
          <w:highlight w:val="none"/>
        </w:rPr>
        <w:t>投标人应提交证明其有资格参加投标和中标后有能力履行合同的文件，并作为其投标文件的一部分。投标人提交的合格性的证明文件应使招标人满意，投标人在投标时应是符合条件的投标人。其具体内容为：</w:t>
      </w:r>
    </w:p>
    <w:p>
      <w:pPr>
        <w:spacing w:line="360" w:lineRule="exact"/>
        <w:ind w:firstLine="525" w:firstLineChars="250"/>
        <w:rPr>
          <w:sz w:val="21"/>
          <w:szCs w:val="21"/>
          <w:highlight w:val="none"/>
        </w:rPr>
      </w:pPr>
      <w:r>
        <w:rPr>
          <w:rFonts w:hint="eastAsia"/>
          <w:sz w:val="21"/>
          <w:szCs w:val="21"/>
          <w:highlight w:val="none"/>
        </w:rPr>
        <w:t>（1）</w:t>
      </w:r>
      <w:r>
        <w:rPr>
          <w:sz w:val="21"/>
          <w:szCs w:val="21"/>
          <w:highlight w:val="none"/>
        </w:rPr>
        <w:t>投标声明书；</w:t>
      </w:r>
    </w:p>
    <w:p>
      <w:pPr>
        <w:spacing w:line="360" w:lineRule="exact"/>
        <w:ind w:firstLine="525" w:firstLineChars="250"/>
        <w:rPr>
          <w:sz w:val="21"/>
          <w:szCs w:val="21"/>
          <w:highlight w:val="none"/>
        </w:rPr>
      </w:pPr>
      <w:r>
        <w:rPr>
          <w:rFonts w:hint="eastAsia"/>
          <w:sz w:val="21"/>
          <w:szCs w:val="21"/>
          <w:highlight w:val="none"/>
        </w:rPr>
        <w:t>（2）</w:t>
      </w:r>
      <w:r>
        <w:rPr>
          <w:sz w:val="21"/>
          <w:szCs w:val="21"/>
          <w:highlight w:val="none"/>
        </w:rPr>
        <w:t>法定代表人证明或法定代表人授权委托书；</w:t>
      </w:r>
    </w:p>
    <w:p>
      <w:pPr>
        <w:spacing w:line="360" w:lineRule="exact"/>
        <w:ind w:firstLine="525" w:firstLineChars="250"/>
        <w:rPr>
          <w:sz w:val="21"/>
          <w:szCs w:val="21"/>
          <w:highlight w:val="none"/>
        </w:rPr>
      </w:pPr>
      <w:r>
        <w:rPr>
          <w:rFonts w:hint="eastAsia"/>
          <w:sz w:val="21"/>
          <w:szCs w:val="21"/>
          <w:highlight w:val="none"/>
        </w:rPr>
        <w:t>（3）</w:t>
      </w:r>
      <w:r>
        <w:rPr>
          <w:sz w:val="21"/>
          <w:szCs w:val="21"/>
          <w:highlight w:val="none"/>
        </w:rPr>
        <w:t>法定代表人或受托人身份证复印件；</w:t>
      </w:r>
    </w:p>
    <w:p>
      <w:pPr>
        <w:spacing w:line="360" w:lineRule="exact"/>
        <w:ind w:left="220" w:leftChars="100" w:firstLine="525" w:firstLineChars="250"/>
        <w:rPr>
          <w:sz w:val="21"/>
          <w:szCs w:val="21"/>
          <w:highlight w:val="none"/>
        </w:rPr>
      </w:pPr>
      <w:r>
        <w:rPr>
          <w:rFonts w:hint="eastAsia"/>
          <w:sz w:val="21"/>
          <w:szCs w:val="21"/>
          <w:highlight w:val="none"/>
        </w:rPr>
        <w:t>（4）</w:t>
      </w:r>
      <w:r>
        <w:rPr>
          <w:sz w:val="21"/>
          <w:szCs w:val="21"/>
          <w:highlight w:val="none"/>
        </w:rPr>
        <w:t>投标人《营业执照》、《税务登记证》、《社保登记证》（或</w:t>
      </w:r>
      <w:r>
        <w:rPr>
          <w:bCs/>
          <w:sz w:val="21"/>
          <w:szCs w:val="21"/>
          <w:highlight w:val="none"/>
        </w:rPr>
        <w:t>相关社保证明材料</w:t>
      </w:r>
      <w:r>
        <w:rPr>
          <w:sz w:val="21"/>
          <w:szCs w:val="21"/>
          <w:highlight w:val="none"/>
        </w:rPr>
        <w:t>）或新版三证及以上合一的《营业执照》复印件(须加盖单位公章)</w:t>
      </w:r>
      <w:r>
        <w:rPr>
          <w:rFonts w:hint="eastAsia"/>
          <w:sz w:val="21"/>
          <w:szCs w:val="21"/>
          <w:highlight w:val="none"/>
        </w:rPr>
        <w:t>，</w:t>
      </w:r>
      <w:r>
        <w:rPr>
          <w:sz w:val="21"/>
          <w:szCs w:val="21"/>
          <w:highlight w:val="none"/>
        </w:rPr>
        <w:t>原件提供备查；</w:t>
      </w:r>
    </w:p>
    <w:p>
      <w:pPr>
        <w:spacing w:line="400" w:lineRule="exact"/>
        <w:ind w:firstLine="525" w:firstLineChars="250"/>
        <w:rPr>
          <w:sz w:val="21"/>
          <w:szCs w:val="21"/>
          <w:highlight w:val="none"/>
        </w:rPr>
      </w:pPr>
      <w:r>
        <w:rPr>
          <w:rFonts w:hint="eastAsia"/>
          <w:sz w:val="21"/>
          <w:szCs w:val="21"/>
          <w:highlight w:val="none"/>
        </w:rPr>
        <w:t>（5</w:t>
      </w:r>
      <w:r>
        <w:rPr>
          <w:sz w:val="21"/>
          <w:szCs w:val="21"/>
          <w:highlight w:val="none"/>
        </w:rPr>
        <w:t>）投标人基本情况表；</w:t>
      </w:r>
    </w:p>
    <w:p>
      <w:pPr>
        <w:spacing w:line="400" w:lineRule="exact"/>
        <w:ind w:firstLine="525" w:firstLineChars="250"/>
        <w:rPr>
          <w:sz w:val="21"/>
          <w:szCs w:val="21"/>
          <w:highlight w:val="none"/>
        </w:rPr>
      </w:pPr>
      <w:r>
        <w:rPr>
          <w:rFonts w:hint="eastAsia"/>
          <w:sz w:val="21"/>
          <w:szCs w:val="21"/>
          <w:highlight w:val="none"/>
        </w:rPr>
        <w:t>（6</w:t>
      </w:r>
      <w:r>
        <w:rPr>
          <w:sz w:val="21"/>
          <w:szCs w:val="21"/>
          <w:highlight w:val="none"/>
        </w:rPr>
        <w:t>）</w:t>
      </w:r>
      <w:r>
        <w:rPr>
          <w:rFonts w:hint="eastAsia"/>
          <w:sz w:val="21"/>
          <w:szCs w:val="21"/>
          <w:highlight w:val="none"/>
        </w:rPr>
        <w:t>拟投入本项目的人员配备表及相关证书复印件</w:t>
      </w:r>
    </w:p>
    <w:p>
      <w:pPr>
        <w:spacing w:line="400" w:lineRule="exact"/>
        <w:ind w:firstLine="525" w:firstLineChars="250"/>
        <w:rPr>
          <w:sz w:val="21"/>
          <w:szCs w:val="21"/>
          <w:highlight w:val="none"/>
        </w:rPr>
      </w:pPr>
      <w:r>
        <w:rPr>
          <w:rFonts w:hint="eastAsia"/>
          <w:sz w:val="21"/>
          <w:szCs w:val="21"/>
          <w:highlight w:val="none"/>
        </w:rPr>
        <w:t>（7</w:t>
      </w:r>
      <w:r>
        <w:rPr>
          <w:sz w:val="21"/>
          <w:szCs w:val="21"/>
          <w:highlight w:val="none"/>
        </w:rPr>
        <w:t>）业绩证明（投标人同类项目实施情况一览表、合同复印件</w:t>
      </w:r>
      <w:r>
        <w:rPr>
          <w:rFonts w:hint="eastAsia"/>
          <w:sz w:val="21"/>
          <w:szCs w:val="21"/>
          <w:highlight w:val="none"/>
        </w:rPr>
        <w:t>等</w:t>
      </w:r>
      <w:r>
        <w:rPr>
          <w:sz w:val="21"/>
          <w:szCs w:val="21"/>
          <w:highlight w:val="none"/>
        </w:rPr>
        <w:t>）；</w:t>
      </w:r>
    </w:p>
    <w:p>
      <w:pPr>
        <w:spacing w:line="400" w:lineRule="exact"/>
        <w:ind w:left="209" w:leftChars="95" w:firstLine="69" w:firstLineChars="33"/>
        <w:rPr>
          <w:sz w:val="21"/>
          <w:szCs w:val="21"/>
          <w:highlight w:val="none"/>
        </w:rPr>
      </w:pPr>
      <w:r>
        <w:rPr>
          <w:sz w:val="21"/>
          <w:szCs w:val="21"/>
          <w:highlight w:val="none"/>
        </w:rPr>
        <w:t>1</w:t>
      </w:r>
      <w:r>
        <w:rPr>
          <w:rFonts w:hint="eastAsia"/>
          <w:sz w:val="21"/>
          <w:szCs w:val="21"/>
          <w:highlight w:val="none"/>
          <w:lang w:val="en-US"/>
        </w:rPr>
        <w:t>0</w:t>
      </w:r>
      <w:r>
        <w:rPr>
          <w:sz w:val="21"/>
          <w:szCs w:val="21"/>
          <w:highlight w:val="none"/>
        </w:rPr>
        <w:t>.</w:t>
      </w:r>
      <w:r>
        <w:rPr>
          <w:rFonts w:hint="eastAsia"/>
          <w:sz w:val="21"/>
          <w:szCs w:val="21"/>
          <w:highlight w:val="none"/>
        </w:rPr>
        <w:t>4</w:t>
      </w:r>
      <w:r>
        <w:rPr>
          <w:sz w:val="21"/>
          <w:szCs w:val="21"/>
          <w:highlight w:val="none"/>
        </w:rPr>
        <w:t>.2 投标服务符合性的有关证明及技术资料：投标人须提交参投服务的详细技术商务文件，其形式可以是文字资料、图纸和数据等，证明其拟供服务符合采购文件规定的技术响应文件，作为投标文件的一部分。其具体内容为：</w:t>
      </w:r>
    </w:p>
    <w:p>
      <w:pPr>
        <w:widowControl/>
        <w:spacing w:line="420" w:lineRule="exact"/>
        <w:ind w:firstLine="630" w:firstLineChars="300"/>
        <w:rPr>
          <w:bCs/>
          <w:sz w:val="21"/>
          <w:szCs w:val="21"/>
          <w:highlight w:val="none"/>
        </w:rPr>
      </w:pPr>
      <w:r>
        <w:rPr>
          <w:rFonts w:hint="eastAsia"/>
          <w:bCs/>
          <w:sz w:val="21"/>
          <w:szCs w:val="21"/>
          <w:highlight w:val="none"/>
        </w:rPr>
        <w:t>（8）</w:t>
      </w:r>
      <w:r>
        <w:rPr>
          <w:bCs/>
          <w:sz w:val="21"/>
          <w:szCs w:val="21"/>
          <w:highlight w:val="none"/>
        </w:rPr>
        <w:t>服务质量承诺书</w:t>
      </w:r>
      <w:r>
        <w:rPr>
          <w:rFonts w:hint="eastAsia"/>
          <w:bCs/>
          <w:sz w:val="21"/>
          <w:szCs w:val="21"/>
          <w:highlight w:val="none"/>
        </w:rPr>
        <w:t>；</w:t>
      </w:r>
    </w:p>
    <w:p>
      <w:pPr>
        <w:widowControl/>
        <w:spacing w:line="420" w:lineRule="exact"/>
        <w:ind w:firstLine="630" w:firstLineChars="300"/>
        <w:rPr>
          <w:bCs/>
          <w:sz w:val="21"/>
          <w:szCs w:val="21"/>
          <w:highlight w:val="none"/>
        </w:rPr>
      </w:pPr>
      <w:r>
        <w:rPr>
          <w:rFonts w:hint="eastAsia"/>
          <w:sz w:val="21"/>
          <w:szCs w:val="21"/>
          <w:highlight w:val="none"/>
        </w:rPr>
        <w:t>（9）</w:t>
      </w:r>
      <w:r>
        <w:rPr>
          <w:sz w:val="21"/>
          <w:szCs w:val="21"/>
          <w:highlight w:val="none"/>
        </w:rPr>
        <w:t>质量保证措施；</w:t>
      </w:r>
    </w:p>
    <w:p>
      <w:pPr>
        <w:pStyle w:val="13"/>
        <w:spacing w:line="420" w:lineRule="exact"/>
        <w:rPr>
          <w:highlight w:val="none"/>
        </w:rPr>
      </w:pPr>
      <w:r>
        <w:rPr>
          <w:rFonts w:hint="eastAsia"/>
          <w:bCs/>
          <w:highlight w:val="none"/>
        </w:rPr>
        <w:t xml:space="preserve">      （10</w:t>
      </w:r>
      <w:r>
        <w:rPr>
          <w:rFonts w:hint="eastAsia"/>
          <w:highlight w:val="none"/>
        </w:rPr>
        <w:t>）项目组织管理机构情况</w:t>
      </w:r>
    </w:p>
    <w:p>
      <w:pPr>
        <w:pStyle w:val="13"/>
        <w:spacing w:line="420" w:lineRule="exact"/>
        <w:ind w:firstLine="630" w:firstLineChars="300"/>
        <w:rPr>
          <w:highlight w:val="none"/>
        </w:rPr>
      </w:pPr>
      <w:r>
        <w:rPr>
          <w:rFonts w:hint="eastAsia"/>
          <w:highlight w:val="none"/>
        </w:rPr>
        <w:t>（11）</w:t>
      </w:r>
      <w:r>
        <w:rPr>
          <w:highlight w:val="none"/>
        </w:rPr>
        <w:t>项目组织实施方案；</w:t>
      </w:r>
    </w:p>
    <w:p>
      <w:pPr>
        <w:spacing w:line="400" w:lineRule="exact"/>
        <w:ind w:firstLine="630" w:firstLineChars="300"/>
        <w:rPr>
          <w:sz w:val="21"/>
          <w:szCs w:val="21"/>
          <w:highlight w:val="none"/>
        </w:rPr>
      </w:pPr>
      <w:r>
        <w:rPr>
          <w:rFonts w:hint="eastAsia"/>
          <w:sz w:val="21"/>
          <w:szCs w:val="21"/>
          <w:highlight w:val="none"/>
        </w:rPr>
        <w:t>（12</w:t>
      </w:r>
      <w:r>
        <w:rPr>
          <w:sz w:val="21"/>
          <w:szCs w:val="21"/>
          <w:highlight w:val="none"/>
        </w:rPr>
        <w:t>）</w:t>
      </w:r>
      <w:r>
        <w:rPr>
          <w:rFonts w:hint="eastAsia"/>
          <w:sz w:val="21"/>
          <w:szCs w:val="21"/>
          <w:highlight w:val="none"/>
        </w:rPr>
        <w:t>对项目目标、研究内容的理解；</w:t>
      </w:r>
    </w:p>
    <w:p>
      <w:pPr>
        <w:spacing w:line="400" w:lineRule="exact"/>
        <w:ind w:firstLine="630" w:firstLineChars="300"/>
        <w:rPr>
          <w:sz w:val="21"/>
          <w:szCs w:val="21"/>
          <w:highlight w:val="none"/>
        </w:rPr>
      </w:pPr>
      <w:r>
        <w:rPr>
          <w:rFonts w:hint="eastAsia"/>
          <w:sz w:val="21"/>
          <w:szCs w:val="21"/>
          <w:highlight w:val="none"/>
        </w:rPr>
        <w:t>（13</w:t>
      </w:r>
      <w:r>
        <w:rPr>
          <w:sz w:val="21"/>
          <w:szCs w:val="21"/>
          <w:highlight w:val="none"/>
        </w:rPr>
        <w:t>）保持员工队伍稳定措施情况；</w:t>
      </w:r>
    </w:p>
    <w:p>
      <w:pPr>
        <w:spacing w:line="400" w:lineRule="exact"/>
        <w:ind w:firstLine="630" w:firstLineChars="300"/>
        <w:rPr>
          <w:sz w:val="21"/>
          <w:szCs w:val="21"/>
          <w:highlight w:val="none"/>
        </w:rPr>
      </w:pPr>
      <w:r>
        <w:rPr>
          <w:rFonts w:hint="eastAsia"/>
          <w:sz w:val="21"/>
          <w:szCs w:val="21"/>
          <w:highlight w:val="none"/>
        </w:rPr>
        <w:t>（14</w:t>
      </w:r>
      <w:r>
        <w:rPr>
          <w:sz w:val="21"/>
          <w:szCs w:val="21"/>
          <w:highlight w:val="none"/>
        </w:rPr>
        <w:t>）</w:t>
      </w:r>
      <w:r>
        <w:rPr>
          <w:rFonts w:hint="eastAsia"/>
          <w:sz w:val="21"/>
          <w:szCs w:val="21"/>
          <w:highlight w:val="none"/>
        </w:rPr>
        <w:t>工作方案、综合服务、重点难点分析和解决方法、保证措施等内容；</w:t>
      </w:r>
    </w:p>
    <w:p>
      <w:pPr>
        <w:pStyle w:val="13"/>
        <w:spacing w:line="420" w:lineRule="exact"/>
        <w:ind w:firstLine="630" w:firstLineChars="300"/>
        <w:rPr>
          <w:highlight w:val="none"/>
        </w:rPr>
      </w:pPr>
      <w:r>
        <w:rPr>
          <w:rFonts w:hint="eastAsia"/>
          <w:highlight w:val="none"/>
        </w:rPr>
        <w:t>（15）合理化建议、内部管理制度等；</w:t>
      </w:r>
    </w:p>
    <w:p>
      <w:pPr>
        <w:spacing w:line="420" w:lineRule="exact"/>
        <w:ind w:firstLine="630" w:firstLineChars="300"/>
        <w:rPr>
          <w:sz w:val="21"/>
          <w:szCs w:val="21"/>
          <w:highlight w:val="none"/>
        </w:rPr>
      </w:pPr>
      <w:r>
        <w:rPr>
          <w:rFonts w:hint="eastAsia"/>
          <w:sz w:val="21"/>
          <w:szCs w:val="21"/>
          <w:highlight w:val="none"/>
        </w:rPr>
        <w:t>（16）</w:t>
      </w:r>
      <w:r>
        <w:rPr>
          <w:sz w:val="21"/>
          <w:szCs w:val="21"/>
          <w:highlight w:val="none"/>
        </w:rPr>
        <w:t>对本项目的服务承诺。</w:t>
      </w:r>
    </w:p>
    <w:p>
      <w:pPr>
        <w:spacing w:line="400" w:lineRule="exact"/>
        <w:ind w:firstLine="800" w:firstLineChars="381"/>
        <w:rPr>
          <w:sz w:val="21"/>
          <w:szCs w:val="21"/>
          <w:highlight w:val="none"/>
        </w:rPr>
      </w:pPr>
      <w:r>
        <w:rPr>
          <w:sz w:val="21"/>
          <w:szCs w:val="21"/>
          <w:highlight w:val="none"/>
        </w:rPr>
        <w:t>1) 关于此次投标的详细方案：投标人须根据规定，充分考虑实际服务内容，制订出详细的投标方案，包括详细的服务方案。</w:t>
      </w:r>
    </w:p>
    <w:p>
      <w:pPr>
        <w:spacing w:line="400" w:lineRule="exact"/>
        <w:ind w:firstLine="800" w:firstLineChars="381"/>
        <w:rPr>
          <w:sz w:val="21"/>
          <w:szCs w:val="21"/>
          <w:highlight w:val="none"/>
        </w:rPr>
      </w:pPr>
      <w:r>
        <w:rPr>
          <w:sz w:val="21"/>
          <w:szCs w:val="21"/>
          <w:highlight w:val="none"/>
        </w:rPr>
        <w:t>2）技术规范偏离表：投标人必须针对第三章的要求进行填列，如果与采购文件规定的要求有偏离的部分须详细填写，不填部分视同与采购文件要求相一致。</w:t>
      </w:r>
    </w:p>
    <w:p>
      <w:pPr>
        <w:spacing w:line="400" w:lineRule="exact"/>
        <w:ind w:firstLine="800" w:firstLineChars="381"/>
        <w:rPr>
          <w:sz w:val="21"/>
          <w:szCs w:val="21"/>
          <w:highlight w:val="none"/>
        </w:rPr>
      </w:pPr>
      <w:r>
        <w:rPr>
          <w:sz w:val="21"/>
          <w:szCs w:val="21"/>
          <w:highlight w:val="none"/>
        </w:rPr>
        <w:t>3）商务偏离表。</w:t>
      </w:r>
    </w:p>
    <w:p>
      <w:pPr>
        <w:spacing w:line="400" w:lineRule="exact"/>
        <w:ind w:firstLine="800" w:firstLineChars="381"/>
        <w:rPr>
          <w:sz w:val="21"/>
          <w:szCs w:val="21"/>
          <w:highlight w:val="none"/>
        </w:rPr>
      </w:pPr>
      <w:r>
        <w:rPr>
          <w:sz w:val="21"/>
          <w:szCs w:val="21"/>
          <w:highlight w:val="none"/>
        </w:rPr>
        <w:t>4）服务质量承诺书。</w:t>
      </w:r>
    </w:p>
    <w:p>
      <w:pPr>
        <w:spacing w:line="400" w:lineRule="exact"/>
        <w:ind w:firstLine="800" w:firstLineChars="381"/>
        <w:rPr>
          <w:sz w:val="21"/>
          <w:szCs w:val="21"/>
          <w:highlight w:val="none"/>
        </w:rPr>
      </w:pPr>
      <w:r>
        <w:rPr>
          <w:sz w:val="21"/>
          <w:szCs w:val="21"/>
          <w:highlight w:val="none"/>
        </w:rPr>
        <w:t>5）其它投标人认为有必要提供的资料</w:t>
      </w:r>
      <w:r>
        <w:rPr>
          <w:rFonts w:hint="eastAsia"/>
          <w:sz w:val="21"/>
          <w:szCs w:val="21"/>
          <w:highlight w:val="none"/>
        </w:rPr>
        <w:t>；</w:t>
      </w:r>
    </w:p>
    <w:p>
      <w:pPr>
        <w:spacing w:line="400" w:lineRule="exact"/>
        <w:ind w:firstLine="487" w:firstLineChars="232"/>
        <w:rPr>
          <w:sz w:val="21"/>
          <w:szCs w:val="21"/>
          <w:highlight w:val="none"/>
        </w:rPr>
      </w:pPr>
      <w:r>
        <w:rPr>
          <w:rFonts w:hint="eastAsia"/>
          <w:sz w:val="21"/>
          <w:szCs w:val="21"/>
          <w:highlight w:val="none"/>
        </w:rPr>
        <w:t xml:space="preserve"> （12） </w:t>
      </w:r>
      <w:r>
        <w:rPr>
          <w:rFonts w:hint="eastAsia"/>
          <w:sz w:val="21"/>
          <w:szCs w:val="21"/>
          <w:highlight w:val="none"/>
          <w:lang w:eastAsia="zh-CN"/>
        </w:rPr>
        <w:t>技术资信标</w:t>
      </w:r>
      <w:r>
        <w:rPr>
          <w:rFonts w:hint="eastAsia"/>
          <w:sz w:val="21"/>
          <w:szCs w:val="21"/>
          <w:highlight w:val="none"/>
        </w:rPr>
        <w:t>自评分表。</w:t>
      </w:r>
    </w:p>
    <w:p>
      <w:pPr>
        <w:pStyle w:val="13"/>
        <w:spacing w:line="440" w:lineRule="exact"/>
        <w:ind w:firstLine="732" w:firstLineChars="347"/>
        <w:outlineLvl w:val="1"/>
        <w:rPr>
          <w:b/>
          <w:highlight w:val="none"/>
        </w:rPr>
      </w:pPr>
      <w:r>
        <w:rPr>
          <w:rFonts w:hint="eastAsia"/>
          <w:b/>
          <w:highlight w:val="none"/>
        </w:rPr>
        <w:t>1</w:t>
      </w:r>
      <w:r>
        <w:rPr>
          <w:rFonts w:hint="eastAsia"/>
          <w:b/>
          <w:highlight w:val="none"/>
          <w:lang w:val="en-US"/>
        </w:rPr>
        <w:t>0</w:t>
      </w:r>
      <w:r>
        <w:rPr>
          <w:rFonts w:hint="eastAsia"/>
          <w:b/>
          <w:highlight w:val="none"/>
        </w:rPr>
        <w:t>.5价格标的组成</w:t>
      </w:r>
    </w:p>
    <w:p>
      <w:pPr>
        <w:pStyle w:val="13"/>
        <w:spacing w:line="440" w:lineRule="exact"/>
        <w:ind w:firstLine="728" w:firstLineChars="347"/>
        <w:outlineLvl w:val="1"/>
        <w:rPr>
          <w:highlight w:val="none"/>
        </w:rPr>
      </w:pPr>
      <w:r>
        <w:rPr>
          <w:rFonts w:hint="eastAsia"/>
          <w:highlight w:val="none"/>
        </w:rPr>
        <w:t>1</w:t>
      </w:r>
      <w:r>
        <w:rPr>
          <w:rFonts w:hint="eastAsia"/>
          <w:highlight w:val="none"/>
          <w:lang w:val="en-US"/>
        </w:rPr>
        <w:t>0</w:t>
      </w:r>
      <w:r>
        <w:rPr>
          <w:rFonts w:hint="eastAsia"/>
          <w:highlight w:val="none"/>
        </w:rPr>
        <w:t>.5.1投标函；</w:t>
      </w:r>
    </w:p>
    <w:p>
      <w:pPr>
        <w:pStyle w:val="13"/>
        <w:spacing w:line="440" w:lineRule="exact"/>
        <w:ind w:firstLine="728" w:firstLineChars="347"/>
        <w:outlineLvl w:val="1"/>
        <w:rPr>
          <w:highlight w:val="none"/>
        </w:rPr>
      </w:pPr>
      <w:r>
        <w:rPr>
          <w:rFonts w:hint="eastAsia"/>
          <w:highlight w:val="none"/>
        </w:rPr>
        <w:t>1</w:t>
      </w:r>
      <w:r>
        <w:rPr>
          <w:rFonts w:hint="eastAsia"/>
          <w:highlight w:val="none"/>
          <w:lang w:val="en-US"/>
        </w:rPr>
        <w:t>0</w:t>
      </w:r>
      <w:r>
        <w:rPr>
          <w:rFonts w:hint="eastAsia"/>
          <w:highlight w:val="none"/>
        </w:rPr>
        <w:t>.5.2开标一览表；</w:t>
      </w:r>
    </w:p>
    <w:p>
      <w:pPr>
        <w:pStyle w:val="13"/>
        <w:spacing w:line="440" w:lineRule="exact"/>
        <w:ind w:firstLine="728" w:firstLineChars="347"/>
        <w:outlineLvl w:val="1"/>
        <w:rPr>
          <w:highlight w:val="none"/>
        </w:rPr>
      </w:pPr>
      <w:r>
        <w:rPr>
          <w:rFonts w:hint="eastAsia"/>
          <w:highlight w:val="none"/>
        </w:rPr>
        <w:t>1</w:t>
      </w:r>
      <w:r>
        <w:rPr>
          <w:rFonts w:hint="eastAsia"/>
          <w:highlight w:val="none"/>
          <w:lang w:val="en-US"/>
        </w:rPr>
        <w:t>0</w:t>
      </w:r>
      <w:r>
        <w:rPr>
          <w:rFonts w:hint="eastAsia"/>
          <w:highlight w:val="none"/>
        </w:rPr>
        <w:t>.5.3中小企业声明函【监狱企业视同小型、微型企业，须提供省级以上监狱管理局、戒毒管理局(含新疆生产建设兵团)出具的属于监狱企业的证明文件】；</w:t>
      </w:r>
    </w:p>
    <w:p>
      <w:pPr>
        <w:spacing w:line="440" w:lineRule="exact"/>
        <w:ind w:firstLine="210" w:firstLineChars="100"/>
        <w:rPr>
          <w:sz w:val="21"/>
          <w:szCs w:val="21"/>
          <w:highlight w:val="none"/>
        </w:rPr>
      </w:pPr>
      <w:r>
        <w:rPr>
          <w:rFonts w:hint="eastAsia"/>
          <w:sz w:val="21"/>
          <w:szCs w:val="21"/>
          <w:highlight w:val="none"/>
        </w:rPr>
        <w:t xml:space="preserve">    1</w:t>
      </w:r>
      <w:r>
        <w:rPr>
          <w:rFonts w:hint="eastAsia"/>
          <w:sz w:val="21"/>
          <w:szCs w:val="21"/>
          <w:highlight w:val="none"/>
          <w:lang w:val="en-US"/>
        </w:rPr>
        <w:t>0</w:t>
      </w:r>
      <w:r>
        <w:rPr>
          <w:rFonts w:hint="eastAsia"/>
          <w:sz w:val="21"/>
          <w:szCs w:val="21"/>
          <w:highlight w:val="none"/>
        </w:rPr>
        <w:t>.5.4残疾人福利性单位声明函（如有）；</w:t>
      </w:r>
    </w:p>
    <w:p>
      <w:pPr>
        <w:widowControl/>
        <w:spacing w:line="440" w:lineRule="exact"/>
        <w:ind w:firstLine="630" w:firstLineChars="300"/>
        <w:rPr>
          <w:bCs/>
          <w:sz w:val="21"/>
          <w:szCs w:val="21"/>
          <w:highlight w:val="none"/>
        </w:rPr>
      </w:pPr>
      <w:r>
        <w:rPr>
          <w:rFonts w:hint="eastAsia"/>
          <w:sz w:val="21"/>
          <w:szCs w:val="21"/>
          <w:highlight w:val="none"/>
        </w:rPr>
        <w:t>1</w:t>
      </w:r>
      <w:r>
        <w:rPr>
          <w:rFonts w:hint="eastAsia"/>
          <w:sz w:val="21"/>
          <w:szCs w:val="21"/>
          <w:highlight w:val="none"/>
          <w:lang w:val="en-US"/>
        </w:rPr>
        <w:t>0</w:t>
      </w:r>
      <w:r>
        <w:rPr>
          <w:rFonts w:hint="eastAsia"/>
          <w:sz w:val="21"/>
          <w:szCs w:val="21"/>
          <w:highlight w:val="none"/>
        </w:rPr>
        <w:t>.5.5投标人认为有必要提供的其他资料，如投标分项报价表等。</w:t>
      </w:r>
    </w:p>
    <w:p>
      <w:pPr>
        <w:spacing w:line="440" w:lineRule="exact"/>
        <w:ind w:firstLine="280" w:firstLineChars="133"/>
        <w:rPr>
          <w:b/>
          <w:bCs/>
          <w:sz w:val="21"/>
          <w:szCs w:val="21"/>
          <w:highlight w:val="none"/>
        </w:rPr>
      </w:pPr>
      <w:r>
        <w:rPr>
          <w:rFonts w:hint="eastAsia"/>
          <w:b/>
          <w:bCs/>
          <w:sz w:val="21"/>
          <w:szCs w:val="21"/>
          <w:highlight w:val="none"/>
        </w:rPr>
        <w:t>★注：法定代表人授权委托书必须由法定代表人签字并加盖单位公章；其它文件资料均须按采购文件要求加盖单位公章或签字；签章不齐的视同未提供。其中投标文件中所须加盖公章部分均采用CA签章。</w:t>
      </w:r>
    </w:p>
    <w:p>
      <w:pPr>
        <w:spacing w:line="440" w:lineRule="exact"/>
        <w:ind w:firstLine="489" w:firstLineChars="232"/>
        <w:rPr>
          <w:b/>
          <w:bCs/>
          <w:sz w:val="21"/>
          <w:szCs w:val="21"/>
          <w:highlight w:val="none"/>
        </w:rPr>
      </w:pPr>
      <w:r>
        <w:rPr>
          <w:rFonts w:hint="eastAsia"/>
          <w:b/>
          <w:bCs/>
          <w:sz w:val="21"/>
          <w:szCs w:val="21"/>
          <w:highlight w:val="none"/>
        </w:rPr>
        <w:t>1</w:t>
      </w:r>
      <w:r>
        <w:rPr>
          <w:rFonts w:hint="eastAsia"/>
          <w:b/>
          <w:bCs/>
          <w:sz w:val="21"/>
          <w:szCs w:val="21"/>
          <w:highlight w:val="none"/>
          <w:lang w:val="en-US"/>
        </w:rPr>
        <w:t>1</w:t>
      </w:r>
      <w:r>
        <w:rPr>
          <w:rFonts w:hint="eastAsia"/>
          <w:b/>
          <w:bCs/>
          <w:sz w:val="21"/>
          <w:szCs w:val="21"/>
          <w:highlight w:val="none"/>
        </w:rPr>
        <w:t>、投标报价[本项目设有最高限价</w:t>
      </w:r>
      <w:r>
        <w:rPr>
          <w:rFonts w:hint="eastAsia"/>
          <w:b/>
          <w:bCs/>
          <w:sz w:val="21"/>
          <w:szCs w:val="21"/>
          <w:highlight w:val="none"/>
          <w:lang w:val="en-US" w:eastAsia="zh-CN"/>
        </w:rPr>
        <w:t>330.0000</w:t>
      </w:r>
      <w:r>
        <w:rPr>
          <w:rFonts w:hint="eastAsia"/>
          <w:b/>
          <w:bCs/>
          <w:sz w:val="21"/>
          <w:szCs w:val="21"/>
          <w:highlight w:val="none"/>
          <w:lang w:val="en-US"/>
        </w:rPr>
        <w:t>万元</w:t>
      </w:r>
      <w:r>
        <w:rPr>
          <w:rFonts w:hint="eastAsia"/>
          <w:b/>
          <w:bCs/>
          <w:sz w:val="21"/>
          <w:szCs w:val="21"/>
          <w:highlight w:val="none"/>
        </w:rPr>
        <w:t>，高于最高限价为废标。]为项目按采购人要求提供服务正常的报价。</w:t>
      </w:r>
    </w:p>
    <w:p>
      <w:pPr>
        <w:spacing w:line="360" w:lineRule="auto"/>
        <w:ind w:firstLine="420" w:firstLineChars="200"/>
        <w:rPr>
          <w:rFonts w:eastAsia="仿宋"/>
          <w:sz w:val="21"/>
          <w:szCs w:val="21"/>
          <w:highlight w:val="none"/>
        </w:rPr>
      </w:pPr>
      <w:r>
        <w:rPr>
          <w:rFonts w:hint="eastAsia"/>
          <w:sz w:val="21"/>
          <w:szCs w:val="21"/>
          <w:highlight w:val="none"/>
        </w:rPr>
        <w:t>1</w:t>
      </w:r>
      <w:r>
        <w:rPr>
          <w:rFonts w:hint="eastAsia"/>
          <w:sz w:val="21"/>
          <w:szCs w:val="21"/>
          <w:highlight w:val="none"/>
          <w:lang w:val="en-US"/>
        </w:rPr>
        <w:t>1</w:t>
      </w:r>
      <w:r>
        <w:rPr>
          <w:rFonts w:hint="eastAsia"/>
          <w:sz w:val="21"/>
          <w:szCs w:val="21"/>
          <w:highlight w:val="none"/>
        </w:rPr>
        <w:t>.1投标报价应以人民币为结算货币。</w:t>
      </w:r>
      <w:r>
        <w:rPr>
          <w:sz w:val="21"/>
          <w:szCs w:val="21"/>
          <w:highlight w:val="none"/>
        </w:rPr>
        <w:t>整个项目报价须包括</w:t>
      </w:r>
      <w:r>
        <w:rPr>
          <w:rFonts w:hint="eastAsia"/>
          <w:sz w:val="21"/>
          <w:szCs w:val="21"/>
          <w:highlight w:val="none"/>
        </w:rPr>
        <w:t>提供服务所需的</w:t>
      </w:r>
      <w:r>
        <w:rPr>
          <w:rFonts w:hint="eastAsia"/>
          <w:sz w:val="21"/>
          <w:szCs w:val="21"/>
          <w:highlight w:val="none"/>
          <w:lang w:val="en-US" w:eastAsia="zh-CN"/>
        </w:rPr>
        <w:t>人工</w:t>
      </w:r>
      <w:r>
        <w:rPr>
          <w:rFonts w:hint="eastAsia"/>
          <w:sz w:val="21"/>
          <w:szCs w:val="21"/>
          <w:highlight w:val="none"/>
        </w:rPr>
        <w:t>工资、社保、意外保险、工伤费、及处理一切伤亡事故、交通、管理费用、设备及工具、器材、招标代理费、企业应缴税金和应得利润、应急、物价因素等完成合同所需的一切本身和不可或缺的所有工作开支、政策性文件规定及合同包含的所有风险、责任等各项全部费用组成。</w:t>
      </w:r>
      <w:r>
        <w:rPr>
          <w:rFonts w:hint="eastAsia"/>
          <w:b/>
          <w:bCs/>
          <w:sz w:val="21"/>
          <w:szCs w:val="21"/>
          <w:highlight w:val="none"/>
        </w:rPr>
        <w:t>即投标人所投报的投标报价为投标人所能承受的整个项目的一次性最终最低报价(为本采购项目总价)，</w:t>
      </w:r>
      <w:r>
        <w:rPr>
          <w:sz w:val="21"/>
          <w:szCs w:val="21"/>
          <w:highlight w:val="none"/>
        </w:rPr>
        <w:t>如有漏项</w:t>
      </w:r>
      <w:r>
        <w:rPr>
          <w:rFonts w:hint="eastAsia"/>
          <w:sz w:val="21"/>
          <w:szCs w:val="21"/>
          <w:highlight w:val="none"/>
        </w:rPr>
        <w:t>，</w:t>
      </w:r>
      <w:r>
        <w:rPr>
          <w:sz w:val="21"/>
          <w:szCs w:val="21"/>
          <w:highlight w:val="none"/>
        </w:rPr>
        <w:t>视同已包含在其总项目中。</w:t>
      </w:r>
    </w:p>
    <w:p>
      <w:pPr>
        <w:keepNext w:val="0"/>
        <w:keepLines w:val="0"/>
        <w:pageBreakBefore w:val="0"/>
        <w:widowControl w:val="0"/>
        <w:kinsoku/>
        <w:wordWrap/>
        <w:overflowPunct/>
        <w:topLinePunct w:val="0"/>
        <w:autoSpaceDE w:val="0"/>
        <w:autoSpaceDN w:val="0"/>
        <w:bidi w:val="0"/>
        <w:adjustRightInd/>
        <w:snapToGrid/>
        <w:spacing w:line="400" w:lineRule="exact"/>
        <w:ind w:firstLine="420" w:firstLineChars="200"/>
        <w:textAlignment w:val="auto"/>
        <w:outlineLvl w:val="1"/>
        <w:rPr>
          <w:sz w:val="21"/>
          <w:szCs w:val="21"/>
          <w:highlight w:val="none"/>
        </w:rPr>
      </w:pPr>
      <w:r>
        <w:rPr>
          <w:rFonts w:hint="eastAsia"/>
          <w:sz w:val="21"/>
          <w:szCs w:val="21"/>
          <w:highlight w:val="none"/>
        </w:rPr>
        <w:t>1</w:t>
      </w:r>
      <w:r>
        <w:rPr>
          <w:rFonts w:hint="eastAsia"/>
          <w:sz w:val="21"/>
          <w:szCs w:val="21"/>
          <w:highlight w:val="none"/>
          <w:lang w:val="en-US"/>
        </w:rPr>
        <w:t>1</w:t>
      </w:r>
      <w:r>
        <w:rPr>
          <w:rFonts w:hint="eastAsia"/>
          <w:sz w:val="21"/>
          <w:szCs w:val="21"/>
          <w:highlight w:val="none"/>
        </w:rPr>
        <w:t>.2投标人应在投标函和《开标一览表》上写明投标服务的单价和总价。投标文件报价出现前后不一致的，按照下列规定修正：</w:t>
      </w:r>
    </w:p>
    <w:p>
      <w:pPr>
        <w:spacing w:line="440" w:lineRule="exact"/>
        <w:ind w:firstLine="420" w:firstLineChars="200"/>
        <w:outlineLvl w:val="1"/>
        <w:rPr>
          <w:sz w:val="21"/>
          <w:szCs w:val="21"/>
          <w:highlight w:val="none"/>
        </w:rPr>
      </w:pPr>
      <w:r>
        <w:rPr>
          <w:rFonts w:hint="eastAsia"/>
          <w:sz w:val="21"/>
          <w:szCs w:val="21"/>
          <w:highlight w:val="none"/>
        </w:rPr>
        <w:t>1</w:t>
      </w:r>
      <w:r>
        <w:rPr>
          <w:rFonts w:hint="eastAsia"/>
          <w:sz w:val="21"/>
          <w:szCs w:val="21"/>
          <w:highlight w:val="none"/>
          <w:lang w:val="en-US"/>
        </w:rPr>
        <w:t>1</w:t>
      </w:r>
      <w:r>
        <w:rPr>
          <w:rFonts w:hint="eastAsia"/>
          <w:sz w:val="21"/>
          <w:szCs w:val="21"/>
          <w:highlight w:val="none"/>
        </w:rPr>
        <w:t>.2.1投标文件中开标一览表（报价表）内容与投标文件中相应内容不一致的，以开标一览表（报价表）为准；</w:t>
      </w:r>
    </w:p>
    <w:p>
      <w:pPr>
        <w:spacing w:line="440" w:lineRule="exact"/>
        <w:ind w:firstLine="420" w:firstLineChars="200"/>
        <w:outlineLvl w:val="1"/>
        <w:rPr>
          <w:sz w:val="21"/>
          <w:szCs w:val="21"/>
          <w:highlight w:val="none"/>
        </w:rPr>
      </w:pPr>
      <w:r>
        <w:rPr>
          <w:rFonts w:hint="eastAsia"/>
          <w:sz w:val="21"/>
          <w:szCs w:val="21"/>
          <w:highlight w:val="none"/>
        </w:rPr>
        <w:t>1</w:t>
      </w:r>
      <w:r>
        <w:rPr>
          <w:rFonts w:hint="eastAsia"/>
          <w:sz w:val="21"/>
          <w:szCs w:val="21"/>
          <w:highlight w:val="none"/>
          <w:lang w:val="en-US"/>
        </w:rPr>
        <w:t>1</w:t>
      </w:r>
      <w:r>
        <w:rPr>
          <w:rFonts w:hint="eastAsia"/>
          <w:sz w:val="21"/>
          <w:szCs w:val="21"/>
          <w:highlight w:val="none"/>
        </w:rPr>
        <w:t>.2.2大写金额和小写金额不一致的，以大写金额为准；</w:t>
      </w:r>
    </w:p>
    <w:p>
      <w:pPr>
        <w:spacing w:line="440" w:lineRule="exact"/>
        <w:ind w:firstLine="420" w:firstLineChars="200"/>
        <w:outlineLvl w:val="1"/>
        <w:rPr>
          <w:sz w:val="21"/>
          <w:szCs w:val="21"/>
          <w:highlight w:val="none"/>
        </w:rPr>
      </w:pPr>
      <w:r>
        <w:rPr>
          <w:rFonts w:hint="eastAsia"/>
          <w:sz w:val="21"/>
          <w:szCs w:val="21"/>
          <w:highlight w:val="none"/>
        </w:rPr>
        <w:t>1</w:t>
      </w:r>
      <w:r>
        <w:rPr>
          <w:rFonts w:hint="eastAsia"/>
          <w:sz w:val="21"/>
          <w:szCs w:val="21"/>
          <w:highlight w:val="none"/>
          <w:lang w:val="en-US"/>
        </w:rPr>
        <w:t>1</w:t>
      </w:r>
      <w:r>
        <w:rPr>
          <w:rFonts w:hint="eastAsia"/>
          <w:sz w:val="21"/>
          <w:szCs w:val="21"/>
          <w:highlight w:val="none"/>
        </w:rPr>
        <w:t>.2.3单价金额小数点或者百分比有明显错位的，以开标一览表的总价为准，并修改单价；</w:t>
      </w:r>
    </w:p>
    <w:p>
      <w:pPr>
        <w:spacing w:line="440" w:lineRule="exact"/>
        <w:ind w:firstLine="420" w:firstLineChars="200"/>
        <w:outlineLvl w:val="1"/>
        <w:rPr>
          <w:sz w:val="21"/>
          <w:szCs w:val="21"/>
          <w:highlight w:val="none"/>
        </w:rPr>
      </w:pPr>
      <w:r>
        <w:rPr>
          <w:rFonts w:hint="eastAsia"/>
          <w:sz w:val="21"/>
          <w:szCs w:val="21"/>
          <w:highlight w:val="none"/>
        </w:rPr>
        <w:t>1</w:t>
      </w:r>
      <w:r>
        <w:rPr>
          <w:rFonts w:hint="eastAsia"/>
          <w:sz w:val="21"/>
          <w:szCs w:val="21"/>
          <w:highlight w:val="none"/>
          <w:lang w:val="en-US"/>
        </w:rPr>
        <w:t>1</w:t>
      </w:r>
      <w:r>
        <w:rPr>
          <w:rFonts w:hint="eastAsia"/>
          <w:sz w:val="21"/>
          <w:szCs w:val="21"/>
          <w:highlight w:val="none"/>
        </w:rPr>
        <w:t xml:space="preserve">.2.4总价金额与按单价汇总金额不一致的，以单价金额计算结果为准。                </w:t>
      </w:r>
    </w:p>
    <w:p>
      <w:pPr>
        <w:spacing w:line="440" w:lineRule="exact"/>
        <w:ind w:firstLine="420" w:firstLineChars="200"/>
        <w:outlineLvl w:val="1"/>
        <w:rPr>
          <w:sz w:val="21"/>
          <w:szCs w:val="21"/>
          <w:highlight w:val="none"/>
        </w:rPr>
      </w:pPr>
      <w:r>
        <w:rPr>
          <w:rFonts w:hint="eastAsia"/>
          <w:sz w:val="21"/>
          <w:szCs w:val="21"/>
          <w:highlight w:val="none"/>
        </w:rPr>
        <w:t>同时出现两种以上不一致的，按照前款规定的顺序修正。修正后的报价按照《政府采购货物和服务招标投标管理办法》（财政部第87号令）第五十一条第二款的规定经投标人确认后产生约束力， 投标人不确认的，其投标无效。</w:t>
      </w:r>
    </w:p>
    <w:p>
      <w:pPr>
        <w:spacing w:line="440" w:lineRule="exact"/>
        <w:ind w:firstLine="310" w:firstLineChars="147"/>
        <w:outlineLvl w:val="1"/>
        <w:rPr>
          <w:sz w:val="21"/>
          <w:szCs w:val="21"/>
          <w:highlight w:val="none"/>
        </w:rPr>
      </w:pPr>
      <w:r>
        <w:rPr>
          <w:rFonts w:hint="eastAsia"/>
          <w:b/>
          <w:bCs/>
          <w:sz w:val="21"/>
          <w:szCs w:val="21"/>
          <w:highlight w:val="none"/>
        </w:rPr>
        <w:t>★1</w:t>
      </w:r>
      <w:r>
        <w:rPr>
          <w:rFonts w:hint="eastAsia"/>
          <w:b/>
          <w:bCs/>
          <w:sz w:val="21"/>
          <w:szCs w:val="21"/>
          <w:highlight w:val="none"/>
          <w:lang w:val="en-US"/>
        </w:rPr>
        <w:t>1</w:t>
      </w:r>
      <w:r>
        <w:rPr>
          <w:rFonts w:hint="eastAsia"/>
          <w:b/>
          <w:bCs/>
          <w:sz w:val="21"/>
          <w:szCs w:val="21"/>
          <w:highlight w:val="none"/>
        </w:rPr>
        <w:t>.3</w:t>
      </w:r>
      <w:r>
        <w:rPr>
          <w:rFonts w:hint="eastAsia"/>
          <w:b/>
          <w:bCs/>
          <w:sz w:val="21"/>
          <w:szCs w:val="21"/>
          <w:highlight w:val="none"/>
          <w:u w:val="single"/>
        </w:rPr>
        <w:t>采购项目只允许有一个报价，有选择的报价将不予接受，并作无效标处理。</w:t>
      </w:r>
    </w:p>
    <w:p>
      <w:pPr>
        <w:pStyle w:val="16"/>
        <w:spacing w:beforeLines="0" w:afterLines="0" w:line="440" w:lineRule="exact"/>
        <w:ind w:firstLine="316" w:firstLineChars="150"/>
        <w:outlineLvl w:val="1"/>
        <w:rPr>
          <w:rFonts w:hAnsi="宋体"/>
          <w:b/>
          <w:sz w:val="21"/>
          <w:szCs w:val="21"/>
          <w:highlight w:val="none"/>
        </w:rPr>
      </w:pPr>
      <w:r>
        <w:rPr>
          <w:rFonts w:hint="eastAsia" w:hAnsi="宋体"/>
          <w:b/>
          <w:sz w:val="21"/>
          <w:szCs w:val="21"/>
          <w:highlight w:val="none"/>
        </w:rPr>
        <w:t>1</w:t>
      </w:r>
      <w:r>
        <w:rPr>
          <w:rFonts w:hint="eastAsia" w:hAnsi="宋体"/>
          <w:b/>
          <w:sz w:val="21"/>
          <w:szCs w:val="21"/>
          <w:highlight w:val="none"/>
          <w:lang w:val="en-US"/>
        </w:rPr>
        <w:t>1</w:t>
      </w:r>
      <w:r>
        <w:rPr>
          <w:rFonts w:hint="eastAsia" w:hAnsi="宋体"/>
          <w:b/>
          <w:sz w:val="21"/>
          <w:szCs w:val="21"/>
          <w:highlight w:val="none"/>
        </w:rPr>
        <w:t>.4投标分项报价表填写时应详细注明该表列举的费用及分项清单。</w:t>
      </w:r>
    </w:p>
    <w:p>
      <w:pPr>
        <w:numPr>
          <w:ilvl w:val="0"/>
          <w:numId w:val="9"/>
        </w:numPr>
        <w:spacing w:line="440" w:lineRule="exact"/>
        <w:ind w:firstLine="422" w:firstLineChars="200"/>
        <w:rPr>
          <w:b/>
          <w:bCs/>
          <w:sz w:val="21"/>
          <w:szCs w:val="21"/>
          <w:highlight w:val="none"/>
        </w:rPr>
      </w:pPr>
      <w:r>
        <w:rPr>
          <w:rFonts w:hint="eastAsia"/>
          <w:b/>
          <w:bCs/>
          <w:sz w:val="21"/>
          <w:szCs w:val="21"/>
          <w:highlight w:val="none"/>
        </w:rPr>
        <w:t>履约保证金</w:t>
      </w:r>
    </w:p>
    <w:p>
      <w:pPr>
        <w:spacing w:line="420" w:lineRule="exact"/>
        <w:ind w:firstLine="420" w:firstLineChars="200"/>
        <w:rPr>
          <w:sz w:val="21"/>
          <w:szCs w:val="21"/>
          <w:highlight w:val="none"/>
        </w:rPr>
      </w:pPr>
      <w:r>
        <w:rPr>
          <w:rFonts w:hint="eastAsia"/>
          <w:sz w:val="21"/>
          <w:szCs w:val="21"/>
          <w:highlight w:val="none"/>
          <w:lang w:val="en-US"/>
        </w:rPr>
        <w:t>12.1</w:t>
      </w:r>
      <w:r>
        <w:rPr>
          <w:rFonts w:hint="eastAsia"/>
          <w:sz w:val="21"/>
          <w:szCs w:val="21"/>
          <w:highlight w:val="none"/>
        </w:rPr>
        <w:t>未按规定交纳履约保证金，将视为中标无效；</w:t>
      </w:r>
    </w:p>
    <w:p>
      <w:pPr>
        <w:spacing w:line="420" w:lineRule="exact"/>
        <w:ind w:firstLine="420" w:firstLineChars="200"/>
        <w:rPr>
          <w:sz w:val="21"/>
          <w:szCs w:val="21"/>
          <w:highlight w:val="none"/>
        </w:rPr>
      </w:pPr>
      <w:r>
        <w:rPr>
          <w:rFonts w:hint="eastAsia"/>
          <w:sz w:val="21"/>
          <w:szCs w:val="21"/>
          <w:highlight w:val="none"/>
        </w:rPr>
        <w:t>1</w:t>
      </w:r>
      <w:r>
        <w:rPr>
          <w:rFonts w:hint="eastAsia"/>
          <w:sz w:val="21"/>
          <w:szCs w:val="21"/>
          <w:highlight w:val="none"/>
          <w:lang w:val="en-US"/>
        </w:rPr>
        <w:t xml:space="preserve">2.2 </w:t>
      </w:r>
      <w:r>
        <w:rPr>
          <w:rFonts w:hint="eastAsia"/>
          <w:sz w:val="21"/>
          <w:szCs w:val="21"/>
          <w:highlight w:val="none"/>
        </w:rPr>
        <w:t>在中标公告期满后，中标人向采购人交纳中标合同价2%（以千为单位）的履约保证金以银行电汇及转账支票或银行保函或履约保证保险等非现金形式通过投标人的账户汇出。本项目在供应商履行完合同约定义务事项后5个工作日内凭相关票据无息退还。</w:t>
      </w:r>
    </w:p>
    <w:p>
      <w:pPr>
        <w:spacing w:line="420" w:lineRule="exact"/>
        <w:ind w:firstLine="420" w:firstLineChars="200"/>
        <w:rPr>
          <w:sz w:val="21"/>
          <w:szCs w:val="21"/>
          <w:highlight w:val="none"/>
        </w:rPr>
      </w:pPr>
      <w:r>
        <w:rPr>
          <w:rFonts w:hint="eastAsia"/>
          <w:sz w:val="21"/>
          <w:szCs w:val="21"/>
          <w:highlight w:val="none"/>
        </w:rPr>
        <w:t>1</w:t>
      </w:r>
      <w:r>
        <w:rPr>
          <w:rFonts w:hint="eastAsia"/>
          <w:sz w:val="21"/>
          <w:szCs w:val="21"/>
          <w:highlight w:val="none"/>
          <w:lang w:val="en-US"/>
        </w:rPr>
        <w:t xml:space="preserve">2.3 </w:t>
      </w:r>
      <w:r>
        <w:rPr>
          <w:rFonts w:hint="eastAsia"/>
          <w:sz w:val="21"/>
          <w:szCs w:val="21"/>
          <w:highlight w:val="none"/>
        </w:rPr>
        <w:t>履约保证金账号</w:t>
      </w:r>
    </w:p>
    <w:p>
      <w:pPr>
        <w:spacing w:line="420" w:lineRule="exact"/>
        <w:ind w:firstLine="420" w:firstLineChars="200"/>
        <w:rPr>
          <w:sz w:val="21"/>
          <w:szCs w:val="21"/>
          <w:highlight w:val="none"/>
        </w:rPr>
      </w:pPr>
      <w:r>
        <w:rPr>
          <w:rFonts w:hint="eastAsia"/>
          <w:sz w:val="21"/>
          <w:szCs w:val="21"/>
          <w:highlight w:val="none"/>
        </w:rPr>
        <w:t xml:space="preserve">  履约保证金交纳方式：银行电汇或转账支票或银行保函或履约保证保险</w:t>
      </w:r>
    </w:p>
    <w:p>
      <w:pPr>
        <w:spacing w:line="420" w:lineRule="exact"/>
        <w:ind w:firstLine="420" w:firstLineChars="200"/>
        <w:rPr>
          <w:sz w:val="21"/>
          <w:szCs w:val="21"/>
          <w:highlight w:val="none"/>
        </w:rPr>
      </w:pPr>
      <w:r>
        <w:rPr>
          <w:rFonts w:hint="eastAsia"/>
          <w:sz w:val="21"/>
          <w:szCs w:val="21"/>
          <w:highlight w:val="none"/>
        </w:rPr>
        <w:t xml:space="preserve">  账号名称：兰溪市会计核算中心  </w:t>
      </w:r>
    </w:p>
    <w:p>
      <w:pPr>
        <w:spacing w:line="420" w:lineRule="exact"/>
        <w:ind w:firstLine="420" w:firstLineChars="200"/>
        <w:rPr>
          <w:sz w:val="21"/>
          <w:szCs w:val="21"/>
          <w:highlight w:val="none"/>
        </w:rPr>
      </w:pPr>
      <w:r>
        <w:rPr>
          <w:rFonts w:hint="eastAsia"/>
          <w:sz w:val="21"/>
          <w:szCs w:val="21"/>
          <w:highlight w:val="none"/>
        </w:rPr>
        <w:t> 银行账号： 3300 1676 1270 5300 4252</w:t>
      </w:r>
    </w:p>
    <w:p>
      <w:pPr>
        <w:spacing w:line="420" w:lineRule="exact"/>
        <w:ind w:firstLine="630" w:firstLineChars="300"/>
        <w:rPr>
          <w:rFonts w:hint="eastAsia"/>
          <w:sz w:val="21"/>
          <w:szCs w:val="21"/>
          <w:highlight w:val="none"/>
        </w:rPr>
      </w:pPr>
      <w:r>
        <w:rPr>
          <w:rFonts w:hint="eastAsia"/>
          <w:sz w:val="21"/>
          <w:szCs w:val="21"/>
          <w:highlight w:val="none"/>
        </w:rPr>
        <w:t>开户银行： 兰溪市建设银行</w:t>
      </w:r>
    </w:p>
    <w:p>
      <w:pPr>
        <w:pStyle w:val="2"/>
        <w:ind w:firstLine="630" w:firstLineChars="300"/>
        <w:jc w:val="both"/>
        <w:rPr>
          <w:rFonts w:hint="eastAsia" w:eastAsia="宋体"/>
          <w:lang w:val="en-US" w:eastAsia="zh-CN"/>
        </w:rPr>
      </w:pPr>
      <w:r>
        <w:rPr>
          <w:rFonts w:hint="eastAsia"/>
          <w:sz w:val="21"/>
          <w:szCs w:val="21"/>
          <w:highlight w:val="none"/>
          <w:lang w:val="en-US" w:eastAsia="zh-CN"/>
        </w:rPr>
        <w:t>备注：</w:t>
      </w:r>
      <w:r>
        <w:rPr>
          <w:rFonts w:hint="eastAsia"/>
          <w:sz w:val="21"/>
          <w:szCs w:val="21"/>
          <w:highlight w:val="none"/>
          <w:u w:val="none"/>
        </w:rPr>
        <w:t>兰溪市综合交通“十四五”规划落地方案</w:t>
      </w:r>
      <w:r>
        <w:rPr>
          <w:rFonts w:hint="eastAsia"/>
          <w:sz w:val="21"/>
          <w:szCs w:val="21"/>
          <w:highlight w:val="none"/>
          <w:u w:val="none"/>
          <w:lang w:val="en-US" w:eastAsia="zh-CN"/>
        </w:rPr>
        <w:t>履约保证金</w:t>
      </w:r>
    </w:p>
    <w:p>
      <w:pPr>
        <w:spacing w:line="420" w:lineRule="exact"/>
        <w:ind w:firstLine="420" w:firstLineChars="200"/>
        <w:rPr>
          <w:highlight w:val="none"/>
        </w:rPr>
      </w:pPr>
      <w:r>
        <w:rPr>
          <w:rFonts w:hint="eastAsia"/>
          <w:sz w:val="21"/>
          <w:szCs w:val="21"/>
          <w:highlight w:val="none"/>
        </w:rPr>
        <w:t xml:space="preserve"> 1</w:t>
      </w:r>
      <w:r>
        <w:rPr>
          <w:rFonts w:hint="eastAsia"/>
          <w:sz w:val="21"/>
          <w:szCs w:val="21"/>
          <w:highlight w:val="none"/>
          <w:lang w:val="en-US"/>
        </w:rPr>
        <w:t>2</w:t>
      </w:r>
      <w:r>
        <w:rPr>
          <w:rFonts w:hint="eastAsia"/>
          <w:sz w:val="21"/>
          <w:szCs w:val="21"/>
          <w:highlight w:val="none"/>
        </w:rPr>
        <w:t>.4履约保证金退还：本项目在供应商履行完合同约定义务事项后5个工作日内凭相关票据无息退还。履约保证金交款方式请与兰溪市交通运输局财务联系0579-88137538 。</w:t>
      </w:r>
    </w:p>
    <w:p>
      <w:pPr>
        <w:spacing w:line="440" w:lineRule="exact"/>
        <w:ind w:left="440" w:leftChars="200"/>
        <w:rPr>
          <w:sz w:val="21"/>
          <w:szCs w:val="21"/>
          <w:highlight w:val="none"/>
        </w:rPr>
      </w:pPr>
      <w:r>
        <w:rPr>
          <w:rFonts w:hint="eastAsia"/>
          <w:sz w:val="21"/>
          <w:szCs w:val="21"/>
          <w:highlight w:val="none"/>
        </w:rPr>
        <w:t>1</w:t>
      </w:r>
      <w:r>
        <w:rPr>
          <w:rFonts w:hint="eastAsia"/>
          <w:sz w:val="21"/>
          <w:szCs w:val="21"/>
          <w:highlight w:val="none"/>
          <w:lang w:val="en-US"/>
        </w:rPr>
        <w:t>3</w:t>
      </w:r>
      <w:r>
        <w:rPr>
          <w:rFonts w:hint="eastAsia"/>
          <w:sz w:val="21"/>
          <w:szCs w:val="21"/>
          <w:highlight w:val="none"/>
        </w:rPr>
        <w:t>、投标有效期</w:t>
      </w:r>
    </w:p>
    <w:p>
      <w:pPr>
        <w:autoSpaceDE/>
        <w:autoSpaceDN/>
        <w:spacing w:line="400" w:lineRule="exact"/>
        <w:ind w:firstLine="420" w:firstLineChars="200"/>
        <w:rPr>
          <w:sz w:val="21"/>
          <w:szCs w:val="21"/>
          <w:highlight w:val="none"/>
        </w:rPr>
      </w:pPr>
      <w:r>
        <w:rPr>
          <w:rFonts w:hint="eastAsia"/>
          <w:sz w:val="21"/>
          <w:szCs w:val="21"/>
          <w:highlight w:val="none"/>
        </w:rPr>
        <w:t>1</w:t>
      </w:r>
      <w:r>
        <w:rPr>
          <w:rFonts w:hint="eastAsia"/>
          <w:sz w:val="21"/>
          <w:szCs w:val="21"/>
          <w:highlight w:val="none"/>
          <w:lang w:val="en-US"/>
        </w:rPr>
        <w:t>3</w:t>
      </w:r>
      <w:r>
        <w:rPr>
          <w:rFonts w:hint="eastAsia"/>
          <w:sz w:val="21"/>
          <w:szCs w:val="21"/>
          <w:highlight w:val="none"/>
        </w:rPr>
        <w:t>.1投标文件从开标之日起，投标有效期为90天。</w:t>
      </w:r>
    </w:p>
    <w:p>
      <w:pPr>
        <w:autoSpaceDE/>
        <w:autoSpaceDN/>
        <w:spacing w:line="400" w:lineRule="exact"/>
        <w:ind w:firstLine="420" w:firstLineChars="200"/>
        <w:rPr>
          <w:sz w:val="21"/>
          <w:szCs w:val="21"/>
          <w:highlight w:val="none"/>
        </w:rPr>
      </w:pPr>
      <w:r>
        <w:rPr>
          <w:rFonts w:hint="eastAsia"/>
          <w:sz w:val="21"/>
          <w:szCs w:val="21"/>
          <w:highlight w:val="none"/>
        </w:rPr>
        <w:t>1</w:t>
      </w:r>
      <w:r>
        <w:rPr>
          <w:rFonts w:hint="eastAsia"/>
          <w:sz w:val="21"/>
          <w:szCs w:val="21"/>
          <w:highlight w:val="none"/>
          <w:lang w:val="en-US"/>
        </w:rPr>
        <w:t>3</w:t>
      </w:r>
      <w:r>
        <w:rPr>
          <w:rFonts w:hint="eastAsia"/>
          <w:sz w:val="21"/>
          <w:szCs w:val="21"/>
          <w:highlight w:val="none"/>
        </w:rPr>
        <w:t xml:space="preserve">.2 特殊情况下，在原投标有效期截止之前，采购单位可要求投标方同意延长有效期，这种要求与答复均应以书面形式提交。 </w:t>
      </w:r>
    </w:p>
    <w:p>
      <w:pPr>
        <w:autoSpaceDE/>
        <w:autoSpaceDN/>
        <w:spacing w:line="400" w:lineRule="exact"/>
        <w:ind w:firstLine="420" w:firstLineChars="200"/>
        <w:rPr>
          <w:sz w:val="21"/>
          <w:szCs w:val="21"/>
          <w:highlight w:val="none"/>
        </w:rPr>
      </w:pPr>
      <w:r>
        <w:rPr>
          <w:rFonts w:hint="eastAsia"/>
          <w:sz w:val="21"/>
          <w:szCs w:val="21"/>
          <w:highlight w:val="none"/>
        </w:rPr>
        <w:t>1</w:t>
      </w:r>
      <w:r>
        <w:rPr>
          <w:rFonts w:hint="eastAsia"/>
          <w:sz w:val="21"/>
          <w:szCs w:val="21"/>
          <w:highlight w:val="none"/>
          <w:lang w:val="en-US"/>
        </w:rPr>
        <w:t>3</w:t>
      </w:r>
      <w:r>
        <w:rPr>
          <w:rFonts w:hint="eastAsia"/>
          <w:sz w:val="21"/>
          <w:szCs w:val="21"/>
          <w:highlight w:val="none"/>
        </w:rPr>
        <w:t>.3 中标人的投标文件自开标之日起至合同履行完毕均止均保持有效。</w:t>
      </w:r>
    </w:p>
    <w:p>
      <w:pPr>
        <w:pStyle w:val="4"/>
        <w:numPr>
          <w:ilvl w:val="2"/>
          <w:numId w:val="0"/>
        </w:numPr>
        <w:autoSpaceDE/>
        <w:autoSpaceDN/>
        <w:spacing w:line="400" w:lineRule="exact"/>
        <w:jc w:val="left"/>
        <w:rPr>
          <w:bCs w:val="0"/>
          <w:sz w:val="21"/>
          <w:szCs w:val="21"/>
          <w:highlight w:val="none"/>
        </w:rPr>
      </w:pPr>
      <w:r>
        <w:rPr>
          <w:rFonts w:hint="eastAsia"/>
          <w:bCs w:val="0"/>
          <w:sz w:val="21"/>
          <w:szCs w:val="21"/>
          <w:highlight w:val="none"/>
        </w:rPr>
        <w:t xml:space="preserve">    1</w:t>
      </w:r>
      <w:r>
        <w:rPr>
          <w:rFonts w:hint="eastAsia"/>
          <w:bCs w:val="0"/>
          <w:sz w:val="21"/>
          <w:szCs w:val="21"/>
          <w:highlight w:val="none"/>
          <w:lang w:val="en-US"/>
        </w:rPr>
        <w:t>4</w:t>
      </w:r>
      <w:r>
        <w:rPr>
          <w:rFonts w:hint="eastAsia"/>
          <w:bCs w:val="0"/>
          <w:sz w:val="21"/>
          <w:szCs w:val="21"/>
          <w:highlight w:val="none"/>
        </w:rPr>
        <w:t>、投标偏离及建议</w:t>
      </w:r>
    </w:p>
    <w:p>
      <w:pPr>
        <w:autoSpaceDE/>
        <w:autoSpaceDN/>
        <w:spacing w:line="400" w:lineRule="exact"/>
        <w:ind w:firstLine="420" w:firstLineChars="200"/>
        <w:rPr>
          <w:sz w:val="21"/>
          <w:szCs w:val="21"/>
          <w:highlight w:val="none"/>
        </w:rPr>
      </w:pPr>
      <w:r>
        <w:rPr>
          <w:rFonts w:hint="eastAsia"/>
          <w:sz w:val="21"/>
          <w:szCs w:val="21"/>
          <w:highlight w:val="none"/>
        </w:rPr>
        <w:t>1</w:t>
      </w:r>
      <w:r>
        <w:rPr>
          <w:rFonts w:hint="eastAsia"/>
          <w:sz w:val="21"/>
          <w:szCs w:val="21"/>
          <w:highlight w:val="none"/>
          <w:lang w:val="en-US"/>
        </w:rPr>
        <w:t>4</w:t>
      </w:r>
      <w:r>
        <w:rPr>
          <w:rFonts w:hint="eastAsia"/>
          <w:sz w:val="21"/>
          <w:szCs w:val="21"/>
          <w:highlight w:val="none"/>
        </w:rPr>
        <w:t>.1投标人如对项目的要求在技术和商务方面有偏离，均须在规范的偏离表中提出。</w:t>
      </w:r>
    </w:p>
    <w:p>
      <w:pPr>
        <w:autoSpaceDE/>
        <w:autoSpaceDN/>
        <w:spacing w:line="400" w:lineRule="exact"/>
        <w:ind w:firstLine="420" w:firstLineChars="200"/>
        <w:rPr>
          <w:sz w:val="21"/>
          <w:szCs w:val="21"/>
          <w:highlight w:val="none"/>
        </w:rPr>
      </w:pPr>
      <w:r>
        <w:rPr>
          <w:rFonts w:hint="eastAsia"/>
          <w:sz w:val="21"/>
          <w:szCs w:val="21"/>
          <w:highlight w:val="none"/>
        </w:rPr>
        <w:t>1</w:t>
      </w:r>
      <w:r>
        <w:rPr>
          <w:rFonts w:hint="eastAsia"/>
          <w:sz w:val="21"/>
          <w:szCs w:val="21"/>
          <w:highlight w:val="none"/>
          <w:lang w:val="en-US"/>
        </w:rPr>
        <w:t>4</w:t>
      </w:r>
      <w:r>
        <w:rPr>
          <w:rFonts w:hint="eastAsia"/>
          <w:sz w:val="21"/>
          <w:szCs w:val="21"/>
          <w:highlight w:val="none"/>
        </w:rPr>
        <w:t>.2投标人可以在投标文件中对采购设备的技术规格要求提出推荐和替代意见，但所提出的意见应优于采购文件中提出的响应要求，并且使采购人满意。</w:t>
      </w:r>
    </w:p>
    <w:p>
      <w:pPr>
        <w:pStyle w:val="4"/>
        <w:numPr>
          <w:ilvl w:val="2"/>
          <w:numId w:val="0"/>
        </w:numPr>
        <w:autoSpaceDE/>
        <w:autoSpaceDN/>
        <w:spacing w:line="400" w:lineRule="exact"/>
        <w:ind w:firstLine="422" w:firstLineChars="200"/>
        <w:jc w:val="left"/>
        <w:rPr>
          <w:bCs w:val="0"/>
          <w:sz w:val="21"/>
          <w:szCs w:val="21"/>
          <w:highlight w:val="none"/>
        </w:rPr>
      </w:pPr>
      <w:r>
        <w:rPr>
          <w:rFonts w:hint="eastAsia"/>
          <w:bCs w:val="0"/>
          <w:sz w:val="21"/>
          <w:szCs w:val="21"/>
          <w:highlight w:val="none"/>
        </w:rPr>
        <w:t>1</w:t>
      </w:r>
      <w:r>
        <w:rPr>
          <w:rFonts w:hint="eastAsia"/>
          <w:bCs w:val="0"/>
          <w:sz w:val="21"/>
          <w:szCs w:val="21"/>
          <w:highlight w:val="none"/>
          <w:lang w:val="en-US"/>
        </w:rPr>
        <w:t>5</w:t>
      </w:r>
      <w:r>
        <w:rPr>
          <w:rFonts w:hint="eastAsia"/>
          <w:bCs w:val="0"/>
          <w:sz w:val="21"/>
          <w:szCs w:val="21"/>
          <w:highlight w:val="none"/>
        </w:rPr>
        <w:t>、投标文件格式</w:t>
      </w:r>
    </w:p>
    <w:p>
      <w:pPr>
        <w:pStyle w:val="4"/>
        <w:numPr>
          <w:ilvl w:val="2"/>
          <w:numId w:val="0"/>
        </w:numPr>
        <w:autoSpaceDE/>
        <w:autoSpaceDN/>
        <w:spacing w:line="400" w:lineRule="exact"/>
        <w:ind w:firstLine="422" w:firstLineChars="200"/>
        <w:jc w:val="both"/>
        <w:rPr>
          <w:bCs w:val="0"/>
          <w:sz w:val="21"/>
          <w:szCs w:val="21"/>
          <w:highlight w:val="none"/>
        </w:rPr>
      </w:pPr>
      <w:r>
        <w:rPr>
          <w:rFonts w:hint="eastAsia"/>
          <w:bCs w:val="0"/>
          <w:sz w:val="21"/>
          <w:szCs w:val="21"/>
          <w:highlight w:val="none"/>
        </w:rPr>
        <w:t>1</w:t>
      </w:r>
      <w:r>
        <w:rPr>
          <w:rFonts w:hint="eastAsia"/>
          <w:bCs w:val="0"/>
          <w:sz w:val="21"/>
          <w:szCs w:val="21"/>
          <w:highlight w:val="none"/>
          <w:lang w:val="en-US"/>
        </w:rPr>
        <w:t>5</w:t>
      </w:r>
      <w:r>
        <w:rPr>
          <w:rFonts w:hint="eastAsia"/>
          <w:bCs w:val="0"/>
          <w:sz w:val="21"/>
          <w:szCs w:val="21"/>
          <w:highlight w:val="none"/>
        </w:rPr>
        <w:t>.1 投标人应参照采购文件中第八章提供的“投标文件格式”填写并装订。</w:t>
      </w:r>
    </w:p>
    <w:p>
      <w:pPr>
        <w:pStyle w:val="4"/>
        <w:numPr>
          <w:ilvl w:val="2"/>
          <w:numId w:val="0"/>
        </w:numPr>
        <w:autoSpaceDE/>
        <w:autoSpaceDN/>
        <w:spacing w:line="400" w:lineRule="exact"/>
        <w:ind w:firstLine="422" w:firstLineChars="200"/>
        <w:rPr>
          <w:bCs w:val="0"/>
          <w:sz w:val="21"/>
          <w:szCs w:val="21"/>
          <w:highlight w:val="none"/>
        </w:rPr>
      </w:pPr>
      <w:r>
        <w:rPr>
          <w:rFonts w:hint="eastAsia"/>
          <w:bCs w:val="0"/>
          <w:sz w:val="21"/>
          <w:szCs w:val="21"/>
          <w:highlight w:val="none"/>
        </w:rPr>
        <w:t>1</w:t>
      </w:r>
      <w:r>
        <w:rPr>
          <w:rFonts w:hint="eastAsia"/>
          <w:bCs w:val="0"/>
          <w:sz w:val="21"/>
          <w:szCs w:val="21"/>
          <w:highlight w:val="none"/>
          <w:lang w:val="en-US"/>
        </w:rPr>
        <w:t>5</w:t>
      </w:r>
      <w:r>
        <w:rPr>
          <w:rFonts w:hint="eastAsia"/>
          <w:bCs w:val="0"/>
          <w:sz w:val="21"/>
          <w:szCs w:val="21"/>
          <w:highlight w:val="none"/>
        </w:rPr>
        <w:t>.2 所有投标书均在政采云系统上传，包括资格证明文件、</w:t>
      </w:r>
      <w:r>
        <w:rPr>
          <w:rFonts w:hint="eastAsia"/>
          <w:bCs w:val="0"/>
          <w:sz w:val="21"/>
          <w:szCs w:val="21"/>
          <w:highlight w:val="none"/>
          <w:lang w:eastAsia="zh-CN"/>
        </w:rPr>
        <w:t>技术资信标、</w:t>
      </w:r>
      <w:r>
        <w:rPr>
          <w:rFonts w:hint="eastAsia"/>
          <w:bCs w:val="0"/>
          <w:sz w:val="21"/>
          <w:szCs w:val="21"/>
          <w:highlight w:val="none"/>
        </w:rPr>
        <w:t>价格标。备份的投标文件</w:t>
      </w:r>
    </w:p>
    <w:p>
      <w:pPr>
        <w:pStyle w:val="4"/>
        <w:numPr>
          <w:ilvl w:val="2"/>
          <w:numId w:val="0"/>
        </w:numPr>
        <w:autoSpaceDE/>
        <w:autoSpaceDN/>
        <w:spacing w:line="400" w:lineRule="exact"/>
        <w:jc w:val="both"/>
        <w:rPr>
          <w:bCs w:val="0"/>
          <w:sz w:val="21"/>
          <w:szCs w:val="21"/>
          <w:highlight w:val="none"/>
        </w:rPr>
      </w:pPr>
      <w:r>
        <w:rPr>
          <w:rFonts w:hint="eastAsia"/>
          <w:bCs w:val="0"/>
          <w:sz w:val="21"/>
          <w:szCs w:val="21"/>
          <w:highlight w:val="none"/>
        </w:rPr>
        <w:t>邮寄或现场送达给浙江中信工程咨询有限公司备用。</w:t>
      </w:r>
    </w:p>
    <w:p>
      <w:pPr>
        <w:pStyle w:val="4"/>
        <w:numPr>
          <w:ilvl w:val="2"/>
          <w:numId w:val="0"/>
        </w:numPr>
        <w:autoSpaceDE/>
        <w:autoSpaceDN/>
        <w:spacing w:line="400" w:lineRule="exact"/>
        <w:ind w:firstLine="422" w:firstLineChars="200"/>
        <w:jc w:val="both"/>
        <w:rPr>
          <w:bCs w:val="0"/>
          <w:sz w:val="21"/>
          <w:szCs w:val="21"/>
          <w:highlight w:val="none"/>
        </w:rPr>
      </w:pPr>
      <w:r>
        <w:rPr>
          <w:rFonts w:hint="eastAsia"/>
          <w:bCs w:val="0"/>
          <w:sz w:val="21"/>
          <w:szCs w:val="21"/>
          <w:highlight w:val="none"/>
        </w:rPr>
        <w:t>四、本项目实行电子投标。</w:t>
      </w:r>
    </w:p>
    <w:p>
      <w:pPr>
        <w:pStyle w:val="4"/>
        <w:numPr>
          <w:ilvl w:val="2"/>
          <w:numId w:val="0"/>
        </w:numPr>
        <w:autoSpaceDE/>
        <w:autoSpaceDN/>
        <w:spacing w:line="400" w:lineRule="exact"/>
        <w:ind w:firstLine="422" w:firstLineChars="200"/>
        <w:jc w:val="both"/>
        <w:rPr>
          <w:bCs w:val="0"/>
          <w:sz w:val="21"/>
          <w:szCs w:val="21"/>
          <w:highlight w:val="none"/>
        </w:rPr>
      </w:pPr>
      <w:r>
        <w:rPr>
          <w:rFonts w:hint="eastAsia"/>
          <w:bCs w:val="0"/>
          <w:sz w:val="21"/>
          <w:szCs w:val="21"/>
          <w:highlight w:val="none"/>
        </w:rPr>
        <w:t>1</w:t>
      </w:r>
      <w:r>
        <w:rPr>
          <w:rFonts w:hint="eastAsia"/>
          <w:bCs w:val="0"/>
          <w:sz w:val="21"/>
          <w:szCs w:val="21"/>
          <w:highlight w:val="none"/>
          <w:lang w:val="en-US"/>
        </w:rPr>
        <w:t>6</w:t>
      </w:r>
      <w:r>
        <w:rPr>
          <w:rFonts w:hint="eastAsia"/>
          <w:bCs w:val="0"/>
          <w:sz w:val="21"/>
          <w:szCs w:val="21"/>
          <w:highlight w:val="none"/>
        </w:rPr>
        <w:t>、投标人应准备电子响应文件、以介质存储的数据电文形式的备份响应文件两类：</w:t>
      </w:r>
    </w:p>
    <w:p>
      <w:pPr>
        <w:autoSpaceDE/>
        <w:autoSpaceDN/>
        <w:spacing w:line="400" w:lineRule="exact"/>
        <w:ind w:firstLine="420" w:firstLineChars="200"/>
        <w:rPr>
          <w:sz w:val="21"/>
          <w:szCs w:val="21"/>
          <w:highlight w:val="none"/>
        </w:rPr>
      </w:pPr>
      <w:r>
        <w:rPr>
          <w:rFonts w:hint="eastAsia"/>
          <w:sz w:val="21"/>
          <w:szCs w:val="21"/>
          <w:highlight w:val="none"/>
        </w:rPr>
        <w:t>1</w:t>
      </w:r>
      <w:r>
        <w:rPr>
          <w:rFonts w:hint="eastAsia"/>
          <w:sz w:val="21"/>
          <w:szCs w:val="21"/>
          <w:highlight w:val="none"/>
          <w:lang w:val="en-US"/>
        </w:rPr>
        <w:t>6</w:t>
      </w:r>
      <w:r>
        <w:rPr>
          <w:rFonts w:hint="eastAsia"/>
          <w:sz w:val="21"/>
          <w:szCs w:val="21"/>
          <w:highlight w:val="none"/>
        </w:rPr>
        <w:t>.1电子响应文件，按政采云平台项目采购-电子招投标操作指南及本采购文件要求递交。</w:t>
      </w:r>
    </w:p>
    <w:p>
      <w:pPr>
        <w:autoSpaceDE/>
        <w:autoSpaceDN/>
        <w:spacing w:line="400" w:lineRule="exact"/>
        <w:ind w:firstLine="420" w:firstLineChars="200"/>
        <w:rPr>
          <w:sz w:val="21"/>
          <w:szCs w:val="21"/>
          <w:highlight w:val="none"/>
        </w:rPr>
      </w:pPr>
      <w:r>
        <w:rPr>
          <w:rFonts w:hint="eastAsia"/>
          <w:sz w:val="21"/>
          <w:szCs w:val="21"/>
          <w:highlight w:val="none"/>
        </w:rPr>
        <w:t>1</w:t>
      </w:r>
      <w:r>
        <w:rPr>
          <w:rFonts w:hint="eastAsia"/>
          <w:sz w:val="21"/>
          <w:szCs w:val="21"/>
          <w:highlight w:val="none"/>
          <w:lang w:val="en-US"/>
        </w:rPr>
        <w:t>6</w:t>
      </w:r>
      <w:r>
        <w:rPr>
          <w:rFonts w:hint="eastAsia"/>
          <w:sz w:val="21"/>
          <w:szCs w:val="21"/>
          <w:highlight w:val="none"/>
        </w:rPr>
        <w:t>.2以介质存储的数据电文形式的备份响应文件，按政采云平台项目采购-电子招投标操作指南中上传的电子响应文件格式，以介质是U盘或DVD光盘存储形式提供。数量为1份。</w:t>
      </w:r>
    </w:p>
    <w:p>
      <w:pPr>
        <w:autoSpaceDE/>
        <w:autoSpaceDN/>
        <w:spacing w:line="400" w:lineRule="exact"/>
        <w:ind w:firstLine="420" w:firstLineChars="200"/>
        <w:rPr>
          <w:sz w:val="21"/>
          <w:szCs w:val="21"/>
          <w:highlight w:val="none"/>
        </w:rPr>
      </w:pPr>
      <w:r>
        <w:rPr>
          <w:rFonts w:hint="eastAsia"/>
          <w:sz w:val="21"/>
          <w:szCs w:val="21"/>
          <w:highlight w:val="none"/>
        </w:rPr>
        <w:t>1</w:t>
      </w:r>
      <w:r>
        <w:rPr>
          <w:rFonts w:hint="eastAsia"/>
          <w:sz w:val="21"/>
          <w:szCs w:val="21"/>
          <w:highlight w:val="none"/>
          <w:lang w:val="en-US"/>
        </w:rPr>
        <w:t>6</w:t>
      </w:r>
      <w:r>
        <w:rPr>
          <w:rFonts w:hint="eastAsia"/>
          <w:sz w:val="21"/>
          <w:szCs w:val="21"/>
          <w:highlight w:val="none"/>
        </w:rPr>
        <w:t>.3响应文件启用顺序和效力。响应文件的启用，按先后顺位分别为电子响应文件、以介质存储的数据电文形式的备份响应文件。顺位在先的响应文件已按时解密的，备份响应文件自动失效。在下一顺位的响应文件启用时，前一顺位的响应文件自动失效。</w:t>
      </w:r>
    </w:p>
    <w:p>
      <w:pPr>
        <w:autoSpaceDE/>
        <w:autoSpaceDN/>
        <w:spacing w:line="400" w:lineRule="exact"/>
        <w:ind w:firstLine="422" w:firstLineChars="200"/>
        <w:rPr>
          <w:b/>
          <w:bCs/>
          <w:sz w:val="21"/>
          <w:szCs w:val="21"/>
          <w:highlight w:val="none"/>
        </w:rPr>
      </w:pPr>
      <w:r>
        <w:rPr>
          <w:rFonts w:hint="eastAsia"/>
          <w:b/>
          <w:bCs/>
          <w:sz w:val="21"/>
          <w:szCs w:val="21"/>
          <w:highlight w:val="none"/>
        </w:rPr>
        <w:t>★未传输递交电子响应文件的，投标无效。未按规定提供相应的备份响应文件，造成项目开评标活动无法进行下去的，投标无效。</w:t>
      </w:r>
    </w:p>
    <w:p>
      <w:pPr>
        <w:autoSpaceDE/>
        <w:autoSpaceDN/>
        <w:spacing w:line="400" w:lineRule="exact"/>
        <w:ind w:firstLine="422" w:firstLineChars="200"/>
        <w:rPr>
          <w:b/>
          <w:sz w:val="21"/>
          <w:szCs w:val="21"/>
          <w:highlight w:val="none"/>
        </w:rPr>
      </w:pPr>
      <w:r>
        <w:rPr>
          <w:rFonts w:hint="eastAsia"/>
          <w:b/>
          <w:sz w:val="21"/>
          <w:szCs w:val="21"/>
          <w:highlight w:val="none"/>
        </w:rPr>
        <w:t>1</w:t>
      </w:r>
      <w:r>
        <w:rPr>
          <w:rFonts w:hint="eastAsia"/>
          <w:b/>
          <w:sz w:val="21"/>
          <w:szCs w:val="21"/>
          <w:highlight w:val="none"/>
          <w:lang w:val="en-US"/>
        </w:rPr>
        <w:t>7</w:t>
      </w:r>
      <w:r>
        <w:rPr>
          <w:rFonts w:hint="eastAsia"/>
          <w:b/>
          <w:sz w:val="21"/>
          <w:szCs w:val="21"/>
          <w:highlight w:val="none"/>
        </w:rPr>
        <w:t>“电子加密响应文件”的上传、递交：</w:t>
      </w:r>
    </w:p>
    <w:p>
      <w:pPr>
        <w:autoSpaceDE/>
        <w:autoSpaceDN/>
        <w:spacing w:line="400" w:lineRule="exact"/>
        <w:ind w:firstLine="420" w:firstLineChars="200"/>
        <w:rPr>
          <w:sz w:val="21"/>
          <w:szCs w:val="21"/>
          <w:highlight w:val="none"/>
        </w:rPr>
      </w:pPr>
      <w:r>
        <w:rPr>
          <w:rFonts w:hint="eastAsia"/>
          <w:sz w:val="21"/>
          <w:szCs w:val="21"/>
          <w:highlight w:val="none"/>
        </w:rPr>
        <w:t>1</w:t>
      </w:r>
      <w:r>
        <w:rPr>
          <w:rFonts w:hint="eastAsia"/>
          <w:sz w:val="21"/>
          <w:szCs w:val="21"/>
          <w:highlight w:val="none"/>
          <w:lang w:val="en-US"/>
        </w:rPr>
        <w:t>7</w:t>
      </w:r>
      <w:r>
        <w:rPr>
          <w:rFonts w:hint="eastAsia"/>
          <w:sz w:val="21"/>
          <w:szCs w:val="21"/>
          <w:highlight w:val="none"/>
        </w:rPr>
        <w:t>.1.投标人应在投标截止时间前将“电子加密响应文件”成功上传递交至“政府采购云平台”，否则投标无效。</w:t>
      </w:r>
    </w:p>
    <w:p>
      <w:pPr>
        <w:autoSpaceDE/>
        <w:autoSpaceDN/>
        <w:spacing w:line="400" w:lineRule="exact"/>
        <w:ind w:firstLine="420"/>
        <w:rPr>
          <w:sz w:val="21"/>
          <w:szCs w:val="21"/>
          <w:highlight w:val="none"/>
        </w:rPr>
      </w:pPr>
      <w:r>
        <w:rPr>
          <w:rFonts w:hint="eastAsia"/>
          <w:sz w:val="21"/>
          <w:szCs w:val="21"/>
          <w:highlight w:val="none"/>
        </w:rPr>
        <w:t>1</w:t>
      </w:r>
      <w:r>
        <w:rPr>
          <w:rFonts w:hint="eastAsia"/>
          <w:sz w:val="21"/>
          <w:szCs w:val="21"/>
          <w:highlight w:val="none"/>
          <w:lang w:val="en-US"/>
        </w:rPr>
        <w:t>7</w:t>
      </w:r>
      <w:r>
        <w:rPr>
          <w:rFonts w:hint="eastAsia"/>
          <w:sz w:val="21"/>
          <w:szCs w:val="21"/>
          <w:highlight w:val="none"/>
        </w:rPr>
        <w:t>.2.“电子加密响应文件”成功上传递交后，投标人可自行打印响应文件接收回执。</w:t>
      </w:r>
    </w:p>
    <w:p>
      <w:pPr>
        <w:autoSpaceDE/>
        <w:autoSpaceDN/>
        <w:spacing w:line="400" w:lineRule="exact"/>
        <w:ind w:firstLine="422" w:firstLineChars="200"/>
        <w:rPr>
          <w:b/>
          <w:sz w:val="21"/>
          <w:szCs w:val="21"/>
          <w:highlight w:val="none"/>
        </w:rPr>
      </w:pPr>
      <w:r>
        <w:rPr>
          <w:rFonts w:hint="eastAsia"/>
          <w:b/>
          <w:sz w:val="21"/>
          <w:szCs w:val="21"/>
          <w:highlight w:val="none"/>
        </w:rPr>
        <w:t>1</w:t>
      </w:r>
      <w:r>
        <w:rPr>
          <w:rFonts w:hint="eastAsia"/>
          <w:b/>
          <w:sz w:val="21"/>
          <w:szCs w:val="21"/>
          <w:highlight w:val="none"/>
          <w:lang w:val="en-US"/>
        </w:rPr>
        <w:t>8</w:t>
      </w:r>
      <w:r>
        <w:rPr>
          <w:rFonts w:hint="eastAsia"/>
          <w:b/>
          <w:sz w:val="21"/>
          <w:szCs w:val="21"/>
          <w:highlight w:val="none"/>
        </w:rPr>
        <w:t>、“备份响应文件”的密封包装、递交：</w:t>
      </w:r>
    </w:p>
    <w:p>
      <w:pPr>
        <w:autoSpaceDE/>
        <w:autoSpaceDN/>
        <w:spacing w:line="400" w:lineRule="exact"/>
        <w:ind w:firstLine="420" w:firstLineChars="200"/>
        <w:rPr>
          <w:sz w:val="21"/>
          <w:szCs w:val="21"/>
          <w:highlight w:val="none"/>
        </w:rPr>
      </w:pPr>
      <w:r>
        <w:rPr>
          <w:rFonts w:hint="eastAsia"/>
          <w:sz w:val="21"/>
          <w:szCs w:val="21"/>
          <w:highlight w:val="none"/>
        </w:rPr>
        <w:t>1</w:t>
      </w:r>
      <w:r>
        <w:rPr>
          <w:rFonts w:hint="eastAsia"/>
          <w:sz w:val="21"/>
          <w:szCs w:val="21"/>
          <w:highlight w:val="none"/>
          <w:lang w:val="en-US"/>
        </w:rPr>
        <w:t>8</w:t>
      </w:r>
      <w:r>
        <w:rPr>
          <w:rFonts w:hint="eastAsia"/>
          <w:sz w:val="21"/>
          <w:szCs w:val="21"/>
          <w:highlight w:val="none"/>
        </w:rPr>
        <w:t>.1投标人在“政府采购云平台”完成“电子加密响应文件”的上传递交后，还可以（邮寄或现场送达形式）在</w:t>
      </w:r>
      <w:r>
        <w:rPr>
          <w:rFonts w:hint="eastAsia"/>
          <w:sz w:val="21"/>
          <w:szCs w:val="21"/>
          <w:highlight w:val="none"/>
          <w:lang w:val="en-US"/>
        </w:rPr>
        <w:t>2022年</w:t>
      </w:r>
      <w:r>
        <w:rPr>
          <w:rFonts w:hint="eastAsia"/>
          <w:sz w:val="21"/>
          <w:szCs w:val="21"/>
          <w:highlight w:val="none"/>
          <w:lang w:val="en-US" w:eastAsia="zh-CN"/>
        </w:rPr>
        <w:t>6</w:t>
      </w:r>
      <w:r>
        <w:rPr>
          <w:rFonts w:hint="eastAsia"/>
          <w:sz w:val="21"/>
          <w:szCs w:val="21"/>
          <w:highlight w:val="none"/>
          <w:lang w:val="en-US"/>
        </w:rPr>
        <w:t xml:space="preserve"> 月</w:t>
      </w:r>
      <w:r>
        <w:rPr>
          <w:rFonts w:hint="eastAsia"/>
          <w:sz w:val="21"/>
          <w:szCs w:val="21"/>
          <w:highlight w:val="none"/>
          <w:lang w:val="en-US" w:eastAsia="zh-CN"/>
        </w:rPr>
        <w:t xml:space="preserve"> 14</w:t>
      </w:r>
      <w:r>
        <w:rPr>
          <w:rFonts w:hint="eastAsia"/>
          <w:sz w:val="21"/>
          <w:szCs w:val="21"/>
          <w:highlight w:val="none"/>
          <w:lang w:val="en-US"/>
        </w:rPr>
        <w:t xml:space="preserve"> 日17：00时</w:t>
      </w:r>
      <w:r>
        <w:rPr>
          <w:rFonts w:hint="eastAsia"/>
          <w:sz w:val="21"/>
          <w:szCs w:val="21"/>
          <w:highlight w:val="none"/>
        </w:rPr>
        <w:t>前递交以介质是U盘或DVD光盘存储的 “备份响应文件”（一份）；</w:t>
      </w:r>
    </w:p>
    <w:p>
      <w:pPr>
        <w:autoSpaceDE/>
        <w:autoSpaceDN/>
        <w:spacing w:line="400" w:lineRule="exact"/>
        <w:ind w:firstLine="420" w:firstLineChars="200"/>
        <w:rPr>
          <w:sz w:val="21"/>
          <w:szCs w:val="21"/>
          <w:highlight w:val="none"/>
        </w:rPr>
      </w:pPr>
      <w:r>
        <w:rPr>
          <w:rFonts w:hint="eastAsia"/>
          <w:sz w:val="21"/>
          <w:szCs w:val="21"/>
          <w:highlight w:val="none"/>
        </w:rPr>
        <w:t>1</w:t>
      </w:r>
      <w:r>
        <w:rPr>
          <w:rFonts w:hint="eastAsia"/>
          <w:sz w:val="21"/>
          <w:szCs w:val="21"/>
          <w:highlight w:val="none"/>
          <w:lang w:val="en-US"/>
        </w:rPr>
        <w:t>8</w:t>
      </w:r>
      <w:r>
        <w:rPr>
          <w:rFonts w:hint="eastAsia"/>
          <w:sz w:val="21"/>
          <w:szCs w:val="21"/>
          <w:highlight w:val="none"/>
        </w:rPr>
        <w:t>.2“备份响应文件”应当密封包装，并在包装上标注投标项目名称、投标单位名称并加盖公章。没有密封包装或者逾期送达至投标地点的“备份响应文件”将不予接收；</w:t>
      </w:r>
    </w:p>
    <w:p>
      <w:pPr>
        <w:autoSpaceDE/>
        <w:autoSpaceDN/>
        <w:spacing w:line="400" w:lineRule="exact"/>
        <w:ind w:firstLine="420" w:firstLineChars="200"/>
        <w:rPr>
          <w:sz w:val="21"/>
          <w:szCs w:val="21"/>
          <w:highlight w:val="none"/>
        </w:rPr>
      </w:pPr>
      <w:r>
        <w:rPr>
          <w:rFonts w:hint="eastAsia"/>
          <w:sz w:val="21"/>
          <w:szCs w:val="21"/>
          <w:highlight w:val="none"/>
        </w:rPr>
        <w:t>1</w:t>
      </w:r>
      <w:r>
        <w:rPr>
          <w:rFonts w:hint="eastAsia"/>
          <w:sz w:val="21"/>
          <w:szCs w:val="21"/>
          <w:highlight w:val="none"/>
          <w:lang w:val="en-US"/>
        </w:rPr>
        <w:t>8</w:t>
      </w:r>
      <w:r>
        <w:rPr>
          <w:rFonts w:hint="eastAsia"/>
          <w:sz w:val="21"/>
          <w:szCs w:val="21"/>
          <w:highlight w:val="none"/>
        </w:rPr>
        <w:t xml:space="preserve">.3通过“政府采购云平台”成功上传递交的“电子加密响应文件”已按时解密的，“备份响应文件”自动失效。投标截止时间前，投标人仅递交了“备份响应文件”而未将“电子加密响应文件”成功上传至“政府采购云平台”的，投标无效。  </w:t>
      </w:r>
    </w:p>
    <w:p>
      <w:pPr>
        <w:autoSpaceDE/>
        <w:autoSpaceDN/>
        <w:spacing w:line="400" w:lineRule="exact"/>
        <w:ind w:firstLine="310" w:firstLineChars="147"/>
        <w:outlineLvl w:val="1"/>
        <w:rPr>
          <w:b/>
          <w:bCs/>
          <w:sz w:val="21"/>
          <w:szCs w:val="21"/>
          <w:highlight w:val="none"/>
        </w:rPr>
      </w:pPr>
      <w:r>
        <w:rPr>
          <w:rFonts w:hint="eastAsia"/>
          <w:b/>
          <w:bCs/>
          <w:sz w:val="21"/>
          <w:szCs w:val="21"/>
          <w:highlight w:val="none"/>
          <w:lang w:val="en-US"/>
        </w:rPr>
        <w:t>19</w:t>
      </w:r>
      <w:r>
        <w:rPr>
          <w:rFonts w:hint="eastAsia"/>
          <w:b/>
          <w:bCs/>
          <w:sz w:val="21"/>
          <w:szCs w:val="21"/>
          <w:highlight w:val="none"/>
        </w:rPr>
        <w:t>、投标文件的密封和标记</w:t>
      </w:r>
    </w:p>
    <w:p>
      <w:pPr>
        <w:autoSpaceDE/>
        <w:autoSpaceDN/>
        <w:spacing w:line="400" w:lineRule="exact"/>
        <w:ind w:firstLine="315" w:firstLineChars="150"/>
        <w:outlineLvl w:val="1"/>
        <w:rPr>
          <w:sz w:val="21"/>
          <w:szCs w:val="21"/>
          <w:highlight w:val="none"/>
        </w:rPr>
      </w:pPr>
      <w:r>
        <w:rPr>
          <w:rFonts w:hint="eastAsia"/>
          <w:sz w:val="21"/>
          <w:szCs w:val="21"/>
          <w:highlight w:val="none"/>
          <w:lang w:val="en-US"/>
        </w:rPr>
        <w:t>19</w:t>
      </w:r>
      <w:r>
        <w:rPr>
          <w:rFonts w:hint="eastAsia"/>
          <w:sz w:val="21"/>
          <w:szCs w:val="21"/>
          <w:highlight w:val="none"/>
        </w:rPr>
        <w:t>.1投标人线上制作的投标文件，采用 CA 数字证书进行电子签章及加密。</w:t>
      </w:r>
    </w:p>
    <w:p>
      <w:pPr>
        <w:autoSpaceDE/>
        <w:autoSpaceDN/>
        <w:spacing w:line="400" w:lineRule="exact"/>
        <w:ind w:firstLine="315" w:firstLineChars="150"/>
        <w:outlineLvl w:val="1"/>
        <w:rPr>
          <w:sz w:val="21"/>
          <w:szCs w:val="21"/>
          <w:highlight w:val="none"/>
        </w:rPr>
      </w:pPr>
      <w:r>
        <w:rPr>
          <w:rFonts w:hint="eastAsia"/>
          <w:sz w:val="21"/>
          <w:szCs w:val="21"/>
          <w:highlight w:val="none"/>
          <w:lang w:val="en-US"/>
        </w:rPr>
        <w:t>19</w:t>
      </w:r>
      <w:r>
        <w:rPr>
          <w:rFonts w:hint="eastAsia"/>
          <w:sz w:val="21"/>
          <w:szCs w:val="21"/>
          <w:highlight w:val="none"/>
        </w:rPr>
        <w:t>.2投标人邮寄及现场递交的备份电子投标文件应密封包装，注明投标人名称、项目名称、项目编号等，并封口处加盖公章。</w:t>
      </w:r>
    </w:p>
    <w:p>
      <w:pPr>
        <w:autoSpaceDE/>
        <w:autoSpaceDN/>
        <w:spacing w:line="400" w:lineRule="exact"/>
        <w:ind w:firstLine="316" w:firstLineChars="150"/>
        <w:outlineLvl w:val="1"/>
        <w:rPr>
          <w:b/>
          <w:bCs/>
          <w:sz w:val="21"/>
          <w:szCs w:val="21"/>
          <w:highlight w:val="none"/>
        </w:rPr>
      </w:pPr>
      <w:r>
        <w:rPr>
          <w:rFonts w:hint="eastAsia"/>
          <w:b/>
          <w:bCs/>
          <w:sz w:val="21"/>
          <w:szCs w:val="21"/>
          <w:highlight w:val="none"/>
        </w:rPr>
        <w:t>2</w:t>
      </w:r>
      <w:r>
        <w:rPr>
          <w:rFonts w:hint="eastAsia"/>
          <w:b/>
          <w:bCs/>
          <w:sz w:val="21"/>
          <w:szCs w:val="21"/>
          <w:highlight w:val="none"/>
          <w:lang w:val="en-US"/>
        </w:rPr>
        <w:t>0</w:t>
      </w:r>
      <w:r>
        <w:rPr>
          <w:rFonts w:hint="eastAsia"/>
          <w:b/>
          <w:bCs/>
          <w:sz w:val="21"/>
          <w:szCs w:val="21"/>
          <w:highlight w:val="none"/>
        </w:rPr>
        <w:t>、投标地点和时间</w:t>
      </w:r>
    </w:p>
    <w:p>
      <w:pPr>
        <w:autoSpaceDE/>
        <w:autoSpaceDN/>
        <w:snapToGrid w:val="0"/>
        <w:spacing w:line="400" w:lineRule="exact"/>
        <w:ind w:firstLine="315" w:firstLineChars="150"/>
        <w:outlineLvl w:val="1"/>
        <w:rPr>
          <w:b/>
          <w:bCs/>
          <w:sz w:val="21"/>
          <w:szCs w:val="21"/>
          <w:highlight w:val="none"/>
        </w:rPr>
      </w:pPr>
      <w:r>
        <w:rPr>
          <w:rFonts w:hint="eastAsia"/>
          <w:sz w:val="21"/>
          <w:szCs w:val="21"/>
          <w:highlight w:val="none"/>
        </w:rPr>
        <w:t>2</w:t>
      </w:r>
      <w:r>
        <w:rPr>
          <w:rFonts w:hint="eastAsia"/>
          <w:sz w:val="21"/>
          <w:szCs w:val="21"/>
          <w:highlight w:val="none"/>
          <w:lang w:val="en-US"/>
        </w:rPr>
        <w:t>0</w:t>
      </w:r>
      <w:r>
        <w:rPr>
          <w:rFonts w:hint="eastAsia"/>
          <w:sz w:val="21"/>
          <w:szCs w:val="21"/>
          <w:highlight w:val="none"/>
        </w:rPr>
        <w:t>.1投标地点：</w:t>
      </w:r>
      <w:r>
        <w:rPr>
          <w:rFonts w:hint="eastAsia"/>
          <w:b/>
          <w:bCs/>
          <w:sz w:val="21"/>
          <w:szCs w:val="21"/>
          <w:highlight w:val="none"/>
          <w:u w:val="single"/>
        </w:rPr>
        <w:t xml:space="preserve">政府采购云平台（https://www.zcygov.cn/ ）在线投标 </w:t>
      </w:r>
      <w:r>
        <w:rPr>
          <w:rFonts w:hint="eastAsia"/>
          <w:b/>
          <w:bCs/>
          <w:sz w:val="21"/>
          <w:szCs w:val="21"/>
          <w:highlight w:val="none"/>
        </w:rPr>
        <w:t>。</w:t>
      </w:r>
    </w:p>
    <w:p>
      <w:pPr>
        <w:autoSpaceDE/>
        <w:autoSpaceDN/>
        <w:snapToGrid w:val="0"/>
        <w:spacing w:line="400" w:lineRule="exact"/>
        <w:ind w:firstLine="316" w:firstLineChars="150"/>
        <w:outlineLvl w:val="1"/>
        <w:rPr>
          <w:b/>
          <w:bCs/>
          <w:sz w:val="21"/>
          <w:szCs w:val="21"/>
          <w:highlight w:val="none"/>
        </w:rPr>
      </w:pPr>
      <w:r>
        <w:rPr>
          <w:rFonts w:hint="eastAsia"/>
          <w:b/>
          <w:bCs/>
          <w:sz w:val="21"/>
          <w:szCs w:val="21"/>
          <w:highlight w:val="none"/>
        </w:rPr>
        <w:t>2</w:t>
      </w:r>
      <w:r>
        <w:rPr>
          <w:rFonts w:hint="eastAsia"/>
          <w:b/>
          <w:bCs/>
          <w:sz w:val="21"/>
          <w:szCs w:val="21"/>
          <w:highlight w:val="none"/>
          <w:lang w:val="en-US"/>
        </w:rPr>
        <w:t>0</w:t>
      </w:r>
      <w:r>
        <w:rPr>
          <w:rFonts w:hint="eastAsia"/>
          <w:b/>
          <w:bCs/>
          <w:sz w:val="21"/>
          <w:szCs w:val="21"/>
          <w:highlight w:val="none"/>
        </w:rPr>
        <w:t>.2 投标截止时间：202</w:t>
      </w:r>
      <w:r>
        <w:rPr>
          <w:rFonts w:hint="eastAsia"/>
          <w:b/>
          <w:bCs/>
          <w:sz w:val="21"/>
          <w:szCs w:val="21"/>
          <w:highlight w:val="none"/>
          <w:lang w:val="en-US"/>
        </w:rPr>
        <w:t>2</w:t>
      </w:r>
      <w:r>
        <w:rPr>
          <w:rFonts w:hint="eastAsia"/>
          <w:b/>
          <w:bCs/>
          <w:sz w:val="21"/>
          <w:szCs w:val="21"/>
          <w:highlight w:val="none"/>
        </w:rPr>
        <w:t>年</w:t>
      </w:r>
      <w:r>
        <w:rPr>
          <w:rFonts w:hint="eastAsia"/>
          <w:b/>
          <w:bCs/>
          <w:sz w:val="21"/>
          <w:szCs w:val="21"/>
          <w:highlight w:val="none"/>
          <w:lang w:val="en-US" w:eastAsia="zh-CN"/>
        </w:rPr>
        <w:t xml:space="preserve"> 6 </w:t>
      </w:r>
      <w:r>
        <w:rPr>
          <w:rFonts w:hint="eastAsia"/>
          <w:b/>
          <w:bCs/>
          <w:sz w:val="21"/>
          <w:szCs w:val="21"/>
          <w:highlight w:val="none"/>
        </w:rPr>
        <w:t>月</w:t>
      </w:r>
      <w:r>
        <w:rPr>
          <w:rFonts w:hint="eastAsia"/>
          <w:b/>
          <w:bCs/>
          <w:sz w:val="21"/>
          <w:szCs w:val="21"/>
          <w:highlight w:val="none"/>
          <w:lang w:val="en-US" w:eastAsia="zh-CN"/>
        </w:rPr>
        <w:t xml:space="preserve"> 15 </w:t>
      </w:r>
      <w:r>
        <w:rPr>
          <w:rFonts w:hint="eastAsia"/>
          <w:b/>
          <w:bCs/>
          <w:sz w:val="21"/>
          <w:szCs w:val="21"/>
          <w:highlight w:val="none"/>
        </w:rPr>
        <w:t>日</w:t>
      </w:r>
      <w:r>
        <w:rPr>
          <w:rFonts w:hint="eastAsia"/>
          <w:b/>
          <w:bCs/>
          <w:sz w:val="21"/>
          <w:szCs w:val="21"/>
          <w:highlight w:val="none"/>
          <w:lang w:val="en-US" w:eastAsia="zh-CN"/>
        </w:rPr>
        <w:t xml:space="preserve"> </w:t>
      </w:r>
      <w:r>
        <w:rPr>
          <w:rFonts w:hint="eastAsia"/>
          <w:b/>
          <w:bCs/>
          <w:sz w:val="21"/>
          <w:szCs w:val="21"/>
          <w:highlight w:val="none"/>
          <w:lang w:val="en-US"/>
        </w:rPr>
        <w:t>09</w:t>
      </w:r>
      <w:r>
        <w:rPr>
          <w:rFonts w:hint="eastAsia"/>
          <w:b/>
          <w:bCs/>
          <w:sz w:val="21"/>
          <w:szCs w:val="21"/>
          <w:highlight w:val="none"/>
        </w:rPr>
        <w:t xml:space="preserve"> 时</w:t>
      </w:r>
      <w:r>
        <w:rPr>
          <w:rFonts w:hint="eastAsia"/>
          <w:b/>
          <w:bCs/>
          <w:sz w:val="21"/>
          <w:szCs w:val="21"/>
          <w:highlight w:val="none"/>
          <w:lang w:val="en-US"/>
        </w:rPr>
        <w:t>30</w:t>
      </w:r>
      <w:r>
        <w:rPr>
          <w:rFonts w:hint="eastAsia"/>
          <w:b/>
          <w:bCs/>
          <w:sz w:val="21"/>
          <w:szCs w:val="21"/>
          <w:highlight w:val="none"/>
        </w:rPr>
        <w:t>分。</w:t>
      </w:r>
    </w:p>
    <w:p>
      <w:pPr>
        <w:autoSpaceDE/>
        <w:autoSpaceDN/>
        <w:spacing w:line="400" w:lineRule="exact"/>
        <w:ind w:firstLine="315" w:firstLineChars="150"/>
        <w:outlineLvl w:val="1"/>
        <w:rPr>
          <w:sz w:val="21"/>
          <w:szCs w:val="21"/>
          <w:highlight w:val="none"/>
        </w:rPr>
      </w:pPr>
      <w:r>
        <w:rPr>
          <w:rFonts w:hint="eastAsia"/>
          <w:sz w:val="21"/>
          <w:szCs w:val="21"/>
          <w:highlight w:val="none"/>
        </w:rPr>
        <w:t>2</w:t>
      </w:r>
      <w:r>
        <w:rPr>
          <w:rFonts w:hint="eastAsia"/>
          <w:sz w:val="21"/>
          <w:szCs w:val="21"/>
          <w:highlight w:val="none"/>
          <w:lang w:val="en-US"/>
        </w:rPr>
        <w:t>0</w:t>
      </w:r>
      <w:r>
        <w:rPr>
          <w:rFonts w:hint="eastAsia"/>
          <w:sz w:val="21"/>
          <w:szCs w:val="21"/>
          <w:highlight w:val="none"/>
        </w:rPr>
        <w:t>.3投标截止前，允许投标人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autoSpaceDE/>
        <w:autoSpaceDN/>
        <w:snapToGrid w:val="0"/>
        <w:spacing w:line="400" w:lineRule="exact"/>
        <w:outlineLvl w:val="1"/>
        <w:rPr>
          <w:b/>
          <w:sz w:val="21"/>
          <w:szCs w:val="21"/>
          <w:highlight w:val="none"/>
        </w:rPr>
      </w:pPr>
      <w:r>
        <w:rPr>
          <w:rFonts w:hint="eastAsia"/>
          <w:b/>
          <w:bCs/>
          <w:sz w:val="21"/>
          <w:szCs w:val="21"/>
          <w:highlight w:val="none"/>
        </w:rPr>
        <w:t>★五、联合体投标</w:t>
      </w:r>
    </w:p>
    <w:p>
      <w:pPr>
        <w:autoSpaceDE/>
        <w:autoSpaceDN/>
        <w:snapToGrid w:val="0"/>
        <w:spacing w:line="400" w:lineRule="exact"/>
        <w:ind w:firstLine="310" w:firstLineChars="147"/>
        <w:outlineLvl w:val="1"/>
        <w:rPr>
          <w:b/>
          <w:sz w:val="21"/>
          <w:szCs w:val="21"/>
          <w:highlight w:val="none"/>
        </w:rPr>
      </w:pPr>
      <w:r>
        <w:rPr>
          <w:rFonts w:hint="eastAsia"/>
          <w:b/>
          <w:sz w:val="21"/>
          <w:szCs w:val="21"/>
          <w:highlight w:val="none"/>
        </w:rPr>
        <w:t>2</w:t>
      </w:r>
      <w:r>
        <w:rPr>
          <w:rFonts w:hint="eastAsia"/>
          <w:b/>
          <w:sz w:val="21"/>
          <w:szCs w:val="21"/>
          <w:highlight w:val="none"/>
          <w:lang w:val="en-US"/>
        </w:rPr>
        <w:t>1</w:t>
      </w:r>
      <w:r>
        <w:rPr>
          <w:rFonts w:hint="eastAsia"/>
          <w:b/>
          <w:sz w:val="21"/>
          <w:szCs w:val="21"/>
          <w:highlight w:val="none"/>
        </w:rPr>
        <w:t>.本项目不接受联合体投标。</w:t>
      </w:r>
    </w:p>
    <w:p>
      <w:pPr>
        <w:autoSpaceDE/>
        <w:autoSpaceDN/>
        <w:snapToGrid w:val="0"/>
        <w:spacing w:line="400" w:lineRule="exact"/>
        <w:outlineLvl w:val="1"/>
        <w:rPr>
          <w:b/>
          <w:bCs/>
          <w:sz w:val="21"/>
          <w:szCs w:val="21"/>
          <w:highlight w:val="none"/>
        </w:rPr>
      </w:pPr>
      <w:r>
        <w:rPr>
          <w:rFonts w:hint="eastAsia"/>
          <w:b/>
          <w:bCs/>
          <w:sz w:val="21"/>
          <w:szCs w:val="21"/>
          <w:highlight w:val="none"/>
        </w:rPr>
        <w:t>六、关联企业投标</w:t>
      </w:r>
    </w:p>
    <w:p>
      <w:pPr>
        <w:autoSpaceDE/>
        <w:autoSpaceDN/>
        <w:snapToGrid w:val="0"/>
        <w:spacing w:line="400" w:lineRule="exact"/>
        <w:ind w:firstLine="382" w:firstLineChars="182"/>
        <w:outlineLvl w:val="1"/>
        <w:rPr>
          <w:sz w:val="21"/>
          <w:szCs w:val="21"/>
          <w:highlight w:val="none"/>
        </w:rPr>
      </w:pPr>
      <w:r>
        <w:rPr>
          <w:rFonts w:hint="eastAsia"/>
          <w:sz w:val="21"/>
          <w:szCs w:val="21"/>
          <w:highlight w:val="none"/>
        </w:rPr>
        <w:t>2</w:t>
      </w:r>
      <w:r>
        <w:rPr>
          <w:rFonts w:hint="eastAsia"/>
          <w:sz w:val="21"/>
          <w:szCs w:val="21"/>
          <w:highlight w:val="none"/>
          <w:lang w:val="en-US"/>
        </w:rPr>
        <w:t>2</w:t>
      </w:r>
      <w:r>
        <w:rPr>
          <w:rFonts w:hint="eastAsia"/>
          <w:sz w:val="21"/>
          <w:szCs w:val="21"/>
          <w:highlight w:val="none"/>
        </w:rPr>
        <w:t>.1本采购文件所称关联企业，是指存在关联关系的企业；“关联关系”的界定适用《中华人民共和国公司法》216条之规定。</w:t>
      </w:r>
    </w:p>
    <w:p>
      <w:pPr>
        <w:autoSpaceDE/>
        <w:autoSpaceDN/>
        <w:snapToGrid w:val="0"/>
        <w:spacing w:line="400" w:lineRule="exact"/>
        <w:ind w:firstLine="382" w:firstLineChars="182"/>
        <w:outlineLvl w:val="1"/>
        <w:rPr>
          <w:sz w:val="21"/>
          <w:szCs w:val="21"/>
          <w:highlight w:val="none"/>
        </w:rPr>
      </w:pPr>
      <w:r>
        <w:rPr>
          <w:rFonts w:hint="eastAsia"/>
          <w:sz w:val="21"/>
          <w:szCs w:val="21"/>
          <w:highlight w:val="none"/>
        </w:rPr>
        <w:t>★2</w:t>
      </w:r>
      <w:r>
        <w:rPr>
          <w:rFonts w:hint="eastAsia"/>
          <w:sz w:val="21"/>
          <w:szCs w:val="21"/>
          <w:highlight w:val="none"/>
          <w:lang w:val="en-US"/>
        </w:rPr>
        <w:t>2</w:t>
      </w:r>
      <w:r>
        <w:rPr>
          <w:rFonts w:hint="eastAsia"/>
          <w:sz w:val="21"/>
          <w:szCs w:val="21"/>
          <w:highlight w:val="none"/>
        </w:rPr>
        <w:t>.2关联企业中，同一个法定代表人的两个及两个以上法人，母公司、全资子公司及其控股公司，都不得同时投标；一经发现，将导致投标同时被拒绝。</w:t>
      </w:r>
    </w:p>
    <w:p>
      <w:pPr>
        <w:autoSpaceDE/>
        <w:autoSpaceDN/>
        <w:snapToGrid w:val="0"/>
        <w:spacing w:line="400" w:lineRule="exact"/>
        <w:ind w:firstLine="382" w:firstLineChars="182"/>
        <w:outlineLvl w:val="1"/>
        <w:rPr>
          <w:sz w:val="21"/>
          <w:szCs w:val="21"/>
          <w:highlight w:val="none"/>
        </w:rPr>
      </w:pPr>
      <w:r>
        <w:rPr>
          <w:rFonts w:hint="eastAsia"/>
          <w:sz w:val="21"/>
          <w:szCs w:val="21"/>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采购文件规定的方式确定一个投标人获得中标人推荐资格，采购文件未规定的采取随机抽取方式确定，其他同品牌投标人不作为中标候选人。</w:t>
      </w:r>
    </w:p>
    <w:p>
      <w:pPr>
        <w:autoSpaceDE/>
        <w:autoSpaceDN/>
        <w:snapToGrid w:val="0"/>
        <w:spacing w:line="400" w:lineRule="exact"/>
        <w:ind w:firstLine="382" w:firstLineChars="182"/>
        <w:outlineLvl w:val="1"/>
        <w:rPr>
          <w:sz w:val="21"/>
          <w:szCs w:val="21"/>
          <w:highlight w:val="none"/>
        </w:rPr>
      </w:pPr>
      <w:r>
        <w:rPr>
          <w:rFonts w:hint="eastAsia"/>
          <w:sz w:val="21"/>
          <w:szCs w:val="21"/>
          <w:highlight w:val="none"/>
        </w:rPr>
        <w:t>2</w:t>
      </w:r>
      <w:r>
        <w:rPr>
          <w:rFonts w:hint="eastAsia"/>
          <w:sz w:val="21"/>
          <w:szCs w:val="21"/>
          <w:highlight w:val="none"/>
          <w:lang w:val="en-US"/>
        </w:rPr>
        <w:t>2</w:t>
      </w:r>
      <w:r>
        <w:rPr>
          <w:rFonts w:hint="eastAsia"/>
          <w:sz w:val="21"/>
          <w:szCs w:val="21"/>
          <w:highlight w:val="none"/>
        </w:rPr>
        <w:t>.3除2</w:t>
      </w:r>
      <w:r>
        <w:rPr>
          <w:rFonts w:hint="eastAsia"/>
          <w:sz w:val="21"/>
          <w:szCs w:val="21"/>
          <w:highlight w:val="none"/>
          <w:lang w:val="en-US"/>
        </w:rPr>
        <w:t>2</w:t>
      </w:r>
      <w:r>
        <w:rPr>
          <w:rFonts w:hint="eastAsia"/>
          <w:sz w:val="21"/>
          <w:szCs w:val="21"/>
          <w:highlight w:val="none"/>
        </w:rPr>
        <w:t>.2所述情形之外的关联企业允许同时投标。</w:t>
      </w:r>
    </w:p>
    <w:p>
      <w:pPr>
        <w:autoSpaceDE/>
        <w:autoSpaceDN/>
        <w:snapToGrid w:val="0"/>
        <w:spacing w:line="400" w:lineRule="exact"/>
        <w:ind w:firstLine="382" w:firstLineChars="182"/>
        <w:outlineLvl w:val="1"/>
        <w:rPr>
          <w:sz w:val="21"/>
          <w:szCs w:val="21"/>
          <w:highlight w:val="none"/>
        </w:rPr>
      </w:pPr>
      <w:r>
        <w:rPr>
          <w:rFonts w:hint="eastAsia"/>
          <w:sz w:val="21"/>
          <w:szCs w:val="21"/>
          <w:highlight w:val="none"/>
        </w:rPr>
        <w:t>2</w:t>
      </w:r>
      <w:r>
        <w:rPr>
          <w:rFonts w:hint="eastAsia"/>
          <w:sz w:val="21"/>
          <w:szCs w:val="21"/>
          <w:highlight w:val="none"/>
          <w:lang w:val="en-US"/>
        </w:rPr>
        <w:t>2</w:t>
      </w:r>
      <w:r>
        <w:rPr>
          <w:rFonts w:hint="eastAsia"/>
          <w:sz w:val="21"/>
          <w:szCs w:val="21"/>
          <w:highlight w:val="none"/>
        </w:rPr>
        <w:t>.4多家代理商或经销商参加投标，如其中两家或两家以上投标人存在分级代理或代销关系，且提供的是其所代理品牌的产品的，比照本条第2项处理。</w:t>
      </w:r>
    </w:p>
    <w:p>
      <w:pPr>
        <w:autoSpaceDE/>
        <w:autoSpaceDN/>
        <w:snapToGrid w:val="0"/>
        <w:spacing w:line="400" w:lineRule="exact"/>
        <w:outlineLvl w:val="1"/>
        <w:rPr>
          <w:b/>
          <w:bCs/>
          <w:sz w:val="21"/>
          <w:szCs w:val="21"/>
          <w:highlight w:val="none"/>
        </w:rPr>
      </w:pPr>
      <w:r>
        <w:rPr>
          <w:rFonts w:hint="eastAsia"/>
          <w:b/>
          <w:bCs/>
          <w:sz w:val="21"/>
          <w:szCs w:val="21"/>
          <w:highlight w:val="none"/>
        </w:rPr>
        <w:t>七、转包与分包</w:t>
      </w:r>
    </w:p>
    <w:p>
      <w:pPr>
        <w:autoSpaceDE/>
        <w:autoSpaceDN/>
        <w:snapToGrid w:val="0"/>
        <w:spacing w:line="400" w:lineRule="exact"/>
        <w:ind w:firstLine="279" w:firstLineChars="133"/>
        <w:outlineLvl w:val="1"/>
        <w:rPr>
          <w:sz w:val="21"/>
          <w:szCs w:val="21"/>
          <w:highlight w:val="none"/>
        </w:rPr>
      </w:pPr>
      <w:r>
        <w:rPr>
          <w:rFonts w:hint="eastAsia"/>
          <w:sz w:val="21"/>
          <w:szCs w:val="21"/>
          <w:highlight w:val="none"/>
        </w:rPr>
        <w:t>2</w:t>
      </w:r>
      <w:r>
        <w:rPr>
          <w:rFonts w:hint="eastAsia"/>
          <w:sz w:val="21"/>
          <w:szCs w:val="21"/>
          <w:highlight w:val="none"/>
          <w:lang w:val="en-US"/>
        </w:rPr>
        <w:t>3</w:t>
      </w:r>
      <w:r>
        <w:rPr>
          <w:rFonts w:hint="eastAsia"/>
          <w:sz w:val="21"/>
          <w:szCs w:val="21"/>
          <w:highlight w:val="none"/>
        </w:rPr>
        <w:t>.1本项目不允许转包。</w:t>
      </w:r>
    </w:p>
    <w:p>
      <w:pPr>
        <w:autoSpaceDE/>
        <w:autoSpaceDN/>
        <w:snapToGrid w:val="0"/>
        <w:spacing w:line="400" w:lineRule="exact"/>
        <w:ind w:firstLine="279" w:firstLineChars="133"/>
        <w:outlineLvl w:val="1"/>
        <w:rPr>
          <w:sz w:val="21"/>
          <w:szCs w:val="21"/>
          <w:highlight w:val="none"/>
        </w:rPr>
      </w:pPr>
      <w:r>
        <w:rPr>
          <w:rFonts w:hint="eastAsia"/>
          <w:sz w:val="21"/>
          <w:szCs w:val="21"/>
          <w:highlight w:val="none"/>
        </w:rPr>
        <w:t>2</w:t>
      </w:r>
      <w:r>
        <w:rPr>
          <w:rFonts w:hint="eastAsia"/>
          <w:sz w:val="21"/>
          <w:szCs w:val="21"/>
          <w:highlight w:val="none"/>
          <w:lang w:val="en-US"/>
        </w:rPr>
        <w:t>3</w:t>
      </w:r>
      <w:r>
        <w:rPr>
          <w:rFonts w:hint="eastAsia"/>
          <w:sz w:val="21"/>
          <w:szCs w:val="21"/>
          <w:highlight w:val="none"/>
        </w:rPr>
        <w:t>.2本项目不可以分包。</w:t>
      </w:r>
    </w:p>
    <w:p>
      <w:pPr>
        <w:autoSpaceDE/>
        <w:autoSpaceDN/>
        <w:snapToGrid w:val="0"/>
        <w:spacing w:line="400" w:lineRule="exact"/>
        <w:outlineLvl w:val="1"/>
        <w:rPr>
          <w:b/>
          <w:bCs/>
          <w:sz w:val="21"/>
          <w:szCs w:val="21"/>
          <w:highlight w:val="none"/>
        </w:rPr>
      </w:pPr>
      <w:r>
        <w:rPr>
          <w:rFonts w:hint="eastAsia"/>
          <w:b/>
          <w:bCs/>
          <w:sz w:val="21"/>
          <w:szCs w:val="21"/>
          <w:highlight w:val="none"/>
        </w:rPr>
        <w:t>八、特别说明：</w:t>
      </w:r>
    </w:p>
    <w:p>
      <w:pPr>
        <w:autoSpaceDE/>
        <w:autoSpaceDN/>
        <w:snapToGrid w:val="0"/>
        <w:spacing w:line="400" w:lineRule="exact"/>
        <w:ind w:firstLine="280" w:firstLineChars="133"/>
        <w:rPr>
          <w:b/>
          <w:bCs/>
          <w:sz w:val="21"/>
          <w:szCs w:val="21"/>
          <w:highlight w:val="none"/>
        </w:rPr>
      </w:pPr>
      <w:r>
        <w:rPr>
          <w:rFonts w:hint="eastAsia"/>
          <w:b/>
          <w:bCs/>
          <w:sz w:val="21"/>
          <w:szCs w:val="21"/>
          <w:highlight w:val="none"/>
        </w:rPr>
        <w:t>★</w:t>
      </w:r>
      <w:r>
        <w:rPr>
          <w:rFonts w:hint="eastAsia"/>
          <w:sz w:val="21"/>
          <w:szCs w:val="21"/>
          <w:highlight w:val="none"/>
        </w:rPr>
        <w:t>2</w:t>
      </w:r>
      <w:r>
        <w:rPr>
          <w:rFonts w:hint="eastAsia"/>
          <w:sz w:val="21"/>
          <w:szCs w:val="21"/>
          <w:highlight w:val="none"/>
          <w:lang w:val="en-US"/>
        </w:rPr>
        <w:t>4</w:t>
      </w:r>
      <w:r>
        <w:rPr>
          <w:rFonts w:hint="eastAsia"/>
          <w:sz w:val="21"/>
          <w:szCs w:val="21"/>
          <w:highlight w:val="none"/>
        </w:rPr>
        <w:t>.1直接或者间接受采购人控制的当事人，或者与采购人受共同上级控制的当事人，为本次采购进行设计或编制规范和其他文件的当事人，或者直接或间接地与为本次采购进行设计或编制规范、其他文件的个人、企业、招标人或其附属机构有关联关系的当事人，不得参加本项目投标。</w:t>
      </w:r>
    </w:p>
    <w:p>
      <w:pPr>
        <w:autoSpaceDE/>
        <w:autoSpaceDN/>
        <w:snapToGrid w:val="0"/>
        <w:spacing w:line="400" w:lineRule="exact"/>
        <w:ind w:firstLine="280" w:firstLineChars="133"/>
        <w:outlineLvl w:val="1"/>
        <w:rPr>
          <w:sz w:val="21"/>
          <w:szCs w:val="21"/>
          <w:highlight w:val="none"/>
        </w:rPr>
      </w:pPr>
      <w:r>
        <w:rPr>
          <w:rFonts w:hint="eastAsia"/>
          <w:b/>
          <w:sz w:val="21"/>
          <w:szCs w:val="21"/>
          <w:highlight w:val="none"/>
        </w:rPr>
        <w:t>★</w:t>
      </w:r>
      <w:r>
        <w:rPr>
          <w:rFonts w:hint="eastAsia"/>
          <w:sz w:val="21"/>
          <w:szCs w:val="21"/>
          <w:highlight w:val="none"/>
        </w:rPr>
        <w:t>2</w:t>
      </w:r>
      <w:r>
        <w:rPr>
          <w:rFonts w:hint="eastAsia"/>
          <w:sz w:val="21"/>
          <w:szCs w:val="21"/>
          <w:highlight w:val="none"/>
          <w:lang w:val="en-US"/>
        </w:rPr>
        <w:t>4</w:t>
      </w:r>
      <w:r>
        <w:rPr>
          <w:rFonts w:hint="eastAsia"/>
          <w:sz w:val="21"/>
          <w:szCs w:val="21"/>
          <w:highlight w:val="none"/>
        </w:rPr>
        <w:t>.2投标人投标所使用的资格、信誉、荣誉、业绩与企业认证必须为本法人所拥有。投标人投标所使用的采购项目实施人员可以为其控股公司的工作人员。</w:t>
      </w:r>
    </w:p>
    <w:p>
      <w:pPr>
        <w:autoSpaceDE/>
        <w:autoSpaceDN/>
        <w:snapToGrid w:val="0"/>
        <w:spacing w:line="400" w:lineRule="exact"/>
        <w:ind w:firstLine="280" w:firstLineChars="133"/>
        <w:outlineLvl w:val="1"/>
        <w:rPr>
          <w:sz w:val="21"/>
          <w:szCs w:val="21"/>
          <w:highlight w:val="none"/>
        </w:rPr>
      </w:pPr>
      <w:r>
        <w:rPr>
          <w:rFonts w:hint="eastAsia"/>
          <w:b/>
          <w:sz w:val="21"/>
          <w:szCs w:val="21"/>
          <w:highlight w:val="none"/>
        </w:rPr>
        <w:t>★</w:t>
      </w:r>
      <w:r>
        <w:rPr>
          <w:rFonts w:hint="eastAsia"/>
          <w:sz w:val="21"/>
          <w:szCs w:val="21"/>
          <w:highlight w:val="none"/>
        </w:rPr>
        <w:t>2</w:t>
      </w:r>
      <w:r>
        <w:rPr>
          <w:rFonts w:hint="eastAsia"/>
          <w:sz w:val="21"/>
          <w:szCs w:val="21"/>
          <w:highlight w:val="none"/>
          <w:lang w:val="en-US"/>
        </w:rPr>
        <w:t>4</w:t>
      </w:r>
      <w:r>
        <w:rPr>
          <w:rFonts w:hint="eastAsia"/>
          <w:sz w:val="21"/>
          <w:szCs w:val="21"/>
          <w:highlight w:val="none"/>
        </w:rPr>
        <w:t>.3投标人在投标活动中提供任何虚假材料或从事其他违法活动的，其投标无效，并报监管部门查处；中标后发现的，中标人须依照《中华人民共和国消费者权益保护法》第49条之规定双倍赔偿采购人。且民事赔偿并不免除违法投标人的行政与刑事责任。</w:t>
      </w:r>
    </w:p>
    <w:p>
      <w:pPr>
        <w:autoSpaceDE/>
        <w:autoSpaceDN/>
        <w:snapToGrid w:val="0"/>
        <w:spacing w:line="400" w:lineRule="exact"/>
        <w:ind w:firstLine="280" w:firstLineChars="133"/>
        <w:outlineLvl w:val="1"/>
        <w:rPr>
          <w:sz w:val="21"/>
          <w:szCs w:val="21"/>
          <w:highlight w:val="none"/>
        </w:rPr>
      </w:pPr>
      <w:r>
        <w:rPr>
          <w:rFonts w:hint="eastAsia"/>
          <w:b/>
          <w:sz w:val="21"/>
          <w:szCs w:val="21"/>
          <w:highlight w:val="none"/>
        </w:rPr>
        <w:t>★</w:t>
      </w:r>
      <w:r>
        <w:rPr>
          <w:rFonts w:hint="eastAsia"/>
          <w:sz w:val="21"/>
          <w:szCs w:val="21"/>
          <w:highlight w:val="none"/>
        </w:rPr>
        <w:t>2</w:t>
      </w:r>
      <w:r>
        <w:rPr>
          <w:rFonts w:hint="eastAsia"/>
          <w:sz w:val="21"/>
          <w:szCs w:val="21"/>
          <w:highlight w:val="none"/>
          <w:lang w:val="en-US"/>
        </w:rPr>
        <w:t>4</w:t>
      </w:r>
      <w:r>
        <w:rPr>
          <w:rFonts w:hint="eastAsia"/>
          <w:sz w:val="21"/>
          <w:szCs w:val="21"/>
          <w:highlight w:val="none"/>
        </w:rPr>
        <w:t>.4投标人应仔细阅读采购文件的所有内容，按照采购文件的要求提交投标文件。投标文件应对采购文件的要求作出实质性响应，并对所提供的全部资料的真实性承担法律责任。</w:t>
      </w:r>
    </w:p>
    <w:p>
      <w:pPr>
        <w:autoSpaceDE/>
        <w:autoSpaceDN/>
        <w:spacing w:line="400" w:lineRule="exact"/>
        <w:outlineLvl w:val="1"/>
        <w:rPr>
          <w:b/>
          <w:bCs/>
          <w:sz w:val="21"/>
          <w:szCs w:val="21"/>
          <w:highlight w:val="none"/>
        </w:rPr>
      </w:pPr>
      <w:r>
        <w:rPr>
          <w:rFonts w:hint="eastAsia"/>
          <w:b/>
          <w:bCs/>
          <w:sz w:val="21"/>
          <w:szCs w:val="21"/>
          <w:highlight w:val="none"/>
        </w:rPr>
        <w:t>九、无效投标的具体情形</w:t>
      </w:r>
    </w:p>
    <w:p>
      <w:pPr>
        <w:autoSpaceDE/>
        <w:autoSpaceDN/>
        <w:spacing w:line="400" w:lineRule="exact"/>
        <w:ind w:firstLine="413" w:firstLineChars="196"/>
        <w:outlineLvl w:val="1"/>
        <w:rPr>
          <w:b/>
          <w:bCs/>
          <w:sz w:val="21"/>
          <w:szCs w:val="21"/>
          <w:highlight w:val="none"/>
        </w:rPr>
      </w:pPr>
      <w:r>
        <w:rPr>
          <w:rFonts w:hint="eastAsia"/>
          <w:b/>
          <w:bCs/>
          <w:sz w:val="21"/>
          <w:szCs w:val="21"/>
          <w:highlight w:val="none"/>
        </w:rPr>
        <w:t>2</w:t>
      </w:r>
      <w:r>
        <w:rPr>
          <w:rFonts w:hint="eastAsia"/>
          <w:b/>
          <w:bCs/>
          <w:sz w:val="21"/>
          <w:szCs w:val="21"/>
          <w:highlight w:val="none"/>
          <w:lang w:val="en-US"/>
        </w:rPr>
        <w:t>5</w:t>
      </w:r>
      <w:r>
        <w:rPr>
          <w:rFonts w:hint="eastAsia"/>
          <w:b/>
          <w:bCs/>
          <w:sz w:val="21"/>
          <w:szCs w:val="21"/>
          <w:highlight w:val="none"/>
        </w:rPr>
        <w:t>、有以下情形之一将作无效标处理</w:t>
      </w:r>
    </w:p>
    <w:p>
      <w:pPr>
        <w:autoSpaceDE/>
        <w:autoSpaceDN/>
        <w:spacing w:line="400" w:lineRule="exact"/>
        <w:ind w:firstLine="435"/>
        <w:outlineLvl w:val="1"/>
        <w:rPr>
          <w:bCs/>
          <w:sz w:val="21"/>
          <w:szCs w:val="21"/>
          <w:highlight w:val="none"/>
        </w:rPr>
      </w:pPr>
      <w:r>
        <w:rPr>
          <w:rFonts w:hint="eastAsia"/>
          <w:bCs/>
          <w:sz w:val="21"/>
          <w:szCs w:val="21"/>
          <w:highlight w:val="none"/>
        </w:rPr>
        <w:t>2</w:t>
      </w:r>
      <w:r>
        <w:rPr>
          <w:rFonts w:hint="eastAsia"/>
          <w:bCs/>
          <w:sz w:val="21"/>
          <w:szCs w:val="21"/>
          <w:highlight w:val="none"/>
          <w:lang w:val="en-US"/>
        </w:rPr>
        <w:t>5</w:t>
      </w:r>
      <w:r>
        <w:rPr>
          <w:rFonts w:hint="eastAsia"/>
          <w:bCs/>
          <w:sz w:val="21"/>
          <w:szCs w:val="21"/>
          <w:highlight w:val="none"/>
        </w:rPr>
        <w:t>.1未按照采购文件中规定要求签署、盖章；</w:t>
      </w:r>
    </w:p>
    <w:p>
      <w:pPr>
        <w:autoSpaceDE/>
        <w:autoSpaceDN/>
        <w:spacing w:line="400" w:lineRule="exact"/>
        <w:ind w:firstLine="435"/>
        <w:outlineLvl w:val="1"/>
        <w:rPr>
          <w:bCs/>
          <w:sz w:val="21"/>
          <w:szCs w:val="21"/>
          <w:highlight w:val="none"/>
        </w:rPr>
      </w:pPr>
      <w:r>
        <w:rPr>
          <w:rFonts w:hint="eastAsia"/>
          <w:bCs/>
          <w:sz w:val="21"/>
          <w:szCs w:val="21"/>
          <w:highlight w:val="none"/>
        </w:rPr>
        <w:t>2</w:t>
      </w:r>
      <w:r>
        <w:rPr>
          <w:rFonts w:hint="eastAsia"/>
          <w:bCs/>
          <w:sz w:val="21"/>
          <w:szCs w:val="21"/>
          <w:highlight w:val="none"/>
          <w:lang w:val="en-US"/>
        </w:rPr>
        <w:t>5</w:t>
      </w:r>
      <w:r>
        <w:rPr>
          <w:rFonts w:hint="eastAsia"/>
          <w:bCs/>
          <w:sz w:val="21"/>
          <w:szCs w:val="21"/>
          <w:highlight w:val="none"/>
        </w:rPr>
        <w:t>.2不具备采购文件中规定资格要求；</w:t>
      </w:r>
    </w:p>
    <w:p>
      <w:pPr>
        <w:autoSpaceDE/>
        <w:autoSpaceDN/>
        <w:spacing w:line="400" w:lineRule="exact"/>
        <w:ind w:firstLine="435"/>
        <w:outlineLvl w:val="1"/>
        <w:rPr>
          <w:bCs/>
          <w:sz w:val="21"/>
          <w:szCs w:val="21"/>
          <w:highlight w:val="none"/>
        </w:rPr>
      </w:pPr>
      <w:r>
        <w:rPr>
          <w:rFonts w:hint="eastAsia"/>
          <w:sz w:val="21"/>
          <w:szCs w:val="21"/>
          <w:highlight w:val="none"/>
        </w:rPr>
        <w:t>2</w:t>
      </w:r>
      <w:r>
        <w:rPr>
          <w:rFonts w:hint="eastAsia"/>
          <w:sz w:val="21"/>
          <w:szCs w:val="21"/>
          <w:highlight w:val="none"/>
          <w:lang w:val="en-US"/>
        </w:rPr>
        <w:t>5</w:t>
      </w:r>
      <w:r>
        <w:rPr>
          <w:rFonts w:hint="eastAsia"/>
          <w:sz w:val="21"/>
          <w:szCs w:val="21"/>
          <w:highlight w:val="none"/>
        </w:rPr>
        <w:t>.3不符合法律、法规和采购文件中规定的其他实质性要求。</w:t>
      </w:r>
      <w:bookmarkStart w:id="4" w:name="_Toc353536903"/>
    </w:p>
    <w:bookmarkEnd w:id="4"/>
    <w:p>
      <w:pPr>
        <w:spacing w:line="440" w:lineRule="exact"/>
        <w:outlineLvl w:val="1"/>
        <w:rPr>
          <w:b/>
          <w:bCs/>
          <w:sz w:val="21"/>
          <w:szCs w:val="21"/>
          <w:highlight w:val="none"/>
          <w:lang w:val="en-US"/>
        </w:rPr>
      </w:pPr>
      <w:r>
        <w:rPr>
          <w:rFonts w:hint="eastAsia"/>
          <w:b/>
          <w:bCs/>
          <w:sz w:val="21"/>
          <w:szCs w:val="21"/>
          <w:highlight w:val="none"/>
          <w:lang w:val="en-US"/>
        </w:rPr>
        <w:t xml:space="preserve">十、中止电子交易活动的情形 </w:t>
      </w:r>
    </w:p>
    <w:p>
      <w:pPr>
        <w:spacing w:line="440" w:lineRule="exact"/>
        <w:ind w:firstLine="422" w:firstLineChars="200"/>
        <w:outlineLvl w:val="1"/>
        <w:rPr>
          <w:sz w:val="21"/>
          <w:szCs w:val="21"/>
          <w:highlight w:val="none"/>
        </w:rPr>
      </w:pPr>
      <w:r>
        <w:rPr>
          <w:rFonts w:hint="eastAsia"/>
          <w:b/>
          <w:bCs/>
          <w:sz w:val="21"/>
          <w:szCs w:val="21"/>
          <w:highlight w:val="none"/>
        </w:rPr>
        <w:t>2</w:t>
      </w:r>
      <w:r>
        <w:rPr>
          <w:rFonts w:hint="eastAsia"/>
          <w:b/>
          <w:bCs/>
          <w:sz w:val="21"/>
          <w:szCs w:val="21"/>
          <w:highlight w:val="none"/>
          <w:lang w:val="en-US"/>
        </w:rPr>
        <w:t>6</w:t>
      </w:r>
      <w:r>
        <w:rPr>
          <w:rFonts w:hint="eastAsia"/>
          <w:b/>
          <w:bCs/>
          <w:sz w:val="21"/>
          <w:szCs w:val="21"/>
          <w:highlight w:val="none"/>
        </w:rPr>
        <w:t>、有以下情形之一将</w:t>
      </w:r>
      <w:r>
        <w:rPr>
          <w:rFonts w:hint="eastAsia"/>
          <w:b/>
          <w:bCs/>
          <w:sz w:val="21"/>
          <w:szCs w:val="21"/>
          <w:highlight w:val="none"/>
          <w:lang w:val="en-US"/>
        </w:rPr>
        <w:t>中止电子交易活动</w:t>
      </w:r>
    </w:p>
    <w:p>
      <w:pPr>
        <w:autoSpaceDE/>
        <w:autoSpaceDN/>
        <w:snapToGrid w:val="0"/>
        <w:spacing w:line="400" w:lineRule="exact"/>
        <w:ind w:firstLine="487" w:firstLineChars="232"/>
        <w:outlineLvl w:val="1"/>
        <w:rPr>
          <w:sz w:val="21"/>
          <w:szCs w:val="21"/>
          <w:highlight w:val="none"/>
        </w:rPr>
      </w:pPr>
      <w:r>
        <w:rPr>
          <w:rFonts w:hint="eastAsia"/>
          <w:sz w:val="21"/>
          <w:szCs w:val="21"/>
          <w:highlight w:val="none"/>
        </w:rPr>
        <w:t>2</w:t>
      </w:r>
      <w:r>
        <w:rPr>
          <w:rFonts w:hint="eastAsia"/>
          <w:sz w:val="21"/>
          <w:szCs w:val="21"/>
          <w:highlight w:val="none"/>
          <w:lang w:val="en-US"/>
        </w:rPr>
        <w:t>6</w:t>
      </w:r>
      <w:r>
        <w:rPr>
          <w:rFonts w:hint="eastAsia"/>
          <w:sz w:val="21"/>
          <w:szCs w:val="21"/>
          <w:highlight w:val="none"/>
        </w:rPr>
        <w:t xml:space="preserve">.1电子交易平台发生故障而无法登录访问的； </w:t>
      </w:r>
    </w:p>
    <w:p>
      <w:pPr>
        <w:autoSpaceDE/>
        <w:autoSpaceDN/>
        <w:snapToGrid w:val="0"/>
        <w:spacing w:line="400" w:lineRule="exact"/>
        <w:ind w:firstLine="487" w:firstLineChars="232"/>
        <w:outlineLvl w:val="1"/>
        <w:rPr>
          <w:sz w:val="21"/>
          <w:szCs w:val="21"/>
          <w:highlight w:val="none"/>
        </w:rPr>
      </w:pPr>
      <w:r>
        <w:rPr>
          <w:rFonts w:hint="eastAsia"/>
          <w:sz w:val="21"/>
          <w:szCs w:val="21"/>
          <w:highlight w:val="none"/>
        </w:rPr>
        <w:t>2</w:t>
      </w:r>
      <w:r>
        <w:rPr>
          <w:rFonts w:hint="eastAsia"/>
          <w:sz w:val="21"/>
          <w:szCs w:val="21"/>
          <w:highlight w:val="none"/>
          <w:lang w:val="en-US"/>
        </w:rPr>
        <w:t>6</w:t>
      </w:r>
      <w:r>
        <w:rPr>
          <w:rFonts w:hint="eastAsia"/>
          <w:sz w:val="21"/>
          <w:szCs w:val="21"/>
          <w:highlight w:val="none"/>
        </w:rPr>
        <w:t>.2电子交易平台应用或数据库出现错误，不能进行正常操作的；</w:t>
      </w:r>
    </w:p>
    <w:p>
      <w:pPr>
        <w:autoSpaceDE/>
        <w:autoSpaceDN/>
        <w:snapToGrid w:val="0"/>
        <w:spacing w:line="400" w:lineRule="exact"/>
        <w:ind w:firstLine="487" w:firstLineChars="232"/>
        <w:outlineLvl w:val="1"/>
        <w:rPr>
          <w:sz w:val="21"/>
          <w:szCs w:val="21"/>
          <w:highlight w:val="none"/>
        </w:rPr>
      </w:pPr>
      <w:r>
        <w:rPr>
          <w:rFonts w:hint="eastAsia"/>
          <w:sz w:val="21"/>
          <w:szCs w:val="21"/>
          <w:highlight w:val="none"/>
        </w:rPr>
        <w:t>2</w:t>
      </w:r>
      <w:r>
        <w:rPr>
          <w:rFonts w:hint="eastAsia"/>
          <w:sz w:val="21"/>
          <w:szCs w:val="21"/>
          <w:highlight w:val="none"/>
          <w:lang w:val="en-US"/>
        </w:rPr>
        <w:t>6</w:t>
      </w:r>
      <w:r>
        <w:rPr>
          <w:rFonts w:hint="eastAsia"/>
          <w:sz w:val="21"/>
          <w:szCs w:val="21"/>
          <w:highlight w:val="none"/>
        </w:rPr>
        <w:t>.3电子交易平台发现严重安全漏洞，有潜在泄密危险的；</w:t>
      </w:r>
    </w:p>
    <w:p>
      <w:pPr>
        <w:autoSpaceDE/>
        <w:autoSpaceDN/>
        <w:snapToGrid w:val="0"/>
        <w:spacing w:line="400" w:lineRule="exact"/>
        <w:ind w:firstLine="487" w:firstLineChars="232"/>
        <w:outlineLvl w:val="1"/>
        <w:rPr>
          <w:sz w:val="21"/>
          <w:szCs w:val="21"/>
          <w:highlight w:val="none"/>
        </w:rPr>
      </w:pPr>
      <w:r>
        <w:rPr>
          <w:rFonts w:hint="eastAsia"/>
          <w:sz w:val="21"/>
          <w:szCs w:val="21"/>
          <w:highlight w:val="none"/>
        </w:rPr>
        <w:t>2</w:t>
      </w:r>
      <w:r>
        <w:rPr>
          <w:rFonts w:hint="eastAsia"/>
          <w:sz w:val="21"/>
          <w:szCs w:val="21"/>
          <w:highlight w:val="none"/>
          <w:lang w:val="en-US"/>
        </w:rPr>
        <w:t>6</w:t>
      </w:r>
      <w:r>
        <w:rPr>
          <w:rFonts w:hint="eastAsia"/>
          <w:sz w:val="21"/>
          <w:szCs w:val="21"/>
          <w:highlight w:val="none"/>
        </w:rPr>
        <w:t xml:space="preserve">.4病毒发作导致不能进行正常操作的； </w:t>
      </w:r>
    </w:p>
    <w:p>
      <w:pPr>
        <w:autoSpaceDE/>
        <w:autoSpaceDN/>
        <w:snapToGrid w:val="0"/>
        <w:spacing w:line="400" w:lineRule="exact"/>
        <w:ind w:firstLine="487" w:firstLineChars="232"/>
        <w:outlineLvl w:val="1"/>
        <w:rPr>
          <w:sz w:val="21"/>
          <w:szCs w:val="21"/>
          <w:highlight w:val="none"/>
        </w:rPr>
      </w:pPr>
      <w:r>
        <w:rPr>
          <w:rFonts w:hint="eastAsia"/>
          <w:sz w:val="21"/>
          <w:szCs w:val="21"/>
          <w:highlight w:val="none"/>
        </w:rPr>
        <w:t>2</w:t>
      </w:r>
      <w:r>
        <w:rPr>
          <w:rFonts w:hint="eastAsia"/>
          <w:sz w:val="21"/>
          <w:szCs w:val="21"/>
          <w:highlight w:val="none"/>
          <w:lang w:val="en-US"/>
        </w:rPr>
        <w:t>6</w:t>
      </w:r>
      <w:r>
        <w:rPr>
          <w:rFonts w:hint="eastAsia"/>
          <w:sz w:val="21"/>
          <w:szCs w:val="21"/>
          <w:highlight w:val="none"/>
        </w:rPr>
        <w:t>.5其他无法保证电子交易的公平、公正和安全的情况。</w:t>
      </w:r>
    </w:p>
    <w:p>
      <w:pPr>
        <w:autoSpaceDE/>
        <w:autoSpaceDN/>
        <w:snapToGrid w:val="0"/>
        <w:spacing w:line="400" w:lineRule="exact"/>
        <w:ind w:firstLine="279" w:firstLineChars="133"/>
        <w:outlineLvl w:val="1"/>
        <w:rPr>
          <w:sz w:val="21"/>
          <w:szCs w:val="21"/>
          <w:highlight w:val="none"/>
        </w:rPr>
      </w:pPr>
      <w:r>
        <w:rPr>
          <w:rFonts w:hint="eastAsia"/>
          <w:sz w:val="21"/>
          <w:szCs w:val="21"/>
          <w:highlight w:val="none"/>
        </w:rPr>
        <w:t xml:space="preserve">  出现前款规定情形，不影响采购公平、公正性的，采购组织机构可以待上述情形消除后继续组织电子交易活动，也可以决定某些环节以纸质形式进行；影响或可能影响采购公平、公正性的，应当重新采购。</w:t>
      </w:r>
    </w:p>
    <w:p>
      <w:pPr>
        <w:pStyle w:val="16"/>
        <w:autoSpaceDE/>
        <w:autoSpaceDN/>
        <w:snapToGrid w:val="0"/>
        <w:spacing w:beforeLines="0" w:afterLines="0" w:line="400" w:lineRule="exact"/>
        <w:ind w:firstLine="422" w:firstLineChars="200"/>
        <w:outlineLvl w:val="0"/>
        <w:rPr>
          <w:rFonts w:hAnsi="宋体"/>
          <w:b/>
          <w:bCs/>
          <w:sz w:val="21"/>
          <w:szCs w:val="21"/>
          <w:highlight w:val="none"/>
        </w:rPr>
      </w:pPr>
      <w:r>
        <w:rPr>
          <w:rFonts w:hint="eastAsia" w:hAnsi="宋体"/>
          <w:b/>
          <w:bCs/>
          <w:sz w:val="21"/>
          <w:szCs w:val="21"/>
          <w:highlight w:val="none"/>
        </w:rPr>
        <w:t>2</w:t>
      </w:r>
      <w:r>
        <w:rPr>
          <w:rFonts w:hint="eastAsia" w:hAnsi="宋体"/>
          <w:b/>
          <w:bCs/>
          <w:sz w:val="21"/>
          <w:szCs w:val="21"/>
          <w:highlight w:val="none"/>
          <w:lang w:val="en-US"/>
        </w:rPr>
        <w:t>7</w:t>
      </w:r>
      <w:r>
        <w:rPr>
          <w:rFonts w:hint="eastAsia" w:hAnsi="宋体"/>
          <w:b/>
          <w:bCs/>
          <w:sz w:val="21"/>
          <w:szCs w:val="21"/>
          <w:highlight w:val="none"/>
        </w:rPr>
        <w:t>、电子投标特别提醒</w:t>
      </w:r>
    </w:p>
    <w:p>
      <w:pPr>
        <w:pStyle w:val="16"/>
        <w:autoSpaceDE/>
        <w:autoSpaceDN/>
        <w:snapToGrid w:val="0"/>
        <w:spacing w:beforeLines="0" w:afterLines="0" w:line="400" w:lineRule="exact"/>
        <w:ind w:firstLine="420" w:firstLineChars="200"/>
        <w:outlineLvl w:val="0"/>
        <w:rPr>
          <w:rFonts w:hint="eastAsia" w:hAnsi="宋体"/>
          <w:sz w:val="21"/>
          <w:szCs w:val="21"/>
          <w:highlight w:val="none"/>
        </w:rPr>
      </w:pPr>
      <w:r>
        <w:rPr>
          <w:rFonts w:hint="eastAsia" w:hAnsi="宋体"/>
          <w:sz w:val="21"/>
          <w:szCs w:val="21"/>
          <w:highlight w:val="none"/>
        </w:rPr>
        <w:t>2</w:t>
      </w:r>
      <w:r>
        <w:rPr>
          <w:rFonts w:hint="eastAsia" w:hAnsi="宋体"/>
          <w:sz w:val="21"/>
          <w:szCs w:val="21"/>
          <w:highlight w:val="none"/>
          <w:lang w:val="en-US"/>
        </w:rPr>
        <w:t>7</w:t>
      </w:r>
      <w:r>
        <w:rPr>
          <w:rFonts w:hint="eastAsia" w:hAnsi="宋体"/>
          <w:sz w:val="21"/>
          <w:szCs w:val="21"/>
          <w:highlight w:val="none"/>
        </w:rPr>
        <w:t>.1请所有投标人在政采云系统准时参加线上开标活动,并且要求法定代表人或授权委托人全程在线。</w:t>
      </w:r>
    </w:p>
    <w:p>
      <w:pPr>
        <w:pStyle w:val="16"/>
        <w:autoSpaceDE/>
        <w:autoSpaceDN/>
        <w:snapToGrid w:val="0"/>
        <w:spacing w:beforeLines="0" w:afterLines="0" w:line="400" w:lineRule="exact"/>
        <w:ind w:firstLine="420" w:firstLineChars="200"/>
        <w:outlineLvl w:val="0"/>
        <w:rPr>
          <w:rFonts w:hAnsi="宋体"/>
          <w:sz w:val="21"/>
          <w:szCs w:val="21"/>
          <w:highlight w:val="none"/>
        </w:rPr>
      </w:pPr>
      <w:r>
        <w:rPr>
          <w:rFonts w:hint="eastAsia" w:hAnsi="宋体"/>
          <w:sz w:val="21"/>
          <w:szCs w:val="21"/>
          <w:highlight w:val="none"/>
        </w:rPr>
        <w:t>2</w:t>
      </w:r>
      <w:r>
        <w:rPr>
          <w:rFonts w:hint="eastAsia" w:hAnsi="宋体"/>
          <w:sz w:val="21"/>
          <w:szCs w:val="21"/>
          <w:highlight w:val="none"/>
          <w:lang w:val="en-US"/>
        </w:rPr>
        <w:t>7</w:t>
      </w:r>
      <w:r>
        <w:rPr>
          <w:rFonts w:hint="eastAsia" w:hAnsi="宋体"/>
          <w:sz w:val="21"/>
          <w:szCs w:val="21"/>
          <w:highlight w:val="none"/>
        </w:rPr>
        <w:t>.2投标截止时间后，招标人将线上开启解密，投标人需及时用 CA 锁在线解密，解密时间为半小时，逾期解密，投标人自行承担风险。</w:t>
      </w:r>
    </w:p>
    <w:p>
      <w:pPr>
        <w:pStyle w:val="16"/>
        <w:autoSpaceDE/>
        <w:autoSpaceDN/>
        <w:snapToGrid w:val="0"/>
        <w:spacing w:beforeLines="0" w:afterLines="0" w:line="400" w:lineRule="exact"/>
        <w:ind w:firstLine="420" w:firstLineChars="200"/>
        <w:outlineLvl w:val="0"/>
        <w:rPr>
          <w:rFonts w:hAnsi="宋体"/>
          <w:sz w:val="21"/>
          <w:szCs w:val="21"/>
          <w:highlight w:val="none"/>
        </w:rPr>
      </w:pPr>
      <w:r>
        <w:rPr>
          <w:rFonts w:hint="eastAsia" w:hAnsi="宋体"/>
          <w:sz w:val="21"/>
          <w:szCs w:val="21"/>
          <w:highlight w:val="none"/>
        </w:rPr>
        <w:t>2</w:t>
      </w:r>
      <w:r>
        <w:rPr>
          <w:rFonts w:hint="eastAsia" w:hAnsi="宋体"/>
          <w:sz w:val="21"/>
          <w:szCs w:val="21"/>
          <w:highlight w:val="none"/>
          <w:lang w:val="en-US"/>
        </w:rPr>
        <w:t>7</w:t>
      </w:r>
      <w:r>
        <w:rPr>
          <w:rFonts w:hint="eastAsia" w:hAnsi="宋体"/>
          <w:sz w:val="21"/>
          <w:szCs w:val="21"/>
          <w:highlight w:val="none"/>
        </w:rPr>
        <w:t>.3解密投标文件的 CA 锁必须跟制作投标文件的 CA 锁为同一个， 否则将导致解密失败。</w:t>
      </w:r>
    </w:p>
    <w:p>
      <w:pPr>
        <w:pStyle w:val="16"/>
        <w:autoSpaceDE/>
        <w:autoSpaceDN/>
        <w:snapToGrid w:val="0"/>
        <w:spacing w:beforeLines="0" w:afterLines="0" w:line="400" w:lineRule="exact"/>
        <w:ind w:firstLine="420" w:firstLineChars="200"/>
        <w:outlineLvl w:val="0"/>
        <w:rPr>
          <w:rFonts w:hAnsi="宋体"/>
          <w:sz w:val="21"/>
          <w:szCs w:val="21"/>
          <w:highlight w:val="none"/>
        </w:rPr>
      </w:pPr>
      <w:r>
        <w:rPr>
          <w:rFonts w:hint="eastAsia" w:hAnsi="宋体"/>
          <w:sz w:val="21"/>
          <w:szCs w:val="21"/>
          <w:highlight w:val="none"/>
        </w:rPr>
        <w:t>2</w:t>
      </w:r>
      <w:r>
        <w:rPr>
          <w:rFonts w:hint="eastAsia" w:hAnsi="宋体"/>
          <w:sz w:val="21"/>
          <w:szCs w:val="21"/>
          <w:highlight w:val="none"/>
          <w:lang w:val="en-US"/>
        </w:rPr>
        <w:t>7</w:t>
      </w:r>
      <w:r>
        <w:rPr>
          <w:rFonts w:hint="eastAsia" w:hAnsi="宋体"/>
          <w:sz w:val="21"/>
          <w:szCs w:val="21"/>
          <w:highlight w:val="none"/>
        </w:rPr>
        <w:t>.4若解密失败，且投标人未按要求提供备份电子投标文件，将导致废标。</w:t>
      </w:r>
    </w:p>
    <w:p>
      <w:pPr>
        <w:pStyle w:val="16"/>
        <w:autoSpaceDE/>
        <w:autoSpaceDN/>
        <w:snapToGrid w:val="0"/>
        <w:spacing w:beforeLines="0" w:afterLines="0" w:line="400" w:lineRule="exact"/>
        <w:ind w:firstLine="420" w:firstLineChars="200"/>
        <w:outlineLvl w:val="0"/>
        <w:rPr>
          <w:rFonts w:hAnsi="宋体"/>
          <w:b/>
          <w:bCs/>
          <w:sz w:val="21"/>
          <w:szCs w:val="21"/>
          <w:highlight w:val="none"/>
        </w:rPr>
      </w:pPr>
      <w:r>
        <w:rPr>
          <w:rFonts w:hint="eastAsia" w:hAnsi="宋体"/>
          <w:sz w:val="21"/>
          <w:szCs w:val="21"/>
          <w:highlight w:val="none"/>
        </w:rPr>
        <w:t>2</w:t>
      </w:r>
      <w:r>
        <w:rPr>
          <w:rFonts w:hint="eastAsia" w:hAnsi="宋体"/>
          <w:sz w:val="21"/>
          <w:szCs w:val="21"/>
          <w:highlight w:val="none"/>
          <w:lang w:val="en-US"/>
        </w:rPr>
        <w:t>7</w:t>
      </w:r>
      <w:r>
        <w:rPr>
          <w:rFonts w:hint="eastAsia" w:hAnsi="宋体"/>
          <w:sz w:val="21"/>
          <w:szCs w:val="21"/>
          <w:highlight w:val="none"/>
        </w:rPr>
        <w:t>.5中标人还需将纸质版投标文件(一正</w:t>
      </w:r>
      <w:r>
        <w:rPr>
          <w:rFonts w:hint="eastAsia" w:hAnsi="宋体"/>
          <w:sz w:val="21"/>
          <w:szCs w:val="21"/>
          <w:highlight w:val="none"/>
          <w:lang w:val="en-US" w:eastAsia="zh-CN"/>
        </w:rPr>
        <w:t>三</w:t>
      </w:r>
      <w:r>
        <w:rPr>
          <w:rFonts w:hint="eastAsia" w:hAnsi="宋体"/>
          <w:sz w:val="21"/>
          <w:szCs w:val="21"/>
          <w:highlight w:val="none"/>
        </w:rPr>
        <w:t>副)邮寄到浙江中信工程咨询有限公司留档备用,纸质版投标文件由资格证明文件、</w:t>
      </w:r>
      <w:r>
        <w:rPr>
          <w:rFonts w:hint="eastAsia" w:hAnsi="宋体"/>
          <w:sz w:val="21"/>
          <w:szCs w:val="21"/>
          <w:highlight w:val="none"/>
          <w:lang w:eastAsia="zh-CN"/>
        </w:rPr>
        <w:t>技术资信标</w:t>
      </w:r>
      <w:r>
        <w:rPr>
          <w:rFonts w:hint="eastAsia" w:hAnsi="宋体"/>
          <w:sz w:val="21"/>
          <w:szCs w:val="21"/>
          <w:highlight w:val="none"/>
        </w:rPr>
        <w:t>、价格标三部分组成，并且分别胶装成册。</w:t>
      </w:r>
      <w:r>
        <w:rPr>
          <w:rFonts w:hint="eastAsia" w:hAnsi="宋体"/>
          <w:b/>
          <w:bCs/>
          <w:sz w:val="21"/>
          <w:szCs w:val="21"/>
          <w:highlight w:val="none"/>
        </w:rPr>
        <w:t xml:space="preserve">纸质投标文件必须跟上传到政采云系统的电子加密文件一致，并且均需加盖单位公章。 </w:t>
      </w:r>
    </w:p>
    <w:p>
      <w:pPr>
        <w:autoSpaceDE/>
        <w:autoSpaceDN/>
        <w:spacing w:line="440" w:lineRule="exact"/>
        <w:ind w:firstLine="422" w:firstLineChars="200"/>
        <w:rPr>
          <w:rFonts w:cs="Times New Roman"/>
          <w:b/>
          <w:bCs/>
          <w:kern w:val="2"/>
          <w:sz w:val="21"/>
          <w:szCs w:val="21"/>
          <w:highlight w:val="none"/>
          <w:lang w:val="en-US" w:bidi="ar-SA"/>
        </w:rPr>
      </w:pPr>
      <w:r>
        <w:rPr>
          <w:rFonts w:hint="eastAsia" w:cs="Times New Roman"/>
          <w:b/>
          <w:bCs/>
          <w:kern w:val="2"/>
          <w:sz w:val="21"/>
          <w:szCs w:val="21"/>
          <w:highlight w:val="none"/>
          <w:lang w:val="en-US" w:bidi="ar-SA"/>
        </w:rPr>
        <w:t>十一、关于中小企业、支持监狱企业发展、促进残疾人就业、扶持不发达地区和少数民族地区参与政府采购活动的规定</w:t>
      </w:r>
    </w:p>
    <w:p>
      <w:pPr>
        <w:autoSpaceDE/>
        <w:autoSpaceDN/>
        <w:spacing w:line="440" w:lineRule="exact"/>
        <w:ind w:firstLine="420" w:firstLineChars="200"/>
        <w:rPr>
          <w:rFonts w:cs="Times New Roman"/>
          <w:kern w:val="2"/>
          <w:sz w:val="21"/>
          <w:szCs w:val="21"/>
          <w:highlight w:val="none"/>
          <w:lang w:val="en-US" w:bidi="ar-SA"/>
        </w:rPr>
      </w:pPr>
      <w:r>
        <w:rPr>
          <w:rFonts w:hint="eastAsia" w:cs="Times New Roman"/>
          <w:kern w:val="2"/>
          <w:sz w:val="21"/>
          <w:szCs w:val="21"/>
          <w:highlight w:val="none"/>
          <w:lang w:val="en-US" w:bidi="ar-SA"/>
        </w:rPr>
        <w:t>28.1 根据《中小企业划型标准规定》（工信部联企业[2011]300 号）、《政府采购促进中小企业发展管理办法》（财库〔2020〕46 号）的有关规定，《政府采购促进中小企业发展管理办法》所称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autoSpaceDE/>
        <w:autoSpaceDN/>
        <w:spacing w:line="440" w:lineRule="exact"/>
        <w:ind w:firstLine="420" w:firstLineChars="200"/>
        <w:rPr>
          <w:rFonts w:cs="Times New Roman"/>
          <w:kern w:val="2"/>
          <w:sz w:val="21"/>
          <w:szCs w:val="21"/>
          <w:highlight w:val="none"/>
          <w:lang w:val="en-US" w:bidi="ar-SA"/>
        </w:rPr>
      </w:pPr>
      <w:r>
        <w:rPr>
          <w:rFonts w:hint="eastAsia" w:cs="Times New Roman"/>
          <w:kern w:val="2"/>
          <w:sz w:val="21"/>
          <w:szCs w:val="21"/>
          <w:highlight w:val="none"/>
          <w:lang w:val="en-US" w:bidi="ar-SA"/>
        </w:rPr>
        <w:t>28.2 根据《关于政府采购支持监狱企业发展有关问题的通知》（财库[2014]68 号）的规定。</w:t>
      </w:r>
    </w:p>
    <w:p>
      <w:pPr>
        <w:autoSpaceDE/>
        <w:autoSpaceDN/>
        <w:spacing w:line="440" w:lineRule="exact"/>
        <w:ind w:firstLine="420" w:firstLineChars="200"/>
        <w:rPr>
          <w:rFonts w:cs="Times New Roman"/>
          <w:kern w:val="2"/>
          <w:sz w:val="21"/>
          <w:szCs w:val="21"/>
          <w:highlight w:val="none"/>
          <w:lang w:val="en-US" w:bidi="ar-SA"/>
        </w:rPr>
      </w:pPr>
      <w:r>
        <w:rPr>
          <w:rFonts w:hint="eastAsia" w:cs="Times New Roman"/>
          <w:kern w:val="2"/>
          <w:sz w:val="21"/>
          <w:szCs w:val="21"/>
          <w:highlight w:val="none"/>
          <w:lang w:val="en-US" w:bidi="ar-SA"/>
        </w:rPr>
        <w:t>1）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autoSpaceDE/>
        <w:autoSpaceDN/>
        <w:spacing w:line="440" w:lineRule="exact"/>
        <w:ind w:firstLine="420" w:firstLineChars="200"/>
        <w:rPr>
          <w:rFonts w:cs="Times New Roman"/>
          <w:kern w:val="2"/>
          <w:sz w:val="21"/>
          <w:szCs w:val="21"/>
          <w:highlight w:val="none"/>
          <w:lang w:val="en-US" w:bidi="ar-SA"/>
        </w:rPr>
      </w:pPr>
      <w:r>
        <w:rPr>
          <w:rFonts w:hint="eastAsia" w:cs="Times New Roman"/>
          <w:kern w:val="2"/>
          <w:sz w:val="21"/>
          <w:szCs w:val="21"/>
          <w:highlight w:val="none"/>
          <w:lang w:val="en-US" w:bidi="ar-SA"/>
        </w:rPr>
        <w:t xml:space="preserve"> 2）在政府采购活动中，监狱企业视同小型、微型企业，享受预留份额、评审中价格扣除等政府采购促进中小企业发展的政府采购政策。向监狱企业采购的金额，计入面向中小企业采购的统计数据。</w:t>
      </w:r>
    </w:p>
    <w:p>
      <w:pPr>
        <w:autoSpaceDE/>
        <w:autoSpaceDN/>
        <w:spacing w:line="440" w:lineRule="exact"/>
        <w:ind w:firstLine="420" w:firstLineChars="200"/>
        <w:rPr>
          <w:rFonts w:cs="Times New Roman"/>
          <w:kern w:val="2"/>
          <w:sz w:val="21"/>
          <w:szCs w:val="21"/>
          <w:highlight w:val="none"/>
          <w:lang w:val="en-US" w:bidi="ar-SA"/>
        </w:rPr>
      </w:pPr>
      <w:r>
        <w:rPr>
          <w:rFonts w:hint="eastAsia" w:cs="Times New Roman"/>
          <w:kern w:val="2"/>
          <w:sz w:val="21"/>
          <w:szCs w:val="21"/>
          <w:highlight w:val="none"/>
          <w:lang w:val="en-US" w:bidi="ar-SA"/>
        </w:rPr>
        <w:t>28.3 符合《关于促进残疾人就业政府采购政策的通知》（财库〔2017〕141 号）规定。</w:t>
      </w:r>
    </w:p>
    <w:p>
      <w:pPr>
        <w:autoSpaceDE/>
        <w:autoSpaceDN/>
        <w:spacing w:line="440" w:lineRule="exact"/>
        <w:ind w:firstLine="420" w:firstLineChars="200"/>
        <w:rPr>
          <w:rFonts w:cs="Times New Roman"/>
          <w:kern w:val="2"/>
          <w:sz w:val="21"/>
          <w:szCs w:val="21"/>
          <w:highlight w:val="none"/>
          <w:lang w:val="en-US" w:bidi="ar-SA"/>
        </w:rPr>
      </w:pPr>
      <w:r>
        <w:rPr>
          <w:rFonts w:hint="eastAsia" w:cs="Times New Roman"/>
          <w:kern w:val="2"/>
          <w:sz w:val="21"/>
          <w:szCs w:val="21"/>
          <w:highlight w:val="none"/>
          <w:lang w:val="en-US" w:bidi="ar-SA"/>
        </w:rPr>
        <w:t>1）享受政府采购支持政策的残疾人福利性单位应当同时满足以下条件：</w:t>
      </w:r>
    </w:p>
    <w:p>
      <w:pPr>
        <w:autoSpaceDE/>
        <w:autoSpaceDN/>
        <w:spacing w:line="440" w:lineRule="exact"/>
        <w:ind w:firstLine="420" w:firstLineChars="200"/>
        <w:rPr>
          <w:rFonts w:cs="Times New Roman"/>
          <w:kern w:val="2"/>
          <w:sz w:val="21"/>
          <w:szCs w:val="21"/>
          <w:highlight w:val="none"/>
          <w:lang w:val="en-US" w:bidi="ar-SA"/>
        </w:rPr>
      </w:pPr>
      <w:r>
        <w:rPr>
          <w:rFonts w:hint="eastAsia" w:cs="Times New Roman"/>
          <w:kern w:val="2"/>
          <w:sz w:val="21"/>
          <w:szCs w:val="21"/>
          <w:highlight w:val="none"/>
          <w:lang w:val="en-US" w:bidi="ar-SA"/>
        </w:rPr>
        <w:t xml:space="preserve">（a）安置的残疾人占本单位在职职工人数的比例不低于 25%（含 25%），并且安置的残疾人人数不少于 10 人（含 10 人）； </w:t>
      </w:r>
    </w:p>
    <w:p>
      <w:pPr>
        <w:autoSpaceDE/>
        <w:autoSpaceDN/>
        <w:spacing w:line="440" w:lineRule="exact"/>
        <w:ind w:firstLine="420" w:firstLineChars="200"/>
        <w:rPr>
          <w:rFonts w:cs="Times New Roman"/>
          <w:kern w:val="2"/>
          <w:sz w:val="21"/>
          <w:szCs w:val="21"/>
          <w:highlight w:val="none"/>
          <w:lang w:val="en-US" w:bidi="ar-SA"/>
        </w:rPr>
      </w:pPr>
      <w:r>
        <w:rPr>
          <w:rFonts w:hint="eastAsia" w:cs="Times New Roman"/>
          <w:kern w:val="2"/>
          <w:sz w:val="21"/>
          <w:szCs w:val="21"/>
          <w:highlight w:val="none"/>
          <w:lang w:val="en-US" w:bidi="ar-SA"/>
        </w:rPr>
        <w:t>（b）依法与安置的每位残疾人签订了一年以上（含一年）的劳动合同或服务协议；</w:t>
      </w:r>
    </w:p>
    <w:p>
      <w:pPr>
        <w:autoSpaceDE/>
        <w:autoSpaceDN/>
        <w:spacing w:line="440" w:lineRule="exact"/>
        <w:ind w:firstLine="420" w:firstLineChars="200"/>
        <w:rPr>
          <w:rFonts w:cs="Times New Roman"/>
          <w:kern w:val="2"/>
          <w:sz w:val="21"/>
          <w:szCs w:val="21"/>
          <w:highlight w:val="none"/>
          <w:lang w:val="en-US" w:bidi="ar-SA"/>
        </w:rPr>
      </w:pPr>
      <w:r>
        <w:rPr>
          <w:rFonts w:hint="eastAsia" w:cs="Times New Roman"/>
          <w:kern w:val="2"/>
          <w:sz w:val="21"/>
          <w:szCs w:val="21"/>
          <w:highlight w:val="none"/>
          <w:lang w:val="en-US" w:bidi="ar-SA"/>
        </w:rPr>
        <w:t>（c）为安置的每位残疾人按月足额缴纳了基本养老保险、基本医疗保险、失业保险、工伤保险和生育保险等社会保险费；</w:t>
      </w:r>
    </w:p>
    <w:p>
      <w:pPr>
        <w:autoSpaceDE/>
        <w:autoSpaceDN/>
        <w:spacing w:line="440" w:lineRule="exact"/>
        <w:ind w:firstLine="420" w:firstLineChars="200"/>
        <w:rPr>
          <w:rFonts w:cs="Times New Roman"/>
          <w:kern w:val="2"/>
          <w:sz w:val="21"/>
          <w:szCs w:val="21"/>
          <w:highlight w:val="none"/>
          <w:lang w:val="en-US" w:bidi="ar-SA"/>
        </w:rPr>
      </w:pPr>
      <w:r>
        <w:rPr>
          <w:rFonts w:hint="eastAsia" w:cs="Times New Roman"/>
          <w:kern w:val="2"/>
          <w:sz w:val="21"/>
          <w:szCs w:val="21"/>
          <w:highlight w:val="none"/>
          <w:lang w:val="en-US" w:bidi="ar-SA"/>
        </w:rPr>
        <w:t>（d）通过银行等金融机构向安置的每位残疾人，按月支付了不低于单位所在区县适用的经省级人民政府批准的月最低工资标准的工资；</w:t>
      </w:r>
    </w:p>
    <w:p>
      <w:pPr>
        <w:autoSpaceDE/>
        <w:autoSpaceDN/>
        <w:spacing w:line="440" w:lineRule="exact"/>
        <w:ind w:firstLine="420" w:firstLineChars="200"/>
        <w:rPr>
          <w:rFonts w:cs="Times New Roman"/>
          <w:kern w:val="2"/>
          <w:sz w:val="21"/>
          <w:szCs w:val="21"/>
          <w:highlight w:val="none"/>
          <w:lang w:val="en-US" w:bidi="ar-SA"/>
        </w:rPr>
      </w:pPr>
      <w:r>
        <w:rPr>
          <w:rFonts w:hint="eastAsia" w:cs="Times New Roman"/>
          <w:kern w:val="2"/>
          <w:sz w:val="21"/>
          <w:szCs w:val="21"/>
          <w:highlight w:val="none"/>
          <w:lang w:val="en-US" w:bidi="ar-SA"/>
        </w:rPr>
        <w:t>（e）提供本单位制造的货物、承担的工程或者服务（以下简称产品），或者提供其他残疾人福利性单位制造的货物（不包括使用非残疾人福利性单位注册商标的货物）。前款所称残疾人是指法定劳动年龄内，持有《中华人民共和国残疾人证》或者《中华人民共和国残疾军人证（1 至 8 级）》的自然人，包括具有劳动条件和劳动意愿的精神残疾人。在职职工人数是指与残疾人福利性单位建立劳动关系并依法签订劳动合同或者服务协议的雇员人数。</w:t>
      </w:r>
    </w:p>
    <w:p>
      <w:pPr>
        <w:autoSpaceDE/>
        <w:autoSpaceDN/>
        <w:spacing w:line="440" w:lineRule="exact"/>
        <w:ind w:firstLine="420" w:firstLineChars="200"/>
        <w:rPr>
          <w:rFonts w:cs="Times New Roman"/>
          <w:kern w:val="2"/>
          <w:sz w:val="21"/>
          <w:szCs w:val="21"/>
          <w:highlight w:val="none"/>
          <w:lang w:val="en-US" w:bidi="ar-SA"/>
        </w:rPr>
      </w:pPr>
      <w:r>
        <w:rPr>
          <w:rFonts w:hint="eastAsia" w:cs="Times New Roman"/>
          <w:kern w:val="2"/>
          <w:sz w:val="21"/>
          <w:szCs w:val="21"/>
          <w:highlight w:val="none"/>
          <w:lang w:val="en-US" w:bidi="ar-SA"/>
        </w:rPr>
        <w:t>2）符合条件的残疾人福利性单位在参加政府采购活动时，应当提供本采购文件规定的《残疾人福利性单位声明函》（见附件），并对声明的真实性负责。任何单位或者个人在政府采购活动中均不得要求残疾人福利性单位提供其他证明声明函内容的材料。中标、成交投标人为残疾人福利性单位的，采购人或者其委托的采购代理机构应当随中标、成交结果同时公告其《残疾人福利性单位声明函》，接受社会监督。投</w:t>
      </w:r>
      <w:r>
        <w:rPr>
          <w:rFonts w:hint="eastAsia" w:cs="Times New Roman"/>
          <w:w w:val="90"/>
          <w:kern w:val="2"/>
          <w:sz w:val="21"/>
          <w:szCs w:val="21"/>
          <w:highlight w:val="none"/>
          <w:lang w:val="en-US" w:bidi="ar-SA"/>
        </w:rPr>
        <w:t>标人提供的《残疾人福利性单位声明函》与事实不符的，依照《政府采购法》第七十七条第一款的规定追究法律责任</w:t>
      </w:r>
    </w:p>
    <w:p>
      <w:pPr>
        <w:autoSpaceDE/>
        <w:autoSpaceDN/>
        <w:spacing w:line="440" w:lineRule="exact"/>
        <w:ind w:firstLine="420" w:firstLineChars="200"/>
        <w:rPr>
          <w:rFonts w:cs="Times New Roman"/>
          <w:kern w:val="2"/>
          <w:sz w:val="21"/>
          <w:szCs w:val="21"/>
          <w:highlight w:val="none"/>
          <w:lang w:val="en-US" w:bidi="ar-SA"/>
        </w:rPr>
      </w:pPr>
      <w:r>
        <w:rPr>
          <w:rFonts w:hint="eastAsia" w:cs="Times New Roman"/>
          <w:kern w:val="2"/>
          <w:sz w:val="21"/>
          <w:szCs w:val="21"/>
          <w:highlight w:val="none"/>
          <w:lang w:val="en-US" w:bidi="ar-SA"/>
        </w:rPr>
        <w:t>3）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autoSpaceDE/>
        <w:autoSpaceDN/>
        <w:spacing w:line="400" w:lineRule="exact"/>
        <w:ind w:firstLine="420" w:firstLineChars="200"/>
        <w:rPr>
          <w:highlight w:val="none"/>
        </w:rPr>
      </w:pPr>
      <w:r>
        <w:rPr>
          <w:rFonts w:hint="eastAsia" w:cs="Times New Roman"/>
          <w:kern w:val="2"/>
          <w:sz w:val="21"/>
          <w:szCs w:val="21"/>
          <w:highlight w:val="none"/>
          <w:lang w:val="en-US" w:bidi="ar-SA"/>
        </w:rPr>
        <w:t>28.4 符合国家政策扶持不发达地区和少数民族地区在政府采购活动中，不发达地区和少数民族地区企业，享受预留份额、评审中价格扣除等政府采购促进中小企业发展的政府采购政策。向不发达地区和少数民族地区企业采购的金额，计入面向中小企业采购的统计数据。不发达地区和少数民族地区企业属于小型、微型企业的，不重复享受政策。</w:t>
      </w:r>
    </w:p>
    <w:p>
      <w:pPr>
        <w:pStyle w:val="32"/>
        <w:keepNext w:val="0"/>
        <w:keepLines w:val="0"/>
        <w:pageBreakBefore w:val="0"/>
        <w:widowControl w:val="0"/>
        <w:kinsoku/>
        <w:wordWrap/>
        <w:overflowPunct/>
        <w:topLinePunct w:val="0"/>
        <w:autoSpaceDE/>
        <w:autoSpaceDN/>
        <w:bidi w:val="0"/>
        <w:adjustRightInd/>
        <w:snapToGrid/>
        <w:spacing w:before="0" w:beforeLines="50" w:after="0" w:afterLines="50"/>
        <w:textAlignment w:val="auto"/>
        <w:rPr>
          <w:rFonts w:hint="eastAsia" w:ascii="宋体" w:hAnsi="宋体" w:eastAsia="宋体" w:cs="宋体"/>
          <w:b/>
          <w:bCs/>
          <w:sz w:val="21"/>
          <w:szCs w:val="20"/>
          <w:highlight w:val="none"/>
          <w:lang w:val="en-US" w:eastAsia="zh-CN"/>
        </w:rPr>
      </w:pPr>
      <w:r>
        <w:rPr>
          <w:rFonts w:hint="eastAsia" w:ascii="宋体" w:hAnsi="宋体" w:eastAsia="宋体" w:cs="宋体"/>
          <w:b/>
          <w:bCs/>
          <w:sz w:val="21"/>
          <w:szCs w:val="20"/>
          <w:highlight w:val="none"/>
          <w:lang w:val="en-US" w:eastAsia="zh-CN"/>
        </w:rPr>
        <w:t>十二、合同签订与履约保证金</w:t>
      </w:r>
    </w:p>
    <w:p>
      <w:pPr>
        <w:pStyle w:val="11"/>
        <w:keepNext w:val="0"/>
        <w:keepLines w:val="0"/>
        <w:pageBreakBefore w:val="0"/>
        <w:widowControl w:val="0"/>
        <w:kinsoku/>
        <w:wordWrap/>
        <w:overflowPunct/>
        <w:topLinePunct w:val="0"/>
        <w:bidi w:val="0"/>
        <w:adjustRightInd w:val="0"/>
        <w:snapToGrid w:val="0"/>
        <w:spacing w:line="400" w:lineRule="exact"/>
        <w:ind w:left="0" w:leftChars="0" w:firstLine="422" w:firstLineChars="200"/>
        <w:textAlignment w:val="auto"/>
        <w:rPr>
          <w:rFonts w:hint="eastAsia" w:ascii="宋体" w:hAnsi="宋体" w:eastAsia="宋体" w:cs="Times New Roman"/>
          <w:b/>
          <w:bCs/>
          <w:spacing w:val="0"/>
          <w:kern w:val="2"/>
          <w:sz w:val="21"/>
          <w:szCs w:val="21"/>
          <w:highlight w:val="none"/>
          <w:lang w:val="en-US" w:eastAsia="zh-CN" w:bidi="ar-SA"/>
        </w:rPr>
      </w:pPr>
      <w:r>
        <w:rPr>
          <w:rFonts w:hint="eastAsia" w:hAnsi="宋体" w:cs="Times New Roman"/>
          <w:b/>
          <w:bCs/>
          <w:spacing w:val="0"/>
          <w:kern w:val="2"/>
          <w:sz w:val="21"/>
          <w:szCs w:val="21"/>
          <w:highlight w:val="none"/>
          <w:lang w:val="en-US" w:eastAsia="zh-CN" w:bidi="ar-SA"/>
        </w:rPr>
        <w:t>29.</w:t>
      </w:r>
      <w:r>
        <w:rPr>
          <w:rFonts w:hint="eastAsia" w:ascii="宋体" w:hAnsi="宋体" w:eastAsia="宋体" w:cs="Times New Roman"/>
          <w:b/>
          <w:bCs/>
          <w:spacing w:val="0"/>
          <w:kern w:val="2"/>
          <w:sz w:val="21"/>
          <w:szCs w:val="21"/>
          <w:highlight w:val="none"/>
          <w:lang w:val="en-US" w:eastAsia="zh-CN" w:bidi="ar-SA"/>
        </w:rPr>
        <w:t xml:space="preserve"> 合同的签订</w:t>
      </w:r>
    </w:p>
    <w:p>
      <w:pPr>
        <w:keepNext w:val="0"/>
        <w:keepLines w:val="0"/>
        <w:pageBreakBefore w:val="0"/>
        <w:widowControl w:val="0"/>
        <w:kinsoku/>
        <w:wordWrap/>
        <w:overflowPunct/>
        <w:topLinePunct w:val="0"/>
        <w:bidi w:val="0"/>
        <w:adjustRightInd w:val="0"/>
        <w:snapToGrid w:val="0"/>
        <w:spacing w:line="400" w:lineRule="exact"/>
        <w:ind w:left="0" w:leftChars="0" w:firstLine="420" w:firstLineChars="200"/>
        <w:textAlignment w:val="auto"/>
        <w:rPr>
          <w:rFonts w:hint="eastAsia" w:ascii="宋体" w:hAnsi="宋体" w:eastAsia="宋体" w:cs="Times New Roman"/>
          <w:spacing w:val="0"/>
          <w:kern w:val="2"/>
          <w:sz w:val="21"/>
          <w:szCs w:val="21"/>
          <w:highlight w:val="none"/>
          <w:lang w:val="en-US" w:eastAsia="zh-CN" w:bidi="ar-SA"/>
        </w:rPr>
      </w:pPr>
      <w:r>
        <w:rPr>
          <w:rFonts w:hint="eastAsia" w:cs="Times New Roman"/>
          <w:spacing w:val="0"/>
          <w:kern w:val="2"/>
          <w:sz w:val="21"/>
          <w:szCs w:val="21"/>
          <w:highlight w:val="none"/>
          <w:lang w:val="en-US" w:eastAsia="zh-CN" w:bidi="ar-SA"/>
        </w:rPr>
        <w:t>29</w:t>
      </w:r>
      <w:r>
        <w:rPr>
          <w:rFonts w:hint="eastAsia" w:ascii="宋体" w:hAnsi="宋体" w:eastAsia="宋体" w:cs="Times New Roman"/>
          <w:spacing w:val="0"/>
          <w:kern w:val="2"/>
          <w:sz w:val="21"/>
          <w:szCs w:val="21"/>
          <w:highlight w:val="none"/>
          <w:lang w:val="en-US" w:eastAsia="zh-CN" w:bidi="ar-SA"/>
        </w:rPr>
        <w:t>.1除不可抗力等特殊情况外，采购人原则上应当在中标通知书发出之日起20日内，与成交人按照采购文件确定的事项签订政府采购合同，并在签订之日起2个工作日内将政府采购合同在浙江政府采购网上公告。</w:t>
      </w:r>
    </w:p>
    <w:p>
      <w:pPr>
        <w:pStyle w:val="41"/>
        <w:keepNext w:val="0"/>
        <w:keepLines w:val="0"/>
        <w:pageBreakBefore w:val="0"/>
        <w:widowControl w:val="0"/>
        <w:kinsoku/>
        <w:wordWrap/>
        <w:overflowPunct/>
        <w:topLinePunct w:val="0"/>
        <w:bidi w:val="0"/>
        <w:adjustRightInd w:val="0"/>
        <w:snapToGrid w:val="0"/>
        <w:spacing w:before="0" w:line="400" w:lineRule="exact"/>
        <w:ind w:left="0" w:leftChars="0" w:firstLine="420"/>
        <w:textAlignment w:val="auto"/>
        <w:rPr>
          <w:rFonts w:hint="eastAsia" w:ascii="宋体" w:hAnsi="宋体" w:eastAsia="宋体" w:cs="Times New Roman"/>
          <w:spacing w:val="0"/>
          <w:kern w:val="2"/>
          <w:sz w:val="21"/>
          <w:szCs w:val="21"/>
          <w:highlight w:val="none"/>
          <w:lang w:val="en-US" w:eastAsia="zh-CN" w:bidi="ar-SA"/>
        </w:rPr>
      </w:pPr>
      <w:r>
        <w:rPr>
          <w:rFonts w:hint="eastAsia" w:hAnsi="宋体" w:cs="Times New Roman"/>
          <w:spacing w:val="0"/>
          <w:kern w:val="2"/>
          <w:sz w:val="21"/>
          <w:szCs w:val="21"/>
          <w:highlight w:val="none"/>
          <w:lang w:val="en-US" w:eastAsia="zh-CN" w:bidi="ar-SA"/>
        </w:rPr>
        <w:t>29</w:t>
      </w:r>
      <w:r>
        <w:rPr>
          <w:rFonts w:hint="eastAsia" w:ascii="宋体" w:hAnsi="宋体" w:eastAsia="宋体" w:cs="Times New Roman"/>
          <w:spacing w:val="0"/>
          <w:kern w:val="2"/>
          <w:sz w:val="21"/>
          <w:szCs w:val="21"/>
          <w:highlight w:val="none"/>
          <w:lang w:val="zh-CN" w:eastAsia="zh-CN" w:bidi="ar-SA"/>
        </w:rPr>
        <w:t>.2成交人按规定的日期、时间、地点，由法定代表人或其授权代表与采购人代表签订合同。如成交人为联合体的，由联合体成员各方法定代表人或其授权代表与采购人代表签订合同。</w:t>
      </w:r>
    </w:p>
    <w:p>
      <w:pPr>
        <w:pStyle w:val="41"/>
        <w:keepNext w:val="0"/>
        <w:keepLines w:val="0"/>
        <w:pageBreakBefore w:val="0"/>
        <w:widowControl w:val="0"/>
        <w:kinsoku/>
        <w:wordWrap/>
        <w:overflowPunct/>
        <w:topLinePunct w:val="0"/>
        <w:bidi w:val="0"/>
        <w:adjustRightInd w:val="0"/>
        <w:snapToGrid w:val="0"/>
        <w:spacing w:before="0" w:line="400" w:lineRule="exact"/>
        <w:ind w:left="0" w:leftChars="0" w:firstLine="420"/>
        <w:textAlignment w:val="auto"/>
        <w:rPr>
          <w:rFonts w:hint="eastAsia" w:ascii="宋体" w:hAnsi="宋体" w:eastAsia="宋体" w:cs="Times New Roman"/>
          <w:spacing w:val="0"/>
          <w:kern w:val="2"/>
          <w:sz w:val="21"/>
          <w:szCs w:val="21"/>
          <w:highlight w:val="none"/>
          <w:lang w:val="en-US" w:eastAsia="zh-CN" w:bidi="ar-SA"/>
        </w:rPr>
      </w:pPr>
      <w:r>
        <w:rPr>
          <w:rFonts w:hint="eastAsia" w:hAnsi="宋体" w:cs="Times New Roman"/>
          <w:spacing w:val="0"/>
          <w:kern w:val="2"/>
          <w:sz w:val="21"/>
          <w:szCs w:val="21"/>
          <w:highlight w:val="none"/>
          <w:lang w:val="en-US" w:eastAsia="zh-CN" w:bidi="ar-SA"/>
        </w:rPr>
        <w:t>29</w:t>
      </w:r>
      <w:r>
        <w:rPr>
          <w:rFonts w:hint="eastAsia" w:ascii="宋体" w:hAnsi="宋体" w:eastAsia="宋体" w:cs="Times New Roman"/>
          <w:spacing w:val="0"/>
          <w:kern w:val="2"/>
          <w:sz w:val="21"/>
          <w:szCs w:val="21"/>
          <w:highlight w:val="none"/>
          <w:lang w:val="en-US" w:eastAsia="zh-CN" w:bidi="ar-SA"/>
        </w:rPr>
        <w:t>.3如签订合同并生效后，供应商无故拒绝或延期，除按照合同条款处理外，列入不良行为记录一次，并给予通报。</w:t>
      </w:r>
    </w:p>
    <w:p>
      <w:pPr>
        <w:pStyle w:val="41"/>
        <w:keepNext w:val="0"/>
        <w:keepLines w:val="0"/>
        <w:pageBreakBefore w:val="0"/>
        <w:widowControl w:val="0"/>
        <w:kinsoku/>
        <w:wordWrap/>
        <w:overflowPunct/>
        <w:topLinePunct w:val="0"/>
        <w:bidi w:val="0"/>
        <w:adjustRightInd w:val="0"/>
        <w:snapToGrid w:val="0"/>
        <w:spacing w:before="0" w:line="400" w:lineRule="exact"/>
        <w:ind w:left="0" w:leftChars="0" w:firstLine="420"/>
        <w:textAlignment w:val="auto"/>
        <w:rPr>
          <w:rFonts w:hint="eastAsia" w:ascii="宋体" w:hAnsi="宋体" w:eastAsia="宋体" w:cs="Times New Roman"/>
          <w:spacing w:val="0"/>
          <w:kern w:val="2"/>
          <w:sz w:val="21"/>
          <w:szCs w:val="21"/>
          <w:highlight w:val="none"/>
          <w:lang w:val="en-US" w:eastAsia="zh-CN" w:bidi="ar-SA"/>
        </w:rPr>
      </w:pPr>
      <w:r>
        <w:rPr>
          <w:rFonts w:hint="eastAsia" w:hAnsi="宋体" w:cs="Times New Roman"/>
          <w:spacing w:val="0"/>
          <w:kern w:val="2"/>
          <w:sz w:val="21"/>
          <w:szCs w:val="21"/>
          <w:highlight w:val="none"/>
          <w:lang w:val="en-US" w:eastAsia="zh-CN" w:bidi="ar-SA"/>
        </w:rPr>
        <w:t>29</w:t>
      </w:r>
      <w:r>
        <w:rPr>
          <w:rFonts w:hint="eastAsia" w:ascii="宋体" w:hAnsi="宋体" w:eastAsia="宋体" w:cs="Times New Roman"/>
          <w:spacing w:val="0"/>
          <w:kern w:val="2"/>
          <w:sz w:val="21"/>
          <w:szCs w:val="21"/>
          <w:highlight w:val="none"/>
          <w:lang w:val="en-US" w:eastAsia="zh-CN" w:bidi="ar-SA"/>
        </w:rPr>
        <w:t>.4成交人拒绝与采购人签订合同的，采购人可以按照评审报告推荐的中标或者成交候选人名单排序，确定下一候选人为成交人，也可以重新开展政府采购活动。</w:t>
      </w:r>
    </w:p>
    <w:p>
      <w:pPr>
        <w:pStyle w:val="41"/>
        <w:keepNext w:val="0"/>
        <w:keepLines w:val="0"/>
        <w:pageBreakBefore w:val="0"/>
        <w:widowControl w:val="0"/>
        <w:kinsoku/>
        <w:wordWrap/>
        <w:overflowPunct/>
        <w:topLinePunct w:val="0"/>
        <w:bidi w:val="0"/>
        <w:adjustRightInd w:val="0"/>
        <w:snapToGrid w:val="0"/>
        <w:spacing w:before="0" w:line="400" w:lineRule="exact"/>
        <w:ind w:left="0" w:leftChars="0" w:firstLine="420"/>
        <w:textAlignment w:val="auto"/>
        <w:rPr>
          <w:rFonts w:hint="eastAsia" w:ascii="宋体" w:hAnsi="宋体" w:eastAsia="宋体" w:cs="Times New Roman"/>
          <w:spacing w:val="0"/>
          <w:kern w:val="2"/>
          <w:sz w:val="21"/>
          <w:szCs w:val="21"/>
          <w:highlight w:val="none"/>
          <w:lang w:val="en-US" w:eastAsia="zh-CN" w:bidi="ar-SA"/>
        </w:rPr>
      </w:pPr>
      <w:r>
        <w:rPr>
          <w:rFonts w:hint="eastAsia" w:hAnsi="宋体" w:cs="Times New Roman"/>
          <w:spacing w:val="0"/>
          <w:kern w:val="2"/>
          <w:sz w:val="21"/>
          <w:szCs w:val="21"/>
          <w:highlight w:val="none"/>
          <w:lang w:val="en-US" w:eastAsia="zh-CN" w:bidi="ar-SA"/>
        </w:rPr>
        <w:t>29</w:t>
      </w:r>
      <w:r>
        <w:rPr>
          <w:rFonts w:hint="eastAsia" w:ascii="宋体" w:hAnsi="宋体" w:eastAsia="宋体" w:cs="Times New Roman"/>
          <w:spacing w:val="0"/>
          <w:kern w:val="2"/>
          <w:sz w:val="21"/>
          <w:szCs w:val="21"/>
          <w:highlight w:val="none"/>
          <w:lang w:val="en-US" w:eastAsia="zh-CN" w:bidi="ar-SA"/>
        </w:rPr>
        <w:t>.5采购合同由采购人与成交人根据采购文件、磋商响应文件等内容通过政府采购电子交易平台在线签订，自动备案。</w:t>
      </w:r>
    </w:p>
    <w:p>
      <w:pPr>
        <w:pStyle w:val="11"/>
        <w:keepNext w:val="0"/>
        <w:keepLines w:val="0"/>
        <w:pageBreakBefore w:val="0"/>
        <w:widowControl w:val="0"/>
        <w:kinsoku/>
        <w:wordWrap/>
        <w:overflowPunct/>
        <w:topLinePunct w:val="0"/>
        <w:bidi w:val="0"/>
        <w:adjustRightInd w:val="0"/>
        <w:snapToGrid w:val="0"/>
        <w:spacing w:line="400" w:lineRule="exact"/>
        <w:ind w:left="0" w:leftChars="0" w:firstLine="422" w:firstLineChars="200"/>
        <w:textAlignment w:val="auto"/>
        <w:rPr>
          <w:rFonts w:hint="eastAsia" w:ascii="宋体" w:hAnsi="宋体" w:eastAsia="宋体" w:cs="Times New Roman"/>
          <w:b/>
          <w:bCs/>
          <w:spacing w:val="0"/>
          <w:kern w:val="2"/>
          <w:sz w:val="21"/>
          <w:szCs w:val="21"/>
          <w:highlight w:val="none"/>
          <w:lang w:val="en-US" w:eastAsia="zh-CN" w:bidi="ar-SA"/>
        </w:rPr>
      </w:pPr>
      <w:r>
        <w:rPr>
          <w:rFonts w:hint="eastAsia" w:hAnsi="宋体" w:cs="Times New Roman"/>
          <w:b/>
          <w:bCs/>
          <w:spacing w:val="0"/>
          <w:kern w:val="2"/>
          <w:sz w:val="21"/>
          <w:szCs w:val="21"/>
          <w:highlight w:val="none"/>
          <w:lang w:val="en-US" w:eastAsia="zh-CN" w:bidi="ar-SA"/>
        </w:rPr>
        <w:t>30</w:t>
      </w:r>
      <w:r>
        <w:rPr>
          <w:rFonts w:hint="eastAsia" w:ascii="宋体" w:hAnsi="宋体" w:eastAsia="宋体" w:cs="Times New Roman"/>
          <w:b/>
          <w:bCs/>
          <w:spacing w:val="0"/>
          <w:kern w:val="2"/>
          <w:sz w:val="21"/>
          <w:szCs w:val="21"/>
          <w:highlight w:val="none"/>
          <w:lang w:val="en-US" w:eastAsia="zh-CN" w:bidi="ar-SA"/>
        </w:rPr>
        <w:t>. 履约保证金</w:t>
      </w:r>
    </w:p>
    <w:p>
      <w:pPr>
        <w:tabs>
          <w:tab w:val="left" w:pos="0"/>
        </w:tabs>
        <w:adjustRightInd w:val="0"/>
        <w:snapToGrid w:val="0"/>
        <w:spacing w:line="360" w:lineRule="auto"/>
        <w:ind w:firstLine="482"/>
        <w:rPr>
          <w:rFonts w:hint="eastAsia" w:ascii="宋体" w:hAnsi="宋体" w:eastAsia="宋体" w:cs="Times New Roman"/>
          <w:spacing w:val="0"/>
          <w:kern w:val="2"/>
          <w:sz w:val="21"/>
          <w:szCs w:val="21"/>
          <w:highlight w:val="none"/>
          <w:lang w:val="en-US" w:eastAsia="zh-CN" w:bidi="ar-SA"/>
        </w:rPr>
      </w:pPr>
      <w:r>
        <w:rPr>
          <w:rFonts w:hint="eastAsia" w:ascii="宋体" w:hAnsi="宋体" w:eastAsia="宋体" w:cs="Times New Roman"/>
          <w:spacing w:val="0"/>
          <w:kern w:val="2"/>
          <w:sz w:val="21"/>
          <w:szCs w:val="21"/>
          <w:highlight w:val="none"/>
          <w:lang w:val="en-US" w:eastAsia="zh-CN" w:bidi="ar-SA"/>
        </w:rPr>
        <w:t>拟签订的合同文本要求成交人提交履约保证金的，供应商应当以支票、汇票、本票或者金融机构、担保机构出具的保函等非现金形式提交。履约保证金的数额不得超过政府采购合同金额的2.5%。鼓励和支持供应商以履约保函形式提供履约保证金。采购人不得拒收履约保函。</w:t>
      </w:r>
    </w:p>
    <w:p>
      <w:pPr>
        <w:tabs>
          <w:tab w:val="left" w:pos="0"/>
        </w:tabs>
        <w:adjustRightInd w:val="0"/>
        <w:snapToGrid w:val="0"/>
        <w:spacing w:line="360" w:lineRule="auto"/>
        <w:ind w:firstLine="482"/>
        <w:rPr>
          <w:rFonts w:hint="eastAsia" w:ascii="宋体" w:hAnsi="宋体" w:eastAsia="宋体" w:cs="Times New Roman"/>
          <w:spacing w:val="0"/>
          <w:kern w:val="2"/>
          <w:sz w:val="21"/>
          <w:szCs w:val="21"/>
          <w:highlight w:val="none"/>
          <w:lang w:val="en-US" w:eastAsia="zh-CN" w:bidi="ar-SA"/>
        </w:rPr>
      </w:pPr>
      <w:r>
        <w:rPr>
          <w:rFonts w:hint="eastAsia" w:ascii="宋体" w:hAnsi="宋体" w:eastAsia="宋体" w:cs="Times New Roman"/>
          <w:spacing w:val="0"/>
          <w:kern w:val="2"/>
          <w:sz w:val="21"/>
          <w:szCs w:val="21"/>
          <w:highlight w:val="none"/>
          <w:lang w:val="en-US" w:eastAsia="zh-CN" w:bidi="ar-SA"/>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32"/>
        <w:keepNext w:val="0"/>
        <w:keepLines w:val="0"/>
        <w:pageBreakBefore w:val="0"/>
        <w:widowControl w:val="0"/>
        <w:numPr>
          <w:ilvl w:val="0"/>
          <w:numId w:val="0"/>
        </w:numPr>
        <w:kinsoku/>
        <w:wordWrap/>
        <w:overflowPunct/>
        <w:topLinePunct w:val="0"/>
        <w:autoSpaceDE/>
        <w:autoSpaceDN/>
        <w:bidi w:val="0"/>
        <w:adjustRightInd/>
        <w:snapToGrid w:val="0"/>
        <w:spacing w:before="0" w:beforeLines="50" w:after="0" w:afterLines="50"/>
        <w:jc w:val="both"/>
        <w:textAlignment w:val="auto"/>
        <w:rPr>
          <w:rFonts w:hint="eastAsia" w:ascii="宋体" w:hAnsi="宋体" w:eastAsia="宋体" w:cs="Times New Roman"/>
          <w:b/>
          <w:bCs/>
          <w:spacing w:val="0"/>
          <w:kern w:val="2"/>
          <w:sz w:val="21"/>
          <w:szCs w:val="21"/>
          <w:highlight w:val="none"/>
          <w:lang w:val="en-US" w:eastAsia="zh-CN" w:bidi="ar-SA"/>
        </w:rPr>
      </w:pPr>
      <w:r>
        <w:rPr>
          <w:rFonts w:hint="eastAsia" w:ascii="宋体" w:hAnsi="宋体" w:eastAsia="宋体" w:cs="Times New Roman"/>
          <w:b/>
          <w:bCs/>
          <w:spacing w:val="0"/>
          <w:kern w:val="2"/>
          <w:sz w:val="21"/>
          <w:szCs w:val="21"/>
          <w:highlight w:val="none"/>
          <w:lang w:val="en-US" w:eastAsia="zh-CN" w:bidi="ar-SA"/>
        </w:rPr>
        <w:t>十三、验收</w:t>
      </w:r>
    </w:p>
    <w:p>
      <w:pPr>
        <w:tabs>
          <w:tab w:val="left" w:pos="0"/>
        </w:tabs>
        <w:adjustRightInd w:val="0"/>
        <w:snapToGrid w:val="0"/>
        <w:spacing w:line="360" w:lineRule="auto"/>
        <w:ind w:firstLine="482"/>
        <w:rPr>
          <w:rFonts w:hint="eastAsia" w:ascii="宋体" w:hAnsi="宋体" w:eastAsia="宋体" w:cs="Times New Roman"/>
          <w:spacing w:val="0"/>
          <w:kern w:val="2"/>
          <w:sz w:val="21"/>
          <w:szCs w:val="21"/>
          <w:highlight w:val="none"/>
          <w:lang w:val="en-US" w:eastAsia="zh-CN" w:bidi="ar-SA"/>
        </w:rPr>
      </w:pPr>
      <w:r>
        <w:rPr>
          <w:rFonts w:hint="eastAsia" w:cs="Times New Roman"/>
          <w:spacing w:val="0"/>
          <w:kern w:val="2"/>
          <w:sz w:val="21"/>
          <w:szCs w:val="21"/>
          <w:highlight w:val="none"/>
          <w:lang w:val="en-US" w:eastAsia="zh-CN" w:bidi="ar-SA"/>
        </w:rPr>
        <w:t>31</w:t>
      </w:r>
      <w:r>
        <w:rPr>
          <w:rFonts w:hint="eastAsia" w:ascii="宋体" w:hAnsi="宋体" w:eastAsia="宋体" w:cs="Times New Roman"/>
          <w:spacing w:val="0"/>
          <w:kern w:val="2"/>
          <w:sz w:val="21"/>
          <w:szCs w:val="21"/>
          <w:highlight w:val="none"/>
          <w:lang w:val="en-US" w:eastAsia="zh-CN" w:bidi="ar-SA"/>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adjustRightInd w:val="0"/>
        <w:snapToGrid w:val="0"/>
        <w:spacing w:line="360" w:lineRule="auto"/>
        <w:ind w:firstLine="482"/>
        <w:rPr>
          <w:rFonts w:hint="eastAsia" w:ascii="宋体" w:hAnsi="宋体" w:eastAsia="宋体" w:cs="Times New Roman"/>
          <w:spacing w:val="0"/>
          <w:kern w:val="2"/>
          <w:sz w:val="21"/>
          <w:szCs w:val="21"/>
          <w:highlight w:val="none"/>
          <w:lang w:val="en-US" w:eastAsia="zh-CN" w:bidi="ar-SA"/>
        </w:rPr>
      </w:pPr>
      <w:r>
        <w:rPr>
          <w:rFonts w:hint="eastAsia" w:cs="Times New Roman"/>
          <w:spacing w:val="0"/>
          <w:kern w:val="2"/>
          <w:sz w:val="21"/>
          <w:szCs w:val="21"/>
          <w:highlight w:val="none"/>
          <w:lang w:val="en-US" w:eastAsia="zh-CN" w:bidi="ar-SA"/>
        </w:rPr>
        <w:t>3</w:t>
      </w:r>
      <w:r>
        <w:rPr>
          <w:rFonts w:hint="eastAsia" w:ascii="宋体" w:hAnsi="宋体" w:eastAsia="宋体" w:cs="Times New Roman"/>
          <w:spacing w:val="0"/>
          <w:kern w:val="2"/>
          <w:sz w:val="21"/>
          <w:szCs w:val="21"/>
          <w:highlight w:val="none"/>
          <w:lang w:val="en-US" w:eastAsia="zh-CN" w:bidi="ar-SA"/>
        </w:rPr>
        <w:t>2.采购人可以邀请参加本项目的其他供应商或者第三方机构参与验收。参与验收的供应商或者第三方机构的意见作为验收书的参考资料一并存档。</w:t>
      </w:r>
    </w:p>
    <w:p>
      <w:pPr>
        <w:tabs>
          <w:tab w:val="left" w:pos="0"/>
        </w:tabs>
        <w:adjustRightInd w:val="0"/>
        <w:snapToGrid w:val="0"/>
        <w:spacing w:line="360" w:lineRule="auto"/>
        <w:ind w:firstLine="482"/>
        <w:rPr>
          <w:rFonts w:hint="eastAsia" w:ascii="宋体" w:hAnsi="宋体" w:eastAsia="宋体" w:cs="Times New Roman"/>
          <w:spacing w:val="0"/>
          <w:kern w:val="2"/>
          <w:sz w:val="21"/>
          <w:szCs w:val="21"/>
          <w:highlight w:val="none"/>
          <w:lang w:val="en-US" w:eastAsia="zh-CN" w:bidi="ar-SA"/>
        </w:rPr>
      </w:pPr>
      <w:r>
        <w:rPr>
          <w:rFonts w:hint="eastAsia" w:cs="Times New Roman"/>
          <w:spacing w:val="0"/>
          <w:kern w:val="2"/>
          <w:sz w:val="21"/>
          <w:szCs w:val="21"/>
          <w:highlight w:val="none"/>
          <w:lang w:val="en-US" w:eastAsia="zh-CN" w:bidi="ar-SA"/>
        </w:rPr>
        <w:t>3</w:t>
      </w:r>
      <w:r>
        <w:rPr>
          <w:rFonts w:hint="eastAsia" w:ascii="宋体" w:hAnsi="宋体" w:eastAsia="宋体" w:cs="Times New Roman"/>
          <w:spacing w:val="0"/>
          <w:kern w:val="2"/>
          <w:sz w:val="21"/>
          <w:szCs w:val="21"/>
          <w:highlight w:val="none"/>
          <w:lang w:val="en-US" w:eastAsia="zh-CN" w:bidi="ar-SA"/>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adjustRightInd w:val="0"/>
        <w:snapToGrid w:val="0"/>
        <w:spacing w:line="360" w:lineRule="auto"/>
        <w:ind w:firstLine="482"/>
        <w:rPr>
          <w:rFonts w:hint="eastAsia" w:ascii="宋体" w:hAnsi="宋体" w:eastAsia="宋体" w:cs="Times New Roman"/>
          <w:spacing w:val="0"/>
          <w:kern w:val="2"/>
          <w:sz w:val="21"/>
          <w:szCs w:val="21"/>
          <w:highlight w:val="none"/>
          <w:lang w:val="en-US" w:eastAsia="zh-CN" w:bidi="ar-SA"/>
        </w:rPr>
      </w:pPr>
      <w:r>
        <w:rPr>
          <w:rFonts w:hint="eastAsia" w:cs="Times New Roman"/>
          <w:spacing w:val="0"/>
          <w:kern w:val="2"/>
          <w:sz w:val="21"/>
          <w:szCs w:val="21"/>
          <w:highlight w:val="none"/>
          <w:lang w:val="en-US" w:eastAsia="zh-CN" w:bidi="ar-SA"/>
        </w:rPr>
        <w:t>3</w:t>
      </w:r>
      <w:r>
        <w:rPr>
          <w:rFonts w:hint="eastAsia" w:ascii="宋体" w:hAnsi="宋体" w:eastAsia="宋体" w:cs="Times New Roman"/>
          <w:spacing w:val="0"/>
          <w:kern w:val="2"/>
          <w:sz w:val="21"/>
          <w:szCs w:val="21"/>
          <w:highlight w:val="none"/>
          <w:lang w:val="en-US" w:eastAsia="zh-CN" w:bidi="ar-SA"/>
        </w:rPr>
        <w:t>4.采购人原则上应当在履约验收之日起2个工作日内，将履约验收结果在浙江政府采购网上公告。</w:t>
      </w:r>
    </w:p>
    <w:p>
      <w:pPr>
        <w:tabs>
          <w:tab w:val="left" w:pos="0"/>
        </w:tabs>
        <w:adjustRightInd w:val="0"/>
        <w:snapToGrid w:val="0"/>
        <w:spacing w:line="360" w:lineRule="auto"/>
        <w:ind w:firstLine="482"/>
        <w:rPr>
          <w:rFonts w:hint="eastAsia" w:ascii="宋体" w:hAnsi="宋体" w:eastAsia="宋体" w:cs="Times New Roman"/>
          <w:spacing w:val="0"/>
          <w:kern w:val="2"/>
          <w:sz w:val="21"/>
          <w:szCs w:val="21"/>
          <w:highlight w:val="none"/>
          <w:lang w:val="en-US" w:eastAsia="zh-CN" w:bidi="ar-SA"/>
        </w:rPr>
      </w:pPr>
      <w:r>
        <w:rPr>
          <w:rFonts w:hint="eastAsia" w:cs="Times New Roman"/>
          <w:spacing w:val="0"/>
          <w:kern w:val="2"/>
          <w:sz w:val="21"/>
          <w:szCs w:val="21"/>
          <w:highlight w:val="none"/>
          <w:lang w:val="en-US" w:eastAsia="zh-CN" w:bidi="ar-SA"/>
        </w:rPr>
        <w:t>3</w:t>
      </w:r>
      <w:r>
        <w:rPr>
          <w:rFonts w:hint="eastAsia" w:ascii="宋体" w:hAnsi="宋体" w:eastAsia="宋体" w:cs="Times New Roman"/>
          <w:spacing w:val="0"/>
          <w:kern w:val="2"/>
          <w:sz w:val="21"/>
          <w:szCs w:val="21"/>
          <w:highlight w:val="none"/>
          <w:lang w:val="en-US" w:eastAsia="zh-CN" w:bidi="ar-SA"/>
        </w:rPr>
        <w:t>5.验收合格的项目，采购人将根据采购合同的约定及时向供应商支付采购资金、退还履约保证金。</w:t>
      </w:r>
    </w:p>
    <w:p>
      <w:pPr>
        <w:tabs>
          <w:tab w:val="left" w:pos="0"/>
        </w:tabs>
        <w:adjustRightInd w:val="0"/>
        <w:snapToGrid w:val="0"/>
        <w:spacing w:line="360" w:lineRule="auto"/>
        <w:ind w:firstLine="482"/>
        <w:rPr>
          <w:rFonts w:hint="eastAsia" w:ascii="宋体" w:hAnsi="宋体" w:eastAsia="宋体" w:cs="Times New Roman"/>
          <w:spacing w:val="0"/>
          <w:kern w:val="2"/>
          <w:sz w:val="21"/>
          <w:szCs w:val="21"/>
          <w:highlight w:val="none"/>
          <w:lang w:val="en-US" w:eastAsia="zh-CN" w:bidi="ar-SA"/>
        </w:rPr>
      </w:pPr>
      <w:r>
        <w:rPr>
          <w:rFonts w:hint="eastAsia" w:ascii="宋体" w:hAnsi="宋体" w:eastAsia="宋体" w:cs="Times New Roman"/>
          <w:spacing w:val="0"/>
          <w:kern w:val="2"/>
          <w:sz w:val="21"/>
          <w:szCs w:val="21"/>
          <w:highlight w:val="none"/>
          <w:lang w:val="en-US" w:eastAsia="zh-CN" w:bidi="ar-SA"/>
        </w:rPr>
        <w:t>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32"/>
        <w:numPr>
          <w:ilvl w:val="0"/>
          <w:numId w:val="0"/>
        </w:numPr>
        <w:ind w:leftChars="200"/>
        <w:rPr>
          <w:rFonts w:hint="default" w:ascii="宋体" w:hAnsi="宋体" w:eastAsia="宋体" w:cs="Times New Roman"/>
          <w:b/>
          <w:bCs/>
          <w:spacing w:val="0"/>
          <w:kern w:val="2"/>
          <w:sz w:val="21"/>
          <w:szCs w:val="21"/>
          <w:highlight w:val="none"/>
          <w:lang w:val="en-US" w:eastAsia="zh-CN" w:bidi="ar-SA"/>
        </w:rPr>
      </w:pPr>
    </w:p>
    <w:p>
      <w:pPr>
        <w:pStyle w:val="32"/>
        <w:rPr>
          <w:rFonts w:hint="eastAsia" w:ascii="宋体" w:hAnsi="宋体" w:eastAsia="宋体" w:cs="宋体"/>
          <w:b/>
          <w:bCs/>
          <w:highlight w:val="none"/>
          <w:lang w:val="en-US" w:eastAsia="zh-CN"/>
        </w:rPr>
      </w:pPr>
    </w:p>
    <w:p>
      <w:pPr>
        <w:pStyle w:val="32"/>
        <w:rPr>
          <w:rFonts w:hint="eastAsia" w:ascii="宋体" w:hAnsi="宋体" w:eastAsia="宋体" w:cs="宋体"/>
          <w:b/>
          <w:bCs/>
          <w:highlight w:val="none"/>
          <w:lang w:val="en-US" w:eastAsia="zh-CN"/>
        </w:rPr>
        <w:sectPr>
          <w:headerReference r:id="rId5" w:type="default"/>
          <w:footerReference r:id="rId6" w:type="default"/>
          <w:pgSz w:w="11910" w:h="16840"/>
          <w:pgMar w:top="1360" w:right="920" w:bottom="1040" w:left="1180" w:header="880" w:footer="852" w:gutter="0"/>
          <w:cols w:space="720" w:num="1"/>
        </w:sectPr>
      </w:pPr>
    </w:p>
    <w:p>
      <w:pPr>
        <w:pStyle w:val="13"/>
        <w:spacing w:before="11"/>
        <w:rPr>
          <w:b/>
          <w:sz w:val="3"/>
          <w:highlight w:val="none"/>
        </w:rPr>
      </w:pPr>
    </w:p>
    <w:p>
      <w:pPr>
        <w:pStyle w:val="13"/>
        <w:spacing w:line="57" w:lineRule="exact"/>
        <w:ind w:left="238"/>
        <w:rPr>
          <w:sz w:val="5"/>
          <w:highlight w:val="none"/>
        </w:rPr>
      </w:pPr>
    </w:p>
    <w:p>
      <w:pPr>
        <w:pStyle w:val="3"/>
        <w:tabs>
          <w:tab w:val="left" w:pos="1286"/>
        </w:tabs>
        <w:spacing w:before="5"/>
        <w:rPr>
          <w:highlight w:val="none"/>
        </w:rPr>
      </w:pPr>
      <w:bookmarkStart w:id="5" w:name="_TOC_250001"/>
      <w:bookmarkEnd w:id="5"/>
      <w:r>
        <w:rPr>
          <w:rFonts w:hint="eastAsia"/>
          <w:highlight w:val="none"/>
        </w:rPr>
        <w:t>第五章</w:t>
      </w:r>
      <w:r>
        <w:rPr>
          <w:rFonts w:hint="eastAsia"/>
          <w:highlight w:val="none"/>
        </w:rPr>
        <w:tab/>
      </w:r>
      <w:r>
        <w:rPr>
          <w:rFonts w:hint="eastAsia"/>
          <w:highlight w:val="none"/>
        </w:rPr>
        <w:t>开标和评标须知</w:t>
      </w:r>
    </w:p>
    <w:p>
      <w:pPr>
        <w:spacing w:before="115" w:line="374" w:lineRule="auto"/>
        <w:ind w:left="658" w:right="8099"/>
        <w:rPr>
          <w:sz w:val="21"/>
          <w:highlight w:val="none"/>
        </w:rPr>
      </w:pPr>
      <w:r>
        <w:rPr>
          <w:rFonts w:hint="eastAsia"/>
          <w:b/>
          <w:sz w:val="21"/>
          <w:highlight w:val="none"/>
        </w:rPr>
        <w:t xml:space="preserve">一、开标 </w:t>
      </w:r>
      <w:r>
        <w:rPr>
          <w:rFonts w:hint="eastAsia"/>
          <w:sz w:val="21"/>
          <w:highlight w:val="none"/>
        </w:rPr>
        <w:t>1</w:t>
      </w:r>
      <w:r>
        <w:rPr>
          <w:rFonts w:hint="eastAsia"/>
          <w:spacing w:val="-3"/>
          <w:sz w:val="21"/>
          <w:highlight w:val="none"/>
        </w:rPr>
        <w:t>.组织开标</w:t>
      </w:r>
    </w:p>
    <w:p>
      <w:pPr>
        <w:pStyle w:val="13"/>
        <w:ind w:left="658"/>
        <w:rPr>
          <w:highlight w:val="none"/>
        </w:rPr>
      </w:pPr>
      <w:r>
        <w:rPr>
          <w:rFonts w:hint="eastAsia"/>
          <w:highlight w:val="none"/>
        </w:rPr>
        <w:t>疫情期间：开标现场人员由公证处、项目经办人 1 名、代理监督人员 1 名、采购人（采购人代</w:t>
      </w:r>
    </w:p>
    <w:p>
      <w:pPr>
        <w:pStyle w:val="13"/>
        <w:spacing w:before="151" w:line="374" w:lineRule="auto"/>
        <w:ind w:left="238" w:right="222"/>
        <w:rPr>
          <w:highlight w:val="none"/>
        </w:rPr>
      </w:pPr>
      <w:r>
        <w:rPr>
          <w:rFonts w:hint="eastAsia"/>
          <w:highlight w:val="none"/>
        </w:rPr>
        <w:t>表和采购人监督人员各 1 名）及评审专家组成。所有人员进入评标室前均须测量体温，经酒精消毒， 领取医用一次性口罩并佩戴完毕。</w:t>
      </w:r>
    </w:p>
    <w:p>
      <w:pPr>
        <w:pStyle w:val="34"/>
        <w:numPr>
          <w:ilvl w:val="1"/>
          <w:numId w:val="10"/>
        </w:numPr>
        <w:tabs>
          <w:tab w:val="left" w:pos="1079"/>
        </w:tabs>
        <w:spacing w:before="1" w:line="374" w:lineRule="auto"/>
        <w:ind w:right="328" w:firstLine="420"/>
        <w:rPr>
          <w:sz w:val="21"/>
          <w:highlight w:val="none"/>
        </w:rPr>
      </w:pPr>
      <w:r>
        <w:rPr>
          <w:rFonts w:hint="eastAsia"/>
          <w:sz w:val="21"/>
          <w:highlight w:val="none"/>
        </w:rPr>
        <w:t>采购组织机构按照规定的时间通过政采云系统组织开标、开启响应文件，所有投标人均应当 准时在线参加。</w:t>
      </w:r>
    </w:p>
    <w:p>
      <w:pPr>
        <w:pStyle w:val="34"/>
        <w:numPr>
          <w:ilvl w:val="1"/>
          <w:numId w:val="10"/>
        </w:numPr>
        <w:tabs>
          <w:tab w:val="left" w:pos="1079"/>
        </w:tabs>
        <w:spacing w:line="374" w:lineRule="auto"/>
        <w:ind w:right="323" w:firstLine="420"/>
        <w:rPr>
          <w:sz w:val="21"/>
          <w:highlight w:val="none"/>
        </w:rPr>
      </w:pPr>
      <w:r>
        <w:rPr>
          <w:rFonts w:hint="eastAsia"/>
          <w:sz w:val="21"/>
          <w:highlight w:val="none"/>
        </w:rPr>
        <w:t>投标截止时间后，投标人登录政采云平台，用“项目采购-开标评标”功能对电子响应文件进行</w:t>
      </w:r>
      <w:r>
        <w:rPr>
          <w:rFonts w:hint="eastAsia"/>
          <w:spacing w:val="-8"/>
          <w:sz w:val="21"/>
          <w:highlight w:val="none"/>
        </w:rPr>
        <w:t>在线解密。在线解密电子响应文件时间为开标时间起半个小时内；</w:t>
      </w:r>
    </w:p>
    <w:p>
      <w:pPr>
        <w:pStyle w:val="34"/>
        <w:numPr>
          <w:ilvl w:val="1"/>
          <w:numId w:val="10"/>
        </w:numPr>
        <w:tabs>
          <w:tab w:val="left" w:pos="1079"/>
        </w:tabs>
        <w:spacing w:before="1"/>
        <w:ind w:left="1078" w:hanging="421"/>
        <w:rPr>
          <w:sz w:val="21"/>
          <w:highlight w:val="none"/>
        </w:rPr>
      </w:pPr>
      <w:r>
        <w:rPr>
          <w:rFonts w:hint="eastAsia"/>
          <w:sz w:val="21"/>
          <w:highlight w:val="none"/>
        </w:rPr>
        <w:t>评标委员会对投标文件进行评审；</w:t>
      </w:r>
    </w:p>
    <w:p>
      <w:pPr>
        <w:pStyle w:val="34"/>
        <w:numPr>
          <w:ilvl w:val="1"/>
          <w:numId w:val="10"/>
        </w:numPr>
        <w:tabs>
          <w:tab w:val="left" w:pos="1079"/>
        </w:tabs>
        <w:spacing w:before="151"/>
        <w:ind w:left="1078" w:hanging="421"/>
        <w:rPr>
          <w:sz w:val="21"/>
          <w:highlight w:val="none"/>
        </w:rPr>
      </w:pPr>
      <w:r>
        <w:rPr>
          <w:rFonts w:hint="eastAsia"/>
          <w:sz w:val="21"/>
          <w:highlight w:val="none"/>
        </w:rPr>
        <w:t>在政采云系统上公布技术资信得分；</w:t>
      </w:r>
    </w:p>
    <w:p>
      <w:pPr>
        <w:pStyle w:val="34"/>
        <w:numPr>
          <w:ilvl w:val="1"/>
          <w:numId w:val="10"/>
        </w:numPr>
        <w:tabs>
          <w:tab w:val="left" w:pos="1079"/>
        </w:tabs>
        <w:spacing w:before="151"/>
        <w:ind w:left="1078" w:hanging="421"/>
        <w:rPr>
          <w:sz w:val="21"/>
          <w:highlight w:val="none"/>
        </w:rPr>
      </w:pPr>
      <w:r>
        <w:rPr>
          <w:rFonts w:hint="eastAsia"/>
          <w:sz w:val="21"/>
          <w:highlight w:val="none"/>
        </w:rPr>
        <w:t>开启价格投标文件；</w:t>
      </w:r>
    </w:p>
    <w:p>
      <w:pPr>
        <w:pStyle w:val="34"/>
        <w:numPr>
          <w:ilvl w:val="1"/>
          <w:numId w:val="10"/>
        </w:numPr>
        <w:tabs>
          <w:tab w:val="left" w:pos="1079"/>
        </w:tabs>
        <w:spacing w:before="151"/>
        <w:ind w:left="1078" w:hanging="421"/>
        <w:rPr>
          <w:sz w:val="21"/>
          <w:highlight w:val="none"/>
        </w:rPr>
      </w:pPr>
      <w:r>
        <w:rPr>
          <w:rFonts w:hint="eastAsia"/>
          <w:sz w:val="21"/>
          <w:highlight w:val="none"/>
        </w:rPr>
        <w:t>在政采云系统上公开报价开标情况；</w:t>
      </w:r>
    </w:p>
    <w:p>
      <w:pPr>
        <w:pStyle w:val="34"/>
        <w:numPr>
          <w:ilvl w:val="1"/>
          <w:numId w:val="10"/>
        </w:numPr>
        <w:tabs>
          <w:tab w:val="left" w:pos="1079"/>
        </w:tabs>
        <w:spacing w:before="151"/>
        <w:ind w:left="1078" w:hanging="421"/>
        <w:rPr>
          <w:sz w:val="21"/>
          <w:highlight w:val="none"/>
        </w:rPr>
      </w:pPr>
      <w:r>
        <w:rPr>
          <w:rFonts w:hint="eastAsia"/>
          <w:sz w:val="21"/>
          <w:highlight w:val="none"/>
        </w:rPr>
        <w:t>评标委员会对报价情况进行评审；</w:t>
      </w:r>
    </w:p>
    <w:p>
      <w:pPr>
        <w:pStyle w:val="34"/>
        <w:numPr>
          <w:ilvl w:val="1"/>
          <w:numId w:val="10"/>
        </w:numPr>
        <w:tabs>
          <w:tab w:val="left" w:pos="1079"/>
        </w:tabs>
        <w:spacing w:before="151"/>
        <w:ind w:left="1078" w:hanging="421"/>
        <w:rPr>
          <w:sz w:val="21"/>
          <w:highlight w:val="none"/>
        </w:rPr>
      </w:pPr>
      <w:r>
        <w:rPr>
          <w:rFonts w:hint="eastAsia"/>
          <w:sz w:val="21"/>
          <w:highlight w:val="none"/>
        </w:rPr>
        <w:t>在政采云系统上公布评审结果。</w:t>
      </w:r>
    </w:p>
    <w:p>
      <w:pPr>
        <w:pStyle w:val="13"/>
        <w:spacing w:before="151" w:line="374" w:lineRule="auto"/>
        <w:ind w:left="658" w:right="1376"/>
        <w:rPr>
          <w:b/>
          <w:highlight w:val="none"/>
        </w:rPr>
      </w:pPr>
      <w:r>
        <w:rPr>
          <w:rFonts w:hint="eastAsia"/>
          <w:szCs w:val="22"/>
          <w:highlight w:val="none"/>
        </w:rPr>
        <w:t>特别说明：政采云公司如对电子化开标及评审程序有调整的，按调整后的程序操作。</w:t>
      </w:r>
      <w:r>
        <w:rPr>
          <w:rFonts w:hint="eastAsia"/>
          <w:b/>
          <w:highlight w:val="none"/>
        </w:rPr>
        <w:t>二、评标委员会</w:t>
      </w:r>
    </w:p>
    <w:p>
      <w:pPr>
        <w:pStyle w:val="9"/>
        <w:numPr>
          <w:ilvl w:val="1"/>
          <w:numId w:val="11"/>
        </w:numPr>
        <w:tabs>
          <w:tab w:val="left" w:pos="1028"/>
        </w:tabs>
        <w:jc w:val="both"/>
        <w:rPr>
          <w:highlight w:val="none"/>
        </w:rPr>
      </w:pPr>
      <w:r>
        <w:rPr>
          <w:rFonts w:hint="eastAsia"/>
          <w:highlight w:val="none"/>
        </w:rPr>
        <w:t>组织评标程序</w:t>
      </w:r>
    </w:p>
    <w:p>
      <w:pPr>
        <w:pStyle w:val="34"/>
        <w:numPr>
          <w:ilvl w:val="2"/>
          <w:numId w:val="11"/>
        </w:numPr>
        <w:tabs>
          <w:tab w:val="left" w:pos="1237"/>
        </w:tabs>
        <w:spacing w:before="151" w:line="374" w:lineRule="auto"/>
        <w:ind w:left="238" w:right="306" w:firstLine="420"/>
        <w:jc w:val="both"/>
        <w:rPr>
          <w:sz w:val="21"/>
          <w:highlight w:val="none"/>
        </w:rPr>
      </w:pPr>
      <w:r>
        <w:rPr>
          <w:rFonts w:hint="eastAsia"/>
          <w:sz w:val="21"/>
          <w:highlight w:val="none"/>
        </w:rPr>
        <w:t>代理机构将按照招标文件规定的时间、地点和程序组织评标，各评审专家及相关人员应参</w:t>
      </w:r>
      <w:r>
        <w:rPr>
          <w:rFonts w:hint="eastAsia"/>
          <w:spacing w:val="-3"/>
          <w:sz w:val="21"/>
          <w:highlight w:val="none"/>
        </w:rPr>
        <w:t>加评审活动并接受核验、签到，无关人员不得进入评审现场。</w:t>
      </w:r>
      <w:r>
        <w:rPr>
          <w:rFonts w:hint="eastAsia"/>
          <w:b/>
          <w:spacing w:val="-1"/>
          <w:sz w:val="21"/>
          <w:highlight w:val="none"/>
        </w:rPr>
        <w:t>代理机构工作人员、公证处和采购人监</w:t>
      </w:r>
      <w:r>
        <w:rPr>
          <w:rFonts w:hint="eastAsia"/>
          <w:b/>
          <w:spacing w:val="-2"/>
          <w:sz w:val="21"/>
          <w:highlight w:val="none"/>
        </w:rPr>
        <w:t>督人员一起负责检查备份响应文件</w:t>
      </w:r>
      <w:r>
        <w:rPr>
          <w:rFonts w:hint="eastAsia"/>
          <w:b/>
          <w:sz w:val="21"/>
          <w:highlight w:val="none"/>
        </w:rPr>
        <w:t>（如有</w:t>
      </w:r>
      <w:r>
        <w:rPr>
          <w:rFonts w:hint="eastAsia"/>
          <w:b/>
          <w:spacing w:val="-3"/>
          <w:sz w:val="21"/>
          <w:highlight w:val="none"/>
        </w:rPr>
        <w:t>）</w:t>
      </w:r>
      <w:r>
        <w:rPr>
          <w:rFonts w:hint="eastAsia"/>
          <w:b/>
          <w:sz w:val="21"/>
          <w:highlight w:val="none"/>
        </w:rPr>
        <w:t>密封的完整性</w:t>
      </w:r>
      <w:r>
        <w:rPr>
          <w:rFonts w:hint="eastAsia"/>
          <w:spacing w:val="-2"/>
          <w:sz w:val="21"/>
          <w:highlight w:val="none"/>
        </w:rPr>
        <w:t>。代理机构工作人员将投标文件等资料送达评标室。</w:t>
      </w:r>
    </w:p>
    <w:p>
      <w:pPr>
        <w:pStyle w:val="34"/>
        <w:numPr>
          <w:ilvl w:val="2"/>
          <w:numId w:val="11"/>
        </w:numPr>
        <w:tabs>
          <w:tab w:val="left" w:pos="1237"/>
        </w:tabs>
        <w:spacing w:before="1" w:line="374" w:lineRule="auto"/>
        <w:ind w:left="238" w:right="325" w:firstLine="420"/>
        <w:jc w:val="both"/>
        <w:rPr>
          <w:sz w:val="21"/>
          <w:highlight w:val="none"/>
        </w:rPr>
      </w:pPr>
      <w:r>
        <w:rPr>
          <w:rFonts w:hint="eastAsia"/>
          <w:sz w:val="21"/>
          <w:highlight w:val="none"/>
        </w:rPr>
        <w:t>招标方将根据招标采购项目的特点组成评标委员会。评标委员会对投标文件进行审查、质疑、评估和比较。</w:t>
      </w:r>
    </w:p>
    <w:p>
      <w:pPr>
        <w:pStyle w:val="9"/>
        <w:numPr>
          <w:ilvl w:val="1"/>
          <w:numId w:val="11"/>
        </w:numPr>
        <w:tabs>
          <w:tab w:val="left" w:pos="1028"/>
        </w:tabs>
        <w:spacing w:before="1"/>
        <w:jc w:val="both"/>
        <w:rPr>
          <w:highlight w:val="none"/>
        </w:rPr>
      </w:pPr>
      <w:r>
        <w:rPr>
          <w:rFonts w:hint="eastAsia"/>
          <w:highlight w:val="none"/>
        </w:rPr>
        <w:t>评标委员会评审程序</w:t>
      </w:r>
    </w:p>
    <w:p>
      <w:pPr>
        <w:pStyle w:val="9"/>
        <w:numPr>
          <w:ilvl w:val="2"/>
          <w:numId w:val="11"/>
        </w:numPr>
        <w:tabs>
          <w:tab w:val="left" w:pos="1240"/>
        </w:tabs>
        <w:spacing w:before="151"/>
        <w:ind w:hanging="582"/>
        <w:jc w:val="both"/>
        <w:rPr>
          <w:highlight w:val="none"/>
        </w:rPr>
      </w:pPr>
      <w:r>
        <w:rPr>
          <w:rFonts w:hint="eastAsia"/>
          <w:highlight w:val="none"/>
        </w:rPr>
        <w:t>在评审专家中推选评审小组组长</w:t>
      </w:r>
    </w:p>
    <w:p>
      <w:pPr>
        <w:pStyle w:val="34"/>
        <w:numPr>
          <w:ilvl w:val="2"/>
          <w:numId w:val="11"/>
        </w:numPr>
        <w:tabs>
          <w:tab w:val="left" w:pos="1237"/>
        </w:tabs>
        <w:spacing w:before="150" w:line="374" w:lineRule="auto"/>
        <w:ind w:left="238" w:right="325" w:firstLine="420"/>
        <w:jc w:val="both"/>
        <w:rPr>
          <w:sz w:val="21"/>
          <w:highlight w:val="none"/>
        </w:rPr>
      </w:pPr>
      <w:r>
        <w:rPr>
          <w:rFonts w:hint="eastAsia"/>
          <w:sz w:val="21"/>
          <w:highlight w:val="none"/>
        </w:rPr>
        <w:t>评审小组组长召集成员认真阅读招标文件以及相关补充、质疑、答复文件、项目书面说明等材料，熟悉采购项目的基本概况，采购项目的质量要求、数量、主要技术标准或服务需求，采购合  同主要条款，投标文件无效情形，评审方法、评审依据、评审标准等。</w:t>
      </w:r>
    </w:p>
    <w:p>
      <w:pPr>
        <w:pStyle w:val="34"/>
        <w:numPr>
          <w:ilvl w:val="2"/>
          <w:numId w:val="11"/>
        </w:numPr>
        <w:tabs>
          <w:tab w:val="left" w:pos="1237"/>
        </w:tabs>
        <w:spacing w:before="1" w:line="374" w:lineRule="auto"/>
        <w:ind w:left="238" w:right="325" w:firstLine="420"/>
        <w:jc w:val="both"/>
        <w:rPr>
          <w:sz w:val="21"/>
          <w:highlight w:val="none"/>
        </w:rPr>
      </w:pPr>
      <w:r>
        <w:rPr>
          <w:rFonts w:hint="eastAsia"/>
          <w:sz w:val="21"/>
          <w:highlight w:val="none"/>
        </w:rPr>
        <w:t>评审人员对各供应商投标文件的有效性、完整性和响应程度进行审查，确定是否对招标文件作出实质性响应。</w:t>
      </w:r>
    </w:p>
    <w:p>
      <w:pPr>
        <w:pStyle w:val="34"/>
        <w:numPr>
          <w:ilvl w:val="2"/>
          <w:numId w:val="11"/>
        </w:numPr>
        <w:tabs>
          <w:tab w:val="left" w:pos="1237"/>
        </w:tabs>
        <w:spacing w:before="1" w:line="374" w:lineRule="auto"/>
        <w:ind w:left="238" w:right="325" w:firstLine="420"/>
        <w:jc w:val="both"/>
        <w:rPr>
          <w:sz w:val="21"/>
          <w:highlight w:val="none"/>
        </w:rPr>
      </w:pPr>
      <w:r>
        <w:rPr>
          <w:rFonts w:hint="eastAsia"/>
          <w:sz w:val="21"/>
          <w:highlight w:val="none"/>
        </w:rPr>
        <w:t>评审人员按招标文件规定的评审方法和评审标准，依法独立对符合性审查合格的供应商投标文件进行评估，综合比较并给予评价或打分，不受任何单位和个人的干预。</w:t>
      </w:r>
    </w:p>
    <w:p>
      <w:pPr>
        <w:spacing w:line="374" w:lineRule="auto"/>
        <w:jc w:val="both"/>
        <w:rPr>
          <w:sz w:val="21"/>
          <w:highlight w:val="none"/>
        </w:rPr>
        <w:sectPr>
          <w:headerReference r:id="rId7" w:type="default"/>
          <w:pgSz w:w="11910" w:h="16840"/>
          <w:pgMar w:top="1240" w:right="920" w:bottom="1040" w:left="1180" w:header="880" w:footer="852" w:gutter="0"/>
          <w:cols w:space="720" w:num="1"/>
        </w:sectPr>
      </w:pPr>
    </w:p>
    <w:p>
      <w:pPr>
        <w:pStyle w:val="34"/>
        <w:numPr>
          <w:ilvl w:val="2"/>
          <w:numId w:val="11"/>
        </w:numPr>
        <w:tabs>
          <w:tab w:val="left" w:pos="1237"/>
        </w:tabs>
        <w:spacing w:before="128" w:line="374" w:lineRule="auto"/>
        <w:ind w:left="238" w:right="186" w:firstLine="420"/>
        <w:rPr>
          <w:sz w:val="21"/>
          <w:highlight w:val="none"/>
        </w:rPr>
      </w:pPr>
      <w:r>
        <w:rPr>
          <w:rFonts w:hint="eastAsia"/>
          <w:sz w:val="21"/>
          <w:highlight w:val="none"/>
        </w:rPr>
        <w:t>评审人员对各供应商投标文件非实质性内容有疑议或异议，或者审查发现明显的文字或计算错误等，及时向评审小组组长提出。经评审小组商议认为需要供应商作出必要澄清或说明的，应通</w:t>
      </w:r>
      <w:r>
        <w:rPr>
          <w:rFonts w:hint="eastAsia"/>
          <w:spacing w:val="-1"/>
          <w:sz w:val="21"/>
          <w:highlight w:val="none"/>
        </w:rPr>
        <w:t>知该供应商以书面形式作出澄清或说明。</w:t>
      </w:r>
      <w:r>
        <w:rPr>
          <w:rFonts w:hint="eastAsia"/>
          <w:b/>
          <w:spacing w:val="-1"/>
          <w:sz w:val="21"/>
          <w:highlight w:val="none"/>
        </w:rPr>
        <w:t>供应商授权代表须通过政采云线上或指定的电子邮箱</w:t>
      </w:r>
      <w:r>
        <w:rPr>
          <w:rFonts w:hint="eastAsia"/>
          <w:b/>
          <w:spacing w:val="-1"/>
          <w:sz w:val="21"/>
          <w:highlight w:val="none"/>
          <w:lang w:eastAsia="zh-CN"/>
        </w:rPr>
        <w:t>（</w:t>
      </w:r>
      <w:r>
        <w:rPr>
          <w:rFonts w:hint="eastAsia"/>
          <w:b/>
          <w:spacing w:val="-1"/>
          <w:sz w:val="21"/>
          <w:highlight w:val="none"/>
          <w:lang w:val="en-US" w:eastAsia="zh-CN"/>
        </w:rPr>
        <w:t>1918243285@qq.com</w:t>
      </w:r>
      <w:r>
        <w:rPr>
          <w:rFonts w:hint="eastAsia"/>
          <w:b/>
          <w:spacing w:val="-1"/>
          <w:sz w:val="21"/>
          <w:highlight w:val="none"/>
          <w:lang w:eastAsia="zh-CN"/>
        </w:rPr>
        <w:t>）</w:t>
      </w:r>
      <w:r>
        <w:rPr>
          <w:rFonts w:hint="eastAsia"/>
          <w:b/>
          <w:spacing w:val="-1"/>
          <w:sz w:val="21"/>
          <w:highlight w:val="none"/>
        </w:rPr>
        <w:t xml:space="preserve">、传真号码等作出澄清、说明或者补正。评审小组给予供应商提交澄清、说明或补正的时间不得少于半小时，  </w:t>
      </w:r>
      <w:r>
        <w:rPr>
          <w:rFonts w:hint="eastAsia"/>
          <w:b/>
          <w:spacing w:val="-11"/>
          <w:sz w:val="21"/>
          <w:highlight w:val="none"/>
        </w:rPr>
        <w:t>供应商已经明确表示澄清、说明或补正完毕的除外。</w:t>
      </w:r>
      <w:r>
        <w:rPr>
          <w:rFonts w:hint="eastAsia"/>
          <w:sz w:val="21"/>
          <w:highlight w:val="none"/>
        </w:rPr>
        <w:t>书面通知及澄清说明文件应作为政府采购项目档案归档留存。</w:t>
      </w:r>
    </w:p>
    <w:p>
      <w:pPr>
        <w:pStyle w:val="9"/>
        <w:spacing w:before="2"/>
        <w:rPr>
          <w:highlight w:val="none"/>
        </w:rPr>
      </w:pPr>
      <w:r>
        <w:rPr>
          <w:rFonts w:hint="eastAsia"/>
          <w:highlight w:val="none"/>
        </w:rPr>
        <w:t>三、对投标文件的审查和回应性的确定</w:t>
      </w:r>
    </w:p>
    <w:p>
      <w:pPr>
        <w:pStyle w:val="9"/>
        <w:numPr>
          <w:ilvl w:val="1"/>
          <w:numId w:val="12"/>
        </w:numPr>
        <w:tabs>
          <w:tab w:val="left" w:pos="1028"/>
        </w:tabs>
        <w:spacing w:before="151"/>
        <w:jc w:val="both"/>
        <w:rPr>
          <w:highlight w:val="none"/>
        </w:rPr>
      </w:pPr>
      <w:r>
        <w:rPr>
          <w:rFonts w:hint="eastAsia"/>
          <w:highlight w:val="none"/>
        </w:rPr>
        <w:t>投标文件资格性审查</w:t>
      </w:r>
    </w:p>
    <w:p>
      <w:pPr>
        <w:pStyle w:val="34"/>
        <w:numPr>
          <w:ilvl w:val="2"/>
          <w:numId w:val="12"/>
        </w:numPr>
        <w:tabs>
          <w:tab w:val="left" w:pos="1237"/>
        </w:tabs>
        <w:spacing w:before="151"/>
        <w:ind w:right="325" w:firstLine="420"/>
        <w:jc w:val="both"/>
        <w:rPr>
          <w:sz w:val="21"/>
          <w:highlight w:val="none"/>
        </w:rPr>
      </w:pPr>
      <w:r>
        <w:rPr>
          <w:rFonts w:hint="eastAsia"/>
          <w:sz w:val="21"/>
          <w:highlight w:val="none"/>
        </w:rPr>
        <w:t>采购人或者采购代理机构应当依法对投标人的资格进行审查，以确定投标人是否具备投标资格。</w:t>
      </w:r>
    </w:p>
    <w:p>
      <w:pPr>
        <w:pStyle w:val="34"/>
        <w:numPr>
          <w:ilvl w:val="2"/>
          <w:numId w:val="12"/>
        </w:numPr>
        <w:tabs>
          <w:tab w:val="left" w:pos="1237"/>
        </w:tabs>
        <w:spacing w:before="151"/>
        <w:ind w:right="325" w:firstLine="420"/>
        <w:jc w:val="both"/>
        <w:rPr>
          <w:sz w:val="21"/>
          <w:highlight w:val="none"/>
        </w:rPr>
      </w:pPr>
      <w:r>
        <w:rPr>
          <w:rFonts w:hint="eastAsia"/>
          <w:sz w:val="21"/>
          <w:highlight w:val="none"/>
        </w:rPr>
        <w:t>投标人以投标文件中提供的书面材料为准。</w:t>
      </w:r>
    </w:p>
    <w:p>
      <w:pPr>
        <w:pStyle w:val="34"/>
        <w:numPr>
          <w:ilvl w:val="2"/>
          <w:numId w:val="12"/>
        </w:numPr>
        <w:tabs>
          <w:tab w:val="left" w:pos="1237"/>
        </w:tabs>
        <w:spacing w:before="151" w:line="360" w:lineRule="auto"/>
        <w:ind w:right="323" w:firstLine="420"/>
        <w:jc w:val="both"/>
        <w:rPr>
          <w:sz w:val="21"/>
          <w:highlight w:val="none"/>
        </w:rPr>
      </w:pPr>
      <w:r>
        <w:rPr>
          <w:rFonts w:hint="eastAsia"/>
          <w:sz w:val="21"/>
          <w:highlight w:val="none"/>
        </w:rPr>
        <w:t>招标人对投标文件的判定，只依据投标内容本身，不依靠开标后的任何外来证明。如投标人提交的资质证明或其他内容不齐全，由此造成的后果由投标人自己负责。</w:t>
      </w:r>
    </w:p>
    <w:p>
      <w:pPr>
        <w:pStyle w:val="9"/>
        <w:numPr>
          <w:ilvl w:val="1"/>
          <w:numId w:val="12"/>
        </w:numPr>
        <w:tabs>
          <w:tab w:val="left" w:pos="1081"/>
        </w:tabs>
        <w:spacing w:before="1"/>
        <w:ind w:left="1080" w:hanging="423"/>
        <w:jc w:val="both"/>
        <w:rPr>
          <w:highlight w:val="none"/>
        </w:rPr>
      </w:pPr>
      <w:r>
        <w:rPr>
          <w:rFonts w:hint="eastAsia"/>
          <w:highlight w:val="none"/>
        </w:rPr>
        <w:t>投标文件符合性审查</w:t>
      </w:r>
    </w:p>
    <w:p>
      <w:pPr>
        <w:pStyle w:val="34"/>
        <w:numPr>
          <w:ilvl w:val="2"/>
          <w:numId w:val="12"/>
        </w:numPr>
        <w:tabs>
          <w:tab w:val="left" w:pos="1237"/>
        </w:tabs>
        <w:spacing w:before="151" w:line="374" w:lineRule="auto"/>
        <w:ind w:right="325" w:firstLine="420"/>
        <w:jc w:val="both"/>
        <w:rPr>
          <w:sz w:val="21"/>
          <w:highlight w:val="none"/>
        </w:rPr>
      </w:pPr>
      <w:r>
        <w:rPr>
          <w:rFonts w:hint="eastAsia"/>
          <w:sz w:val="21"/>
          <w:highlight w:val="none"/>
        </w:rPr>
        <w:t>评标委员会应当对符合资格的投标人的投标文件进行符合性审查，以确定其是否满足招标文件的实质性要求。</w:t>
      </w:r>
    </w:p>
    <w:p>
      <w:pPr>
        <w:pStyle w:val="34"/>
        <w:numPr>
          <w:ilvl w:val="2"/>
          <w:numId w:val="12"/>
        </w:numPr>
        <w:tabs>
          <w:tab w:val="left" w:pos="1237"/>
        </w:tabs>
        <w:spacing w:line="374" w:lineRule="auto"/>
        <w:ind w:right="311" w:firstLine="420"/>
        <w:jc w:val="both"/>
        <w:rPr>
          <w:sz w:val="21"/>
          <w:highlight w:val="none"/>
        </w:rPr>
      </w:pPr>
      <w:r>
        <w:rPr>
          <w:rFonts w:hint="eastAsia"/>
          <w:spacing w:val="-3"/>
          <w:sz w:val="21"/>
          <w:highlight w:val="none"/>
        </w:rPr>
        <w:t xml:space="preserve">在详细评标之前，根据本须知第 </w:t>
      </w:r>
      <w:r>
        <w:rPr>
          <w:rFonts w:hint="eastAsia"/>
          <w:sz w:val="21"/>
          <w:highlight w:val="none"/>
        </w:rPr>
        <w:t>3.2.3</w:t>
      </w:r>
      <w:r>
        <w:rPr>
          <w:rFonts w:hint="eastAsia"/>
          <w:spacing w:val="-7"/>
          <w:sz w:val="21"/>
          <w:highlight w:val="none"/>
        </w:rPr>
        <w:t xml:space="preserve"> 条的规定，招标机构要审查每份投标文件是否实质上响应了招标文件的要求。实质上响应的投标应该是与招标文件要求的全部条款、条件和规格相符， </w:t>
      </w:r>
      <w:r>
        <w:rPr>
          <w:rFonts w:hint="eastAsia"/>
          <w:w w:val="95"/>
          <w:sz w:val="21"/>
          <w:highlight w:val="none"/>
        </w:rPr>
        <w:t>没</w:t>
      </w:r>
      <w:r>
        <w:rPr>
          <w:rFonts w:hint="eastAsia"/>
          <w:sz w:val="21"/>
          <w:highlight w:val="none"/>
        </w:rPr>
        <w:t>有重大偏离的投标。对关键条文的偏离、保留或反对，</w:t>
      </w:r>
      <w:r>
        <w:rPr>
          <w:rFonts w:hint="eastAsia"/>
          <w:b/>
          <w:spacing w:val="1"/>
          <w:sz w:val="21"/>
          <w:highlight w:val="none"/>
        </w:rPr>
        <w:t>例如关于“【*】”条款及特别说明为强制性要求的偏离将被认为是实质上的偏离。</w:t>
      </w:r>
      <w:r>
        <w:rPr>
          <w:rFonts w:hint="eastAsia"/>
          <w:spacing w:val="-1"/>
          <w:sz w:val="21"/>
          <w:highlight w:val="none"/>
        </w:rPr>
        <w:t>招标机构决定投标的响应性只根据投标文件的内容，而不寻求外部的证据。</w:t>
      </w:r>
    </w:p>
    <w:p>
      <w:pPr>
        <w:pStyle w:val="34"/>
        <w:numPr>
          <w:ilvl w:val="2"/>
          <w:numId w:val="12"/>
        </w:numPr>
        <w:tabs>
          <w:tab w:val="left" w:pos="1288"/>
        </w:tabs>
        <w:spacing w:before="1" w:line="374" w:lineRule="auto"/>
        <w:ind w:right="328" w:firstLine="420"/>
        <w:jc w:val="both"/>
        <w:rPr>
          <w:sz w:val="21"/>
          <w:highlight w:val="none"/>
        </w:rPr>
      </w:pPr>
      <w:r>
        <w:rPr>
          <w:rFonts w:hint="eastAsia"/>
          <w:sz w:val="21"/>
          <w:highlight w:val="none"/>
        </w:rPr>
        <w:t>实质上没有响应招标文件要求的投标将被拒绝。投标人不得通过修改或撤销不符合要求的 偏离或保留从而使其投标成为实质上回应的投标。</w:t>
      </w:r>
    </w:p>
    <w:p>
      <w:pPr>
        <w:pStyle w:val="9"/>
        <w:spacing w:before="1"/>
        <w:rPr>
          <w:highlight w:val="none"/>
        </w:rPr>
      </w:pPr>
      <w:r>
        <w:rPr>
          <w:rFonts w:hint="eastAsia"/>
          <w:highlight w:val="none"/>
        </w:rPr>
        <w:t>如发现下列情况之一的，其投标将被拒绝或无效：</w:t>
      </w:r>
    </w:p>
    <w:p>
      <w:pPr>
        <w:pStyle w:val="34"/>
        <w:numPr>
          <w:ilvl w:val="0"/>
          <w:numId w:val="13"/>
        </w:numPr>
        <w:tabs>
          <w:tab w:val="left" w:pos="974"/>
        </w:tabs>
        <w:spacing w:before="151" w:line="374" w:lineRule="auto"/>
        <w:ind w:right="327" w:firstLine="420"/>
        <w:rPr>
          <w:sz w:val="21"/>
          <w:highlight w:val="none"/>
        </w:rPr>
      </w:pPr>
      <w:r>
        <w:rPr>
          <w:rFonts w:hint="eastAsia"/>
          <w:spacing w:val="-5"/>
          <w:w w:val="95"/>
          <w:sz w:val="21"/>
          <w:highlight w:val="none"/>
        </w:rPr>
        <w:t>未</w:t>
      </w:r>
      <w:r>
        <w:rPr>
          <w:rFonts w:hint="eastAsia"/>
          <w:sz w:val="21"/>
          <w:highlight w:val="none"/>
        </w:rPr>
        <w:t>按招标文件规定提供相关文件，如资格证明、身份证明等；提供虚假数据的（含中标后查实的）。</w:t>
      </w:r>
    </w:p>
    <w:p>
      <w:pPr>
        <w:pStyle w:val="34"/>
        <w:numPr>
          <w:ilvl w:val="0"/>
          <w:numId w:val="13"/>
        </w:numPr>
        <w:tabs>
          <w:tab w:val="left" w:pos="974"/>
        </w:tabs>
        <w:spacing w:line="374" w:lineRule="auto"/>
        <w:ind w:right="222" w:firstLine="420"/>
        <w:rPr>
          <w:sz w:val="21"/>
          <w:highlight w:val="none"/>
        </w:rPr>
      </w:pPr>
      <w:r>
        <w:rPr>
          <w:rFonts w:hint="eastAsia"/>
          <w:sz w:val="21"/>
          <w:highlight w:val="none"/>
          <w:lang w:val="en-US"/>
        </w:rPr>
        <w:t>投</w:t>
      </w:r>
      <w:r>
        <w:rPr>
          <w:rFonts w:hint="eastAsia"/>
          <w:sz w:val="21"/>
          <w:highlight w:val="none"/>
        </w:rPr>
        <w:t>标文件不符合采购文件规定，未按规定格式填写，内容不全或关键词迹模糊、无法辨认的</w:t>
      </w:r>
      <w:r>
        <w:rPr>
          <w:rFonts w:hint="eastAsia"/>
          <w:w w:val="95"/>
          <w:sz w:val="21"/>
          <w:highlight w:val="none"/>
        </w:rPr>
        <w:t xml:space="preserve">。   </w:t>
      </w:r>
      <w:r>
        <w:rPr>
          <w:rFonts w:hint="eastAsia"/>
          <w:sz w:val="21"/>
          <w:highlight w:val="none"/>
        </w:rPr>
        <w:t>涂改文件、伪造或编造投标文件的。</w:t>
      </w:r>
    </w:p>
    <w:p>
      <w:pPr>
        <w:pStyle w:val="34"/>
        <w:numPr>
          <w:ilvl w:val="0"/>
          <w:numId w:val="13"/>
        </w:numPr>
        <w:tabs>
          <w:tab w:val="left" w:pos="974"/>
        </w:tabs>
        <w:spacing w:before="1"/>
        <w:ind w:left="974"/>
        <w:rPr>
          <w:sz w:val="21"/>
          <w:highlight w:val="none"/>
        </w:rPr>
      </w:pPr>
      <w:r>
        <w:rPr>
          <w:rFonts w:hint="eastAsia"/>
          <w:sz w:val="21"/>
          <w:highlight w:val="none"/>
        </w:rPr>
        <w:t>借用或冒用他人名义或证件投标的。</w:t>
      </w:r>
    </w:p>
    <w:p>
      <w:pPr>
        <w:pStyle w:val="34"/>
        <w:numPr>
          <w:ilvl w:val="0"/>
          <w:numId w:val="13"/>
        </w:numPr>
        <w:tabs>
          <w:tab w:val="left" w:pos="974"/>
        </w:tabs>
        <w:spacing w:before="151"/>
        <w:ind w:left="974"/>
        <w:rPr>
          <w:sz w:val="21"/>
          <w:highlight w:val="none"/>
        </w:rPr>
      </w:pPr>
      <w:r>
        <w:rPr>
          <w:rFonts w:hint="eastAsia"/>
          <w:sz w:val="21"/>
          <w:highlight w:val="none"/>
        </w:rPr>
        <w:t>投标人逾期上传电子投标文件。</w:t>
      </w:r>
    </w:p>
    <w:p>
      <w:pPr>
        <w:pStyle w:val="34"/>
        <w:numPr>
          <w:ilvl w:val="0"/>
          <w:numId w:val="13"/>
        </w:numPr>
        <w:tabs>
          <w:tab w:val="left" w:pos="974"/>
        </w:tabs>
        <w:spacing w:before="120" w:line="338" w:lineRule="auto"/>
        <w:ind w:right="327" w:firstLine="420"/>
        <w:rPr>
          <w:sz w:val="21"/>
          <w:highlight w:val="none"/>
        </w:rPr>
      </w:pPr>
      <w:r>
        <w:rPr>
          <w:rFonts w:hint="eastAsia"/>
          <w:spacing w:val="-5"/>
          <w:sz w:val="21"/>
          <w:highlight w:val="none"/>
        </w:rPr>
        <w:t>电子响应文件未加密的，或备份响应文件未加密或未密封或密封不完整，未加盖单位公章或法定代表人（或法定代表人授权的代理人）签字或盖章的。</w:t>
      </w:r>
    </w:p>
    <w:p>
      <w:pPr>
        <w:pStyle w:val="34"/>
        <w:numPr>
          <w:ilvl w:val="0"/>
          <w:numId w:val="13"/>
        </w:numPr>
        <w:tabs>
          <w:tab w:val="left" w:pos="974"/>
        </w:tabs>
        <w:spacing w:before="33" w:line="374" w:lineRule="auto"/>
        <w:ind w:right="327" w:firstLine="420"/>
        <w:rPr>
          <w:sz w:val="21"/>
          <w:highlight w:val="none"/>
        </w:rPr>
      </w:pPr>
      <w:r>
        <w:rPr>
          <w:rFonts w:hint="eastAsia"/>
          <w:spacing w:val="-3"/>
          <w:sz w:val="21"/>
          <w:highlight w:val="none"/>
        </w:rPr>
        <w:t>参投项目的技术资信或价格与招标文件偏离的部分，不能使采购单位满意，或实质上不响应采购文件的。</w:t>
      </w:r>
    </w:p>
    <w:p>
      <w:pPr>
        <w:spacing w:line="374" w:lineRule="auto"/>
        <w:rPr>
          <w:sz w:val="21"/>
          <w:highlight w:val="none"/>
        </w:rPr>
        <w:sectPr>
          <w:headerReference r:id="rId8" w:type="default"/>
          <w:footerReference r:id="rId9" w:type="default"/>
          <w:pgSz w:w="11910" w:h="16840"/>
          <w:pgMar w:top="1360" w:right="920" w:bottom="1040" w:left="1180" w:header="880" w:footer="852" w:gutter="0"/>
          <w:cols w:space="720" w:num="1"/>
        </w:sectPr>
      </w:pPr>
    </w:p>
    <w:p>
      <w:pPr>
        <w:pStyle w:val="34"/>
        <w:numPr>
          <w:ilvl w:val="0"/>
          <w:numId w:val="13"/>
        </w:numPr>
        <w:tabs>
          <w:tab w:val="left" w:pos="974"/>
        </w:tabs>
        <w:spacing w:before="162"/>
        <w:ind w:left="974"/>
        <w:rPr>
          <w:sz w:val="21"/>
          <w:highlight w:val="none"/>
        </w:rPr>
      </w:pPr>
      <w:r>
        <w:rPr>
          <w:rFonts w:hint="eastAsia"/>
          <w:sz w:val="21"/>
          <w:highlight w:val="none"/>
        </w:rPr>
        <w:t>资格证明文件或</w:t>
      </w:r>
      <w:r>
        <w:rPr>
          <w:rFonts w:hint="eastAsia"/>
          <w:sz w:val="21"/>
          <w:highlight w:val="none"/>
          <w:lang w:eastAsia="zh-CN"/>
        </w:rPr>
        <w:t>技术资信标</w:t>
      </w:r>
      <w:r>
        <w:rPr>
          <w:rFonts w:hint="eastAsia"/>
          <w:sz w:val="21"/>
          <w:highlight w:val="none"/>
        </w:rPr>
        <w:t>中体现或包含报价内容。</w:t>
      </w:r>
    </w:p>
    <w:p>
      <w:pPr>
        <w:pStyle w:val="13"/>
        <w:spacing w:before="10"/>
        <w:rPr>
          <w:sz w:val="14"/>
          <w:highlight w:val="none"/>
        </w:rPr>
      </w:pPr>
    </w:p>
    <w:p>
      <w:pPr>
        <w:pStyle w:val="34"/>
        <w:numPr>
          <w:ilvl w:val="0"/>
          <w:numId w:val="13"/>
        </w:numPr>
        <w:tabs>
          <w:tab w:val="left" w:pos="974"/>
        </w:tabs>
        <w:spacing w:line="410" w:lineRule="auto"/>
        <w:ind w:right="325" w:firstLine="420"/>
        <w:rPr>
          <w:sz w:val="21"/>
          <w:highlight w:val="none"/>
        </w:rPr>
      </w:pPr>
      <w:r>
        <w:rPr>
          <w:rFonts w:hint="eastAsia"/>
          <w:spacing w:val="-2"/>
          <w:sz w:val="21"/>
          <w:highlight w:val="none"/>
        </w:rPr>
        <w:t>投标中不同投标方的投标文件出现雷同或相似</w:t>
      </w:r>
      <w:r>
        <w:rPr>
          <w:rFonts w:hint="eastAsia"/>
          <w:sz w:val="21"/>
          <w:highlight w:val="none"/>
        </w:rPr>
        <w:t>（包括部分雷同或相似</w:t>
      </w:r>
      <w:r>
        <w:rPr>
          <w:rFonts w:hint="eastAsia"/>
          <w:spacing w:val="-26"/>
          <w:sz w:val="21"/>
          <w:highlight w:val="none"/>
        </w:rPr>
        <w:t>）</w:t>
      </w:r>
      <w:r>
        <w:rPr>
          <w:rFonts w:hint="eastAsia"/>
          <w:spacing w:val="-5"/>
          <w:sz w:val="21"/>
          <w:highlight w:val="none"/>
        </w:rPr>
        <w:t>，对所有雷同或相似投标人按废标处理，采购方将保留进一步追究责任的权利。</w:t>
      </w:r>
    </w:p>
    <w:p>
      <w:pPr>
        <w:pStyle w:val="34"/>
        <w:numPr>
          <w:ilvl w:val="0"/>
          <w:numId w:val="13"/>
        </w:numPr>
        <w:tabs>
          <w:tab w:val="left" w:pos="974"/>
        </w:tabs>
        <w:spacing w:before="1" w:line="408" w:lineRule="auto"/>
        <w:ind w:right="327" w:firstLine="420"/>
        <w:rPr>
          <w:sz w:val="21"/>
          <w:highlight w:val="none"/>
        </w:rPr>
      </w:pPr>
      <w:r>
        <w:rPr>
          <w:rFonts w:hint="eastAsia"/>
          <w:spacing w:val="-3"/>
          <w:sz w:val="21"/>
          <w:highlight w:val="none"/>
        </w:rPr>
        <w:t xml:space="preserve">投标人递交二份内容不同的投标文件，或在一份投标文件中对同一项目有二个或多个报价， </w:t>
      </w:r>
      <w:r>
        <w:rPr>
          <w:rFonts w:hint="eastAsia"/>
          <w:sz w:val="21"/>
          <w:highlight w:val="none"/>
        </w:rPr>
        <w:t>且未声明哪个有效的。按照招标文件规定提交备选投标方案的除外。</w:t>
      </w:r>
    </w:p>
    <w:p>
      <w:pPr>
        <w:pStyle w:val="34"/>
        <w:numPr>
          <w:ilvl w:val="0"/>
          <w:numId w:val="13"/>
        </w:numPr>
        <w:tabs>
          <w:tab w:val="left" w:pos="1078"/>
        </w:tabs>
        <w:spacing w:before="5" w:line="410" w:lineRule="auto"/>
        <w:ind w:right="328" w:firstLine="420"/>
        <w:jc w:val="both"/>
        <w:rPr>
          <w:sz w:val="21"/>
          <w:highlight w:val="none"/>
        </w:rPr>
      </w:pPr>
      <w:r>
        <w:rPr>
          <w:rFonts w:hint="eastAsia"/>
          <w:spacing w:val="-3"/>
          <w:sz w:val="21"/>
          <w:highlight w:val="none"/>
        </w:rPr>
        <w:t xml:space="preserve">投标人名称或组织结构与资格审查时不一致，投标人不以自己真正身份参加竞标，以挂户或   以他人名义参与竞标的。投标人不具备独立法人资格或不具有独立承担民事责任能力的（如分公司、 </w:t>
      </w:r>
      <w:r>
        <w:rPr>
          <w:rFonts w:hint="eastAsia"/>
          <w:sz w:val="21"/>
          <w:highlight w:val="none"/>
        </w:rPr>
        <w:t>办事处等）。投标人参加政府采购活动前三年内在经济活动中有重大违法记录的。</w:t>
      </w:r>
    </w:p>
    <w:p>
      <w:pPr>
        <w:pStyle w:val="34"/>
        <w:numPr>
          <w:ilvl w:val="0"/>
          <w:numId w:val="13"/>
        </w:numPr>
        <w:tabs>
          <w:tab w:val="left" w:pos="1078"/>
        </w:tabs>
        <w:spacing w:line="269" w:lineRule="exact"/>
        <w:ind w:left="1077" w:hanging="420"/>
        <w:rPr>
          <w:sz w:val="21"/>
          <w:highlight w:val="none"/>
        </w:rPr>
      </w:pPr>
      <w:r>
        <w:rPr>
          <w:rFonts w:hint="eastAsia"/>
          <w:sz w:val="21"/>
          <w:highlight w:val="none"/>
        </w:rPr>
        <w:t>未实质性响应招标文件要求或者投标文件有招标方不能接受的附加条件的。</w:t>
      </w:r>
    </w:p>
    <w:p>
      <w:pPr>
        <w:pStyle w:val="13"/>
        <w:spacing w:before="12"/>
        <w:rPr>
          <w:sz w:val="14"/>
          <w:highlight w:val="none"/>
        </w:rPr>
      </w:pPr>
    </w:p>
    <w:p>
      <w:pPr>
        <w:pStyle w:val="34"/>
        <w:numPr>
          <w:ilvl w:val="0"/>
          <w:numId w:val="13"/>
        </w:numPr>
        <w:tabs>
          <w:tab w:val="left" w:pos="1078"/>
        </w:tabs>
        <w:spacing w:before="5" w:line="410" w:lineRule="auto"/>
        <w:ind w:right="328" w:firstLine="420"/>
        <w:jc w:val="both"/>
        <w:rPr>
          <w:spacing w:val="-3"/>
          <w:sz w:val="21"/>
          <w:highlight w:val="none"/>
        </w:rPr>
      </w:pPr>
      <w:r>
        <w:rPr>
          <w:rFonts w:hint="eastAsia"/>
          <w:spacing w:val="-3"/>
          <w:sz w:val="21"/>
          <w:highlight w:val="none"/>
        </w:rPr>
        <w:t>投标人的报价超过限价的和其它不符合《政府采购法》或省、市有关政府采购法律、法规要   求的。</w:t>
      </w:r>
    </w:p>
    <w:p>
      <w:pPr>
        <w:pStyle w:val="9"/>
        <w:spacing w:before="4"/>
        <w:ind w:left="696"/>
        <w:rPr>
          <w:highlight w:val="none"/>
        </w:rPr>
      </w:pPr>
      <w:r>
        <w:rPr>
          <w:rFonts w:hint="eastAsia"/>
          <w:highlight w:val="none"/>
        </w:rPr>
        <w:t>四、投标文件的澄清</w:t>
      </w:r>
    </w:p>
    <w:p>
      <w:pPr>
        <w:pStyle w:val="13"/>
        <w:rPr>
          <w:b/>
          <w:sz w:val="15"/>
          <w:highlight w:val="none"/>
        </w:rPr>
      </w:pPr>
    </w:p>
    <w:p>
      <w:pPr>
        <w:pStyle w:val="13"/>
        <w:spacing w:line="408" w:lineRule="auto"/>
        <w:ind w:left="238" w:right="327" w:firstLine="458"/>
        <w:rPr>
          <w:highlight w:val="none"/>
        </w:rPr>
      </w:pPr>
      <w:r>
        <w:rPr>
          <w:rFonts w:hint="eastAsia"/>
          <w:spacing w:val="-3"/>
          <w:szCs w:val="22"/>
          <w:highlight w:val="none"/>
        </w:rPr>
        <w:t>在评标期间，招标机构可要求投标人对其投标文件进行澄清，但不得寻求、提供或允许对投标价   格</w:t>
      </w:r>
      <w:r>
        <w:rPr>
          <w:rFonts w:hint="eastAsia"/>
          <w:spacing w:val="-5"/>
          <w:highlight w:val="none"/>
        </w:rPr>
        <w:t>等实质性内容做任何更改。有关澄清的要求和答复均电子交易平台提交。</w:t>
      </w:r>
    </w:p>
    <w:p>
      <w:pPr>
        <w:pStyle w:val="9"/>
        <w:spacing w:before="4"/>
        <w:ind w:left="696"/>
        <w:rPr>
          <w:highlight w:val="none"/>
        </w:rPr>
      </w:pPr>
      <w:r>
        <w:rPr>
          <w:rFonts w:hint="eastAsia"/>
          <w:highlight w:val="none"/>
        </w:rPr>
        <w:t>五、对投标文件的评估和比较</w:t>
      </w:r>
    </w:p>
    <w:p>
      <w:pPr>
        <w:pStyle w:val="13"/>
        <w:rPr>
          <w:b/>
          <w:sz w:val="15"/>
          <w:highlight w:val="none"/>
        </w:rPr>
      </w:pPr>
    </w:p>
    <w:p>
      <w:pPr>
        <w:pStyle w:val="34"/>
        <w:numPr>
          <w:ilvl w:val="1"/>
          <w:numId w:val="14"/>
        </w:numPr>
        <w:tabs>
          <w:tab w:val="left" w:pos="1064"/>
        </w:tabs>
        <w:spacing w:line="410" w:lineRule="auto"/>
        <w:ind w:right="320" w:firstLine="458"/>
        <w:jc w:val="both"/>
        <w:rPr>
          <w:b/>
          <w:sz w:val="21"/>
          <w:highlight w:val="none"/>
        </w:rPr>
      </w:pPr>
      <w:r>
        <w:rPr>
          <w:rFonts w:hint="eastAsia"/>
          <w:sz w:val="21"/>
          <w:highlight w:val="none"/>
        </w:rPr>
        <w:t>由评标委员会对各投标书的全部内容进行审阅，并确定各投标文件是否合格有效。凡是对招标文件的实质性要约内容不作响应的投标，将被视为不合格的投标，而不予接受。经过审标，对其投标书中须要进行澄清的问题，将由评标委员会向投标人进行询标，投标人应接受询标、澄清；其记录</w:t>
      </w:r>
      <w:r>
        <w:rPr>
          <w:rFonts w:hint="eastAsia"/>
          <w:spacing w:val="-2"/>
          <w:sz w:val="21"/>
          <w:highlight w:val="none"/>
        </w:rPr>
        <w:t>须经投标人授权代表审阅签字，并应视作投标书的补充，对投标人具有约束力。</w:t>
      </w:r>
      <w:r>
        <w:rPr>
          <w:rFonts w:hint="eastAsia"/>
          <w:b/>
          <w:sz w:val="21"/>
          <w:highlight w:val="none"/>
        </w:rPr>
        <w:t>评标过程中如发现有异常情况，由评委集体讨论决定。</w:t>
      </w:r>
    </w:p>
    <w:p>
      <w:pPr>
        <w:pStyle w:val="9"/>
        <w:numPr>
          <w:ilvl w:val="1"/>
          <w:numId w:val="14"/>
        </w:numPr>
        <w:tabs>
          <w:tab w:val="left" w:pos="1067"/>
        </w:tabs>
        <w:spacing w:line="410" w:lineRule="auto"/>
        <w:ind w:right="291" w:firstLine="458"/>
        <w:jc w:val="both"/>
        <w:rPr>
          <w:bCs w:val="0"/>
          <w:szCs w:val="22"/>
          <w:highlight w:val="none"/>
        </w:rPr>
      </w:pPr>
      <w:r>
        <w:rPr>
          <w:rFonts w:hint="eastAsia"/>
          <w:spacing w:val="-1"/>
          <w:highlight w:val="none"/>
        </w:rPr>
        <w:t>若</w:t>
      </w:r>
      <w:r>
        <w:rPr>
          <w:rFonts w:hint="eastAsia"/>
          <w:bCs w:val="0"/>
          <w:szCs w:val="22"/>
          <w:highlight w:val="none"/>
        </w:rPr>
        <w:t>本项目采购响应（指投标或谈判、报价）截止时间止及评审期间出现有效供应商不足 3 家的，将依法重新组织采购活动或按规定向同级财政部门说明情况，申请采用原方式采购或者其他采购方式组织采购。其它采购方式组织采购具体指本项目采购响应（指投标或谈判、报价）截止时间止及评审期间，提交投标文件或经评审实质性响应招标文件的供应商只有两家的，经评标委员会认定，招标文件没有不合理条款、招标程序符合规定，报同级财政部门批准后，此招标文件可视为竞争性谈判文件，同时评标办法转为竞争性谈判成交原则，相应的投标文件可视为谈判响应文件，原评标小组改为竞争性谈判小组，可继续进行竞争性谈判。</w:t>
      </w:r>
    </w:p>
    <w:p>
      <w:pPr>
        <w:pStyle w:val="34"/>
        <w:numPr>
          <w:ilvl w:val="1"/>
          <w:numId w:val="14"/>
        </w:numPr>
        <w:tabs>
          <w:tab w:val="left" w:pos="1117"/>
        </w:tabs>
        <w:spacing w:line="410" w:lineRule="auto"/>
        <w:ind w:right="324" w:firstLine="458"/>
        <w:jc w:val="both"/>
        <w:rPr>
          <w:sz w:val="21"/>
          <w:highlight w:val="none"/>
        </w:rPr>
      </w:pPr>
      <w:r>
        <w:rPr>
          <w:rFonts w:hint="eastAsia"/>
          <w:spacing w:val="-3"/>
          <w:sz w:val="21"/>
          <w:highlight w:val="none"/>
        </w:rPr>
        <w:t>在审标、询标及调查考核的基础上，评标委员会按照平等、客观、公正的原则，先评技术资   信标（含资信与服务），并选定入围供应商，再评价格标，审查价格标及其组价是否合理,最后按技术   资信标、价格标情况，对招标项目做出评标结论，按本项目评标办法细则确定为中标供应商。</w:t>
      </w:r>
      <w:r>
        <w:rPr>
          <w:rFonts w:hint="eastAsia"/>
          <w:spacing w:val="-8"/>
          <w:w w:val="95"/>
          <w:sz w:val="21"/>
          <w:highlight w:val="none"/>
        </w:rPr>
        <w:t>（</w:t>
      </w:r>
      <w:r>
        <w:rPr>
          <w:rFonts w:hint="eastAsia"/>
          <w:b/>
          <w:spacing w:val="-8"/>
          <w:w w:val="95"/>
          <w:sz w:val="21"/>
          <w:highlight w:val="none"/>
        </w:rPr>
        <w:t>《评</w:t>
      </w:r>
      <w:r>
        <w:rPr>
          <w:rFonts w:hint="eastAsia"/>
          <w:b/>
          <w:spacing w:val="-8"/>
          <w:sz w:val="21"/>
          <w:highlight w:val="none"/>
        </w:rPr>
        <w:t>标细则》</w:t>
      </w:r>
      <w:r>
        <w:rPr>
          <w:rFonts w:hint="eastAsia"/>
          <w:spacing w:val="-8"/>
          <w:sz w:val="21"/>
          <w:highlight w:val="none"/>
        </w:rPr>
        <w:t>见后）</w:t>
      </w:r>
    </w:p>
    <w:p>
      <w:pPr>
        <w:spacing w:line="410" w:lineRule="auto"/>
        <w:jc w:val="both"/>
        <w:rPr>
          <w:sz w:val="21"/>
          <w:highlight w:val="none"/>
        </w:rPr>
        <w:sectPr>
          <w:pgSz w:w="11910" w:h="16840"/>
          <w:pgMar w:top="1360" w:right="920" w:bottom="1040" w:left="1180" w:header="880" w:footer="852" w:gutter="0"/>
          <w:cols w:space="720" w:num="1"/>
        </w:sectPr>
      </w:pPr>
    </w:p>
    <w:p>
      <w:pPr>
        <w:pStyle w:val="9"/>
        <w:numPr>
          <w:ilvl w:val="1"/>
          <w:numId w:val="14"/>
        </w:numPr>
        <w:tabs>
          <w:tab w:val="left" w:pos="1117"/>
        </w:tabs>
        <w:spacing w:before="162"/>
        <w:ind w:left="1116" w:hanging="421"/>
        <w:jc w:val="both"/>
        <w:rPr>
          <w:highlight w:val="none"/>
        </w:rPr>
      </w:pPr>
      <w:r>
        <w:rPr>
          <w:rFonts w:hint="eastAsia"/>
          <w:highlight w:val="none"/>
        </w:rPr>
        <w:t>关于中小企业的认定</w:t>
      </w:r>
    </w:p>
    <w:p>
      <w:pPr>
        <w:pStyle w:val="34"/>
        <w:numPr>
          <w:ilvl w:val="2"/>
          <w:numId w:val="14"/>
        </w:numPr>
        <w:tabs>
          <w:tab w:val="left" w:pos="1273"/>
        </w:tabs>
        <w:spacing w:before="158" w:line="374" w:lineRule="auto"/>
        <w:ind w:right="324" w:firstLine="458"/>
        <w:jc w:val="both"/>
        <w:rPr>
          <w:sz w:val="21"/>
          <w:highlight w:val="none"/>
        </w:rPr>
      </w:pPr>
      <w:r>
        <w:rPr>
          <w:rFonts w:hint="eastAsia"/>
          <w:spacing w:val="-7"/>
          <w:sz w:val="21"/>
          <w:highlight w:val="none"/>
        </w:rPr>
        <w:t>根据财政部 工业和信息化部关于印发《政府采购促进中小企业发展管理办法》的通知</w:t>
      </w:r>
      <w:r>
        <w:rPr>
          <w:rFonts w:hint="eastAsia"/>
          <w:sz w:val="21"/>
          <w:highlight w:val="none"/>
        </w:rPr>
        <w:t>（财</w:t>
      </w:r>
      <w:r>
        <w:rPr>
          <w:rFonts w:hint="eastAsia"/>
          <w:spacing w:val="-10"/>
          <w:sz w:val="21"/>
          <w:highlight w:val="none"/>
        </w:rPr>
        <w:t>库〔</w:t>
      </w:r>
      <w:r>
        <w:rPr>
          <w:rFonts w:hint="eastAsia"/>
          <w:sz w:val="21"/>
          <w:highlight w:val="none"/>
        </w:rPr>
        <w:t>2020</w:t>
      </w:r>
      <w:r>
        <w:rPr>
          <w:rFonts w:hint="eastAsia"/>
          <w:spacing w:val="-20"/>
          <w:sz w:val="21"/>
          <w:highlight w:val="none"/>
        </w:rPr>
        <w:t>〕</w:t>
      </w:r>
      <w:r>
        <w:rPr>
          <w:rFonts w:hint="eastAsia"/>
          <w:sz w:val="21"/>
          <w:highlight w:val="none"/>
        </w:rPr>
        <w:t>46</w:t>
      </w:r>
      <w:r>
        <w:rPr>
          <w:rFonts w:hint="eastAsia"/>
          <w:spacing w:val="-33"/>
          <w:sz w:val="21"/>
          <w:highlight w:val="none"/>
        </w:rPr>
        <w:t xml:space="preserve"> 号</w:t>
      </w:r>
      <w:r>
        <w:rPr>
          <w:rFonts w:hint="eastAsia"/>
          <w:spacing w:val="-20"/>
          <w:sz w:val="21"/>
          <w:highlight w:val="none"/>
        </w:rPr>
        <w:t>）</w:t>
      </w:r>
      <w:r>
        <w:rPr>
          <w:rFonts w:hint="eastAsia"/>
          <w:spacing w:val="-8"/>
          <w:sz w:val="21"/>
          <w:highlight w:val="none"/>
        </w:rPr>
        <w:t xml:space="preserve">规定，对小型或微型企业的投标报价给予 </w:t>
      </w:r>
      <w:r>
        <w:rPr>
          <w:rFonts w:hint="eastAsia"/>
          <w:sz w:val="21"/>
          <w:highlight w:val="none"/>
        </w:rPr>
        <w:t>6</w:t>
      </w:r>
      <w:r>
        <w:rPr>
          <w:rFonts w:hint="eastAsia"/>
          <w:spacing w:val="-5"/>
          <w:sz w:val="21"/>
          <w:highlight w:val="none"/>
        </w:rPr>
        <w:t>%的扣除，并用扣除后的价格计算价格评分。同时符合以下所有要求的投标人被认定为小型、微型企业：</w:t>
      </w:r>
    </w:p>
    <w:p>
      <w:pPr>
        <w:pStyle w:val="13"/>
        <w:spacing w:before="1" w:line="374" w:lineRule="auto"/>
        <w:ind w:left="238" w:right="328" w:firstLine="458"/>
        <w:jc w:val="both"/>
        <w:rPr>
          <w:highlight w:val="none"/>
        </w:rPr>
      </w:pPr>
      <w:r>
        <w:rPr>
          <w:rFonts w:hint="eastAsia"/>
          <w:highlight w:val="none"/>
        </w:rPr>
        <w:t>第二条 本办法所称中小企业，是指在中华人民共和国境内依法设立，依据国务院批准的中小企业划分标准确定的中型企业、小型企业和微型企业，但与大企业的负责人为同一人，或者与大企业存   在直接控股、管理关系的除外。符合中小企业划分标准的个体工商户，在政府采购活动中视同中小企   业。</w:t>
      </w:r>
    </w:p>
    <w:p>
      <w:pPr>
        <w:pStyle w:val="13"/>
        <w:spacing w:before="1" w:line="374" w:lineRule="auto"/>
        <w:ind w:left="238" w:right="328" w:firstLine="458"/>
        <w:jc w:val="both"/>
        <w:rPr>
          <w:highlight w:val="none"/>
        </w:rPr>
      </w:pPr>
      <w:r>
        <w:rPr>
          <w:rFonts w:hint="eastAsia"/>
          <w:highlight w:val="none"/>
        </w:rPr>
        <w:t>第四条 在政府采购活动中，供应商提供的货物、工程或者服务符合下列情形的，享受本办法规定的中小企业扶持政策：</w:t>
      </w:r>
    </w:p>
    <w:p>
      <w:pPr>
        <w:pStyle w:val="13"/>
        <w:spacing w:line="374" w:lineRule="auto"/>
        <w:ind w:left="238" w:right="327" w:firstLine="458"/>
        <w:rPr>
          <w:highlight w:val="none"/>
        </w:rPr>
      </w:pPr>
      <w:r>
        <w:rPr>
          <w:rFonts w:hint="eastAsia"/>
          <w:highlight w:val="none"/>
        </w:rPr>
        <w:t>(一)在货物采购项目中，货物由中小企业制造，即货物由中小企业生产且使用该中小企业商号或</w:t>
      </w:r>
      <w:r>
        <w:rPr>
          <w:rFonts w:hint="eastAsia"/>
          <w:spacing w:val="-3"/>
          <w:highlight w:val="none"/>
        </w:rPr>
        <w:t>者注册商标；</w:t>
      </w:r>
    </w:p>
    <w:p>
      <w:pPr>
        <w:pStyle w:val="13"/>
        <w:spacing w:before="1"/>
        <w:ind w:left="696"/>
        <w:rPr>
          <w:highlight w:val="none"/>
        </w:rPr>
      </w:pPr>
      <w:r>
        <w:rPr>
          <w:rFonts w:hint="eastAsia"/>
          <w:highlight w:val="none"/>
        </w:rPr>
        <w:t>(二)在工程采购项目中，工程由中小企业承建，即工程施工单位为中小企业；</w:t>
      </w:r>
    </w:p>
    <w:p>
      <w:pPr>
        <w:pStyle w:val="13"/>
        <w:spacing w:before="151" w:line="374" w:lineRule="auto"/>
        <w:ind w:left="238" w:right="327" w:firstLine="458"/>
        <w:rPr>
          <w:highlight w:val="none"/>
        </w:rPr>
      </w:pPr>
      <w:r>
        <w:rPr>
          <w:rFonts w:hint="eastAsia"/>
          <w:highlight w:val="none"/>
        </w:rPr>
        <w:t xml:space="preserve">(三)在服务采购项目中，服务由中小企业承接，即提供服务的人员为中小企业依照《中华人民共   </w:t>
      </w:r>
      <w:r>
        <w:rPr>
          <w:rFonts w:hint="eastAsia"/>
          <w:spacing w:val="-4"/>
          <w:highlight w:val="none"/>
        </w:rPr>
        <w:t>和国劳动合同法》订立劳动合同的从业人员。</w:t>
      </w:r>
    </w:p>
    <w:p>
      <w:pPr>
        <w:pStyle w:val="13"/>
        <w:spacing w:line="374" w:lineRule="auto"/>
        <w:ind w:left="238" w:right="325" w:firstLine="458"/>
        <w:rPr>
          <w:highlight w:val="none"/>
        </w:rPr>
      </w:pPr>
      <w:r>
        <w:rPr>
          <w:rFonts w:hint="eastAsia"/>
          <w:highlight w:val="none"/>
        </w:rPr>
        <w:t xml:space="preserve">在货物采购项目中，供应商提供的货物既有中小企业制造货物，也有大型企业制造货物的，不享   </w:t>
      </w:r>
      <w:r>
        <w:rPr>
          <w:rFonts w:hint="eastAsia"/>
          <w:spacing w:val="-4"/>
          <w:highlight w:val="none"/>
        </w:rPr>
        <w:t>受本办法规定的中小企业扶持政策。</w:t>
      </w:r>
    </w:p>
    <w:p>
      <w:pPr>
        <w:pStyle w:val="13"/>
        <w:spacing w:before="1" w:line="374" w:lineRule="auto"/>
        <w:ind w:left="238" w:right="325" w:firstLine="458"/>
        <w:rPr>
          <w:highlight w:val="none"/>
        </w:rPr>
      </w:pPr>
      <w:r>
        <w:rPr>
          <w:rFonts w:hint="eastAsia"/>
          <w:highlight w:val="none"/>
        </w:rPr>
        <w:t>以联合体形式参加政府采购活动，联合体各方均为中小企业的，联合体视同中小企业。其中，联   合</w:t>
      </w:r>
      <w:r>
        <w:rPr>
          <w:rFonts w:hint="eastAsia"/>
          <w:spacing w:val="-4"/>
          <w:highlight w:val="none"/>
        </w:rPr>
        <w:t>体各方均为小微企业的，联合体视同小微企业。</w:t>
      </w:r>
    </w:p>
    <w:p>
      <w:pPr>
        <w:pStyle w:val="13"/>
        <w:spacing w:line="374" w:lineRule="auto"/>
        <w:ind w:left="238" w:right="328" w:firstLine="458"/>
        <w:rPr>
          <w:highlight w:val="none"/>
        </w:rPr>
      </w:pPr>
      <w:r>
        <w:rPr>
          <w:rFonts w:hint="eastAsia"/>
          <w:highlight w:val="none"/>
        </w:rPr>
        <w:t>第十一条 中小企业参加政府采购活动，应当出具本办法规定的《中小企业声明函》，否则不得享受相关中小企业扶持政策。</w:t>
      </w:r>
    </w:p>
    <w:p>
      <w:pPr>
        <w:pStyle w:val="13"/>
        <w:spacing w:before="1" w:line="374" w:lineRule="auto"/>
        <w:ind w:left="238" w:right="327" w:firstLine="420"/>
        <w:rPr>
          <w:highlight w:val="none"/>
        </w:rPr>
      </w:pPr>
      <w:r>
        <w:rPr>
          <w:rFonts w:hint="eastAsia"/>
          <w:spacing w:val="-8"/>
          <w:highlight w:val="none"/>
        </w:rPr>
        <w:t>第二十条 供应商按照本办法规定提供声明函内容不实的，属于提供虚假材料谋取中标、成交，依</w:t>
      </w:r>
      <w:r>
        <w:rPr>
          <w:rFonts w:hint="eastAsia"/>
          <w:spacing w:val="-7"/>
          <w:highlight w:val="none"/>
        </w:rPr>
        <w:t>照《中华人民 共和国政府采购法》等国家有关规定追究相应责任。</w:t>
      </w:r>
    </w:p>
    <w:p>
      <w:pPr>
        <w:pStyle w:val="13"/>
        <w:spacing w:line="374" w:lineRule="auto"/>
        <w:ind w:left="238" w:right="325" w:firstLine="420"/>
        <w:rPr>
          <w:highlight w:val="none"/>
        </w:rPr>
      </w:pPr>
      <w:r>
        <w:rPr>
          <w:rFonts w:hint="eastAsia"/>
          <w:spacing w:val="-6"/>
          <w:highlight w:val="none"/>
        </w:rPr>
        <w:t>适用招标投标法的政府采购工程建设项目，投标人按照 本办法规定提供声明函内容不实的，属于弄虚作假骗取中标， 依照《中华人民共和国招标投标法》等国家有关规定追究相应责任。</w:t>
      </w:r>
    </w:p>
    <w:p>
      <w:pPr>
        <w:pStyle w:val="34"/>
        <w:numPr>
          <w:ilvl w:val="2"/>
          <w:numId w:val="14"/>
        </w:numPr>
        <w:tabs>
          <w:tab w:val="left" w:pos="1235"/>
        </w:tabs>
        <w:spacing w:before="1"/>
        <w:ind w:left="1234" w:hanging="577"/>
        <w:rPr>
          <w:sz w:val="21"/>
          <w:highlight w:val="none"/>
        </w:rPr>
      </w:pPr>
      <w:r>
        <w:rPr>
          <w:rFonts w:hint="eastAsia"/>
          <w:sz w:val="21"/>
          <w:highlight w:val="none"/>
        </w:rPr>
        <w:t>根据《关于政府采购支持监狱企业发展有关问题的通知》（财库[2014]68</w:t>
      </w:r>
      <w:r>
        <w:rPr>
          <w:rFonts w:hint="eastAsia"/>
          <w:spacing w:val="-3"/>
          <w:sz w:val="21"/>
          <w:highlight w:val="none"/>
        </w:rPr>
        <w:t xml:space="preserve"> 号</w:t>
      </w:r>
      <w:r>
        <w:rPr>
          <w:rFonts w:hint="eastAsia"/>
          <w:sz w:val="21"/>
          <w:highlight w:val="none"/>
        </w:rPr>
        <w:t>）的规定。</w:t>
      </w:r>
    </w:p>
    <w:p>
      <w:pPr>
        <w:pStyle w:val="34"/>
        <w:numPr>
          <w:ilvl w:val="2"/>
          <w:numId w:val="14"/>
        </w:numPr>
        <w:tabs>
          <w:tab w:val="left" w:pos="1235"/>
        </w:tabs>
        <w:spacing w:before="151" w:line="403" w:lineRule="auto"/>
        <w:ind w:left="696" w:right="1009" w:hanging="39"/>
        <w:rPr>
          <w:b/>
          <w:sz w:val="21"/>
          <w:highlight w:val="none"/>
        </w:rPr>
      </w:pPr>
      <w:r>
        <w:rPr>
          <w:rFonts w:hint="eastAsia"/>
          <w:sz w:val="21"/>
          <w:highlight w:val="none"/>
        </w:rPr>
        <w:t>符合《关于促进残疾人就业政府采购政策的通知》（财库〔2017〕141</w:t>
      </w:r>
      <w:r>
        <w:rPr>
          <w:rFonts w:hint="eastAsia"/>
          <w:spacing w:val="-7"/>
          <w:sz w:val="21"/>
          <w:highlight w:val="none"/>
        </w:rPr>
        <w:t xml:space="preserve"> 号</w:t>
      </w:r>
      <w:r>
        <w:rPr>
          <w:rFonts w:hint="eastAsia"/>
          <w:sz w:val="21"/>
          <w:highlight w:val="none"/>
        </w:rPr>
        <w:t>）规定。</w:t>
      </w:r>
      <w:r>
        <w:rPr>
          <w:rFonts w:hint="eastAsia"/>
          <w:b/>
          <w:sz w:val="21"/>
          <w:highlight w:val="none"/>
        </w:rPr>
        <w:t>六、保密</w:t>
      </w:r>
    </w:p>
    <w:p>
      <w:pPr>
        <w:pStyle w:val="34"/>
        <w:numPr>
          <w:ilvl w:val="1"/>
          <w:numId w:val="15"/>
        </w:numPr>
        <w:tabs>
          <w:tab w:val="left" w:pos="1117"/>
        </w:tabs>
        <w:spacing w:before="8" w:line="410" w:lineRule="auto"/>
        <w:ind w:right="327" w:firstLine="458"/>
        <w:rPr>
          <w:sz w:val="21"/>
          <w:szCs w:val="21"/>
          <w:highlight w:val="none"/>
        </w:rPr>
      </w:pPr>
      <w:r>
        <w:rPr>
          <w:rFonts w:hint="eastAsia"/>
          <w:sz w:val="21"/>
          <w:szCs w:val="21"/>
          <w:highlight w:val="none"/>
        </w:rPr>
        <w:t>在开标、投标期间，投标人不得向评标委员会成员询问评标情况，不得进行旨在影响评标结   果的活动。</w:t>
      </w:r>
    </w:p>
    <w:p>
      <w:pPr>
        <w:pStyle w:val="34"/>
        <w:numPr>
          <w:ilvl w:val="1"/>
          <w:numId w:val="15"/>
        </w:numPr>
        <w:tabs>
          <w:tab w:val="left" w:pos="1117"/>
        </w:tabs>
        <w:spacing w:line="410" w:lineRule="auto"/>
        <w:ind w:right="325" w:firstLine="458"/>
        <w:rPr>
          <w:sz w:val="21"/>
          <w:highlight w:val="none"/>
        </w:rPr>
      </w:pPr>
      <w:r>
        <w:rPr>
          <w:rFonts w:hint="eastAsia"/>
          <w:sz w:val="21"/>
          <w:szCs w:val="21"/>
          <w:highlight w:val="none"/>
        </w:rPr>
        <w:t>为保证定标的公正性，在评标过程中，评标成员不得与投标人私人交换意见。在招标工作结   束</w:t>
      </w:r>
      <w:r>
        <w:rPr>
          <w:rFonts w:hint="eastAsia"/>
          <w:spacing w:val="-4"/>
          <w:sz w:val="21"/>
          <w:highlight w:val="none"/>
        </w:rPr>
        <w:t>后，凡与评标情况有接触的任何人不得也不应将评标情况扩散出评标成员之外。</w:t>
      </w:r>
    </w:p>
    <w:p>
      <w:pPr>
        <w:pStyle w:val="34"/>
        <w:numPr>
          <w:ilvl w:val="1"/>
          <w:numId w:val="15"/>
        </w:numPr>
        <w:tabs>
          <w:tab w:val="left" w:pos="1117"/>
        </w:tabs>
        <w:ind w:left="1116" w:hanging="421"/>
        <w:rPr>
          <w:sz w:val="21"/>
          <w:highlight w:val="none"/>
        </w:rPr>
      </w:pPr>
      <w:r>
        <w:rPr>
          <w:rFonts w:hint="eastAsia"/>
          <w:sz w:val="21"/>
          <w:highlight w:val="none"/>
        </w:rPr>
        <w:t>评标委员会不向落标方解释未中标原因，不退还投标文件。</w:t>
      </w:r>
    </w:p>
    <w:p>
      <w:pPr>
        <w:rPr>
          <w:sz w:val="21"/>
          <w:highlight w:val="none"/>
        </w:rPr>
        <w:sectPr>
          <w:pgSz w:w="11910" w:h="16840"/>
          <w:pgMar w:top="1360" w:right="920" w:bottom="1040" w:left="1180" w:header="880" w:footer="852" w:gutter="0"/>
          <w:cols w:space="720" w:num="1"/>
        </w:sectPr>
      </w:pPr>
    </w:p>
    <w:p>
      <w:pPr>
        <w:pStyle w:val="9"/>
        <w:spacing w:before="162"/>
        <w:rPr>
          <w:highlight w:val="none"/>
        </w:rPr>
      </w:pPr>
      <w:bookmarkStart w:id="6" w:name="_bookmark3"/>
      <w:bookmarkEnd w:id="6"/>
      <w:r>
        <w:rPr>
          <w:rFonts w:hint="eastAsia"/>
          <w:highlight w:val="none"/>
        </w:rPr>
        <w:t>七、定标</w:t>
      </w:r>
    </w:p>
    <w:p>
      <w:pPr>
        <w:pStyle w:val="13"/>
        <w:spacing w:before="10"/>
        <w:rPr>
          <w:b/>
          <w:sz w:val="14"/>
          <w:highlight w:val="none"/>
        </w:rPr>
      </w:pPr>
    </w:p>
    <w:p>
      <w:pPr>
        <w:pStyle w:val="34"/>
        <w:numPr>
          <w:ilvl w:val="1"/>
          <w:numId w:val="16"/>
        </w:numPr>
        <w:tabs>
          <w:tab w:val="left" w:pos="1026"/>
        </w:tabs>
        <w:spacing w:line="410" w:lineRule="auto"/>
        <w:ind w:right="328" w:firstLine="420"/>
        <w:rPr>
          <w:sz w:val="21"/>
          <w:highlight w:val="none"/>
        </w:rPr>
      </w:pPr>
      <w:r>
        <w:rPr>
          <w:rFonts w:hint="eastAsia"/>
          <w:sz w:val="21"/>
          <w:highlight w:val="none"/>
        </w:rPr>
        <w:t>评标结束后，由采购人确认评标结果，采购人确定中标人后发送成交通知书。如有投标人对评标结果提出质疑的，采购人可在质疑处理完毕后确定中标人。</w:t>
      </w:r>
    </w:p>
    <w:p>
      <w:pPr>
        <w:pStyle w:val="34"/>
        <w:numPr>
          <w:ilvl w:val="1"/>
          <w:numId w:val="16"/>
        </w:numPr>
        <w:tabs>
          <w:tab w:val="left" w:pos="1117"/>
        </w:tabs>
        <w:spacing w:before="1" w:line="408" w:lineRule="auto"/>
        <w:ind w:left="696" w:right="4489" w:firstLine="0"/>
        <w:rPr>
          <w:b/>
          <w:sz w:val="21"/>
          <w:highlight w:val="none"/>
        </w:rPr>
      </w:pPr>
      <w:r>
        <w:rPr>
          <w:rFonts w:hint="eastAsia"/>
          <w:sz w:val="21"/>
          <w:highlight w:val="none"/>
        </w:rPr>
        <w:t xml:space="preserve">《中标通知书》将作为签订合同的重要依据。 </w:t>
      </w:r>
      <w:r>
        <w:rPr>
          <w:rFonts w:hint="eastAsia"/>
          <w:b/>
          <w:sz w:val="21"/>
          <w:highlight w:val="none"/>
        </w:rPr>
        <w:t>八、签订合同</w:t>
      </w:r>
    </w:p>
    <w:p>
      <w:pPr>
        <w:pStyle w:val="34"/>
        <w:numPr>
          <w:ilvl w:val="1"/>
          <w:numId w:val="17"/>
        </w:numPr>
        <w:tabs>
          <w:tab w:val="left" w:pos="1064"/>
        </w:tabs>
        <w:spacing w:before="5" w:line="410" w:lineRule="auto"/>
        <w:ind w:right="325" w:firstLine="458"/>
        <w:rPr>
          <w:sz w:val="21"/>
          <w:highlight w:val="none"/>
        </w:rPr>
      </w:pPr>
      <w:r>
        <w:rPr>
          <w:rFonts w:hint="eastAsia"/>
          <w:sz w:val="21"/>
          <w:highlight w:val="none"/>
        </w:rPr>
        <w:t>中标方按《中标通知书》指定的时间、地点与采购单位签订合同。同时，采购代理机构对合同内容进行审查，如发现与采购结果和投标承诺内容不一致的，应予以纠正。</w:t>
      </w:r>
    </w:p>
    <w:p>
      <w:pPr>
        <w:pStyle w:val="34"/>
        <w:numPr>
          <w:ilvl w:val="1"/>
          <w:numId w:val="17"/>
        </w:numPr>
        <w:tabs>
          <w:tab w:val="left" w:pos="1064"/>
        </w:tabs>
        <w:spacing w:line="268" w:lineRule="exact"/>
        <w:ind w:left="1064"/>
        <w:rPr>
          <w:sz w:val="21"/>
          <w:highlight w:val="none"/>
        </w:rPr>
      </w:pPr>
      <w:r>
        <w:rPr>
          <w:rFonts w:hint="eastAsia"/>
          <w:sz w:val="21"/>
          <w:highlight w:val="none"/>
        </w:rPr>
        <w:t>招标文件、中标方的投标文件及澄清文件等，均为签订政府采购合同的依据。</w:t>
      </w:r>
    </w:p>
    <w:p>
      <w:pPr>
        <w:pStyle w:val="13"/>
        <w:spacing w:before="12"/>
        <w:rPr>
          <w:sz w:val="14"/>
          <w:highlight w:val="none"/>
        </w:rPr>
      </w:pPr>
    </w:p>
    <w:p>
      <w:pPr>
        <w:pStyle w:val="34"/>
        <w:numPr>
          <w:ilvl w:val="1"/>
          <w:numId w:val="17"/>
        </w:numPr>
        <w:tabs>
          <w:tab w:val="left" w:pos="1064"/>
        </w:tabs>
        <w:ind w:left="1064"/>
        <w:rPr>
          <w:sz w:val="21"/>
          <w:highlight w:val="none"/>
        </w:rPr>
      </w:pPr>
      <w:r>
        <w:rPr>
          <w:rFonts w:hint="eastAsia"/>
          <w:sz w:val="21"/>
          <w:highlight w:val="none"/>
        </w:rPr>
        <w:t>中标人拖延、拒签合同的,将取消中标资格。</w:t>
      </w:r>
    </w:p>
    <w:p>
      <w:pPr>
        <w:rPr>
          <w:sz w:val="21"/>
          <w:highlight w:val="none"/>
        </w:rPr>
        <w:sectPr>
          <w:pgSz w:w="11910" w:h="16840"/>
          <w:pgMar w:top="1360" w:right="920" w:bottom="1040" w:left="1180" w:header="880" w:footer="852" w:gutter="0"/>
          <w:cols w:space="720" w:num="1"/>
        </w:sectPr>
      </w:pPr>
    </w:p>
    <w:p>
      <w:pPr>
        <w:pStyle w:val="3"/>
        <w:numPr>
          <w:ilvl w:val="0"/>
          <w:numId w:val="18"/>
        </w:numPr>
        <w:tabs>
          <w:tab w:val="left" w:pos="1283"/>
        </w:tabs>
        <w:spacing w:before="54"/>
        <w:rPr>
          <w:highlight w:val="none"/>
        </w:rPr>
      </w:pPr>
      <w:bookmarkStart w:id="7" w:name="第六章__评_标_细_则"/>
      <w:bookmarkEnd w:id="7"/>
      <w:r>
        <w:rPr>
          <w:rFonts w:hint="eastAsia"/>
          <w:highlight w:val="none"/>
        </w:rPr>
        <w:t xml:space="preserve">评 标 </w:t>
      </w:r>
      <w:r>
        <w:rPr>
          <w:rFonts w:hint="eastAsia"/>
          <w:highlight w:val="none"/>
          <w:lang w:val="en-US" w:eastAsia="zh-CN"/>
        </w:rPr>
        <w:t xml:space="preserve">办 法 与 </w:t>
      </w:r>
      <w:r>
        <w:rPr>
          <w:rFonts w:hint="eastAsia"/>
          <w:highlight w:val="none"/>
        </w:rPr>
        <w:t>细</w:t>
      </w:r>
      <w:r>
        <w:rPr>
          <w:rFonts w:hint="eastAsia"/>
          <w:highlight w:val="none"/>
          <w:lang w:val="en-US" w:eastAsia="zh-CN"/>
        </w:rPr>
        <w:t xml:space="preserve"> </w:t>
      </w:r>
      <w:r>
        <w:rPr>
          <w:rFonts w:hint="eastAsia"/>
          <w:highlight w:val="none"/>
        </w:rPr>
        <w:t>则</w:t>
      </w:r>
    </w:p>
    <w:p>
      <w:pPr>
        <w:rPr>
          <w:highlight w:val="none"/>
        </w:rPr>
      </w:pPr>
    </w:p>
    <w:p>
      <w:pPr>
        <w:pStyle w:val="13"/>
        <w:spacing w:line="360" w:lineRule="auto"/>
        <w:ind w:firstLine="416" w:firstLineChars="200"/>
        <w:jc w:val="both"/>
        <w:rPr>
          <w:highlight w:val="none"/>
        </w:rPr>
      </w:pPr>
      <w:r>
        <w:rPr>
          <w:rFonts w:hint="eastAsia"/>
          <w:spacing w:val="-1"/>
          <w:highlight w:val="none"/>
        </w:rPr>
        <w:t>根据《中华人民共和国政府采购法》、《政府采购货物和服务招标投标管理办法》、《浙江省财政厅关于印发浙江省政府采购项目电子交易管理暂行办法的通知》</w:t>
      </w:r>
      <w:r>
        <w:rPr>
          <w:rFonts w:hint="eastAsia"/>
          <w:highlight w:val="none"/>
        </w:rPr>
        <w:t>（</w:t>
      </w:r>
      <w:r>
        <w:rPr>
          <w:rFonts w:hint="eastAsia"/>
          <w:spacing w:val="-3"/>
          <w:highlight w:val="none"/>
        </w:rPr>
        <w:t>浙财采监〔</w:t>
      </w:r>
      <w:r>
        <w:rPr>
          <w:rFonts w:hint="eastAsia"/>
          <w:highlight w:val="none"/>
        </w:rPr>
        <w:t>2019</w:t>
      </w:r>
      <w:r>
        <w:rPr>
          <w:rFonts w:hint="eastAsia"/>
          <w:spacing w:val="-10"/>
          <w:highlight w:val="none"/>
        </w:rPr>
        <w:t>〕</w:t>
      </w:r>
      <w:r>
        <w:rPr>
          <w:rFonts w:hint="eastAsia"/>
          <w:highlight w:val="none"/>
        </w:rPr>
        <w:t>10号</w:t>
      </w:r>
      <w:r>
        <w:rPr>
          <w:rFonts w:hint="eastAsia"/>
          <w:spacing w:val="-10"/>
          <w:highlight w:val="none"/>
        </w:rPr>
        <w:t>）</w:t>
      </w:r>
      <w:r>
        <w:rPr>
          <w:rFonts w:hint="eastAsia"/>
          <w:highlight w:val="none"/>
        </w:rPr>
        <w:t>以及兰溪市的有关规定，更好地做到公开、公平、公正，结合本次招标的特点，特制定本评标定标办法。</w:t>
      </w:r>
      <w:r>
        <w:rPr>
          <w:rFonts w:hint="eastAsia" w:asciiTheme="minorEastAsia" w:hAnsiTheme="minorEastAsia" w:eastAsiaTheme="minorEastAsia" w:cstheme="minorEastAsia"/>
          <w:color w:val="000000" w:themeColor="text1"/>
          <w:highlight w:val="none"/>
        </w:rPr>
        <w:t>本办法适用于</w:t>
      </w:r>
      <w:r>
        <w:rPr>
          <w:rFonts w:hint="eastAsia" w:asciiTheme="minorEastAsia" w:hAnsiTheme="minorEastAsia" w:eastAsiaTheme="minorEastAsia" w:cstheme="minorEastAsia"/>
          <w:b/>
          <w:color w:val="000000" w:themeColor="text1"/>
          <w:highlight w:val="none"/>
          <w:u w:val="single"/>
        </w:rPr>
        <w:t>兰溪市交通运输局</w:t>
      </w:r>
      <w:r>
        <w:rPr>
          <w:rFonts w:hint="eastAsia" w:asciiTheme="minorEastAsia" w:hAnsiTheme="minorEastAsia" w:eastAsiaTheme="minorEastAsia" w:cstheme="minorEastAsia"/>
          <w:bCs/>
          <w:color w:val="000000" w:themeColor="text1"/>
          <w:highlight w:val="none"/>
        </w:rPr>
        <w:t>单位</w:t>
      </w:r>
      <w:r>
        <w:rPr>
          <w:rFonts w:hint="eastAsia" w:asciiTheme="minorEastAsia" w:hAnsiTheme="minorEastAsia" w:eastAsiaTheme="minorEastAsia" w:cstheme="minorEastAsia"/>
          <w:b/>
          <w:color w:val="000000" w:themeColor="text1"/>
          <w:highlight w:val="none"/>
          <w:u w:val="single"/>
        </w:rPr>
        <w:t>兰溪市综合交通“十四五”规划落地方案</w:t>
      </w:r>
      <w:r>
        <w:rPr>
          <w:rFonts w:hint="eastAsia" w:asciiTheme="minorEastAsia" w:hAnsiTheme="minorEastAsia" w:eastAsiaTheme="minorEastAsia" w:cstheme="minorEastAsia"/>
          <w:bCs/>
          <w:color w:val="000000" w:themeColor="text1"/>
          <w:highlight w:val="none"/>
        </w:rPr>
        <w:t>的评标。</w:t>
      </w:r>
    </w:p>
    <w:p>
      <w:pPr>
        <w:pStyle w:val="9"/>
        <w:spacing w:line="360" w:lineRule="auto"/>
        <w:ind w:left="0" w:firstLine="422" w:firstLineChars="200"/>
        <w:jc w:val="both"/>
        <w:rPr>
          <w:highlight w:val="none"/>
        </w:rPr>
      </w:pPr>
      <w:r>
        <w:rPr>
          <w:rFonts w:hint="eastAsia"/>
          <w:highlight w:val="none"/>
        </w:rPr>
        <w:t>一 、评标组织</w:t>
      </w:r>
    </w:p>
    <w:p>
      <w:pPr>
        <w:spacing w:line="360" w:lineRule="auto"/>
        <w:ind w:firstLine="400" w:firstLineChars="200"/>
        <w:jc w:val="both"/>
        <w:rPr>
          <w:rFonts w:hint="eastAsia"/>
          <w:spacing w:val="-12"/>
          <w:sz w:val="21"/>
          <w:highlight w:val="none"/>
        </w:rPr>
      </w:pPr>
      <w:r>
        <w:rPr>
          <w:rFonts w:hint="eastAsia"/>
          <w:spacing w:val="-5"/>
          <w:sz w:val="21"/>
          <w:highlight w:val="none"/>
          <w:lang w:val="en-US" w:eastAsia="zh-CN"/>
        </w:rPr>
        <w:t>（1）</w:t>
      </w:r>
      <w:r>
        <w:rPr>
          <w:rFonts w:hint="eastAsia"/>
          <w:spacing w:val="-5"/>
          <w:sz w:val="21"/>
          <w:highlight w:val="none"/>
        </w:rPr>
        <w:t xml:space="preserve">评标委员会由采购单位代表 </w:t>
      </w:r>
      <w:r>
        <w:rPr>
          <w:rFonts w:hint="eastAsia"/>
          <w:sz w:val="21"/>
          <w:highlight w:val="none"/>
          <w:u w:val="single"/>
        </w:rPr>
        <w:t>1</w:t>
      </w:r>
      <w:r>
        <w:rPr>
          <w:rFonts w:hint="eastAsia"/>
          <w:spacing w:val="-15"/>
          <w:sz w:val="21"/>
          <w:highlight w:val="none"/>
        </w:rPr>
        <w:t xml:space="preserve"> 人和评审专家 </w:t>
      </w:r>
      <w:r>
        <w:rPr>
          <w:rFonts w:hint="eastAsia"/>
          <w:sz w:val="21"/>
          <w:highlight w:val="none"/>
          <w:u w:val="single"/>
        </w:rPr>
        <w:t>4</w:t>
      </w:r>
      <w:r>
        <w:rPr>
          <w:rFonts w:hint="eastAsia"/>
          <w:spacing w:val="-24"/>
          <w:sz w:val="21"/>
          <w:highlight w:val="none"/>
        </w:rPr>
        <w:t xml:space="preserve"> 人，共 </w:t>
      </w:r>
      <w:r>
        <w:rPr>
          <w:rFonts w:hint="eastAsia"/>
          <w:sz w:val="21"/>
          <w:highlight w:val="none"/>
          <w:u w:val="single"/>
        </w:rPr>
        <w:t>5</w:t>
      </w:r>
      <w:r>
        <w:rPr>
          <w:rFonts w:hint="eastAsia"/>
          <w:spacing w:val="-12"/>
          <w:sz w:val="21"/>
          <w:highlight w:val="none"/>
        </w:rPr>
        <w:t xml:space="preserve"> 人组成。</w:t>
      </w:r>
    </w:p>
    <w:p>
      <w:pPr>
        <w:spacing w:line="360" w:lineRule="auto"/>
        <w:ind w:firstLine="420" w:firstLineChars="200"/>
        <w:jc w:val="both"/>
        <w:rPr>
          <w:rFonts w:hint="eastAsia" w:ascii="仿宋_GB2312" w:hAnsi="仿宋_GB2312" w:eastAsia="仿宋_GB2312" w:cs="仿宋_GB2312"/>
          <w:b/>
          <w:bCs/>
          <w:color w:val="FF0000"/>
          <w:lang w:bidi="ar"/>
        </w:rPr>
      </w:pPr>
      <w:r>
        <w:rPr>
          <w:rFonts w:hint="eastAsia"/>
          <w:sz w:val="21"/>
          <w:szCs w:val="21"/>
          <w:lang w:val="en-US" w:eastAsia="zh-CN"/>
        </w:rPr>
        <w:t>（2）评审纪律和要求</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firstLine="438" w:firstLineChars="211"/>
        <w:textAlignment w:val="auto"/>
        <w:rPr>
          <w:rFonts w:hint="eastAsia" w:ascii="宋体" w:hAnsi="宋体" w:eastAsia="宋体" w:cs="宋体"/>
          <w:spacing w:val="-1"/>
          <w:sz w:val="21"/>
          <w:szCs w:val="21"/>
          <w:highlight w:val="none"/>
          <w:lang w:val="zh-CN" w:eastAsia="zh-CN" w:bidi="zh-CN"/>
        </w:rPr>
      </w:pPr>
      <w:r>
        <w:rPr>
          <w:rFonts w:hint="eastAsia" w:ascii="宋体" w:hAnsi="宋体" w:eastAsia="宋体" w:cs="宋体"/>
          <w:spacing w:val="-1"/>
          <w:sz w:val="21"/>
          <w:szCs w:val="21"/>
          <w:highlight w:val="none"/>
          <w:lang w:val="zh-CN" w:eastAsia="zh-CN" w:bidi="zh-CN"/>
        </w:rPr>
        <w:t>1.评审专家必须公平、公正评审，遵纪守法，客观、廉洁地履行职责。</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firstLine="438" w:firstLineChars="211"/>
        <w:textAlignment w:val="auto"/>
        <w:rPr>
          <w:rFonts w:hint="eastAsia" w:ascii="宋体" w:hAnsi="宋体" w:eastAsia="宋体" w:cs="宋体"/>
          <w:spacing w:val="-1"/>
          <w:sz w:val="21"/>
          <w:szCs w:val="21"/>
          <w:highlight w:val="none"/>
          <w:lang w:val="zh-CN" w:eastAsia="zh-CN" w:bidi="zh-CN"/>
        </w:rPr>
      </w:pPr>
      <w:r>
        <w:rPr>
          <w:rFonts w:hint="eastAsia" w:ascii="宋体" w:hAnsi="宋体" w:eastAsia="宋体" w:cs="宋体"/>
          <w:spacing w:val="-1"/>
          <w:sz w:val="21"/>
          <w:szCs w:val="21"/>
          <w:highlight w:val="none"/>
          <w:lang w:val="zh-CN" w:eastAsia="zh-CN" w:bidi="zh-CN"/>
        </w:rPr>
        <w:t>2.评审专家在评审开始前，应关闭并上交随身携带的各种通信工具。</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firstLine="438" w:firstLineChars="211"/>
        <w:textAlignment w:val="auto"/>
        <w:rPr>
          <w:rFonts w:hint="eastAsia" w:ascii="宋体" w:hAnsi="宋体" w:eastAsia="宋体" w:cs="宋体"/>
          <w:spacing w:val="-1"/>
          <w:sz w:val="21"/>
          <w:szCs w:val="21"/>
          <w:highlight w:val="none"/>
          <w:lang w:val="zh-CN" w:eastAsia="zh-CN" w:bidi="zh-CN"/>
        </w:rPr>
      </w:pPr>
      <w:r>
        <w:rPr>
          <w:rFonts w:hint="eastAsia" w:ascii="宋体" w:hAnsi="宋体" w:eastAsia="宋体" w:cs="宋体"/>
          <w:spacing w:val="-1"/>
          <w:sz w:val="21"/>
          <w:szCs w:val="21"/>
          <w:highlight w:val="none"/>
          <w:lang w:val="zh-CN" w:eastAsia="zh-CN" w:bidi="zh-CN"/>
        </w:rPr>
        <w:t>3.评审专家在评审过程中，未经许可不得中途离开评审现场，不得迟到早退。</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firstLine="438" w:firstLineChars="211"/>
        <w:textAlignment w:val="auto"/>
        <w:rPr>
          <w:rFonts w:hint="eastAsia" w:ascii="宋体" w:hAnsi="宋体" w:eastAsia="宋体" w:cs="宋体"/>
          <w:spacing w:val="-1"/>
          <w:sz w:val="21"/>
          <w:szCs w:val="21"/>
          <w:highlight w:val="none"/>
          <w:lang w:val="zh-CN" w:eastAsia="zh-CN" w:bidi="zh-CN"/>
        </w:rPr>
      </w:pPr>
      <w:r>
        <w:rPr>
          <w:rFonts w:hint="eastAsia" w:ascii="宋体" w:hAnsi="宋体" w:eastAsia="宋体" w:cs="宋体"/>
          <w:spacing w:val="-1"/>
          <w:sz w:val="21"/>
          <w:szCs w:val="21"/>
          <w:highlight w:val="none"/>
          <w:lang w:val="zh-CN" w:eastAsia="zh-CN" w:bidi="zh-CN"/>
        </w:rPr>
        <w:t>4.评审专家和工作人员不得透露评审过程中的讨论情况和评审结果。</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firstLine="438" w:firstLineChars="211"/>
        <w:textAlignment w:val="auto"/>
        <w:rPr>
          <w:rFonts w:hint="eastAsia" w:ascii="宋体" w:hAnsi="宋体" w:eastAsia="宋体" w:cs="宋体"/>
          <w:spacing w:val="-1"/>
          <w:sz w:val="21"/>
          <w:szCs w:val="21"/>
          <w:highlight w:val="none"/>
          <w:lang w:val="zh-CN" w:eastAsia="zh-CN" w:bidi="zh-CN"/>
        </w:rPr>
      </w:pPr>
      <w:r>
        <w:rPr>
          <w:rFonts w:hint="eastAsia" w:ascii="宋体" w:hAnsi="宋体" w:eastAsia="宋体" w:cs="宋体"/>
          <w:spacing w:val="-1"/>
          <w:sz w:val="21"/>
          <w:szCs w:val="21"/>
          <w:highlight w:val="none"/>
          <w:lang w:val="zh-CN" w:eastAsia="zh-CN" w:bidi="zh-CN"/>
        </w:rPr>
        <w:t>5.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firstLine="438" w:firstLineChars="211"/>
        <w:textAlignment w:val="auto"/>
        <w:rPr>
          <w:rFonts w:hint="eastAsia" w:ascii="宋体" w:hAnsi="宋体" w:eastAsia="宋体" w:cs="宋体"/>
          <w:spacing w:val="-1"/>
          <w:sz w:val="21"/>
          <w:szCs w:val="21"/>
          <w:highlight w:val="none"/>
          <w:lang w:val="zh-CN" w:eastAsia="zh-CN" w:bidi="zh-CN"/>
        </w:rPr>
      </w:pPr>
      <w:r>
        <w:rPr>
          <w:rFonts w:hint="eastAsia" w:ascii="宋体" w:hAnsi="宋体" w:eastAsia="宋体" w:cs="宋体"/>
          <w:spacing w:val="-1"/>
          <w:sz w:val="21"/>
          <w:szCs w:val="21"/>
          <w:highlight w:val="none"/>
          <w:lang w:val="zh-CN" w:eastAsia="zh-CN" w:bidi="zh-CN"/>
        </w:rPr>
        <w:t>6.采购人、采购代理机构不得向评审委员会的评审专家作倾向性、误导性的解释或者说明。</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firstLine="438" w:firstLineChars="211"/>
        <w:textAlignment w:val="auto"/>
        <w:rPr>
          <w:rFonts w:hint="eastAsia" w:ascii="宋体" w:hAnsi="宋体" w:eastAsia="宋体" w:cs="宋体"/>
          <w:spacing w:val="-1"/>
          <w:sz w:val="21"/>
          <w:szCs w:val="21"/>
          <w:highlight w:val="none"/>
          <w:lang w:val="zh-CN" w:eastAsia="zh-CN" w:bidi="zh-CN"/>
        </w:rPr>
      </w:pPr>
      <w:r>
        <w:rPr>
          <w:rFonts w:hint="eastAsia" w:ascii="宋体" w:hAnsi="宋体" w:eastAsia="宋体" w:cs="宋体"/>
          <w:spacing w:val="-1"/>
          <w:sz w:val="21"/>
          <w:szCs w:val="21"/>
          <w:highlight w:val="none"/>
          <w:lang w:val="zh-CN" w:eastAsia="zh-CN" w:bidi="zh-CN"/>
        </w:rPr>
        <w:t>7.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firstLine="438" w:firstLineChars="211"/>
        <w:textAlignment w:val="auto"/>
        <w:rPr>
          <w:rFonts w:hint="eastAsia" w:ascii="宋体" w:hAnsi="宋体" w:eastAsia="宋体" w:cs="宋体"/>
          <w:spacing w:val="-1"/>
          <w:sz w:val="21"/>
          <w:szCs w:val="21"/>
          <w:highlight w:val="none"/>
          <w:lang w:val="zh-CN" w:eastAsia="zh-CN" w:bidi="zh-CN"/>
        </w:rPr>
      </w:pPr>
      <w:r>
        <w:rPr>
          <w:rFonts w:hint="eastAsia" w:ascii="宋体" w:hAnsi="宋体" w:eastAsia="宋体" w:cs="宋体"/>
          <w:spacing w:val="-1"/>
          <w:sz w:val="21"/>
          <w:szCs w:val="21"/>
          <w:highlight w:val="none"/>
          <w:lang w:val="zh-CN" w:eastAsia="zh-CN" w:bidi="zh-CN"/>
        </w:rPr>
        <w:t>8.评审专家在评审过程中不得将自己的观点强加给其他评审专家，评审专家应自主发表见解，对评审意见承担个人责任。</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firstLine="438" w:firstLineChars="211"/>
        <w:textAlignment w:val="auto"/>
        <w:rPr>
          <w:rFonts w:hint="eastAsia" w:ascii="宋体" w:hAnsi="宋体" w:eastAsia="宋体" w:cs="宋体"/>
          <w:spacing w:val="-1"/>
          <w:sz w:val="21"/>
          <w:szCs w:val="21"/>
          <w:highlight w:val="none"/>
          <w:lang w:val="zh-CN" w:eastAsia="zh-CN" w:bidi="zh-CN"/>
        </w:rPr>
      </w:pPr>
      <w:r>
        <w:rPr>
          <w:rFonts w:hint="eastAsia" w:ascii="宋体" w:hAnsi="宋体" w:eastAsia="宋体" w:cs="宋体"/>
          <w:spacing w:val="-1"/>
          <w:sz w:val="21"/>
          <w:szCs w:val="21"/>
          <w:highlight w:val="none"/>
          <w:lang w:val="zh-CN" w:eastAsia="zh-CN" w:bidi="zh-CN"/>
        </w:rPr>
        <w:t>9.评审结束后，评审委员会应向采购代理机构提交项目评审报告。评审报告是采购人确定中标人的合法依据，评审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firstLine="438" w:firstLineChars="211"/>
        <w:textAlignment w:val="auto"/>
        <w:rPr>
          <w:rFonts w:hint="eastAsia" w:ascii="宋体" w:hAnsi="宋体" w:eastAsia="宋体" w:cs="宋体"/>
          <w:spacing w:val="-1"/>
          <w:sz w:val="21"/>
          <w:szCs w:val="21"/>
          <w:highlight w:val="none"/>
          <w:lang w:val="zh-CN" w:eastAsia="zh-CN" w:bidi="zh-CN"/>
        </w:rPr>
      </w:pPr>
      <w:r>
        <w:rPr>
          <w:rFonts w:hint="eastAsia" w:ascii="宋体" w:hAnsi="宋体" w:eastAsia="宋体" w:cs="宋体"/>
          <w:spacing w:val="-1"/>
          <w:sz w:val="21"/>
          <w:szCs w:val="21"/>
          <w:highlight w:val="none"/>
          <w:lang w:val="zh-CN" w:eastAsia="zh-CN" w:bidi="zh-CN"/>
        </w:rPr>
        <w:t>10.评审专家应当独立、客观、公正地提出评审意见，不得带有倾向性，不得影响其他评审专家评审，并在评审报告上签字；如对评审报告有异议的，可在报告上签署不同意见，并说明理由，否则将视为同意。</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firstLine="438" w:firstLineChars="211"/>
        <w:textAlignment w:val="auto"/>
        <w:rPr>
          <w:rFonts w:hint="eastAsia" w:ascii="宋体" w:hAnsi="宋体" w:eastAsia="宋体" w:cs="宋体"/>
          <w:spacing w:val="-1"/>
          <w:sz w:val="21"/>
          <w:szCs w:val="21"/>
          <w:highlight w:val="none"/>
          <w:lang w:val="zh-CN" w:eastAsia="zh-CN" w:bidi="zh-CN"/>
        </w:rPr>
      </w:pPr>
      <w:r>
        <w:rPr>
          <w:rFonts w:hint="eastAsia" w:ascii="宋体" w:hAnsi="宋体" w:eastAsia="宋体" w:cs="宋体"/>
          <w:spacing w:val="-1"/>
          <w:sz w:val="21"/>
          <w:szCs w:val="21"/>
          <w:highlight w:val="none"/>
          <w:lang w:val="zh-CN" w:eastAsia="zh-CN" w:bidi="zh-CN"/>
        </w:rPr>
        <w:t>11.评审专家应当遵守评审工作纪律，不得泄露评审文件、评审情况和评审中获悉的商业秘密。</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firstLine="438" w:firstLineChars="211"/>
        <w:textAlignment w:val="auto"/>
        <w:rPr>
          <w:rFonts w:hint="eastAsia" w:ascii="宋体" w:hAnsi="宋体" w:eastAsia="宋体" w:cs="宋体"/>
          <w:spacing w:val="-1"/>
          <w:sz w:val="21"/>
          <w:szCs w:val="21"/>
          <w:highlight w:val="none"/>
          <w:lang w:val="zh-CN" w:eastAsia="zh-CN" w:bidi="zh-CN"/>
        </w:rPr>
      </w:pPr>
      <w:r>
        <w:rPr>
          <w:rFonts w:hint="eastAsia" w:ascii="宋体" w:hAnsi="宋体" w:eastAsia="宋体" w:cs="宋体"/>
          <w:spacing w:val="-1"/>
          <w:sz w:val="21"/>
          <w:szCs w:val="21"/>
          <w:highlight w:val="none"/>
          <w:lang w:val="zh-CN" w:eastAsia="zh-CN" w:bidi="zh-CN"/>
        </w:rPr>
        <w:t>评审委员会在评审过程中发现投标人有行贿、提供虚假材料或者串通等违法行为的，应当及时向财政部门报告。</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firstLine="438" w:firstLineChars="211"/>
        <w:textAlignment w:val="auto"/>
        <w:rPr>
          <w:rFonts w:hint="eastAsia" w:ascii="宋体" w:hAnsi="宋体" w:eastAsia="宋体" w:cs="宋体"/>
          <w:spacing w:val="-1"/>
          <w:sz w:val="21"/>
          <w:szCs w:val="21"/>
          <w:highlight w:val="none"/>
          <w:lang w:val="zh-CN" w:eastAsia="zh-CN" w:bidi="zh-CN"/>
        </w:rPr>
      </w:pPr>
      <w:r>
        <w:rPr>
          <w:rFonts w:hint="eastAsia" w:ascii="宋体" w:hAnsi="宋体" w:eastAsia="宋体" w:cs="宋体"/>
          <w:spacing w:val="-1"/>
          <w:sz w:val="21"/>
          <w:szCs w:val="21"/>
          <w:highlight w:val="none"/>
          <w:lang w:val="zh-CN" w:eastAsia="zh-CN" w:bidi="zh-CN"/>
        </w:rPr>
        <w:t>12.招标文件内容违反国家有关强制性规定的，评审委员会应当停止评审并向采购代理机构说明情况。</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firstLine="438" w:firstLineChars="211"/>
        <w:textAlignment w:val="auto"/>
        <w:rPr>
          <w:rFonts w:hint="eastAsia" w:ascii="宋体" w:hAnsi="宋体" w:eastAsia="宋体" w:cs="宋体"/>
          <w:spacing w:val="-1"/>
          <w:sz w:val="21"/>
          <w:szCs w:val="21"/>
          <w:highlight w:val="none"/>
          <w:lang w:val="zh-CN" w:eastAsia="zh-CN" w:bidi="zh-CN"/>
        </w:rPr>
      </w:pPr>
      <w:r>
        <w:rPr>
          <w:rFonts w:hint="eastAsia" w:ascii="宋体" w:hAnsi="宋体" w:eastAsia="宋体" w:cs="宋体"/>
          <w:spacing w:val="-1"/>
          <w:sz w:val="21"/>
          <w:szCs w:val="21"/>
          <w:highlight w:val="none"/>
          <w:lang w:val="zh-CN" w:eastAsia="zh-CN" w:bidi="zh-CN"/>
        </w:rPr>
        <w:t>13.评审专家应当配合采购人、采购代理机构答复投标人提出的质疑。</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firstLine="438" w:firstLineChars="211"/>
        <w:textAlignment w:val="auto"/>
        <w:rPr>
          <w:rFonts w:hint="eastAsia" w:ascii="宋体" w:hAnsi="宋体" w:eastAsia="宋体" w:cs="宋体"/>
          <w:spacing w:val="-1"/>
          <w:sz w:val="21"/>
          <w:szCs w:val="21"/>
          <w:highlight w:val="none"/>
          <w:lang w:val="zh-CN" w:eastAsia="zh-CN" w:bidi="zh-CN"/>
        </w:rPr>
      </w:pPr>
      <w:r>
        <w:rPr>
          <w:rFonts w:hint="eastAsia" w:ascii="宋体" w:hAnsi="宋体" w:eastAsia="宋体" w:cs="宋体"/>
          <w:spacing w:val="-1"/>
          <w:sz w:val="21"/>
          <w:szCs w:val="21"/>
          <w:highlight w:val="none"/>
          <w:lang w:val="zh-CN" w:eastAsia="zh-CN" w:bidi="zh-CN"/>
        </w:rPr>
        <w:t>14.评审专家应当配合财政部门的投诉处理工作。</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firstLine="438" w:firstLineChars="211"/>
        <w:textAlignment w:val="auto"/>
        <w:rPr>
          <w:rFonts w:hint="eastAsia" w:ascii="宋体" w:hAnsi="宋体" w:eastAsia="宋体" w:cs="宋体"/>
          <w:spacing w:val="-1"/>
          <w:sz w:val="21"/>
          <w:szCs w:val="21"/>
          <w:highlight w:val="none"/>
          <w:lang w:val="zh-CN" w:eastAsia="zh-CN" w:bidi="zh-CN"/>
        </w:rPr>
      </w:pPr>
      <w:r>
        <w:rPr>
          <w:rFonts w:hint="eastAsia" w:ascii="宋体" w:hAnsi="宋体" w:eastAsia="宋体" w:cs="宋体"/>
          <w:spacing w:val="-1"/>
          <w:sz w:val="21"/>
          <w:szCs w:val="21"/>
          <w:highlight w:val="none"/>
          <w:lang w:val="zh-CN" w:eastAsia="zh-CN" w:bidi="zh-CN"/>
        </w:rPr>
        <w:t>15.评审专家有如下行为之一的，责令改正，给予警告，可以并处一千元以下的罚款：</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firstLine="644" w:firstLineChars="310"/>
        <w:textAlignment w:val="auto"/>
        <w:rPr>
          <w:rFonts w:hint="eastAsia" w:ascii="宋体" w:hAnsi="宋体" w:eastAsia="宋体" w:cs="宋体"/>
          <w:spacing w:val="-1"/>
          <w:sz w:val="21"/>
          <w:szCs w:val="21"/>
          <w:highlight w:val="none"/>
          <w:lang w:val="zh-CN" w:eastAsia="zh-CN" w:bidi="zh-CN"/>
        </w:rPr>
      </w:pPr>
      <w:r>
        <w:rPr>
          <w:rFonts w:hint="eastAsia" w:ascii="宋体" w:hAnsi="宋体" w:eastAsia="宋体" w:cs="宋体"/>
          <w:spacing w:val="-1"/>
          <w:sz w:val="21"/>
          <w:szCs w:val="21"/>
          <w:highlight w:val="none"/>
          <w:lang w:val="zh-CN" w:eastAsia="zh-CN" w:bidi="zh-CN"/>
        </w:rPr>
        <w:t>①明知应当回避而未主动回避的；</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firstLine="644" w:firstLineChars="310"/>
        <w:textAlignment w:val="auto"/>
        <w:rPr>
          <w:rFonts w:hint="eastAsia" w:ascii="宋体" w:hAnsi="宋体" w:eastAsia="宋体" w:cs="宋体"/>
          <w:spacing w:val="-1"/>
          <w:sz w:val="21"/>
          <w:szCs w:val="21"/>
          <w:highlight w:val="none"/>
          <w:lang w:val="zh-CN" w:eastAsia="zh-CN" w:bidi="zh-CN"/>
        </w:rPr>
      </w:pPr>
      <w:r>
        <w:rPr>
          <w:rFonts w:hint="eastAsia" w:ascii="宋体" w:hAnsi="宋体" w:eastAsia="宋体" w:cs="宋体"/>
          <w:spacing w:val="-1"/>
          <w:sz w:val="21"/>
          <w:szCs w:val="21"/>
          <w:highlight w:val="none"/>
          <w:lang w:val="zh-CN" w:eastAsia="zh-CN" w:bidi="zh-CN"/>
        </w:rPr>
        <w:t>②在得知自己为评审专家身份后至评审结束前时段内私下接触投标人的；</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firstLine="644" w:firstLineChars="310"/>
        <w:textAlignment w:val="auto"/>
        <w:rPr>
          <w:rFonts w:hint="eastAsia" w:ascii="宋体" w:hAnsi="宋体" w:eastAsia="宋体" w:cs="宋体"/>
          <w:spacing w:val="-1"/>
          <w:sz w:val="21"/>
          <w:szCs w:val="21"/>
          <w:highlight w:val="none"/>
          <w:lang w:val="zh-CN" w:eastAsia="zh-CN" w:bidi="zh-CN"/>
        </w:rPr>
      </w:pPr>
      <w:r>
        <w:rPr>
          <w:rFonts w:hint="eastAsia" w:ascii="宋体" w:hAnsi="宋体" w:eastAsia="宋体" w:cs="宋体"/>
          <w:spacing w:val="-1"/>
          <w:sz w:val="21"/>
          <w:szCs w:val="21"/>
          <w:highlight w:val="none"/>
          <w:lang w:val="zh-CN" w:eastAsia="zh-CN" w:bidi="zh-CN"/>
        </w:rPr>
        <w:t>③在评审过程中擅离职守，影响评审程序正常进行的；</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firstLine="644" w:firstLineChars="310"/>
        <w:textAlignment w:val="auto"/>
        <w:rPr>
          <w:rFonts w:hint="eastAsia" w:ascii="宋体" w:hAnsi="宋体" w:eastAsia="宋体" w:cs="宋体"/>
          <w:spacing w:val="-1"/>
          <w:sz w:val="21"/>
          <w:szCs w:val="21"/>
          <w:highlight w:val="none"/>
          <w:lang w:val="zh-CN" w:eastAsia="zh-CN" w:bidi="zh-CN"/>
        </w:rPr>
      </w:pPr>
      <w:r>
        <w:rPr>
          <w:rFonts w:hint="eastAsia" w:ascii="宋体" w:hAnsi="宋体" w:eastAsia="宋体" w:cs="宋体"/>
          <w:spacing w:val="-1"/>
          <w:sz w:val="21"/>
          <w:szCs w:val="21"/>
          <w:highlight w:val="none"/>
          <w:lang w:val="zh-CN" w:eastAsia="zh-CN" w:bidi="zh-CN"/>
        </w:rPr>
        <w:t>④在评审过程有明显不合理或者不正当倾向性的；</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firstLine="644" w:firstLineChars="310"/>
        <w:textAlignment w:val="auto"/>
        <w:rPr>
          <w:rFonts w:hint="eastAsia" w:ascii="宋体" w:hAnsi="宋体" w:eastAsia="宋体" w:cs="宋体"/>
          <w:spacing w:val="-1"/>
          <w:sz w:val="21"/>
          <w:szCs w:val="21"/>
          <w:highlight w:val="none"/>
          <w:lang w:val="zh-CN" w:eastAsia="zh-CN" w:bidi="zh-CN"/>
        </w:rPr>
      </w:pPr>
      <w:r>
        <w:rPr>
          <w:rFonts w:hint="eastAsia" w:ascii="宋体" w:hAnsi="宋体" w:eastAsia="宋体" w:cs="宋体"/>
          <w:spacing w:val="-1"/>
          <w:sz w:val="21"/>
          <w:szCs w:val="21"/>
          <w:highlight w:val="none"/>
          <w:lang w:val="zh-CN" w:eastAsia="zh-CN" w:bidi="zh-CN"/>
        </w:rPr>
        <w:t>⑤未按招标文件规定的评审方法和标准进行评审的。</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firstLine="644" w:firstLineChars="310"/>
        <w:textAlignment w:val="auto"/>
        <w:rPr>
          <w:rFonts w:hint="eastAsia" w:ascii="宋体" w:hAnsi="宋体" w:eastAsia="宋体" w:cs="宋体"/>
          <w:spacing w:val="-1"/>
          <w:sz w:val="21"/>
          <w:szCs w:val="21"/>
          <w:highlight w:val="none"/>
          <w:lang w:val="zh-CN" w:eastAsia="zh-CN" w:bidi="zh-CN"/>
        </w:rPr>
      </w:pPr>
      <w:r>
        <w:rPr>
          <w:rFonts w:hint="eastAsia" w:ascii="宋体" w:hAnsi="宋体" w:eastAsia="宋体" w:cs="宋体"/>
          <w:spacing w:val="-1"/>
          <w:sz w:val="21"/>
          <w:szCs w:val="21"/>
          <w:highlight w:val="none"/>
          <w:lang w:val="zh-CN" w:eastAsia="zh-CN" w:bidi="zh-CN"/>
        </w:rPr>
        <w:t>⑥上述①至⑤行为影响中标结果的，中标结果无效。</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firstLine="438" w:firstLineChars="211"/>
        <w:textAlignment w:val="auto"/>
        <w:rPr>
          <w:rFonts w:hint="eastAsia" w:ascii="宋体" w:hAnsi="宋体" w:eastAsia="宋体" w:cs="宋体"/>
          <w:spacing w:val="-1"/>
          <w:sz w:val="21"/>
          <w:szCs w:val="21"/>
          <w:highlight w:val="none"/>
          <w:lang w:val="zh-CN" w:eastAsia="zh-CN" w:bidi="zh-CN"/>
        </w:rPr>
      </w:pPr>
      <w:r>
        <w:rPr>
          <w:rFonts w:hint="eastAsia" w:ascii="宋体" w:hAnsi="宋体" w:eastAsia="宋体" w:cs="宋体"/>
          <w:spacing w:val="-1"/>
          <w:sz w:val="21"/>
          <w:szCs w:val="21"/>
          <w:highlight w:val="none"/>
          <w:lang w:val="zh-CN" w:eastAsia="zh-CN" w:bidi="zh-CN"/>
        </w:rPr>
        <w:t>16.政府采购评审专家未按照招标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firstLine="438" w:firstLineChars="211"/>
        <w:textAlignment w:val="auto"/>
        <w:rPr>
          <w:rFonts w:hint="eastAsia" w:ascii="宋体" w:hAnsi="宋体" w:eastAsia="宋体" w:cs="宋体"/>
          <w:spacing w:val="-1"/>
          <w:sz w:val="21"/>
          <w:szCs w:val="21"/>
          <w:highlight w:val="none"/>
          <w:lang w:val="zh-CN" w:eastAsia="zh-CN" w:bidi="zh-CN"/>
        </w:rPr>
      </w:pPr>
      <w:r>
        <w:rPr>
          <w:rFonts w:hint="eastAsia" w:ascii="宋体" w:hAnsi="宋体" w:eastAsia="宋体" w:cs="宋体"/>
          <w:spacing w:val="-1"/>
          <w:sz w:val="21"/>
          <w:szCs w:val="21"/>
          <w:highlight w:val="none"/>
          <w:lang w:val="zh-CN" w:eastAsia="zh-CN" w:bidi="zh-CN"/>
        </w:rPr>
        <w:t>政府采购评审专家与投标人存在利害关系未回避的，处2万元以上5万元以下的罚款，禁止其参加政府采购评审活动。</w:t>
      </w:r>
    </w:p>
    <w:p>
      <w:pPr>
        <w:keepNext w:val="0"/>
        <w:keepLines w:val="0"/>
        <w:pageBreakBefore w:val="0"/>
        <w:widowControl w:val="0"/>
        <w:kinsoku/>
        <w:wordWrap/>
        <w:overflowPunct/>
        <w:topLinePunct w:val="0"/>
        <w:autoSpaceDE w:val="0"/>
        <w:autoSpaceDN w:val="0"/>
        <w:bidi w:val="0"/>
        <w:adjustRightInd w:val="0"/>
        <w:snapToGrid w:val="0"/>
        <w:spacing w:line="400" w:lineRule="exact"/>
        <w:ind w:left="0" w:leftChars="0" w:right="0" w:firstLine="438" w:firstLineChars="211"/>
        <w:textAlignment w:val="auto"/>
        <w:rPr>
          <w:rFonts w:hint="eastAsia" w:ascii="宋体" w:hAnsi="宋体" w:eastAsia="宋体" w:cs="宋体"/>
          <w:spacing w:val="-1"/>
          <w:sz w:val="21"/>
          <w:szCs w:val="21"/>
          <w:highlight w:val="none"/>
          <w:lang w:val="zh-CN" w:eastAsia="zh-CN" w:bidi="zh-CN"/>
        </w:rPr>
      </w:pPr>
      <w:r>
        <w:rPr>
          <w:rFonts w:hint="eastAsia" w:ascii="宋体" w:hAnsi="宋体" w:eastAsia="宋体" w:cs="宋体"/>
          <w:spacing w:val="-1"/>
          <w:sz w:val="21"/>
          <w:szCs w:val="21"/>
          <w:highlight w:val="none"/>
          <w:lang w:val="zh-CN" w:eastAsia="zh-CN" w:bidi="zh-CN"/>
        </w:rPr>
        <w:t>政府采购评审专家收受采购人、采购代理机构、投标人贿赂或者获取其他不正当利益，构成犯罪的，依法追究刑事责任；尚不构成犯罪的，处2万元以上5万元以下的罚款，禁止其参加政府采购评审活动。</w:t>
      </w:r>
    </w:p>
    <w:p>
      <w:pPr>
        <w:pStyle w:val="2"/>
        <w:keepNext w:val="0"/>
        <w:keepLines w:val="0"/>
        <w:pageBreakBefore w:val="0"/>
        <w:widowControl w:val="0"/>
        <w:kinsoku/>
        <w:wordWrap/>
        <w:overflowPunct/>
        <w:topLinePunct w:val="0"/>
        <w:autoSpaceDE w:val="0"/>
        <w:autoSpaceDN w:val="0"/>
        <w:bidi w:val="0"/>
        <w:spacing w:before="0" w:line="400" w:lineRule="exact"/>
        <w:ind w:left="0" w:leftChars="0" w:right="0" w:firstLine="438" w:firstLineChars="211"/>
        <w:jc w:val="both"/>
        <w:textAlignment w:val="auto"/>
        <w:rPr>
          <w:rFonts w:hint="eastAsia" w:ascii="宋体" w:hAnsi="宋体" w:eastAsia="宋体" w:cs="宋体"/>
          <w:spacing w:val="-1"/>
          <w:sz w:val="21"/>
          <w:szCs w:val="21"/>
          <w:highlight w:val="none"/>
          <w:lang w:val="en-US" w:eastAsia="zh-CN" w:bidi="zh-CN"/>
        </w:rPr>
      </w:pPr>
      <w:r>
        <w:rPr>
          <w:rFonts w:hint="eastAsia" w:ascii="宋体" w:hAnsi="宋体" w:eastAsia="宋体" w:cs="宋体"/>
          <w:spacing w:val="-1"/>
          <w:sz w:val="21"/>
          <w:szCs w:val="21"/>
          <w:highlight w:val="none"/>
          <w:lang w:val="zh-CN" w:eastAsia="zh-CN" w:bidi="zh-CN"/>
        </w:rPr>
        <w:t>政府采购评审专家有上述违法行为的，其评审意见无效，不得获取评审费；有违法所得的，没收违法所得；给他人造成损失的，依法承担民事责任。</w:t>
      </w:r>
    </w:p>
    <w:p>
      <w:pPr>
        <w:keepNext w:val="0"/>
        <w:keepLines w:val="0"/>
        <w:pageBreakBefore w:val="0"/>
        <w:widowControl w:val="0"/>
        <w:kinsoku/>
        <w:wordWrap/>
        <w:overflowPunct/>
        <w:topLinePunct w:val="0"/>
        <w:autoSpaceDE w:val="0"/>
        <w:autoSpaceDN w:val="0"/>
        <w:bidi w:val="0"/>
        <w:adjustRightInd/>
        <w:snapToGrid/>
        <w:spacing w:before="0" w:beforeLines="50" w:line="360" w:lineRule="auto"/>
        <w:ind w:firstLine="374" w:firstLineChars="200"/>
        <w:jc w:val="both"/>
        <w:textAlignment w:val="auto"/>
        <w:rPr>
          <w:b/>
          <w:sz w:val="21"/>
          <w:highlight w:val="none"/>
        </w:rPr>
      </w:pPr>
      <w:r>
        <w:rPr>
          <w:rFonts w:hint="eastAsia"/>
          <w:b/>
          <w:spacing w:val="-12"/>
          <w:sz w:val="21"/>
          <w:highlight w:val="none"/>
        </w:rPr>
        <w:t>二、评（定）标方法</w:t>
      </w:r>
    </w:p>
    <w:p>
      <w:pPr>
        <w:pStyle w:val="13"/>
        <w:spacing w:line="360" w:lineRule="auto"/>
        <w:ind w:firstLine="416" w:firstLineChars="200"/>
        <w:jc w:val="both"/>
        <w:rPr>
          <w:highlight w:val="none"/>
        </w:rPr>
      </w:pPr>
      <w:r>
        <w:rPr>
          <w:rFonts w:hint="eastAsia"/>
          <w:spacing w:val="-1"/>
          <w:highlight w:val="none"/>
        </w:rPr>
        <w:t>开标后，采用综合评分法，评标专家组以开标、审标、询标情况为基本依据，对通过资格性审查及符合性审查的有效投标文件及其投标人按评标内容进行分析、评议，确定合格供应商，根据《中华人</w:t>
      </w:r>
      <w:r>
        <w:rPr>
          <w:rFonts w:hint="eastAsia"/>
          <w:spacing w:val="-6"/>
          <w:highlight w:val="none"/>
        </w:rPr>
        <w:t xml:space="preserve">民共和国财政部令第 </w:t>
      </w:r>
      <w:r>
        <w:rPr>
          <w:rFonts w:hint="eastAsia"/>
          <w:highlight w:val="none"/>
        </w:rPr>
        <w:t>87</w:t>
      </w:r>
      <w:r>
        <w:rPr>
          <w:rFonts w:hint="eastAsia"/>
          <w:spacing w:val="-14"/>
          <w:highlight w:val="none"/>
        </w:rPr>
        <w:t xml:space="preserve"> 号》文件规定，本次招标采购技术资信分为 </w:t>
      </w:r>
      <w:r>
        <w:rPr>
          <w:rFonts w:hint="eastAsia"/>
          <w:highlight w:val="none"/>
          <w:lang w:val="en-US"/>
        </w:rPr>
        <w:t>80</w:t>
      </w:r>
      <w:r>
        <w:rPr>
          <w:rFonts w:hint="eastAsia"/>
          <w:spacing w:val="-19"/>
          <w:highlight w:val="none"/>
        </w:rPr>
        <w:t>分，价格分为</w:t>
      </w:r>
      <w:r>
        <w:rPr>
          <w:rFonts w:hint="eastAsia"/>
          <w:spacing w:val="-19"/>
          <w:highlight w:val="none"/>
          <w:lang w:val="en-US"/>
        </w:rPr>
        <w:t xml:space="preserve"> 20</w:t>
      </w:r>
      <w:r>
        <w:rPr>
          <w:rFonts w:hint="eastAsia"/>
          <w:spacing w:val="-15"/>
          <w:highlight w:val="none"/>
        </w:rPr>
        <w:t xml:space="preserve"> 分。先评</w:t>
      </w:r>
      <w:r>
        <w:rPr>
          <w:rFonts w:hint="eastAsia"/>
          <w:spacing w:val="-15"/>
          <w:highlight w:val="none"/>
          <w:lang w:eastAsia="zh-CN"/>
        </w:rPr>
        <w:t>技术资信标</w:t>
      </w:r>
      <w:r>
        <w:rPr>
          <w:rFonts w:hint="eastAsia"/>
          <w:spacing w:val="-1"/>
          <w:highlight w:val="none"/>
        </w:rPr>
        <w:t>得分（含资信与服务），后再开价格标，取合格供应商中投标价格最终最低的投标报价为评标基准价，对合格的供应商进行价格分计算，以二项总分最高为中标方（总得分相同的，按投标报价由低到高顺序排列；技术资信分与投标报价都相同的，抽签决定中标单位）。中标供应商因不可抗力</w:t>
      </w:r>
      <w:r>
        <w:rPr>
          <w:rFonts w:hint="eastAsia"/>
          <w:highlight w:val="none"/>
        </w:rPr>
        <w:t>或者自身原因不能履行政府采购合同的,采购单位可以与排位在中标供应商之后第一位的中标候选供应商签订政府采购合同,以此类推或重新招标。</w:t>
      </w:r>
    </w:p>
    <w:p>
      <w:pPr>
        <w:spacing w:line="360" w:lineRule="auto"/>
        <w:ind w:firstLine="422" w:firstLineChars="200"/>
        <w:jc w:val="both"/>
        <w:rPr>
          <w:sz w:val="21"/>
          <w:highlight w:val="none"/>
        </w:rPr>
      </w:pPr>
      <w:r>
        <w:rPr>
          <w:rFonts w:hint="eastAsia"/>
          <w:b/>
          <w:sz w:val="21"/>
          <w:highlight w:val="none"/>
        </w:rPr>
        <w:t>三、</w:t>
      </w:r>
      <w:r>
        <w:rPr>
          <w:rFonts w:hint="eastAsia"/>
          <w:b/>
          <w:sz w:val="21"/>
          <w:highlight w:val="none"/>
          <w:lang w:eastAsia="zh-CN"/>
        </w:rPr>
        <w:t>技术资信标</w:t>
      </w:r>
      <w:r>
        <w:rPr>
          <w:rFonts w:hint="eastAsia"/>
          <w:b/>
          <w:sz w:val="21"/>
          <w:highlight w:val="none"/>
        </w:rPr>
        <w:t>评定</w:t>
      </w:r>
      <w:r>
        <w:rPr>
          <w:rFonts w:hint="eastAsia"/>
          <w:sz w:val="21"/>
          <w:highlight w:val="none"/>
        </w:rPr>
        <w:t>（满分为</w:t>
      </w:r>
      <w:r>
        <w:rPr>
          <w:rFonts w:hint="eastAsia"/>
          <w:sz w:val="21"/>
          <w:highlight w:val="none"/>
          <w:lang w:val="en-US"/>
        </w:rPr>
        <w:t>80</w:t>
      </w:r>
      <w:r>
        <w:rPr>
          <w:rFonts w:hint="eastAsia"/>
          <w:sz w:val="21"/>
          <w:highlight w:val="none"/>
        </w:rPr>
        <w:t>分）</w:t>
      </w:r>
    </w:p>
    <w:p>
      <w:pPr>
        <w:pStyle w:val="13"/>
        <w:spacing w:line="360" w:lineRule="auto"/>
        <w:ind w:firstLine="420" w:firstLineChars="200"/>
        <w:jc w:val="both"/>
        <w:rPr>
          <w:highlight w:val="none"/>
        </w:rPr>
      </w:pPr>
      <w:r>
        <w:rPr>
          <w:rFonts w:hint="eastAsia"/>
          <w:highlight w:val="none"/>
        </w:rPr>
        <w:t>技术资信分设置为</w:t>
      </w:r>
      <w:r>
        <w:rPr>
          <w:rFonts w:hint="eastAsia"/>
          <w:highlight w:val="none"/>
          <w:lang w:val="en-US"/>
        </w:rPr>
        <w:t>80</w:t>
      </w:r>
      <w:r>
        <w:rPr>
          <w:rFonts w:hint="eastAsia"/>
          <w:highlight w:val="none"/>
        </w:rPr>
        <w:t>分，分值分配见以下表格。评标委员会根据表格，对该标项各投标单位的</w:t>
      </w:r>
      <w:r>
        <w:rPr>
          <w:rFonts w:hint="eastAsia"/>
          <w:spacing w:val="-2"/>
          <w:highlight w:val="none"/>
          <w:lang w:val="en-US" w:eastAsia="zh-CN"/>
        </w:rPr>
        <w:t>技术资信标</w:t>
      </w:r>
      <w:r>
        <w:rPr>
          <w:rFonts w:hint="eastAsia"/>
          <w:spacing w:val="-2"/>
          <w:highlight w:val="none"/>
        </w:rPr>
        <w:t xml:space="preserve">进行书面审核和评论后，由各成员独立酌情给分，打分时保留小数 </w:t>
      </w:r>
      <w:r>
        <w:rPr>
          <w:rFonts w:hint="eastAsia"/>
          <w:highlight w:val="none"/>
        </w:rPr>
        <w:t>1</w:t>
      </w:r>
      <w:r>
        <w:rPr>
          <w:rFonts w:hint="eastAsia"/>
          <w:spacing w:val="-8"/>
          <w:highlight w:val="none"/>
        </w:rPr>
        <w:t xml:space="preserve"> 位，每人一份评分表，</w:t>
      </w:r>
      <w:r>
        <w:rPr>
          <w:rFonts w:hint="eastAsia"/>
          <w:spacing w:val="-1"/>
          <w:highlight w:val="none"/>
        </w:rPr>
        <w:t>并签名。在统计得分时，如果发现某一单项评分超过评分细则规定的分值范围，则该张评分表无效。投标人技术资信标（含资信业绩和售后服务）最终得分为评标成员的有效评分的算术平均值。计算时</w:t>
      </w:r>
      <w:r>
        <w:rPr>
          <w:rFonts w:hint="eastAsia"/>
          <w:spacing w:val="-18"/>
          <w:highlight w:val="none"/>
        </w:rPr>
        <w:t xml:space="preserve">保留小数 </w:t>
      </w:r>
      <w:r>
        <w:rPr>
          <w:rFonts w:hint="eastAsia"/>
          <w:highlight w:val="none"/>
        </w:rPr>
        <w:t>2</w:t>
      </w:r>
      <w:r>
        <w:rPr>
          <w:rFonts w:hint="eastAsia"/>
          <w:spacing w:val="-18"/>
          <w:highlight w:val="none"/>
        </w:rPr>
        <w:t xml:space="preserve"> 位。</w:t>
      </w:r>
    </w:p>
    <w:tbl>
      <w:tblPr>
        <w:tblStyle w:val="26"/>
        <w:tblW w:w="9722" w:type="dxa"/>
        <w:jc w:val="center"/>
        <w:tblLayout w:type="fixed"/>
        <w:tblCellMar>
          <w:top w:w="15" w:type="dxa"/>
          <w:left w:w="15" w:type="dxa"/>
          <w:bottom w:w="15" w:type="dxa"/>
          <w:right w:w="15" w:type="dxa"/>
        </w:tblCellMar>
      </w:tblPr>
      <w:tblGrid>
        <w:gridCol w:w="444"/>
        <w:gridCol w:w="1772"/>
        <w:gridCol w:w="6721"/>
        <w:gridCol w:w="785"/>
      </w:tblGrid>
      <w:tr>
        <w:tblPrEx>
          <w:tblCellMar>
            <w:top w:w="15" w:type="dxa"/>
            <w:left w:w="15" w:type="dxa"/>
            <w:bottom w:w="15" w:type="dxa"/>
            <w:right w:w="15" w:type="dxa"/>
          </w:tblCellMar>
        </w:tblPrEx>
        <w:trPr>
          <w:trHeight w:val="680" w:hRule="atLeast"/>
          <w:jc w:val="center"/>
        </w:trPr>
        <w:tc>
          <w:tcPr>
            <w:tcW w:w="4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b/>
                <w:color w:val="auto"/>
                <w:sz w:val="21"/>
                <w:szCs w:val="21"/>
                <w:highlight w:val="none"/>
              </w:rPr>
            </w:pPr>
            <w:bookmarkStart w:id="8" w:name="_bookmark4"/>
            <w:bookmarkEnd w:id="8"/>
            <w:r>
              <w:rPr>
                <w:rFonts w:hint="eastAsia"/>
                <w:b/>
                <w:color w:val="auto"/>
                <w:sz w:val="21"/>
                <w:szCs w:val="21"/>
                <w:highlight w:val="none"/>
              </w:rPr>
              <w:t>序号</w:t>
            </w:r>
          </w:p>
        </w:tc>
        <w:tc>
          <w:tcPr>
            <w:tcW w:w="1772"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b/>
                <w:color w:val="auto"/>
                <w:sz w:val="21"/>
                <w:szCs w:val="21"/>
                <w:highlight w:val="none"/>
              </w:rPr>
            </w:pPr>
            <w:r>
              <w:rPr>
                <w:rFonts w:hint="eastAsia"/>
                <w:b/>
                <w:color w:val="auto"/>
                <w:sz w:val="21"/>
                <w:szCs w:val="21"/>
                <w:highlight w:val="none"/>
              </w:rPr>
              <w:t>评分内容</w:t>
            </w:r>
          </w:p>
        </w:tc>
        <w:tc>
          <w:tcPr>
            <w:tcW w:w="6721" w:type="dxa"/>
            <w:tcBorders>
              <w:top w:val="single" w:color="000000" w:sz="4" w:space="0"/>
              <w:left w:val="single" w:color="auto" w:sz="4" w:space="0"/>
              <w:bottom w:val="single" w:color="000000" w:sz="4" w:space="0"/>
              <w:right w:val="single" w:color="auto"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b/>
                <w:color w:val="auto"/>
                <w:sz w:val="21"/>
                <w:szCs w:val="21"/>
                <w:highlight w:val="none"/>
              </w:rPr>
            </w:pPr>
            <w:r>
              <w:rPr>
                <w:rFonts w:hint="eastAsia"/>
                <w:b/>
                <w:color w:val="auto"/>
                <w:sz w:val="21"/>
                <w:szCs w:val="21"/>
                <w:highlight w:val="none"/>
              </w:rPr>
              <w:t>评分标准说明</w:t>
            </w:r>
          </w:p>
        </w:tc>
        <w:tc>
          <w:tcPr>
            <w:tcW w:w="785"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b/>
                <w:color w:val="auto"/>
                <w:sz w:val="21"/>
                <w:szCs w:val="21"/>
                <w:highlight w:val="none"/>
              </w:rPr>
            </w:pPr>
            <w:r>
              <w:rPr>
                <w:rFonts w:hint="eastAsia"/>
                <w:b/>
                <w:color w:val="auto"/>
                <w:sz w:val="21"/>
                <w:szCs w:val="21"/>
                <w:highlight w:val="none"/>
              </w:rPr>
              <w:t>分值</w:t>
            </w:r>
          </w:p>
        </w:tc>
      </w:tr>
      <w:tr>
        <w:tblPrEx>
          <w:tblCellMar>
            <w:top w:w="15" w:type="dxa"/>
            <w:left w:w="15" w:type="dxa"/>
            <w:bottom w:w="15" w:type="dxa"/>
            <w:right w:w="15" w:type="dxa"/>
          </w:tblCellMar>
        </w:tblPrEx>
        <w:trPr>
          <w:trHeight w:val="518" w:hRule="atLeast"/>
          <w:jc w:val="center"/>
        </w:trPr>
        <w:tc>
          <w:tcPr>
            <w:tcW w:w="9722" w:type="dxa"/>
            <w:gridSpan w:val="4"/>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kinsoku/>
              <w:overflowPunct/>
              <w:topLinePunct w:val="0"/>
              <w:bidi w:val="0"/>
              <w:adjustRightInd/>
              <w:snapToGrid/>
              <w:spacing w:line="360" w:lineRule="exact"/>
              <w:textAlignment w:val="center"/>
              <w:rPr>
                <w:b/>
                <w:color w:val="auto"/>
                <w:sz w:val="21"/>
                <w:szCs w:val="21"/>
                <w:highlight w:val="none"/>
              </w:rPr>
            </w:pPr>
            <w:r>
              <w:rPr>
                <w:rFonts w:hint="eastAsia"/>
                <w:b/>
                <w:color w:val="auto"/>
                <w:sz w:val="21"/>
                <w:szCs w:val="21"/>
                <w:highlight w:val="none"/>
              </w:rPr>
              <w:t>资信分（</w:t>
            </w:r>
            <w:r>
              <w:rPr>
                <w:rFonts w:hint="eastAsia"/>
                <w:b/>
                <w:color w:val="auto"/>
                <w:sz w:val="21"/>
                <w:szCs w:val="21"/>
                <w:highlight w:val="none"/>
                <w:lang w:val="en-US" w:eastAsia="zh-CN"/>
              </w:rPr>
              <w:t>15</w:t>
            </w:r>
            <w:r>
              <w:rPr>
                <w:rFonts w:hint="eastAsia"/>
                <w:b/>
                <w:color w:val="auto"/>
                <w:sz w:val="21"/>
                <w:szCs w:val="21"/>
                <w:highlight w:val="none"/>
              </w:rPr>
              <w:t>分）</w:t>
            </w:r>
          </w:p>
        </w:tc>
      </w:tr>
      <w:tr>
        <w:tblPrEx>
          <w:tblCellMar>
            <w:top w:w="15" w:type="dxa"/>
            <w:left w:w="15" w:type="dxa"/>
            <w:bottom w:w="15" w:type="dxa"/>
            <w:right w:w="15" w:type="dxa"/>
          </w:tblCellMar>
        </w:tblPrEx>
        <w:trPr>
          <w:trHeight w:val="1091" w:hRule="atLeast"/>
          <w:jc w:val="center"/>
        </w:trPr>
        <w:tc>
          <w:tcPr>
            <w:tcW w:w="444" w:type="dxa"/>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r>
              <w:rPr>
                <w:rFonts w:hint="eastAsia"/>
                <w:color w:val="auto"/>
                <w:sz w:val="21"/>
                <w:szCs w:val="21"/>
                <w:highlight w:val="none"/>
              </w:rPr>
              <w:t>1</w:t>
            </w:r>
          </w:p>
        </w:tc>
        <w:tc>
          <w:tcPr>
            <w:tcW w:w="1772" w:type="dxa"/>
            <w:tcBorders>
              <w:top w:val="single" w:color="auto" w:sz="4" w:space="0"/>
              <w:left w:val="single" w:color="000000" w:sz="4" w:space="0"/>
              <w:bottom w:val="single" w:color="auto" w:sz="4" w:space="0"/>
              <w:right w:val="single" w:color="auto"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r>
              <w:rPr>
                <w:rFonts w:hint="eastAsia"/>
                <w:color w:val="auto"/>
                <w:spacing w:val="-6"/>
                <w:sz w:val="21"/>
                <w:szCs w:val="21"/>
                <w:highlight w:val="none"/>
              </w:rPr>
              <w:t>业绩</w:t>
            </w:r>
          </w:p>
        </w:tc>
        <w:tc>
          <w:tcPr>
            <w:tcW w:w="672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overflowPunct/>
              <w:topLinePunct w:val="0"/>
              <w:bidi w:val="0"/>
              <w:adjustRightInd/>
              <w:snapToGrid/>
              <w:spacing w:line="360" w:lineRule="exact"/>
              <w:ind w:firstLine="210" w:firstLineChars="100"/>
              <w:textAlignment w:val="center"/>
              <w:rPr>
                <w:rFonts w:hint="eastAsia"/>
                <w:color w:val="auto"/>
                <w:sz w:val="21"/>
                <w:szCs w:val="21"/>
                <w:highlight w:val="none"/>
              </w:rPr>
            </w:pPr>
            <w:r>
              <w:rPr>
                <w:rFonts w:hint="eastAsia"/>
                <w:color w:val="auto"/>
                <w:sz w:val="21"/>
                <w:szCs w:val="21"/>
                <w:highlight w:val="none"/>
              </w:rPr>
              <w:t>201</w:t>
            </w:r>
            <w:r>
              <w:rPr>
                <w:rFonts w:hint="eastAsia"/>
                <w:color w:val="auto"/>
                <w:sz w:val="21"/>
                <w:szCs w:val="21"/>
                <w:highlight w:val="none"/>
                <w:lang w:val="en-US"/>
              </w:rPr>
              <w:t>7</w:t>
            </w:r>
            <w:r>
              <w:rPr>
                <w:rFonts w:hint="eastAsia"/>
                <w:color w:val="auto"/>
                <w:sz w:val="21"/>
                <w:szCs w:val="21"/>
                <w:highlight w:val="none"/>
              </w:rPr>
              <w:t>年1月1日（以签订合同时间为准）以来，投标人承担过类似交通类规划业绩的，每个得</w:t>
            </w:r>
            <w:r>
              <w:rPr>
                <w:rFonts w:hint="eastAsia"/>
                <w:color w:val="auto"/>
                <w:sz w:val="21"/>
                <w:szCs w:val="21"/>
                <w:highlight w:val="none"/>
                <w:lang w:val="en-US" w:eastAsia="zh-CN"/>
              </w:rPr>
              <w:t>0.5</w:t>
            </w:r>
            <w:r>
              <w:rPr>
                <w:color w:val="auto"/>
                <w:sz w:val="21"/>
                <w:szCs w:val="21"/>
                <w:highlight w:val="none"/>
              </w:rPr>
              <w:t>分，本项最高得</w:t>
            </w:r>
            <w:r>
              <w:rPr>
                <w:rFonts w:hint="eastAsia"/>
                <w:color w:val="auto"/>
                <w:sz w:val="21"/>
                <w:szCs w:val="21"/>
                <w:highlight w:val="none"/>
                <w:lang w:val="en-US" w:eastAsia="zh-CN"/>
              </w:rPr>
              <w:t>1</w:t>
            </w:r>
            <w:r>
              <w:rPr>
                <w:color w:val="auto"/>
                <w:sz w:val="21"/>
                <w:szCs w:val="21"/>
                <w:highlight w:val="none"/>
              </w:rPr>
              <w:t>分</w:t>
            </w:r>
            <w:r>
              <w:rPr>
                <w:rFonts w:hint="eastAsia"/>
                <w:color w:val="auto"/>
                <w:sz w:val="21"/>
                <w:szCs w:val="21"/>
                <w:highlight w:val="none"/>
              </w:rPr>
              <w:t>；</w:t>
            </w:r>
          </w:p>
          <w:p>
            <w:pPr>
              <w:keepNext w:val="0"/>
              <w:keepLines w:val="0"/>
              <w:pageBreakBefore w:val="0"/>
              <w:widowControl/>
              <w:kinsoku/>
              <w:overflowPunct/>
              <w:topLinePunct w:val="0"/>
              <w:bidi w:val="0"/>
              <w:adjustRightInd/>
              <w:snapToGrid/>
              <w:spacing w:line="360" w:lineRule="exact"/>
              <w:ind w:firstLine="210" w:firstLineChars="100"/>
              <w:textAlignment w:val="center"/>
              <w:rPr>
                <w:color w:val="auto"/>
                <w:sz w:val="21"/>
                <w:szCs w:val="21"/>
                <w:highlight w:val="none"/>
              </w:rPr>
            </w:pPr>
            <w:r>
              <w:rPr>
                <w:rFonts w:hint="eastAsia" w:eastAsia="宋体"/>
                <w:color w:val="auto"/>
                <w:sz w:val="21"/>
                <w:szCs w:val="21"/>
                <w:highlight w:val="none"/>
                <w:lang w:val="en-US" w:eastAsia="zh-CN"/>
              </w:rPr>
              <w:t>注：</w:t>
            </w:r>
            <w:r>
              <w:rPr>
                <w:rFonts w:hint="eastAsia" w:ascii="宋体" w:hAnsi="宋体" w:eastAsia="宋体" w:cs="宋体"/>
                <w:color w:val="auto"/>
                <w:kern w:val="2"/>
                <w:sz w:val="21"/>
                <w:szCs w:val="21"/>
                <w:highlight w:val="none"/>
                <w:lang w:val="en-US" w:eastAsia="zh-CN" w:bidi="ar-SA"/>
              </w:rPr>
              <w:t>1.同一项目不同年度合同不重复得分。2.投标文件中提供完整的加盖电子公章的合同扫描件。3.以中标通知书或合同或业主证明为准，日期以合同签署日期为准</w:t>
            </w:r>
            <w:r>
              <w:rPr>
                <w:rFonts w:hint="eastAsia" w:ascii="宋体" w:hAnsi="宋体" w:eastAsia="宋体" w:cs="宋体"/>
                <w:color w:val="auto"/>
                <w:kern w:val="2"/>
                <w:sz w:val="21"/>
                <w:szCs w:val="21"/>
                <w:highlight w:val="none"/>
                <w:lang w:val="zh-Hans" w:eastAsia="zh-CN" w:bidi="ar-SA"/>
              </w:rPr>
              <w:t xml:space="preserve"> 。未</w:t>
            </w:r>
            <w:r>
              <w:rPr>
                <w:rFonts w:hint="eastAsia" w:cs="宋体"/>
                <w:color w:val="auto"/>
                <w:kern w:val="2"/>
                <w:sz w:val="21"/>
                <w:szCs w:val="21"/>
                <w:highlight w:val="none"/>
                <w:lang w:val="en-US" w:eastAsia="zh-CN" w:bidi="ar-SA"/>
              </w:rPr>
              <w:t>加盖公章或未</w:t>
            </w:r>
            <w:r>
              <w:rPr>
                <w:rFonts w:hint="eastAsia" w:ascii="宋体" w:hAnsi="宋体" w:eastAsia="宋体" w:cs="宋体"/>
                <w:color w:val="auto"/>
                <w:kern w:val="2"/>
                <w:sz w:val="21"/>
                <w:szCs w:val="21"/>
                <w:highlight w:val="none"/>
                <w:lang w:val="zh-Hans" w:eastAsia="zh-CN" w:bidi="ar-SA"/>
              </w:rPr>
              <w:t>提供</w:t>
            </w:r>
            <w:r>
              <w:rPr>
                <w:rFonts w:hint="eastAsia" w:cs="宋体"/>
                <w:color w:val="auto"/>
                <w:kern w:val="2"/>
                <w:sz w:val="21"/>
                <w:szCs w:val="21"/>
                <w:highlight w:val="none"/>
                <w:lang w:val="en-US" w:eastAsia="zh-CN" w:bidi="ar-SA"/>
              </w:rPr>
              <w:t>证明材料</w:t>
            </w:r>
            <w:r>
              <w:rPr>
                <w:rFonts w:hint="eastAsia" w:ascii="宋体" w:hAnsi="宋体" w:eastAsia="宋体" w:cs="宋体"/>
                <w:color w:val="auto"/>
                <w:kern w:val="2"/>
                <w:sz w:val="21"/>
                <w:szCs w:val="21"/>
                <w:highlight w:val="none"/>
                <w:lang w:val="zh-Hans" w:eastAsia="zh-CN" w:bidi="ar-SA"/>
              </w:rPr>
              <w:t>的</w:t>
            </w:r>
            <w:r>
              <w:rPr>
                <w:rFonts w:hint="eastAsia" w:cs="宋体"/>
                <w:color w:val="auto"/>
                <w:kern w:val="2"/>
                <w:sz w:val="21"/>
                <w:szCs w:val="21"/>
                <w:highlight w:val="none"/>
                <w:lang w:val="en-US" w:eastAsia="zh-CN" w:bidi="ar-SA"/>
              </w:rPr>
              <w:t>均</w:t>
            </w:r>
            <w:r>
              <w:rPr>
                <w:rFonts w:hint="eastAsia" w:ascii="宋体" w:hAnsi="宋体" w:eastAsia="宋体" w:cs="宋体"/>
                <w:color w:val="auto"/>
                <w:kern w:val="2"/>
                <w:sz w:val="21"/>
                <w:szCs w:val="21"/>
                <w:highlight w:val="none"/>
                <w:lang w:val="zh-Hans" w:eastAsia="zh-CN" w:bidi="ar-SA"/>
              </w:rPr>
              <w:t>不得分。</w:t>
            </w:r>
          </w:p>
        </w:tc>
        <w:tc>
          <w:tcPr>
            <w:tcW w:w="785" w:type="dxa"/>
            <w:tcBorders>
              <w:top w:val="single" w:color="auto" w:sz="4" w:space="0"/>
              <w:left w:val="single" w:color="auto" w:sz="4" w:space="0"/>
              <w:bottom w:val="single" w:color="000000" w:sz="4" w:space="0"/>
              <w:right w:val="single" w:color="auto"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r>
              <w:rPr>
                <w:rFonts w:hint="eastAsia"/>
                <w:color w:val="auto"/>
                <w:sz w:val="21"/>
                <w:szCs w:val="21"/>
                <w:highlight w:val="none"/>
              </w:rPr>
              <w:t>0-</w:t>
            </w:r>
            <w:r>
              <w:rPr>
                <w:rFonts w:hint="eastAsia"/>
                <w:color w:val="auto"/>
                <w:sz w:val="21"/>
                <w:szCs w:val="21"/>
                <w:highlight w:val="none"/>
                <w:lang w:val="en-US" w:eastAsia="zh-CN"/>
              </w:rPr>
              <w:t>1</w:t>
            </w:r>
            <w:r>
              <w:rPr>
                <w:rFonts w:hint="eastAsia"/>
                <w:color w:val="auto"/>
                <w:sz w:val="21"/>
                <w:szCs w:val="21"/>
                <w:highlight w:val="none"/>
              </w:rPr>
              <w:t>分</w:t>
            </w:r>
          </w:p>
        </w:tc>
      </w:tr>
      <w:tr>
        <w:tblPrEx>
          <w:tblCellMar>
            <w:top w:w="15" w:type="dxa"/>
            <w:left w:w="15" w:type="dxa"/>
            <w:bottom w:w="15" w:type="dxa"/>
            <w:right w:w="15" w:type="dxa"/>
          </w:tblCellMar>
        </w:tblPrEx>
        <w:trPr>
          <w:trHeight w:val="908" w:hRule="atLeast"/>
          <w:jc w:val="center"/>
        </w:trPr>
        <w:tc>
          <w:tcPr>
            <w:tcW w:w="444"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r>
              <w:rPr>
                <w:rFonts w:hint="eastAsia"/>
                <w:color w:val="auto"/>
                <w:sz w:val="21"/>
                <w:szCs w:val="21"/>
                <w:highlight w:val="none"/>
              </w:rPr>
              <w:t>2</w:t>
            </w:r>
          </w:p>
        </w:tc>
        <w:tc>
          <w:tcPr>
            <w:tcW w:w="1772"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r>
              <w:rPr>
                <w:rFonts w:hint="eastAsia"/>
                <w:color w:val="auto"/>
                <w:sz w:val="21"/>
                <w:szCs w:val="21"/>
                <w:highlight w:val="none"/>
              </w:rPr>
              <w:t>企业情况</w:t>
            </w:r>
          </w:p>
        </w:tc>
        <w:tc>
          <w:tcPr>
            <w:tcW w:w="6721" w:type="dxa"/>
            <w:tcBorders>
              <w:top w:val="single" w:color="auto" w:sz="4" w:space="0"/>
              <w:left w:val="single" w:color="auto" w:sz="4" w:space="0"/>
              <w:bottom w:val="single" w:color="auto" w:sz="4" w:space="0"/>
              <w:right w:val="single" w:color="auto" w:sz="4" w:space="0"/>
            </w:tcBorders>
            <w:noWrap/>
            <w:vAlign w:val="center"/>
          </w:tcPr>
          <w:p>
            <w:pPr>
              <w:pStyle w:val="25"/>
              <w:keepNext w:val="0"/>
              <w:keepLines w:val="0"/>
              <w:pageBreakBefore w:val="0"/>
              <w:kinsoku/>
              <w:overflowPunct/>
              <w:topLinePunct w:val="0"/>
              <w:bidi w:val="0"/>
              <w:adjustRightInd/>
              <w:snapToGrid/>
              <w:spacing w:after="0" w:line="360" w:lineRule="exact"/>
              <w:ind w:left="0" w:leftChars="0"/>
              <w:rPr>
                <w:rFonts w:hAnsi="宋体"/>
                <w:color w:val="auto"/>
                <w:highlight w:val="none"/>
              </w:rPr>
            </w:pPr>
            <w:r>
              <w:rPr>
                <w:rFonts w:hAnsi="宋体"/>
                <w:color w:val="auto"/>
                <w:highlight w:val="none"/>
              </w:rPr>
              <w:t>具有</w:t>
            </w:r>
            <w:r>
              <w:rPr>
                <w:rFonts w:hint="eastAsia" w:hAnsi="宋体"/>
                <w:color w:val="auto"/>
                <w:highlight w:val="none"/>
              </w:rPr>
              <w:t>公路行业（公路）专业设计甲级或公路行业设计甲级及以上资质</w:t>
            </w:r>
            <w:r>
              <w:rPr>
                <w:rFonts w:hAnsi="宋体"/>
                <w:color w:val="auto"/>
                <w:highlight w:val="none"/>
              </w:rPr>
              <w:t>资质的得</w:t>
            </w:r>
            <w:r>
              <w:rPr>
                <w:rFonts w:hint="eastAsia" w:hAnsi="宋体"/>
                <w:color w:val="auto"/>
                <w:highlight w:val="none"/>
                <w:lang w:val="en-US" w:eastAsia="zh-CN"/>
              </w:rPr>
              <w:t>3</w:t>
            </w:r>
            <w:r>
              <w:rPr>
                <w:rFonts w:hAnsi="宋体"/>
                <w:color w:val="auto"/>
                <w:highlight w:val="none"/>
              </w:rPr>
              <w:t>分；乙级资质得</w:t>
            </w:r>
            <w:r>
              <w:rPr>
                <w:rFonts w:hint="eastAsia" w:hAnsi="宋体"/>
                <w:color w:val="auto"/>
                <w:highlight w:val="none"/>
                <w:lang w:val="en-US" w:eastAsia="zh-CN"/>
              </w:rPr>
              <w:t>2</w:t>
            </w:r>
            <w:r>
              <w:rPr>
                <w:rFonts w:hAnsi="宋体"/>
                <w:color w:val="auto"/>
                <w:highlight w:val="none"/>
              </w:rPr>
              <w:t>分。</w:t>
            </w:r>
          </w:p>
          <w:p>
            <w:pPr>
              <w:pStyle w:val="25"/>
              <w:keepNext w:val="0"/>
              <w:keepLines w:val="0"/>
              <w:pageBreakBefore w:val="0"/>
              <w:widowControl w:val="0"/>
              <w:kinsoku/>
              <w:wordWrap/>
              <w:overflowPunct/>
              <w:topLinePunct w:val="0"/>
              <w:autoSpaceDE w:val="0"/>
              <w:autoSpaceDN w:val="0"/>
              <w:bidi w:val="0"/>
              <w:adjustRightInd/>
              <w:snapToGrid/>
              <w:spacing w:after="0" w:line="360" w:lineRule="exact"/>
              <w:ind w:left="0" w:leftChars="0" w:firstLine="0" w:firstLineChars="0"/>
              <w:textAlignment w:val="auto"/>
              <w:rPr>
                <w:color w:val="auto"/>
                <w:highlight w:val="none"/>
              </w:rPr>
            </w:pPr>
            <w:r>
              <w:rPr>
                <w:rFonts w:hAnsi="宋体"/>
                <w:color w:val="auto"/>
                <w:highlight w:val="none"/>
              </w:rPr>
              <w:t>（两项分数不累加，需提供证书</w:t>
            </w:r>
            <w:r>
              <w:rPr>
                <w:rFonts w:hint="eastAsia" w:hAnsi="宋体"/>
                <w:color w:val="auto"/>
                <w:highlight w:val="none"/>
                <w:lang w:val="en-US" w:eastAsia="zh-CN"/>
              </w:rPr>
              <w:t>扫</w:t>
            </w:r>
            <w:r>
              <w:rPr>
                <w:rFonts w:hAnsi="宋体"/>
                <w:color w:val="auto"/>
                <w:highlight w:val="none"/>
              </w:rPr>
              <w:t>描件并加盖公章，不提供不得分）</w:t>
            </w:r>
          </w:p>
        </w:tc>
        <w:tc>
          <w:tcPr>
            <w:tcW w:w="785" w:type="dxa"/>
            <w:tcBorders>
              <w:top w:val="single" w:color="000000" w:sz="4" w:space="0"/>
              <w:left w:val="single" w:color="auto" w:sz="4" w:space="0"/>
              <w:bottom w:val="single" w:color="000000" w:sz="4" w:space="0"/>
              <w:right w:val="single" w:color="auto"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r>
              <w:rPr>
                <w:rFonts w:hint="eastAsia"/>
                <w:color w:val="auto"/>
                <w:sz w:val="21"/>
                <w:szCs w:val="21"/>
                <w:highlight w:val="none"/>
              </w:rPr>
              <w:t>0-</w:t>
            </w:r>
            <w:r>
              <w:rPr>
                <w:rFonts w:hint="eastAsia"/>
                <w:color w:val="auto"/>
                <w:sz w:val="21"/>
                <w:szCs w:val="21"/>
                <w:highlight w:val="none"/>
                <w:lang w:val="en-US" w:eastAsia="zh-CN"/>
              </w:rPr>
              <w:t>3</w:t>
            </w:r>
            <w:r>
              <w:rPr>
                <w:rFonts w:hint="eastAsia"/>
                <w:color w:val="auto"/>
                <w:sz w:val="21"/>
                <w:szCs w:val="21"/>
                <w:highlight w:val="none"/>
              </w:rPr>
              <w:t>分</w:t>
            </w:r>
          </w:p>
        </w:tc>
      </w:tr>
      <w:tr>
        <w:tblPrEx>
          <w:tblCellMar>
            <w:top w:w="15" w:type="dxa"/>
            <w:left w:w="15" w:type="dxa"/>
            <w:bottom w:w="15" w:type="dxa"/>
            <w:right w:w="15" w:type="dxa"/>
          </w:tblCellMar>
        </w:tblPrEx>
        <w:trPr>
          <w:trHeight w:val="90" w:hRule="atLeast"/>
          <w:jc w:val="center"/>
        </w:trPr>
        <w:tc>
          <w:tcPr>
            <w:tcW w:w="444"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p>
        </w:tc>
        <w:tc>
          <w:tcPr>
            <w:tcW w:w="1772"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p>
        </w:tc>
        <w:tc>
          <w:tcPr>
            <w:tcW w:w="6721" w:type="dxa"/>
            <w:tcBorders>
              <w:top w:val="single" w:color="auto" w:sz="4" w:space="0"/>
              <w:left w:val="single" w:color="auto" w:sz="4" w:space="0"/>
              <w:bottom w:val="single" w:color="auto" w:sz="4" w:space="0"/>
              <w:right w:val="single" w:color="auto" w:sz="4" w:space="0"/>
            </w:tcBorders>
            <w:noWrap/>
            <w:vAlign w:val="center"/>
          </w:tcPr>
          <w:p>
            <w:pPr>
              <w:pStyle w:val="25"/>
              <w:keepNext w:val="0"/>
              <w:keepLines w:val="0"/>
              <w:pageBreakBefore w:val="0"/>
              <w:widowControl w:val="0"/>
              <w:kinsoku/>
              <w:wordWrap/>
              <w:overflowPunct/>
              <w:topLinePunct w:val="0"/>
              <w:autoSpaceDE w:val="0"/>
              <w:autoSpaceDN w:val="0"/>
              <w:bidi w:val="0"/>
              <w:adjustRightInd/>
              <w:snapToGrid/>
              <w:spacing w:after="0" w:line="360" w:lineRule="exact"/>
              <w:ind w:left="0" w:leftChars="0"/>
              <w:textAlignment w:val="auto"/>
              <w:rPr>
                <w:rFonts w:hAnsi="宋体"/>
                <w:color w:val="auto"/>
                <w:highlight w:val="none"/>
              </w:rPr>
            </w:pPr>
            <w:r>
              <w:rPr>
                <w:rFonts w:hAnsi="宋体"/>
                <w:color w:val="auto"/>
                <w:highlight w:val="none"/>
              </w:rPr>
              <w:t>投标人具有有效</w:t>
            </w:r>
            <w:r>
              <w:rPr>
                <w:rFonts w:hint="eastAsia" w:hAnsi="宋体"/>
                <w:color w:val="auto"/>
                <w:highlight w:val="none"/>
                <w:lang w:val="en-US" w:eastAsia="zh-CN"/>
              </w:rPr>
              <w:t>期内</w:t>
            </w:r>
            <w:r>
              <w:rPr>
                <w:rFonts w:hAnsi="宋体"/>
                <w:color w:val="auto"/>
                <w:highlight w:val="none"/>
              </w:rPr>
              <w:t>的质量管理体系证书、环境管理体系认证证书、职业健康安全管理体系认证证书的，每提供一个得1分，最高得3分。（需提供证书</w:t>
            </w:r>
            <w:r>
              <w:rPr>
                <w:rFonts w:hint="eastAsia" w:hAnsi="宋体"/>
                <w:color w:val="auto"/>
                <w:highlight w:val="none"/>
                <w:lang w:val="en-US" w:eastAsia="zh-CN"/>
              </w:rPr>
              <w:t>扫</w:t>
            </w:r>
            <w:r>
              <w:rPr>
                <w:rFonts w:hAnsi="宋体"/>
                <w:color w:val="auto"/>
                <w:highlight w:val="none"/>
              </w:rPr>
              <w:t>描件并加盖公章，不提供不得分）</w:t>
            </w:r>
          </w:p>
        </w:tc>
        <w:tc>
          <w:tcPr>
            <w:tcW w:w="785" w:type="dxa"/>
            <w:tcBorders>
              <w:top w:val="single" w:color="000000" w:sz="4" w:space="0"/>
              <w:left w:val="single" w:color="auto" w:sz="4" w:space="0"/>
              <w:bottom w:val="single" w:color="000000" w:sz="4" w:space="0"/>
              <w:right w:val="single" w:color="auto" w:sz="4" w:space="0"/>
            </w:tcBorders>
            <w:noWrap/>
            <w:vAlign w:val="center"/>
          </w:tcPr>
          <w:p>
            <w:pPr>
              <w:pStyle w:val="25"/>
              <w:keepNext w:val="0"/>
              <w:keepLines w:val="0"/>
              <w:pageBreakBefore w:val="0"/>
              <w:kinsoku/>
              <w:overflowPunct/>
              <w:topLinePunct w:val="0"/>
              <w:bidi w:val="0"/>
              <w:adjustRightInd/>
              <w:snapToGrid/>
              <w:spacing w:after="0" w:line="360" w:lineRule="exact"/>
              <w:ind w:left="0" w:leftChars="0" w:firstLine="0" w:firstLineChars="0"/>
              <w:jc w:val="center"/>
              <w:rPr>
                <w:rFonts w:hAnsi="宋体"/>
                <w:color w:val="auto"/>
                <w:highlight w:val="none"/>
              </w:rPr>
            </w:pPr>
            <w:r>
              <w:rPr>
                <w:rFonts w:hint="eastAsia" w:ascii="宋体" w:hAnsi="宋体" w:eastAsia="宋体" w:cs="宋体"/>
                <w:color w:val="auto"/>
                <w:spacing w:val="0"/>
                <w:sz w:val="21"/>
                <w:szCs w:val="21"/>
                <w:highlight w:val="none"/>
                <w:lang w:val="en-US" w:eastAsia="zh-CN" w:bidi="zh-CN"/>
              </w:rPr>
              <w:t>0</w:t>
            </w:r>
            <w:r>
              <w:rPr>
                <w:rFonts w:hint="eastAsia" w:ascii="宋体" w:hAnsi="宋体" w:eastAsia="宋体" w:cs="宋体"/>
                <w:color w:val="auto"/>
                <w:spacing w:val="0"/>
                <w:sz w:val="21"/>
                <w:szCs w:val="21"/>
                <w:highlight w:val="none"/>
                <w:lang w:val="zh-CN" w:eastAsia="zh-CN" w:bidi="zh-CN"/>
              </w:rPr>
              <w:t>-3分</w:t>
            </w:r>
          </w:p>
        </w:tc>
      </w:tr>
      <w:tr>
        <w:tblPrEx>
          <w:tblCellMar>
            <w:top w:w="15" w:type="dxa"/>
            <w:left w:w="15" w:type="dxa"/>
            <w:bottom w:w="15" w:type="dxa"/>
            <w:right w:w="15" w:type="dxa"/>
          </w:tblCellMar>
        </w:tblPrEx>
        <w:trPr>
          <w:trHeight w:val="2612" w:hRule="exact"/>
          <w:jc w:val="center"/>
        </w:trPr>
        <w:tc>
          <w:tcPr>
            <w:tcW w:w="444" w:type="dxa"/>
            <w:vMerge w:val="restart"/>
            <w:tcBorders>
              <w:top w:val="single" w:color="auto" w:sz="4" w:space="0"/>
              <w:left w:val="single" w:color="auto" w:sz="4" w:space="0"/>
              <w:right w:val="single" w:color="000000"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r>
              <w:rPr>
                <w:rFonts w:hint="eastAsia"/>
                <w:color w:val="auto"/>
                <w:sz w:val="21"/>
                <w:szCs w:val="21"/>
                <w:highlight w:val="none"/>
              </w:rPr>
              <w:t>3</w:t>
            </w:r>
          </w:p>
        </w:tc>
        <w:tc>
          <w:tcPr>
            <w:tcW w:w="1772" w:type="dxa"/>
            <w:vMerge w:val="restart"/>
            <w:tcBorders>
              <w:top w:val="single" w:color="auto" w:sz="4" w:space="0"/>
              <w:left w:val="single" w:color="000000" w:sz="4" w:space="0"/>
              <w:right w:val="single" w:color="auto"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r>
              <w:rPr>
                <w:rFonts w:hint="eastAsia"/>
                <w:color w:val="auto"/>
                <w:sz w:val="21"/>
                <w:szCs w:val="21"/>
                <w:highlight w:val="none"/>
              </w:rPr>
              <w:t>人员情况</w:t>
            </w:r>
          </w:p>
        </w:tc>
        <w:tc>
          <w:tcPr>
            <w:tcW w:w="6721" w:type="dxa"/>
            <w:tcBorders>
              <w:top w:val="single" w:color="auto" w:sz="4" w:space="0"/>
              <w:left w:val="single" w:color="000000" w:sz="4" w:space="0"/>
              <w:bottom w:val="single" w:color="auto" w:sz="4" w:space="0"/>
              <w:right w:val="single" w:color="000000" w:sz="4" w:space="0"/>
            </w:tcBorders>
            <w:noWrap/>
            <w:vAlign w:val="center"/>
          </w:tcPr>
          <w:p>
            <w:pPr>
              <w:pStyle w:val="41"/>
              <w:keepNext w:val="0"/>
              <w:keepLines w:val="0"/>
              <w:pageBreakBefore w:val="0"/>
              <w:kinsoku/>
              <w:overflowPunct/>
              <w:topLinePunct w:val="0"/>
              <w:bidi w:val="0"/>
              <w:adjustRightInd/>
              <w:snapToGrid/>
              <w:spacing w:before="0" w:line="360" w:lineRule="exact"/>
              <w:ind w:firstLine="0" w:firstLineChars="0"/>
              <w:rPr>
                <w:rFonts w:hAnsi="宋体" w:cs="宋体"/>
                <w:color w:val="auto"/>
                <w:sz w:val="21"/>
                <w:szCs w:val="21"/>
                <w:highlight w:val="none"/>
              </w:rPr>
            </w:pPr>
            <w:r>
              <w:rPr>
                <w:rFonts w:hint="eastAsia" w:hAnsi="宋体" w:cs="宋体"/>
                <w:color w:val="auto"/>
                <w:sz w:val="21"/>
                <w:szCs w:val="21"/>
                <w:highlight w:val="none"/>
              </w:rPr>
              <w:t>拟派本项目的项目负责人具备交通规划类或交通工程类等相关专业技术职称,</w:t>
            </w:r>
            <w:r>
              <w:rPr>
                <w:rFonts w:hint="eastAsia" w:hAnsi="宋体" w:cs="宋体"/>
                <w:color w:val="auto"/>
                <w:sz w:val="21"/>
                <w:szCs w:val="21"/>
                <w:highlight w:val="none"/>
                <w:lang w:val="en-US" w:eastAsia="zh-CN"/>
              </w:rPr>
              <w:t>正高级（或教授级或研究员级）高级工程师得3分，</w:t>
            </w:r>
            <w:r>
              <w:rPr>
                <w:rFonts w:hint="eastAsia" w:hAnsi="宋体" w:cs="宋体"/>
                <w:color w:val="auto"/>
                <w:sz w:val="21"/>
                <w:szCs w:val="21"/>
                <w:highlight w:val="none"/>
              </w:rPr>
              <w:t>高级工程师职称得</w:t>
            </w:r>
            <w:r>
              <w:rPr>
                <w:rFonts w:hint="eastAsia" w:hAnsi="宋体" w:cs="宋体"/>
                <w:color w:val="auto"/>
                <w:sz w:val="21"/>
                <w:szCs w:val="21"/>
                <w:highlight w:val="none"/>
                <w:lang w:val="en-US" w:eastAsia="zh-CN"/>
              </w:rPr>
              <w:t>2</w:t>
            </w:r>
            <w:r>
              <w:rPr>
                <w:rFonts w:hint="eastAsia" w:hAnsi="宋体" w:cs="宋体"/>
                <w:color w:val="auto"/>
                <w:sz w:val="21"/>
                <w:szCs w:val="21"/>
                <w:highlight w:val="none"/>
              </w:rPr>
              <w:t>分，其他不得分。</w:t>
            </w:r>
          </w:p>
          <w:p>
            <w:pPr>
              <w:pStyle w:val="41"/>
              <w:keepNext w:val="0"/>
              <w:keepLines w:val="0"/>
              <w:pageBreakBefore w:val="0"/>
              <w:kinsoku/>
              <w:overflowPunct/>
              <w:topLinePunct w:val="0"/>
              <w:bidi w:val="0"/>
              <w:adjustRightInd/>
              <w:snapToGrid/>
              <w:spacing w:before="0" w:line="360" w:lineRule="exact"/>
              <w:ind w:firstLine="0" w:firstLineChars="0"/>
              <w:rPr>
                <w:rFonts w:hAnsi="宋体" w:cs="宋体"/>
                <w:color w:val="auto"/>
                <w:sz w:val="21"/>
                <w:szCs w:val="21"/>
                <w:highlight w:val="none"/>
              </w:rPr>
            </w:pPr>
            <w:r>
              <w:rPr>
                <w:rFonts w:hint="eastAsia" w:hAnsi="宋体" w:cs="宋体"/>
                <w:b/>
                <w:bCs/>
                <w:color w:val="auto"/>
                <w:sz w:val="21"/>
                <w:szCs w:val="21"/>
                <w:highlight w:val="none"/>
              </w:rPr>
              <w:t>注：</w:t>
            </w:r>
            <w:r>
              <w:rPr>
                <w:rFonts w:hint="eastAsia" w:ascii="宋体" w:hAnsi="宋体" w:cs="仿宋_GB2312"/>
                <w:color w:val="auto"/>
                <w:sz w:val="21"/>
                <w:szCs w:val="18"/>
                <w:highlight w:val="none"/>
              </w:rPr>
              <w:t>须提供注册证书或资格（职称）证书扫描件及</w:t>
            </w:r>
            <w:r>
              <w:rPr>
                <w:rFonts w:ascii="宋体" w:hAnsi="宋体"/>
                <w:color w:val="auto"/>
                <w:kern w:val="0"/>
                <w:sz w:val="21"/>
                <w:szCs w:val="18"/>
                <w:highlight w:val="none"/>
              </w:rPr>
              <w:t>须提供当地社保机构出具的在本投标企业（或分公司）到投标截止日前</w:t>
            </w:r>
            <w:r>
              <w:rPr>
                <w:rFonts w:hint="eastAsia" w:hAnsi="宋体"/>
                <w:color w:val="auto"/>
                <w:kern w:val="0"/>
                <w:sz w:val="21"/>
                <w:szCs w:val="18"/>
                <w:highlight w:val="none"/>
                <w:lang w:val="en-US" w:eastAsia="zh-CN"/>
              </w:rPr>
              <w:t>6</w:t>
            </w:r>
            <w:r>
              <w:rPr>
                <w:rFonts w:ascii="宋体" w:hAnsi="宋体"/>
                <w:color w:val="auto"/>
                <w:kern w:val="0"/>
                <w:sz w:val="21"/>
                <w:szCs w:val="18"/>
                <w:highlight w:val="none"/>
              </w:rPr>
              <w:t>个月内</w:t>
            </w:r>
            <w:r>
              <w:rPr>
                <w:rFonts w:hint="eastAsia" w:hAnsi="宋体"/>
                <w:color w:val="auto"/>
                <w:kern w:val="0"/>
                <w:sz w:val="21"/>
                <w:szCs w:val="18"/>
                <w:highlight w:val="none"/>
                <w:lang w:val="en-US" w:eastAsia="zh-CN"/>
              </w:rPr>
              <w:t>近3</w:t>
            </w:r>
            <w:r>
              <w:rPr>
                <w:rFonts w:ascii="宋体" w:hAnsi="宋体"/>
                <w:color w:val="auto"/>
                <w:kern w:val="0"/>
                <w:sz w:val="21"/>
                <w:szCs w:val="18"/>
                <w:highlight w:val="none"/>
              </w:rPr>
              <w:t>个月的</w:t>
            </w:r>
            <w:r>
              <w:rPr>
                <w:rFonts w:hint="eastAsia" w:ascii="宋体" w:hAnsi="宋体"/>
                <w:color w:val="auto"/>
                <w:kern w:val="0"/>
                <w:sz w:val="21"/>
                <w:szCs w:val="18"/>
                <w:highlight w:val="none"/>
              </w:rPr>
              <w:t>个人</w:t>
            </w:r>
            <w:r>
              <w:rPr>
                <w:rFonts w:ascii="宋体" w:hAnsi="宋体"/>
                <w:color w:val="auto"/>
                <w:kern w:val="0"/>
                <w:sz w:val="21"/>
                <w:szCs w:val="18"/>
                <w:highlight w:val="none"/>
              </w:rPr>
              <w:t>社保</w:t>
            </w:r>
            <w:r>
              <w:rPr>
                <w:rFonts w:hint="eastAsia" w:ascii="宋体" w:hAnsi="宋体"/>
                <w:color w:val="auto"/>
                <w:kern w:val="0"/>
                <w:sz w:val="21"/>
                <w:szCs w:val="18"/>
                <w:highlight w:val="none"/>
              </w:rPr>
              <w:t>缴</w:t>
            </w:r>
            <w:r>
              <w:rPr>
                <w:rFonts w:ascii="宋体" w:hAnsi="宋体"/>
                <w:color w:val="auto"/>
                <w:kern w:val="0"/>
                <w:sz w:val="21"/>
                <w:szCs w:val="18"/>
                <w:highlight w:val="none"/>
              </w:rPr>
              <w:t>纳</w:t>
            </w:r>
            <w:r>
              <w:rPr>
                <w:rFonts w:hint="eastAsia" w:ascii="宋体" w:hAnsi="宋体"/>
                <w:color w:val="auto"/>
                <w:kern w:val="0"/>
                <w:sz w:val="21"/>
                <w:szCs w:val="18"/>
                <w:highlight w:val="none"/>
              </w:rPr>
              <w:t>证明</w:t>
            </w:r>
            <w:r>
              <w:rPr>
                <w:rFonts w:ascii="宋体" w:hAnsi="宋体"/>
                <w:color w:val="auto"/>
                <w:kern w:val="0"/>
                <w:sz w:val="21"/>
                <w:szCs w:val="18"/>
                <w:highlight w:val="none"/>
              </w:rPr>
              <w:t>材料</w:t>
            </w:r>
            <w:r>
              <w:rPr>
                <w:rFonts w:hint="eastAsia" w:hAnsi="宋体"/>
                <w:color w:val="auto"/>
                <w:kern w:val="0"/>
                <w:sz w:val="21"/>
                <w:szCs w:val="18"/>
                <w:highlight w:val="none"/>
                <w:lang w:eastAsia="zh-CN"/>
              </w:rPr>
              <w:t>，</w:t>
            </w:r>
            <w:r>
              <w:rPr>
                <w:rFonts w:hint="eastAsia" w:ascii="宋体" w:hAnsi="宋体" w:cs="仿宋_GB2312"/>
                <w:color w:val="auto"/>
                <w:sz w:val="21"/>
                <w:szCs w:val="18"/>
                <w:highlight w:val="none"/>
              </w:rPr>
              <w:t>加盖公章</w:t>
            </w:r>
            <w:r>
              <w:rPr>
                <w:rFonts w:hint="eastAsia" w:hAnsi="宋体" w:cs="仿宋_GB2312"/>
                <w:color w:val="auto"/>
                <w:sz w:val="21"/>
                <w:szCs w:val="18"/>
                <w:highlight w:val="none"/>
                <w:lang w:eastAsia="zh-CN"/>
              </w:rPr>
              <w:t>。</w:t>
            </w:r>
            <w:r>
              <w:rPr>
                <w:rFonts w:hint="eastAsia" w:ascii="宋体" w:hAnsi="宋体" w:eastAsia="宋体" w:cs="宋体"/>
                <w:color w:val="auto"/>
                <w:kern w:val="2"/>
                <w:sz w:val="21"/>
                <w:szCs w:val="21"/>
                <w:highlight w:val="none"/>
                <w:lang w:val="zh-Hans" w:eastAsia="zh-CN" w:bidi="ar-SA"/>
              </w:rPr>
              <w:t>未</w:t>
            </w:r>
            <w:r>
              <w:rPr>
                <w:rFonts w:hint="eastAsia" w:cs="宋体"/>
                <w:color w:val="auto"/>
                <w:kern w:val="2"/>
                <w:sz w:val="21"/>
                <w:szCs w:val="21"/>
                <w:highlight w:val="none"/>
                <w:lang w:val="en-US" w:eastAsia="zh-CN" w:bidi="ar-SA"/>
              </w:rPr>
              <w:t>加盖公章或未</w:t>
            </w:r>
            <w:r>
              <w:rPr>
                <w:rFonts w:hint="eastAsia" w:ascii="宋体" w:hAnsi="宋体" w:eastAsia="宋体" w:cs="宋体"/>
                <w:color w:val="auto"/>
                <w:kern w:val="2"/>
                <w:sz w:val="21"/>
                <w:szCs w:val="21"/>
                <w:highlight w:val="none"/>
                <w:lang w:val="zh-Hans" w:eastAsia="zh-CN" w:bidi="ar-SA"/>
              </w:rPr>
              <w:t>提供</w:t>
            </w:r>
            <w:r>
              <w:rPr>
                <w:rFonts w:hint="eastAsia" w:cs="宋体"/>
                <w:color w:val="auto"/>
                <w:kern w:val="2"/>
                <w:sz w:val="21"/>
                <w:szCs w:val="21"/>
                <w:highlight w:val="none"/>
                <w:lang w:val="en-US" w:eastAsia="zh-CN" w:bidi="ar-SA"/>
              </w:rPr>
              <w:t>证明材料</w:t>
            </w:r>
            <w:r>
              <w:rPr>
                <w:rFonts w:hint="eastAsia" w:ascii="宋体" w:hAnsi="宋体" w:eastAsia="宋体" w:cs="宋体"/>
                <w:color w:val="auto"/>
                <w:kern w:val="2"/>
                <w:sz w:val="21"/>
                <w:szCs w:val="21"/>
                <w:highlight w:val="none"/>
                <w:lang w:val="zh-Hans" w:eastAsia="zh-CN" w:bidi="ar-SA"/>
              </w:rPr>
              <w:t>的</w:t>
            </w:r>
            <w:r>
              <w:rPr>
                <w:rFonts w:hint="eastAsia" w:hAnsi="宋体" w:cs="宋体"/>
                <w:color w:val="auto"/>
                <w:kern w:val="2"/>
                <w:sz w:val="21"/>
                <w:szCs w:val="21"/>
                <w:highlight w:val="none"/>
                <w:lang w:val="en-US" w:eastAsia="zh-CN" w:bidi="ar-SA"/>
              </w:rPr>
              <w:t>均</w:t>
            </w:r>
            <w:r>
              <w:rPr>
                <w:rFonts w:hint="eastAsia" w:ascii="宋体" w:hAnsi="宋体" w:eastAsia="宋体" w:cs="宋体"/>
                <w:color w:val="auto"/>
                <w:kern w:val="2"/>
                <w:sz w:val="21"/>
                <w:szCs w:val="21"/>
                <w:highlight w:val="none"/>
                <w:lang w:val="zh-Hans" w:eastAsia="zh-CN" w:bidi="ar-SA"/>
              </w:rPr>
              <w:t>不得分。</w:t>
            </w:r>
            <w:r>
              <w:rPr>
                <w:rFonts w:hint="eastAsia" w:ascii="宋体" w:hAnsi="宋体" w:cs="仿宋_GB2312"/>
                <w:color w:val="auto"/>
                <w:sz w:val="21"/>
                <w:szCs w:val="18"/>
                <w:highlight w:val="none"/>
              </w:rPr>
              <w:t>）</w:t>
            </w:r>
          </w:p>
        </w:tc>
        <w:tc>
          <w:tcPr>
            <w:tcW w:w="78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kinsoku/>
              <w:overflowPunct/>
              <w:topLinePunct w:val="0"/>
              <w:bidi w:val="0"/>
              <w:adjustRightInd/>
              <w:snapToGrid/>
              <w:spacing w:line="360" w:lineRule="exact"/>
              <w:jc w:val="center"/>
              <w:rPr>
                <w:color w:val="auto"/>
                <w:sz w:val="21"/>
                <w:szCs w:val="21"/>
                <w:highlight w:val="none"/>
              </w:rPr>
            </w:pPr>
            <w:r>
              <w:rPr>
                <w:rFonts w:hint="eastAsia"/>
                <w:color w:val="auto"/>
                <w:sz w:val="21"/>
                <w:szCs w:val="21"/>
                <w:highlight w:val="none"/>
              </w:rPr>
              <w:t>0-3分</w:t>
            </w:r>
          </w:p>
        </w:tc>
      </w:tr>
      <w:tr>
        <w:tblPrEx>
          <w:tblCellMar>
            <w:top w:w="15" w:type="dxa"/>
            <w:left w:w="15" w:type="dxa"/>
            <w:bottom w:w="15" w:type="dxa"/>
            <w:right w:w="15" w:type="dxa"/>
          </w:tblCellMar>
        </w:tblPrEx>
        <w:trPr>
          <w:trHeight w:val="2238" w:hRule="exact"/>
          <w:jc w:val="center"/>
        </w:trPr>
        <w:tc>
          <w:tcPr>
            <w:tcW w:w="444" w:type="dxa"/>
            <w:vMerge w:val="continue"/>
            <w:tcBorders>
              <w:top w:val="single" w:color="auto" w:sz="4" w:space="0"/>
              <w:left w:val="single" w:color="auto" w:sz="4" w:space="0"/>
              <w:right w:val="single" w:color="000000"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p>
        </w:tc>
        <w:tc>
          <w:tcPr>
            <w:tcW w:w="1772" w:type="dxa"/>
            <w:vMerge w:val="continue"/>
            <w:tcBorders>
              <w:top w:val="single" w:color="auto" w:sz="4" w:space="0"/>
              <w:left w:val="single" w:color="000000" w:sz="4" w:space="0"/>
              <w:right w:val="single" w:color="auto"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p>
        </w:tc>
        <w:tc>
          <w:tcPr>
            <w:tcW w:w="6721" w:type="dxa"/>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widowControl/>
              <w:kinsoku/>
              <w:overflowPunct/>
              <w:topLinePunct w:val="0"/>
              <w:bidi w:val="0"/>
              <w:adjustRightInd/>
              <w:snapToGrid/>
              <w:spacing w:line="360" w:lineRule="exact"/>
              <w:rPr>
                <w:color w:val="auto"/>
                <w:spacing w:val="-6"/>
                <w:sz w:val="21"/>
                <w:szCs w:val="21"/>
                <w:highlight w:val="none"/>
              </w:rPr>
            </w:pPr>
            <w:r>
              <w:rPr>
                <w:rFonts w:hint="eastAsia"/>
                <w:color w:val="auto"/>
                <w:spacing w:val="-6"/>
                <w:sz w:val="21"/>
                <w:szCs w:val="21"/>
                <w:highlight w:val="none"/>
              </w:rPr>
              <w:t>项目负责人自2017年1月1日</w:t>
            </w:r>
            <w:r>
              <w:rPr>
                <w:rFonts w:hint="eastAsia"/>
                <w:color w:val="auto"/>
                <w:sz w:val="21"/>
                <w:szCs w:val="21"/>
                <w:highlight w:val="none"/>
              </w:rPr>
              <w:t>以来（以合同签订时间为准），</w:t>
            </w:r>
            <w:r>
              <w:rPr>
                <w:rFonts w:hint="eastAsia"/>
                <w:color w:val="auto"/>
                <w:spacing w:val="-6"/>
                <w:sz w:val="21"/>
                <w:szCs w:val="21"/>
                <w:highlight w:val="none"/>
              </w:rPr>
              <w:t>承担过类似</w:t>
            </w:r>
            <w:r>
              <w:rPr>
                <w:rFonts w:hint="eastAsia"/>
                <w:color w:val="auto"/>
                <w:sz w:val="21"/>
                <w:szCs w:val="21"/>
                <w:highlight w:val="none"/>
              </w:rPr>
              <w:t>交通类规划</w:t>
            </w:r>
            <w:r>
              <w:rPr>
                <w:rFonts w:hint="eastAsia"/>
                <w:color w:val="auto"/>
                <w:spacing w:val="-6"/>
                <w:sz w:val="21"/>
                <w:szCs w:val="21"/>
                <w:highlight w:val="none"/>
              </w:rPr>
              <w:t>项目业绩的，每个得</w:t>
            </w:r>
            <w:r>
              <w:rPr>
                <w:rFonts w:hint="eastAsia"/>
                <w:color w:val="auto"/>
                <w:spacing w:val="-6"/>
                <w:sz w:val="21"/>
                <w:szCs w:val="21"/>
                <w:highlight w:val="none"/>
                <w:lang w:val="en-US" w:eastAsia="zh-CN"/>
              </w:rPr>
              <w:t>0.5</w:t>
            </w:r>
            <w:r>
              <w:rPr>
                <w:rFonts w:hint="eastAsia"/>
                <w:color w:val="auto"/>
                <w:spacing w:val="-6"/>
                <w:sz w:val="21"/>
                <w:szCs w:val="21"/>
                <w:highlight w:val="none"/>
              </w:rPr>
              <w:t>分，最多得</w:t>
            </w:r>
            <w:r>
              <w:rPr>
                <w:rFonts w:hint="eastAsia"/>
                <w:color w:val="auto"/>
                <w:spacing w:val="-6"/>
                <w:sz w:val="21"/>
                <w:szCs w:val="21"/>
                <w:highlight w:val="none"/>
                <w:lang w:val="en-US" w:eastAsia="zh-CN"/>
              </w:rPr>
              <w:t>1</w:t>
            </w:r>
            <w:r>
              <w:rPr>
                <w:rFonts w:hint="eastAsia"/>
                <w:color w:val="auto"/>
                <w:spacing w:val="-6"/>
                <w:sz w:val="21"/>
                <w:szCs w:val="21"/>
                <w:highlight w:val="none"/>
              </w:rPr>
              <w:t>分。</w:t>
            </w:r>
          </w:p>
          <w:p>
            <w:pPr>
              <w:keepNext w:val="0"/>
              <w:keepLines w:val="0"/>
              <w:pageBreakBefore w:val="0"/>
              <w:widowControl/>
              <w:kinsoku/>
              <w:overflowPunct/>
              <w:topLinePunct w:val="0"/>
              <w:bidi w:val="0"/>
              <w:adjustRightInd/>
              <w:snapToGrid/>
              <w:spacing w:line="360" w:lineRule="exact"/>
              <w:rPr>
                <w:color w:val="auto"/>
                <w:sz w:val="21"/>
                <w:szCs w:val="21"/>
                <w:highlight w:val="none"/>
              </w:rPr>
            </w:pPr>
            <w:r>
              <w:rPr>
                <w:rFonts w:hint="eastAsia"/>
                <w:b/>
                <w:bCs/>
                <w:color w:val="auto"/>
                <w:sz w:val="21"/>
                <w:szCs w:val="21"/>
                <w:highlight w:val="none"/>
              </w:rPr>
              <w:t>注：</w:t>
            </w:r>
            <w:r>
              <w:rPr>
                <w:rFonts w:hint="eastAsia" w:ascii="宋体" w:hAnsi="宋体" w:eastAsia="宋体" w:cs="宋体"/>
                <w:color w:val="auto"/>
                <w:kern w:val="2"/>
                <w:sz w:val="21"/>
                <w:szCs w:val="21"/>
                <w:highlight w:val="none"/>
                <w:lang w:val="en-US" w:eastAsia="zh-CN" w:bidi="ar-SA"/>
              </w:rPr>
              <w:t>1.同一项目不同年度合同不重复得分。2.投标文件中提供完整的加盖电子公章的合同扫描件。3.</w:t>
            </w:r>
            <w:r>
              <w:rPr>
                <w:rFonts w:hint="eastAsia" w:cs="宋体"/>
                <w:color w:val="auto"/>
                <w:kern w:val="2"/>
                <w:sz w:val="21"/>
                <w:szCs w:val="21"/>
                <w:highlight w:val="none"/>
                <w:lang w:val="en-US" w:eastAsia="zh-CN" w:bidi="ar-SA"/>
              </w:rPr>
              <w:t>合同不能体现项目负责人的需提供中标通知书或业主证明材料，</w:t>
            </w:r>
            <w:r>
              <w:rPr>
                <w:rFonts w:hint="eastAsia" w:ascii="宋体" w:hAnsi="宋体" w:eastAsia="宋体" w:cs="宋体"/>
                <w:color w:val="auto"/>
                <w:kern w:val="2"/>
                <w:sz w:val="21"/>
                <w:szCs w:val="21"/>
                <w:highlight w:val="none"/>
                <w:lang w:val="en-US" w:eastAsia="zh-CN" w:bidi="ar-SA"/>
              </w:rPr>
              <w:t>日期以合同签署日期为准</w:t>
            </w:r>
            <w:r>
              <w:rPr>
                <w:rFonts w:hint="eastAsia" w:ascii="宋体" w:hAnsi="宋体" w:eastAsia="宋体" w:cs="宋体"/>
                <w:color w:val="auto"/>
                <w:kern w:val="2"/>
                <w:sz w:val="21"/>
                <w:szCs w:val="21"/>
                <w:highlight w:val="none"/>
                <w:lang w:val="zh-Hans" w:eastAsia="zh-CN" w:bidi="ar-SA"/>
              </w:rPr>
              <w:t xml:space="preserve"> 。未</w:t>
            </w:r>
            <w:r>
              <w:rPr>
                <w:rFonts w:hint="eastAsia" w:cs="宋体"/>
                <w:color w:val="auto"/>
                <w:kern w:val="2"/>
                <w:sz w:val="21"/>
                <w:szCs w:val="21"/>
                <w:highlight w:val="none"/>
                <w:lang w:val="en-US" w:eastAsia="zh-CN" w:bidi="ar-SA"/>
              </w:rPr>
              <w:t>加盖公章或未</w:t>
            </w:r>
            <w:r>
              <w:rPr>
                <w:rFonts w:hint="eastAsia" w:ascii="宋体" w:hAnsi="宋体" w:eastAsia="宋体" w:cs="宋体"/>
                <w:color w:val="auto"/>
                <w:kern w:val="2"/>
                <w:sz w:val="21"/>
                <w:szCs w:val="21"/>
                <w:highlight w:val="none"/>
                <w:lang w:val="zh-Hans" w:eastAsia="zh-CN" w:bidi="ar-SA"/>
              </w:rPr>
              <w:t>提供</w:t>
            </w:r>
            <w:r>
              <w:rPr>
                <w:rFonts w:hint="eastAsia" w:cs="宋体"/>
                <w:color w:val="auto"/>
                <w:kern w:val="2"/>
                <w:sz w:val="21"/>
                <w:szCs w:val="21"/>
                <w:highlight w:val="none"/>
                <w:lang w:val="en-US" w:eastAsia="zh-CN" w:bidi="ar-SA"/>
              </w:rPr>
              <w:t>证明材料</w:t>
            </w:r>
            <w:r>
              <w:rPr>
                <w:rFonts w:hint="eastAsia" w:ascii="宋体" w:hAnsi="宋体" w:eastAsia="宋体" w:cs="宋体"/>
                <w:color w:val="auto"/>
                <w:kern w:val="2"/>
                <w:sz w:val="21"/>
                <w:szCs w:val="21"/>
                <w:highlight w:val="none"/>
                <w:lang w:val="zh-Hans" w:eastAsia="zh-CN" w:bidi="ar-SA"/>
              </w:rPr>
              <w:t>的</w:t>
            </w:r>
            <w:r>
              <w:rPr>
                <w:rFonts w:hint="eastAsia" w:cs="宋体"/>
                <w:color w:val="auto"/>
                <w:kern w:val="2"/>
                <w:sz w:val="21"/>
                <w:szCs w:val="21"/>
                <w:highlight w:val="none"/>
                <w:lang w:val="en-US" w:eastAsia="zh-CN" w:bidi="ar-SA"/>
              </w:rPr>
              <w:t>均</w:t>
            </w:r>
            <w:r>
              <w:rPr>
                <w:rFonts w:hint="eastAsia" w:ascii="宋体" w:hAnsi="宋体" w:eastAsia="宋体" w:cs="宋体"/>
                <w:color w:val="auto"/>
                <w:kern w:val="2"/>
                <w:sz w:val="21"/>
                <w:szCs w:val="21"/>
                <w:highlight w:val="none"/>
                <w:lang w:val="zh-Hans" w:eastAsia="zh-CN" w:bidi="ar-SA"/>
              </w:rPr>
              <w:t>不得分。</w:t>
            </w:r>
          </w:p>
        </w:tc>
        <w:tc>
          <w:tcPr>
            <w:tcW w:w="78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kinsoku/>
              <w:overflowPunct/>
              <w:topLinePunct w:val="0"/>
              <w:bidi w:val="0"/>
              <w:adjustRightInd/>
              <w:snapToGrid/>
              <w:spacing w:line="360" w:lineRule="exact"/>
              <w:jc w:val="center"/>
              <w:rPr>
                <w:color w:val="auto"/>
                <w:sz w:val="21"/>
                <w:szCs w:val="21"/>
                <w:highlight w:val="none"/>
              </w:rPr>
            </w:pPr>
            <w:r>
              <w:rPr>
                <w:rFonts w:hint="eastAsia"/>
                <w:color w:val="auto"/>
                <w:sz w:val="21"/>
                <w:szCs w:val="21"/>
                <w:highlight w:val="none"/>
              </w:rPr>
              <w:t>0-</w:t>
            </w:r>
            <w:r>
              <w:rPr>
                <w:rFonts w:hint="eastAsia"/>
                <w:color w:val="auto"/>
                <w:sz w:val="21"/>
                <w:szCs w:val="21"/>
                <w:highlight w:val="none"/>
                <w:lang w:val="en-US" w:eastAsia="zh-CN"/>
              </w:rPr>
              <w:t>1</w:t>
            </w:r>
            <w:r>
              <w:rPr>
                <w:rFonts w:hint="eastAsia"/>
                <w:color w:val="auto"/>
                <w:sz w:val="21"/>
                <w:szCs w:val="21"/>
                <w:highlight w:val="none"/>
              </w:rPr>
              <w:t>分</w:t>
            </w:r>
          </w:p>
        </w:tc>
      </w:tr>
      <w:tr>
        <w:tblPrEx>
          <w:tblCellMar>
            <w:top w:w="15" w:type="dxa"/>
            <w:left w:w="15" w:type="dxa"/>
            <w:bottom w:w="15" w:type="dxa"/>
            <w:right w:w="15" w:type="dxa"/>
          </w:tblCellMar>
        </w:tblPrEx>
        <w:trPr>
          <w:trHeight w:val="2620" w:hRule="exact"/>
          <w:jc w:val="center"/>
        </w:trPr>
        <w:tc>
          <w:tcPr>
            <w:tcW w:w="444" w:type="dxa"/>
            <w:vMerge w:val="continue"/>
            <w:tcBorders>
              <w:left w:val="single" w:color="auto" w:sz="4" w:space="0"/>
              <w:bottom w:val="single" w:color="auto" w:sz="4" w:space="0"/>
              <w:right w:val="single" w:color="000000"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p>
        </w:tc>
        <w:tc>
          <w:tcPr>
            <w:tcW w:w="1772" w:type="dxa"/>
            <w:vMerge w:val="continue"/>
            <w:tcBorders>
              <w:left w:val="single" w:color="000000" w:sz="4" w:space="0"/>
              <w:bottom w:val="single" w:color="auto" w:sz="4" w:space="0"/>
              <w:right w:val="single" w:color="auto"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p>
        </w:tc>
        <w:tc>
          <w:tcPr>
            <w:tcW w:w="6721" w:type="dxa"/>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widowControl/>
              <w:kinsoku/>
              <w:overflowPunct/>
              <w:topLinePunct w:val="0"/>
              <w:bidi w:val="0"/>
              <w:adjustRightInd/>
              <w:snapToGrid/>
              <w:spacing w:line="360" w:lineRule="exact"/>
              <w:rPr>
                <w:color w:val="auto"/>
                <w:sz w:val="21"/>
                <w:szCs w:val="21"/>
                <w:highlight w:val="none"/>
              </w:rPr>
            </w:pPr>
            <w:r>
              <w:rPr>
                <w:rFonts w:hint="eastAsia"/>
                <w:color w:val="auto"/>
                <w:sz w:val="21"/>
                <w:szCs w:val="21"/>
                <w:highlight w:val="none"/>
              </w:rPr>
              <w:t>拟派本项目的项目</w:t>
            </w:r>
            <w:r>
              <w:rPr>
                <w:rFonts w:hint="eastAsia"/>
                <w:color w:val="auto"/>
                <w:sz w:val="21"/>
                <w:szCs w:val="21"/>
                <w:highlight w:val="none"/>
                <w:lang w:val="en-US" w:eastAsia="zh-CN"/>
              </w:rPr>
              <w:t>组</w:t>
            </w:r>
            <w:r>
              <w:rPr>
                <w:rFonts w:hint="eastAsia"/>
                <w:color w:val="auto"/>
                <w:sz w:val="21"/>
                <w:szCs w:val="21"/>
                <w:highlight w:val="none"/>
              </w:rPr>
              <w:t>成员（不包含项目负责人）具有交通工程类等相关专业高级工程师及以上职称的每个得1分，最多得</w:t>
            </w:r>
            <w:r>
              <w:rPr>
                <w:rFonts w:hint="eastAsia"/>
                <w:color w:val="auto"/>
                <w:sz w:val="21"/>
                <w:szCs w:val="21"/>
                <w:highlight w:val="none"/>
                <w:lang w:val="en-US" w:eastAsia="zh-CN"/>
              </w:rPr>
              <w:t>4</w:t>
            </w:r>
            <w:r>
              <w:rPr>
                <w:rFonts w:hint="eastAsia"/>
                <w:color w:val="auto"/>
                <w:sz w:val="21"/>
                <w:szCs w:val="21"/>
                <w:highlight w:val="none"/>
              </w:rPr>
              <w:t>分，同一人不得重复的分。</w:t>
            </w:r>
          </w:p>
          <w:p>
            <w:pPr>
              <w:keepNext w:val="0"/>
              <w:keepLines w:val="0"/>
              <w:pageBreakBefore w:val="0"/>
              <w:widowControl/>
              <w:kinsoku/>
              <w:overflowPunct/>
              <w:topLinePunct w:val="0"/>
              <w:bidi w:val="0"/>
              <w:adjustRightInd/>
              <w:snapToGrid/>
              <w:spacing w:line="360" w:lineRule="exact"/>
              <w:rPr>
                <w:color w:val="auto"/>
                <w:sz w:val="21"/>
                <w:szCs w:val="21"/>
                <w:highlight w:val="none"/>
              </w:rPr>
            </w:pPr>
            <w:r>
              <w:rPr>
                <w:rFonts w:hint="eastAsia"/>
                <w:b/>
                <w:bCs/>
                <w:color w:val="auto"/>
                <w:sz w:val="21"/>
                <w:szCs w:val="21"/>
                <w:highlight w:val="none"/>
              </w:rPr>
              <w:t>注：</w:t>
            </w:r>
            <w:r>
              <w:rPr>
                <w:rFonts w:hint="eastAsia" w:ascii="宋体" w:hAnsi="宋体" w:cs="仿宋_GB2312"/>
                <w:color w:val="auto"/>
                <w:sz w:val="21"/>
                <w:szCs w:val="18"/>
                <w:highlight w:val="none"/>
              </w:rPr>
              <w:t>拟投入以上人员须提供注册证书或资格（职称）证书扫描件及</w:t>
            </w:r>
            <w:r>
              <w:rPr>
                <w:rFonts w:ascii="宋体" w:hAnsi="宋体"/>
                <w:color w:val="auto"/>
                <w:kern w:val="0"/>
                <w:sz w:val="21"/>
                <w:szCs w:val="18"/>
                <w:highlight w:val="none"/>
              </w:rPr>
              <w:t>须提供</w:t>
            </w:r>
            <w:r>
              <w:rPr>
                <w:rFonts w:hint="eastAsia" w:hAnsi="宋体"/>
                <w:color w:val="auto"/>
                <w:kern w:val="0"/>
                <w:sz w:val="21"/>
                <w:szCs w:val="18"/>
                <w:highlight w:val="none"/>
                <w:lang w:val="en-US" w:eastAsia="zh-CN"/>
              </w:rPr>
              <w:t>拟派人员</w:t>
            </w:r>
            <w:r>
              <w:rPr>
                <w:rFonts w:ascii="宋体" w:hAnsi="宋体"/>
                <w:color w:val="auto"/>
                <w:kern w:val="0"/>
                <w:sz w:val="21"/>
                <w:szCs w:val="18"/>
                <w:highlight w:val="none"/>
              </w:rPr>
              <w:t>由当地社保机构出具的在本投标企业到投标截止日前</w:t>
            </w:r>
            <w:r>
              <w:rPr>
                <w:rFonts w:hint="eastAsia" w:hAnsi="宋体"/>
                <w:color w:val="auto"/>
                <w:kern w:val="0"/>
                <w:sz w:val="21"/>
                <w:szCs w:val="18"/>
                <w:highlight w:val="none"/>
                <w:lang w:val="en-US" w:eastAsia="zh-CN"/>
              </w:rPr>
              <w:t>6</w:t>
            </w:r>
            <w:r>
              <w:rPr>
                <w:rFonts w:ascii="宋体" w:hAnsi="宋体"/>
                <w:color w:val="auto"/>
                <w:kern w:val="0"/>
                <w:sz w:val="21"/>
                <w:szCs w:val="18"/>
                <w:highlight w:val="none"/>
              </w:rPr>
              <w:t>个月内</w:t>
            </w:r>
            <w:r>
              <w:rPr>
                <w:rFonts w:hint="eastAsia" w:hAnsi="宋体"/>
                <w:color w:val="auto"/>
                <w:kern w:val="0"/>
                <w:sz w:val="21"/>
                <w:szCs w:val="18"/>
                <w:highlight w:val="none"/>
                <w:lang w:val="en-US" w:eastAsia="zh-CN"/>
              </w:rPr>
              <w:t>近3</w:t>
            </w:r>
            <w:r>
              <w:rPr>
                <w:rFonts w:ascii="宋体" w:hAnsi="宋体"/>
                <w:color w:val="auto"/>
                <w:kern w:val="0"/>
                <w:sz w:val="21"/>
                <w:szCs w:val="18"/>
                <w:highlight w:val="none"/>
              </w:rPr>
              <w:t>个月的</w:t>
            </w:r>
            <w:r>
              <w:rPr>
                <w:rFonts w:hint="eastAsia" w:ascii="宋体" w:hAnsi="宋体"/>
                <w:color w:val="auto"/>
                <w:kern w:val="0"/>
                <w:sz w:val="21"/>
                <w:szCs w:val="18"/>
                <w:highlight w:val="none"/>
              </w:rPr>
              <w:t>个人</w:t>
            </w:r>
            <w:r>
              <w:rPr>
                <w:rFonts w:ascii="宋体" w:hAnsi="宋体"/>
                <w:color w:val="auto"/>
                <w:kern w:val="0"/>
                <w:sz w:val="21"/>
                <w:szCs w:val="18"/>
                <w:highlight w:val="none"/>
              </w:rPr>
              <w:t>社保</w:t>
            </w:r>
            <w:r>
              <w:rPr>
                <w:rFonts w:hint="eastAsia" w:ascii="宋体" w:hAnsi="宋体"/>
                <w:color w:val="auto"/>
                <w:kern w:val="0"/>
                <w:sz w:val="21"/>
                <w:szCs w:val="18"/>
                <w:highlight w:val="none"/>
              </w:rPr>
              <w:t>缴</w:t>
            </w:r>
            <w:r>
              <w:rPr>
                <w:rFonts w:ascii="宋体" w:hAnsi="宋体"/>
                <w:color w:val="auto"/>
                <w:kern w:val="0"/>
                <w:sz w:val="21"/>
                <w:szCs w:val="18"/>
                <w:highlight w:val="none"/>
              </w:rPr>
              <w:t>纳</w:t>
            </w:r>
            <w:r>
              <w:rPr>
                <w:rFonts w:hint="eastAsia" w:ascii="宋体" w:hAnsi="宋体"/>
                <w:color w:val="auto"/>
                <w:kern w:val="0"/>
                <w:sz w:val="21"/>
                <w:szCs w:val="18"/>
                <w:highlight w:val="none"/>
              </w:rPr>
              <w:t>证明</w:t>
            </w:r>
            <w:r>
              <w:rPr>
                <w:rFonts w:ascii="宋体" w:hAnsi="宋体"/>
                <w:color w:val="auto"/>
                <w:kern w:val="0"/>
                <w:sz w:val="21"/>
                <w:szCs w:val="18"/>
                <w:highlight w:val="none"/>
              </w:rPr>
              <w:t>材料</w:t>
            </w:r>
            <w:r>
              <w:rPr>
                <w:rFonts w:hint="eastAsia"/>
                <w:color w:val="auto"/>
                <w:kern w:val="0"/>
                <w:sz w:val="21"/>
                <w:szCs w:val="18"/>
                <w:highlight w:val="none"/>
                <w:lang w:eastAsia="zh-CN"/>
              </w:rPr>
              <w:t>，</w:t>
            </w:r>
            <w:r>
              <w:rPr>
                <w:rFonts w:hint="eastAsia" w:ascii="宋体" w:hAnsi="宋体" w:cs="仿宋_GB2312"/>
                <w:color w:val="auto"/>
                <w:sz w:val="21"/>
                <w:szCs w:val="18"/>
                <w:highlight w:val="none"/>
              </w:rPr>
              <w:t>加盖公章</w:t>
            </w:r>
            <w:r>
              <w:rPr>
                <w:rFonts w:hint="eastAsia" w:cs="仿宋_GB2312"/>
                <w:color w:val="auto"/>
                <w:sz w:val="21"/>
                <w:szCs w:val="18"/>
                <w:highlight w:val="none"/>
                <w:lang w:eastAsia="zh-CN"/>
              </w:rPr>
              <w:t>。</w:t>
            </w:r>
            <w:r>
              <w:rPr>
                <w:rFonts w:hint="eastAsia" w:ascii="宋体" w:hAnsi="宋体" w:eastAsia="宋体" w:cs="宋体"/>
                <w:color w:val="auto"/>
                <w:kern w:val="2"/>
                <w:sz w:val="21"/>
                <w:szCs w:val="21"/>
                <w:highlight w:val="none"/>
                <w:lang w:val="zh-Hans" w:eastAsia="zh-CN" w:bidi="ar-SA"/>
              </w:rPr>
              <w:t>未</w:t>
            </w:r>
            <w:r>
              <w:rPr>
                <w:rFonts w:hint="eastAsia" w:cs="宋体"/>
                <w:color w:val="auto"/>
                <w:kern w:val="2"/>
                <w:sz w:val="21"/>
                <w:szCs w:val="21"/>
                <w:highlight w:val="none"/>
                <w:lang w:val="en-US" w:eastAsia="zh-CN" w:bidi="ar-SA"/>
              </w:rPr>
              <w:t>加盖公章或未</w:t>
            </w:r>
            <w:r>
              <w:rPr>
                <w:rFonts w:hint="eastAsia" w:ascii="宋体" w:hAnsi="宋体" w:eastAsia="宋体" w:cs="宋体"/>
                <w:color w:val="auto"/>
                <w:kern w:val="2"/>
                <w:sz w:val="21"/>
                <w:szCs w:val="21"/>
                <w:highlight w:val="none"/>
                <w:lang w:val="zh-Hans" w:eastAsia="zh-CN" w:bidi="ar-SA"/>
              </w:rPr>
              <w:t>提供</w:t>
            </w:r>
            <w:r>
              <w:rPr>
                <w:rFonts w:hint="eastAsia" w:cs="宋体"/>
                <w:color w:val="auto"/>
                <w:kern w:val="2"/>
                <w:sz w:val="21"/>
                <w:szCs w:val="21"/>
                <w:highlight w:val="none"/>
                <w:lang w:val="en-US" w:eastAsia="zh-CN" w:bidi="ar-SA"/>
              </w:rPr>
              <w:t>证明材料</w:t>
            </w:r>
            <w:r>
              <w:rPr>
                <w:rFonts w:hint="eastAsia" w:ascii="宋体" w:hAnsi="宋体" w:eastAsia="宋体" w:cs="宋体"/>
                <w:color w:val="auto"/>
                <w:kern w:val="2"/>
                <w:sz w:val="21"/>
                <w:szCs w:val="21"/>
                <w:highlight w:val="none"/>
                <w:lang w:val="zh-Hans" w:eastAsia="zh-CN" w:bidi="ar-SA"/>
              </w:rPr>
              <w:t>的不得分。</w:t>
            </w:r>
            <w:r>
              <w:rPr>
                <w:rFonts w:hint="eastAsia" w:ascii="宋体" w:hAnsi="宋体" w:cs="仿宋_GB2312"/>
                <w:color w:val="auto"/>
                <w:sz w:val="21"/>
                <w:szCs w:val="18"/>
                <w:highlight w:val="none"/>
              </w:rPr>
              <w:t>）</w:t>
            </w:r>
          </w:p>
        </w:tc>
        <w:tc>
          <w:tcPr>
            <w:tcW w:w="78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kinsoku/>
              <w:overflowPunct/>
              <w:topLinePunct w:val="0"/>
              <w:bidi w:val="0"/>
              <w:adjustRightInd/>
              <w:snapToGrid/>
              <w:spacing w:line="360" w:lineRule="exact"/>
              <w:jc w:val="center"/>
              <w:rPr>
                <w:color w:val="auto"/>
                <w:sz w:val="21"/>
                <w:szCs w:val="21"/>
                <w:highlight w:val="none"/>
              </w:rPr>
            </w:pPr>
            <w:r>
              <w:rPr>
                <w:rFonts w:hint="eastAsia"/>
                <w:color w:val="auto"/>
                <w:sz w:val="21"/>
                <w:szCs w:val="21"/>
                <w:highlight w:val="none"/>
              </w:rPr>
              <w:t>0-</w:t>
            </w:r>
            <w:r>
              <w:rPr>
                <w:rFonts w:hint="eastAsia"/>
                <w:color w:val="auto"/>
                <w:sz w:val="21"/>
                <w:szCs w:val="21"/>
                <w:highlight w:val="none"/>
                <w:lang w:val="en-US" w:eastAsia="zh-CN"/>
              </w:rPr>
              <w:t>4</w:t>
            </w:r>
            <w:r>
              <w:rPr>
                <w:rFonts w:hint="eastAsia"/>
                <w:color w:val="auto"/>
                <w:sz w:val="21"/>
                <w:szCs w:val="21"/>
                <w:highlight w:val="none"/>
              </w:rPr>
              <w:t>分</w:t>
            </w:r>
          </w:p>
        </w:tc>
      </w:tr>
      <w:tr>
        <w:tblPrEx>
          <w:tblCellMar>
            <w:top w:w="15" w:type="dxa"/>
            <w:left w:w="15" w:type="dxa"/>
            <w:bottom w:w="15" w:type="dxa"/>
            <w:right w:w="15" w:type="dxa"/>
          </w:tblCellMar>
        </w:tblPrEx>
        <w:trPr>
          <w:trHeight w:val="419" w:hRule="exact"/>
          <w:jc w:val="center"/>
        </w:trPr>
        <w:tc>
          <w:tcPr>
            <w:tcW w:w="9722"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overflowPunct/>
              <w:topLinePunct w:val="0"/>
              <w:bidi w:val="0"/>
              <w:adjustRightInd/>
              <w:snapToGrid/>
              <w:spacing w:line="360" w:lineRule="exact"/>
              <w:textAlignment w:val="center"/>
              <w:rPr>
                <w:color w:val="auto"/>
                <w:sz w:val="21"/>
                <w:szCs w:val="21"/>
                <w:highlight w:val="none"/>
              </w:rPr>
            </w:pPr>
            <w:r>
              <w:rPr>
                <w:rFonts w:hint="eastAsia"/>
                <w:color w:val="auto"/>
                <w:sz w:val="21"/>
                <w:szCs w:val="21"/>
                <w:highlight w:val="none"/>
              </w:rPr>
              <w:t>技术分（</w:t>
            </w:r>
            <w:r>
              <w:rPr>
                <w:rFonts w:hint="eastAsia"/>
                <w:color w:val="auto"/>
                <w:sz w:val="21"/>
                <w:szCs w:val="21"/>
                <w:highlight w:val="none"/>
                <w:lang w:val="en-US"/>
              </w:rPr>
              <w:t>6</w:t>
            </w:r>
            <w:r>
              <w:rPr>
                <w:rFonts w:hint="eastAsia"/>
                <w:color w:val="auto"/>
                <w:sz w:val="21"/>
                <w:szCs w:val="21"/>
                <w:highlight w:val="none"/>
                <w:lang w:val="en-US" w:eastAsia="zh-CN"/>
              </w:rPr>
              <w:t>5</w:t>
            </w:r>
            <w:r>
              <w:rPr>
                <w:rFonts w:hint="eastAsia"/>
                <w:color w:val="auto"/>
                <w:sz w:val="21"/>
                <w:szCs w:val="21"/>
                <w:highlight w:val="none"/>
              </w:rPr>
              <w:t>分）</w:t>
            </w:r>
          </w:p>
        </w:tc>
      </w:tr>
      <w:tr>
        <w:tblPrEx>
          <w:tblCellMar>
            <w:top w:w="15" w:type="dxa"/>
            <w:left w:w="15" w:type="dxa"/>
            <w:bottom w:w="15" w:type="dxa"/>
            <w:right w:w="15" w:type="dxa"/>
          </w:tblCellMar>
        </w:tblPrEx>
        <w:trPr>
          <w:jc w:val="center"/>
        </w:trPr>
        <w:tc>
          <w:tcPr>
            <w:tcW w:w="444" w:type="dxa"/>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r>
              <w:rPr>
                <w:rFonts w:hint="eastAsia"/>
                <w:color w:val="auto"/>
                <w:sz w:val="21"/>
                <w:szCs w:val="21"/>
                <w:highlight w:val="none"/>
              </w:rPr>
              <w:t>4</w:t>
            </w:r>
          </w:p>
        </w:tc>
        <w:tc>
          <w:tcPr>
            <w:tcW w:w="1772" w:type="dxa"/>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widowControl/>
              <w:kinsoku/>
              <w:overflowPunct/>
              <w:topLinePunct w:val="0"/>
              <w:bidi w:val="0"/>
              <w:adjustRightInd/>
              <w:snapToGrid/>
              <w:spacing w:line="360" w:lineRule="exact"/>
              <w:textAlignment w:val="center"/>
              <w:rPr>
                <w:color w:val="auto"/>
                <w:sz w:val="21"/>
                <w:szCs w:val="21"/>
                <w:highlight w:val="none"/>
              </w:rPr>
            </w:pPr>
            <w:r>
              <w:rPr>
                <w:rFonts w:hint="eastAsia"/>
                <w:color w:val="auto"/>
                <w:sz w:val="21"/>
                <w:szCs w:val="21"/>
                <w:highlight w:val="none"/>
              </w:rPr>
              <w:t>对招标项目的理解和报告编制思路</w:t>
            </w:r>
          </w:p>
        </w:tc>
        <w:tc>
          <w:tcPr>
            <w:tcW w:w="6721" w:type="dxa"/>
            <w:tcBorders>
              <w:top w:val="single" w:color="auto" w:sz="4" w:space="0"/>
              <w:left w:val="single" w:color="000000" w:sz="4" w:space="0"/>
              <w:bottom w:val="single" w:color="auto" w:sz="4" w:space="0"/>
              <w:right w:val="single" w:color="000000" w:sz="4" w:space="0"/>
            </w:tcBorders>
            <w:noWrap/>
            <w:vAlign w:val="center"/>
          </w:tcPr>
          <w:p>
            <w:pPr>
              <w:pStyle w:val="36"/>
              <w:keepNext w:val="0"/>
              <w:keepLines w:val="0"/>
              <w:pageBreakBefore w:val="0"/>
              <w:widowControl w:val="0"/>
              <w:kinsoku/>
              <w:wordWrap/>
              <w:overflowPunct/>
              <w:topLinePunct w:val="0"/>
              <w:autoSpaceDE w:val="0"/>
              <w:autoSpaceDN w:val="0"/>
              <w:bidi w:val="0"/>
              <w:adjustRightInd/>
              <w:snapToGrid/>
              <w:spacing w:line="360" w:lineRule="exact"/>
              <w:textAlignment w:val="auto"/>
              <w:rPr>
                <w:rFonts w:hint="default" w:cs="宋体"/>
                <w:color w:val="auto"/>
                <w:sz w:val="21"/>
                <w:szCs w:val="21"/>
                <w:highlight w:val="none"/>
                <w:lang w:val="zh-CN" w:bidi="zh-CN"/>
              </w:rPr>
            </w:pPr>
            <w:r>
              <w:rPr>
                <w:rFonts w:hint="eastAsia" w:cs="宋体"/>
                <w:color w:val="auto"/>
                <w:sz w:val="21"/>
                <w:szCs w:val="21"/>
                <w:highlight w:val="none"/>
                <w:lang w:val="en-US" w:bidi="zh-CN"/>
              </w:rPr>
              <w:t>根</w:t>
            </w:r>
            <w:r>
              <w:rPr>
                <w:rFonts w:hint="eastAsia" w:ascii="宋体" w:hAnsi="宋体" w:eastAsia="宋体" w:cs="宋体"/>
                <w:color w:val="auto"/>
                <w:sz w:val="21"/>
                <w:szCs w:val="21"/>
                <w:highlight w:val="none"/>
                <w:lang w:val="en-US" w:eastAsia="zh-CN" w:bidi="zh-CN"/>
              </w:rPr>
              <w:t>据</w:t>
            </w:r>
            <w:r>
              <w:rPr>
                <w:rFonts w:hint="eastAsia" w:ascii="宋体" w:hAnsi="宋体" w:eastAsia="宋体" w:cs="宋体"/>
                <w:color w:val="auto"/>
                <w:sz w:val="21"/>
                <w:szCs w:val="21"/>
                <w:highlight w:val="none"/>
                <w:lang w:val="zh-CN" w:eastAsia="zh-CN" w:bidi="zh-CN"/>
              </w:rPr>
              <w:t>本项目理解程度、报告编制思路清晰程度进行酌情加分，一般的得基本分 1</w:t>
            </w:r>
            <w:r>
              <w:rPr>
                <w:rFonts w:hint="eastAsia" w:cs="宋体"/>
                <w:color w:val="auto"/>
                <w:sz w:val="21"/>
                <w:szCs w:val="21"/>
                <w:highlight w:val="none"/>
                <w:lang w:val="en-US" w:eastAsia="zh-CN" w:bidi="zh-CN"/>
              </w:rPr>
              <w:t>0</w:t>
            </w:r>
            <w:r>
              <w:rPr>
                <w:rFonts w:hint="eastAsia" w:ascii="宋体" w:hAnsi="宋体" w:eastAsia="宋体" w:cs="宋体"/>
                <w:color w:val="auto"/>
                <w:sz w:val="21"/>
                <w:szCs w:val="21"/>
                <w:highlight w:val="none"/>
                <w:lang w:val="zh-CN" w:eastAsia="zh-CN" w:bidi="zh-CN"/>
              </w:rPr>
              <w:t>～1</w:t>
            </w:r>
            <w:r>
              <w:rPr>
                <w:rFonts w:hint="eastAsia" w:ascii="宋体" w:hAnsi="宋体" w:eastAsia="宋体" w:cs="宋体"/>
                <w:color w:val="auto"/>
                <w:sz w:val="21"/>
                <w:szCs w:val="21"/>
                <w:highlight w:val="none"/>
                <w:lang w:val="en-US" w:eastAsia="zh-CN" w:bidi="zh-CN"/>
              </w:rPr>
              <w:t>1</w:t>
            </w:r>
            <w:r>
              <w:rPr>
                <w:rFonts w:hint="eastAsia" w:ascii="宋体" w:hAnsi="宋体" w:eastAsia="宋体" w:cs="宋体"/>
                <w:color w:val="auto"/>
                <w:sz w:val="21"/>
                <w:szCs w:val="21"/>
                <w:highlight w:val="none"/>
                <w:lang w:val="zh-CN" w:eastAsia="zh-CN" w:bidi="zh-CN"/>
              </w:rPr>
              <w:t>.9 分，较好的得 1</w:t>
            </w:r>
            <w:r>
              <w:rPr>
                <w:rFonts w:hint="eastAsia" w:ascii="宋体" w:hAnsi="宋体" w:eastAsia="宋体" w:cs="宋体"/>
                <w:color w:val="auto"/>
                <w:sz w:val="21"/>
                <w:szCs w:val="21"/>
                <w:highlight w:val="none"/>
                <w:lang w:val="en-US" w:eastAsia="zh-CN" w:bidi="zh-CN"/>
              </w:rPr>
              <w:t>2</w:t>
            </w:r>
            <w:r>
              <w:rPr>
                <w:rFonts w:hint="eastAsia" w:ascii="宋体" w:hAnsi="宋体" w:eastAsia="宋体" w:cs="宋体"/>
                <w:color w:val="auto"/>
                <w:sz w:val="21"/>
                <w:szCs w:val="21"/>
                <w:highlight w:val="none"/>
                <w:lang w:val="zh-CN" w:eastAsia="zh-CN" w:bidi="zh-CN"/>
              </w:rPr>
              <w:t>.0～1</w:t>
            </w:r>
            <w:r>
              <w:rPr>
                <w:rFonts w:hint="eastAsia" w:ascii="宋体" w:hAnsi="宋体" w:eastAsia="宋体" w:cs="宋体"/>
                <w:color w:val="auto"/>
                <w:sz w:val="21"/>
                <w:szCs w:val="21"/>
                <w:highlight w:val="none"/>
                <w:lang w:val="en-US" w:eastAsia="zh-CN" w:bidi="zh-CN"/>
              </w:rPr>
              <w:t>3</w:t>
            </w:r>
            <w:r>
              <w:rPr>
                <w:rFonts w:hint="eastAsia" w:ascii="宋体" w:hAnsi="宋体" w:eastAsia="宋体" w:cs="宋体"/>
                <w:color w:val="auto"/>
                <w:sz w:val="21"/>
                <w:szCs w:val="21"/>
                <w:highlight w:val="none"/>
                <w:lang w:val="zh-CN" w:eastAsia="zh-CN" w:bidi="zh-CN"/>
              </w:rPr>
              <w:t>.</w:t>
            </w:r>
            <w:r>
              <w:rPr>
                <w:rFonts w:hint="eastAsia" w:ascii="宋体" w:hAnsi="宋体" w:eastAsia="宋体" w:cs="宋体"/>
                <w:color w:val="auto"/>
                <w:sz w:val="21"/>
                <w:szCs w:val="21"/>
                <w:highlight w:val="none"/>
                <w:lang w:val="en-US" w:eastAsia="zh-CN" w:bidi="zh-CN"/>
              </w:rPr>
              <w:t>4</w:t>
            </w:r>
            <w:r>
              <w:rPr>
                <w:rFonts w:hint="eastAsia" w:ascii="宋体" w:hAnsi="宋体" w:eastAsia="宋体" w:cs="宋体"/>
                <w:color w:val="auto"/>
                <w:sz w:val="21"/>
                <w:szCs w:val="21"/>
                <w:highlight w:val="none"/>
                <w:lang w:val="zh-CN" w:eastAsia="zh-CN" w:bidi="zh-CN"/>
              </w:rPr>
              <w:t>分，好的得</w:t>
            </w:r>
            <w:r>
              <w:rPr>
                <w:rFonts w:hint="eastAsia" w:ascii="宋体" w:hAnsi="宋体" w:eastAsia="宋体" w:cs="宋体"/>
                <w:color w:val="auto"/>
                <w:sz w:val="21"/>
                <w:szCs w:val="21"/>
                <w:highlight w:val="none"/>
                <w:lang w:val="en-US" w:eastAsia="zh-CN" w:bidi="zh-CN"/>
              </w:rPr>
              <w:t>13.5</w:t>
            </w:r>
            <w:r>
              <w:rPr>
                <w:rFonts w:hint="eastAsia" w:ascii="宋体" w:hAnsi="宋体" w:eastAsia="宋体" w:cs="宋体"/>
                <w:color w:val="auto"/>
                <w:sz w:val="21"/>
                <w:szCs w:val="21"/>
                <w:highlight w:val="none"/>
                <w:lang w:val="zh-CN" w:eastAsia="zh-CN" w:bidi="zh-CN"/>
              </w:rPr>
              <w:t>～1</w:t>
            </w:r>
            <w:r>
              <w:rPr>
                <w:rFonts w:hint="eastAsia" w:ascii="宋体" w:hAnsi="宋体" w:eastAsia="宋体" w:cs="宋体"/>
                <w:color w:val="auto"/>
                <w:sz w:val="21"/>
                <w:szCs w:val="21"/>
                <w:highlight w:val="none"/>
                <w:lang w:val="en-US" w:eastAsia="zh-CN" w:bidi="zh-CN"/>
              </w:rPr>
              <w:t>6.0</w:t>
            </w:r>
            <w:r>
              <w:rPr>
                <w:rFonts w:hint="eastAsia" w:ascii="宋体" w:hAnsi="宋体" w:eastAsia="宋体" w:cs="宋体"/>
                <w:color w:val="auto"/>
                <w:sz w:val="21"/>
                <w:szCs w:val="21"/>
                <w:highlight w:val="none"/>
                <w:lang w:val="zh-CN" w:eastAsia="zh-CN" w:bidi="zh-CN"/>
              </w:rPr>
              <w:t xml:space="preserve"> 分。缺项不得分。</w:t>
            </w:r>
          </w:p>
        </w:tc>
        <w:tc>
          <w:tcPr>
            <w:tcW w:w="785" w:type="dxa"/>
            <w:tcBorders>
              <w:top w:val="single" w:color="auto" w:sz="4" w:space="0"/>
              <w:left w:val="single" w:color="000000" w:sz="4" w:space="0"/>
              <w:bottom w:val="single" w:color="000000" w:sz="4" w:space="0"/>
              <w:right w:val="single" w:color="auto"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r>
              <w:rPr>
                <w:color w:val="auto"/>
                <w:sz w:val="21"/>
                <w:szCs w:val="21"/>
                <w:highlight w:val="none"/>
              </w:rPr>
              <w:t>10</w:t>
            </w:r>
            <w:r>
              <w:rPr>
                <w:rFonts w:hint="eastAsia"/>
                <w:color w:val="auto"/>
                <w:sz w:val="21"/>
                <w:szCs w:val="21"/>
                <w:highlight w:val="none"/>
              </w:rPr>
              <w:t>-1</w:t>
            </w:r>
            <w:r>
              <w:rPr>
                <w:rFonts w:hint="eastAsia"/>
                <w:color w:val="auto"/>
                <w:sz w:val="21"/>
                <w:szCs w:val="21"/>
                <w:highlight w:val="none"/>
                <w:lang w:val="en-US" w:eastAsia="zh-CN"/>
              </w:rPr>
              <w:t>6</w:t>
            </w:r>
            <w:r>
              <w:rPr>
                <w:rFonts w:hint="eastAsia"/>
                <w:color w:val="auto"/>
                <w:sz w:val="21"/>
                <w:szCs w:val="21"/>
                <w:highlight w:val="none"/>
              </w:rPr>
              <w:t>分</w:t>
            </w:r>
          </w:p>
        </w:tc>
      </w:tr>
      <w:tr>
        <w:tblPrEx>
          <w:tblCellMar>
            <w:top w:w="15" w:type="dxa"/>
            <w:left w:w="15" w:type="dxa"/>
            <w:bottom w:w="15" w:type="dxa"/>
            <w:right w:w="15" w:type="dxa"/>
          </w:tblCellMar>
        </w:tblPrEx>
        <w:trPr>
          <w:trHeight w:val="1364" w:hRule="atLeast"/>
          <w:jc w:val="center"/>
        </w:trPr>
        <w:tc>
          <w:tcPr>
            <w:tcW w:w="444" w:type="dxa"/>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r>
              <w:rPr>
                <w:rFonts w:hint="eastAsia"/>
                <w:color w:val="auto"/>
                <w:sz w:val="21"/>
                <w:szCs w:val="21"/>
                <w:highlight w:val="none"/>
              </w:rPr>
              <w:t>5</w:t>
            </w:r>
          </w:p>
        </w:tc>
        <w:tc>
          <w:tcPr>
            <w:tcW w:w="1772" w:type="dxa"/>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widowControl/>
              <w:kinsoku/>
              <w:overflowPunct/>
              <w:topLinePunct w:val="0"/>
              <w:bidi w:val="0"/>
              <w:adjustRightInd/>
              <w:snapToGrid/>
              <w:spacing w:line="360" w:lineRule="exact"/>
              <w:textAlignment w:val="center"/>
              <w:rPr>
                <w:color w:val="auto"/>
                <w:sz w:val="21"/>
                <w:szCs w:val="21"/>
                <w:highlight w:val="none"/>
              </w:rPr>
            </w:pPr>
            <w:r>
              <w:rPr>
                <w:rFonts w:hint="eastAsia"/>
                <w:color w:val="auto"/>
                <w:sz w:val="21"/>
                <w:szCs w:val="21"/>
                <w:highlight w:val="none"/>
              </w:rPr>
              <w:t>招标项目的特点、重点、难点、关键技术问题的认识、理解、思路及其对策措施</w:t>
            </w:r>
          </w:p>
        </w:tc>
        <w:tc>
          <w:tcPr>
            <w:tcW w:w="6721" w:type="dxa"/>
            <w:tcBorders>
              <w:top w:val="single" w:color="auto" w:sz="4" w:space="0"/>
              <w:left w:val="single" w:color="000000" w:sz="4" w:space="0"/>
              <w:bottom w:val="single" w:color="auto" w:sz="4" w:space="0"/>
              <w:right w:val="single" w:color="000000" w:sz="4" w:space="0"/>
            </w:tcBorders>
            <w:noWrap/>
            <w:vAlign w:val="center"/>
          </w:tcPr>
          <w:p>
            <w:pPr>
              <w:pStyle w:val="36"/>
              <w:keepNext w:val="0"/>
              <w:keepLines w:val="0"/>
              <w:pageBreakBefore w:val="0"/>
              <w:kinsoku/>
              <w:wordWrap w:val="0"/>
              <w:overflowPunct/>
              <w:topLinePunct w:val="0"/>
              <w:bidi w:val="0"/>
              <w:adjustRightInd/>
              <w:snapToGrid/>
              <w:spacing w:line="360" w:lineRule="exact"/>
              <w:rPr>
                <w:rFonts w:hint="default" w:cs="宋体"/>
                <w:color w:val="auto"/>
                <w:sz w:val="21"/>
                <w:szCs w:val="21"/>
                <w:highlight w:val="none"/>
                <w:lang w:val="zh-CN" w:bidi="zh-CN"/>
              </w:rPr>
            </w:pPr>
            <w:r>
              <w:rPr>
                <w:rFonts w:hint="eastAsia" w:cs="宋体"/>
                <w:color w:val="auto"/>
                <w:sz w:val="21"/>
                <w:szCs w:val="21"/>
                <w:highlight w:val="none"/>
                <w:lang w:val="en-US" w:bidi="zh-CN"/>
              </w:rPr>
              <w:t>根据</w:t>
            </w:r>
            <w:r>
              <w:rPr>
                <w:rFonts w:cs="宋体"/>
                <w:color w:val="auto"/>
                <w:sz w:val="21"/>
                <w:szCs w:val="21"/>
                <w:highlight w:val="none"/>
                <w:lang w:val="zh-CN" w:bidi="zh-CN"/>
              </w:rPr>
              <w:t>本项目特点、重点、难点、关键技术问题等理解、思路、对策、把握程度进行酌情加分，一般的得基本分 11.0～1</w:t>
            </w:r>
            <w:r>
              <w:rPr>
                <w:rFonts w:hint="eastAsia" w:cs="宋体"/>
                <w:color w:val="auto"/>
                <w:sz w:val="21"/>
                <w:szCs w:val="21"/>
                <w:highlight w:val="none"/>
                <w:lang w:val="en-US" w:bidi="zh-CN"/>
              </w:rPr>
              <w:t>1</w:t>
            </w:r>
            <w:r>
              <w:rPr>
                <w:rFonts w:cs="宋体"/>
                <w:color w:val="auto"/>
                <w:sz w:val="21"/>
                <w:szCs w:val="21"/>
                <w:highlight w:val="none"/>
                <w:lang w:val="zh-CN" w:bidi="zh-CN"/>
              </w:rPr>
              <w:t>.9 分，较好的得 12.0～1</w:t>
            </w:r>
            <w:r>
              <w:rPr>
                <w:rFonts w:hint="eastAsia" w:cs="宋体"/>
                <w:color w:val="auto"/>
                <w:sz w:val="21"/>
                <w:szCs w:val="21"/>
                <w:highlight w:val="none"/>
                <w:lang w:val="en-US" w:bidi="zh-CN"/>
              </w:rPr>
              <w:t>2</w:t>
            </w:r>
            <w:r>
              <w:rPr>
                <w:rFonts w:cs="宋体"/>
                <w:color w:val="auto"/>
                <w:sz w:val="21"/>
                <w:szCs w:val="21"/>
                <w:highlight w:val="none"/>
                <w:lang w:val="zh-CN" w:bidi="zh-CN"/>
              </w:rPr>
              <w:t>.9 分，好的得 1</w:t>
            </w:r>
            <w:r>
              <w:rPr>
                <w:rFonts w:hint="eastAsia" w:cs="宋体"/>
                <w:color w:val="auto"/>
                <w:sz w:val="21"/>
                <w:szCs w:val="21"/>
                <w:highlight w:val="none"/>
                <w:lang w:val="en-US" w:bidi="zh-CN"/>
              </w:rPr>
              <w:t>3</w:t>
            </w:r>
            <w:r>
              <w:rPr>
                <w:rFonts w:cs="宋体"/>
                <w:color w:val="auto"/>
                <w:sz w:val="21"/>
                <w:szCs w:val="21"/>
                <w:highlight w:val="none"/>
                <w:lang w:val="zh-CN" w:bidi="zh-CN"/>
              </w:rPr>
              <w:t>.0～1</w:t>
            </w:r>
            <w:r>
              <w:rPr>
                <w:rFonts w:hint="eastAsia" w:cs="宋体"/>
                <w:color w:val="auto"/>
                <w:sz w:val="21"/>
                <w:szCs w:val="21"/>
                <w:highlight w:val="none"/>
                <w:lang w:val="en-US" w:bidi="zh-CN"/>
              </w:rPr>
              <w:t>4</w:t>
            </w:r>
            <w:r>
              <w:rPr>
                <w:rFonts w:cs="宋体"/>
                <w:color w:val="auto"/>
                <w:sz w:val="21"/>
                <w:szCs w:val="21"/>
                <w:highlight w:val="none"/>
                <w:lang w:val="zh-CN" w:bidi="zh-CN"/>
              </w:rPr>
              <w:t>.0 分，缺项不得分。</w:t>
            </w:r>
          </w:p>
        </w:tc>
        <w:tc>
          <w:tcPr>
            <w:tcW w:w="785" w:type="dxa"/>
            <w:tcBorders>
              <w:top w:val="single" w:color="auto" w:sz="4" w:space="0"/>
              <w:left w:val="single" w:color="000000" w:sz="4" w:space="0"/>
              <w:bottom w:val="single" w:color="000000" w:sz="4" w:space="0"/>
              <w:right w:val="single" w:color="auto"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r>
              <w:rPr>
                <w:rFonts w:hint="eastAsia"/>
                <w:color w:val="auto"/>
                <w:sz w:val="21"/>
                <w:szCs w:val="21"/>
                <w:highlight w:val="none"/>
              </w:rPr>
              <w:t>11-1</w:t>
            </w:r>
            <w:r>
              <w:rPr>
                <w:rFonts w:hint="eastAsia"/>
                <w:color w:val="auto"/>
                <w:sz w:val="21"/>
                <w:szCs w:val="21"/>
                <w:highlight w:val="none"/>
                <w:lang w:val="en-US" w:eastAsia="zh-CN"/>
              </w:rPr>
              <w:t>4</w:t>
            </w:r>
            <w:r>
              <w:rPr>
                <w:rFonts w:hint="eastAsia"/>
                <w:color w:val="auto"/>
                <w:sz w:val="21"/>
                <w:szCs w:val="21"/>
                <w:highlight w:val="none"/>
              </w:rPr>
              <w:t>分</w:t>
            </w:r>
          </w:p>
        </w:tc>
      </w:tr>
      <w:tr>
        <w:tblPrEx>
          <w:tblCellMar>
            <w:top w:w="15" w:type="dxa"/>
            <w:left w:w="15" w:type="dxa"/>
            <w:bottom w:w="15" w:type="dxa"/>
            <w:right w:w="15" w:type="dxa"/>
          </w:tblCellMar>
        </w:tblPrEx>
        <w:trPr>
          <w:jc w:val="center"/>
        </w:trPr>
        <w:tc>
          <w:tcPr>
            <w:tcW w:w="444" w:type="dxa"/>
            <w:tcBorders>
              <w:top w:val="single" w:color="000000" w:sz="4" w:space="0"/>
              <w:left w:val="single" w:color="auto" w:sz="4" w:space="0"/>
              <w:bottom w:val="single" w:color="auto" w:sz="4" w:space="0"/>
              <w:right w:val="single" w:color="000000"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r>
              <w:rPr>
                <w:rFonts w:hint="eastAsia"/>
                <w:color w:val="auto"/>
                <w:sz w:val="21"/>
                <w:szCs w:val="21"/>
                <w:highlight w:val="none"/>
                <w:lang w:val="en-US"/>
              </w:rPr>
              <w:t>6</w:t>
            </w:r>
          </w:p>
        </w:tc>
        <w:tc>
          <w:tcPr>
            <w:tcW w:w="1772"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kinsoku/>
              <w:overflowPunct/>
              <w:topLinePunct w:val="0"/>
              <w:bidi w:val="0"/>
              <w:adjustRightInd/>
              <w:snapToGrid/>
              <w:spacing w:line="360" w:lineRule="exact"/>
              <w:textAlignment w:val="center"/>
              <w:rPr>
                <w:color w:val="auto"/>
                <w:sz w:val="21"/>
                <w:szCs w:val="21"/>
                <w:highlight w:val="none"/>
              </w:rPr>
            </w:pPr>
            <w:r>
              <w:rPr>
                <w:rFonts w:hint="eastAsia"/>
                <w:color w:val="auto"/>
                <w:sz w:val="21"/>
                <w:szCs w:val="21"/>
                <w:highlight w:val="none"/>
              </w:rPr>
              <w:t>招标项目工作量、建设安排及计划安排</w:t>
            </w:r>
          </w:p>
        </w:tc>
        <w:tc>
          <w:tcPr>
            <w:tcW w:w="6721" w:type="dxa"/>
            <w:tcBorders>
              <w:top w:val="single" w:color="000000" w:sz="4" w:space="0"/>
              <w:left w:val="single" w:color="000000" w:sz="4" w:space="0"/>
              <w:bottom w:val="single" w:color="auto" w:sz="4" w:space="0"/>
              <w:right w:val="single" w:color="000000" w:sz="4" w:space="0"/>
            </w:tcBorders>
            <w:noWrap/>
            <w:vAlign w:val="center"/>
          </w:tcPr>
          <w:p>
            <w:pPr>
              <w:pStyle w:val="36"/>
              <w:keepNext w:val="0"/>
              <w:keepLines w:val="0"/>
              <w:pageBreakBefore w:val="0"/>
              <w:kinsoku/>
              <w:wordWrap w:val="0"/>
              <w:overflowPunct/>
              <w:topLinePunct w:val="0"/>
              <w:bidi w:val="0"/>
              <w:adjustRightInd/>
              <w:snapToGrid/>
              <w:spacing w:line="360" w:lineRule="exact"/>
              <w:textAlignment w:val="center"/>
              <w:rPr>
                <w:rFonts w:hint="default" w:cs="宋体"/>
                <w:color w:val="auto"/>
                <w:sz w:val="21"/>
                <w:szCs w:val="21"/>
                <w:highlight w:val="none"/>
                <w:lang w:val="zh-CN" w:bidi="zh-CN"/>
              </w:rPr>
            </w:pPr>
            <w:r>
              <w:rPr>
                <w:rFonts w:hint="eastAsia" w:cs="宋体"/>
                <w:color w:val="auto"/>
                <w:sz w:val="21"/>
                <w:szCs w:val="21"/>
                <w:highlight w:val="none"/>
                <w:lang w:val="en-US" w:bidi="zh-CN"/>
              </w:rPr>
              <w:t>根据</w:t>
            </w:r>
            <w:r>
              <w:rPr>
                <w:rFonts w:cs="宋体"/>
                <w:color w:val="auto"/>
                <w:sz w:val="21"/>
                <w:szCs w:val="21"/>
                <w:highlight w:val="none"/>
                <w:lang w:val="zh-CN" w:bidi="zh-CN"/>
              </w:rPr>
              <w:t>本项目工程量及各项安排的合理程度进行酌情加分，一般的得基本分 11.0～11.9 分，较好的得 12.0～12.9 分，好的得 13.0～1</w:t>
            </w:r>
            <w:r>
              <w:rPr>
                <w:rFonts w:hint="eastAsia" w:cs="宋体"/>
                <w:color w:val="auto"/>
                <w:sz w:val="21"/>
                <w:szCs w:val="21"/>
                <w:highlight w:val="none"/>
                <w:lang w:val="en-US" w:bidi="zh-CN"/>
              </w:rPr>
              <w:t>5</w:t>
            </w:r>
            <w:r>
              <w:rPr>
                <w:rFonts w:cs="宋体"/>
                <w:color w:val="auto"/>
                <w:sz w:val="21"/>
                <w:szCs w:val="21"/>
                <w:highlight w:val="none"/>
                <w:lang w:val="zh-CN" w:bidi="zh-CN"/>
              </w:rPr>
              <w:t>.0 分，缺项不得分。</w:t>
            </w:r>
          </w:p>
        </w:tc>
        <w:tc>
          <w:tcPr>
            <w:tcW w:w="78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r>
              <w:rPr>
                <w:rFonts w:hint="eastAsia"/>
                <w:color w:val="auto"/>
                <w:sz w:val="21"/>
                <w:szCs w:val="21"/>
                <w:highlight w:val="none"/>
              </w:rPr>
              <w:t>11-1</w:t>
            </w:r>
            <w:r>
              <w:rPr>
                <w:rFonts w:hint="eastAsia"/>
                <w:color w:val="auto"/>
                <w:sz w:val="21"/>
                <w:szCs w:val="21"/>
                <w:highlight w:val="none"/>
                <w:lang w:val="en-US" w:eastAsia="zh-CN"/>
              </w:rPr>
              <w:t>5</w:t>
            </w:r>
            <w:r>
              <w:rPr>
                <w:rFonts w:hint="eastAsia"/>
                <w:color w:val="auto"/>
                <w:sz w:val="21"/>
                <w:szCs w:val="21"/>
                <w:highlight w:val="none"/>
              </w:rPr>
              <w:t>分</w:t>
            </w:r>
          </w:p>
        </w:tc>
      </w:tr>
      <w:tr>
        <w:tblPrEx>
          <w:tblCellMar>
            <w:top w:w="15" w:type="dxa"/>
            <w:left w:w="15" w:type="dxa"/>
            <w:bottom w:w="15" w:type="dxa"/>
            <w:right w:w="15" w:type="dxa"/>
          </w:tblCellMar>
        </w:tblPrEx>
        <w:trPr>
          <w:jc w:val="center"/>
        </w:trPr>
        <w:tc>
          <w:tcPr>
            <w:tcW w:w="444" w:type="dxa"/>
            <w:tcBorders>
              <w:left w:val="single" w:color="auto" w:sz="4" w:space="0"/>
              <w:bottom w:val="single" w:color="auto" w:sz="4" w:space="0"/>
              <w:right w:val="single" w:color="000000"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r>
              <w:rPr>
                <w:rFonts w:hint="eastAsia"/>
                <w:color w:val="auto"/>
                <w:sz w:val="21"/>
                <w:szCs w:val="21"/>
                <w:highlight w:val="none"/>
                <w:lang w:val="en-US"/>
              </w:rPr>
              <w:t>7</w:t>
            </w:r>
          </w:p>
        </w:tc>
        <w:tc>
          <w:tcPr>
            <w:tcW w:w="1772"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kinsoku/>
              <w:overflowPunct/>
              <w:topLinePunct w:val="0"/>
              <w:bidi w:val="0"/>
              <w:adjustRightInd/>
              <w:snapToGrid/>
              <w:spacing w:line="360" w:lineRule="exact"/>
              <w:textAlignment w:val="center"/>
              <w:rPr>
                <w:color w:val="auto"/>
                <w:sz w:val="21"/>
                <w:szCs w:val="21"/>
                <w:highlight w:val="none"/>
              </w:rPr>
            </w:pPr>
            <w:r>
              <w:rPr>
                <w:color w:val="auto"/>
                <w:sz w:val="21"/>
                <w:szCs w:val="21"/>
                <w:highlight w:val="none"/>
              </w:rPr>
              <w:t>招标项目的投资估算、资金筹措以及项目经济、节能分析评价</w:t>
            </w:r>
          </w:p>
        </w:tc>
        <w:tc>
          <w:tcPr>
            <w:tcW w:w="6721"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kinsoku/>
              <w:overflowPunct/>
              <w:topLinePunct w:val="0"/>
              <w:bidi w:val="0"/>
              <w:adjustRightInd/>
              <w:snapToGrid/>
              <w:spacing w:line="360" w:lineRule="exact"/>
              <w:textAlignment w:val="center"/>
              <w:rPr>
                <w:color w:val="auto"/>
                <w:sz w:val="21"/>
                <w:szCs w:val="21"/>
                <w:highlight w:val="none"/>
              </w:rPr>
            </w:pPr>
            <w:r>
              <w:rPr>
                <w:rFonts w:hint="eastAsia"/>
                <w:color w:val="auto"/>
                <w:sz w:val="21"/>
                <w:szCs w:val="21"/>
                <w:highlight w:val="none"/>
                <w:lang w:val="en-US" w:eastAsia="zh-CN"/>
              </w:rPr>
              <w:t>根据</w:t>
            </w:r>
            <w:r>
              <w:rPr>
                <w:color w:val="auto"/>
                <w:sz w:val="21"/>
                <w:szCs w:val="21"/>
                <w:highlight w:val="none"/>
              </w:rPr>
              <w:t>各项估算、评价指标是否科学、合理进行酌情加分，一般的得基本分 8.5～8.9 分，较好的得 9.0～9.4 分，好的得 9.5～10.0 分，缺项不得分。</w:t>
            </w:r>
          </w:p>
        </w:tc>
        <w:tc>
          <w:tcPr>
            <w:tcW w:w="78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r>
              <w:rPr>
                <w:rFonts w:hint="eastAsia"/>
                <w:color w:val="auto"/>
                <w:sz w:val="21"/>
                <w:szCs w:val="21"/>
                <w:highlight w:val="none"/>
              </w:rPr>
              <w:t>8.5-10分</w:t>
            </w:r>
          </w:p>
        </w:tc>
      </w:tr>
      <w:tr>
        <w:tblPrEx>
          <w:tblCellMar>
            <w:top w:w="15" w:type="dxa"/>
            <w:left w:w="15" w:type="dxa"/>
            <w:bottom w:w="15" w:type="dxa"/>
            <w:right w:w="15" w:type="dxa"/>
          </w:tblCellMar>
        </w:tblPrEx>
        <w:trPr>
          <w:jc w:val="center"/>
        </w:trPr>
        <w:tc>
          <w:tcPr>
            <w:tcW w:w="44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r>
              <w:rPr>
                <w:rFonts w:hint="eastAsia"/>
                <w:color w:val="auto"/>
                <w:sz w:val="21"/>
                <w:szCs w:val="21"/>
                <w:highlight w:val="none"/>
                <w:lang w:val="en-US"/>
              </w:rPr>
              <w:t>8</w:t>
            </w:r>
          </w:p>
        </w:tc>
        <w:tc>
          <w:tcPr>
            <w:tcW w:w="177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overflowPunct/>
              <w:topLinePunct w:val="0"/>
              <w:bidi w:val="0"/>
              <w:adjustRightInd/>
              <w:snapToGrid/>
              <w:spacing w:line="360" w:lineRule="exact"/>
              <w:textAlignment w:val="center"/>
              <w:rPr>
                <w:color w:val="auto"/>
                <w:sz w:val="21"/>
                <w:szCs w:val="21"/>
                <w:highlight w:val="none"/>
              </w:rPr>
            </w:pPr>
            <w:r>
              <w:rPr>
                <w:color w:val="auto"/>
                <w:sz w:val="21"/>
                <w:szCs w:val="21"/>
                <w:highlight w:val="none"/>
              </w:rPr>
              <w:t>各项后续服务工作的安排、配合及保证措施、其他问题与建议等</w:t>
            </w:r>
          </w:p>
        </w:tc>
        <w:tc>
          <w:tcPr>
            <w:tcW w:w="6721"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overflowPunct/>
              <w:topLinePunct w:val="0"/>
              <w:bidi w:val="0"/>
              <w:adjustRightInd/>
              <w:snapToGrid/>
              <w:spacing w:line="360" w:lineRule="exact"/>
              <w:textAlignment w:val="center"/>
              <w:rPr>
                <w:color w:val="auto"/>
                <w:sz w:val="21"/>
                <w:szCs w:val="21"/>
                <w:highlight w:val="none"/>
              </w:rPr>
            </w:pPr>
            <w:r>
              <w:rPr>
                <w:rFonts w:hint="eastAsia"/>
                <w:color w:val="auto"/>
                <w:sz w:val="21"/>
                <w:szCs w:val="21"/>
                <w:highlight w:val="none"/>
                <w:lang w:val="en-US" w:eastAsia="zh-CN"/>
              </w:rPr>
              <w:t>根据</w:t>
            </w:r>
            <w:r>
              <w:rPr>
                <w:color w:val="auto"/>
                <w:sz w:val="21"/>
                <w:szCs w:val="21"/>
                <w:highlight w:val="none"/>
              </w:rPr>
              <w:t>各项后续服务工作的安排、配合及保证措施、其他问题与建议（如潜在风险及对策等）的理解把握程度进行酌情加分，一般的得基本分 8.5～8.9 分，较好的得 9.0～9.4 分，好的得 9.5～10.0 分，缺项不得分。</w:t>
            </w:r>
          </w:p>
        </w:tc>
        <w:tc>
          <w:tcPr>
            <w:tcW w:w="785" w:type="dxa"/>
            <w:tcBorders>
              <w:top w:val="single" w:color="000000" w:sz="4" w:space="0"/>
              <w:left w:val="single" w:color="auto" w:sz="4" w:space="0"/>
              <w:bottom w:val="single" w:color="000000" w:sz="4" w:space="0"/>
              <w:right w:val="single" w:color="auto"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r>
              <w:rPr>
                <w:color w:val="auto"/>
                <w:sz w:val="21"/>
                <w:szCs w:val="21"/>
                <w:highlight w:val="none"/>
              </w:rPr>
              <w:t>8.5-10分</w:t>
            </w:r>
          </w:p>
        </w:tc>
      </w:tr>
      <w:tr>
        <w:tblPrEx>
          <w:tblCellMar>
            <w:top w:w="15" w:type="dxa"/>
            <w:left w:w="15" w:type="dxa"/>
            <w:bottom w:w="15" w:type="dxa"/>
            <w:right w:w="15" w:type="dxa"/>
          </w:tblCellMar>
        </w:tblPrEx>
        <w:trPr>
          <w:trHeight w:val="1043" w:hRule="exact"/>
          <w:jc w:val="center"/>
        </w:trPr>
        <w:tc>
          <w:tcPr>
            <w:tcW w:w="9722" w:type="dxa"/>
            <w:gridSpan w:val="4"/>
            <w:tcBorders>
              <w:top w:val="single" w:color="auto" w:sz="4" w:space="0"/>
              <w:left w:val="single" w:color="000000" w:sz="4" w:space="0"/>
              <w:bottom w:val="single" w:color="auto" w:sz="4" w:space="0"/>
              <w:right w:val="single" w:color="000000" w:sz="4" w:space="0"/>
            </w:tcBorders>
            <w:noWrap/>
            <w:vAlign w:val="center"/>
          </w:tcPr>
          <w:p>
            <w:pPr>
              <w:pStyle w:val="36"/>
              <w:keepNext w:val="0"/>
              <w:keepLines w:val="0"/>
              <w:pageBreakBefore w:val="0"/>
              <w:kinsoku/>
              <w:overflowPunct/>
              <w:topLinePunct w:val="0"/>
              <w:bidi w:val="0"/>
              <w:adjustRightInd/>
              <w:snapToGrid/>
              <w:spacing w:line="360" w:lineRule="exact"/>
              <w:rPr>
                <w:rFonts w:hint="default"/>
                <w:color w:val="auto"/>
                <w:sz w:val="21"/>
                <w:szCs w:val="21"/>
                <w:highlight w:val="none"/>
              </w:rPr>
            </w:pPr>
            <w:r>
              <w:rPr>
                <w:b/>
                <w:bCs/>
                <w:color w:val="auto"/>
                <w:sz w:val="21"/>
                <w:szCs w:val="21"/>
                <w:highlight w:val="none"/>
              </w:rPr>
              <w:t>投标时提供相关证书、证明材料及证件的扫描件并加盖单位公章，投标人应确保上述证书、证明材料及文件的真实性、相关内容可辨别并保证清晰度。否则投标人应自行考虑是否能被评标委员会所接受的风险。</w:t>
            </w:r>
          </w:p>
        </w:tc>
      </w:tr>
    </w:tbl>
    <w:p>
      <w:pPr>
        <w:pStyle w:val="25"/>
        <w:ind w:left="0" w:leftChars="0" w:firstLine="0" w:firstLineChars="0"/>
        <w:rPr>
          <w:rFonts w:ascii="宋体" w:hAnsi="宋体"/>
          <w:b/>
          <w:highlight w:val="none"/>
        </w:rPr>
      </w:pPr>
    </w:p>
    <w:p>
      <w:pPr>
        <w:spacing w:line="360" w:lineRule="auto"/>
        <w:ind w:firstLine="422" w:firstLineChars="200"/>
        <w:jc w:val="both"/>
        <w:rPr>
          <w:sz w:val="21"/>
          <w:highlight w:val="none"/>
        </w:rPr>
      </w:pPr>
      <w:r>
        <w:rPr>
          <w:rFonts w:hint="eastAsia"/>
          <w:b/>
          <w:sz w:val="21"/>
          <w:highlight w:val="none"/>
        </w:rPr>
        <w:t>四、价格分</w:t>
      </w:r>
      <w:r>
        <w:rPr>
          <w:rFonts w:hint="eastAsia"/>
          <w:sz w:val="21"/>
          <w:highlight w:val="none"/>
        </w:rPr>
        <w:t xml:space="preserve">（满分为 </w:t>
      </w:r>
      <w:r>
        <w:rPr>
          <w:rFonts w:hint="eastAsia"/>
          <w:sz w:val="21"/>
          <w:highlight w:val="none"/>
          <w:lang w:val="en-US"/>
        </w:rPr>
        <w:t>20</w:t>
      </w:r>
      <w:r>
        <w:rPr>
          <w:rFonts w:hint="eastAsia"/>
          <w:sz w:val="21"/>
          <w:highlight w:val="none"/>
        </w:rPr>
        <w:t xml:space="preserve"> 分）</w:t>
      </w:r>
    </w:p>
    <w:p>
      <w:pPr>
        <w:pStyle w:val="34"/>
        <w:tabs>
          <w:tab w:val="left" w:pos="1026"/>
        </w:tabs>
        <w:spacing w:line="360" w:lineRule="auto"/>
        <w:ind w:left="0" w:firstLineChars="200"/>
        <w:jc w:val="both"/>
        <w:rPr>
          <w:sz w:val="21"/>
          <w:szCs w:val="21"/>
          <w:highlight w:val="none"/>
        </w:rPr>
      </w:pPr>
      <w:r>
        <w:rPr>
          <w:rFonts w:hint="eastAsia"/>
          <w:sz w:val="21"/>
          <w:szCs w:val="21"/>
          <w:highlight w:val="none"/>
          <w:lang w:val="en-US"/>
        </w:rPr>
        <w:t xml:space="preserve">4.1 </w:t>
      </w:r>
      <w:r>
        <w:rPr>
          <w:rFonts w:hint="eastAsia"/>
          <w:sz w:val="21"/>
          <w:szCs w:val="21"/>
          <w:highlight w:val="none"/>
        </w:rPr>
        <w:t>价格标的开启：技术资信入围投标人确定后，将开启合格投标人的价格标，公开宣读并由投标人</w:t>
      </w:r>
    </w:p>
    <w:p>
      <w:pPr>
        <w:pStyle w:val="34"/>
        <w:tabs>
          <w:tab w:val="left" w:pos="1026"/>
        </w:tabs>
        <w:spacing w:line="360" w:lineRule="auto"/>
        <w:ind w:left="0" w:firstLineChars="200"/>
        <w:jc w:val="both"/>
        <w:rPr>
          <w:sz w:val="21"/>
          <w:szCs w:val="21"/>
          <w:highlight w:val="none"/>
        </w:rPr>
      </w:pPr>
      <w:r>
        <w:rPr>
          <w:rFonts w:hint="eastAsia"/>
          <w:sz w:val="21"/>
          <w:szCs w:val="21"/>
          <w:highlight w:val="none"/>
        </w:rPr>
        <w:t>确认。对没有合格的投标人价格标将不予开启。</w:t>
      </w:r>
    </w:p>
    <w:p>
      <w:pPr>
        <w:pStyle w:val="34"/>
        <w:tabs>
          <w:tab w:val="left" w:pos="1026"/>
        </w:tabs>
        <w:spacing w:line="360" w:lineRule="auto"/>
        <w:ind w:left="0" w:firstLineChars="200"/>
        <w:jc w:val="both"/>
        <w:rPr>
          <w:sz w:val="21"/>
          <w:szCs w:val="21"/>
          <w:highlight w:val="none"/>
        </w:rPr>
      </w:pPr>
      <w:r>
        <w:rPr>
          <w:rFonts w:hint="eastAsia"/>
          <w:sz w:val="21"/>
          <w:szCs w:val="21"/>
          <w:highlight w:val="none"/>
          <w:lang w:val="en-US"/>
        </w:rPr>
        <w:t xml:space="preserve">4.2 </w:t>
      </w:r>
      <w:r>
        <w:rPr>
          <w:rFonts w:hint="eastAsia"/>
          <w:sz w:val="21"/>
          <w:szCs w:val="21"/>
          <w:highlight w:val="none"/>
        </w:rPr>
        <w:t>价格分采用低价优先法计算，即满足招标文件要求且投标价格最终最低的投标报价（或政策功能</w:t>
      </w:r>
    </w:p>
    <w:p>
      <w:pPr>
        <w:pStyle w:val="34"/>
        <w:tabs>
          <w:tab w:val="left" w:pos="1026"/>
        </w:tabs>
        <w:spacing w:line="360" w:lineRule="auto"/>
        <w:ind w:left="0" w:leftChars="0" w:firstLine="0" w:firstLineChars="0"/>
        <w:jc w:val="both"/>
        <w:rPr>
          <w:sz w:val="21"/>
          <w:szCs w:val="21"/>
          <w:highlight w:val="none"/>
        </w:rPr>
      </w:pPr>
      <w:r>
        <w:rPr>
          <w:rFonts w:hint="eastAsia"/>
          <w:sz w:val="21"/>
          <w:szCs w:val="21"/>
          <w:highlight w:val="none"/>
        </w:rPr>
        <w:t>扣除后的评标价格）为评标基准价，其价格分为满分</w:t>
      </w:r>
      <w:r>
        <w:rPr>
          <w:rFonts w:hint="eastAsia"/>
          <w:spacing w:val="-5"/>
          <w:w w:val="95"/>
          <w:sz w:val="21"/>
          <w:szCs w:val="21"/>
          <w:highlight w:val="none"/>
        </w:rPr>
        <w:t>。</w:t>
      </w:r>
      <w:r>
        <w:rPr>
          <w:rFonts w:hint="eastAsia"/>
          <w:sz w:val="21"/>
          <w:szCs w:val="21"/>
          <w:highlight w:val="none"/>
        </w:rPr>
        <w:t>投标人的价格分按照下列公式计算：</w:t>
      </w:r>
    </w:p>
    <w:p>
      <w:pPr>
        <w:pStyle w:val="9"/>
        <w:spacing w:line="360" w:lineRule="auto"/>
        <w:ind w:left="0" w:firstLine="422" w:firstLineChars="200"/>
        <w:rPr>
          <w:highlight w:val="none"/>
        </w:rPr>
      </w:pPr>
      <w:r>
        <w:rPr>
          <w:rFonts w:hint="eastAsia"/>
          <w:highlight w:val="none"/>
        </w:rPr>
        <w:t>投标报价得分=[评标基准价/投标报价（或政策功能扣除后的评标价格）]×</w:t>
      </w:r>
      <w:r>
        <w:rPr>
          <w:rFonts w:hint="eastAsia"/>
          <w:highlight w:val="none"/>
          <w:lang w:val="en-US"/>
        </w:rPr>
        <w:t>20</w:t>
      </w:r>
      <w:r>
        <w:rPr>
          <w:rFonts w:hint="eastAsia"/>
          <w:highlight w:val="none"/>
        </w:rPr>
        <w:t>%×100</w:t>
      </w:r>
    </w:p>
    <w:p>
      <w:pPr>
        <w:pStyle w:val="34"/>
        <w:tabs>
          <w:tab w:val="left" w:pos="1079"/>
        </w:tabs>
        <w:spacing w:line="360" w:lineRule="auto"/>
        <w:ind w:left="0" w:firstLineChars="200"/>
        <w:jc w:val="both"/>
        <w:rPr>
          <w:sz w:val="21"/>
          <w:szCs w:val="21"/>
          <w:highlight w:val="none"/>
        </w:rPr>
      </w:pPr>
      <w:r>
        <w:rPr>
          <w:rFonts w:hint="eastAsia"/>
          <w:sz w:val="21"/>
          <w:szCs w:val="21"/>
          <w:highlight w:val="none"/>
          <w:lang w:val="en-US"/>
        </w:rPr>
        <w:t xml:space="preserve">4.3 </w:t>
      </w:r>
      <w:r>
        <w:rPr>
          <w:rFonts w:hint="eastAsia"/>
          <w:sz w:val="21"/>
          <w:szCs w:val="21"/>
          <w:highlight w:val="none"/>
        </w:rPr>
        <w:t>政策功能的评标价格扣除</w:t>
      </w:r>
    </w:p>
    <w:p>
      <w:pPr>
        <w:pStyle w:val="34"/>
        <w:tabs>
          <w:tab w:val="left" w:pos="1183"/>
        </w:tabs>
        <w:spacing w:line="360" w:lineRule="auto"/>
        <w:ind w:left="0" w:firstLineChars="200"/>
        <w:jc w:val="both"/>
        <w:rPr>
          <w:sz w:val="21"/>
          <w:szCs w:val="21"/>
          <w:highlight w:val="none"/>
        </w:rPr>
      </w:pPr>
      <w:r>
        <w:rPr>
          <w:rFonts w:hint="eastAsia"/>
          <w:sz w:val="21"/>
          <w:szCs w:val="21"/>
          <w:highlight w:val="none"/>
        </w:rPr>
        <w:t>（</w:t>
      </w:r>
      <w:r>
        <w:rPr>
          <w:rFonts w:hint="eastAsia"/>
          <w:sz w:val="21"/>
          <w:szCs w:val="21"/>
          <w:highlight w:val="none"/>
          <w:lang w:val="en-US"/>
        </w:rPr>
        <w:t>1</w:t>
      </w:r>
      <w:r>
        <w:rPr>
          <w:rFonts w:hint="eastAsia"/>
          <w:sz w:val="21"/>
          <w:szCs w:val="21"/>
          <w:highlight w:val="none"/>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属于小型和微型企业的，投标人应在</w:t>
      </w:r>
      <w:r>
        <w:rPr>
          <w:rFonts w:hint="eastAsia"/>
          <w:spacing w:val="-5"/>
          <w:sz w:val="21"/>
          <w:szCs w:val="21"/>
          <w:highlight w:val="none"/>
        </w:rPr>
        <w:t>报价文件中提供《中小企业声明函》（见附件）；</w:t>
      </w:r>
    </w:p>
    <w:p>
      <w:pPr>
        <w:pStyle w:val="34"/>
        <w:tabs>
          <w:tab w:val="left" w:pos="1183"/>
        </w:tabs>
        <w:spacing w:line="360" w:lineRule="auto"/>
        <w:ind w:left="0" w:firstLine="404" w:firstLineChars="200"/>
        <w:rPr>
          <w:spacing w:val="-4"/>
          <w:sz w:val="21"/>
          <w:szCs w:val="21"/>
          <w:highlight w:val="none"/>
        </w:rPr>
      </w:pPr>
      <w:r>
        <w:rPr>
          <w:rFonts w:hint="eastAsia"/>
          <w:spacing w:val="-4"/>
          <w:sz w:val="21"/>
          <w:szCs w:val="21"/>
          <w:highlight w:val="none"/>
        </w:rPr>
        <w:t>（</w:t>
      </w:r>
      <w:r>
        <w:rPr>
          <w:rFonts w:hint="eastAsia"/>
          <w:spacing w:val="-4"/>
          <w:sz w:val="21"/>
          <w:szCs w:val="21"/>
          <w:highlight w:val="none"/>
          <w:lang w:val="en-US"/>
        </w:rPr>
        <w:t>2</w:t>
      </w:r>
      <w:r>
        <w:rPr>
          <w:rFonts w:hint="eastAsia"/>
          <w:spacing w:val="-4"/>
          <w:sz w:val="21"/>
          <w:szCs w:val="21"/>
          <w:highlight w:val="none"/>
        </w:rPr>
        <w:t>）监狱企业参加政府采购活动时，应当提供由省级以上监狱管理局、戒毒管理局</w:t>
      </w:r>
      <w:r>
        <w:rPr>
          <w:rFonts w:hint="eastAsia"/>
          <w:sz w:val="21"/>
          <w:szCs w:val="21"/>
          <w:highlight w:val="none"/>
        </w:rPr>
        <w:t>（含新疆生产</w:t>
      </w:r>
      <w:r>
        <w:rPr>
          <w:rFonts w:hint="eastAsia"/>
          <w:spacing w:val="-4"/>
          <w:sz w:val="21"/>
          <w:szCs w:val="21"/>
          <w:highlight w:val="none"/>
        </w:rPr>
        <w:t>建设兵团）出具的属于监狱企业的证明文件，视同小型、微型企业，享受小微企业政府采购优惠政策；</w:t>
      </w:r>
    </w:p>
    <w:p>
      <w:pPr>
        <w:pStyle w:val="34"/>
        <w:tabs>
          <w:tab w:val="left" w:pos="1183"/>
        </w:tabs>
        <w:spacing w:line="360" w:lineRule="auto"/>
        <w:ind w:left="0" w:firstLine="404" w:firstLineChars="200"/>
        <w:rPr>
          <w:sz w:val="21"/>
          <w:szCs w:val="21"/>
          <w:highlight w:val="none"/>
        </w:rPr>
      </w:pPr>
      <w:r>
        <w:rPr>
          <w:rFonts w:hint="eastAsia"/>
          <w:spacing w:val="-4"/>
          <w:sz w:val="21"/>
          <w:szCs w:val="21"/>
          <w:highlight w:val="none"/>
        </w:rPr>
        <w:t>（</w:t>
      </w:r>
      <w:r>
        <w:rPr>
          <w:rFonts w:hint="eastAsia"/>
          <w:spacing w:val="-4"/>
          <w:sz w:val="21"/>
          <w:szCs w:val="21"/>
          <w:highlight w:val="none"/>
          <w:lang w:val="en-US"/>
        </w:rPr>
        <w:t>3</w:t>
      </w:r>
      <w:r>
        <w:rPr>
          <w:rFonts w:hint="eastAsia"/>
          <w:spacing w:val="-4"/>
          <w:sz w:val="21"/>
          <w:szCs w:val="21"/>
          <w:highlight w:val="none"/>
        </w:rPr>
        <w:t>）残疾人福利性单位在参加政府采购活动时，应提供《残疾人福利性单位声明函》（见附件），</w:t>
      </w:r>
      <w:r>
        <w:rPr>
          <w:rFonts w:hint="eastAsia"/>
          <w:sz w:val="21"/>
          <w:szCs w:val="21"/>
          <w:highlight w:val="none"/>
        </w:rPr>
        <w:t>视同</w:t>
      </w:r>
    </w:p>
    <w:p>
      <w:pPr>
        <w:pStyle w:val="34"/>
        <w:tabs>
          <w:tab w:val="left" w:pos="1183"/>
        </w:tabs>
        <w:spacing w:line="360" w:lineRule="auto"/>
        <w:ind w:left="0" w:leftChars="0" w:firstLine="0" w:firstLineChars="0"/>
        <w:rPr>
          <w:sz w:val="21"/>
          <w:szCs w:val="21"/>
          <w:highlight w:val="none"/>
        </w:rPr>
      </w:pPr>
      <w:r>
        <w:rPr>
          <w:rFonts w:hint="eastAsia"/>
          <w:sz w:val="21"/>
          <w:szCs w:val="21"/>
          <w:highlight w:val="none"/>
        </w:rPr>
        <w:t>小型、微型企业，享受小微企业政府采购优惠政策。</w:t>
      </w:r>
    </w:p>
    <w:p>
      <w:pPr>
        <w:spacing w:line="360" w:lineRule="auto"/>
        <w:ind w:firstLine="422" w:firstLineChars="200"/>
        <w:jc w:val="both"/>
        <w:rPr>
          <w:sz w:val="21"/>
          <w:szCs w:val="21"/>
          <w:highlight w:val="none"/>
        </w:rPr>
      </w:pPr>
      <w:r>
        <w:rPr>
          <w:rFonts w:hint="eastAsia"/>
          <w:b/>
          <w:bCs/>
          <w:sz w:val="21"/>
          <w:szCs w:val="21"/>
          <w:highlight w:val="none"/>
        </w:rPr>
        <w:t>具体优惠：评标委员会根据供应商提供的相关证明材料进行核查，对于提供的证明材料完整有效且属于小型微型企业产品的价格给予 6%的扣除，</w:t>
      </w:r>
      <w:r>
        <w:rPr>
          <w:rFonts w:hint="eastAsia"/>
          <w:spacing w:val="-8"/>
          <w:sz w:val="21"/>
          <w:szCs w:val="21"/>
          <w:highlight w:val="none"/>
        </w:rPr>
        <w:t>用扣除后的价格计取评标基准价和评审报价。同一投</w:t>
      </w:r>
      <w:r>
        <w:rPr>
          <w:rFonts w:hint="eastAsia"/>
          <w:spacing w:val="-4"/>
          <w:sz w:val="21"/>
          <w:szCs w:val="21"/>
          <w:highlight w:val="none"/>
        </w:rPr>
        <w:t>标人（包括联合体），小微企业、监狱企业、残疾人福利性单位价格扣除优惠只享受一次，不得重复享受。</w:t>
      </w:r>
    </w:p>
    <w:p>
      <w:pPr>
        <w:pStyle w:val="34"/>
        <w:tabs>
          <w:tab w:val="left" w:pos="1026"/>
        </w:tabs>
        <w:spacing w:line="360" w:lineRule="auto"/>
        <w:ind w:left="0" w:firstLine="388" w:firstLineChars="200"/>
        <w:jc w:val="both"/>
        <w:rPr>
          <w:rFonts w:hint="default"/>
          <w:highlight w:val="none"/>
          <w:lang w:val="en-US" w:eastAsia="zh-CN"/>
        </w:rPr>
      </w:pPr>
      <w:r>
        <w:rPr>
          <w:rFonts w:hint="eastAsia"/>
          <w:spacing w:val="-8"/>
          <w:sz w:val="21"/>
          <w:highlight w:val="none"/>
          <w:lang w:val="en-US"/>
        </w:rPr>
        <w:t xml:space="preserve">4.4  </w:t>
      </w:r>
      <w:r>
        <w:rPr>
          <w:rFonts w:hint="eastAsia"/>
          <w:spacing w:val="-8"/>
          <w:sz w:val="21"/>
          <w:highlight w:val="none"/>
        </w:rPr>
        <w:t xml:space="preserve">根据《中华人民共和国财政部令第 </w:t>
      </w:r>
      <w:r>
        <w:rPr>
          <w:rFonts w:hint="eastAsia"/>
          <w:sz w:val="21"/>
          <w:highlight w:val="none"/>
        </w:rPr>
        <w:t>87</w:t>
      </w:r>
      <w:r>
        <w:rPr>
          <w:rFonts w:hint="eastAsia"/>
          <w:spacing w:val="-11"/>
          <w:sz w:val="21"/>
          <w:highlight w:val="none"/>
        </w:rPr>
        <w:t xml:space="preserve"> 号》第六十条规定：“评标委员会认为投标人的报价明</w:t>
      </w:r>
      <w:r>
        <w:rPr>
          <w:rFonts w:hint="eastAsia"/>
          <w:spacing w:val="-4"/>
          <w:sz w:val="21"/>
          <w:highlight w:val="none"/>
        </w:rPr>
        <w:t>显低于其他通过符合性审查投标人的报价，有可能影响产品质量或者不能诚信履约的，应当要求其在评标现场合理的时间内提供书面说明，必要时提交相关证明材料；投标人不能证明其报价合理性的，评</w:t>
      </w:r>
      <w:r>
        <w:rPr>
          <w:rFonts w:hint="eastAsia"/>
          <w:highlight w:val="none"/>
        </w:rPr>
        <w:t>标委员会应当将其作为无效投标处理”。</w:t>
      </w:r>
    </w:p>
    <w:p>
      <w:pPr>
        <w:spacing w:line="360" w:lineRule="auto"/>
        <w:ind w:firstLine="422" w:firstLineChars="200"/>
        <w:jc w:val="both"/>
        <w:rPr>
          <w:sz w:val="21"/>
          <w:highlight w:val="none"/>
        </w:rPr>
      </w:pPr>
      <w:r>
        <w:rPr>
          <w:rFonts w:hint="eastAsia"/>
          <w:b/>
          <w:sz w:val="21"/>
          <w:highlight w:val="none"/>
        </w:rPr>
        <w:t>五、总分计算方法</w:t>
      </w:r>
      <w:r>
        <w:rPr>
          <w:rFonts w:hint="eastAsia"/>
          <w:sz w:val="24"/>
          <w:highlight w:val="none"/>
        </w:rPr>
        <w:t>（</w:t>
      </w:r>
      <w:r>
        <w:rPr>
          <w:rFonts w:hint="eastAsia"/>
          <w:sz w:val="21"/>
          <w:highlight w:val="none"/>
        </w:rPr>
        <w:t>满分为 100 分）</w:t>
      </w:r>
    </w:p>
    <w:p>
      <w:pPr>
        <w:pStyle w:val="13"/>
        <w:spacing w:line="360" w:lineRule="auto"/>
        <w:ind w:firstLine="376" w:firstLineChars="200"/>
        <w:jc w:val="both"/>
        <w:rPr>
          <w:rFonts w:hint="eastAsia" w:eastAsia="宋体"/>
          <w:highlight w:val="none"/>
          <w:lang w:val="en-US" w:eastAsia="zh-CN"/>
        </w:rPr>
        <w:sectPr>
          <w:headerReference r:id="rId10" w:type="default"/>
          <w:pgSz w:w="11910" w:h="16840"/>
          <w:pgMar w:top="1360" w:right="920" w:bottom="1040" w:left="1180" w:header="880" w:footer="852" w:gutter="0"/>
          <w:cols w:space="720" w:num="1"/>
        </w:sectPr>
      </w:pPr>
      <w:r>
        <w:rPr>
          <w:rFonts w:hint="eastAsia"/>
          <w:spacing w:val="-11"/>
          <w:highlight w:val="none"/>
        </w:rPr>
        <w:t>计算公式：投标人的最终得分= 技术资信得分 + 价格得分</w:t>
      </w:r>
      <w:r>
        <w:rPr>
          <w:rFonts w:hint="eastAsia"/>
          <w:spacing w:val="-8"/>
          <w:highlight w:val="none"/>
        </w:rPr>
        <w:t>（</w:t>
      </w:r>
      <w:r>
        <w:rPr>
          <w:rFonts w:hint="eastAsia"/>
          <w:spacing w:val="-12"/>
          <w:highlight w:val="none"/>
        </w:rPr>
        <w:t xml:space="preserve">所有分值四舍五入，保留到小数点后 </w:t>
      </w:r>
      <w:r>
        <w:rPr>
          <w:rFonts w:hint="eastAsia"/>
          <w:spacing w:val="-12"/>
          <w:highlight w:val="none"/>
          <w:lang w:val="en-US" w:eastAsia="zh-CN"/>
        </w:rPr>
        <w:t xml:space="preserve"> </w:t>
      </w:r>
      <w:r>
        <w:rPr>
          <w:rFonts w:hint="eastAsia"/>
          <w:highlight w:val="none"/>
        </w:rPr>
        <w:t>2</w:t>
      </w:r>
      <w:r>
        <w:rPr>
          <w:rFonts w:hint="eastAsia"/>
          <w:highlight w:val="none"/>
          <w:lang w:val="en-US" w:eastAsia="zh-CN"/>
        </w:rPr>
        <w:t xml:space="preserve"> </w:t>
      </w:r>
      <w:r>
        <w:rPr>
          <w:rFonts w:hint="eastAsia"/>
          <w:spacing w:val="-8"/>
          <w:highlight w:val="none"/>
        </w:rPr>
        <w:t>位。</w:t>
      </w:r>
      <w:r>
        <w:rPr>
          <w:rFonts w:hint="eastAsia"/>
          <w:spacing w:val="-8"/>
          <w:highlight w:val="none"/>
          <w:lang w:val="en-US" w:eastAsia="zh-CN"/>
        </w:rPr>
        <w:t>)</w:t>
      </w:r>
    </w:p>
    <w:p>
      <w:pPr>
        <w:pStyle w:val="3"/>
        <w:jc w:val="both"/>
        <w:rPr>
          <w:highlight w:val="none"/>
        </w:rPr>
      </w:pPr>
      <w:bookmarkStart w:id="9" w:name="第七章__合同主要条款(范本)"/>
      <w:bookmarkEnd w:id="9"/>
      <w:bookmarkStart w:id="10" w:name="_Toc493956049"/>
      <w:bookmarkStart w:id="11" w:name="_Toc531359036"/>
      <w:bookmarkStart w:id="12" w:name="_Toc530551874"/>
      <w:bookmarkStart w:id="13" w:name="_Toc53484183"/>
    </w:p>
    <w:p>
      <w:pPr>
        <w:pStyle w:val="3"/>
        <w:rPr>
          <w:rFonts w:ascii="黑体" w:hAnsi="黑体" w:eastAsia="黑体" w:cs="黑体"/>
          <w:position w:val="-3"/>
          <w:sz w:val="30"/>
          <w:szCs w:val="30"/>
          <w:highlight w:val="none"/>
        </w:rPr>
      </w:pPr>
      <w:r>
        <w:rPr>
          <w:rFonts w:hint="eastAsia"/>
          <w:highlight w:val="none"/>
        </w:rPr>
        <w:t>第</w:t>
      </w:r>
      <w:r>
        <w:rPr>
          <w:rFonts w:hint="eastAsia"/>
          <w:highlight w:val="none"/>
          <w:lang w:val="en-US"/>
        </w:rPr>
        <w:t>七</w:t>
      </w:r>
      <w:r>
        <w:rPr>
          <w:rFonts w:hint="eastAsia"/>
          <w:highlight w:val="none"/>
        </w:rPr>
        <w:t xml:space="preserve">章  </w:t>
      </w:r>
      <w:bookmarkEnd w:id="10"/>
      <w:bookmarkEnd w:id="11"/>
      <w:bookmarkEnd w:id="12"/>
      <w:bookmarkEnd w:id="13"/>
      <w:r>
        <w:rPr>
          <w:rFonts w:hint="eastAsia" w:ascii="黑体" w:hAnsi="黑体" w:eastAsia="黑体" w:cs="黑体"/>
          <w:position w:val="-3"/>
          <w:sz w:val="30"/>
          <w:szCs w:val="30"/>
          <w:highlight w:val="none"/>
        </w:rPr>
        <w:t>合同范本</w:t>
      </w:r>
    </w:p>
    <w:p>
      <w:pPr>
        <w:rPr>
          <w:rFonts w:ascii="黑体" w:hAnsi="黑体" w:eastAsia="黑体" w:cs="黑体"/>
          <w:sz w:val="13"/>
          <w:szCs w:val="13"/>
          <w:highlight w:val="none"/>
        </w:rPr>
      </w:pPr>
    </w:p>
    <w:p>
      <w:pPr>
        <w:jc w:val="center"/>
        <w:rPr>
          <w:highlight w:val="none"/>
        </w:rPr>
      </w:pPr>
      <w:r>
        <w:rPr>
          <w:rFonts w:hint="eastAsia"/>
          <w:sz w:val="24"/>
          <w:szCs w:val="32"/>
          <w:highlight w:val="none"/>
        </w:rPr>
        <w:t>（本合同格式仅供参考，具体以采购方与中标方签订合同为准</w:t>
      </w:r>
      <w:r>
        <w:rPr>
          <w:rFonts w:hint="eastAsia"/>
          <w:highlight w:val="none"/>
        </w:rPr>
        <w:t>）</w:t>
      </w:r>
    </w:p>
    <w:p>
      <w:pPr>
        <w:spacing w:line="440" w:lineRule="exact"/>
        <w:rPr>
          <w:sz w:val="21"/>
          <w:szCs w:val="21"/>
          <w:highlight w:val="none"/>
        </w:rPr>
      </w:pPr>
    </w:p>
    <w:p>
      <w:pPr>
        <w:pStyle w:val="25"/>
        <w:ind w:left="0" w:leftChars="0" w:firstLine="0" w:firstLineChars="0"/>
        <w:rPr>
          <w:sz w:val="24"/>
          <w:szCs w:val="24"/>
          <w:highlight w:val="none"/>
        </w:rPr>
      </w:pPr>
    </w:p>
    <w:p>
      <w:pPr>
        <w:rPr>
          <w:rFonts w:eastAsia="黑体"/>
          <w:sz w:val="28"/>
          <w:szCs w:val="28"/>
          <w:highlight w:val="none"/>
        </w:rPr>
      </w:pPr>
      <w:bookmarkStart w:id="14" w:name="_Toc9410_WPSOffice_Level2"/>
      <w:r>
        <w:rPr>
          <w:rFonts w:hint="eastAsia" w:eastAsia="黑体" w:cs="黑体"/>
          <w:sz w:val="28"/>
          <w:szCs w:val="28"/>
          <w:highlight w:val="none"/>
        </w:rPr>
        <w:t>合同编号：</w:t>
      </w:r>
    </w:p>
    <w:p>
      <w:pPr>
        <w:jc w:val="both"/>
        <w:rPr>
          <w:rFonts w:eastAsia="黑体"/>
          <w:sz w:val="52"/>
          <w:szCs w:val="52"/>
          <w:highlight w:val="none"/>
        </w:rPr>
      </w:pPr>
    </w:p>
    <w:p>
      <w:pPr>
        <w:ind w:left="660" w:leftChars="300"/>
        <w:jc w:val="center"/>
        <w:rPr>
          <w:rFonts w:eastAsia="楷体_GB2312"/>
          <w:sz w:val="36"/>
          <w:szCs w:val="36"/>
          <w:highlight w:val="none"/>
        </w:rPr>
      </w:pPr>
      <w:r>
        <w:rPr>
          <w:rFonts w:hint="eastAsia" w:eastAsia="黑体" w:cs="黑体"/>
          <w:sz w:val="48"/>
          <w:szCs w:val="48"/>
          <w:highlight w:val="none"/>
        </w:rPr>
        <w:t>技术咨询合同</w:t>
      </w:r>
    </w:p>
    <w:p>
      <w:pPr>
        <w:ind w:left="660" w:leftChars="300"/>
        <w:jc w:val="center"/>
        <w:rPr>
          <w:rFonts w:eastAsia="楷体_GB2312"/>
          <w:sz w:val="36"/>
          <w:szCs w:val="36"/>
          <w:highlight w:val="none"/>
        </w:rPr>
      </w:pPr>
    </w:p>
    <w:p>
      <w:pPr>
        <w:ind w:left="660" w:leftChars="300"/>
        <w:jc w:val="center"/>
        <w:rPr>
          <w:rFonts w:eastAsia="楷体_GB2312"/>
          <w:sz w:val="36"/>
          <w:szCs w:val="36"/>
          <w:highlight w:val="none"/>
        </w:rPr>
      </w:pPr>
    </w:p>
    <w:p>
      <w:pPr>
        <w:ind w:left="660" w:leftChars="300"/>
        <w:jc w:val="center"/>
        <w:rPr>
          <w:rFonts w:eastAsia="楷体_GB2312"/>
          <w:sz w:val="36"/>
          <w:szCs w:val="36"/>
          <w:highlight w:val="none"/>
        </w:rPr>
      </w:pPr>
    </w:p>
    <w:p>
      <w:pPr>
        <w:spacing w:line="312" w:lineRule="auto"/>
        <w:ind w:left="660" w:leftChars="300" w:firstLine="640" w:firstLineChars="200"/>
        <w:rPr>
          <w:rFonts w:eastAsia="楷体_GB2312"/>
          <w:sz w:val="32"/>
          <w:szCs w:val="32"/>
          <w:highlight w:val="none"/>
        </w:rPr>
      </w:pPr>
      <w:r>
        <w:rPr>
          <w:rFonts w:hint="eastAsia"/>
          <w:sz w:val="32"/>
          <w:szCs w:val="32"/>
          <w:highlight w:val="none"/>
        </w:rPr>
        <w:t>项目名称：</w:t>
      </w:r>
    </w:p>
    <w:p>
      <w:pPr>
        <w:spacing w:line="312" w:lineRule="auto"/>
        <w:ind w:left="660" w:leftChars="300" w:firstLine="640" w:firstLineChars="200"/>
        <w:rPr>
          <w:rFonts w:eastAsia="Times New Roman"/>
          <w:sz w:val="32"/>
          <w:szCs w:val="32"/>
          <w:highlight w:val="none"/>
        </w:rPr>
      </w:pPr>
    </w:p>
    <w:p>
      <w:pPr>
        <w:spacing w:line="312" w:lineRule="auto"/>
        <w:ind w:left="660" w:leftChars="300" w:firstLine="640" w:firstLineChars="200"/>
        <w:rPr>
          <w:rFonts w:eastAsia="Times New Roman"/>
          <w:sz w:val="32"/>
          <w:szCs w:val="32"/>
          <w:highlight w:val="none"/>
        </w:rPr>
      </w:pPr>
      <w:r>
        <w:rPr>
          <w:rFonts w:hint="eastAsia"/>
          <w:sz w:val="32"/>
          <w:szCs w:val="32"/>
          <w:highlight w:val="none"/>
        </w:rPr>
        <w:t>委托方（甲方）</w:t>
      </w:r>
    </w:p>
    <w:p>
      <w:pPr>
        <w:spacing w:line="312" w:lineRule="auto"/>
        <w:ind w:left="660" w:leftChars="300" w:firstLine="640" w:firstLineChars="200"/>
        <w:rPr>
          <w:rFonts w:eastAsia="Times New Roman"/>
          <w:sz w:val="32"/>
          <w:szCs w:val="32"/>
          <w:highlight w:val="none"/>
        </w:rPr>
      </w:pPr>
    </w:p>
    <w:p>
      <w:pPr>
        <w:spacing w:line="312" w:lineRule="auto"/>
        <w:ind w:left="660" w:leftChars="300" w:firstLine="640" w:firstLineChars="200"/>
        <w:rPr>
          <w:rFonts w:eastAsia="Times New Roman"/>
          <w:sz w:val="32"/>
          <w:szCs w:val="32"/>
          <w:highlight w:val="none"/>
        </w:rPr>
      </w:pPr>
      <w:r>
        <w:rPr>
          <w:rFonts w:hint="eastAsia"/>
          <w:sz w:val="32"/>
          <w:szCs w:val="32"/>
          <w:highlight w:val="none"/>
        </w:rPr>
        <w:t>受托方（乙方）：</w:t>
      </w:r>
    </w:p>
    <w:p>
      <w:pPr>
        <w:spacing w:line="312" w:lineRule="auto"/>
        <w:rPr>
          <w:rFonts w:eastAsia="Times New Roman"/>
          <w:sz w:val="32"/>
          <w:szCs w:val="32"/>
          <w:highlight w:val="none"/>
        </w:rPr>
      </w:pPr>
    </w:p>
    <w:p>
      <w:pPr>
        <w:spacing w:line="480" w:lineRule="auto"/>
        <w:ind w:left="660" w:leftChars="300" w:firstLine="640" w:firstLineChars="200"/>
        <w:rPr>
          <w:rFonts w:eastAsia="Times New Roman"/>
          <w:sz w:val="32"/>
          <w:szCs w:val="32"/>
          <w:highlight w:val="none"/>
        </w:rPr>
      </w:pPr>
      <w:r>
        <w:rPr>
          <w:rFonts w:hint="eastAsia"/>
          <w:sz w:val="32"/>
          <w:szCs w:val="32"/>
          <w:highlight w:val="none"/>
        </w:rPr>
        <w:t>签订时间：</w:t>
      </w:r>
    </w:p>
    <w:p>
      <w:pPr>
        <w:spacing w:line="480" w:lineRule="auto"/>
        <w:ind w:left="660" w:leftChars="300" w:firstLine="640" w:firstLineChars="200"/>
        <w:rPr>
          <w:rFonts w:eastAsia="黑体"/>
          <w:sz w:val="32"/>
          <w:szCs w:val="32"/>
          <w:highlight w:val="none"/>
        </w:rPr>
      </w:pPr>
      <w:r>
        <w:rPr>
          <w:rFonts w:hint="eastAsia"/>
          <w:sz w:val="32"/>
          <w:szCs w:val="32"/>
          <w:highlight w:val="none"/>
        </w:rPr>
        <w:t>签订地点：</w:t>
      </w:r>
    </w:p>
    <w:p>
      <w:pPr>
        <w:spacing w:line="480" w:lineRule="auto"/>
        <w:ind w:left="660" w:leftChars="300" w:firstLine="640" w:firstLineChars="200"/>
        <w:rPr>
          <w:rFonts w:eastAsia="Times New Roman"/>
          <w:sz w:val="32"/>
          <w:szCs w:val="32"/>
          <w:highlight w:val="none"/>
        </w:rPr>
      </w:pPr>
      <w:r>
        <w:rPr>
          <w:rFonts w:hint="eastAsia"/>
          <w:sz w:val="32"/>
          <w:szCs w:val="32"/>
          <w:highlight w:val="none"/>
        </w:rPr>
        <w:t>有效期限：</w:t>
      </w:r>
    </w:p>
    <w:p>
      <w:pPr>
        <w:ind w:left="660" w:leftChars="300"/>
        <w:rPr>
          <w:rFonts w:eastAsia="黑体"/>
          <w:sz w:val="32"/>
          <w:szCs w:val="32"/>
          <w:highlight w:val="none"/>
        </w:rPr>
      </w:pPr>
    </w:p>
    <w:p>
      <w:pPr>
        <w:spacing w:line="440" w:lineRule="exact"/>
        <w:jc w:val="center"/>
        <w:rPr>
          <w:highlight w:val="none"/>
        </w:rPr>
      </w:pPr>
      <w:r>
        <w:rPr>
          <w:rFonts w:hint="eastAsia" w:eastAsia="黑体" w:cs="黑体"/>
          <w:sz w:val="32"/>
          <w:szCs w:val="32"/>
          <w:highlight w:val="none"/>
        </w:rPr>
        <w:t>中华人民共和国科学技术部印制</w:t>
      </w:r>
    </w:p>
    <w:p>
      <w:pPr>
        <w:spacing w:line="440" w:lineRule="exact"/>
        <w:jc w:val="center"/>
        <w:rPr>
          <w:b/>
          <w:bCs/>
          <w:sz w:val="24"/>
          <w:szCs w:val="24"/>
          <w:highlight w:val="none"/>
        </w:rPr>
      </w:pPr>
    </w:p>
    <w:p>
      <w:pPr>
        <w:spacing w:line="440" w:lineRule="exact"/>
        <w:jc w:val="center"/>
        <w:rPr>
          <w:b/>
          <w:bCs/>
          <w:sz w:val="24"/>
          <w:szCs w:val="24"/>
          <w:highlight w:val="none"/>
        </w:rPr>
      </w:pPr>
    </w:p>
    <w:p>
      <w:pPr>
        <w:pStyle w:val="25"/>
        <w:ind w:left="440" w:firstLine="482"/>
        <w:rPr>
          <w:rFonts w:hAnsi="宋体"/>
          <w:b/>
          <w:bCs/>
          <w:sz w:val="24"/>
          <w:szCs w:val="24"/>
          <w:highlight w:val="none"/>
        </w:rPr>
      </w:pPr>
    </w:p>
    <w:p>
      <w:pPr>
        <w:pStyle w:val="25"/>
        <w:ind w:left="440" w:firstLine="482"/>
        <w:rPr>
          <w:rFonts w:hAnsi="宋体"/>
          <w:b/>
          <w:bCs/>
          <w:sz w:val="24"/>
          <w:szCs w:val="24"/>
          <w:highlight w:val="none"/>
        </w:rPr>
      </w:pPr>
    </w:p>
    <w:p>
      <w:pPr>
        <w:pStyle w:val="25"/>
        <w:ind w:left="440" w:firstLine="482"/>
        <w:rPr>
          <w:rFonts w:hAnsi="宋体"/>
          <w:b/>
          <w:bCs/>
          <w:sz w:val="24"/>
          <w:szCs w:val="24"/>
          <w:highlight w:val="none"/>
        </w:rPr>
      </w:pPr>
    </w:p>
    <w:p>
      <w:pPr>
        <w:pStyle w:val="13"/>
        <w:rPr>
          <w:highlight w:val="none"/>
        </w:rPr>
      </w:pPr>
    </w:p>
    <w:p>
      <w:pPr>
        <w:spacing w:line="440" w:lineRule="exact"/>
        <w:jc w:val="center"/>
        <w:rPr>
          <w:b/>
          <w:bCs/>
          <w:sz w:val="36"/>
          <w:szCs w:val="36"/>
          <w:highlight w:val="none"/>
        </w:rPr>
      </w:pPr>
      <w:r>
        <w:rPr>
          <w:rFonts w:hint="eastAsia"/>
          <w:b/>
          <w:bCs/>
          <w:sz w:val="36"/>
          <w:szCs w:val="36"/>
          <w:highlight w:val="none"/>
        </w:rPr>
        <w:t>技术咨询合同</w:t>
      </w:r>
      <w:bookmarkEnd w:id="14"/>
    </w:p>
    <w:p>
      <w:pPr>
        <w:spacing w:line="440" w:lineRule="exact"/>
        <w:rPr>
          <w:sz w:val="21"/>
          <w:szCs w:val="21"/>
          <w:highlight w:val="none"/>
        </w:rPr>
      </w:pPr>
    </w:p>
    <w:p>
      <w:pPr>
        <w:snapToGrid w:val="0"/>
        <w:spacing w:line="360" w:lineRule="auto"/>
        <w:ind w:firstLine="420" w:firstLineChars="200"/>
        <w:rPr>
          <w:sz w:val="21"/>
          <w:szCs w:val="21"/>
          <w:highlight w:val="none"/>
        </w:rPr>
      </w:pPr>
      <w:r>
        <w:rPr>
          <w:rFonts w:hint="eastAsia"/>
          <w:sz w:val="21"/>
          <w:szCs w:val="21"/>
          <w:highlight w:val="none"/>
        </w:rPr>
        <w:t xml:space="preserve">项目名称： </w:t>
      </w:r>
    </w:p>
    <w:p>
      <w:pPr>
        <w:snapToGrid w:val="0"/>
        <w:spacing w:line="360" w:lineRule="auto"/>
        <w:ind w:firstLine="420" w:firstLineChars="200"/>
        <w:rPr>
          <w:sz w:val="21"/>
          <w:szCs w:val="21"/>
          <w:highlight w:val="none"/>
        </w:rPr>
      </w:pPr>
      <w:r>
        <w:rPr>
          <w:rFonts w:hint="eastAsia"/>
          <w:sz w:val="21"/>
          <w:szCs w:val="21"/>
          <w:highlight w:val="none"/>
        </w:rPr>
        <w:t>招标编号：</w:t>
      </w:r>
    </w:p>
    <w:p>
      <w:pPr>
        <w:snapToGrid w:val="0"/>
        <w:spacing w:line="360" w:lineRule="auto"/>
        <w:ind w:firstLine="420" w:firstLineChars="200"/>
        <w:rPr>
          <w:sz w:val="21"/>
          <w:szCs w:val="21"/>
          <w:highlight w:val="none"/>
          <w:lang w:val="en-US"/>
        </w:rPr>
      </w:pPr>
      <w:r>
        <w:rPr>
          <w:rFonts w:hint="eastAsia"/>
          <w:sz w:val="21"/>
          <w:szCs w:val="21"/>
          <w:highlight w:val="none"/>
        </w:rPr>
        <w:t>甲方：</w:t>
      </w:r>
      <w:r>
        <w:rPr>
          <w:rFonts w:hint="eastAsia"/>
          <w:sz w:val="21"/>
          <w:szCs w:val="21"/>
          <w:highlight w:val="none"/>
          <w:lang w:val="en-US"/>
        </w:rPr>
        <w:t>兰溪市交通运输局</w:t>
      </w:r>
    </w:p>
    <w:p>
      <w:pPr>
        <w:snapToGrid w:val="0"/>
        <w:spacing w:line="360" w:lineRule="auto"/>
        <w:ind w:firstLine="420" w:firstLineChars="200"/>
        <w:rPr>
          <w:sz w:val="21"/>
          <w:szCs w:val="21"/>
          <w:highlight w:val="none"/>
        </w:rPr>
      </w:pPr>
      <w:r>
        <w:rPr>
          <w:rFonts w:hint="eastAsia"/>
          <w:sz w:val="21"/>
          <w:szCs w:val="21"/>
          <w:highlight w:val="none"/>
        </w:rPr>
        <w:t>乙方：</w:t>
      </w:r>
    </w:p>
    <w:p>
      <w:pPr>
        <w:snapToGrid w:val="0"/>
        <w:spacing w:line="360" w:lineRule="auto"/>
        <w:ind w:firstLine="420" w:firstLineChars="200"/>
        <w:rPr>
          <w:sz w:val="21"/>
          <w:szCs w:val="21"/>
          <w:highlight w:val="none"/>
        </w:rPr>
      </w:pPr>
      <w:r>
        <w:rPr>
          <w:rFonts w:hint="eastAsia"/>
          <w:sz w:val="21"/>
          <w:szCs w:val="21"/>
          <w:highlight w:val="none"/>
        </w:rPr>
        <w:t>甲、乙双方根据关于项目政府采购公开招标的结果，签署本合同。</w:t>
      </w:r>
    </w:p>
    <w:p>
      <w:pPr>
        <w:snapToGrid w:val="0"/>
        <w:spacing w:line="440" w:lineRule="exact"/>
        <w:rPr>
          <w:b/>
          <w:sz w:val="21"/>
          <w:szCs w:val="21"/>
          <w:highlight w:val="none"/>
        </w:rPr>
      </w:pPr>
      <w:r>
        <w:rPr>
          <w:rFonts w:hint="eastAsia"/>
          <w:b/>
          <w:sz w:val="21"/>
          <w:szCs w:val="21"/>
          <w:highlight w:val="none"/>
        </w:rPr>
        <w:t>一、主要服务内容</w:t>
      </w:r>
    </w:p>
    <w:p>
      <w:pPr>
        <w:pStyle w:val="13"/>
        <w:rPr>
          <w:sz w:val="10"/>
          <w:szCs w:val="10"/>
          <w:highlight w:val="none"/>
        </w:rPr>
      </w:pPr>
    </w:p>
    <w:p>
      <w:pPr>
        <w:keepNext w:val="0"/>
        <w:keepLines w:val="0"/>
        <w:pageBreakBefore w:val="0"/>
        <w:widowControl w:val="0"/>
        <w:kinsoku/>
        <w:wordWrap/>
        <w:overflowPunct/>
        <w:topLinePunct w:val="0"/>
        <w:bidi w:val="0"/>
        <w:adjustRightInd/>
        <w:snapToGrid/>
        <w:spacing w:line="340" w:lineRule="exact"/>
        <w:ind w:left="0" w:leftChars="0" w:firstLine="420" w:firstLineChars="200"/>
        <w:textAlignment w:val="auto"/>
        <w:rPr>
          <w:sz w:val="21"/>
          <w:szCs w:val="20"/>
          <w:highlight w:val="none"/>
          <w:lang w:val="en-US"/>
        </w:rPr>
      </w:pPr>
      <w:r>
        <w:rPr>
          <w:rFonts w:hint="eastAsia"/>
          <w:sz w:val="21"/>
          <w:szCs w:val="20"/>
          <w:highlight w:val="none"/>
          <w:lang w:val="en-US"/>
        </w:rPr>
        <w:t>1、对G527（白沙-塘雅）兰溪段、S319（义乌-江山）兰溪段、S317（婺城-淳安）兰溪段、S215（兰溪-龙泉）兰溪段、金兰北线货运通道、董蒋线二期、横水线、游埠至士元等线路进行方案研究。</w:t>
      </w:r>
    </w:p>
    <w:p>
      <w:pPr>
        <w:keepNext w:val="0"/>
        <w:keepLines w:val="0"/>
        <w:pageBreakBefore w:val="0"/>
        <w:widowControl w:val="0"/>
        <w:kinsoku/>
        <w:wordWrap/>
        <w:overflowPunct/>
        <w:topLinePunct w:val="0"/>
        <w:bidi w:val="0"/>
        <w:adjustRightInd/>
        <w:snapToGrid/>
        <w:spacing w:line="340" w:lineRule="exact"/>
        <w:ind w:left="0" w:leftChars="0" w:firstLine="420" w:firstLineChars="200"/>
        <w:textAlignment w:val="auto"/>
        <w:rPr>
          <w:rFonts w:hint="eastAsia"/>
          <w:sz w:val="21"/>
          <w:szCs w:val="20"/>
          <w:highlight w:val="none"/>
          <w:lang w:val="en-US"/>
        </w:rPr>
      </w:pPr>
      <w:r>
        <w:rPr>
          <w:rFonts w:hint="eastAsia"/>
          <w:sz w:val="21"/>
          <w:szCs w:val="20"/>
          <w:highlight w:val="none"/>
          <w:lang w:val="en-US"/>
        </w:rPr>
        <w:t>2、完成完整的《线位论证报告》，深度达到</w:t>
      </w:r>
      <w:r>
        <w:rPr>
          <w:rFonts w:hint="eastAsia"/>
          <w:sz w:val="21"/>
          <w:szCs w:val="20"/>
          <w:highlight w:val="none"/>
          <w:lang w:val="en-US" w:eastAsia="zh-CN"/>
        </w:rPr>
        <w:t>工可深度；落地方案用地红线达到初步设计</w:t>
      </w:r>
      <w:r>
        <w:rPr>
          <w:rFonts w:hint="eastAsia"/>
          <w:sz w:val="21"/>
          <w:szCs w:val="20"/>
          <w:highlight w:val="none"/>
          <w:lang w:val="en-US"/>
        </w:rPr>
        <w:t>。</w:t>
      </w:r>
      <w:r>
        <w:rPr>
          <w:rFonts w:hint="eastAsia"/>
          <w:sz w:val="21"/>
          <w:szCs w:val="21"/>
          <w:highlight w:val="none"/>
        </w:rPr>
        <w:t>在1：2000地形图上固化线位，以便在国土空间规划中预留通道。</w:t>
      </w:r>
      <w:r>
        <w:rPr>
          <w:rFonts w:hint="eastAsia"/>
          <w:sz w:val="21"/>
          <w:szCs w:val="20"/>
          <w:highlight w:val="none"/>
          <w:lang w:val="en-US"/>
        </w:rPr>
        <w:t xml:space="preserve">具有基本完善、稳定的路线线位，互通设置位置及形式规模，互通出口与地方接线，以及线位走廊带的用地红线等内容。 </w:t>
      </w:r>
    </w:p>
    <w:p>
      <w:pPr>
        <w:keepNext w:val="0"/>
        <w:keepLines w:val="0"/>
        <w:pageBreakBefore w:val="0"/>
        <w:widowControl w:val="0"/>
        <w:numPr>
          <w:ilvl w:val="0"/>
          <w:numId w:val="0"/>
        </w:numPr>
        <w:kinsoku/>
        <w:wordWrap/>
        <w:overflowPunct/>
        <w:topLinePunct w:val="0"/>
        <w:bidi w:val="0"/>
        <w:adjustRightInd/>
        <w:snapToGrid/>
        <w:spacing w:line="340" w:lineRule="exact"/>
        <w:ind w:left="0" w:leftChars="0" w:firstLine="420" w:firstLineChars="200"/>
        <w:textAlignment w:val="auto"/>
        <w:rPr>
          <w:rFonts w:hint="default" w:eastAsia="宋体"/>
          <w:highlight w:val="none"/>
          <w:lang w:val="en-US" w:eastAsia="zh-CN"/>
        </w:rPr>
      </w:pPr>
      <w:r>
        <w:rPr>
          <w:rFonts w:hint="eastAsia"/>
          <w:sz w:val="21"/>
          <w:szCs w:val="20"/>
          <w:highlight w:val="none"/>
          <w:lang w:val="en-US" w:eastAsia="zh-CN"/>
        </w:rPr>
        <w:t>3、</w:t>
      </w:r>
      <w:r>
        <w:rPr>
          <w:rFonts w:hint="eastAsia"/>
          <w:sz w:val="21"/>
          <w:szCs w:val="20"/>
          <w:highlight w:val="none"/>
          <w:lang w:val="en-US"/>
        </w:rPr>
        <w:t xml:space="preserve"> </w:t>
      </w:r>
      <w:r>
        <w:rPr>
          <w:rFonts w:hint="eastAsia"/>
          <w:sz w:val="21"/>
          <w:szCs w:val="20"/>
          <w:highlight w:val="none"/>
          <w:lang w:val="en-US" w:eastAsia="zh-CN"/>
        </w:rPr>
        <w:t>线路概况：</w:t>
      </w:r>
    </w:p>
    <w:p>
      <w:pPr>
        <w:pStyle w:val="31"/>
        <w:keepNext w:val="0"/>
        <w:keepLines w:val="0"/>
        <w:pageBreakBefore w:val="0"/>
        <w:widowControl w:val="0"/>
        <w:kinsoku/>
        <w:wordWrap/>
        <w:overflowPunct/>
        <w:topLinePunct w:val="0"/>
        <w:autoSpaceDE/>
        <w:autoSpaceDN/>
        <w:bidi w:val="0"/>
        <w:adjustRightInd/>
        <w:snapToGrid/>
        <w:spacing w:line="340" w:lineRule="exact"/>
        <w:ind w:left="0" w:leftChars="0" w:firstLine="420" w:firstLineChars="200"/>
        <w:textAlignment w:val="auto"/>
        <w:rPr>
          <w:rFonts w:hint="eastAsia" w:ascii="宋体" w:hAnsi="宋体" w:eastAsia="宋体" w:cs="宋体"/>
          <w:sz w:val="21"/>
          <w:szCs w:val="20"/>
          <w:highlight w:val="none"/>
          <w:lang w:val="en-US" w:eastAsia="zh-CN"/>
        </w:rPr>
      </w:pPr>
      <w:r>
        <w:rPr>
          <w:rFonts w:hint="eastAsia" w:ascii="宋体" w:hAnsi="宋体" w:eastAsia="宋体" w:cs="宋体"/>
          <w:sz w:val="21"/>
          <w:szCs w:val="20"/>
          <w:highlight w:val="none"/>
          <w:lang w:val="en-US" w:eastAsia="zh-CN"/>
        </w:rPr>
        <w:t>3.1、</w:t>
      </w:r>
      <w:r>
        <w:rPr>
          <w:rFonts w:hint="eastAsia" w:ascii="宋体" w:hAnsi="宋体" w:eastAsia="宋体" w:cs="宋体"/>
          <w:sz w:val="21"/>
          <w:szCs w:val="20"/>
          <w:highlight w:val="none"/>
          <w:lang w:val="en-US"/>
        </w:rPr>
        <w:t>G527（白沙-塘雅）兰溪段</w:t>
      </w:r>
      <w:r>
        <w:rPr>
          <w:rFonts w:hint="eastAsia" w:ascii="宋体" w:hAnsi="宋体" w:eastAsia="宋体" w:cs="宋体"/>
          <w:sz w:val="21"/>
          <w:szCs w:val="20"/>
          <w:highlight w:val="none"/>
          <w:lang w:val="en-US" w:eastAsia="zh-CN"/>
        </w:rPr>
        <w:t>：建设里程7.6km，一级公路标准，路基宽度33m，设计速度80km/h；</w:t>
      </w:r>
    </w:p>
    <w:p>
      <w:pPr>
        <w:pStyle w:val="31"/>
        <w:keepNext w:val="0"/>
        <w:keepLines w:val="0"/>
        <w:pageBreakBefore w:val="0"/>
        <w:widowControl w:val="0"/>
        <w:kinsoku/>
        <w:wordWrap/>
        <w:overflowPunct/>
        <w:topLinePunct w:val="0"/>
        <w:autoSpaceDE/>
        <w:autoSpaceDN/>
        <w:bidi w:val="0"/>
        <w:adjustRightInd/>
        <w:snapToGrid/>
        <w:spacing w:line="340" w:lineRule="exact"/>
        <w:ind w:left="0" w:leftChars="0" w:firstLine="420" w:firstLineChars="200"/>
        <w:textAlignment w:val="auto"/>
        <w:rPr>
          <w:rFonts w:hint="eastAsia" w:ascii="宋体" w:hAnsi="宋体" w:eastAsia="宋体" w:cs="宋体"/>
          <w:sz w:val="21"/>
          <w:szCs w:val="20"/>
          <w:highlight w:val="none"/>
          <w:lang w:val="en-US" w:eastAsia="zh-CN"/>
        </w:rPr>
      </w:pPr>
      <w:r>
        <w:rPr>
          <w:rFonts w:hint="eastAsia" w:ascii="宋体" w:hAnsi="宋体" w:eastAsia="宋体" w:cs="宋体"/>
          <w:sz w:val="21"/>
          <w:szCs w:val="20"/>
          <w:highlight w:val="none"/>
          <w:lang w:val="en-US" w:eastAsia="zh-CN"/>
        </w:rPr>
        <w:t>3.2、</w:t>
      </w:r>
      <w:r>
        <w:rPr>
          <w:rFonts w:hint="eastAsia" w:ascii="宋体" w:hAnsi="宋体" w:eastAsia="宋体" w:cs="宋体"/>
          <w:sz w:val="21"/>
          <w:szCs w:val="20"/>
          <w:highlight w:val="none"/>
          <w:lang w:val="en-US"/>
        </w:rPr>
        <w:t>S319（义乌-江山）兰溪段</w:t>
      </w:r>
      <w:r>
        <w:rPr>
          <w:rFonts w:hint="eastAsia" w:ascii="宋体" w:hAnsi="宋体" w:eastAsia="宋体" w:cs="宋体"/>
          <w:sz w:val="21"/>
          <w:szCs w:val="20"/>
          <w:highlight w:val="none"/>
          <w:lang w:val="en-US" w:eastAsia="zh-CN"/>
        </w:rPr>
        <w:t>：建设里程21.74km，一级公路标准，路基宽度33m，设计速度80km/h；</w:t>
      </w:r>
    </w:p>
    <w:p>
      <w:pPr>
        <w:pStyle w:val="31"/>
        <w:keepNext w:val="0"/>
        <w:keepLines w:val="0"/>
        <w:pageBreakBefore w:val="0"/>
        <w:widowControl w:val="0"/>
        <w:kinsoku/>
        <w:wordWrap/>
        <w:overflowPunct/>
        <w:topLinePunct w:val="0"/>
        <w:autoSpaceDE/>
        <w:autoSpaceDN/>
        <w:bidi w:val="0"/>
        <w:adjustRightInd/>
        <w:snapToGrid/>
        <w:spacing w:line="340" w:lineRule="exact"/>
        <w:ind w:left="0" w:leftChars="0" w:firstLine="420" w:firstLineChars="200"/>
        <w:textAlignment w:val="auto"/>
        <w:rPr>
          <w:rFonts w:hint="eastAsia" w:ascii="宋体" w:hAnsi="宋体" w:eastAsia="宋体" w:cs="宋体"/>
          <w:sz w:val="21"/>
          <w:szCs w:val="20"/>
          <w:highlight w:val="none"/>
          <w:lang w:val="en-US" w:eastAsia="zh-CN"/>
        </w:rPr>
      </w:pPr>
      <w:r>
        <w:rPr>
          <w:rFonts w:hint="eastAsia" w:ascii="宋体" w:hAnsi="宋体" w:eastAsia="宋体" w:cs="宋体"/>
          <w:sz w:val="21"/>
          <w:szCs w:val="20"/>
          <w:highlight w:val="none"/>
          <w:lang w:val="en-US" w:eastAsia="zh-CN"/>
        </w:rPr>
        <w:t>3.3、</w:t>
      </w:r>
      <w:r>
        <w:rPr>
          <w:rFonts w:hint="eastAsia" w:ascii="宋体" w:hAnsi="宋体" w:eastAsia="宋体" w:cs="宋体"/>
          <w:sz w:val="21"/>
          <w:szCs w:val="20"/>
          <w:highlight w:val="none"/>
          <w:lang w:val="en-US"/>
        </w:rPr>
        <w:t>S317（婺城-淳安）兰溪段</w:t>
      </w:r>
      <w:r>
        <w:rPr>
          <w:rFonts w:hint="eastAsia" w:ascii="宋体" w:hAnsi="宋体" w:eastAsia="宋体" w:cs="宋体"/>
          <w:sz w:val="21"/>
          <w:szCs w:val="20"/>
          <w:highlight w:val="none"/>
          <w:lang w:val="en-US" w:eastAsia="zh-CN"/>
        </w:rPr>
        <w:t>：建设里程17km，一级公路标准，路基宽度33m，设计速度80km/h；</w:t>
      </w:r>
    </w:p>
    <w:p>
      <w:pPr>
        <w:pStyle w:val="31"/>
        <w:keepNext w:val="0"/>
        <w:keepLines w:val="0"/>
        <w:pageBreakBefore w:val="0"/>
        <w:widowControl w:val="0"/>
        <w:kinsoku/>
        <w:wordWrap/>
        <w:overflowPunct/>
        <w:topLinePunct w:val="0"/>
        <w:autoSpaceDE/>
        <w:autoSpaceDN/>
        <w:bidi w:val="0"/>
        <w:adjustRightInd/>
        <w:snapToGrid/>
        <w:spacing w:line="340" w:lineRule="exact"/>
        <w:ind w:left="0" w:leftChars="0" w:firstLine="420" w:firstLineChars="200"/>
        <w:textAlignment w:val="auto"/>
        <w:rPr>
          <w:rFonts w:hint="eastAsia" w:ascii="宋体" w:hAnsi="宋体" w:eastAsia="宋体" w:cs="宋体"/>
          <w:sz w:val="21"/>
          <w:szCs w:val="20"/>
          <w:highlight w:val="none"/>
          <w:lang w:val="en-US" w:eastAsia="zh-CN"/>
        </w:rPr>
      </w:pPr>
      <w:r>
        <w:rPr>
          <w:rFonts w:hint="eastAsia" w:ascii="宋体" w:hAnsi="宋体" w:eastAsia="宋体" w:cs="宋体"/>
          <w:sz w:val="21"/>
          <w:szCs w:val="20"/>
          <w:highlight w:val="none"/>
          <w:lang w:val="en-US" w:eastAsia="zh-CN"/>
        </w:rPr>
        <w:t>3.4、</w:t>
      </w:r>
      <w:r>
        <w:rPr>
          <w:rFonts w:hint="eastAsia" w:ascii="宋体" w:hAnsi="宋体" w:eastAsia="宋体" w:cs="宋体"/>
          <w:sz w:val="21"/>
          <w:szCs w:val="20"/>
          <w:highlight w:val="none"/>
          <w:lang w:val="en-US"/>
        </w:rPr>
        <w:t>S215（兰溪-龙泉）兰溪段</w:t>
      </w:r>
      <w:r>
        <w:rPr>
          <w:rFonts w:hint="eastAsia" w:ascii="宋体" w:hAnsi="宋体" w:eastAsia="宋体" w:cs="宋体"/>
          <w:sz w:val="21"/>
          <w:szCs w:val="20"/>
          <w:highlight w:val="none"/>
          <w:lang w:val="en-US" w:eastAsia="zh-CN"/>
        </w:rPr>
        <w:t>：建设里程12.38km，一级公路标准，路基宽度26m，设计速度80km/h；</w:t>
      </w:r>
    </w:p>
    <w:p>
      <w:pPr>
        <w:pStyle w:val="31"/>
        <w:keepNext w:val="0"/>
        <w:keepLines w:val="0"/>
        <w:pageBreakBefore w:val="0"/>
        <w:widowControl w:val="0"/>
        <w:kinsoku/>
        <w:wordWrap/>
        <w:overflowPunct/>
        <w:topLinePunct w:val="0"/>
        <w:autoSpaceDE/>
        <w:autoSpaceDN/>
        <w:bidi w:val="0"/>
        <w:adjustRightInd/>
        <w:snapToGrid/>
        <w:spacing w:line="340" w:lineRule="exact"/>
        <w:ind w:left="0" w:leftChars="0" w:firstLine="420" w:firstLineChars="200"/>
        <w:textAlignment w:val="auto"/>
        <w:rPr>
          <w:rFonts w:hint="eastAsia" w:ascii="宋体" w:hAnsi="宋体" w:eastAsia="宋体" w:cs="宋体"/>
          <w:sz w:val="21"/>
          <w:szCs w:val="20"/>
          <w:highlight w:val="none"/>
          <w:lang w:val="en-US" w:eastAsia="zh-CN"/>
        </w:rPr>
      </w:pPr>
      <w:r>
        <w:rPr>
          <w:rFonts w:hint="eastAsia" w:ascii="宋体" w:hAnsi="宋体" w:eastAsia="宋体" w:cs="宋体"/>
          <w:sz w:val="21"/>
          <w:szCs w:val="20"/>
          <w:highlight w:val="none"/>
          <w:lang w:val="en-US" w:eastAsia="zh-CN"/>
        </w:rPr>
        <w:t>3.5、</w:t>
      </w:r>
      <w:r>
        <w:rPr>
          <w:rFonts w:hint="eastAsia" w:ascii="宋体" w:hAnsi="宋体" w:eastAsia="宋体" w:cs="宋体"/>
          <w:sz w:val="21"/>
          <w:szCs w:val="20"/>
          <w:highlight w:val="none"/>
          <w:lang w:val="en-US"/>
        </w:rPr>
        <w:t>金兰北线货运通道</w:t>
      </w:r>
      <w:r>
        <w:rPr>
          <w:rFonts w:hint="eastAsia" w:ascii="宋体" w:hAnsi="宋体" w:eastAsia="宋体" w:cs="宋体"/>
          <w:sz w:val="21"/>
          <w:szCs w:val="20"/>
          <w:highlight w:val="none"/>
          <w:lang w:val="en-US" w:eastAsia="zh-CN"/>
        </w:rPr>
        <w:t>：建设里程8km，二级公路标准，路基宽度12m，设计速度80km/h；</w:t>
      </w:r>
    </w:p>
    <w:p>
      <w:pPr>
        <w:pStyle w:val="31"/>
        <w:keepNext w:val="0"/>
        <w:keepLines w:val="0"/>
        <w:pageBreakBefore w:val="0"/>
        <w:widowControl w:val="0"/>
        <w:kinsoku/>
        <w:wordWrap/>
        <w:overflowPunct/>
        <w:topLinePunct w:val="0"/>
        <w:autoSpaceDE/>
        <w:autoSpaceDN/>
        <w:bidi w:val="0"/>
        <w:adjustRightInd/>
        <w:snapToGrid/>
        <w:spacing w:line="340" w:lineRule="exact"/>
        <w:ind w:left="0" w:leftChars="0" w:firstLine="420" w:firstLineChars="200"/>
        <w:textAlignment w:val="auto"/>
        <w:rPr>
          <w:rFonts w:hint="eastAsia" w:ascii="宋体" w:hAnsi="宋体" w:eastAsia="宋体" w:cs="宋体"/>
          <w:sz w:val="21"/>
          <w:szCs w:val="20"/>
          <w:highlight w:val="none"/>
          <w:lang w:val="en-US" w:eastAsia="zh-CN"/>
        </w:rPr>
      </w:pPr>
      <w:r>
        <w:rPr>
          <w:rFonts w:hint="eastAsia" w:ascii="宋体" w:hAnsi="宋体" w:eastAsia="宋体" w:cs="宋体"/>
          <w:sz w:val="21"/>
          <w:szCs w:val="20"/>
          <w:highlight w:val="none"/>
          <w:lang w:val="en-US" w:eastAsia="zh-CN"/>
        </w:rPr>
        <w:t>3.6、</w:t>
      </w:r>
      <w:r>
        <w:rPr>
          <w:rFonts w:hint="eastAsia" w:ascii="宋体" w:hAnsi="宋体" w:eastAsia="宋体" w:cs="宋体"/>
          <w:sz w:val="21"/>
          <w:szCs w:val="20"/>
          <w:highlight w:val="none"/>
          <w:lang w:val="en-US"/>
        </w:rPr>
        <w:t>董蒋线二期</w:t>
      </w:r>
      <w:r>
        <w:rPr>
          <w:rFonts w:hint="eastAsia" w:ascii="宋体" w:hAnsi="宋体" w:eastAsia="宋体" w:cs="宋体"/>
          <w:sz w:val="21"/>
          <w:szCs w:val="20"/>
          <w:highlight w:val="none"/>
          <w:lang w:val="en-US" w:eastAsia="zh-CN"/>
        </w:rPr>
        <w:t>：建设里程12.38km，二级公路标准，路基宽度12m，设计速度80km/h；</w:t>
      </w:r>
    </w:p>
    <w:p>
      <w:pPr>
        <w:pStyle w:val="31"/>
        <w:keepNext w:val="0"/>
        <w:keepLines w:val="0"/>
        <w:pageBreakBefore w:val="0"/>
        <w:widowControl w:val="0"/>
        <w:kinsoku/>
        <w:wordWrap/>
        <w:overflowPunct/>
        <w:topLinePunct w:val="0"/>
        <w:autoSpaceDE/>
        <w:autoSpaceDN/>
        <w:bidi w:val="0"/>
        <w:adjustRightInd/>
        <w:snapToGrid/>
        <w:spacing w:line="340" w:lineRule="exact"/>
        <w:ind w:left="0" w:leftChars="0" w:firstLine="420" w:firstLineChars="200"/>
        <w:textAlignment w:val="auto"/>
        <w:rPr>
          <w:rFonts w:hint="eastAsia" w:ascii="宋体" w:hAnsi="宋体" w:eastAsia="宋体" w:cs="宋体"/>
          <w:sz w:val="21"/>
          <w:szCs w:val="20"/>
          <w:highlight w:val="none"/>
          <w:lang w:val="en-US" w:eastAsia="zh-CN"/>
        </w:rPr>
      </w:pPr>
      <w:r>
        <w:rPr>
          <w:rFonts w:hint="eastAsia" w:ascii="宋体" w:hAnsi="宋体" w:eastAsia="宋体" w:cs="宋体"/>
          <w:sz w:val="21"/>
          <w:szCs w:val="20"/>
          <w:highlight w:val="none"/>
          <w:lang w:val="en-US" w:eastAsia="zh-CN"/>
        </w:rPr>
        <w:t>3.7、</w:t>
      </w:r>
      <w:r>
        <w:rPr>
          <w:rFonts w:hint="eastAsia" w:ascii="宋体" w:hAnsi="宋体" w:eastAsia="宋体" w:cs="宋体"/>
          <w:sz w:val="21"/>
          <w:szCs w:val="20"/>
          <w:highlight w:val="none"/>
          <w:lang w:val="en-US"/>
        </w:rPr>
        <w:t>横水线</w:t>
      </w:r>
      <w:r>
        <w:rPr>
          <w:rFonts w:hint="eastAsia" w:ascii="宋体" w:hAnsi="宋体" w:eastAsia="宋体" w:cs="宋体"/>
          <w:sz w:val="21"/>
          <w:szCs w:val="20"/>
          <w:highlight w:val="none"/>
          <w:lang w:val="en-US" w:eastAsia="zh-CN"/>
        </w:rPr>
        <w:t>：建设里程3.7km，二级公路标准，路基宽度12m，设计速度60km/h；</w:t>
      </w:r>
    </w:p>
    <w:p>
      <w:pPr>
        <w:pStyle w:val="31"/>
        <w:keepNext w:val="0"/>
        <w:keepLines w:val="0"/>
        <w:pageBreakBefore w:val="0"/>
        <w:widowControl w:val="0"/>
        <w:kinsoku/>
        <w:wordWrap/>
        <w:overflowPunct/>
        <w:topLinePunct w:val="0"/>
        <w:autoSpaceDE/>
        <w:autoSpaceDN/>
        <w:bidi w:val="0"/>
        <w:adjustRightInd/>
        <w:snapToGrid/>
        <w:spacing w:line="340" w:lineRule="exact"/>
        <w:ind w:left="0" w:leftChars="0" w:firstLine="420" w:firstLineChars="200"/>
        <w:textAlignment w:val="auto"/>
        <w:rPr>
          <w:rFonts w:hint="default"/>
          <w:color w:val="auto"/>
          <w:sz w:val="21"/>
          <w:szCs w:val="20"/>
          <w:highlight w:val="none"/>
          <w:lang w:val="en-US" w:eastAsia="zh-CN"/>
        </w:rPr>
      </w:pPr>
      <w:r>
        <w:rPr>
          <w:rFonts w:hint="eastAsia" w:ascii="宋体" w:hAnsi="宋体" w:eastAsia="宋体" w:cs="宋体"/>
          <w:sz w:val="21"/>
          <w:szCs w:val="20"/>
          <w:highlight w:val="none"/>
          <w:lang w:val="en-US" w:eastAsia="zh-CN"/>
        </w:rPr>
        <w:t>3.8、</w:t>
      </w:r>
      <w:r>
        <w:rPr>
          <w:rFonts w:hint="eastAsia" w:ascii="宋体" w:hAnsi="宋体" w:eastAsia="宋体" w:cs="宋体"/>
          <w:sz w:val="21"/>
          <w:szCs w:val="20"/>
          <w:highlight w:val="none"/>
          <w:lang w:val="en-US"/>
        </w:rPr>
        <w:t>游埠至士元</w:t>
      </w:r>
      <w:r>
        <w:rPr>
          <w:rFonts w:hint="eastAsia" w:ascii="宋体" w:hAnsi="宋体" w:eastAsia="宋体" w:cs="宋体"/>
          <w:sz w:val="21"/>
          <w:szCs w:val="20"/>
          <w:highlight w:val="none"/>
          <w:lang w:val="en-US" w:eastAsia="zh-CN"/>
        </w:rPr>
        <w:t>：建设里程6.5km，二级公路标准，路基宽度12m，设计速度60km/h；</w:t>
      </w:r>
    </w:p>
    <w:p>
      <w:pPr>
        <w:snapToGrid w:val="0"/>
        <w:spacing w:line="440" w:lineRule="exact"/>
        <w:rPr>
          <w:b/>
          <w:bCs/>
          <w:sz w:val="21"/>
          <w:szCs w:val="21"/>
          <w:highlight w:val="none"/>
        </w:rPr>
      </w:pPr>
      <w:r>
        <w:rPr>
          <w:rFonts w:hint="eastAsia"/>
          <w:b/>
          <w:bCs/>
          <w:sz w:val="21"/>
          <w:szCs w:val="21"/>
          <w:highlight w:val="none"/>
        </w:rPr>
        <w:t>二、合同金额</w:t>
      </w:r>
    </w:p>
    <w:p>
      <w:pPr>
        <w:spacing w:line="440" w:lineRule="exact"/>
        <w:ind w:left="0" w:leftChars="0" w:firstLine="0" w:firstLineChars="0"/>
        <w:rPr>
          <w:rFonts w:hint="eastAsia"/>
          <w:sz w:val="21"/>
          <w:szCs w:val="21"/>
          <w:highlight w:val="none"/>
        </w:rPr>
      </w:pPr>
      <w:r>
        <w:rPr>
          <w:rFonts w:hint="eastAsia"/>
          <w:sz w:val="21"/>
          <w:szCs w:val="21"/>
          <w:highlight w:val="none"/>
        </w:rPr>
        <w:t>本合同金额为人民币（大写）</w:t>
      </w:r>
      <w:r>
        <w:rPr>
          <w:rFonts w:hint="eastAsia"/>
          <w:sz w:val="21"/>
          <w:szCs w:val="21"/>
          <w:highlight w:val="none"/>
          <w:u w:val="single"/>
          <w:lang w:val="en-US" w:eastAsia="zh-CN"/>
        </w:rPr>
        <w:t xml:space="preserve">              </w:t>
      </w:r>
      <w:r>
        <w:rPr>
          <w:rFonts w:hint="eastAsia"/>
          <w:sz w:val="21"/>
          <w:szCs w:val="21"/>
          <w:highlight w:val="none"/>
          <w:u w:val="single"/>
          <w:lang w:val="en-US"/>
        </w:rPr>
        <w:t>元整</w:t>
      </w:r>
      <w:r>
        <w:rPr>
          <w:rFonts w:hint="eastAsia"/>
          <w:sz w:val="21"/>
          <w:szCs w:val="21"/>
          <w:highlight w:val="none"/>
        </w:rPr>
        <w:t>（</w:t>
      </w:r>
      <w:r>
        <w:rPr>
          <w:rFonts w:ascii="Arial" w:hAnsi="Arial" w:cs="Arial"/>
          <w:sz w:val="21"/>
          <w:szCs w:val="21"/>
          <w:highlight w:val="none"/>
        </w:rPr>
        <w:t>¥</w:t>
      </w:r>
      <w:r>
        <w:rPr>
          <w:rFonts w:hint="eastAsia" w:ascii="Arial" w:hAnsi="Arial" w:cs="Arial"/>
          <w:sz w:val="21"/>
          <w:szCs w:val="21"/>
          <w:highlight w:val="none"/>
          <w:u w:val="single"/>
          <w:lang w:val="en-US" w:eastAsia="zh-CN"/>
        </w:rPr>
        <w:t xml:space="preserve">          </w:t>
      </w:r>
      <w:r>
        <w:rPr>
          <w:rFonts w:hint="eastAsia"/>
          <w:sz w:val="21"/>
          <w:szCs w:val="21"/>
          <w:highlight w:val="none"/>
          <w:u w:val="single"/>
          <w:lang w:val="en-US"/>
        </w:rPr>
        <w:t>元</w:t>
      </w:r>
      <w:r>
        <w:rPr>
          <w:rFonts w:hint="eastAsia"/>
          <w:sz w:val="21"/>
          <w:szCs w:val="21"/>
          <w:highlight w:val="none"/>
        </w:rPr>
        <w:t>）。</w:t>
      </w:r>
    </w:p>
    <w:p>
      <w:pPr>
        <w:pStyle w:val="31"/>
        <w:rPr>
          <w:rFonts w:hint="eastAsia"/>
        </w:rPr>
      </w:pPr>
    </w:p>
    <w:tbl>
      <w:tblPr>
        <w:tblStyle w:val="26"/>
        <w:tblW w:w="8922" w:type="dxa"/>
        <w:tblInd w:w="8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0"/>
        <w:gridCol w:w="1446"/>
        <w:gridCol w:w="2250"/>
        <w:gridCol w:w="1216"/>
        <w:gridCol w:w="1109"/>
        <w:gridCol w:w="1099"/>
        <w:gridCol w:w="11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4" w:hRule="atLeast"/>
        </w:trPr>
        <w:tc>
          <w:tcPr>
            <w:tcW w:w="630"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jc w:val="center"/>
              <w:rPr>
                <w:rFonts w:hint="eastAsia"/>
                <w:sz w:val="20"/>
                <w:szCs w:val="20"/>
                <w:highlight w:val="none"/>
              </w:rPr>
            </w:pPr>
            <w:r>
              <w:rPr>
                <w:rFonts w:hint="eastAsia"/>
                <w:sz w:val="20"/>
                <w:szCs w:val="20"/>
                <w:highlight w:val="none"/>
                <w:lang w:val="zh-TW" w:eastAsia="zh-TW"/>
              </w:rPr>
              <w:t>序号</w:t>
            </w:r>
          </w:p>
        </w:tc>
        <w:tc>
          <w:tcPr>
            <w:tcW w:w="1446"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jc w:val="center"/>
              <w:rPr>
                <w:rFonts w:hint="default" w:eastAsia="宋体"/>
                <w:sz w:val="20"/>
                <w:szCs w:val="20"/>
                <w:highlight w:val="none"/>
                <w:lang w:val="en-US" w:eastAsia="zh-CN"/>
              </w:rPr>
            </w:pPr>
            <w:r>
              <w:rPr>
                <w:rFonts w:hint="eastAsia"/>
                <w:sz w:val="20"/>
                <w:szCs w:val="20"/>
                <w:highlight w:val="none"/>
                <w:lang w:val="en-US" w:eastAsia="zh-CN"/>
              </w:rPr>
              <w:t>招标项目</w:t>
            </w:r>
          </w:p>
        </w:tc>
        <w:tc>
          <w:tcPr>
            <w:tcW w:w="2250"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sz w:val="20"/>
                <w:szCs w:val="20"/>
                <w:highlight w:val="none"/>
                <w:lang w:val="en-US" w:eastAsia="zh-CN"/>
              </w:rPr>
            </w:pPr>
            <w:r>
              <w:rPr>
                <w:rFonts w:hint="eastAsia"/>
                <w:sz w:val="20"/>
                <w:szCs w:val="20"/>
                <w:highlight w:val="none"/>
                <w:lang w:val="en-US" w:eastAsia="zh-CN"/>
              </w:rPr>
              <w:t>线路概况</w:t>
            </w:r>
          </w:p>
        </w:tc>
        <w:tc>
          <w:tcPr>
            <w:tcW w:w="1216"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sz w:val="20"/>
                <w:szCs w:val="20"/>
                <w:highlight w:val="none"/>
                <w:lang w:val="en-US" w:eastAsia="zh-CN"/>
              </w:rPr>
            </w:pPr>
            <w:r>
              <w:rPr>
                <w:rFonts w:hint="eastAsia"/>
                <w:sz w:val="20"/>
                <w:szCs w:val="20"/>
                <w:highlight w:val="none"/>
                <w:lang w:val="en-US" w:eastAsia="zh-CN"/>
              </w:rPr>
              <w:t>公里数</w:t>
            </w:r>
          </w:p>
        </w:tc>
        <w:tc>
          <w:tcPr>
            <w:tcW w:w="1109"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sz w:val="20"/>
                <w:szCs w:val="20"/>
                <w:highlight w:val="none"/>
                <w:lang w:val="en-US" w:eastAsia="zh-CN"/>
              </w:rPr>
            </w:pPr>
            <w:r>
              <w:rPr>
                <w:rFonts w:hint="eastAsia"/>
                <w:sz w:val="20"/>
                <w:szCs w:val="20"/>
                <w:highlight w:val="none"/>
                <w:lang w:val="en-US" w:eastAsia="zh-CN"/>
              </w:rPr>
              <w:t>单价（元/公里）</w:t>
            </w:r>
          </w:p>
        </w:tc>
        <w:tc>
          <w:tcPr>
            <w:tcW w:w="1099"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sz w:val="20"/>
                <w:szCs w:val="20"/>
                <w:highlight w:val="none"/>
                <w:lang w:val="en-US" w:eastAsia="zh-CN"/>
              </w:rPr>
            </w:pPr>
            <w:r>
              <w:rPr>
                <w:rFonts w:hint="eastAsia"/>
                <w:sz w:val="20"/>
                <w:szCs w:val="20"/>
                <w:highlight w:val="none"/>
                <w:lang w:val="en-US" w:eastAsia="zh-CN"/>
              </w:rPr>
              <w:t xml:space="preserve"> 合同价</w:t>
            </w:r>
          </w:p>
          <w:p>
            <w:pPr>
              <w:jc w:val="center"/>
              <w:rPr>
                <w:rFonts w:hint="default" w:eastAsia="宋体"/>
                <w:sz w:val="20"/>
                <w:szCs w:val="20"/>
                <w:highlight w:val="none"/>
                <w:lang w:val="en-US" w:eastAsia="zh-CN"/>
              </w:rPr>
            </w:pPr>
            <w:r>
              <w:rPr>
                <w:rFonts w:hint="eastAsia"/>
                <w:sz w:val="20"/>
                <w:szCs w:val="20"/>
                <w:highlight w:val="none"/>
                <w:lang w:val="en-US" w:eastAsia="zh-CN"/>
              </w:rPr>
              <w:t>（元）</w:t>
            </w:r>
          </w:p>
        </w:tc>
        <w:tc>
          <w:tcPr>
            <w:tcW w:w="1172"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jc w:val="center"/>
              <w:rPr>
                <w:rFonts w:hint="eastAsia"/>
                <w:sz w:val="20"/>
                <w:szCs w:val="20"/>
                <w:highlight w:val="none"/>
              </w:rPr>
            </w:pPr>
            <w:r>
              <w:rPr>
                <w:rFonts w:hint="eastAsia"/>
                <w:sz w:val="20"/>
                <w:szCs w:val="20"/>
                <w:highlight w:val="none"/>
                <w:lang w:val="zh-TW" w:eastAsia="zh-TW"/>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rPr>
        <w:tc>
          <w:tcPr>
            <w:tcW w:w="630" w:type="dxa"/>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pStyle w:val="51"/>
              <w:pBdr>
                <w:top w:val="none" w:color="auto" w:sz="0" w:space="0"/>
                <w:left w:val="none" w:color="auto" w:sz="0" w:space="0"/>
                <w:bottom w:val="none" w:color="auto" w:sz="0" w:space="0"/>
                <w:right w:val="none" w:color="auto" w:sz="0" w:space="0"/>
              </w:pBdr>
              <w:spacing w:before="120" w:after="12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1</w:t>
            </w:r>
          </w:p>
        </w:tc>
        <w:tc>
          <w:tcPr>
            <w:tcW w:w="1446" w:type="dxa"/>
            <w:tcBorders>
              <w:left w:val="single" w:color="000000" w:sz="4" w:space="0"/>
              <w:bottom w:val="single" w:color="000000" w:sz="4" w:space="0"/>
              <w:right w:val="single" w:color="auto" w:sz="4" w:space="0"/>
            </w:tcBorders>
            <w:noWrap w:val="0"/>
            <w:tcMar>
              <w:top w:w="80" w:type="dxa"/>
              <w:left w:w="80" w:type="dxa"/>
              <w:bottom w:w="80" w:type="dxa"/>
              <w:right w:w="80" w:type="dxa"/>
            </w:tcMar>
            <w:vAlign w:val="center"/>
          </w:tcPr>
          <w:p>
            <w:pPr>
              <w:pStyle w:val="51"/>
              <w:pBdr>
                <w:top w:val="none" w:color="auto" w:sz="0" w:space="0"/>
                <w:left w:val="none" w:color="auto" w:sz="0" w:space="0"/>
                <w:bottom w:val="none" w:color="auto" w:sz="0" w:space="0"/>
                <w:right w:val="none" w:color="auto" w:sz="0" w:space="0"/>
              </w:pBdr>
              <w:spacing w:before="120" w:after="120"/>
              <w:jc w:val="center"/>
              <w:rPr>
                <w:rFonts w:hint="eastAsia" w:ascii="宋体" w:hAnsi="宋体" w:eastAsia="宋体" w:cs="宋体"/>
                <w:color w:val="auto"/>
                <w:kern w:val="0"/>
                <w:sz w:val="20"/>
                <w:szCs w:val="20"/>
                <w:highlight w:val="none"/>
                <w:lang w:val="zh-TW" w:eastAsia="zh-TW"/>
              </w:rPr>
            </w:pPr>
            <w:r>
              <w:rPr>
                <w:rFonts w:hint="eastAsia"/>
                <w:sz w:val="20"/>
                <w:szCs w:val="20"/>
                <w:highlight w:val="none"/>
                <w:lang w:val="en-US"/>
              </w:rPr>
              <w:t>G527（白沙-塘雅）兰溪段</w:t>
            </w:r>
          </w:p>
        </w:tc>
        <w:tc>
          <w:tcPr>
            <w:tcW w:w="2250"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snapToGrid/>
              <w:spacing w:line="300" w:lineRule="exact"/>
              <w:jc w:val="center"/>
              <w:textAlignment w:val="auto"/>
              <w:rPr>
                <w:rFonts w:hint="eastAsia" w:ascii="宋体" w:hAnsi="宋体" w:eastAsia="宋体" w:cs="宋体"/>
                <w:sz w:val="20"/>
                <w:szCs w:val="20"/>
                <w:highlight w:val="none"/>
              </w:rPr>
            </w:pPr>
            <w:r>
              <w:rPr>
                <w:rFonts w:hint="eastAsia" w:ascii="宋体" w:hAnsi="宋体" w:eastAsia="宋体" w:cs="宋体"/>
                <w:sz w:val="20"/>
                <w:szCs w:val="20"/>
                <w:highlight w:val="none"/>
              </w:rPr>
              <w:t>建设里程7.6km，一级公路标准，路基宽度33m，设计速度80km/h</w:t>
            </w:r>
          </w:p>
        </w:tc>
        <w:tc>
          <w:tcPr>
            <w:tcW w:w="1216" w:type="dxa"/>
            <w:tcBorders>
              <w:top w:val="single" w:color="auto" w:sz="4" w:space="0"/>
              <w:left w:val="single" w:color="auto" w:sz="4" w:space="0"/>
              <w:bottom w:val="single" w:color="000000" w:sz="4" w:space="0"/>
              <w:right w:val="single" w:color="000000" w:sz="4" w:space="0"/>
            </w:tcBorders>
            <w:noWrap w:val="0"/>
            <w:vAlign w:val="center"/>
          </w:tcPr>
          <w:p>
            <w:pPr>
              <w:rPr>
                <w:rFonts w:hint="eastAsia" w:ascii="宋体" w:hAnsi="宋体" w:eastAsia="宋体" w:cs="宋体"/>
                <w:sz w:val="20"/>
                <w:szCs w:val="20"/>
                <w:highlight w:val="none"/>
              </w:rPr>
            </w:pPr>
          </w:p>
        </w:tc>
        <w:tc>
          <w:tcPr>
            <w:tcW w:w="1109" w:type="dxa"/>
            <w:tcBorders>
              <w:top w:val="single" w:color="auto" w:sz="4" w:space="0"/>
              <w:left w:val="single" w:color="auto" w:sz="4" w:space="0"/>
              <w:bottom w:val="single" w:color="000000" w:sz="4" w:space="0"/>
              <w:right w:val="single" w:color="000000" w:sz="4" w:space="0"/>
            </w:tcBorders>
            <w:noWrap w:val="0"/>
            <w:vAlign w:val="center"/>
          </w:tcPr>
          <w:p>
            <w:pPr>
              <w:rPr>
                <w:rFonts w:hint="eastAsia" w:ascii="宋体" w:hAnsi="宋体" w:eastAsia="宋体" w:cs="宋体"/>
                <w:sz w:val="20"/>
                <w:szCs w:val="20"/>
                <w:highlight w:val="none"/>
              </w:rPr>
            </w:pPr>
          </w:p>
        </w:tc>
        <w:tc>
          <w:tcPr>
            <w:tcW w:w="1099" w:type="dxa"/>
            <w:tcBorders>
              <w:top w:val="single" w:color="auto" w:sz="4" w:space="0"/>
              <w:left w:val="single" w:color="auto" w:sz="4" w:space="0"/>
              <w:bottom w:val="single" w:color="000000" w:sz="4" w:space="0"/>
              <w:right w:val="single" w:color="000000" w:sz="4" w:space="0"/>
            </w:tcBorders>
            <w:noWrap w:val="0"/>
            <w:vAlign w:val="center"/>
          </w:tcPr>
          <w:p>
            <w:pPr>
              <w:rPr>
                <w:rFonts w:hint="eastAsia" w:ascii="宋体" w:hAnsi="宋体" w:eastAsia="宋体" w:cs="宋体"/>
                <w:sz w:val="20"/>
                <w:szCs w:val="20"/>
                <w:highlight w:val="none"/>
              </w:rPr>
            </w:pPr>
          </w:p>
        </w:tc>
        <w:tc>
          <w:tcPr>
            <w:tcW w:w="1172" w:type="dxa"/>
            <w:tcBorders>
              <w:left w:val="single" w:color="000000" w:sz="4" w:space="0"/>
              <w:right w:val="single" w:color="000000" w:sz="4" w:space="0"/>
            </w:tcBorders>
            <w:noWrap w:val="0"/>
            <w:tcMar>
              <w:top w:w="80" w:type="dxa"/>
              <w:left w:w="80" w:type="dxa"/>
              <w:bottom w:w="80" w:type="dxa"/>
              <w:right w:w="80" w:type="dxa"/>
            </w:tcMar>
            <w:vAlign w:val="center"/>
          </w:tcPr>
          <w:p>
            <w:pPr>
              <w:pStyle w:val="51"/>
              <w:pBdr>
                <w:top w:val="none" w:color="auto" w:sz="0" w:space="0"/>
                <w:left w:val="none" w:color="auto" w:sz="0" w:space="0"/>
                <w:bottom w:val="none" w:color="auto" w:sz="0" w:space="0"/>
                <w:right w:val="none" w:color="auto" w:sz="0" w:space="0"/>
              </w:pBdr>
              <w:jc w:val="center"/>
              <w:rPr>
                <w:rFonts w:hint="eastAsia" w:ascii="宋体" w:hAnsi="宋体" w:eastAsia="宋体" w:cs="宋体"/>
                <w:b/>
                <w:bCs/>
                <w:color w:val="auto"/>
                <w:kern w:val="0"/>
                <w:sz w:val="20"/>
                <w:szCs w:val="20"/>
                <w:highlight w:val="none"/>
                <w:lang w:val="zh-TW" w:eastAsia="zh-TW"/>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05" w:hRule="atLeast"/>
        </w:trPr>
        <w:tc>
          <w:tcPr>
            <w:tcW w:w="630" w:type="dxa"/>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pStyle w:val="51"/>
              <w:pBdr>
                <w:top w:val="none" w:color="auto" w:sz="0" w:space="0"/>
                <w:left w:val="none" w:color="auto" w:sz="0" w:space="0"/>
                <w:bottom w:val="none" w:color="auto" w:sz="0" w:space="0"/>
                <w:right w:val="none" w:color="auto" w:sz="0" w:space="0"/>
              </w:pBdr>
              <w:spacing w:before="120" w:after="12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2</w:t>
            </w:r>
          </w:p>
        </w:tc>
        <w:tc>
          <w:tcPr>
            <w:tcW w:w="1446" w:type="dxa"/>
            <w:tcBorders>
              <w:left w:val="single" w:color="000000" w:sz="4" w:space="0"/>
              <w:bottom w:val="single" w:color="000000" w:sz="4" w:space="0"/>
              <w:right w:val="single" w:color="auto" w:sz="4" w:space="0"/>
            </w:tcBorders>
            <w:noWrap w:val="0"/>
            <w:tcMar>
              <w:top w:w="80" w:type="dxa"/>
              <w:left w:w="80" w:type="dxa"/>
              <w:bottom w:w="80" w:type="dxa"/>
              <w:right w:w="80" w:type="dxa"/>
            </w:tcMar>
            <w:vAlign w:val="center"/>
          </w:tcPr>
          <w:p>
            <w:pPr>
              <w:rPr>
                <w:rFonts w:hint="eastAsia" w:ascii="宋体" w:hAnsi="宋体" w:eastAsia="宋体" w:cs="宋体"/>
                <w:sz w:val="20"/>
                <w:szCs w:val="20"/>
                <w:highlight w:val="none"/>
              </w:rPr>
            </w:pPr>
            <w:r>
              <w:rPr>
                <w:rFonts w:hint="eastAsia"/>
                <w:sz w:val="20"/>
                <w:szCs w:val="20"/>
                <w:highlight w:val="none"/>
                <w:lang w:val="en-US"/>
              </w:rPr>
              <w:t>S319（义乌-江山）兰溪段</w:t>
            </w:r>
          </w:p>
        </w:tc>
        <w:tc>
          <w:tcPr>
            <w:tcW w:w="2250"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snapToGrid/>
              <w:spacing w:line="300" w:lineRule="exact"/>
              <w:jc w:val="center"/>
              <w:textAlignment w:val="auto"/>
              <w:rPr>
                <w:rFonts w:hint="eastAsia" w:ascii="宋体" w:hAnsi="宋体" w:eastAsia="宋体" w:cs="宋体"/>
                <w:sz w:val="20"/>
                <w:szCs w:val="20"/>
                <w:highlight w:val="none"/>
              </w:rPr>
            </w:pPr>
            <w:r>
              <w:rPr>
                <w:rFonts w:hint="eastAsia" w:ascii="宋体" w:hAnsi="宋体" w:eastAsia="宋体" w:cs="宋体"/>
                <w:sz w:val="20"/>
                <w:szCs w:val="20"/>
                <w:highlight w:val="none"/>
              </w:rPr>
              <w:t>建设里程21.74km，一级公路标准，路基宽度33m，设计速度80km/h</w:t>
            </w:r>
          </w:p>
        </w:tc>
        <w:tc>
          <w:tcPr>
            <w:tcW w:w="1216" w:type="dxa"/>
            <w:tcBorders>
              <w:top w:val="single" w:color="auto" w:sz="4" w:space="0"/>
              <w:left w:val="single" w:color="auto" w:sz="4" w:space="0"/>
              <w:bottom w:val="single" w:color="000000" w:sz="4" w:space="0"/>
              <w:right w:val="single" w:color="000000" w:sz="4" w:space="0"/>
            </w:tcBorders>
            <w:noWrap w:val="0"/>
            <w:vAlign w:val="center"/>
          </w:tcPr>
          <w:p>
            <w:pPr>
              <w:rPr>
                <w:rFonts w:hint="eastAsia" w:ascii="宋体" w:hAnsi="宋体" w:eastAsia="宋体" w:cs="宋体"/>
                <w:sz w:val="20"/>
                <w:szCs w:val="20"/>
                <w:highlight w:val="none"/>
              </w:rPr>
            </w:pPr>
          </w:p>
        </w:tc>
        <w:tc>
          <w:tcPr>
            <w:tcW w:w="1109" w:type="dxa"/>
            <w:tcBorders>
              <w:top w:val="single" w:color="auto" w:sz="4" w:space="0"/>
              <w:left w:val="single" w:color="auto" w:sz="4" w:space="0"/>
              <w:bottom w:val="single" w:color="000000" w:sz="4" w:space="0"/>
              <w:right w:val="single" w:color="000000" w:sz="4" w:space="0"/>
            </w:tcBorders>
            <w:noWrap w:val="0"/>
            <w:vAlign w:val="center"/>
          </w:tcPr>
          <w:p>
            <w:pPr>
              <w:rPr>
                <w:rFonts w:hint="eastAsia" w:ascii="宋体" w:hAnsi="宋体" w:eastAsia="宋体" w:cs="宋体"/>
                <w:sz w:val="20"/>
                <w:szCs w:val="20"/>
                <w:highlight w:val="none"/>
              </w:rPr>
            </w:pPr>
          </w:p>
        </w:tc>
        <w:tc>
          <w:tcPr>
            <w:tcW w:w="1099" w:type="dxa"/>
            <w:tcBorders>
              <w:top w:val="single" w:color="auto" w:sz="4" w:space="0"/>
              <w:left w:val="single" w:color="auto" w:sz="4" w:space="0"/>
              <w:bottom w:val="single" w:color="000000" w:sz="4" w:space="0"/>
              <w:right w:val="single" w:color="000000" w:sz="4" w:space="0"/>
            </w:tcBorders>
            <w:noWrap w:val="0"/>
            <w:vAlign w:val="center"/>
          </w:tcPr>
          <w:p>
            <w:pPr>
              <w:rPr>
                <w:rFonts w:hint="eastAsia" w:ascii="宋体" w:hAnsi="宋体" w:eastAsia="宋体" w:cs="宋体"/>
                <w:sz w:val="20"/>
                <w:szCs w:val="20"/>
                <w:highlight w:val="none"/>
              </w:rPr>
            </w:pPr>
          </w:p>
        </w:tc>
        <w:tc>
          <w:tcPr>
            <w:tcW w:w="1172" w:type="dxa"/>
            <w:tcBorders>
              <w:left w:val="single" w:color="000000" w:sz="4" w:space="0"/>
              <w:right w:val="single" w:color="000000" w:sz="4" w:space="0"/>
            </w:tcBorders>
            <w:noWrap w:val="0"/>
            <w:tcMar>
              <w:top w:w="80" w:type="dxa"/>
              <w:left w:w="80" w:type="dxa"/>
              <w:bottom w:w="80" w:type="dxa"/>
              <w:right w:w="80" w:type="dxa"/>
            </w:tcMar>
            <w:vAlign w:val="center"/>
          </w:tcPr>
          <w:p>
            <w:pPr>
              <w:pStyle w:val="51"/>
              <w:pBdr>
                <w:top w:val="none" w:color="auto" w:sz="0" w:space="0"/>
                <w:left w:val="none" w:color="auto" w:sz="0" w:space="0"/>
                <w:bottom w:val="none" w:color="auto" w:sz="0" w:space="0"/>
                <w:right w:val="none" w:color="auto" w:sz="0" w:space="0"/>
              </w:pBdr>
              <w:jc w:val="center"/>
              <w:rPr>
                <w:rFonts w:hint="eastAsia" w:ascii="宋体" w:hAnsi="宋体" w:eastAsia="宋体" w:cs="宋体"/>
                <w:b/>
                <w:bCs/>
                <w:color w:val="auto"/>
                <w:kern w:val="0"/>
                <w:sz w:val="20"/>
                <w:szCs w:val="20"/>
                <w:highlight w:val="none"/>
                <w:lang w:val="zh-TW" w:eastAsia="zh-TW"/>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1" w:hRule="atLeast"/>
        </w:trPr>
        <w:tc>
          <w:tcPr>
            <w:tcW w:w="630" w:type="dxa"/>
            <w:tcBorders>
              <w:left w:val="single" w:color="000000" w:sz="4" w:space="0"/>
              <w:right w:val="single" w:color="000000" w:sz="4" w:space="0"/>
            </w:tcBorders>
            <w:noWrap w:val="0"/>
            <w:tcMar>
              <w:top w:w="80" w:type="dxa"/>
              <w:left w:w="80" w:type="dxa"/>
              <w:bottom w:w="80" w:type="dxa"/>
              <w:right w:w="80" w:type="dxa"/>
            </w:tcMar>
            <w:vAlign w:val="center"/>
          </w:tcPr>
          <w:p>
            <w:pPr>
              <w:pStyle w:val="51"/>
              <w:pBdr>
                <w:top w:val="none" w:color="auto" w:sz="0" w:space="0"/>
                <w:left w:val="none" w:color="auto" w:sz="0" w:space="0"/>
                <w:bottom w:val="none" w:color="auto" w:sz="0" w:space="0"/>
                <w:right w:val="none" w:color="auto" w:sz="0" w:space="0"/>
              </w:pBdr>
              <w:spacing w:before="120" w:after="120"/>
              <w:jc w:val="center"/>
              <w:rPr>
                <w:rFonts w:hint="eastAsia" w:ascii="宋体" w:hAnsi="宋体" w:eastAsia="宋体" w:cs="宋体"/>
                <w:color w:val="auto"/>
                <w:sz w:val="20"/>
                <w:szCs w:val="20"/>
                <w:highlight w:val="none"/>
              </w:rPr>
            </w:pPr>
            <w:r>
              <w:rPr>
                <w:rFonts w:hint="eastAsia" w:ascii="宋体" w:hAnsi="宋体" w:eastAsia="宋体" w:cs="宋体"/>
                <w:color w:val="auto"/>
                <w:sz w:val="20"/>
                <w:szCs w:val="20"/>
                <w:highlight w:val="none"/>
              </w:rPr>
              <w:t>3</w:t>
            </w:r>
          </w:p>
        </w:tc>
        <w:tc>
          <w:tcPr>
            <w:tcW w:w="1446" w:type="dxa"/>
            <w:tcBorders>
              <w:left w:val="single" w:color="000000" w:sz="4" w:space="0"/>
              <w:right w:val="single" w:color="auto" w:sz="4" w:space="0"/>
            </w:tcBorders>
            <w:noWrap w:val="0"/>
            <w:tcMar>
              <w:top w:w="80" w:type="dxa"/>
              <w:left w:w="80" w:type="dxa"/>
              <w:bottom w:w="80" w:type="dxa"/>
              <w:right w:w="80" w:type="dxa"/>
            </w:tcMar>
            <w:vAlign w:val="center"/>
          </w:tcPr>
          <w:p>
            <w:pPr>
              <w:rPr>
                <w:rFonts w:hint="eastAsia" w:ascii="宋体" w:hAnsi="宋体" w:eastAsia="宋体" w:cs="宋体"/>
                <w:sz w:val="20"/>
                <w:szCs w:val="20"/>
                <w:highlight w:val="none"/>
              </w:rPr>
            </w:pPr>
            <w:r>
              <w:rPr>
                <w:rFonts w:hint="eastAsia"/>
                <w:sz w:val="20"/>
                <w:szCs w:val="20"/>
                <w:highlight w:val="none"/>
                <w:lang w:val="en-US"/>
              </w:rPr>
              <w:t>S317（婺城-淳安）兰溪段</w:t>
            </w:r>
          </w:p>
        </w:tc>
        <w:tc>
          <w:tcPr>
            <w:tcW w:w="2250"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bidi w:val="0"/>
              <w:adjustRightInd/>
              <w:snapToGrid/>
              <w:spacing w:line="300" w:lineRule="exact"/>
              <w:jc w:val="center"/>
              <w:textAlignment w:val="auto"/>
              <w:rPr>
                <w:rFonts w:hint="eastAsia" w:ascii="宋体" w:hAnsi="宋体" w:eastAsia="宋体" w:cs="宋体"/>
                <w:sz w:val="20"/>
                <w:szCs w:val="20"/>
                <w:highlight w:val="none"/>
              </w:rPr>
            </w:pPr>
            <w:r>
              <w:rPr>
                <w:rFonts w:hint="eastAsia" w:ascii="宋体" w:hAnsi="宋体" w:eastAsia="宋体" w:cs="宋体"/>
                <w:sz w:val="20"/>
                <w:szCs w:val="20"/>
                <w:highlight w:val="none"/>
              </w:rPr>
              <w:t>建设里程17km，一级公路标准，路基宽度33m，设计速度80km/h</w:t>
            </w:r>
          </w:p>
        </w:tc>
        <w:tc>
          <w:tcPr>
            <w:tcW w:w="1216" w:type="dxa"/>
            <w:tcBorders>
              <w:top w:val="single" w:color="auto" w:sz="4" w:space="0"/>
              <w:left w:val="single" w:color="auto" w:sz="4" w:space="0"/>
              <w:bottom w:val="single" w:color="auto" w:sz="4" w:space="0"/>
              <w:right w:val="single" w:color="000000" w:sz="4" w:space="0"/>
            </w:tcBorders>
            <w:noWrap w:val="0"/>
            <w:vAlign w:val="center"/>
          </w:tcPr>
          <w:p>
            <w:pPr>
              <w:rPr>
                <w:rFonts w:hint="eastAsia" w:ascii="宋体" w:hAnsi="宋体" w:eastAsia="宋体" w:cs="宋体"/>
                <w:sz w:val="20"/>
                <w:szCs w:val="20"/>
                <w:highlight w:val="none"/>
              </w:rPr>
            </w:pPr>
          </w:p>
        </w:tc>
        <w:tc>
          <w:tcPr>
            <w:tcW w:w="1109" w:type="dxa"/>
            <w:tcBorders>
              <w:top w:val="single" w:color="auto" w:sz="4" w:space="0"/>
              <w:left w:val="single" w:color="auto" w:sz="4" w:space="0"/>
              <w:bottom w:val="single" w:color="auto" w:sz="4" w:space="0"/>
              <w:right w:val="single" w:color="000000" w:sz="4" w:space="0"/>
            </w:tcBorders>
            <w:noWrap w:val="0"/>
            <w:vAlign w:val="center"/>
          </w:tcPr>
          <w:p>
            <w:pPr>
              <w:rPr>
                <w:rFonts w:hint="eastAsia" w:ascii="宋体" w:hAnsi="宋体" w:eastAsia="宋体" w:cs="宋体"/>
                <w:sz w:val="20"/>
                <w:szCs w:val="20"/>
                <w:highlight w:val="none"/>
              </w:rPr>
            </w:pPr>
          </w:p>
        </w:tc>
        <w:tc>
          <w:tcPr>
            <w:tcW w:w="1099" w:type="dxa"/>
            <w:tcBorders>
              <w:top w:val="single" w:color="auto" w:sz="4" w:space="0"/>
              <w:left w:val="single" w:color="auto" w:sz="4" w:space="0"/>
              <w:bottom w:val="single" w:color="auto" w:sz="4" w:space="0"/>
              <w:right w:val="single" w:color="000000" w:sz="4" w:space="0"/>
            </w:tcBorders>
            <w:noWrap w:val="0"/>
            <w:vAlign w:val="center"/>
          </w:tcPr>
          <w:p>
            <w:pPr>
              <w:rPr>
                <w:rFonts w:hint="eastAsia" w:ascii="宋体" w:hAnsi="宋体" w:eastAsia="宋体" w:cs="宋体"/>
                <w:sz w:val="20"/>
                <w:szCs w:val="20"/>
                <w:highlight w:val="none"/>
              </w:rPr>
            </w:pPr>
          </w:p>
        </w:tc>
        <w:tc>
          <w:tcPr>
            <w:tcW w:w="1172" w:type="dxa"/>
            <w:tcBorders>
              <w:left w:val="single" w:color="000000" w:sz="4" w:space="0"/>
              <w:right w:val="single" w:color="000000" w:sz="4" w:space="0"/>
            </w:tcBorders>
            <w:noWrap w:val="0"/>
            <w:tcMar>
              <w:top w:w="80" w:type="dxa"/>
              <w:left w:w="80" w:type="dxa"/>
              <w:bottom w:w="80" w:type="dxa"/>
              <w:right w:w="80" w:type="dxa"/>
            </w:tcMar>
            <w:vAlign w:val="center"/>
          </w:tcPr>
          <w:p>
            <w:pPr>
              <w:pStyle w:val="51"/>
              <w:pBdr>
                <w:top w:val="none" w:color="auto" w:sz="0" w:space="0"/>
                <w:left w:val="none" w:color="auto" w:sz="0" w:space="0"/>
                <w:bottom w:val="none" w:color="auto" w:sz="0" w:space="0"/>
                <w:right w:val="none" w:color="auto" w:sz="0" w:space="0"/>
              </w:pBdr>
              <w:jc w:val="center"/>
              <w:rPr>
                <w:rFonts w:hint="eastAsia" w:ascii="宋体" w:hAnsi="宋体" w:eastAsia="宋体" w:cs="宋体"/>
                <w:b/>
                <w:bCs/>
                <w:color w:val="auto"/>
                <w:kern w:val="0"/>
                <w:sz w:val="20"/>
                <w:szCs w:val="20"/>
                <w:highlight w:val="none"/>
                <w:lang w:val="zh-TW" w:eastAsia="zh-TW"/>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3" w:hRule="atLeast"/>
        </w:trPr>
        <w:tc>
          <w:tcPr>
            <w:tcW w:w="630" w:type="dxa"/>
            <w:tcBorders>
              <w:left w:val="single" w:color="000000" w:sz="4" w:space="0"/>
              <w:right w:val="single" w:color="000000" w:sz="4" w:space="0"/>
            </w:tcBorders>
            <w:noWrap w:val="0"/>
            <w:tcMar>
              <w:top w:w="80" w:type="dxa"/>
              <w:left w:w="80" w:type="dxa"/>
              <w:bottom w:w="80" w:type="dxa"/>
              <w:right w:w="80" w:type="dxa"/>
            </w:tcMar>
            <w:vAlign w:val="center"/>
          </w:tcPr>
          <w:p>
            <w:pPr>
              <w:pStyle w:val="51"/>
              <w:pBdr>
                <w:top w:val="none" w:color="auto" w:sz="0" w:space="0"/>
                <w:left w:val="none" w:color="auto" w:sz="0" w:space="0"/>
                <w:bottom w:val="none" w:color="auto" w:sz="0" w:space="0"/>
                <w:right w:val="none" w:color="auto" w:sz="0" w:space="0"/>
              </w:pBdr>
              <w:spacing w:before="120" w:after="120"/>
              <w:jc w:val="center"/>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4</w:t>
            </w:r>
          </w:p>
        </w:tc>
        <w:tc>
          <w:tcPr>
            <w:tcW w:w="1446" w:type="dxa"/>
            <w:tcBorders>
              <w:left w:val="single" w:color="000000" w:sz="4" w:space="0"/>
              <w:right w:val="single" w:color="auto" w:sz="4" w:space="0"/>
            </w:tcBorders>
            <w:noWrap w:val="0"/>
            <w:tcMar>
              <w:top w:w="80" w:type="dxa"/>
              <w:left w:w="80" w:type="dxa"/>
              <w:bottom w:w="80" w:type="dxa"/>
              <w:right w:w="80" w:type="dxa"/>
            </w:tcMar>
            <w:vAlign w:val="center"/>
          </w:tcPr>
          <w:p>
            <w:pPr>
              <w:jc w:val="center"/>
              <w:rPr>
                <w:rFonts w:hint="default" w:eastAsia="宋体"/>
                <w:sz w:val="20"/>
                <w:szCs w:val="20"/>
                <w:highlight w:val="none"/>
                <w:lang w:val="en-US" w:eastAsia="zh-CN"/>
              </w:rPr>
            </w:pPr>
            <w:r>
              <w:rPr>
                <w:rFonts w:hint="eastAsia" w:ascii="宋体" w:hAnsi="宋体" w:eastAsia="宋体" w:cs="宋体"/>
                <w:sz w:val="20"/>
                <w:szCs w:val="20"/>
                <w:highlight w:val="none"/>
                <w:lang w:val="en-US"/>
              </w:rPr>
              <w:t>S215（兰溪-龙泉）兰溪段</w:t>
            </w:r>
          </w:p>
        </w:tc>
        <w:tc>
          <w:tcPr>
            <w:tcW w:w="2250" w:type="dxa"/>
            <w:tcBorders>
              <w:top w:val="single" w:color="auto" w:sz="4" w:space="0"/>
              <w:left w:val="single" w:color="auto" w:sz="4" w:space="0"/>
              <w:bottom w:val="single" w:color="auto" w:sz="4" w:space="0"/>
              <w:right w:val="single" w:color="000000" w:sz="4" w:space="0"/>
            </w:tcBorders>
            <w:noWrap w:val="0"/>
            <w:vAlign w:val="center"/>
          </w:tcPr>
          <w:p>
            <w:pPr>
              <w:pStyle w:val="31"/>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0"/>
                <w:szCs w:val="20"/>
                <w:highlight w:val="none"/>
                <w:lang w:eastAsia="zh-CN"/>
              </w:rPr>
            </w:pPr>
            <w:r>
              <w:rPr>
                <w:rFonts w:hint="eastAsia" w:ascii="宋体" w:hAnsi="宋体" w:eastAsia="宋体" w:cs="宋体"/>
                <w:sz w:val="20"/>
                <w:szCs w:val="20"/>
                <w:highlight w:val="none"/>
                <w:lang w:val="en-US" w:eastAsia="zh-CN"/>
              </w:rPr>
              <w:t>建设里程12.38km，一级公路标准，路基宽度26m，设计速度80km/h</w:t>
            </w:r>
          </w:p>
        </w:tc>
        <w:tc>
          <w:tcPr>
            <w:tcW w:w="1216" w:type="dxa"/>
            <w:tcBorders>
              <w:top w:val="single" w:color="auto" w:sz="4" w:space="0"/>
              <w:left w:val="single" w:color="auto" w:sz="4" w:space="0"/>
              <w:bottom w:val="single" w:color="auto" w:sz="4" w:space="0"/>
              <w:right w:val="single" w:color="000000" w:sz="4" w:space="0"/>
            </w:tcBorders>
            <w:noWrap w:val="0"/>
            <w:vAlign w:val="center"/>
          </w:tcPr>
          <w:p>
            <w:pPr>
              <w:rPr>
                <w:rFonts w:hint="eastAsia" w:ascii="宋体" w:hAnsi="宋体" w:eastAsia="宋体" w:cs="宋体"/>
                <w:sz w:val="20"/>
                <w:szCs w:val="20"/>
                <w:highlight w:val="none"/>
              </w:rPr>
            </w:pPr>
          </w:p>
        </w:tc>
        <w:tc>
          <w:tcPr>
            <w:tcW w:w="1109" w:type="dxa"/>
            <w:tcBorders>
              <w:top w:val="single" w:color="auto" w:sz="4" w:space="0"/>
              <w:left w:val="single" w:color="auto" w:sz="4" w:space="0"/>
              <w:bottom w:val="single" w:color="auto" w:sz="4" w:space="0"/>
              <w:right w:val="single" w:color="000000" w:sz="4" w:space="0"/>
            </w:tcBorders>
            <w:noWrap w:val="0"/>
            <w:vAlign w:val="center"/>
          </w:tcPr>
          <w:p>
            <w:pPr>
              <w:rPr>
                <w:rFonts w:hint="eastAsia" w:ascii="宋体" w:hAnsi="宋体" w:eastAsia="宋体" w:cs="宋体"/>
                <w:sz w:val="20"/>
                <w:szCs w:val="20"/>
                <w:highlight w:val="none"/>
              </w:rPr>
            </w:pPr>
          </w:p>
        </w:tc>
        <w:tc>
          <w:tcPr>
            <w:tcW w:w="1099" w:type="dxa"/>
            <w:tcBorders>
              <w:top w:val="single" w:color="auto" w:sz="4" w:space="0"/>
              <w:left w:val="single" w:color="auto" w:sz="4" w:space="0"/>
              <w:bottom w:val="single" w:color="auto" w:sz="4" w:space="0"/>
              <w:right w:val="single" w:color="000000" w:sz="4" w:space="0"/>
            </w:tcBorders>
            <w:noWrap w:val="0"/>
            <w:vAlign w:val="center"/>
          </w:tcPr>
          <w:p>
            <w:pPr>
              <w:rPr>
                <w:rFonts w:hint="eastAsia" w:ascii="宋体" w:hAnsi="宋体" w:eastAsia="宋体" w:cs="宋体"/>
                <w:sz w:val="20"/>
                <w:szCs w:val="20"/>
                <w:highlight w:val="none"/>
              </w:rPr>
            </w:pPr>
          </w:p>
        </w:tc>
        <w:tc>
          <w:tcPr>
            <w:tcW w:w="1172" w:type="dxa"/>
            <w:tcBorders>
              <w:left w:val="single" w:color="000000" w:sz="4" w:space="0"/>
              <w:right w:val="single" w:color="000000" w:sz="4" w:space="0"/>
            </w:tcBorders>
            <w:noWrap w:val="0"/>
            <w:tcMar>
              <w:top w:w="80" w:type="dxa"/>
              <w:left w:w="80" w:type="dxa"/>
              <w:bottom w:w="80" w:type="dxa"/>
              <w:right w:w="80" w:type="dxa"/>
            </w:tcMar>
            <w:vAlign w:val="center"/>
          </w:tcPr>
          <w:p>
            <w:pPr>
              <w:pStyle w:val="51"/>
              <w:pBdr>
                <w:top w:val="none" w:color="auto" w:sz="0" w:space="0"/>
                <w:left w:val="none" w:color="auto" w:sz="0" w:space="0"/>
                <w:bottom w:val="none" w:color="auto" w:sz="0" w:space="0"/>
                <w:right w:val="none" w:color="auto" w:sz="0" w:space="0"/>
              </w:pBdr>
              <w:jc w:val="center"/>
              <w:rPr>
                <w:rFonts w:hint="eastAsia" w:ascii="宋体" w:hAnsi="宋体" w:eastAsia="宋体" w:cs="宋体"/>
                <w:b/>
                <w:bCs/>
                <w:color w:val="auto"/>
                <w:kern w:val="0"/>
                <w:sz w:val="20"/>
                <w:szCs w:val="20"/>
                <w:highlight w:val="none"/>
                <w:lang w:val="zh-TW" w:eastAsia="zh-TW"/>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630" w:type="dxa"/>
            <w:tcBorders>
              <w:left w:val="single" w:color="000000" w:sz="4" w:space="0"/>
              <w:right w:val="single" w:color="000000" w:sz="4" w:space="0"/>
            </w:tcBorders>
            <w:noWrap w:val="0"/>
            <w:tcMar>
              <w:top w:w="80" w:type="dxa"/>
              <w:left w:w="80" w:type="dxa"/>
              <w:bottom w:w="80" w:type="dxa"/>
              <w:right w:w="80" w:type="dxa"/>
            </w:tcMar>
            <w:vAlign w:val="center"/>
          </w:tcPr>
          <w:p>
            <w:pPr>
              <w:pStyle w:val="51"/>
              <w:pBdr>
                <w:top w:val="none" w:color="auto" w:sz="0" w:space="0"/>
                <w:left w:val="none" w:color="auto" w:sz="0" w:space="0"/>
                <w:bottom w:val="none" w:color="auto" w:sz="0" w:space="0"/>
                <w:right w:val="none" w:color="auto" w:sz="0" w:space="0"/>
              </w:pBdr>
              <w:spacing w:before="120" w:after="120"/>
              <w:jc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5</w:t>
            </w:r>
          </w:p>
        </w:tc>
        <w:tc>
          <w:tcPr>
            <w:tcW w:w="1446" w:type="dxa"/>
            <w:tcBorders>
              <w:left w:val="single" w:color="000000" w:sz="4" w:space="0"/>
              <w:right w:val="single" w:color="auto" w:sz="4" w:space="0"/>
            </w:tcBorders>
            <w:noWrap w:val="0"/>
            <w:tcMar>
              <w:top w:w="80" w:type="dxa"/>
              <w:left w:w="80" w:type="dxa"/>
              <w:bottom w:w="80" w:type="dxa"/>
              <w:right w:w="80" w:type="dxa"/>
            </w:tcMar>
            <w:vAlign w:val="center"/>
          </w:tcPr>
          <w:p>
            <w:pPr>
              <w:jc w:val="center"/>
              <w:rPr>
                <w:rFonts w:hint="default" w:eastAsia="宋体"/>
                <w:sz w:val="20"/>
                <w:szCs w:val="20"/>
                <w:highlight w:val="none"/>
                <w:lang w:val="en-US" w:eastAsia="zh-CN"/>
              </w:rPr>
            </w:pPr>
            <w:r>
              <w:rPr>
                <w:rFonts w:hint="eastAsia" w:ascii="宋体" w:hAnsi="宋体" w:eastAsia="宋体" w:cs="宋体"/>
                <w:sz w:val="20"/>
                <w:szCs w:val="20"/>
                <w:highlight w:val="none"/>
                <w:lang w:val="en-US"/>
              </w:rPr>
              <w:t>金兰北线货运通道</w:t>
            </w:r>
          </w:p>
        </w:tc>
        <w:tc>
          <w:tcPr>
            <w:tcW w:w="2250"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bidi w:val="0"/>
              <w:adjustRightInd/>
              <w:snapToGrid/>
              <w:spacing w:line="300" w:lineRule="exact"/>
              <w:jc w:val="center"/>
              <w:textAlignment w:val="auto"/>
              <w:rPr>
                <w:rFonts w:hint="eastAsia"/>
                <w:sz w:val="20"/>
                <w:szCs w:val="20"/>
                <w:highlight w:val="none"/>
                <w:lang w:val="en-US" w:eastAsia="zh-CN"/>
              </w:rPr>
            </w:pPr>
            <w:r>
              <w:rPr>
                <w:rFonts w:hint="eastAsia" w:ascii="宋体" w:hAnsi="宋体" w:eastAsia="宋体" w:cs="宋体"/>
                <w:sz w:val="20"/>
                <w:szCs w:val="20"/>
                <w:highlight w:val="none"/>
                <w:lang w:val="en-US" w:eastAsia="zh-CN"/>
              </w:rPr>
              <w:t>建设里程8km，二级公路标准，路基宽度12m，设计速度80km/h</w:t>
            </w:r>
          </w:p>
        </w:tc>
        <w:tc>
          <w:tcPr>
            <w:tcW w:w="1216" w:type="dxa"/>
            <w:tcBorders>
              <w:top w:val="single" w:color="auto" w:sz="4" w:space="0"/>
              <w:left w:val="single" w:color="auto" w:sz="4" w:space="0"/>
              <w:bottom w:val="single" w:color="auto" w:sz="4" w:space="0"/>
              <w:right w:val="single" w:color="000000" w:sz="4" w:space="0"/>
            </w:tcBorders>
            <w:noWrap w:val="0"/>
            <w:vAlign w:val="center"/>
          </w:tcPr>
          <w:p>
            <w:pPr>
              <w:rPr>
                <w:rFonts w:hint="eastAsia" w:ascii="宋体" w:hAnsi="宋体" w:eastAsia="宋体" w:cs="宋体"/>
                <w:sz w:val="20"/>
                <w:szCs w:val="20"/>
                <w:highlight w:val="none"/>
              </w:rPr>
            </w:pPr>
          </w:p>
        </w:tc>
        <w:tc>
          <w:tcPr>
            <w:tcW w:w="1109" w:type="dxa"/>
            <w:tcBorders>
              <w:top w:val="single" w:color="auto" w:sz="4" w:space="0"/>
              <w:left w:val="single" w:color="auto" w:sz="4" w:space="0"/>
              <w:bottom w:val="single" w:color="auto" w:sz="4" w:space="0"/>
              <w:right w:val="single" w:color="000000" w:sz="4" w:space="0"/>
            </w:tcBorders>
            <w:noWrap w:val="0"/>
            <w:vAlign w:val="center"/>
          </w:tcPr>
          <w:p>
            <w:pPr>
              <w:rPr>
                <w:rFonts w:hint="eastAsia" w:ascii="宋体" w:hAnsi="宋体" w:eastAsia="宋体" w:cs="宋体"/>
                <w:sz w:val="20"/>
                <w:szCs w:val="20"/>
                <w:highlight w:val="none"/>
              </w:rPr>
            </w:pPr>
          </w:p>
        </w:tc>
        <w:tc>
          <w:tcPr>
            <w:tcW w:w="1099" w:type="dxa"/>
            <w:tcBorders>
              <w:top w:val="single" w:color="auto" w:sz="4" w:space="0"/>
              <w:left w:val="single" w:color="auto" w:sz="4" w:space="0"/>
              <w:bottom w:val="single" w:color="auto" w:sz="4" w:space="0"/>
              <w:right w:val="single" w:color="000000" w:sz="4" w:space="0"/>
            </w:tcBorders>
            <w:noWrap w:val="0"/>
            <w:vAlign w:val="center"/>
          </w:tcPr>
          <w:p>
            <w:pPr>
              <w:rPr>
                <w:rFonts w:hint="eastAsia" w:ascii="宋体" w:hAnsi="宋体" w:eastAsia="宋体" w:cs="宋体"/>
                <w:sz w:val="20"/>
                <w:szCs w:val="20"/>
                <w:highlight w:val="none"/>
              </w:rPr>
            </w:pPr>
          </w:p>
        </w:tc>
        <w:tc>
          <w:tcPr>
            <w:tcW w:w="1172" w:type="dxa"/>
            <w:tcBorders>
              <w:left w:val="single" w:color="000000" w:sz="4" w:space="0"/>
              <w:right w:val="single" w:color="000000" w:sz="4" w:space="0"/>
            </w:tcBorders>
            <w:noWrap w:val="0"/>
            <w:tcMar>
              <w:top w:w="80" w:type="dxa"/>
              <w:left w:w="80" w:type="dxa"/>
              <w:bottom w:w="80" w:type="dxa"/>
              <w:right w:w="80" w:type="dxa"/>
            </w:tcMar>
            <w:vAlign w:val="center"/>
          </w:tcPr>
          <w:p>
            <w:pPr>
              <w:pStyle w:val="51"/>
              <w:pBdr>
                <w:top w:val="none" w:color="auto" w:sz="0" w:space="0"/>
                <w:left w:val="none" w:color="auto" w:sz="0" w:space="0"/>
                <w:bottom w:val="none" w:color="auto" w:sz="0" w:space="0"/>
                <w:right w:val="none" w:color="auto" w:sz="0" w:space="0"/>
              </w:pBdr>
              <w:jc w:val="center"/>
              <w:rPr>
                <w:rFonts w:hint="eastAsia" w:ascii="宋体" w:hAnsi="宋体" w:eastAsia="宋体" w:cs="宋体"/>
                <w:b/>
                <w:bCs/>
                <w:color w:val="auto"/>
                <w:kern w:val="0"/>
                <w:sz w:val="20"/>
                <w:szCs w:val="20"/>
                <w:highlight w:val="none"/>
                <w:lang w:val="zh-TW" w:eastAsia="zh-TW"/>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6" w:hRule="atLeast"/>
        </w:trPr>
        <w:tc>
          <w:tcPr>
            <w:tcW w:w="630" w:type="dxa"/>
            <w:tcBorders>
              <w:left w:val="single" w:color="000000" w:sz="4" w:space="0"/>
              <w:right w:val="single" w:color="000000" w:sz="4" w:space="0"/>
            </w:tcBorders>
            <w:noWrap w:val="0"/>
            <w:tcMar>
              <w:top w:w="80" w:type="dxa"/>
              <w:left w:w="80" w:type="dxa"/>
              <w:bottom w:w="80" w:type="dxa"/>
              <w:right w:w="80" w:type="dxa"/>
            </w:tcMar>
            <w:vAlign w:val="center"/>
          </w:tcPr>
          <w:p>
            <w:pPr>
              <w:pStyle w:val="51"/>
              <w:pBdr>
                <w:top w:val="none" w:color="auto" w:sz="0" w:space="0"/>
                <w:left w:val="none" w:color="auto" w:sz="0" w:space="0"/>
                <w:bottom w:val="none" w:color="auto" w:sz="0" w:space="0"/>
                <w:right w:val="none" w:color="auto" w:sz="0" w:space="0"/>
              </w:pBdr>
              <w:spacing w:before="120" w:after="120"/>
              <w:jc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6</w:t>
            </w:r>
          </w:p>
        </w:tc>
        <w:tc>
          <w:tcPr>
            <w:tcW w:w="1446" w:type="dxa"/>
            <w:tcBorders>
              <w:left w:val="single" w:color="000000" w:sz="4" w:space="0"/>
              <w:right w:val="single" w:color="auto" w:sz="4" w:space="0"/>
            </w:tcBorders>
            <w:noWrap w:val="0"/>
            <w:tcMar>
              <w:top w:w="80" w:type="dxa"/>
              <w:left w:w="80" w:type="dxa"/>
              <w:bottom w:w="80" w:type="dxa"/>
              <w:right w:w="80" w:type="dxa"/>
            </w:tcMar>
            <w:vAlign w:val="center"/>
          </w:tcPr>
          <w:p>
            <w:pPr>
              <w:jc w:val="center"/>
              <w:rPr>
                <w:rFonts w:hint="default" w:eastAsia="宋体"/>
                <w:sz w:val="20"/>
                <w:szCs w:val="20"/>
                <w:highlight w:val="none"/>
                <w:lang w:val="en-US" w:eastAsia="zh-CN"/>
              </w:rPr>
            </w:pPr>
            <w:r>
              <w:rPr>
                <w:rFonts w:hint="eastAsia" w:ascii="宋体" w:hAnsi="宋体" w:eastAsia="宋体" w:cs="宋体"/>
                <w:sz w:val="20"/>
                <w:szCs w:val="20"/>
                <w:highlight w:val="none"/>
                <w:lang w:val="en-US"/>
              </w:rPr>
              <w:t>董蒋线二期</w:t>
            </w:r>
          </w:p>
        </w:tc>
        <w:tc>
          <w:tcPr>
            <w:tcW w:w="2250"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bidi w:val="0"/>
              <w:adjustRightInd/>
              <w:snapToGrid/>
              <w:spacing w:line="300" w:lineRule="exact"/>
              <w:jc w:val="center"/>
              <w:textAlignment w:val="auto"/>
              <w:rPr>
                <w:rFonts w:hint="eastAsia"/>
                <w:sz w:val="20"/>
                <w:szCs w:val="20"/>
                <w:highlight w:val="none"/>
                <w:lang w:val="en-US" w:eastAsia="zh-CN"/>
              </w:rPr>
            </w:pPr>
            <w:r>
              <w:rPr>
                <w:rFonts w:hint="eastAsia" w:ascii="宋体" w:hAnsi="宋体" w:eastAsia="宋体" w:cs="宋体"/>
                <w:sz w:val="20"/>
                <w:szCs w:val="20"/>
                <w:highlight w:val="none"/>
                <w:lang w:val="en-US" w:eastAsia="zh-CN"/>
              </w:rPr>
              <w:t>建设里程12.38km，二级公路标准，路基宽度12m，设计速度80km/h</w:t>
            </w:r>
          </w:p>
        </w:tc>
        <w:tc>
          <w:tcPr>
            <w:tcW w:w="1216" w:type="dxa"/>
            <w:tcBorders>
              <w:top w:val="single" w:color="auto" w:sz="4" w:space="0"/>
              <w:left w:val="single" w:color="auto" w:sz="4" w:space="0"/>
              <w:bottom w:val="single" w:color="auto" w:sz="4" w:space="0"/>
              <w:right w:val="single" w:color="000000" w:sz="4" w:space="0"/>
            </w:tcBorders>
            <w:noWrap w:val="0"/>
            <w:vAlign w:val="center"/>
          </w:tcPr>
          <w:p>
            <w:pPr>
              <w:rPr>
                <w:rFonts w:hint="eastAsia" w:ascii="宋体" w:hAnsi="宋体" w:eastAsia="宋体" w:cs="宋体"/>
                <w:sz w:val="20"/>
                <w:szCs w:val="20"/>
                <w:highlight w:val="none"/>
              </w:rPr>
            </w:pPr>
          </w:p>
        </w:tc>
        <w:tc>
          <w:tcPr>
            <w:tcW w:w="1109" w:type="dxa"/>
            <w:tcBorders>
              <w:top w:val="single" w:color="auto" w:sz="4" w:space="0"/>
              <w:left w:val="single" w:color="auto" w:sz="4" w:space="0"/>
              <w:bottom w:val="single" w:color="auto" w:sz="4" w:space="0"/>
              <w:right w:val="single" w:color="000000" w:sz="4" w:space="0"/>
            </w:tcBorders>
            <w:noWrap w:val="0"/>
            <w:vAlign w:val="center"/>
          </w:tcPr>
          <w:p>
            <w:pPr>
              <w:rPr>
                <w:rFonts w:hint="eastAsia" w:ascii="宋体" w:hAnsi="宋体" w:eastAsia="宋体" w:cs="宋体"/>
                <w:sz w:val="20"/>
                <w:szCs w:val="20"/>
                <w:highlight w:val="none"/>
              </w:rPr>
            </w:pPr>
          </w:p>
        </w:tc>
        <w:tc>
          <w:tcPr>
            <w:tcW w:w="1099" w:type="dxa"/>
            <w:tcBorders>
              <w:top w:val="single" w:color="auto" w:sz="4" w:space="0"/>
              <w:left w:val="single" w:color="auto" w:sz="4" w:space="0"/>
              <w:bottom w:val="single" w:color="auto" w:sz="4" w:space="0"/>
              <w:right w:val="single" w:color="000000" w:sz="4" w:space="0"/>
            </w:tcBorders>
            <w:noWrap w:val="0"/>
            <w:vAlign w:val="center"/>
          </w:tcPr>
          <w:p>
            <w:pPr>
              <w:rPr>
                <w:rFonts w:hint="eastAsia" w:ascii="宋体" w:hAnsi="宋体" w:eastAsia="宋体" w:cs="宋体"/>
                <w:sz w:val="20"/>
                <w:szCs w:val="20"/>
                <w:highlight w:val="none"/>
              </w:rPr>
            </w:pPr>
          </w:p>
        </w:tc>
        <w:tc>
          <w:tcPr>
            <w:tcW w:w="1172" w:type="dxa"/>
            <w:tcBorders>
              <w:left w:val="single" w:color="000000" w:sz="4" w:space="0"/>
              <w:right w:val="single" w:color="000000" w:sz="4" w:space="0"/>
            </w:tcBorders>
            <w:noWrap w:val="0"/>
            <w:tcMar>
              <w:top w:w="80" w:type="dxa"/>
              <w:left w:w="80" w:type="dxa"/>
              <w:bottom w:w="80" w:type="dxa"/>
              <w:right w:w="80" w:type="dxa"/>
            </w:tcMar>
            <w:vAlign w:val="center"/>
          </w:tcPr>
          <w:p>
            <w:pPr>
              <w:pStyle w:val="51"/>
              <w:pBdr>
                <w:top w:val="none" w:color="auto" w:sz="0" w:space="0"/>
                <w:left w:val="none" w:color="auto" w:sz="0" w:space="0"/>
                <w:bottom w:val="none" w:color="auto" w:sz="0" w:space="0"/>
                <w:right w:val="none" w:color="auto" w:sz="0" w:space="0"/>
              </w:pBdr>
              <w:jc w:val="center"/>
              <w:rPr>
                <w:rFonts w:hint="eastAsia" w:ascii="宋体" w:hAnsi="宋体" w:eastAsia="宋体" w:cs="宋体"/>
                <w:b/>
                <w:bCs/>
                <w:color w:val="auto"/>
                <w:kern w:val="0"/>
                <w:sz w:val="20"/>
                <w:szCs w:val="20"/>
                <w:highlight w:val="none"/>
                <w:lang w:val="zh-TW" w:eastAsia="zh-TW"/>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6" w:hRule="atLeast"/>
        </w:trPr>
        <w:tc>
          <w:tcPr>
            <w:tcW w:w="630" w:type="dxa"/>
            <w:tcBorders>
              <w:left w:val="single" w:color="000000" w:sz="4" w:space="0"/>
              <w:right w:val="single" w:color="000000" w:sz="4" w:space="0"/>
            </w:tcBorders>
            <w:noWrap w:val="0"/>
            <w:tcMar>
              <w:top w:w="80" w:type="dxa"/>
              <w:left w:w="80" w:type="dxa"/>
              <w:bottom w:w="80" w:type="dxa"/>
              <w:right w:w="80" w:type="dxa"/>
            </w:tcMar>
            <w:vAlign w:val="center"/>
          </w:tcPr>
          <w:p>
            <w:pPr>
              <w:pStyle w:val="51"/>
              <w:pBdr>
                <w:top w:val="none" w:color="auto" w:sz="0" w:space="0"/>
                <w:left w:val="none" w:color="auto" w:sz="0" w:space="0"/>
                <w:bottom w:val="none" w:color="auto" w:sz="0" w:space="0"/>
                <w:right w:val="none" w:color="auto" w:sz="0" w:space="0"/>
              </w:pBdr>
              <w:spacing w:before="120" w:after="120"/>
              <w:jc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7</w:t>
            </w:r>
          </w:p>
        </w:tc>
        <w:tc>
          <w:tcPr>
            <w:tcW w:w="1446" w:type="dxa"/>
            <w:tcBorders>
              <w:left w:val="single" w:color="000000" w:sz="4" w:space="0"/>
              <w:right w:val="single" w:color="auto" w:sz="4" w:space="0"/>
            </w:tcBorders>
            <w:noWrap w:val="0"/>
            <w:tcMar>
              <w:top w:w="80" w:type="dxa"/>
              <w:left w:w="80" w:type="dxa"/>
              <w:bottom w:w="80" w:type="dxa"/>
              <w:right w:w="80" w:type="dxa"/>
            </w:tcMar>
            <w:vAlign w:val="center"/>
          </w:tcPr>
          <w:p>
            <w:pPr>
              <w:jc w:val="center"/>
              <w:rPr>
                <w:rFonts w:hint="default" w:eastAsia="宋体"/>
                <w:sz w:val="20"/>
                <w:szCs w:val="20"/>
                <w:highlight w:val="none"/>
                <w:lang w:val="en-US" w:eastAsia="zh-CN"/>
              </w:rPr>
            </w:pPr>
            <w:r>
              <w:rPr>
                <w:rFonts w:hint="eastAsia" w:ascii="宋体" w:hAnsi="宋体" w:eastAsia="宋体" w:cs="宋体"/>
                <w:sz w:val="20"/>
                <w:szCs w:val="20"/>
                <w:highlight w:val="none"/>
                <w:lang w:val="en-US"/>
              </w:rPr>
              <w:t>横水线</w:t>
            </w:r>
          </w:p>
        </w:tc>
        <w:tc>
          <w:tcPr>
            <w:tcW w:w="2250"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bidi w:val="0"/>
              <w:adjustRightInd/>
              <w:snapToGrid/>
              <w:spacing w:line="300" w:lineRule="exact"/>
              <w:jc w:val="center"/>
              <w:textAlignment w:val="auto"/>
              <w:rPr>
                <w:rFonts w:hint="eastAsia"/>
                <w:sz w:val="20"/>
                <w:szCs w:val="20"/>
                <w:highlight w:val="none"/>
                <w:lang w:val="en-US" w:eastAsia="zh-CN"/>
              </w:rPr>
            </w:pPr>
            <w:r>
              <w:rPr>
                <w:rFonts w:hint="eastAsia" w:ascii="宋体" w:hAnsi="宋体" w:eastAsia="宋体" w:cs="宋体"/>
                <w:sz w:val="20"/>
                <w:szCs w:val="20"/>
                <w:highlight w:val="none"/>
                <w:lang w:val="en-US" w:eastAsia="zh-CN"/>
              </w:rPr>
              <w:t>建设里程3.7km，二级公路标准，路基宽度12m，设计速度60km/h</w:t>
            </w:r>
          </w:p>
        </w:tc>
        <w:tc>
          <w:tcPr>
            <w:tcW w:w="1216" w:type="dxa"/>
            <w:tcBorders>
              <w:top w:val="single" w:color="auto" w:sz="4" w:space="0"/>
              <w:left w:val="single" w:color="auto" w:sz="4" w:space="0"/>
              <w:bottom w:val="single" w:color="auto" w:sz="4" w:space="0"/>
              <w:right w:val="single" w:color="000000" w:sz="4" w:space="0"/>
            </w:tcBorders>
            <w:noWrap w:val="0"/>
            <w:vAlign w:val="center"/>
          </w:tcPr>
          <w:p>
            <w:pPr>
              <w:rPr>
                <w:rFonts w:hint="eastAsia" w:ascii="宋体" w:hAnsi="宋体" w:eastAsia="宋体" w:cs="宋体"/>
                <w:sz w:val="20"/>
                <w:szCs w:val="20"/>
                <w:highlight w:val="none"/>
              </w:rPr>
            </w:pPr>
          </w:p>
        </w:tc>
        <w:tc>
          <w:tcPr>
            <w:tcW w:w="1109" w:type="dxa"/>
            <w:tcBorders>
              <w:top w:val="single" w:color="auto" w:sz="4" w:space="0"/>
              <w:left w:val="single" w:color="auto" w:sz="4" w:space="0"/>
              <w:bottom w:val="single" w:color="auto" w:sz="4" w:space="0"/>
              <w:right w:val="single" w:color="000000" w:sz="4" w:space="0"/>
            </w:tcBorders>
            <w:noWrap w:val="0"/>
            <w:vAlign w:val="center"/>
          </w:tcPr>
          <w:p>
            <w:pPr>
              <w:rPr>
                <w:rFonts w:hint="eastAsia" w:ascii="宋体" w:hAnsi="宋体" w:eastAsia="宋体" w:cs="宋体"/>
                <w:sz w:val="20"/>
                <w:szCs w:val="20"/>
                <w:highlight w:val="none"/>
              </w:rPr>
            </w:pPr>
          </w:p>
        </w:tc>
        <w:tc>
          <w:tcPr>
            <w:tcW w:w="1099" w:type="dxa"/>
            <w:tcBorders>
              <w:top w:val="single" w:color="auto" w:sz="4" w:space="0"/>
              <w:left w:val="single" w:color="auto" w:sz="4" w:space="0"/>
              <w:bottom w:val="single" w:color="auto" w:sz="4" w:space="0"/>
              <w:right w:val="single" w:color="000000" w:sz="4" w:space="0"/>
            </w:tcBorders>
            <w:noWrap w:val="0"/>
            <w:vAlign w:val="center"/>
          </w:tcPr>
          <w:p>
            <w:pPr>
              <w:rPr>
                <w:rFonts w:hint="eastAsia" w:ascii="宋体" w:hAnsi="宋体" w:eastAsia="宋体" w:cs="宋体"/>
                <w:sz w:val="20"/>
                <w:szCs w:val="20"/>
                <w:highlight w:val="none"/>
              </w:rPr>
            </w:pPr>
          </w:p>
        </w:tc>
        <w:tc>
          <w:tcPr>
            <w:tcW w:w="1172" w:type="dxa"/>
            <w:tcBorders>
              <w:left w:val="single" w:color="000000" w:sz="4" w:space="0"/>
              <w:right w:val="single" w:color="000000" w:sz="4" w:space="0"/>
            </w:tcBorders>
            <w:noWrap w:val="0"/>
            <w:tcMar>
              <w:top w:w="80" w:type="dxa"/>
              <w:left w:w="80" w:type="dxa"/>
              <w:bottom w:w="80" w:type="dxa"/>
              <w:right w:w="80" w:type="dxa"/>
            </w:tcMar>
            <w:vAlign w:val="center"/>
          </w:tcPr>
          <w:p>
            <w:pPr>
              <w:pStyle w:val="51"/>
              <w:pBdr>
                <w:top w:val="none" w:color="auto" w:sz="0" w:space="0"/>
                <w:left w:val="none" w:color="auto" w:sz="0" w:space="0"/>
                <w:bottom w:val="none" w:color="auto" w:sz="0" w:space="0"/>
                <w:right w:val="none" w:color="auto" w:sz="0" w:space="0"/>
              </w:pBdr>
              <w:jc w:val="center"/>
              <w:rPr>
                <w:rFonts w:hint="eastAsia" w:ascii="宋体" w:hAnsi="宋体" w:eastAsia="宋体" w:cs="宋体"/>
                <w:b/>
                <w:bCs/>
                <w:color w:val="auto"/>
                <w:kern w:val="0"/>
                <w:sz w:val="20"/>
                <w:szCs w:val="20"/>
                <w:highlight w:val="none"/>
                <w:lang w:val="zh-TW" w:eastAsia="zh-TW"/>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9" w:hRule="atLeast"/>
        </w:trPr>
        <w:tc>
          <w:tcPr>
            <w:tcW w:w="630" w:type="dxa"/>
            <w:tcBorders>
              <w:left w:val="single" w:color="000000" w:sz="4" w:space="0"/>
              <w:right w:val="single" w:color="000000" w:sz="4" w:space="0"/>
            </w:tcBorders>
            <w:noWrap w:val="0"/>
            <w:tcMar>
              <w:top w:w="80" w:type="dxa"/>
              <w:left w:w="80" w:type="dxa"/>
              <w:bottom w:w="80" w:type="dxa"/>
              <w:right w:w="80" w:type="dxa"/>
            </w:tcMar>
            <w:vAlign w:val="center"/>
          </w:tcPr>
          <w:p>
            <w:pPr>
              <w:pStyle w:val="51"/>
              <w:pBdr>
                <w:top w:val="none" w:color="auto" w:sz="0" w:space="0"/>
                <w:left w:val="none" w:color="auto" w:sz="0" w:space="0"/>
                <w:bottom w:val="none" w:color="auto" w:sz="0" w:space="0"/>
                <w:right w:val="none" w:color="auto" w:sz="0" w:space="0"/>
              </w:pBdr>
              <w:spacing w:before="120" w:after="120"/>
              <w:jc w:val="center"/>
              <w:rPr>
                <w:rFonts w:hint="default"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8</w:t>
            </w:r>
          </w:p>
        </w:tc>
        <w:tc>
          <w:tcPr>
            <w:tcW w:w="1446" w:type="dxa"/>
            <w:tcBorders>
              <w:left w:val="single" w:color="000000" w:sz="4" w:space="0"/>
              <w:right w:val="single" w:color="auto" w:sz="4" w:space="0"/>
            </w:tcBorders>
            <w:noWrap w:val="0"/>
            <w:tcMar>
              <w:top w:w="80" w:type="dxa"/>
              <w:left w:w="80" w:type="dxa"/>
              <w:bottom w:w="80" w:type="dxa"/>
              <w:right w:w="80" w:type="dxa"/>
            </w:tcMar>
            <w:vAlign w:val="center"/>
          </w:tcPr>
          <w:p>
            <w:pPr>
              <w:jc w:val="center"/>
              <w:rPr>
                <w:rFonts w:hint="default" w:eastAsia="宋体"/>
                <w:sz w:val="20"/>
                <w:szCs w:val="20"/>
                <w:highlight w:val="none"/>
                <w:lang w:val="en-US" w:eastAsia="zh-CN"/>
              </w:rPr>
            </w:pPr>
            <w:r>
              <w:rPr>
                <w:rFonts w:hint="eastAsia" w:ascii="宋体" w:hAnsi="宋体" w:eastAsia="宋体" w:cs="宋体"/>
                <w:sz w:val="20"/>
                <w:szCs w:val="20"/>
                <w:highlight w:val="none"/>
                <w:lang w:val="en-US"/>
              </w:rPr>
              <w:t>游埠至士元</w:t>
            </w:r>
          </w:p>
        </w:tc>
        <w:tc>
          <w:tcPr>
            <w:tcW w:w="2250"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bidi w:val="0"/>
              <w:adjustRightInd/>
              <w:snapToGrid/>
              <w:spacing w:line="300" w:lineRule="exact"/>
              <w:jc w:val="center"/>
              <w:textAlignment w:val="auto"/>
              <w:rPr>
                <w:rFonts w:hint="eastAsia"/>
                <w:sz w:val="20"/>
                <w:szCs w:val="20"/>
                <w:highlight w:val="none"/>
                <w:lang w:val="en-US" w:eastAsia="zh-CN"/>
              </w:rPr>
            </w:pPr>
            <w:r>
              <w:rPr>
                <w:rFonts w:hint="eastAsia" w:ascii="宋体" w:hAnsi="宋体" w:eastAsia="宋体" w:cs="宋体"/>
                <w:sz w:val="20"/>
                <w:szCs w:val="20"/>
                <w:highlight w:val="none"/>
                <w:lang w:val="en-US" w:eastAsia="zh-CN"/>
              </w:rPr>
              <w:t>建设里程6.5km，二级公路标准，路基宽度12m，设计速度60km/h</w:t>
            </w:r>
          </w:p>
        </w:tc>
        <w:tc>
          <w:tcPr>
            <w:tcW w:w="1216" w:type="dxa"/>
            <w:tcBorders>
              <w:top w:val="single" w:color="auto" w:sz="4" w:space="0"/>
              <w:left w:val="single" w:color="auto" w:sz="4" w:space="0"/>
              <w:bottom w:val="single" w:color="auto" w:sz="4" w:space="0"/>
              <w:right w:val="single" w:color="000000" w:sz="4" w:space="0"/>
            </w:tcBorders>
            <w:noWrap w:val="0"/>
            <w:vAlign w:val="center"/>
          </w:tcPr>
          <w:p>
            <w:pPr>
              <w:rPr>
                <w:rFonts w:hint="eastAsia" w:ascii="宋体" w:hAnsi="宋体" w:eastAsia="宋体" w:cs="宋体"/>
                <w:sz w:val="20"/>
                <w:szCs w:val="20"/>
                <w:highlight w:val="none"/>
              </w:rPr>
            </w:pPr>
          </w:p>
        </w:tc>
        <w:tc>
          <w:tcPr>
            <w:tcW w:w="1109" w:type="dxa"/>
            <w:tcBorders>
              <w:top w:val="single" w:color="auto" w:sz="4" w:space="0"/>
              <w:left w:val="single" w:color="auto" w:sz="4" w:space="0"/>
              <w:bottom w:val="single" w:color="auto" w:sz="4" w:space="0"/>
              <w:right w:val="single" w:color="000000" w:sz="4" w:space="0"/>
            </w:tcBorders>
            <w:noWrap w:val="0"/>
            <w:vAlign w:val="center"/>
          </w:tcPr>
          <w:p>
            <w:pPr>
              <w:rPr>
                <w:rFonts w:hint="eastAsia" w:ascii="宋体" w:hAnsi="宋体" w:eastAsia="宋体" w:cs="宋体"/>
                <w:sz w:val="20"/>
                <w:szCs w:val="20"/>
                <w:highlight w:val="none"/>
              </w:rPr>
            </w:pPr>
          </w:p>
        </w:tc>
        <w:tc>
          <w:tcPr>
            <w:tcW w:w="1099" w:type="dxa"/>
            <w:tcBorders>
              <w:top w:val="single" w:color="auto" w:sz="4" w:space="0"/>
              <w:left w:val="single" w:color="auto" w:sz="4" w:space="0"/>
              <w:bottom w:val="single" w:color="auto" w:sz="4" w:space="0"/>
              <w:right w:val="single" w:color="000000" w:sz="4" w:space="0"/>
            </w:tcBorders>
            <w:noWrap w:val="0"/>
            <w:vAlign w:val="center"/>
          </w:tcPr>
          <w:p>
            <w:pPr>
              <w:rPr>
                <w:rFonts w:hint="eastAsia" w:ascii="宋体" w:hAnsi="宋体" w:eastAsia="宋体" w:cs="宋体"/>
                <w:sz w:val="20"/>
                <w:szCs w:val="20"/>
                <w:highlight w:val="none"/>
              </w:rPr>
            </w:pPr>
          </w:p>
        </w:tc>
        <w:tc>
          <w:tcPr>
            <w:tcW w:w="1172" w:type="dxa"/>
            <w:tcBorders>
              <w:left w:val="single" w:color="000000" w:sz="4" w:space="0"/>
              <w:right w:val="single" w:color="000000" w:sz="4" w:space="0"/>
            </w:tcBorders>
            <w:noWrap w:val="0"/>
            <w:tcMar>
              <w:top w:w="80" w:type="dxa"/>
              <w:left w:w="80" w:type="dxa"/>
              <w:bottom w:w="80" w:type="dxa"/>
              <w:right w:w="80" w:type="dxa"/>
            </w:tcMar>
            <w:vAlign w:val="center"/>
          </w:tcPr>
          <w:p>
            <w:pPr>
              <w:pStyle w:val="51"/>
              <w:pBdr>
                <w:top w:val="none" w:color="auto" w:sz="0" w:space="0"/>
                <w:left w:val="none" w:color="auto" w:sz="0" w:space="0"/>
                <w:bottom w:val="none" w:color="auto" w:sz="0" w:space="0"/>
                <w:right w:val="none" w:color="auto" w:sz="0" w:space="0"/>
              </w:pBdr>
              <w:jc w:val="center"/>
              <w:rPr>
                <w:rFonts w:hint="eastAsia" w:ascii="宋体" w:hAnsi="宋体" w:eastAsia="宋体" w:cs="宋体"/>
                <w:b/>
                <w:bCs/>
                <w:color w:val="auto"/>
                <w:kern w:val="0"/>
                <w:sz w:val="20"/>
                <w:szCs w:val="20"/>
                <w:highlight w:val="none"/>
                <w:lang w:val="zh-TW" w:eastAsia="zh-TW"/>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4" w:hRule="atLeast"/>
        </w:trPr>
        <w:tc>
          <w:tcPr>
            <w:tcW w:w="8922" w:type="dxa"/>
            <w:gridSpan w:val="7"/>
            <w:tcBorders>
              <w:left w:val="single" w:color="000000" w:sz="4" w:space="0"/>
              <w:right w:val="single" w:color="000000" w:sz="4" w:space="0"/>
            </w:tcBorders>
            <w:noWrap w:val="0"/>
            <w:tcMar>
              <w:top w:w="80" w:type="dxa"/>
              <w:left w:w="80" w:type="dxa"/>
              <w:bottom w:w="80" w:type="dxa"/>
              <w:right w:w="80" w:type="dxa"/>
            </w:tcMar>
            <w:vAlign w:val="center"/>
          </w:tcPr>
          <w:p>
            <w:pPr>
              <w:pStyle w:val="51"/>
              <w:pBdr>
                <w:top w:val="none" w:color="auto" w:sz="0" w:space="0"/>
                <w:left w:val="none" w:color="auto" w:sz="0" w:space="0"/>
                <w:bottom w:val="none" w:color="auto" w:sz="0" w:space="0"/>
                <w:right w:val="none" w:color="auto" w:sz="0" w:space="0"/>
              </w:pBdr>
              <w:jc w:val="left"/>
              <w:rPr>
                <w:rFonts w:hint="default" w:ascii="宋体" w:hAnsi="宋体" w:eastAsia="宋体" w:cs="宋体"/>
                <w:b/>
                <w:bCs/>
                <w:color w:val="auto"/>
                <w:kern w:val="0"/>
                <w:sz w:val="20"/>
                <w:szCs w:val="20"/>
                <w:highlight w:val="none"/>
                <w:lang w:val="en-US" w:eastAsia="zh-CN"/>
              </w:rPr>
            </w:pPr>
            <w:r>
              <w:rPr>
                <w:rFonts w:hint="eastAsia" w:ascii="宋体" w:hAnsi="宋体" w:eastAsia="宋体" w:cs="宋体"/>
                <w:b w:val="0"/>
                <w:bCs w:val="0"/>
                <w:color w:val="auto"/>
                <w:kern w:val="0"/>
                <w:sz w:val="20"/>
                <w:szCs w:val="20"/>
                <w:highlight w:val="none"/>
                <w:lang w:val="en-US" w:eastAsia="zh-CN"/>
              </w:rPr>
              <w:t>总报价：人民币大写：                    元，</w:t>
            </w:r>
            <w:r>
              <w:rPr>
                <w:rFonts w:hint="default" w:ascii="Arial" w:hAnsi="Arial" w:eastAsia="宋体" w:cs="Arial"/>
                <w:b w:val="0"/>
                <w:bCs w:val="0"/>
                <w:color w:val="auto"/>
                <w:kern w:val="0"/>
                <w:sz w:val="20"/>
                <w:szCs w:val="20"/>
                <w:highlight w:val="none"/>
                <w:lang w:val="en-US" w:eastAsia="zh-CN"/>
              </w:rPr>
              <w:t>¥</w:t>
            </w:r>
            <w:r>
              <w:rPr>
                <w:rFonts w:hint="eastAsia" w:ascii="宋体" w:hAnsi="宋体" w:eastAsia="宋体" w:cs="宋体"/>
                <w:b w:val="0"/>
                <w:bCs w:val="0"/>
                <w:color w:val="auto"/>
                <w:kern w:val="0"/>
                <w:sz w:val="20"/>
                <w:szCs w:val="20"/>
                <w:highlight w:val="none"/>
                <w:lang w:val="en-US" w:eastAsia="zh-CN"/>
              </w:rPr>
              <w:t xml:space="preserve">                元</w:t>
            </w:r>
          </w:p>
        </w:tc>
      </w:tr>
    </w:tbl>
    <w:p>
      <w:pPr>
        <w:snapToGrid w:val="0"/>
        <w:spacing w:line="440" w:lineRule="exact"/>
        <w:rPr>
          <w:b/>
          <w:sz w:val="21"/>
          <w:szCs w:val="21"/>
          <w:highlight w:val="none"/>
        </w:rPr>
      </w:pPr>
      <w:r>
        <w:rPr>
          <w:rFonts w:hint="eastAsia"/>
          <w:b/>
          <w:sz w:val="21"/>
          <w:szCs w:val="21"/>
          <w:highlight w:val="none"/>
        </w:rPr>
        <w:t>三、</w:t>
      </w:r>
      <w:r>
        <w:rPr>
          <w:rFonts w:hint="eastAsia"/>
          <w:b/>
          <w:sz w:val="21"/>
          <w:szCs w:val="21"/>
          <w:highlight w:val="none"/>
          <w:lang w:val="en-US"/>
        </w:rPr>
        <w:t>项目</w:t>
      </w:r>
      <w:r>
        <w:rPr>
          <w:rFonts w:hint="eastAsia"/>
          <w:b/>
          <w:sz w:val="21"/>
          <w:szCs w:val="21"/>
          <w:highlight w:val="none"/>
        </w:rPr>
        <w:t>成果</w:t>
      </w:r>
      <w:r>
        <w:rPr>
          <w:rFonts w:hint="eastAsia"/>
          <w:b/>
          <w:sz w:val="21"/>
          <w:szCs w:val="21"/>
          <w:highlight w:val="none"/>
          <w:lang w:val="en-US"/>
        </w:rPr>
        <w:t>及</w:t>
      </w:r>
      <w:r>
        <w:rPr>
          <w:rFonts w:hint="eastAsia"/>
          <w:b/>
          <w:sz w:val="21"/>
          <w:szCs w:val="21"/>
          <w:highlight w:val="none"/>
        </w:rPr>
        <w:t>要求</w:t>
      </w:r>
    </w:p>
    <w:p>
      <w:pPr>
        <w:pStyle w:val="13"/>
        <w:rPr>
          <w:sz w:val="8"/>
          <w:szCs w:val="8"/>
          <w:highlight w:val="none"/>
        </w:rPr>
      </w:pPr>
    </w:p>
    <w:p>
      <w:pPr>
        <w:keepNext w:val="0"/>
        <w:keepLines w:val="0"/>
        <w:pageBreakBefore w:val="0"/>
        <w:widowControl w:val="0"/>
        <w:kinsoku/>
        <w:wordWrap/>
        <w:overflowPunct/>
        <w:topLinePunct w:val="0"/>
        <w:autoSpaceDE w:val="0"/>
        <w:autoSpaceDN w:val="0"/>
        <w:bidi w:val="0"/>
        <w:adjustRightInd/>
        <w:spacing w:line="340" w:lineRule="exact"/>
        <w:ind w:firstLine="420" w:firstLineChars="200"/>
        <w:textAlignment w:val="auto"/>
        <w:rPr>
          <w:sz w:val="21"/>
          <w:szCs w:val="20"/>
          <w:highlight w:val="none"/>
          <w:lang w:val="en-US"/>
        </w:rPr>
      </w:pPr>
      <w:r>
        <w:rPr>
          <w:rFonts w:hint="eastAsia"/>
          <w:sz w:val="21"/>
          <w:szCs w:val="20"/>
          <w:highlight w:val="none"/>
          <w:lang w:val="en-US"/>
        </w:rPr>
        <w:t>1、编制完成线位论证报告</w:t>
      </w:r>
      <w:r>
        <w:rPr>
          <w:rFonts w:hint="eastAsia"/>
          <w:sz w:val="21"/>
          <w:szCs w:val="20"/>
          <w:highlight w:val="none"/>
          <w:lang w:val="en-US" w:eastAsia="zh-CN"/>
        </w:rPr>
        <w:t>、落地方案及</w:t>
      </w:r>
      <w:r>
        <w:rPr>
          <w:rFonts w:hint="eastAsia"/>
          <w:sz w:val="21"/>
          <w:szCs w:val="20"/>
          <w:highlight w:val="none"/>
          <w:lang w:val="en-US"/>
        </w:rPr>
        <w:t>方案图纸，图册等初步设计相关成果；</w:t>
      </w:r>
    </w:p>
    <w:p>
      <w:pPr>
        <w:keepNext w:val="0"/>
        <w:keepLines w:val="0"/>
        <w:pageBreakBefore w:val="0"/>
        <w:widowControl w:val="0"/>
        <w:kinsoku/>
        <w:wordWrap/>
        <w:overflowPunct/>
        <w:topLinePunct w:val="0"/>
        <w:autoSpaceDE w:val="0"/>
        <w:autoSpaceDN w:val="0"/>
        <w:bidi w:val="0"/>
        <w:adjustRightInd/>
        <w:spacing w:line="340" w:lineRule="exact"/>
        <w:ind w:left="460" w:leftChars="209"/>
        <w:textAlignment w:val="auto"/>
        <w:rPr>
          <w:highlight w:val="none"/>
        </w:rPr>
      </w:pPr>
      <w:r>
        <w:rPr>
          <w:rFonts w:hint="eastAsia"/>
          <w:sz w:val="21"/>
          <w:szCs w:val="20"/>
          <w:highlight w:val="none"/>
          <w:lang w:val="en-US"/>
        </w:rPr>
        <w:t>2、设计综合说明：线路总体布局说明、互通设置位置及形式规模构思方案说明、互通出口与地方接线方案说明、线位走廊带的用地红线说明、</w:t>
      </w:r>
      <w:r>
        <w:rPr>
          <w:rFonts w:hint="eastAsia"/>
          <w:sz w:val="21"/>
          <w:szCs w:val="21"/>
          <w:highlight w:val="none"/>
        </w:rPr>
        <w:t>主要经济技术指标。</w:t>
      </w:r>
    </w:p>
    <w:p>
      <w:pPr>
        <w:keepNext w:val="0"/>
        <w:keepLines w:val="0"/>
        <w:pageBreakBefore w:val="0"/>
        <w:widowControl w:val="0"/>
        <w:kinsoku/>
        <w:wordWrap/>
        <w:overflowPunct/>
        <w:topLinePunct w:val="0"/>
        <w:autoSpaceDE w:val="0"/>
        <w:autoSpaceDN w:val="0"/>
        <w:bidi w:val="0"/>
        <w:adjustRightInd/>
        <w:spacing w:line="340" w:lineRule="exact"/>
        <w:ind w:left="460" w:leftChars="209"/>
        <w:textAlignment w:val="auto"/>
        <w:rPr>
          <w:sz w:val="21"/>
          <w:szCs w:val="20"/>
          <w:highlight w:val="none"/>
          <w:lang w:val="en-US"/>
        </w:rPr>
      </w:pPr>
      <w:r>
        <w:rPr>
          <w:rFonts w:hint="eastAsia"/>
          <w:sz w:val="21"/>
          <w:szCs w:val="20"/>
          <w:highlight w:val="none"/>
          <w:lang w:val="en-US"/>
        </w:rPr>
        <w:t>3、图纸：总平面图（彩色）、交通分析图、绿化及环境设计图。</w:t>
      </w:r>
    </w:p>
    <w:p>
      <w:pPr>
        <w:keepNext w:val="0"/>
        <w:keepLines w:val="0"/>
        <w:pageBreakBefore w:val="0"/>
        <w:widowControl w:val="0"/>
        <w:kinsoku/>
        <w:wordWrap/>
        <w:overflowPunct/>
        <w:topLinePunct w:val="0"/>
        <w:autoSpaceDE w:val="0"/>
        <w:autoSpaceDN w:val="0"/>
        <w:bidi w:val="0"/>
        <w:adjustRightInd/>
        <w:spacing w:line="340" w:lineRule="exact"/>
        <w:ind w:left="460" w:leftChars="209"/>
        <w:textAlignment w:val="auto"/>
        <w:rPr>
          <w:sz w:val="21"/>
          <w:szCs w:val="20"/>
          <w:highlight w:val="none"/>
          <w:lang w:val="en-US"/>
        </w:rPr>
      </w:pPr>
      <w:r>
        <w:rPr>
          <w:rFonts w:hint="eastAsia"/>
          <w:sz w:val="21"/>
          <w:szCs w:val="20"/>
          <w:highlight w:val="none"/>
          <w:lang w:val="en-US"/>
        </w:rPr>
        <w:t>4、中间成果的份数满足审查需要提供；</w:t>
      </w:r>
    </w:p>
    <w:p>
      <w:pPr>
        <w:keepNext w:val="0"/>
        <w:keepLines w:val="0"/>
        <w:pageBreakBefore w:val="0"/>
        <w:widowControl w:val="0"/>
        <w:kinsoku/>
        <w:wordWrap/>
        <w:overflowPunct/>
        <w:topLinePunct w:val="0"/>
        <w:autoSpaceDE w:val="0"/>
        <w:autoSpaceDN w:val="0"/>
        <w:bidi w:val="0"/>
        <w:adjustRightInd/>
        <w:spacing w:line="340" w:lineRule="exact"/>
        <w:ind w:left="460" w:leftChars="209"/>
        <w:textAlignment w:val="auto"/>
        <w:rPr>
          <w:sz w:val="21"/>
          <w:szCs w:val="20"/>
          <w:highlight w:val="none"/>
          <w:lang w:val="en-US"/>
        </w:rPr>
      </w:pPr>
      <w:r>
        <w:rPr>
          <w:rFonts w:hint="eastAsia"/>
          <w:sz w:val="21"/>
          <w:szCs w:val="20"/>
          <w:highlight w:val="none"/>
          <w:lang w:val="en-US"/>
        </w:rPr>
        <w:t>5、最终成果报告需纸质5份，电子文件</w:t>
      </w:r>
      <w:r>
        <w:rPr>
          <w:rFonts w:hint="eastAsia"/>
          <w:sz w:val="21"/>
          <w:szCs w:val="20"/>
          <w:highlight w:val="none"/>
          <w:lang w:val="en-US" w:eastAsia="zh-CN"/>
        </w:rPr>
        <w:t>1</w:t>
      </w:r>
      <w:r>
        <w:rPr>
          <w:rFonts w:hint="eastAsia"/>
          <w:sz w:val="21"/>
          <w:szCs w:val="20"/>
          <w:highlight w:val="none"/>
          <w:lang w:val="en-US"/>
        </w:rPr>
        <w:t>份（包括文本最终稿、汇报PPT、课题摘要及CAD图纸等。文本为DOC格式文件，图纸为DWG,CAD,PDF格式文件，效果图为JPG格式文件）。</w:t>
      </w:r>
    </w:p>
    <w:p>
      <w:pPr>
        <w:keepNext w:val="0"/>
        <w:keepLines w:val="0"/>
        <w:pageBreakBefore w:val="0"/>
        <w:widowControl w:val="0"/>
        <w:kinsoku/>
        <w:wordWrap/>
        <w:overflowPunct/>
        <w:topLinePunct w:val="0"/>
        <w:autoSpaceDE w:val="0"/>
        <w:autoSpaceDN w:val="0"/>
        <w:bidi w:val="0"/>
        <w:adjustRightInd/>
        <w:spacing w:line="340" w:lineRule="exact"/>
        <w:ind w:left="460" w:leftChars="209"/>
        <w:textAlignment w:val="auto"/>
        <w:rPr>
          <w:sz w:val="21"/>
          <w:szCs w:val="20"/>
          <w:highlight w:val="none"/>
          <w:lang w:val="en-US"/>
        </w:rPr>
      </w:pPr>
      <w:r>
        <w:rPr>
          <w:rFonts w:hint="eastAsia"/>
          <w:sz w:val="21"/>
          <w:szCs w:val="20"/>
          <w:highlight w:val="none"/>
          <w:lang w:val="en-US"/>
        </w:rPr>
        <w:t>注：以上数量均为暂定，采购单位可根据实际情况要求调整。</w:t>
      </w:r>
    </w:p>
    <w:p>
      <w:pPr>
        <w:keepNext w:val="0"/>
        <w:keepLines w:val="0"/>
        <w:pageBreakBefore w:val="0"/>
        <w:widowControl w:val="0"/>
        <w:kinsoku/>
        <w:wordWrap/>
        <w:overflowPunct/>
        <w:topLinePunct w:val="0"/>
        <w:autoSpaceDE w:val="0"/>
        <w:autoSpaceDN w:val="0"/>
        <w:bidi w:val="0"/>
        <w:adjustRightInd/>
        <w:spacing w:line="340" w:lineRule="exact"/>
        <w:ind w:left="460" w:leftChars="209"/>
        <w:textAlignment w:val="auto"/>
        <w:rPr>
          <w:sz w:val="21"/>
          <w:szCs w:val="20"/>
          <w:highlight w:val="none"/>
          <w:lang w:val="en-US"/>
        </w:rPr>
      </w:pPr>
      <w:r>
        <w:rPr>
          <w:rFonts w:hint="eastAsia"/>
          <w:sz w:val="21"/>
          <w:szCs w:val="20"/>
          <w:highlight w:val="none"/>
          <w:lang w:val="en-US"/>
        </w:rPr>
        <w:t>6、最后成果必须盖章，并附单位资质等会相关资料。</w:t>
      </w:r>
    </w:p>
    <w:p>
      <w:pPr>
        <w:keepNext w:val="0"/>
        <w:keepLines w:val="0"/>
        <w:pageBreakBefore w:val="0"/>
        <w:widowControl w:val="0"/>
        <w:kinsoku/>
        <w:wordWrap/>
        <w:overflowPunct/>
        <w:topLinePunct w:val="0"/>
        <w:autoSpaceDE w:val="0"/>
        <w:autoSpaceDN w:val="0"/>
        <w:bidi w:val="0"/>
        <w:adjustRightInd/>
        <w:spacing w:line="340" w:lineRule="exact"/>
        <w:ind w:left="460" w:leftChars="209"/>
        <w:textAlignment w:val="auto"/>
        <w:rPr>
          <w:sz w:val="21"/>
          <w:szCs w:val="20"/>
          <w:highlight w:val="none"/>
          <w:lang w:val="en-US"/>
        </w:rPr>
      </w:pPr>
      <w:r>
        <w:rPr>
          <w:rFonts w:hint="eastAsia"/>
          <w:sz w:val="21"/>
          <w:szCs w:val="20"/>
          <w:highlight w:val="none"/>
          <w:lang w:val="en-US"/>
        </w:rPr>
        <w:t>7、其他</w:t>
      </w:r>
    </w:p>
    <w:p>
      <w:pPr>
        <w:keepNext w:val="0"/>
        <w:keepLines w:val="0"/>
        <w:pageBreakBefore w:val="0"/>
        <w:widowControl w:val="0"/>
        <w:kinsoku/>
        <w:wordWrap/>
        <w:overflowPunct/>
        <w:topLinePunct w:val="0"/>
        <w:autoSpaceDE w:val="0"/>
        <w:autoSpaceDN w:val="0"/>
        <w:bidi w:val="0"/>
        <w:adjustRightInd/>
        <w:spacing w:line="340" w:lineRule="exact"/>
        <w:ind w:left="460" w:leftChars="209"/>
        <w:textAlignment w:val="auto"/>
        <w:rPr>
          <w:sz w:val="21"/>
          <w:szCs w:val="20"/>
          <w:highlight w:val="none"/>
          <w:lang w:val="en-US"/>
        </w:rPr>
      </w:pPr>
      <w:r>
        <w:rPr>
          <w:rFonts w:hint="eastAsia"/>
          <w:sz w:val="21"/>
          <w:szCs w:val="20"/>
          <w:highlight w:val="none"/>
          <w:lang w:val="en-US"/>
        </w:rPr>
        <w:t>7.1咨询成果必须符合规划研究报告任务书中提出的有关规范设计目的、原则、内容等方面的要求。</w:t>
      </w:r>
    </w:p>
    <w:p>
      <w:pPr>
        <w:keepNext w:val="0"/>
        <w:keepLines w:val="0"/>
        <w:pageBreakBefore w:val="0"/>
        <w:widowControl w:val="0"/>
        <w:kinsoku/>
        <w:wordWrap/>
        <w:overflowPunct/>
        <w:topLinePunct w:val="0"/>
        <w:autoSpaceDE w:val="0"/>
        <w:autoSpaceDN w:val="0"/>
        <w:bidi w:val="0"/>
        <w:adjustRightInd/>
        <w:spacing w:line="340" w:lineRule="exact"/>
        <w:ind w:left="460" w:leftChars="209"/>
        <w:textAlignment w:val="auto"/>
        <w:rPr>
          <w:sz w:val="21"/>
          <w:szCs w:val="20"/>
          <w:highlight w:val="none"/>
          <w:lang w:val="en-US"/>
        </w:rPr>
      </w:pPr>
      <w:r>
        <w:rPr>
          <w:rFonts w:hint="eastAsia"/>
          <w:sz w:val="21"/>
          <w:szCs w:val="20"/>
          <w:highlight w:val="none"/>
          <w:lang w:val="en-US"/>
        </w:rPr>
        <w:t>7.2图纸和文本文件必须做到清晰、完整，尺寸齐全、准确，同类图纸规格尽量同一。</w:t>
      </w:r>
    </w:p>
    <w:p>
      <w:pPr>
        <w:keepNext w:val="0"/>
        <w:keepLines w:val="0"/>
        <w:pageBreakBefore w:val="0"/>
        <w:widowControl w:val="0"/>
        <w:kinsoku/>
        <w:wordWrap/>
        <w:overflowPunct/>
        <w:topLinePunct w:val="0"/>
        <w:autoSpaceDE w:val="0"/>
        <w:autoSpaceDN w:val="0"/>
        <w:bidi w:val="0"/>
        <w:adjustRightInd/>
        <w:spacing w:line="340" w:lineRule="exact"/>
        <w:ind w:left="460" w:leftChars="209"/>
        <w:textAlignment w:val="auto"/>
        <w:rPr>
          <w:rFonts w:hint="eastAsia" w:eastAsia="宋体"/>
          <w:lang w:val="en-US" w:eastAsia="zh-CN"/>
        </w:rPr>
      </w:pPr>
      <w:r>
        <w:rPr>
          <w:rFonts w:hint="eastAsia"/>
          <w:sz w:val="21"/>
          <w:szCs w:val="20"/>
          <w:highlight w:val="none"/>
          <w:lang w:val="en-US"/>
        </w:rPr>
        <w:t>7.3量度单位按公制标准。</w:t>
      </w:r>
    </w:p>
    <w:p>
      <w:pPr>
        <w:keepNext w:val="0"/>
        <w:keepLines w:val="0"/>
        <w:pageBreakBefore w:val="0"/>
        <w:widowControl w:val="0"/>
        <w:kinsoku/>
        <w:wordWrap/>
        <w:overflowPunct/>
        <w:topLinePunct w:val="0"/>
        <w:autoSpaceDE w:val="0"/>
        <w:autoSpaceDN w:val="0"/>
        <w:bidi w:val="0"/>
        <w:adjustRightInd/>
        <w:snapToGrid w:val="0"/>
        <w:spacing w:line="340" w:lineRule="exact"/>
        <w:textAlignment w:val="auto"/>
        <w:rPr>
          <w:b/>
          <w:sz w:val="21"/>
          <w:szCs w:val="21"/>
          <w:highlight w:val="none"/>
        </w:rPr>
      </w:pPr>
      <w:r>
        <w:rPr>
          <w:rFonts w:hint="eastAsia"/>
          <w:b/>
          <w:sz w:val="21"/>
          <w:szCs w:val="21"/>
          <w:highlight w:val="none"/>
        </w:rPr>
        <w:t>四、服务期</w:t>
      </w:r>
    </w:p>
    <w:p>
      <w:pPr>
        <w:keepNext w:val="0"/>
        <w:keepLines w:val="0"/>
        <w:pageBreakBefore w:val="0"/>
        <w:widowControl w:val="0"/>
        <w:kinsoku/>
        <w:wordWrap/>
        <w:overflowPunct/>
        <w:topLinePunct w:val="0"/>
        <w:autoSpaceDE w:val="0"/>
        <w:autoSpaceDN w:val="0"/>
        <w:bidi w:val="0"/>
        <w:adjustRightInd/>
        <w:snapToGrid w:val="0"/>
        <w:spacing w:line="340" w:lineRule="exact"/>
        <w:ind w:firstLine="420" w:firstLineChars="200"/>
        <w:textAlignment w:val="auto"/>
        <w:rPr>
          <w:rFonts w:hint="eastAsia"/>
          <w:sz w:val="21"/>
          <w:highlight w:val="none"/>
          <w:lang w:val="en-US"/>
        </w:rPr>
      </w:pPr>
      <w:r>
        <w:rPr>
          <w:rFonts w:hint="eastAsia"/>
          <w:sz w:val="21"/>
          <w:highlight w:val="none"/>
          <w:lang w:val="en-US"/>
        </w:rPr>
        <w:t>合同生效并接到委托方通知之日起至</w:t>
      </w:r>
      <w:r>
        <w:rPr>
          <w:rFonts w:hint="eastAsia"/>
          <w:sz w:val="21"/>
          <w:highlight w:val="none"/>
        </w:rPr>
        <w:t>兰溪市综合交通规划“十四五”规划</w:t>
      </w:r>
      <w:r>
        <w:rPr>
          <w:rFonts w:hint="eastAsia"/>
          <w:sz w:val="21"/>
          <w:highlight w:val="none"/>
          <w:lang w:val="en-US" w:eastAsia="zh-CN"/>
        </w:rPr>
        <w:t>落地</w:t>
      </w:r>
      <w:r>
        <w:rPr>
          <w:rFonts w:hint="eastAsia"/>
          <w:sz w:val="21"/>
          <w:highlight w:val="none"/>
          <w:lang w:val="en-US"/>
        </w:rPr>
        <w:t>方案编制完成止。</w:t>
      </w:r>
    </w:p>
    <w:p>
      <w:pPr>
        <w:keepNext w:val="0"/>
        <w:keepLines w:val="0"/>
        <w:pageBreakBefore w:val="0"/>
        <w:widowControl w:val="0"/>
        <w:numPr>
          <w:ilvl w:val="0"/>
          <w:numId w:val="5"/>
        </w:numPr>
        <w:kinsoku/>
        <w:wordWrap/>
        <w:overflowPunct/>
        <w:topLinePunct w:val="0"/>
        <w:autoSpaceDE w:val="0"/>
        <w:autoSpaceDN w:val="0"/>
        <w:bidi w:val="0"/>
        <w:adjustRightInd/>
        <w:snapToGrid w:val="0"/>
        <w:spacing w:line="340" w:lineRule="exact"/>
        <w:ind w:left="0" w:leftChars="0" w:firstLine="0" w:firstLineChars="0"/>
        <w:textAlignment w:val="auto"/>
        <w:rPr>
          <w:rFonts w:hint="eastAsia"/>
          <w:b/>
          <w:sz w:val="21"/>
          <w:szCs w:val="21"/>
          <w:highlight w:val="none"/>
          <w:lang w:val="en-US" w:eastAsia="zh-CN"/>
        </w:rPr>
      </w:pPr>
      <w:r>
        <w:rPr>
          <w:rFonts w:hint="eastAsia"/>
          <w:b/>
          <w:sz w:val="21"/>
          <w:szCs w:val="21"/>
          <w:highlight w:val="none"/>
          <w:lang w:val="en-US" w:eastAsia="zh-CN"/>
        </w:rPr>
        <w:t>工期要求：</w:t>
      </w:r>
    </w:p>
    <w:p>
      <w:pPr>
        <w:pStyle w:val="25"/>
        <w:keepNext w:val="0"/>
        <w:keepLines w:val="0"/>
        <w:pageBreakBefore w:val="0"/>
        <w:widowControl w:val="0"/>
        <w:kinsoku/>
        <w:wordWrap/>
        <w:overflowPunct/>
        <w:topLinePunct w:val="0"/>
        <w:bidi w:val="0"/>
        <w:adjustRightInd/>
        <w:spacing w:line="240" w:lineRule="auto"/>
        <w:ind w:left="0" w:leftChars="0" w:firstLine="480" w:firstLineChars="0"/>
        <w:textAlignment w:val="auto"/>
        <w:rPr>
          <w:rFonts w:ascii="宋体" w:hAnsi="宋体"/>
          <w:highlight w:val="none"/>
          <w:lang w:val="en-US"/>
        </w:rPr>
      </w:pPr>
      <w:r>
        <w:rPr>
          <w:rFonts w:hint="eastAsia" w:ascii="宋体" w:hAnsi="宋体"/>
          <w:highlight w:val="none"/>
          <w:lang w:val="en-US"/>
        </w:rPr>
        <w:t>1、合同签订后7日内，编制形成详细工作大纲；</w:t>
      </w:r>
    </w:p>
    <w:p>
      <w:pPr>
        <w:pStyle w:val="25"/>
        <w:keepNext w:val="0"/>
        <w:keepLines w:val="0"/>
        <w:pageBreakBefore w:val="0"/>
        <w:widowControl w:val="0"/>
        <w:kinsoku/>
        <w:wordWrap/>
        <w:overflowPunct/>
        <w:topLinePunct w:val="0"/>
        <w:bidi w:val="0"/>
        <w:adjustRightInd/>
        <w:spacing w:line="240" w:lineRule="auto"/>
        <w:ind w:left="0" w:leftChars="0" w:firstLine="480" w:firstLineChars="0"/>
        <w:textAlignment w:val="auto"/>
        <w:rPr>
          <w:rFonts w:ascii="宋体" w:hAnsi="宋体"/>
          <w:highlight w:val="none"/>
          <w:lang w:val="en-US"/>
        </w:rPr>
      </w:pPr>
      <w:r>
        <w:rPr>
          <w:rFonts w:hint="eastAsia" w:ascii="宋体" w:hAnsi="宋体"/>
          <w:highlight w:val="none"/>
          <w:lang w:val="en-US"/>
        </w:rPr>
        <w:t>2、合同签订后</w:t>
      </w:r>
      <w:r>
        <w:rPr>
          <w:rFonts w:hint="eastAsia" w:ascii="宋体" w:hAnsi="宋体"/>
          <w:highlight w:val="none"/>
          <w:lang w:val="en-US" w:eastAsia="zh-CN"/>
        </w:rPr>
        <w:t>30</w:t>
      </w:r>
      <w:r>
        <w:rPr>
          <w:rFonts w:hint="eastAsia" w:ascii="宋体" w:hAnsi="宋体"/>
          <w:highlight w:val="none"/>
          <w:lang w:val="en-US"/>
        </w:rPr>
        <w:t>日内，编制</w:t>
      </w:r>
      <w:r>
        <w:rPr>
          <w:rFonts w:hint="eastAsia" w:ascii="宋体" w:hAnsi="宋体"/>
          <w:highlight w:val="none"/>
          <w:lang w:val="en-US" w:eastAsia="zh-CN"/>
        </w:rPr>
        <w:t>完成线位方案论证报告</w:t>
      </w:r>
      <w:r>
        <w:rPr>
          <w:rFonts w:hint="eastAsia" w:ascii="宋体" w:hAnsi="宋体"/>
          <w:highlight w:val="none"/>
          <w:lang w:val="en-US"/>
        </w:rPr>
        <w:t>；</w:t>
      </w:r>
    </w:p>
    <w:p>
      <w:pPr>
        <w:pStyle w:val="25"/>
        <w:keepNext w:val="0"/>
        <w:keepLines w:val="0"/>
        <w:pageBreakBefore w:val="0"/>
        <w:widowControl w:val="0"/>
        <w:kinsoku/>
        <w:wordWrap/>
        <w:overflowPunct/>
        <w:topLinePunct w:val="0"/>
        <w:bidi w:val="0"/>
        <w:adjustRightInd/>
        <w:spacing w:line="240" w:lineRule="auto"/>
        <w:ind w:left="0" w:leftChars="0" w:firstLine="480" w:firstLineChars="0"/>
        <w:textAlignment w:val="auto"/>
        <w:rPr>
          <w:rFonts w:ascii="宋体" w:hAnsi="宋体"/>
          <w:highlight w:val="none"/>
          <w:lang w:val="en-US"/>
        </w:rPr>
      </w:pPr>
      <w:r>
        <w:rPr>
          <w:rFonts w:hint="eastAsia" w:ascii="宋体" w:hAnsi="宋体"/>
          <w:highlight w:val="none"/>
          <w:lang w:val="en-US"/>
        </w:rPr>
        <w:t>3、合同签订后</w:t>
      </w:r>
      <w:r>
        <w:rPr>
          <w:rFonts w:hint="eastAsia" w:ascii="宋体" w:hAnsi="宋体"/>
          <w:highlight w:val="none"/>
          <w:lang w:val="en-US" w:eastAsia="zh-CN"/>
        </w:rPr>
        <w:t>60</w:t>
      </w:r>
      <w:r>
        <w:rPr>
          <w:rFonts w:hint="eastAsia" w:ascii="宋体" w:hAnsi="宋体"/>
          <w:highlight w:val="none"/>
          <w:lang w:val="en-US"/>
        </w:rPr>
        <w:t>日内，广泛征求各相关部门的意见，修改完善</w:t>
      </w:r>
      <w:r>
        <w:rPr>
          <w:rFonts w:hint="eastAsia" w:ascii="宋体" w:hAnsi="宋体"/>
          <w:highlight w:val="none"/>
          <w:lang w:val="en-US" w:eastAsia="zh-CN"/>
        </w:rPr>
        <w:t>线位方案论证报告</w:t>
      </w:r>
      <w:r>
        <w:rPr>
          <w:rFonts w:hint="eastAsia" w:ascii="宋体" w:hAnsi="宋体"/>
          <w:highlight w:val="none"/>
          <w:lang w:val="en-US"/>
        </w:rPr>
        <w:t>；</w:t>
      </w:r>
    </w:p>
    <w:p>
      <w:pPr>
        <w:pStyle w:val="25"/>
        <w:keepNext w:val="0"/>
        <w:keepLines w:val="0"/>
        <w:pageBreakBefore w:val="0"/>
        <w:widowControl w:val="0"/>
        <w:kinsoku/>
        <w:wordWrap/>
        <w:overflowPunct/>
        <w:topLinePunct w:val="0"/>
        <w:bidi w:val="0"/>
        <w:adjustRightInd/>
        <w:spacing w:line="240" w:lineRule="auto"/>
        <w:ind w:left="0" w:leftChars="0" w:firstLine="480" w:firstLineChars="0"/>
        <w:textAlignment w:val="auto"/>
        <w:rPr>
          <w:rFonts w:hint="eastAsia" w:ascii="宋体" w:hAnsi="宋体"/>
          <w:highlight w:val="none"/>
          <w:lang w:val="en-US"/>
        </w:rPr>
      </w:pPr>
      <w:r>
        <w:rPr>
          <w:rFonts w:hint="eastAsia" w:ascii="宋体" w:hAnsi="宋体"/>
          <w:highlight w:val="none"/>
          <w:lang w:val="en-US"/>
        </w:rPr>
        <w:t>4、</w:t>
      </w:r>
      <w:r>
        <w:rPr>
          <w:rFonts w:hint="eastAsia" w:ascii="宋体" w:hAnsi="宋体"/>
          <w:highlight w:val="none"/>
          <w:lang w:val="en-US" w:eastAsia="zh-CN"/>
        </w:rPr>
        <w:t>10月底前</w:t>
      </w:r>
      <w:r>
        <w:rPr>
          <w:rFonts w:hint="eastAsia" w:ascii="宋体" w:hAnsi="宋体"/>
          <w:highlight w:val="none"/>
          <w:lang w:val="en-US"/>
        </w:rPr>
        <w:t>，</w:t>
      </w:r>
      <w:r>
        <w:rPr>
          <w:rFonts w:hint="eastAsia" w:ascii="宋体" w:hAnsi="宋体"/>
          <w:highlight w:val="none"/>
          <w:lang w:val="en-US" w:eastAsia="zh-CN"/>
        </w:rPr>
        <w:t>完成落地方案审批稿</w:t>
      </w:r>
      <w:r>
        <w:rPr>
          <w:rFonts w:hint="eastAsia" w:ascii="宋体" w:hAnsi="宋体"/>
          <w:highlight w:val="none"/>
          <w:lang w:val="en-US"/>
        </w:rPr>
        <w:t>；</w:t>
      </w:r>
    </w:p>
    <w:p>
      <w:pPr>
        <w:pStyle w:val="25"/>
        <w:keepNext w:val="0"/>
        <w:keepLines w:val="0"/>
        <w:pageBreakBefore w:val="0"/>
        <w:widowControl w:val="0"/>
        <w:kinsoku/>
        <w:wordWrap/>
        <w:overflowPunct/>
        <w:topLinePunct w:val="0"/>
        <w:bidi w:val="0"/>
        <w:adjustRightInd/>
        <w:spacing w:line="240" w:lineRule="auto"/>
        <w:ind w:left="0" w:leftChars="0" w:firstLine="480" w:firstLineChars="0"/>
        <w:textAlignment w:val="auto"/>
        <w:rPr>
          <w:rFonts w:hint="default" w:ascii="宋体" w:hAnsi="宋体"/>
          <w:highlight w:val="none"/>
          <w:lang w:val="en-US" w:eastAsia="zh-CN"/>
        </w:rPr>
      </w:pPr>
      <w:r>
        <w:rPr>
          <w:rFonts w:hint="eastAsia" w:ascii="宋体" w:hAnsi="宋体"/>
          <w:highlight w:val="none"/>
          <w:lang w:val="en-US" w:eastAsia="zh-CN"/>
        </w:rPr>
        <w:t>5、12月底，组织专家评审，修改完善后形成落地方案最终稿</w:t>
      </w:r>
    </w:p>
    <w:p>
      <w:pPr>
        <w:keepNext w:val="0"/>
        <w:keepLines w:val="0"/>
        <w:pageBreakBefore w:val="0"/>
        <w:widowControl w:val="0"/>
        <w:kinsoku/>
        <w:wordWrap/>
        <w:overflowPunct/>
        <w:topLinePunct w:val="0"/>
        <w:autoSpaceDE w:val="0"/>
        <w:autoSpaceDN w:val="0"/>
        <w:bidi w:val="0"/>
        <w:adjustRightInd/>
        <w:snapToGrid w:val="0"/>
        <w:spacing w:line="340" w:lineRule="exact"/>
        <w:textAlignment w:val="auto"/>
        <w:rPr>
          <w:b/>
          <w:sz w:val="21"/>
          <w:szCs w:val="21"/>
          <w:highlight w:val="none"/>
        </w:rPr>
      </w:pPr>
      <w:r>
        <w:rPr>
          <w:rFonts w:hint="eastAsia"/>
          <w:b/>
          <w:sz w:val="21"/>
          <w:szCs w:val="21"/>
          <w:highlight w:val="none"/>
          <w:lang w:val="en-US" w:eastAsia="zh-CN"/>
        </w:rPr>
        <w:t>六</w:t>
      </w:r>
      <w:r>
        <w:rPr>
          <w:rFonts w:hint="eastAsia"/>
          <w:b/>
          <w:sz w:val="21"/>
          <w:szCs w:val="21"/>
          <w:highlight w:val="none"/>
        </w:rPr>
        <w:t>、质量要求：</w:t>
      </w:r>
    </w:p>
    <w:p>
      <w:pPr>
        <w:keepNext w:val="0"/>
        <w:keepLines w:val="0"/>
        <w:pageBreakBefore w:val="0"/>
        <w:widowControl w:val="0"/>
        <w:kinsoku/>
        <w:wordWrap/>
        <w:overflowPunct/>
        <w:topLinePunct w:val="0"/>
        <w:autoSpaceDE w:val="0"/>
        <w:autoSpaceDN w:val="0"/>
        <w:bidi w:val="0"/>
        <w:adjustRightInd/>
        <w:snapToGrid w:val="0"/>
        <w:spacing w:line="340" w:lineRule="exact"/>
        <w:ind w:firstLine="470" w:firstLineChars="224"/>
        <w:textAlignment w:val="auto"/>
        <w:rPr>
          <w:sz w:val="21"/>
          <w:szCs w:val="21"/>
          <w:highlight w:val="none"/>
        </w:rPr>
      </w:pPr>
      <w:r>
        <w:rPr>
          <w:rFonts w:hint="eastAsia"/>
          <w:sz w:val="21"/>
          <w:szCs w:val="21"/>
          <w:highlight w:val="none"/>
        </w:rPr>
        <w:t>1、</w:t>
      </w:r>
      <w:r>
        <w:rPr>
          <w:rFonts w:hint="eastAsia"/>
          <w:sz w:val="21"/>
          <w:szCs w:val="21"/>
          <w:highlight w:val="none"/>
          <w:lang w:val="en-US" w:eastAsia="zh-CN"/>
        </w:rPr>
        <w:t>调查资料详实准确</w:t>
      </w:r>
      <w:r>
        <w:rPr>
          <w:rFonts w:hint="eastAsia"/>
          <w:sz w:val="21"/>
          <w:szCs w:val="21"/>
          <w:highlight w:val="none"/>
        </w:rPr>
        <w:t>；</w:t>
      </w:r>
    </w:p>
    <w:p>
      <w:pPr>
        <w:keepNext w:val="0"/>
        <w:keepLines w:val="0"/>
        <w:pageBreakBefore w:val="0"/>
        <w:widowControl w:val="0"/>
        <w:kinsoku/>
        <w:wordWrap/>
        <w:overflowPunct/>
        <w:topLinePunct w:val="0"/>
        <w:autoSpaceDE w:val="0"/>
        <w:autoSpaceDN w:val="0"/>
        <w:bidi w:val="0"/>
        <w:adjustRightInd/>
        <w:snapToGrid w:val="0"/>
        <w:spacing w:line="340" w:lineRule="exact"/>
        <w:ind w:firstLine="470" w:firstLineChars="224"/>
        <w:textAlignment w:val="auto"/>
        <w:rPr>
          <w:sz w:val="21"/>
          <w:szCs w:val="21"/>
          <w:highlight w:val="none"/>
        </w:rPr>
      </w:pPr>
      <w:r>
        <w:rPr>
          <w:rFonts w:hint="eastAsia"/>
          <w:sz w:val="21"/>
          <w:szCs w:val="21"/>
          <w:highlight w:val="none"/>
        </w:rPr>
        <w:t>2、</w:t>
      </w:r>
      <w:r>
        <w:rPr>
          <w:rFonts w:hint="eastAsia"/>
          <w:sz w:val="21"/>
          <w:szCs w:val="21"/>
          <w:highlight w:val="none"/>
          <w:lang w:val="en-US" w:eastAsia="zh-CN"/>
        </w:rPr>
        <w:t>充分研究论证</w:t>
      </w:r>
      <w:r>
        <w:rPr>
          <w:rFonts w:hint="eastAsia"/>
          <w:sz w:val="21"/>
          <w:szCs w:val="21"/>
          <w:highlight w:val="none"/>
        </w:rPr>
        <w:t>；</w:t>
      </w:r>
    </w:p>
    <w:p>
      <w:pPr>
        <w:keepNext w:val="0"/>
        <w:keepLines w:val="0"/>
        <w:pageBreakBefore w:val="0"/>
        <w:widowControl w:val="0"/>
        <w:kinsoku/>
        <w:wordWrap/>
        <w:overflowPunct/>
        <w:topLinePunct w:val="0"/>
        <w:autoSpaceDE w:val="0"/>
        <w:autoSpaceDN w:val="0"/>
        <w:bidi w:val="0"/>
        <w:adjustRightInd/>
        <w:snapToGrid w:val="0"/>
        <w:spacing w:line="340" w:lineRule="exact"/>
        <w:ind w:firstLine="420" w:firstLineChars="200"/>
        <w:textAlignment w:val="auto"/>
        <w:rPr>
          <w:rFonts w:hint="eastAsia"/>
          <w:sz w:val="21"/>
          <w:szCs w:val="21"/>
          <w:highlight w:val="none"/>
        </w:rPr>
      </w:pPr>
      <w:r>
        <w:rPr>
          <w:rFonts w:hint="eastAsia"/>
          <w:sz w:val="21"/>
          <w:szCs w:val="21"/>
          <w:highlight w:val="none"/>
        </w:rPr>
        <w:t>3、</w:t>
      </w:r>
      <w:r>
        <w:rPr>
          <w:rFonts w:hint="eastAsia"/>
          <w:sz w:val="21"/>
          <w:szCs w:val="21"/>
          <w:highlight w:val="none"/>
          <w:lang w:val="en-US" w:eastAsia="zh-CN"/>
        </w:rPr>
        <w:t>通过专家评审</w:t>
      </w:r>
      <w:r>
        <w:rPr>
          <w:rFonts w:hint="eastAsia"/>
          <w:sz w:val="21"/>
          <w:szCs w:val="21"/>
          <w:highlight w:val="none"/>
        </w:rPr>
        <w:t>；</w:t>
      </w:r>
    </w:p>
    <w:p>
      <w:pPr>
        <w:pStyle w:val="2"/>
        <w:ind w:firstLine="420" w:firstLineChars="200"/>
        <w:jc w:val="both"/>
        <w:rPr>
          <w:rFonts w:hint="eastAsia"/>
          <w:sz w:val="21"/>
          <w:szCs w:val="21"/>
          <w:highlight w:val="none"/>
          <w:lang w:val="en-US" w:eastAsia="zh-CN"/>
        </w:rPr>
      </w:pPr>
      <w:r>
        <w:rPr>
          <w:rFonts w:hint="eastAsia"/>
          <w:sz w:val="21"/>
          <w:szCs w:val="21"/>
          <w:highlight w:val="none"/>
          <w:lang w:val="en-US" w:eastAsia="zh-CN"/>
        </w:rPr>
        <w:t>4、通过相关部门审查；</w:t>
      </w:r>
    </w:p>
    <w:p>
      <w:pPr>
        <w:pStyle w:val="2"/>
        <w:ind w:firstLine="420" w:firstLineChars="200"/>
        <w:jc w:val="both"/>
        <w:rPr>
          <w:rFonts w:hint="default"/>
          <w:lang w:val="en-US" w:eastAsia="zh-CN"/>
        </w:rPr>
      </w:pPr>
      <w:r>
        <w:rPr>
          <w:rFonts w:hint="eastAsia"/>
          <w:sz w:val="21"/>
          <w:szCs w:val="21"/>
          <w:highlight w:val="none"/>
          <w:lang w:val="en-US" w:eastAsia="zh-CN"/>
        </w:rPr>
        <w:t>5、提交成果文件；</w:t>
      </w:r>
    </w:p>
    <w:p>
      <w:pPr>
        <w:keepNext w:val="0"/>
        <w:keepLines w:val="0"/>
        <w:pageBreakBefore w:val="0"/>
        <w:widowControl w:val="0"/>
        <w:kinsoku/>
        <w:wordWrap/>
        <w:overflowPunct/>
        <w:topLinePunct w:val="0"/>
        <w:autoSpaceDE w:val="0"/>
        <w:autoSpaceDN w:val="0"/>
        <w:bidi w:val="0"/>
        <w:adjustRightInd/>
        <w:snapToGrid w:val="0"/>
        <w:spacing w:line="340" w:lineRule="exact"/>
        <w:textAlignment w:val="auto"/>
        <w:rPr>
          <w:b/>
          <w:sz w:val="21"/>
          <w:szCs w:val="21"/>
          <w:highlight w:val="none"/>
        </w:rPr>
      </w:pPr>
      <w:r>
        <w:rPr>
          <w:rFonts w:hint="eastAsia"/>
          <w:b/>
          <w:sz w:val="21"/>
          <w:szCs w:val="21"/>
          <w:highlight w:val="none"/>
          <w:lang w:val="en-US" w:eastAsia="zh-CN"/>
        </w:rPr>
        <w:t>七</w:t>
      </w:r>
      <w:r>
        <w:rPr>
          <w:rFonts w:hint="eastAsia"/>
          <w:b/>
          <w:sz w:val="21"/>
          <w:szCs w:val="21"/>
          <w:highlight w:val="none"/>
        </w:rPr>
        <w:t>、保密要求</w:t>
      </w:r>
    </w:p>
    <w:p>
      <w:pPr>
        <w:keepNext w:val="0"/>
        <w:keepLines w:val="0"/>
        <w:pageBreakBefore w:val="0"/>
        <w:widowControl w:val="0"/>
        <w:kinsoku/>
        <w:wordWrap/>
        <w:overflowPunct/>
        <w:topLinePunct w:val="0"/>
        <w:autoSpaceDE w:val="0"/>
        <w:autoSpaceDN w:val="0"/>
        <w:bidi w:val="0"/>
        <w:adjustRightInd/>
        <w:snapToGrid w:val="0"/>
        <w:spacing w:line="340" w:lineRule="exact"/>
        <w:ind w:firstLine="420" w:firstLineChars="200"/>
        <w:textAlignment w:val="auto"/>
        <w:rPr>
          <w:highlight w:val="none"/>
        </w:rPr>
      </w:pPr>
      <w:r>
        <w:rPr>
          <w:rFonts w:hint="eastAsia"/>
          <w:sz w:val="21"/>
          <w:szCs w:val="21"/>
          <w:highlight w:val="none"/>
        </w:rPr>
        <w:t>招投标双方应分别为对方在投标文件和招标文件中涉及的商业和技术等秘密保密，违者应对由此造成的后果承担责任。</w:t>
      </w:r>
    </w:p>
    <w:p>
      <w:pPr>
        <w:keepNext w:val="0"/>
        <w:keepLines w:val="0"/>
        <w:pageBreakBefore w:val="0"/>
        <w:widowControl w:val="0"/>
        <w:kinsoku/>
        <w:wordWrap/>
        <w:overflowPunct/>
        <w:topLinePunct w:val="0"/>
        <w:autoSpaceDE w:val="0"/>
        <w:autoSpaceDN w:val="0"/>
        <w:bidi w:val="0"/>
        <w:adjustRightInd/>
        <w:snapToGrid w:val="0"/>
        <w:spacing w:line="340" w:lineRule="exact"/>
        <w:textAlignment w:val="auto"/>
        <w:rPr>
          <w:b/>
          <w:bCs/>
          <w:sz w:val="21"/>
          <w:szCs w:val="21"/>
          <w:highlight w:val="none"/>
        </w:rPr>
      </w:pPr>
      <w:r>
        <w:rPr>
          <w:rFonts w:hint="eastAsia"/>
          <w:b/>
          <w:bCs/>
          <w:sz w:val="21"/>
          <w:szCs w:val="21"/>
          <w:highlight w:val="none"/>
          <w:lang w:val="en-US" w:eastAsia="zh-CN"/>
        </w:rPr>
        <w:t>八</w:t>
      </w:r>
      <w:r>
        <w:rPr>
          <w:rFonts w:hint="eastAsia"/>
          <w:b/>
          <w:bCs/>
          <w:sz w:val="21"/>
          <w:szCs w:val="21"/>
          <w:highlight w:val="none"/>
        </w:rPr>
        <w:t>、知识产权</w:t>
      </w:r>
    </w:p>
    <w:p>
      <w:pPr>
        <w:keepNext w:val="0"/>
        <w:keepLines w:val="0"/>
        <w:pageBreakBefore w:val="0"/>
        <w:widowControl w:val="0"/>
        <w:kinsoku/>
        <w:wordWrap/>
        <w:overflowPunct/>
        <w:topLinePunct w:val="0"/>
        <w:autoSpaceDE w:val="0"/>
        <w:autoSpaceDN w:val="0"/>
        <w:bidi w:val="0"/>
        <w:adjustRightInd/>
        <w:spacing w:line="340" w:lineRule="exact"/>
        <w:ind w:firstLine="420" w:firstLineChars="200"/>
        <w:textAlignment w:val="auto"/>
        <w:rPr>
          <w:sz w:val="21"/>
          <w:szCs w:val="21"/>
          <w:highlight w:val="none"/>
        </w:rPr>
      </w:pPr>
      <w:r>
        <w:rPr>
          <w:rFonts w:hint="eastAsia"/>
          <w:sz w:val="21"/>
          <w:szCs w:val="21"/>
          <w:highlight w:val="none"/>
        </w:rPr>
        <w:t>乙方应保证提供服务过程中不会侵犯任何第三方的知识产权。乙方所提供的符合本协议约定及甲方要求的成果的知识产权归甲方所有。</w:t>
      </w:r>
    </w:p>
    <w:p>
      <w:pPr>
        <w:keepNext w:val="0"/>
        <w:keepLines w:val="0"/>
        <w:pageBreakBefore w:val="0"/>
        <w:widowControl w:val="0"/>
        <w:kinsoku/>
        <w:wordWrap/>
        <w:overflowPunct/>
        <w:topLinePunct w:val="0"/>
        <w:autoSpaceDE w:val="0"/>
        <w:autoSpaceDN w:val="0"/>
        <w:bidi w:val="0"/>
        <w:adjustRightInd/>
        <w:snapToGrid w:val="0"/>
        <w:spacing w:line="340" w:lineRule="exact"/>
        <w:textAlignment w:val="auto"/>
        <w:rPr>
          <w:b/>
          <w:bCs/>
          <w:sz w:val="21"/>
          <w:szCs w:val="21"/>
          <w:highlight w:val="none"/>
        </w:rPr>
      </w:pPr>
      <w:r>
        <w:rPr>
          <w:rFonts w:hint="eastAsia"/>
          <w:b/>
          <w:bCs/>
          <w:sz w:val="21"/>
          <w:szCs w:val="21"/>
          <w:highlight w:val="none"/>
          <w:lang w:val="en-US" w:eastAsia="zh-CN"/>
        </w:rPr>
        <w:t>九</w:t>
      </w:r>
      <w:r>
        <w:rPr>
          <w:rFonts w:hint="eastAsia"/>
          <w:b/>
          <w:bCs/>
          <w:sz w:val="21"/>
          <w:szCs w:val="21"/>
          <w:highlight w:val="none"/>
        </w:rPr>
        <w:t>、转包或分包</w:t>
      </w:r>
    </w:p>
    <w:p>
      <w:pPr>
        <w:keepNext w:val="0"/>
        <w:keepLines w:val="0"/>
        <w:pageBreakBefore w:val="0"/>
        <w:widowControl w:val="0"/>
        <w:kinsoku/>
        <w:wordWrap/>
        <w:overflowPunct/>
        <w:topLinePunct w:val="0"/>
        <w:autoSpaceDE w:val="0"/>
        <w:autoSpaceDN w:val="0"/>
        <w:bidi w:val="0"/>
        <w:adjustRightInd/>
        <w:spacing w:line="340" w:lineRule="exact"/>
        <w:ind w:firstLine="420" w:firstLineChars="200"/>
        <w:textAlignment w:val="auto"/>
        <w:rPr>
          <w:sz w:val="21"/>
          <w:szCs w:val="21"/>
          <w:highlight w:val="none"/>
        </w:rPr>
      </w:pPr>
      <w:r>
        <w:rPr>
          <w:rFonts w:hint="eastAsia"/>
          <w:sz w:val="21"/>
          <w:szCs w:val="21"/>
          <w:highlight w:val="none"/>
        </w:rPr>
        <w:t>1、本合同范围的服务，应由乙方直接供应，不得转让他人供应；</w:t>
      </w:r>
    </w:p>
    <w:p>
      <w:pPr>
        <w:keepNext w:val="0"/>
        <w:keepLines w:val="0"/>
        <w:pageBreakBefore w:val="0"/>
        <w:widowControl w:val="0"/>
        <w:kinsoku/>
        <w:wordWrap/>
        <w:overflowPunct/>
        <w:topLinePunct w:val="0"/>
        <w:autoSpaceDE w:val="0"/>
        <w:autoSpaceDN w:val="0"/>
        <w:bidi w:val="0"/>
        <w:adjustRightInd/>
        <w:spacing w:line="340" w:lineRule="exact"/>
        <w:ind w:firstLine="420" w:firstLineChars="200"/>
        <w:textAlignment w:val="auto"/>
        <w:rPr>
          <w:sz w:val="21"/>
          <w:szCs w:val="21"/>
          <w:highlight w:val="none"/>
        </w:rPr>
      </w:pPr>
      <w:r>
        <w:rPr>
          <w:rFonts w:hint="eastAsia"/>
          <w:sz w:val="21"/>
          <w:szCs w:val="21"/>
          <w:highlight w:val="none"/>
        </w:rPr>
        <w:t>2、除非得到甲方的书面同意，乙方不得将本合同范围的服务全部或部分分包给他人供应；</w:t>
      </w:r>
    </w:p>
    <w:p>
      <w:pPr>
        <w:keepNext w:val="0"/>
        <w:keepLines w:val="0"/>
        <w:pageBreakBefore w:val="0"/>
        <w:widowControl w:val="0"/>
        <w:kinsoku/>
        <w:wordWrap/>
        <w:overflowPunct/>
        <w:topLinePunct w:val="0"/>
        <w:autoSpaceDE w:val="0"/>
        <w:autoSpaceDN w:val="0"/>
        <w:bidi w:val="0"/>
        <w:adjustRightInd/>
        <w:spacing w:line="340" w:lineRule="exact"/>
        <w:ind w:firstLine="420" w:firstLineChars="200"/>
        <w:textAlignment w:val="auto"/>
        <w:rPr>
          <w:sz w:val="21"/>
          <w:szCs w:val="21"/>
          <w:highlight w:val="none"/>
        </w:rPr>
      </w:pPr>
      <w:r>
        <w:rPr>
          <w:rFonts w:hint="eastAsia"/>
          <w:sz w:val="21"/>
          <w:szCs w:val="21"/>
          <w:highlight w:val="none"/>
        </w:rPr>
        <w:t>3、如有转让和未经甲方同意的分包行为，甲方有权解除合同，并追究乙方的违约责任。</w:t>
      </w:r>
    </w:p>
    <w:p>
      <w:pPr>
        <w:keepNext w:val="0"/>
        <w:keepLines w:val="0"/>
        <w:pageBreakBefore w:val="0"/>
        <w:widowControl w:val="0"/>
        <w:kinsoku/>
        <w:wordWrap/>
        <w:overflowPunct/>
        <w:topLinePunct w:val="0"/>
        <w:autoSpaceDE w:val="0"/>
        <w:autoSpaceDN w:val="0"/>
        <w:bidi w:val="0"/>
        <w:adjustRightInd/>
        <w:snapToGrid w:val="0"/>
        <w:spacing w:line="340" w:lineRule="exact"/>
        <w:textAlignment w:val="auto"/>
        <w:rPr>
          <w:b/>
          <w:bCs/>
          <w:sz w:val="21"/>
          <w:szCs w:val="21"/>
          <w:highlight w:val="none"/>
        </w:rPr>
      </w:pPr>
      <w:r>
        <w:rPr>
          <w:rFonts w:hint="eastAsia"/>
          <w:b/>
          <w:bCs/>
          <w:sz w:val="21"/>
          <w:szCs w:val="21"/>
          <w:highlight w:val="none"/>
          <w:lang w:val="en-US" w:eastAsia="zh-CN"/>
        </w:rPr>
        <w:t>十</w:t>
      </w:r>
      <w:r>
        <w:rPr>
          <w:rFonts w:hint="eastAsia"/>
          <w:b/>
          <w:bCs/>
          <w:sz w:val="21"/>
          <w:szCs w:val="21"/>
          <w:highlight w:val="none"/>
        </w:rPr>
        <w:t>、付款方式</w:t>
      </w:r>
    </w:p>
    <w:p>
      <w:pPr>
        <w:keepNext w:val="0"/>
        <w:keepLines w:val="0"/>
        <w:pageBreakBefore w:val="0"/>
        <w:widowControl w:val="0"/>
        <w:kinsoku/>
        <w:wordWrap/>
        <w:overflowPunct/>
        <w:topLinePunct w:val="0"/>
        <w:autoSpaceDE w:val="0"/>
        <w:autoSpaceDN w:val="0"/>
        <w:bidi w:val="0"/>
        <w:adjustRightInd/>
        <w:snapToGrid w:val="0"/>
        <w:spacing w:line="340" w:lineRule="exact"/>
        <w:ind w:firstLine="420" w:firstLineChars="200"/>
        <w:textAlignment w:val="auto"/>
        <w:rPr>
          <w:rFonts w:hint="eastAsia"/>
          <w:sz w:val="21"/>
          <w:szCs w:val="21"/>
          <w:highlight w:val="none"/>
        </w:rPr>
      </w:pPr>
      <w:r>
        <w:rPr>
          <w:rFonts w:hint="eastAsia" w:ascii="宋体" w:hAnsi="宋体" w:eastAsia="宋体" w:cs="宋体"/>
          <w:sz w:val="21"/>
          <w:highlight w:val="none"/>
        </w:rPr>
        <w:t>合同生效及具备实施条件支付合同价款的</w:t>
      </w:r>
      <w:r>
        <w:rPr>
          <w:rFonts w:hint="eastAsia" w:cs="宋体"/>
          <w:sz w:val="21"/>
          <w:highlight w:val="none"/>
          <w:lang w:val="en-US" w:eastAsia="zh-CN"/>
        </w:rPr>
        <w:t>30</w:t>
      </w:r>
      <w:r>
        <w:rPr>
          <w:rFonts w:hint="eastAsia" w:ascii="宋体" w:hAnsi="宋体" w:eastAsia="宋体" w:cs="宋体"/>
          <w:sz w:val="21"/>
          <w:highlight w:val="none"/>
        </w:rPr>
        <w:t>%作为预付款；</w:t>
      </w:r>
      <w:r>
        <w:rPr>
          <w:rFonts w:hint="eastAsia"/>
          <w:sz w:val="21"/>
          <w:szCs w:val="21"/>
          <w:highlight w:val="none"/>
        </w:rPr>
        <w:t>采购人组织</w:t>
      </w:r>
      <w:r>
        <w:rPr>
          <w:rFonts w:hint="eastAsia"/>
          <w:sz w:val="21"/>
          <w:szCs w:val="21"/>
          <w:highlight w:val="none"/>
          <w:lang w:val="en-US" w:eastAsia="zh-CN"/>
        </w:rPr>
        <w:t>专家评审后完成落地方案最终稿后</w:t>
      </w:r>
      <w:r>
        <w:rPr>
          <w:rFonts w:hint="eastAsia"/>
          <w:sz w:val="21"/>
          <w:szCs w:val="21"/>
          <w:highlight w:val="none"/>
        </w:rPr>
        <w:t>支付剩余合同价尾款。</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340" w:lineRule="exact"/>
        <w:textAlignment w:val="auto"/>
        <w:rPr>
          <w:rFonts w:hint="eastAsia"/>
          <w:b/>
          <w:bCs/>
          <w:sz w:val="21"/>
          <w:szCs w:val="21"/>
          <w:highlight w:val="none"/>
          <w:lang w:val="en-US" w:eastAsia="zh-CN"/>
        </w:rPr>
      </w:pPr>
      <w:r>
        <w:rPr>
          <w:rFonts w:hint="eastAsia"/>
          <w:b/>
          <w:bCs/>
          <w:sz w:val="21"/>
          <w:szCs w:val="21"/>
          <w:highlight w:val="none"/>
          <w:lang w:val="en-US" w:eastAsia="zh-CN"/>
        </w:rPr>
        <w:t>十一、结算方式</w:t>
      </w:r>
    </w:p>
    <w:p>
      <w:pPr>
        <w:keepNext w:val="0"/>
        <w:keepLines w:val="0"/>
        <w:pageBreakBefore w:val="0"/>
        <w:widowControl w:val="0"/>
        <w:kinsoku/>
        <w:wordWrap/>
        <w:overflowPunct/>
        <w:topLinePunct w:val="0"/>
        <w:autoSpaceDE w:val="0"/>
        <w:autoSpaceDN w:val="0"/>
        <w:bidi w:val="0"/>
        <w:adjustRightInd/>
        <w:snapToGrid w:val="0"/>
        <w:spacing w:line="340" w:lineRule="exact"/>
        <w:ind w:firstLine="420" w:firstLineChars="200"/>
        <w:textAlignment w:val="auto"/>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1、按线路方案单独结算。</w:t>
      </w:r>
    </w:p>
    <w:p>
      <w:pPr>
        <w:keepNext w:val="0"/>
        <w:keepLines w:val="0"/>
        <w:pageBreakBefore w:val="0"/>
        <w:widowControl w:val="0"/>
        <w:kinsoku/>
        <w:wordWrap/>
        <w:overflowPunct/>
        <w:topLinePunct w:val="0"/>
        <w:autoSpaceDE w:val="0"/>
        <w:autoSpaceDN w:val="0"/>
        <w:bidi w:val="0"/>
        <w:adjustRightInd/>
        <w:snapToGrid w:val="0"/>
        <w:spacing w:line="340" w:lineRule="exact"/>
        <w:ind w:firstLine="420" w:firstLineChars="200"/>
        <w:textAlignment w:val="auto"/>
        <w:rPr>
          <w:rFonts w:hint="default" w:ascii="宋体" w:hAnsi="宋体" w:eastAsia="宋体" w:cs="宋体"/>
          <w:sz w:val="21"/>
          <w:highlight w:val="none"/>
          <w:lang w:val="en-US" w:eastAsia="zh-CN"/>
        </w:rPr>
      </w:pPr>
      <w:r>
        <w:rPr>
          <w:rFonts w:hint="eastAsia" w:ascii="宋体" w:hAnsi="宋体" w:eastAsia="宋体" w:cs="宋体"/>
          <w:sz w:val="21"/>
          <w:highlight w:val="none"/>
          <w:lang w:val="en-US" w:eastAsia="zh-CN"/>
        </w:rPr>
        <w:t>2、甲方有权利增、减需要方案研究的线路，如增加研究的线路，增加研究线路的服务费按报价一览表中同类型公路报价单价的平均值作为单价，以单价×公里数计算服务费；如减少研究的线路，减少研究线路的服务费按报价一览表中的报价核减服务费。</w:t>
      </w:r>
    </w:p>
    <w:p>
      <w:pPr>
        <w:keepNext w:val="0"/>
        <w:keepLines w:val="0"/>
        <w:pageBreakBefore w:val="0"/>
        <w:widowControl w:val="0"/>
        <w:kinsoku/>
        <w:wordWrap/>
        <w:overflowPunct/>
        <w:topLinePunct w:val="0"/>
        <w:autoSpaceDE w:val="0"/>
        <w:autoSpaceDN w:val="0"/>
        <w:bidi w:val="0"/>
        <w:adjustRightInd/>
        <w:snapToGrid w:val="0"/>
        <w:spacing w:line="340" w:lineRule="exact"/>
        <w:textAlignment w:val="auto"/>
        <w:rPr>
          <w:b/>
          <w:bCs/>
          <w:sz w:val="21"/>
          <w:szCs w:val="21"/>
          <w:highlight w:val="none"/>
        </w:rPr>
      </w:pPr>
      <w:r>
        <w:rPr>
          <w:rFonts w:hint="eastAsia"/>
          <w:b/>
          <w:bCs/>
          <w:sz w:val="21"/>
          <w:szCs w:val="21"/>
          <w:highlight w:val="none"/>
        </w:rPr>
        <w:t>十</w:t>
      </w:r>
      <w:r>
        <w:rPr>
          <w:rFonts w:hint="eastAsia"/>
          <w:b/>
          <w:bCs/>
          <w:sz w:val="21"/>
          <w:szCs w:val="21"/>
          <w:highlight w:val="none"/>
          <w:lang w:val="en-US" w:eastAsia="zh-CN"/>
        </w:rPr>
        <w:t>二</w:t>
      </w:r>
      <w:r>
        <w:rPr>
          <w:rFonts w:hint="eastAsia"/>
          <w:b/>
          <w:bCs/>
          <w:sz w:val="21"/>
          <w:szCs w:val="21"/>
          <w:highlight w:val="none"/>
        </w:rPr>
        <w:t>、税费</w:t>
      </w:r>
    </w:p>
    <w:p>
      <w:pPr>
        <w:keepNext w:val="0"/>
        <w:keepLines w:val="0"/>
        <w:pageBreakBefore w:val="0"/>
        <w:widowControl w:val="0"/>
        <w:kinsoku/>
        <w:wordWrap/>
        <w:overflowPunct/>
        <w:topLinePunct w:val="0"/>
        <w:autoSpaceDE w:val="0"/>
        <w:autoSpaceDN w:val="0"/>
        <w:bidi w:val="0"/>
        <w:adjustRightInd/>
        <w:spacing w:line="340" w:lineRule="exact"/>
        <w:ind w:firstLine="420" w:firstLineChars="200"/>
        <w:textAlignment w:val="auto"/>
        <w:rPr>
          <w:sz w:val="21"/>
          <w:szCs w:val="21"/>
          <w:highlight w:val="none"/>
        </w:rPr>
      </w:pPr>
      <w:r>
        <w:rPr>
          <w:rFonts w:hint="eastAsia"/>
          <w:sz w:val="21"/>
          <w:szCs w:val="21"/>
          <w:highlight w:val="none"/>
        </w:rPr>
        <w:t>本合同执行中相关的一切税费均由乙方负担。</w:t>
      </w:r>
    </w:p>
    <w:p>
      <w:pPr>
        <w:keepNext w:val="0"/>
        <w:keepLines w:val="0"/>
        <w:pageBreakBefore w:val="0"/>
        <w:widowControl w:val="0"/>
        <w:kinsoku/>
        <w:wordWrap/>
        <w:overflowPunct/>
        <w:topLinePunct w:val="0"/>
        <w:autoSpaceDE w:val="0"/>
        <w:autoSpaceDN w:val="0"/>
        <w:bidi w:val="0"/>
        <w:adjustRightInd/>
        <w:snapToGrid w:val="0"/>
        <w:spacing w:line="340" w:lineRule="exact"/>
        <w:textAlignment w:val="auto"/>
        <w:rPr>
          <w:b/>
          <w:bCs/>
          <w:sz w:val="21"/>
          <w:szCs w:val="21"/>
          <w:highlight w:val="none"/>
        </w:rPr>
      </w:pPr>
      <w:r>
        <w:rPr>
          <w:rFonts w:hint="eastAsia"/>
          <w:b/>
          <w:bCs/>
          <w:sz w:val="21"/>
          <w:szCs w:val="21"/>
          <w:highlight w:val="none"/>
        </w:rPr>
        <w:t>十</w:t>
      </w:r>
      <w:r>
        <w:rPr>
          <w:rFonts w:hint="eastAsia"/>
          <w:b/>
          <w:bCs/>
          <w:sz w:val="21"/>
          <w:szCs w:val="21"/>
          <w:highlight w:val="none"/>
          <w:lang w:val="en-US" w:eastAsia="zh-CN"/>
        </w:rPr>
        <w:t>三</w:t>
      </w:r>
      <w:r>
        <w:rPr>
          <w:rFonts w:hint="eastAsia"/>
          <w:b/>
          <w:bCs/>
          <w:sz w:val="21"/>
          <w:szCs w:val="21"/>
          <w:highlight w:val="none"/>
        </w:rPr>
        <w:t>、质量保证及后续服务</w:t>
      </w:r>
    </w:p>
    <w:p>
      <w:pPr>
        <w:keepNext w:val="0"/>
        <w:keepLines w:val="0"/>
        <w:pageBreakBefore w:val="0"/>
        <w:widowControl w:val="0"/>
        <w:kinsoku/>
        <w:wordWrap/>
        <w:overflowPunct/>
        <w:topLinePunct w:val="0"/>
        <w:autoSpaceDE w:val="0"/>
        <w:autoSpaceDN w:val="0"/>
        <w:bidi w:val="0"/>
        <w:adjustRightInd/>
        <w:spacing w:line="340" w:lineRule="exact"/>
        <w:ind w:firstLine="420" w:firstLineChars="200"/>
        <w:textAlignment w:val="auto"/>
        <w:rPr>
          <w:sz w:val="21"/>
          <w:szCs w:val="21"/>
          <w:highlight w:val="none"/>
        </w:rPr>
      </w:pPr>
      <w:r>
        <w:rPr>
          <w:rFonts w:hint="eastAsia"/>
          <w:sz w:val="21"/>
          <w:szCs w:val="21"/>
          <w:highlight w:val="none"/>
        </w:rPr>
        <w:t>1、乙方应按采购招标文件规定向甲方提供服务。</w:t>
      </w:r>
    </w:p>
    <w:p>
      <w:pPr>
        <w:keepNext w:val="0"/>
        <w:keepLines w:val="0"/>
        <w:pageBreakBefore w:val="0"/>
        <w:widowControl w:val="0"/>
        <w:kinsoku/>
        <w:wordWrap/>
        <w:overflowPunct/>
        <w:topLinePunct w:val="0"/>
        <w:autoSpaceDE w:val="0"/>
        <w:autoSpaceDN w:val="0"/>
        <w:bidi w:val="0"/>
        <w:adjustRightInd/>
        <w:spacing w:line="340" w:lineRule="exact"/>
        <w:ind w:firstLine="420" w:firstLineChars="200"/>
        <w:textAlignment w:val="auto"/>
        <w:rPr>
          <w:sz w:val="21"/>
          <w:szCs w:val="21"/>
          <w:highlight w:val="none"/>
        </w:rPr>
      </w:pPr>
      <w:r>
        <w:rPr>
          <w:rFonts w:hint="eastAsia"/>
          <w:sz w:val="21"/>
          <w:szCs w:val="21"/>
          <w:highlight w:val="none"/>
        </w:rPr>
        <w:t>2、乙方提供的服务成果发生问题，乙方应负责免费提供后续服务。对达不到要求者，根据实际情况，经双方协商，可按以下办法处理：</w:t>
      </w:r>
    </w:p>
    <w:p>
      <w:pPr>
        <w:keepNext w:val="0"/>
        <w:keepLines w:val="0"/>
        <w:pageBreakBefore w:val="0"/>
        <w:widowControl w:val="0"/>
        <w:kinsoku/>
        <w:wordWrap/>
        <w:overflowPunct/>
        <w:topLinePunct w:val="0"/>
        <w:autoSpaceDE w:val="0"/>
        <w:autoSpaceDN w:val="0"/>
        <w:bidi w:val="0"/>
        <w:adjustRightInd/>
        <w:spacing w:line="340" w:lineRule="exact"/>
        <w:ind w:firstLine="420" w:firstLineChars="200"/>
        <w:textAlignment w:val="auto"/>
        <w:rPr>
          <w:sz w:val="21"/>
          <w:szCs w:val="21"/>
          <w:highlight w:val="none"/>
        </w:rPr>
      </w:pPr>
      <w:r>
        <w:rPr>
          <w:rFonts w:hint="eastAsia"/>
          <w:sz w:val="21"/>
          <w:szCs w:val="21"/>
          <w:highlight w:val="none"/>
        </w:rPr>
        <w:t>（1）重做：由乙方承担所发生的全部费用。</w:t>
      </w:r>
    </w:p>
    <w:p>
      <w:pPr>
        <w:keepNext w:val="0"/>
        <w:keepLines w:val="0"/>
        <w:pageBreakBefore w:val="0"/>
        <w:widowControl w:val="0"/>
        <w:kinsoku/>
        <w:wordWrap/>
        <w:overflowPunct/>
        <w:topLinePunct w:val="0"/>
        <w:autoSpaceDE w:val="0"/>
        <w:autoSpaceDN w:val="0"/>
        <w:bidi w:val="0"/>
        <w:adjustRightInd/>
        <w:spacing w:line="340" w:lineRule="exact"/>
        <w:ind w:firstLine="420" w:firstLineChars="200"/>
        <w:textAlignment w:val="auto"/>
        <w:rPr>
          <w:sz w:val="21"/>
          <w:szCs w:val="21"/>
          <w:highlight w:val="none"/>
        </w:rPr>
      </w:pPr>
      <w:r>
        <w:rPr>
          <w:rFonts w:hint="eastAsia"/>
          <w:sz w:val="21"/>
          <w:szCs w:val="21"/>
          <w:highlight w:val="none"/>
        </w:rPr>
        <w:t>（2）解除合同。</w:t>
      </w:r>
    </w:p>
    <w:p>
      <w:pPr>
        <w:keepNext w:val="0"/>
        <w:keepLines w:val="0"/>
        <w:pageBreakBefore w:val="0"/>
        <w:widowControl w:val="0"/>
        <w:kinsoku/>
        <w:wordWrap/>
        <w:overflowPunct/>
        <w:topLinePunct w:val="0"/>
        <w:autoSpaceDE w:val="0"/>
        <w:autoSpaceDN w:val="0"/>
        <w:bidi w:val="0"/>
        <w:adjustRightInd/>
        <w:spacing w:line="340" w:lineRule="exact"/>
        <w:ind w:firstLine="420" w:firstLineChars="200"/>
        <w:textAlignment w:val="auto"/>
        <w:rPr>
          <w:sz w:val="21"/>
          <w:szCs w:val="21"/>
          <w:highlight w:val="none"/>
        </w:rPr>
      </w:pPr>
      <w:r>
        <w:rPr>
          <w:rFonts w:hint="eastAsia"/>
          <w:sz w:val="21"/>
          <w:szCs w:val="21"/>
          <w:highlight w:val="none"/>
        </w:rPr>
        <w:t>3、在服务质量保证期内，乙方应对出现的质量及安全问题负责处理解决并承担一切费用。</w:t>
      </w:r>
    </w:p>
    <w:p>
      <w:pPr>
        <w:keepNext w:val="0"/>
        <w:keepLines w:val="0"/>
        <w:pageBreakBefore w:val="0"/>
        <w:widowControl w:val="0"/>
        <w:kinsoku/>
        <w:wordWrap/>
        <w:overflowPunct/>
        <w:topLinePunct w:val="0"/>
        <w:autoSpaceDE w:val="0"/>
        <w:autoSpaceDN w:val="0"/>
        <w:bidi w:val="0"/>
        <w:adjustRightInd/>
        <w:snapToGrid w:val="0"/>
        <w:spacing w:line="340" w:lineRule="exact"/>
        <w:textAlignment w:val="auto"/>
        <w:rPr>
          <w:b/>
          <w:bCs/>
          <w:sz w:val="21"/>
          <w:szCs w:val="21"/>
          <w:highlight w:val="none"/>
        </w:rPr>
      </w:pPr>
      <w:r>
        <w:rPr>
          <w:rFonts w:hint="eastAsia"/>
          <w:b/>
          <w:bCs/>
          <w:sz w:val="21"/>
          <w:szCs w:val="21"/>
          <w:highlight w:val="none"/>
        </w:rPr>
        <w:t>十</w:t>
      </w:r>
      <w:r>
        <w:rPr>
          <w:rFonts w:hint="eastAsia"/>
          <w:b/>
          <w:bCs/>
          <w:sz w:val="21"/>
          <w:szCs w:val="21"/>
          <w:highlight w:val="none"/>
          <w:lang w:val="en-US" w:eastAsia="zh-CN"/>
        </w:rPr>
        <w:t>四</w:t>
      </w:r>
      <w:r>
        <w:rPr>
          <w:rFonts w:hint="eastAsia"/>
          <w:b/>
          <w:bCs/>
          <w:sz w:val="21"/>
          <w:szCs w:val="21"/>
          <w:highlight w:val="none"/>
        </w:rPr>
        <w:t>、违约责任</w:t>
      </w:r>
    </w:p>
    <w:p>
      <w:pPr>
        <w:keepNext w:val="0"/>
        <w:keepLines w:val="0"/>
        <w:pageBreakBefore w:val="0"/>
        <w:widowControl w:val="0"/>
        <w:kinsoku/>
        <w:wordWrap/>
        <w:overflowPunct/>
        <w:topLinePunct w:val="0"/>
        <w:autoSpaceDE w:val="0"/>
        <w:autoSpaceDN w:val="0"/>
        <w:bidi w:val="0"/>
        <w:adjustRightInd/>
        <w:spacing w:line="340" w:lineRule="exact"/>
        <w:ind w:firstLine="420" w:firstLineChars="200"/>
        <w:textAlignment w:val="auto"/>
        <w:rPr>
          <w:sz w:val="21"/>
          <w:szCs w:val="21"/>
          <w:highlight w:val="none"/>
        </w:rPr>
      </w:pPr>
      <w:r>
        <w:rPr>
          <w:rFonts w:hint="eastAsia"/>
          <w:sz w:val="21"/>
          <w:szCs w:val="21"/>
          <w:highlight w:val="none"/>
        </w:rPr>
        <w:t>1、甲方无正当理由拒收接受服务的，甲方向乙方偿付合同款项百分之五作为违约金。</w:t>
      </w:r>
    </w:p>
    <w:p>
      <w:pPr>
        <w:keepNext w:val="0"/>
        <w:keepLines w:val="0"/>
        <w:pageBreakBefore w:val="0"/>
        <w:widowControl w:val="0"/>
        <w:kinsoku/>
        <w:wordWrap/>
        <w:overflowPunct/>
        <w:topLinePunct w:val="0"/>
        <w:autoSpaceDE w:val="0"/>
        <w:autoSpaceDN w:val="0"/>
        <w:bidi w:val="0"/>
        <w:adjustRightInd/>
        <w:spacing w:line="340" w:lineRule="exact"/>
        <w:ind w:firstLine="420" w:firstLineChars="200"/>
        <w:textAlignment w:val="auto"/>
        <w:rPr>
          <w:sz w:val="21"/>
          <w:szCs w:val="21"/>
          <w:highlight w:val="none"/>
        </w:rPr>
      </w:pPr>
      <w:r>
        <w:rPr>
          <w:rFonts w:hint="eastAsia"/>
          <w:sz w:val="21"/>
          <w:szCs w:val="21"/>
          <w:highlight w:val="none"/>
        </w:rPr>
        <w:t>2、甲方无故逾期验收和办理款项支付手续的，甲方应按逾期付款总额每日万分之五向乙方支付违约金。</w:t>
      </w:r>
    </w:p>
    <w:p>
      <w:pPr>
        <w:keepNext w:val="0"/>
        <w:keepLines w:val="0"/>
        <w:pageBreakBefore w:val="0"/>
        <w:widowControl w:val="0"/>
        <w:kinsoku/>
        <w:wordWrap/>
        <w:overflowPunct/>
        <w:topLinePunct w:val="0"/>
        <w:autoSpaceDE w:val="0"/>
        <w:autoSpaceDN w:val="0"/>
        <w:bidi w:val="0"/>
        <w:adjustRightInd/>
        <w:spacing w:line="340" w:lineRule="exact"/>
        <w:ind w:firstLine="420" w:firstLineChars="200"/>
        <w:textAlignment w:val="auto"/>
        <w:rPr>
          <w:sz w:val="21"/>
          <w:szCs w:val="21"/>
          <w:highlight w:val="none"/>
        </w:rPr>
      </w:pPr>
      <w:r>
        <w:rPr>
          <w:rFonts w:hint="eastAsia"/>
          <w:sz w:val="21"/>
          <w:szCs w:val="21"/>
          <w:highlight w:val="none"/>
        </w:rPr>
        <w:t>3、乙方未能如期提供服务或提交服务成果的，每日向甲方支付合同款项的千分之六作为违约金。乙方超过约定日期5个工作日仍不能提供服务或提交服务成果的的，甲方可解除本合同。乙方因未能如期提供服务或未能如期提交服务成果的或因其他违约行为导致甲方解除合同的，乙方应向甲方支付合同总值5%的违约金，如造成甲方损失超过违约金的，超出部分由乙方继续承担赔偿责任。</w:t>
      </w:r>
    </w:p>
    <w:p>
      <w:pPr>
        <w:keepNext w:val="0"/>
        <w:keepLines w:val="0"/>
        <w:pageBreakBefore w:val="0"/>
        <w:widowControl w:val="0"/>
        <w:kinsoku/>
        <w:wordWrap/>
        <w:overflowPunct/>
        <w:topLinePunct w:val="0"/>
        <w:autoSpaceDE w:val="0"/>
        <w:autoSpaceDN w:val="0"/>
        <w:bidi w:val="0"/>
        <w:adjustRightInd/>
        <w:snapToGrid w:val="0"/>
        <w:spacing w:line="340" w:lineRule="exact"/>
        <w:textAlignment w:val="auto"/>
        <w:rPr>
          <w:b/>
          <w:bCs/>
          <w:sz w:val="21"/>
          <w:szCs w:val="21"/>
          <w:highlight w:val="none"/>
        </w:rPr>
      </w:pPr>
      <w:r>
        <w:rPr>
          <w:rFonts w:hint="eastAsia"/>
          <w:b/>
          <w:bCs/>
          <w:sz w:val="21"/>
          <w:szCs w:val="21"/>
          <w:highlight w:val="none"/>
        </w:rPr>
        <w:t>十</w:t>
      </w:r>
      <w:r>
        <w:rPr>
          <w:rFonts w:hint="eastAsia"/>
          <w:b/>
          <w:bCs/>
          <w:sz w:val="21"/>
          <w:szCs w:val="21"/>
          <w:highlight w:val="none"/>
          <w:lang w:val="en-US" w:eastAsia="zh-CN"/>
        </w:rPr>
        <w:t>五</w:t>
      </w:r>
      <w:r>
        <w:rPr>
          <w:rFonts w:hint="eastAsia"/>
          <w:b/>
          <w:bCs/>
          <w:sz w:val="21"/>
          <w:szCs w:val="21"/>
          <w:highlight w:val="none"/>
        </w:rPr>
        <w:t>、验收</w:t>
      </w:r>
    </w:p>
    <w:p>
      <w:pPr>
        <w:keepNext w:val="0"/>
        <w:keepLines w:val="0"/>
        <w:pageBreakBefore w:val="0"/>
        <w:widowControl w:val="0"/>
        <w:kinsoku/>
        <w:wordWrap/>
        <w:overflowPunct/>
        <w:topLinePunct w:val="0"/>
        <w:autoSpaceDE w:val="0"/>
        <w:autoSpaceDN w:val="0"/>
        <w:bidi w:val="0"/>
        <w:adjustRightInd/>
        <w:spacing w:line="340" w:lineRule="exact"/>
        <w:ind w:firstLine="420" w:firstLineChars="200"/>
        <w:textAlignment w:val="auto"/>
        <w:rPr>
          <w:sz w:val="21"/>
          <w:szCs w:val="21"/>
          <w:highlight w:val="none"/>
        </w:rPr>
      </w:pPr>
      <w:r>
        <w:rPr>
          <w:rFonts w:hint="eastAsia"/>
          <w:sz w:val="21"/>
          <w:szCs w:val="21"/>
          <w:highlight w:val="none"/>
        </w:rPr>
        <w:t>由甲方组织相关专家，对本项目进行验收。</w:t>
      </w:r>
    </w:p>
    <w:p>
      <w:pPr>
        <w:keepNext w:val="0"/>
        <w:keepLines w:val="0"/>
        <w:pageBreakBefore w:val="0"/>
        <w:widowControl w:val="0"/>
        <w:kinsoku/>
        <w:wordWrap/>
        <w:overflowPunct/>
        <w:topLinePunct w:val="0"/>
        <w:autoSpaceDE w:val="0"/>
        <w:autoSpaceDN w:val="0"/>
        <w:bidi w:val="0"/>
        <w:adjustRightInd/>
        <w:snapToGrid w:val="0"/>
        <w:spacing w:line="340" w:lineRule="exact"/>
        <w:textAlignment w:val="auto"/>
        <w:rPr>
          <w:b/>
          <w:bCs/>
          <w:sz w:val="21"/>
          <w:szCs w:val="21"/>
          <w:highlight w:val="none"/>
        </w:rPr>
      </w:pPr>
      <w:r>
        <w:rPr>
          <w:rFonts w:hint="eastAsia"/>
          <w:b/>
          <w:bCs/>
          <w:sz w:val="21"/>
          <w:szCs w:val="21"/>
          <w:highlight w:val="none"/>
        </w:rPr>
        <w:t>十</w:t>
      </w:r>
      <w:r>
        <w:rPr>
          <w:rFonts w:hint="eastAsia"/>
          <w:b/>
          <w:bCs/>
          <w:sz w:val="21"/>
          <w:szCs w:val="21"/>
          <w:highlight w:val="none"/>
          <w:lang w:val="en-US" w:eastAsia="zh-CN"/>
        </w:rPr>
        <w:t>六</w:t>
      </w:r>
      <w:r>
        <w:rPr>
          <w:rFonts w:hint="eastAsia"/>
          <w:b/>
          <w:bCs/>
          <w:sz w:val="21"/>
          <w:szCs w:val="21"/>
          <w:highlight w:val="none"/>
        </w:rPr>
        <w:t>、不可抗力事件处理</w:t>
      </w:r>
    </w:p>
    <w:p>
      <w:pPr>
        <w:keepNext w:val="0"/>
        <w:keepLines w:val="0"/>
        <w:pageBreakBefore w:val="0"/>
        <w:widowControl w:val="0"/>
        <w:kinsoku/>
        <w:wordWrap/>
        <w:overflowPunct/>
        <w:topLinePunct w:val="0"/>
        <w:autoSpaceDE w:val="0"/>
        <w:autoSpaceDN w:val="0"/>
        <w:bidi w:val="0"/>
        <w:adjustRightInd/>
        <w:spacing w:line="340" w:lineRule="exact"/>
        <w:ind w:firstLine="420" w:firstLineChars="200"/>
        <w:textAlignment w:val="auto"/>
        <w:rPr>
          <w:sz w:val="21"/>
          <w:szCs w:val="21"/>
          <w:highlight w:val="none"/>
        </w:rPr>
      </w:pPr>
      <w:r>
        <w:rPr>
          <w:rFonts w:hint="eastAsia"/>
          <w:sz w:val="21"/>
          <w:szCs w:val="21"/>
          <w:highlight w:val="none"/>
        </w:rPr>
        <w:t>1、在合同有效期内，任何一方因不可抗力事件导致不能履行合同，则合同履行期可延长，其延长期与不可抗力影响期相同。</w:t>
      </w:r>
    </w:p>
    <w:p>
      <w:pPr>
        <w:keepNext w:val="0"/>
        <w:keepLines w:val="0"/>
        <w:pageBreakBefore w:val="0"/>
        <w:widowControl w:val="0"/>
        <w:kinsoku/>
        <w:wordWrap/>
        <w:overflowPunct/>
        <w:topLinePunct w:val="0"/>
        <w:autoSpaceDE w:val="0"/>
        <w:autoSpaceDN w:val="0"/>
        <w:bidi w:val="0"/>
        <w:adjustRightInd/>
        <w:spacing w:line="340" w:lineRule="exact"/>
        <w:ind w:firstLine="420" w:firstLineChars="200"/>
        <w:textAlignment w:val="auto"/>
        <w:rPr>
          <w:sz w:val="21"/>
          <w:szCs w:val="21"/>
          <w:highlight w:val="none"/>
        </w:rPr>
      </w:pPr>
      <w:r>
        <w:rPr>
          <w:rFonts w:hint="eastAsia"/>
          <w:sz w:val="21"/>
          <w:szCs w:val="21"/>
          <w:highlight w:val="none"/>
        </w:rPr>
        <w:t>2、不可抗力事件发生后，应立即通知对方，并寄送有关权威机构出具的证明。</w:t>
      </w:r>
    </w:p>
    <w:p>
      <w:pPr>
        <w:keepNext w:val="0"/>
        <w:keepLines w:val="0"/>
        <w:pageBreakBefore w:val="0"/>
        <w:widowControl w:val="0"/>
        <w:kinsoku/>
        <w:wordWrap/>
        <w:overflowPunct/>
        <w:topLinePunct w:val="0"/>
        <w:autoSpaceDE w:val="0"/>
        <w:autoSpaceDN w:val="0"/>
        <w:bidi w:val="0"/>
        <w:adjustRightInd/>
        <w:spacing w:line="340" w:lineRule="exact"/>
        <w:ind w:firstLine="420" w:firstLineChars="200"/>
        <w:textAlignment w:val="auto"/>
        <w:rPr>
          <w:sz w:val="21"/>
          <w:szCs w:val="21"/>
          <w:highlight w:val="none"/>
        </w:rPr>
      </w:pPr>
      <w:r>
        <w:rPr>
          <w:rFonts w:hint="eastAsia"/>
          <w:sz w:val="21"/>
          <w:szCs w:val="21"/>
          <w:highlight w:val="none"/>
        </w:rPr>
        <w:t>3、不可抗力事件延续120天以上，双方应通过友好协商，确定是否继续履行合同。</w:t>
      </w:r>
    </w:p>
    <w:p>
      <w:pPr>
        <w:keepNext w:val="0"/>
        <w:keepLines w:val="0"/>
        <w:pageBreakBefore w:val="0"/>
        <w:widowControl w:val="0"/>
        <w:kinsoku/>
        <w:wordWrap/>
        <w:overflowPunct/>
        <w:topLinePunct w:val="0"/>
        <w:autoSpaceDE w:val="0"/>
        <w:autoSpaceDN w:val="0"/>
        <w:bidi w:val="0"/>
        <w:adjustRightInd/>
        <w:snapToGrid w:val="0"/>
        <w:spacing w:line="340" w:lineRule="exact"/>
        <w:textAlignment w:val="auto"/>
        <w:rPr>
          <w:b/>
          <w:bCs/>
          <w:sz w:val="21"/>
          <w:szCs w:val="21"/>
          <w:highlight w:val="none"/>
        </w:rPr>
      </w:pPr>
      <w:r>
        <w:rPr>
          <w:rFonts w:hint="eastAsia"/>
          <w:b/>
          <w:bCs/>
          <w:sz w:val="21"/>
          <w:szCs w:val="21"/>
          <w:highlight w:val="none"/>
        </w:rPr>
        <w:t>十</w:t>
      </w:r>
      <w:r>
        <w:rPr>
          <w:rFonts w:hint="eastAsia"/>
          <w:b/>
          <w:bCs/>
          <w:sz w:val="21"/>
          <w:szCs w:val="21"/>
          <w:highlight w:val="none"/>
          <w:lang w:val="en-US" w:eastAsia="zh-CN"/>
        </w:rPr>
        <w:t>七</w:t>
      </w:r>
      <w:r>
        <w:rPr>
          <w:rFonts w:hint="eastAsia"/>
          <w:b/>
          <w:bCs/>
          <w:sz w:val="21"/>
          <w:szCs w:val="21"/>
          <w:highlight w:val="none"/>
        </w:rPr>
        <w:t>、诉讼</w:t>
      </w:r>
    </w:p>
    <w:p>
      <w:pPr>
        <w:keepNext w:val="0"/>
        <w:keepLines w:val="0"/>
        <w:pageBreakBefore w:val="0"/>
        <w:widowControl w:val="0"/>
        <w:kinsoku/>
        <w:wordWrap/>
        <w:overflowPunct/>
        <w:topLinePunct w:val="0"/>
        <w:autoSpaceDE w:val="0"/>
        <w:autoSpaceDN w:val="0"/>
        <w:bidi w:val="0"/>
        <w:adjustRightInd/>
        <w:spacing w:line="340" w:lineRule="exact"/>
        <w:ind w:firstLine="420" w:firstLineChars="200"/>
        <w:textAlignment w:val="auto"/>
        <w:rPr>
          <w:sz w:val="21"/>
          <w:szCs w:val="21"/>
          <w:highlight w:val="none"/>
        </w:rPr>
      </w:pPr>
      <w:r>
        <w:rPr>
          <w:rFonts w:hint="eastAsia"/>
          <w:sz w:val="21"/>
          <w:szCs w:val="21"/>
          <w:highlight w:val="none"/>
        </w:rPr>
        <w:t>双方在执行合同中所发生的一切争议，应通过协商解决。如协商不成，可向甲方所在地法院起诉。</w:t>
      </w:r>
    </w:p>
    <w:p>
      <w:pPr>
        <w:keepNext w:val="0"/>
        <w:keepLines w:val="0"/>
        <w:pageBreakBefore w:val="0"/>
        <w:widowControl w:val="0"/>
        <w:kinsoku/>
        <w:wordWrap/>
        <w:overflowPunct/>
        <w:topLinePunct w:val="0"/>
        <w:autoSpaceDE w:val="0"/>
        <w:autoSpaceDN w:val="0"/>
        <w:bidi w:val="0"/>
        <w:adjustRightInd/>
        <w:snapToGrid w:val="0"/>
        <w:spacing w:line="340" w:lineRule="exact"/>
        <w:textAlignment w:val="auto"/>
        <w:rPr>
          <w:b/>
          <w:bCs/>
          <w:sz w:val="21"/>
          <w:szCs w:val="21"/>
          <w:highlight w:val="none"/>
        </w:rPr>
      </w:pPr>
      <w:r>
        <w:rPr>
          <w:rFonts w:hint="eastAsia"/>
          <w:b/>
          <w:bCs/>
          <w:sz w:val="21"/>
          <w:szCs w:val="21"/>
          <w:highlight w:val="none"/>
        </w:rPr>
        <w:t>十</w:t>
      </w:r>
      <w:r>
        <w:rPr>
          <w:rFonts w:hint="eastAsia"/>
          <w:b/>
          <w:bCs/>
          <w:sz w:val="21"/>
          <w:szCs w:val="21"/>
          <w:highlight w:val="none"/>
          <w:lang w:val="en-US" w:eastAsia="zh-CN"/>
        </w:rPr>
        <w:t>八</w:t>
      </w:r>
      <w:r>
        <w:rPr>
          <w:rFonts w:hint="eastAsia"/>
          <w:b/>
          <w:bCs/>
          <w:sz w:val="21"/>
          <w:szCs w:val="21"/>
          <w:highlight w:val="none"/>
        </w:rPr>
        <w:t>、合同生效及其它</w:t>
      </w:r>
    </w:p>
    <w:p>
      <w:pPr>
        <w:keepNext w:val="0"/>
        <w:keepLines w:val="0"/>
        <w:pageBreakBefore w:val="0"/>
        <w:widowControl w:val="0"/>
        <w:kinsoku/>
        <w:wordWrap/>
        <w:overflowPunct/>
        <w:topLinePunct w:val="0"/>
        <w:autoSpaceDE w:val="0"/>
        <w:autoSpaceDN w:val="0"/>
        <w:bidi w:val="0"/>
        <w:adjustRightInd/>
        <w:spacing w:line="340" w:lineRule="exact"/>
        <w:ind w:firstLine="420" w:firstLineChars="200"/>
        <w:textAlignment w:val="auto"/>
        <w:rPr>
          <w:sz w:val="21"/>
          <w:szCs w:val="21"/>
          <w:highlight w:val="none"/>
        </w:rPr>
      </w:pPr>
      <w:r>
        <w:rPr>
          <w:rFonts w:hint="eastAsia"/>
          <w:sz w:val="21"/>
          <w:szCs w:val="21"/>
          <w:highlight w:val="none"/>
        </w:rPr>
        <w:t>1、合同经双方法定代表人或授权代表签字并加盖单位公章后生效。</w:t>
      </w:r>
    </w:p>
    <w:p>
      <w:pPr>
        <w:keepNext w:val="0"/>
        <w:keepLines w:val="0"/>
        <w:pageBreakBefore w:val="0"/>
        <w:widowControl w:val="0"/>
        <w:kinsoku/>
        <w:wordWrap/>
        <w:overflowPunct/>
        <w:topLinePunct w:val="0"/>
        <w:autoSpaceDE w:val="0"/>
        <w:autoSpaceDN w:val="0"/>
        <w:bidi w:val="0"/>
        <w:adjustRightInd/>
        <w:spacing w:line="340" w:lineRule="exact"/>
        <w:ind w:firstLine="420" w:firstLineChars="200"/>
        <w:textAlignment w:val="auto"/>
        <w:rPr>
          <w:sz w:val="21"/>
          <w:szCs w:val="21"/>
          <w:highlight w:val="none"/>
        </w:rPr>
      </w:pPr>
      <w:r>
        <w:rPr>
          <w:rFonts w:hint="eastAsia"/>
          <w:sz w:val="21"/>
          <w:szCs w:val="21"/>
          <w:highlight w:val="none"/>
        </w:rPr>
        <w:t>2、合同执行中涉及采购资金和采购内容修改或补充的，须经财政部门审批，并签书面补充协议报政府采购监督管理部门备案，方可作为主合同不可分割的一部分。</w:t>
      </w:r>
    </w:p>
    <w:p>
      <w:pPr>
        <w:keepNext w:val="0"/>
        <w:keepLines w:val="0"/>
        <w:pageBreakBefore w:val="0"/>
        <w:widowControl w:val="0"/>
        <w:kinsoku/>
        <w:wordWrap/>
        <w:overflowPunct/>
        <w:topLinePunct w:val="0"/>
        <w:autoSpaceDE w:val="0"/>
        <w:autoSpaceDN w:val="0"/>
        <w:bidi w:val="0"/>
        <w:adjustRightInd/>
        <w:spacing w:line="340" w:lineRule="exact"/>
        <w:ind w:firstLine="420" w:firstLineChars="200"/>
        <w:textAlignment w:val="auto"/>
        <w:rPr>
          <w:sz w:val="21"/>
          <w:szCs w:val="21"/>
          <w:highlight w:val="none"/>
        </w:rPr>
      </w:pPr>
      <w:r>
        <w:rPr>
          <w:rFonts w:hint="eastAsia"/>
          <w:sz w:val="21"/>
          <w:szCs w:val="21"/>
          <w:highlight w:val="none"/>
        </w:rPr>
        <w:t>3、招标文件、投标文件及评标过程中形成的文字资料、询标纪要均作为本合同的组成部分，具有同等效力。本合同未尽事宜，遵照《合同法》有关条文执行。</w:t>
      </w:r>
    </w:p>
    <w:p>
      <w:pPr>
        <w:keepNext w:val="0"/>
        <w:keepLines w:val="0"/>
        <w:pageBreakBefore w:val="0"/>
        <w:widowControl w:val="0"/>
        <w:kinsoku/>
        <w:wordWrap/>
        <w:overflowPunct/>
        <w:topLinePunct w:val="0"/>
        <w:autoSpaceDE w:val="0"/>
        <w:autoSpaceDN w:val="0"/>
        <w:bidi w:val="0"/>
        <w:adjustRightInd/>
        <w:spacing w:line="340" w:lineRule="exact"/>
        <w:ind w:firstLine="420" w:firstLineChars="200"/>
        <w:textAlignment w:val="auto"/>
        <w:rPr>
          <w:sz w:val="21"/>
          <w:szCs w:val="21"/>
          <w:highlight w:val="none"/>
        </w:rPr>
      </w:pPr>
      <w:r>
        <w:rPr>
          <w:rFonts w:hint="eastAsia"/>
          <w:sz w:val="21"/>
          <w:szCs w:val="21"/>
          <w:highlight w:val="none"/>
        </w:rPr>
        <w:t>4、本合同一式陆份，具有同等法律效力，甲乙双方各执叁份。</w:t>
      </w:r>
    </w:p>
    <w:p>
      <w:pPr>
        <w:pStyle w:val="25"/>
        <w:keepNext w:val="0"/>
        <w:keepLines w:val="0"/>
        <w:pageBreakBefore w:val="0"/>
        <w:widowControl w:val="0"/>
        <w:kinsoku/>
        <w:wordWrap/>
        <w:overflowPunct/>
        <w:topLinePunct w:val="0"/>
        <w:autoSpaceDE w:val="0"/>
        <w:autoSpaceDN w:val="0"/>
        <w:bidi w:val="0"/>
        <w:adjustRightInd/>
        <w:spacing w:after="0" w:line="340" w:lineRule="exact"/>
        <w:ind w:left="440"/>
        <w:textAlignment w:val="auto"/>
        <w:rPr>
          <w:rFonts w:hAnsi="宋体"/>
          <w:szCs w:val="21"/>
          <w:highlight w:val="none"/>
        </w:rPr>
      </w:pPr>
    </w:p>
    <w:p>
      <w:pPr>
        <w:pStyle w:val="25"/>
        <w:keepNext w:val="0"/>
        <w:keepLines w:val="0"/>
        <w:pageBreakBefore w:val="0"/>
        <w:widowControl w:val="0"/>
        <w:kinsoku/>
        <w:wordWrap/>
        <w:overflowPunct/>
        <w:topLinePunct w:val="0"/>
        <w:autoSpaceDE w:val="0"/>
        <w:autoSpaceDN w:val="0"/>
        <w:bidi w:val="0"/>
        <w:adjustRightInd/>
        <w:spacing w:after="0" w:line="340" w:lineRule="exact"/>
        <w:ind w:left="440"/>
        <w:textAlignment w:val="auto"/>
        <w:rPr>
          <w:rFonts w:hAnsi="宋体"/>
          <w:szCs w:val="21"/>
          <w:highlight w:val="none"/>
        </w:rPr>
      </w:pPr>
    </w:p>
    <w:p>
      <w:pPr>
        <w:pStyle w:val="25"/>
        <w:keepNext w:val="0"/>
        <w:keepLines w:val="0"/>
        <w:pageBreakBefore w:val="0"/>
        <w:widowControl w:val="0"/>
        <w:kinsoku/>
        <w:wordWrap/>
        <w:overflowPunct/>
        <w:topLinePunct w:val="0"/>
        <w:autoSpaceDE w:val="0"/>
        <w:autoSpaceDN w:val="0"/>
        <w:bidi w:val="0"/>
        <w:adjustRightInd/>
        <w:spacing w:after="0" w:line="340" w:lineRule="exact"/>
        <w:ind w:left="440"/>
        <w:textAlignment w:val="auto"/>
        <w:rPr>
          <w:rFonts w:hAnsi="宋体"/>
          <w:szCs w:val="21"/>
          <w:highlight w:val="none"/>
        </w:rPr>
      </w:pPr>
    </w:p>
    <w:p>
      <w:pPr>
        <w:pStyle w:val="25"/>
        <w:keepNext w:val="0"/>
        <w:keepLines w:val="0"/>
        <w:pageBreakBefore w:val="0"/>
        <w:widowControl w:val="0"/>
        <w:kinsoku/>
        <w:wordWrap/>
        <w:overflowPunct/>
        <w:topLinePunct w:val="0"/>
        <w:autoSpaceDE w:val="0"/>
        <w:autoSpaceDN w:val="0"/>
        <w:bidi w:val="0"/>
        <w:adjustRightInd/>
        <w:spacing w:after="0" w:line="340" w:lineRule="exact"/>
        <w:ind w:left="440"/>
        <w:textAlignment w:val="auto"/>
        <w:rPr>
          <w:rFonts w:hAnsi="宋体"/>
          <w:szCs w:val="21"/>
          <w:highlight w:val="none"/>
        </w:rPr>
      </w:pPr>
    </w:p>
    <w:p>
      <w:pPr>
        <w:keepNext w:val="0"/>
        <w:keepLines w:val="0"/>
        <w:pageBreakBefore w:val="0"/>
        <w:widowControl w:val="0"/>
        <w:kinsoku/>
        <w:wordWrap/>
        <w:overflowPunct/>
        <w:topLinePunct w:val="0"/>
        <w:autoSpaceDE w:val="0"/>
        <w:autoSpaceDN w:val="0"/>
        <w:bidi w:val="0"/>
        <w:adjustRightInd/>
        <w:spacing w:line="340" w:lineRule="exact"/>
        <w:ind w:firstLine="420" w:firstLineChars="200"/>
        <w:textAlignment w:val="auto"/>
        <w:rPr>
          <w:sz w:val="21"/>
          <w:szCs w:val="21"/>
          <w:highlight w:val="none"/>
        </w:rPr>
      </w:pPr>
      <w:r>
        <w:rPr>
          <w:rFonts w:hint="eastAsia"/>
          <w:sz w:val="21"/>
          <w:szCs w:val="21"/>
          <w:highlight w:val="none"/>
        </w:rPr>
        <w:t xml:space="preserve">甲方（盖章）：                             乙方（盖章）：        </w:t>
      </w:r>
    </w:p>
    <w:p>
      <w:pPr>
        <w:keepNext w:val="0"/>
        <w:keepLines w:val="0"/>
        <w:pageBreakBefore w:val="0"/>
        <w:widowControl w:val="0"/>
        <w:kinsoku/>
        <w:wordWrap/>
        <w:overflowPunct/>
        <w:topLinePunct w:val="0"/>
        <w:autoSpaceDE w:val="0"/>
        <w:autoSpaceDN w:val="0"/>
        <w:bidi w:val="0"/>
        <w:adjustRightInd/>
        <w:spacing w:line="340" w:lineRule="exact"/>
        <w:ind w:firstLine="420" w:firstLineChars="200"/>
        <w:textAlignment w:val="auto"/>
        <w:rPr>
          <w:sz w:val="21"/>
          <w:szCs w:val="21"/>
          <w:highlight w:val="none"/>
        </w:rPr>
      </w:pPr>
      <w:r>
        <w:rPr>
          <w:rFonts w:hint="eastAsia"/>
          <w:sz w:val="21"/>
          <w:szCs w:val="21"/>
          <w:highlight w:val="none"/>
        </w:rPr>
        <w:t xml:space="preserve">法定代表人                                法定代表人    </w:t>
      </w:r>
    </w:p>
    <w:p>
      <w:pPr>
        <w:keepNext w:val="0"/>
        <w:keepLines w:val="0"/>
        <w:pageBreakBefore w:val="0"/>
        <w:widowControl w:val="0"/>
        <w:kinsoku/>
        <w:wordWrap/>
        <w:overflowPunct/>
        <w:topLinePunct w:val="0"/>
        <w:autoSpaceDE w:val="0"/>
        <w:autoSpaceDN w:val="0"/>
        <w:bidi w:val="0"/>
        <w:adjustRightInd/>
        <w:spacing w:line="340" w:lineRule="exact"/>
        <w:ind w:firstLine="420" w:firstLineChars="200"/>
        <w:textAlignment w:val="auto"/>
        <w:rPr>
          <w:sz w:val="21"/>
          <w:szCs w:val="21"/>
          <w:highlight w:val="none"/>
        </w:rPr>
      </w:pPr>
      <w:r>
        <w:rPr>
          <w:rFonts w:hint="eastAsia"/>
          <w:sz w:val="21"/>
          <w:szCs w:val="21"/>
          <w:highlight w:val="none"/>
        </w:rPr>
        <w:t xml:space="preserve">或受委托人（签字）：                       或受委托人（签字）：  </w:t>
      </w:r>
    </w:p>
    <w:p>
      <w:pPr>
        <w:keepNext w:val="0"/>
        <w:keepLines w:val="0"/>
        <w:pageBreakBefore w:val="0"/>
        <w:widowControl w:val="0"/>
        <w:kinsoku/>
        <w:wordWrap/>
        <w:overflowPunct/>
        <w:topLinePunct w:val="0"/>
        <w:autoSpaceDE w:val="0"/>
        <w:autoSpaceDN w:val="0"/>
        <w:bidi w:val="0"/>
        <w:adjustRightInd/>
        <w:spacing w:line="340" w:lineRule="exact"/>
        <w:ind w:firstLine="420" w:firstLineChars="200"/>
        <w:textAlignment w:val="auto"/>
        <w:rPr>
          <w:sz w:val="21"/>
          <w:szCs w:val="21"/>
          <w:highlight w:val="none"/>
        </w:rPr>
      </w:pPr>
      <w:r>
        <w:rPr>
          <w:rFonts w:hint="eastAsia"/>
          <w:sz w:val="21"/>
          <w:szCs w:val="21"/>
          <w:highlight w:val="none"/>
        </w:rPr>
        <w:t>联系人：                                  联系人：</w:t>
      </w:r>
    </w:p>
    <w:p>
      <w:pPr>
        <w:keepNext w:val="0"/>
        <w:keepLines w:val="0"/>
        <w:pageBreakBefore w:val="0"/>
        <w:widowControl w:val="0"/>
        <w:kinsoku/>
        <w:wordWrap/>
        <w:overflowPunct/>
        <w:topLinePunct w:val="0"/>
        <w:autoSpaceDE w:val="0"/>
        <w:autoSpaceDN w:val="0"/>
        <w:bidi w:val="0"/>
        <w:adjustRightInd/>
        <w:spacing w:line="340" w:lineRule="exact"/>
        <w:ind w:firstLine="420" w:firstLineChars="200"/>
        <w:textAlignment w:val="auto"/>
        <w:rPr>
          <w:sz w:val="21"/>
          <w:szCs w:val="21"/>
          <w:highlight w:val="none"/>
        </w:rPr>
      </w:pPr>
      <w:r>
        <w:rPr>
          <w:rFonts w:hint="eastAsia"/>
          <w:sz w:val="21"/>
          <w:szCs w:val="21"/>
          <w:highlight w:val="none"/>
        </w:rPr>
        <w:t xml:space="preserve">地址：                                    地址： </w:t>
      </w:r>
    </w:p>
    <w:p>
      <w:pPr>
        <w:spacing w:line="440" w:lineRule="exact"/>
        <w:ind w:firstLine="420" w:firstLineChars="200"/>
        <w:rPr>
          <w:sz w:val="21"/>
          <w:szCs w:val="21"/>
          <w:highlight w:val="none"/>
        </w:rPr>
      </w:pPr>
      <w:r>
        <w:rPr>
          <w:rFonts w:hint="eastAsia"/>
          <w:sz w:val="21"/>
          <w:szCs w:val="21"/>
          <w:highlight w:val="none"/>
        </w:rPr>
        <w:t>电话：                                    电话：</w:t>
      </w:r>
    </w:p>
    <w:p>
      <w:pPr>
        <w:spacing w:line="440" w:lineRule="exact"/>
        <w:ind w:firstLine="420" w:firstLineChars="200"/>
        <w:rPr>
          <w:sz w:val="21"/>
          <w:szCs w:val="21"/>
          <w:highlight w:val="none"/>
        </w:rPr>
      </w:pPr>
      <w:r>
        <w:rPr>
          <w:rFonts w:hint="eastAsia"/>
          <w:sz w:val="21"/>
          <w:szCs w:val="21"/>
          <w:highlight w:val="none"/>
        </w:rPr>
        <w:t>传真：                                    传真：</w:t>
      </w:r>
    </w:p>
    <w:p>
      <w:pPr>
        <w:spacing w:line="440" w:lineRule="exact"/>
        <w:ind w:firstLine="420" w:firstLineChars="200"/>
        <w:rPr>
          <w:sz w:val="21"/>
          <w:szCs w:val="21"/>
          <w:highlight w:val="none"/>
        </w:rPr>
      </w:pPr>
      <w:r>
        <w:rPr>
          <w:rFonts w:hint="eastAsia"/>
          <w:sz w:val="21"/>
          <w:szCs w:val="21"/>
          <w:highlight w:val="none"/>
        </w:rPr>
        <w:t xml:space="preserve">开户银行：                                开户银行： </w:t>
      </w:r>
    </w:p>
    <w:p>
      <w:pPr>
        <w:spacing w:line="440" w:lineRule="exact"/>
        <w:ind w:firstLine="420" w:firstLineChars="200"/>
        <w:rPr>
          <w:sz w:val="21"/>
          <w:szCs w:val="21"/>
          <w:highlight w:val="none"/>
        </w:rPr>
      </w:pPr>
      <w:r>
        <w:rPr>
          <w:rFonts w:hint="eastAsia"/>
          <w:sz w:val="21"/>
          <w:szCs w:val="21"/>
          <w:highlight w:val="none"/>
        </w:rPr>
        <w:t>帐号：                                    帐号：</w:t>
      </w:r>
    </w:p>
    <w:p>
      <w:pPr>
        <w:pStyle w:val="3"/>
        <w:tabs>
          <w:tab w:val="left" w:pos="1283"/>
        </w:tabs>
        <w:spacing w:before="61"/>
        <w:ind w:right="89"/>
        <w:rPr>
          <w:highlight w:val="none"/>
        </w:rPr>
      </w:pPr>
    </w:p>
    <w:p>
      <w:pPr>
        <w:pStyle w:val="3"/>
        <w:tabs>
          <w:tab w:val="left" w:pos="1283"/>
        </w:tabs>
        <w:spacing w:before="61"/>
        <w:ind w:right="89"/>
        <w:rPr>
          <w:highlight w:val="none"/>
        </w:rPr>
      </w:pPr>
    </w:p>
    <w:p>
      <w:pPr>
        <w:rPr>
          <w:highlight w:val="none"/>
        </w:rPr>
      </w:pPr>
    </w:p>
    <w:p>
      <w:pPr>
        <w:pStyle w:val="31"/>
        <w:rPr>
          <w:highlight w:val="none"/>
        </w:rPr>
      </w:pPr>
    </w:p>
    <w:p>
      <w:pPr>
        <w:pStyle w:val="31"/>
        <w:rPr>
          <w:highlight w:val="none"/>
        </w:rPr>
      </w:pPr>
    </w:p>
    <w:p>
      <w:pPr>
        <w:pStyle w:val="31"/>
        <w:rPr>
          <w:highlight w:val="none"/>
        </w:rPr>
      </w:pPr>
    </w:p>
    <w:p>
      <w:pPr>
        <w:pStyle w:val="31"/>
        <w:rPr>
          <w:highlight w:val="none"/>
        </w:rPr>
      </w:pPr>
    </w:p>
    <w:p>
      <w:pPr>
        <w:pStyle w:val="31"/>
        <w:rPr>
          <w:highlight w:val="none"/>
        </w:rPr>
      </w:pPr>
    </w:p>
    <w:p>
      <w:pPr>
        <w:pStyle w:val="31"/>
        <w:rPr>
          <w:highlight w:val="none"/>
        </w:rPr>
      </w:pPr>
    </w:p>
    <w:p>
      <w:pPr>
        <w:pStyle w:val="31"/>
        <w:rPr>
          <w:highlight w:val="none"/>
        </w:rPr>
      </w:pPr>
    </w:p>
    <w:p>
      <w:pPr>
        <w:pStyle w:val="31"/>
        <w:rPr>
          <w:highlight w:val="none"/>
        </w:rPr>
      </w:pPr>
    </w:p>
    <w:p>
      <w:pPr>
        <w:pStyle w:val="31"/>
        <w:rPr>
          <w:highlight w:val="none"/>
        </w:rPr>
      </w:pPr>
    </w:p>
    <w:p>
      <w:pPr>
        <w:pStyle w:val="3"/>
        <w:tabs>
          <w:tab w:val="left" w:pos="1283"/>
        </w:tabs>
        <w:spacing w:before="61"/>
        <w:ind w:right="89"/>
        <w:jc w:val="both"/>
        <w:rPr>
          <w:highlight w:val="none"/>
        </w:rPr>
      </w:pPr>
    </w:p>
    <w:p>
      <w:pPr>
        <w:pStyle w:val="3"/>
        <w:numPr>
          <w:ilvl w:val="0"/>
          <w:numId w:val="19"/>
        </w:numPr>
        <w:tabs>
          <w:tab w:val="left" w:pos="1283"/>
        </w:tabs>
        <w:spacing w:before="61"/>
        <w:ind w:right="89"/>
        <w:rPr>
          <w:highlight w:val="none"/>
        </w:rPr>
      </w:pPr>
      <w:bookmarkStart w:id="15" w:name="_TOC_250000"/>
      <w:bookmarkEnd w:id="15"/>
      <w:r>
        <w:rPr>
          <w:rFonts w:hint="eastAsia"/>
          <w:highlight w:val="none"/>
        </w:rPr>
        <w:t>投标文件格式</w:t>
      </w:r>
    </w:p>
    <w:p>
      <w:pPr>
        <w:rPr>
          <w:highlight w:val="none"/>
        </w:rPr>
      </w:pPr>
    </w:p>
    <w:p>
      <w:pPr>
        <w:pStyle w:val="6"/>
        <w:spacing w:before="100"/>
        <w:ind w:right="1506"/>
        <w:rPr>
          <w:highlight w:val="none"/>
        </w:rPr>
      </w:pPr>
      <w:bookmarkStart w:id="16" w:name="第一部分：资格证明文件包装及封面格式（封面格式仅供参考）"/>
      <w:bookmarkEnd w:id="16"/>
      <w:r>
        <w:rPr>
          <w:rFonts w:hint="eastAsia"/>
          <w:highlight w:val="none"/>
        </w:rPr>
        <w:t>第一部分：资格证明文件包装及封面格式（封面格式仅供参考）</w:t>
      </w:r>
    </w:p>
    <w:p>
      <w:pPr>
        <w:pStyle w:val="7"/>
        <w:ind w:left="7130"/>
        <w:jc w:val="center"/>
        <w:rPr>
          <w:highlight w:val="none"/>
        </w:rPr>
      </w:pPr>
      <w:r>
        <w:rPr>
          <w:rFonts w:hint="eastAsia"/>
          <w:highlight w:val="none"/>
        </w:rPr>
        <w:t>（正本/副本）</w:t>
      </w:r>
    </w:p>
    <w:p>
      <w:pPr>
        <w:pStyle w:val="13"/>
        <w:rPr>
          <w:sz w:val="28"/>
          <w:highlight w:val="none"/>
        </w:rPr>
      </w:pPr>
    </w:p>
    <w:p>
      <w:pPr>
        <w:pStyle w:val="13"/>
        <w:spacing w:before="9"/>
        <w:rPr>
          <w:sz w:val="32"/>
          <w:highlight w:val="none"/>
        </w:rPr>
      </w:pPr>
    </w:p>
    <w:p>
      <w:pPr>
        <w:ind w:left="49" w:right="133"/>
        <w:jc w:val="center"/>
        <w:rPr>
          <w:b/>
          <w:sz w:val="48"/>
          <w:highlight w:val="none"/>
        </w:rPr>
      </w:pPr>
      <w:r>
        <w:rPr>
          <w:rFonts w:hint="eastAsia"/>
          <w:b/>
          <w:sz w:val="48"/>
          <w:highlight w:val="none"/>
        </w:rPr>
        <w:t>兰溪市综合交通规划“十四五”规划</w:t>
      </w:r>
    </w:p>
    <w:p>
      <w:pPr>
        <w:ind w:left="49" w:right="133"/>
        <w:jc w:val="center"/>
        <w:rPr>
          <w:b/>
          <w:sz w:val="48"/>
          <w:highlight w:val="none"/>
        </w:rPr>
      </w:pPr>
      <w:r>
        <w:rPr>
          <w:rFonts w:hint="eastAsia"/>
          <w:b/>
          <w:sz w:val="48"/>
          <w:highlight w:val="none"/>
        </w:rPr>
        <w:t>落地方案</w:t>
      </w:r>
    </w:p>
    <w:p>
      <w:pPr>
        <w:pStyle w:val="13"/>
        <w:rPr>
          <w:b/>
          <w:sz w:val="48"/>
          <w:highlight w:val="none"/>
        </w:rPr>
      </w:pPr>
    </w:p>
    <w:p>
      <w:pPr>
        <w:pStyle w:val="13"/>
        <w:spacing w:before="9"/>
        <w:rPr>
          <w:b/>
          <w:sz w:val="43"/>
          <w:highlight w:val="none"/>
        </w:rPr>
      </w:pPr>
    </w:p>
    <w:p>
      <w:pPr>
        <w:spacing w:before="1"/>
        <w:ind w:left="2438" w:right="1678"/>
        <w:jc w:val="center"/>
        <w:rPr>
          <w:b/>
          <w:sz w:val="56"/>
          <w:szCs w:val="21"/>
          <w:highlight w:val="none"/>
        </w:rPr>
      </w:pPr>
      <w:r>
        <w:rPr>
          <w:rFonts w:hint="eastAsia"/>
          <w:b/>
          <w:sz w:val="56"/>
          <w:szCs w:val="21"/>
          <w:highlight w:val="none"/>
        </w:rPr>
        <w:t>投标文件</w:t>
      </w:r>
    </w:p>
    <w:p>
      <w:pPr>
        <w:pStyle w:val="13"/>
        <w:spacing w:before="9"/>
        <w:rPr>
          <w:b/>
          <w:sz w:val="72"/>
          <w:szCs w:val="20"/>
          <w:highlight w:val="none"/>
        </w:rPr>
      </w:pPr>
    </w:p>
    <w:p>
      <w:pPr>
        <w:ind w:left="49" w:right="136"/>
        <w:jc w:val="center"/>
        <w:rPr>
          <w:b/>
          <w:sz w:val="72"/>
          <w:highlight w:val="none"/>
        </w:rPr>
      </w:pPr>
      <w:r>
        <w:rPr>
          <w:rFonts w:hint="eastAsia"/>
          <w:b/>
          <w:sz w:val="56"/>
          <w:szCs w:val="21"/>
          <w:highlight w:val="none"/>
        </w:rPr>
        <w:t>（资格证明文件）</w:t>
      </w:r>
    </w:p>
    <w:p>
      <w:pPr>
        <w:pStyle w:val="13"/>
        <w:spacing w:before="11"/>
        <w:rPr>
          <w:b/>
          <w:sz w:val="99"/>
          <w:highlight w:val="none"/>
        </w:rPr>
      </w:pPr>
    </w:p>
    <w:p>
      <w:pPr>
        <w:pStyle w:val="5"/>
        <w:rPr>
          <w:highlight w:val="none"/>
        </w:rPr>
      </w:pPr>
      <w:r>
        <w:rPr>
          <w:rFonts w:hint="eastAsia"/>
          <w:highlight w:val="none"/>
        </w:rPr>
        <w:t>项目编号：</w:t>
      </w:r>
    </w:p>
    <w:p>
      <w:pPr>
        <w:pStyle w:val="5"/>
        <w:spacing w:before="55"/>
        <w:rPr>
          <w:highlight w:val="none"/>
        </w:rPr>
      </w:pPr>
      <w:r>
        <w:rPr>
          <w:rFonts w:hint="eastAsia"/>
          <w:highlight w:val="none"/>
        </w:rPr>
        <w:t>投标人全称（公章）：</w:t>
      </w:r>
    </w:p>
    <w:p>
      <w:pPr>
        <w:pStyle w:val="5"/>
        <w:spacing w:before="55" w:line="273" w:lineRule="auto"/>
        <w:ind w:right="3565"/>
        <w:rPr>
          <w:highlight w:val="none"/>
        </w:rPr>
      </w:pPr>
      <w:r>
        <w:rPr>
          <w:rFonts w:hint="eastAsia"/>
          <w:highlight w:val="none"/>
        </w:rPr>
        <w:t>法定代表人或委托代表人签字或盖章： 投标人地址：</w:t>
      </w:r>
    </w:p>
    <w:p>
      <w:pPr>
        <w:pStyle w:val="5"/>
        <w:spacing w:line="384" w:lineRule="exact"/>
        <w:rPr>
          <w:highlight w:val="none"/>
        </w:rPr>
      </w:pPr>
      <w:r>
        <w:rPr>
          <w:rFonts w:hint="eastAsia"/>
          <w:highlight w:val="none"/>
        </w:rPr>
        <w:t>联系电话：</w:t>
      </w:r>
    </w:p>
    <w:p>
      <w:pPr>
        <w:pStyle w:val="13"/>
        <w:rPr>
          <w:sz w:val="30"/>
          <w:highlight w:val="none"/>
        </w:rPr>
      </w:pPr>
    </w:p>
    <w:p>
      <w:pPr>
        <w:pStyle w:val="13"/>
        <w:rPr>
          <w:sz w:val="30"/>
          <w:highlight w:val="none"/>
        </w:rPr>
      </w:pPr>
    </w:p>
    <w:p>
      <w:pPr>
        <w:pStyle w:val="13"/>
        <w:rPr>
          <w:sz w:val="30"/>
          <w:highlight w:val="none"/>
        </w:rPr>
      </w:pPr>
    </w:p>
    <w:p>
      <w:pPr>
        <w:pStyle w:val="7"/>
        <w:tabs>
          <w:tab w:val="left" w:pos="6720"/>
          <w:tab w:val="left" w:pos="7279"/>
        </w:tabs>
        <w:spacing w:before="194"/>
        <w:ind w:left="6159"/>
        <w:rPr>
          <w:highlight w:val="none"/>
        </w:rPr>
      </w:pPr>
      <w:r>
        <w:rPr>
          <w:rFonts w:hint="eastAsia"/>
          <w:highlight w:val="none"/>
        </w:rPr>
        <w:t>年</w:t>
      </w:r>
      <w:r>
        <w:rPr>
          <w:rFonts w:hint="eastAsia"/>
          <w:highlight w:val="none"/>
        </w:rPr>
        <w:tab/>
      </w:r>
      <w:r>
        <w:rPr>
          <w:rFonts w:hint="eastAsia"/>
          <w:highlight w:val="none"/>
        </w:rPr>
        <w:t>月</w:t>
      </w:r>
      <w:r>
        <w:rPr>
          <w:rFonts w:hint="eastAsia"/>
          <w:highlight w:val="none"/>
        </w:rPr>
        <w:tab/>
      </w:r>
      <w:r>
        <w:rPr>
          <w:rFonts w:hint="eastAsia"/>
          <w:highlight w:val="none"/>
        </w:rPr>
        <w:t>日</w:t>
      </w:r>
    </w:p>
    <w:p>
      <w:pPr>
        <w:rPr>
          <w:highlight w:val="none"/>
        </w:rPr>
        <w:sectPr>
          <w:headerReference r:id="rId11" w:type="default"/>
          <w:pgSz w:w="11910" w:h="16840"/>
          <w:pgMar w:top="1240" w:right="920" w:bottom="1040" w:left="1180" w:header="880" w:footer="852" w:gutter="0"/>
          <w:cols w:space="720" w:num="1"/>
        </w:sectPr>
      </w:pPr>
    </w:p>
    <w:p>
      <w:pPr>
        <w:pStyle w:val="13"/>
        <w:spacing w:before="11"/>
        <w:rPr>
          <w:sz w:val="3"/>
          <w:highlight w:val="none"/>
        </w:rPr>
      </w:pPr>
    </w:p>
    <w:p>
      <w:pPr>
        <w:pStyle w:val="13"/>
        <w:spacing w:line="57" w:lineRule="exact"/>
        <w:ind w:left="238"/>
        <w:rPr>
          <w:sz w:val="5"/>
          <w:highlight w:val="none"/>
        </w:rPr>
      </w:pPr>
    </w:p>
    <w:p>
      <w:pPr>
        <w:spacing w:before="5"/>
        <w:ind w:left="49" w:right="136"/>
        <w:jc w:val="center"/>
        <w:rPr>
          <w:b/>
          <w:sz w:val="28"/>
          <w:szCs w:val="21"/>
          <w:highlight w:val="none"/>
        </w:rPr>
      </w:pPr>
      <w:r>
        <w:rPr>
          <w:rFonts w:hint="eastAsia"/>
          <w:b/>
          <w:sz w:val="28"/>
          <w:szCs w:val="21"/>
          <w:highlight w:val="none"/>
        </w:rPr>
        <w:t>资格证明文件目录</w:t>
      </w:r>
    </w:p>
    <w:p>
      <w:pPr>
        <w:pStyle w:val="13"/>
        <w:spacing w:before="1"/>
        <w:rPr>
          <w:b/>
          <w:sz w:val="28"/>
          <w:szCs w:val="20"/>
          <w:highlight w:val="none"/>
        </w:rPr>
      </w:pPr>
    </w:p>
    <w:p>
      <w:pPr>
        <w:spacing w:line="440" w:lineRule="exact"/>
        <w:ind w:firstLine="315" w:firstLineChars="150"/>
        <w:outlineLvl w:val="1"/>
        <w:rPr>
          <w:sz w:val="21"/>
          <w:szCs w:val="21"/>
          <w:highlight w:val="none"/>
        </w:rPr>
      </w:pPr>
      <w:r>
        <w:rPr>
          <w:rFonts w:hint="eastAsia"/>
          <w:sz w:val="21"/>
          <w:szCs w:val="21"/>
          <w:highlight w:val="none"/>
        </w:rPr>
        <w:t>（1）有效的《营业执照》、《税务登记证》、《社保登记证》（或相关社保证明材料）或新版三证及以上合一的《营业执照》；</w:t>
      </w:r>
    </w:p>
    <w:p>
      <w:pPr>
        <w:spacing w:line="440" w:lineRule="exact"/>
        <w:ind w:firstLine="315" w:firstLineChars="150"/>
        <w:outlineLvl w:val="1"/>
        <w:rPr>
          <w:sz w:val="21"/>
          <w:szCs w:val="21"/>
          <w:highlight w:val="none"/>
        </w:rPr>
      </w:pPr>
      <w:r>
        <w:rPr>
          <w:rFonts w:hint="eastAsia"/>
          <w:sz w:val="21"/>
          <w:szCs w:val="21"/>
          <w:highlight w:val="none"/>
        </w:rPr>
        <w:t>（2）法定代表人授权委托书 、法人身份证复印件、受委托人身份证；</w:t>
      </w:r>
    </w:p>
    <w:p>
      <w:pPr>
        <w:spacing w:line="440" w:lineRule="exact"/>
        <w:ind w:firstLine="315" w:firstLineChars="150"/>
        <w:outlineLvl w:val="1"/>
        <w:rPr>
          <w:sz w:val="21"/>
          <w:szCs w:val="21"/>
          <w:highlight w:val="none"/>
        </w:rPr>
      </w:pPr>
      <w:r>
        <w:rPr>
          <w:rFonts w:hint="eastAsia"/>
          <w:sz w:val="21"/>
          <w:szCs w:val="21"/>
          <w:highlight w:val="none"/>
        </w:rPr>
        <w:t>（3）具备履行合同所必需的设备和专业技术能力的证明（资质）材料原件扫描件；</w:t>
      </w:r>
    </w:p>
    <w:p>
      <w:pPr>
        <w:spacing w:line="440" w:lineRule="exact"/>
        <w:ind w:firstLine="315" w:firstLineChars="150"/>
        <w:outlineLvl w:val="1"/>
        <w:rPr>
          <w:sz w:val="21"/>
          <w:szCs w:val="21"/>
          <w:highlight w:val="none"/>
        </w:rPr>
      </w:pPr>
      <w:r>
        <w:rPr>
          <w:rFonts w:hint="eastAsia"/>
          <w:sz w:val="21"/>
          <w:szCs w:val="21"/>
          <w:highlight w:val="none"/>
        </w:rPr>
        <w:t>（4）参加政府采购活动前3年内在经营活动中没有重大违法记录的书面声明原件扫描件；</w:t>
      </w:r>
    </w:p>
    <w:p>
      <w:pPr>
        <w:spacing w:line="440" w:lineRule="exact"/>
        <w:ind w:firstLine="315" w:firstLineChars="150"/>
        <w:outlineLvl w:val="1"/>
        <w:rPr>
          <w:sz w:val="21"/>
          <w:szCs w:val="21"/>
          <w:highlight w:val="none"/>
        </w:rPr>
      </w:pPr>
      <w:r>
        <w:rPr>
          <w:rFonts w:hint="eastAsia"/>
          <w:sz w:val="21"/>
          <w:szCs w:val="21"/>
          <w:highlight w:val="none"/>
        </w:rPr>
        <w:t>（5）无围标串标挂靠等负面行为承诺书；</w:t>
      </w:r>
    </w:p>
    <w:p>
      <w:pPr>
        <w:spacing w:line="440" w:lineRule="exact"/>
        <w:ind w:firstLine="315" w:firstLineChars="150"/>
        <w:outlineLvl w:val="1"/>
        <w:rPr>
          <w:sz w:val="21"/>
          <w:szCs w:val="21"/>
          <w:highlight w:val="none"/>
        </w:rPr>
      </w:pPr>
      <w:r>
        <w:rPr>
          <w:rFonts w:hint="eastAsia"/>
          <w:sz w:val="21"/>
          <w:szCs w:val="21"/>
          <w:highlight w:val="none"/>
        </w:rPr>
        <w:t>（6）信用记录网络查询页面截图（信用中国与中国政府采购网）任意一处即可；</w:t>
      </w:r>
    </w:p>
    <w:p>
      <w:pPr>
        <w:spacing w:line="440" w:lineRule="exact"/>
        <w:ind w:firstLine="315" w:firstLineChars="150"/>
        <w:outlineLvl w:val="1"/>
        <w:rPr>
          <w:sz w:val="21"/>
          <w:szCs w:val="21"/>
          <w:highlight w:val="none"/>
        </w:rPr>
      </w:pPr>
      <w:r>
        <w:rPr>
          <w:rFonts w:hint="eastAsia"/>
          <w:sz w:val="21"/>
          <w:szCs w:val="21"/>
          <w:highlight w:val="none"/>
        </w:rPr>
        <w:t>根据《关于在政府采购活动中查询及使用信用记录有关问题的通知》（财库[2016]125 号）要求，</w:t>
      </w:r>
    </w:p>
    <w:p>
      <w:pPr>
        <w:spacing w:line="440" w:lineRule="exact"/>
        <w:ind w:firstLine="315" w:firstLineChars="150"/>
        <w:outlineLvl w:val="1"/>
        <w:rPr>
          <w:sz w:val="21"/>
          <w:szCs w:val="21"/>
          <w:highlight w:val="none"/>
        </w:rPr>
      </w:pPr>
      <w:r>
        <w:rPr>
          <w:rFonts w:hint="eastAsia"/>
          <w:sz w:val="21"/>
          <w:szCs w:val="21"/>
          <w:highlight w:val="none"/>
        </w:rPr>
        <w:t>招标人对投标人信用记录进行查询并甄别。</w:t>
      </w:r>
    </w:p>
    <w:p>
      <w:pPr>
        <w:spacing w:line="440" w:lineRule="exact"/>
        <w:ind w:firstLine="735" w:firstLineChars="350"/>
        <w:outlineLvl w:val="1"/>
        <w:rPr>
          <w:sz w:val="21"/>
          <w:szCs w:val="21"/>
          <w:highlight w:val="none"/>
        </w:rPr>
      </w:pPr>
      <w:r>
        <w:rPr>
          <w:rFonts w:hint="eastAsia"/>
          <w:sz w:val="21"/>
          <w:szCs w:val="21"/>
          <w:highlight w:val="none"/>
        </w:rPr>
        <w:t>(1)信用信息查询的截止时点：开标当日进行查询；</w:t>
      </w:r>
    </w:p>
    <w:p>
      <w:pPr>
        <w:spacing w:line="440" w:lineRule="exact"/>
        <w:ind w:firstLine="735" w:firstLineChars="350"/>
        <w:outlineLvl w:val="1"/>
        <w:rPr>
          <w:sz w:val="21"/>
          <w:szCs w:val="21"/>
          <w:highlight w:val="none"/>
        </w:rPr>
      </w:pPr>
      <w:r>
        <w:rPr>
          <w:rFonts w:hint="eastAsia"/>
          <w:sz w:val="21"/>
          <w:szCs w:val="21"/>
          <w:highlight w:val="none"/>
        </w:rPr>
        <w:t>(2)查询渠道：</w:t>
      </w:r>
    </w:p>
    <w:p>
      <w:pPr>
        <w:spacing w:line="440" w:lineRule="exact"/>
        <w:ind w:firstLine="735" w:firstLineChars="350"/>
        <w:outlineLvl w:val="1"/>
        <w:rPr>
          <w:sz w:val="21"/>
          <w:szCs w:val="21"/>
          <w:highlight w:val="none"/>
        </w:rPr>
      </w:pPr>
      <w:r>
        <w:rPr>
          <w:rFonts w:hint="eastAsia"/>
          <w:sz w:val="21"/>
          <w:szCs w:val="21"/>
          <w:highlight w:val="none"/>
        </w:rPr>
        <w:t>信用中国（www.creditchina.gov.cn）；</w:t>
      </w:r>
    </w:p>
    <w:p>
      <w:pPr>
        <w:spacing w:line="440" w:lineRule="exact"/>
        <w:ind w:firstLine="735" w:firstLineChars="350"/>
        <w:outlineLvl w:val="1"/>
        <w:rPr>
          <w:sz w:val="21"/>
          <w:szCs w:val="21"/>
          <w:highlight w:val="none"/>
        </w:rPr>
      </w:pPr>
      <w:r>
        <w:rPr>
          <w:rFonts w:hint="eastAsia"/>
          <w:sz w:val="21"/>
          <w:szCs w:val="21"/>
          <w:highlight w:val="none"/>
        </w:rPr>
        <w:t>中国政府采购网（www.ccgp.gov.cn）；</w:t>
      </w:r>
    </w:p>
    <w:p>
      <w:pPr>
        <w:tabs>
          <w:tab w:val="left" w:pos="0"/>
        </w:tabs>
        <w:spacing w:line="440" w:lineRule="exact"/>
        <w:ind w:left="209" w:leftChars="95" w:firstLine="525" w:firstLineChars="250"/>
        <w:outlineLvl w:val="1"/>
        <w:rPr>
          <w:sz w:val="21"/>
          <w:szCs w:val="21"/>
          <w:highlight w:val="none"/>
        </w:rPr>
      </w:pPr>
      <w:r>
        <w:rPr>
          <w:rFonts w:hint="eastAsia"/>
          <w:sz w:val="21"/>
          <w:szCs w:val="21"/>
          <w:highlight w:val="none"/>
        </w:rPr>
        <w:t>(3)信用信息查询记录和证据留存具体方式：招标人和监督人员将查询网页打印、签字与其他采购文件一并保存；</w:t>
      </w:r>
    </w:p>
    <w:p>
      <w:pPr>
        <w:spacing w:line="440" w:lineRule="exact"/>
        <w:ind w:firstLine="630" w:firstLineChars="300"/>
        <w:outlineLvl w:val="1"/>
        <w:rPr>
          <w:sz w:val="21"/>
          <w:szCs w:val="21"/>
          <w:highlight w:val="none"/>
        </w:rPr>
      </w:pPr>
      <w:r>
        <w:rPr>
          <w:rFonts w:hint="eastAsia"/>
          <w:sz w:val="21"/>
          <w:szCs w:val="21"/>
          <w:highlight w:val="none"/>
        </w:rPr>
        <w:t>(4)信用信息的使用规则：投标人存在不良信用记录的，其投标将被作为无效投标。</w:t>
      </w:r>
    </w:p>
    <w:p>
      <w:pPr>
        <w:spacing w:line="440" w:lineRule="exact"/>
        <w:ind w:left="209" w:leftChars="95" w:firstLine="525" w:firstLineChars="250"/>
        <w:outlineLvl w:val="1"/>
        <w:rPr>
          <w:sz w:val="21"/>
          <w:szCs w:val="21"/>
          <w:highlight w:val="none"/>
        </w:rPr>
      </w:pPr>
      <w:r>
        <w:rPr>
          <w:rFonts w:hint="eastAsia"/>
          <w:sz w:val="21"/>
          <w:szCs w:val="21"/>
          <w:highlight w:val="none"/>
        </w:rPr>
        <w:t>不良信用记录指：被列入失信被执行人、重大税收违法案件当事人名单、政府采购严重违法失信行为记录名单或浙江政府采购网曝光台中尚在行政处罚期内的。</w:t>
      </w:r>
    </w:p>
    <w:p>
      <w:pPr>
        <w:pStyle w:val="13"/>
        <w:spacing w:before="11"/>
        <w:rPr>
          <w:sz w:val="3"/>
          <w:highlight w:val="none"/>
        </w:rPr>
      </w:pPr>
    </w:p>
    <w:p>
      <w:pPr>
        <w:pStyle w:val="13"/>
        <w:spacing w:line="57" w:lineRule="exact"/>
        <w:ind w:left="238"/>
        <w:rPr>
          <w:sz w:val="5"/>
          <w:highlight w:val="none"/>
        </w:rPr>
      </w:pPr>
    </w:p>
    <w:p>
      <w:pPr>
        <w:pStyle w:val="6"/>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
      <w:pPr>
        <w:pStyle w:val="6"/>
        <w:rPr>
          <w:highlight w:val="none"/>
        </w:rPr>
      </w:pPr>
      <w:r>
        <w:rPr>
          <w:rFonts w:hint="eastAsia"/>
          <w:highlight w:val="none"/>
        </w:rPr>
        <w:t>一、法定代表人身份证明书</w:t>
      </w:r>
    </w:p>
    <w:p>
      <w:pPr>
        <w:pStyle w:val="13"/>
        <w:rPr>
          <w:b/>
          <w:sz w:val="20"/>
          <w:highlight w:val="none"/>
        </w:rPr>
      </w:pPr>
    </w:p>
    <w:p>
      <w:pPr>
        <w:pStyle w:val="13"/>
        <w:rPr>
          <w:b/>
          <w:sz w:val="20"/>
          <w:highlight w:val="none"/>
        </w:rPr>
      </w:pPr>
    </w:p>
    <w:p>
      <w:pPr>
        <w:pStyle w:val="13"/>
        <w:rPr>
          <w:b/>
          <w:sz w:val="17"/>
          <w:highlight w:val="none"/>
        </w:rPr>
      </w:pPr>
    </w:p>
    <w:p>
      <w:pPr>
        <w:pStyle w:val="13"/>
        <w:spacing w:before="70" w:line="607" w:lineRule="auto"/>
        <w:ind w:left="1287" w:right="7467"/>
        <w:jc w:val="both"/>
        <w:rPr>
          <w:highlight w:val="none"/>
        </w:rPr>
      </w:pPr>
      <w:r>
        <w:rPr>
          <w:rFonts w:hint="eastAsia"/>
          <w:spacing w:val="-3"/>
          <w:highlight w:val="none"/>
        </w:rPr>
        <w:t xml:space="preserve">单位名称： 单位性质： </w:t>
      </w:r>
      <w:r>
        <w:rPr>
          <w:rFonts w:hint="eastAsia"/>
          <w:spacing w:val="14"/>
          <w:highlight w:val="none"/>
        </w:rPr>
        <w:t>地 址 ：</w:t>
      </w:r>
    </w:p>
    <w:p>
      <w:pPr>
        <w:pStyle w:val="13"/>
        <w:tabs>
          <w:tab w:val="left" w:pos="4123"/>
          <w:tab w:val="left" w:pos="5803"/>
          <w:tab w:val="left" w:pos="7378"/>
        </w:tabs>
        <w:spacing w:line="607" w:lineRule="auto"/>
        <w:ind w:left="1287" w:right="2216"/>
        <w:rPr>
          <w:highlight w:val="none"/>
        </w:rPr>
      </w:pPr>
      <w:r>
        <w:rPr>
          <w:rFonts w:hint="eastAsia"/>
          <w:highlight w:val="none"/>
        </w:rPr>
        <w:t>成立时间：</w:t>
      </w:r>
      <w:r>
        <w:rPr>
          <w:rFonts w:hint="eastAsia"/>
          <w:highlight w:val="none"/>
          <w:u w:val="single"/>
        </w:rPr>
        <w:tab/>
      </w:r>
      <w:r>
        <w:rPr>
          <w:rFonts w:hint="eastAsia"/>
          <w:highlight w:val="none"/>
        </w:rPr>
        <w:t>年</w:t>
      </w:r>
      <w:r>
        <w:rPr>
          <w:rFonts w:hint="eastAsia"/>
          <w:highlight w:val="none"/>
          <w:u w:val="single"/>
        </w:rPr>
        <w:tab/>
      </w:r>
      <w:r>
        <w:rPr>
          <w:rFonts w:hint="eastAsia"/>
          <w:highlight w:val="none"/>
        </w:rPr>
        <w:t>月</w:t>
      </w:r>
      <w:r>
        <w:rPr>
          <w:rFonts w:hint="eastAsia"/>
          <w:highlight w:val="none"/>
          <w:u w:val="single"/>
        </w:rPr>
        <w:tab/>
      </w:r>
      <w:r>
        <w:rPr>
          <w:rFonts w:hint="eastAsia"/>
          <w:spacing w:val="-17"/>
          <w:highlight w:val="none"/>
        </w:rPr>
        <w:t>日</w:t>
      </w:r>
      <w:r>
        <w:rPr>
          <w:rFonts w:hint="eastAsia"/>
          <w:highlight w:val="none"/>
        </w:rPr>
        <w:t>经营期限：</w:t>
      </w:r>
    </w:p>
    <w:p>
      <w:pPr>
        <w:pStyle w:val="13"/>
        <w:tabs>
          <w:tab w:val="left" w:pos="1918"/>
          <w:tab w:val="left" w:pos="3543"/>
          <w:tab w:val="left" w:pos="4803"/>
          <w:tab w:val="left" w:pos="6063"/>
        </w:tabs>
        <w:spacing w:before="2"/>
        <w:ind w:left="1287"/>
        <w:rPr>
          <w:highlight w:val="none"/>
          <w:u w:val="single"/>
        </w:rPr>
      </w:pPr>
      <w:r>
        <w:rPr>
          <w:rFonts w:hint="eastAsia"/>
          <w:highlight w:val="none"/>
        </w:rPr>
        <w:t>姓</w:t>
      </w:r>
      <w:r>
        <w:rPr>
          <w:rFonts w:hint="eastAsia"/>
          <w:highlight w:val="none"/>
        </w:rPr>
        <w:tab/>
      </w:r>
      <w:r>
        <w:rPr>
          <w:rFonts w:hint="eastAsia"/>
          <w:highlight w:val="none"/>
        </w:rPr>
        <w:t>名：</w:t>
      </w:r>
      <w:r>
        <w:rPr>
          <w:rFonts w:hint="eastAsia"/>
          <w:highlight w:val="none"/>
          <w:u w:val="single"/>
        </w:rPr>
        <w:tab/>
      </w:r>
      <w:r>
        <w:rPr>
          <w:rFonts w:hint="eastAsia"/>
          <w:highlight w:val="none"/>
        </w:rPr>
        <w:t>性别：</w:t>
      </w:r>
      <w:r>
        <w:rPr>
          <w:rFonts w:hint="eastAsia"/>
          <w:highlight w:val="none"/>
          <w:u w:val="single"/>
        </w:rPr>
        <w:tab/>
      </w:r>
      <w:r>
        <w:rPr>
          <w:rFonts w:hint="eastAsia"/>
          <w:highlight w:val="none"/>
        </w:rPr>
        <w:t>年龄：</w:t>
      </w:r>
      <w:r>
        <w:rPr>
          <w:rFonts w:hint="eastAsia"/>
          <w:highlight w:val="none"/>
          <w:u w:val="single"/>
        </w:rPr>
        <w:tab/>
      </w:r>
    </w:p>
    <w:p>
      <w:pPr>
        <w:pStyle w:val="13"/>
        <w:tabs>
          <w:tab w:val="left" w:pos="1918"/>
          <w:tab w:val="left" w:pos="3543"/>
          <w:tab w:val="left" w:pos="4803"/>
          <w:tab w:val="left" w:pos="6063"/>
        </w:tabs>
        <w:spacing w:before="2"/>
        <w:ind w:left="1287"/>
        <w:rPr>
          <w:highlight w:val="none"/>
        </w:rPr>
      </w:pPr>
    </w:p>
    <w:p>
      <w:pPr>
        <w:pStyle w:val="13"/>
        <w:tabs>
          <w:tab w:val="left" w:pos="1918"/>
          <w:tab w:val="left" w:pos="3543"/>
          <w:tab w:val="left" w:pos="4803"/>
          <w:tab w:val="left" w:pos="6063"/>
        </w:tabs>
        <w:spacing w:before="2"/>
        <w:ind w:left="1287"/>
        <w:rPr>
          <w:highlight w:val="none"/>
        </w:rPr>
      </w:pPr>
      <w:r>
        <w:rPr>
          <w:rFonts w:hint="eastAsia"/>
          <w:highlight w:val="none"/>
        </w:rPr>
        <w:t>职务：系</w:t>
      </w:r>
      <w:r>
        <w:rPr>
          <w:rFonts w:hint="eastAsia"/>
          <w:highlight w:val="none"/>
          <w:u w:val="single"/>
        </w:rPr>
        <w:tab/>
      </w:r>
      <w:r>
        <w:rPr>
          <w:rFonts w:hint="eastAsia"/>
          <w:highlight w:val="none"/>
          <w:u w:val="single"/>
        </w:rPr>
        <w:t>（投标人名称）</w:t>
      </w:r>
      <w:r>
        <w:rPr>
          <w:rFonts w:hint="eastAsia"/>
          <w:highlight w:val="none"/>
        </w:rPr>
        <w:t>的法定代表人。</w:t>
      </w:r>
    </w:p>
    <w:p>
      <w:pPr>
        <w:pStyle w:val="13"/>
        <w:rPr>
          <w:highlight w:val="none"/>
        </w:rPr>
      </w:pPr>
    </w:p>
    <w:p>
      <w:pPr>
        <w:pStyle w:val="13"/>
        <w:rPr>
          <w:highlight w:val="none"/>
        </w:rPr>
      </w:pPr>
    </w:p>
    <w:p>
      <w:pPr>
        <w:pStyle w:val="13"/>
        <w:rPr>
          <w:highlight w:val="none"/>
        </w:rPr>
      </w:pPr>
    </w:p>
    <w:p>
      <w:pPr>
        <w:pStyle w:val="13"/>
        <w:spacing w:before="2"/>
        <w:rPr>
          <w:highlight w:val="none"/>
        </w:rPr>
      </w:pPr>
    </w:p>
    <w:p>
      <w:pPr>
        <w:pStyle w:val="13"/>
        <w:ind w:left="1392"/>
        <w:rPr>
          <w:highlight w:val="none"/>
        </w:rPr>
      </w:pPr>
      <w:r>
        <w:rPr>
          <w:rFonts w:hint="eastAsia"/>
          <w:highlight w:val="none"/>
        </w:rPr>
        <w:t>特此证明。</w:t>
      </w:r>
    </w:p>
    <w:p>
      <w:pPr>
        <w:pStyle w:val="13"/>
        <w:rPr>
          <w:highlight w:val="none"/>
        </w:rPr>
      </w:pPr>
    </w:p>
    <w:p>
      <w:pPr>
        <w:pStyle w:val="13"/>
        <w:tabs>
          <w:tab w:val="left" w:pos="6747"/>
        </w:tabs>
        <w:spacing w:before="157"/>
        <w:ind w:left="3912"/>
        <w:rPr>
          <w:highlight w:val="none"/>
        </w:rPr>
      </w:pPr>
      <w:r>
        <w:rPr>
          <w:rFonts w:hint="eastAsia"/>
          <w:highlight w:val="none"/>
        </w:rPr>
        <w:t>投标人：</w:t>
      </w:r>
      <w:r>
        <w:rPr>
          <w:rFonts w:hint="eastAsia"/>
          <w:highlight w:val="none"/>
          <w:u w:val="single"/>
        </w:rPr>
        <w:tab/>
      </w:r>
      <w:r>
        <w:rPr>
          <w:rFonts w:hint="eastAsia"/>
          <w:highlight w:val="none"/>
          <w:u w:val="single"/>
        </w:rPr>
        <w:t>（盖章）</w:t>
      </w:r>
    </w:p>
    <w:p>
      <w:pPr>
        <w:pStyle w:val="13"/>
        <w:rPr>
          <w:highlight w:val="none"/>
        </w:rPr>
      </w:pPr>
    </w:p>
    <w:p>
      <w:pPr>
        <w:pStyle w:val="13"/>
        <w:spacing w:before="3"/>
        <w:rPr>
          <w:highlight w:val="none"/>
        </w:rPr>
      </w:pPr>
    </w:p>
    <w:p>
      <w:pPr>
        <w:pStyle w:val="13"/>
        <w:tabs>
          <w:tab w:val="left" w:pos="4332"/>
          <w:tab w:val="left" w:pos="5278"/>
          <w:tab w:val="left" w:pos="5907"/>
          <w:tab w:val="left" w:pos="6538"/>
        </w:tabs>
        <w:spacing w:before="70" w:line="528" w:lineRule="auto"/>
        <w:ind w:left="3912" w:right="1674" w:hanging="32"/>
        <w:rPr>
          <w:highlight w:val="none"/>
        </w:rPr>
      </w:pPr>
      <w:r>
        <w:rPr>
          <w:rFonts w:hint="eastAsia"/>
          <w:highlight w:val="none"/>
        </w:rPr>
        <w:t>法定代表人（签字或盖章）：＿＿＿＿＿</w:t>
      </w:r>
    </w:p>
    <w:p>
      <w:pPr>
        <w:pStyle w:val="13"/>
        <w:tabs>
          <w:tab w:val="left" w:pos="4332"/>
          <w:tab w:val="left" w:pos="5278"/>
          <w:tab w:val="left" w:pos="5907"/>
          <w:tab w:val="left" w:pos="6538"/>
        </w:tabs>
        <w:spacing w:before="70" w:line="528" w:lineRule="auto"/>
        <w:ind w:left="3912" w:right="1674" w:hanging="32"/>
        <w:rPr>
          <w:highlight w:val="none"/>
        </w:rPr>
      </w:pPr>
      <w:r>
        <w:rPr>
          <w:rFonts w:hint="eastAsia"/>
          <w:highlight w:val="none"/>
        </w:rPr>
        <w:t xml:space="preserve"> 日</w:t>
      </w:r>
      <w:r>
        <w:rPr>
          <w:rFonts w:hint="eastAsia"/>
          <w:highlight w:val="none"/>
        </w:rPr>
        <w:tab/>
      </w:r>
      <w:r>
        <w:rPr>
          <w:rFonts w:hint="eastAsia"/>
          <w:highlight w:val="none"/>
        </w:rPr>
        <w:t>期：</w:t>
      </w:r>
      <w:r>
        <w:rPr>
          <w:rFonts w:hint="eastAsia"/>
          <w:highlight w:val="none"/>
          <w:u w:val="single"/>
        </w:rPr>
        <w:tab/>
      </w:r>
      <w:r>
        <w:rPr>
          <w:rFonts w:hint="eastAsia"/>
          <w:highlight w:val="none"/>
        </w:rPr>
        <w:t>年</w:t>
      </w:r>
      <w:r>
        <w:rPr>
          <w:rFonts w:hint="eastAsia"/>
          <w:highlight w:val="none"/>
          <w:u w:val="single"/>
        </w:rPr>
        <w:tab/>
      </w:r>
      <w:r>
        <w:rPr>
          <w:rFonts w:hint="eastAsia"/>
          <w:highlight w:val="none"/>
        </w:rPr>
        <w:t>月</w:t>
      </w:r>
      <w:r>
        <w:rPr>
          <w:rFonts w:hint="eastAsia"/>
          <w:highlight w:val="none"/>
          <w:u w:val="single"/>
        </w:rPr>
        <w:tab/>
      </w:r>
      <w:r>
        <w:rPr>
          <w:rFonts w:hint="eastAsia"/>
          <w:highlight w:val="none"/>
        </w:rPr>
        <w:t>日</w:t>
      </w:r>
    </w:p>
    <w:p>
      <w:pPr>
        <w:spacing w:line="528" w:lineRule="auto"/>
        <w:rPr>
          <w:sz w:val="21"/>
          <w:szCs w:val="21"/>
          <w:highlight w:val="none"/>
        </w:rPr>
        <w:sectPr>
          <w:footerReference r:id="rId12" w:type="default"/>
          <w:pgSz w:w="11910" w:h="16840"/>
          <w:pgMar w:top="1240" w:right="920" w:bottom="1040" w:left="1180" w:header="880" w:footer="852" w:gutter="0"/>
          <w:cols w:space="720" w:num="1"/>
        </w:sectPr>
      </w:pPr>
    </w:p>
    <w:p>
      <w:pPr>
        <w:pStyle w:val="13"/>
        <w:spacing w:before="11"/>
        <w:rPr>
          <w:sz w:val="3"/>
          <w:highlight w:val="none"/>
        </w:rPr>
      </w:pPr>
    </w:p>
    <w:p>
      <w:pPr>
        <w:pStyle w:val="13"/>
        <w:spacing w:line="57" w:lineRule="exact"/>
        <w:ind w:left="238"/>
        <w:rPr>
          <w:sz w:val="5"/>
          <w:highlight w:val="none"/>
        </w:rPr>
      </w:pPr>
    </w:p>
    <w:p>
      <w:pPr>
        <w:pStyle w:val="13"/>
        <w:rPr>
          <w:sz w:val="8"/>
          <w:highlight w:val="none"/>
        </w:rPr>
      </w:pPr>
    </w:p>
    <w:p>
      <w:pPr>
        <w:pStyle w:val="6"/>
        <w:spacing w:before="62"/>
        <w:rPr>
          <w:highlight w:val="none"/>
        </w:rPr>
      </w:pPr>
    </w:p>
    <w:p>
      <w:pPr>
        <w:pStyle w:val="6"/>
        <w:spacing w:before="62"/>
        <w:rPr>
          <w:highlight w:val="none"/>
        </w:rPr>
      </w:pPr>
      <w:r>
        <w:rPr>
          <w:rFonts w:hint="eastAsia"/>
          <w:highlight w:val="none"/>
        </w:rPr>
        <w:t>法定代表人授权书</w:t>
      </w:r>
    </w:p>
    <w:p>
      <w:pPr>
        <w:pStyle w:val="13"/>
        <w:rPr>
          <w:b/>
          <w:sz w:val="28"/>
          <w:highlight w:val="none"/>
        </w:rPr>
      </w:pPr>
    </w:p>
    <w:p>
      <w:pPr>
        <w:pStyle w:val="13"/>
        <w:rPr>
          <w:b/>
          <w:sz w:val="24"/>
          <w:highlight w:val="none"/>
        </w:rPr>
      </w:pPr>
    </w:p>
    <w:p>
      <w:pPr>
        <w:pStyle w:val="13"/>
        <w:spacing w:line="364" w:lineRule="auto"/>
        <w:ind w:left="238" w:right="380" w:firstLine="525"/>
        <w:rPr>
          <w:highlight w:val="none"/>
        </w:rPr>
      </w:pPr>
      <w:r>
        <w:rPr>
          <w:rFonts w:hint="eastAsia"/>
          <w:highlight w:val="none"/>
        </w:rPr>
        <w:t>本授权书声明：注册于＿＿＿＿＿＿＿＿的＿＿＿＿＿＿公司在下面签字的＿＿＿＿＿＿＿＿ (法定代表人姓名、职务)代表本公司授权＿＿＿＿＿＿＿＿（单位名称）在下面签字的＿＿＿＿＿＿＿＿＿＿ （</w:t>
      </w:r>
      <w:r>
        <w:rPr>
          <w:rFonts w:hint="eastAsia"/>
          <w:spacing w:val="-3"/>
          <w:highlight w:val="none"/>
        </w:rPr>
        <w:t>被授权人的姓名、职务</w:t>
      </w:r>
      <w:r>
        <w:rPr>
          <w:rFonts w:hint="eastAsia"/>
          <w:spacing w:val="-22"/>
          <w:highlight w:val="none"/>
        </w:rPr>
        <w:t>）</w:t>
      </w:r>
      <w:r>
        <w:rPr>
          <w:rFonts w:hint="eastAsia"/>
          <w:spacing w:val="-2"/>
          <w:highlight w:val="none"/>
        </w:rPr>
        <w:t>为本公司的唯一合法代理人，就</w:t>
      </w:r>
      <w:r>
        <w:rPr>
          <w:rFonts w:hint="eastAsia"/>
          <w:highlight w:val="none"/>
        </w:rPr>
        <w:t>＿＿＿＿＿＿＿＿</w:t>
      </w:r>
      <w:r>
        <w:rPr>
          <w:rFonts w:hint="eastAsia"/>
          <w:spacing w:val="-10"/>
          <w:highlight w:val="none"/>
        </w:rPr>
        <w:t>项目</w:t>
      </w:r>
      <w:r>
        <w:rPr>
          <w:rFonts w:hint="eastAsia"/>
          <w:highlight w:val="none"/>
        </w:rPr>
        <w:t>（招标项目名称、项目编号）的投标及合同的执行完成和保修，以本公司名义处理一切与之有关的事务。</w:t>
      </w:r>
    </w:p>
    <w:p>
      <w:pPr>
        <w:pStyle w:val="9"/>
        <w:spacing w:line="267" w:lineRule="exact"/>
        <w:ind w:left="238"/>
        <w:rPr>
          <w:highlight w:val="none"/>
        </w:rPr>
      </w:pPr>
      <w:r>
        <w:rPr>
          <w:rFonts w:hint="eastAsia"/>
          <w:highlight w:val="none"/>
        </w:rPr>
        <w:t>被授权人身份证复印件：</w:t>
      </w:r>
    </w:p>
    <w:p>
      <w:pPr>
        <w:pStyle w:val="13"/>
        <w:rPr>
          <w:b/>
          <w:sz w:val="20"/>
          <w:highlight w:val="none"/>
        </w:rPr>
      </w:pPr>
    </w:p>
    <w:p>
      <w:pPr>
        <w:pStyle w:val="13"/>
        <w:rPr>
          <w:b/>
          <w:sz w:val="20"/>
          <w:highlight w:val="none"/>
        </w:rPr>
      </w:pPr>
    </w:p>
    <w:p>
      <w:pPr>
        <w:pStyle w:val="13"/>
        <w:rPr>
          <w:b/>
          <w:sz w:val="20"/>
          <w:highlight w:val="none"/>
        </w:rPr>
      </w:pPr>
    </w:p>
    <w:p>
      <w:pPr>
        <w:pStyle w:val="13"/>
        <w:rPr>
          <w:b/>
          <w:sz w:val="20"/>
          <w:highlight w:val="none"/>
        </w:rPr>
      </w:pPr>
    </w:p>
    <w:p>
      <w:pPr>
        <w:pStyle w:val="13"/>
        <w:rPr>
          <w:b/>
          <w:sz w:val="20"/>
          <w:highlight w:val="none"/>
        </w:rPr>
      </w:pPr>
    </w:p>
    <w:p>
      <w:pPr>
        <w:pStyle w:val="13"/>
        <w:rPr>
          <w:b/>
          <w:sz w:val="20"/>
          <w:highlight w:val="none"/>
        </w:rPr>
      </w:pPr>
    </w:p>
    <w:p>
      <w:pPr>
        <w:pStyle w:val="13"/>
        <w:rPr>
          <w:b/>
          <w:sz w:val="20"/>
          <w:highlight w:val="none"/>
        </w:rPr>
      </w:pPr>
    </w:p>
    <w:p>
      <w:pPr>
        <w:pStyle w:val="13"/>
        <w:rPr>
          <w:b/>
          <w:sz w:val="20"/>
          <w:highlight w:val="none"/>
        </w:rPr>
      </w:pPr>
    </w:p>
    <w:p>
      <w:pPr>
        <w:pStyle w:val="13"/>
        <w:rPr>
          <w:b/>
          <w:sz w:val="20"/>
          <w:highlight w:val="none"/>
        </w:rPr>
      </w:pPr>
    </w:p>
    <w:p>
      <w:pPr>
        <w:pStyle w:val="13"/>
        <w:spacing w:before="2"/>
        <w:rPr>
          <w:b/>
          <w:sz w:val="22"/>
          <w:highlight w:val="none"/>
        </w:rPr>
      </w:pPr>
    </w:p>
    <w:p>
      <w:pPr>
        <w:pStyle w:val="9"/>
        <w:ind w:left="238"/>
        <w:rPr>
          <w:highlight w:val="none"/>
        </w:rPr>
      </w:pPr>
      <w:r>
        <w:rPr>
          <w:rFonts w:hint="eastAsia"/>
          <w:highlight w:val="none"/>
        </w:rPr>
        <w:t>授权人身份证复印件：</w:t>
      </w:r>
    </w:p>
    <w:p>
      <w:pPr>
        <w:pStyle w:val="13"/>
        <w:rPr>
          <w:b/>
          <w:sz w:val="20"/>
          <w:highlight w:val="none"/>
        </w:rPr>
      </w:pPr>
    </w:p>
    <w:p>
      <w:pPr>
        <w:pStyle w:val="13"/>
        <w:rPr>
          <w:b/>
          <w:sz w:val="20"/>
          <w:highlight w:val="none"/>
        </w:rPr>
      </w:pPr>
    </w:p>
    <w:p>
      <w:pPr>
        <w:pStyle w:val="13"/>
        <w:rPr>
          <w:b/>
          <w:sz w:val="20"/>
          <w:highlight w:val="none"/>
        </w:rPr>
      </w:pPr>
    </w:p>
    <w:p>
      <w:pPr>
        <w:pStyle w:val="13"/>
        <w:rPr>
          <w:b/>
          <w:sz w:val="20"/>
          <w:highlight w:val="none"/>
        </w:rPr>
      </w:pPr>
    </w:p>
    <w:p>
      <w:pPr>
        <w:pStyle w:val="13"/>
        <w:rPr>
          <w:b/>
          <w:sz w:val="20"/>
          <w:highlight w:val="none"/>
        </w:rPr>
      </w:pPr>
    </w:p>
    <w:p>
      <w:pPr>
        <w:pStyle w:val="13"/>
        <w:rPr>
          <w:b/>
          <w:sz w:val="20"/>
          <w:highlight w:val="none"/>
        </w:rPr>
      </w:pPr>
    </w:p>
    <w:p>
      <w:pPr>
        <w:pStyle w:val="13"/>
        <w:rPr>
          <w:b/>
          <w:sz w:val="20"/>
          <w:highlight w:val="none"/>
        </w:rPr>
      </w:pPr>
    </w:p>
    <w:p>
      <w:pPr>
        <w:pStyle w:val="13"/>
        <w:rPr>
          <w:b/>
          <w:sz w:val="20"/>
          <w:highlight w:val="none"/>
        </w:rPr>
      </w:pPr>
    </w:p>
    <w:p>
      <w:pPr>
        <w:pStyle w:val="13"/>
        <w:rPr>
          <w:b/>
          <w:sz w:val="20"/>
          <w:highlight w:val="none"/>
        </w:rPr>
      </w:pPr>
    </w:p>
    <w:p>
      <w:pPr>
        <w:pStyle w:val="13"/>
        <w:rPr>
          <w:b/>
          <w:sz w:val="20"/>
          <w:highlight w:val="none"/>
        </w:rPr>
      </w:pPr>
    </w:p>
    <w:p>
      <w:pPr>
        <w:pStyle w:val="13"/>
        <w:rPr>
          <w:b/>
          <w:sz w:val="20"/>
          <w:highlight w:val="none"/>
        </w:rPr>
      </w:pPr>
    </w:p>
    <w:p>
      <w:pPr>
        <w:pStyle w:val="13"/>
        <w:spacing w:before="1"/>
        <w:rPr>
          <w:b/>
          <w:sz w:val="14"/>
          <w:highlight w:val="none"/>
        </w:rPr>
      </w:pPr>
    </w:p>
    <w:p>
      <w:pPr>
        <w:pStyle w:val="13"/>
        <w:spacing w:before="1" w:line="360" w:lineRule="auto"/>
        <w:ind w:left="552"/>
        <w:rPr>
          <w:highlight w:val="none"/>
        </w:rPr>
      </w:pPr>
      <w:r>
        <w:rPr>
          <w:rFonts w:hint="eastAsia"/>
          <w:highlight w:val="none"/>
        </w:rPr>
        <w:t>法定代表人（签字）：＿＿＿＿＿＿＿＿</w:t>
      </w:r>
    </w:p>
    <w:p>
      <w:pPr>
        <w:pStyle w:val="13"/>
        <w:spacing w:before="139" w:line="360" w:lineRule="auto"/>
        <w:ind w:left="552" w:right="3793"/>
        <w:rPr>
          <w:w w:val="95"/>
          <w:highlight w:val="none"/>
        </w:rPr>
      </w:pPr>
      <w:r>
        <w:rPr>
          <w:rFonts w:hint="eastAsia"/>
          <w:highlight w:val="none"/>
        </w:rPr>
        <w:t>受权代表（被授权人）（签字）：</w:t>
      </w:r>
      <w:r>
        <w:rPr>
          <w:rFonts w:hint="eastAsia"/>
          <w:w w:val="95"/>
          <w:highlight w:val="none"/>
        </w:rPr>
        <w:t>＿＿＿＿＿＿＿＿</w:t>
      </w:r>
    </w:p>
    <w:p>
      <w:pPr>
        <w:pStyle w:val="13"/>
        <w:spacing w:before="139" w:line="360" w:lineRule="auto"/>
        <w:ind w:left="552" w:right="3793"/>
        <w:rPr>
          <w:highlight w:val="none"/>
        </w:rPr>
      </w:pPr>
      <w:r>
        <w:rPr>
          <w:rFonts w:hint="eastAsia"/>
          <w:highlight w:val="none"/>
        </w:rPr>
        <w:t>单位名称（盖章）：＿＿＿＿＿＿＿＿</w:t>
      </w:r>
    </w:p>
    <w:p>
      <w:pPr>
        <w:pStyle w:val="13"/>
        <w:tabs>
          <w:tab w:val="left" w:pos="1603"/>
          <w:tab w:val="left" w:pos="2023"/>
          <w:tab w:val="left" w:pos="2443"/>
        </w:tabs>
        <w:spacing w:line="480" w:lineRule="auto"/>
        <w:ind w:left="552" w:right="6942"/>
        <w:rPr>
          <w:highlight w:val="none"/>
        </w:rPr>
      </w:pPr>
      <w:r>
        <w:rPr>
          <w:rFonts w:hint="eastAsia"/>
          <w:highlight w:val="none"/>
        </w:rPr>
        <w:t>地址：＿＿＿＿＿＿＿＿ 日期：</w:t>
      </w:r>
      <w:r>
        <w:rPr>
          <w:rFonts w:hint="eastAsia"/>
          <w:highlight w:val="none"/>
        </w:rPr>
        <w:tab/>
      </w:r>
      <w:r>
        <w:rPr>
          <w:rFonts w:hint="eastAsia"/>
          <w:highlight w:val="none"/>
        </w:rPr>
        <w:t>年</w:t>
      </w:r>
      <w:r>
        <w:rPr>
          <w:rFonts w:hint="eastAsia"/>
          <w:highlight w:val="none"/>
        </w:rPr>
        <w:tab/>
      </w:r>
      <w:r>
        <w:rPr>
          <w:rFonts w:hint="eastAsia"/>
          <w:highlight w:val="none"/>
        </w:rPr>
        <w:t>月</w:t>
      </w:r>
      <w:r>
        <w:rPr>
          <w:rFonts w:hint="eastAsia"/>
          <w:highlight w:val="none"/>
        </w:rPr>
        <w:tab/>
      </w:r>
      <w:r>
        <w:rPr>
          <w:rFonts w:hint="eastAsia"/>
          <w:highlight w:val="none"/>
        </w:rPr>
        <w:t>日</w:t>
      </w:r>
    </w:p>
    <w:p>
      <w:pPr>
        <w:spacing w:line="360" w:lineRule="auto"/>
        <w:rPr>
          <w:highlight w:val="none"/>
        </w:rPr>
        <w:sectPr>
          <w:pgSz w:w="11910" w:h="16840"/>
          <w:pgMar w:top="1240" w:right="920" w:bottom="1040" w:left="1180" w:header="880" w:footer="852" w:gutter="0"/>
          <w:cols w:space="720" w:num="1"/>
        </w:sectPr>
      </w:pPr>
    </w:p>
    <w:p>
      <w:pPr>
        <w:pStyle w:val="13"/>
        <w:spacing w:before="11"/>
        <w:rPr>
          <w:sz w:val="3"/>
          <w:highlight w:val="none"/>
        </w:rPr>
      </w:pPr>
    </w:p>
    <w:p>
      <w:pPr>
        <w:pStyle w:val="13"/>
        <w:spacing w:line="57" w:lineRule="exact"/>
        <w:ind w:left="238"/>
        <w:rPr>
          <w:sz w:val="5"/>
          <w:highlight w:val="none"/>
        </w:rPr>
      </w:pPr>
    </w:p>
    <w:p>
      <w:pPr>
        <w:pStyle w:val="6"/>
        <w:rPr>
          <w:highlight w:val="none"/>
        </w:rPr>
      </w:pPr>
    </w:p>
    <w:p>
      <w:pPr>
        <w:pStyle w:val="6"/>
        <w:rPr>
          <w:highlight w:val="none"/>
        </w:rPr>
      </w:pPr>
      <w:r>
        <w:rPr>
          <w:rFonts w:hint="eastAsia"/>
          <w:highlight w:val="none"/>
        </w:rPr>
        <w:t>二、符合投标人资格条件的审查材料：</w:t>
      </w:r>
    </w:p>
    <w:p>
      <w:pPr>
        <w:pStyle w:val="13"/>
        <w:rPr>
          <w:b/>
          <w:sz w:val="28"/>
          <w:highlight w:val="none"/>
        </w:rPr>
      </w:pPr>
    </w:p>
    <w:p>
      <w:pPr>
        <w:pStyle w:val="13"/>
        <w:spacing w:before="10"/>
        <w:rPr>
          <w:b/>
          <w:sz w:val="26"/>
          <w:highlight w:val="none"/>
        </w:rPr>
      </w:pPr>
    </w:p>
    <w:p>
      <w:pPr>
        <w:pStyle w:val="34"/>
        <w:numPr>
          <w:ilvl w:val="0"/>
          <w:numId w:val="20"/>
        </w:numPr>
        <w:tabs>
          <w:tab w:val="left" w:pos="870"/>
        </w:tabs>
        <w:rPr>
          <w:sz w:val="21"/>
          <w:highlight w:val="none"/>
        </w:rPr>
      </w:pPr>
      <w:r>
        <w:rPr>
          <w:rFonts w:hint="eastAsia"/>
          <w:sz w:val="21"/>
          <w:highlight w:val="none"/>
        </w:rPr>
        <w:t>经有关部门年检通过且在有效期内的营业执照或法人证书复印件；</w:t>
      </w:r>
    </w:p>
    <w:p>
      <w:pPr>
        <w:pStyle w:val="13"/>
        <w:rPr>
          <w:sz w:val="20"/>
          <w:highlight w:val="none"/>
        </w:rPr>
      </w:pPr>
    </w:p>
    <w:p>
      <w:pPr>
        <w:pStyle w:val="13"/>
        <w:rPr>
          <w:sz w:val="20"/>
          <w:highlight w:val="none"/>
        </w:rPr>
      </w:pPr>
    </w:p>
    <w:p>
      <w:pPr>
        <w:pStyle w:val="13"/>
        <w:rPr>
          <w:sz w:val="20"/>
          <w:highlight w:val="none"/>
        </w:rPr>
      </w:pPr>
    </w:p>
    <w:p>
      <w:pPr>
        <w:pStyle w:val="13"/>
        <w:rPr>
          <w:sz w:val="20"/>
          <w:highlight w:val="none"/>
        </w:rPr>
      </w:pPr>
    </w:p>
    <w:p>
      <w:pPr>
        <w:pStyle w:val="13"/>
        <w:rPr>
          <w:sz w:val="20"/>
          <w:highlight w:val="none"/>
        </w:rPr>
      </w:pPr>
    </w:p>
    <w:p>
      <w:pPr>
        <w:pStyle w:val="13"/>
        <w:rPr>
          <w:sz w:val="20"/>
          <w:highlight w:val="none"/>
        </w:rPr>
      </w:pPr>
    </w:p>
    <w:p>
      <w:pPr>
        <w:pStyle w:val="13"/>
        <w:rPr>
          <w:sz w:val="20"/>
          <w:highlight w:val="none"/>
        </w:rPr>
      </w:pPr>
    </w:p>
    <w:p>
      <w:pPr>
        <w:pStyle w:val="13"/>
        <w:rPr>
          <w:sz w:val="20"/>
          <w:highlight w:val="none"/>
        </w:rPr>
      </w:pPr>
    </w:p>
    <w:p>
      <w:pPr>
        <w:pStyle w:val="34"/>
        <w:numPr>
          <w:ilvl w:val="0"/>
          <w:numId w:val="20"/>
        </w:numPr>
        <w:tabs>
          <w:tab w:val="left" w:pos="870"/>
        </w:tabs>
        <w:spacing w:before="132" w:line="484" w:lineRule="auto"/>
        <w:ind w:left="238" w:right="328" w:firstLine="420"/>
        <w:rPr>
          <w:sz w:val="21"/>
          <w:highlight w:val="none"/>
        </w:rPr>
      </w:pPr>
      <w:r>
        <w:rPr>
          <w:rFonts w:hint="eastAsia"/>
          <w:sz w:val="21"/>
          <w:highlight w:val="none"/>
        </w:rPr>
        <w:t>提供最近一季度的财务状况报告、依法缴纳税收和社会保障资金的相关材料（新成立不足一年  的公司须出具情况说明）或《承诺函》；</w:t>
      </w:r>
    </w:p>
    <w:p>
      <w:pPr>
        <w:pStyle w:val="13"/>
        <w:spacing w:before="10"/>
        <w:rPr>
          <w:sz w:val="28"/>
          <w:highlight w:val="none"/>
        </w:rPr>
      </w:pPr>
    </w:p>
    <w:p>
      <w:pPr>
        <w:pStyle w:val="13"/>
        <w:spacing w:before="1"/>
        <w:ind w:left="49" w:right="136"/>
        <w:jc w:val="center"/>
        <w:rPr>
          <w:sz w:val="24"/>
          <w:szCs w:val="24"/>
          <w:highlight w:val="none"/>
        </w:rPr>
      </w:pPr>
      <w:r>
        <w:rPr>
          <w:rFonts w:hint="eastAsia"/>
          <w:sz w:val="24"/>
          <w:szCs w:val="24"/>
          <w:highlight w:val="none"/>
        </w:rPr>
        <w:t>依法缴纳税收和社会保障资金的《承诺函》</w:t>
      </w:r>
    </w:p>
    <w:p>
      <w:pPr>
        <w:pStyle w:val="13"/>
        <w:rPr>
          <w:sz w:val="24"/>
          <w:szCs w:val="22"/>
          <w:highlight w:val="none"/>
        </w:rPr>
      </w:pPr>
    </w:p>
    <w:p>
      <w:pPr>
        <w:pStyle w:val="13"/>
        <w:spacing w:before="1"/>
        <w:ind w:left="238"/>
        <w:rPr>
          <w:highlight w:val="none"/>
        </w:rPr>
      </w:pPr>
      <w:r>
        <w:rPr>
          <w:rFonts w:hint="eastAsia"/>
          <w:highlight w:val="none"/>
        </w:rPr>
        <w:t>兰溪市交通运输局:</w:t>
      </w:r>
    </w:p>
    <w:p>
      <w:pPr>
        <w:pStyle w:val="13"/>
        <w:rPr>
          <w:sz w:val="22"/>
          <w:highlight w:val="none"/>
        </w:rPr>
      </w:pPr>
    </w:p>
    <w:p>
      <w:pPr>
        <w:pStyle w:val="13"/>
        <w:spacing w:before="166" w:line="364" w:lineRule="auto"/>
        <w:ind w:left="238" w:right="328" w:firstLine="420"/>
        <w:rPr>
          <w:highlight w:val="none"/>
        </w:rPr>
      </w:pPr>
      <w:r>
        <w:rPr>
          <w:rFonts w:hint="eastAsia"/>
          <w:szCs w:val="22"/>
          <w:highlight w:val="none"/>
        </w:rPr>
        <w:t>我公司郑重声明，我公司严格依法缴纳税收和社会保障资金，本文件中所提供的相关材料均真实</w:t>
      </w:r>
      <w:r>
        <w:rPr>
          <w:rFonts w:hint="eastAsia"/>
          <w:highlight w:val="none"/>
        </w:rPr>
        <w:t>有效，不存在虚假、造假行为。如有违反，愿承担一切责任。</w:t>
      </w:r>
    </w:p>
    <w:p>
      <w:pPr>
        <w:pStyle w:val="13"/>
        <w:spacing w:before="10"/>
        <w:rPr>
          <w:highlight w:val="none"/>
        </w:rPr>
      </w:pPr>
    </w:p>
    <w:p>
      <w:pPr>
        <w:pStyle w:val="13"/>
        <w:ind w:left="658"/>
        <w:rPr>
          <w:highlight w:val="none"/>
        </w:rPr>
      </w:pPr>
      <w:r>
        <w:rPr>
          <w:rFonts w:hint="eastAsia"/>
          <w:highlight w:val="none"/>
        </w:rPr>
        <w:t>特此承诺！</w:t>
      </w:r>
    </w:p>
    <w:p>
      <w:pPr>
        <w:pStyle w:val="13"/>
        <w:rPr>
          <w:sz w:val="20"/>
          <w:highlight w:val="none"/>
        </w:rPr>
      </w:pPr>
    </w:p>
    <w:p>
      <w:pPr>
        <w:pStyle w:val="13"/>
        <w:rPr>
          <w:sz w:val="20"/>
          <w:highlight w:val="none"/>
        </w:rPr>
      </w:pPr>
    </w:p>
    <w:p>
      <w:pPr>
        <w:pStyle w:val="13"/>
        <w:rPr>
          <w:sz w:val="20"/>
          <w:highlight w:val="none"/>
        </w:rPr>
      </w:pPr>
    </w:p>
    <w:p>
      <w:pPr>
        <w:spacing w:line="360" w:lineRule="auto"/>
        <w:ind w:firstLine="5250" w:firstLineChars="2500"/>
        <w:rPr>
          <w:sz w:val="21"/>
          <w:szCs w:val="21"/>
          <w:highlight w:val="none"/>
        </w:rPr>
      </w:pPr>
      <w:r>
        <w:rPr>
          <w:rFonts w:hint="eastAsia"/>
          <w:sz w:val="21"/>
          <w:szCs w:val="21"/>
          <w:highlight w:val="none"/>
        </w:rPr>
        <w:t>投标人（盖章）：</w:t>
      </w:r>
    </w:p>
    <w:p>
      <w:pPr>
        <w:spacing w:line="360" w:lineRule="auto"/>
        <w:ind w:firstLine="5145" w:firstLineChars="2450"/>
        <w:rPr>
          <w:sz w:val="21"/>
          <w:szCs w:val="21"/>
          <w:highlight w:val="none"/>
        </w:rPr>
      </w:pPr>
      <w:r>
        <w:rPr>
          <w:rFonts w:hint="eastAsia"/>
          <w:sz w:val="21"/>
          <w:szCs w:val="21"/>
          <w:highlight w:val="none"/>
        </w:rPr>
        <w:t xml:space="preserve"> 法定代表人或委托代理人（签字）：</w:t>
      </w:r>
    </w:p>
    <w:p>
      <w:pPr>
        <w:spacing w:line="360" w:lineRule="auto"/>
        <w:ind w:firstLine="5250" w:firstLineChars="2500"/>
        <w:rPr>
          <w:sz w:val="21"/>
          <w:szCs w:val="21"/>
          <w:highlight w:val="none"/>
        </w:rPr>
      </w:pPr>
      <w:r>
        <w:rPr>
          <w:rFonts w:hint="eastAsia"/>
          <w:sz w:val="21"/>
          <w:szCs w:val="21"/>
          <w:highlight w:val="none"/>
        </w:rPr>
        <w:t>日      期：</w:t>
      </w:r>
    </w:p>
    <w:p>
      <w:pPr>
        <w:pStyle w:val="13"/>
        <w:spacing w:before="164" w:line="614" w:lineRule="auto"/>
        <w:ind w:left="5907" w:right="2219" w:hanging="840"/>
        <w:rPr>
          <w:highlight w:val="none"/>
        </w:rPr>
      </w:pPr>
    </w:p>
    <w:p>
      <w:pPr>
        <w:spacing w:line="614" w:lineRule="auto"/>
        <w:rPr>
          <w:highlight w:val="none"/>
        </w:rPr>
        <w:sectPr>
          <w:pgSz w:w="11910" w:h="16840"/>
          <w:pgMar w:top="1240" w:right="920" w:bottom="1040" w:left="1180" w:header="880" w:footer="852" w:gutter="0"/>
          <w:cols w:space="720" w:num="1"/>
        </w:sectPr>
      </w:pPr>
    </w:p>
    <w:p>
      <w:pPr>
        <w:pStyle w:val="13"/>
        <w:spacing w:before="11"/>
        <w:rPr>
          <w:sz w:val="3"/>
          <w:highlight w:val="none"/>
        </w:rPr>
      </w:pPr>
    </w:p>
    <w:p>
      <w:pPr>
        <w:pStyle w:val="13"/>
        <w:spacing w:line="57" w:lineRule="exact"/>
        <w:ind w:left="238"/>
        <w:rPr>
          <w:sz w:val="5"/>
          <w:highlight w:val="none"/>
        </w:rPr>
      </w:pPr>
    </w:p>
    <w:p>
      <w:pPr>
        <w:pStyle w:val="34"/>
        <w:numPr>
          <w:ilvl w:val="0"/>
          <w:numId w:val="20"/>
        </w:numPr>
        <w:tabs>
          <w:tab w:val="left" w:pos="870"/>
        </w:tabs>
        <w:spacing w:before="4" w:line="484" w:lineRule="auto"/>
        <w:ind w:left="238" w:right="328" w:firstLine="420"/>
        <w:rPr>
          <w:sz w:val="21"/>
          <w:highlight w:val="none"/>
        </w:rPr>
      </w:pPr>
      <w:r>
        <w:rPr>
          <w:rFonts w:hint="eastAsia"/>
          <w:w w:val="95"/>
          <w:sz w:val="21"/>
          <w:highlight w:val="none"/>
        </w:rPr>
        <w:t>参</w:t>
      </w:r>
      <w:r>
        <w:rPr>
          <w:rFonts w:hint="eastAsia"/>
          <w:sz w:val="21"/>
          <w:highlight w:val="none"/>
        </w:rPr>
        <w:t>加政府采购活动前三年内（开标之日往前推算），在经营活动中没有重大违法记录的书面声 明，格式如下：</w:t>
      </w:r>
    </w:p>
    <w:p>
      <w:pPr>
        <w:pStyle w:val="13"/>
        <w:rPr>
          <w:sz w:val="20"/>
          <w:highlight w:val="none"/>
        </w:rPr>
      </w:pPr>
    </w:p>
    <w:p>
      <w:pPr>
        <w:pStyle w:val="13"/>
        <w:spacing w:before="12"/>
        <w:rPr>
          <w:sz w:val="19"/>
          <w:highlight w:val="none"/>
        </w:rPr>
      </w:pPr>
    </w:p>
    <w:p>
      <w:pPr>
        <w:spacing w:line="491" w:lineRule="auto"/>
        <w:ind w:left="238" w:right="323" w:firstLine="388"/>
        <w:rPr>
          <w:sz w:val="21"/>
          <w:highlight w:val="none"/>
        </w:rPr>
      </w:pPr>
      <w:r>
        <w:rPr>
          <w:rFonts w:hint="eastAsia"/>
          <w:b/>
          <w:sz w:val="21"/>
          <w:highlight w:val="none"/>
        </w:rPr>
        <w:t>参加政府采购活动前三年内（开标之日往前推算），在经营活动中没有重大违法记录的书面声明</w:t>
      </w:r>
      <w:r>
        <w:rPr>
          <w:rFonts w:hint="eastAsia"/>
          <w:sz w:val="21"/>
          <w:highlight w:val="none"/>
        </w:rPr>
        <w:t>兰溪市交通运输局：</w:t>
      </w:r>
    </w:p>
    <w:p>
      <w:pPr>
        <w:pStyle w:val="13"/>
        <w:spacing w:before="135" w:line="367" w:lineRule="auto"/>
        <w:ind w:left="238" w:right="328" w:firstLine="420"/>
        <w:rPr>
          <w:highlight w:val="none"/>
        </w:rPr>
      </w:pPr>
      <w:r>
        <w:rPr>
          <w:rFonts w:hint="eastAsia"/>
          <w:szCs w:val="22"/>
          <w:highlight w:val="none"/>
        </w:rPr>
        <w:t>我单位在参加兰溪市综合交通“十四五”规划落地方案的投标活动前三年内（开标之日往前推算），在经营活动中没有重</w:t>
      </w:r>
      <w:r>
        <w:rPr>
          <w:rFonts w:hint="eastAsia"/>
          <w:highlight w:val="none"/>
        </w:rPr>
        <w:t>大违法记录。如本声明失实，我单位自愿承担被取消中标资格等责任。</w:t>
      </w:r>
    </w:p>
    <w:p>
      <w:pPr>
        <w:pStyle w:val="13"/>
        <w:spacing w:before="4"/>
        <w:rPr>
          <w:sz w:val="28"/>
          <w:highlight w:val="none"/>
        </w:rPr>
      </w:pPr>
    </w:p>
    <w:p>
      <w:pPr>
        <w:pStyle w:val="13"/>
        <w:ind w:left="238"/>
        <w:rPr>
          <w:highlight w:val="none"/>
        </w:rPr>
      </w:pPr>
      <w:r>
        <w:rPr>
          <w:rFonts w:hint="eastAsia"/>
          <w:highlight w:val="none"/>
        </w:rPr>
        <w:t>特此声明</w:t>
      </w:r>
    </w:p>
    <w:p>
      <w:pPr>
        <w:pStyle w:val="13"/>
        <w:rPr>
          <w:sz w:val="29"/>
          <w:highlight w:val="none"/>
        </w:rPr>
      </w:pPr>
    </w:p>
    <w:p>
      <w:pPr>
        <w:pStyle w:val="13"/>
        <w:ind w:left="3754" w:right="426"/>
        <w:jc w:val="center"/>
        <w:rPr>
          <w:highlight w:val="none"/>
        </w:rPr>
      </w:pPr>
      <w:r>
        <w:rPr>
          <w:rFonts w:hint="eastAsia"/>
          <w:highlight w:val="none"/>
        </w:rPr>
        <w:t>投标人全称（公章）：</w:t>
      </w:r>
    </w:p>
    <w:p>
      <w:pPr>
        <w:pStyle w:val="13"/>
        <w:spacing w:before="1"/>
        <w:rPr>
          <w:sz w:val="22"/>
          <w:highlight w:val="none"/>
        </w:rPr>
      </w:pPr>
    </w:p>
    <w:p>
      <w:pPr>
        <w:pStyle w:val="13"/>
        <w:ind w:left="3270"/>
        <w:jc w:val="center"/>
        <w:rPr>
          <w:rFonts w:hint="eastAsia"/>
          <w:highlight w:val="none"/>
        </w:rPr>
      </w:pPr>
      <w:r>
        <w:rPr>
          <w:rFonts w:hint="eastAsia"/>
          <w:highlight w:val="none"/>
        </w:rPr>
        <w:t>法定代表人或委托代表人（签字或盖章）：</w:t>
      </w:r>
    </w:p>
    <w:p>
      <w:pPr>
        <w:pStyle w:val="14"/>
        <w:rPr>
          <w:highlight w:val="none"/>
        </w:rPr>
      </w:pPr>
    </w:p>
    <w:p>
      <w:pPr>
        <w:pStyle w:val="13"/>
        <w:tabs>
          <w:tab w:val="left" w:pos="628"/>
          <w:tab w:val="left" w:pos="1259"/>
        </w:tabs>
        <w:ind w:right="1776"/>
        <w:jc w:val="right"/>
        <w:rPr>
          <w:highlight w:val="none"/>
        </w:rPr>
      </w:pPr>
      <w:r>
        <w:rPr>
          <w:rFonts w:hint="eastAsia"/>
          <w:highlight w:val="none"/>
        </w:rPr>
        <w:t>年</w:t>
      </w:r>
      <w:r>
        <w:rPr>
          <w:rFonts w:hint="eastAsia"/>
          <w:highlight w:val="none"/>
        </w:rPr>
        <w:tab/>
      </w:r>
      <w:r>
        <w:rPr>
          <w:rFonts w:hint="eastAsia"/>
          <w:highlight w:val="none"/>
        </w:rPr>
        <w:t>月</w:t>
      </w:r>
      <w:r>
        <w:rPr>
          <w:rFonts w:hint="eastAsia"/>
          <w:highlight w:val="none"/>
        </w:rPr>
        <w:tab/>
      </w:r>
      <w:r>
        <w:rPr>
          <w:rFonts w:hint="eastAsia"/>
          <w:w w:val="95"/>
          <w:highlight w:val="none"/>
        </w:rPr>
        <w:t>日</w:t>
      </w:r>
    </w:p>
    <w:p>
      <w:pPr>
        <w:pStyle w:val="13"/>
        <w:rPr>
          <w:sz w:val="20"/>
          <w:highlight w:val="none"/>
        </w:rPr>
      </w:pPr>
    </w:p>
    <w:p>
      <w:pPr>
        <w:pStyle w:val="13"/>
        <w:rPr>
          <w:sz w:val="20"/>
          <w:highlight w:val="none"/>
        </w:rPr>
      </w:pPr>
    </w:p>
    <w:p>
      <w:pPr>
        <w:pStyle w:val="13"/>
        <w:rPr>
          <w:sz w:val="20"/>
          <w:highlight w:val="none"/>
        </w:rPr>
      </w:pPr>
    </w:p>
    <w:p>
      <w:pPr>
        <w:pStyle w:val="13"/>
        <w:rPr>
          <w:sz w:val="20"/>
          <w:highlight w:val="none"/>
        </w:rPr>
      </w:pPr>
    </w:p>
    <w:p>
      <w:pPr>
        <w:pStyle w:val="13"/>
        <w:rPr>
          <w:sz w:val="20"/>
          <w:highlight w:val="none"/>
        </w:rPr>
      </w:pPr>
    </w:p>
    <w:p>
      <w:pPr>
        <w:pStyle w:val="13"/>
        <w:rPr>
          <w:sz w:val="20"/>
          <w:highlight w:val="none"/>
        </w:rPr>
      </w:pPr>
    </w:p>
    <w:p>
      <w:pPr>
        <w:pStyle w:val="13"/>
        <w:rPr>
          <w:sz w:val="20"/>
          <w:highlight w:val="none"/>
        </w:rPr>
      </w:pPr>
    </w:p>
    <w:p>
      <w:pPr>
        <w:pStyle w:val="34"/>
        <w:numPr>
          <w:ilvl w:val="0"/>
          <w:numId w:val="21"/>
        </w:numPr>
        <w:tabs>
          <w:tab w:val="left" w:pos="870"/>
        </w:tabs>
        <w:spacing w:before="160"/>
        <w:rPr>
          <w:sz w:val="21"/>
          <w:highlight w:val="none"/>
        </w:rPr>
      </w:pPr>
      <w:r>
        <w:rPr>
          <w:rFonts w:hint="eastAsia"/>
          <w:sz w:val="21"/>
          <w:highlight w:val="none"/>
        </w:rPr>
        <w:t>符合投标人特定条件的证明材料（资质证书加盖公章的复印件）；（如有）</w:t>
      </w:r>
    </w:p>
    <w:p>
      <w:pPr>
        <w:pStyle w:val="34"/>
        <w:tabs>
          <w:tab w:val="left" w:pos="870"/>
        </w:tabs>
        <w:spacing w:before="160"/>
        <w:ind w:left="0" w:firstLine="0"/>
        <w:rPr>
          <w:sz w:val="21"/>
          <w:highlight w:val="none"/>
        </w:rPr>
      </w:pPr>
    </w:p>
    <w:p>
      <w:pPr>
        <w:pStyle w:val="34"/>
        <w:tabs>
          <w:tab w:val="left" w:pos="870"/>
        </w:tabs>
        <w:spacing w:before="160"/>
        <w:ind w:left="0" w:firstLine="0"/>
        <w:rPr>
          <w:sz w:val="21"/>
          <w:highlight w:val="none"/>
        </w:rPr>
      </w:pPr>
    </w:p>
    <w:p>
      <w:pPr>
        <w:pStyle w:val="34"/>
        <w:tabs>
          <w:tab w:val="left" w:pos="870"/>
        </w:tabs>
        <w:spacing w:before="160"/>
        <w:ind w:left="0" w:firstLine="0"/>
        <w:rPr>
          <w:sz w:val="21"/>
          <w:highlight w:val="none"/>
        </w:rPr>
      </w:pPr>
    </w:p>
    <w:p>
      <w:pPr>
        <w:pStyle w:val="34"/>
        <w:tabs>
          <w:tab w:val="left" w:pos="870"/>
        </w:tabs>
        <w:spacing w:before="160"/>
        <w:ind w:left="0" w:firstLine="0"/>
        <w:rPr>
          <w:sz w:val="21"/>
          <w:highlight w:val="none"/>
        </w:rPr>
      </w:pPr>
    </w:p>
    <w:p>
      <w:pPr>
        <w:pStyle w:val="34"/>
        <w:tabs>
          <w:tab w:val="left" w:pos="870"/>
        </w:tabs>
        <w:spacing w:before="160"/>
        <w:ind w:left="0" w:firstLine="0"/>
        <w:rPr>
          <w:sz w:val="21"/>
          <w:highlight w:val="none"/>
        </w:rPr>
      </w:pPr>
    </w:p>
    <w:p>
      <w:pPr>
        <w:pStyle w:val="34"/>
        <w:tabs>
          <w:tab w:val="left" w:pos="870"/>
        </w:tabs>
        <w:spacing w:before="160"/>
        <w:ind w:left="0" w:firstLine="0"/>
        <w:rPr>
          <w:sz w:val="21"/>
          <w:highlight w:val="none"/>
        </w:rPr>
      </w:pPr>
    </w:p>
    <w:p>
      <w:pPr>
        <w:pStyle w:val="13"/>
        <w:spacing w:before="11"/>
        <w:rPr>
          <w:sz w:val="3"/>
          <w:highlight w:val="none"/>
        </w:rPr>
      </w:pPr>
    </w:p>
    <w:p>
      <w:pPr>
        <w:pStyle w:val="13"/>
        <w:spacing w:before="11"/>
        <w:rPr>
          <w:sz w:val="3"/>
          <w:highlight w:val="none"/>
        </w:rPr>
      </w:pPr>
    </w:p>
    <w:p>
      <w:pPr>
        <w:pStyle w:val="13"/>
        <w:spacing w:line="57" w:lineRule="exact"/>
        <w:ind w:left="238"/>
        <w:rPr>
          <w:sz w:val="5"/>
          <w:highlight w:val="none"/>
        </w:rPr>
      </w:pPr>
    </w:p>
    <w:p>
      <w:pPr>
        <w:pStyle w:val="34"/>
        <w:numPr>
          <w:ilvl w:val="0"/>
          <w:numId w:val="21"/>
        </w:numPr>
        <w:tabs>
          <w:tab w:val="left" w:pos="870"/>
        </w:tabs>
        <w:spacing w:before="4"/>
        <w:rPr>
          <w:sz w:val="21"/>
          <w:highlight w:val="none"/>
        </w:rPr>
      </w:pPr>
      <w:r>
        <w:rPr>
          <w:rFonts w:hint="eastAsia"/>
          <w:sz w:val="21"/>
          <w:highlight w:val="none"/>
        </w:rPr>
        <w:t>无围标串标等负面行为承诺书，格式如下：</w:t>
      </w:r>
    </w:p>
    <w:p>
      <w:pPr>
        <w:pStyle w:val="13"/>
        <w:rPr>
          <w:sz w:val="20"/>
          <w:highlight w:val="none"/>
        </w:rPr>
      </w:pPr>
    </w:p>
    <w:p>
      <w:pPr>
        <w:pStyle w:val="13"/>
        <w:spacing w:before="11"/>
        <w:rPr>
          <w:sz w:val="20"/>
          <w:highlight w:val="none"/>
        </w:rPr>
      </w:pPr>
    </w:p>
    <w:p>
      <w:pPr>
        <w:pStyle w:val="13"/>
        <w:spacing w:before="11"/>
        <w:rPr>
          <w:sz w:val="20"/>
          <w:highlight w:val="none"/>
        </w:rPr>
      </w:pPr>
    </w:p>
    <w:p>
      <w:pPr>
        <w:pStyle w:val="13"/>
        <w:spacing w:before="11"/>
        <w:rPr>
          <w:sz w:val="20"/>
          <w:highlight w:val="none"/>
        </w:rPr>
      </w:pPr>
    </w:p>
    <w:p>
      <w:pPr>
        <w:pStyle w:val="13"/>
        <w:spacing w:before="11"/>
        <w:rPr>
          <w:sz w:val="20"/>
          <w:highlight w:val="none"/>
        </w:rPr>
      </w:pPr>
    </w:p>
    <w:p>
      <w:pPr>
        <w:pStyle w:val="13"/>
        <w:spacing w:before="11"/>
        <w:rPr>
          <w:sz w:val="20"/>
          <w:highlight w:val="none"/>
        </w:rPr>
      </w:pPr>
    </w:p>
    <w:p>
      <w:pPr>
        <w:pStyle w:val="13"/>
        <w:spacing w:before="11"/>
        <w:rPr>
          <w:sz w:val="20"/>
          <w:highlight w:val="none"/>
        </w:rPr>
      </w:pPr>
    </w:p>
    <w:p>
      <w:pPr>
        <w:pStyle w:val="13"/>
        <w:spacing w:before="11"/>
        <w:rPr>
          <w:sz w:val="20"/>
          <w:highlight w:val="none"/>
        </w:rPr>
      </w:pPr>
    </w:p>
    <w:p>
      <w:pPr>
        <w:pStyle w:val="13"/>
        <w:spacing w:before="11"/>
        <w:rPr>
          <w:sz w:val="20"/>
          <w:highlight w:val="none"/>
        </w:rPr>
      </w:pPr>
    </w:p>
    <w:p>
      <w:pPr>
        <w:pStyle w:val="13"/>
        <w:spacing w:before="11"/>
        <w:rPr>
          <w:sz w:val="20"/>
          <w:highlight w:val="none"/>
        </w:rPr>
      </w:pPr>
    </w:p>
    <w:p>
      <w:pPr>
        <w:pStyle w:val="9"/>
        <w:ind w:left="49" w:right="128"/>
        <w:jc w:val="center"/>
        <w:rPr>
          <w:sz w:val="28"/>
          <w:szCs w:val="28"/>
          <w:highlight w:val="none"/>
        </w:rPr>
      </w:pPr>
      <w:r>
        <w:rPr>
          <w:rFonts w:hint="eastAsia"/>
          <w:sz w:val="28"/>
          <w:szCs w:val="28"/>
          <w:highlight w:val="none"/>
        </w:rPr>
        <w:t>无围标串标等负面行为承诺书</w:t>
      </w:r>
    </w:p>
    <w:p>
      <w:pPr>
        <w:pStyle w:val="13"/>
        <w:spacing w:before="8"/>
        <w:rPr>
          <w:b/>
          <w:sz w:val="36"/>
          <w:szCs w:val="28"/>
          <w:highlight w:val="none"/>
        </w:rPr>
      </w:pPr>
    </w:p>
    <w:p>
      <w:pPr>
        <w:pStyle w:val="13"/>
        <w:spacing w:line="465" w:lineRule="auto"/>
        <w:ind w:left="238" w:right="342" w:firstLine="451"/>
        <w:rPr>
          <w:highlight w:val="none"/>
        </w:rPr>
      </w:pPr>
      <w:r>
        <w:rPr>
          <w:rFonts w:hint="eastAsia"/>
          <w:highlight w:val="none"/>
        </w:rPr>
        <w:t>本人作为经授权的投标人（或供应商、竞拍人等，下同）代表，清楚知晓我单位参与本项目  投标（交易，下同）， 现对以下事项作出郑重承诺并签名：</w:t>
      </w:r>
    </w:p>
    <w:p>
      <w:pPr>
        <w:pStyle w:val="13"/>
        <w:spacing w:line="465" w:lineRule="auto"/>
        <w:ind w:left="238" w:right="318" w:firstLine="451"/>
        <w:rPr>
          <w:highlight w:val="none"/>
        </w:rPr>
      </w:pPr>
      <w:r>
        <w:rPr>
          <w:rFonts w:hint="eastAsia"/>
          <w:highlight w:val="none"/>
        </w:rPr>
        <w:t>一、我单位和本人遵循公开、公平、公正、诚实守信的原则，所提供的一切材料均真实、</w:t>
      </w:r>
      <w:r>
        <w:rPr>
          <w:rFonts w:hint="eastAsia"/>
          <w:spacing w:val="15"/>
          <w:highlight w:val="none"/>
        </w:rPr>
        <w:t>有效、合法，依法依规参与本项目投标。</w:t>
      </w:r>
    </w:p>
    <w:p>
      <w:pPr>
        <w:pStyle w:val="13"/>
        <w:spacing w:line="463" w:lineRule="auto"/>
        <w:ind w:left="238" w:right="318" w:firstLine="451"/>
        <w:rPr>
          <w:highlight w:val="none"/>
        </w:rPr>
      </w:pPr>
      <w:r>
        <w:rPr>
          <w:rFonts w:hint="eastAsia"/>
          <w:highlight w:val="none"/>
        </w:rPr>
        <w:t>二、我单位和本人在本项目招标投标活动中，拒绝参与围标串标，决不损害其它投标人、</w:t>
      </w:r>
      <w:r>
        <w:rPr>
          <w:rFonts w:hint="eastAsia"/>
          <w:spacing w:val="16"/>
          <w:highlight w:val="none"/>
        </w:rPr>
        <w:t>招标人</w:t>
      </w:r>
      <w:r>
        <w:rPr>
          <w:rFonts w:hint="eastAsia"/>
          <w:highlight w:val="none"/>
        </w:rPr>
        <w:t>（</w:t>
      </w:r>
      <w:r>
        <w:rPr>
          <w:rFonts w:hint="eastAsia"/>
          <w:spacing w:val="6"/>
          <w:highlight w:val="none"/>
        </w:rPr>
        <w:t xml:space="preserve"> 或采购人、拍卖人等，下同</w:t>
      </w:r>
      <w:r>
        <w:rPr>
          <w:rFonts w:hint="eastAsia"/>
          <w:spacing w:val="16"/>
          <w:highlight w:val="none"/>
        </w:rPr>
        <w:t>）</w:t>
      </w:r>
      <w:r>
        <w:rPr>
          <w:rFonts w:hint="eastAsia"/>
          <w:spacing w:val="13"/>
          <w:highlight w:val="none"/>
        </w:rPr>
        <w:t>的合法权益。</w:t>
      </w:r>
    </w:p>
    <w:p>
      <w:pPr>
        <w:pStyle w:val="13"/>
        <w:spacing w:line="465" w:lineRule="auto"/>
        <w:ind w:left="238" w:right="342" w:firstLine="451"/>
        <w:rPr>
          <w:highlight w:val="none"/>
        </w:rPr>
      </w:pPr>
      <w:r>
        <w:rPr>
          <w:rFonts w:hint="eastAsia"/>
          <w:highlight w:val="none"/>
        </w:rPr>
        <w:t>三、我单位如被查实在本项目公共资源交易活动中存在围标串标等行为，本人作为违法行为直接责任人员，将承担被执行失信惩戒并被依法追究相关责任的后果。</w:t>
      </w:r>
    </w:p>
    <w:p>
      <w:pPr>
        <w:pStyle w:val="13"/>
        <w:spacing w:before="5"/>
        <w:ind w:left="3111"/>
        <w:rPr>
          <w:highlight w:val="none"/>
        </w:rPr>
      </w:pPr>
      <w:r>
        <w:rPr>
          <w:rFonts w:hint="eastAsia"/>
          <w:highlight w:val="none"/>
        </w:rPr>
        <w:t>《无围标串标等负面行为承诺书》签署页</w:t>
      </w:r>
    </w:p>
    <w:p>
      <w:pPr>
        <w:pStyle w:val="13"/>
        <w:spacing w:before="2"/>
        <w:rPr>
          <w:highlight w:val="none"/>
        </w:rPr>
      </w:pPr>
    </w:p>
    <w:p>
      <w:pPr>
        <w:pStyle w:val="13"/>
        <w:tabs>
          <w:tab w:val="left" w:pos="5417"/>
        </w:tabs>
        <w:ind w:left="1140"/>
        <w:rPr>
          <w:highlight w:val="none"/>
        </w:rPr>
      </w:pPr>
      <w:r>
        <w:rPr>
          <w:rFonts w:hint="eastAsia"/>
          <w:spacing w:val="16"/>
          <w:highlight w:val="none"/>
        </w:rPr>
        <w:t>项目名</w:t>
      </w:r>
      <w:r>
        <w:rPr>
          <w:rFonts w:hint="eastAsia"/>
          <w:spacing w:val="19"/>
          <w:highlight w:val="none"/>
        </w:rPr>
        <w:t>称</w:t>
      </w:r>
      <w:r>
        <w:rPr>
          <w:rFonts w:hint="eastAsia"/>
          <w:highlight w:val="none"/>
        </w:rPr>
        <w:t>：</w:t>
      </w:r>
      <w:r>
        <w:rPr>
          <w:rFonts w:hint="eastAsia"/>
          <w:highlight w:val="none"/>
        </w:rPr>
        <w:tab/>
      </w:r>
      <w:r>
        <w:rPr>
          <w:rFonts w:hint="eastAsia"/>
          <w:spacing w:val="16"/>
          <w:highlight w:val="none"/>
        </w:rPr>
        <w:t>项目编</w:t>
      </w:r>
      <w:r>
        <w:rPr>
          <w:rFonts w:hint="eastAsia"/>
          <w:spacing w:val="19"/>
          <w:highlight w:val="none"/>
        </w:rPr>
        <w:t>号</w:t>
      </w:r>
      <w:r>
        <w:rPr>
          <w:rFonts w:hint="eastAsia"/>
          <w:highlight w:val="none"/>
        </w:rPr>
        <w:t>:</w:t>
      </w:r>
    </w:p>
    <w:p>
      <w:pPr>
        <w:pStyle w:val="13"/>
        <w:spacing w:before="4"/>
        <w:rPr>
          <w:sz w:val="13"/>
          <w:highlight w:val="none"/>
        </w:rPr>
      </w:pPr>
    </w:p>
    <w:tbl>
      <w:tblPr>
        <w:tblStyle w:val="26"/>
        <w:tblW w:w="0" w:type="auto"/>
        <w:tblInd w:w="4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7"/>
        <w:gridCol w:w="3303"/>
        <w:gridCol w:w="2821"/>
        <w:gridCol w:w="20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trPr>
        <w:tc>
          <w:tcPr>
            <w:tcW w:w="697" w:type="dxa"/>
          </w:tcPr>
          <w:p>
            <w:pPr>
              <w:pStyle w:val="35"/>
              <w:rPr>
                <w:sz w:val="20"/>
                <w:highlight w:val="none"/>
              </w:rPr>
            </w:pPr>
          </w:p>
          <w:p>
            <w:pPr>
              <w:pStyle w:val="35"/>
              <w:spacing w:before="3"/>
              <w:rPr>
                <w:sz w:val="14"/>
                <w:highlight w:val="none"/>
              </w:rPr>
            </w:pPr>
          </w:p>
          <w:p>
            <w:pPr>
              <w:pStyle w:val="35"/>
              <w:ind w:left="109" w:right="118"/>
              <w:jc w:val="center"/>
              <w:rPr>
                <w:sz w:val="21"/>
                <w:highlight w:val="none"/>
              </w:rPr>
            </w:pPr>
            <w:r>
              <w:rPr>
                <w:rFonts w:hint="eastAsia"/>
                <w:sz w:val="21"/>
                <w:highlight w:val="none"/>
              </w:rPr>
              <w:t>序号</w:t>
            </w:r>
          </w:p>
        </w:tc>
        <w:tc>
          <w:tcPr>
            <w:tcW w:w="3303" w:type="dxa"/>
          </w:tcPr>
          <w:p>
            <w:pPr>
              <w:pStyle w:val="35"/>
              <w:rPr>
                <w:sz w:val="20"/>
                <w:highlight w:val="none"/>
              </w:rPr>
            </w:pPr>
          </w:p>
          <w:p>
            <w:pPr>
              <w:pStyle w:val="35"/>
              <w:spacing w:before="3"/>
              <w:rPr>
                <w:sz w:val="14"/>
                <w:highlight w:val="none"/>
              </w:rPr>
            </w:pPr>
          </w:p>
          <w:p>
            <w:pPr>
              <w:pStyle w:val="35"/>
              <w:ind w:left="633"/>
              <w:rPr>
                <w:sz w:val="21"/>
                <w:highlight w:val="none"/>
              </w:rPr>
            </w:pPr>
            <w:r>
              <w:rPr>
                <w:rFonts w:hint="eastAsia"/>
                <w:sz w:val="21"/>
                <w:highlight w:val="none"/>
              </w:rPr>
              <w:t>投标人名称（盖章）</w:t>
            </w:r>
          </w:p>
        </w:tc>
        <w:tc>
          <w:tcPr>
            <w:tcW w:w="2821" w:type="dxa"/>
          </w:tcPr>
          <w:p>
            <w:pPr>
              <w:pStyle w:val="35"/>
              <w:spacing w:before="10"/>
              <w:rPr>
                <w:sz w:val="14"/>
                <w:highlight w:val="none"/>
              </w:rPr>
            </w:pPr>
          </w:p>
          <w:p>
            <w:pPr>
              <w:pStyle w:val="35"/>
              <w:ind w:left="358"/>
              <w:rPr>
                <w:sz w:val="21"/>
                <w:highlight w:val="none"/>
              </w:rPr>
            </w:pPr>
            <w:r>
              <w:rPr>
                <w:rFonts w:hint="eastAsia"/>
                <w:sz w:val="21"/>
                <w:highlight w:val="none"/>
              </w:rPr>
              <w:t>法定代表人或委托代表人</w:t>
            </w:r>
          </w:p>
          <w:p>
            <w:pPr>
              <w:pStyle w:val="35"/>
              <w:spacing w:before="12"/>
              <w:rPr>
                <w:sz w:val="17"/>
                <w:highlight w:val="none"/>
              </w:rPr>
            </w:pPr>
          </w:p>
          <w:p>
            <w:pPr>
              <w:pStyle w:val="35"/>
              <w:ind w:left="570"/>
              <w:rPr>
                <w:sz w:val="21"/>
                <w:highlight w:val="none"/>
              </w:rPr>
            </w:pPr>
            <w:r>
              <w:rPr>
                <w:rFonts w:hint="eastAsia"/>
                <w:sz w:val="21"/>
                <w:highlight w:val="none"/>
              </w:rPr>
              <w:t>（签字或盖章）：</w:t>
            </w:r>
          </w:p>
        </w:tc>
        <w:tc>
          <w:tcPr>
            <w:tcW w:w="2078" w:type="dxa"/>
          </w:tcPr>
          <w:p>
            <w:pPr>
              <w:pStyle w:val="35"/>
              <w:rPr>
                <w:sz w:val="20"/>
                <w:highlight w:val="none"/>
              </w:rPr>
            </w:pPr>
          </w:p>
          <w:p>
            <w:pPr>
              <w:pStyle w:val="35"/>
              <w:spacing w:before="3"/>
              <w:rPr>
                <w:sz w:val="14"/>
                <w:highlight w:val="none"/>
              </w:rPr>
            </w:pPr>
          </w:p>
          <w:p>
            <w:pPr>
              <w:pStyle w:val="35"/>
              <w:ind w:left="585"/>
              <w:rPr>
                <w:sz w:val="21"/>
                <w:highlight w:val="none"/>
              </w:rPr>
            </w:pPr>
            <w:r>
              <w:rPr>
                <w:rFonts w:hint="eastAsia"/>
                <w:sz w:val="21"/>
                <w:highlight w:val="none"/>
              </w:rPr>
              <w:t>联系号码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3" w:hRule="atLeast"/>
        </w:trPr>
        <w:tc>
          <w:tcPr>
            <w:tcW w:w="697" w:type="dxa"/>
          </w:tcPr>
          <w:p>
            <w:pPr>
              <w:pStyle w:val="35"/>
              <w:rPr>
                <w:sz w:val="20"/>
                <w:highlight w:val="none"/>
              </w:rPr>
            </w:pPr>
          </w:p>
          <w:p>
            <w:pPr>
              <w:pStyle w:val="35"/>
              <w:spacing w:before="5"/>
              <w:rPr>
                <w:sz w:val="21"/>
                <w:highlight w:val="none"/>
              </w:rPr>
            </w:pPr>
          </w:p>
          <w:p>
            <w:pPr>
              <w:pStyle w:val="35"/>
              <w:jc w:val="center"/>
              <w:rPr>
                <w:sz w:val="21"/>
                <w:highlight w:val="none"/>
              </w:rPr>
            </w:pPr>
            <w:r>
              <w:rPr>
                <w:rFonts w:hint="eastAsia"/>
                <w:w w:val="99"/>
                <w:sz w:val="21"/>
                <w:highlight w:val="none"/>
              </w:rPr>
              <w:t>1</w:t>
            </w:r>
          </w:p>
        </w:tc>
        <w:tc>
          <w:tcPr>
            <w:tcW w:w="3303" w:type="dxa"/>
          </w:tcPr>
          <w:p>
            <w:pPr>
              <w:pStyle w:val="35"/>
              <w:rPr>
                <w:sz w:val="20"/>
                <w:highlight w:val="none"/>
              </w:rPr>
            </w:pPr>
          </w:p>
        </w:tc>
        <w:tc>
          <w:tcPr>
            <w:tcW w:w="2821" w:type="dxa"/>
          </w:tcPr>
          <w:p>
            <w:pPr>
              <w:pStyle w:val="35"/>
              <w:rPr>
                <w:sz w:val="20"/>
                <w:highlight w:val="none"/>
              </w:rPr>
            </w:pPr>
          </w:p>
        </w:tc>
        <w:tc>
          <w:tcPr>
            <w:tcW w:w="2078" w:type="dxa"/>
          </w:tcPr>
          <w:p>
            <w:pPr>
              <w:pStyle w:val="35"/>
              <w:rPr>
                <w:sz w:val="20"/>
                <w:highlight w:val="none"/>
              </w:rPr>
            </w:pPr>
          </w:p>
        </w:tc>
      </w:tr>
    </w:tbl>
    <w:p>
      <w:pPr>
        <w:pStyle w:val="13"/>
        <w:rPr>
          <w:sz w:val="20"/>
          <w:highlight w:val="none"/>
        </w:rPr>
      </w:pPr>
    </w:p>
    <w:p>
      <w:pPr>
        <w:pStyle w:val="13"/>
        <w:rPr>
          <w:sz w:val="20"/>
          <w:highlight w:val="none"/>
        </w:rPr>
      </w:pPr>
    </w:p>
    <w:p>
      <w:pPr>
        <w:pStyle w:val="13"/>
        <w:rPr>
          <w:sz w:val="20"/>
          <w:highlight w:val="none"/>
        </w:rPr>
      </w:pPr>
    </w:p>
    <w:p>
      <w:pPr>
        <w:pStyle w:val="13"/>
        <w:spacing w:before="1"/>
        <w:rPr>
          <w:sz w:val="26"/>
          <w:highlight w:val="none"/>
        </w:rPr>
      </w:pPr>
    </w:p>
    <w:p>
      <w:pPr>
        <w:pStyle w:val="13"/>
        <w:tabs>
          <w:tab w:val="left" w:pos="628"/>
          <w:tab w:val="left" w:pos="1259"/>
        </w:tabs>
        <w:ind w:right="1776"/>
        <w:jc w:val="right"/>
        <w:rPr>
          <w:highlight w:val="none"/>
        </w:rPr>
      </w:pPr>
      <w:r>
        <w:rPr>
          <w:rFonts w:hint="eastAsia"/>
          <w:highlight w:val="none"/>
        </w:rPr>
        <w:t>年</w:t>
      </w:r>
      <w:r>
        <w:rPr>
          <w:rFonts w:hint="eastAsia"/>
          <w:highlight w:val="none"/>
        </w:rPr>
        <w:tab/>
      </w:r>
      <w:r>
        <w:rPr>
          <w:rFonts w:hint="eastAsia"/>
          <w:highlight w:val="none"/>
        </w:rPr>
        <w:t>月</w:t>
      </w:r>
      <w:r>
        <w:rPr>
          <w:rFonts w:hint="eastAsia"/>
          <w:highlight w:val="none"/>
        </w:rPr>
        <w:tab/>
      </w:r>
      <w:r>
        <w:rPr>
          <w:rFonts w:hint="eastAsia"/>
          <w:w w:val="95"/>
          <w:highlight w:val="none"/>
        </w:rPr>
        <w:t>日</w:t>
      </w:r>
    </w:p>
    <w:p>
      <w:pPr>
        <w:pStyle w:val="13"/>
        <w:rPr>
          <w:sz w:val="20"/>
          <w:highlight w:val="none"/>
        </w:rPr>
      </w:pPr>
    </w:p>
    <w:p>
      <w:pPr>
        <w:pStyle w:val="13"/>
        <w:rPr>
          <w:sz w:val="20"/>
          <w:highlight w:val="none"/>
        </w:rPr>
      </w:pPr>
    </w:p>
    <w:p>
      <w:pPr>
        <w:pStyle w:val="13"/>
        <w:rPr>
          <w:sz w:val="20"/>
          <w:highlight w:val="none"/>
        </w:rPr>
      </w:pPr>
    </w:p>
    <w:p>
      <w:pPr>
        <w:pStyle w:val="13"/>
        <w:rPr>
          <w:sz w:val="20"/>
          <w:highlight w:val="none"/>
        </w:rPr>
      </w:pPr>
    </w:p>
    <w:p>
      <w:pPr>
        <w:pStyle w:val="13"/>
        <w:spacing w:before="8"/>
        <w:rPr>
          <w:sz w:val="23"/>
          <w:highlight w:val="none"/>
        </w:rPr>
      </w:pPr>
    </w:p>
    <w:p>
      <w:pPr>
        <w:pStyle w:val="34"/>
        <w:numPr>
          <w:ilvl w:val="0"/>
          <w:numId w:val="21"/>
        </w:numPr>
        <w:tabs>
          <w:tab w:val="left" w:pos="870"/>
        </w:tabs>
        <w:spacing w:before="1"/>
        <w:rPr>
          <w:sz w:val="21"/>
          <w:highlight w:val="none"/>
        </w:rPr>
      </w:pPr>
      <w:r>
        <w:rPr>
          <w:rFonts w:hint="eastAsia"/>
          <w:sz w:val="21"/>
          <w:highlight w:val="none"/>
        </w:rPr>
        <w:t>信用记录：投标人提供投标截止前五个工作日内的查询信息：查询渠道：“信用中国”</w:t>
      </w:r>
    </w:p>
    <w:p>
      <w:pPr>
        <w:pStyle w:val="13"/>
        <w:spacing w:before="6"/>
        <w:rPr>
          <w:highlight w:val="none"/>
        </w:rPr>
      </w:pPr>
    </w:p>
    <w:p>
      <w:pPr>
        <w:pStyle w:val="13"/>
        <w:ind w:left="238"/>
        <w:rPr>
          <w:highlight w:val="none"/>
        </w:rPr>
      </w:pPr>
      <w:r>
        <w:rPr>
          <w:rFonts w:hint="eastAsia"/>
          <w:highlight w:val="none"/>
        </w:rPr>
        <w:t>（</w:t>
      </w:r>
      <w:r>
        <w:rPr>
          <w:highlight w:val="none"/>
        </w:rPr>
        <w:fldChar w:fldCharType="begin"/>
      </w:r>
      <w:r>
        <w:rPr>
          <w:highlight w:val="none"/>
        </w:rPr>
        <w:instrText xml:space="preserve"> HYPERLINK "http://www.creditchina.gov.cn/" \h </w:instrText>
      </w:r>
      <w:r>
        <w:rPr>
          <w:highlight w:val="none"/>
        </w:rPr>
        <w:fldChar w:fldCharType="separate"/>
      </w:r>
      <w:r>
        <w:rPr>
          <w:rFonts w:hint="eastAsia"/>
          <w:highlight w:val="none"/>
        </w:rPr>
        <w:t>www.creditchina.gov.cn</w:t>
      </w:r>
      <w:r>
        <w:rPr>
          <w:rFonts w:hint="eastAsia"/>
          <w:highlight w:val="none"/>
        </w:rPr>
        <w:fldChar w:fldCharType="end"/>
      </w:r>
      <w:r>
        <w:rPr>
          <w:rFonts w:hint="eastAsia"/>
          <w:highlight w:val="none"/>
        </w:rPr>
        <w:t>）、“中国政府采购网”（</w:t>
      </w:r>
      <w:r>
        <w:rPr>
          <w:highlight w:val="none"/>
        </w:rPr>
        <w:fldChar w:fldCharType="begin"/>
      </w:r>
      <w:r>
        <w:rPr>
          <w:highlight w:val="none"/>
        </w:rPr>
        <w:instrText xml:space="preserve"> HYPERLINK "http://www.ccgp.gov.cn/" \h </w:instrText>
      </w:r>
      <w:r>
        <w:rPr>
          <w:highlight w:val="none"/>
        </w:rPr>
        <w:fldChar w:fldCharType="separate"/>
      </w:r>
      <w:r>
        <w:rPr>
          <w:rFonts w:hint="eastAsia"/>
          <w:highlight w:val="none"/>
        </w:rPr>
        <w:t>www.ccgp.gov.cn</w:t>
      </w:r>
      <w:r>
        <w:rPr>
          <w:rFonts w:hint="eastAsia"/>
          <w:highlight w:val="none"/>
        </w:rPr>
        <w:fldChar w:fldCharType="end"/>
      </w:r>
      <w:r>
        <w:rPr>
          <w:rFonts w:hint="eastAsia"/>
          <w:highlight w:val="none"/>
        </w:rPr>
        <w:t>）任意一处即可。</w:t>
      </w:r>
    </w:p>
    <w:p>
      <w:pPr>
        <w:rPr>
          <w:highlight w:val="none"/>
        </w:rPr>
        <w:sectPr>
          <w:pgSz w:w="11910" w:h="16840"/>
          <w:pgMar w:top="1240" w:right="920" w:bottom="1040" w:left="1180" w:header="880" w:footer="852" w:gutter="0"/>
          <w:cols w:space="720" w:num="1"/>
        </w:sectPr>
      </w:pPr>
    </w:p>
    <w:p>
      <w:pPr>
        <w:pStyle w:val="13"/>
        <w:spacing w:before="11"/>
        <w:rPr>
          <w:sz w:val="3"/>
          <w:highlight w:val="none"/>
        </w:rPr>
      </w:pPr>
    </w:p>
    <w:p>
      <w:pPr>
        <w:pStyle w:val="13"/>
        <w:spacing w:line="57" w:lineRule="exact"/>
        <w:ind w:left="238"/>
        <w:rPr>
          <w:sz w:val="5"/>
          <w:highlight w:val="none"/>
        </w:rPr>
      </w:pPr>
    </w:p>
    <w:p>
      <w:pPr>
        <w:pStyle w:val="6"/>
        <w:spacing w:before="6"/>
        <w:ind w:left="238" w:right="0"/>
        <w:jc w:val="left"/>
        <w:rPr>
          <w:highlight w:val="none"/>
        </w:rPr>
      </w:pPr>
      <w:bookmarkStart w:id="17" w:name="第二部分：技术资信标包装及封面格式（封面格式仅供参考）"/>
      <w:bookmarkEnd w:id="17"/>
      <w:r>
        <w:rPr>
          <w:rFonts w:hint="eastAsia"/>
          <w:highlight w:val="none"/>
        </w:rPr>
        <w:t>第二部分：技术资信标包装及封面格式（封面格式仅供参考）</w:t>
      </w:r>
    </w:p>
    <w:p>
      <w:pPr>
        <w:pStyle w:val="7"/>
        <w:ind w:left="7558"/>
        <w:rPr>
          <w:highlight w:val="none"/>
        </w:rPr>
      </w:pPr>
      <w:r>
        <w:rPr>
          <w:rFonts w:hint="eastAsia"/>
          <w:highlight w:val="none"/>
        </w:rPr>
        <w:t>（正本/副本）</w:t>
      </w:r>
    </w:p>
    <w:p>
      <w:pPr>
        <w:pStyle w:val="13"/>
        <w:rPr>
          <w:sz w:val="28"/>
          <w:highlight w:val="none"/>
        </w:rPr>
      </w:pPr>
    </w:p>
    <w:p>
      <w:pPr>
        <w:pStyle w:val="13"/>
        <w:spacing w:before="9"/>
        <w:rPr>
          <w:sz w:val="32"/>
          <w:highlight w:val="none"/>
        </w:rPr>
      </w:pPr>
    </w:p>
    <w:p>
      <w:pPr>
        <w:ind w:left="49" w:right="133"/>
        <w:jc w:val="center"/>
        <w:rPr>
          <w:b/>
          <w:sz w:val="48"/>
          <w:highlight w:val="none"/>
        </w:rPr>
      </w:pPr>
      <w:r>
        <w:rPr>
          <w:rFonts w:hint="eastAsia"/>
          <w:b/>
          <w:sz w:val="48"/>
          <w:highlight w:val="none"/>
        </w:rPr>
        <w:t>兰溪市综合交通规划“十四五”规划</w:t>
      </w:r>
    </w:p>
    <w:p>
      <w:pPr>
        <w:ind w:left="49" w:right="133"/>
        <w:jc w:val="center"/>
        <w:rPr>
          <w:b/>
          <w:sz w:val="48"/>
          <w:highlight w:val="none"/>
        </w:rPr>
      </w:pPr>
      <w:r>
        <w:rPr>
          <w:rFonts w:hint="eastAsia"/>
          <w:b/>
          <w:sz w:val="48"/>
          <w:highlight w:val="none"/>
        </w:rPr>
        <w:t>落地方案</w:t>
      </w:r>
    </w:p>
    <w:p>
      <w:pPr>
        <w:pStyle w:val="13"/>
        <w:rPr>
          <w:b/>
          <w:sz w:val="48"/>
          <w:highlight w:val="none"/>
        </w:rPr>
      </w:pPr>
    </w:p>
    <w:p>
      <w:pPr>
        <w:pStyle w:val="13"/>
        <w:rPr>
          <w:b/>
          <w:sz w:val="48"/>
          <w:highlight w:val="none"/>
        </w:rPr>
      </w:pPr>
    </w:p>
    <w:p>
      <w:pPr>
        <w:spacing w:before="361"/>
        <w:ind w:left="2308" w:right="1678"/>
        <w:jc w:val="center"/>
        <w:rPr>
          <w:b/>
          <w:sz w:val="56"/>
          <w:szCs w:val="21"/>
          <w:highlight w:val="none"/>
        </w:rPr>
      </w:pPr>
      <w:r>
        <w:rPr>
          <w:rFonts w:hint="eastAsia"/>
          <w:b/>
          <w:sz w:val="56"/>
          <w:szCs w:val="21"/>
          <w:highlight w:val="none"/>
        </w:rPr>
        <w:t>投标文件</w:t>
      </w:r>
    </w:p>
    <w:p>
      <w:pPr>
        <w:pStyle w:val="13"/>
        <w:spacing w:before="9"/>
        <w:rPr>
          <w:b/>
          <w:sz w:val="72"/>
          <w:szCs w:val="20"/>
          <w:highlight w:val="none"/>
        </w:rPr>
      </w:pPr>
    </w:p>
    <w:p>
      <w:pPr>
        <w:ind w:left="49" w:right="133"/>
        <w:jc w:val="center"/>
        <w:rPr>
          <w:b/>
          <w:sz w:val="56"/>
          <w:szCs w:val="21"/>
          <w:highlight w:val="none"/>
        </w:rPr>
      </w:pPr>
      <w:r>
        <w:rPr>
          <w:rFonts w:hint="eastAsia"/>
          <w:b/>
          <w:sz w:val="56"/>
          <w:szCs w:val="21"/>
          <w:highlight w:val="none"/>
        </w:rPr>
        <w:t>（技术资信标）</w:t>
      </w:r>
    </w:p>
    <w:p>
      <w:pPr>
        <w:pStyle w:val="13"/>
        <w:rPr>
          <w:b/>
          <w:sz w:val="56"/>
          <w:highlight w:val="none"/>
        </w:rPr>
      </w:pPr>
    </w:p>
    <w:p>
      <w:pPr>
        <w:pStyle w:val="14"/>
        <w:ind w:firstLine="240"/>
        <w:rPr>
          <w:highlight w:val="none"/>
        </w:rPr>
      </w:pPr>
    </w:p>
    <w:p>
      <w:pPr>
        <w:pStyle w:val="13"/>
        <w:spacing w:before="8"/>
        <w:rPr>
          <w:b/>
          <w:sz w:val="79"/>
          <w:highlight w:val="none"/>
        </w:rPr>
      </w:pPr>
    </w:p>
    <w:p>
      <w:pPr>
        <w:pStyle w:val="5"/>
        <w:spacing w:before="1"/>
        <w:rPr>
          <w:highlight w:val="none"/>
        </w:rPr>
      </w:pPr>
      <w:r>
        <w:rPr>
          <w:rFonts w:hint="eastAsia"/>
          <w:highlight w:val="none"/>
        </w:rPr>
        <w:t>项目编号：</w:t>
      </w:r>
    </w:p>
    <w:p>
      <w:pPr>
        <w:pStyle w:val="5"/>
        <w:spacing w:before="52"/>
        <w:rPr>
          <w:highlight w:val="none"/>
        </w:rPr>
      </w:pPr>
      <w:r>
        <w:rPr>
          <w:rFonts w:hint="eastAsia"/>
          <w:highlight w:val="none"/>
        </w:rPr>
        <w:t>投标人全称（公章）：</w:t>
      </w:r>
    </w:p>
    <w:p>
      <w:pPr>
        <w:pStyle w:val="5"/>
        <w:spacing w:before="57" w:line="273" w:lineRule="auto"/>
        <w:ind w:right="3565"/>
        <w:rPr>
          <w:highlight w:val="none"/>
        </w:rPr>
      </w:pPr>
      <w:r>
        <w:rPr>
          <w:rFonts w:hint="eastAsia"/>
          <w:highlight w:val="none"/>
        </w:rPr>
        <w:t>法定代表人或委托代表人签字或盖章： 投标人地址：</w:t>
      </w:r>
    </w:p>
    <w:p>
      <w:pPr>
        <w:pStyle w:val="5"/>
        <w:spacing w:before="2"/>
        <w:rPr>
          <w:highlight w:val="none"/>
        </w:rPr>
      </w:pPr>
      <w:r>
        <w:rPr>
          <w:rFonts w:hint="eastAsia"/>
          <w:highlight w:val="none"/>
        </w:rPr>
        <w:t>联系电话：</w:t>
      </w:r>
    </w:p>
    <w:p>
      <w:pPr>
        <w:pStyle w:val="13"/>
        <w:rPr>
          <w:sz w:val="30"/>
          <w:highlight w:val="none"/>
        </w:rPr>
      </w:pPr>
    </w:p>
    <w:p>
      <w:pPr>
        <w:pStyle w:val="13"/>
        <w:rPr>
          <w:sz w:val="30"/>
          <w:highlight w:val="none"/>
        </w:rPr>
      </w:pPr>
    </w:p>
    <w:p>
      <w:pPr>
        <w:pStyle w:val="13"/>
        <w:rPr>
          <w:sz w:val="30"/>
          <w:highlight w:val="none"/>
        </w:rPr>
      </w:pPr>
    </w:p>
    <w:p>
      <w:pPr>
        <w:pStyle w:val="13"/>
        <w:rPr>
          <w:sz w:val="30"/>
          <w:highlight w:val="none"/>
        </w:rPr>
      </w:pPr>
    </w:p>
    <w:p>
      <w:pPr>
        <w:pStyle w:val="7"/>
        <w:tabs>
          <w:tab w:val="left" w:pos="6509"/>
          <w:tab w:val="left" w:pos="7068"/>
        </w:tabs>
        <w:spacing w:before="220"/>
        <w:ind w:left="5950"/>
        <w:rPr>
          <w:highlight w:val="none"/>
        </w:rPr>
      </w:pPr>
      <w:r>
        <w:rPr>
          <w:rFonts w:hint="eastAsia"/>
          <w:highlight w:val="none"/>
        </w:rPr>
        <w:t>年</w:t>
      </w:r>
      <w:r>
        <w:rPr>
          <w:rFonts w:hint="eastAsia"/>
          <w:highlight w:val="none"/>
        </w:rPr>
        <w:tab/>
      </w:r>
      <w:r>
        <w:rPr>
          <w:rFonts w:hint="eastAsia"/>
          <w:highlight w:val="none"/>
        </w:rPr>
        <w:t>月</w:t>
      </w:r>
      <w:r>
        <w:rPr>
          <w:rFonts w:hint="eastAsia"/>
          <w:highlight w:val="none"/>
        </w:rPr>
        <w:tab/>
      </w:r>
      <w:r>
        <w:rPr>
          <w:rFonts w:hint="eastAsia"/>
          <w:highlight w:val="none"/>
        </w:rPr>
        <w:t>日</w:t>
      </w:r>
    </w:p>
    <w:p>
      <w:pPr>
        <w:rPr>
          <w:highlight w:val="none"/>
        </w:rPr>
        <w:sectPr>
          <w:pgSz w:w="11910" w:h="16840"/>
          <w:pgMar w:top="1240" w:right="920" w:bottom="1040" w:left="1180" w:header="880" w:footer="852" w:gutter="0"/>
          <w:cols w:space="720" w:num="1"/>
        </w:sectPr>
      </w:pPr>
    </w:p>
    <w:p>
      <w:pPr>
        <w:pStyle w:val="13"/>
        <w:spacing w:before="11"/>
        <w:rPr>
          <w:sz w:val="3"/>
          <w:highlight w:val="none"/>
        </w:rPr>
      </w:pPr>
    </w:p>
    <w:p>
      <w:pPr>
        <w:pStyle w:val="13"/>
        <w:spacing w:line="57" w:lineRule="exact"/>
        <w:ind w:left="238"/>
        <w:rPr>
          <w:sz w:val="5"/>
          <w:highlight w:val="none"/>
        </w:rPr>
      </w:pPr>
    </w:p>
    <w:p>
      <w:pPr>
        <w:pStyle w:val="6"/>
        <w:spacing w:before="124"/>
        <w:ind w:right="136"/>
        <w:rPr>
          <w:highlight w:val="none"/>
        </w:rPr>
      </w:pPr>
      <w:r>
        <w:rPr>
          <w:rFonts w:hint="eastAsia"/>
          <w:highlight w:val="none"/>
        </w:rPr>
        <w:t>技术资信标目录</w:t>
      </w:r>
    </w:p>
    <w:p>
      <w:pPr>
        <w:pStyle w:val="13"/>
        <w:spacing w:before="10"/>
        <w:rPr>
          <w:b/>
          <w:sz w:val="39"/>
          <w:highlight w:val="none"/>
        </w:rPr>
      </w:pPr>
    </w:p>
    <w:p>
      <w:pPr>
        <w:spacing w:line="360" w:lineRule="exact"/>
        <w:ind w:firstLine="439" w:firstLineChars="183"/>
        <w:jc w:val="both"/>
        <w:rPr>
          <w:sz w:val="24"/>
          <w:szCs w:val="24"/>
          <w:highlight w:val="none"/>
        </w:rPr>
      </w:pPr>
      <w:r>
        <w:rPr>
          <w:rFonts w:hint="eastAsia"/>
          <w:sz w:val="24"/>
          <w:szCs w:val="24"/>
          <w:highlight w:val="none"/>
        </w:rPr>
        <w:t>（1）</w:t>
      </w:r>
      <w:r>
        <w:rPr>
          <w:sz w:val="24"/>
          <w:szCs w:val="24"/>
          <w:highlight w:val="none"/>
        </w:rPr>
        <w:t>投标声明书；</w:t>
      </w:r>
    </w:p>
    <w:p>
      <w:pPr>
        <w:spacing w:line="360" w:lineRule="exact"/>
        <w:ind w:firstLine="439" w:firstLineChars="183"/>
        <w:jc w:val="both"/>
        <w:rPr>
          <w:sz w:val="24"/>
          <w:szCs w:val="24"/>
          <w:highlight w:val="none"/>
        </w:rPr>
      </w:pPr>
      <w:r>
        <w:rPr>
          <w:rFonts w:hint="eastAsia"/>
          <w:sz w:val="24"/>
          <w:szCs w:val="24"/>
          <w:highlight w:val="none"/>
        </w:rPr>
        <w:t>（2）</w:t>
      </w:r>
      <w:r>
        <w:rPr>
          <w:sz w:val="24"/>
          <w:szCs w:val="24"/>
          <w:highlight w:val="none"/>
        </w:rPr>
        <w:t>法定代表人证明或法定代表人授权委托书；</w:t>
      </w:r>
    </w:p>
    <w:p>
      <w:pPr>
        <w:spacing w:line="360" w:lineRule="exact"/>
        <w:ind w:firstLine="439" w:firstLineChars="183"/>
        <w:jc w:val="both"/>
        <w:rPr>
          <w:sz w:val="24"/>
          <w:szCs w:val="24"/>
          <w:highlight w:val="none"/>
        </w:rPr>
      </w:pPr>
      <w:r>
        <w:rPr>
          <w:rFonts w:hint="eastAsia"/>
          <w:sz w:val="24"/>
          <w:szCs w:val="24"/>
          <w:highlight w:val="none"/>
        </w:rPr>
        <w:t>（3）</w:t>
      </w:r>
      <w:r>
        <w:rPr>
          <w:sz w:val="24"/>
          <w:szCs w:val="24"/>
          <w:highlight w:val="none"/>
        </w:rPr>
        <w:t>法定代表人或受托人身份证复印件；</w:t>
      </w:r>
    </w:p>
    <w:p>
      <w:pPr>
        <w:spacing w:line="360" w:lineRule="exact"/>
        <w:ind w:firstLine="439" w:firstLineChars="183"/>
        <w:jc w:val="both"/>
        <w:rPr>
          <w:sz w:val="24"/>
          <w:szCs w:val="24"/>
          <w:highlight w:val="none"/>
        </w:rPr>
      </w:pPr>
      <w:r>
        <w:rPr>
          <w:rFonts w:hint="eastAsia"/>
          <w:sz w:val="24"/>
          <w:szCs w:val="24"/>
          <w:highlight w:val="none"/>
        </w:rPr>
        <w:t>（4）</w:t>
      </w:r>
      <w:r>
        <w:rPr>
          <w:sz w:val="24"/>
          <w:szCs w:val="24"/>
          <w:highlight w:val="none"/>
        </w:rPr>
        <w:t>投标人《营业执照》、《税务登记证》、《社保登记证》（或</w:t>
      </w:r>
      <w:r>
        <w:rPr>
          <w:bCs/>
          <w:sz w:val="24"/>
          <w:szCs w:val="24"/>
          <w:highlight w:val="none"/>
        </w:rPr>
        <w:t>相关社保证明材料</w:t>
      </w:r>
      <w:r>
        <w:rPr>
          <w:sz w:val="24"/>
          <w:szCs w:val="24"/>
          <w:highlight w:val="none"/>
        </w:rPr>
        <w:t>）或新版三证及以上合一的《营业执照》复印件(须加盖单位公章)</w:t>
      </w:r>
      <w:r>
        <w:rPr>
          <w:rFonts w:hint="eastAsia"/>
          <w:sz w:val="24"/>
          <w:szCs w:val="24"/>
          <w:highlight w:val="none"/>
        </w:rPr>
        <w:t>，</w:t>
      </w:r>
      <w:r>
        <w:rPr>
          <w:sz w:val="24"/>
          <w:szCs w:val="24"/>
          <w:highlight w:val="none"/>
        </w:rPr>
        <w:t>原件提供备查；</w:t>
      </w:r>
    </w:p>
    <w:p>
      <w:pPr>
        <w:spacing w:line="400" w:lineRule="exact"/>
        <w:ind w:firstLine="439" w:firstLineChars="183"/>
        <w:jc w:val="both"/>
        <w:rPr>
          <w:sz w:val="24"/>
          <w:szCs w:val="24"/>
          <w:highlight w:val="none"/>
        </w:rPr>
      </w:pPr>
      <w:r>
        <w:rPr>
          <w:rFonts w:hint="eastAsia"/>
          <w:sz w:val="24"/>
          <w:szCs w:val="24"/>
          <w:highlight w:val="none"/>
        </w:rPr>
        <w:t>（5</w:t>
      </w:r>
      <w:r>
        <w:rPr>
          <w:sz w:val="24"/>
          <w:szCs w:val="24"/>
          <w:highlight w:val="none"/>
        </w:rPr>
        <w:t>）投标人基本情况表；</w:t>
      </w:r>
    </w:p>
    <w:p>
      <w:pPr>
        <w:spacing w:line="400" w:lineRule="exact"/>
        <w:ind w:firstLine="439" w:firstLineChars="183"/>
        <w:jc w:val="both"/>
        <w:rPr>
          <w:sz w:val="24"/>
          <w:szCs w:val="24"/>
          <w:highlight w:val="none"/>
        </w:rPr>
      </w:pPr>
      <w:r>
        <w:rPr>
          <w:rFonts w:hint="eastAsia"/>
          <w:sz w:val="24"/>
          <w:szCs w:val="24"/>
          <w:highlight w:val="none"/>
        </w:rPr>
        <w:t>（6</w:t>
      </w:r>
      <w:r>
        <w:rPr>
          <w:sz w:val="24"/>
          <w:szCs w:val="24"/>
          <w:highlight w:val="none"/>
        </w:rPr>
        <w:t>）</w:t>
      </w:r>
      <w:r>
        <w:rPr>
          <w:rFonts w:hint="eastAsia"/>
          <w:sz w:val="24"/>
          <w:szCs w:val="24"/>
          <w:highlight w:val="none"/>
        </w:rPr>
        <w:t>拟投入本项目的人员配备表及相关证书复印件</w:t>
      </w:r>
    </w:p>
    <w:p>
      <w:pPr>
        <w:spacing w:line="400" w:lineRule="exact"/>
        <w:ind w:firstLine="439" w:firstLineChars="183"/>
        <w:jc w:val="both"/>
        <w:rPr>
          <w:sz w:val="24"/>
          <w:szCs w:val="24"/>
          <w:highlight w:val="none"/>
        </w:rPr>
      </w:pPr>
      <w:r>
        <w:rPr>
          <w:rFonts w:hint="eastAsia"/>
          <w:sz w:val="24"/>
          <w:szCs w:val="24"/>
          <w:highlight w:val="none"/>
        </w:rPr>
        <w:t>（7</w:t>
      </w:r>
      <w:r>
        <w:rPr>
          <w:sz w:val="24"/>
          <w:szCs w:val="24"/>
          <w:highlight w:val="none"/>
        </w:rPr>
        <w:t>）业绩证明（投标人同类项目实施情况一览表、合同复印件</w:t>
      </w:r>
      <w:r>
        <w:rPr>
          <w:rFonts w:hint="eastAsia"/>
          <w:sz w:val="24"/>
          <w:szCs w:val="24"/>
          <w:highlight w:val="none"/>
        </w:rPr>
        <w:t>等</w:t>
      </w:r>
      <w:r>
        <w:rPr>
          <w:sz w:val="24"/>
          <w:szCs w:val="24"/>
          <w:highlight w:val="none"/>
        </w:rPr>
        <w:t>）；</w:t>
      </w:r>
    </w:p>
    <w:p>
      <w:pPr>
        <w:widowControl/>
        <w:spacing w:line="420" w:lineRule="exact"/>
        <w:ind w:firstLine="439" w:firstLineChars="183"/>
        <w:jc w:val="both"/>
        <w:rPr>
          <w:bCs/>
          <w:sz w:val="24"/>
          <w:szCs w:val="24"/>
          <w:highlight w:val="none"/>
        </w:rPr>
      </w:pPr>
      <w:r>
        <w:rPr>
          <w:rFonts w:hint="eastAsia"/>
          <w:bCs/>
          <w:sz w:val="24"/>
          <w:szCs w:val="24"/>
          <w:highlight w:val="none"/>
        </w:rPr>
        <w:t>（8）</w:t>
      </w:r>
      <w:r>
        <w:rPr>
          <w:bCs/>
          <w:sz w:val="24"/>
          <w:szCs w:val="24"/>
          <w:highlight w:val="none"/>
        </w:rPr>
        <w:t>服务质量承诺书</w:t>
      </w:r>
      <w:r>
        <w:rPr>
          <w:rFonts w:hint="eastAsia"/>
          <w:bCs/>
          <w:sz w:val="24"/>
          <w:szCs w:val="24"/>
          <w:highlight w:val="none"/>
        </w:rPr>
        <w:t>；</w:t>
      </w:r>
    </w:p>
    <w:p>
      <w:pPr>
        <w:widowControl/>
        <w:spacing w:line="420" w:lineRule="exact"/>
        <w:ind w:firstLine="439" w:firstLineChars="183"/>
        <w:jc w:val="both"/>
        <w:rPr>
          <w:bCs/>
          <w:sz w:val="24"/>
          <w:szCs w:val="24"/>
          <w:highlight w:val="none"/>
        </w:rPr>
      </w:pPr>
      <w:r>
        <w:rPr>
          <w:rFonts w:hint="eastAsia"/>
          <w:sz w:val="24"/>
          <w:szCs w:val="24"/>
          <w:highlight w:val="none"/>
        </w:rPr>
        <w:t>（9）</w:t>
      </w:r>
      <w:r>
        <w:rPr>
          <w:sz w:val="24"/>
          <w:szCs w:val="24"/>
          <w:highlight w:val="none"/>
        </w:rPr>
        <w:t>质量保证措施；</w:t>
      </w:r>
    </w:p>
    <w:p>
      <w:pPr>
        <w:pStyle w:val="13"/>
        <w:spacing w:line="420" w:lineRule="exact"/>
        <w:ind w:firstLine="439" w:firstLineChars="183"/>
        <w:jc w:val="both"/>
        <w:rPr>
          <w:sz w:val="24"/>
          <w:szCs w:val="24"/>
          <w:highlight w:val="none"/>
        </w:rPr>
      </w:pPr>
      <w:r>
        <w:rPr>
          <w:rFonts w:hint="eastAsia"/>
          <w:bCs/>
          <w:sz w:val="24"/>
          <w:szCs w:val="24"/>
          <w:highlight w:val="none"/>
        </w:rPr>
        <w:t>（10</w:t>
      </w:r>
      <w:r>
        <w:rPr>
          <w:rFonts w:hint="eastAsia"/>
          <w:sz w:val="24"/>
          <w:szCs w:val="24"/>
          <w:highlight w:val="none"/>
        </w:rPr>
        <w:t>）项目组织管理机构情况</w:t>
      </w:r>
    </w:p>
    <w:p>
      <w:pPr>
        <w:pStyle w:val="13"/>
        <w:spacing w:line="420" w:lineRule="exact"/>
        <w:ind w:firstLine="439" w:firstLineChars="183"/>
        <w:jc w:val="both"/>
        <w:rPr>
          <w:sz w:val="24"/>
          <w:szCs w:val="24"/>
          <w:highlight w:val="none"/>
        </w:rPr>
      </w:pPr>
      <w:r>
        <w:rPr>
          <w:rFonts w:hint="eastAsia"/>
          <w:sz w:val="24"/>
          <w:szCs w:val="24"/>
          <w:highlight w:val="none"/>
        </w:rPr>
        <w:t>（11）</w:t>
      </w:r>
      <w:r>
        <w:rPr>
          <w:sz w:val="24"/>
          <w:szCs w:val="24"/>
          <w:highlight w:val="none"/>
        </w:rPr>
        <w:t>项目组织实施方案；</w:t>
      </w:r>
    </w:p>
    <w:p>
      <w:pPr>
        <w:spacing w:line="400" w:lineRule="exact"/>
        <w:ind w:firstLine="439" w:firstLineChars="183"/>
        <w:jc w:val="both"/>
        <w:rPr>
          <w:sz w:val="24"/>
          <w:szCs w:val="24"/>
          <w:highlight w:val="none"/>
        </w:rPr>
      </w:pPr>
      <w:r>
        <w:rPr>
          <w:rFonts w:hint="eastAsia"/>
          <w:sz w:val="24"/>
          <w:szCs w:val="24"/>
          <w:highlight w:val="none"/>
        </w:rPr>
        <w:t>（12</w:t>
      </w:r>
      <w:r>
        <w:rPr>
          <w:sz w:val="24"/>
          <w:szCs w:val="24"/>
          <w:highlight w:val="none"/>
        </w:rPr>
        <w:t>）</w:t>
      </w:r>
      <w:r>
        <w:rPr>
          <w:rFonts w:hint="eastAsia"/>
          <w:sz w:val="24"/>
          <w:szCs w:val="24"/>
          <w:highlight w:val="none"/>
        </w:rPr>
        <w:t>对项目目标、研究内容的理解；</w:t>
      </w:r>
    </w:p>
    <w:p>
      <w:pPr>
        <w:spacing w:line="400" w:lineRule="exact"/>
        <w:ind w:firstLine="439" w:firstLineChars="183"/>
        <w:jc w:val="both"/>
        <w:rPr>
          <w:sz w:val="24"/>
          <w:szCs w:val="24"/>
          <w:highlight w:val="none"/>
        </w:rPr>
      </w:pPr>
      <w:r>
        <w:rPr>
          <w:rFonts w:hint="eastAsia"/>
          <w:sz w:val="24"/>
          <w:szCs w:val="24"/>
          <w:highlight w:val="none"/>
        </w:rPr>
        <w:t>（13</w:t>
      </w:r>
      <w:r>
        <w:rPr>
          <w:sz w:val="24"/>
          <w:szCs w:val="24"/>
          <w:highlight w:val="none"/>
        </w:rPr>
        <w:t>）保持员工队伍稳定措施情况；</w:t>
      </w:r>
    </w:p>
    <w:p>
      <w:pPr>
        <w:spacing w:line="400" w:lineRule="exact"/>
        <w:ind w:firstLine="439" w:firstLineChars="183"/>
        <w:jc w:val="both"/>
        <w:rPr>
          <w:sz w:val="24"/>
          <w:szCs w:val="24"/>
          <w:highlight w:val="none"/>
        </w:rPr>
      </w:pPr>
      <w:r>
        <w:rPr>
          <w:rFonts w:hint="eastAsia"/>
          <w:sz w:val="24"/>
          <w:szCs w:val="24"/>
          <w:highlight w:val="none"/>
        </w:rPr>
        <w:t>（14</w:t>
      </w:r>
      <w:r>
        <w:rPr>
          <w:sz w:val="24"/>
          <w:szCs w:val="24"/>
          <w:highlight w:val="none"/>
        </w:rPr>
        <w:t>）</w:t>
      </w:r>
      <w:r>
        <w:rPr>
          <w:rFonts w:hint="eastAsia"/>
          <w:sz w:val="24"/>
          <w:szCs w:val="24"/>
          <w:highlight w:val="none"/>
        </w:rPr>
        <w:t>工作方案、综合服务、重点难点分析和解决方法、保证措施等内容；</w:t>
      </w:r>
    </w:p>
    <w:p>
      <w:pPr>
        <w:pStyle w:val="13"/>
        <w:spacing w:line="420" w:lineRule="exact"/>
        <w:ind w:firstLine="439" w:firstLineChars="183"/>
        <w:jc w:val="both"/>
        <w:rPr>
          <w:sz w:val="24"/>
          <w:szCs w:val="24"/>
          <w:highlight w:val="none"/>
        </w:rPr>
      </w:pPr>
      <w:r>
        <w:rPr>
          <w:rFonts w:hint="eastAsia"/>
          <w:sz w:val="24"/>
          <w:szCs w:val="24"/>
          <w:highlight w:val="none"/>
        </w:rPr>
        <w:t>（15）合理化建议、内部管理制度等；</w:t>
      </w:r>
    </w:p>
    <w:p>
      <w:pPr>
        <w:spacing w:line="420" w:lineRule="exact"/>
        <w:ind w:firstLine="439" w:firstLineChars="183"/>
        <w:jc w:val="both"/>
        <w:rPr>
          <w:sz w:val="24"/>
          <w:szCs w:val="24"/>
          <w:highlight w:val="none"/>
        </w:rPr>
      </w:pPr>
      <w:r>
        <w:rPr>
          <w:rFonts w:hint="eastAsia"/>
          <w:sz w:val="24"/>
          <w:szCs w:val="24"/>
          <w:highlight w:val="none"/>
        </w:rPr>
        <w:t>（16）</w:t>
      </w:r>
      <w:r>
        <w:rPr>
          <w:sz w:val="24"/>
          <w:szCs w:val="24"/>
          <w:highlight w:val="none"/>
        </w:rPr>
        <w:t>对本项目的服务承诺。</w:t>
      </w:r>
    </w:p>
    <w:p>
      <w:pPr>
        <w:spacing w:line="400" w:lineRule="exact"/>
        <w:ind w:firstLine="676" w:firstLineChars="282"/>
        <w:jc w:val="both"/>
        <w:rPr>
          <w:sz w:val="24"/>
          <w:szCs w:val="24"/>
          <w:highlight w:val="none"/>
        </w:rPr>
      </w:pPr>
      <w:r>
        <w:rPr>
          <w:sz w:val="24"/>
          <w:szCs w:val="24"/>
          <w:highlight w:val="none"/>
        </w:rPr>
        <w:t>1) 关于此次投标的详细方案：投标人须根据规定，充分考虑实际服务内容，制订出详细的投标方案，包括详细的服务方案。</w:t>
      </w:r>
    </w:p>
    <w:p>
      <w:pPr>
        <w:spacing w:line="400" w:lineRule="exact"/>
        <w:ind w:firstLine="676" w:firstLineChars="282"/>
        <w:jc w:val="both"/>
        <w:rPr>
          <w:sz w:val="24"/>
          <w:szCs w:val="24"/>
          <w:highlight w:val="none"/>
        </w:rPr>
      </w:pPr>
      <w:r>
        <w:rPr>
          <w:sz w:val="24"/>
          <w:szCs w:val="24"/>
          <w:highlight w:val="none"/>
        </w:rPr>
        <w:t>2）技术规范偏离表：投标人必须针对第三章的要求进行填列，如果与采购文件规定的要求有偏离的部分须详细填写，不填部分视同与采购文件要求相一致。</w:t>
      </w:r>
    </w:p>
    <w:p>
      <w:pPr>
        <w:spacing w:line="400" w:lineRule="exact"/>
        <w:ind w:firstLine="676" w:firstLineChars="282"/>
        <w:jc w:val="both"/>
        <w:rPr>
          <w:sz w:val="24"/>
          <w:szCs w:val="24"/>
          <w:highlight w:val="none"/>
        </w:rPr>
      </w:pPr>
      <w:r>
        <w:rPr>
          <w:sz w:val="24"/>
          <w:szCs w:val="24"/>
          <w:highlight w:val="none"/>
        </w:rPr>
        <w:t>3）商务偏离表。</w:t>
      </w:r>
    </w:p>
    <w:p>
      <w:pPr>
        <w:spacing w:line="400" w:lineRule="exact"/>
        <w:ind w:firstLine="676" w:firstLineChars="282"/>
        <w:jc w:val="both"/>
        <w:rPr>
          <w:sz w:val="24"/>
          <w:szCs w:val="24"/>
          <w:highlight w:val="none"/>
        </w:rPr>
      </w:pPr>
      <w:r>
        <w:rPr>
          <w:rFonts w:hint="eastAsia"/>
          <w:sz w:val="24"/>
          <w:szCs w:val="24"/>
          <w:highlight w:val="none"/>
          <w:lang w:val="en-US"/>
        </w:rPr>
        <w:t>4</w:t>
      </w:r>
      <w:r>
        <w:rPr>
          <w:sz w:val="24"/>
          <w:szCs w:val="24"/>
          <w:highlight w:val="none"/>
        </w:rPr>
        <w:t>）其它投标人认为有必要提供的资料</w:t>
      </w:r>
      <w:r>
        <w:rPr>
          <w:rFonts w:hint="eastAsia"/>
          <w:sz w:val="24"/>
          <w:szCs w:val="24"/>
          <w:highlight w:val="none"/>
        </w:rPr>
        <w:t>；</w:t>
      </w:r>
    </w:p>
    <w:p>
      <w:pPr>
        <w:spacing w:line="400" w:lineRule="exact"/>
        <w:ind w:firstLine="439" w:firstLineChars="183"/>
        <w:jc w:val="both"/>
        <w:rPr>
          <w:sz w:val="24"/>
          <w:szCs w:val="24"/>
          <w:highlight w:val="none"/>
        </w:rPr>
      </w:pPr>
      <w:r>
        <w:rPr>
          <w:rFonts w:hint="eastAsia"/>
          <w:sz w:val="24"/>
          <w:szCs w:val="24"/>
          <w:highlight w:val="none"/>
        </w:rPr>
        <w:t xml:space="preserve"> （1</w:t>
      </w:r>
      <w:r>
        <w:rPr>
          <w:rFonts w:hint="eastAsia"/>
          <w:sz w:val="24"/>
          <w:szCs w:val="24"/>
          <w:highlight w:val="none"/>
          <w:lang w:val="en-US"/>
        </w:rPr>
        <w:t>7</w:t>
      </w:r>
      <w:r>
        <w:rPr>
          <w:rFonts w:hint="eastAsia"/>
          <w:sz w:val="24"/>
          <w:szCs w:val="24"/>
          <w:highlight w:val="none"/>
        </w:rPr>
        <w:t xml:space="preserve">） </w:t>
      </w:r>
      <w:r>
        <w:rPr>
          <w:rFonts w:hint="eastAsia"/>
          <w:sz w:val="24"/>
          <w:szCs w:val="24"/>
          <w:highlight w:val="none"/>
          <w:lang w:eastAsia="zh-CN"/>
        </w:rPr>
        <w:t>技术资信标</w:t>
      </w:r>
      <w:r>
        <w:rPr>
          <w:rFonts w:hint="eastAsia"/>
          <w:sz w:val="24"/>
          <w:szCs w:val="24"/>
          <w:highlight w:val="none"/>
        </w:rPr>
        <w:t>自评分表。</w:t>
      </w:r>
    </w:p>
    <w:p>
      <w:pPr>
        <w:pStyle w:val="6"/>
        <w:rPr>
          <w:highlight w:val="none"/>
        </w:rPr>
      </w:pPr>
    </w:p>
    <w:p>
      <w:pPr>
        <w:rPr>
          <w:highlight w:val="none"/>
        </w:rPr>
      </w:pPr>
    </w:p>
    <w:p>
      <w:pPr>
        <w:pStyle w:val="25"/>
        <w:ind w:left="440"/>
        <w:rPr>
          <w:rFonts w:ascii="宋体" w:hAnsi="宋体"/>
          <w:highlight w:val="none"/>
        </w:rPr>
      </w:pPr>
    </w:p>
    <w:p>
      <w:pPr>
        <w:pStyle w:val="25"/>
        <w:ind w:left="440"/>
        <w:rPr>
          <w:rFonts w:ascii="宋体" w:hAnsi="宋体"/>
          <w:highlight w:val="none"/>
        </w:rPr>
      </w:pPr>
    </w:p>
    <w:p>
      <w:pPr>
        <w:pStyle w:val="6"/>
        <w:rPr>
          <w:highlight w:val="none"/>
        </w:rPr>
      </w:pPr>
    </w:p>
    <w:p>
      <w:pPr>
        <w:pStyle w:val="6"/>
        <w:rPr>
          <w:highlight w:val="none"/>
        </w:rPr>
      </w:pPr>
    </w:p>
    <w:p>
      <w:pPr>
        <w:rPr>
          <w:highlight w:val="none"/>
        </w:rPr>
      </w:pPr>
    </w:p>
    <w:p>
      <w:pPr>
        <w:pStyle w:val="13"/>
        <w:rPr>
          <w:highlight w:val="none"/>
        </w:rPr>
      </w:pPr>
    </w:p>
    <w:p>
      <w:pPr>
        <w:pStyle w:val="14"/>
        <w:ind w:firstLine="240"/>
        <w:rPr>
          <w:highlight w:val="none"/>
        </w:rPr>
      </w:pPr>
    </w:p>
    <w:p>
      <w:pPr>
        <w:pStyle w:val="6"/>
        <w:ind w:left="0"/>
        <w:jc w:val="both"/>
        <w:rPr>
          <w:sz w:val="32"/>
          <w:szCs w:val="32"/>
          <w:highlight w:val="none"/>
        </w:rPr>
      </w:pPr>
    </w:p>
    <w:p>
      <w:pPr>
        <w:pStyle w:val="6"/>
        <w:rPr>
          <w:sz w:val="32"/>
          <w:szCs w:val="32"/>
          <w:highlight w:val="none"/>
        </w:rPr>
      </w:pPr>
      <w:r>
        <w:rPr>
          <w:rFonts w:hint="eastAsia"/>
          <w:sz w:val="32"/>
          <w:szCs w:val="32"/>
          <w:highlight w:val="none"/>
        </w:rPr>
        <w:t>投标声明书</w:t>
      </w:r>
    </w:p>
    <w:p>
      <w:pPr>
        <w:pStyle w:val="13"/>
        <w:spacing w:before="229"/>
        <w:ind w:left="238"/>
        <w:rPr>
          <w:highlight w:val="none"/>
        </w:rPr>
      </w:pPr>
      <w:r>
        <w:rPr>
          <w:rFonts w:hint="eastAsia"/>
          <w:highlight w:val="none"/>
        </w:rPr>
        <w:t>致：兰溪市交通运输局</w:t>
      </w:r>
    </w:p>
    <w:p>
      <w:pPr>
        <w:pStyle w:val="13"/>
        <w:tabs>
          <w:tab w:val="left" w:pos="3492"/>
          <w:tab w:val="left" w:pos="3703"/>
        </w:tabs>
        <w:spacing w:before="144" w:line="338" w:lineRule="auto"/>
        <w:ind w:left="238" w:right="327" w:firstLine="419"/>
        <w:jc w:val="both"/>
        <w:rPr>
          <w:highlight w:val="none"/>
        </w:rPr>
      </w:pPr>
      <w:r>
        <w:rPr>
          <w:rFonts w:hint="eastAsia"/>
          <w:highlight w:val="none"/>
          <w:u w:val="single"/>
        </w:rPr>
        <w:tab/>
      </w:r>
      <w:r>
        <w:rPr>
          <w:rFonts w:hint="eastAsia"/>
          <w:highlight w:val="none"/>
        </w:rPr>
        <w:t>（投标人名称）系中华人民共和国合法企业，经营地址</w:t>
      </w:r>
      <w:r>
        <w:rPr>
          <w:rFonts w:hint="eastAsia"/>
          <w:highlight w:val="none"/>
          <w:u w:val="single"/>
        </w:rPr>
        <w:tab/>
      </w:r>
      <w:r>
        <w:rPr>
          <w:rFonts w:hint="eastAsia"/>
          <w:highlight w:val="none"/>
          <w:u w:val="single"/>
        </w:rPr>
        <w:tab/>
      </w:r>
      <w:r>
        <w:rPr>
          <w:rFonts w:hint="eastAsia"/>
          <w:highlight w:val="none"/>
        </w:rPr>
        <w:t>。</w:t>
      </w:r>
    </w:p>
    <w:p>
      <w:pPr>
        <w:pStyle w:val="13"/>
        <w:tabs>
          <w:tab w:val="left" w:pos="1687"/>
          <w:tab w:val="left" w:pos="4227"/>
          <w:tab w:val="left" w:pos="5530"/>
        </w:tabs>
        <w:spacing w:before="2" w:line="340" w:lineRule="auto"/>
        <w:ind w:left="238" w:right="327" w:firstLine="420"/>
        <w:jc w:val="both"/>
        <w:rPr>
          <w:highlight w:val="none"/>
        </w:rPr>
      </w:pPr>
      <w:r>
        <w:rPr>
          <w:rFonts w:hint="eastAsia"/>
          <w:highlight w:val="none"/>
        </w:rPr>
        <w:t>我</w:t>
      </w:r>
      <w:r>
        <w:rPr>
          <w:rFonts w:hint="eastAsia"/>
          <w:highlight w:val="none"/>
          <w:u w:val="single"/>
        </w:rPr>
        <w:tab/>
      </w:r>
      <w:r>
        <w:rPr>
          <w:rFonts w:hint="eastAsia"/>
          <w:highlight w:val="none"/>
          <w:u w:val="single"/>
        </w:rPr>
        <w:t>（</w:t>
      </w:r>
      <w:r>
        <w:rPr>
          <w:rFonts w:hint="eastAsia"/>
          <w:highlight w:val="none"/>
        </w:rPr>
        <w:t>姓名</w:t>
      </w:r>
      <w:r>
        <w:rPr>
          <w:rFonts w:hint="eastAsia"/>
          <w:spacing w:val="-20"/>
          <w:highlight w:val="none"/>
        </w:rPr>
        <w:t>）</w:t>
      </w:r>
      <w:r>
        <w:rPr>
          <w:rFonts w:hint="eastAsia"/>
          <w:highlight w:val="none"/>
        </w:rPr>
        <w:t>系</w:t>
      </w:r>
      <w:r>
        <w:rPr>
          <w:rFonts w:hint="eastAsia"/>
          <w:highlight w:val="none"/>
          <w:u w:val="single"/>
        </w:rPr>
        <w:tab/>
      </w:r>
      <w:r>
        <w:rPr>
          <w:rFonts w:hint="eastAsia"/>
          <w:highlight w:val="none"/>
          <w:u w:val="single"/>
        </w:rPr>
        <w:tab/>
      </w:r>
      <w:r>
        <w:rPr>
          <w:rFonts w:hint="eastAsia"/>
          <w:w w:val="95"/>
          <w:highlight w:val="none"/>
        </w:rPr>
        <w:t>（</w:t>
      </w:r>
      <w:r>
        <w:rPr>
          <w:rFonts w:hint="eastAsia"/>
          <w:highlight w:val="none"/>
        </w:rPr>
        <w:t>投标人名称）的法定代表人，我方愿意参加贵方组织的</w:t>
      </w:r>
      <w:r>
        <w:rPr>
          <w:rFonts w:hint="eastAsia"/>
          <w:highlight w:val="none"/>
          <w:u w:val="single"/>
        </w:rPr>
        <w:tab/>
      </w:r>
      <w:r>
        <w:rPr>
          <w:rFonts w:hint="eastAsia"/>
          <w:highlight w:val="none"/>
          <w:u w:val="single"/>
        </w:rPr>
        <w:tab/>
      </w:r>
      <w:r>
        <w:rPr>
          <w:rFonts w:hint="eastAsia"/>
          <w:highlight w:val="none"/>
        </w:rPr>
        <w:t>项目的投标，为便于贵方公正、择优地确定中标人及其投 标产品和服务，我方就本次投标有关事项郑重声明如下：</w:t>
      </w:r>
    </w:p>
    <w:p>
      <w:pPr>
        <w:pStyle w:val="13"/>
        <w:spacing w:line="268" w:lineRule="exact"/>
        <w:ind w:left="658"/>
        <w:rPr>
          <w:highlight w:val="none"/>
        </w:rPr>
      </w:pPr>
      <w:r>
        <w:rPr>
          <w:rFonts w:hint="eastAsia"/>
          <w:highlight w:val="none"/>
        </w:rPr>
        <w:t>1、我方向贵方提交的所有投标文件、数据都是准确的和真实的；</w:t>
      </w:r>
    </w:p>
    <w:p>
      <w:pPr>
        <w:pStyle w:val="13"/>
        <w:rPr>
          <w:sz w:val="20"/>
          <w:highlight w:val="none"/>
        </w:rPr>
      </w:pPr>
    </w:p>
    <w:p>
      <w:pPr>
        <w:pStyle w:val="13"/>
        <w:rPr>
          <w:sz w:val="20"/>
          <w:highlight w:val="none"/>
        </w:rPr>
      </w:pPr>
    </w:p>
    <w:p>
      <w:pPr>
        <w:pStyle w:val="13"/>
        <w:rPr>
          <w:sz w:val="20"/>
          <w:highlight w:val="none"/>
        </w:rPr>
      </w:pPr>
    </w:p>
    <w:p>
      <w:pPr>
        <w:pStyle w:val="13"/>
        <w:spacing w:before="7"/>
        <w:rPr>
          <w:sz w:val="17"/>
          <w:highlight w:val="none"/>
        </w:rPr>
      </w:pPr>
    </w:p>
    <w:p>
      <w:pPr>
        <w:pStyle w:val="13"/>
        <w:spacing w:line="340" w:lineRule="auto"/>
        <w:ind w:left="238" w:right="327" w:firstLine="420"/>
        <w:rPr>
          <w:highlight w:val="none"/>
        </w:rPr>
      </w:pPr>
      <w:r>
        <w:rPr>
          <w:rFonts w:hint="eastAsia"/>
          <w:highlight w:val="none"/>
        </w:rPr>
        <w:t>2、我方不是采购单位的附属机构；在获知本项目采购信息后，与采购单位聘请的为此项目提供咨</w:t>
      </w:r>
      <w:r>
        <w:rPr>
          <w:rFonts w:hint="eastAsia"/>
          <w:spacing w:val="-6"/>
          <w:highlight w:val="none"/>
        </w:rPr>
        <w:t>询服务的公司及其附属机构没有任何联系。</w:t>
      </w:r>
    </w:p>
    <w:p>
      <w:pPr>
        <w:pStyle w:val="13"/>
        <w:rPr>
          <w:sz w:val="20"/>
          <w:highlight w:val="none"/>
        </w:rPr>
      </w:pPr>
    </w:p>
    <w:p>
      <w:pPr>
        <w:pStyle w:val="13"/>
        <w:rPr>
          <w:sz w:val="20"/>
          <w:highlight w:val="none"/>
        </w:rPr>
      </w:pPr>
    </w:p>
    <w:p>
      <w:pPr>
        <w:pStyle w:val="13"/>
        <w:rPr>
          <w:sz w:val="20"/>
          <w:highlight w:val="none"/>
        </w:rPr>
      </w:pPr>
    </w:p>
    <w:p>
      <w:pPr>
        <w:pStyle w:val="13"/>
        <w:spacing w:before="3"/>
        <w:rPr>
          <w:sz w:val="18"/>
          <w:highlight w:val="none"/>
        </w:rPr>
      </w:pPr>
    </w:p>
    <w:p>
      <w:pPr>
        <w:pStyle w:val="13"/>
        <w:ind w:left="641"/>
        <w:rPr>
          <w:highlight w:val="none"/>
        </w:rPr>
      </w:pPr>
      <w:r>
        <w:rPr>
          <w:rFonts w:hint="eastAsia"/>
          <w:highlight w:val="none"/>
        </w:rPr>
        <w:t>3、我方最近三年内的被公开披露或查处的违法违规行为有：</w:t>
      </w:r>
    </w:p>
    <w:p>
      <w:pPr>
        <w:pStyle w:val="13"/>
        <w:rPr>
          <w:sz w:val="20"/>
          <w:highlight w:val="none"/>
        </w:rPr>
      </w:pPr>
    </w:p>
    <w:p>
      <w:pPr>
        <w:pStyle w:val="13"/>
        <w:rPr>
          <w:sz w:val="20"/>
          <w:highlight w:val="none"/>
        </w:rPr>
      </w:pPr>
    </w:p>
    <w:p>
      <w:pPr>
        <w:pStyle w:val="13"/>
        <w:rPr>
          <w:sz w:val="20"/>
          <w:highlight w:val="none"/>
        </w:rPr>
      </w:pPr>
    </w:p>
    <w:p>
      <w:pPr>
        <w:pStyle w:val="13"/>
        <w:rPr>
          <w:sz w:val="20"/>
          <w:highlight w:val="none"/>
        </w:rPr>
      </w:pPr>
    </w:p>
    <w:p>
      <w:pPr>
        <w:pStyle w:val="13"/>
        <w:rPr>
          <w:sz w:val="20"/>
          <w:highlight w:val="none"/>
        </w:rPr>
      </w:pPr>
    </w:p>
    <w:p>
      <w:pPr>
        <w:pStyle w:val="13"/>
        <w:spacing w:before="9"/>
        <w:rPr>
          <w:sz w:val="27"/>
          <w:highlight w:val="none"/>
        </w:rPr>
      </w:pPr>
    </w:p>
    <w:p>
      <w:pPr>
        <w:pStyle w:val="13"/>
        <w:ind w:left="658"/>
        <w:rPr>
          <w:highlight w:val="none"/>
        </w:rPr>
      </w:pPr>
      <w:r>
        <w:rPr>
          <w:rFonts w:hint="eastAsia"/>
          <w:highlight w:val="none"/>
        </w:rPr>
        <w:t>4、以上事项如有虚假或隐瞒，我方愿意承担一切后果和责任。</w:t>
      </w:r>
    </w:p>
    <w:p>
      <w:pPr>
        <w:pStyle w:val="13"/>
        <w:rPr>
          <w:sz w:val="20"/>
          <w:highlight w:val="none"/>
        </w:rPr>
      </w:pPr>
    </w:p>
    <w:p>
      <w:pPr>
        <w:pStyle w:val="13"/>
        <w:rPr>
          <w:sz w:val="20"/>
          <w:highlight w:val="none"/>
        </w:rPr>
      </w:pPr>
    </w:p>
    <w:p>
      <w:pPr>
        <w:pStyle w:val="13"/>
        <w:rPr>
          <w:sz w:val="20"/>
          <w:highlight w:val="none"/>
        </w:rPr>
      </w:pPr>
    </w:p>
    <w:p>
      <w:pPr>
        <w:pStyle w:val="13"/>
        <w:rPr>
          <w:sz w:val="20"/>
          <w:highlight w:val="none"/>
        </w:rPr>
      </w:pPr>
    </w:p>
    <w:p>
      <w:pPr>
        <w:pStyle w:val="13"/>
        <w:rPr>
          <w:sz w:val="20"/>
          <w:highlight w:val="none"/>
        </w:rPr>
      </w:pPr>
    </w:p>
    <w:p>
      <w:pPr>
        <w:pStyle w:val="13"/>
        <w:rPr>
          <w:sz w:val="20"/>
          <w:highlight w:val="none"/>
        </w:rPr>
      </w:pPr>
    </w:p>
    <w:p>
      <w:pPr>
        <w:pStyle w:val="13"/>
        <w:spacing w:before="5"/>
        <w:rPr>
          <w:sz w:val="18"/>
          <w:highlight w:val="none"/>
        </w:rPr>
      </w:pPr>
    </w:p>
    <w:p>
      <w:pPr>
        <w:spacing w:line="360" w:lineRule="auto"/>
        <w:ind w:firstLine="5500" w:firstLineChars="2500"/>
        <w:rPr>
          <w:highlight w:val="none"/>
        </w:rPr>
      </w:pPr>
      <w:r>
        <w:rPr>
          <w:rFonts w:hint="eastAsia"/>
          <w:highlight w:val="none"/>
        </w:rPr>
        <w:t>投标人（盖章）：</w:t>
      </w:r>
    </w:p>
    <w:p>
      <w:pPr>
        <w:spacing w:line="360" w:lineRule="auto"/>
        <w:ind w:firstLine="5390" w:firstLineChars="2450"/>
        <w:rPr>
          <w:highlight w:val="none"/>
        </w:rPr>
      </w:pPr>
      <w:r>
        <w:rPr>
          <w:rFonts w:hint="eastAsia"/>
          <w:highlight w:val="none"/>
        </w:rPr>
        <w:t xml:space="preserve"> 法定代表人或委托代理人（签字）：</w:t>
      </w:r>
    </w:p>
    <w:p>
      <w:pPr>
        <w:spacing w:line="360" w:lineRule="auto"/>
        <w:jc w:val="center"/>
        <w:rPr>
          <w:highlight w:val="none"/>
        </w:rPr>
      </w:pPr>
      <w:r>
        <w:rPr>
          <w:rFonts w:hint="eastAsia"/>
          <w:highlight w:val="none"/>
          <w:lang w:val="en-US" w:eastAsia="zh-CN"/>
        </w:rPr>
        <w:t xml:space="preserve">                       </w:t>
      </w:r>
      <w:r>
        <w:rPr>
          <w:rFonts w:hint="eastAsia"/>
          <w:highlight w:val="none"/>
        </w:rPr>
        <w:t>日      期：</w:t>
      </w:r>
    </w:p>
    <w:p>
      <w:pPr>
        <w:pStyle w:val="13"/>
        <w:spacing w:before="11"/>
        <w:rPr>
          <w:sz w:val="3"/>
          <w:highlight w:val="none"/>
        </w:rPr>
      </w:pPr>
    </w:p>
    <w:p>
      <w:pPr>
        <w:pStyle w:val="13"/>
        <w:spacing w:line="57" w:lineRule="exact"/>
        <w:ind w:left="238"/>
        <w:rPr>
          <w:sz w:val="5"/>
          <w:highlight w:val="none"/>
        </w:rPr>
      </w:pPr>
    </w:p>
    <w:p>
      <w:pPr>
        <w:pStyle w:val="13"/>
        <w:spacing w:before="11"/>
        <w:rPr>
          <w:sz w:val="3"/>
          <w:highlight w:val="none"/>
        </w:rPr>
      </w:pPr>
    </w:p>
    <w:p>
      <w:pPr>
        <w:pStyle w:val="10"/>
        <w:ind w:firstLine="0"/>
        <w:rPr>
          <w:highlight w:val="none"/>
        </w:rPr>
      </w:pPr>
    </w:p>
    <w:p>
      <w:pPr>
        <w:pStyle w:val="11"/>
        <w:rPr>
          <w:rFonts w:hint="default"/>
          <w:highlight w:val="none"/>
        </w:rPr>
      </w:pPr>
    </w:p>
    <w:p>
      <w:pPr>
        <w:pStyle w:val="10"/>
        <w:rPr>
          <w:highlight w:val="none"/>
        </w:rPr>
      </w:pPr>
    </w:p>
    <w:p>
      <w:pPr>
        <w:pStyle w:val="11"/>
        <w:rPr>
          <w:rFonts w:hint="default"/>
          <w:highlight w:val="none"/>
        </w:rPr>
      </w:pPr>
    </w:p>
    <w:p>
      <w:pPr>
        <w:pStyle w:val="10"/>
        <w:rPr>
          <w:highlight w:val="none"/>
        </w:rPr>
      </w:pPr>
    </w:p>
    <w:p>
      <w:pPr>
        <w:pStyle w:val="11"/>
        <w:rPr>
          <w:rFonts w:hint="default"/>
          <w:highlight w:val="none"/>
        </w:rPr>
      </w:pPr>
    </w:p>
    <w:p>
      <w:pPr>
        <w:pStyle w:val="10"/>
        <w:rPr>
          <w:highlight w:val="none"/>
        </w:rPr>
      </w:pPr>
    </w:p>
    <w:p>
      <w:pPr>
        <w:pStyle w:val="11"/>
        <w:rPr>
          <w:rFonts w:hint="default"/>
          <w:highlight w:val="none"/>
        </w:rPr>
      </w:pPr>
    </w:p>
    <w:p>
      <w:pPr>
        <w:pStyle w:val="10"/>
        <w:rPr>
          <w:highlight w:val="none"/>
        </w:rPr>
      </w:pPr>
    </w:p>
    <w:p>
      <w:pPr>
        <w:pStyle w:val="11"/>
        <w:rPr>
          <w:rFonts w:hint="default"/>
          <w:highlight w:val="none"/>
        </w:rPr>
      </w:pPr>
    </w:p>
    <w:p>
      <w:pPr>
        <w:pStyle w:val="10"/>
        <w:ind w:firstLine="0"/>
        <w:rPr>
          <w:highlight w:val="none"/>
        </w:rPr>
      </w:pPr>
    </w:p>
    <w:p>
      <w:pPr>
        <w:pStyle w:val="10"/>
        <w:ind w:left="169" w:firstLine="0"/>
        <w:jc w:val="center"/>
        <w:rPr>
          <w:b/>
          <w:bCs/>
          <w:sz w:val="28"/>
          <w:szCs w:val="22"/>
          <w:highlight w:val="none"/>
          <w:lang w:val="en-US"/>
        </w:rPr>
      </w:pPr>
      <w:r>
        <w:rPr>
          <w:rFonts w:hint="eastAsia"/>
          <w:b/>
          <w:bCs/>
          <w:sz w:val="32"/>
          <w:szCs w:val="36"/>
          <w:highlight w:val="none"/>
        </w:rPr>
        <w:t>投标人基本情况表</w:t>
      </w:r>
    </w:p>
    <w:tbl>
      <w:tblPr>
        <w:tblStyle w:val="26"/>
        <w:tblpPr w:leftFromText="180" w:rightFromText="180" w:vertAnchor="text" w:horzAnchor="margin" w:tblpX="250" w:tblpY="3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8"/>
        <w:gridCol w:w="4024"/>
        <w:gridCol w:w="1320"/>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698" w:type="dxa"/>
            <w:tcBorders>
              <w:top w:val="single" w:color="auto" w:sz="4" w:space="0"/>
              <w:left w:val="single" w:color="auto" w:sz="4" w:space="0"/>
              <w:bottom w:val="single" w:color="auto" w:sz="4" w:space="0"/>
              <w:right w:val="single" w:color="auto" w:sz="4" w:space="0"/>
            </w:tcBorders>
            <w:noWrap/>
            <w:vAlign w:val="center"/>
          </w:tcPr>
          <w:p>
            <w:pPr>
              <w:widowControl/>
              <w:rPr>
                <w:sz w:val="21"/>
                <w:szCs w:val="21"/>
                <w:highlight w:val="none"/>
              </w:rPr>
            </w:pPr>
            <w:r>
              <w:rPr>
                <w:sz w:val="21"/>
                <w:szCs w:val="21"/>
                <w:highlight w:val="none"/>
              </w:rPr>
              <w:t>单位名称</w:t>
            </w:r>
          </w:p>
        </w:tc>
        <w:tc>
          <w:tcPr>
            <w:tcW w:w="4024" w:type="dxa"/>
            <w:tcBorders>
              <w:top w:val="single" w:color="auto" w:sz="4" w:space="0"/>
              <w:left w:val="single" w:color="auto" w:sz="4" w:space="0"/>
              <w:bottom w:val="single" w:color="auto" w:sz="4" w:space="0"/>
              <w:right w:val="single" w:color="auto" w:sz="4" w:space="0"/>
            </w:tcBorders>
            <w:noWrap/>
            <w:vAlign w:val="center"/>
          </w:tcPr>
          <w:p>
            <w:pPr>
              <w:widowControl/>
              <w:rPr>
                <w:sz w:val="21"/>
                <w:szCs w:val="21"/>
                <w:highlight w:val="none"/>
              </w:rPr>
            </w:pPr>
          </w:p>
          <w:p>
            <w:pPr>
              <w:widowControl/>
              <w:rPr>
                <w:sz w:val="21"/>
                <w:szCs w:val="21"/>
                <w:highlight w:val="none"/>
              </w:rPr>
            </w:pPr>
            <w:r>
              <w:rPr>
                <w:sz w:val="21"/>
                <w:szCs w:val="21"/>
                <w:highlight w:val="none"/>
              </w:rPr>
              <w:t> </w:t>
            </w:r>
          </w:p>
        </w:tc>
        <w:tc>
          <w:tcPr>
            <w:tcW w:w="1320" w:type="dxa"/>
            <w:tcBorders>
              <w:top w:val="single" w:color="auto" w:sz="4" w:space="0"/>
              <w:left w:val="single" w:color="auto" w:sz="4" w:space="0"/>
              <w:bottom w:val="single" w:color="auto" w:sz="4" w:space="0"/>
              <w:right w:val="single" w:color="auto" w:sz="4" w:space="0"/>
            </w:tcBorders>
            <w:noWrap/>
            <w:vAlign w:val="center"/>
          </w:tcPr>
          <w:p>
            <w:pPr>
              <w:widowControl/>
              <w:rPr>
                <w:sz w:val="21"/>
                <w:szCs w:val="21"/>
                <w:highlight w:val="none"/>
              </w:rPr>
            </w:pPr>
            <w:r>
              <w:rPr>
                <w:sz w:val="21"/>
                <w:szCs w:val="21"/>
                <w:highlight w:val="none"/>
              </w:rPr>
              <w:t>联系电话</w:t>
            </w:r>
          </w:p>
        </w:tc>
        <w:tc>
          <w:tcPr>
            <w:tcW w:w="2565" w:type="dxa"/>
            <w:tcBorders>
              <w:top w:val="single" w:color="auto" w:sz="4" w:space="0"/>
              <w:left w:val="single" w:color="auto" w:sz="4" w:space="0"/>
              <w:bottom w:val="single" w:color="auto" w:sz="4" w:space="0"/>
              <w:right w:val="single" w:color="auto" w:sz="4" w:space="0"/>
            </w:tcBorders>
            <w:noWrap/>
            <w:vAlign w:val="center"/>
          </w:tcPr>
          <w:p>
            <w:pPr>
              <w:widowControl/>
              <w:rPr>
                <w:sz w:val="21"/>
                <w:szCs w:val="21"/>
                <w:highlight w:val="none"/>
              </w:rPr>
            </w:pPr>
            <w:r>
              <w:rPr>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698" w:type="dxa"/>
            <w:tcBorders>
              <w:top w:val="single" w:color="auto" w:sz="4" w:space="0"/>
              <w:left w:val="single" w:color="auto" w:sz="4" w:space="0"/>
              <w:bottom w:val="single" w:color="auto" w:sz="4" w:space="0"/>
              <w:right w:val="single" w:color="auto" w:sz="4" w:space="0"/>
            </w:tcBorders>
            <w:noWrap/>
            <w:vAlign w:val="center"/>
          </w:tcPr>
          <w:p>
            <w:pPr>
              <w:widowControl/>
              <w:rPr>
                <w:sz w:val="21"/>
                <w:szCs w:val="21"/>
                <w:highlight w:val="none"/>
              </w:rPr>
            </w:pPr>
            <w:r>
              <w:rPr>
                <w:sz w:val="21"/>
                <w:szCs w:val="21"/>
                <w:highlight w:val="none"/>
              </w:rPr>
              <w:t>单位地址</w:t>
            </w:r>
          </w:p>
        </w:tc>
        <w:tc>
          <w:tcPr>
            <w:tcW w:w="4024" w:type="dxa"/>
            <w:tcBorders>
              <w:top w:val="single" w:color="auto" w:sz="4" w:space="0"/>
              <w:left w:val="single" w:color="auto" w:sz="4" w:space="0"/>
              <w:bottom w:val="single" w:color="auto" w:sz="4" w:space="0"/>
              <w:right w:val="single" w:color="auto" w:sz="4" w:space="0"/>
            </w:tcBorders>
            <w:noWrap/>
            <w:vAlign w:val="center"/>
          </w:tcPr>
          <w:p>
            <w:pPr>
              <w:widowControl/>
              <w:rPr>
                <w:sz w:val="21"/>
                <w:szCs w:val="21"/>
                <w:highlight w:val="none"/>
              </w:rPr>
            </w:pPr>
          </w:p>
          <w:p>
            <w:pPr>
              <w:widowControl/>
              <w:rPr>
                <w:sz w:val="21"/>
                <w:szCs w:val="21"/>
                <w:highlight w:val="none"/>
              </w:rPr>
            </w:pPr>
            <w:r>
              <w:rPr>
                <w:sz w:val="21"/>
                <w:szCs w:val="21"/>
                <w:highlight w:val="none"/>
              </w:rPr>
              <w:t> </w:t>
            </w:r>
          </w:p>
        </w:tc>
        <w:tc>
          <w:tcPr>
            <w:tcW w:w="1320" w:type="dxa"/>
            <w:tcBorders>
              <w:top w:val="single" w:color="auto" w:sz="4" w:space="0"/>
              <w:left w:val="single" w:color="auto" w:sz="4" w:space="0"/>
              <w:bottom w:val="single" w:color="auto" w:sz="4" w:space="0"/>
              <w:right w:val="single" w:color="auto" w:sz="4" w:space="0"/>
            </w:tcBorders>
            <w:noWrap/>
            <w:vAlign w:val="center"/>
          </w:tcPr>
          <w:p>
            <w:pPr>
              <w:widowControl/>
              <w:rPr>
                <w:sz w:val="21"/>
                <w:szCs w:val="21"/>
                <w:highlight w:val="none"/>
              </w:rPr>
            </w:pPr>
            <w:r>
              <w:rPr>
                <w:sz w:val="21"/>
                <w:szCs w:val="21"/>
                <w:highlight w:val="none"/>
              </w:rPr>
              <w:t>联系人</w:t>
            </w:r>
          </w:p>
        </w:tc>
        <w:tc>
          <w:tcPr>
            <w:tcW w:w="2565" w:type="dxa"/>
            <w:tcBorders>
              <w:top w:val="single" w:color="auto" w:sz="4" w:space="0"/>
              <w:left w:val="single" w:color="auto" w:sz="4" w:space="0"/>
              <w:bottom w:val="single" w:color="auto" w:sz="4" w:space="0"/>
              <w:right w:val="single" w:color="auto" w:sz="4" w:space="0"/>
            </w:tcBorders>
            <w:noWrap/>
            <w:vAlign w:val="center"/>
          </w:tcPr>
          <w:p>
            <w:pPr>
              <w:widowControl/>
              <w:rPr>
                <w:sz w:val="21"/>
                <w:szCs w:val="21"/>
                <w:highlight w:val="none"/>
              </w:rPr>
            </w:pPr>
            <w:r>
              <w:rPr>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698" w:type="dxa"/>
            <w:tcBorders>
              <w:top w:val="single" w:color="auto" w:sz="4" w:space="0"/>
              <w:left w:val="single" w:color="auto" w:sz="4" w:space="0"/>
              <w:bottom w:val="single" w:color="auto" w:sz="4" w:space="0"/>
              <w:right w:val="single" w:color="auto" w:sz="4" w:space="0"/>
            </w:tcBorders>
            <w:noWrap/>
            <w:vAlign w:val="center"/>
          </w:tcPr>
          <w:p>
            <w:pPr>
              <w:widowControl/>
              <w:rPr>
                <w:sz w:val="21"/>
                <w:szCs w:val="21"/>
                <w:highlight w:val="none"/>
              </w:rPr>
            </w:pPr>
            <w:r>
              <w:rPr>
                <w:sz w:val="21"/>
                <w:szCs w:val="21"/>
                <w:highlight w:val="none"/>
              </w:rPr>
              <w:t>成立时间</w:t>
            </w:r>
          </w:p>
        </w:tc>
        <w:tc>
          <w:tcPr>
            <w:tcW w:w="4024" w:type="dxa"/>
            <w:tcBorders>
              <w:top w:val="single" w:color="auto" w:sz="4" w:space="0"/>
              <w:left w:val="single" w:color="auto" w:sz="4" w:space="0"/>
              <w:bottom w:val="single" w:color="auto" w:sz="4" w:space="0"/>
              <w:right w:val="single" w:color="auto" w:sz="4" w:space="0"/>
            </w:tcBorders>
            <w:noWrap/>
            <w:vAlign w:val="center"/>
          </w:tcPr>
          <w:p>
            <w:pPr>
              <w:widowControl/>
              <w:rPr>
                <w:sz w:val="21"/>
                <w:szCs w:val="21"/>
                <w:highlight w:val="none"/>
              </w:rPr>
            </w:pPr>
          </w:p>
          <w:p>
            <w:pPr>
              <w:widowControl/>
              <w:rPr>
                <w:sz w:val="21"/>
                <w:szCs w:val="21"/>
                <w:highlight w:val="none"/>
              </w:rPr>
            </w:pPr>
            <w:r>
              <w:rPr>
                <w:sz w:val="21"/>
                <w:szCs w:val="21"/>
                <w:highlight w:val="none"/>
              </w:rPr>
              <w:t> </w:t>
            </w:r>
          </w:p>
        </w:tc>
        <w:tc>
          <w:tcPr>
            <w:tcW w:w="1320" w:type="dxa"/>
            <w:tcBorders>
              <w:top w:val="single" w:color="auto" w:sz="4" w:space="0"/>
              <w:left w:val="single" w:color="auto" w:sz="4" w:space="0"/>
              <w:bottom w:val="single" w:color="auto" w:sz="4" w:space="0"/>
              <w:right w:val="single" w:color="auto" w:sz="4" w:space="0"/>
            </w:tcBorders>
            <w:noWrap/>
            <w:vAlign w:val="center"/>
          </w:tcPr>
          <w:p>
            <w:pPr>
              <w:widowControl/>
              <w:rPr>
                <w:sz w:val="21"/>
                <w:szCs w:val="21"/>
                <w:highlight w:val="none"/>
              </w:rPr>
            </w:pPr>
            <w:r>
              <w:rPr>
                <w:sz w:val="21"/>
                <w:szCs w:val="21"/>
                <w:highlight w:val="none"/>
              </w:rPr>
              <w:t>传真</w:t>
            </w:r>
          </w:p>
        </w:tc>
        <w:tc>
          <w:tcPr>
            <w:tcW w:w="2565" w:type="dxa"/>
            <w:tcBorders>
              <w:top w:val="single" w:color="auto" w:sz="4" w:space="0"/>
              <w:left w:val="single" w:color="auto" w:sz="4" w:space="0"/>
              <w:bottom w:val="single" w:color="auto" w:sz="4" w:space="0"/>
              <w:right w:val="single" w:color="auto" w:sz="4" w:space="0"/>
            </w:tcBorders>
            <w:noWrap/>
            <w:vAlign w:val="center"/>
          </w:tcPr>
          <w:p>
            <w:pPr>
              <w:widowControl/>
              <w:rPr>
                <w:sz w:val="21"/>
                <w:szCs w:val="21"/>
                <w:highlight w:val="none"/>
              </w:rPr>
            </w:pPr>
            <w:r>
              <w:rPr>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698" w:type="dxa"/>
            <w:vMerge w:val="restart"/>
            <w:tcBorders>
              <w:top w:val="single" w:color="auto" w:sz="4" w:space="0"/>
              <w:left w:val="single" w:color="auto" w:sz="4" w:space="0"/>
              <w:right w:val="single" w:color="auto" w:sz="4" w:space="0"/>
            </w:tcBorders>
            <w:noWrap/>
            <w:vAlign w:val="center"/>
          </w:tcPr>
          <w:p>
            <w:pPr>
              <w:widowControl/>
              <w:rPr>
                <w:sz w:val="21"/>
                <w:szCs w:val="21"/>
                <w:highlight w:val="none"/>
              </w:rPr>
            </w:pPr>
            <w:r>
              <w:rPr>
                <w:sz w:val="21"/>
                <w:szCs w:val="21"/>
                <w:highlight w:val="none"/>
              </w:rPr>
              <w:t>开户银行</w:t>
            </w:r>
          </w:p>
          <w:p>
            <w:pPr>
              <w:widowControl/>
              <w:rPr>
                <w:sz w:val="21"/>
                <w:szCs w:val="21"/>
                <w:highlight w:val="none"/>
              </w:rPr>
            </w:pPr>
            <w:r>
              <w:rPr>
                <w:sz w:val="21"/>
                <w:szCs w:val="21"/>
                <w:highlight w:val="none"/>
              </w:rPr>
              <w:t>及账号</w:t>
            </w:r>
          </w:p>
        </w:tc>
        <w:tc>
          <w:tcPr>
            <w:tcW w:w="4024" w:type="dxa"/>
            <w:tcBorders>
              <w:top w:val="single" w:color="auto" w:sz="4" w:space="0"/>
              <w:left w:val="single" w:color="auto" w:sz="4" w:space="0"/>
              <w:bottom w:val="single" w:color="auto" w:sz="4" w:space="0"/>
              <w:right w:val="single" w:color="auto" w:sz="4" w:space="0"/>
            </w:tcBorders>
            <w:noWrap/>
            <w:vAlign w:val="center"/>
          </w:tcPr>
          <w:p>
            <w:pPr>
              <w:widowControl/>
              <w:rPr>
                <w:sz w:val="21"/>
                <w:szCs w:val="21"/>
                <w:highlight w:val="none"/>
              </w:rPr>
            </w:pPr>
            <w:r>
              <w:rPr>
                <w:rFonts w:hint="eastAsia"/>
                <w:sz w:val="21"/>
                <w:szCs w:val="21"/>
                <w:highlight w:val="none"/>
              </w:rPr>
              <w:t>开户行：</w:t>
            </w:r>
          </w:p>
        </w:tc>
        <w:tc>
          <w:tcPr>
            <w:tcW w:w="1320" w:type="dxa"/>
            <w:tcBorders>
              <w:top w:val="single" w:color="auto" w:sz="4" w:space="0"/>
              <w:left w:val="single" w:color="auto" w:sz="4" w:space="0"/>
              <w:bottom w:val="single" w:color="auto" w:sz="4" w:space="0"/>
              <w:right w:val="single" w:color="auto" w:sz="4" w:space="0"/>
            </w:tcBorders>
            <w:noWrap/>
            <w:vAlign w:val="center"/>
          </w:tcPr>
          <w:p>
            <w:pPr>
              <w:widowControl/>
              <w:rPr>
                <w:sz w:val="21"/>
                <w:szCs w:val="21"/>
                <w:highlight w:val="none"/>
              </w:rPr>
            </w:pPr>
            <w:r>
              <w:rPr>
                <w:sz w:val="21"/>
                <w:szCs w:val="21"/>
                <w:highlight w:val="none"/>
              </w:rPr>
              <w:t>邮政编码</w:t>
            </w:r>
          </w:p>
        </w:tc>
        <w:tc>
          <w:tcPr>
            <w:tcW w:w="2565" w:type="dxa"/>
            <w:tcBorders>
              <w:top w:val="single" w:color="auto" w:sz="4" w:space="0"/>
              <w:left w:val="single" w:color="auto" w:sz="4" w:space="0"/>
              <w:bottom w:val="single" w:color="auto" w:sz="4" w:space="0"/>
              <w:right w:val="single" w:color="auto" w:sz="4" w:space="0"/>
            </w:tcBorders>
            <w:noWrap/>
            <w:vAlign w:val="center"/>
          </w:tcPr>
          <w:p>
            <w:pPr>
              <w:widowControl/>
              <w:rPr>
                <w:sz w:val="21"/>
                <w:szCs w:val="21"/>
                <w:highlight w:val="none"/>
              </w:rPr>
            </w:pPr>
            <w:r>
              <w:rPr>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1698" w:type="dxa"/>
            <w:vMerge w:val="continue"/>
            <w:tcBorders>
              <w:left w:val="single" w:color="auto" w:sz="4" w:space="0"/>
              <w:bottom w:val="single" w:color="auto" w:sz="4" w:space="0"/>
              <w:right w:val="single" w:color="auto" w:sz="4" w:space="0"/>
            </w:tcBorders>
            <w:noWrap/>
            <w:vAlign w:val="center"/>
          </w:tcPr>
          <w:p>
            <w:pPr>
              <w:widowControl/>
              <w:rPr>
                <w:sz w:val="21"/>
                <w:szCs w:val="21"/>
                <w:highlight w:val="none"/>
              </w:rPr>
            </w:pPr>
          </w:p>
        </w:tc>
        <w:tc>
          <w:tcPr>
            <w:tcW w:w="4024" w:type="dxa"/>
            <w:tcBorders>
              <w:top w:val="single" w:color="auto" w:sz="4" w:space="0"/>
              <w:left w:val="single" w:color="auto" w:sz="4" w:space="0"/>
              <w:bottom w:val="single" w:color="auto" w:sz="4" w:space="0"/>
              <w:right w:val="single" w:color="auto" w:sz="4" w:space="0"/>
            </w:tcBorders>
            <w:noWrap/>
            <w:vAlign w:val="center"/>
          </w:tcPr>
          <w:p>
            <w:pPr>
              <w:widowControl/>
              <w:rPr>
                <w:sz w:val="21"/>
                <w:szCs w:val="21"/>
                <w:highlight w:val="none"/>
              </w:rPr>
            </w:pPr>
            <w:r>
              <w:rPr>
                <w:sz w:val="21"/>
                <w:szCs w:val="21"/>
                <w:highlight w:val="none"/>
              </w:rPr>
              <w:t>账号</w:t>
            </w:r>
            <w:r>
              <w:rPr>
                <w:rFonts w:hint="eastAsia"/>
                <w:sz w:val="21"/>
                <w:szCs w:val="21"/>
                <w:highlight w:val="none"/>
              </w:rPr>
              <w:t>：</w:t>
            </w:r>
          </w:p>
        </w:tc>
        <w:tc>
          <w:tcPr>
            <w:tcW w:w="1320" w:type="dxa"/>
            <w:tcBorders>
              <w:top w:val="single" w:color="auto" w:sz="4" w:space="0"/>
              <w:left w:val="single" w:color="auto" w:sz="4" w:space="0"/>
              <w:bottom w:val="single" w:color="auto" w:sz="4" w:space="0"/>
              <w:right w:val="single" w:color="auto" w:sz="4" w:space="0"/>
            </w:tcBorders>
            <w:noWrap/>
            <w:vAlign w:val="center"/>
          </w:tcPr>
          <w:p>
            <w:pPr>
              <w:widowControl/>
              <w:rPr>
                <w:sz w:val="21"/>
                <w:szCs w:val="21"/>
                <w:highlight w:val="none"/>
              </w:rPr>
            </w:pPr>
            <w:r>
              <w:rPr>
                <w:sz w:val="21"/>
                <w:szCs w:val="21"/>
                <w:highlight w:val="none"/>
              </w:rPr>
              <w:t>单位性质</w:t>
            </w:r>
          </w:p>
        </w:tc>
        <w:tc>
          <w:tcPr>
            <w:tcW w:w="2565" w:type="dxa"/>
            <w:tcBorders>
              <w:top w:val="single" w:color="auto" w:sz="4" w:space="0"/>
              <w:left w:val="single" w:color="auto" w:sz="4" w:space="0"/>
              <w:bottom w:val="single" w:color="auto" w:sz="4" w:space="0"/>
              <w:right w:val="single" w:color="auto" w:sz="4" w:space="0"/>
            </w:tcBorders>
            <w:noWrap/>
            <w:vAlign w:val="center"/>
          </w:tcPr>
          <w:p>
            <w:pPr>
              <w:widowControl/>
              <w:rPr>
                <w:sz w:val="21"/>
                <w:szCs w:val="21"/>
                <w:highlight w:val="none"/>
              </w:rPr>
            </w:pPr>
            <w:r>
              <w:rPr>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698" w:type="dxa"/>
            <w:tcBorders>
              <w:top w:val="single" w:color="auto" w:sz="4" w:space="0"/>
              <w:left w:val="single" w:color="auto" w:sz="4" w:space="0"/>
              <w:bottom w:val="single" w:color="auto" w:sz="4" w:space="0"/>
              <w:right w:val="single" w:color="auto" w:sz="4" w:space="0"/>
            </w:tcBorders>
            <w:noWrap/>
            <w:vAlign w:val="center"/>
          </w:tcPr>
          <w:p>
            <w:pPr>
              <w:widowControl/>
              <w:rPr>
                <w:sz w:val="21"/>
                <w:szCs w:val="21"/>
                <w:highlight w:val="none"/>
              </w:rPr>
            </w:pPr>
            <w:r>
              <w:rPr>
                <w:sz w:val="21"/>
                <w:szCs w:val="21"/>
                <w:highlight w:val="none"/>
              </w:rPr>
              <w:t>法人证书登记号</w:t>
            </w:r>
          </w:p>
        </w:tc>
        <w:tc>
          <w:tcPr>
            <w:tcW w:w="4024" w:type="dxa"/>
            <w:tcBorders>
              <w:top w:val="single" w:color="auto" w:sz="4" w:space="0"/>
              <w:left w:val="single" w:color="auto" w:sz="4" w:space="0"/>
              <w:bottom w:val="single" w:color="auto" w:sz="4" w:space="0"/>
              <w:right w:val="single" w:color="auto" w:sz="4" w:space="0"/>
            </w:tcBorders>
            <w:noWrap/>
            <w:vAlign w:val="center"/>
          </w:tcPr>
          <w:p>
            <w:pPr>
              <w:widowControl/>
              <w:rPr>
                <w:sz w:val="21"/>
                <w:szCs w:val="21"/>
                <w:highlight w:val="none"/>
              </w:rPr>
            </w:pPr>
            <w:r>
              <w:rPr>
                <w:sz w:val="21"/>
                <w:szCs w:val="21"/>
                <w:highlight w:val="none"/>
              </w:rPr>
              <w:t> </w:t>
            </w:r>
          </w:p>
          <w:p>
            <w:pPr>
              <w:widowControl/>
              <w:rPr>
                <w:sz w:val="21"/>
                <w:szCs w:val="21"/>
                <w:highlight w:val="none"/>
              </w:rPr>
            </w:pPr>
            <w:r>
              <w:rPr>
                <w:sz w:val="21"/>
                <w:szCs w:val="21"/>
                <w:highlight w:val="none"/>
              </w:rPr>
              <w:t> </w:t>
            </w:r>
          </w:p>
        </w:tc>
        <w:tc>
          <w:tcPr>
            <w:tcW w:w="1320" w:type="dxa"/>
            <w:tcBorders>
              <w:top w:val="single" w:color="auto" w:sz="4" w:space="0"/>
              <w:left w:val="single" w:color="auto" w:sz="4" w:space="0"/>
              <w:bottom w:val="single" w:color="auto" w:sz="4" w:space="0"/>
              <w:right w:val="single" w:color="auto" w:sz="4" w:space="0"/>
            </w:tcBorders>
            <w:noWrap/>
            <w:vAlign w:val="center"/>
          </w:tcPr>
          <w:p>
            <w:pPr>
              <w:widowControl/>
              <w:rPr>
                <w:sz w:val="21"/>
                <w:szCs w:val="21"/>
                <w:highlight w:val="none"/>
              </w:rPr>
            </w:pPr>
            <w:r>
              <w:rPr>
                <w:sz w:val="21"/>
                <w:szCs w:val="21"/>
                <w:highlight w:val="none"/>
              </w:rPr>
              <w:t>注册资本</w:t>
            </w:r>
          </w:p>
          <w:p>
            <w:pPr>
              <w:widowControl/>
              <w:rPr>
                <w:sz w:val="21"/>
                <w:szCs w:val="21"/>
                <w:highlight w:val="none"/>
              </w:rPr>
            </w:pPr>
            <w:r>
              <w:rPr>
                <w:sz w:val="21"/>
                <w:szCs w:val="21"/>
                <w:highlight w:val="none"/>
              </w:rPr>
              <w:t>(万元)</w:t>
            </w:r>
          </w:p>
        </w:tc>
        <w:tc>
          <w:tcPr>
            <w:tcW w:w="2565" w:type="dxa"/>
            <w:tcBorders>
              <w:top w:val="single" w:color="auto" w:sz="4" w:space="0"/>
              <w:left w:val="single" w:color="auto" w:sz="4" w:space="0"/>
              <w:bottom w:val="single" w:color="auto" w:sz="4" w:space="0"/>
              <w:right w:val="single" w:color="auto" w:sz="4" w:space="0"/>
            </w:tcBorders>
            <w:noWrap/>
            <w:vAlign w:val="center"/>
          </w:tcPr>
          <w:p>
            <w:pPr>
              <w:widowControl/>
              <w:rPr>
                <w:sz w:val="21"/>
                <w:szCs w:val="21"/>
                <w:highlight w:val="none"/>
              </w:rPr>
            </w:pPr>
            <w:r>
              <w:rPr>
                <w:sz w:val="21"/>
                <w:szCs w:val="21"/>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7" w:hRule="atLeast"/>
        </w:trPr>
        <w:tc>
          <w:tcPr>
            <w:tcW w:w="1698" w:type="dxa"/>
            <w:tcBorders>
              <w:top w:val="single" w:color="auto" w:sz="4" w:space="0"/>
              <w:left w:val="single" w:color="auto" w:sz="4" w:space="0"/>
              <w:right w:val="single" w:color="auto" w:sz="4" w:space="0"/>
            </w:tcBorders>
            <w:noWrap/>
            <w:vAlign w:val="center"/>
          </w:tcPr>
          <w:p>
            <w:pPr>
              <w:jc w:val="center"/>
              <w:rPr>
                <w:sz w:val="21"/>
                <w:szCs w:val="21"/>
                <w:highlight w:val="none"/>
              </w:rPr>
            </w:pPr>
            <w:r>
              <w:rPr>
                <w:sz w:val="21"/>
                <w:szCs w:val="21"/>
                <w:highlight w:val="none"/>
              </w:rPr>
              <w:t>经营</w:t>
            </w:r>
          </w:p>
          <w:p>
            <w:pPr>
              <w:jc w:val="center"/>
              <w:rPr>
                <w:sz w:val="21"/>
                <w:szCs w:val="21"/>
                <w:highlight w:val="none"/>
              </w:rPr>
            </w:pPr>
            <w:r>
              <w:rPr>
                <w:sz w:val="21"/>
                <w:szCs w:val="21"/>
                <w:highlight w:val="none"/>
              </w:rPr>
              <w:t>范围</w:t>
            </w:r>
          </w:p>
          <w:p>
            <w:pPr>
              <w:jc w:val="center"/>
              <w:rPr>
                <w:sz w:val="21"/>
                <w:szCs w:val="21"/>
                <w:highlight w:val="none"/>
              </w:rPr>
            </w:pPr>
          </w:p>
        </w:tc>
        <w:tc>
          <w:tcPr>
            <w:tcW w:w="7909" w:type="dxa"/>
            <w:gridSpan w:val="3"/>
            <w:tcBorders>
              <w:top w:val="single" w:color="auto" w:sz="4" w:space="0"/>
              <w:left w:val="single" w:color="auto" w:sz="4" w:space="0"/>
              <w:right w:val="single" w:color="auto" w:sz="4" w:space="0"/>
            </w:tcBorders>
            <w:noWrap/>
          </w:tcPr>
          <w:p>
            <w:pPr>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34" w:hRule="atLeast"/>
        </w:trPr>
        <w:tc>
          <w:tcPr>
            <w:tcW w:w="1698" w:type="dxa"/>
            <w:tcBorders>
              <w:top w:val="single" w:color="auto" w:sz="4" w:space="0"/>
              <w:left w:val="single" w:color="auto" w:sz="4" w:space="0"/>
              <w:right w:val="single" w:color="auto" w:sz="4" w:space="0"/>
            </w:tcBorders>
            <w:noWrap/>
            <w:vAlign w:val="center"/>
          </w:tcPr>
          <w:p>
            <w:pPr>
              <w:jc w:val="center"/>
              <w:rPr>
                <w:sz w:val="21"/>
                <w:szCs w:val="21"/>
                <w:highlight w:val="none"/>
              </w:rPr>
            </w:pPr>
            <w:r>
              <w:rPr>
                <w:sz w:val="21"/>
                <w:szCs w:val="21"/>
                <w:highlight w:val="none"/>
              </w:rPr>
              <w:t>企业现有的</w:t>
            </w:r>
          </w:p>
          <w:p>
            <w:pPr>
              <w:jc w:val="center"/>
              <w:rPr>
                <w:sz w:val="21"/>
                <w:szCs w:val="21"/>
                <w:highlight w:val="none"/>
              </w:rPr>
            </w:pPr>
            <w:r>
              <w:rPr>
                <w:sz w:val="21"/>
                <w:szCs w:val="21"/>
                <w:highlight w:val="none"/>
              </w:rPr>
              <w:t>资质证书</w:t>
            </w:r>
          </w:p>
        </w:tc>
        <w:tc>
          <w:tcPr>
            <w:tcW w:w="7909" w:type="dxa"/>
            <w:gridSpan w:val="3"/>
            <w:tcBorders>
              <w:top w:val="single" w:color="auto" w:sz="4" w:space="0"/>
              <w:left w:val="single" w:color="auto" w:sz="4" w:space="0"/>
              <w:right w:val="single" w:color="auto" w:sz="4" w:space="0"/>
            </w:tcBorders>
            <w:noWrap/>
          </w:tcPr>
          <w:p>
            <w:pPr>
              <w:jc w:val="center"/>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8" w:hRule="atLeast"/>
        </w:trPr>
        <w:tc>
          <w:tcPr>
            <w:tcW w:w="1698" w:type="dxa"/>
            <w:tcBorders>
              <w:top w:val="single" w:color="auto" w:sz="4" w:space="0"/>
              <w:left w:val="single" w:color="auto" w:sz="4" w:space="0"/>
              <w:right w:val="single" w:color="auto" w:sz="4" w:space="0"/>
            </w:tcBorders>
            <w:noWrap/>
            <w:vAlign w:val="center"/>
          </w:tcPr>
          <w:p>
            <w:pPr>
              <w:jc w:val="center"/>
              <w:rPr>
                <w:rFonts w:hint="default" w:eastAsia="宋体"/>
                <w:sz w:val="21"/>
                <w:szCs w:val="21"/>
                <w:highlight w:val="none"/>
                <w:lang w:val="en-US" w:eastAsia="zh-CN"/>
              </w:rPr>
            </w:pPr>
            <w:r>
              <w:rPr>
                <w:rFonts w:hint="eastAsia"/>
                <w:sz w:val="21"/>
                <w:szCs w:val="21"/>
                <w:highlight w:val="none"/>
                <w:lang w:val="en-US" w:eastAsia="zh-CN"/>
              </w:rPr>
              <w:t>公司简介</w:t>
            </w:r>
          </w:p>
        </w:tc>
        <w:tc>
          <w:tcPr>
            <w:tcW w:w="7909" w:type="dxa"/>
            <w:gridSpan w:val="3"/>
            <w:tcBorders>
              <w:top w:val="single" w:color="auto" w:sz="4" w:space="0"/>
              <w:left w:val="single" w:color="auto" w:sz="4" w:space="0"/>
              <w:right w:val="single" w:color="auto" w:sz="4" w:space="0"/>
            </w:tcBorders>
            <w:noWrap/>
            <w:vAlign w:val="center"/>
          </w:tcPr>
          <w:p>
            <w:pPr>
              <w:widowControl/>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8" w:hRule="atLeast"/>
        </w:trPr>
        <w:tc>
          <w:tcPr>
            <w:tcW w:w="1698" w:type="dxa"/>
            <w:tcBorders>
              <w:top w:val="single" w:color="auto" w:sz="4" w:space="0"/>
              <w:left w:val="single" w:color="auto" w:sz="4" w:space="0"/>
              <w:bottom w:val="single" w:color="auto" w:sz="4" w:space="0"/>
              <w:right w:val="single" w:color="auto" w:sz="4" w:space="0"/>
            </w:tcBorders>
            <w:noWrap/>
            <w:vAlign w:val="center"/>
          </w:tcPr>
          <w:p>
            <w:pPr>
              <w:widowControl/>
              <w:jc w:val="center"/>
              <w:rPr>
                <w:sz w:val="21"/>
                <w:szCs w:val="21"/>
                <w:highlight w:val="none"/>
              </w:rPr>
            </w:pPr>
            <w:r>
              <w:rPr>
                <w:b/>
                <w:sz w:val="21"/>
                <w:szCs w:val="21"/>
                <w:highlight w:val="none"/>
              </w:rPr>
              <w:t>近三年的年营业总额</w:t>
            </w:r>
          </w:p>
        </w:tc>
        <w:tc>
          <w:tcPr>
            <w:tcW w:w="7909" w:type="dxa"/>
            <w:gridSpan w:val="3"/>
            <w:tcBorders>
              <w:top w:val="single" w:color="auto" w:sz="4" w:space="0"/>
              <w:left w:val="single" w:color="auto" w:sz="4" w:space="0"/>
              <w:bottom w:val="single" w:color="auto" w:sz="4" w:space="0"/>
              <w:right w:val="single" w:color="auto" w:sz="4" w:space="0"/>
            </w:tcBorders>
            <w:noWrap/>
          </w:tcPr>
          <w:p>
            <w:pPr>
              <w:jc w:val="center"/>
              <w:rPr>
                <w:sz w:val="21"/>
                <w:szCs w:val="21"/>
                <w:highlight w:val="none"/>
              </w:rPr>
            </w:pPr>
          </w:p>
        </w:tc>
      </w:tr>
    </w:tbl>
    <w:p>
      <w:pPr>
        <w:pStyle w:val="10"/>
        <w:ind w:firstLine="0"/>
        <w:rPr>
          <w:b/>
          <w:bCs/>
          <w:highlight w:val="none"/>
          <w:lang w:val="en-US"/>
        </w:rPr>
      </w:pPr>
    </w:p>
    <w:p>
      <w:pPr>
        <w:pStyle w:val="10"/>
        <w:ind w:left="169" w:firstLine="0"/>
        <w:rPr>
          <w:b/>
          <w:bCs/>
          <w:highlight w:val="none"/>
          <w:lang w:val="en-US"/>
        </w:rPr>
      </w:pPr>
    </w:p>
    <w:p>
      <w:pPr>
        <w:widowControl/>
        <w:snapToGrid w:val="0"/>
        <w:rPr>
          <w:sz w:val="21"/>
          <w:szCs w:val="21"/>
          <w:highlight w:val="none"/>
        </w:rPr>
      </w:pPr>
      <w:r>
        <w:rPr>
          <w:sz w:val="21"/>
          <w:szCs w:val="21"/>
          <w:highlight w:val="none"/>
        </w:rPr>
        <w:t>注： 1、单位性质指企业或事业；</w:t>
      </w:r>
    </w:p>
    <w:p>
      <w:pPr>
        <w:rPr>
          <w:sz w:val="21"/>
          <w:szCs w:val="21"/>
          <w:highlight w:val="none"/>
        </w:rPr>
      </w:pPr>
      <w:r>
        <w:rPr>
          <w:sz w:val="21"/>
          <w:szCs w:val="21"/>
          <w:highlight w:val="none"/>
        </w:rPr>
        <w:t xml:space="preserve">     2、此表仅供参考，可自行制作。</w:t>
      </w:r>
    </w:p>
    <w:p>
      <w:pPr>
        <w:widowControl/>
        <w:snapToGrid w:val="0"/>
        <w:rPr>
          <w:sz w:val="21"/>
          <w:szCs w:val="21"/>
          <w:highlight w:val="none"/>
        </w:rPr>
      </w:pPr>
    </w:p>
    <w:p>
      <w:pPr>
        <w:widowControl/>
        <w:snapToGrid w:val="0"/>
        <w:rPr>
          <w:sz w:val="21"/>
          <w:szCs w:val="21"/>
          <w:highlight w:val="none"/>
        </w:rPr>
      </w:pPr>
    </w:p>
    <w:p>
      <w:pPr>
        <w:spacing w:line="360" w:lineRule="auto"/>
        <w:ind w:firstLine="5250" w:firstLineChars="2500"/>
        <w:rPr>
          <w:sz w:val="21"/>
          <w:szCs w:val="21"/>
          <w:highlight w:val="none"/>
        </w:rPr>
      </w:pPr>
      <w:r>
        <w:rPr>
          <w:rFonts w:hint="eastAsia"/>
          <w:sz w:val="21"/>
          <w:szCs w:val="21"/>
          <w:highlight w:val="none"/>
        </w:rPr>
        <w:t>投标人（盖章）：</w:t>
      </w:r>
    </w:p>
    <w:p>
      <w:pPr>
        <w:spacing w:line="360" w:lineRule="auto"/>
        <w:ind w:firstLine="5145" w:firstLineChars="2450"/>
        <w:rPr>
          <w:sz w:val="21"/>
          <w:szCs w:val="21"/>
          <w:highlight w:val="none"/>
        </w:rPr>
      </w:pPr>
      <w:r>
        <w:rPr>
          <w:rFonts w:hint="eastAsia"/>
          <w:sz w:val="21"/>
          <w:szCs w:val="21"/>
          <w:highlight w:val="none"/>
        </w:rPr>
        <w:t xml:space="preserve"> 法定代表人或委托代理人（签字）：</w:t>
      </w:r>
    </w:p>
    <w:p>
      <w:pPr>
        <w:spacing w:line="360" w:lineRule="auto"/>
        <w:ind w:firstLine="5250" w:firstLineChars="2500"/>
        <w:rPr>
          <w:sz w:val="21"/>
          <w:szCs w:val="21"/>
          <w:highlight w:val="none"/>
        </w:rPr>
      </w:pPr>
      <w:r>
        <w:rPr>
          <w:rFonts w:hint="eastAsia"/>
          <w:sz w:val="21"/>
          <w:szCs w:val="21"/>
          <w:highlight w:val="none"/>
        </w:rPr>
        <w:t>日      期：</w:t>
      </w:r>
    </w:p>
    <w:p>
      <w:pPr>
        <w:pStyle w:val="25"/>
        <w:ind w:left="440"/>
        <w:rPr>
          <w:szCs w:val="21"/>
          <w:highlight w:val="none"/>
        </w:rPr>
      </w:pPr>
    </w:p>
    <w:p>
      <w:pPr>
        <w:pStyle w:val="25"/>
        <w:ind w:left="440"/>
        <w:rPr>
          <w:szCs w:val="21"/>
          <w:highlight w:val="none"/>
        </w:rPr>
      </w:pPr>
    </w:p>
    <w:p>
      <w:pPr>
        <w:pStyle w:val="25"/>
        <w:ind w:left="440"/>
        <w:rPr>
          <w:szCs w:val="21"/>
          <w:highlight w:val="none"/>
        </w:rPr>
      </w:pPr>
    </w:p>
    <w:p>
      <w:pPr>
        <w:pStyle w:val="10"/>
        <w:ind w:left="169" w:firstLine="0"/>
        <w:rPr>
          <w:b/>
          <w:bCs/>
          <w:highlight w:val="none"/>
          <w:lang w:val="en-US"/>
        </w:rPr>
      </w:pPr>
    </w:p>
    <w:p>
      <w:pPr>
        <w:pStyle w:val="10"/>
        <w:ind w:firstLine="0"/>
        <w:rPr>
          <w:b/>
          <w:bCs/>
          <w:highlight w:val="none"/>
        </w:rPr>
      </w:pPr>
    </w:p>
    <w:p>
      <w:pPr>
        <w:pStyle w:val="10"/>
        <w:ind w:firstLine="0"/>
        <w:rPr>
          <w:highlight w:val="none"/>
        </w:rPr>
      </w:pPr>
    </w:p>
    <w:p>
      <w:pPr>
        <w:pStyle w:val="10"/>
        <w:ind w:firstLine="0"/>
        <w:jc w:val="center"/>
        <w:rPr>
          <w:rFonts w:ascii="仿宋_GB2312" w:eastAsia="仿宋_GB2312"/>
          <w:b/>
          <w:sz w:val="32"/>
          <w:szCs w:val="32"/>
          <w:highlight w:val="none"/>
        </w:rPr>
      </w:pPr>
    </w:p>
    <w:p>
      <w:pPr>
        <w:pStyle w:val="10"/>
        <w:ind w:firstLine="0"/>
        <w:jc w:val="center"/>
        <w:rPr>
          <w:rFonts w:ascii="仿宋_GB2312" w:eastAsia="仿宋_GB2312"/>
          <w:b/>
          <w:sz w:val="32"/>
          <w:szCs w:val="32"/>
          <w:highlight w:val="none"/>
        </w:rPr>
      </w:pPr>
    </w:p>
    <w:p>
      <w:pPr>
        <w:pStyle w:val="10"/>
        <w:ind w:firstLine="0"/>
        <w:jc w:val="center"/>
        <w:rPr>
          <w:b/>
          <w:sz w:val="28"/>
          <w:szCs w:val="28"/>
          <w:highlight w:val="none"/>
        </w:rPr>
      </w:pPr>
      <w:r>
        <w:rPr>
          <w:rFonts w:hint="eastAsia"/>
          <w:b/>
          <w:sz w:val="28"/>
          <w:szCs w:val="28"/>
          <w:highlight w:val="none"/>
        </w:rPr>
        <w:t>类似业绩（</w:t>
      </w:r>
      <w:r>
        <w:rPr>
          <w:rFonts w:hint="eastAsia"/>
          <w:b/>
          <w:bCs/>
          <w:sz w:val="24"/>
          <w:szCs w:val="28"/>
          <w:highlight w:val="none"/>
        </w:rPr>
        <w:t>投标人同类项目合同复印件</w:t>
      </w:r>
      <w:r>
        <w:rPr>
          <w:rFonts w:hint="eastAsia"/>
          <w:szCs w:val="24"/>
          <w:highlight w:val="none"/>
        </w:rPr>
        <w:t>）</w:t>
      </w:r>
      <w:r>
        <w:rPr>
          <w:rFonts w:hint="eastAsia"/>
          <w:b/>
          <w:sz w:val="28"/>
          <w:szCs w:val="28"/>
          <w:highlight w:val="none"/>
        </w:rPr>
        <w:t>（</w:t>
      </w:r>
      <w:r>
        <w:rPr>
          <w:rFonts w:hint="eastAsia"/>
          <w:b/>
          <w:sz w:val="28"/>
          <w:szCs w:val="28"/>
          <w:highlight w:val="none"/>
          <w:lang w:val="en-US"/>
        </w:rPr>
        <w:t>如</w:t>
      </w:r>
      <w:r>
        <w:rPr>
          <w:rFonts w:hint="eastAsia"/>
          <w:b/>
          <w:sz w:val="28"/>
          <w:szCs w:val="28"/>
          <w:highlight w:val="none"/>
        </w:rPr>
        <w:t>有）</w:t>
      </w:r>
    </w:p>
    <w:p>
      <w:pPr>
        <w:pStyle w:val="10"/>
        <w:ind w:firstLine="0"/>
        <w:jc w:val="center"/>
        <w:rPr>
          <w:b/>
          <w:sz w:val="28"/>
          <w:szCs w:val="28"/>
          <w:highlight w:val="none"/>
        </w:rPr>
      </w:pPr>
    </w:p>
    <w:p>
      <w:pPr>
        <w:pStyle w:val="21"/>
        <w:snapToGrid w:val="0"/>
        <w:ind w:left="482" w:hanging="482"/>
        <w:jc w:val="center"/>
        <w:rPr>
          <w:rFonts w:ascii="宋体" w:hAnsi="宋体"/>
          <w:b/>
          <w:bCs/>
          <w:sz w:val="24"/>
          <w:highlight w:val="none"/>
        </w:rPr>
      </w:pPr>
      <w:r>
        <w:rPr>
          <w:rFonts w:hint="eastAsia" w:ascii="宋体" w:hAnsi="宋体"/>
          <w:b/>
          <w:bCs/>
          <w:sz w:val="24"/>
          <w:highlight w:val="none"/>
        </w:rPr>
        <w:t>投标人类似项目实施情况一览表</w:t>
      </w:r>
    </w:p>
    <w:p>
      <w:pPr>
        <w:pStyle w:val="21"/>
        <w:snapToGrid w:val="0"/>
        <w:ind w:left="482" w:hanging="482"/>
        <w:jc w:val="center"/>
        <w:rPr>
          <w:rFonts w:ascii="宋体" w:hAnsi="宋体"/>
          <w:b/>
          <w:bCs/>
          <w:sz w:val="24"/>
          <w:highlight w:val="none"/>
        </w:rPr>
      </w:pPr>
    </w:p>
    <w:tbl>
      <w:tblPr>
        <w:tblStyle w:val="26"/>
        <w:tblW w:w="4566"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2"/>
        <w:gridCol w:w="1425"/>
        <w:gridCol w:w="1923"/>
        <w:gridCol w:w="1178"/>
        <w:gridCol w:w="1923"/>
        <w:gridCol w:w="18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94" w:hRule="atLeast"/>
          <w:jc w:val="center"/>
        </w:trPr>
        <w:tc>
          <w:tcPr>
            <w:tcW w:w="443" w:type="pct"/>
            <w:vMerge w:val="restart"/>
            <w:tcBorders>
              <w:top w:val="single" w:color="auto" w:sz="4" w:space="0"/>
              <w:left w:val="single" w:color="auto" w:sz="4" w:space="0"/>
              <w:bottom w:val="single" w:color="auto" w:sz="4" w:space="0"/>
              <w:right w:val="single" w:color="auto" w:sz="4" w:space="0"/>
            </w:tcBorders>
            <w:noWrap/>
            <w:vAlign w:val="center"/>
          </w:tcPr>
          <w:p>
            <w:pPr>
              <w:snapToGrid w:val="0"/>
              <w:ind w:left="-81" w:leftChars="-37" w:right="-46" w:rightChars="-21"/>
              <w:jc w:val="center"/>
              <w:rPr>
                <w:sz w:val="24"/>
                <w:szCs w:val="24"/>
                <w:highlight w:val="none"/>
              </w:rPr>
            </w:pPr>
            <w:r>
              <w:rPr>
                <w:rFonts w:hint="eastAsia"/>
                <w:sz w:val="24"/>
                <w:szCs w:val="24"/>
                <w:highlight w:val="none"/>
              </w:rPr>
              <w:t>序号</w:t>
            </w:r>
          </w:p>
        </w:tc>
        <w:tc>
          <w:tcPr>
            <w:tcW w:w="778" w:type="pct"/>
            <w:vMerge w:val="restart"/>
            <w:tcBorders>
              <w:top w:val="single" w:color="auto" w:sz="4" w:space="0"/>
              <w:left w:val="single" w:color="auto" w:sz="4" w:space="0"/>
              <w:bottom w:val="single" w:color="auto" w:sz="4" w:space="0"/>
              <w:right w:val="single" w:color="auto" w:sz="4" w:space="0"/>
            </w:tcBorders>
            <w:noWrap/>
            <w:vAlign w:val="center"/>
          </w:tcPr>
          <w:p>
            <w:pPr>
              <w:snapToGrid w:val="0"/>
              <w:ind w:left="-81" w:leftChars="-37" w:right="-46" w:rightChars="-21"/>
              <w:jc w:val="center"/>
              <w:rPr>
                <w:sz w:val="24"/>
                <w:szCs w:val="24"/>
                <w:highlight w:val="none"/>
              </w:rPr>
            </w:pPr>
            <w:r>
              <w:rPr>
                <w:rFonts w:hint="eastAsia"/>
                <w:sz w:val="24"/>
                <w:szCs w:val="24"/>
                <w:highlight w:val="none"/>
              </w:rPr>
              <w:t>采购人名称</w:t>
            </w:r>
          </w:p>
        </w:tc>
        <w:tc>
          <w:tcPr>
            <w:tcW w:w="1050" w:type="pct"/>
            <w:vMerge w:val="restart"/>
            <w:tcBorders>
              <w:top w:val="single" w:color="auto" w:sz="4" w:space="0"/>
              <w:left w:val="single" w:color="auto" w:sz="4" w:space="0"/>
              <w:bottom w:val="single" w:color="auto" w:sz="4" w:space="0"/>
              <w:right w:val="single" w:color="auto" w:sz="4" w:space="0"/>
            </w:tcBorders>
            <w:noWrap/>
            <w:vAlign w:val="center"/>
          </w:tcPr>
          <w:p>
            <w:pPr>
              <w:snapToGrid w:val="0"/>
              <w:ind w:left="-81" w:leftChars="-37" w:right="-46" w:rightChars="-21"/>
              <w:jc w:val="center"/>
              <w:rPr>
                <w:sz w:val="24"/>
                <w:szCs w:val="24"/>
                <w:highlight w:val="none"/>
              </w:rPr>
            </w:pPr>
            <w:r>
              <w:rPr>
                <w:rFonts w:hint="eastAsia"/>
                <w:sz w:val="24"/>
                <w:szCs w:val="24"/>
                <w:highlight w:val="none"/>
              </w:rPr>
              <w:t>产品或项目名称</w:t>
            </w:r>
          </w:p>
        </w:tc>
        <w:tc>
          <w:tcPr>
            <w:tcW w:w="643" w:type="pct"/>
            <w:vMerge w:val="restart"/>
            <w:tcBorders>
              <w:top w:val="single" w:color="auto" w:sz="4" w:space="0"/>
              <w:left w:val="single" w:color="auto" w:sz="4" w:space="0"/>
              <w:bottom w:val="single" w:color="auto" w:sz="4" w:space="0"/>
              <w:right w:val="single" w:color="auto" w:sz="4" w:space="0"/>
            </w:tcBorders>
            <w:noWrap/>
            <w:vAlign w:val="center"/>
          </w:tcPr>
          <w:p>
            <w:pPr>
              <w:snapToGrid w:val="0"/>
              <w:ind w:left="-81" w:leftChars="-37" w:right="-46" w:rightChars="-21"/>
              <w:jc w:val="center"/>
              <w:rPr>
                <w:sz w:val="24"/>
                <w:szCs w:val="24"/>
                <w:highlight w:val="none"/>
              </w:rPr>
            </w:pPr>
            <w:r>
              <w:rPr>
                <w:rFonts w:hint="eastAsia"/>
                <w:sz w:val="24"/>
                <w:szCs w:val="24"/>
                <w:highlight w:val="none"/>
              </w:rPr>
              <w:t>合同金额</w:t>
            </w:r>
          </w:p>
          <w:p>
            <w:pPr>
              <w:snapToGrid w:val="0"/>
              <w:ind w:left="-81" w:leftChars="-37" w:right="-46" w:rightChars="-21"/>
              <w:jc w:val="center"/>
              <w:rPr>
                <w:sz w:val="24"/>
                <w:szCs w:val="24"/>
                <w:highlight w:val="none"/>
              </w:rPr>
            </w:pPr>
            <w:r>
              <w:rPr>
                <w:rFonts w:hint="eastAsia"/>
                <w:sz w:val="24"/>
                <w:szCs w:val="24"/>
                <w:highlight w:val="none"/>
              </w:rPr>
              <w:t>（万元）</w:t>
            </w:r>
          </w:p>
        </w:tc>
        <w:tc>
          <w:tcPr>
            <w:tcW w:w="1050" w:type="pct"/>
            <w:vMerge w:val="restart"/>
            <w:tcBorders>
              <w:top w:val="single" w:color="auto" w:sz="4" w:space="0"/>
              <w:left w:val="single" w:color="auto" w:sz="4" w:space="0"/>
              <w:right w:val="single" w:color="auto" w:sz="4" w:space="0"/>
            </w:tcBorders>
            <w:noWrap/>
            <w:vAlign w:val="center"/>
          </w:tcPr>
          <w:p>
            <w:pPr>
              <w:snapToGrid w:val="0"/>
              <w:ind w:left="-81" w:leftChars="-37" w:right="-46" w:rightChars="-21"/>
              <w:jc w:val="center"/>
              <w:rPr>
                <w:sz w:val="24"/>
                <w:szCs w:val="24"/>
                <w:highlight w:val="none"/>
              </w:rPr>
            </w:pPr>
            <w:r>
              <w:rPr>
                <w:rFonts w:hint="eastAsia"/>
                <w:sz w:val="24"/>
                <w:szCs w:val="24"/>
                <w:highlight w:val="none"/>
              </w:rPr>
              <w:t>签约及完成日期</w:t>
            </w:r>
          </w:p>
        </w:tc>
        <w:tc>
          <w:tcPr>
            <w:tcW w:w="1035" w:type="pct"/>
            <w:vMerge w:val="restart"/>
            <w:tcBorders>
              <w:top w:val="single" w:color="auto" w:sz="4" w:space="0"/>
              <w:left w:val="single" w:color="auto" w:sz="4" w:space="0"/>
              <w:bottom w:val="single" w:color="auto" w:sz="4" w:space="0"/>
              <w:right w:val="single" w:color="auto" w:sz="4" w:space="0"/>
            </w:tcBorders>
            <w:noWrap/>
            <w:vAlign w:val="center"/>
          </w:tcPr>
          <w:p>
            <w:pPr>
              <w:snapToGrid w:val="0"/>
              <w:ind w:left="-81" w:leftChars="-37" w:right="-46" w:rightChars="-21"/>
              <w:jc w:val="center"/>
              <w:rPr>
                <w:sz w:val="24"/>
                <w:szCs w:val="24"/>
                <w:highlight w:val="none"/>
              </w:rPr>
            </w:pPr>
            <w:r>
              <w:rPr>
                <w:rFonts w:hint="eastAsia"/>
                <w:sz w:val="24"/>
                <w:szCs w:val="24"/>
                <w:highlight w:val="none"/>
              </w:rPr>
              <w:t>采购人联系人及联系电话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8" w:hRule="atLeast"/>
          <w:jc w:val="center"/>
        </w:trPr>
        <w:tc>
          <w:tcPr>
            <w:tcW w:w="443" w:type="pct"/>
            <w:vMerge w:val="continue"/>
            <w:tcBorders>
              <w:top w:val="single" w:color="auto" w:sz="4" w:space="0"/>
              <w:left w:val="single" w:color="auto" w:sz="4" w:space="0"/>
              <w:bottom w:val="single" w:color="auto" w:sz="4" w:space="0"/>
              <w:right w:val="single" w:color="auto" w:sz="4" w:space="0"/>
            </w:tcBorders>
            <w:noWrap/>
            <w:vAlign w:val="center"/>
          </w:tcPr>
          <w:p>
            <w:pPr>
              <w:widowControl/>
              <w:rPr>
                <w:sz w:val="24"/>
                <w:szCs w:val="24"/>
                <w:highlight w:val="none"/>
              </w:rPr>
            </w:pPr>
          </w:p>
        </w:tc>
        <w:tc>
          <w:tcPr>
            <w:tcW w:w="778" w:type="pct"/>
            <w:vMerge w:val="continue"/>
            <w:tcBorders>
              <w:top w:val="single" w:color="auto" w:sz="4" w:space="0"/>
              <w:left w:val="single" w:color="auto" w:sz="4" w:space="0"/>
              <w:bottom w:val="single" w:color="auto" w:sz="4" w:space="0"/>
              <w:right w:val="single" w:color="auto" w:sz="4" w:space="0"/>
            </w:tcBorders>
            <w:noWrap/>
            <w:vAlign w:val="center"/>
          </w:tcPr>
          <w:p>
            <w:pPr>
              <w:widowControl/>
              <w:rPr>
                <w:sz w:val="24"/>
                <w:szCs w:val="24"/>
                <w:highlight w:val="none"/>
              </w:rPr>
            </w:pPr>
          </w:p>
        </w:tc>
        <w:tc>
          <w:tcPr>
            <w:tcW w:w="1050" w:type="pct"/>
            <w:vMerge w:val="continue"/>
            <w:tcBorders>
              <w:top w:val="single" w:color="auto" w:sz="4" w:space="0"/>
              <w:left w:val="single" w:color="auto" w:sz="4" w:space="0"/>
              <w:bottom w:val="single" w:color="auto" w:sz="4" w:space="0"/>
              <w:right w:val="single" w:color="auto" w:sz="4" w:space="0"/>
            </w:tcBorders>
            <w:noWrap/>
            <w:vAlign w:val="center"/>
          </w:tcPr>
          <w:p>
            <w:pPr>
              <w:widowControl/>
              <w:rPr>
                <w:sz w:val="24"/>
                <w:szCs w:val="24"/>
                <w:highlight w:val="none"/>
              </w:rPr>
            </w:pPr>
          </w:p>
        </w:tc>
        <w:tc>
          <w:tcPr>
            <w:tcW w:w="643" w:type="pct"/>
            <w:vMerge w:val="continue"/>
            <w:tcBorders>
              <w:top w:val="single" w:color="auto" w:sz="4" w:space="0"/>
              <w:left w:val="single" w:color="auto" w:sz="4" w:space="0"/>
              <w:bottom w:val="single" w:color="auto" w:sz="4" w:space="0"/>
              <w:right w:val="single" w:color="auto" w:sz="4" w:space="0"/>
            </w:tcBorders>
            <w:noWrap/>
            <w:vAlign w:val="center"/>
          </w:tcPr>
          <w:p>
            <w:pPr>
              <w:widowControl/>
              <w:rPr>
                <w:sz w:val="24"/>
                <w:szCs w:val="24"/>
                <w:highlight w:val="none"/>
              </w:rPr>
            </w:pPr>
          </w:p>
        </w:tc>
        <w:tc>
          <w:tcPr>
            <w:tcW w:w="1050" w:type="pct"/>
            <w:vMerge w:val="continue"/>
            <w:tcBorders>
              <w:left w:val="single" w:color="auto" w:sz="4" w:space="0"/>
              <w:bottom w:val="single" w:color="auto" w:sz="4" w:space="0"/>
              <w:right w:val="single" w:color="auto" w:sz="4" w:space="0"/>
            </w:tcBorders>
            <w:noWrap/>
            <w:vAlign w:val="center"/>
          </w:tcPr>
          <w:p>
            <w:pPr>
              <w:snapToGrid w:val="0"/>
              <w:jc w:val="center"/>
              <w:rPr>
                <w:sz w:val="24"/>
                <w:szCs w:val="24"/>
                <w:highlight w:val="none"/>
              </w:rPr>
            </w:pPr>
          </w:p>
        </w:tc>
        <w:tc>
          <w:tcPr>
            <w:tcW w:w="1035" w:type="pct"/>
            <w:vMerge w:val="continue"/>
            <w:tcBorders>
              <w:top w:val="single" w:color="auto" w:sz="4" w:space="0"/>
              <w:left w:val="single" w:color="auto" w:sz="4" w:space="0"/>
              <w:bottom w:val="single" w:color="auto" w:sz="4" w:space="0"/>
              <w:right w:val="single" w:color="auto" w:sz="4" w:space="0"/>
            </w:tcBorders>
            <w:noWrap/>
            <w:vAlign w:val="center"/>
          </w:tcPr>
          <w:p>
            <w:pPr>
              <w:widowControl/>
              <w:rPr>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4" w:hRule="atLeast"/>
          <w:jc w:val="center"/>
        </w:trPr>
        <w:tc>
          <w:tcPr>
            <w:tcW w:w="443" w:type="pct"/>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eastAsia="宋体"/>
                <w:sz w:val="24"/>
                <w:szCs w:val="24"/>
                <w:highlight w:val="none"/>
                <w:lang w:val="en-US" w:eastAsia="zh-CN"/>
              </w:rPr>
            </w:pPr>
            <w:r>
              <w:rPr>
                <w:rFonts w:hint="eastAsia"/>
                <w:sz w:val="24"/>
                <w:szCs w:val="24"/>
                <w:highlight w:val="none"/>
                <w:lang w:val="en-US" w:eastAsia="zh-CN"/>
              </w:rPr>
              <w:t>1</w:t>
            </w:r>
          </w:p>
        </w:tc>
        <w:tc>
          <w:tcPr>
            <w:tcW w:w="778" w:type="pct"/>
            <w:tcBorders>
              <w:top w:val="single" w:color="auto" w:sz="4" w:space="0"/>
              <w:left w:val="single" w:color="auto" w:sz="4" w:space="0"/>
              <w:bottom w:val="single" w:color="auto" w:sz="4" w:space="0"/>
              <w:right w:val="single" w:color="auto" w:sz="4" w:space="0"/>
            </w:tcBorders>
            <w:noWrap/>
            <w:vAlign w:val="center"/>
          </w:tcPr>
          <w:p>
            <w:pPr>
              <w:snapToGrid w:val="0"/>
              <w:jc w:val="center"/>
              <w:rPr>
                <w:sz w:val="24"/>
                <w:szCs w:val="24"/>
                <w:highlight w:val="none"/>
              </w:rPr>
            </w:pPr>
          </w:p>
        </w:tc>
        <w:tc>
          <w:tcPr>
            <w:tcW w:w="1050" w:type="pct"/>
            <w:tcBorders>
              <w:top w:val="single" w:color="auto" w:sz="4" w:space="0"/>
              <w:left w:val="single" w:color="auto" w:sz="4" w:space="0"/>
              <w:bottom w:val="single" w:color="auto" w:sz="4" w:space="0"/>
              <w:right w:val="single" w:color="auto" w:sz="4" w:space="0"/>
            </w:tcBorders>
            <w:noWrap/>
            <w:vAlign w:val="center"/>
          </w:tcPr>
          <w:p>
            <w:pPr>
              <w:snapToGrid w:val="0"/>
              <w:jc w:val="center"/>
              <w:rPr>
                <w:sz w:val="24"/>
                <w:szCs w:val="24"/>
                <w:highlight w:val="none"/>
              </w:rPr>
            </w:pPr>
          </w:p>
        </w:tc>
        <w:tc>
          <w:tcPr>
            <w:tcW w:w="643" w:type="pct"/>
            <w:tcBorders>
              <w:top w:val="single" w:color="auto" w:sz="4" w:space="0"/>
              <w:left w:val="single" w:color="auto" w:sz="4" w:space="0"/>
              <w:bottom w:val="single" w:color="auto" w:sz="4" w:space="0"/>
              <w:right w:val="single" w:color="auto" w:sz="4" w:space="0"/>
            </w:tcBorders>
            <w:noWrap/>
            <w:vAlign w:val="center"/>
          </w:tcPr>
          <w:p>
            <w:pPr>
              <w:snapToGrid w:val="0"/>
              <w:jc w:val="center"/>
              <w:rPr>
                <w:sz w:val="24"/>
                <w:szCs w:val="24"/>
                <w:highlight w:val="none"/>
              </w:rPr>
            </w:pPr>
          </w:p>
        </w:tc>
        <w:tc>
          <w:tcPr>
            <w:tcW w:w="1050" w:type="pct"/>
            <w:tcBorders>
              <w:top w:val="single" w:color="auto" w:sz="4" w:space="0"/>
              <w:left w:val="single" w:color="auto" w:sz="4" w:space="0"/>
              <w:bottom w:val="single" w:color="auto" w:sz="4" w:space="0"/>
              <w:right w:val="single" w:color="auto" w:sz="4" w:space="0"/>
            </w:tcBorders>
            <w:noWrap/>
            <w:vAlign w:val="center"/>
          </w:tcPr>
          <w:p>
            <w:pPr>
              <w:snapToGrid w:val="0"/>
              <w:jc w:val="center"/>
              <w:rPr>
                <w:sz w:val="24"/>
                <w:szCs w:val="24"/>
                <w:highlight w:val="none"/>
              </w:rPr>
            </w:pPr>
          </w:p>
        </w:tc>
        <w:tc>
          <w:tcPr>
            <w:tcW w:w="1035" w:type="pct"/>
            <w:tcBorders>
              <w:top w:val="single" w:color="auto" w:sz="4" w:space="0"/>
              <w:left w:val="single" w:color="auto" w:sz="4" w:space="0"/>
              <w:bottom w:val="single" w:color="auto" w:sz="4" w:space="0"/>
              <w:right w:val="single" w:color="auto" w:sz="4" w:space="0"/>
            </w:tcBorders>
            <w:noWrap/>
            <w:vAlign w:val="center"/>
          </w:tcPr>
          <w:p>
            <w:pPr>
              <w:snapToGrid w:val="0"/>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11" w:hRule="atLeast"/>
          <w:jc w:val="center"/>
        </w:trPr>
        <w:tc>
          <w:tcPr>
            <w:tcW w:w="443"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Lines="50"/>
              <w:jc w:val="center"/>
              <w:rPr>
                <w:sz w:val="24"/>
                <w:szCs w:val="24"/>
                <w:highlight w:val="none"/>
              </w:rPr>
            </w:pPr>
            <w:r>
              <w:rPr>
                <w:rFonts w:hint="eastAsia"/>
                <w:sz w:val="24"/>
                <w:szCs w:val="24"/>
                <w:highlight w:val="none"/>
              </w:rPr>
              <w:t>……</w:t>
            </w:r>
          </w:p>
        </w:tc>
        <w:tc>
          <w:tcPr>
            <w:tcW w:w="778"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Lines="50"/>
              <w:jc w:val="center"/>
              <w:rPr>
                <w:sz w:val="24"/>
                <w:szCs w:val="24"/>
                <w:highlight w:val="none"/>
              </w:rPr>
            </w:pPr>
          </w:p>
        </w:tc>
        <w:tc>
          <w:tcPr>
            <w:tcW w:w="1050"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Lines="50"/>
              <w:jc w:val="center"/>
              <w:rPr>
                <w:sz w:val="24"/>
                <w:szCs w:val="24"/>
                <w:highlight w:val="none"/>
              </w:rPr>
            </w:pPr>
          </w:p>
        </w:tc>
        <w:tc>
          <w:tcPr>
            <w:tcW w:w="643"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Lines="50"/>
              <w:jc w:val="center"/>
              <w:rPr>
                <w:sz w:val="24"/>
                <w:szCs w:val="24"/>
                <w:highlight w:val="none"/>
              </w:rPr>
            </w:pPr>
          </w:p>
        </w:tc>
        <w:tc>
          <w:tcPr>
            <w:tcW w:w="1050"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Lines="50"/>
              <w:jc w:val="center"/>
              <w:rPr>
                <w:sz w:val="24"/>
                <w:szCs w:val="24"/>
                <w:highlight w:val="none"/>
              </w:rPr>
            </w:pPr>
          </w:p>
        </w:tc>
        <w:tc>
          <w:tcPr>
            <w:tcW w:w="1035"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Lines="50"/>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443"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Lines="50"/>
              <w:jc w:val="center"/>
              <w:rPr>
                <w:sz w:val="24"/>
                <w:szCs w:val="24"/>
                <w:highlight w:val="none"/>
              </w:rPr>
            </w:pPr>
          </w:p>
        </w:tc>
        <w:tc>
          <w:tcPr>
            <w:tcW w:w="778"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Lines="50"/>
              <w:jc w:val="center"/>
              <w:rPr>
                <w:sz w:val="24"/>
                <w:szCs w:val="24"/>
                <w:highlight w:val="none"/>
              </w:rPr>
            </w:pPr>
          </w:p>
        </w:tc>
        <w:tc>
          <w:tcPr>
            <w:tcW w:w="1050"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Lines="50"/>
              <w:jc w:val="center"/>
              <w:rPr>
                <w:sz w:val="24"/>
                <w:szCs w:val="24"/>
                <w:highlight w:val="none"/>
              </w:rPr>
            </w:pPr>
          </w:p>
        </w:tc>
        <w:tc>
          <w:tcPr>
            <w:tcW w:w="643"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Lines="50"/>
              <w:jc w:val="center"/>
              <w:rPr>
                <w:sz w:val="24"/>
                <w:szCs w:val="24"/>
                <w:highlight w:val="none"/>
              </w:rPr>
            </w:pPr>
          </w:p>
        </w:tc>
        <w:tc>
          <w:tcPr>
            <w:tcW w:w="1050"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Lines="50"/>
              <w:jc w:val="center"/>
              <w:rPr>
                <w:sz w:val="24"/>
                <w:szCs w:val="24"/>
                <w:highlight w:val="none"/>
              </w:rPr>
            </w:pPr>
          </w:p>
        </w:tc>
        <w:tc>
          <w:tcPr>
            <w:tcW w:w="1035" w:type="pct"/>
            <w:tcBorders>
              <w:top w:val="single" w:color="auto" w:sz="4" w:space="0"/>
              <w:left w:val="single" w:color="auto" w:sz="4" w:space="0"/>
              <w:bottom w:val="single" w:color="auto" w:sz="4" w:space="0"/>
              <w:right w:val="single" w:color="auto" w:sz="4" w:space="0"/>
            </w:tcBorders>
            <w:noWrap/>
            <w:vAlign w:val="center"/>
          </w:tcPr>
          <w:p>
            <w:pPr>
              <w:snapToGrid w:val="0"/>
              <w:spacing w:before="50" w:afterLines="50"/>
              <w:jc w:val="center"/>
              <w:rPr>
                <w:sz w:val="24"/>
                <w:szCs w:val="24"/>
                <w:highlight w:val="none"/>
              </w:rPr>
            </w:pPr>
          </w:p>
        </w:tc>
      </w:tr>
    </w:tbl>
    <w:p>
      <w:pPr>
        <w:pStyle w:val="21"/>
        <w:snapToGrid w:val="0"/>
        <w:ind w:left="480" w:hanging="480"/>
        <w:rPr>
          <w:rFonts w:ascii="宋体" w:hAnsi="宋体"/>
          <w:sz w:val="24"/>
          <w:highlight w:val="none"/>
        </w:rPr>
      </w:pPr>
    </w:p>
    <w:p>
      <w:pPr>
        <w:pStyle w:val="21"/>
        <w:snapToGrid w:val="0"/>
        <w:ind w:left="440" w:hanging="440"/>
        <w:rPr>
          <w:rFonts w:ascii="宋体" w:hAnsi="宋体"/>
          <w:szCs w:val="22"/>
          <w:highlight w:val="none"/>
        </w:rPr>
      </w:pPr>
      <w:r>
        <w:rPr>
          <w:rFonts w:hint="eastAsia" w:ascii="宋体" w:hAnsi="宋体"/>
          <w:szCs w:val="22"/>
          <w:highlight w:val="none"/>
        </w:rPr>
        <w:t>此表后附合同复印件等相关证明材料。</w:t>
      </w:r>
    </w:p>
    <w:p>
      <w:pPr>
        <w:pStyle w:val="21"/>
        <w:snapToGrid w:val="0"/>
        <w:ind w:left="440" w:hanging="440"/>
        <w:rPr>
          <w:rFonts w:ascii="宋体" w:hAnsi="宋体"/>
          <w:szCs w:val="22"/>
          <w:highlight w:val="none"/>
        </w:rPr>
      </w:pPr>
    </w:p>
    <w:p>
      <w:pPr>
        <w:spacing w:line="360" w:lineRule="auto"/>
        <w:ind w:firstLine="5500" w:firstLineChars="2500"/>
        <w:rPr>
          <w:highlight w:val="none"/>
        </w:rPr>
      </w:pPr>
      <w:r>
        <w:rPr>
          <w:rFonts w:hint="eastAsia"/>
          <w:highlight w:val="none"/>
        </w:rPr>
        <w:t>投标人（盖章）：</w:t>
      </w:r>
    </w:p>
    <w:p>
      <w:pPr>
        <w:spacing w:line="360" w:lineRule="auto"/>
        <w:ind w:firstLine="5390" w:firstLineChars="2450"/>
        <w:rPr>
          <w:highlight w:val="none"/>
        </w:rPr>
      </w:pPr>
      <w:r>
        <w:rPr>
          <w:rFonts w:hint="eastAsia"/>
          <w:highlight w:val="none"/>
        </w:rPr>
        <w:t xml:space="preserve"> 法定代表人或委托代理人（签字）：</w:t>
      </w:r>
    </w:p>
    <w:p>
      <w:pPr>
        <w:spacing w:line="360" w:lineRule="auto"/>
        <w:ind w:firstLine="5500" w:firstLineChars="2500"/>
        <w:rPr>
          <w:highlight w:val="none"/>
        </w:rPr>
      </w:pPr>
      <w:r>
        <w:rPr>
          <w:rFonts w:hint="eastAsia"/>
          <w:highlight w:val="none"/>
        </w:rPr>
        <w:t>日      期：</w:t>
      </w:r>
    </w:p>
    <w:p>
      <w:pPr>
        <w:pStyle w:val="6"/>
        <w:spacing w:before="93"/>
        <w:ind w:left="0" w:right="1678"/>
        <w:jc w:val="both"/>
        <w:rPr>
          <w:highlight w:val="none"/>
        </w:rPr>
      </w:pPr>
    </w:p>
    <w:p>
      <w:pPr>
        <w:pStyle w:val="32"/>
        <w:rPr>
          <w:rFonts w:ascii="宋体" w:hAnsi="宋体" w:eastAsia="宋体" w:cs="宋体"/>
          <w:highlight w:val="none"/>
        </w:rPr>
      </w:pPr>
    </w:p>
    <w:p>
      <w:pPr>
        <w:pStyle w:val="32"/>
        <w:rPr>
          <w:rFonts w:ascii="宋体" w:hAnsi="宋体" w:eastAsia="宋体" w:cs="宋体"/>
          <w:highlight w:val="none"/>
        </w:rPr>
      </w:pPr>
    </w:p>
    <w:p>
      <w:pPr>
        <w:pStyle w:val="32"/>
        <w:rPr>
          <w:rFonts w:ascii="宋体" w:hAnsi="宋体" w:eastAsia="宋体" w:cs="宋体"/>
          <w:highlight w:val="none"/>
        </w:rPr>
      </w:pPr>
    </w:p>
    <w:p>
      <w:pPr>
        <w:pStyle w:val="32"/>
        <w:rPr>
          <w:rFonts w:ascii="宋体" w:hAnsi="宋体" w:eastAsia="宋体" w:cs="宋体"/>
          <w:highlight w:val="none"/>
        </w:rPr>
      </w:pPr>
    </w:p>
    <w:p>
      <w:pPr>
        <w:pStyle w:val="32"/>
        <w:rPr>
          <w:rFonts w:ascii="宋体" w:hAnsi="宋体" w:eastAsia="宋体" w:cs="宋体"/>
          <w:highlight w:val="none"/>
        </w:rPr>
      </w:pPr>
    </w:p>
    <w:p>
      <w:pPr>
        <w:pStyle w:val="32"/>
        <w:rPr>
          <w:rFonts w:ascii="宋体" w:hAnsi="宋体" w:eastAsia="宋体" w:cs="宋体"/>
          <w:highlight w:val="none"/>
        </w:rPr>
      </w:pPr>
    </w:p>
    <w:p>
      <w:pPr>
        <w:pStyle w:val="32"/>
        <w:rPr>
          <w:rFonts w:ascii="宋体" w:hAnsi="宋体" w:eastAsia="宋体" w:cs="宋体"/>
          <w:highlight w:val="none"/>
        </w:rPr>
      </w:pPr>
    </w:p>
    <w:p>
      <w:pPr>
        <w:pStyle w:val="32"/>
        <w:rPr>
          <w:rFonts w:ascii="宋体" w:hAnsi="宋体" w:eastAsia="宋体" w:cs="宋体"/>
          <w:highlight w:val="none"/>
        </w:rPr>
      </w:pPr>
    </w:p>
    <w:p>
      <w:pPr>
        <w:pStyle w:val="32"/>
        <w:rPr>
          <w:rFonts w:ascii="宋体" w:hAnsi="宋体" w:eastAsia="宋体" w:cs="宋体"/>
          <w:highlight w:val="none"/>
        </w:rPr>
      </w:pPr>
    </w:p>
    <w:p>
      <w:pPr>
        <w:pStyle w:val="32"/>
        <w:rPr>
          <w:rFonts w:ascii="宋体" w:hAnsi="宋体" w:eastAsia="宋体" w:cs="宋体"/>
          <w:highlight w:val="none"/>
        </w:rPr>
      </w:pPr>
    </w:p>
    <w:p>
      <w:pPr>
        <w:pStyle w:val="32"/>
        <w:rPr>
          <w:rFonts w:ascii="宋体" w:hAnsi="宋体" w:eastAsia="宋体" w:cs="宋体"/>
          <w:highlight w:val="none"/>
        </w:rPr>
      </w:pPr>
    </w:p>
    <w:p>
      <w:pPr>
        <w:pStyle w:val="32"/>
        <w:rPr>
          <w:rFonts w:ascii="宋体" w:hAnsi="宋体" w:eastAsia="宋体" w:cs="宋体"/>
          <w:highlight w:val="none"/>
        </w:rPr>
      </w:pPr>
    </w:p>
    <w:p>
      <w:pPr>
        <w:pStyle w:val="32"/>
        <w:rPr>
          <w:rFonts w:ascii="宋体" w:hAnsi="宋体" w:eastAsia="宋体" w:cs="宋体"/>
          <w:highlight w:val="none"/>
        </w:rPr>
      </w:pPr>
    </w:p>
    <w:p>
      <w:pPr>
        <w:pStyle w:val="32"/>
        <w:rPr>
          <w:rFonts w:ascii="宋体" w:hAnsi="宋体" w:eastAsia="宋体" w:cs="宋体"/>
          <w:highlight w:val="none"/>
        </w:rPr>
      </w:pPr>
    </w:p>
    <w:p>
      <w:pPr>
        <w:pStyle w:val="32"/>
        <w:rPr>
          <w:rFonts w:ascii="宋体" w:hAnsi="宋体" w:eastAsia="宋体" w:cs="宋体"/>
          <w:highlight w:val="none"/>
        </w:rPr>
      </w:pPr>
    </w:p>
    <w:p>
      <w:pPr>
        <w:pStyle w:val="32"/>
        <w:rPr>
          <w:rFonts w:ascii="宋体" w:hAnsi="宋体" w:eastAsia="宋体" w:cs="宋体"/>
          <w:highlight w:val="none"/>
        </w:rPr>
      </w:pPr>
    </w:p>
    <w:p>
      <w:pPr>
        <w:pStyle w:val="32"/>
        <w:rPr>
          <w:rFonts w:ascii="宋体" w:hAnsi="宋体" w:eastAsia="宋体" w:cs="宋体"/>
          <w:highlight w:val="none"/>
        </w:rPr>
      </w:pPr>
    </w:p>
    <w:p>
      <w:pPr>
        <w:pStyle w:val="32"/>
        <w:rPr>
          <w:rFonts w:ascii="宋体" w:hAnsi="宋体" w:eastAsia="宋体" w:cs="宋体"/>
          <w:highlight w:val="none"/>
        </w:rPr>
      </w:pPr>
    </w:p>
    <w:p>
      <w:pPr>
        <w:pStyle w:val="25"/>
        <w:ind w:left="0" w:leftChars="0" w:firstLine="0" w:firstLineChars="0"/>
        <w:rPr>
          <w:rFonts w:ascii="宋体" w:hAnsi="宋体"/>
          <w:highlight w:val="none"/>
        </w:rPr>
      </w:pPr>
    </w:p>
    <w:p>
      <w:pPr>
        <w:pStyle w:val="25"/>
        <w:ind w:left="0" w:leftChars="0" w:firstLine="0" w:firstLineChars="0"/>
        <w:rPr>
          <w:rFonts w:ascii="宋体" w:hAnsi="宋体"/>
          <w:highlight w:val="none"/>
        </w:rPr>
      </w:pPr>
    </w:p>
    <w:p>
      <w:pPr>
        <w:spacing w:line="360" w:lineRule="auto"/>
        <w:ind w:firstLine="3614" w:firstLineChars="1200"/>
        <w:rPr>
          <w:b/>
          <w:bCs/>
          <w:sz w:val="30"/>
          <w:szCs w:val="30"/>
          <w:highlight w:val="none"/>
        </w:rPr>
      </w:pPr>
      <w:r>
        <w:rPr>
          <w:rFonts w:hint="eastAsia"/>
          <w:b/>
          <w:bCs/>
          <w:sz w:val="30"/>
          <w:szCs w:val="30"/>
          <w:highlight w:val="none"/>
        </w:rPr>
        <w:t>技术规格偏离表</w:t>
      </w:r>
    </w:p>
    <w:p>
      <w:pPr>
        <w:spacing w:line="360" w:lineRule="auto"/>
        <w:ind w:firstLine="420" w:firstLineChars="200"/>
        <w:rPr>
          <w:sz w:val="21"/>
          <w:szCs w:val="21"/>
          <w:highlight w:val="none"/>
        </w:rPr>
      </w:pPr>
      <w:r>
        <w:rPr>
          <w:rFonts w:hint="eastAsia"/>
          <w:sz w:val="21"/>
          <w:szCs w:val="21"/>
          <w:highlight w:val="none"/>
        </w:rPr>
        <w:t xml:space="preserve">投标人名称（盖章）：                          </w:t>
      </w:r>
      <w:r>
        <w:rPr>
          <w:rFonts w:hint="eastAsia"/>
          <w:sz w:val="21"/>
          <w:szCs w:val="21"/>
          <w:highlight w:val="none"/>
          <w:lang w:val="en-US" w:eastAsia="zh-CN"/>
        </w:rPr>
        <w:t xml:space="preserve">             </w:t>
      </w:r>
      <w:r>
        <w:rPr>
          <w:rFonts w:hint="eastAsia"/>
          <w:sz w:val="21"/>
          <w:szCs w:val="21"/>
          <w:highlight w:val="none"/>
        </w:rPr>
        <w:t>采购编号：</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1223"/>
        <w:gridCol w:w="2529"/>
        <w:gridCol w:w="1902"/>
        <w:gridCol w:w="1031"/>
        <w:gridCol w:w="778"/>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626"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jc w:val="center"/>
              <w:textAlignment w:val="auto"/>
              <w:rPr>
                <w:b/>
                <w:bCs/>
                <w:sz w:val="20"/>
                <w:szCs w:val="20"/>
                <w:highlight w:val="none"/>
              </w:rPr>
            </w:pPr>
            <w:r>
              <w:rPr>
                <w:rFonts w:hint="eastAsia"/>
                <w:b/>
                <w:bCs/>
                <w:sz w:val="20"/>
                <w:szCs w:val="20"/>
                <w:highlight w:val="none"/>
              </w:rPr>
              <w:t>序号</w:t>
            </w:r>
          </w:p>
        </w:tc>
        <w:tc>
          <w:tcPr>
            <w:tcW w:w="1223"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jc w:val="center"/>
              <w:textAlignment w:val="auto"/>
              <w:rPr>
                <w:b/>
                <w:bCs/>
                <w:sz w:val="20"/>
                <w:szCs w:val="20"/>
                <w:highlight w:val="none"/>
              </w:rPr>
            </w:pPr>
            <w:r>
              <w:rPr>
                <w:rFonts w:hint="eastAsia"/>
                <w:b/>
                <w:bCs/>
                <w:sz w:val="20"/>
                <w:szCs w:val="20"/>
                <w:highlight w:val="none"/>
              </w:rPr>
              <w:t>名称</w:t>
            </w:r>
          </w:p>
        </w:tc>
        <w:tc>
          <w:tcPr>
            <w:tcW w:w="2529"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jc w:val="center"/>
              <w:textAlignment w:val="auto"/>
              <w:rPr>
                <w:b/>
                <w:bCs/>
                <w:sz w:val="20"/>
                <w:szCs w:val="20"/>
                <w:highlight w:val="none"/>
              </w:rPr>
            </w:pPr>
            <w:r>
              <w:rPr>
                <w:rFonts w:hint="eastAsia"/>
                <w:b/>
                <w:bCs/>
                <w:sz w:val="20"/>
                <w:szCs w:val="20"/>
                <w:highlight w:val="none"/>
              </w:rPr>
              <w:t>采购文件规范要求</w:t>
            </w:r>
          </w:p>
        </w:tc>
        <w:tc>
          <w:tcPr>
            <w:tcW w:w="1902"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jc w:val="center"/>
              <w:textAlignment w:val="auto"/>
              <w:rPr>
                <w:b/>
                <w:bCs/>
                <w:sz w:val="20"/>
                <w:szCs w:val="20"/>
                <w:highlight w:val="none"/>
              </w:rPr>
            </w:pPr>
            <w:r>
              <w:rPr>
                <w:rFonts w:hint="eastAsia"/>
                <w:b/>
                <w:bCs/>
                <w:sz w:val="20"/>
                <w:szCs w:val="20"/>
                <w:highlight w:val="none"/>
              </w:rPr>
              <w:t>投标文件对应规范</w:t>
            </w:r>
          </w:p>
        </w:tc>
        <w:tc>
          <w:tcPr>
            <w:tcW w:w="1031"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jc w:val="center"/>
              <w:textAlignment w:val="auto"/>
              <w:rPr>
                <w:b/>
                <w:bCs/>
                <w:sz w:val="20"/>
                <w:szCs w:val="20"/>
                <w:highlight w:val="none"/>
              </w:rPr>
            </w:pPr>
            <w:r>
              <w:rPr>
                <w:rFonts w:hint="eastAsia"/>
                <w:b/>
                <w:bCs/>
                <w:sz w:val="20"/>
                <w:szCs w:val="20"/>
                <w:highlight w:val="none"/>
              </w:rPr>
              <w:t>是否</w:t>
            </w:r>
          </w:p>
          <w:p>
            <w:pPr>
              <w:keepNext w:val="0"/>
              <w:keepLines w:val="0"/>
              <w:pageBreakBefore w:val="0"/>
              <w:widowControl w:val="0"/>
              <w:kinsoku/>
              <w:wordWrap/>
              <w:overflowPunct/>
              <w:topLinePunct w:val="0"/>
              <w:autoSpaceDE w:val="0"/>
              <w:autoSpaceDN w:val="0"/>
              <w:bidi w:val="0"/>
              <w:adjustRightInd/>
              <w:spacing w:line="300" w:lineRule="exact"/>
              <w:jc w:val="center"/>
              <w:textAlignment w:val="auto"/>
              <w:rPr>
                <w:b/>
                <w:bCs/>
                <w:sz w:val="20"/>
                <w:szCs w:val="20"/>
                <w:highlight w:val="none"/>
              </w:rPr>
            </w:pPr>
            <w:r>
              <w:rPr>
                <w:rFonts w:hint="eastAsia"/>
                <w:b/>
                <w:bCs/>
                <w:sz w:val="20"/>
                <w:szCs w:val="20"/>
                <w:highlight w:val="none"/>
              </w:rPr>
              <w:t>响应</w:t>
            </w:r>
          </w:p>
        </w:tc>
        <w:tc>
          <w:tcPr>
            <w:tcW w:w="778"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jc w:val="center"/>
              <w:textAlignment w:val="auto"/>
              <w:rPr>
                <w:b/>
                <w:bCs/>
                <w:sz w:val="20"/>
                <w:szCs w:val="20"/>
                <w:highlight w:val="none"/>
              </w:rPr>
            </w:pPr>
            <w:r>
              <w:rPr>
                <w:rFonts w:hint="eastAsia"/>
                <w:b/>
                <w:bCs/>
                <w:sz w:val="20"/>
                <w:szCs w:val="20"/>
                <w:highlight w:val="none"/>
              </w:rPr>
              <w:t>偏离</w:t>
            </w:r>
          </w:p>
        </w:tc>
        <w:tc>
          <w:tcPr>
            <w:tcW w:w="914"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jc w:val="center"/>
              <w:textAlignment w:val="auto"/>
              <w:rPr>
                <w:b/>
                <w:bCs/>
                <w:sz w:val="20"/>
                <w:szCs w:val="20"/>
                <w:highlight w:val="none"/>
              </w:rPr>
            </w:pPr>
            <w:r>
              <w:rPr>
                <w:rFonts w:hint="eastAsia"/>
                <w:b/>
                <w:bCs/>
                <w:sz w:val="20"/>
                <w:szCs w:val="20"/>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626"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jc w:val="center"/>
              <w:textAlignment w:val="auto"/>
              <w:rPr>
                <w:rFonts w:hint="eastAsia" w:eastAsia="宋体"/>
                <w:sz w:val="20"/>
                <w:szCs w:val="20"/>
                <w:highlight w:val="none"/>
                <w:lang w:val="en-US" w:eastAsia="zh-CN"/>
              </w:rPr>
            </w:pPr>
            <w:r>
              <w:rPr>
                <w:rFonts w:hint="eastAsia"/>
                <w:sz w:val="20"/>
                <w:szCs w:val="20"/>
                <w:highlight w:val="none"/>
                <w:lang w:val="en-US" w:eastAsia="zh-CN"/>
              </w:rPr>
              <w:t>1</w:t>
            </w:r>
          </w:p>
        </w:tc>
        <w:tc>
          <w:tcPr>
            <w:tcW w:w="1223"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jc w:val="both"/>
              <w:textAlignment w:val="auto"/>
              <w:rPr>
                <w:rFonts w:hint="default" w:eastAsia="宋体"/>
                <w:sz w:val="20"/>
                <w:szCs w:val="20"/>
                <w:highlight w:val="none"/>
                <w:lang w:val="en-US" w:eastAsia="zh-CN"/>
              </w:rPr>
            </w:pPr>
            <w:r>
              <w:rPr>
                <w:rFonts w:hint="eastAsia"/>
                <w:sz w:val="20"/>
                <w:szCs w:val="20"/>
                <w:highlight w:val="none"/>
                <w:lang w:val="en-US" w:eastAsia="zh-CN"/>
              </w:rPr>
              <w:t>项目成果及要求</w:t>
            </w:r>
          </w:p>
        </w:tc>
        <w:tc>
          <w:tcPr>
            <w:tcW w:w="2529"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jc w:val="both"/>
              <w:textAlignment w:val="auto"/>
              <w:rPr>
                <w:sz w:val="20"/>
                <w:szCs w:val="20"/>
                <w:highlight w:val="none"/>
                <w:lang w:val="en-US"/>
              </w:rPr>
            </w:pPr>
            <w:r>
              <w:rPr>
                <w:rFonts w:hint="eastAsia"/>
                <w:sz w:val="20"/>
                <w:szCs w:val="20"/>
                <w:highlight w:val="none"/>
                <w:lang w:val="en-US"/>
              </w:rPr>
              <w:t>1、编制完成线位论证报告</w:t>
            </w:r>
            <w:r>
              <w:rPr>
                <w:rFonts w:hint="eastAsia"/>
                <w:sz w:val="20"/>
                <w:szCs w:val="20"/>
                <w:highlight w:val="none"/>
                <w:lang w:val="en-US" w:eastAsia="zh-CN"/>
              </w:rPr>
              <w:t>、落地方案及</w:t>
            </w:r>
            <w:r>
              <w:rPr>
                <w:rFonts w:hint="eastAsia"/>
                <w:sz w:val="20"/>
                <w:szCs w:val="20"/>
                <w:highlight w:val="none"/>
                <w:lang w:val="en-US"/>
              </w:rPr>
              <w:t>方案图纸，图册等初步设计相关成果；</w:t>
            </w:r>
          </w:p>
          <w:p>
            <w:pPr>
              <w:keepNext w:val="0"/>
              <w:keepLines w:val="0"/>
              <w:pageBreakBefore w:val="0"/>
              <w:widowControl w:val="0"/>
              <w:kinsoku/>
              <w:wordWrap/>
              <w:overflowPunct/>
              <w:topLinePunct w:val="0"/>
              <w:autoSpaceDE w:val="0"/>
              <w:autoSpaceDN w:val="0"/>
              <w:bidi w:val="0"/>
              <w:adjustRightInd/>
              <w:spacing w:line="300" w:lineRule="exact"/>
              <w:jc w:val="both"/>
              <w:textAlignment w:val="auto"/>
              <w:rPr>
                <w:sz w:val="20"/>
                <w:szCs w:val="20"/>
                <w:highlight w:val="none"/>
              </w:rPr>
            </w:pPr>
            <w:r>
              <w:rPr>
                <w:rFonts w:hint="eastAsia"/>
                <w:sz w:val="20"/>
                <w:szCs w:val="20"/>
                <w:highlight w:val="none"/>
                <w:lang w:val="en-US"/>
              </w:rPr>
              <w:t>2、设计综合说明：线路总体布局说明、互通设置位置及形式规模构思方案说明、互通出口与地方接线方案说明、线位走廊带的用地红线说明、</w:t>
            </w:r>
            <w:r>
              <w:rPr>
                <w:rFonts w:hint="eastAsia"/>
                <w:sz w:val="20"/>
                <w:szCs w:val="20"/>
                <w:highlight w:val="none"/>
              </w:rPr>
              <w:t>主要经济技术指标。</w:t>
            </w:r>
          </w:p>
          <w:p>
            <w:pPr>
              <w:keepNext w:val="0"/>
              <w:keepLines w:val="0"/>
              <w:pageBreakBefore w:val="0"/>
              <w:widowControl w:val="0"/>
              <w:kinsoku/>
              <w:wordWrap/>
              <w:overflowPunct/>
              <w:topLinePunct w:val="0"/>
              <w:autoSpaceDE w:val="0"/>
              <w:autoSpaceDN w:val="0"/>
              <w:bidi w:val="0"/>
              <w:adjustRightInd/>
              <w:spacing w:line="300" w:lineRule="exact"/>
              <w:jc w:val="both"/>
              <w:textAlignment w:val="auto"/>
              <w:rPr>
                <w:sz w:val="20"/>
                <w:szCs w:val="20"/>
                <w:highlight w:val="none"/>
                <w:lang w:val="en-US"/>
              </w:rPr>
            </w:pPr>
            <w:r>
              <w:rPr>
                <w:rFonts w:hint="eastAsia"/>
                <w:sz w:val="20"/>
                <w:szCs w:val="20"/>
                <w:highlight w:val="none"/>
                <w:lang w:val="en-US"/>
              </w:rPr>
              <w:t>3、图纸：总平面图（彩色）、交通分析图。</w:t>
            </w:r>
          </w:p>
          <w:p>
            <w:pPr>
              <w:keepNext w:val="0"/>
              <w:keepLines w:val="0"/>
              <w:pageBreakBefore w:val="0"/>
              <w:widowControl w:val="0"/>
              <w:kinsoku/>
              <w:wordWrap/>
              <w:overflowPunct/>
              <w:topLinePunct w:val="0"/>
              <w:autoSpaceDE w:val="0"/>
              <w:autoSpaceDN w:val="0"/>
              <w:bidi w:val="0"/>
              <w:adjustRightInd/>
              <w:spacing w:line="300" w:lineRule="exact"/>
              <w:jc w:val="both"/>
              <w:textAlignment w:val="auto"/>
              <w:rPr>
                <w:sz w:val="20"/>
                <w:szCs w:val="20"/>
                <w:highlight w:val="none"/>
                <w:lang w:val="en-US"/>
              </w:rPr>
            </w:pPr>
            <w:r>
              <w:rPr>
                <w:rFonts w:hint="eastAsia"/>
                <w:sz w:val="20"/>
                <w:szCs w:val="20"/>
                <w:highlight w:val="none"/>
                <w:lang w:val="en-US"/>
              </w:rPr>
              <w:t>4、中间成果的份数满足审查需要提供；</w:t>
            </w:r>
          </w:p>
          <w:p>
            <w:pPr>
              <w:keepNext w:val="0"/>
              <w:keepLines w:val="0"/>
              <w:pageBreakBefore w:val="0"/>
              <w:widowControl w:val="0"/>
              <w:kinsoku/>
              <w:wordWrap/>
              <w:overflowPunct/>
              <w:topLinePunct w:val="0"/>
              <w:autoSpaceDE w:val="0"/>
              <w:autoSpaceDN w:val="0"/>
              <w:bidi w:val="0"/>
              <w:adjustRightInd/>
              <w:spacing w:line="300" w:lineRule="exact"/>
              <w:jc w:val="both"/>
              <w:textAlignment w:val="auto"/>
              <w:rPr>
                <w:sz w:val="20"/>
                <w:szCs w:val="20"/>
                <w:highlight w:val="none"/>
                <w:lang w:val="en-US"/>
              </w:rPr>
            </w:pPr>
            <w:r>
              <w:rPr>
                <w:rFonts w:hint="eastAsia"/>
                <w:sz w:val="20"/>
                <w:szCs w:val="20"/>
                <w:highlight w:val="none"/>
                <w:lang w:val="en-US"/>
              </w:rPr>
              <w:t>5、最终成果报告需纸质</w:t>
            </w:r>
            <w:r>
              <w:rPr>
                <w:rFonts w:hint="eastAsia"/>
                <w:sz w:val="20"/>
                <w:szCs w:val="20"/>
                <w:highlight w:val="none"/>
                <w:lang w:val="en-US" w:eastAsia="zh-CN"/>
              </w:rPr>
              <w:t>5</w:t>
            </w:r>
            <w:r>
              <w:rPr>
                <w:rFonts w:hint="eastAsia"/>
                <w:sz w:val="20"/>
                <w:szCs w:val="20"/>
                <w:highlight w:val="none"/>
                <w:lang w:val="en-US"/>
              </w:rPr>
              <w:t>份，电子文件</w:t>
            </w:r>
            <w:r>
              <w:rPr>
                <w:rFonts w:hint="eastAsia"/>
                <w:sz w:val="20"/>
                <w:szCs w:val="20"/>
                <w:highlight w:val="none"/>
                <w:lang w:val="en-US" w:eastAsia="zh-CN"/>
              </w:rPr>
              <w:t>1</w:t>
            </w:r>
            <w:r>
              <w:rPr>
                <w:rFonts w:hint="eastAsia"/>
                <w:sz w:val="20"/>
                <w:szCs w:val="20"/>
                <w:highlight w:val="none"/>
                <w:lang w:val="en-US"/>
              </w:rPr>
              <w:t>份（包括文本最终稿、汇报PPT、课题摘要及CAD图纸等。文本为DOC格式文件，图纸为DWG,CAD,PDF格式文件，效果图为JPG格式文件）。</w:t>
            </w:r>
          </w:p>
          <w:p>
            <w:pPr>
              <w:keepNext w:val="0"/>
              <w:keepLines w:val="0"/>
              <w:pageBreakBefore w:val="0"/>
              <w:widowControl w:val="0"/>
              <w:kinsoku/>
              <w:wordWrap/>
              <w:overflowPunct/>
              <w:topLinePunct w:val="0"/>
              <w:autoSpaceDE w:val="0"/>
              <w:autoSpaceDN w:val="0"/>
              <w:bidi w:val="0"/>
              <w:adjustRightInd/>
              <w:spacing w:line="300" w:lineRule="exact"/>
              <w:jc w:val="both"/>
              <w:textAlignment w:val="auto"/>
              <w:rPr>
                <w:sz w:val="20"/>
                <w:szCs w:val="20"/>
                <w:highlight w:val="none"/>
              </w:rPr>
            </w:pPr>
            <w:r>
              <w:rPr>
                <w:rFonts w:hint="eastAsia"/>
                <w:sz w:val="20"/>
                <w:szCs w:val="20"/>
                <w:highlight w:val="none"/>
                <w:lang w:val="en-US"/>
              </w:rPr>
              <w:t>6、最后成果必须盖章，并附单位资质等会相关资料。</w:t>
            </w:r>
          </w:p>
        </w:tc>
        <w:tc>
          <w:tcPr>
            <w:tcW w:w="1902"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ind w:firstLine="400" w:firstLineChars="200"/>
              <w:jc w:val="center"/>
              <w:textAlignment w:val="auto"/>
              <w:rPr>
                <w:sz w:val="20"/>
                <w:szCs w:val="20"/>
                <w:highlight w:val="none"/>
              </w:rPr>
            </w:pPr>
          </w:p>
        </w:tc>
        <w:tc>
          <w:tcPr>
            <w:tcW w:w="1031"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ind w:firstLine="400" w:firstLineChars="200"/>
              <w:jc w:val="center"/>
              <w:textAlignment w:val="auto"/>
              <w:rPr>
                <w:sz w:val="20"/>
                <w:szCs w:val="20"/>
                <w:highlight w:val="none"/>
              </w:rPr>
            </w:pPr>
          </w:p>
        </w:tc>
        <w:tc>
          <w:tcPr>
            <w:tcW w:w="778"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ind w:firstLine="400" w:firstLineChars="200"/>
              <w:jc w:val="center"/>
              <w:textAlignment w:val="auto"/>
              <w:rPr>
                <w:sz w:val="20"/>
                <w:szCs w:val="20"/>
                <w:highlight w:val="none"/>
              </w:rPr>
            </w:pPr>
          </w:p>
        </w:tc>
        <w:tc>
          <w:tcPr>
            <w:tcW w:w="914"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ind w:firstLine="400" w:firstLineChars="200"/>
              <w:jc w:val="center"/>
              <w:textAlignment w:val="auto"/>
              <w:rPr>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626"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ind w:firstLine="200" w:firstLineChars="100"/>
              <w:jc w:val="both"/>
              <w:textAlignment w:val="auto"/>
              <w:rPr>
                <w:rFonts w:hint="default" w:eastAsia="宋体"/>
                <w:sz w:val="20"/>
                <w:szCs w:val="20"/>
                <w:highlight w:val="none"/>
                <w:lang w:val="en-US" w:eastAsia="zh-CN"/>
              </w:rPr>
            </w:pPr>
            <w:r>
              <w:rPr>
                <w:rFonts w:hint="eastAsia"/>
                <w:sz w:val="20"/>
                <w:szCs w:val="20"/>
                <w:highlight w:val="none"/>
                <w:lang w:val="en-US" w:eastAsia="zh-CN"/>
              </w:rPr>
              <w:t>2</w:t>
            </w:r>
          </w:p>
        </w:tc>
        <w:tc>
          <w:tcPr>
            <w:tcW w:w="1223"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jc w:val="both"/>
              <w:textAlignment w:val="auto"/>
              <w:rPr>
                <w:rFonts w:hint="eastAsia" w:eastAsia="宋体"/>
                <w:sz w:val="20"/>
                <w:szCs w:val="20"/>
                <w:highlight w:val="none"/>
                <w:lang w:val="en-US" w:eastAsia="zh-CN"/>
              </w:rPr>
            </w:pPr>
            <w:r>
              <w:rPr>
                <w:rFonts w:hint="eastAsia"/>
                <w:sz w:val="20"/>
                <w:szCs w:val="20"/>
                <w:highlight w:val="none"/>
                <w:lang w:val="en-US" w:eastAsia="zh-CN"/>
              </w:rPr>
              <w:t>保密要求</w:t>
            </w:r>
          </w:p>
        </w:tc>
        <w:tc>
          <w:tcPr>
            <w:tcW w:w="2529"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jc w:val="both"/>
              <w:textAlignment w:val="auto"/>
              <w:rPr>
                <w:sz w:val="20"/>
                <w:szCs w:val="20"/>
                <w:highlight w:val="none"/>
              </w:rPr>
            </w:pPr>
            <w:r>
              <w:rPr>
                <w:rFonts w:hint="eastAsia"/>
                <w:sz w:val="20"/>
                <w:szCs w:val="20"/>
                <w:highlight w:val="none"/>
              </w:rPr>
              <w:t>招投标双方应分别为对方在投标文件和招标文件中涉及的商业和技术等秘密保密，违者应对由此造成的后果承担责任。</w:t>
            </w:r>
          </w:p>
        </w:tc>
        <w:tc>
          <w:tcPr>
            <w:tcW w:w="1902"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ind w:firstLine="400" w:firstLineChars="200"/>
              <w:jc w:val="center"/>
              <w:textAlignment w:val="auto"/>
              <w:rPr>
                <w:sz w:val="20"/>
                <w:szCs w:val="20"/>
                <w:highlight w:val="none"/>
              </w:rPr>
            </w:pPr>
          </w:p>
        </w:tc>
        <w:tc>
          <w:tcPr>
            <w:tcW w:w="1031"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ind w:firstLine="400" w:firstLineChars="200"/>
              <w:jc w:val="center"/>
              <w:textAlignment w:val="auto"/>
              <w:rPr>
                <w:sz w:val="20"/>
                <w:szCs w:val="20"/>
                <w:highlight w:val="none"/>
              </w:rPr>
            </w:pPr>
          </w:p>
        </w:tc>
        <w:tc>
          <w:tcPr>
            <w:tcW w:w="778"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ind w:firstLine="400" w:firstLineChars="200"/>
              <w:jc w:val="center"/>
              <w:textAlignment w:val="auto"/>
              <w:rPr>
                <w:sz w:val="20"/>
                <w:szCs w:val="20"/>
                <w:highlight w:val="none"/>
              </w:rPr>
            </w:pPr>
          </w:p>
        </w:tc>
        <w:tc>
          <w:tcPr>
            <w:tcW w:w="914"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ind w:firstLine="400" w:firstLineChars="200"/>
              <w:jc w:val="center"/>
              <w:textAlignment w:val="auto"/>
              <w:rPr>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626"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ind w:firstLine="200" w:firstLineChars="100"/>
              <w:jc w:val="both"/>
              <w:textAlignment w:val="auto"/>
              <w:rPr>
                <w:rFonts w:hint="eastAsia" w:eastAsia="宋体"/>
                <w:sz w:val="20"/>
                <w:szCs w:val="20"/>
                <w:highlight w:val="none"/>
                <w:lang w:val="en-US" w:eastAsia="zh-CN"/>
              </w:rPr>
            </w:pPr>
            <w:r>
              <w:rPr>
                <w:rFonts w:hint="eastAsia"/>
                <w:sz w:val="20"/>
                <w:szCs w:val="20"/>
                <w:highlight w:val="none"/>
                <w:lang w:val="en-US" w:eastAsia="zh-CN"/>
              </w:rPr>
              <w:t>3</w:t>
            </w:r>
          </w:p>
        </w:tc>
        <w:tc>
          <w:tcPr>
            <w:tcW w:w="1223"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jc w:val="left"/>
              <w:textAlignment w:val="auto"/>
              <w:rPr>
                <w:rFonts w:hint="default" w:eastAsia="宋体"/>
                <w:sz w:val="20"/>
                <w:szCs w:val="20"/>
                <w:highlight w:val="none"/>
                <w:lang w:val="en-US" w:eastAsia="zh-CN"/>
              </w:rPr>
            </w:pPr>
            <w:r>
              <w:rPr>
                <w:rFonts w:hint="eastAsia"/>
                <w:sz w:val="20"/>
                <w:szCs w:val="20"/>
                <w:highlight w:val="none"/>
                <w:lang w:val="en-US" w:eastAsia="zh-CN"/>
              </w:rPr>
              <w:t>中标人需完成的其他工作</w:t>
            </w:r>
          </w:p>
        </w:tc>
        <w:tc>
          <w:tcPr>
            <w:tcW w:w="2529"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textAlignment w:val="auto"/>
              <w:rPr>
                <w:sz w:val="20"/>
                <w:szCs w:val="20"/>
                <w:highlight w:val="none"/>
              </w:rPr>
            </w:pPr>
            <w:r>
              <w:rPr>
                <w:rFonts w:hint="eastAsia"/>
                <w:sz w:val="20"/>
                <w:szCs w:val="20"/>
                <w:highlight w:val="none"/>
                <w:lang w:val="en-US"/>
              </w:rPr>
              <w:t>1、</w:t>
            </w:r>
            <w:r>
              <w:rPr>
                <w:rFonts w:hint="eastAsia"/>
                <w:sz w:val="20"/>
                <w:szCs w:val="20"/>
                <w:highlight w:val="none"/>
              </w:rPr>
              <w:t>配合、协助采购人</w:t>
            </w:r>
            <w:r>
              <w:rPr>
                <w:rFonts w:hint="eastAsia"/>
                <w:sz w:val="20"/>
                <w:szCs w:val="20"/>
                <w:highlight w:val="none"/>
                <w:lang w:val="en-US"/>
              </w:rPr>
              <w:t>修改完善线位论证报批稿</w:t>
            </w:r>
            <w:r>
              <w:rPr>
                <w:rFonts w:hint="eastAsia"/>
                <w:sz w:val="20"/>
                <w:szCs w:val="20"/>
                <w:highlight w:val="none"/>
              </w:rPr>
              <w:t>。</w:t>
            </w:r>
          </w:p>
          <w:p>
            <w:pPr>
              <w:keepNext w:val="0"/>
              <w:keepLines w:val="0"/>
              <w:pageBreakBefore w:val="0"/>
              <w:widowControl w:val="0"/>
              <w:kinsoku/>
              <w:wordWrap/>
              <w:overflowPunct/>
              <w:topLinePunct w:val="0"/>
              <w:autoSpaceDE w:val="0"/>
              <w:autoSpaceDN w:val="0"/>
              <w:bidi w:val="0"/>
              <w:adjustRightInd/>
              <w:spacing w:line="300" w:lineRule="exact"/>
              <w:textAlignment w:val="auto"/>
              <w:rPr>
                <w:sz w:val="20"/>
                <w:szCs w:val="20"/>
                <w:highlight w:val="none"/>
              </w:rPr>
            </w:pPr>
            <w:r>
              <w:rPr>
                <w:rFonts w:hint="eastAsia"/>
                <w:sz w:val="20"/>
                <w:szCs w:val="20"/>
                <w:highlight w:val="none"/>
                <w:lang w:val="en-US"/>
              </w:rPr>
              <w:t>2、</w:t>
            </w:r>
            <w:r>
              <w:rPr>
                <w:rFonts w:hint="eastAsia"/>
                <w:sz w:val="20"/>
                <w:szCs w:val="20"/>
                <w:highlight w:val="none"/>
              </w:rPr>
              <w:t>配合、协助采购人完成方案文件的审查、技术答疑、技术评审等。</w:t>
            </w:r>
          </w:p>
          <w:p>
            <w:pPr>
              <w:keepNext w:val="0"/>
              <w:keepLines w:val="0"/>
              <w:pageBreakBefore w:val="0"/>
              <w:widowControl w:val="0"/>
              <w:kinsoku/>
              <w:wordWrap/>
              <w:overflowPunct/>
              <w:topLinePunct w:val="0"/>
              <w:autoSpaceDE w:val="0"/>
              <w:autoSpaceDN w:val="0"/>
              <w:bidi w:val="0"/>
              <w:adjustRightInd/>
              <w:spacing w:line="300" w:lineRule="exact"/>
              <w:textAlignment w:val="auto"/>
              <w:rPr>
                <w:sz w:val="20"/>
                <w:szCs w:val="20"/>
                <w:highlight w:val="none"/>
              </w:rPr>
            </w:pPr>
            <w:r>
              <w:rPr>
                <w:rFonts w:hint="eastAsia"/>
                <w:sz w:val="20"/>
                <w:szCs w:val="20"/>
                <w:highlight w:val="none"/>
                <w:lang w:val="en-US"/>
              </w:rPr>
              <w:t>3、</w:t>
            </w:r>
            <w:r>
              <w:rPr>
                <w:rFonts w:hint="eastAsia"/>
                <w:sz w:val="20"/>
                <w:szCs w:val="20"/>
                <w:highlight w:val="none"/>
              </w:rPr>
              <w:t>针对本项目投入人员要求：未经采购人许可，本项目投入人员不得擅自更换，工作期间，保证随叫随到。</w:t>
            </w:r>
          </w:p>
        </w:tc>
        <w:tc>
          <w:tcPr>
            <w:tcW w:w="1902"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ind w:firstLine="400" w:firstLineChars="200"/>
              <w:jc w:val="center"/>
              <w:textAlignment w:val="auto"/>
              <w:rPr>
                <w:sz w:val="20"/>
                <w:szCs w:val="20"/>
                <w:highlight w:val="none"/>
              </w:rPr>
            </w:pPr>
          </w:p>
        </w:tc>
        <w:tc>
          <w:tcPr>
            <w:tcW w:w="1031"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ind w:firstLine="400" w:firstLineChars="200"/>
              <w:jc w:val="center"/>
              <w:textAlignment w:val="auto"/>
              <w:rPr>
                <w:sz w:val="20"/>
                <w:szCs w:val="20"/>
                <w:highlight w:val="none"/>
              </w:rPr>
            </w:pPr>
          </w:p>
        </w:tc>
        <w:tc>
          <w:tcPr>
            <w:tcW w:w="778"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ind w:firstLine="400" w:firstLineChars="200"/>
              <w:jc w:val="center"/>
              <w:textAlignment w:val="auto"/>
              <w:rPr>
                <w:sz w:val="20"/>
                <w:szCs w:val="20"/>
                <w:highlight w:val="none"/>
              </w:rPr>
            </w:pPr>
          </w:p>
        </w:tc>
        <w:tc>
          <w:tcPr>
            <w:tcW w:w="914"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ind w:firstLine="400" w:firstLineChars="200"/>
              <w:jc w:val="center"/>
              <w:textAlignment w:val="auto"/>
              <w:rPr>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26"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ind w:firstLine="200" w:firstLineChars="100"/>
              <w:jc w:val="both"/>
              <w:textAlignment w:val="auto"/>
              <w:rPr>
                <w:rFonts w:hint="eastAsia" w:eastAsia="宋体"/>
                <w:sz w:val="20"/>
                <w:szCs w:val="20"/>
                <w:highlight w:val="none"/>
                <w:lang w:val="en-US" w:eastAsia="zh-CN"/>
              </w:rPr>
            </w:pPr>
            <w:r>
              <w:rPr>
                <w:rFonts w:hint="eastAsia"/>
                <w:sz w:val="20"/>
                <w:szCs w:val="20"/>
                <w:highlight w:val="none"/>
                <w:lang w:val="en-US" w:eastAsia="zh-CN"/>
              </w:rPr>
              <w:t>4</w:t>
            </w:r>
          </w:p>
        </w:tc>
        <w:tc>
          <w:tcPr>
            <w:tcW w:w="1223"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jc w:val="left"/>
              <w:textAlignment w:val="auto"/>
              <w:rPr>
                <w:rFonts w:hint="eastAsia" w:eastAsia="宋体"/>
                <w:sz w:val="20"/>
                <w:szCs w:val="20"/>
                <w:highlight w:val="none"/>
                <w:lang w:val="en-US" w:eastAsia="zh-CN"/>
              </w:rPr>
            </w:pPr>
            <w:r>
              <w:rPr>
                <w:rFonts w:hint="eastAsia"/>
                <w:sz w:val="20"/>
                <w:szCs w:val="20"/>
                <w:highlight w:val="none"/>
                <w:lang w:val="en-US" w:eastAsia="zh-CN"/>
              </w:rPr>
              <w:t>工期要求</w:t>
            </w:r>
          </w:p>
        </w:tc>
        <w:tc>
          <w:tcPr>
            <w:tcW w:w="2529" w:type="dxa"/>
            <w:noWrap/>
            <w:vAlign w:val="center"/>
          </w:tcPr>
          <w:p>
            <w:pPr>
              <w:pStyle w:val="25"/>
              <w:keepNext w:val="0"/>
              <w:keepLines w:val="0"/>
              <w:pageBreakBefore w:val="0"/>
              <w:widowControl w:val="0"/>
              <w:kinsoku/>
              <w:wordWrap/>
              <w:overflowPunct/>
              <w:topLinePunct w:val="0"/>
              <w:autoSpaceDE w:val="0"/>
              <w:autoSpaceDN w:val="0"/>
              <w:bidi w:val="0"/>
              <w:adjustRightInd/>
              <w:spacing w:after="0" w:line="300" w:lineRule="exact"/>
              <w:ind w:left="0" w:leftChars="0" w:firstLine="0" w:firstLineChars="0"/>
              <w:textAlignment w:val="auto"/>
              <w:rPr>
                <w:rFonts w:ascii="宋体" w:hAnsi="宋体"/>
                <w:sz w:val="20"/>
                <w:szCs w:val="20"/>
                <w:highlight w:val="none"/>
                <w:lang w:val="en-US"/>
              </w:rPr>
            </w:pPr>
            <w:r>
              <w:rPr>
                <w:rFonts w:hint="eastAsia" w:ascii="宋体" w:hAnsi="宋体"/>
                <w:sz w:val="20"/>
                <w:szCs w:val="20"/>
                <w:highlight w:val="none"/>
                <w:lang w:val="en-US"/>
              </w:rPr>
              <w:t>1、合同签订后7日内，编制形成详细工作大纲；</w:t>
            </w:r>
          </w:p>
          <w:p>
            <w:pPr>
              <w:pStyle w:val="25"/>
              <w:keepNext w:val="0"/>
              <w:keepLines w:val="0"/>
              <w:pageBreakBefore w:val="0"/>
              <w:widowControl w:val="0"/>
              <w:kinsoku/>
              <w:wordWrap/>
              <w:overflowPunct/>
              <w:topLinePunct w:val="0"/>
              <w:autoSpaceDE w:val="0"/>
              <w:autoSpaceDN w:val="0"/>
              <w:bidi w:val="0"/>
              <w:adjustRightInd/>
              <w:spacing w:after="0" w:line="300" w:lineRule="exact"/>
              <w:ind w:left="0" w:leftChars="0" w:firstLine="0" w:firstLineChars="0"/>
              <w:textAlignment w:val="auto"/>
              <w:rPr>
                <w:rFonts w:ascii="宋体" w:hAnsi="宋体"/>
                <w:sz w:val="20"/>
                <w:szCs w:val="20"/>
                <w:highlight w:val="none"/>
                <w:lang w:val="en-US"/>
              </w:rPr>
            </w:pPr>
            <w:r>
              <w:rPr>
                <w:rFonts w:hint="eastAsia" w:ascii="宋体" w:hAnsi="宋体"/>
                <w:sz w:val="20"/>
                <w:szCs w:val="20"/>
                <w:highlight w:val="none"/>
                <w:lang w:val="en-US"/>
              </w:rPr>
              <w:t>2、合同签订后</w:t>
            </w:r>
            <w:r>
              <w:rPr>
                <w:rFonts w:hint="eastAsia" w:ascii="宋体" w:hAnsi="宋体"/>
                <w:sz w:val="20"/>
                <w:szCs w:val="20"/>
                <w:highlight w:val="none"/>
                <w:lang w:val="en-US" w:eastAsia="zh-CN"/>
              </w:rPr>
              <w:t>30</w:t>
            </w:r>
            <w:r>
              <w:rPr>
                <w:rFonts w:hint="eastAsia" w:ascii="宋体" w:hAnsi="宋体"/>
                <w:sz w:val="20"/>
                <w:szCs w:val="20"/>
                <w:highlight w:val="none"/>
                <w:lang w:val="en-US"/>
              </w:rPr>
              <w:t>日内，编制</w:t>
            </w:r>
            <w:r>
              <w:rPr>
                <w:rFonts w:hint="eastAsia" w:ascii="宋体" w:hAnsi="宋体"/>
                <w:sz w:val="20"/>
                <w:szCs w:val="20"/>
                <w:highlight w:val="none"/>
                <w:lang w:val="en-US" w:eastAsia="zh-CN"/>
              </w:rPr>
              <w:t>完成线位方案论证报告</w:t>
            </w:r>
            <w:r>
              <w:rPr>
                <w:rFonts w:hint="eastAsia" w:ascii="宋体" w:hAnsi="宋体"/>
                <w:sz w:val="20"/>
                <w:szCs w:val="20"/>
                <w:highlight w:val="none"/>
                <w:lang w:val="en-US"/>
              </w:rPr>
              <w:t>；</w:t>
            </w:r>
          </w:p>
          <w:p>
            <w:pPr>
              <w:pStyle w:val="25"/>
              <w:keepNext w:val="0"/>
              <w:keepLines w:val="0"/>
              <w:pageBreakBefore w:val="0"/>
              <w:widowControl w:val="0"/>
              <w:kinsoku/>
              <w:wordWrap/>
              <w:overflowPunct/>
              <w:topLinePunct w:val="0"/>
              <w:autoSpaceDE w:val="0"/>
              <w:autoSpaceDN w:val="0"/>
              <w:bidi w:val="0"/>
              <w:adjustRightInd/>
              <w:spacing w:after="0" w:line="300" w:lineRule="exact"/>
              <w:ind w:left="0" w:leftChars="0" w:firstLine="0" w:firstLineChars="0"/>
              <w:textAlignment w:val="auto"/>
              <w:rPr>
                <w:rFonts w:ascii="宋体" w:hAnsi="宋体"/>
                <w:sz w:val="20"/>
                <w:szCs w:val="20"/>
                <w:highlight w:val="none"/>
                <w:lang w:val="en-US"/>
              </w:rPr>
            </w:pPr>
            <w:r>
              <w:rPr>
                <w:rFonts w:hint="eastAsia" w:ascii="宋体" w:hAnsi="宋体"/>
                <w:sz w:val="20"/>
                <w:szCs w:val="20"/>
                <w:highlight w:val="none"/>
                <w:lang w:val="en-US"/>
              </w:rPr>
              <w:t>3、合同签订后</w:t>
            </w:r>
            <w:r>
              <w:rPr>
                <w:rFonts w:hint="eastAsia" w:ascii="宋体" w:hAnsi="宋体"/>
                <w:sz w:val="20"/>
                <w:szCs w:val="20"/>
                <w:highlight w:val="none"/>
                <w:lang w:val="en-US" w:eastAsia="zh-CN"/>
              </w:rPr>
              <w:t>60</w:t>
            </w:r>
            <w:r>
              <w:rPr>
                <w:rFonts w:hint="eastAsia" w:ascii="宋体" w:hAnsi="宋体"/>
                <w:sz w:val="20"/>
                <w:szCs w:val="20"/>
                <w:highlight w:val="none"/>
                <w:lang w:val="en-US"/>
              </w:rPr>
              <w:t>日内，广泛征求各相关部门的意见，修改完善</w:t>
            </w:r>
            <w:r>
              <w:rPr>
                <w:rFonts w:hint="eastAsia" w:ascii="宋体" w:hAnsi="宋体"/>
                <w:sz w:val="20"/>
                <w:szCs w:val="20"/>
                <w:highlight w:val="none"/>
                <w:lang w:val="en-US" w:eastAsia="zh-CN"/>
              </w:rPr>
              <w:t>线位方案论证报告</w:t>
            </w:r>
            <w:r>
              <w:rPr>
                <w:rFonts w:hint="eastAsia" w:ascii="宋体" w:hAnsi="宋体"/>
                <w:sz w:val="20"/>
                <w:szCs w:val="20"/>
                <w:highlight w:val="none"/>
                <w:lang w:val="en-US"/>
              </w:rPr>
              <w:t>；</w:t>
            </w:r>
          </w:p>
          <w:p>
            <w:pPr>
              <w:pStyle w:val="25"/>
              <w:keepNext w:val="0"/>
              <w:keepLines w:val="0"/>
              <w:pageBreakBefore w:val="0"/>
              <w:widowControl w:val="0"/>
              <w:kinsoku/>
              <w:wordWrap/>
              <w:overflowPunct/>
              <w:topLinePunct w:val="0"/>
              <w:autoSpaceDE w:val="0"/>
              <w:autoSpaceDN w:val="0"/>
              <w:bidi w:val="0"/>
              <w:adjustRightInd/>
              <w:spacing w:after="0" w:line="300" w:lineRule="exact"/>
              <w:ind w:left="0" w:leftChars="0" w:firstLine="0" w:firstLineChars="0"/>
              <w:textAlignment w:val="auto"/>
              <w:rPr>
                <w:rFonts w:hint="eastAsia" w:ascii="宋体" w:hAnsi="宋体"/>
                <w:sz w:val="20"/>
                <w:szCs w:val="20"/>
                <w:highlight w:val="none"/>
                <w:lang w:val="en-US"/>
              </w:rPr>
            </w:pPr>
            <w:r>
              <w:rPr>
                <w:rFonts w:hint="eastAsia" w:ascii="宋体" w:hAnsi="宋体"/>
                <w:sz w:val="20"/>
                <w:szCs w:val="20"/>
                <w:highlight w:val="none"/>
                <w:lang w:val="en-US"/>
              </w:rPr>
              <w:t>4、</w:t>
            </w:r>
            <w:r>
              <w:rPr>
                <w:rFonts w:hint="eastAsia" w:ascii="宋体" w:hAnsi="宋体"/>
                <w:sz w:val="20"/>
                <w:szCs w:val="20"/>
                <w:highlight w:val="none"/>
                <w:lang w:val="en-US" w:eastAsia="zh-CN"/>
              </w:rPr>
              <w:t>10月底前</w:t>
            </w:r>
            <w:r>
              <w:rPr>
                <w:rFonts w:hint="eastAsia" w:ascii="宋体" w:hAnsi="宋体"/>
                <w:sz w:val="20"/>
                <w:szCs w:val="20"/>
                <w:highlight w:val="none"/>
                <w:lang w:val="en-US"/>
              </w:rPr>
              <w:t>，</w:t>
            </w:r>
            <w:r>
              <w:rPr>
                <w:rFonts w:hint="eastAsia" w:ascii="宋体" w:hAnsi="宋体"/>
                <w:sz w:val="20"/>
                <w:szCs w:val="20"/>
                <w:highlight w:val="none"/>
                <w:lang w:val="en-US" w:eastAsia="zh-CN"/>
              </w:rPr>
              <w:t>完成落地方案审批稿</w:t>
            </w:r>
            <w:r>
              <w:rPr>
                <w:rFonts w:hint="eastAsia" w:ascii="宋体" w:hAnsi="宋体"/>
                <w:sz w:val="20"/>
                <w:szCs w:val="20"/>
                <w:highlight w:val="none"/>
                <w:lang w:val="en-US"/>
              </w:rPr>
              <w:t>；</w:t>
            </w:r>
          </w:p>
          <w:p>
            <w:pPr>
              <w:pStyle w:val="25"/>
              <w:keepNext w:val="0"/>
              <w:keepLines w:val="0"/>
              <w:pageBreakBefore w:val="0"/>
              <w:widowControl w:val="0"/>
              <w:kinsoku/>
              <w:wordWrap/>
              <w:overflowPunct/>
              <w:topLinePunct w:val="0"/>
              <w:autoSpaceDE w:val="0"/>
              <w:autoSpaceDN w:val="0"/>
              <w:bidi w:val="0"/>
              <w:adjustRightInd/>
              <w:spacing w:after="0" w:line="300" w:lineRule="exact"/>
              <w:ind w:left="0" w:leftChars="0" w:firstLine="0" w:firstLineChars="0"/>
              <w:textAlignment w:val="auto"/>
              <w:rPr>
                <w:sz w:val="20"/>
                <w:szCs w:val="20"/>
                <w:highlight w:val="none"/>
              </w:rPr>
            </w:pPr>
            <w:r>
              <w:rPr>
                <w:rFonts w:hint="eastAsia" w:ascii="宋体" w:hAnsi="宋体"/>
                <w:sz w:val="20"/>
                <w:szCs w:val="20"/>
                <w:highlight w:val="none"/>
                <w:lang w:val="en-US" w:eastAsia="zh-CN"/>
              </w:rPr>
              <w:t>5、12月底，组织专家评审，修改完善后形成落地方案最终稿。</w:t>
            </w:r>
          </w:p>
        </w:tc>
        <w:tc>
          <w:tcPr>
            <w:tcW w:w="1902"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ind w:firstLine="400" w:firstLineChars="200"/>
              <w:jc w:val="center"/>
              <w:textAlignment w:val="auto"/>
              <w:rPr>
                <w:sz w:val="20"/>
                <w:szCs w:val="20"/>
                <w:highlight w:val="none"/>
              </w:rPr>
            </w:pPr>
          </w:p>
        </w:tc>
        <w:tc>
          <w:tcPr>
            <w:tcW w:w="1031"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ind w:firstLine="400" w:firstLineChars="200"/>
              <w:jc w:val="center"/>
              <w:textAlignment w:val="auto"/>
              <w:rPr>
                <w:sz w:val="20"/>
                <w:szCs w:val="20"/>
                <w:highlight w:val="none"/>
              </w:rPr>
            </w:pPr>
          </w:p>
        </w:tc>
        <w:tc>
          <w:tcPr>
            <w:tcW w:w="778"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ind w:firstLine="400" w:firstLineChars="200"/>
              <w:jc w:val="center"/>
              <w:textAlignment w:val="auto"/>
              <w:rPr>
                <w:sz w:val="20"/>
                <w:szCs w:val="20"/>
                <w:highlight w:val="none"/>
              </w:rPr>
            </w:pPr>
          </w:p>
        </w:tc>
        <w:tc>
          <w:tcPr>
            <w:tcW w:w="914"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ind w:firstLine="400" w:firstLineChars="200"/>
              <w:jc w:val="center"/>
              <w:textAlignment w:val="auto"/>
              <w:rPr>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626"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ind w:firstLine="200" w:firstLineChars="100"/>
              <w:jc w:val="left"/>
              <w:textAlignment w:val="auto"/>
              <w:rPr>
                <w:rFonts w:hint="eastAsia" w:eastAsia="宋体"/>
                <w:sz w:val="20"/>
                <w:szCs w:val="20"/>
                <w:highlight w:val="none"/>
                <w:lang w:val="en-US" w:eastAsia="zh-CN"/>
              </w:rPr>
            </w:pPr>
            <w:r>
              <w:rPr>
                <w:rFonts w:hint="eastAsia"/>
                <w:sz w:val="20"/>
                <w:szCs w:val="20"/>
                <w:highlight w:val="none"/>
                <w:lang w:val="en-US" w:eastAsia="zh-CN"/>
              </w:rPr>
              <w:t>5</w:t>
            </w:r>
          </w:p>
        </w:tc>
        <w:tc>
          <w:tcPr>
            <w:tcW w:w="1223"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jc w:val="left"/>
              <w:textAlignment w:val="auto"/>
              <w:rPr>
                <w:rFonts w:hint="eastAsia" w:eastAsia="宋体"/>
                <w:sz w:val="20"/>
                <w:szCs w:val="20"/>
                <w:highlight w:val="none"/>
                <w:lang w:val="en-US" w:eastAsia="zh-CN"/>
              </w:rPr>
            </w:pPr>
            <w:r>
              <w:rPr>
                <w:rFonts w:hint="eastAsia"/>
                <w:sz w:val="20"/>
                <w:szCs w:val="20"/>
                <w:highlight w:val="none"/>
                <w:lang w:val="en-US" w:eastAsia="zh-CN"/>
              </w:rPr>
              <w:t>质量要求</w:t>
            </w:r>
          </w:p>
        </w:tc>
        <w:tc>
          <w:tcPr>
            <w:tcW w:w="2529" w:type="dxa"/>
            <w:noWrap/>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textAlignment w:val="auto"/>
              <w:rPr>
                <w:sz w:val="20"/>
                <w:szCs w:val="20"/>
                <w:highlight w:val="none"/>
              </w:rPr>
            </w:pPr>
            <w:r>
              <w:rPr>
                <w:rFonts w:hint="eastAsia"/>
                <w:sz w:val="20"/>
                <w:szCs w:val="20"/>
                <w:highlight w:val="none"/>
              </w:rPr>
              <w:t>（1）调查资料详实准确；</w:t>
            </w:r>
          </w:p>
          <w:p>
            <w:pPr>
              <w:keepNext w:val="0"/>
              <w:keepLines w:val="0"/>
              <w:pageBreakBefore w:val="0"/>
              <w:widowControl w:val="0"/>
              <w:kinsoku/>
              <w:wordWrap/>
              <w:overflowPunct/>
              <w:topLinePunct w:val="0"/>
              <w:autoSpaceDE w:val="0"/>
              <w:autoSpaceDN w:val="0"/>
              <w:bidi w:val="0"/>
              <w:adjustRightInd/>
              <w:snapToGrid w:val="0"/>
              <w:spacing w:line="300" w:lineRule="exact"/>
              <w:textAlignment w:val="auto"/>
              <w:rPr>
                <w:sz w:val="20"/>
                <w:szCs w:val="20"/>
                <w:highlight w:val="none"/>
              </w:rPr>
            </w:pPr>
            <w:r>
              <w:rPr>
                <w:rFonts w:hint="eastAsia"/>
                <w:sz w:val="20"/>
                <w:szCs w:val="20"/>
                <w:highlight w:val="none"/>
              </w:rPr>
              <w:t>（2）充分研究论证；</w:t>
            </w:r>
          </w:p>
          <w:p>
            <w:pPr>
              <w:keepNext w:val="0"/>
              <w:keepLines w:val="0"/>
              <w:pageBreakBefore w:val="0"/>
              <w:widowControl w:val="0"/>
              <w:kinsoku/>
              <w:wordWrap/>
              <w:overflowPunct/>
              <w:topLinePunct w:val="0"/>
              <w:autoSpaceDE w:val="0"/>
              <w:autoSpaceDN w:val="0"/>
              <w:bidi w:val="0"/>
              <w:adjustRightInd/>
              <w:snapToGrid w:val="0"/>
              <w:spacing w:line="300" w:lineRule="exact"/>
              <w:textAlignment w:val="auto"/>
              <w:rPr>
                <w:sz w:val="20"/>
                <w:szCs w:val="20"/>
                <w:highlight w:val="none"/>
              </w:rPr>
            </w:pPr>
            <w:r>
              <w:rPr>
                <w:rFonts w:hint="eastAsia"/>
                <w:sz w:val="20"/>
                <w:szCs w:val="20"/>
                <w:highlight w:val="none"/>
              </w:rPr>
              <w:t>（3）通过专家评审；</w:t>
            </w:r>
          </w:p>
          <w:p>
            <w:pPr>
              <w:keepNext w:val="0"/>
              <w:keepLines w:val="0"/>
              <w:pageBreakBefore w:val="0"/>
              <w:widowControl w:val="0"/>
              <w:kinsoku/>
              <w:wordWrap/>
              <w:overflowPunct/>
              <w:topLinePunct w:val="0"/>
              <w:autoSpaceDE w:val="0"/>
              <w:autoSpaceDN w:val="0"/>
              <w:bidi w:val="0"/>
              <w:adjustRightInd/>
              <w:snapToGrid w:val="0"/>
              <w:spacing w:line="300" w:lineRule="exact"/>
              <w:textAlignment w:val="auto"/>
              <w:rPr>
                <w:sz w:val="20"/>
                <w:szCs w:val="20"/>
                <w:highlight w:val="none"/>
              </w:rPr>
            </w:pPr>
            <w:r>
              <w:rPr>
                <w:rFonts w:hint="eastAsia"/>
                <w:sz w:val="20"/>
                <w:szCs w:val="20"/>
                <w:highlight w:val="none"/>
              </w:rPr>
              <w:t>（4）通过相关部门审查；</w:t>
            </w:r>
          </w:p>
          <w:p>
            <w:pPr>
              <w:keepNext w:val="0"/>
              <w:keepLines w:val="0"/>
              <w:pageBreakBefore w:val="0"/>
              <w:widowControl w:val="0"/>
              <w:kinsoku/>
              <w:wordWrap/>
              <w:overflowPunct/>
              <w:topLinePunct w:val="0"/>
              <w:autoSpaceDE w:val="0"/>
              <w:autoSpaceDN w:val="0"/>
              <w:bidi w:val="0"/>
              <w:adjustRightInd/>
              <w:snapToGrid w:val="0"/>
              <w:spacing w:line="300" w:lineRule="exact"/>
              <w:textAlignment w:val="auto"/>
              <w:rPr>
                <w:sz w:val="20"/>
                <w:szCs w:val="20"/>
                <w:highlight w:val="none"/>
              </w:rPr>
            </w:pPr>
            <w:r>
              <w:rPr>
                <w:rFonts w:hint="eastAsia"/>
                <w:sz w:val="20"/>
                <w:szCs w:val="20"/>
                <w:highlight w:val="none"/>
              </w:rPr>
              <w:t>（5）</w:t>
            </w:r>
            <w:r>
              <w:rPr>
                <w:rFonts w:hint="eastAsia"/>
                <w:sz w:val="20"/>
                <w:szCs w:val="20"/>
                <w:highlight w:val="none"/>
                <w:lang w:val="en-US" w:eastAsia="zh-CN"/>
              </w:rPr>
              <w:t>提交成果文件</w:t>
            </w:r>
            <w:r>
              <w:rPr>
                <w:rFonts w:hint="eastAsia"/>
                <w:sz w:val="20"/>
                <w:szCs w:val="20"/>
                <w:highlight w:val="none"/>
              </w:rPr>
              <w:t>。</w:t>
            </w:r>
          </w:p>
        </w:tc>
        <w:tc>
          <w:tcPr>
            <w:tcW w:w="1902"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ind w:firstLine="400" w:firstLineChars="200"/>
              <w:jc w:val="center"/>
              <w:textAlignment w:val="auto"/>
              <w:rPr>
                <w:sz w:val="20"/>
                <w:szCs w:val="20"/>
                <w:highlight w:val="none"/>
              </w:rPr>
            </w:pPr>
          </w:p>
        </w:tc>
        <w:tc>
          <w:tcPr>
            <w:tcW w:w="1031"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ind w:firstLine="400" w:firstLineChars="200"/>
              <w:jc w:val="center"/>
              <w:textAlignment w:val="auto"/>
              <w:rPr>
                <w:sz w:val="20"/>
                <w:szCs w:val="20"/>
                <w:highlight w:val="none"/>
              </w:rPr>
            </w:pPr>
          </w:p>
        </w:tc>
        <w:tc>
          <w:tcPr>
            <w:tcW w:w="778"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ind w:firstLine="400" w:firstLineChars="200"/>
              <w:jc w:val="center"/>
              <w:textAlignment w:val="auto"/>
              <w:rPr>
                <w:sz w:val="20"/>
                <w:szCs w:val="20"/>
                <w:highlight w:val="none"/>
              </w:rPr>
            </w:pPr>
          </w:p>
        </w:tc>
        <w:tc>
          <w:tcPr>
            <w:tcW w:w="914"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ind w:firstLine="400" w:firstLineChars="200"/>
              <w:jc w:val="center"/>
              <w:textAlignment w:val="auto"/>
              <w:rPr>
                <w:sz w:val="20"/>
                <w:szCs w:val="20"/>
                <w:highlight w:val="none"/>
              </w:rPr>
            </w:pPr>
          </w:p>
        </w:tc>
      </w:tr>
    </w:tbl>
    <w:p>
      <w:pPr>
        <w:spacing w:line="360" w:lineRule="auto"/>
        <w:ind w:firstLine="420" w:firstLineChars="200"/>
        <w:rPr>
          <w:sz w:val="21"/>
          <w:szCs w:val="21"/>
          <w:highlight w:val="none"/>
        </w:rPr>
      </w:pPr>
    </w:p>
    <w:p>
      <w:pPr>
        <w:spacing w:line="360" w:lineRule="auto"/>
        <w:ind w:firstLine="420" w:firstLineChars="200"/>
        <w:rPr>
          <w:sz w:val="21"/>
          <w:szCs w:val="21"/>
          <w:highlight w:val="none"/>
        </w:rPr>
      </w:pPr>
      <w:r>
        <w:rPr>
          <w:rFonts w:hint="eastAsia"/>
          <w:sz w:val="21"/>
          <w:szCs w:val="21"/>
          <w:highlight w:val="none"/>
        </w:rPr>
        <w:t>注：对每个需求的响应必须遵循如下规则：</w:t>
      </w:r>
    </w:p>
    <w:p>
      <w:pPr>
        <w:spacing w:line="360" w:lineRule="auto"/>
        <w:ind w:firstLine="420" w:firstLineChars="200"/>
        <w:rPr>
          <w:sz w:val="21"/>
          <w:szCs w:val="21"/>
          <w:highlight w:val="none"/>
        </w:rPr>
      </w:pPr>
      <w:r>
        <w:rPr>
          <w:rFonts w:hint="eastAsia"/>
          <w:sz w:val="21"/>
          <w:szCs w:val="21"/>
          <w:highlight w:val="none"/>
        </w:rPr>
        <w:t xml:space="preserve">    1、重复该需求；</w:t>
      </w:r>
    </w:p>
    <w:p>
      <w:pPr>
        <w:spacing w:line="360" w:lineRule="auto"/>
        <w:ind w:firstLine="420" w:firstLineChars="200"/>
        <w:rPr>
          <w:sz w:val="21"/>
          <w:szCs w:val="21"/>
          <w:highlight w:val="none"/>
        </w:rPr>
      </w:pPr>
      <w:r>
        <w:rPr>
          <w:rFonts w:hint="eastAsia"/>
          <w:sz w:val="21"/>
          <w:szCs w:val="21"/>
          <w:highlight w:val="none"/>
        </w:rPr>
        <w:t xml:space="preserve">    2、用“是/否”响应来表明该需求是否被满足（描述性需求）；</w:t>
      </w:r>
    </w:p>
    <w:p>
      <w:pPr>
        <w:spacing w:line="360" w:lineRule="auto"/>
        <w:ind w:firstLine="420" w:firstLineChars="200"/>
        <w:rPr>
          <w:sz w:val="21"/>
          <w:szCs w:val="21"/>
          <w:highlight w:val="none"/>
        </w:rPr>
      </w:pPr>
      <w:r>
        <w:rPr>
          <w:rFonts w:hint="eastAsia"/>
          <w:sz w:val="21"/>
          <w:szCs w:val="21"/>
          <w:highlight w:val="none"/>
        </w:rPr>
        <w:t xml:space="preserve">    3、描述投标人方案如何满足该需求；</w:t>
      </w:r>
    </w:p>
    <w:p>
      <w:pPr>
        <w:spacing w:line="360" w:lineRule="auto"/>
        <w:ind w:firstLine="420" w:firstLineChars="200"/>
        <w:rPr>
          <w:sz w:val="21"/>
          <w:szCs w:val="21"/>
          <w:highlight w:val="none"/>
        </w:rPr>
      </w:pPr>
      <w:r>
        <w:rPr>
          <w:rFonts w:hint="eastAsia"/>
          <w:sz w:val="21"/>
          <w:szCs w:val="21"/>
          <w:highlight w:val="none"/>
        </w:rPr>
        <w:t xml:space="preserve">    4、解释投标人方案与用户需求之间的偏差；</w:t>
      </w:r>
    </w:p>
    <w:p>
      <w:pPr>
        <w:spacing w:line="360" w:lineRule="auto"/>
        <w:ind w:firstLine="420" w:firstLineChars="200"/>
        <w:rPr>
          <w:sz w:val="21"/>
          <w:szCs w:val="21"/>
          <w:highlight w:val="none"/>
        </w:rPr>
      </w:pPr>
      <w:r>
        <w:rPr>
          <w:rFonts w:hint="eastAsia"/>
          <w:sz w:val="21"/>
          <w:szCs w:val="21"/>
          <w:highlight w:val="none"/>
        </w:rPr>
        <w:t xml:space="preserve">    5、用数量来表示的需求，必须用确切的数字、单位来响应。</w:t>
      </w:r>
    </w:p>
    <w:p>
      <w:pPr>
        <w:spacing w:line="360" w:lineRule="auto"/>
        <w:ind w:firstLine="420" w:firstLineChars="200"/>
        <w:rPr>
          <w:sz w:val="21"/>
          <w:szCs w:val="21"/>
          <w:highlight w:val="none"/>
        </w:rPr>
      </w:pPr>
    </w:p>
    <w:p>
      <w:pPr>
        <w:spacing w:line="360" w:lineRule="auto"/>
        <w:ind w:firstLine="5250" w:firstLineChars="2500"/>
        <w:rPr>
          <w:sz w:val="21"/>
          <w:szCs w:val="21"/>
          <w:highlight w:val="none"/>
        </w:rPr>
      </w:pPr>
      <w:r>
        <w:rPr>
          <w:rFonts w:hint="eastAsia"/>
          <w:sz w:val="21"/>
          <w:szCs w:val="21"/>
          <w:highlight w:val="none"/>
        </w:rPr>
        <w:t>投标人（盖章）：</w:t>
      </w:r>
    </w:p>
    <w:p>
      <w:pPr>
        <w:spacing w:line="360" w:lineRule="auto"/>
        <w:ind w:firstLine="4935" w:firstLineChars="2350"/>
        <w:rPr>
          <w:sz w:val="21"/>
          <w:szCs w:val="21"/>
          <w:highlight w:val="none"/>
        </w:rPr>
      </w:pPr>
      <w:r>
        <w:rPr>
          <w:rFonts w:hint="eastAsia"/>
          <w:sz w:val="21"/>
          <w:szCs w:val="21"/>
          <w:highlight w:val="none"/>
        </w:rPr>
        <w:t>法定代表人或委托代理人（签字）：</w:t>
      </w:r>
    </w:p>
    <w:p>
      <w:pPr>
        <w:spacing w:line="360" w:lineRule="auto"/>
        <w:jc w:val="center"/>
        <w:rPr>
          <w:sz w:val="21"/>
          <w:szCs w:val="21"/>
          <w:highlight w:val="none"/>
        </w:rPr>
      </w:pPr>
      <w:r>
        <w:rPr>
          <w:rFonts w:hint="eastAsia"/>
          <w:sz w:val="21"/>
          <w:szCs w:val="21"/>
          <w:highlight w:val="none"/>
          <w:lang w:val="en-US" w:eastAsia="zh-CN"/>
        </w:rPr>
        <w:t xml:space="preserve">                  </w:t>
      </w:r>
      <w:r>
        <w:rPr>
          <w:rFonts w:hint="eastAsia"/>
          <w:sz w:val="21"/>
          <w:szCs w:val="21"/>
          <w:highlight w:val="none"/>
        </w:rPr>
        <w:t>日      期：</w:t>
      </w:r>
    </w:p>
    <w:p>
      <w:pPr>
        <w:pStyle w:val="16"/>
        <w:spacing w:beforeLines="0" w:afterLines="0"/>
        <w:jc w:val="center"/>
        <w:rPr>
          <w:rFonts w:hint="eastAsia" w:hAnsi="宋体"/>
          <w:b/>
          <w:bCs/>
          <w:sz w:val="30"/>
          <w:szCs w:val="30"/>
          <w:highlight w:val="none"/>
        </w:rPr>
      </w:pPr>
    </w:p>
    <w:p>
      <w:pPr>
        <w:pStyle w:val="16"/>
        <w:spacing w:beforeLines="0" w:afterLines="0"/>
        <w:jc w:val="center"/>
        <w:rPr>
          <w:rFonts w:hint="eastAsia" w:hAnsi="宋体"/>
          <w:b/>
          <w:bCs/>
          <w:sz w:val="30"/>
          <w:szCs w:val="30"/>
          <w:highlight w:val="none"/>
        </w:rPr>
      </w:pPr>
    </w:p>
    <w:p>
      <w:pPr>
        <w:pStyle w:val="16"/>
        <w:spacing w:beforeLines="0" w:afterLines="0"/>
        <w:jc w:val="center"/>
        <w:rPr>
          <w:rFonts w:hint="eastAsia" w:hAnsi="宋体"/>
          <w:b/>
          <w:bCs/>
          <w:sz w:val="30"/>
          <w:szCs w:val="30"/>
          <w:highlight w:val="none"/>
        </w:rPr>
      </w:pPr>
    </w:p>
    <w:p>
      <w:pPr>
        <w:pStyle w:val="16"/>
        <w:spacing w:beforeLines="0" w:afterLines="0"/>
        <w:jc w:val="center"/>
        <w:rPr>
          <w:rFonts w:hint="eastAsia" w:hAnsi="宋体"/>
          <w:b/>
          <w:bCs/>
          <w:sz w:val="30"/>
          <w:szCs w:val="30"/>
          <w:highlight w:val="none"/>
        </w:rPr>
      </w:pPr>
    </w:p>
    <w:p>
      <w:pPr>
        <w:pStyle w:val="16"/>
        <w:spacing w:beforeLines="0" w:afterLines="0"/>
        <w:jc w:val="center"/>
        <w:rPr>
          <w:rFonts w:hint="eastAsia" w:hAnsi="宋体"/>
          <w:b/>
          <w:bCs/>
          <w:sz w:val="30"/>
          <w:szCs w:val="30"/>
          <w:highlight w:val="none"/>
        </w:rPr>
      </w:pPr>
    </w:p>
    <w:p>
      <w:pPr>
        <w:pStyle w:val="16"/>
        <w:spacing w:beforeLines="0" w:afterLines="0"/>
        <w:jc w:val="center"/>
        <w:rPr>
          <w:rFonts w:hint="eastAsia" w:hAnsi="宋体"/>
          <w:b/>
          <w:bCs/>
          <w:sz w:val="30"/>
          <w:szCs w:val="30"/>
          <w:highlight w:val="none"/>
        </w:rPr>
      </w:pPr>
    </w:p>
    <w:p>
      <w:pPr>
        <w:pStyle w:val="16"/>
        <w:spacing w:beforeLines="0" w:afterLines="0"/>
        <w:jc w:val="center"/>
        <w:rPr>
          <w:rFonts w:hint="eastAsia" w:hAnsi="宋体"/>
          <w:b/>
          <w:bCs/>
          <w:sz w:val="30"/>
          <w:szCs w:val="30"/>
          <w:highlight w:val="none"/>
        </w:rPr>
      </w:pPr>
    </w:p>
    <w:p>
      <w:pPr>
        <w:pStyle w:val="16"/>
        <w:spacing w:beforeLines="0" w:afterLines="0"/>
        <w:jc w:val="center"/>
        <w:rPr>
          <w:rFonts w:hint="eastAsia" w:hAnsi="宋体"/>
          <w:b/>
          <w:bCs/>
          <w:sz w:val="30"/>
          <w:szCs w:val="30"/>
          <w:highlight w:val="none"/>
        </w:rPr>
      </w:pPr>
    </w:p>
    <w:p>
      <w:pPr>
        <w:pStyle w:val="16"/>
        <w:spacing w:beforeLines="0" w:afterLines="0"/>
        <w:jc w:val="center"/>
        <w:rPr>
          <w:rFonts w:hint="eastAsia" w:hAnsi="宋体"/>
          <w:b/>
          <w:bCs/>
          <w:sz w:val="30"/>
          <w:szCs w:val="30"/>
          <w:highlight w:val="none"/>
        </w:rPr>
      </w:pPr>
    </w:p>
    <w:p>
      <w:pPr>
        <w:pStyle w:val="16"/>
        <w:spacing w:beforeLines="0" w:afterLines="0"/>
        <w:jc w:val="center"/>
        <w:rPr>
          <w:rFonts w:hint="eastAsia" w:hAnsi="宋体"/>
          <w:b/>
          <w:bCs/>
          <w:sz w:val="30"/>
          <w:szCs w:val="30"/>
          <w:highlight w:val="none"/>
        </w:rPr>
      </w:pPr>
    </w:p>
    <w:p>
      <w:pPr>
        <w:pStyle w:val="16"/>
        <w:spacing w:beforeLines="0" w:afterLines="0"/>
        <w:jc w:val="center"/>
        <w:rPr>
          <w:rFonts w:hint="eastAsia" w:hAnsi="宋体"/>
          <w:b/>
          <w:bCs/>
          <w:sz w:val="30"/>
          <w:szCs w:val="30"/>
          <w:highlight w:val="none"/>
        </w:rPr>
      </w:pPr>
    </w:p>
    <w:p>
      <w:pPr>
        <w:pStyle w:val="16"/>
        <w:spacing w:beforeLines="0" w:afterLines="0"/>
        <w:jc w:val="center"/>
        <w:rPr>
          <w:rFonts w:hint="eastAsia" w:hAnsi="宋体"/>
          <w:b/>
          <w:bCs/>
          <w:sz w:val="30"/>
          <w:szCs w:val="30"/>
          <w:highlight w:val="none"/>
        </w:rPr>
      </w:pPr>
      <w:r>
        <w:rPr>
          <w:rFonts w:hint="eastAsia" w:hAnsi="宋体"/>
          <w:b/>
          <w:bCs/>
          <w:sz w:val="30"/>
          <w:szCs w:val="30"/>
          <w:highlight w:val="none"/>
        </w:rPr>
        <w:t>商 务 偏 离 表</w:t>
      </w:r>
    </w:p>
    <w:p>
      <w:pPr>
        <w:rPr>
          <w:rFonts w:hint="eastAsia"/>
        </w:rPr>
      </w:pPr>
    </w:p>
    <w:p>
      <w:pPr>
        <w:spacing w:line="360" w:lineRule="auto"/>
        <w:ind w:firstLine="420" w:firstLineChars="200"/>
      </w:pPr>
      <w:r>
        <w:rPr>
          <w:rFonts w:hint="eastAsia"/>
          <w:sz w:val="21"/>
          <w:szCs w:val="21"/>
          <w:highlight w:val="none"/>
        </w:rPr>
        <w:t xml:space="preserve">投标人名称（盖章）：                          </w:t>
      </w:r>
      <w:r>
        <w:rPr>
          <w:rFonts w:hint="eastAsia"/>
          <w:sz w:val="21"/>
          <w:szCs w:val="21"/>
          <w:highlight w:val="none"/>
          <w:lang w:val="en-US" w:eastAsia="zh-CN"/>
        </w:rPr>
        <w:t xml:space="preserve">             </w:t>
      </w:r>
      <w:r>
        <w:rPr>
          <w:rFonts w:hint="eastAsia"/>
          <w:sz w:val="21"/>
          <w:szCs w:val="21"/>
          <w:highlight w:val="none"/>
        </w:rPr>
        <w:t>采购编号：</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1223"/>
        <w:gridCol w:w="2250"/>
        <w:gridCol w:w="2181"/>
        <w:gridCol w:w="1031"/>
        <w:gridCol w:w="778"/>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626"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jc w:val="center"/>
              <w:textAlignment w:val="auto"/>
              <w:rPr>
                <w:b/>
                <w:bCs/>
                <w:sz w:val="21"/>
                <w:szCs w:val="21"/>
                <w:highlight w:val="none"/>
              </w:rPr>
            </w:pPr>
            <w:r>
              <w:rPr>
                <w:rFonts w:hint="eastAsia"/>
                <w:b/>
                <w:bCs/>
                <w:sz w:val="21"/>
                <w:szCs w:val="21"/>
                <w:highlight w:val="none"/>
              </w:rPr>
              <w:t>序号</w:t>
            </w:r>
          </w:p>
        </w:tc>
        <w:tc>
          <w:tcPr>
            <w:tcW w:w="1223"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jc w:val="center"/>
              <w:textAlignment w:val="auto"/>
              <w:rPr>
                <w:b/>
                <w:bCs/>
                <w:sz w:val="21"/>
                <w:szCs w:val="21"/>
                <w:highlight w:val="none"/>
              </w:rPr>
            </w:pPr>
            <w:r>
              <w:rPr>
                <w:rFonts w:hint="eastAsia"/>
                <w:b/>
                <w:bCs/>
                <w:sz w:val="21"/>
                <w:szCs w:val="21"/>
                <w:highlight w:val="none"/>
              </w:rPr>
              <w:t>名称</w:t>
            </w:r>
          </w:p>
        </w:tc>
        <w:tc>
          <w:tcPr>
            <w:tcW w:w="2250"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jc w:val="center"/>
              <w:textAlignment w:val="auto"/>
              <w:rPr>
                <w:b/>
                <w:bCs/>
                <w:sz w:val="21"/>
                <w:szCs w:val="21"/>
                <w:highlight w:val="none"/>
              </w:rPr>
            </w:pPr>
            <w:r>
              <w:rPr>
                <w:rFonts w:hint="eastAsia"/>
                <w:b/>
                <w:bCs/>
                <w:sz w:val="21"/>
                <w:szCs w:val="21"/>
                <w:highlight w:val="none"/>
              </w:rPr>
              <w:t>采购文件规范要求</w:t>
            </w:r>
          </w:p>
        </w:tc>
        <w:tc>
          <w:tcPr>
            <w:tcW w:w="2181"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jc w:val="center"/>
              <w:textAlignment w:val="auto"/>
              <w:rPr>
                <w:b/>
                <w:bCs/>
                <w:sz w:val="21"/>
                <w:szCs w:val="21"/>
                <w:highlight w:val="none"/>
              </w:rPr>
            </w:pPr>
            <w:r>
              <w:rPr>
                <w:rFonts w:hint="eastAsia"/>
                <w:b/>
                <w:bCs/>
                <w:sz w:val="21"/>
                <w:szCs w:val="21"/>
                <w:highlight w:val="none"/>
              </w:rPr>
              <w:t>投标文件对应规范</w:t>
            </w:r>
          </w:p>
        </w:tc>
        <w:tc>
          <w:tcPr>
            <w:tcW w:w="1031"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jc w:val="center"/>
              <w:textAlignment w:val="auto"/>
              <w:rPr>
                <w:b/>
                <w:bCs/>
                <w:sz w:val="21"/>
                <w:szCs w:val="21"/>
                <w:highlight w:val="none"/>
              </w:rPr>
            </w:pPr>
            <w:r>
              <w:rPr>
                <w:rFonts w:hint="eastAsia"/>
                <w:b/>
                <w:bCs/>
                <w:sz w:val="21"/>
                <w:szCs w:val="21"/>
                <w:highlight w:val="none"/>
              </w:rPr>
              <w:t>是否</w:t>
            </w:r>
          </w:p>
          <w:p>
            <w:pPr>
              <w:keepNext w:val="0"/>
              <w:keepLines w:val="0"/>
              <w:pageBreakBefore w:val="0"/>
              <w:widowControl w:val="0"/>
              <w:kinsoku/>
              <w:wordWrap/>
              <w:overflowPunct/>
              <w:topLinePunct w:val="0"/>
              <w:autoSpaceDE w:val="0"/>
              <w:autoSpaceDN w:val="0"/>
              <w:bidi w:val="0"/>
              <w:adjustRightInd/>
              <w:spacing w:line="300" w:lineRule="exact"/>
              <w:jc w:val="center"/>
              <w:textAlignment w:val="auto"/>
              <w:rPr>
                <w:b/>
                <w:bCs/>
                <w:sz w:val="21"/>
                <w:szCs w:val="21"/>
                <w:highlight w:val="none"/>
              </w:rPr>
            </w:pPr>
            <w:r>
              <w:rPr>
                <w:rFonts w:hint="eastAsia"/>
                <w:b/>
                <w:bCs/>
                <w:sz w:val="21"/>
                <w:szCs w:val="21"/>
                <w:highlight w:val="none"/>
              </w:rPr>
              <w:t>响应</w:t>
            </w:r>
          </w:p>
        </w:tc>
        <w:tc>
          <w:tcPr>
            <w:tcW w:w="778"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jc w:val="center"/>
              <w:textAlignment w:val="auto"/>
              <w:rPr>
                <w:b/>
                <w:bCs/>
                <w:sz w:val="21"/>
                <w:szCs w:val="21"/>
                <w:highlight w:val="none"/>
              </w:rPr>
            </w:pPr>
            <w:r>
              <w:rPr>
                <w:rFonts w:hint="eastAsia"/>
                <w:b/>
                <w:bCs/>
                <w:sz w:val="21"/>
                <w:szCs w:val="21"/>
                <w:highlight w:val="none"/>
              </w:rPr>
              <w:t>偏离</w:t>
            </w:r>
          </w:p>
        </w:tc>
        <w:tc>
          <w:tcPr>
            <w:tcW w:w="914"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jc w:val="center"/>
              <w:textAlignment w:val="auto"/>
              <w:rPr>
                <w:b/>
                <w:bCs/>
                <w:sz w:val="21"/>
                <w:szCs w:val="21"/>
                <w:highlight w:val="none"/>
              </w:rPr>
            </w:pPr>
            <w:r>
              <w:rPr>
                <w:rFonts w:hint="eastAsia"/>
                <w:b/>
                <w:bCs/>
                <w:sz w:val="21"/>
                <w:szCs w:val="21"/>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626"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jc w:val="center"/>
              <w:textAlignment w:val="auto"/>
              <w:rPr>
                <w:rFonts w:hint="eastAsia" w:eastAsia="宋体"/>
                <w:sz w:val="21"/>
                <w:szCs w:val="21"/>
                <w:highlight w:val="none"/>
                <w:lang w:val="en-US" w:eastAsia="zh-CN"/>
              </w:rPr>
            </w:pPr>
            <w:r>
              <w:rPr>
                <w:rFonts w:hint="eastAsia"/>
                <w:sz w:val="21"/>
                <w:szCs w:val="21"/>
                <w:highlight w:val="none"/>
                <w:lang w:val="en-US" w:eastAsia="zh-CN"/>
              </w:rPr>
              <w:t>1</w:t>
            </w:r>
          </w:p>
        </w:tc>
        <w:tc>
          <w:tcPr>
            <w:tcW w:w="1223"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jc w:val="both"/>
              <w:textAlignment w:val="auto"/>
              <w:rPr>
                <w:rFonts w:hint="eastAsia" w:eastAsia="宋体"/>
                <w:sz w:val="21"/>
                <w:szCs w:val="21"/>
                <w:highlight w:val="none"/>
                <w:lang w:val="en-US" w:eastAsia="zh-CN"/>
              </w:rPr>
            </w:pPr>
            <w:r>
              <w:rPr>
                <w:rFonts w:hint="eastAsia"/>
                <w:sz w:val="21"/>
                <w:szCs w:val="21"/>
                <w:highlight w:val="none"/>
                <w:lang w:val="en-US" w:eastAsia="zh-CN"/>
              </w:rPr>
              <w:t>付款方式</w:t>
            </w:r>
          </w:p>
        </w:tc>
        <w:tc>
          <w:tcPr>
            <w:tcW w:w="2250" w:type="dxa"/>
            <w:noWrap/>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ind w:firstLine="420" w:firstLineChars="200"/>
              <w:textAlignment w:val="auto"/>
              <w:rPr>
                <w:sz w:val="21"/>
                <w:szCs w:val="21"/>
                <w:highlight w:val="none"/>
              </w:rPr>
            </w:pPr>
            <w:r>
              <w:rPr>
                <w:rFonts w:hint="eastAsia" w:ascii="宋体" w:hAnsi="宋体" w:eastAsia="宋体" w:cs="宋体"/>
                <w:sz w:val="21"/>
                <w:highlight w:val="none"/>
              </w:rPr>
              <w:t>合同生效及具备实施条件支付合同价款的</w:t>
            </w:r>
            <w:r>
              <w:rPr>
                <w:rFonts w:hint="eastAsia" w:cs="宋体"/>
                <w:sz w:val="21"/>
                <w:highlight w:val="none"/>
                <w:lang w:val="en-US" w:eastAsia="zh-CN"/>
              </w:rPr>
              <w:t>30</w:t>
            </w:r>
            <w:r>
              <w:rPr>
                <w:rFonts w:hint="eastAsia" w:ascii="宋体" w:hAnsi="宋体" w:eastAsia="宋体" w:cs="宋体"/>
                <w:sz w:val="21"/>
                <w:highlight w:val="none"/>
              </w:rPr>
              <w:t>%作为预付款；</w:t>
            </w:r>
            <w:r>
              <w:rPr>
                <w:rFonts w:hint="eastAsia"/>
                <w:sz w:val="21"/>
                <w:szCs w:val="21"/>
                <w:highlight w:val="none"/>
              </w:rPr>
              <w:t>采购人组织</w:t>
            </w:r>
            <w:r>
              <w:rPr>
                <w:rFonts w:hint="eastAsia"/>
                <w:sz w:val="21"/>
                <w:szCs w:val="21"/>
                <w:highlight w:val="none"/>
                <w:lang w:val="en-US" w:eastAsia="zh-CN"/>
              </w:rPr>
              <w:t>专家评审后完成落地方案最终稿后</w:t>
            </w:r>
            <w:r>
              <w:rPr>
                <w:rFonts w:hint="eastAsia"/>
                <w:sz w:val="21"/>
                <w:szCs w:val="21"/>
                <w:highlight w:val="none"/>
              </w:rPr>
              <w:t>支付剩余合同价尾款。</w:t>
            </w:r>
          </w:p>
        </w:tc>
        <w:tc>
          <w:tcPr>
            <w:tcW w:w="2181"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ind w:firstLine="420" w:firstLineChars="200"/>
              <w:jc w:val="center"/>
              <w:textAlignment w:val="auto"/>
              <w:rPr>
                <w:sz w:val="21"/>
                <w:szCs w:val="21"/>
                <w:highlight w:val="none"/>
              </w:rPr>
            </w:pPr>
          </w:p>
        </w:tc>
        <w:tc>
          <w:tcPr>
            <w:tcW w:w="1031"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ind w:firstLine="420" w:firstLineChars="200"/>
              <w:jc w:val="center"/>
              <w:textAlignment w:val="auto"/>
              <w:rPr>
                <w:sz w:val="21"/>
                <w:szCs w:val="21"/>
                <w:highlight w:val="none"/>
              </w:rPr>
            </w:pPr>
          </w:p>
        </w:tc>
        <w:tc>
          <w:tcPr>
            <w:tcW w:w="778"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ind w:firstLine="420" w:firstLineChars="200"/>
              <w:jc w:val="center"/>
              <w:textAlignment w:val="auto"/>
              <w:rPr>
                <w:sz w:val="21"/>
                <w:szCs w:val="21"/>
                <w:highlight w:val="none"/>
              </w:rPr>
            </w:pPr>
          </w:p>
        </w:tc>
        <w:tc>
          <w:tcPr>
            <w:tcW w:w="914"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ind w:firstLine="420" w:firstLineChars="200"/>
              <w:jc w:val="center"/>
              <w:textAlignment w:val="auto"/>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626"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ind w:firstLine="210" w:firstLineChars="100"/>
              <w:jc w:val="both"/>
              <w:textAlignment w:val="auto"/>
              <w:rPr>
                <w:rFonts w:hint="default" w:eastAsia="宋体"/>
                <w:sz w:val="21"/>
                <w:szCs w:val="21"/>
                <w:highlight w:val="none"/>
                <w:lang w:val="en-US" w:eastAsia="zh-CN"/>
              </w:rPr>
            </w:pPr>
            <w:r>
              <w:rPr>
                <w:rFonts w:hint="eastAsia"/>
                <w:sz w:val="21"/>
                <w:szCs w:val="21"/>
                <w:highlight w:val="none"/>
                <w:lang w:val="en-US" w:eastAsia="zh-CN"/>
              </w:rPr>
              <w:t>2</w:t>
            </w:r>
          </w:p>
        </w:tc>
        <w:tc>
          <w:tcPr>
            <w:tcW w:w="1223"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jc w:val="both"/>
              <w:textAlignment w:val="auto"/>
              <w:rPr>
                <w:rFonts w:hint="eastAsia" w:eastAsia="宋体"/>
                <w:sz w:val="21"/>
                <w:szCs w:val="21"/>
                <w:highlight w:val="none"/>
                <w:lang w:val="en-US" w:eastAsia="zh-CN"/>
              </w:rPr>
            </w:pPr>
            <w:r>
              <w:rPr>
                <w:rFonts w:hint="eastAsia"/>
                <w:sz w:val="21"/>
                <w:szCs w:val="21"/>
                <w:highlight w:val="none"/>
                <w:lang w:val="en-US" w:eastAsia="zh-CN"/>
              </w:rPr>
              <w:t>结算方式</w:t>
            </w:r>
          </w:p>
        </w:tc>
        <w:tc>
          <w:tcPr>
            <w:tcW w:w="2250" w:type="dxa"/>
            <w:noWrap/>
            <w:vAlign w:val="center"/>
          </w:tcPr>
          <w:p>
            <w:pPr>
              <w:keepNext w:val="0"/>
              <w:keepLines w:val="0"/>
              <w:pageBreakBefore w:val="0"/>
              <w:widowControl w:val="0"/>
              <w:kinsoku/>
              <w:wordWrap/>
              <w:overflowPunct/>
              <w:topLinePunct w:val="0"/>
              <w:autoSpaceDE w:val="0"/>
              <w:autoSpaceDN w:val="0"/>
              <w:bidi w:val="0"/>
              <w:adjustRightInd/>
              <w:snapToGrid w:val="0"/>
              <w:spacing w:line="300" w:lineRule="exact"/>
              <w:textAlignment w:val="auto"/>
              <w:rPr>
                <w:rFonts w:hint="eastAsia" w:ascii="宋体" w:hAnsi="宋体" w:eastAsia="宋体" w:cs="宋体"/>
                <w:sz w:val="21"/>
                <w:highlight w:val="none"/>
                <w:lang w:val="en-US" w:eastAsia="zh-CN"/>
              </w:rPr>
            </w:pPr>
            <w:r>
              <w:rPr>
                <w:rFonts w:hint="eastAsia" w:ascii="宋体" w:hAnsi="宋体" w:eastAsia="宋体" w:cs="宋体"/>
                <w:sz w:val="21"/>
                <w:highlight w:val="none"/>
                <w:lang w:val="en-US" w:eastAsia="zh-CN"/>
              </w:rPr>
              <w:t>1、按线路方案单独结算。</w:t>
            </w:r>
          </w:p>
          <w:p>
            <w:pPr>
              <w:keepNext w:val="0"/>
              <w:keepLines w:val="0"/>
              <w:pageBreakBefore w:val="0"/>
              <w:widowControl w:val="0"/>
              <w:kinsoku/>
              <w:wordWrap/>
              <w:overflowPunct/>
              <w:topLinePunct w:val="0"/>
              <w:autoSpaceDE w:val="0"/>
              <w:autoSpaceDN w:val="0"/>
              <w:bidi w:val="0"/>
              <w:adjustRightInd/>
              <w:snapToGrid w:val="0"/>
              <w:spacing w:line="300" w:lineRule="exact"/>
              <w:textAlignment w:val="auto"/>
              <w:rPr>
                <w:sz w:val="21"/>
                <w:szCs w:val="21"/>
                <w:highlight w:val="none"/>
              </w:rPr>
            </w:pPr>
            <w:r>
              <w:rPr>
                <w:rFonts w:hint="eastAsia" w:ascii="宋体" w:hAnsi="宋体" w:eastAsia="宋体" w:cs="宋体"/>
                <w:sz w:val="21"/>
                <w:highlight w:val="none"/>
                <w:lang w:val="en-US" w:eastAsia="zh-CN"/>
              </w:rPr>
              <w:t>2、甲方有权利增、减需要方案研究的线路，如增加研究的线路，增加研究线路的服务费按报价一览表中同类型公路报价单价的平均值作为单价，以单价×公里数计算服务费；如减少研究的线路，减少研究线路的服务费按报价一览表中的报价核减服务费。</w:t>
            </w:r>
          </w:p>
        </w:tc>
        <w:tc>
          <w:tcPr>
            <w:tcW w:w="2181"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ind w:firstLine="420" w:firstLineChars="200"/>
              <w:jc w:val="center"/>
              <w:textAlignment w:val="auto"/>
              <w:rPr>
                <w:sz w:val="21"/>
                <w:szCs w:val="21"/>
                <w:highlight w:val="none"/>
              </w:rPr>
            </w:pPr>
          </w:p>
        </w:tc>
        <w:tc>
          <w:tcPr>
            <w:tcW w:w="1031"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ind w:firstLine="420" w:firstLineChars="200"/>
              <w:jc w:val="center"/>
              <w:textAlignment w:val="auto"/>
              <w:rPr>
                <w:sz w:val="21"/>
                <w:szCs w:val="21"/>
                <w:highlight w:val="none"/>
              </w:rPr>
            </w:pPr>
          </w:p>
        </w:tc>
        <w:tc>
          <w:tcPr>
            <w:tcW w:w="778"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ind w:firstLine="420" w:firstLineChars="200"/>
              <w:jc w:val="center"/>
              <w:textAlignment w:val="auto"/>
              <w:rPr>
                <w:sz w:val="21"/>
                <w:szCs w:val="21"/>
                <w:highlight w:val="none"/>
              </w:rPr>
            </w:pPr>
          </w:p>
        </w:tc>
        <w:tc>
          <w:tcPr>
            <w:tcW w:w="914"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ind w:firstLine="420" w:firstLineChars="200"/>
              <w:jc w:val="center"/>
              <w:textAlignment w:val="auto"/>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626"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ind w:firstLine="210" w:firstLineChars="100"/>
              <w:jc w:val="both"/>
              <w:textAlignment w:val="auto"/>
              <w:rPr>
                <w:rFonts w:hint="eastAsia" w:eastAsia="宋体"/>
                <w:sz w:val="21"/>
                <w:szCs w:val="21"/>
                <w:highlight w:val="none"/>
                <w:lang w:val="en-US" w:eastAsia="zh-CN"/>
              </w:rPr>
            </w:pPr>
            <w:r>
              <w:rPr>
                <w:rFonts w:hint="eastAsia"/>
                <w:sz w:val="21"/>
                <w:szCs w:val="21"/>
                <w:highlight w:val="none"/>
                <w:lang w:val="en-US" w:eastAsia="zh-CN"/>
              </w:rPr>
              <w:t>3</w:t>
            </w:r>
          </w:p>
        </w:tc>
        <w:tc>
          <w:tcPr>
            <w:tcW w:w="1223"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jc w:val="both"/>
              <w:textAlignment w:val="auto"/>
              <w:rPr>
                <w:rFonts w:hint="eastAsia" w:eastAsia="宋体"/>
                <w:sz w:val="21"/>
                <w:szCs w:val="21"/>
                <w:highlight w:val="none"/>
                <w:lang w:val="en-US" w:eastAsia="zh-CN"/>
              </w:rPr>
            </w:pPr>
            <w:r>
              <w:rPr>
                <w:rFonts w:hint="eastAsia"/>
                <w:sz w:val="21"/>
                <w:szCs w:val="21"/>
                <w:highlight w:val="none"/>
                <w:lang w:val="en-US" w:eastAsia="zh-CN"/>
              </w:rPr>
              <w:t>投标报价</w:t>
            </w:r>
          </w:p>
        </w:tc>
        <w:tc>
          <w:tcPr>
            <w:tcW w:w="2250" w:type="dxa"/>
            <w:noWrap/>
            <w:vAlign w:val="center"/>
          </w:tcPr>
          <w:p>
            <w:pPr>
              <w:keepNext w:val="0"/>
              <w:keepLines w:val="0"/>
              <w:pageBreakBefore w:val="0"/>
              <w:widowControl w:val="0"/>
              <w:kinsoku/>
              <w:wordWrap/>
              <w:overflowPunct/>
              <w:topLinePunct w:val="0"/>
              <w:autoSpaceDE w:val="0"/>
              <w:autoSpaceDN w:val="0"/>
              <w:bidi w:val="0"/>
              <w:adjustRightInd/>
              <w:snapToGrid/>
              <w:spacing w:line="300" w:lineRule="exact"/>
              <w:jc w:val="both"/>
              <w:textAlignment w:val="auto"/>
              <w:rPr>
                <w:b w:val="0"/>
                <w:bCs w:val="0"/>
                <w:sz w:val="21"/>
                <w:szCs w:val="21"/>
                <w:highlight w:val="none"/>
              </w:rPr>
            </w:pPr>
            <w:r>
              <w:rPr>
                <w:rFonts w:hint="eastAsia"/>
                <w:b w:val="0"/>
                <w:bCs w:val="0"/>
                <w:sz w:val="21"/>
                <w:szCs w:val="21"/>
                <w:highlight w:val="none"/>
              </w:rPr>
              <w:t>投标人所投报的投标报价为投标人所能承受的整个项目的一次性最终最低报价(为本采购项目总价)</w:t>
            </w:r>
          </w:p>
        </w:tc>
        <w:tc>
          <w:tcPr>
            <w:tcW w:w="2181"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ind w:firstLine="420" w:firstLineChars="200"/>
              <w:jc w:val="center"/>
              <w:textAlignment w:val="auto"/>
              <w:rPr>
                <w:sz w:val="21"/>
                <w:szCs w:val="21"/>
                <w:highlight w:val="none"/>
              </w:rPr>
            </w:pPr>
          </w:p>
        </w:tc>
        <w:tc>
          <w:tcPr>
            <w:tcW w:w="1031"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ind w:firstLine="420" w:firstLineChars="200"/>
              <w:jc w:val="center"/>
              <w:textAlignment w:val="auto"/>
              <w:rPr>
                <w:sz w:val="21"/>
                <w:szCs w:val="21"/>
                <w:highlight w:val="none"/>
              </w:rPr>
            </w:pPr>
          </w:p>
        </w:tc>
        <w:tc>
          <w:tcPr>
            <w:tcW w:w="778"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ind w:firstLine="420" w:firstLineChars="200"/>
              <w:jc w:val="center"/>
              <w:textAlignment w:val="auto"/>
              <w:rPr>
                <w:sz w:val="21"/>
                <w:szCs w:val="21"/>
                <w:highlight w:val="none"/>
              </w:rPr>
            </w:pPr>
          </w:p>
        </w:tc>
        <w:tc>
          <w:tcPr>
            <w:tcW w:w="914"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ind w:firstLine="420" w:firstLineChars="200"/>
              <w:jc w:val="center"/>
              <w:textAlignment w:val="auto"/>
              <w:rPr>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26"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ind w:firstLine="210" w:firstLineChars="100"/>
              <w:jc w:val="both"/>
              <w:textAlignment w:val="auto"/>
              <w:rPr>
                <w:rFonts w:hint="eastAsia" w:eastAsia="宋体"/>
                <w:sz w:val="21"/>
                <w:szCs w:val="21"/>
                <w:highlight w:val="none"/>
                <w:lang w:val="en-US" w:eastAsia="zh-CN"/>
              </w:rPr>
            </w:pPr>
            <w:r>
              <w:rPr>
                <w:rFonts w:hint="eastAsia"/>
                <w:sz w:val="21"/>
                <w:szCs w:val="21"/>
                <w:highlight w:val="none"/>
                <w:lang w:val="en-US" w:eastAsia="zh-CN"/>
              </w:rPr>
              <w:t>4</w:t>
            </w:r>
          </w:p>
        </w:tc>
        <w:tc>
          <w:tcPr>
            <w:tcW w:w="1223"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ind w:firstLine="420" w:firstLineChars="200"/>
              <w:jc w:val="both"/>
              <w:textAlignment w:val="auto"/>
              <w:rPr>
                <w:sz w:val="21"/>
                <w:szCs w:val="21"/>
                <w:highlight w:val="none"/>
              </w:rPr>
            </w:pPr>
          </w:p>
        </w:tc>
        <w:tc>
          <w:tcPr>
            <w:tcW w:w="2250"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ind w:firstLine="420" w:firstLineChars="200"/>
              <w:jc w:val="center"/>
              <w:textAlignment w:val="auto"/>
              <w:rPr>
                <w:sz w:val="21"/>
                <w:szCs w:val="21"/>
                <w:highlight w:val="none"/>
              </w:rPr>
            </w:pPr>
          </w:p>
        </w:tc>
        <w:tc>
          <w:tcPr>
            <w:tcW w:w="2181"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ind w:firstLine="420" w:firstLineChars="200"/>
              <w:jc w:val="center"/>
              <w:textAlignment w:val="auto"/>
              <w:rPr>
                <w:sz w:val="21"/>
                <w:szCs w:val="21"/>
                <w:highlight w:val="none"/>
              </w:rPr>
            </w:pPr>
          </w:p>
        </w:tc>
        <w:tc>
          <w:tcPr>
            <w:tcW w:w="1031"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ind w:firstLine="420" w:firstLineChars="200"/>
              <w:jc w:val="center"/>
              <w:textAlignment w:val="auto"/>
              <w:rPr>
                <w:sz w:val="21"/>
                <w:szCs w:val="21"/>
                <w:highlight w:val="none"/>
              </w:rPr>
            </w:pPr>
          </w:p>
        </w:tc>
        <w:tc>
          <w:tcPr>
            <w:tcW w:w="778"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ind w:firstLine="420" w:firstLineChars="200"/>
              <w:jc w:val="center"/>
              <w:textAlignment w:val="auto"/>
              <w:rPr>
                <w:sz w:val="21"/>
                <w:szCs w:val="21"/>
                <w:highlight w:val="none"/>
              </w:rPr>
            </w:pPr>
          </w:p>
        </w:tc>
        <w:tc>
          <w:tcPr>
            <w:tcW w:w="914" w:type="dxa"/>
            <w:noWrap/>
            <w:vAlign w:val="center"/>
          </w:tcPr>
          <w:p>
            <w:pPr>
              <w:keepNext w:val="0"/>
              <w:keepLines w:val="0"/>
              <w:pageBreakBefore w:val="0"/>
              <w:widowControl w:val="0"/>
              <w:kinsoku/>
              <w:wordWrap/>
              <w:overflowPunct/>
              <w:topLinePunct w:val="0"/>
              <w:autoSpaceDE w:val="0"/>
              <w:autoSpaceDN w:val="0"/>
              <w:bidi w:val="0"/>
              <w:adjustRightInd/>
              <w:spacing w:line="300" w:lineRule="exact"/>
              <w:ind w:firstLine="420" w:firstLineChars="200"/>
              <w:jc w:val="center"/>
              <w:textAlignment w:val="auto"/>
              <w:rPr>
                <w:sz w:val="21"/>
                <w:szCs w:val="21"/>
                <w:highlight w:val="none"/>
              </w:rPr>
            </w:pPr>
          </w:p>
        </w:tc>
      </w:tr>
    </w:tbl>
    <w:p>
      <w:pPr>
        <w:keepNext w:val="0"/>
        <w:keepLines w:val="0"/>
        <w:pageBreakBefore w:val="0"/>
        <w:widowControl w:val="0"/>
        <w:kinsoku/>
        <w:wordWrap/>
        <w:overflowPunct/>
        <w:topLinePunct w:val="0"/>
        <w:autoSpaceDE w:val="0"/>
        <w:autoSpaceDN w:val="0"/>
        <w:bidi w:val="0"/>
        <w:adjustRightInd/>
        <w:snapToGrid/>
        <w:spacing w:line="240" w:lineRule="exact"/>
        <w:ind w:firstLine="420" w:firstLineChars="200"/>
        <w:textAlignment w:val="auto"/>
        <w:rPr>
          <w:rFonts w:hint="eastAsia"/>
          <w:sz w:val="21"/>
          <w:szCs w:val="21"/>
          <w:highlight w:val="none"/>
        </w:rPr>
      </w:pPr>
    </w:p>
    <w:p>
      <w:pPr>
        <w:keepNext w:val="0"/>
        <w:keepLines w:val="0"/>
        <w:pageBreakBefore w:val="0"/>
        <w:widowControl w:val="0"/>
        <w:kinsoku/>
        <w:wordWrap/>
        <w:overflowPunct/>
        <w:topLinePunct w:val="0"/>
        <w:autoSpaceDE w:val="0"/>
        <w:autoSpaceDN w:val="0"/>
        <w:bidi w:val="0"/>
        <w:adjustRightInd/>
        <w:snapToGrid/>
        <w:spacing w:line="240" w:lineRule="exact"/>
        <w:ind w:firstLine="420" w:firstLineChars="200"/>
        <w:textAlignment w:val="auto"/>
        <w:rPr>
          <w:sz w:val="21"/>
          <w:szCs w:val="21"/>
          <w:highlight w:val="none"/>
        </w:rPr>
      </w:pPr>
      <w:r>
        <w:rPr>
          <w:rFonts w:hint="eastAsia"/>
          <w:sz w:val="21"/>
          <w:szCs w:val="21"/>
          <w:highlight w:val="none"/>
        </w:rPr>
        <w:t>注：对每个需求的响应必须遵循如下规则：</w:t>
      </w:r>
    </w:p>
    <w:p>
      <w:pPr>
        <w:keepNext w:val="0"/>
        <w:keepLines w:val="0"/>
        <w:pageBreakBefore w:val="0"/>
        <w:widowControl w:val="0"/>
        <w:kinsoku/>
        <w:wordWrap/>
        <w:overflowPunct/>
        <w:topLinePunct w:val="0"/>
        <w:autoSpaceDE w:val="0"/>
        <w:autoSpaceDN w:val="0"/>
        <w:bidi w:val="0"/>
        <w:adjustRightInd/>
        <w:snapToGrid/>
        <w:spacing w:line="240" w:lineRule="exact"/>
        <w:ind w:firstLine="420" w:firstLineChars="200"/>
        <w:textAlignment w:val="auto"/>
        <w:rPr>
          <w:sz w:val="21"/>
          <w:szCs w:val="21"/>
          <w:highlight w:val="none"/>
        </w:rPr>
      </w:pPr>
      <w:r>
        <w:rPr>
          <w:rFonts w:hint="eastAsia"/>
          <w:sz w:val="21"/>
          <w:szCs w:val="21"/>
          <w:highlight w:val="none"/>
        </w:rPr>
        <w:t xml:space="preserve">    1、重复该需求；</w:t>
      </w:r>
    </w:p>
    <w:p>
      <w:pPr>
        <w:keepNext w:val="0"/>
        <w:keepLines w:val="0"/>
        <w:pageBreakBefore w:val="0"/>
        <w:widowControl w:val="0"/>
        <w:kinsoku/>
        <w:wordWrap/>
        <w:overflowPunct/>
        <w:topLinePunct w:val="0"/>
        <w:autoSpaceDE w:val="0"/>
        <w:autoSpaceDN w:val="0"/>
        <w:bidi w:val="0"/>
        <w:adjustRightInd/>
        <w:snapToGrid/>
        <w:spacing w:line="240" w:lineRule="exact"/>
        <w:ind w:firstLine="420" w:firstLineChars="200"/>
        <w:textAlignment w:val="auto"/>
        <w:rPr>
          <w:sz w:val="21"/>
          <w:szCs w:val="21"/>
          <w:highlight w:val="none"/>
        </w:rPr>
      </w:pPr>
      <w:r>
        <w:rPr>
          <w:rFonts w:hint="eastAsia"/>
          <w:sz w:val="21"/>
          <w:szCs w:val="21"/>
          <w:highlight w:val="none"/>
        </w:rPr>
        <w:t xml:space="preserve">    2、用“是/否”响应来表明该需求是否被满足（描述性需求）；</w:t>
      </w:r>
    </w:p>
    <w:p>
      <w:pPr>
        <w:keepNext w:val="0"/>
        <w:keepLines w:val="0"/>
        <w:pageBreakBefore w:val="0"/>
        <w:widowControl w:val="0"/>
        <w:kinsoku/>
        <w:wordWrap/>
        <w:overflowPunct/>
        <w:topLinePunct w:val="0"/>
        <w:autoSpaceDE w:val="0"/>
        <w:autoSpaceDN w:val="0"/>
        <w:bidi w:val="0"/>
        <w:adjustRightInd/>
        <w:snapToGrid/>
        <w:spacing w:line="240" w:lineRule="exact"/>
        <w:ind w:firstLine="420" w:firstLineChars="200"/>
        <w:textAlignment w:val="auto"/>
        <w:rPr>
          <w:sz w:val="21"/>
          <w:szCs w:val="21"/>
          <w:highlight w:val="none"/>
        </w:rPr>
      </w:pPr>
      <w:r>
        <w:rPr>
          <w:rFonts w:hint="eastAsia"/>
          <w:sz w:val="21"/>
          <w:szCs w:val="21"/>
          <w:highlight w:val="none"/>
        </w:rPr>
        <w:t xml:space="preserve">    3、描述投标人方案如何满足该需求；</w:t>
      </w:r>
    </w:p>
    <w:p>
      <w:pPr>
        <w:keepNext w:val="0"/>
        <w:keepLines w:val="0"/>
        <w:pageBreakBefore w:val="0"/>
        <w:widowControl w:val="0"/>
        <w:kinsoku/>
        <w:wordWrap/>
        <w:overflowPunct/>
        <w:topLinePunct w:val="0"/>
        <w:autoSpaceDE w:val="0"/>
        <w:autoSpaceDN w:val="0"/>
        <w:bidi w:val="0"/>
        <w:adjustRightInd/>
        <w:snapToGrid/>
        <w:spacing w:line="240" w:lineRule="exact"/>
        <w:ind w:firstLine="420" w:firstLineChars="200"/>
        <w:textAlignment w:val="auto"/>
        <w:rPr>
          <w:sz w:val="21"/>
          <w:szCs w:val="21"/>
          <w:highlight w:val="none"/>
        </w:rPr>
      </w:pPr>
      <w:r>
        <w:rPr>
          <w:rFonts w:hint="eastAsia"/>
          <w:sz w:val="21"/>
          <w:szCs w:val="21"/>
          <w:highlight w:val="none"/>
        </w:rPr>
        <w:t xml:space="preserve">    4、解释投标人方案与用户需求之间的偏差；</w:t>
      </w:r>
    </w:p>
    <w:p>
      <w:pPr>
        <w:keepNext w:val="0"/>
        <w:keepLines w:val="0"/>
        <w:pageBreakBefore w:val="0"/>
        <w:widowControl w:val="0"/>
        <w:kinsoku/>
        <w:wordWrap/>
        <w:overflowPunct/>
        <w:topLinePunct w:val="0"/>
        <w:autoSpaceDE w:val="0"/>
        <w:autoSpaceDN w:val="0"/>
        <w:bidi w:val="0"/>
        <w:adjustRightInd/>
        <w:snapToGrid/>
        <w:spacing w:line="240" w:lineRule="exact"/>
        <w:ind w:firstLine="420" w:firstLineChars="200"/>
        <w:textAlignment w:val="auto"/>
        <w:rPr>
          <w:rFonts w:ascii="宋体" w:hAnsi="宋体"/>
          <w:highlight w:val="none"/>
        </w:rPr>
      </w:pPr>
      <w:r>
        <w:rPr>
          <w:rFonts w:hint="eastAsia"/>
          <w:sz w:val="21"/>
          <w:szCs w:val="21"/>
          <w:highlight w:val="none"/>
        </w:rPr>
        <w:t xml:space="preserve">    5、用数量来表示的需求，必须用确切的数字、单位来响应。</w:t>
      </w:r>
    </w:p>
    <w:p>
      <w:pPr>
        <w:pStyle w:val="25"/>
        <w:ind w:left="0" w:leftChars="0" w:firstLine="0" w:firstLineChars="0"/>
        <w:rPr>
          <w:rFonts w:ascii="宋体" w:hAnsi="宋体"/>
          <w:highlight w:val="none"/>
        </w:rPr>
      </w:pPr>
    </w:p>
    <w:p>
      <w:pPr>
        <w:spacing w:line="360" w:lineRule="auto"/>
        <w:ind w:firstLine="5040" w:firstLineChars="2400"/>
        <w:rPr>
          <w:sz w:val="21"/>
          <w:szCs w:val="21"/>
          <w:highlight w:val="none"/>
        </w:rPr>
      </w:pPr>
      <w:r>
        <w:rPr>
          <w:rFonts w:hint="eastAsia"/>
          <w:sz w:val="21"/>
          <w:szCs w:val="21"/>
          <w:highlight w:val="none"/>
        </w:rPr>
        <w:t>投标人（盖章）：</w:t>
      </w:r>
    </w:p>
    <w:p>
      <w:pPr>
        <w:spacing w:line="360" w:lineRule="auto"/>
        <w:ind w:firstLine="4935" w:firstLineChars="2350"/>
        <w:rPr>
          <w:sz w:val="21"/>
          <w:szCs w:val="21"/>
          <w:highlight w:val="none"/>
        </w:rPr>
      </w:pPr>
      <w:r>
        <w:rPr>
          <w:rFonts w:hint="eastAsia"/>
          <w:sz w:val="21"/>
          <w:szCs w:val="21"/>
          <w:highlight w:val="none"/>
        </w:rPr>
        <w:t xml:space="preserve"> 法定代表人或委托代理人（签字）：</w:t>
      </w:r>
    </w:p>
    <w:p>
      <w:pPr>
        <w:spacing w:line="360" w:lineRule="auto"/>
        <w:rPr>
          <w:sz w:val="21"/>
          <w:szCs w:val="21"/>
          <w:highlight w:val="none"/>
        </w:rPr>
      </w:pPr>
      <w:r>
        <w:rPr>
          <w:rFonts w:hint="eastAsia"/>
          <w:sz w:val="21"/>
          <w:szCs w:val="21"/>
          <w:highlight w:val="none"/>
        </w:rPr>
        <w:t xml:space="preserve">                                                日      期：</w:t>
      </w:r>
    </w:p>
    <w:p>
      <w:pPr>
        <w:pStyle w:val="25"/>
        <w:ind w:left="0" w:leftChars="0" w:firstLine="0" w:firstLineChars="0"/>
        <w:rPr>
          <w:rFonts w:ascii="宋体" w:hAnsi="宋体"/>
          <w:highlight w:val="none"/>
        </w:rPr>
      </w:pPr>
    </w:p>
    <w:p>
      <w:pPr>
        <w:pStyle w:val="4"/>
        <w:spacing w:before="0"/>
        <w:jc w:val="left"/>
        <w:rPr>
          <w:sz w:val="24"/>
          <w:szCs w:val="24"/>
          <w:highlight w:val="none"/>
        </w:rPr>
      </w:pPr>
      <w:r>
        <w:rPr>
          <w:rFonts w:hint="eastAsia"/>
          <w:sz w:val="24"/>
          <w:szCs w:val="24"/>
          <w:highlight w:val="none"/>
        </w:rPr>
        <w:t>拟投入的项目班子格式</w:t>
      </w:r>
    </w:p>
    <w:p>
      <w:pPr>
        <w:pStyle w:val="10"/>
        <w:ind w:firstLine="0"/>
        <w:jc w:val="center"/>
        <w:rPr>
          <w:b/>
          <w:sz w:val="32"/>
          <w:szCs w:val="32"/>
          <w:highlight w:val="none"/>
        </w:rPr>
      </w:pPr>
      <w:r>
        <w:rPr>
          <w:rFonts w:hint="eastAsia"/>
          <w:b/>
          <w:sz w:val="32"/>
          <w:szCs w:val="32"/>
          <w:highlight w:val="none"/>
        </w:rPr>
        <w:t>拟投入的项目班子格式</w:t>
      </w:r>
    </w:p>
    <w:p>
      <w:pPr>
        <w:pStyle w:val="10"/>
        <w:spacing w:line="360" w:lineRule="auto"/>
        <w:ind w:firstLine="0"/>
        <w:jc w:val="center"/>
        <w:rPr>
          <w:sz w:val="24"/>
          <w:szCs w:val="24"/>
          <w:highlight w:val="none"/>
        </w:rPr>
      </w:pPr>
      <w:r>
        <w:rPr>
          <w:rFonts w:hint="eastAsia"/>
          <w:sz w:val="24"/>
          <w:szCs w:val="24"/>
          <w:highlight w:val="none"/>
        </w:rPr>
        <w:t>（格式仅供参考）</w:t>
      </w:r>
    </w:p>
    <w:p>
      <w:pPr>
        <w:pStyle w:val="10"/>
        <w:ind w:firstLine="0"/>
        <w:jc w:val="center"/>
        <w:rPr>
          <w:b/>
          <w:sz w:val="24"/>
          <w:szCs w:val="24"/>
          <w:highlight w:val="none"/>
        </w:rPr>
      </w:pPr>
      <w:r>
        <w:rPr>
          <w:rFonts w:hint="eastAsia"/>
          <w:b/>
          <w:sz w:val="24"/>
          <w:szCs w:val="24"/>
          <w:highlight w:val="none"/>
        </w:rPr>
        <w:t>项目负责人</w:t>
      </w:r>
      <w:r>
        <w:rPr>
          <w:rFonts w:hint="eastAsia"/>
          <w:b/>
          <w:sz w:val="24"/>
          <w:szCs w:val="24"/>
          <w:highlight w:val="none"/>
          <w:lang w:val="en-US"/>
        </w:rPr>
        <w:t>/项目组成员</w:t>
      </w:r>
      <w:r>
        <w:rPr>
          <w:rFonts w:hint="eastAsia"/>
          <w:b/>
          <w:sz w:val="24"/>
          <w:szCs w:val="24"/>
          <w:highlight w:val="none"/>
        </w:rPr>
        <w:t>简历表</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3"/>
        <w:gridCol w:w="709"/>
        <w:gridCol w:w="455"/>
        <w:gridCol w:w="1154"/>
        <w:gridCol w:w="687"/>
        <w:gridCol w:w="467"/>
        <w:gridCol w:w="1233"/>
        <w:gridCol w:w="1510"/>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03" w:type="dxa"/>
            <w:noWrap/>
            <w:vAlign w:val="center"/>
          </w:tcPr>
          <w:p>
            <w:pPr>
              <w:pStyle w:val="10"/>
              <w:ind w:firstLine="0"/>
              <w:jc w:val="center"/>
              <w:rPr>
                <w:sz w:val="24"/>
                <w:szCs w:val="24"/>
                <w:highlight w:val="none"/>
              </w:rPr>
            </w:pPr>
            <w:r>
              <w:rPr>
                <w:rFonts w:hint="eastAsia"/>
                <w:sz w:val="24"/>
                <w:szCs w:val="24"/>
                <w:highlight w:val="none"/>
              </w:rPr>
              <w:t>姓  名</w:t>
            </w:r>
          </w:p>
        </w:tc>
        <w:tc>
          <w:tcPr>
            <w:tcW w:w="1164" w:type="dxa"/>
            <w:gridSpan w:val="2"/>
            <w:noWrap/>
            <w:vAlign w:val="center"/>
          </w:tcPr>
          <w:p>
            <w:pPr>
              <w:pStyle w:val="10"/>
              <w:ind w:firstLine="0"/>
              <w:jc w:val="center"/>
              <w:rPr>
                <w:sz w:val="24"/>
                <w:szCs w:val="24"/>
                <w:highlight w:val="none"/>
              </w:rPr>
            </w:pPr>
          </w:p>
        </w:tc>
        <w:tc>
          <w:tcPr>
            <w:tcW w:w="1154" w:type="dxa"/>
            <w:noWrap/>
            <w:vAlign w:val="center"/>
          </w:tcPr>
          <w:p>
            <w:pPr>
              <w:pStyle w:val="10"/>
              <w:ind w:firstLine="0"/>
              <w:jc w:val="center"/>
              <w:rPr>
                <w:sz w:val="24"/>
                <w:szCs w:val="24"/>
                <w:highlight w:val="none"/>
              </w:rPr>
            </w:pPr>
            <w:r>
              <w:rPr>
                <w:rFonts w:hint="eastAsia"/>
                <w:sz w:val="24"/>
                <w:szCs w:val="24"/>
                <w:highlight w:val="none"/>
              </w:rPr>
              <w:t>年  龄</w:t>
            </w:r>
          </w:p>
        </w:tc>
        <w:tc>
          <w:tcPr>
            <w:tcW w:w="1154" w:type="dxa"/>
            <w:gridSpan w:val="2"/>
            <w:noWrap/>
            <w:vAlign w:val="center"/>
          </w:tcPr>
          <w:p>
            <w:pPr>
              <w:pStyle w:val="10"/>
              <w:ind w:firstLine="0"/>
              <w:jc w:val="center"/>
              <w:rPr>
                <w:sz w:val="24"/>
                <w:szCs w:val="24"/>
                <w:highlight w:val="none"/>
              </w:rPr>
            </w:pPr>
          </w:p>
        </w:tc>
        <w:tc>
          <w:tcPr>
            <w:tcW w:w="2743" w:type="dxa"/>
            <w:gridSpan w:val="2"/>
            <w:noWrap/>
            <w:vAlign w:val="center"/>
          </w:tcPr>
          <w:p>
            <w:pPr>
              <w:pStyle w:val="10"/>
              <w:ind w:firstLine="0"/>
              <w:rPr>
                <w:sz w:val="24"/>
                <w:szCs w:val="24"/>
                <w:highlight w:val="none"/>
              </w:rPr>
            </w:pPr>
            <w:r>
              <w:rPr>
                <w:rFonts w:hint="eastAsia"/>
                <w:sz w:val="24"/>
                <w:szCs w:val="24"/>
                <w:highlight w:val="none"/>
              </w:rPr>
              <w:t>学历</w:t>
            </w:r>
          </w:p>
        </w:tc>
        <w:tc>
          <w:tcPr>
            <w:tcW w:w="1799" w:type="dxa"/>
            <w:noWrap/>
            <w:vAlign w:val="center"/>
          </w:tcPr>
          <w:p>
            <w:pPr>
              <w:pStyle w:val="10"/>
              <w:ind w:firstLine="0"/>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03" w:type="dxa"/>
            <w:noWrap/>
            <w:vAlign w:val="center"/>
          </w:tcPr>
          <w:p>
            <w:pPr>
              <w:pStyle w:val="10"/>
              <w:ind w:firstLine="0"/>
              <w:jc w:val="center"/>
              <w:rPr>
                <w:sz w:val="24"/>
                <w:szCs w:val="24"/>
                <w:highlight w:val="none"/>
              </w:rPr>
            </w:pPr>
            <w:r>
              <w:rPr>
                <w:rFonts w:hint="eastAsia"/>
                <w:sz w:val="24"/>
                <w:szCs w:val="24"/>
                <w:highlight w:val="none"/>
              </w:rPr>
              <w:t>职  称</w:t>
            </w:r>
          </w:p>
        </w:tc>
        <w:tc>
          <w:tcPr>
            <w:tcW w:w="1164" w:type="dxa"/>
            <w:gridSpan w:val="2"/>
            <w:noWrap/>
            <w:vAlign w:val="center"/>
          </w:tcPr>
          <w:p>
            <w:pPr>
              <w:pStyle w:val="10"/>
              <w:ind w:firstLine="0"/>
              <w:jc w:val="center"/>
              <w:rPr>
                <w:sz w:val="24"/>
                <w:szCs w:val="24"/>
                <w:highlight w:val="none"/>
              </w:rPr>
            </w:pPr>
          </w:p>
        </w:tc>
        <w:tc>
          <w:tcPr>
            <w:tcW w:w="1154" w:type="dxa"/>
            <w:noWrap/>
            <w:vAlign w:val="center"/>
          </w:tcPr>
          <w:p>
            <w:pPr>
              <w:pStyle w:val="10"/>
              <w:ind w:firstLine="0"/>
              <w:jc w:val="center"/>
              <w:rPr>
                <w:sz w:val="24"/>
                <w:szCs w:val="24"/>
                <w:highlight w:val="none"/>
              </w:rPr>
            </w:pPr>
            <w:r>
              <w:rPr>
                <w:rFonts w:hint="eastAsia"/>
                <w:sz w:val="24"/>
                <w:szCs w:val="24"/>
                <w:highlight w:val="none"/>
              </w:rPr>
              <w:t>职  务</w:t>
            </w:r>
          </w:p>
        </w:tc>
        <w:tc>
          <w:tcPr>
            <w:tcW w:w="1154" w:type="dxa"/>
            <w:gridSpan w:val="2"/>
            <w:noWrap/>
            <w:vAlign w:val="center"/>
          </w:tcPr>
          <w:p>
            <w:pPr>
              <w:pStyle w:val="10"/>
              <w:ind w:firstLine="0"/>
              <w:jc w:val="center"/>
              <w:rPr>
                <w:sz w:val="24"/>
                <w:szCs w:val="24"/>
                <w:highlight w:val="none"/>
              </w:rPr>
            </w:pPr>
          </w:p>
        </w:tc>
        <w:tc>
          <w:tcPr>
            <w:tcW w:w="2743" w:type="dxa"/>
            <w:gridSpan w:val="2"/>
            <w:noWrap/>
            <w:vAlign w:val="center"/>
          </w:tcPr>
          <w:p>
            <w:pPr>
              <w:pStyle w:val="10"/>
              <w:ind w:firstLine="0"/>
              <w:rPr>
                <w:sz w:val="24"/>
                <w:szCs w:val="24"/>
                <w:highlight w:val="none"/>
              </w:rPr>
            </w:pPr>
            <w:r>
              <w:rPr>
                <w:rFonts w:hint="eastAsia"/>
                <w:sz w:val="24"/>
                <w:szCs w:val="24"/>
                <w:highlight w:val="none"/>
              </w:rPr>
              <w:t>拟在本项目任职</w:t>
            </w:r>
          </w:p>
        </w:tc>
        <w:tc>
          <w:tcPr>
            <w:tcW w:w="1799" w:type="dxa"/>
            <w:noWrap/>
            <w:vAlign w:val="center"/>
          </w:tcPr>
          <w:p>
            <w:pPr>
              <w:pStyle w:val="10"/>
              <w:ind w:firstLine="0"/>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03" w:type="dxa"/>
            <w:noWrap/>
            <w:vAlign w:val="center"/>
          </w:tcPr>
          <w:p>
            <w:pPr>
              <w:pStyle w:val="10"/>
              <w:ind w:firstLine="0"/>
              <w:jc w:val="center"/>
              <w:rPr>
                <w:sz w:val="24"/>
                <w:szCs w:val="24"/>
                <w:highlight w:val="none"/>
              </w:rPr>
            </w:pPr>
            <w:r>
              <w:rPr>
                <w:rFonts w:hint="eastAsia"/>
                <w:sz w:val="24"/>
                <w:szCs w:val="24"/>
                <w:highlight w:val="none"/>
              </w:rPr>
              <w:t>毕业院校</w:t>
            </w:r>
          </w:p>
        </w:tc>
        <w:tc>
          <w:tcPr>
            <w:tcW w:w="8014" w:type="dxa"/>
            <w:gridSpan w:val="8"/>
            <w:noWrap/>
            <w:vAlign w:val="center"/>
          </w:tcPr>
          <w:p>
            <w:pPr>
              <w:pStyle w:val="10"/>
              <w:ind w:firstLine="480" w:firstLineChars="200"/>
              <w:rPr>
                <w:sz w:val="24"/>
                <w:szCs w:val="24"/>
                <w:highlight w:val="none"/>
              </w:rPr>
            </w:pPr>
            <w:r>
              <w:rPr>
                <w:rFonts w:hint="eastAsia"/>
                <w:sz w:val="24"/>
                <w:szCs w:val="24"/>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217" w:type="dxa"/>
            <w:gridSpan w:val="9"/>
            <w:noWrap/>
            <w:vAlign w:val="center"/>
          </w:tcPr>
          <w:p>
            <w:pPr>
              <w:pStyle w:val="10"/>
              <w:ind w:firstLine="0"/>
              <w:jc w:val="center"/>
              <w:rPr>
                <w:sz w:val="24"/>
                <w:szCs w:val="24"/>
                <w:highlight w:val="none"/>
              </w:rPr>
            </w:pPr>
            <w:r>
              <w:rPr>
                <w:rFonts w:hint="eastAsia"/>
                <w:sz w:val="24"/>
                <w:szCs w:val="24"/>
                <w:highlight w:val="none"/>
              </w:rPr>
              <w:t>主要工作履历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912" w:type="dxa"/>
            <w:gridSpan w:val="2"/>
            <w:noWrap/>
            <w:vAlign w:val="center"/>
          </w:tcPr>
          <w:p>
            <w:pPr>
              <w:pStyle w:val="10"/>
              <w:ind w:firstLine="0"/>
              <w:jc w:val="center"/>
              <w:rPr>
                <w:sz w:val="24"/>
                <w:szCs w:val="24"/>
                <w:highlight w:val="none"/>
              </w:rPr>
            </w:pPr>
            <w:r>
              <w:rPr>
                <w:rFonts w:hint="eastAsia"/>
                <w:sz w:val="24"/>
                <w:szCs w:val="24"/>
                <w:highlight w:val="none"/>
              </w:rPr>
              <w:t>时间</w:t>
            </w:r>
          </w:p>
        </w:tc>
        <w:tc>
          <w:tcPr>
            <w:tcW w:w="2296" w:type="dxa"/>
            <w:gridSpan w:val="3"/>
            <w:noWrap/>
            <w:vAlign w:val="center"/>
          </w:tcPr>
          <w:p>
            <w:pPr>
              <w:pStyle w:val="10"/>
              <w:ind w:firstLine="0"/>
              <w:jc w:val="center"/>
              <w:rPr>
                <w:sz w:val="24"/>
                <w:szCs w:val="24"/>
                <w:highlight w:val="none"/>
              </w:rPr>
            </w:pPr>
            <w:r>
              <w:rPr>
                <w:rFonts w:hint="eastAsia"/>
                <w:sz w:val="24"/>
                <w:szCs w:val="24"/>
                <w:highlight w:val="none"/>
              </w:rPr>
              <w:t>参加过类似项目</w:t>
            </w:r>
          </w:p>
        </w:tc>
        <w:tc>
          <w:tcPr>
            <w:tcW w:w="1700" w:type="dxa"/>
            <w:gridSpan w:val="2"/>
            <w:noWrap/>
            <w:vAlign w:val="center"/>
          </w:tcPr>
          <w:p>
            <w:pPr>
              <w:pStyle w:val="10"/>
              <w:ind w:firstLine="0"/>
              <w:jc w:val="center"/>
              <w:rPr>
                <w:sz w:val="24"/>
                <w:szCs w:val="24"/>
                <w:highlight w:val="none"/>
              </w:rPr>
            </w:pPr>
            <w:r>
              <w:rPr>
                <w:rFonts w:hint="eastAsia"/>
                <w:sz w:val="24"/>
                <w:szCs w:val="24"/>
                <w:highlight w:val="none"/>
              </w:rPr>
              <w:t>担任职务</w:t>
            </w:r>
          </w:p>
        </w:tc>
        <w:tc>
          <w:tcPr>
            <w:tcW w:w="3309" w:type="dxa"/>
            <w:gridSpan w:val="2"/>
            <w:noWrap/>
            <w:vAlign w:val="center"/>
          </w:tcPr>
          <w:p>
            <w:pPr>
              <w:pStyle w:val="10"/>
              <w:ind w:firstLine="0"/>
              <w:jc w:val="center"/>
              <w:rPr>
                <w:sz w:val="24"/>
                <w:szCs w:val="24"/>
                <w:highlight w:val="none"/>
              </w:rPr>
            </w:pPr>
            <w:r>
              <w:rPr>
                <w:rFonts w:hint="eastAsia"/>
                <w:sz w:val="24"/>
                <w:szCs w:val="24"/>
                <w:highlight w:val="none"/>
              </w:rPr>
              <w:t>业主及联系电话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912" w:type="dxa"/>
            <w:gridSpan w:val="2"/>
            <w:noWrap/>
            <w:vAlign w:val="center"/>
          </w:tcPr>
          <w:p>
            <w:pPr>
              <w:pStyle w:val="10"/>
              <w:ind w:firstLine="0"/>
              <w:jc w:val="center"/>
              <w:rPr>
                <w:sz w:val="24"/>
                <w:szCs w:val="24"/>
                <w:highlight w:val="none"/>
              </w:rPr>
            </w:pPr>
          </w:p>
        </w:tc>
        <w:tc>
          <w:tcPr>
            <w:tcW w:w="2296" w:type="dxa"/>
            <w:gridSpan w:val="3"/>
            <w:noWrap/>
            <w:vAlign w:val="center"/>
          </w:tcPr>
          <w:p>
            <w:pPr>
              <w:pStyle w:val="10"/>
              <w:ind w:firstLine="0"/>
              <w:jc w:val="center"/>
              <w:rPr>
                <w:sz w:val="24"/>
                <w:szCs w:val="24"/>
                <w:highlight w:val="none"/>
              </w:rPr>
            </w:pPr>
          </w:p>
        </w:tc>
        <w:tc>
          <w:tcPr>
            <w:tcW w:w="1700" w:type="dxa"/>
            <w:gridSpan w:val="2"/>
            <w:noWrap/>
            <w:vAlign w:val="center"/>
          </w:tcPr>
          <w:p>
            <w:pPr>
              <w:pStyle w:val="10"/>
              <w:ind w:firstLine="0"/>
              <w:jc w:val="center"/>
              <w:rPr>
                <w:sz w:val="24"/>
                <w:szCs w:val="24"/>
                <w:highlight w:val="none"/>
              </w:rPr>
            </w:pPr>
          </w:p>
        </w:tc>
        <w:tc>
          <w:tcPr>
            <w:tcW w:w="3309" w:type="dxa"/>
            <w:gridSpan w:val="2"/>
            <w:noWrap/>
            <w:vAlign w:val="center"/>
          </w:tcPr>
          <w:p>
            <w:pPr>
              <w:pStyle w:val="10"/>
              <w:ind w:firstLine="0"/>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912" w:type="dxa"/>
            <w:gridSpan w:val="2"/>
            <w:noWrap/>
            <w:vAlign w:val="center"/>
          </w:tcPr>
          <w:p>
            <w:pPr>
              <w:pStyle w:val="10"/>
              <w:ind w:firstLine="0"/>
              <w:jc w:val="center"/>
              <w:rPr>
                <w:sz w:val="24"/>
                <w:szCs w:val="24"/>
                <w:highlight w:val="none"/>
              </w:rPr>
            </w:pPr>
          </w:p>
        </w:tc>
        <w:tc>
          <w:tcPr>
            <w:tcW w:w="2296" w:type="dxa"/>
            <w:gridSpan w:val="3"/>
            <w:noWrap/>
            <w:vAlign w:val="center"/>
          </w:tcPr>
          <w:p>
            <w:pPr>
              <w:pStyle w:val="10"/>
              <w:ind w:firstLine="0"/>
              <w:jc w:val="center"/>
              <w:rPr>
                <w:sz w:val="24"/>
                <w:szCs w:val="24"/>
                <w:highlight w:val="none"/>
              </w:rPr>
            </w:pPr>
          </w:p>
        </w:tc>
        <w:tc>
          <w:tcPr>
            <w:tcW w:w="1700" w:type="dxa"/>
            <w:gridSpan w:val="2"/>
            <w:noWrap/>
            <w:vAlign w:val="center"/>
          </w:tcPr>
          <w:p>
            <w:pPr>
              <w:pStyle w:val="10"/>
              <w:ind w:firstLine="0"/>
              <w:jc w:val="center"/>
              <w:rPr>
                <w:sz w:val="24"/>
                <w:szCs w:val="24"/>
                <w:highlight w:val="none"/>
              </w:rPr>
            </w:pPr>
          </w:p>
        </w:tc>
        <w:tc>
          <w:tcPr>
            <w:tcW w:w="3309" w:type="dxa"/>
            <w:gridSpan w:val="2"/>
            <w:noWrap/>
            <w:vAlign w:val="center"/>
          </w:tcPr>
          <w:p>
            <w:pPr>
              <w:pStyle w:val="10"/>
              <w:ind w:firstLine="0"/>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912" w:type="dxa"/>
            <w:gridSpan w:val="2"/>
            <w:noWrap/>
            <w:vAlign w:val="center"/>
          </w:tcPr>
          <w:p>
            <w:pPr>
              <w:pStyle w:val="10"/>
              <w:ind w:firstLine="0"/>
              <w:jc w:val="center"/>
              <w:rPr>
                <w:sz w:val="24"/>
                <w:szCs w:val="24"/>
                <w:highlight w:val="none"/>
              </w:rPr>
            </w:pPr>
          </w:p>
        </w:tc>
        <w:tc>
          <w:tcPr>
            <w:tcW w:w="2296" w:type="dxa"/>
            <w:gridSpan w:val="3"/>
            <w:noWrap/>
            <w:vAlign w:val="center"/>
          </w:tcPr>
          <w:p>
            <w:pPr>
              <w:pStyle w:val="10"/>
              <w:ind w:firstLine="0"/>
              <w:jc w:val="center"/>
              <w:rPr>
                <w:sz w:val="24"/>
                <w:szCs w:val="24"/>
                <w:highlight w:val="none"/>
              </w:rPr>
            </w:pPr>
          </w:p>
        </w:tc>
        <w:tc>
          <w:tcPr>
            <w:tcW w:w="1700" w:type="dxa"/>
            <w:gridSpan w:val="2"/>
            <w:noWrap/>
            <w:vAlign w:val="center"/>
          </w:tcPr>
          <w:p>
            <w:pPr>
              <w:pStyle w:val="10"/>
              <w:ind w:firstLine="0"/>
              <w:jc w:val="center"/>
              <w:rPr>
                <w:sz w:val="24"/>
                <w:szCs w:val="24"/>
                <w:highlight w:val="none"/>
              </w:rPr>
            </w:pPr>
          </w:p>
        </w:tc>
        <w:tc>
          <w:tcPr>
            <w:tcW w:w="3309" w:type="dxa"/>
            <w:gridSpan w:val="2"/>
            <w:noWrap/>
            <w:vAlign w:val="center"/>
          </w:tcPr>
          <w:p>
            <w:pPr>
              <w:pStyle w:val="10"/>
              <w:ind w:firstLine="0"/>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912" w:type="dxa"/>
            <w:gridSpan w:val="2"/>
            <w:noWrap/>
            <w:vAlign w:val="center"/>
          </w:tcPr>
          <w:p>
            <w:pPr>
              <w:pStyle w:val="10"/>
              <w:ind w:firstLine="0"/>
              <w:jc w:val="center"/>
              <w:rPr>
                <w:sz w:val="24"/>
                <w:szCs w:val="24"/>
                <w:highlight w:val="none"/>
              </w:rPr>
            </w:pPr>
          </w:p>
        </w:tc>
        <w:tc>
          <w:tcPr>
            <w:tcW w:w="2296" w:type="dxa"/>
            <w:gridSpan w:val="3"/>
            <w:noWrap/>
            <w:vAlign w:val="center"/>
          </w:tcPr>
          <w:p>
            <w:pPr>
              <w:pStyle w:val="10"/>
              <w:ind w:firstLine="0"/>
              <w:jc w:val="center"/>
              <w:rPr>
                <w:sz w:val="24"/>
                <w:szCs w:val="24"/>
                <w:highlight w:val="none"/>
              </w:rPr>
            </w:pPr>
          </w:p>
        </w:tc>
        <w:tc>
          <w:tcPr>
            <w:tcW w:w="1700" w:type="dxa"/>
            <w:gridSpan w:val="2"/>
            <w:noWrap/>
            <w:vAlign w:val="center"/>
          </w:tcPr>
          <w:p>
            <w:pPr>
              <w:pStyle w:val="10"/>
              <w:ind w:firstLine="0"/>
              <w:jc w:val="center"/>
              <w:rPr>
                <w:sz w:val="24"/>
                <w:szCs w:val="24"/>
                <w:highlight w:val="none"/>
              </w:rPr>
            </w:pPr>
          </w:p>
        </w:tc>
        <w:tc>
          <w:tcPr>
            <w:tcW w:w="3309" w:type="dxa"/>
            <w:gridSpan w:val="2"/>
            <w:noWrap/>
            <w:vAlign w:val="center"/>
          </w:tcPr>
          <w:p>
            <w:pPr>
              <w:pStyle w:val="10"/>
              <w:ind w:firstLine="0"/>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912" w:type="dxa"/>
            <w:gridSpan w:val="2"/>
            <w:noWrap/>
            <w:vAlign w:val="center"/>
          </w:tcPr>
          <w:p>
            <w:pPr>
              <w:pStyle w:val="10"/>
              <w:ind w:firstLine="0"/>
              <w:jc w:val="center"/>
              <w:rPr>
                <w:sz w:val="24"/>
                <w:szCs w:val="24"/>
                <w:highlight w:val="none"/>
              </w:rPr>
            </w:pPr>
          </w:p>
        </w:tc>
        <w:tc>
          <w:tcPr>
            <w:tcW w:w="2296" w:type="dxa"/>
            <w:gridSpan w:val="3"/>
            <w:noWrap/>
            <w:vAlign w:val="center"/>
          </w:tcPr>
          <w:p>
            <w:pPr>
              <w:pStyle w:val="10"/>
              <w:ind w:firstLine="0"/>
              <w:jc w:val="center"/>
              <w:rPr>
                <w:sz w:val="24"/>
                <w:szCs w:val="24"/>
                <w:highlight w:val="none"/>
              </w:rPr>
            </w:pPr>
          </w:p>
        </w:tc>
        <w:tc>
          <w:tcPr>
            <w:tcW w:w="1700" w:type="dxa"/>
            <w:gridSpan w:val="2"/>
            <w:noWrap/>
            <w:vAlign w:val="center"/>
          </w:tcPr>
          <w:p>
            <w:pPr>
              <w:pStyle w:val="10"/>
              <w:ind w:firstLine="0"/>
              <w:jc w:val="center"/>
              <w:rPr>
                <w:sz w:val="24"/>
                <w:szCs w:val="24"/>
                <w:highlight w:val="none"/>
              </w:rPr>
            </w:pPr>
          </w:p>
        </w:tc>
        <w:tc>
          <w:tcPr>
            <w:tcW w:w="3309" w:type="dxa"/>
            <w:gridSpan w:val="2"/>
            <w:noWrap/>
            <w:vAlign w:val="center"/>
          </w:tcPr>
          <w:p>
            <w:pPr>
              <w:pStyle w:val="10"/>
              <w:ind w:firstLine="0"/>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912" w:type="dxa"/>
            <w:gridSpan w:val="2"/>
            <w:noWrap/>
            <w:vAlign w:val="center"/>
          </w:tcPr>
          <w:p>
            <w:pPr>
              <w:pStyle w:val="10"/>
              <w:ind w:firstLine="0"/>
              <w:jc w:val="center"/>
              <w:rPr>
                <w:sz w:val="24"/>
                <w:szCs w:val="24"/>
                <w:highlight w:val="none"/>
              </w:rPr>
            </w:pPr>
          </w:p>
        </w:tc>
        <w:tc>
          <w:tcPr>
            <w:tcW w:w="2296" w:type="dxa"/>
            <w:gridSpan w:val="3"/>
            <w:noWrap/>
            <w:vAlign w:val="center"/>
          </w:tcPr>
          <w:p>
            <w:pPr>
              <w:pStyle w:val="10"/>
              <w:ind w:firstLine="0"/>
              <w:jc w:val="center"/>
              <w:rPr>
                <w:sz w:val="24"/>
                <w:szCs w:val="24"/>
                <w:highlight w:val="none"/>
              </w:rPr>
            </w:pPr>
          </w:p>
        </w:tc>
        <w:tc>
          <w:tcPr>
            <w:tcW w:w="1700" w:type="dxa"/>
            <w:gridSpan w:val="2"/>
            <w:noWrap/>
            <w:vAlign w:val="center"/>
          </w:tcPr>
          <w:p>
            <w:pPr>
              <w:pStyle w:val="10"/>
              <w:ind w:firstLine="0"/>
              <w:jc w:val="center"/>
              <w:rPr>
                <w:sz w:val="24"/>
                <w:szCs w:val="24"/>
                <w:highlight w:val="none"/>
              </w:rPr>
            </w:pPr>
          </w:p>
        </w:tc>
        <w:tc>
          <w:tcPr>
            <w:tcW w:w="3309" w:type="dxa"/>
            <w:gridSpan w:val="2"/>
            <w:noWrap/>
            <w:vAlign w:val="center"/>
          </w:tcPr>
          <w:p>
            <w:pPr>
              <w:pStyle w:val="10"/>
              <w:ind w:firstLine="0"/>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912" w:type="dxa"/>
            <w:gridSpan w:val="2"/>
            <w:noWrap/>
            <w:vAlign w:val="center"/>
          </w:tcPr>
          <w:p>
            <w:pPr>
              <w:pStyle w:val="10"/>
              <w:ind w:firstLine="0"/>
              <w:jc w:val="center"/>
              <w:rPr>
                <w:sz w:val="24"/>
                <w:szCs w:val="24"/>
                <w:highlight w:val="none"/>
              </w:rPr>
            </w:pPr>
          </w:p>
        </w:tc>
        <w:tc>
          <w:tcPr>
            <w:tcW w:w="2296" w:type="dxa"/>
            <w:gridSpan w:val="3"/>
            <w:noWrap/>
            <w:vAlign w:val="center"/>
          </w:tcPr>
          <w:p>
            <w:pPr>
              <w:pStyle w:val="10"/>
              <w:ind w:firstLine="0"/>
              <w:jc w:val="center"/>
              <w:rPr>
                <w:sz w:val="24"/>
                <w:szCs w:val="24"/>
                <w:highlight w:val="none"/>
              </w:rPr>
            </w:pPr>
          </w:p>
        </w:tc>
        <w:tc>
          <w:tcPr>
            <w:tcW w:w="1700" w:type="dxa"/>
            <w:gridSpan w:val="2"/>
            <w:noWrap/>
            <w:vAlign w:val="center"/>
          </w:tcPr>
          <w:p>
            <w:pPr>
              <w:pStyle w:val="10"/>
              <w:ind w:firstLine="0"/>
              <w:jc w:val="center"/>
              <w:rPr>
                <w:sz w:val="24"/>
                <w:szCs w:val="24"/>
                <w:highlight w:val="none"/>
              </w:rPr>
            </w:pPr>
          </w:p>
        </w:tc>
        <w:tc>
          <w:tcPr>
            <w:tcW w:w="3309" w:type="dxa"/>
            <w:gridSpan w:val="2"/>
            <w:noWrap/>
            <w:vAlign w:val="center"/>
          </w:tcPr>
          <w:p>
            <w:pPr>
              <w:pStyle w:val="10"/>
              <w:ind w:firstLine="0"/>
              <w:jc w:val="center"/>
              <w:rPr>
                <w:sz w:val="24"/>
                <w:szCs w:val="24"/>
                <w:highlight w:val="none"/>
              </w:rPr>
            </w:pPr>
          </w:p>
        </w:tc>
      </w:tr>
    </w:tbl>
    <w:p>
      <w:pPr>
        <w:pStyle w:val="10"/>
        <w:ind w:firstLine="0"/>
        <w:rPr>
          <w:sz w:val="24"/>
          <w:szCs w:val="24"/>
          <w:highlight w:val="none"/>
        </w:rPr>
      </w:pPr>
      <w:r>
        <w:rPr>
          <w:rFonts w:hint="eastAsia"/>
          <w:sz w:val="24"/>
          <w:szCs w:val="24"/>
          <w:highlight w:val="none"/>
        </w:rPr>
        <w:t>附：执业资格证书、职称证书、学历证书等电子文档证明材料</w:t>
      </w:r>
    </w:p>
    <w:p>
      <w:pPr>
        <w:pStyle w:val="10"/>
        <w:ind w:firstLine="0"/>
        <w:rPr>
          <w:sz w:val="24"/>
          <w:szCs w:val="24"/>
          <w:highlight w:val="none"/>
        </w:rPr>
      </w:pPr>
    </w:p>
    <w:p>
      <w:pPr>
        <w:pStyle w:val="10"/>
        <w:ind w:firstLine="0"/>
        <w:jc w:val="center"/>
        <w:rPr>
          <w:b/>
          <w:sz w:val="24"/>
          <w:szCs w:val="24"/>
          <w:highlight w:val="none"/>
        </w:rPr>
      </w:pPr>
      <w:r>
        <w:rPr>
          <w:rFonts w:hint="eastAsia"/>
          <w:b/>
          <w:sz w:val="24"/>
          <w:szCs w:val="24"/>
          <w:highlight w:val="none"/>
        </w:rPr>
        <w:t>项目</w:t>
      </w:r>
      <w:r>
        <w:rPr>
          <w:rFonts w:hint="eastAsia"/>
          <w:b/>
          <w:sz w:val="24"/>
          <w:szCs w:val="24"/>
          <w:highlight w:val="none"/>
          <w:lang w:val="en-US" w:eastAsia="zh-CN"/>
        </w:rPr>
        <w:t>组成员</w:t>
      </w:r>
      <w:r>
        <w:rPr>
          <w:rFonts w:hint="eastAsia"/>
          <w:b/>
          <w:sz w:val="24"/>
          <w:szCs w:val="24"/>
          <w:highlight w:val="none"/>
        </w:rPr>
        <w:t>一览表</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6"/>
        <w:gridCol w:w="1491"/>
        <w:gridCol w:w="2086"/>
        <w:gridCol w:w="1938"/>
        <w:gridCol w:w="2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306" w:type="dxa"/>
            <w:noWrap/>
            <w:vAlign w:val="center"/>
          </w:tcPr>
          <w:p>
            <w:pPr>
              <w:pStyle w:val="10"/>
              <w:ind w:firstLine="0"/>
              <w:jc w:val="center"/>
              <w:rPr>
                <w:sz w:val="24"/>
                <w:szCs w:val="24"/>
                <w:highlight w:val="none"/>
              </w:rPr>
            </w:pPr>
            <w:r>
              <w:rPr>
                <w:rFonts w:hint="eastAsia"/>
                <w:sz w:val="24"/>
                <w:szCs w:val="24"/>
                <w:highlight w:val="none"/>
              </w:rPr>
              <w:t>姓名</w:t>
            </w:r>
          </w:p>
        </w:tc>
        <w:tc>
          <w:tcPr>
            <w:tcW w:w="1491" w:type="dxa"/>
            <w:noWrap/>
            <w:vAlign w:val="center"/>
          </w:tcPr>
          <w:p>
            <w:pPr>
              <w:pStyle w:val="10"/>
              <w:ind w:firstLine="0"/>
              <w:jc w:val="center"/>
              <w:rPr>
                <w:sz w:val="24"/>
                <w:szCs w:val="24"/>
                <w:highlight w:val="none"/>
              </w:rPr>
            </w:pPr>
            <w:r>
              <w:rPr>
                <w:rFonts w:hint="eastAsia"/>
                <w:sz w:val="24"/>
                <w:szCs w:val="24"/>
                <w:highlight w:val="none"/>
              </w:rPr>
              <w:t>职务</w:t>
            </w:r>
          </w:p>
        </w:tc>
        <w:tc>
          <w:tcPr>
            <w:tcW w:w="2086" w:type="dxa"/>
            <w:noWrap/>
            <w:vAlign w:val="center"/>
          </w:tcPr>
          <w:p>
            <w:pPr>
              <w:pStyle w:val="10"/>
              <w:ind w:firstLine="0"/>
              <w:jc w:val="center"/>
              <w:rPr>
                <w:sz w:val="24"/>
                <w:szCs w:val="24"/>
                <w:highlight w:val="none"/>
              </w:rPr>
            </w:pPr>
            <w:r>
              <w:rPr>
                <w:rFonts w:hint="eastAsia"/>
                <w:sz w:val="24"/>
                <w:szCs w:val="24"/>
                <w:highlight w:val="none"/>
              </w:rPr>
              <w:t>专业技术资格</w:t>
            </w:r>
          </w:p>
        </w:tc>
        <w:tc>
          <w:tcPr>
            <w:tcW w:w="1938" w:type="dxa"/>
            <w:noWrap/>
            <w:vAlign w:val="center"/>
          </w:tcPr>
          <w:p>
            <w:pPr>
              <w:pStyle w:val="10"/>
              <w:ind w:firstLine="0"/>
              <w:jc w:val="center"/>
              <w:rPr>
                <w:sz w:val="24"/>
                <w:szCs w:val="24"/>
                <w:highlight w:val="none"/>
              </w:rPr>
            </w:pPr>
            <w:r>
              <w:rPr>
                <w:rFonts w:hint="eastAsia"/>
                <w:sz w:val="24"/>
                <w:szCs w:val="24"/>
                <w:highlight w:val="none"/>
              </w:rPr>
              <w:t>证书编号</w:t>
            </w:r>
          </w:p>
        </w:tc>
        <w:tc>
          <w:tcPr>
            <w:tcW w:w="2897" w:type="dxa"/>
            <w:noWrap/>
            <w:vAlign w:val="center"/>
          </w:tcPr>
          <w:p>
            <w:pPr>
              <w:pStyle w:val="10"/>
              <w:ind w:firstLine="0"/>
              <w:jc w:val="center"/>
              <w:rPr>
                <w:sz w:val="24"/>
                <w:szCs w:val="24"/>
                <w:highlight w:val="none"/>
              </w:rPr>
            </w:pPr>
            <w:r>
              <w:rPr>
                <w:rFonts w:hint="eastAsia"/>
                <w:sz w:val="24"/>
                <w:szCs w:val="24"/>
                <w:highlight w:val="none"/>
              </w:rPr>
              <w:t>实施经验说明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306" w:type="dxa"/>
            <w:noWrap/>
            <w:vAlign w:val="center"/>
          </w:tcPr>
          <w:p>
            <w:pPr>
              <w:pStyle w:val="10"/>
              <w:ind w:firstLine="0"/>
              <w:jc w:val="center"/>
              <w:rPr>
                <w:sz w:val="24"/>
                <w:szCs w:val="24"/>
                <w:highlight w:val="none"/>
              </w:rPr>
            </w:pPr>
          </w:p>
        </w:tc>
        <w:tc>
          <w:tcPr>
            <w:tcW w:w="1491" w:type="dxa"/>
            <w:noWrap/>
            <w:vAlign w:val="center"/>
          </w:tcPr>
          <w:p>
            <w:pPr>
              <w:pStyle w:val="10"/>
              <w:ind w:firstLine="0"/>
              <w:jc w:val="center"/>
              <w:rPr>
                <w:sz w:val="24"/>
                <w:szCs w:val="24"/>
                <w:highlight w:val="none"/>
              </w:rPr>
            </w:pPr>
          </w:p>
        </w:tc>
        <w:tc>
          <w:tcPr>
            <w:tcW w:w="2086" w:type="dxa"/>
            <w:noWrap/>
            <w:vAlign w:val="center"/>
          </w:tcPr>
          <w:p>
            <w:pPr>
              <w:pStyle w:val="10"/>
              <w:ind w:firstLine="0"/>
              <w:jc w:val="center"/>
              <w:rPr>
                <w:sz w:val="24"/>
                <w:szCs w:val="24"/>
                <w:highlight w:val="none"/>
              </w:rPr>
            </w:pPr>
          </w:p>
        </w:tc>
        <w:tc>
          <w:tcPr>
            <w:tcW w:w="1938" w:type="dxa"/>
            <w:noWrap/>
            <w:vAlign w:val="center"/>
          </w:tcPr>
          <w:p>
            <w:pPr>
              <w:pStyle w:val="10"/>
              <w:ind w:firstLine="0"/>
              <w:jc w:val="center"/>
              <w:rPr>
                <w:sz w:val="24"/>
                <w:szCs w:val="24"/>
                <w:highlight w:val="none"/>
              </w:rPr>
            </w:pPr>
          </w:p>
        </w:tc>
        <w:tc>
          <w:tcPr>
            <w:tcW w:w="2897" w:type="dxa"/>
            <w:noWrap/>
            <w:vAlign w:val="center"/>
          </w:tcPr>
          <w:p>
            <w:pPr>
              <w:pStyle w:val="10"/>
              <w:ind w:firstLine="0"/>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306" w:type="dxa"/>
            <w:noWrap/>
            <w:vAlign w:val="center"/>
          </w:tcPr>
          <w:p>
            <w:pPr>
              <w:pStyle w:val="10"/>
              <w:ind w:firstLine="0"/>
              <w:jc w:val="center"/>
              <w:rPr>
                <w:sz w:val="24"/>
                <w:szCs w:val="24"/>
                <w:highlight w:val="none"/>
              </w:rPr>
            </w:pPr>
          </w:p>
        </w:tc>
        <w:tc>
          <w:tcPr>
            <w:tcW w:w="1491" w:type="dxa"/>
            <w:noWrap/>
            <w:vAlign w:val="center"/>
          </w:tcPr>
          <w:p>
            <w:pPr>
              <w:pStyle w:val="10"/>
              <w:ind w:firstLine="0"/>
              <w:jc w:val="center"/>
              <w:rPr>
                <w:sz w:val="24"/>
                <w:szCs w:val="24"/>
                <w:highlight w:val="none"/>
              </w:rPr>
            </w:pPr>
          </w:p>
        </w:tc>
        <w:tc>
          <w:tcPr>
            <w:tcW w:w="2086" w:type="dxa"/>
            <w:noWrap/>
            <w:vAlign w:val="center"/>
          </w:tcPr>
          <w:p>
            <w:pPr>
              <w:pStyle w:val="10"/>
              <w:ind w:firstLine="0"/>
              <w:jc w:val="center"/>
              <w:rPr>
                <w:sz w:val="24"/>
                <w:szCs w:val="24"/>
                <w:highlight w:val="none"/>
              </w:rPr>
            </w:pPr>
          </w:p>
        </w:tc>
        <w:tc>
          <w:tcPr>
            <w:tcW w:w="1938" w:type="dxa"/>
            <w:noWrap/>
            <w:vAlign w:val="center"/>
          </w:tcPr>
          <w:p>
            <w:pPr>
              <w:pStyle w:val="10"/>
              <w:ind w:firstLine="0"/>
              <w:jc w:val="center"/>
              <w:rPr>
                <w:sz w:val="24"/>
                <w:szCs w:val="24"/>
                <w:highlight w:val="none"/>
              </w:rPr>
            </w:pPr>
          </w:p>
        </w:tc>
        <w:tc>
          <w:tcPr>
            <w:tcW w:w="2897" w:type="dxa"/>
            <w:noWrap/>
            <w:vAlign w:val="center"/>
          </w:tcPr>
          <w:p>
            <w:pPr>
              <w:pStyle w:val="10"/>
              <w:ind w:firstLine="0"/>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306" w:type="dxa"/>
            <w:noWrap/>
            <w:vAlign w:val="center"/>
          </w:tcPr>
          <w:p>
            <w:pPr>
              <w:pStyle w:val="10"/>
              <w:ind w:firstLine="0"/>
              <w:jc w:val="center"/>
              <w:rPr>
                <w:sz w:val="24"/>
                <w:szCs w:val="24"/>
                <w:highlight w:val="none"/>
              </w:rPr>
            </w:pPr>
          </w:p>
        </w:tc>
        <w:tc>
          <w:tcPr>
            <w:tcW w:w="1491" w:type="dxa"/>
            <w:noWrap/>
            <w:vAlign w:val="center"/>
          </w:tcPr>
          <w:p>
            <w:pPr>
              <w:pStyle w:val="10"/>
              <w:ind w:firstLine="0"/>
              <w:jc w:val="center"/>
              <w:rPr>
                <w:sz w:val="24"/>
                <w:szCs w:val="24"/>
                <w:highlight w:val="none"/>
              </w:rPr>
            </w:pPr>
          </w:p>
        </w:tc>
        <w:tc>
          <w:tcPr>
            <w:tcW w:w="2086" w:type="dxa"/>
            <w:noWrap/>
            <w:vAlign w:val="center"/>
          </w:tcPr>
          <w:p>
            <w:pPr>
              <w:pStyle w:val="10"/>
              <w:ind w:firstLine="0"/>
              <w:jc w:val="center"/>
              <w:rPr>
                <w:sz w:val="24"/>
                <w:szCs w:val="24"/>
                <w:highlight w:val="none"/>
              </w:rPr>
            </w:pPr>
          </w:p>
        </w:tc>
        <w:tc>
          <w:tcPr>
            <w:tcW w:w="1938" w:type="dxa"/>
            <w:noWrap/>
            <w:vAlign w:val="center"/>
          </w:tcPr>
          <w:p>
            <w:pPr>
              <w:pStyle w:val="10"/>
              <w:ind w:firstLine="0"/>
              <w:jc w:val="center"/>
              <w:rPr>
                <w:sz w:val="24"/>
                <w:szCs w:val="24"/>
                <w:highlight w:val="none"/>
              </w:rPr>
            </w:pPr>
          </w:p>
        </w:tc>
        <w:tc>
          <w:tcPr>
            <w:tcW w:w="2897" w:type="dxa"/>
            <w:noWrap/>
            <w:vAlign w:val="center"/>
          </w:tcPr>
          <w:p>
            <w:pPr>
              <w:pStyle w:val="10"/>
              <w:ind w:firstLine="0"/>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306" w:type="dxa"/>
            <w:noWrap/>
            <w:vAlign w:val="center"/>
          </w:tcPr>
          <w:p>
            <w:pPr>
              <w:pStyle w:val="10"/>
              <w:ind w:firstLine="0"/>
              <w:jc w:val="center"/>
              <w:rPr>
                <w:sz w:val="24"/>
                <w:szCs w:val="24"/>
                <w:highlight w:val="none"/>
              </w:rPr>
            </w:pPr>
          </w:p>
        </w:tc>
        <w:tc>
          <w:tcPr>
            <w:tcW w:w="1491" w:type="dxa"/>
            <w:noWrap/>
            <w:vAlign w:val="center"/>
          </w:tcPr>
          <w:p>
            <w:pPr>
              <w:pStyle w:val="10"/>
              <w:ind w:firstLine="0"/>
              <w:jc w:val="center"/>
              <w:rPr>
                <w:sz w:val="24"/>
                <w:szCs w:val="24"/>
                <w:highlight w:val="none"/>
              </w:rPr>
            </w:pPr>
          </w:p>
        </w:tc>
        <w:tc>
          <w:tcPr>
            <w:tcW w:w="2086" w:type="dxa"/>
            <w:noWrap/>
            <w:vAlign w:val="center"/>
          </w:tcPr>
          <w:p>
            <w:pPr>
              <w:pStyle w:val="10"/>
              <w:ind w:firstLine="0"/>
              <w:jc w:val="center"/>
              <w:rPr>
                <w:sz w:val="24"/>
                <w:szCs w:val="24"/>
                <w:highlight w:val="none"/>
              </w:rPr>
            </w:pPr>
          </w:p>
        </w:tc>
        <w:tc>
          <w:tcPr>
            <w:tcW w:w="1938" w:type="dxa"/>
            <w:noWrap/>
            <w:vAlign w:val="center"/>
          </w:tcPr>
          <w:p>
            <w:pPr>
              <w:pStyle w:val="10"/>
              <w:ind w:firstLine="0"/>
              <w:jc w:val="center"/>
              <w:rPr>
                <w:sz w:val="24"/>
                <w:szCs w:val="24"/>
                <w:highlight w:val="none"/>
              </w:rPr>
            </w:pPr>
          </w:p>
        </w:tc>
        <w:tc>
          <w:tcPr>
            <w:tcW w:w="2897" w:type="dxa"/>
            <w:noWrap/>
            <w:vAlign w:val="center"/>
          </w:tcPr>
          <w:p>
            <w:pPr>
              <w:pStyle w:val="10"/>
              <w:ind w:firstLine="0"/>
              <w:jc w:val="center"/>
              <w:rPr>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306" w:type="dxa"/>
            <w:noWrap/>
            <w:vAlign w:val="center"/>
          </w:tcPr>
          <w:p>
            <w:pPr>
              <w:pStyle w:val="10"/>
              <w:ind w:firstLine="0"/>
              <w:jc w:val="center"/>
              <w:rPr>
                <w:sz w:val="24"/>
                <w:szCs w:val="24"/>
                <w:highlight w:val="none"/>
              </w:rPr>
            </w:pPr>
          </w:p>
        </w:tc>
        <w:tc>
          <w:tcPr>
            <w:tcW w:w="1491" w:type="dxa"/>
            <w:noWrap/>
            <w:vAlign w:val="center"/>
          </w:tcPr>
          <w:p>
            <w:pPr>
              <w:pStyle w:val="10"/>
              <w:ind w:firstLine="0"/>
              <w:jc w:val="center"/>
              <w:rPr>
                <w:sz w:val="24"/>
                <w:szCs w:val="24"/>
                <w:highlight w:val="none"/>
              </w:rPr>
            </w:pPr>
          </w:p>
        </w:tc>
        <w:tc>
          <w:tcPr>
            <w:tcW w:w="2086" w:type="dxa"/>
            <w:noWrap/>
            <w:vAlign w:val="center"/>
          </w:tcPr>
          <w:p>
            <w:pPr>
              <w:pStyle w:val="10"/>
              <w:ind w:firstLine="0"/>
              <w:jc w:val="center"/>
              <w:rPr>
                <w:sz w:val="24"/>
                <w:szCs w:val="24"/>
                <w:highlight w:val="none"/>
              </w:rPr>
            </w:pPr>
          </w:p>
        </w:tc>
        <w:tc>
          <w:tcPr>
            <w:tcW w:w="1938" w:type="dxa"/>
            <w:noWrap/>
            <w:vAlign w:val="center"/>
          </w:tcPr>
          <w:p>
            <w:pPr>
              <w:pStyle w:val="10"/>
              <w:ind w:firstLine="0"/>
              <w:jc w:val="center"/>
              <w:rPr>
                <w:sz w:val="24"/>
                <w:szCs w:val="24"/>
                <w:highlight w:val="none"/>
              </w:rPr>
            </w:pPr>
          </w:p>
        </w:tc>
        <w:tc>
          <w:tcPr>
            <w:tcW w:w="2897" w:type="dxa"/>
            <w:noWrap/>
            <w:vAlign w:val="center"/>
          </w:tcPr>
          <w:p>
            <w:pPr>
              <w:pStyle w:val="10"/>
              <w:ind w:firstLine="0"/>
              <w:jc w:val="center"/>
              <w:rPr>
                <w:sz w:val="24"/>
                <w:szCs w:val="24"/>
                <w:highlight w:val="none"/>
              </w:rPr>
            </w:pPr>
          </w:p>
        </w:tc>
      </w:tr>
    </w:tbl>
    <w:p>
      <w:pPr>
        <w:pStyle w:val="25"/>
        <w:ind w:left="0" w:leftChars="0" w:firstLine="0" w:firstLineChars="0"/>
        <w:rPr>
          <w:rFonts w:ascii="宋体" w:hAnsi="宋体"/>
          <w:highlight w:val="none"/>
        </w:rPr>
        <w:sectPr>
          <w:footerReference r:id="rId13" w:type="default"/>
          <w:pgSz w:w="11910" w:h="16840"/>
          <w:pgMar w:top="1240" w:right="920" w:bottom="1040" w:left="1180" w:header="880" w:footer="852" w:gutter="0"/>
          <w:cols w:space="720" w:num="1"/>
        </w:sectPr>
      </w:pPr>
      <w:r>
        <w:rPr>
          <w:rFonts w:hint="eastAsia" w:hAnsi="宋体" w:cs="宋体"/>
          <w:b/>
          <w:bCs/>
          <w:color w:val="auto"/>
          <w:sz w:val="21"/>
          <w:szCs w:val="21"/>
          <w:highlight w:val="none"/>
        </w:rPr>
        <w:t>注：</w:t>
      </w:r>
      <w:r>
        <w:rPr>
          <w:rFonts w:hint="eastAsia" w:ascii="宋体" w:hAnsi="宋体" w:cs="仿宋_GB2312"/>
          <w:color w:val="auto"/>
          <w:sz w:val="21"/>
          <w:szCs w:val="18"/>
          <w:highlight w:val="none"/>
        </w:rPr>
        <w:t>须提供注册证书或资格（职称）证书扫描件及</w:t>
      </w:r>
      <w:r>
        <w:rPr>
          <w:rFonts w:ascii="宋体" w:hAnsi="宋体"/>
          <w:color w:val="auto"/>
          <w:kern w:val="0"/>
          <w:sz w:val="21"/>
          <w:szCs w:val="18"/>
          <w:highlight w:val="none"/>
        </w:rPr>
        <w:t>须提供当地社保机构出具的在本投标企业（或分公司）到投标截止日前</w:t>
      </w:r>
      <w:r>
        <w:rPr>
          <w:rFonts w:hint="eastAsia" w:hAnsi="宋体"/>
          <w:color w:val="auto"/>
          <w:kern w:val="0"/>
          <w:sz w:val="21"/>
          <w:szCs w:val="18"/>
          <w:highlight w:val="none"/>
          <w:lang w:val="en-US" w:eastAsia="zh-CN"/>
        </w:rPr>
        <w:t>6</w:t>
      </w:r>
      <w:r>
        <w:rPr>
          <w:rFonts w:ascii="宋体" w:hAnsi="宋体"/>
          <w:color w:val="auto"/>
          <w:kern w:val="0"/>
          <w:sz w:val="21"/>
          <w:szCs w:val="18"/>
          <w:highlight w:val="none"/>
        </w:rPr>
        <w:t>个月内</w:t>
      </w:r>
      <w:r>
        <w:rPr>
          <w:rFonts w:hint="eastAsia" w:hAnsi="宋体"/>
          <w:color w:val="auto"/>
          <w:kern w:val="0"/>
          <w:sz w:val="21"/>
          <w:szCs w:val="18"/>
          <w:highlight w:val="none"/>
          <w:lang w:val="en-US" w:eastAsia="zh-CN"/>
        </w:rPr>
        <w:t>近3</w:t>
      </w:r>
      <w:r>
        <w:rPr>
          <w:rFonts w:ascii="宋体" w:hAnsi="宋体"/>
          <w:color w:val="auto"/>
          <w:kern w:val="0"/>
          <w:sz w:val="21"/>
          <w:szCs w:val="18"/>
          <w:highlight w:val="none"/>
        </w:rPr>
        <w:t>个月的</w:t>
      </w:r>
      <w:r>
        <w:rPr>
          <w:rFonts w:hint="eastAsia" w:ascii="宋体" w:hAnsi="宋体"/>
          <w:color w:val="auto"/>
          <w:kern w:val="0"/>
          <w:sz w:val="21"/>
          <w:szCs w:val="18"/>
          <w:highlight w:val="none"/>
        </w:rPr>
        <w:t>个人</w:t>
      </w:r>
      <w:r>
        <w:rPr>
          <w:rFonts w:ascii="宋体" w:hAnsi="宋体"/>
          <w:color w:val="auto"/>
          <w:kern w:val="0"/>
          <w:sz w:val="21"/>
          <w:szCs w:val="18"/>
          <w:highlight w:val="none"/>
        </w:rPr>
        <w:t>社保</w:t>
      </w:r>
      <w:r>
        <w:rPr>
          <w:rFonts w:hint="eastAsia" w:ascii="宋体" w:hAnsi="宋体"/>
          <w:color w:val="auto"/>
          <w:kern w:val="0"/>
          <w:sz w:val="21"/>
          <w:szCs w:val="18"/>
          <w:highlight w:val="none"/>
        </w:rPr>
        <w:t>缴</w:t>
      </w:r>
      <w:r>
        <w:rPr>
          <w:rFonts w:ascii="宋体" w:hAnsi="宋体"/>
          <w:color w:val="auto"/>
          <w:kern w:val="0"/>
          <w:sz w:val="21"/>
          <w:szCs w:val="18"/>
          <w:highlight w:val="none"/>
        </w:rPr>
        <w:t>纳</w:t>
      </w:r>
      <w:r>
        <w:rPr>
          <w:rFonts w:hint="eastAsia" w:ascii="宋体" w:hAnsi="宋体"/>
          <w:color w:val="auto"/>
          <w:kern w:val="0"/>
          <w:sz w:val="21"/>
          <w:szCs w:val="18"/>
          <w:highlight w:val="none"/>
        </w:rPr>
        <w:t>证明</w:t>
      </w:r>
      <w:r>
        <w:rPr>
          <w:rFonts w:ascii="宋体" w:hAnsi="宋体"/>
          <w:color w:val="auto"/>
          <w:kern w:val="0"/>
          <w:sz w:val="21"/>
          <w:szCs w:val="18"/>
          <w:highlight w:val="none"/>
        </w:rPr>
        <w:t>材料</w:t>
      </w:r>
      <w:r>
        <w:rPr>
          <w:rFonts w:hint="eastAsia" w:hAnsi="宋体"/>
          <w:color w:val="auto"/>
          <w:kern w:val="0"/>
          <w:sz w:val="21"/>
          <w:szCs w:val="18"/>
          <w:highlight w:val="none"/>
          <w:lang w:eastAsia="zh-CN"/>
        </w:rPr>
        <w:t>，</w:t>
      </w:r>
      <w:r>
        <w:rPr>
          <w:rFonts w:hint="eastAsia" w:ascii="宋体" w:hAnsi="宋体" w:cs="仿宋_GB2312"/>
          <w:color w:val="auto"/>
          <w:sz w:val="21"/>
          <w:szCs w:val="18"/>
          <w:highlight w:val="none"/>
        </w:rPr>
        <w:t>加盖公章</w:t>
      </w:r>
      <w:r>
        <w:rPr>
          <w:rFonts w:hint="eastAsia" w:hAnsi="宋体" w:cs="仿宋_GB2312"/>
          <w:color w:val="auto"/>
          <w:sz w:val="21"/>
          <w:szCs w:val="18"/>
          <w:highlight w:val="none"/>
          <w:lang w:eastAsia="zh-CN"/>
        </w:rPr>
        <w:t>。</w:t>
      </w:r>
      <w:r>
        <w:rPr>
          <w:rFonts w:hint="eastAsia" w:ascii="宋体" w:hAnsi="宋体" w:eastAsia="宋体" w:cs="宋体"/>
          <w:color w:val="auto"/>
          <w:kern w:val="2"/>
          <w:sz w:val="21"/>
          <w:szCs w:val="21"/>
          <w:highlight w:val="none"/>
          <w:lang w:val="zh-Hans" w:eastAsia="zh-CN" w:bidi="ar-SA"/>
        </w:rPr>
        <w:t>未</w:t>
      </w:r>
      <w:r>
        <w:rPr>
          <w:rFonts w:hint="eastAsia" w:cs="宋体"/>
          <w:color w:val="auto"/>
          <w:kern w:val="2"/>
          <w:sz w:val="21"/>
          <w:szCs w:val="21"/>
          <w:highlight w:val="none"/>
          <w:lang w:val="en-US" w:eastAsia="zh-CN" w:bidi="ar-SA"/>
        </w:rPr>
        <w:t>加盖公章或未</w:t>
      </w:r>
      <w:r>
        <w:rPr>
          <w:rFonts w:hint="eastAsia" w:ascii="宋体" w:hAnsi="宋体" w:eastAsia="宋体" w:cs="宋体"/>
          <w:color w:val="auto"/>
          <w:kern w:val="2"/>
          <w:sz w:val="21"/>
          <w:szCs w:val="21"/>
          <w:highlight w:val="none"/>
          <w:lang w:val="zh-Hans" w:eastAsia="zh-CN" w:bidi="ar-SA"/>
        </w:rPr>
        <w:t>提供</w:t>
      </w:r>
      <w:r>
        <w:rPr>
          <w:rFonts w:hint="eastAsia" w:cs="宋体"/>
          <w:color w:val="auto"/>
          <w:kern w:val="2"/>
          <w:sz w:val="21"/>
          <w:szCs w:val="21"/>
          <w:highlight w:val="none"/>
          <w:lang w:val="en-US" w:eastAsia="zh-CN" w:bidi="ar-SA"/>
        </w:rPr>
        <w:t>证明材料</w:t>
      </w:r>
      <w:r>
        <w:rPr>
          <w:rFonts w:hint="eastAsia" w:ascii="宋体" w:hAnsi="宋体" w:eastAsia="宋体" w:cs="宋体"/>
          <w:color w:val="auto"/>
          <w:kern w:val="2"/>
          <w:sz w:val="21"/>
          <w:szCs w:val="21"/>
          <w:highlight w:val="none"/>
          <w:lang w:val="zh-Hans" w:eastAsia="zh-CN" w:bidi="ar-SA"/>
        </w:rPr>
        <w:t>的</w:t>
      </w:r>
      <w:r>
        <w:rPr>
          <w:rFonts w:hint="eastAsia" w:hAnsi="宋体" w:cs="宋体"/>
          <w:color w:val="auto"/>
          <w:kern w:val="2"/>
          <w:sz w:val="21"/>
          <w:szCs w:val="21"/>
          <w:highlight w:val="none"/>
          <w:lang w:val="en-US" w:eastAsia="zh-CN" w:bidi="ar-SA"/>
        </w:rPr>
        <w:t>均</w:t>
      </w:r>
      <w:r>
        <w:rPr>
          <w:rFonts w:hint="eastAsia" w:ascii="宋体" w:hAnsi="宋体" w:eastAsia="宋体" w:cs="宋体"/>
          <w:color w:val="auto"/>
          <w:kern w:val="2"/>
          <w:sz w:val="21"/>
          <w:szCs w:val="21"/>
          <w:highlight w:val="none"/>
          <w:lang w:val="zh-Hans" w:eastAsia="zh-CN" w:bidi="ar-SA"/>
        </w:rPr>
        <w:t>不得分。</w:t>
      </w:r>
      <w:r>
        <w:rPr>
          <w:rFonts w:hint="eastAsia" w:ascii="宋体" w:hAnsi="宋体" w:cs="仿宋_GB2312"/>
          <w:color w:val="auto"/>
          <w:sz w:val="21"/>
          <w:szCs w:val="18"/>
          <w:highlight w:val="none"/>
        </w:rPr>
        <w:t>）</w:t>
      </w:r>
    </w:p>
    <w:p>
      <w:pPr>
        <w:pStyle w:val="13"/>
        <w:spacing w:before="11"/>
        <w:rPr>
          <w:sz w:val="3"/>
          <w:highlight w:val="none"/>
        </w:rPr>
      </w:pPr>
    </w:p>
    <w:p>
      <w:pPr>
        <w:pStyle w:val="13"/>
        <w:spacing w:line="57" w:lineRule="exact"/>
        <w:ind w:left="238"/>
        <w:rPr>
          <w:sz w:val="5"/>
          <w:highlight w:val="none"/>
        </w:rPr>
      </w:pPr>
    </w:p>
    <w:p>
      <w:pPr>
        <w:pStyle w:val="23"/>
        <w:widowControl w:val="0"/>
        <w:spacing w:beforeLines="50" w:beforeAutospacing="0" w:afterLines="50" w:afterAutospacing="0" w:line="400" w:lineRule="atLeast"/>
        <w:ind w:firstLine="3614" w:firstLineChars="1200"/>
        <w:jc w:val="both"/>
        <w:rPr>
          <w:b/>
          <w:color w:val="auto"/>
          <w:kern w:val="2"/>
          <w:sz w:val="30"/>
          <w:szCs w:val="30"/>
          <w:highlight w:val="none"/>
        </w:rPr>
      </w:pPr>
      <w:r>
        <w:rPr>
          <w:rFonts w:hint="eastAsia"/>
          <w:b/>
          <w:color w:val="auto"/>
          <w:kern w:val="2"/>
          <w:sz w:val="30"/>
          <w:szCs w:val="30"/>
          <w:highlight w:val="none"/>
        </w:rPr>
        <w:t>商务技术标自评分表</w:t>
      </w:r>
    </w:p>
    <w:tbl>
      <w:tblPr>
        <w:tblStyle w:val="26"/>
        <w:tblW w:w="9902" w:type="dxa"/>
        <w:jc w:val="center"/>
        <w:tblLayout w:type="fixed"/>
        <w:tblCellMar>
          <w:top w:w="15" w:type="dxa"/>
          <w:left w:w="15" w:type="dxa"/>
          <w:bottom w:w="15" w:type="dxa"/>
          <w:right w:w="15" w:type="dxa"/>
        </w:tblCellMar>
      </w:tblPr>
      <w:tblGrid>
        <w:gridCol w:w="570"/>
        <w:gridCol w:w="1458"/>
        <w:gridCol w:w="5624"/>
        <w:gridCol w:w="855"/>
        <w:gridCol w:w="675"/>
        <w:gridCol w:w="720"/>
      </w:tblGrid>
      <w:tr>
        <w:tblPrEx>
          <w:tblCellMar>
            <w:top w:w="15" w:type="dxa"/>
            <w:left w:w="15" w:type="dxa"/>
            <w:bottom w:w="15" w:type="dxa"/>
            <w:right w:w="15" w:type="dxa"/>
          </w:tblCellMar>
        </w:tblPrEx>
        <w:trPr>
          <w:trHeight w:val="986" w:hRule="atLeast"/>
          <w:jc w:val="center"/>
        </w:trPr>
        <w:tc>
          <w:tcPr>
            <w:tcW w:w="57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b/>
                <w:color w:val="auto"/>
                <w:sz w:val="21"/>
                <w:szCs w:val="21"/>
                <w:highlight w:val="none"/>
              </w:rPr>
            </w:pPr>
            <w:r>
              <w:rPr>
                <w:rFonts w:hint="eastAsia"/>
                <w:b/>
                <w:color w:val="auto"/>
                <w:sz w:val="21"/>
                <w:szCs w:val="21"/>
                <w:highlight w:val="none"/>
              </w:rPr>
              <w:t>序号</w:t>
            </w:r>
          </w:p>
        </w:tc>
        <w:tc>
          <w:tcPr>
            <w:tcW w:w="1458"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b/>
                <w:color w:val="auto"/>
                <w:sz w:val="21"/>
                <w:szCs w:val="21"/>
                <w:highlight w:val="none"/>
              </w:rPr>
            </w:pPr>
            <w:r>
              <w:rPr>
                <w:rFonts w:hint="eastAsia"/>
                <w:b/>
                <w:color w:val="auto"/>
                <w:sz w:val="21"/>
                <w:szCs w:val="21"/>
                <w:highlight w:val="none"/>
              </w:rPr>
              <w:t>评分内容</w:t>
            </w:r>
          </w:p>
        </w:tc>
        <w:tc>
          <w:tcPr>
            <w:tcW w:w="5624" w:type="dxa"/>
            <w:tcBorders>
              <w:top w:val="single" w:color="000000" w:sz="4" w:space="0"/>
              <w:left w:val="single" w:color="auto" w:sz="4" w:space="0"/>
              <w:bottom w:val="single" w:color="000000" w:sz="4" w:space="0"/>
              <w:right w:val="single" w:color="auto" w:sz="4" w:space="0"/>
            </w:tcBorders>
            <w:noWrap/>
            <w:vAlign w:val="center"/>
          </w:tcPr>
          <w:p>
            <w:pPr>
              <w:widowControl/>
              <w:jc w:val="center"/>
              <w:textAlignment w:val="center"/>
              <w:rPr>
                <w:b/>
                <w:color w:val="auto"/>
                <w:sz w:val="21"/>
                <w:szCs w:val="21"/>
                <w:highlight w:val="none"/>
              </w:rPr>
            </w:pPr>
            <w:r>
              <w:rPr>
                <w:rFonts w:hint="eastAsia"/>
                <w:b/>
                <w:color w:val="auto"/>
                <w:sz w:val="21"/>
                <w:szCs w:val="21"/>
                <w:highlight w:val="none"/>
              </w:rPr>
              <w:t>评分标准说明</w:t>
            </w:r>
          </w:p>
        </w:tc>
        <w:tc>
          <w:tcPr>
            <w:tcW w:w="855"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b/>
                <w:color w:val="auto"/>
                <w:sz w:val="21"/>
                <w:szCs w:val="21"/>
                <w:highlight w:val="none"/>
              </w:rPr>
            </w:pPr>
            <w:r>
              <w:rPr>
                <w:rFonts w:hint="eastAsia"/>
                <w:b/>
                <w:color w:val="auto"/>
                <w:sz w:val="21"/>
                <w:szCs w:val="21"/>
                <w:highlight w:val="none"/>
              </w:rPr>
              <w:t>分值</w:t>
            </w:r>
          </w:p>
        </w:tc>
        <w:tc>
          <w:tcPr>
            <w:tcW w:w="675"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b/>
                <w:color w:val="auto"/>
                <w:sz w:val="21"/>
                <w:szCs w:val="21"/>
                <w:highlight w:val="none"/>
              </w:rPr>
            </w:pPr>
            <w:r>
              <w:rPr>
                <w:rFonts w:hint="eastAsia"/>
                <w:b/>
                <w:color w:val="auto"/>
                <w:sz w:val="21"/>
                <w:szCs w:val="21"/>
                <w:highlight w:val="none"/>
              </w:rPr>
              <w:t>自评分</w:t>
            </w:r>
          </w:p>
        </w:tc>
        <w:tc>
          <w:tcPr>
            <w:tcW w:w="72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b/>
                <w:color w:val="auto"/>
                <w:sz w:val="21"/>
                <w:szCs w:val="21"/>
                <w:highlight w:val="none"/>
              </w:rPr>
            </w:pPr>
            <w:r>
              <w:rPr>
                <w:rFonts w:hint="eastAsia"/>
                <w:b/>
                <w:color w:val="auto"/>
                <w:sz w:val="21"/>
                <w:szCs w:val="21"/>
                <w:highlight w:val="none"/>
              </w:rPr>
              <w:t>在投标文件所在位置</w:t>
            </w:r>
          </w:p>
        </w:tc>
      </w:tr>
      <w:tr>
        <w:tblPrEx>
          <w:tblCellMar>
            <w:top w:w="15" w:type="dxa"/>
            <w:left w:w="15" w:type="dxa"/>
            <w:bottom w:w="15" w:type="dxa"/>
            <w:right w:w="15" w:type="dxa"/>
          </w:tblCellMar>
        </w:tblPrEx>
        <w:trPr>
          <w:trHeight w:val="390" w:hRule="atLeast"/>
          <w:jc w:val="center"/>
        </w:trPr>
        <w:tc>
          <w:tcPr>
            <w:tcW w:w="8507" w:type="dxa"/>
            <w:gridSpan w:val="4"/>
            <w:tcBorders>
              <w:top w:val="single" w:color="000000" w:sz="4" w:space="0"/>
              <w:left w:val="single" w:color="000000" w:sz="4" w:space="0"/>
              <w:bottom w:val="single" w:color="auto" w:sz="4" w:space="0"/>
              <w:right w:val="single" w:color="000000" w:sz="4" w:space="0"/>
            </w:tcBorders>
            <w:noWrap/>
            <w:vAlign w:val="center"/>
          </w:tcPr>
          <w:p>
            <w:pPr>
              <w:widowControl/>
              <w:textAlignment w:val="center"/>
              <w:rPr>
                <w:b/>
                <w:color w:val="auto"/>
                <w:sz w:val="21"/>
                <w:szCs w:val="21"/>
                <w:highlight w:val="none"/>
              </w:rPr>
            </w:pPr>
            <w:r>
              <w:rPr>
                <w:rFonts w:hint="eastAsia"/>
                <w:b/>
                <w:color w:val="auto"/>
                <w:sz w:val="21"/>
                <w:szCs w:val="21"/>
                <w:highlight w:val="none"/>
              </w:rPr>
              <w:t>资信分（2</w:t>
            </w:r>
            <w:r>
              <w:rPr>
                <w:rFonts w:hint="eastAsia"/>
                <w:b/>
                <w:color w:val="auto"/>
                <w:sz w:val="21"/>
                <w:szCs w:val="21"/>
                <w:highlight w:val="none"/>
                <w:lang w:val="en-US" w:eastAsia="zh-CN"/>
              </w:rPr>
              <w:t>5</w:t>
            </w:r>
            <w:r>
              <w:rPr>
                <w:rFonts w:hint="eastAsia"/>
                <w:b/>
                <w:color w:val="auto"/>
                <w:sz w:val="21"/>
                <w:szCs w:val="21"/>
                <w:highlight w:val="none"/>
              </w:rPr>
              <w:t>分）</w:t>
            </w:r>
          </w:p>
        </w:tc>
        <w:tc>
          <w:tcPr>
            <w:tcW w:w="675" w:type="dxa"/>
            <w:tcBorders>
              <w:top w:val="single" w:color="000000" w:sz="4" w:space="0"/>
              <w:left w:val="single" w:color="000000" w:sz="4" w:space="0"/>
              <w:bottom w:val="single" w:color="auto" w:sz="4" w:space="0"/>
              <w:right w:val="single" w:color="000000" w:sz="4" w:space="0"/>
            </w:tcBorders>
            <w:noWrap/>
            <w:vAlign w:val="center"/>
          </w:tcPr>
          <w:p>
            <w:pPr>
              <w:widowControl/>
              <w:textAlignment w:val="center"/>
              <w:rPr>
                <w:b/>
                <w:color w:val="auto"/>
                <w:sz w:val="21"/>
                <w:szCs w:val="21"/>
                <w:highlight w:val="none"/>
              </w:rPr>
            </w:pPr>
          </w:p>
        </w:tc>
        <w:tc>
          <w:tcPr>
            <w:tcW w:w="720" w:type="dxa"/>
            <w:tcBorders>
              <w:top w:val="single" w:color="000000" w:sz="4" w:space="0"/>
              <w:left w:val="single" w:color="000000" w:sz="4" w:space="0"/>
              <w:bottom w:val="single" w:color="auto" w:sz="4" w:space="0"/>
              <w:right w:val="single" w:color="000000" w:sz="4" w:space="0"/>
            </w:tcBorders>
            <w:noWrap/>
            <w:vAlign w:val="center"/>
          </w:tcPr>
          <w:p>
            <w:pPr>
              <w:widowControl/>
              <w:textAlignment w:val="center"/>
              <w:rPr>
                <w:b/>
                <w:color w:val="auto"/>
                <w:sz w:val="21"/>
                <w:szCs w:val="21"/>
                <w:highlight w:val="none"/>
              </w:rPr>
            </w:pPr>
          </w:p>
        </w:tc>
      </w:tr>
      <w:tr>
        <w:tblPrEx>
          <w:tblCellMar>
            <w:top w:w="15" w:type="dxa"/>
            <w:left w:w="15" w:type="dxa"/>
            <w:bottom w:w="15" w:type="dxa"/>
            <w:right w:w="15" w:type="dxa"/>
          </w:tblCellMar>
        </w:tblPrEx>
        <w:trPr>
          <w:trHeight w:val="1682" w:hRule="atLeast"/>
          <w:jc w:val="center"/>
        </w:trPr>
        <w:tc>
          <w:tcPr>
            <w:tcW w:w="570" w:type="dxa"/>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r>
              <w:rPr>
                <w:rFonts w:hint="eastAsia"/>
                <w:color w:val="auto"/>
                <w:sz w:val="21"/>
                <w:szCs w:val="21"/>
                <w:highlight w:val="none"/>
              </w:rPr>
              <w:t>1</w:t>
            </w:r>
          </w:p>
        </w:tc>
        <w:tc>
          <w:tcPr>
            <w:tcW w:w="1458" w:type="dxa"/>
            <w:tcBorders>
              <w:top w:val="single" w:color="auto" w:sz="4" w:space="0"/>
              <w:left w:val="single" w:color="000000" w:sz="4" w:space="0"/>
              <w:bottom w:val="single" w:color="auto" w:sz="4" w:space="0"/>
              <w:right w:val="single" w:color="auto"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r>
              <w:rPr>
                <w:rFonts w:hint="eastAsia"/>
                <w:color w:val="auto"/>
                <w:spacing w:val="-6"/>
                <w:sz w:val="21"/>
                <w:szCs w:val="21"/>
                <w:highlight w:val="none"/>
              </w:rPr>
              <w:t>业绩</w:t>
            </w:r>
          </w:p>
        </w:tc>
        <w:tc>
          <w:tcPr>
            <w:tcW w:w="562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overflowPunct/>
              <w:topLinePunct w:val="0"/>
              <w:bidi w:val="0"/>
              <w:adjustRightInd/>
              <w:snapToGrid/>
              <w:spacing w:line="240" w:lineRule="auto"/>
              <w:ind w:firstLine="210" w:firstLineChars="100"/>
              <w:textAlignment w:val="center"/>
              <w:rPr>
                <w:rFonts w:hint="eastAsia"/>
                <w:color w:val="auto"/>
                <w:sz w:val="21"/>
                <w:szCs w:val="21"/>
                <w:highlight w:val="none"/>
              </w:rPr>
            </w:pPr>
            <w:r>
              <w:rPr>
                <w:rFonts w:hint="eastAsia"/>
                <w:color w:val="auto"/>
                <w:sz w:val="21"/>
                <w:szCs w:val="21"/>
                <w:highlight w:val="none"/>
              </w:rPr>
              <w:t>201</w:t>
            </w:r>
            <w:r>
              <w:rPr>
                <w:rFonts w:hint="eastAsia"/>
                <w:color w:val="auto"/>
                <w:sz w:val="21"/>
                <w:szCs w:val="21"/>
                <w:highlight w:val="none"/>
                <w:lang w:val="en-US"/>
              </w:rPr>
              <w:t>7</w:t>
            </w:r>
            <w:r>
              <w:rPr>
                <w:rFonts w:hint="eastAsia"/>
                <w:color w:val="auto"/>
                <w:sz w:val="21"/>
                <w:szCs w:val="21"/>
                <w:highlight w:val="none"/>
              </w:rPr>
              <w:t>年1月1日（以签订合同时间为准）以来，投标人承担过类似交通类规划业绩的，每个得</w:t>
            </w:r>
            <w:r>
              <w:rPr>
                <w:rFonts w:hint="eastAsia"/>
                <w:color w:val="auto"/>
                <w:sz w:val="21"/>
                <w:szCs w:val="21"/>
                <w:highlight w:val="none"/>
                <w:lang w:val="en-US" w:eastAsia="zh-CN"/>
              </w:rPr>
              <w:t>0.5</w:t>
            </w:r>
            <w:r>
              <w:rPr>
                <w:color w:val="auto"/>
                <w:sz w:val="21"/>
                <w:szCs w:val="21"/>
                <w:highlight w:val="none"/>
              </w:rPr>
              <w:t>分，本项最高得</w:t>
            </w:r>
            <w:r>
              <w:rPr>
                <w:rFonts w:hint="eastAsia"/>
                <w:color w:val="auto"/>
                <w:sz w:val="21"/>
                <w:szCs w:val="21"/>
                <w:highlight w:val="none"/>
                <w:lang w:val="en-US" w:eastAsia="zh-CN"/>
              </w:rPr>
              <w:t>1</w:t>
            </w:r>
            <w:r>
              <w:rPr>
                <w:color w:val="auto"/>
                <w:sz w:val="21"/>
                <w:szCs w:val="21"/>
                <w:highlight w:val="none"/>
              </w:rPr>
              <w:t>分</w:t>
            </w:r>
            <w:r>
              <w:rPr>
                <w:rFonts w:hint="eastAsia"/>
                <w:color w:val="auto"/>
                <w:sz w:val="21"/>
                <w:szCs w:val="21"/>
                <w:highlight w:val="none"/>
              </w:rPr>
              <w:t>；</w:t>
            </w:r>
          </w:p>
          <w:p>
            <w:pPr>
              <w:keepNext w:val="0"/>
              <w:keepLines w:val="0"/>
              <w:pageBreakBefore w:val="0"/>
              <w:widowControl/>
              <w:kinsoku/>
              <w:overflowPunct/>
              <w:topLinePunct w:val="0"/>
              <w:bidi w:val="0"/>
              <w:adjustRightInd/>
              <w:snapToGrid/>
              <w:spacing w:line="240" w:lineRule="auto"/>
              <w:ind w:firstLine="210" w:firstLineChars="100"/>
              <w:textAlignment w:val="center"/>
              <w:rPr>
                <w:color w:val="auto"/>
                <w:sz w:val="21"/>
                <w:szCs w:val="21"/>
                <w:highlight w:val="none"/>
              </w:rPr>
            </w:pPr>
            <w:r>
              <w:rPr>
                <w:rFonts w:hint="eastAsia" w:eastAsia="宋体"/>
                <w:color w:val="auto"/>
                <w:sz w:val="21"/>
                <w:szCs w:val="21"/>
                <w:highlight w:val="none"/>
                <w:lang w:val="en-US" w:eastAsia="zh-CN"/>
              </w:rPr>
              <w:t>注：</w:t>
            </w:r>
            <w:r>
              <w:rPr>
                <w:rFonts w:hint="eastAsia" w:ascii="宋体" w:hAnsi="宋体" w:eastAsia="宋体" w:cs="宋体"/>
                <w:color w:val="auto"/>
                <w:kern w:val="2"/>
                <w:sz w:val="21"/>
                <w:szCs w:val="21"/>
                <w:highlight w:val="none"/>
                <w:lang w:val="en-US" w:eastAsia="zh-CN" w:bidi="ar-SA"/>
              </w:rPr>
              <w:t>1.同一项目不同年度合同不重复得分。2.投标文件中提供完整的加盖电子公章的合同扫描件。3.以中标通知书或合同或业主证明为准，日期以合同签署日期为准</w:t>
            </w:r>
            <w:r>
              <w:rPr>
                <w:rFonts w:hint="eastAsia" w:ascii="宋体" w:hAnsi="宋体" w:eastAsia="宋体" w:cs="宋体"/>
                <w:color w:val="auto"/>
                <w:kern w:val="2"/>
                <w:sz w:val="21"/>
                <w:szCs w:val="21"/>
                <w:highlight w:val="none"/>
                <w:lang w:val="zh-Hans" w:eastAsia="zh-CN" w:bidi="ar-SA"/>
              </w:rPr>
              <w:t xml:space="preserve"> 。未</w:t>
            </w:r>
            <w:r>
              <w:rPr>
                <w:rFonts w:hint="eastAsia" w:cs="宋体"/>
                <w:color w:val="auto"/>
                <w:kern w:val="2"/>
                <w:sz w:val="21"/>
                <w:szCs w:val="21"/>
                <w:highlight w:val="none"/>
                <w:lang w:val="en-US" w:eastAsia="zh-CN" w:bidi="ar-SA"/>
              </w:rPr>
              <w:t>加盖公章或未</w:t>
            </w:r>
            <w:r>
              <w:rPr>
                <w:rFonts w:hint="eastAsia" w:ascii="宋体" w:hAnsi="宋体" w:eastAsia="宋体" w:cs="宋体"/>
                <w:color w:val="auto"/>
                <w:kern w:val="2"/>
                <w:sz w:val="21"/>
                <w:szCs w:val="21"/>
                <w:highlight w:val="none"/>
                <w:lang w:val="zh-Hans" w:eastAsia="zh-CN" w:bidi="ar-SA"/>
              </w:rPr>
              <w:t>提供</w:t>
            </w:r>
            <w:r>
              <w:rPr>
                <w:rFonts w:hint="eastAsia" w:cs="宋体"/>
                <w:color w:val="auto"/>
                <w:kern w:val="2"/>
                <w:sz w:val="21"/>
                <w:szCs w:val="21"/>
                <w:highlight w:val="none"/>
                <w:lang w:val="en-US" w:eastAsia="zh-CN" w:bidi="ar-SA"/>
              </w:rPr>
              <w:t>证明材料</w:t>
            </w:r>
            <w:r>
              <w:rPr>
                <w:rFonts w:hint="eastAsia" w:ascii="宋体" w:hAnsi="宋体" w:eastAsia="宋体" w:cs="宋体"/>
                <w:color w:val="auto"/>
                <w:kern w:val="2"/>
                <w:sz w:val="21"/>
                <w:szCs w:val="21"/>
                <w:highlight w:val="none"/>
                <w:lang w:val="zh-Hans" w:eastAsia="zh-CN" w:bidi="ar-SA"/>
              </w:rPr>
              <w:t>的</w:t>
            </w:r>
            <w:r>
              <w:rPr>
                <w:rFonts w:hint="eastAsia" w:cs="宋体"/>
                <w:color w:val="auto"/>
                <w:kern w:val="2"/>
                <w:sz w:val="21"/>
                <w:szCs w:val="21"/>
                <w:highlight w:val="none"/>
                <w:lang w:val="en-US" w:eastAsia="zh-CN" w:bidi="ar-SA"/>
              </w:rPr>
              <w:t>均</w:t>
            </w:r>
            <w:r>
              <w:rPr>
                <w:rFonts w:hint="eastAsia" w:ascii="宋体" w:hAnsi="宋体" w:eastAsia="宋体" w:cs="宋体"/>
                <w:color w:val="auto"/>
                <w:kern w:val="2"/>
                <w:sz w:val="21"/>
                <w:szCs w:val="21"/>
                <w:highlight w:val="none"/>
                <w:lang w:val="zh-Hans" w:eastAsia="zh-CN" w:bidi="ar-SA"/>
              </w:rPr>
              <w:t>不得分。</w:t>
            </w:r>
          </w:p>
        </w:tc>
        <w:tc>
          <w:tcPr>
            <w:tcW w:w="855" w:type="dxa"/>
            <w:tcBorders>
              <w:top w:val="single" w:color="auto" w:sz="4" w:space="0"/>
              <w:left w:val="single" w:color="auto" w:sz="4" w:space="0"/>
              <w:bottom w:val="single" w:color="000000" w:sz="4" w:space="0"/>
              <w:right w:val="single" w:color="auto"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r>
              <w:rPr>
                <w:rFonts w:hint="eastAsia"/>
                <w:color w:val="auto"/>
                <w:sz w:val="21"/>
                <w:szCs w:val="21"/>
                <w:highlight w:val="none"/>
              </w:rPr>
              <w:t>0-</w:t>
            </w:r>
            <w:r>
              <w:rPr>
                <w:rFonts w:hint="eastAsia"/>
                <w:color w:val="auto"/>
                <w:sz w:val="21"/>
                <w:szCs w:val="21"/>
                <w:highlight w:val="none"/>
                <w:lang w:val="en-US" w:eastAsia="zh-CN"/>
              </w:rPr>
              <w:t>1</w:t>
            </w:r>
            <w:r>
              <w:rPr>
                <w:rFonts w:hint="eastAsia"/>
                <w:color w:val="auto"/>
                <w:sz w:val="21"/>
                <w:szCs w:val="21"/>
                <w:highlight w:val="none"/>
              </w:rPr>
              <w:t>分</w:t>
            </w:r>
          </w:p>
        </w:tc>
        <w:tc>
          <w:tcPr>
            <w:tcW w:w="675" w:type="dxa"/>
            <w:tcBorders>
              <w:top w:val="single" w:color="auto" w:sz="4" w:space="0"/>
              <w:left w:val="single" w:color="auto" w:sz="4" w:space="0"/>
              <w:bottom w:val="single" w:color="000000" w:sz="4" w:space="0"/>
              <w:right w:val="single" w:color="auto" w:sz="4" w:space="0"/>
            </w:tcBorders>
            <w:noWrap/>
            <w:vAlign w:val="center"/>
          </w:tcPr>
          <w:p>
            <w:pPr>
              <w:widowControl/>
              <w:jc w:val="center"/>
              <w:textAlignment w:val="center"/>
              <w:rPr>
                <w:color w:val="auto"/>
                <w:sz w:val="21"/>
                <w:szCs w:val="21"/>
                <w:highlight w:val="none"/>
              </w:rPr>
            </w:pPr>
          </w:p>
        </w:tc>
        <w:tc>
          <w:tcPr>
            <w:tcW w:w="720" w:type="dxa"/>
            <w:tcBorders>
              <w:top w:val="single" w:color="auto" w:sz="4" w:space="0"/>
              <w:left w:val="single" w:color="auto" w:sz="4" w:space="0"/>
              <w:bottom w:val="single" w:color="000000" w:sz="4" w:space="0"/>
              <w:right w:val="single" w:color="auto" w:sz="4" w:space="0"/>
            </w:tcBorders>
            <w:noWrap/>
            <w:vAlign w:val="center"/>
          </w:tcPr>
          <w:p>
            <w:pPr>
              <w:widowControl/>
              <w:jc w:val="center"/>
              <w:textAlignment w:val="center"/>
              <w:rPr>
                <w:color w:val="auto"/>
                <w:sz w:val="21"/>
                <w:szCs w:val="21"/>
                <w:highlight w:val="none"/>
              </w:rPr>
            </w:pPr>
          </w:p>
        </w:tc>
      </w:tr>
      <w:tr>
        <w:tblPrEx>
          <w:tblCellMar>
            <w:top w:w="15" w:type="dxa"/>
            <w:left w:w="15" w:type="dxa"/>
            <w:bottom w:w="15" w:type="dxa"/>
            <w:right w:w="15" w:type="dxa"/>
          </w:tblCellMar>
        </w:tblPrEx>
        <w:trPr>
          <w:trHeight w:val="1131" w:hRule="atLeast"/>
          <w:jc w:val="center"/>
        </w:trPr>
        <w:tc>
          <w:tcPr>
            <w:tcW w:w="570" w:type="dxa"/>
            <w:vMerge w:val="restart"/>
            <w:tcBorders>
              <w:top w:val="single" w:color="auto" w:sz="4" w:space="0"/>
              <w:left w:val="single" w:color="auto" w:sz="4" w:space="0"/>
              <w:right w:val="single" w:color="000000"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r>
              <w:rPr>
                <w:rFonts w:hint="eastAsia"/>
                <w:color w:val="auto"/>
                <w:sz w:val="21"/>
                <w:szCs w:val="21"/>
                <w:highlight w:val="none"/>
              </w:rPr>
              <w:t>2</w:t>
            </w:r>
          </w:p>
        </w:tc>
        <w:tc>
          <w:tcPr>
            <w:tcW w:w="1458" w:type="dxa"/>
            <w:vMerge w:val="restart"/>
            <w:tcBorders>
              <w:top w:val="single" w:color="auto" w:sz="4" w:space="0"/>
              <w:left w:val="single" w:color="000000" w:sz="4" w:space="0"/>
              <w:right w:val="single" w:color="auto"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r>
              <w:rPr>
                <w:rFonts w:hint="eastAsia"/>
                <w:color w:val="auto"/>
                <w:sz w:val="21"/>
                <w:szCs w:val="21"/>
                <w:highlight w:val="none"/>
              </w:rPr>
              <w:t>企业情况</w:t>
            </w:r>
          </w:p>
        </w:tc>
        <w:tc>
          <w:tcPr>
            <w:tcW w:w="5624" w:type="dxa"/>
            <w:tcBorders>
              <w:top w:val="single" w:color="auto" w:sz="4" w:space="0"/>
              <w:left w:val="single" w:color="auto" w:sz="4" w:space="0"/>
              <w:bottom w:val="single" w:color="auto" w:sz="4" w:space="0"/>
              <w:right w:val="single" w:color="auto" w:sz="4" w:space="0"/>
            </w:tcBorders>
            <w:noWrap/>
            <w:vAlign w:val="center"/>
          </w:tcPr>
          <w:p>
            <w:pPr>
              <w:pStyle w:val="25"/>
              <w:keepNext w:val="0"/>
              <w:keepLines w:val="0"/>
              <w:pageBreakBefore w:val="0"/>
              <w:kinsoku/>
              <w:overflowPunct/>
              <w:topLinePunct w:val="0"/>
              <w:bidi w:val="0"/>
              <w:adjustRightInd/>
              <w:snapToGrid/>
              <w:spacing w:after="0" w:line="240" w:lineRule="auto"/>
              <w:ind w:left="0" w:leftChars="0"/>
              <w:rPr>
                <w:rFonts w:hAnsi="宋体"/>
                <w:color w:val="auto"/>
                <w:highlight w:val="none"/>
              </w:rPr>
            </w:pPr>
            <w:r>
              <w:rPr>
                <w:rFonts w:hAnsi="宋体"/>
                <w:color w:val="auto"/>
                <w:highlight w:val="none"/>
              </w:rPr>
              <w:t>具有</w:t>
            </w:r>
            <w:r>
              <w:rPr>
                <w:rFonts w:hint="eastAsia" w:hAnsi="宋体"/>
                <w:color w:val="auto"/>
                <w:highlight w:val="none"/>
              </w:rPr>
              <w:t>公路行业（公路）专业设计甲级或公路行业设计甲级及以上资质</w:t>
            </w:r>
            <w:r>
              <w:rPr>
                <w:rFonts w:hAnsi="宋体"/>
                <w:color w:val="auto"/>
                <w:highlight w:val="none"/>
              </w:rPr>
              <w:t>资质的得</w:t>
            </w:r>
            <w:r>
              <w:rPr>
                <w:rFonts w:hint="eastAsia" w:hAnsi="宋体"/>
                <w:color w:val="auto"/>
                <w:highlight w:val="none"/>
                <w:lang w:val="en-US" w:eastAsia="zh-CN"/>
              </w:rPr>
              <w:t>3</w:t>
            </w:r>
            <w:r>
              <w:rPr>
                <w:rFonts w:hAnsi="宋体"/>
                <w:color w:val="auto"/>
                <w:highlight w:val="none"/>
              </w:rPr>
              <w:t>分；乙级资质得</w:t>
            </w:r>
            <w:r>
              <w:rPr>
                <w:rFonts w:hint="eastAsia" w:hAnsi="宋体"/>
                <w:color w:val="auto"/>
                <w:highlight w:val="none"/>
                <w:lang w:val="en-US" w:eastAsia="zh-CN"/>
              </w:rPr>
              <w:t>2</w:t>
            </w:r>
            <w:r>
              <w:rPr>
                <w:rFonts w:hAnsi="宋体"/>
                <w:color w:val="auto"/>
                <w:highlight w:val="none"/>
              </w:rPr>
              <w:t>分。</w:t>
            </w:r>
          </w:p>
          <w:p>
            <w:pPr>
              <w:pStyle w:val="25"/>
              <w:keepNext w:val="0"/>
              <w:keepLines w:val="0"/>
              <w:pageBreakBefore w:val="0"/>
              <w:widowControl w:val="0"/>
              <w:kinsoku/>
              <w:wordWrap/>
              <w:overflowPunct/>
              <w:topLinePunct w:val="0"/>
              <w:autoSpaceDE w:val="0"/>
              <w:autoSpaceDN w:val="0"/>
              <w:bidi w:val="0"/>
              <w:adjustRightInd/>
              <w:snapToGrid/>
              <w:spacing w:after="0" w:line="240" w:lineRule="auto"/>
              <w:ind w:left="0" w:leftChars="0" w:firstLine="0" w:firstLineChars="0"/>
              <w:textAlignment w:val="auto"/>
              <w:rPr>
                <w:color w:val="auto"/>
                <w:highlight w:val="none"/>
              </w:rPr>
            </w:pPr>
            <w:r>
              <w:rPr>
                <w:rFonts w:hAnsi="宋体"/>
                <w:color w:val="auto"/>
                <w:highlight w:val="none"/>
              </w:rPr>
              <w:t>（两项分数不累加，需提供证书</w:t>
            </w:r>
            <w:r>
              <w:rPr>
                <w:rFonts w:hint="eastAsia" w:hAnsi="宋体"/>
                <w:color w:val="auto"/>
                <w:highlight w:val="none"/>
                <w:lang w:val="en-US" w:eastAsia="zh-CN"/>
              </w:rPr>
              <w:t>扫</w:t>
            </w:r>
            <w:r>
              <w:rPr>
                <w:rFonts w:hAnsi="宋体"/>
                <w:color w:val="auto"/>
                <w:highlight w:val="none"/>
              </w:rPr>
              <w:t>描件并加盖公章，不提供不得分）</w:t>
            </w:r>
          </w:p>
        </w:tc>
        <w:tc>
          <w:tcPr>
            <w:tcW w:w="855" w:type="dxa"/>
            <w:tcBorders>
              <w:top w:val="single" w:color="auto" w:sz="4" w:space="0"/>
              <w:left w:val="single" w:color="auto" w:sz="4" w:space="0"/>
              <w:bottom w:val="single" w:color="000000" w:sz="4" w:space="0"/>
              <w:right w:val="single" w:color="auto"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r>
              <w:rPr>
                <w:rFonts w:hint="eastAsia"/>
                <w:color w:val="auto"/>
                <w:sz w:val="21"/>
                <w:szCs w:val="21"/>
                <w:highlight w:val="none"/>
              </w:rPr>
              <w:t>0-</w:t>
            </w:r>
            <w:r>
              <w:rPr>
                <w:rFonts w:hint="eastAsia"/>
                <w:color w:val="auto"/>
                <w:sz w:val="21"/>
                <w:szCs w:val="21"/>
                <w:highlight w:val="none"/>
                <w:lang w:val="en-US" w:eastAsia="zh-CN"/>
              </w:rPr>
              <w:t>3</w:t>
            </w:r>
            <w:r>
              <w:rPr>
                <w:rFonts w:hint="eastAsia"/>
                <w:color w:val="auto"/>
                <w:sz w:val="21"/>
                <w:szCs w:val="21"/>
                <w:highlight w:val="none"/>
              </w:rPr>
              <w:t>分</w:t>
            </w:r>
          </w:p>
        </w:tc>
        <w:tc>
          <w:tcPr>
            <w:tcW w:w="675" w:type="dxa"/>
            <w:tcBorders>
              <w:top w:val="single" w:color="auto" w:sz="4" w:space="0"/>
              <w:left w:val="single" w:color="auto" w:sz="4" w:space="0"/>
              <w:bottom w:val="single" w:color="000000" w:sz="4" w:space="0"/>
              <w:right w:val="single" w:color="auto" w:sz="4" w:space="0"/>
            </w:tcBorders>
            <w:noWrap/>
            <w:vAlign w:val="center"/>
          </w:tcPr>
          <w:p>
            <w:pPr>
              <w:widowControl/>
              <w:jc w:val="center"/>
              <w:textAlignment w:val="center"/>
              <w:rPr>
                <w:color w:val="auto"/>
                <w:sz w:val="21"/>
                <w:szCs w:val="21"/>
                <w:highlight w:val="none"/>
              </w:rPr>
            </w:pPr>
          </w:p>
        </w:tc>
        <w:tc>
          <w:tcPr>
            <w:tcW w:w="720" w:type="dxa"/>
            <w:tcBorders>
              <w:top w:val="single" w:color="auto" w:sz="4" w:space="0"/>
              <w:left w:val="single" w:color="auto" w:sz="4" w:space="0"/>
              <w:bottom w:val="single" w:color="000000" w:sz="4" w:space="0"/>
              <w:right w:val="single" w:color="auto" w:sz="4" w:space="0"/>
            </w:tcBorders>
            <w:noWrap/>
            <w:vAlign w:val="center"/>
          </w:tcPr>
          <w:p>
            <w:pPr>
              <w:widowControl/>
              <w:jc w:val="center"/>
              <w:textAlignment w:val="center"/>
              <w:rPr>
                <w:color w:val="auto"/>
                <w:sz w:val="21"/>
                <w:szCs w:val="21"/>
                <w:highlight w:val="none"/>
              </w:rPr>
            </w:pPr>
          </w:p>
        </w:tc>
      </w:tr>
      <w:tr>
        <w:tblPrEx>
          <w:tblCellMar>
            <w:top w:w="15" w:type="dxa"/>
            <w:left w:w="15" w:type="dxa"/>
            <w:bottom w:w="15" w:type="dxa"/>
            <w:right w:w="15" w:type="dxa"/>
          </w:tblCellMar>
        </w:tblPrEx>
        <w:trPr>
          <w:trHeight w:val="925" w:hRule="atLeast"/>
          <w:jc w:val="center"/>
        </w:trPr>
        <w:tc>
          <w:tcPr>
            <w:tcW w:w="570" w:type="dxa"/>
            <w:vMerge w:val="continue"/>
            <w:tcBorders>
              <w:left w:val="single" w:color="auto" w:sz="4" w:space="0"/>
              <w:bottom w:val="single" w:color="auto" w:sz="4" w:space="0"/>
              <w:right w:val="single" w:color="000000"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p>
        </w:tc>
        <w:tc>
          <w:tcPr>
            <w:tcW w:w="1458" w:type="dxa"/>
            <w:vMerge w:val="continue"/>
            <w:tcBorders>
              <w:left w:val="single" w:color="000000" w:sz="4" w:space="0"/>
              <w:bottom w:val="single" w:color="auto" w:sz="4" w:space="0"/>
              <w:right w:val="single" w:color="auto"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p>
        </w:tc>
        <w:tc>
          <w:tcPr>
            <w:tcW w:w="5624" w:type="dxa"/>
            <w:tcBorders>
              <w:top w:val="single" w:color="auto" w:sz="4" w:space="0"/>
              <w:left w:val="single" w:color="auto" w:sz="4" w:space="0"/>
              <w:bottom w:val="single" w:color="auto" w:sz="4" w:space="0"/>
              <w:right w:val="single" w:color="auto" w:sz="4" w:space="0"/>
            </w:tcBorders>
            <w:noWrap/>
            <w:vAlign w:val="center"/>
          </w:tcPr>
          <w:p>
            <w:pPr>
              <w:pStyle w:val="25"/>
              <w:keepNext w:val="0"/>
              <w:keepLines w:val="0"/>
              <w:pageBreakBefore w:val="0"/>
              <w:widowControl w:val="0"/>
              <w:kinsoku/>
              <w:wordWrap/>
              <w:overflowPunct/>
              <w:topLinePunct w:val="0"/>
              <w:autoSpaceDE w:val="0"/>
              <w:autoSpaceDN w:val="0"/>
              <w:bidi w:val="0"/>
              <w:adjustRightInd/>
              <w:snapToGrid/>
              <w:spacing w:after="0" w:line="240" w:lineRule="auto"/>
              <w:ind w:left="0" w:leftChars="0" w:firstLine="420" w:firstLineChars="200"/>
              <w:textAlignment w:val="auto"/>
              <w:rPr>
                <w:rFonts w:hAnsi="宋体"/>
                <w:color w:val="auto"/>
                <w:highlight w:val="none"/>
              </w:rPr>
            </w:pPr>
            <w:r>
              <w:rPr>
                <w:rFonts w:hAnsi="宋体"/>
                <w:color w:val="auto"/>
                <w:highlight w:val="none"/>
              </w:rPr>
              <w:t>投标人具有有效</w:t>
            </w:r>
            <w:r>
              <w:rPr>
                <w:rFonts w:hint="eastAsia" w:hAnsi="宋体"/>
                <w:color w:val="auto"/>
                <w:highlight w:val="none"/>
                <w:lang w:val="en-US" w:eastAsia="zh-CN"/>
              </w:rPr>
              <w:t>期内</w:t>
            </w:r>
            <w:r>
              <w:rPr>
                <w:rFonts w:hAnsi="宋体"/>
                <w:color w:val="auto"/>
                <w:highlight w:val="none"/>
              </w:rPr>
              <w:t>的质量管理体系证书、环境管理体系认证证书、职业健康安全管理体系认证证书的，每提供一个得1分，最高得3分。（需提供证书</w:t>
            </w:r>
            <w:r>
              <w:rPr>
                <w:rFonts w:hint="eastAsia" w:hAnsi="宋体"/>
                <w:color w:val="auto"/>
                <w:highlight w:val="none"/>
                <w:lang w:val="en-US" w:eastAsia="zh-CN"/>
              </w:rPr>
              <w:t>扫</w:t>
            </w:r>
            <w:r>
              <w:rPr>
                <w:rFonts w:hAnsi="宋体"/>
                <w:color w:val="auto"/>
                <w:highlight w:val="none"/>
              </w:rPr>
              <w:t>描件并加盖公章，不提供不得分）</w:t>
            </w:r>
          </w:p>
        </w:tc>
        <w:tc>
          <w:tcPr>
            <w:tcW w:w="855" w:type="dxa"/>
            <w:tcBorders>
              <w:top w:val="single" w:color="auto" w:sz="4" w:space="0"/>
              <w:left w:val="single" w:color="auto" w:sz="4" w:space="0"/>
              <w:bottom w:val="single" w:color="000000" w:sz="4" w:space="0"/>
              <w:right w:val="single" w:color="auto" w:sz="4" w:space="0"/>
            </w:tcBorders>
            <w:noWrap/>
            <w:vAlign w:val="center"/>
          </w:tcPr>
          <w:p>
            <w:pPr>
              <w:pStyle w:val="25"/>
              <w:keepNext w:val="0"/>
              <w:keepLines w:val="0"/>
              <w:pageBreakBefore w:val="0"/>
              <w:kinsoku/>
              <w:overflowPunct/>
              <w:topLinePunct w:val="0"/>
              <w:bidi w:val="0"/>
              <w:adjustRightInd/>
              <w:snapToGrid/>
              <w:spacing w:after="0" w:line="360" w:lineRule="exact"/>
              <w:ind w:left="0" w:leftChars="0" w:firstLine="0" w:firstLineChars="0"/>
              <w:jc w:val="center"/>
              <w:rPr>
                <w:rFonts w:hAnsi="宋体"/>
                <w:color w:val="auto"/>
                <w:highlight w:val="none"/>
              </w:rPr>
            </w:pPr>
            <w:r>
              <w:rPr>
                <w:rFonts w:hint="eastAsia" w:ascii="宋体" w:hAnsi="宋体" w:eastAsia="宋体" w:cs="宋体"/>
                <w:color w:val="auto"/>
                <w:spacing w:val="0"/>
                <w:sz w:val="21"/>
                <w:szCs w:val="21"/>
                <w:highlight w:val="none"/>
                <w:lang w:val="en-US" w:eastAsia="zh-CN" w:bidi="zh-CN"/>
              </w:rPr>
              <w:t>0</w:t>
            </w:r>
            <w:r>
              <w:rPr>
                <w:rFonts w:hint="eastAsia" w:ascii="宋体" w:hAnsi="宋体" w:eastAsia="宋体" w:cs="宋体"/>
                <w:color w:val="auto"/>
                <w:spacing w:val="0"/>
                <w:sz w:val="21"/>
                <w:szCs w:val="21"/>
                <w:highlight w:val="none"/>
                <w:lang w:val="zh-CN" w:eastAsia="zh-CN" w:bidi="zh-CN"/>
              </w:rPr>
              <w:t>-3分</w:t>
            </w:r>
          </w:p>
        </w:tc>
        <w:tc>
          <w:tcPr>
            <w:tcW w:w="675" w:type="dxa"/>
            <w:tcBorders>
              <w:top w:val="single" w:color="auto" w:sz="4" w:space="0"/>
              <w:left w:val="single" w:color="auto" w:sz="4" w:space="0"/>
              <w:bottom w:val="single" w:color="000000" w:sz="4" w:space="0"/>
              <w:right w:val="single" w:color="auto" w:sz="4" w:space="0"/>
            </w:tcBorders>
            <w:noWrap/>
            <w:vAlign w:val="center"/>
          </w:tcPr>
          <w:p>
            <w:pPr>
              <w:widowControl/>
              <w:jc w:val="center"/>
              <w:textAlignment w:val="center"/>
              <w:rPr>
                <w:color w:val="auto"/>
                <w:sz w:val="21"/>
                <w:szCs w:val="21"/>
                <w:highlight w:val="none"/>
              </w:rPr>
            </w:pPr>
          </w:p>
        </w:tc>
        <w:tc>
          <w:tcPr>
            <w:tcW w:w="720" w:type="dxa"/>
            <w:tcBorders>
              <w:top w:val="single" w:color="auto" w:sz="4" w:space="0"/>
              <w:left w:val="single" w:color="auto" w:sz="4" w:space="0"/>
              <w:bottom w:val="single" w:color="000000" w:sz="4" w:space="0"/>
              <w:right w:val="single" w:color="auto" w:sz="4" w:space="0"/>
            </w:tcBorders>
            <w:noWrap/>
            <w:vAlign w:val="center"/>
          </w:tcPr>
          <w:p>
            <w:pPr>
              <w:widowControl/>
              <w:jc w:val="center"/>
              <w:textAlignment w:val="center"/>
              <w:rPr>
                <w:color w:val="auto"/>
                <w:sz w:val="21"/>
                <w:szCs w:val="21"/>
                <w:highlight w:val="none"/>
              </w:rPr>
            </w:pPr>
          </w:p>
        </w:tc>
      </w:tr>
      <w:tr>
        <w:tblPrEx>
          <w:tblCellMar>
            <w:top w:w="15" w:type="dxa"/>
            <w:left w:w="15" w:type="dxa"/>
            <w:bottom w:w="15" w:type="dxa"/>
            <w:right w:w="15" w:type="dxa"/>
          </w:tblCellMar>
        </w:tblPrEx>
        <w:trPr>
          <w:trHeight w:val="1715" w:hRule="atLeast"/>
          <w:jc w:val="center"/>
        </w:trPr>
        <w:tc>
          <w:tcPr>
            <w:tcW w:w="570" w:type="dxa"/>
            <w:vMerge w:val="restart"/>
            <w:tcBorders>
              <w:top w:val="single" w:color="auto" w:sz="4" w:space="0"/>
              <w:left w:val="single" w:color="auto" w:sz="4" w:space="0"/>
              <w:right w:val="single" w:color="000000"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r>
              <w:rPr>
                <w:rFonts w:hint="eastAsia"/>
                <w:color w:val="auto"/>
                <w:sz w:val="21"/>
                <w:szCs w:val="21"/>
                <w:highlight w:val="none"/>
              </w:rPr>
              <w:t>3</w:t>
            </w:r>
          </w:p>
        </w:tc>
        <w:tc>
          <w:tcPr>
            <w:tcW w:w="1458" w:type="dxa"/>
            <w:vMerge w:val="restart"/>
            <w:tcBorders>
              <w:top w:val="single" w:color="auto" w:sz="4" w:space="0"/>
              <w:left w:val="single" w:color="000000" w:sz="4" w:space="0"/>
              <w:right w:val="single" w:color="auto"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r>
              <w:rPr>
                <w:rFonts w:hint="eastAsia"/>
                <w:color w:val="auto"/>
                <w:sz w:val="21"/>
                <w:szCs w:val="21"/>
                <w:highlight w:val="none"/>
              </w:rPr>
              <w:t>人员情况</w:t>
            </w:r>
          </w:p>
        </w:tc>
        <w:tc>
          <w:tcPr>
            <w:tcW w:w="5624" w:type="dxa"/>
            <w:tcBorders>
              <w:top w:val="single" w:color="auto" w:sz="4" w:space="0"/>
              <w:left w:val="single" w:color="auto" w:sz="4" w:space="0"/>
              <w:bottom w:val="single" w:color="auto" w:sz="4" w:space="0"/>
              <w:right w:val="single" w:color="auto" w:sz="4" w:space="0"/>
            </w:tcBorders>
            <w:noWrap/>
            <w:vAlign w:val="center"/>
          </w:tcPr>
          <w:p>
            <w:pPr>
              <w:pStyle w:val="41"/>
              <w:keepNext w:val="0"/>
              <w:keepLines w:val="0"/>
              <w:pageBreakBefore w:val="0"/>
              <w:kinsoku/>
              <w:overflowPunct/>
              <w:topLinePunct w:val="0"/>
              <w:bidi w:val="0"/>
              <w:adjustRightInd/>
              <w:snapToGrid/>
              <w:spacing w:before="0" w:line="240" w:lineRule="auto"/>
              <w:ind w:firstLine="0" w:firstLineChars="0"/>
              <w:rPr>
                <w:rFonts w:hAnsi="宋体" w:cs="宋体"/>
                <w:color w:val="auto"/>
                <w:sz w:val="21"/>
                <w:szCs w:val="21"/>
                <w:highlight w:val="none"/>
              </w:rPr>
            </w:pPr>
            <w:r>
              <w:rPr>
                <w:rFonts w:hint="eastAsia" w:hAnsi="宋体" w:cs="宋体"/>
                <w:color w:val="auto"/>
                <w:sz w:val="21"/>
                <w:szCs w:val="21"/>
                <w:highlight w:val="none"/>
              </w:rPr>
              <w:t>拟派本项目的项目负责人具备交通规划类或交通工程类等相关专业技术职称,</w:t>
            </w:r>
            <w:r>
              <w:rPr>
                <w:rFonts w:hint="eastAsia" w:hAnsi="宋体" w:cs="宋体"/>
                <w:color w:val="auto"/>
                <w:sz w:val="21"/>
                <w:szCs w:val="21"/>
                <w:highlight w:val="none"/>
                <w:lang w:val="en-US" w:eastAsia="zh-CN"/>
              </w:rPr>
              <w:t>正高级（或教授级或研究员级）高级工程师得3分，</w:t>
            </w:r>
            <w:r>
              <w:rPr>
                <w:rFonts w:hint="eastAsia" w:hAnsi="宋体" w:cs="宋体"/>
                <w:color w:val="auto"/>
                <w:sz w:val="21"/>
                <w:szCs w:val="21"/>
                <w:highlight w:val="none"/>
              </w:rPr>
              <w:t>高级工程师职称得</w:t>
            </w:r>
            <w:r>
              <w:rPr>
                <w:rFonts w:hint="eastAsia" w:hAnsi="宋体" w:cs="宋体"/>
                <w:color w:val="auto"/>
                <w:sz w:val="21"/>
                <w:szCs w:val="21"/>
                <w:highlight w:val="none"/>
                <w:lang w:val="en-US" w:eastAsia="zh-CN"/>
              </w:rPr>
              <w:t>2</w:t>
            </w:r>
            <w:r>
              <w:rPr>
                <w:rFonts w:hint="eastAsia" w:hAnsi="宋体" w:cs="宋体"/>
                <w:color w:val="auto"/>
                <w:sz w:val="21"/>
                <w:szCs w:val="21"/>
                <w:highlight w:val="none"/>
              </w:rPr>
              <w:t>分，其他不得分。</w:t>
            </w:r>
          </w:p>
          <w:p>
            <w:pPr>
              <w:pStyle w:val="41"/>
              <w:keepNext w:val="0"/>
              <w:keepLines w:val="0"/>
              <w:pageBreakBefore w:val="0"/>
              <w:kinsoku/>
              <w:overflowPunct/>
              <w:topLinePunct w:val="0"/>
              <w:bidi w:val="0"/>
              <w:adjustRightInd/>
              <w:snapToGrid/>
              <w:spacing w:before="0" w:line="240" w:lineRule="auto"/>
              <w:ind w:firstLine="0" w:firstLineChars="0"/>
              <w:rPr>
                <w:rFonts w:hAnsi="宋体" w:cs="宋体"/>
                <w:color w:val="auto"/>
                <w:sz w:val="21"/>
                <w:szCs w:val="21"/>
                <w:highlight w:val="none"/>
              </w:rPr>
            </w:pPr>
            <w:r>
              <w:rPr>
                <w:rFonts w:hint="eastAsia" w:hAnsi="宋体" w:cs="宋体"/>
                <w:b/>
                <w:bCs/>
                <w:color w:val="auto"/>
                <w:sz w:val="21"/>
                <w:szCs w:val="21"/>
                <w:highlight w:val="none"/>
              </w:rPr>
              <w:t>注：</w:t>
            </w:r>
            <w:r>
              <w:rPr>
                <w:rFonts w:hint="eastAsia" w:ascii="宋体" w:hAnsi="宋体" w:cs="仿宋_GB2312"/>
                <w:color w:val="auto"/>
                <w:sz w:val="21"/>
                <w:szCs w:val="18"/>
                <w:highlight w:val="none"/>
              </w:rPr>
              <w:t>须提供注册证书或资格（职称）证书扫描件及</w:t>
            </w:r>
            <w:r>
              <w:rPr>
                <w:rFonts w:ascii="宋体" w:hAnsi="宋体"/>
                <w:color w:val="auto"/>
                <w:kern w:val="0"/>
                <w:sz w:val="21"/>
                <w:szCs w:val="18"/>
                <w:highlight w:val="none"/>
              </w:rPr>
              <w:t>须提供当地社保机构出具的在本投标企业（或分公司）到投标截止日前</w:t>
            </w:r>
            <w:r>
              <w:rPr>
                <w:rFonts w:hint="eastAsia" w:hAnsi="宋体"/>
                <w:color w:val="auto"/>
                <w:kern w:val="0"/>
                <w:sz w:val="21"/>
                <w:szCs w:val="18"/>
                <w:highlight w:val="none"/>
                <w:lang w:val="en-US" w:eastAsia="zh-CN"/>
              </w:rPr>
              <w:t>6</w:t>
            </w:r>
            <w:r>
              <w:rPr>
                <w:rFonts w:ascii="宋体" w:hAnsi="宋体"/>
                <w:color w:val="auto"/>
                <w:kern w:val="0"/>
                <w:sz w:val="21"/>
                <w:szCs w:val="18"/>
                <w:highlight w:val="none"/>
              </w:rPr>
              <w:t>个月内</w:t>
            </w:r>
            <w:r>
              <w:rPr>
                <w:rFonts w:hint="eastAsia" w:hAnsi="宋体"/>
                <w:color w:val="auto"/>
                <w:kern w:val="0"/>
                <w:sz w:val="21"/>
                <w:szCs w:val="18"/>
                <w:highlight w:val="none"/>
                <w:lang w:val="en-US" w:eastAsia="zh-CN"/>
              </w:rPr>
              <w:t>近3</w:t>
            </w:r>
            <w:r>
              <w:rPr>
                <w:rFonts w:ascii="宋体" w:hAnsi="宋体"/>
                <w:color w:val="auto"/>
                <w:kern w:val="0"/>
                <w:sz w:val="21"/>
                <w:szCs w:val="18"/>
                <w:highlight w:val="none"/>
              </w:rPr>
              <w:t>个月的</w:t>
            </w:r>
            <w:r>
              <w:rPr>
                <w:rFonts w:hint="eastAsia" w:ascii="宋体" w:hAnsi="宋体"/>
                <w:color w:val="auto"/>
                <w:kern w:val="0"/>
                <w:sz w:val="21"/>
                <w:szCs w:val="18"/>
                <w:highlight w:val="none"/>
              </w:rPr>
              <w:t>个人</w:t>
            </w:r>
            <w:r>
              <w:rPr>
                <w:rFonts w:ascii="宋体" w:hAnsi="宋体"/>
                <w:color w:val="auto"/>
                <w:kern w:val="0"/>
                <w:sz w:val="21"/>
                <w:szCs w:val="18"/>
                <w:highlight w:val="none"/>
              </w:rPr>
              <w:t>社保</w:t>
            </w:r>
            <w:r>
              <w:rPr>
                <w:rFonts w:hint="eastAsia" w:ascii="宋体" w:hAnsi="宋体"/>
                <w:color w:val="auto"/>
                <w:kern w:val="0"/>
                <w:sz w:val="21"/>
                <w:szCs w:val="18"/>
                <w:highlight w:val="none"/>
              </w:rPr>
              <w:t>缴</w:t>
            </w:r>
            <w:r>
              <w:rPr>
                <w:rFonts w:ascii="宋体" w:hAnsi="宋体"/>
                <w:color w:val="auto"/>
                <w:kern w:val="0"/>
                <w:sz w:val="21"/>
                <w:szCs w:val="18"/>
                <w:highlight w:val="none"/>
              </w:rPr>
              <w:t>纳</w:t>
            </w:r>
            <w:r>
              <w:rPr>
                <w:rFonts w:hint="eastAsia" w:ascii="宋体" w:hAnsi="宋体"/>
                <w:color w:val="auto"/>
                <w:kern w:val="0"/>
                <w:sz w:val="21"/>
                <w:szCs w:val="18"/>
                <w:highlight w:val="none"/>
              </w:rPr>
              <w:t>证明</w:t>
            </w:r>
            <w:r>
              <w:rPr>
                <w:rFonts w:ascii="宋体" w:hAnsi="宋体"/>
                <w:color w:val="auto"/>
                <w:kern w:val="0"/>
                <w:sz w:val="21"/>
                <w:szCs w:val="18"/>
                <w:highlight w:val="none"/>
              </w:rPr>
              <w:t>材料</w:t>
            </w:r>
            <w:r>
              <w:rPr>
                <w:rFonts w:hint="eastAsia" w:hAnsi="宋体"/>
                <w:color w:val="auto"/>
                <w:kern w:val="0"/>
                <w:sz w:val="21"/>
                <w:szCs w:val="18"/>
                <w:highlight w:val="none"/>
                <w:lang w:eastAsia="zh-CN"/>
              </w:rPr>
              <w:t>，</w:t>
            </w:r>
            <w:r>
              <w:rPr>
                <w:rFonts w:hint="eastAsia" w:ascii="宋体" w:hAnsi="宋体" w:cs="仿宋_GB2312"/>
                <w:color w:val="auto"/>
                <w:sz w:val="21"/>
                <w:szCs w:val="18"/>
                <w:highlight w:val="none"/>
              </w:rPr>
              <w:t>加盖公章</w:t>
            </w:r>
            <w:r>
              <w:rPr>
                <w:rFonts w:hint="eastAsia" w:hAnsi="宋体" w:cs="仿宋_GB2312"/>
                <w:color w:val="auto"/>
                <w:sz w:val="21"/>
                <w:szCs w:val="18"/>
                <w:highlight w:val="none"/>
                <w:lang w:eastAsia="zh-CN"/>
              </w:rPr>
              <w:t>。</w:t>
            </w:r>
            <w:r>
              <w:rPr>
                <w:rFonts w:hint="eastAsia" w:ascii="宋体" w:hAnsi="宋体" w:eastAsia="宋体" w:cs="宋体"/>
                <w:color w:val="auto"/>
                <w:kern w:val="2"/>
                <w:sz w:val="21"/>
                <w:szCs w:val="21"/>
                <w:highlight w:val="none"/>
                <w:lang w:val="zh-Hans" w:eastAsia="zh-CN" w:bidi="ar-SA"/>
              </w:rPr>
              <w:t>未</w:t>
            </w:r>
            <w:r>
              <w:rPr>
                <w:rFonts w:hint="eastAsia" w:cs="宋体"/>
                <w:color w:val="auto"/>
                <w:kern w:val="2"/>
                <w:sz w:val="21"/>
                <w:szCs w:val="21"/>
                <w:highlight w:val="none"/>
                <w:lang w:val="en-US" w:eastAsia="zh-CN" w:bidi="ar-SA"/>
              </w:rPr>
              <w:t>加盖公章或未</w:t>
            </w:r>
            <w:r>
              <w:rPr>
                <w:rFonts w:hint="eastAsia" w:ascii="宋体" w:hAnsi="宋体" w:eastAsia="宋体" w:cs="宋体"/>
                <w:color w:val="auto"/>
                <w:kern w:val="2"/>
                <w:sz w:val="21"/>
                <w:szCs w:val="21"/>
                <w:highlight w:val="none"/>
                <w:lang w:val="zh-Hans" w:eastAsia="zh-CN" w:bidi="ar-SA"/>
              </w:rPr>
              <w:t>提供</w:t>
            </w:r>
            <w:r>
              <w:rPr>
                <w:rFonts w:hint="eastAsia" w:cs="宋体"/>
                <w:color w:val="auto"/>
                <w:kern w:val="2"/>
                <w:sz w:val="21"/>
                <w:szCs w:val="21"/>
                <w:highlight w:val="none"/>
                <w:lang w:val="en-US" w:eastAsia="zh-CN" w:bidi="ar-SA"/>
              </w:rPr>
              <w:t>证明材料</w:t>
            </w:r>
            <w:r>
              <w:rPr>
                <w:rFonts w:hint="eastAsia" w:ascii="宋体" w:hAnsi="宋体" w:eastAsia="宋体" w:cs="宋体"/>
                <w:color w:val="auto"/>
                <w:kern w:val="2"/>
                <w:sz w:val="21"/>
                <w:szCs w:val="21"/>
                <w:highlight w:val="none"/>
                <w:lang w:val="zh-Hans" w:eastAsia="zh-CN" w:bidi="ar-SA"/>
              </w:rPr>
              <w:t>的</w:t>
            </w:r>
            <w:r>
              <w:rPr>
                <w:rFonts w:hint="eastAsia" w:hAnsi="宋体" w:cs="宋体"/>
                <w:color w:val="auto"/>
                <w:kern w:val="2"/>
                <w:sz w:val="21"/>
                <w:szCs w:val="21"/>
                <w:highlight w:val="none"/>
                <w:lang w:val="en-US" w:eastAsia="zh-CN" w:bidi="ar-SA"/>
              </w:rPr>
              <w:t>均</w:t>
            </w:r>
            <w:r>
              <w:rPr>
                <w:rFonts w:hint="eastAsia" w:ascii="宋体" w:hAnsi="宋体" w:eastAsia="宋体" w:cs="宋体"/>
                <w:color w:val="auto"/>
                <w:kern w:val="2"/>
                <w:sz w:val="21"/>
                <w:szCs w:val="21"/>
                <w:highlight w:val="none"/>
                <w:lang w:val="zh-Hans" w:eastAsia="zh-CN" w:bidi="ar-SA"/>
              </w:rPr>
              <w:t>不得分。</w:t>
            </w:r>
            <w:r>
              <w:rPr>
                <w:rFonts w:hint="eastAsia" w:ascii="宋体" w:hAnsi="宋体" w:cs="仿宋_GB2312"/>
                <w:color w:val="auto"/>
                <w:sz w:val="21"/>
                <w:szCs w:val="18"/>
                <w:highlight w:val="none"/>
              </w:rPr>
              <w:t>）</w:t>
            </w:r>
          </w:p>
        </w:tc>
        <w:tc>
          <w:tcPr>
            <w:tcW w:w="855" w:type="dxa"/>
            <w:tcBorders>
              <w:top w:val="single" w:color="auto" w:sz="4" w:space="0"/>
              <w:left w:val="single" w:color="auto" w:sz="4" w:space="0"/>
              <w:bottom w:val="single" w:color="000000" w:sz="4" w:space="0"/>
              <w:right w:val="single" w:color="auto" w:sz="4" w:space="0"/>
            </w:tcBorders>
            <w:noWrap/>
            <w:vAlign w:val="center"/>
          </w:tcPr>
          <w:p>
            <w:pPr>
              <w:keepNext w:val="0"/>
              <w:keepLines w:val="0"/>
              <w:pageBreakBefore w:val="0"/>
              <w:kinsoku/>
              <w:overflowPunct/>
              <w:topLinePunct w:val="0"/>
              <w:bidi w:val="0"/>
              <w:adjustRightInd/>
              <w:snapToGrid/>
              <w:spacing w:line="360" w:lineRule="exact"/>
              <w:jc w:val="center"/>
              <w:rPr>
                <w:color w:val="auto"/>
                <w:sz w:val="21"/>
                <w:szCs w:val="21"/>
                <w:highlight w:val="none"/>
              </w:rPr>
            </w:pPr>
            <w:r>
              <w:rPr>
                <w:rFonts w:hint="eastAsia"/>
                <w:color w:val="auto"/>
                <w:sz w:val="21"/>
                <w:szCs w:val="21"/>
                <w:highlight w:val="none"/>
              </w:rPr>
              <w:t>0-3分</w:t>
            </w:r>
          </w:p>
        </w:tc>
        <w:tc>
          <w:tcPr>
            <w:tcW w:w="675" w:type="dxa"/>
            <w:tcBorders>
              <w:top w:val="single" w:color="auto" w:sz="4" w:space="0"/>
              <w:left w:val="single" w:color="auto" w:sz="4" w:space="0"/>
              <w:bottom w:val="single" w:color="000000" w:sz="4" w:space="0"/>
              <w:right w:val="single" w:color="auto" w:sz="4" w:space="0"/>
            </w:tcBorders>
            <w:noWrap/>
            <w:vAlign w:val="center"/>
          </w:tcPr>
          <w:p>
            <w:pPr>
              <w:widowControl/>
              <w:jc w:val="center"/>
              <w:textAlignment w:val="center"/>
              <w:rPr>
                <w:color w:val="auto"/>
                <w:sz w:val="21"/>
                <w:szCs w:val="21"/>
                <w:highlight w:val="none"/>
              </w:rPr>
            </w:pPr>
          </w:p>
        </w:tc>
        <w:tc>
          <w:tcPr>
            <w:tcW w:w="720" w:type="dxa"/>
            <w:tcBorders>
              <w:top w:val="single" w:color="auto" w:sz="4" w:space="0"/>
              <w:left w:val="single" w:color="auto" w:sz="4" w:space="0"/>
              <w:bottom w:val="single" w:color="000000" w:sz="4" w:space="0"/>
              <w:right w:val="single" w:color="auto" w:sz="4" w:space="0"/>
            </w:tcBorders>
            <w:noWrap/>
            <w:vAlign w:val="center"/>
          </w:tcPr>
          <w:p>
            <w:pPr>
              <w:widowControl/>
              <w:jc w:val="center"/>
              <w:textAlignment w:val="center"/>
              <w:rPr>
                <w:color w:val="auto"/>
                <w:sz w:val="21"/>
                <w:szCs w:val="21"/>
                <w:highlight w:val="none"/>
              </w:rPr>
            </w:pPr>
          </w:p>
        </w:tc>
      </w:tr>
      <w:tr>
        <w:tblPrEx>
          <w:tblCellMar>
            <w:top w:w="15" w:type="dxa"/>
            <w:left w:w="15" w:type="dxa"/>
            <w:bottom w:w="15" w:type="dxa"/>
            <w:right w:w="15" w:type="dxa"/>
          </w:tblCellMar>
        </w:tblPrEx>
        <w:trPr>
          <w:trHeight w:val="1692" w:hRule="atLeast"/>
          <w:jc w:val="center"/>
        </w:trPr>
        <w:tc>
          <w:tcPr>
            <w:tcW w:w="570" w:type="dxa"/>
            <w:vMerge w:val="continue"/>
            <w:tcBorders>
              <w:left w:val="single" w:color="auto" w:sz="4" w:space="0"/>
              <w:right w:val="single" w:color="000000"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p>
        </w:tc>
        <w:tc>
          <w:tcPr>
            <w:tcW w:w="1458" w:type="dxa"/>
            <w:vMerge w:val="continue"/>
            <w:tcBorders>
              <w:left w:val="single" w:color="000000" w:sz="4" w:space="0"/>
              <w:right w:val="single" w:color="auto"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p>
        </w:tc>
        <w:tc>
          <w:tcPr>
            <w:tcW w:w="562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overflowPunct/>
              <w:topLinePunct w:val="0"/>
              <w:bidi w:val="0"/>
              <w:adjustRightInd/>
              <w:snapToGrid/>
              <w:spacing w:line="240" w:lineRule="auto"/>
              <w:rPr>
                <w:color w:val="auto"/>
                <w:spacing w:val="-6"/>
                <w:sz w:val="21"/>
                <w:szCs w:val="21"/>
                <w:highlight w:val="none"/>
              </w:rPr>
            </w:pPr>
            <w:r>
              <w:rPr>
                <w:rFonts w:hint="eastAsia"/>
                <w:color w:val="auto"/>
                <w:spacing w:val="-6"/>
                <w:sz w:val="21"/>
                <w:szCs w:val="21"/>
                <w:highlight w:val="none"/>
              </w:rPr>
              <w:t>项目负责人自2017年1月1日</w:t>
            </w:r>
            <w:r>
              <w:rPr>
                <w:rFonts w:hint="eastAsia"/>
                <w:color w:val="auto"/>
                <w:sz w:val="21"/>
                <w:szCs w:val="21"/>
                <w:highlight w:val="none"/>
              </w:rPr>
              <w:t>以来（以合同签订时间为准），</w:t>
            </w:r>
            <w:r>
              <w:rPr>
                <w:rFonts w:hint="eastAsia"/>
                <w:color w:val="auto"/>
                <w:spacing w:val="-6"/>
                <w:sz w:val="21"/>
                <w:szCs w:val="21"/>
                <w:highlight w:val="none"/>
              </w:rPr>
              <w:t>承担过类似</w:t>
            </w:r>
            <w:r>
              <w:rPr>
                <w:rFonts w:hint="eastAsia"/>
                <w:color w:val="auto"/>
                <w:sz w:val="21"/>
                <w:szCs w:val="21"/>
                <w:highlight w:val="none"/>
              </w:rPr>
              <w:t>交通类规划</w:t>
            </w:r>
            <w:r>
              <w:rPr>
                <w:rFonts w:hint="eastAsia"/>
                <w:color w:val="auto"/>
                <w:spacing w:val="-6"/>
                <w:sz w:val="21"/>
                <w:szCs w:val="21"/>
                <w:highlight w:val="none"/>
              </w:rPr>
              <w:t>项目业绩的，每个得</w:t>
            </w:r>
            <w:r>
              <w:rPr>
                <w:rFonts w:hint="eastAsia"/>
                <w:color w:val="auto"/>
                <w:spacing w:val="-6"/>
                <w:sz w:val="21"/>
                <w:szCs w:val="21"/>
                <w:highlight w:val="none"/>
                <w:lang w:val="en-US" w:eastAsia="zh-CN"/>
              </w:rPr>
              <w:t>0.5</w:t>
            </w:r>
            <w:r>
              <w:rPr>
                <w:rFonts w:hint="eastAsia"/>
                <w:color w:val="auto"/>
                <w:spacing w:val="-6"/>
                <w:sz w:val="21"/>
                <w:szCs w:val="21"/>
                <w:highlight w:val="none"/>
              </w:rPr>
              <w:t>分，最多得</w:t>
            </w:r>
            <w:r>
              <w:rPr>
                <w:rFonts w:hint="eastAsia"/>
                <w:color w:val="auto"/>
                <w:spacing w:val="-6"/>
                <w:sz w:val="21"/>
                <w:szCs w:val="21"/>
                <w:highlight w:val="none"/>
                <w:lang w:val="en-US" w:eastAsia="zh-CN"/>
              </w:rPr>
              <w:t>1</w:t>
            </w:r>
            <w:r>
              <w:rPr>
                <w:rFonts w:hint="eastAsia"/>
                <w:color w:val="auto"/>
                <w:spacing w:val="-6"/>
                <w:sz w:val="21"/>
                <w:szCs w:val="21"/>
                <w:highlight w:val="none"/>
              </w:rPr>
              <w:t>分。</w:t>
            </w:r>
          </w:p>
          <w:p>
            <w:pPr>
              <w:keepNext w:val="0"/>
              <w:keepLines w:val="0"/>
              <w:pageBreakBefore w:val="0"/>
              <w:widowControl/>
              <w:kinsoku/>
              <w:overflowPunct/>
              <w:topLinePunct w:val="0"/>
              <w:bidi w:val="0"/>
              <w:adjustRightInd/>
              <w:snapToGrid/>
              <w:spacing w:line="240" w:lineRule="auto"/>
              <w:rPr>
                <w:color w:val="auto"/>
                <w:sz w:val="21"/>
                <w:szCs w:val="21"/>
                <w:highlight w:val="none"/>
              </w:rPr>
            </w:pPr>
            <w:r>
              <w:rPr>
                <w:rFonts w:hint="eastAsia"/>
                <w:b/>
                <w:bCs/>
                <w:color w:val="auto"/>
                <w:sz w:val="21"/>
                <w:szCs w:val="21"/>
                <w:highlight w:val="none"/>
              </w:rPr>
              <w:t>注：</w:t>
            </w:r>
            <w:r>
              <w:rPr>
                <w:rFonts w:hint="eastAsia" w:ascii="宋体" w:hAnsi="宋体" w:eastAsia="宋体" w:cs="宋体"/>
                <w:color w:val="auto"/>
                <w:kern w:val="2"/>
                <w:sz w:val="21"/>
                <w:szCs w:val="21"/>
                <w:highlight w:val="none"/>
                <w:lang w:val="en-US" w:eastAsia="zh-CN" w:bidi="ar-SA"/>
              </w:rPr>
              <w:t>1.同一项目不同年度合同不重复得分。2.投标文件中提供完整的加盖电子公章的合同扫描件。3.</w:t>
            </w:r>
            <w:r>
              <w:rPr>
                <w:rFonts w:hint="eastAsia" w:cs="宋体"/>
                <w:color w:val="auto"/>
                <w:kern w:val="2"/>
                <w:sz w:val="21"/>
                <w:szCs w:val="21"/>
                <w:highlight w:val="none"/>
                <w:lang w:val="en-US" w:eastAsia="zh-CN" w:bidi="ar-SA"/>
              </w:rPr>
              <w:t>合同不能体现项目负责人的需提供中标通知书或业主证明材料，</w:t>
            </w:r>
            <w:r>
              <w:rPr>
                <w:rFonts w:hint="eastAsia" w:ascii="宋体" w:hAnsi="宋体" w:eastAsia="宋体" w:cs="宋体"/>
                <w:color w:val="auto"/>
                <w:kern w:val="2"/>
                <w:sz w:val="21"/>
                <w:szCs w:val="21"/>
                <w:highlight w:val="none"/>
                <w:lang w:val="en-US" w:eastAsia="zh-CN" w:bidi="ar-SA"/>
              </w:rPr>
              <w:t>日期以合同签署日期为准</w:t>
            </w:r>
            <w:r>
              <w:rPr>
                <w:rFonts w:hint="eastAsia" w:ascii="宋体" w:hAnsi="宋体" w:eastAsia="宋体" w:cs="宋体"/>
                <w:color w:val="auto"/>
                <w:kern w:val="2"/>
                <w:sz w:val="21"/>
                <w:szCs w:val="21"/>
                <w:highlight w:val="none"/>
                <w:lang w:val="zh-Hans" w:eastAsia="zh-CN" w:bidi="ar-SA"/>
              </w:rPr>
              <w:t xml:space="preserve"> 。未</w:t>
            </w:r>
            <w:r>
              <w:rPr>
                <w:rFonts w:hint="eastAsia" w:cs="宋体"/>
                <w:color w:val="auto"/>
                <w:kern w:val="2"/>
                <w:sz w:val="21"/>
                <w:szCs w:val="21"/>
                <w:highlight w:val="none"/>
                <w:lang w:val="en-US" w:eastAsia="zh-CN" w:bidi="ar-SA"/>
              </w:rPr>
              <w:t>加盖公章或未</w:t>
            </w:r>
            <w:r>
              <w:rPr>
                <w:rFonts w:hint="eastAsia" w:ascii="宋体" w:hAnsi="宋体" w:eastAsia="宋体" w:cs="宋体"/>
                <w:color w:val="auto"/>
                <w:kern w:val="2"/>
                <w:sz w:val="21"/>
                <w:szCs w:val="21"/>
                <w:highlight w:val="none"/>
                <w:lang w:val="zh-Hans" w:eastAsia="zh-CN" w:bidi="ar-SA"/>
              </w:rPr>
              <w:t>提供</w:t>
            </w:r>
            <w:r>
              <w:rPr>
                <w:rFonts w:hint="eastAsia" w:cs="宋体"/>
                <w:color w:val="auto"/>
                <w:kern w:val="2"/>
                <w:sz w:val="21"/>
                <w:szCs w:val="21"/>
                <w:highlight w:val="none"/>
                <w:lang w:val="en-US" w:eastAsia="zh-CN" w:bidi="ar-SA"/>
              </w:rPr>
              <w:t>证明材料</w:t>
            </w:r>
            <w:r>
              <w:rPr>
                <w:rFonts w:hint="eastAsia" w:ascii="宋体" w:hAnsi="宋体" w:eastAsia="宋体" w:cs="宋体"/>
                <w:color w:val="auto"/>
                <w:kern w:val="2"/>
                <w:sz w:val="21"/>
                <w:szCs w:val="21"/>
                <w:highlight w:val="none"/>
                <w:lang w:val="zh-Hans" w:eastAsia="zh-CN" w:bidi="ar-SA"/>
              </w:rPr>
              <w:t>的</w:t>
            </w:r>
            <w:r>
              <w:rPr>
                <w:rFonts w:hint="eastAsia" w:cs="宋体"/>
                <w:color w:val="auto"/>
                <w:kern w:val="2"/>
                <w:sz w:val="21"/>
                <w:szCs w:val="21"/>
                <w:highlight w:val="none"/>
                <w:lang w:val="en-US" w:eastAsia="zh-CN" w:bidi="ar-SA"/>
              </w:rPr>
              <w:t>均</w:t>
            </w:r>
            <w:r>
              <w:rPr>
                <w:rFonts w:hint="eastAsia" w:ascii="宋体" w:hAnsi="宋体" w:eastAsia="宋体" w:cs="宋体"/>
                <w:color w:val="auto"/>
                <w:kern w:val="2"/>
                <w:sz w:val="21"/>
                <w:szCs w:val="21"/>
                <w:highlight w:val="none"/>
                <w:lang w:val="zh-Hans" w:eastAsia="zh-CN" w:bidi="ar-SA"/>
              </w:rPr>
              <w:t>不得分。</w:t>
            </w:r>
          </w:p>
        </w:tc>
        <w:tc>
          <w:tcPr>
            <w:tcW w:w="855" w:type="dxa"/>
            <w:tcBorders>
              <w:top w:val="single" w:color="auto" w:sz="4" w:space="0"/>
              <w:left w:val="single" w:color="auto" w:sz="4" w:space="0"/>
              <w:bottom w:val="single" w:color="000000" w:sz="4" w:space="0"/>
              <w:right w:val="single" w:color="auto" w:sz="4" w:space="0"/>
            </w:tcBorders>
            <w:noWrap/>
            <w:vAlign w:val="center"/>
          </w:tcPr>
          <w:p>
            <w:pPr>
              <w:keepNext w:val="0"/>
              <w:keepLines w:val="0"/>
              <w:pageBreakBefore w:val="0"/>
              <w:kinsoku/>
              <w:overflowPunct/>
              <w:topLinePunct w:val="0"/>
              <w:bidi w:val="0"/>
              <w:adjustRightInd/>
              <w:snapToGrid/>
              <w:spacing w:line="360" w:lineRule="exact"/>
              <w:jc w:val="center"/>
              <w:rPr>
                <w:color w:val="auto"/>
                <w:sz w:val="21"/>
                <w:szCs w:val="21"/>
                <w:highlight w:val="none"/>
              </w:rPr>
            </w:pPr>
            <w:r>
              <w:rPr>
                <w:rFonts w:hint="eastAsia"/>
                <w:color w:val="auto"/>
                <w:sz w:val="21"/>
                <w:szCs w:val="21"/>
                <w:highlight w:val="none"/>
              </w:rPr>
              <w:t>0-</w:t>
            </w:r>
            <w:r>
              <w:rPr>
                <w:rFonts w:hint="eastAsia"/>
                <w:color w:val="auto"/>
                <w:sz w:val="21"/>
                <w:szCs w:val="21"/>
                <w:highlight w:val="none"/>
                <w:lang w:val="en-US" w:eastAsia="zh-CN"/>
              </w:rPr>
              <w:t>1</w:t>
            </w:r>
            <w:r>
              <w:rPr>
                <w:rFonts w:hint="eastAsia"/>
                <w:color w:val="auto"/>
                <w:sz w:val="21"/>
                <w:szCs w:val="21"/>
                <w:highlight w:val="none"/>
              </w:rPr>
              <w:t>分</w:t>
            </w:r>
          </w:p>
        </w:tc>
        <w:tc>
          <w:tcPr>
            <w:tcW w:w="675" w:type="dxa"/>
            <w:tcBorders>
              <w:top w:val="single" w:color="auto" w:sz="4" w:space="0"/>
              <w:left w:val="single" w:color="auto" w:sz="4" w:space="0"/>
              <w:bottom w:val="single" w:color="000000" w:sz="4" w:space="0"/>
              <w:right w:val="single" w:color="auto" w:sz="4" w:space="0"/>
            </w:tcBorders>
            <w:noWrap/>
            <w:vAlign w:val="center"/>
          </w:tcPr>
          <w:p>
            <w:pPr>
              <w:widowControl/>
              <w:jc w:val="center"/>
              <w:textAlignment w:val="center"/>
              <w:rPr>
                <w:color w:val="auto"/>
                <w:sz w:val="21"/>
                <w:szCs w:val="21"/>
                <w:highlight w:val="none"/>
              </w:rPr>
            </w:pPr>
          </w:p>
        </w:tc>
        <w:tc>
          <w:tcPr>
            <w:tcW w:w="720" w:type="dxa"/>
            <w:tcBorders>
              <w:top w:val="single" w:color="auto" w:sz="4" w:space="0"/>
              <w:left w:val="single" w:color="auto" w:sz="4" w:space="0"/>
              <w:bottom w:val="single" w:color="000000" w:sz="4" w:space="0"/>
              <w:right w:val="single" w:color="auto" w:sz="4" w:space="0"/>
            </w:tcBorders>
            <w:noWrap/>
            <w:vAlign w:val="center"/>
          </w:tcPr>
          <w:p>
            <w:pPr>
              <w:widowControl/>
              <w:jc w:val="center"/>
              <w:textAlignment w:val="center"/>
              <w:rPr>
                <w:color w:val="auto"/>
                <w:sz w:val="21"/>
                <w:szCs w:val="21"/>
                <w:highlight w:val="none"/>
              </w:rPr>
            </w:pPr>
          </w:p>
        </w:tc>
      </w:tr>
      <w:tr>
        <w:tblPrEx>
          <w:tblCellMar>
            <w:top w:w="15" w:type="dxa"/>
            <w:left w:w="15" w:type="dxa"/>
            <w:bottom w:w="15" w:type="dxa"/>
            <w:right w:w="15" w:type="dxa"/>
          </w:tblCellMar>
        </w:tblPrEx>
        <w:trPr>
          <w:trHeight w:val="1700" w:hRule="atLeast"/>
          <w:jc w:val="center"/>
        </w:trPr>
        <w:tc>
          <w:tcPr>
            <w:tcW w:w="570" w:type="dxa"/>
            <w:vMerge w:val="continue"/>
            <w:tcBorders>
              <w:left w:val="single" w:color="auto" w:sz="4" w:space="0"/>
              <w:bottom w:val="single" w:color="auto" w:sz="4" w:space="0"/>
              <w:right w:val="single" w:color="000000"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p>
        </w:tc>
        <w:tc>
          <w:tcPr>
            <w:tcW w:w="1458" w:type="dxa"/>
            <w:vMerge w:val="continue"/>
            <w:tcBorders>
              <w:left w:val="single" w:color="000000" w:sz="4" w:space="0"/>
              <w:bottom w:val="single" w:color="auto" w:sz="4" w:space="0"/>
              <w:right w:val="single" w:color="auto"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p>
        </w:tc>
        <w:tc>
          <w:tcPr>
            <w:tcW w:w="562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overflowPunct/>
              <w:topLinePunct w:val="0"/>
              <w:bidi w:val="0"/>
              <w:adjustRightInd/>
              <w:snapToGrid/>
              <w:spacing w:line="240" w:lineRule="auto"/>
              <w:rPr>
                <w:color w:val="auto"/>
                <w:sz w:val="21"/>
                <w:szCs w:val="21"/>
                <w:highlight w:val="none"/>
              </w:rPr>
            </w:pPr>
            <w:r>
              <w:rPr>
                <w:rFonts w:hint="eastAsia"/>
                <w:color w:val="auto"/>
                <w:sz w:val="21"/>
                <w:szCs w:val="21"/>
                <w:highlight w:val="none"/>
              </w:rPr>
              <w:t>拟派本项目的项目</w:t>
            </w:r>
            <w:r>
              <w:rPr>
                <w:rFonts w:hint="eastAsia"/>
                <w:color w:val="auto"/>
                <w:sz w:val="21"/>
                <w:szCs w:val="21"/>
                <w:highlight w:val="none"/>
                <w:lang w:val="en-US" w:eastAsia="zh-CN"/>
              </w:rPr>
              <w:t>组</w:t>
            </w:r>
            <w:r>
              <w:rPr>
                <w:rFonts w:hint="eastAsia"/>
                <w:color w:val="auto"/>
                <w:sz w:val="21"/>
                <w:szCs w:val="21"/>
                <w:highlight w:val="none"/>
              </w:rPr>
              <w:t>成员（不包含项目负责人）具有交通工程类等相关专业高级工程师及以上职称的每个得1分，最多得</w:t>
            </w:r>
            <w:r>
              <w:rPr>
                <w:rFonts w:hint="eastAsia"/>
                <w:color w:val="auto"/>
                <w:sz w:val="21"/>
                <w:szCs w:val="21"/>
                <w:highlight w:val="none"/>
                <w:lang w:val="en-US" w:eastAsia="zh-CN"/>
              </w:rPr>
              <w:t>4</w:t>
            </w:r>
            <w:r>
              <w:rPr>
                <w:rFonts w:hint="eastAsia"/>
                <w:color w:val="auto"/>
                <w:sz w:val="21"/>
                <w:szCs w:val="21"/>
                <w:highlight w:val="none"/>
              </w:rPr>
              <w:t>分，同一人不得重复的分。</w:t>
            </w:r>
          </w:p>
          <w:p>
            <w:pPr>
              <w:keepNext w:val="0"/>
              <w:keepLines w:val="0"/>
              <w:pageBreakBefore w:val="0"/>
              <w:widowControl/>
              <w:kinsoku/>
              <w:overflowPunct/>
              <w:topLinePunct w:val="0"/>
              <w:bidi w:val="0"/>
              <w:adjustRightInd/>
              <w:snapToGrid/>
              <w:spacing w:line="240" w:lineRule="auto"/>
              <w:rPr>
                <w:color w:val="auto"/>
                <w:sz w:val="21"/>
                <w:szCs w:val="21"/>
                <w:highlight w:val="none"/>
              </w:rPr>
            </w:pPr>
            <w:r>
              <w:rPr>
                <w:rFonts w:hint="eastAsia"/>
                <w:b/>
                <w:bCs/>
                <w:color w:val="auto"/>
                <w:sz w:val="21"/>
                <w:szCs w:val="21"/>
                <w:highlight w:val="none"/>
              </w:rPr>
              <w:t>注：</w:t>
            </w:r>
            <w:r>
              <w:rPr>
                <w:rFonts w:hint="eastAsia" w:ascii="宋体" w:hAnsi="宋体" w:cs="仿宋_GB2312"/>
                <w:color w:val="auto"/>
                <w:sz w:val="21"/>
                <w:szCs w:val="18"/>
                <w:highlight w:val="none"/>
              </w:rPr>
              <w:t>拟投入以上人员须提供注册证书或资格（职称）证书扫描件及</w:t>
            </w:r>
            <w:r>
              <w:rPr>
                <w:rFonts w:ascii="宋体" w:hAnsi="宋体"/>
                <w:color w:val="auto"/>
                <w:kern w:val="0"/>
                <w:sz w:val="21"/>
                <w:szCs w:val="18"/>
                <w:highlight w:val="none"/>
              </w:rPr>
              <w:t>须提供</w:t>
            </w:r>
            <w:r>
              <w:rPr>
                <w:rFonts w:hint="eastAsia" w:hAnsi="宋体"/>
                <w:color w:val="auto"/>
                <w:kern w:val="0"/>
                <w:sz w:val="21"/>
                <w:szCs w:val="18"/>
                <w:highlight w:val="none"/>
                <w:lang w:val="en-US" w:eastAsia="zh-CN"/>
              </w:rPr>
              <w:t>拟派人员</w:t>
            </w:r>
            <w:r>
              <w:rPr>
                <w:rFonts w:ascii="宋体" w:hAnsi="宋体"/>
                <w:color w:val="auto"/>
                <w:kern w:val="0"/>
                <w:sz w:val="21"/>
                <w:szCs w:val="18"/>
                <w:highlight w:val="none"/>
              </w:rPr>
              <w:t>由当地社保机构出具的在本投标企业到投标截止日前</w:t>
            </w:r>
            <w:r>
              <w:rPr>
                <w:rFonts w:hint="eastAsia" w:hAnsi="宋体"/>
                <w:color w:val="auto"/>
                <w:kern w:val="0"/>
                <w:sz w:val="21"/>
                <w:szCs w:val="18"/>
                <w:highlight w:val="none"/>
                <w:lang w:val="en-US" w:eastAsia="zh-CN"/>
              </w:rPr>
              <w:t>6</w:t>
            </w:r>
            <w:r>
              <w:rPr>
                <w:rFonts w:ascii="宋体" w:hAnsi="宋体"/>
                <w:color w:val="auto"/>
                <w:kern w:val="0"/>
                <w:sz w:val="21"/>
                <w:szCs w:val="18"/>
                <w:highlight w:val="none"/>
              </w:rPr>
              <w:t>个月内</w:t>
            </w:r>
            <w:r>
              <w:rPr>
                <w:rFonts w:hint="eastAsia" w:hAnsi="宋体"/>
                <w:color w:val="auto"/>
                <w:kern w:val="0"/>
                <w:sz w:val="21"/>
                <w:szCs w:val="18"/>
                <w:highlight w:val="none"/>
                <w:lang w:val="en-US" w:eastAsia="zh-CN"/>
              </w:rPr>
              <w:t>近3</w:t>
            </w:r>
            <w:r>
              <w:rPr>
                <w:rFonts w:ascii="宋体" w:hAnsi="宋体"/>
                <w:color w:val="auto"/>
                <w:kern w:val="0"/>
                <w:sz w:val="21"/>
                <w:szCs w:val="18"/>
                <w:highlight w:val="none"/>
              </w:rPr>
              <w:t>个月的</w:t>
            </w:r>
            <w:r>
              <w:rPr>
                <w:rFonts w:hint="eastAsia" w:ascii="宋体" w:hAnsi="宋体"/>
                <w:color w:val="auto"/>
                <w:kern w:val="0"/>
                <w:sz w:val="21"/>
                <w:szCs w:val="18"/>
                <w:highlight w:val="none"/>
              </w:rPr>
              <w:t>个人</w:t>
            </w:r>
            <w:r>
              <w:rPr>
                <w:rFonts w:ascii="宋体" w:hAnsi="宋体"/>
                <w:color w:val="auto"/>
                <w:kern w:val="0"/>
                <w:sz w:val="21"/>
                <w:szCs w:val="18"/>
                <w:highlight w:val="none"/>
              </w:rPr>
              <w:t>社保</w:t>
            </w:r>
            <w:r>
              <w:rPr>
                <w:rFonts w:hint="eastAsia" w:ascii="宋体" w:hAnsi="宋体"/>
                <w:color w:val="auto"/>
                <w:kern w:val="0"/>
                <w:sz w:val="21"/>
                <w:szCs w:val="18"/>
                <w:highlight w:val="none"/>
              </w:rPr>
              <w:t>缴</w:t>
            </w:r>
            <w:r>
              <w:rPr>
                <w:rFonts w:ascii="宋体" w:hAnsi="宋体"/>
                <w:color w:val="auto"/>
                <w:kern w:val="0"/>
                <w:sz w:val="21"/>
                <w:szCs w:val="18"/>
                <w:highlight w:val="none"/>
              </w:rPr>
              <w:t>纳</w:t>
            </w:r>
            <w:r>
              <w:rPr>
                <w:rFonts w:hint="eastAsia" w:ascii="宋体" w:hAnsi="宋体"/>
                <w:color w:val="auto"/>
                <w:kern w:val="0"/>
                <w:sz w:val="21"/>
                <w:szCs w:val="18"/>
                <w:highlight w:val="none"/>
              </w:rPr>
              <w:t>证明</w:t>
            </w:r>
            <w:r>
              <w:rPr>
                <w:rFonts w:ascii="宋体" w:hAnsi="宋体"/>
                <w:color w:val="auto"/>
                <w:kern w:val="0"/>
                <w:sz w:val="21"/>
                <w:szCs w:val="18"/>
                <w:highlight w:val="none"/>
              </w:rPr>
              <w:t>材料</w:t>
            </w:r>
            <w:r>
              <w:rPr>
                <w:rFonts w:hint="eastAsia"/>
                <w:color w:val="auto"/>
                <w:kern w:val="0"/>
                <w:sz w:val="21"/>
                <w:szCs w:val="18"/>
                <w:highlight w:val="none"/>
                <w:lang w:eastAsia="zh-CN"/>
              </w:rPr>
              <w:t>，</w:t>
            </w:r>
            <w:r>
              <w:rPr>
                <w:rFonts w:hint="eastAsia" w:ascii="宋体" w:hAnsi="宋体" w:cs="仿宋_GB2312"/>
                <w:color w:val="auto"/>
                <w:sz w:val="21"/>
                <w:szCs w:val="18"/>
                <w:highlight w:val="none"/>
              </w:rPr>
              <w:t>加盖公章</w:t>
            </w:r>
            <w:r>
              <w:rPr>
                <w:rFonts w:hint="eastAsia" w:cs="仿宋_GB2312"/>
                <w:color w:val="auto"/>
                <w:sz w:val="21"/>
                <w:szCs w:val="18"/>
                <w:highlight w:val="none"/>
                <w:lang w:eastAsia="zh-CN"/>
              </w:rPr>
              <w:t>。</w:t>
            </w:r>
            <w:r>
              <w:rPr>
                <w:rFonts w:hint="eastAsia" w:ascii="宋体" w:hAnsi="宋体" w:eastAsia="宋体" w:cs="宋体"/>
                <w:color w:val="auto"/>
                <w:kern w:val="2"/>
                <w:sz w:val="21"/>
                <w:szCs w:val="21"/>
                <w:highlight w:val="none"/>
                <w:lang w:val="zh-Hans" w:eastAsia="zh-CN" w:bidi="ar-SA"/>
              </w:rPr>
              <w:t>未</w:t>
            </w:r>
            <w:r>
              <w:rPr>
                <w:rFonts w:hint="eastAsia" w:cs="宋体"/>
                <w:color w:val="auto"/>
                <w:kern w:val="2"/>
                <w:sz w:val="21"/>
                <w:szCs w:val="21"/>
                <w:highlight w:val="none"/>
                <w:lang w:val="en-US" w:eastAsia="zh-CN" w:bidi="ar-SA"/>
              </w:rPr>
              <w:t>加盖公章或未</w:t>
            </w:r>
            <w:r>
              <w:rPr>
                <w:rFonts w:hint="eastAsia" w:ascii="宋体" w:hAnsi="宋体" w:eastAsia="宋体" w:cs="宋体"/>
                <w:color w:val="auto"/>
                <w:kern w:val="2"/>
                <w:sz w:val="21"/>
                <w:szCs w:val="21"/>
                <w:highlight w:val="none"/>
                <w:lang w:val="zh-Hans" w:eastAsia="zh-CN" w:bidi="ar-SA"/>
              </w:rPr>
              <w:t>提供</w:t>
            </w:r>
            <w:r>
              <w:rPr>
                <w:rFonts w:hint="eastAsia" w:cs="宋体"/>
                <w:color w:val="auto"/>
                <w:kern w:val="2"/>
                <w:sz w:val="21"/>
                <w:szCs w:val="21"/>
                <w:highlight w:val="none"/>
                <w:lang w:val="en-US" w:eastAsia="zh-CN" w:bidi="ar-SA"/>
              </w:rPr>
              <w:t>证明材料</w:t>
            </w:r>
            <w:r>
              <w:rPr>
                <w:rFonts w:hint="eastAsia" w:ascii="宋体" w:hAnsi="宋体" w:eastAsia="宋体" w:cs="宋体"/>
                <w:color w:val="auto"/>
                <w:kern w:val="2"/>
                <w:sz w:val="21"/>
                <w:szCs w:val="21"/>
                <w:highlight w:val="none"/>
                <w:lang w:val="zh-Hans" w:eastAsia="zh-CN" w:bidi="ar-SA"/>
              </w:rPr>
              <w:t>的不得分。</w:t>
            </w:r>
            <w:r>
              <w:rPr>
                <w:rFonts w:hint="eastAsia" w:ascii="宋体" w:hAnsi="宋体" w:cs="仿宋_GB2312"/>
                <w:color w:val="auto"/>
                <w:sz w:val="21"/>
                <w:szCs w:val="18"/>
                <w:highlight w:val="none"/>
              </w:rPr>
              <w:t>）</w:t>
            </w:r>
          </w:p>
        </w:tc>
        <w:tc>
          <w:tcPr>
            <w:tcW w:w="855" w:type="dxa"/>
            <w:tcBorders>
              <w:top w:val="single" w:color="auto" w:sz="4" w:space="0"/>
              <w:left w:val="single" w:color="auto" w:sz="4" w:space="0"/>
              <w:bottom w:val="single" w:color="000000" w:sz="4" w:space="0"/>
              <w:right w:val="single" w:color="auto" w:sz="4" w:space="0"/>
            </w:tcBorders>
            <w:noWrap/>
            <w:vAlign w:val="center"/>
          </w:tcPr>
          <w:p>
            <w:pPr>
              <w:keepNext w:val="0"/>
              <w:keepLines w:val="0"/>
              <w:pageBreakBefore w:val="0"/>
              <w:kinsoku/>
              <w:overflowPunct/>
              <w:topLinePunct w:val="0"/>
              <w:bidi w:val="0"/>
              <w:adjustRightInd/>
              <w:snapToGrid/>
              <w:spacing w:line="360" w:lineRule="exact"/>
              <w:jc w:val="center"/>
              <w:rPr>
                <w:color w:val="auto"/>
                <w:sz w:val="21"/>
                <w:szCs w:val="21"/>
                <w:highlight w:val="none"/>
              </w:rPr>
            </w:pPr>
            <w:r>
              <w:rPr>
                <w:rFonts w:hint="eastAsia"/>
                <w:color w:val="auto"/>
                <w:sz w:val="21"/>
                <w:szCs w:val="21"/>
                <w:highlight w:val="none"/>
              </w:rPr>
              <w:t>0-</w:t>
            </w:r>
            <w:r>
              <w:rPr>
                <w:rFonts w:hint="eastAsia"/>
                <w:color w:val="auto"/>
                <w:sz w:val="21"/>
                <w:szCs w:val="21"/>
                <w:highlight w:val="none"/>
                <w:lang w:val="en-US" w:eastAsia="zh-CN"/>
              </w:rPr>
              <w:t>4</w:t>
            </w:r>
            <w:r>
              <w:rPr>
                <w:rFonts w:hint="eastAsia"/>
                <w:color w:val="auto"/>
                <w:sz w:val="21"/>
                <w:szCs w:val="21"/>
                <w:highlight w:val="none"/>
              </w:rPr>
              <w:t>分</w:t>
            </w:r>
          </w:p>
        </w:tc>
        <w:tc>
          <w:tcPr>
            <w:tcW w:w="675" w:type="dxa"/>
            <w:tcBorders>
              <w:top w:val="single" w:color="auto" w:sz="4" w:space="0"/>
              <w:left w:val="single" w:color="auto" w:sz="4" w:space="0"/>
              <w:bottom w:val="single" w:color="000000" w:sz="4" w:space="0"/>
              <w:right w:val="single" w:color="auto" w:sz="4" w:space="0"/>
            </w:tcBorders>
            <w:noWrap/>
            <w:vAlign w:val="center"/>
          </w:tcPr>
          <w:p>
            <w:pPr>
              <w:widowControl/>
              <w:jc w:val="center"/>
              <w:textAlignment w:val="center"/>
              <w:rPr>
                <w:color w:val="auto"/>
                <w:sz w:val="21"/>
                <w:szCs w:val="21"/>
                <w:highlight w:val="none"/>
              </w:rPr>
            </w:pPr>
          </w:p>
        </w:tc>
        <w:tc>
          <w:tcPr>
            <w:tcW w:w="720" w:type="dxa"/>
            <w:tcBorders>
              <w:top w:val="single" w:color="auto" w:sz="4" w:space="0"/>
              <w:left w:val="single" w:color="auto" w:sz="4" w:space="0"/>
              <w:bottom w:val="single" w:color="000000" w:sz="4" w:space="0"/>
              <w:right w:val="single" w:color="auto" w:sz="4" w:space="0"/>
            </w:tcBorders>
            <w:noWrap/>
            <w:vAlign w:val="center"/>
          </w:tcPr>
          <w:p>
            <w:pPr>
              <w:widowControl/>
              <w:jc w:val="center"/>
              <w:textAlignment w:val="center"/>
              <w:rPr>
                <w:color w:val="auto"/>
                <w:sz w:val="21"/>
                <w:szCs w:val="21"/>
                <w:highlight w:val="none"/>
              </w:rPr>
            </w:pPr>
          </w:p>
        </w:tc>
      </w:tr>
      <w:tr>
        <w:tblPrEx>
          <w:tblCellMar>
            <w:top w:w="15" w:type="dxa"/>
            <w:left w:w="15" w:type="dxa"/>
            <w:bottom w:w="15" w:type="dxa"/>
            <w:right w:w="15" w:type="dxa"/>
          </w:tblCellMar>
        </w:tblPrEx>
        <w:trPr>
          <w:trHeight w:val="419" w:hRule="exact"/>
          <w:jc w:val="center"/>
        </w:trPr>
        <w:tc>
          <w:tcPr>
            <w:tcW w:w="8507" w:type="dxa"/>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overflowPunct/>
              <w:topLinePunct w:val="0"/>
              <w:bidi w:val="0"/>
              <w:adjustRightInd/>
              <w:snapToGrid/>
              <w:spacing w:line="240" w:lineRule="auto"/>
              <w:textAlignment w:val="center"/>
              <w:rPr>
                <w:color w:val="auto"/>
                <w:highlight w:val="none"/>
              </w:rPr>
            </w:pPr>
            <w:r>
              <w:rPr>
                <w:rFonts w:hint="eastAsia"/>
                <w:color w:val="auto"/>
                <w:sz w:val="21"/>
                <w:szCs w:val="21"/>
                <w:highlight w:val="none"/>
              </w:rPr>
              <w:t>技术分（</w:t>
            </w:r>
            <w:r>
              <w:rPr>
                <w:rFonts w:hint="eastAsia"/>
                <w:color w:val="auto"/>
                <w:sz w:val="21"/>
                <w:szCs w:val="21"/>
                <w:highlight w:val="none"/>
                <w:lang w:val="en-US"/>
              </w:rPr>
              <w:t>6</w:t>
            </w:r>
            <w:r>
              <w:rPr>
                <w:rFonts w:hint="eastAsia"/>
                <w:color w:val="auto"/>
                <w:sz w:val="21"/>
                <w:szCs w:val="21"/>
                <w:highlight w:val="none"/>
                <w:lang w:val="en-US" w:eastAsia="zh-CN"/>
              </w:rPr>
              <w:t>5</w:t>
            </w:r>
            <w:r>
              <w:rPr>
                <w:rFonts w:hint="eastAsia"/>
                <w:color w:val="auto"/>
                <w:sz w:val="21"/>
                <w:szCs w:val="21"/>
                <w:highlight w:val="none"/>
              </w:rPr>
              <w:t>分）</w:t>
            </w:r>
          </w:p>
        </w:tc>
        <w:tc>
          <w:tcPr>
            <w:tcW w:w="675"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noWrap/>
            <w:vAlign w:val="center"/>
          </w:tcPr>
          <w:p>
            <w:pPr>
              <w:widowControl/>
              <w:textAlignment w:val="center"/>
              <w:rPr>
                <w:color w:val="auto"/>
                <w:sz w:val="21"/>
                <w:szCs w:val="21"/>
                <w:highlight w:val="none"/>
              </w:rPr>
            </w:pPr>
          </w:p>
        </w:tc>
      </w:tr>
      <w:tr>
        <w:tblPrEx>
          <w:tblCellMar>
            <w:top w:w="15" w:type="dxa"/>
            <w:left w:w="15" w:type="dxa"/>
            <w:bottom w:w="15" w:type="dxa"/>
            <w:right w:w="15" w:type="dxa"/>
          </w:tblCellMar>
        </w:tblPrEx>
        <w:trPr>
          <w:trHeight w:val="1031" w:hRule="exact"/>
          <w:jc w:val="center"/>
        </w:trPr>
        <w:tc>
          <w:tcPr>
            <w:tcW w:w="570" w:type="dxa"/>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r>
              <w:rPr>
                <w:rFonts w:hint="eastAsia"/>
                <w:color w:val="auto"/>
                <w:sz w:val="21"/>
                <w:szCs w:val="21"/>
                <w:highlight w:val="none"/>
              </w:rPr>
              <w:t>4</w:t>
            </w:r>
          </w:p>
        </w:tc>
        <w:tc>
          <w:tcPr>
            <w:tcW w:w="1458" w:type="dxa"/>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widowControl/>
              <w:kinsoku/>
              <w:overflowPunct/>
              <w:topLinePunct w:val="0"/>
              <w:bidi w:val="0"/>
              <w:adjustRightInd/>
              <w:snapToGrid/>
              <w:spacing w:line="360" w:lineRule="exact"/>
              <w:textAlignment w:val="center"/>
              <w:rPr>
                <w:color w:val="auto"/>
                <w:sz w:val="21"/>
                <w:szCs w:val="21"/>
                <w:highlight w:val="none"/>
              </w:rPr>
            </w:pPr>
            <w:r>
              <w:rPr>
                <w:rFonts w:hint="eastAsia"/>
                <w:color w:val="auto"/>
                <w:sz w:val="21"/>
                <w:szCs w:val="21"/>
                <w:highlight w:val="none"/>
              </w:rPr>
              <w:t>对招标项目的理解和报告编制思路</w:t>
            </w:r>
          </w:p>
        </w:tc>
        <w:tc>
          <w:tcPr>
            <w:tcW w:w="5624" w:type="dxa"/>
            <w:tcBorders>
              <w:top w:val="single" w:color="auto" w:sz="4" w:space="0"/>
              <w:left w:val="single" w:color="000000" w:sz="4" w:space="0"/>
              <w:bottom w:val="single" w:color="auto" w:sz="4" w:space="0"/>
              <w:right w:val="single" w:color="000000" w:sz="4" w:space="0"/>
            </w:tcBorders>
            <w:noWrap/>
            <w:vAlign w:val="center"/>
          </w:tcPr>
          <w:p>
            <w:pPr>
              <w:pStyle w:val="36"/>
              <w:keepNext w:val="0"/>
              <w:keepLines w:val="0"/>
              <w:pageBreakBefore w:val="0"/>
              <w:widowControl w:val="0"/>
              <w:kinsoku/>
              <w:wordWrap/>
              <w:overflowPunct/>
              <w:topLinePunct w:val="0"/>
              <w:autoSpaceDE w:val="0"/>
              <w:autoSpaceDN w:val="0"/>
              <w:bidi w:val="0"/>
              <w:adjustRightInd/>
              <w:snapToGrid/>
              <w:spacing w:line="240" w:lineRule="auto"/>
              <w:textAlignment w:val="auto"/>
              <w:rPr>
                <w:rFonts w:hint="default" w:cs="宋体"/>
                <w:color w:val="auto"/>
                <w:sz w:val="21"/>
                <w:szCs w:val="21"/>
                <w:highlight w:val="none"/>
                <w:lang w:val="zh-CN" w:bidi="zh-CN"/>
              </w:rPr>
            </w:pPr>
            <w:r>
              <w:rPr>
                <w:rFonts w:hint="eastAsia" w:cs="宋体"/>
                <w:color w:val="auto"/>
                <w:sz w:val="21"/>
                <w:szCs w:val="21"/>
                <w:highlight w:val="none"/>
                <w:lang w:val="en-US" w:bidi="zh-CN"/>
              </w:rPr>
              <w:t>根</w:t>
            </w:r>
            <w:r>
              <w:rPr>
                <w:rFonts w:hint="eastAsia" w:ascii="宋体" w:hAnsi="宋体" w:eastAsia="宋体" w:cs="宋体"/>
                <w:color w:val="auto"/>
                <w:sz w:val="21"/>
                <w:szCs w:val="21"/>
                <w:highlight w:val="none"/>
                <w:lang w:val="en-US" w:eastAsia="zh-CN" w:bidi="zh-CN"/>
              </w:rPr>
              <w:t>据</w:t>
            </w:r>
            <w:r>
              <w:rPr>
                <w:rFonts w:hint="eastAsia" w:ascii="宋体" w:hAnsi="宋体" w:eastAsia="宋体" w:cs="宋体"/>
                <w:color w:val="auto"/>
                <w:sz w:val="21"/>
                <w:szCs w:val="21"/>
                <w:highlight w:val="none"/>
                <w:lang w:val="zh-CN" w:eastAsia="zh-CN" w:bidi="zh-CN"/>
              </w:rPr>
              <w:t>本项目理解程度、报告编制思路清晰程度进行酌情加分，一般的得基本分 10.5～1</w:t>
            </w:r>
            <w:r>
              <w:rPr>
                <w:rFonts w:hint="eastAsia" w:ascii="宋体" w:hAnsi="宋体" w:eastAsia="宋体" w:cs="宋体"/>
                <w:color w:val="auto"/>
                <w:sz w:val="21"/>
                <w:szCs w:val="21"/>
                <w:highlight w:val="none"/>
                <w:lang w:val="en-US" w:eastAsia="zh-CN" w:bidi="zh-CN"/>
              </w:rPr>
              <w:t>1</w:t>
            </w:r>
            <w:r>
              <w:rPr>
                <w:rFonts w:hint="eastAsia" w:ascii="宋体" w:hAnsi="宋体" w:eastAsia="宋体" w:cs="宋体"/>
                <w:color w:val="auto"/>
                <w:sz w:val="21"/>
                <w:szCs w:val="21"/>
                <w:highlight w:val="none"/>
                <w:lang w:val="zh-CN" w:eastAsia="zh-CN" w:bidi="zh-CN"/>
              </w:rPr>
              <w:t>.9 分，较好的得 1</w:t>
            </w:r>
            <w:r>
              <w:rPr>
                <w:rFonts w:hint="eastAsia" w:ascii="宋体" w:hAnsi="宋体" w:eastAsia="宋体" w:cs="宋体"/>
                <w:color w:val="auto"/>
                <w:sz w:val="21"/>
                <w:szCs w:val="21"/>
                <w:highlight w:val="none"/>
                <w:lang w:val="en-US" w:eastAsia="zh-CN" w:bidi="zh-CN"/>
              </w:rPr>
              <w:t>2</w:t>
            </w:r>
            <w:r>
              <w:rPr>
                <w:rFonts w:hint="eastAsia" w:ascii="宋体" w:hAnsi="宋体" w:eastAsia="宋体" w:cs="宋体"/>
                <w:color w:val="auto"/>
                <w:sz w:val="21"/>
                <w:szCs w:val="21"/>
                <w:highlight w:val="none"/>
                <w:lang w:val="zh-CN" w:eastAsia="zh-CN" w:bidi="zh-CN"/>
              </w:rPr>
              <w:t>.0～1</w:t>
            </w:r>
            <w:r>
              <w:rPr>
                <w:rFonts w:hint="eastAsia" w:ascii="宋体" w:hAnsi="宋体" w:eastAsia="宋体" w:cs="宋体"/>
                <w:color w:val="auto"/>
                <w:sz w:val="21"/>
                <w:szCs w:val="21"/>
                <w:highlight w:val="none"/>
                <w:lang w:val="en-US" w:eastAsia="zh-CN" w:bidi="zh-CN"/>
              </w:rPr>
              <w:t>3</w:t>
            </w:r>
            <w:r>
              <w:rPr>
                <w:rFonts w:hint="eastAsia" w:ascii="宋体" w:hAnsi="宋体" w:eastAsia="宋体" w:cs="宋体"/>
                <w:color w:val="auto"/>
                <w:sz w:val="21"/>
                <w:szCs w:val="21"/>
                <w:highlight w:val="none"/>
                <w:lang w:val="zh-CN" w:eastAsia="zh-CN" w:bidi="zh-CN"/>
              </w:rPr>
              <w:t>.</w:t>
            </w:r>
            <w:r>
              <w:rPr>
                <w:rFonts w:hint="eastAsia" w:ascii="宋体" w:hAnsi="宋体" w:eastAsia="宋体" w:cs="宋体"/>
                <w:color w:val="auto"/>
                <w:sz w:val="21"/>
                <w:szCs w:val="21"/>
                <w:highlight w:val="none"/>
                <w:lang w:val="en-US" w:eastAsia="zh-CN" w:bidi="zh-CN"/>
              </w:rPr>
              <w:t>4</w:t>
            </w:r>
            <w:r>
              <w:rPr>
                <w:rFonts w:hint="eastAsia" w:ascii="宋体" w:hAnsi="宋体" w:eastAsia="宋体" w:cs="宋体"/>
                <w:color w:val="auto"/>
                <w:sz w:val="21"/>
                <w:szCs w:val="21"/>
                <w:highlight w:val="none"/>
                <w:lang w:val="zh-CN" w:eastAsia="zh-CN" w:bidi="zh-CN"/>
              </w:rPr>
              <w:t>分，好的得</w:t>
            </w:r>
            <w:r>
              <w:rPr>
                <w:rFonts w:hint="eastAsia" w:ascii="宋体" w:hAnsi="宋体" w:eastAsia="宋体" w:cs="宋体"/>
                <w:color w:val="auto"/>
                <w:sz w:val="21"/>
                <w:szCs w:val="21"/>
                <w:highlight w:val="none"/>
                <w:lang w:val="en-US" w:eastAsia="zh-CN" w:bidi="zh-CN"/>
              </w:rPr>
              <w:t>13.5</w:t>
            </w:r>
            <w:r>
              <w:rPr>
                <w:rFonts w:hint="eastAsia" w:ascii="宋体" w:hAnsi="宋体" w:eastAsia="宋体" w:cs="宋体"/>
                <w:color w:val="auto"/>
                <w:sz w:val="21"/>
                <w:szCs w:val="21"/>
                <w:highlight w:val="none"/>
                <w:lang w:val="zh-CN" w:eastAsia="zh-CN" w:bidi="zh-CN"/>
              </w:rPr>
              <w:t>～1</w:t>
            </w:r>
            <w:r>
              <w:rPr>
                <w:rFonts w:hint="eastAsia" w:ascii="宋体" w:hAnsi="宋体" w:eastAsia="宋体" w:cs="宋体"/>
                <w:color w:val="auto"/>
                <w:sz w:val="21"/>
                <w:szCs w:val="21"/>
                <w:highlight w:val="none"/>
                <w:lang w:val="en-US" w:eastAsia="zh-CN" w:bidi="zh-CN"/>
              </w:rPr>
              <w:t>6.0</w:t>
            </w:r>
            <w:r>
              <w:rPr>
                <w:rFonts w:hint="eastAsia" w:ascii="宋体" w:hAnsi="宋体" w:eastAsia="宋体" w:cs="宋体"/>
                <w:color w:val="auto"/>
                <w:sz w:val="21"/>
                <w:szCs w:val="21"/>
                <w:highlight w:val="none"/>
                <w:lang w:val="zh-CN" w:eastAsia="zh-CN" w:bidi="zh-CN"/>
              </w:rPr>
              <w:t xml:space="preserve"> 分。缺项不得分。</w:t>
            </w:r>
          </w:p>
        </w:tc>
        <w:tc>
          <w:tcPr>
            <w:tcW w:w="855" w:type="dxa"/>
            <w:tcBorders>
              <w:top w:val="single" w:color="auto" w:sz="4" w:space="0"/>
              <w:left w:val="single" w:color="000000" w:sz="4" w:space="0"/>
              <w:bottom w:val="single" w:color="auto" w:sz="4" w:space="0"/>
              <w:right w:val="single" w:color="auto"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r>
              <w:rPr>
                <w:color w:val="auto"/>
                <w:sz w:val="21"/>
                <w:szCs w:val="21"/>
                <w:highlight w:val="none"/>
              </w:rPr>
              <w:t>10.5</w:t>
            </w:r>
            <w:r>
              <w:rPr>
                <w:rFonts w:hint="eastAsia"/>
                <w:color w:val="auto"/>
                <w:sz w:val="21"/>
                <w:szCs w:val="21"/>
                <w:highlight w:val="none"/>
              </w:rPr>
              <w:t>-1</w:t>
            </w:r>
            <w:r>
              <w:rPr>
                <w:rFonts w:hint="eastAsia"/>
                <w:color w:val="auto"/>
                <w:sz w:val="21"/>
                <w:szCs w:val="21"/>
                <w:highlight w:val="none"/>
                <w:lang w:val="en-US" w:eastAsia="zh-CN"/>
              </w:rPr>
              <w:t>6</w:t>
            </w:r>
            <w:r>
              <w:rPr>
                <w:rFonts w:hint="eastAsia"/>
                <w:color w:val="auto"/>
                <w:sz w:val="21"/>
                <w:szCs w:val="21"/>
                <w:highlight w:val="none"/>
              </w:rPr>
              <w:t>分</w:t>
            </w:r>
          </w:p>
        </w:tc>
        <w:tc>
          <w:tcPr>
            <w:tcW w:w="675" w:type="dxa"/>
            <w:tcBorders>
              <w:top w:val="single" w:color="auto" w:sz="4" w:space="0"/>
              <w:left w:val="single" w:color="000000" w:sz="4" w:space="0"/>
              <w:bottom w:val="single" w:color="auto" w:sz="4" w:space="0"/>
              <w:right w:val="single" w:color="auto" w:sz="4" w:space="0"/>
            </w:tcBorders>
            <w:noWrap/>
            <w:vAlign w:val="center"/>
          </w:tcPr>
          <w:p>
            <w:pPr>
              <w:widowControl/>
              <w:jc w:val="center"/>
              <w:textAlignment w:val="center"/>
              <w:rPr>
                <w:color w:val="auto"/>
                <w:sz w:val="21"/>
                <w:szCs w:val="21"/>
                <w:highlight w:val="none"/>
              </w:rPr>
            </w:pPr>
            <w:r>
              <w:rPr>
                <w:rFonts w:hint="eastAsia"/>
                <w:color w:val="auto"/>
                <w:sz w:val="21"/>
                <w:szCs w:val="21"/>
                <w:highlight w:val="none"/>
              </w:rPr>
              <w:t>/</w:t>
            </w:r>
          </w:p>
        </w:tc>
        <w:tc>
          <w:tcPr>
            <w:tcW w:w="720" w:type="dxa"/>
            <w:tcBorders>
              <w:top w:val="single" w:color="auto" w:sz="4" w:space="0"/>
              <w:left w:val="single" w:color="000000" w:sz="4" w:space="0"/>
              <w:bottom w:val="single" w:color="auto" w:sz="4" w:space="0"/>
              <w:right w:val="single" w:color="auto" w:sz="4" w:space="0"/>
            </w:tcBorders>
            <w:noWrap/>
            <w:vAlign w:val="center"/>
          </w:tcPr>
          <w:p>
            <w:pPr>
              <w:widowControl/>
              <w:jc w:val="center"/>
              <w:textAlignment w:val="center"/>
              <w:rPr>
                <w:color w:val="auto"/>
                <w:sz w:val="21"/>
                <w:szCs w:val="21"/>
                <w:highlight w:val="none"/>
              </w:rPr>
            </w:pPr>
          </w:p>
        </w:tc>
      </w:tr>
      <w:tr>
        <w:tblPrEx>
          <w:tblCellMar>
            <w:top w:w="15" w:type="dxa"/>
            <w:left w:w="15" w:type="dxa"/>
            <w:bottom w:w="15" w:type="dxa"/>
            <w:right w:w="15" w:type="dxa"/>
          </w:tblCellMar>
        </w:tblPrEx>
        <w:trPr>
          <w:trHeight w:val="2112" w:hRule="exact"/>
          <w:jc w:val="center"/>
        </w:trPr>
        <w:tc>
          <w:tcPr>
            <w:tcW w:w="570" w:type="dxa"/>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r>
              <w:rPr>
                <w:rFonts w:hint="eastAsia"/>
                <w:color w:val="auto"/>
                <w:sz w:val="21"/>
                <w:szCs w:val="21"/>
                <w:highlight w:val="none"/>
              </w:rPr>
              <w:t>5</w:t>
            </w:r>
          </w:p>
        </w:tc>
        <w:tc>
          <w:tcPr>
            <w:tcW w:w="1458" w:type="dxa"/>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widowControl/>
              <w:kinsoku/>
              <w:overflowPunct/>
              <w:topLinePunct w:val="0"/>
              <w:bidi w:val="0"/>
              <w:adjustRightInd/>
              <w:snapToGrid/>
              <w:spacing w:line="360" w:lineRule="exact"/>
              <w:textAlignment w:val="center"/>
              <w:rPr>
                <w:color w:val="auto"/>
                <w:sz w:val="21"/>
                <w:szCs w:val="21"/>
                <w:highlight w:val="none"/>
              </w:rPr>
            </w:pPr>
            <w:r>
              <w:rPr>
                <w:rFonts w:hint="eastAsia"/>
                <w:color w:val="auto"/>
                <w:sz w:val="21"/>
                <w:szCs w:val="21"/>
                <w:highlight w:val="none"/>
              </w:rPr>
              <w:t>招标项目的特点、重点、难点、关键技术问题的认识、理解、思路及其对策措施</w:t>
            </w:r>
          </w:p>
        </w:tc>
        <w:tc>
          <w:tcPr>
            <w:tcW w:w="5624" w:type="dxa"/>
            <w:tcBorders>
              <w:top w:val="single" w:color="auto" w:sz="4" w:space="0"/>
              <w:left w:val="single" w:color="000000" w:sz="4" w:space="0"/>
              <w:bottom w:val="single" w:color="auto" w:sz="4" w:space="0"/>
              <w:right w:val="single" w:color="000000" w:sz="4" w:space="0"/>
            </w:tcBorders>
            <w:noWrap/>
            <w:vAlign w:val="center"/>
          </w:tcPr>
          <w:p>
            <w:pPr>
              <w:pStyle w:val="36"/>
              <w:keepNext w:val="0"/>
              <w:keepLines w:val="0"/>
              <w:pageBreakBefore w:val="0"/>
              <w:kinsoku/>
              <w:wordWrap w:val="0"/>
              <w:overflowPunct/>
              <w:topLinePunct w:val="0"/>
              <w:bidi w:val="0"/>
              <w:adjustRightInd/>
              <w:snapToGrid/>
              <w:spacing w:line="240" w:lineRule="auto"/>
              <w:rPr>
                <w:rFonts w:hint="default" w:cs="宋体"/>
                <w:color w:val="auto"/>
                <w:sz w:val="21"/>
                <w:szCs w:val="21"/>
                <w:highlight w:val="none"/>
                <w:lang w:val="zh-CN" w:bidi="zh-CN"/>
              </w:rPr>
            </w:pPr>
            <w:r>
              <w:rPr>
                <w:rFonts w:hint="eastAsia" w:cs="宋体"/>
                <w:color w:val="auto"/>
                <w:sz w:val="21"/>
                <w:szCs w:val="21"/>
                <w:highlight w:val="none"/>
                <w:lang w:val="en-US" w:bidi="zh-CN"/>
              </w:rPr>
              <w:t>根据</w:t>
            </w:r>
            <w:r>
              <w:rPr>
                <w:rFonts w:cs="宋体"/>
                <w:color w:val="auto"/>
                <w:sz w:val="21"/>
                <w:szCs w:val="21"/>
                <w:highlight w:val="none"/>
                <w:lang w:val="zh-CN" w:bidi="zh-CN"/>
              </w:rPr>
              <w:t>本项目特点、重点、难点、关键技术问题等理解、思路、对策、把握程度进行酌情加分，一般的得基本分 11.0～1</w:t>
            </w:r>
            <w:r>
              <w:rPr>
                <w:rFonts w:hint="eastAsia" w:cs="宋体"/>
                <w:color w:val="auto"/>
                <w:sz w:val="21"/>
                <w:szCs w:val="21"/>
                <w:highlight w:val="none"/>
                <w:lang w:val="en-US" w:bidi="zh-CN"/>
              </w:rPr>
              <w:t>1</w:t>
            </w:r>
            <w:r>
              <w:rPr>
                <w:rFonts w:cs="宋体"/>
                <w:color w:val="auto"/>
                <w:sz w:val="21"/>
                <w:szCs w:val="21"/>
                <w:highlight w:val="none"/>
                <w:lang w:val="zh-CN" w:bidi="zh-CN"/>
              </w:rPr>
              <w:t>.9 分，较好的得 12.0～1</w:t>
            </w:r>
            <w:r>
              <w:rPr>
                <w:rFonts w:hint="eastAsia" w:cs="宋体"/>
                <w:color w:val="auto"/>
                <w:sz w:val="21"/>
                <w:szCs w:val="21"/>
                <w:highlight w:val="none"/>
                <w:lang w:val="en-US" w:bidi="zh-CN"/>
              </w:rPr>
              <w:t>2</w:t>
            </w:r>
            <w:r>
              <w:rPr>
                <w:rFonts w:cs="宋体"/>
                <w:color w:val="auto"/>
                <w:sz w:val="21"/>
                <w:szCs w:val="21"/>
                <w:highlight w:val="none"/>
                <w:lang w:val="zh-CN" w:bidi="zh-CN"/>
              </w:rPr>
              <w:t>.9 分，好的得 1</w:t>
            </w:r>
            <w:r>
              <w:rPr>
                <w:rFonts w:hint="eastAsia" w:cs="宋体"/>
                <w:color w:val="auto"/>
                <w:sz w:val="21"/>
                <w:szCs w:val="21"/>
                <w:highlight w:val="none"/>
                <w:lang w:val="en-US" w:bidi="zh-CN"/>
              </w:rPr>
              <w:t>3</w:t>
            </w:r>
            <w:r>
              <w:rPr>
                <w:rFonts w:cs="宋体"/>
                <w:color w:val="auto"/>
                <w:sz w:val="21"/>
                <w:szCs w:val="21"/>
                <w:highlight w:val="none"/>
                <w:lang w:val="zh-CN" w:bidi="zh-CN"/>
              </w:rPr>
              <w:t>.0～1</w:t>
            </w:r>
            <w:r>
              <w:rPr>
                <w:rFonts w:hint="eastAsia" w:cs="宋体"/>
                <w:color w:val="auto"/>
                <w:sz w:val="21"/>
                <w:szCs w:val="21"/>
                <w:highlight w:val="none"/>
                <w:lang w:val="en-US" w:bidi="zh-CN"/>
              </w:rPr>
              <w:t>4</w:t>
            </w:r>
            <w:r>
              <w:rPr>
                <w:rFonts w:cs="宋体"/>
                <w:color w:val="auto"/>
                <w:sz w:val="21"/>
                <w:szCs w:val="21"/>
                <w:highlight w:val="none"/>
                <w:lang w:val="zh-CN" w:bidi="zh-CN"/>
              </w:rPr>
              <w:t>.0 分，缺项不得分。</w:t>
            </w:r>
          </w:p>
        </w:tc>
        <w:tc>
          <w:tcPr>
            <w:tcW w:w="855" w:type="dxa"/>
            <w:tcBorders>
              <w:top w:val="single" w:color="auto" w:sz="4" w:space="0"/>
              <w:left w:val="single" w:color="000000" w:sz="4" w:space="0"/>
              <w:bottom w:val="single" w:color="auto" w:sz="4" w:space="0"/>
              <w:right w:val="single" w:color="auto"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r>
              <w:rPr>
                <w:rFonts w:hint="eastAsia"/>
                <w:color w:val="auto"/>
                <w:sz w:val="21"/>
                <w:szCs w:val="21"/>
                <w:highlight w:val="none"/>
              </w:rPr>
              <w:t>11-1</w:t>
            </w:r>
            <w:r>
              <w:rPr>
                <w:rFonts w:hint="eastAsia"/>
                <w:color w:val="auto"/>
                <w:sz w:val="21"/>
                <w:szCs w:val="21"/>
                <w:highlight w:val="none"/>
                <w:lang w:val="en-US" w:eastAsia="zh-CN"/>
              </w:rPr>
              <w:t>4</w:t>
            </w:r>
            <w:r>
              <w:rPr>
                <w:rFonts w:hint="eastAsia"/>
                <w:color w:val="auto"/>
                <w:sz w:val="21"/>
                <w:szCs w:val="21"/>
                <w:highlight w:val="none"/>
              </w:rPr>
              <w:t>分</w:t>
            </w:r>
          </w:p>
        </w:tc>
        <w:tc>
          <w:tcPr>
            <w:tcW w:w="675" w:type="dxa"/>
            <w:tcBorders>
              <w:top w:val="single" w:color="auto" w:sz="4" w:space="0"/>
              <w:left w:val="single" w:color="000000" w:sz="4" w:space="0"/>
              <w:bottom w:val="single" w:color="auto" w:sz="4" w:space="0"/>
              <w:right w:val="single" w:color="auto" w:sz="4" w:space="0"/>
            </w:tcBorders>
            <w:noWrap/>
            <w:vAlign w:val="center"/>
          </w:tcPr>
          <w:p>
            <w:pPr>
              <w:widowControl/>
              <w:jc w:val="center"/>
              <w:textAlignment w:val="center"/>
              <w:rPr>
                <w:color w:val="auto"/>
                <w:sz w:val="21"/>
                <w:szCs w:val="21"/>
                <w:highlight w:val="none"/>
              </w:rPr>
            </w:pPr>
          </w:p>
        </w:tc>
        <w:tc>
          <w:tcPr>
            <w:tcW w:w="720" w:type="dxa"/>
            <w:tcBorders>
              <w:top w:val="single" w:color="auto" w:sz="4" w:space="0"/>
              <w:left w:val="single" w:color="000000" w:sz="4" w:space="0"/>
              <w:bottom w:val="single" w:color="auto" w:sz="4" w:space="0"/>
              <w:right w:val="single" w:color="auto" w:sz="4" w:space="0"/>
            </w:tcBorders>
            <w:noWrap/>
            <w:vAlign w:val="center"/>
          </w:tcPr>
          <w:p>
            <w:pPr>
              <w:widowControl/>
              <w:jc w:val="center"/>
              <w:textAlignment w:val="center"/>
              <w:rPr>
                <w:color w:val="auto"/>
                <w:sz w:val="21"/>
                <w:szCs w:val="21"/>
                <w:highlight w:val="none"/>
              </w:rPr>
            </w:pPr>
          </w:p>
        </w:tc>
      </w:tr>
      <w:tr>
        <w:tblPrEx>
          <w:tblCellMar>
            <w:top w:w="15" w:type="dxa"/>
            <w:left w:w="15" w:type="dxa"/>
            <w:bottom w:w="15" w:type="dxa"/>
            <w:right w:w="15" w:type="dxa"/>
          </w:tblCellMar>
        </w:tblPrEx>
        <w:trPr>
          <w:trHeight w:val="1415" w:hRule="exact"/>
          <w:jc w:val="center"/>
        </w:trPr>
        <w:tc>
          <w:tcPr>
            <w:tcW w:w="570" w:type="dxa"/>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r>
              <w:rPr>
                <w:rFonts w:hint="eastAsia"/>
                <w:color w:val="auto"/>
                <w:sz w:val="21"/>
                <w:szCs w:val="21"/>
                <w:highlight w:val="none"/>
                <w:lang w:val="en-US"/>
              </w:rPr>
              <w:t>6</w:t>
            </w:r>
          </w:p>
        </w:tc>
        <w:tc>
          <w:tcPr>
            <w:tcW w:w="1458" w:type="dxa"/>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widowControl/>
              <w:kinsoku/>
              <w:overflowPunct/>
              <w:topLinePunct w:val="0"/>
              <w:bidi w:val="0"/>
              <w:adjustRightInd/>
              <w:snapToGrid/>
              <w:spacing w:line="360" w:lineRule="exact"/>
              <w:textAlignment w:val="center"/>
              <w:rPr>
                <w:color w:val="auto"/>
                <w:sz w:val="21"/>
                <w:szCs w:val="21"/>
                <w:highlight w:val="none"/>
              </w:rPr>
            </w:pPr>
            <w:r>
              <w:rPr>
                <w:rFonts w:hint="eastAsia"/>
                <w:color w:val="auto"/>
                <w:sz w:val="21"/>
                <w:szCs w:val="21"/>
                <w:highlight w:val="none"/>
              </w:rPr>
              <w:t>招标项目工作量、建设安排及计划安排</w:t>
            </w:r>
          </w:p>
        </w:tc>
        <w:tc>
          <w:tcPr>
            <w:tcW w:w="5624" w:type="dxa"/>
            <w:tcBorders>
              <w:top w:val="single" w:color="auto" w:sz="4" w:space="0"/>
              <w:left w:val="single" w:color="000000" w:sz="4" w:space="0"/>
              <w:bottom w:val="single" w:color="auto" w:sz="4" w:space="0"/>
              <w:right w:val="single" w:color="000000" w:sz="4" w:space="0"/>
            </w:tcBorders>
            <w:noWrap/>
            <w:vAlign w:val="center"/>
          </w:tcPr>
          <w:p>
            <w:pPr>
              <w:pStyle w:val="36"/>
              <w:keepNext w:val="0"/>
              <w:keepLines w:val="0"/>
              <w:pageBreakBefore w:val="0"/>
              <w:kinsoku/>
              <w:wordWrap w:val="0"/>
              <w:overflowPunct/>
              <w:topLinePunct w:val="0"/>
              <w:bidi w:val="0"/>
              <w:adjustRightInd/>
              <w:snapToGrid/>
              <w:spacing w:line="240" w:lineRule="auto"/>
              <w:textAlignment w:val="center"/>
              <w:rPr>
                <w:rFonts w:hint="default" w:cs="宋体"/>
                <w:color w:val="auto"/>
                <w:sz w:val="21"/>
                <w:szCs w:val="21"/>
                <w:highlight w:val="none"/>
                <w:lang w:val="zh-CN" w:bidi="zh-CN"/>
              </w:rPr>
            </w:pPr>
            <w:r>
              <w:rPr>
                <w:rFonts w:hint="eastAsia" w:cs="宋体"/>
                <w:color w:val="auto"/>
                <w:sz w:val="21"/>
                <w:szCs w:val="21"/>
                <w:highlight w:val="none"/>
                <w:lang w:val="en-US" w:bidi="zh-CN"/>
              </w:rPr>
              <w:t>根据</w:t>
            </w:r>
            <w:r>
              <w:rPr>
                <w:rFonts w:cs="宋体"/>
                <w:color w:val="auto"/>
                <w:sz w:val="21"/>
                <w:szCs w:val="21"/>
                <w:highlight w:val="none"/>
                <w:lang w:val="zh-CN" w:bidi="zh-CN"/>
              </w:rPr>
              <w:t>本项目工程量及各项安排的合理程度进行酌情加分，一般的得基本分 11.0～11.9 分，较好的得 12.0～12.9 分，好的得 13.0～1</w:t>
            </w:r>
            <w:r>
              <w:rPr>
                <w:rFonts w:hint="eastAsia" w:cs="宋体"/>
                <w:color w:val="auto"/>
                <w:sz w:val="21"/>
                <w:szCs w:val="21"/>
                <w:highlight w:val="none"/>
                <w:lang w:val="en-US" w:bidi="zh-CN"/>
              </w:rPr>
              <w:t>5</w:t>
            </w:r>
            <w:r>
              <w:rPr>
                <w:rFonts w:cs="宋体"/>
                <w:color w:val="auto"/>
                <w:sz w:val="21"/>
                <w:szCs w:val="21"/>
                <w:highlight w:val="none"/>
                <w:lang w:val="zh-CN" w:bidi="zh-CN"/>
              </w:rPr>
              <w:t>.0 分，缺项不得分。</w:t>
            </w:r>
          </w:p>
        </w:tc>
        <w:tc>
          <w:tcPr>
            <w:tcW w:w="855" w:type="dxa"/>
            <w:tcBorders>
              <w:top w:val="single" w:color="auto" w:sz="4" w:space="0"/>
              <w:left w:val="single" w:color="000000" w:sz="4" w:space="0"/>
              <w:bottom w:val="single" w:color="auto" w:sz="4" w:space="0"/>
              <w:right w:val="single" w:color="auto"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r>
              <w:rPr>
                <w:rFonts w:hint="eastAsia"/>
                <w:color w:val="auto"/>
                <w:sz w:val="21"/>
                <w:szCs w:val="21"/>
                <w:highlight w:val="none"/>
              </w:rPr>
              <w:t>11-1</w:t>
            </w:r>
            <w:r>
              <w:rPr>
                <w:rFonts w:hint="eastAsia"/>
                <w:color w:val="auto"/>
                <w:sz w:val="21"/>
                <w:szCs w:val="21"/>
                <w:highlight w:val="none"/>
                <w:lang w:val="en-US" w:eastAsia="zh-CN"/>
              </w:rPr>
              <w:t>5</w:t>
            </w:r>
            <w:r>
              <w:rPr>
                <w:rFonts w:hint="eastAsia"/>
                <w:color w:val="auto"/>
                <w:sz w:val="21"/>
                <w:szCs w:val="21"/>
                <w:highlight w:val="none"/>
              </w:rPr>
              <w:t>分</w:t>
            </w:r>
          </w:p>
        </w:tc>
        <w:tc>
          <w:tcPr>
            <w:tcW w:w="675" w:type="dxa"/>
            <w:tcBorders>
              <w:top w:val="single" w:color="auto" w:sz="4" w:space="0"/>
              <w:left w:val="single" w:color="000000" w:sz="4" w:space="0"/>
              <w:bottom w:val="single" w:color="auto" w:sz="4" w:space="0"/>
              <w:right w:val="single" w:color="auto" w:sz="4" w:space="0"/>
            </w:tcBorders>
            <w:noWrap/>
            <w:vAlign w:val="center"/>
          </w:tcPr>
          <w:p>
            <w:pPr>
              <w:widowControl/>
              <w:jc w:val="center"/>
              <w:textAlignment w:val="center"/>
              <w:rPr>
                <w:color w:val="auto"/>
                <w:sz w:val="21"/>
                <w:szCs w:val="21"/>
                <w:highlight w:val="none"/>
              </w:rPr>
            </w:pPr>
          </w:p>
        </w:tc>
        <w:tc>
          <w:tcPr>
            <w:tcW w:w="720" w:type="dxa"/>
            <w:tcBorders>
              <w:top w:val="single" w:color="auto" w:sz="4" w:space="0"/>
              <w:left w:val="single" w:color="000000" w:sz="4" w:space="0"/>
              <w:bottom w:val="single" w:color="auto" w:sz="4" w:space="0"/>
              <w:right w:val="single" w:color="auto" w:sz="4" w:space="0"/>
            </w:tcBorders>
            <w:noWrap/>
            <w:vAlign w:val="center"/>
          </w:tcPr>
          <w:p>
            <w:pPr>
              <w:widowControl/>
              <w:jc w:val="center"/>
              <w:textAlignment w:val="center"/>
              <w:rPr>
                <w:color w:val="auto"/>
                <w:sz w:val="21"/>
                <w:szCs w:val="21"/>
                <w:highlight w:val="none"/>
              </w:rPr>
            </w:pPr>
          </w:p>
        </w:tc>
      </w:tr>
      <w:tr>
        <w:tblPrEx>
          <w:tblCellMar>
            <w:top w:w="15" w:type="dxa"/>
            <w:left w:w="15" w:type="dxa"/>
            <w:bottom w:w="15" w:type="dxa"/>
            <w:right w:w="15" w:type="dxa"/>
          </w:tblCellMar>
        </w:tblPrEx>
        <w:trPr>
          <w:trHeight w:val="2018" w:hRule="exact"/>
          <w:jc w:val="center"/>
        </w:trPr>
        <w:tc>
          <w:tcPr>
            <w:tcW w:w="570" w:type="dxa"/>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r>
              <w:rPr>
                <w:rFonts w:hint="eastAsia"/>
                <w:color w:val="auto"/>
                <w:sz w:val="21"/>
                <w:szCs w:val="21"/>
                <w:highlight w:val="none"/>
                <w:lang w:val="en-US"/>
              </w:rPr>
              <w:t>7</w:t>
            </w:r>
          </w:p>
        </w:tc>
        <w:tc>
          <w:tcPr>
            <w:tcW w:w="1458" w:type="dxa"/>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widowControl/>
              <w:kinsoku/>
              <w:overflowPunct/>
              <w:topLinePunct w:val="0"/>
              <w:bidi w:val="0"/>
              <w:adjustRightInd/>
              <w:snapToGrid/>
              <w:spacing w:line="360" w:lineRule="exact"/>
              <w:textAlignment w:val="center"/>
              <w:rPr>
                <w:color w:val="auto"/>
                <w:sz w:val="21"/>
                <w:szCs w:val="21"/>
                <w:highlight w:val="none"/>
              </w:rPr>
            </w:pPr>
            <w:r>
              <w:rPr>
                <w:color w:val="auto"/>
                <w:sz w:val="21"/>
                <w:szCs w:val="21"/>
                <w:highlight w:val="none"/>
              </w:rPr>
              <w:t>招标项目的投资估算、资金筹措以及项目经济、节能分析评价</w:t>
            </w:r>
          </w:p>
        </w:tc>
        <w:tc>
          <w:tcPr>
            <w:tcW w:w="5624" w:type="dxa"/>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widowControl/>
              <w:kinsoku/>
              <w:overflowPunct/>
              <w:topLinePunct w:val="0"/>
              <w:bidi w:val="0"/>
              <w:adjustRightInd/>
              <w:snapToGrid/>
              <w:spacing w:line="240" w:lineRule="auto"/>
              <w:textAlignment w:val="center"/>
              <w:rPr>
                <w:color w:val="auto"/>
                <w:sz w:val="21"/>
                <w:szCs w:val="21"/>
                <w:highlight w:val="none"/>
              </w:rPr>
            </w:pPr>
            <w:r>
              <w:rPr>
                <w:rFonts w:hint="eastAsia"/>
                <w:color w:val="auto"/>
                <w:sz w:val="21"/>
                <w:szCs w:val="21"/>
                <w:highlight w:val="none"/>
                <w:lang w:val="en-US" w:eastAsia="zh-CN"/>
              </w:rPr>
              <w:t>根据</w:t>
            </w:r>
            <w:r>
              <w:rPr>
                <w:color w:val="auto"/>
                <w:sz w:val="21"/>
                <w:szCs w:val="21"/>
                <w:highlight w:val="none"/>
              </w:rPr>
              <w:t>各项估算、评价指标是否科学、合理进行酌情加分，一般的得基本分 8.5～8.9 分，较好的得 9.0～9.4 分，好的得 9.5～10.0 分，缺项不得分。</w:t>
            </w:r>
          </w:p>
        </w:tc>
        <w:tc>
          <w:tcPr>
            <w:tcW w:w="855" w:type="dxa"/>
            <w:tcBorders>
              <w:top w:val="single" w:color="auto" w:sz="4" w:space="0"/>
              <w:left w:val="single" w:color="000000" w:sz="4" w:space="0"/>
              <w:bottom w:val="single" w:color="auto" w:sz="4" w:space="0"/>
              <w:right w:val="single" w:color="auto"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r>
              <w:rPr>
                <w:rFonts w:hint="eastAsia"/>
                <w:color w:val="auto"/>
                <w:sz w:val="21"/>
                <w:szCs w:val="21"/>
                <w:highlight w:val="none"/>
              </w:rPr>
              <w:t>8.5-10分</w:t>
            </w:r>
          </w:p>
        </w:tc>
        <w:tc>
          <w:tcPr>
            <w:tcW w:w="675" w:type="dxa"/>
            <w:tcBorders>
              <w:top w:val="single" w:color="auto" w:sz="4" w:space="0"/>
              <w:left w:val="single" w:color="000000" w:sz="4" w:space="0"/>
              <w:bottom w:val="single" w:color="auto" w:sz="4" w:space="0"/>
              <w:right w:val="single" w:color="auto" w:sz="4" w:space="0"/>
            </w:tcBorders>
            <w:noWrap/>
            <w:vAlign w:val="center"/>
          </w:tcPr>
          <w:p>
            <w:pPr>
              <w:widowControl/>
              <w:jc w:val="center"/>
              <w:textAlignment w:val="center"/>
              <w:rPr>
                <w:color w:val="auto"/>
                <w:sz w:val="21"/>
                <w:szCs w:val="21"/>
                <w:highlight w:val="none"/>
              </w:rPr>
            </w:pPr>
          </w:p>
        </w:tc>
        <w:tc>
          <w:tcPr>
            <w:tcW w:w="720" w:type="dxa"/>
            <w:tcBorders>
              <w:top w:val="single" w:color="auto" w:sz="4" w:space="0"/>
              <w:left w:val="single" w:color="000000" w:sz="4" w:space="0"/>
              <w:bottom w:val="single" w:color="auto" w:sz="4" w:space="0"/>
              <w:right w:val="single" w:color="auto" w:sz="4" w:space="0"/>
            </w:tcBorders>
            <w:noWrap/>
            <w:vAlign w:val="center"/>
          </w:tcPr>
          <w:p>
            <w:pPr>
              <w:widowControl/>
              <w:jc w:val="center"/>
              <w:textAlignment w:val="center"/>
              <w:rPr>
                <w:color w:val="auto"/>
                <w:sz w:val="21"/>
                <w:szCs w:val="21"/>
                <w:highlight w:val="none"/>
              </w:rPr>
            </w:pPr>
          </w:p>
        </w:tc>
      </w:tr>
      <w:tr>
        <w:tblPrEx>
          <w:tblCellMar>
            <w:top w:w="15" w:type="dxa"/>
            <w:left w:w="15" w:type="dxa"/>
            <w:bottom w:w="15" w:type="dxa"/>
            <w:right w:w="15" w:type="dxa"/>
          </w:tblCellMar>
        </w:tblPrEx>
        <w:trPr>
          <w:trHeight w:val="2079" w:hRule="exact"/>
          <w:jc w:val="center"/>
        </w:trPr>
        <w:tc>
          <w:tcPr>
            <w:tcW w:w="570" w:type="dxa"/>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r>
              <w:rPr>
                <w:rFonts w:hint="eastAsia"/>
                <w:color w:val="auto"/>
                <w:sz w:val="21"/>
                <w:szCs w:val="21"/>
                <w:highlight w:val="none"/>
                <w:lang w:val="en-US"/>
              </w:rPr>
              <w:t>8</w:t>
            </w:r>
          </w:p>
        </w:tc>
        <w:tc>
          <w:tcPr>
            <w:tcW w:w="1458" w:type="dxa"/>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widowControl/>
              <w:kinsoku/>
              <w:overflowPunct/>
              <w:topLinePunct w:val="0"/>
              <w:bidi w:val="0"/>
              <w:adjustRightInd/>
              <w:snapToGrid/>
              <w:spacing w:line="360" w:lineRule="exact"/>
              <w:textAlignment w:val="center"/>
              <w:rPr>
                <w:color w:val="auto"/>
                <w:sz w:val="21"/>
                <w:szCs w:val="21"/>
                <w:highlight w:val="none"/>
              </w:rPr>
            </w:pPr>
            <w:r>
              <w:rPr>
                <w:color w:val="auto"/>
                <w:sz w:val="21"/>
                <w:szCs w:val="21"/>
                <w:highlight w:val="none"/>
              </w:rPr>
              <w:t>各项后续服务工作的安排、配合及保证措施、其他问题与建议等</w:t>
            </w:r>
          </w:p>
        </w:tc>
        <w:tc>
          <w:tcPr>
            <w:tcW w:w="5624" w:type="dxa"/>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widowControl/>
              <w:kinsoku/>
              <w:overflowPunct/>
              <w:topLinePunct w:val="0"/>
              <w:bidi w:val="0"/>
              <w:adjustRightInd/>
              <w:snapToGrid/>
              <w:spacing w:line="240" w:lineRule="auto"/>
              <w:textAlignment w:val="center"/>
              <w:rPr>
                <w:color w:val="auto"/>
                <w:sz w:val="21"/>
                <w:szCs w:val="21"/>
                <w:highlight w:val="none"/>
              </w:rPr>
            </w:pPr>
            <w:r>
              <w:rPr>
                <w:rFonts w:hint="eastAsia"/>
                <w:color w:val="auto"/>
                <w:sz w:val="21"/>
                <w:szCs w:val="21"/>
                <w:highlight w:val="none"/>
                <w:lang w:val="en-US" w:eastAsia="zh-CN"/>
              </w:rPr>
              <w:t>根据</w:t>
            </w:r>
            <w:r>
              <w:rPr>
                <w:color w:val="auto"/>
                <w:sz w:val="21"/>
                <w:szCs w:val="21"/>
                <w:highlight w:val="none"/>
              </w:rPr>
              <w:t>各项后续服务工作的安排、配合及保证措施、其他问题与建议（如潜在风险及对策等）的理解把握程度进行酌情加分，一般的得基本分 8.5～8.9 分，较好的得 9.0～9.4 分，好的得 9.5～10.0 分，缺项不得分。</w:t>
            </w:r>
          </w:p>
        </w:tc>
        <w:tc>
          <w:tcPr>
            <w:tcW w:w="855" w:type="dxa"/>
            <w:tcBorders>
              <w:top w:val="single" w:color="auto" w:sz="4" w:space="0"/>
              <w:left w:val="single" w:color="000000" w:sz="4" w:space="0"/>
              <w:bottom w:val="single" w:color="auto" w:sz="4" w:space="0"/>
              <w:right w:val="single" w:color="auto" w:sz="4" w:space="0"/>
            </w:tcBorders>
            <w:noWrap/>
            <w:vAlign w:val="center"/>
          </w:tcPr>
          <w:p>
            <w:pPr>
              <w:keepNext w:val="0"/>
              <w:keepLines w:val="0"/>
              <w:pageBreakBefore w:val="0"/>
              <w:widowControl/>
              <w:kinsoku/>
              <w:overflowPunct/>
              <w:topLinePunct w:val="0"/>
              <w:bidi w:val="0"/>
              <w:adjustRightInd/>
              <w:snapToGrid/>
              <w:spacing w:line="360" w:lineRule="exact"/>
              <w:jc w:val="center"/>
              <w:textAlignment w:val="center"/>
              <w:rPr>
                <w:color w:val="auto"/>
                <w:sz w:val="21"/>
                <w:szCs w:val="21"/>
                <w:highlight w:val="none"/>
              </w:rPr>
            </w:pPr>
            <w:r>
              <w:rPr>
                <w:color w:val="auto"/>
                <w:sz w:val="21"/>
                <w:szCs w:val="21"/>
                <w:highlight w:val="none"/>
              </w:rPr>
              <w:t>8.5-10分</w:t>
            </w:r>
          </w:p>
        </w:tc>
        <w:tc>
          <w:tcPr>
            <w:tcW w:w="675" w:type="dxa"/>
            <w:tcBorders>
              <w:top w:val="single" w:color="auto" w:sz="4" w:space="0"/>
              <w:left w:val="single" w:color="000000" w:sz="4" w:space="0"/>
              <w:bottom w:val="single" w:color="auto" w:sz="4" w:space="0"/>
              <w:right w:val="single" w:color="auto" w:sz="4" w:space="0"/>
            </w:tcBorders>
            <w:noWrap/>
            <w:vAlign w:val="center"/>
          </w:tcPr>
          <w:p>
            <w:pPr>
              <w:widowControl/>
              <w:jc w:val="center"/>
              <w:textAlignment w:val="center"/>
              <w:rPr>
                <w:color w:val="auto"/>
                <w:sz w:val="21"/>
                <w:szCs w:val="21"/>
                <w:highlight w:val="none"/>
              </w:rPr>
            </w:pPr>
          </w:p>
        </w:tc>
        <w:tc>
          <w:tcPr>
            <w:tcW w:w="720" w:type="dxa"/>
            <w:tcBorders>
              <w:top w:val="single" w:color="auto" w:sz="4" w:space="0"/>
              <w:left w:val="single" w:color="000000" w:sz="4" w:space="0"/>
              <w:bottom w:val="single" w:color="auto" w:sz="4" w:space="0"/>
              <w:right w:val="single" w:color="auto" w:sz="4" w:space="0"/>
            </w:tcBorders>
            <w:noWrap/>
            <w:vAlign w:val="center"/>
          </w:tcPr>
          <w:p>
            <w:pPr>
              <w:widowControl/>
              <w:jc w:val="center"/>
              <w:textAlignment w:val="center"/>
              <w:rPr>
                <w:color w:val="auto"/>
                <w:sz w:val="21"/>
                <w:szCs w:val="21"/>
                <w:highlight w:val="none"/>
              </w:rPr>
            </w:pPr>
          </w:p>
        </w:tc>
      </w:tr>
      <w:tr>
        <w:tblPrEx>
          <w:tblCellMar>
            <w:top w:w="15" w:type="dxa"/>
            <w:left w:w="15" w:type="dxa"/>
            <w:bottom w:w="15" w:type="dxa"/>
            <w:right w:w="15" w:type="dxa"/>
          </w:tblCellMar>
        </w:tblPrEx>
        <w:trPr>
          <w:trHeight w:val="1081" w:hRule="exact"/>
          <w:jc w:val="center"/>
        </w:trPr>
        <w:tc>
          <w:tcPr>
            <w:tcW w:w="8507" w:type="dxa"/>
            <w:gridSpan w:val="4"/>
            <w:tcBorders>
              <w:top w:val="single" w:color="auto" w:sz="4" w:space="0"/>
              <w:left w:val="single" w:color="000000" w:sz="4" w:space="0"/>
              <w:bottom w:val="single" w:color="auto" w:sz="4" w:space="0"/>
              <w:right w:val="single" w:color="000000" w:sz="4" w:space="0"/>
            </w:tcBorders>
            <w:noWrap/>
            <w:vAlign w:val="center"/>
          </w:tcPr>
          <w:p>
            <w:pPr>
              <w:pStyle w:val="36"/>
              <w:spacing w:line="320" w:lineRule="exact"/>
              <w:rPr>
                <w:rFonts w:hint="default"/>
                <w:color w:val="auto"/>
                <w:sz w:val="21"/>
                <w:szCs w:val="21"/>
                <w:highlight w:val="none"/>
              </w:rPr>
            </w:pPr>
            <w:r>
              <w:rPr>
                <w:b/>
                <w:bCs/>
                <w:color w:val="auto"/>
                <w:sz w:val="21"/>
                <w:szCs w:val="21"/>
                <w:highlight w:val="none"/>
              </w:rPr>
              <w:t>投标时提供相关证书、证明材料及证件的扫描件并加盖单位公章，投标人应确保上述证书、证明材料及文件的真实性、相关内容可辨别并保证清晰度。否则投标人应自行考虑是否能被评标委员会所接受的风险。</w:t>
            </w:r>
          </w:p>
        </w:tc>
        <w:tc>
          <w:tcPr>
            <w:tcW w:w="675" w:type="dxa"/>
            <w:tcBorders>
              <w:top w:val="single" w:color="auto" w:sz="4" w:space="0"/>
              <w:left w:val="single" w:color="000000" w:sz="4" w:space="0"/>
              <w:bottom w:val="single" w:color="auto" w:sz="4" w:space="0"/>
              <w:right w:val="single" w:color="000000" w:sz="4" w:space="0"/>
            </w:tcBorders>
            <w:noWrap/>
            <w:vAlign w:val="center"/>
          </w:tcPr>
          <w:p>
            <w:pPr>
              <w:pStyle w:val="36"/>
              <w:spacing w:line="320" w:lineRule="exact"/>
              <w:rPr>
                <w:rFonts w:hint="default"/>
                <w:b/>
                <w:bCs/>
                <w:color w:val="auto"/>
                <w:sz w:val="21"/>
                <w:szCs w:val="21"/>
                <w:highlight w:val="none"/>
              </w:rPr>
            </w:pPr>
          </w:p>
        </w:tc>
        <w:tc>
          <w:tcPr>
            <w:tcW w:w="720" w:type="dxa"/>
            <w:tcBorders>
              <w:top w:val="single" w:color="auto" w:sz="4" w:space="0"/>
              <w:left w:val="single" w:color="000000" w:sz="4" w:space="0"/>
              <w:bottom w:val="single" w:color="auto" w:sz="4" w:space="0"/>
              <w:right w:val="single" w:color="000000" w:sz="4" w:space="0"/>
            </w:tcBorders>
            <w:noWrap/>
            <w:vAlign w:val="center"/>
          </w:tcPr>
          <w:p>
            <w:pPr>
              <w:pStyle w:val="36"/>
              <w:spacing w:line="320" w:lineRule="exact"/>
              <w:rPr>
                <w:rFonts w:hint="default"/>
                <w:b/>
                <w:bCs/>
                <w:color w:val="auto"/>
                <w:sz w:val="21"/>
                <w:szCs w:val="21"/>
                <w:highlight w:val="none"/>
              </w:rPr>
            </w:pPr>
          </w:p>
        </w:tc>
      </w:tr>
    </w:tbl>
    <w:p>
      <w:pPr>
        <w:snapToGrid w:val="0"/>
        <w:spacing w:line="402" w:lineRule="atLeast"/>
        <w:rPr>
          <w:color w:val="auto"/>
          <w:sz w:val="21"/>
          <w:szCs w:val="21"/>
          <w:highlight w:val="none"/>
        </w:rPr>
      </w:pPr>
      <w:r>
        <w:rPr>
          <w:rFonts w:hint="eastAsia"/>
          <w:color w:val="auto"/>
          <w:sz w:val="21"/>
          <w:szCs w:val="21"/>
          <w:highlight w:val="none"/>
        </w:rPr>
        <w:t>自评分表得分仅作为评标的参考，不作为投标人的最终得分。</w:t>
      </w:r>
    </w:p>
    <w:p>
      <w:pPr>
        <w:rPr>
          <w:sz w:val="24"/>
          <w:highlight w:val="none"/>
        </w:rPr>
      </w:pPr>
    </w:p>
    <w:p>
      <w:pPr>
        <w:pStyle w:val="25"/>
        <w:ind w:left="440" w:firstLine="480"/>
        <w:rPr>
          <w:rFonts w:ascii="宋体" w:hAnsi="宋体"/>
          <w:sz w:val="24"/>
          <w:highlight w:val="none"/>
        </w:rPr>
      </w:pPr>
    </w:p>
    <w:p>
      <w:pPr>
        <w:pStyle w:val="25"/>
        <w:ind w:left="440" w:firstLine="480"/>
        <w:rPr>
          <w:rFonts w:ascii="宋体" w:hAnsi="宋体"/>
          <w:sz w:val="24"/>
          <w:highlight w:val="none"/>
        </w:rPr>
      </w:pPr>
    </w:p>
    <w:p>
      <w:pPr>
        <w:pStyle w:val="25"/>
        <w:ind w:left="440" w:firstLine="480"/>
        <w:rPr>
          <w:rFonts w:ascii="宋体" w:hAnsi="宋体"/>
          <w:sz w:val="24"/>
          <w:highlight w:val="none"/>
        </w:rPr>
      </w:pPr>
    </w:p>
    <w:p>
      <w:pPr>
        <w:pStyle w:val="25"/>
        <w:ind w:left="440" w:firstLine="480"/>
        <w:rPr>
          <w:rFonts w:ascii="宋体" w:hAnsi="宋体"/>
          <w:sz w:val="24"/>
          <w:highlight w:val="none"/>
        </w:rPr>
      </w:pPr>
    </w:p>
    <w:p>
      <w:pPr>
        <w:pStyle w:val="25"/>
        <w:ind w:left="440" w:firstLine="480"/>
        <w:rPr>
          <w:rFonts w:ascii="宋体" w:hAnsi="宋体"/>
          <w:sz w:val="24"/>
          <w:highlight w:val="none"/>
        </w:rPr>
      </w:pPr>
    </w:p>
    <w:p>
      <w:pPr>
        <w:pStyle w:val="25"/>
        <w:ind w:left="440" w:firstLine="480"/>
        <w:rPr>
          <w:rFonts w:ascii="宋体" w:hAnsi="宋体"/>
          <w:sz w:val="24"/>
          <w:highlight w:val="none"/>
        </w:rPr>
      </w:pPr>
    </w:p>
    <w:p>
      <w:pPr>
        <w:pStyle w:val="25"/>
        <w:ind w:left="440" w:firstLine="480"/>
        <w:rPr>
          <w:rFonts w:ascii="宋体" w:hAnsi="宋体"/>
          <w:sz w:val="24"/>
          <w:highlight w:val="none"/>
        </w:rPr>
      </w:pPr>
    </w:p>
    <w:p>
      <w:pPr>
        <w:pStyle w:val="25"/>
        <w:ind w:left="440" w:firstLine="480"/>
        <w:rPr>
          <w:rFonts w:ascii="宋体" w:hAnsi="宋体"/>
          <w:sz w:val="24"/>
          <w:highlight w:val="none"/>
        </w:rPr>
      </w:pPr>
    </w:p>
    <w:p>
      <w:pPr>
        <w:pStyle w:val="25"/>
        <w:ind w:left="440" w:firstLine="480"/>
        <w:rPr>
          <w:rFonts w:ascii="宋体" w:hAnsi="宋体"/>
          <w:sz w:val="24"/>
          <w:highlight w:val="none"/>
        </w:rPr>
      </w:pPr>
    </w:p>
    <w:p>
      <w:pPr>
        <w:pStyle w:val="25"/>
        <w:ind w:left="440" w:firstLine="480"/>
        <w:rPr>
          <w:rFonts w:ascii="宋体" w:hAnsi="宋体"/>
          <w:sz w:val="24"/>
          <w:highlight w:val="none"/>
        </w:rPr>
      </w:pPr>
    </w:p>
    <w:p>
      <w:pPr>
        <w:pStyle w:val="25"/>
        <w:ind w:left="0" w:leftChars="0" w:firstLine="0" w:firstLineChars="0"/>
        <w:rPr>
          <w:rFonts w:ascii="宋体" w:hAnsi="宋体"/>
          <w:sz w:val="24"/>
          <w:highlight w:val="none"/>
        </w:rPr>
      </w:pPr>
    </w:p>
    <w:p>
      <w:pPr>
        <w:widowControl/>
        <w:spacing w:line="480" w:lineRule="auto"/>
        <w:jc w:val="center"/>
        <w:rPr>
          <w:b/>
          <w:bCs/>
          <w:sz w:val="32"/>
          <w:szCs w:val="32"/>
          <w:highlight w:val="none"/>
        </w:rPr>
      </w:pPr>
      <w:r>
        <w:rPr>
          <w:b/>
          <w:bCs/>
          <w:sz w:val="32"/>
          <w:szCs w:val="32"/>
          <w:highlight w:val="none"/>
        </w:rPr>
        <w:t>服务质量承诺书</w:t>
      </w:r>
    </w:p>
    <w:p>
      <w:pPr>
        <w:widowControl/>
        <w:spacing w:line="480" w:lineRule="auto"/>
        <w:ind w:firstLine="2940"/>
        <w:rPr>
          <w:b/>
          <w:bCs/>
          <w:sz w:val="21"/>
          <w:szCs w:val="21"/>
          <w:highlight w:val="none"/>
        </w:rPr>
      </w:pPr>
    </w:p>
    <w:p>
      <w:pPr>
        <w:widowControl/>
        <w:spacing w:line="360" w:lineRule="auto"/>
        <w:ind w:firstLine="480"/>
        <w:rPr>
          <w:sz w:val="21"/>
          <w:szCs w:val="21"/>
          <w:highlight w:val="none"/>
        </w:rPr>
      </w:pPr>
      <w:r>
        <w:rPr>
          <w:sz w:val="21"/>
          <w:szCs w:val="21"/>
          <w:highlight w:val="none"/>
        </w:rPr>
        <w:t>内容要求：</w:t>
      </w:r>
    </w:p>
    <w:p>
      <w:pPr>
        <w:widowControl/>
        <w:spacing w:line="360" w:lineRule="auto"/>
        <w:ind w:firstLine="480"/>
        <w:rPr>
          <w:sz w:val="21"/>
          <w:szCs w:val="21"/>
          <w:highlight w:val="none"/>
        </w:rPr>
      </w:pPr>
    </w:p>
    <w:p>
      <w:pPr>
        <w:widowControl/>
        <w:spacing w:line="360" w:lineRule="auto"/>
        <w:ind w:firstLine="480"/>
        <w:rPr>
          <w:sz w:val="21"/>
          <w:szCs w:val="21"/>
          <w:highlight w:val="none"/>
        </w:rPr>
      </w:pPr>
      <w:r>
        <w:rPr>
          <w:rFonts w:hint="eastAsia"/>
          <w:sz w:val="21"/>
          <w:szCs w:val="21"/>
          <w:highlight w:val="none"/>
        </w:rPr>
        <w:t>投标人</w:t>
      </w:r>
      <w:r>
        <w:rPr>
          <w:sz w:val="21"/>
          <w:szCs w:val="21"/>
          <w:highlight w:val="none"/>
        </w:rPr>
        <w:t>根据本项目的工作内容、服务要求、特点等，合理、科学、慎重对以下内容作出承诺：</w:t>
      </w:r>
    </w:p>
    <w:p>
      <w:pPr>
        <w:widowControl/>
        <w:spacing w:line="360" w:lineRule="auto"/>
        <w:ind w:firstLine="480"/>
        <w:rPr>
          <w:color w:val="FF0000"/>
          <w:sz w:val="21"/>
          <w:szCs w:val="21"/>
          <w:highlight w:val="none"/>
        </w:rPr>
      </w:pPr>
    </w:p>
    <w:p>
      <w:pPr>
        <w:widowControl/>
        <w:spacing w:line="360" w:lineRule="auto"/>
        <w:ind w:firstLine="480"/>
        <w:rPr>
          <w:color w:val="auto"/>
          <w:sz w:val="21"/>
          <w:szCs w:val="21"/>
          <w:highlight w:val="none"/>
        </w:rPr>
      </w:pPr>
    </w:p>
    <w:p>
      <w:pPr>
        <w:widowControl/>
        <w:spacing w:line="360" w:lineRule="auto"/>
        <w:ind w:firstLine="480"/>
        <w:rPr>
          <w:color w:val="auto"/>
          <w:sz w:val="21"/>
          <w:szCs w:val="21"/>
          <w:highlight w:val="none"/>
        </w:rPr>
      </w:pPr>
      <w:r>
        <w:rPr>
          <w:color w:val="auto"/>
          <w:sz w:val="21"/>
          <w:szCs w:val="21"/>
          <w:highlight w:val="none"/>
        </w:rPr>
        <w:t xml:space="preserve">1、服务承诺： </w:t>
      </w:r>
    </w:p>
    <w:p>
      <w:pPr>
        <w:widowControl/>
        <w:spacing w:line="360" w:lineRule="auto"/>
        <w:ind w:firstLine="480"/>
        <w:rPr>
          <w:color w:val="auto"/>
          <w:sz w:val="21"/>
          <w:szCs w:val="21"/>
          <w:highlight w:val="none"/>
        </w:rPr>
      </w:pPr>
    </w:p>
    <w:p>
      <w:pPr>
        <w:widowControl/>
        <w:spacing w:line="360" w:lineRule="auto"/>
        <w:ind w:firstLine="480"/>
        <w:rPr>
          <w:color w:val="auto"/>
          <w:sz w:val="21"/>
          <w:szCs w:val="21"/>
          <w:highlight w:val="none"/>
        </w:rPr>
      </w:pPr>
    </w:p>
    <w:p>
      <w:pPr>
        <w:widowControl/>
        <w:spacing w:line="360" w:lineRule="auto"/>
        <w:ind w:firstLine="480"/>
        <w:rPr>
          <w:color w:val="auto"/>
          <w:sz w:val="21"/>
          <w:szCs w:val="21"/>
          <w:highlight w:val="none"/>
        </w:rPr>
      </w:pPr>
    </w:p>
    <w:p>
      <w:pPr>
        <w:widowControl/>
        <w:spacing w:line="360" w:lineRule="auto"/>
        <w:ind w:firstLine="480"/>
        <w:rPr>
          <w:color w:val="auto"/>
          <w:sz w:val="21"/>
          <w:szCs w:val="21"/>
          <w:highlight w:val="none"/>
        </w:rPr>
      </w:pPr>
      <w:r>
        <w:rPr>
          <w:color w:val="auto"/>
          <w:sz w:val="21"/>
          <w:szCs w:val="21"/>
          <w:highlight w:val="none"/>
        </w:rPr>
        <w:t>2、本项目应达到的效果和指标：</w:t>
      </w:r>
    </w:p>
    <w:p>
      <w:pPr>
        <w:widowControl/>
        <w:spacing w:line="360" w:lineRule="auto"/>
        <w:ind w:firstLine="480"/>
        <w:rPr>
          <w:color w:val="FF0000"/>
          <w:sz w:val="21"/>
          <w:szCs w:val="21"/>
          <w:highlight w:val="none"/>
        </w:rPr>
      </w:pPr>
    </w:p>
    <w:p>
      <w:pPr>
        <w:pStyle w:val="23"/>
        <w:rPr>
          <w:color w:val="FF0000"/>
          <w:sz w:val="21"/>
          <w:szCs w:val="21"/>
          <w:highlight w:val="none"/>
        </w:rPr>
      </w:pPr>
    </w:p>
    <w:p>
      <w:pPr>
        <w:spacing w:line="360" w:lineRule="auto"/>
        <w:ind w:firstLine="5040" w:firstLineChars="2400"/>
        <w:rPr>
          <w:sz w:val="21"/>
          <w:szCs w:val="21"/>
          <w:highlight w:val="none"/>
        </w:rPr>
      </w:pPr>
      <w:r>
        <w:rPr>
          <w:rFonts w:hint="eastAsia"/>
          <w:sz w:val="21"/>
          <w:szCs w:val="21"/>
          <w:highlight w:val="none"/>
        </w:rPr>
        <w:t>投标人（盖章）：</w:t>
      </w:r>
    </w:p>
    <w:p>
      <w:pPr>
        <w:spacing w:line="360" w:lineRule="auto"/>
        <w:ind w:firstLine="4935" w:firstLineChars="2350"/>
        <w:rPr>
          <w:sz w:val="21"/>
          <w:szCs w:val="21"/>
          <w:highlight w:val="none"/>
        </w:rPr>
      </w:pPr>
      <w:r>
        <w:rPr>
          <w:rFonts w:hint="eastAsia"/>
          <w:sz w:val="21"/>
          <w:szCs w:val="21"/>
          <w:highlight w:val="none"/>
        </w:rPr>
        <w:t xml:space="preserve"> 法定代表人或委托代理人（签字）：</w:t>
      </w:r>
    </w:p>
    <w:p>
      <w:pPr>
        <w:spacing w:line="360" w:lineRule="auto"/>
        <w:rPr>
          <w:sz w:val="21"/>
          <w:szCs w:val="21"/>
          <w:highlight w:val="none"/>
        </w:rPr>
      </w:pPr>
      <w:r>
        <w:rPr>
          <w:rFonts w:hint="eastAsia"/>
          <w:sz w:val="21"/>
          <w:szCs w:val="21"/>
          <w:highlight w:val="none"/>
        </w:rPr>
        <w:t xml:space="preserve">                                                日      期：</w:t>
      </w:r>
    </w:p>
    <w:p>
      <w:pPr>
        <w:pStyle w:val="25"/>
        <w:ind w:left="0" w:leftChars="0" w:firstLine="0" w:firstLineChars="0"/>
        <w:rPr>
          <w:rFonts w:ascii="宋体" w:hAnsi="宋体"/>
          <w:sz w:val="24"/>
          <w:highlight w:val="none"/>
        </w:rPr>
        <w:sectPr>
          <w:pgSz w:w="11910" w:h="16840"/>
          <w:pgMar w:top="1240" w:right="920" w:bottom="1040" w:left="1180" w:header="880" w:footer="852" w:gutter="0"/>
          <w:cols w:space="720" w:num="1"/>
        </w:sectPr>
      </w:pPr>
    </w:p>
    <w:p>
      <w:pPr>
        <w:pStyle w:val="13"/>
        <w:spacing w:before="11"/>
        <w:rPr>
          <w:sz w:val="3"/>
          <w:highlight w:val="none"/>
        </w:rPr>
      </w:pPr>
    </w:p>
    <w:p>
      <w:pPr>
        <w:pStyle w:val="13"/>
        <w:spacing w:line="57" w:lineRule="exact"/>
        <w:ind w:left="238"/>
        <w:rPr>
          <w:sz w:val="5"/>
          <w:highlight w:val="none"/>
        </w:rPr>
      </w:pPr>
    </w:p>
    <w:p>
      <w:pPr>
        <w:pStyle w:val="6"/>
        <w:spacing w:before="76"/>
        <w:rPr>
          <w:highlight w:val="none"/>
        </w:rPr>
      </w:pPr>
      <w:r>
        <w:rPr>
          <w:rFonts w:hint="eastAsia"/>
          <w:highlight w:val="none"/>
        </w:rPr>
        <w:t>招标代理服务费承诺书</w:t>
      </w:r>
    </w:p>
    <w:p>
      <w:pPr>
        <w:pStyle w:val="13"/>
        <w:spacing w:before="11"/>
        <w:rPr>
          <w:b/>
          <w:sz w:val="32"/>
          <w:highlight w:val="none"/>
        </w:rPr>
      </w:pPr>
    </w:p>
    <w:p>
      <w:pPr>
        <w:pStyle w:val="13"/>
        <w:spacing w:before="1"/>
        <w:ind w:left="238"/>
        <w:rPr>
          <w:highlight w:val="none"/>
        </w:rPr>
      </w:pPr>
      <w:r>
        <w:rPr>
          <w:rFonts w:hint="eastAsia"/>
          <w:highlight w:val="none"/>
        </w:rPr>
        <w:t>致：浙江中信工程咨询有限公司</w:t>
      </w:r>
    </w:p>
    <w:p>
      <w:pPr>
        <w:pStyle w:val="13"/>
        <w:rPr>
          <w:sz w:val="20"/>
          <w:highlight w:val="none"/>
        </w:rPr>
      </w:pPr>
    </w:p>
    <w:p>
      <w:pPr>
        <w:pStyle w:val="13"/>
        <w:spacing w:before="2"/>
        <w:rPr>
          <w:sz w:val="15"/>
          <w:highlight w:val="none"/>
        </w:rPr>
      </w:pPr>
    </w:p>
    <w:p>
      <w:pPr>
        <w:pStyle w:val="13"/>
        <w:tabs>
          <w:tab w:val="left" w:pos="2547"/>
          <w:tab w:val="left" w:pos="4643"/>
        </w:tabs>
        <w:spacing w:line="364" w:lineRule="auto"/>
        <w:ind w:left="238" w:right="325" w:firstLine="420"/>
        <w:jc w:val="both"/>
        <w:rPr>
          <w:highlight w:val="none"/>
        </w:rPr>
      </w:pPr>
      <w:r>
        <w:rPr>
          <w:rFonts w:hint="eastAsia"/>
          <w:highlight w:val="none"/>
        </w:rPr>
        <w:t>本公司</w:t>
      </w:r>
      <w:r>
        <w:rPr>
          <w:rFonts w:hint="eastAsia"/>
          <w:highlight w:val="none"/>
          <w:u w:val="single"/>
        </w:rPr>
        <w:t>（投标人名称）</w:t>
      </w:r>
      <w:r>
        <w:rPr>
          <w:rFonts w:hint="eastAsia"/>
          <w:highlight w:val="none"/>
          <w:u w:val="single"/>
        </w:rPr>
        <w:tab/>
      </w:r>
      <w:r>
        <w:rPr>
          <w:rFonts w:hint="eastAsia"/>
          <w:highlight w:val="none"/>
        </w:rPr>
        <w:t>在参加贵公司举行</w:t>
      </w:r>
      <w:r>
        <w:rPr>
          <w:rFonts w:hint="eastAsia"/>
          <w:spacing w:val="-53"/>
          <w:highlight w:val="none"/>
        </w:rPr>
        <w:t>的</w:t>
      </w:r>
      <w:r>
        <w:rPr>
          <w:rFonts w:hint="eastAsia"/>
          <w:highlight w:val="none"/>
        </w:rPr>
        <w:t xml:space="preserve">（项目名称：        </w:t>
      </w:r>
      <w:r>
        <w:rPr>
          <w:rFonts w:hint="eastAsia"/>
          <w:spacing w:val="5"/>
          <w:highlight w:val="none"/>
        </w:rPr>
        <w:t>）（</w:t>
      </w:r>
      <w:r>
        <w:rPr>
          <w:rFonts w:hint="eastAsia"/>
          <w:highlight w:val="none"/>
        </w:rPr>
        <w:t>项目编号：</w:t>
      </w:r>
      <w:r>
        <w:rPr>
          <w:rFonts w:hint="eastAsia"/>
          <w:highlight w:val="none"/>
          <w:u w:val="single"/>
        </w:rPr>
        <w:tab/>
      </w:r>
      <w:r>
        <w:rPr>
          <w:rFonts w:hint="eastAsia"/>
          <w:highlight w:val="none"/>
        </w:rPr>
        <w:t>）的招标中如</w:t>
      </w:r>
      <w:r>
        <w:rPr>
          <w:rFonts w:hint="eastAsia"/>
          <w:highlight w:val="none"/>
          <w:lang w:val="en-US"/>
        </w:rPr>
        <w:t>果</w:t>
      </w:r>
      <w:r>
        <w:rPr>
          <w:rFonts w:hint="eastAsia"/>
          <w:highlight w:val="none"/>
        </w:rPr>
        <w:t>中标，我公司保证在领取“中标通知书”前一次性足额向贵 公司缴纳“招标代理服务费”。</w:t>
      </w:r>
    </w:p>
    <w:p>
      <w:pPr>
        <w:pStyle w:val="14"/>
        <w:ind w:firstLine="240"/>
        <w:rPr>
          <w:highlight w:val="none"/>
        </w:rPr>
      </w:pPr>
    </w:p>
    <w:p>
      <w:pPr>
        <w:pStyle w:val="13"/>
        <w:spacing w:line="364" w:lineRule="auto"/>
        <w:ind w:left="658" w:right="3687"/>
        <w:rPr>
          <w:highlight w:val="none"/>
        </w:rPr>
      </w:pPr>
      <w:r>
        <w:rPr>
          <w:rFonts w:hint="eastAsia"/>
          <w:highlight w:val="none"/>
        </w:rPr>
        <w:t xml:space="preserve">如我方违反上述承诺，愿意承担全部由此引起的法律责任。 </w:t>
      </w:r>
    </w:p>
    <w:p>
      <w:pPr>
        <w:pStyle w:val="13"/>
        <w:spacing w:line="364" w:lineRule="auto"/>
        <w:ind w:left="658" w:right="3687"/>
        <w:rPr>
          <w:highlight w:val="none"/>
        </w:rPr>
      </w:pPr>
      <w:r>
        <w:rPr>
          <w:rFonts w:hint="eastAsia"/>
          <w:highlight w:val="none"/>
        </w:rPr>
        <w:t>特此承诺！</w:t>
      </w:r>
    </w:p>
    <w:p>
      <w:pPr>
        <w:pStyle w:val="14"/>
        <w:ind w:firstLine="240"/>
        <w:rPr>
          <w:highlight w:val="none"/>
        </w:rPr>
      </w:pPr>
    </w:p>
    <w:p>
      <w:pPr>
        <w:pStyle w:val="13"/>
        <w:spacing w:line="364" w:lineRule="auto"/>
        <w:ind w:left="658" w:right="6836"/>
        <w:rPr>
          <w:highlight w:val="none"/>
        </w:rPr>
      </w:pPr>
      <w:r>
        <w:rPr>
          <w:rFonts w:hint="eastAsia"/>
          <w:highlight w:val="none"/>
        </w:rPr>
        <w:t>投标人名称（盖公章）： 投标人地址：</w:t>
      </w:r>
    </w:p>
    <w:p>
      <w:pPr>
        <w:pStyle w:val="13"/>
        <w:spacing w:line="367" w:lineRule="auto"/>
        <w:ind w:left="658" w:right="8516"/>
        <w:rPr>
          <w:highlight w:val="none"/>
        </w:rPr>
      </w:pPr>
      <w:r>
        <w:rPr>
          <w:rFonts w:hint="eastAsia"/>
          <w:highlight w:val="none"/>
        </w:rPr>
        <w:t>电话： 传真：</w:t>
      </w:r>
    </w:p>
    <w:p>
      <w:pPr>
        <w:pStyle w:val="13"/>
        <w:spacing w:line="364" w:lineRule="auto"/>
        <w:ind w:left="658" w:right="6836"/>
        <w:rPr>
          <w:highlight w:val="none"/>
        </w:rPr>
      </w:pPr>
      <w:r>
        <w:rPr>
          <w:rFonts w:hint="eastAsia"/>
          <w:highlight w:val="none"/>
        </w:rPr>
        <w:t>投标方代表签字或盖章： 签署日期： 年 月 日</w:t>
      </w:r>
    </w:p>
    <w:p>
      <w:pPr>
        <w:spacing w:line="364" w:lineRule="auto"/>
        <w:rPr>
          <w:highlight w:val="none"/>
        </w:rPr>
        <w:sectPr>
          <w:pgSz w:w="11910" w:h="16840"/>
          <w:pgMar w:top="1240" w:right="920" w:bottom="1040" w:left="1180" w:header="880" w:footer="852" w:gutter="0"/>
          <w:cols w:space="720" w:num="1"/>
        </w:sectPr>
      </w:pPr>
    </w:p>
    <w:p>
      <w:pPr>
        <w:pStyle w:val="13"/>
        <w:spacing w:before="11"/>
        <w:rPr>
          <w:sz w:val="3"/>
          <w:highlight w:val="none"/>
        </w:rPr>
      </w:pPr>
    </w:p>
    <w:p>
      <w:pPr>
        <w:pStyle w:val="13"/>
        <w:spacing w:line="57" w:lineRule="exact"/>
        <w:ind w:left="238"/>
        <w:rPr>
          <w:sz w:val="5"/>
          <w:highlight w:val="none"/>
        </w:rPr>
      </w:pPr>
    </w:p>
    <w:p>
      <w:pPr>
        <w:pStyle w:val="6"/>
        <w:spacing w:before="6"/>
        <w:ind w:left="238" w:right="0"/>
        <w:jc w:val="left"/>
        <w:rPr>
          <w:highlight w:val="none"/>
        </w:rPr>
      </w:pPr>
      <w:bookmarkStart w:id="18" w:name="第三部分：价格标包装及封面格式（封面格式仅供参考）"/>
      <w:bookmarkEnd w:id="18"/>
    </w:p>
    <w:p>
      <w:pPr>
        <w:pStyle w:val="6"/>
        <w:spacing w:before="6"/>
        <w:ind w:left="238" w:right="0"/>
        <w:jc w:val="left"/>
        <w:rPr>
          <w:highlight w:val="none"/>
        </w:rPr>
      </w:pPr>
      <w:r>
        <w:rPr>
          <w:rFonts w:hint="eastAsia"/>
          <w:highlight w:val="none"/>
        </w:rPr>
        <w:t>第三部分：价格标包装及封面格式（封面格式仅供参考）</w:t>
      </w:r>
    </w:p>
    <w:p>
      <w:pPr>
        <w:pStyle w:val="7"/>
        <w:ind w:left="7558"/>
        <w:rPr>
          <w:highlight w:val="none"/>
        </w:rPr>
      </w:pPr>
      <w:r>
        <w:rPr>
          <w:rFonts w:hint="eastAsia"/>
          <w:highlight w:val="none"/>
        </w:rPr>
        <w:t>（正本/副本）</w:t>
      </w:r>
    </w:p>
    <w:p>
      <w:pPr>
        <w:pStyle w:val="13"/>
        <w:rPr>
          <w:sz w:val="20"/>
          <w:highlight w:val="none"/>
        </w:rPr>
      </w:pPr>
    </w:p>
    <w:p>
      <w:pPr>
        <w:pStyle w:val="13"/>
        <w:rPr>
          <w:sz w:val="20"/>
          <w:highlight w:val="none"/>
        </w:rPr>
      </w:pPr>
    </w:p>
    <w:p>
      <w:pPr>
        <w:pStyle w:val="13"/>
        <w:spacing w:before="2"/>
        <w:rPr>
          <w:sz w:val="18"/>
          <w:highlight w:val="none"/>
        </w:rPr>
      </w:pPr>
    </w:p>
    <w:p>
      <w:pPr>
        <w:spacing w:before="33"/>
        <w:ind w:left="49" w:right="133"/>
        <w:jc w:val="center"/>
        <w:rPr>
          <w:b/>
          <w:sz w:val="48"/>
          <w:highlight w:val="none"/>
        </w:rPr>
      </w:pPr>
      <w:r>
        <w:rPr>
          <w:rFonts w:hint="eastAsia"/>
          <w:b/>
          <w:sz w:val="48"/>
          <w:highlight w:val="none"/>
        </w:rPr>
        <w:t>兰溪市综合交通“十四五”规划落地方案</w:t>
      </w:r>
    </w:p>
    <w:p>
      <w:pPr>
        <w:pStyle w:val="13"/>
        <w:rPr>
          <w:b/>
          <w:sz w:val="48"/>
          <w:highlight w:val="none"/>
        </w:rPr>
      </w:pPr>
    </w:p>
    <w:p>
      <w:pPr>
        <w:pStyle w:val="13"/>
        <w:spacing w:before="10"/>
        <w:rPr>
          <w:b/>
          <w:sz w:val="45"/>
          <w:highlight w:val="none"/>
        </w:rPr>
      </w:pPr>
    </w:p>
    <w:p>
      <w:pPr>
        <w:ind w:right="3140"/>
        <w:jc w:val="right"/>
        <w:rPr>
          <w:b/>
          <w:sz w:val="72"/>
          <w:highlight w:val="none"/>
        </w:rPr>
      </w:pPr>
      <w:r>
        <w:rPr>
          <w:rFonts w:hint="eastAsia"/>
          <w:b/>
          <w:w w:val="95"/>
          <w:sz w:val="72"/>
          <w:highlight w:val="none"/>
        </w:rPr>
        <w:t>投标文件</w:t>
      </w:r>
    </w:p>
    <w:p>
      <w:pPr>
        <w:pStyle w:val="13"/>
        <w:spacing w:before="9"/>
        <w:rPr>
          <w:b/>
          <w:sz w:val="73"/>
          <w:highlight w:val="none"/>
        </w:rPr>
      </w:pPr>
    </w:p>
    <w:p>
      <w:pPr>
        <w:ind w:right="3138"/>
        <w:jc w:val="right"/>
        <w:rPr>
          <w:b/>
          <w:sz w:val="72"/>
          <w:highlight w:val="none"/>
        </w:rPr>
      </w:pPr>
      <w:r>
        <w:rPr>
          <w:rFonts w:hint="eastAsia"/>
          <w:b/>
          <w:w w:val="95"/>
          <w:sz w:val="72"/>
          <w:highlight w:val="none"/>
        </w:rPr>
        <w:t>（</w:t>
      </w:r>
      <w:r>
        <w:rPr>
          <w:rFonts w:hint="eastAsia"/>
          <w:b/>
          <w:spacing w:val="1"/>
          <w:w w:val="95"/>
          <w:sz w:val="72"/>
          <w:highlight w:val="none"/>
        </w:rPr>
        <w:t>价格标</w:t>
      </w:r>
      <w:r>
        <w:rPr>
          <w:rFonts w:hint="eastAsia"/>
          <w:b/>
          <w:w w:val="95"/>
          <w:sz w:val="72"/>
          <w:highlight w:val="none"/>
        </w:rPr>
        <w:t>）</w:t>
      </w:r>
    </w:p>
    <w:p>
      <w:pPr>
        <w:pStyle w:val="13"/>
        <w:rPr>
          <w:b/>
          <w:sz w:val="72"/>
          <w:highlight w:val="none"/>
        </w:rPr>
      </w:pPr>
    </w:p>
    <w:p>
      <w:pPr>
        <w:pStyle w:val="13"/>
        <w:spacing w:before="6"/>
        <w:rPr>
          <w:b/>
          <w:sz w:val="79"/>
          <w:highlight w:val="none"/>
        </w:rPr>
      </w:pPr>
    </w:p>
    <w:p>
      <w:pPr>
        <w:pStyle w:val="5"/>
        <w:rPr>
          <w:highlight w:val="none"/>
        </w:rPr>
      </w:pPr>
      <w:r>
        <w:rPr>
          <w:rFonts w:hint="eastAsia"/>
          <w:highlight w:val="none"/>
        </w:rPr>
        <w:t>项目编号：</w:t>
      </w:r>
    </w:p>
    <w:p>
      <w:pPr>
        <w:pStyle w:val="5"/>
        <w:spacing w:before="55"/>
        <w:rPr>
          <w:highlight w:val="none"/>
        </w:rPr>
      </w:pPr>
      <w:r>
        <w:rPr>
          <w:rFonts w:hint="eastAsia"/>
          <w:highlight w:val="none"/>
        </w:rPr>
        <w:t>投标人全称（公章）：</w:t>
      </w:r>
    </w:p>
    <w:p>
      <w:pPr>
        <w:pStyle w:val="5"/>
        <w:spacing w:before="55" w:line="276" w:lineRule="auto"/>
        <w:ind w:right="3565"/>
        <w:rPr>
          <w:highlight w:val="none"/>
        </w:rPr>
      </w:pPr>
      <w:r>
        <w:rPr>
          <w:rFonts w:hint="eastAsia"/>
          <w:highlight w:val="none"/>
        </w:rPr>
        <w:t>法定代表人或委托代表人签字或盖章： 投标人地址：</w:t>
      </w:r>
    </w:p>
    <w:p>
      <w:pPr>
        <w:pStyle w:val="5"/>
        <w:spacing w:line="381" w:lineRule="exact"/>
        <w:rPr>
          <w:highlight w:val="none"/>
        </w:rPr>
      </w:pPr>
      <w:r>
        <w:rPr>
          <w:rFonts w:hint="eastAsia"/>
          <w:highlight w:val="none"/>
        </w:rPr>
        <w:t>联系电话：</w:t>
      </w:r>
    </w:p>
    <w:p>
      <w:pPr>
        <w:pStyle w:val="13"/>
        <w:rPr>
          <w:sz w:val="30"/>
          <w:highlight w:val="none"/>
        </w:rPr>
      </w:pPr>
    </w:p>
    <w:p>
      <w:pPr>
        <w:pStyle w:val="13"/>
        <w:rPr>
          <w:sz w:val="30"/>
          <w:highlight w:val="none"/>
        </w:rPr>
      </w:pPr>
    </w:p>
    <w:p>
      <w:pPr>
        <w:pStyle w:val="13"/>
        <w:spacing w:before="12"/>
        <w:rPr>
          <w:sz w:val="44"/>
          <w:highlight w:val="none"/>
        </w:rPr>
      </w:pPr>
    </w:p>
    <w:p>
      <w:pPr>
        <w:pStyle w:val="7"/>
        <w:tabs>
          <w:tab w:val="left" w:pos="6720"/>
          <w:tab w:val="left" w:pos="7279"/>
        </w:tabs>
        <w:spacing w:before="0"/>
        <w:ind w:left="6159"/>
        <w:rPr>
          <w:highlight w:val="none"/>
        </w:rPr>
      </w:pPr>
      <w:r>
        <w:rPr>
          <w:rFonts w:hint="eastAsia"/>
          <w:highlight w:val="none"/>
        </w:rPr>
        <w:t>年</w:t>
      </w:r>
      <w:r>
        <w:rPr>
          <w:rFonts w:hint="eastAsia"/>
          <w:highlight w:val="none"/>
        </w:rPr>
        <w:tab/>
      </w:r>
      <w:r>
        <w:rPr>
          <w:rFonts w:hint="eastAsia"/>
          <w:highlight w:val="none"/>
        </w:rPr>
        <w:t>月</w:t>
      </w:r>
      <w:r>
        <w:rPr>
          <w:rFonts w:hint="eastAsia"/>
          <w:highlight w:val="none"/>
        </w:rPr>
        <w:tab/>
      </w:r>
      <w:r>
        <w:rPr>
          <w:rFonts w:hint="eastAsia"/>
          <w:highlight w:val="none"/>
        </w:rPr>
        <w:t>日</w:t>
      </w:r>
    </w:p>
    <w:p>
      <w:pPr>
        <w:rPr>
          <w:highlight w:val="none"/>
        </w:rPr>
        <w:sectPr>
          <w:headerReference r:id="rId14" w:type="default"/>
          <w:pgSz w:w="11910" w:h="16840"/>
          <w:pgMar w:top="1240" w:right="920" w:bottom="1040" w:left="1180" w:header="1045" w:footer="852" w:gutter="0"/>
          <w:cols w:space="720" w:num="1"/>
        </w:sectPr>
      </w:pPr>
    </w:p>
    <w:p>
      <w:pPr>
        <w:pStyle w:val="13"/>
        <w:spacing w:before="11"/>
        <w:rPr>
          <w:sz w:val="3"/>
          <w:highlight w:val="none"/>
        </w:rPr>
      </w:pPr>
    </w:p>
    <w:p>
      <w:pPr>
        <w:pStyle w:val="13"/>
        <w:spacing w:line="57" w:lineRule="exact"/>
        <w:ind w:left="238"/>
        <w:rPr>
          <w:sz w:val="5"/>
          <w:highlight w:val="none"/>
        </w:rPr>
      </w:pPr>
    </w:p>
    <w:p>
      <w:pPr>
        <w:pStyle w:val="2"/>
        <w:rPr>
          <w:highlight w:val="none"/>
        </w:rPr>
      </w:pPr>
      <w:r>
        <w:rPr>
          <w:rFonts w:hint="eastAsia"/>
          <w:highlight w:val="none"/>
        </w:rPr>
        <w:t>价格标目录</w:t>
      </w:r>
    </w:p>
    <w:p>
      <w:pPr>
        <w:pStyle w:val="13"/>
        <w:rPr>
          <w:sz w:val="20"/>
          <w:highlight w:val="none"/>
        </w:rPr>
      </w:pPr>
    </w:p>
    <w:p>
      <w:pPr>
        <w:pStyle w:val="13"/>
        <w:spacing w:before="12"/>
        <w:rPr>
          <w:sz w:val="24"/>
          <w:highlight w:val="none"/>
        </w:rPr>
      </w:pPr>
    </w:p>
    <w:p>
      <w:pPr>
        <w:pStyle w:val="13"/>
        <w:spacing w:line="360" w:lineRule="auto"/>
        <w:ind w:left="0" w:leftChars="0" w:firstLine="659" w:firstLineChars="314"/>
        <w:outlineLvl w:val="1"/>
        <w:rPr>
          <w:highlight w:val="none"/>
        </w:rPr>
      </w:pPr>
      <w:r>
        <w:rPr>
          <w:rFonts w:hint="eastAsia"/>
          <w:highlight w:val="none"/>
          <w:lang w:val="en-US" w:eastAsia="zh-CN"/>
        </w:rPr>
        <w:t>一、</w:t>
      </w:r>
      <w:r>
        <w:rPr>
          <w:rFonts w:hint="eastAsia"/>
          <w:highlight w:val="none"/>
        </w:rPr>
        <w:t>投标函；</w:t>
      </w:r>
    </w:p>
    <w:p>
      <w:pPr>
        <w:pStyle w:val="13"/>
        <w:spacing w:line="360" w:lineRule="auto"/>
        <w:ind w:left="0" w:leftChars="0" w:firstLine="659" w:firstLineChars="314"/>
        <w:outlineLvl w:val="1"/>
        <w:rPr>
          <w:highlight w:val="none"/>
        </w:rPr>
      </w:pPr>
      <w:r>
        <w:rPr>
          <w:rFonts w:hint="eastAsia"/>
          <w:highlight w:val="none"/>
          <w:lang w:val="en-US" w:eastAsia="zh-CN"/>
        </w:rPr>
        <w:t>二、</w:t>
      </w:r>
      <w:r>
        <w:rPr>
          <w:rFonts w:hint="eastAsia"/>
          <w:highlight w:val="none"/>
        </w:rPr>
        <w:t>开标一览表；</w:t>
      </w:r>
    </w:p>
    <w:p>
      <w:pPr>
        <w:pStyle w:val="13"/>
        <w:spacing w:line="360" w:lineRule="auto"/>
        <w:ind w:left="0" w:leftChars="0" w:firstLine="659" w:firstLineChars="314"/>
        <w:outlineLvl w:val="1"/>
        <w:rPr>
          <w:highlight w:val="none"/>
        </w:rPr>
      </w:pPr>
      <w:r>
        <w:rPr>
          <w:rFonts w:hint="eastAsia"/>
          <w:highlight w:val="none"/>
          <w:lang w:val="en-US" w:eastAsia="zh-CN"/>
        </w:rPr>
        <w:t>三、</w:t>
      </w:r>
      <w:r>
        <w:rPr>
          <w:rFonts w:hint="eastAsia"/>
          <w:highlight w:val="none"/>
        </w:rPr>
        <w:t>中小企业声明函【监狱企业视同小型、微型企业，须提供省级以上监狱管理局、戒毒管理局(含新疆生产建设兵团)出具的属于监狱企业的证明文件】；</w:t>
      </w:r>
    </w:p>
    <w:p>
      <w:pPr>
        <w:spacing w:line="360" w:lineRule="auto"/>
        <w:rPr>
          <w:sz w:val="21"/>
          <w:szCs w:val="21"/>
          <w:highlight w:val="none"/>
        </w:rPr>
      </w:pPr>
      <w:r>
        <w:rPr>
          <w:rFonts w:hint="eastAsia"/>
          <w:sz w:val="21"/>
          <w:szCs w:val="21"/>
          <w:highlight w:val="none"/>
          <w:lang w:val="en-US" w:eastAsia="zh-CN"/>
        </w:rPr>
        <w:t xml:space="preserve">      四、</w:t>
      </w:r>
      <w:r>
        <w:rPr>
          <w:rFonts w:hint="eastAsia"/>
          <w:sz w:val="21"/>
          <w:szCs w:val="21"/>
          <w:highlight w:val="none"/>
        </w:rPr>
        <w:t>残疾人福利性单位声明函（如有）；</w:t>
      </w:r>
    </w:p>
    <w:p>
      <w:pPr>
        <w:spacing w:line="360" w:lineRule="auto"/>
        <w:ind w:left="0" w:leftChars="0" w:firstLine="659" w:firstLineChars="314"/>
        <w:rPr>
          <w:highlight w:val="none"/>
        </w:rPr>
        <w:sectPr>
          <w:headerReference r:id="rId15" w:type="default"/>
          <w:pgSz w:w="11910" w:h="16840"/>
          <w:pgMar w:top="1240" w:right="920" w:bottom="1040" w:left="1180" w:header="880" w:footer="852" w:gutter="0"/>
          <w:cols w:space="720" w:num="1"/>
        </w:sectPr>
      </w:pPr>
      <w:r>
        <w:rPr>
          <w:rFonts w:hint="eastAsia"/>
          <w:sz w:val="21"/>
          <w:szCs w:val="21"/>
          <w:highlight w:val="none"/>
          <w:lang w:val="en-US" w:eastAsia="zh-CN"/>
        </w:rPr>
        <w:t>五、</w:t>
      </w:r>
      <w:r>
        <w:rPr>
          <w:rFonts w:hint="eastAsia"/>
          <w:sz w:val="21"/>
          <w:szCs w:val="21"/>
          <w:highlight w:val="none"/>
        </w:rPr>
        <w:t>投标人认为有必要提供的其他资料，如投标分项报价表等。</w:t>
      </w:r>
    </w:p>
    <w:p>
      <w:pPr>
        <w:pStyle w:val="13"/>
        <w:spacing w:before="11"/>
        <w:rPr>
          <w:sz w:val="3"/>
          <w:highlight w:val="none"/>
        </w:rPr>
      </w:pPr>
    </w:p>
    <w:p>
      <w:pPr>
        <w:pStyle w:val="13"/>
        <w:spacing w:line="57" w:lineRule="exact"/>
        <w:ind w:left="238"/>
        <w:rPr>
          <w:sz w:val="5"/>
          <w:highlight w:val="none"/>
        </w:rPr>
      </w:pPr>
    </w:p>
    <w:p>
      <w:pPr>
        <w:pStyle w:val="6"/>
        <w:tabs>
          <w:tab w:val="left" w:pos="1125"/>
          <w:tab w:val="left" w:pos="1687"/>
        </w:tabs>
        <w:ind w:left="0" w:right="88"/>
        <w:rPr>
          <w:highlight w:val="none"/>
        </w:rPr>
      </w:pPr>
      <w:r>
        <w:rPr>
          <w:rFonts w:hint="eastAsia"/>
          <w:highlight w:val="none"/>
        </w:rPr>
        <w:t>一、投</w:t>
      </w:r>
      <w:r>
        <w:rPr>
          <w:rFonts w:hint="eastAsia"/>
          <w:highlight w:val="none"/>
        </w:rPr>
        <w:tab/>
      </w:r>
      <w:r>
        <w:rPr>
          <w:rFonts w:hint="eastAsia"/>
          <w:highlight w:val="none"/>
        </w:rPr>
        <w:t>标</w:t>
      </w:r>
      <w:r>
        <w:rPr>
          <w:rFonts w:hint="eastAsia"/>
          <w:highlight w:val="none"/>
        </w:rPr>
        <w:tab/>
      </w:r>
      <w:r>
        <w:rPr>
          <w:rFonts w:hint="eastAsia"/>
          <w:highlight w:val="none"/>
        </w:rPr>
        <w:t>函</w:t>
      </w:r>
    </w:p>
    <w:p>
      <w:pPr>
        <w:pStyle w:val="13"/>
        <w:spacing w:before="6"/>
        <w:rPr>
          <w:b/>
          <w:sz w:val="12"/>
          <w:highlight w:val="none"/>
        </w:rPr>
      </w:pPr>
    </w:p>
    <w:p>
      <w:pPr>
        <w:pStyle w:val="13"/>
        <w:spacing w:before="70"/>
        <w:ind w:left="238"/>
        <w:rPr>
          <w:highlight w:val="none"/>
        </w:rPr>
      </w:pPr>
      <w:r>
        <w:rPr>
          <w:rFonts w:hint="eastAsia"/>
          <w:highlight w:val="none"/>
        </w:rPr>
        <w:t>致：兰溪市交通运输局</w:t>
      </w:r>
    </w:p>
    <w:p>
      <w:pPr>
        <w:pStyle w:val="13"/>
        <w:spacing w:before="8"/>
        <w:rPr>
          <w:sz w:val="13"/>
          <w:highlight w:val="none"/>
        </w:rPr>
      </w:pPr>
    </w:p>
    <w:p>
      <w:pPr>
        <w:pStyle w:val="13"/>
        <w:tabs>
          <w:tab w:val="left" w:pos="3367"/>
          <w:tab w:val="left" w:pos="4306"/>
          <w:tab w:val="left" w:pos="6999"/>
        </w:tabs>
        <w:spacing w:before="77" w:line="357" w:lineRule="auto"/>
        <w:ind w:left="238" w:right="323" w:firstLine="525"/>
        <w:jc w:val="both"/>
        <w:rPr>
          <w:highlight w:val="none"/>
        </w:rPr>
      </w:pPr>
      <w:r>
        <w:rPr>
          <w:rFonts w:hint="eastAsia"/>
          <w:highlight w:val="none"/>
          <w:u w:val="single"/>
        </w:rPr>
        <w:tab/>
      </w:r>
      <w:r>
        <w:rPr>
          <w:rFonts w:hint="eastAsia"/>
          <w:highlight w:val="none"/>
        </w:rPr>
        <w:t>（投标人全称</w:t>
      </w:r>
      <w:r>
        <w:rPr>
          <w:rFonts w:hint="eastAsia"/>
          <w:spacing w:val="-22"/>
          <w:highlight w:val="none"/>
        </w:rPr>
        <w:t>）</w:t>
      </w:r>
      <w:r>
        <w:rPr>
          <w:rFonts w:hint="eastAsia"/>
          <w:highlight w:val="none"/>
        </w:rPr>
        <w:t>授权</w:t>
      </w:r>
      <w:r>
        <w:rPr>
          <w:rFonts w:hint="eastAsia"/>
          <w:highlight w:val="none"/>
          <w:u w:val="single"/>
        </w:rPr>
        <w:tab/>
      </w:r>
      <w:r>
        <w:rPr>
          <w:rFonts w:hint="eastAsia"/>
          <w:highlight w:val="none"/>
        </w:rPr>
        <w:t>（全名</w:t>
      </w:r>
      <w:r>
        <w:rPr>
          <w:rFonts w:hint="eastAsia"/>
          <w:spacing w:val="-20"/>
          <w:highlight w:val="none"/>
        </w:rPr>
        <w:t>、</w:t>
      </w:r>
      <w:r>
        <w:rPr>
          <w:rFonts w:hint="eastAsia"/>
          <w:highlight w:val="none"/>
        </w:rPr>
        <w:t>职务</w:t>
      </w:r>
      <w:r>
        <w:rPr>
          <w:rFonts w:hint="eastAsia"/>
          <w:spacing w:val="-22"/>
          <w:highlight w:val="none"/>
        </w:rPr>
        <w:t>）</w:t>
      </w:r>
      <w:r>
        <w:rPr>
          <w:rFonts w:hint="eastAsia"/>
          <w:highlight w:val="none"/>
        </w:rPr>
        <w:t>为全权代表参加贵方组织的</w:t>
      </w:r>
      <w:r>
        <w:rPr>
          <w:rFonts w:hint="eastAsia"/>
          <w:highlight w:val="none"/>
          <w:u w:val="single"/>
        </w:rPr>
        <w:tab/>
      </w:r>
      <w:r>
        <w:rPr>
          <w:rFonts w:hint="eastAsia"/>
          <w:highlight w:val="none"/>
          <w:u w:val="single"/>
        </w:rPr>
        <w:tab/>
      </w:r>
      <w:r>
        <w:rPr>
          <w:rFonts w:hint="eastAsia"/>
          <w:highlight w:val="none"/>
        </w:rPr>
        <w:t>（招标项目名称</w:t>
      </w:r>
      <w:r>
        <w:rPr>
          <w:rFonts w:hint="eastAsia"/>
          <w:spacing w:val="-25"/>
          <w:highlight w:val="none"/>
        </w:rPr>
        <w:t>、</w:t>
      </w:r>
      <w:r>
        <w:rPr>
          <w:rFonts w:hint="eastAsia"/>
          <w:highlight w:val="none"/>
        </w:rPr>
        <w:t>项目编号</w:t>
      </w:r>
      <w:r>
        <w:rPr>
          <w:rFonts w:hint="eastAsia"/>
          <w:spacing w:val="-27"/>
          <w:highlight w:val="none"/>
        </w:rPr>
        <w:t>）</w:t>
      </w:r>
      <w:r>
        <w:rPr>
          <w:rFonts w:hint="eastAsia"/>
          <w:highlight w:val="none"/>
        </w:rPr>
        <w:t>招标的有关活动</w:t>
      </w:r>
      <w:r>
        <w:rPr>
          <w:rFonts w:hint="eastAsia"/>
          <w:spacing w:val="-25"/>
          <w:highlight w:val="none"/>
        </w:rPr>
        <w:t>。</w:t>
      </w:r>
      <w:r>
        <w:rPr>
          <w:rFonts w:hint="eastAsia"/>
          <w:highlight w:val="none"/>
        </w:rPr>
        <w:t>为此提交下述文件。</w:t>
      </w:r>
    </w:p>
    <w:p>
      <w:pPr>
        <w:pStyle w:val="13"/>
        <w:spacing w:before="117"/>
        <w:ind w:left="658"/>
        <w:rPr>
          <w:highlight w:val="none"/>
        </w:rPr>
      </w:pPr>
      <w:r>
        <w:rPr>
          <w:rFonts w:hint="eastAsia"/>
          <w:highlight w:val="none"/>
        </w:rPr>
        <w:t>1、资格证明文件；</w:t>
      </w:r>
    </w:p>
    <w:p>
      <w:pPr>
        <w:pStyle w:val="13"/>
        <w:spacing w:before="132"/>
        <w:ind w:left="658"/>
        <w:rPr>
          <w:highlight w:val="none"/>
        </w:rPr>
      </w:pPr>
      <w:r>
        <w:rPr>
          <w:rFonts w:hint="eastAsia"/>
          <w:highlight w:val="none"/>
        </w:rPr>
        <w:t>2、技术资信投标书；</w:t>
      </w:r>
    </w:p>
    <w:p>
      <w:pPr>
        <w:pStyle w:val="13"/>
        <w:spacing w:before="129"/>
        <w:ind w:left="658"/>
        <w:rPr>
          <w:highlight w:val="none"/>
        </w:rPr>
      </w:pPr>
      <w:r>
        <w:rPr>
          <w:rFonts w:hint="eastAsia"/>
          <w:highlight w:val="none"/>
        </w:rPr>
        <w:t>3、价格投标书；</w:t>
      </w:r>
    </w:p>
    <w:p>
      <w:pPr>
        <w:pStyle w:val="13"/>
        <w:spacing w:before="132"/>
        <w:ind w:left="658"/>
        <w:rPr>
          <w:highlight w:val="none"/>
        </w:rPr>
      </w:pPr>
      <w:r>
        <w:rPr>
          <w:rFonts w:hint="eastAsia"/>
          <w:highlight w:val="none"/>
        </w:rPr>
        <w:t>4、其它：</w:t>
      </w:r>
    </w:p>
    <w:p>
      <w:pPr>
        <w:pStyle w:val="13"/>
        <w:spacing w:before="132"/>
        <w:ind w:left="658"/>
        <w:rPr>
          <w:highlight w:val="none"/>
        </w:rPr>
      </w:pPr>
      <w:r>
        <w:rPr>
          <w:rFonts w:hint="eastAsia"/>
          <w:highlight w:val="none"/>
        </w:rPr>
        <w:t>5、据此函，签字代表宣布同意如下：</w:t>
      </w:r>
    </w:p>
    <w:p>
      <w:pPr>
        <w:pStyle w:val="13"/>
        <w:tabs>
          <w:tab w:val="left" w:pos="8165"/>
        </w:tabs>
        <w:spacing w:before="177"/>
        <w:ind w:left="658"/>
        <w:rPr>
          <w:highlight w:val="none"/>
        </w:rPr>
      </w:pPr>
      <w:r>
        <w:rPr>
          <w:rFonts w:hint="eastAsia"/>
          <w:spacing w:val="-26"/>
          <w:highlight w:val="none"/>
        </w:rPr>
        <w:t>1）</w:t>
      </w:r>
      <w:r>
        <w:rPr>
          <w:rFonts w:hint="eastAsia"/>
          <w:highlight w:val="none"/>
        </w:rPr>
        <w:t>所附开标一览表中规定的应提供和支付的货物和服务投标总报价为</w:t>
      </w:r>
      <w:r>
        <w:rPr>
          <w:rFonts w:hint="eastAsia"/>
          <w:highlight w:val="none"/>
          <w:u w:val="single"/>
        </w:rPr>
        <w:tab/>
      </w:r>
      <w:r>
        <w:rPr>
          <w:rFonts w:hint="eastAsia"/>
          <w:highlight w:val="none"/>
        </w:rPr>
        <w:t>元，即人民币</w:t>
      </w:r>
    </w:p>
    <w:p>
      <w:pPr>
        <w:pStyle w:val="13"/>
        <w:rPr>
          <w:sz w:val="9"/>
          <w:highlight w:val="none"/>
        </w:rPr>
      </w:pPr>
    </w:p>
    <w:p>
      <w:pPr>
        <w:pStyle w:val="13"/>
        <w:tabs>
          <w:tab w:val="left" w:pos="3914"/>
        </w:tabs>
        <w:spacing w:before="76"/>
        <w:ind w:left="238"/>
        <w:rPr>
          <w:highlight w:val="none"/>
        </w:rPr>
      </w:pPr>
      <w:r>
        <w:rPr>
          <w:rFonts w:hint="eastAsia"/>
          <w:highlight w:val="none"/>
          <w:u w:val="single"/>
        </w:rPr>
        <w:tab/>
      </w:r>
      <w:r>
        <w:rPr>
          <w:rFonts w:hint="eastAsia"/>
          <w:highlight w:val="none"/>
        </w:rPr>
        <w:t>(大写) 。</w:t>
      </w:r>
    </w:p>
    <w:p>
      <w:pPr>
        <w:pStyle w:val="34"/>
        <w:numPr>
          <w:ilvl w:val="0"/>
          <w:numId w:val="22"/>
        </w:numPr>
        <w:tabs>
          <w:tab w:val="left" w:pos="870"/>
        </w:tabs>
        <w:spacing w:before="192"/>
        <w:rPr>
          <w:sz w:val="21"/>
          <w:highlight w:val="none"/>
        </w:rPr>
      </w:pPr>
      <w:r>
        <w:rPr>
          <w:rFonts w:hint="eastAsia"/>
          <w:sz w:val="21"/>
          <w:highlight w:val="none"/>
        </w:rPr>
        <w:t>投标方已详细审查全部招标文件，我们完全理解并同意放弃对这方面有不明及误解的权利。</w:t>
      </w:r>
    </w:p>
    <w:p>
      <w:pPr>
        <w:pStyle w:val="13"/>
        <w:spacing w:before="10"/>
        <w:rPr>
          <w:sz w:val="14"/>
          <w:highlight w:val="none"/>
        </w:rPr>
      </w:pPr>
    </w:p>
    <w:p>
      <w:pPr>
        <w:pStyle w:val="34"/>
        <w:numPr>
          <w:ilvl w:val="0"/>
          <w:numId w:val="22"/>
        </w:numPr>
        <w:tabs>
          <w:tab w:val="left" w:pos="870"/>
        </w:tabs>
        <w:rPr>
          <w:sz w:val="21"/>
          <w:highlight w:val="none"/>
        </w:rPr>
      </w:pPr>
      <w:r>
        <w:rPr>
          <w:rFonts w:hint="eastAsia"/>
          <w:sz w:val="21"/>
          <w:highlight w:val="none"/>
        </w:rPr>
        <w:t>投标方将按招标文件规定履行合同责任和义务。</w:t>
      </w:r>
    </w:p>
    <w:p>
      <w:pPr>
        <w:pStyle w:val="13"/>
        <w:spacing w:before="12"/>
        <w:rPr>
          <w:sz w:val="14"/>
          <w:highlight w:val="none"/>
        </w:rPr>
      </w:pPr>
    </w:p>
    <w:p>
      <w:pPr>
        <w:pStyle w:val="34"/>
        <w:numPr>
          <w:ilvl w:val="0"/>
          <w:numId w:val="22"/>
        </w:numPr>
        <w:tabs>
          <w:tab w:val="left" w:pos="870"/>
        </w:tabs>
        <w:rPr>
          <w:sz w:val="21"/>
          <w:highlight w:val="none"/>
        </w:rPr>
      </w:pPr>
      <w:r>
        <w:rPr>
          <w:rFonts w:hint="eastAsia"/>
          <w:spacing w:val="-4"/>
          <w:sz w:val="21"/>
          <w:highlight w:val="none"/>
        </w:rPr>
        <w:t xml:space="preserve">其投标自开标之日起有效期 </w:t>
      </w:r>
      <w:r>
        <w:rPr>
          <w:rFonts w:hint="eastAsia"/>
          <w:sz w:val="21"/>
          <w:highlight w:val="none"/>
          <w:u w:val="single"/>
        </w:rPr>
        <w:t>90</w:t>
      </w:r>
      <w:r>
        <w:rPr>
          <w:rFonts w:hint="eastAsia"/>
          <w:spacing w:val="-10"/>
          <w:sz w:val="21"/>
          <w:highlight w:val="none"/>
        </w:rPr>
        <w:t xml:space="preserve"> 个工作日。</w:t>
      </w:r>
    </w:p>
    <w:p>
      <w:pPr>
        <w:pStyle w:val="13"/>
        <w:rPr>
          <w:sz w:val="15"/>
          <w:highlight w:val="none"/>
        </w:rPr>
      </w:pPr>
    </w:p>
    <w:p>
      <w:pPr>
        <w:pStyle w:val="34"/>
        <w:numPr>
          <w:ilvl w:val="0"/>
          <w:numId w:val="23"/>
        </w:numPr>
        <w:tabs>
          <w:tab w:val="left" w:pos="974"/>
        </w:tabs>
        <w:rPr>
          <w:sz w:val="21"/>
          <w:highlight w:val="none"/>
        </w:rPr>
      </w:pPr>
      <w:r>
        <w:rPr>
          <w:rFonts w:hint="eastAsia"/>
          <w:sz w:val="21"/>
          <w:highlight w:val="none"/>
        </w:rPr>
        <w:t>如果在规定的开标时间后，投标方在投标有效期内不可撤回其投标。</w:t>
      </w:r>
    </w:p>
    <w:p>
      <w:pPr>
        <w:pStyle w:val="13"/>
        <w:spacing w:before="10"/>
        <w:rPr>
          <w:sz w:val="14"/>
          <w:highlight w:val="none"/>
        </w:rPr>
      </w:pPr>
    </w:p>
    <w:p>
      <w:pPr>
        <w:pStyle w:val="34"/>
        <w:numPr>
          <w:ilvl w:val="0"/>
          <w:numId w:val="23"/>
        </w:numPr>
        <w:tabs>
          <w:tab w:val="left" w:pos="974"/>
        </w:tabs>
        <w:spacing w:line="410" w:lineRule="auto"/>
        <w:ind w:left="238" w:right="327" w:firstLine="420"/>
        <w:rPr>
          <w:sz w:val="21"/>
          <w:highlight w:val="none"/>
        </w:rPr>
      </w:pPr>
      <w:r>
        <w:rPr>
          <w:rFonts w:hint="eastAsia"/>
          <w:spacing w:val="-2"/>
          <w:sz w:val="21"/>
          <w:highlight w:val="none"/>
        </w:rPr>
        <w:t>投标方同意提供按照贵方可能要求的与其投标有关的一切数据，理解贵方不一定要接受最低价的投标或收到的任何投标。</w:t>
      </w:r>
    </w:p>
    <w:p>
      <w:pPr>
        <w:pStyle w:val="13"/>
        <w:spacing w:before="1"/>
        <w:ind w:left="658"/>
        <w:rPr>
          <w:highlight w:val="none"/>
        </w:rPr>
      </w:pPr>
      <w:r>
        <w:rPr>
          <w:rFonts w:hint="eastAsia"/>
          <w:highlight w:val="none"/>
        </w:rPr>
        <w:t>7)与本投标有关的一切正式往来通讯请寄：</w:t>
      </w:r>
    </w:p>
    <w:p>
      <w:pPr>
        <w:pStyle w:val="13"/>
        <w:spacing w:before="10"/>
        <w:rPr>
          <w:sz w:val="14"/>
          <w:highlight w:val="none"/>
        </w:rPr>
      </w:pPr>
    </w:p>
    <w:p>
      <w:pPr>
        <w:pStyle w:val="13"/>
        <w:tabs>
          <w:tab w:val="left" w:pos="4332"/>
          <w:tab w:val="left" w:pos="7325"/>
        </w:tabs>
        <w:ind w:left="1392"/>
        <w:rPr>
          <w:highlight w:val="none"/>
        </w:rPr>
      </w:pPr>
      <w:r>
        <w:rPr>
          <w:rFonts w:hint="eastAsia"/>
          <w:highlight w:val="none"/>
        </w:rPr>
        <w:t>地址：</w:t>
      </w:r>
      <w:r>
        <w:rPr>
          <w:rFonts w:hint="eastAsia"/>
          <w:highlight w:val="none"/>
          <w:u w:val="single"/>
        </w:rPr>
        <w:tab/>
      </w:r>
      <w:r>
        <w:rPr>
          <w:rFonts w:hint="eastAsia"/>
          <w:highlight w:val="none"/>
        </w:rPr>
        <w:t>邮编：</w:t>
      </w:r>
      <w:r>
        <w:rPr>
          <w:rFonts w:hint="eastAsia"/>
          <w:highlight w:val="none"/>
          <w:u w:val="single"/>
        </w:rPr>
        <w:tab/>
      </w:r>
    </w:p>
    <w:p>
      <w:pPr>
        <w:pStyle w:val="13"/>
        <w:spacing w:before="1"/>
        <w:rPr>
          <w:sz w:val="10"/>
          <w:highlight w:val="none"/>
        </w:rPr>
      </w:pPr>
    </w:p>
    <w:p>
      <w:pPr>
        <w:pStyle w:val="13"/>
        <w:tabs>
          <w:tab w:val="left" w:pos="4332"/>
          <w:tab w:val="left" w:pos="7325"/>
        </w:tabs>
        <w:spacing w:before="76"/>
        <w:ind w:left="1392"/>
        <w:rPr>
          <w:highlight w:val="none"/>
        </w:rPr>
      </w:pPr>
      <w:r>
        <w:rPr>
          <w:rFonts w:hint="eastAsia"/>
          <w:highlight w:val="none"/>
        </w:rPr>
        <w:t>电话：</w:t>
      </w:r>
      <w:r>
        <w:rPr>
          <w:rFonts w:hint="eastAsia"/>
          <w:highlight w:val="none"/>
          <w:u w:val="single"/>
        </w:rPr>
        <w:tab/>
      </w:r>
      <w:r>
        <w:rPr>
          <w:rFonts w:hint="eastAsia"/>
          <w:highlight w:val="none"/>
        </w:rPr>
        <w:t>传真：</w:t>
      </w:r>
      <w:r>
        <w:rPr>
          <w:rFonts w:hint="eastAsia"/>
          <w:highlight w:val="none"/>
          <w:u w:val="single"/>
        </w:rPr>
        <w:tab/>
      </w:r>
    </w:p>
    <w:p>
      <w:pPr>
        <w:pStyle w:val="13"/>
        <w:rPr>
          <w:sz w:val="10"/>
          <w:highlight w:val="none"/>
        </w:rPr>
      </w:pPr>
    </w:p>
    <w:p>
      <w:pPr>
        <w:pStyle w:val="13"/>
        <w:tabs>
          <w:tab w:val="left" w:pos="5540"/>
        </w:tabs>
        <w:spacing w:before="77" w:line="360" w:lineRule="auto"/>
        <w:ind w:left="1392"/>
        <w:rPr>
          <w:highlight w:val="none"/>
        </w:rPr>
      </w:pPr>
      <w:r>
        <w:rPr>
          <w:rFonts w:hint="eastAsia"/>
          <w:highlight w:val="none"/>
        </w:rPr>
        <w:t>投标方名称:</w:t>
      </w:r>
      <w:r>
        <w:rPr>
          <w:rFonts w:hint="eastAsia"/>
          <w:highlight w:val="none"/>
          <w:u w:val="single"/>
        </w:rPr>
        <w:tab/>
      </w:r>
      <w:r>
        <w:rPr>
          <w:rFonts w:hint="eastAsia"/>
          <w:highlight w:val="none"/>
        </w:rPr>
        <w:t>(公章)</w:t>
      </w:r>
    </w:p>
    <w:p>
      <w:pPr>
        <w:pStyle w:val="13"/>
        <w:tabs>
          <w:tab w:val="left" w:pos="5540"/>
        </w:tabs>
        <w:spacing w:before="77" w:line="360" w:lineRule="auto"/>
        <w:ind w:left="1392"/>
        <w:rPr>
          <w:highlight w:val="none"/>
        </w:rPr>
      </w:pPr>
      <w:r>
        <w:rPr>
          <w:rFonts w:hint="eastAsia"/>
          <w:highlight w:val="none"/>
        </w:rPr>
        <w:t xml:space="preserve">投标方法定代表人（签字或盖章）:  </w:t>
      </w:r>
      <w:r>
        <w:rPr>
          <w:rFonts w:hint="eastAsia"/>
          <w:highlight w:val="none"/>
        </w:rPr>
        <w:tab/>
      </w:r>
    </w:p>
    <w:p>
      <w:pPr>
        <w:pStyle w:val="13"/>
        <w:tabs>
          <w:tab w:val="left" w:pos="5540"/>
        </w:tabs>
        <w:spacing w:before="77" w:line="360" w:lineRule="auto"/>
        <w:ind w:left="1392"/>
        <w:rPr>
          <w:highlight w:val="none"/>
        </w:rPr>
      </w:pPr>
      <w:r>
        <w:rPr>
          <w:rFonts w:hint="eastAsia"/>
          <w:highlight w:val="none"/>
        </w:rPr>
        <w:t xml:space="preserve">授权代表（签字或盖章）:  </w:t>
      </w:r>
      <w:r>
        <w:rPr>
          <w:rFonts w:hint="eastAsia"/>
          <w:highlight w:val="none"/>
        </w:rPr>
        <w:tab/>
      </w:r>
    </w:p>
    <w:p>
      <w:pPr>
        <w:pStyle w:val="13"/>
        <w:tabs>
          <w:tab w:val="left" w:pos="5540"/>
        </w:tabs>
        <w:spacing w:before="77"/>
        <w:ind w:left="1392"/>
        <w:rPr>
          <w:highlight w:val="none"/>
        </w:rPr>
      </w:pPr>
    </w:p>
    <w:p>
      <w:pPr>
        <w:pStyle w:val="13"/>
        <w:tabs>
          <w:tab w:val="left" w:pos="3072"/>
          <w:tab w:val="left" w:pos="3703"/>
          <w:tab w:val="left" w:pos="4332"/>
        </w:tabs>
        <w:spacing w:before="70"/>
        <w:ind w:left="1392"/>
        <w:rPr>
          <w:highlight w:val="none"/>
        </w:rPr>
      </w:pPr>
      <w:r>
        <w:rPr>
          <w:rFonts w:hint="eastAsia"/>
          <w:highlight w:val="none"/>
        </w:rPr>
        <w:t>投标日期:</w:t>
      </w:r>
      <w:r>
        <w:rPr>
          <w:rFonts w:hint="eastAsia"/>
          <w:highlight w:val="none"/>
          <w:u w:val="single"/>
        </w:rPr>
        <w:tab/>
      </w:r>
      <w:r>
        <w:rPr>
          <w:rFonts w:hint="eastAsia"/>
          <w:highlight w:val="none"/>
        </w:rPr>
        <w:t>年</w:t>
      </w:r>
      <w:r>
        <w:rPr>
          <w:rFonts w:hint="eastAsia"/>
          <w:highlight w:val="none"/>
          <w:u w:val="single"/>
        </w:rPr>
        <w:tab/>
      </w:r>
      <w:r>
        <w:rPr>
          <w:rFonts w:hint="eastAsia"/>
          <w:highlight w:val="none"/>
        </w:rPr>
        <w:t>月</w:t>
      </w:r>
      <w:r>
        <w:rPr>
          <w:rFonts w:hint="eastAsia"/>
          <w:highlight w:val="none"/>
          <w:u w:val="single"/>
        </w:rPr>
        <w:tab/>
      </w:r>
      <w:r>
        <w:rPr>
          <w:rFonts w:hint="eastAsia"/>
          <w:highlight w:val="none"/>
        </w:rPr>
        <w:t>日</w:t>
      </w:r>
    </w:p>
    <w:p>
      <w:pPr>
        <w:rPr>
          <w:highlight w:val="none"/>
        </w:rPr>
        <w:sectPr>
          <w:pgSz w:w="11910" w:h="16840"/>
          <w:pgMar w:top="1240" w:right="920" w:bottom="1040" w:left="1180" w:header="880" w:footer="852" w:gutter="0"/>
          <w:cols w:space="720" w:num="1"/>
        </w:sectPr>
      </w:pPr>
    </w:p>
    <w:p>
      <w:pPr>
        <w:pStyle w:val="13"/>
        <w:spacing w:before="3"/>
        <w:rPr>
          <w:sz w:val="19"/>
          <w:highlight w:val="none"/>
        </w:rPr>
      </w:pPr>
    </w:p>
    <w:p>
      <w:pPr>
        <w:pStyle w:val="6"/>
        <w:spacing w:before="61"/>
        <w:ind w:right="251"/>
        <w:rPr>
          <w:highlight w:val="none"/>
        </w:rPr>
      </w:pPr>
      <w:r>
        <w:rPr>
          <w:rFonts w:hint="eastAsia"/>
          <w:highlight w:val="none"/>
        </w:rPr>
        <w:t>二、开标一览表</w:t>
      </w:r>
    </w:p>
    <w:p>
      <w:pPr>
        <w:pStyle w:val="13"/>
        <w:spacing w:before="2"/>
        <w:rPr>
          <w:b/>
          <w:sz w:val="24"/>
          <w:highlight w:val="none"/>
        </w:rPr>
      </w:pPr>
    </w:p>
    <w:p>
      <w:pPr>
        <w:spacing w:line="360" w:lineRule="auto"/>
        <w:rPr>
          <w:sz w:val="24"/>
          <w:szCs w:val="24"/>
          <w:highlight w:val="none"/>
        </w:rPr>
      </w:pPr>
      <w:r>
        <w:rPr>
          <w:rFonts w:hint="eastAsia"/>
          <w:sz w:val="24"/>
          <w:szCs w:val="24"/>
          <w:highlight w:val="none"/>
        </w:rPr>
        <w:t>项目编号：</w:t>
      </w:r>
    </w:p>
    <w:p>
      <w:pPr>
        <w:spacing w:line="360" w:lineRule="auto"/>
        <w:rPr>
          <w:sz w:val="24"/>
          <w:szCs w:val="24"/>
          <w:highlight w:val="none"/>
        </w:rPr>
      </w:pPr>
      <w:r>
        <w:rPr>
          <w:rFonts w:hint="eastAsia"/>
          <w:sz w:val="24"/>
          <w:szCs w:val="24"/>
          <w:highlight w:val="none"/>
        </w:rPr>
        <w:t xml:space="preserve">项目名称：              </w:t>
      </w:r>
      <w:r>
        <w:rPr>
          <w:rFonts w:hint="eastAsia"/>
          <w:sz w:val="24"/>
          <w:szCs w:val="24"/>
          <w:highlight w:val="none"/>
          <w:lang w:val="en-US" w:eastAsia="zh-CN"/>
        </w:rPr>
        <w:t xml:space="preserve">                                   </w:t>
      </w:r>
      <w:r>
        <w:rPr>
          <w:rFonts w:hint="eastAsia"/>
          <w:sz w:val="24"/>
          <w:szCs w:val="24"/>
          <w:highlight w:val="none"/>
        </w:rPr>
        <w:t xml:space="preserve"> 标项：</w:t>
      </w:r>
      <w:r>
        <w:rPr>
          <w:rFonts w:hint="eastAsia"/>
          <w:sz w:val="24"/>
          <w:szCs w:val="24"/>
          <w:highlight w:val="none"/>
          <w:u w:val="single"/>
        </w:rPr>
        <w:t>（若有）</w:t>
      </w:r>
    </w:p>
    <w:tbl>
      <w:tblPr>
        <w:tblStyle w:val="26"/>
        <w:tblW w:w="9436" w:type="dxa"/>
        <w:tblInd w:w="8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23"/>
        <w:gridCol w:w="1896"/>
        <w:gridCol w:w="2790"/>
        <w:gridCol w:w="877"/>
        <w:gridCol w:w="1025"/>
        <w:gridCol w:w="1067"/>
        <w:gridCol w:w="115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4" w:hRule="atLeast"/>
        </w:trPr>
        <w:tc>
          <w:tcPr>
            <w:tcW w:w="623"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jc w:val="center"/>
              <w:rPr>
                <w:rFonts w:hint="eastAsia"/>
                <w:sz w:val="18"/>
                <w:szCs w:val="18"/>
                <w:highlight w:val="none"/>
              </w:rPr>
            </w:pPr>
            <w:r>
              <w:rPr>
                <w:rFonts w:hint="eastAsia"/>
                <w:sz w:val="18"/>
                <w:szCs w:val="18"/>
                <w:highlight w:val="none"/>
                <w:lang w:val="zh-TW" w:eastAsia="zh-TW"/>
              </w:rPr>
              <w:t>序号</w:t>
            </w:r>
          </w:p>
        </w:tc>
        <w:tc>
          <w:tcPr>
            <w:tcW w:w="1896"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jc w:val="center"/>
              <w:rPr>
                <w:rFonts w:hint="default" w:eastAsia="宋体"/>
                <w:sz w:val="18"/>
                <w:szCs w:val="18"/>
                <w:highlight w:val="none"/>
                <w:lang w:val="en-US" w:eastAsia="zh-CN"/>
              </w:rPr>
            </w:pPr>
            <w:r>
              <w:rPr>
                <w:rFonts w:hint="eastAsia"/>
                <w:sz w:val="18"/>
                <w:szCs w:val="18"/>
                <w:highlight w:val="none"/>
                <w:lang w:val="en-US" w:eastAsia="zh-CN"/>
              </w:rPr>
              <w:t>采购内容</w:t>
            </w:r>
          </w:p>
        </w:tc>
        <w:tc>
          <w:tcPr>
            <w:tcW w:w="2790"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sz w:val="18"/>
                <w:szCs w:val="18"/>
                <w:highlight w:val="none"/>
                <w:lang w:val="en-US" w:eastAsia="zh-CN"/>
              </w:rPr>
            </w:pPr>
            <w:r>
              <w:rPr>
                <w:rFonts w:hint="eastAsia"/>
                <w:sz w:val="18"/>
                <w:szCs w:val="18"/>
                <w:highlight w:val="none"/>
                <w:lang w:val="en-US" w:eastAsia="zh-CN"/>
              </w:rPr>
              <w:t>线路概况</w:t>
            </w:r>
          </w:p>
        </w:tc>
        <w:tc>
          <w:tcPr>
            <w:tcW w:w="877"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sz w:val="18"/>
                <w:szCs w:val="18"/>
                <w:highlight w:val="none"/>
                <w:lang w:val="en-US" w:eastAsia="zh-CN"/>
              </w:rPr>
            </w:pPr>
            <w:r>
              <w:rPr>
                <w:rFonts w:hint="eastAsia"/>
                <w:sz w:val="18"/>
                <w:szCs w:val="18"/>
                <w:highlight w:val="none"/>
                <w:lang w:val="en-US" w:eastAsia="zh-CN"/>
              </w:rPr>
              <w:t>公里数</w:t>
            </w:r>
          </w:p>
        </w:tc>
        <w:tc>
          <w:tcPr>
            <w:tcW w:w="1025"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sz w:val="18"/>
                <w:szCs w:val="18"/>
                <w:highlight w:val="none"/>
                <w:lang w:val="en-US" w:eastAsia="zh-CN"/>
              </w:rPr>
            </w:pPr>
            <w:r>
              <w:rPr>
                <w:rFonts w:hint="eastAsia"/>
                <w:sz w:val="18"/>
                <w:szCs w:val="18"/>
                <w:highlight w:val="none"/>
                <w:lang w:val="en-US" w:eastAsia="zh-CN"/>
              </w:rPr>
              <w:t>单价（元/公里）</w:t>
            </w:r>
          </w:p>
        </w:tc>
        <w:tc>
          <w:tcPr>
            <w:tcW w:w="1067"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eastAsia="宋体"/>
                <w:sz w:val="18"/>
                <w:szCs w:val="18"/>
                <w:highlight w:val="none"/>
                <w:lang w:val="en-US" w:eastAsia="zh-CN"/>
              </w:rPr>
            </w:pPr>
            <w:r>
              <w:rPr>
                <w:rFonts w:hint="eastAsia"/>
                <w:sz w:val="18"/>
                <w:szCs w:val="18"/>
                <w:highlight w:val="none"/>
                <w:lang w:val="en-US" w:eastAsia="zh-CN"/>
              </w:rPr>
              <w:t xml:space="preserve"> 报价（元）</w:t>
            </w:r>
          </w:p>
        </w:tc>
        <w:tc>
          <w:tcPr>
            <w:tcW w:w="1158" w:type="dxa"/>
            <w:tcBorders>
              <w:top w:val="single" w:color="000000" w:sz="4" w:space="0"/>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jc w:val="center"/>
              <w:rPr>
                <w:rFonts w:hint="eastAsia"/>
                <w:sz w:val="18"/>
                <w:szCs w:val="18"/>
                <w:highlight w:val="none"/>
              </w:rPr>
            </w:pPr>
            <w:r>
              <w:rPr>
                <w:rFonts w:hint="eastAsia"/>
                <w:sz w:val="18"/>
                <w:szCs w:val="18"/>
                <w:highlight w:val="none"/>
                <w:lang w:val="zh-TW" w:eastAsia="zh-TW"/>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623" w:type="dxa"/>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pStyle w:val="51"/>
              <w:pBdr>
                <w:top w:val="none" w:color="auto" w:sz="0" w:space="0"/>
                <w:left w:val="none" w:color="auto" w:sz="0" w:space="0"/>
                <w:bottom w:val="none" w:color="auto" w:sz="0" w:space="0"/>
                <w:right w:val="none" w:color="auto" w:sz="0" w:space="0"/>
              </w:pBdr>
              <w:spacing w:before="120" w:after="12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w:t>
            </w:r>
          </w:p>
        </w:tc>
        <w:tc>
          <w:tcPr>
            <w:tcW w:w="1896" w:type="dxa"/>
            <w:tcBorders>
              <w:left w:val="single" w:color="000000" w:sz="4" w:space="0"/>
              <w:bottom w:val="single" w:color="000000" w:sz="4" w:space="0"/>
              <w:right w:val="single" w:color="auto" w:sz="4" w:space="0"/>
            </w:tcBorders>
            <w:noWrap w:val="0"/>
            <w:tcMar>
              <w:top w:w="80" w:type="dxa"/>
              <w:left w:w="80" w:type="dxa"/>
              <w:bottom w:w="80" w:type="dxa"/>
              <w:right w:w="80" w:type="dxa"/>
            </w:tcMar>
            <w:vAlign w:val="center"/>
          </w:tcPr>
          <w:p>
            <w:pPr>
              <w:pStyle w:val="51"/>
              <w:pBdr>
                <w:top w:val="none" w:color="auto" w:sz="0" w:space="0"/>
                <w:left w:val="none" w:color="auto" w:sz="0" w:space="0"/>
                <w:bottom w:val="none" w:color="auto" w:sz="0" w:space="0"/>
                <w:right w:val="none" w:color="auto" w:sz="0" w:space="0"/>
              </w:pBdr>
              <w:spacing w:before="120" w:after="120"/>
              <w:jc w:val="center"/>
              <w:rPr>
                <w:rFonts w:hint="eastAsia" w:ascii="宋体" w:hAnsi="宋体" w:eastAsia="宋体" w:cs="宋体"/>
                <w:color w:val="auto"/>
                <w:kern w:val="0"/>
                <w:sz w:val="18"/>
                <w:szCs w:val="18"/>
                <w:highlight w:val="none"/>
                <w:lang w:val="zh-TW" w:eastAsia="zh-TW"/>
              </w:rPr>
            </w:pPr>
            <w:r>
              <w:rPr>
                <w:rFonts w:hint="eastAsia"/>
                <w:sz w:val="18"/>
                <w:szCs w:val="18"/>
                <w:highlight w:val="none"/>
                <w:lang w:val="en-US"/>
              </w:rPr>
              <w:t>G527（白沙-塘雅）兰溪段</w:t>
            </w:r>
          </w:p>
        </w:tc>
        <w:tc>
          <w:tcPr>
            <w:tcW w:w="2790"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建设里程7.6km，一级公路标准，路基宽度33m，设计速度80km/h</w:t>
            </w:r>
          </w:p>
        </w:tc>
        <w:tc>
          <w:tcPr>
            <w:tcW w:w="877" w:type="dxa"/>
            <w:tcBorders>
              <w:top w:val="single" w:color="auto" w:sz="4" w:space="0"/>
              <w:left w:val="single" w:color="auto" w:sz="4" w:space="0"/>
              <w:bottom w:val="single" w:color="000000" w:sz="4" w:space="0"/>
              <w:right w:val="single" w:color="000000" w:sz="4" w:space="0"/>
            </w:tcBorders>
            <w:noWrap w:val="0"/>
            <w:vAlign w:val="center"/>
          </w:tcPr>
          <w:p>
            <w:pPr>
              <w:rPr>
                <w:rFonts w:hint="eastAsia" w:ascii="宋体" w:hAnsi="宋体" w:eastAsia="宋体" w:cs="宋体"/>
                <w:sz w:val="18"/>
                <w:szCs w:val="18"/>
                <w:highlight w:val="none"/>
              </w:rPr>
            </w:pPr>
          </w:p>
        </w:tc>
        <w:tc>
          <w:tcPr>
            <w:tcW w:w="1025" w:type="dxa"/>
            <w:tcBorders>
              <w:top w:val="single" w:color="auto" w:sz="4" w:space="0"/>
              <w:left w:val="single" w:color="auto" w:sz="4" w:space="0"/>
              <w:bottom w:val="single" w:color="000000" w:sz="4" w:space="0"/>
              <w:right w:val="single" w:color="000000" w:sz="4" w:space="0"/>
            </w:tcBorders>
            <w:noWrap w:val="0"/>
            <w:vAlign w:val="center"/>
          </w:tcPr>
          <w:p>
            <w:pPr>
              <w:rPr>
                <w:rFonts w:hint="eastAsia" w:ascii="宋体" w:hAnsi="宋体" w:eastAsia="宋体" w:cs="宋体"/>
                <w:sz w:val="18"/>
                <w:szCs w:val="18"/>
                <w:highlight w:val="none"/>
              </w:rPr>
            </w:pPr>
          </w:p>
        </w:tc>
        <w:tc>
          <w:tcPr>
            <w:tcW w:w="1067" w:type="dxa"/>
            <w:tcBorders>
              <w:top w:val="single" w:color="auto" w:sz="4" w:space="0"/>
              <w:left w:val="single" w:color="auto" w:sz="4" w:space="0"/>
              <w:bottom w:val="single" w:color="000000" w:sz="4" w:space="0"/>
              <w:right w:val="single" w:color="000000" w:sz="4" w:space="0"/>
            </w:tcBorders>
            <w:noWrap w:val="0"/>
            <w:vAlign w:val="center"/>
          </w:tcPr>
          <w:p>
            <w:pPr>
              <w:rPr>
                <w:rFonts w:hint="eastAsia" w:ascii="宋体" w:hAnsi="宋体" w:eastAsia="宋体" w:cs="宋体"/>
                <w:sz w:val="18"/>
                <w:szCs w:val="18"/>
                <w:highlight w:val="none"/>
              </w:rPr>
            </w:pPr>
          </w:p>
        </w:tc>
        <w:tc>
          <w:tcPr>
            <w:tcW w:w="1158" w:type="dxa"/>
            <w:tcBorders>
              <w:left w:val="single" w:color="000000" w:sz="4" w:space="0"/>
              <w:right w:val="single" w:color="000000" w:sz="4" w:space="0"/>
            </w:tcBorders>
            <w:noWrap w:val="0"/>
            <w:tcMar>
              <w:top w:w="80" w:type="dxa"/>
              <w:left w:w="80" w:type="dxa"/>
              <w:bottom w:w="80" w:type="dxa"/>
              <w:right w:w="80" w:type="dxa"/>
            </w:tcMar>
            <w:vAlign w:val="center"/>
          </w:tcPr>
          <w:p>
            <w:pPr>
              <w:pStyle w:val="51"/>
              <w:pBdr>
                <w:top w:val="none" w:color="auto" w:sz="0" w:space="0"/>
                <w:left w:val="none" w:color="auto" w:sz="0" w:space="0"/>
                <w:bottom w:val="none" w:color="auto" w:sz="0" w:space="0"/>
                <w:right w:val="none" w:color="auto" w:sz="0" w:space="0"/>
              </w:pBdr>
              <w:jc w:val="center"/>
              <w:rPr>
                <w:rFonts w:hint="eastAsia" w:ascii="宋体" w:hAnsi="宋体" w:eastAsia="宋体" w:cs="宋体"/>
                <w:b/>
                <w:bCs/>
                <w:color w:val="auto"/>
                <w:kern w:val="0"/>
                <w:sz w:val="18"/>
                <w:szCs w:val="18"/>
                <w:highlight w:val="none"/>
                <w:lang w:val="zh-TW" w:eastAsia="zh-TW"/>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0" w:hRule="atLeast"/>
        </w:trPr>
        <w:tc>
          <w:tcPr>
            <w:tcW w:w="623" w:type="dxa"/>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pStyle w:val="51"/>
              <w:pBdr>
                <w:top w:val="none" w:color="auto" w:sz="0" w:space="0"/>
                <w:left w:val="none" w:color="auto" w:sz="0" w:space="0"/>
                <w:bottom w:val="none" w:color="auto" w:sz="0" w:space="0"/>
                <w:right w:val="none" w:color="auto" w:sz="0" w:space="0"/>
              </w:pBdr>
              <w:spacing w:before="120" w:after="12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w:t>
            </w:r>
          </w:p>
        </w:tc>
        <w:tc>
          <w:tcPr>
            <w:tcW w:w="1896" w:type="dxa"/>
            <w:tcBorders>
              <w:left w:val="single" w:color="000000" w:sz="4" w:space="0"/>
              <w:bottom w:val="single" w:color="000000" w:sz="4" w:space="0"/>
              <w:right w:val="single" w:color="auto" w:sz="4" w:space="0"/>
            </w:tcBorders>
            <w:noWrap w:val="0"/>
            <w:tcMar>
              <w:top w:w="80" w:type="dxa"/>
              <w:left w:w="80" w:type="dxa"/>
              <w:bottom w:w="80" w:type="dxa"/>
              <w:right w:w="80" w:type="dxa"/>
            </w:tcMar>
            <w:vAlign w:val="center"/>
          </w:tcPr>
          <w:p>
            <w:pPr>
              <w:rPr>
                <w:rFonts w:hint="eastAsia" w:ascii="宋体" w:hAnsi="宋体" w:eastAsia="宋体" w:cs="宋体"/>
                <w:sz w:val="18"/>
                <w:szCs w:val="18"/>
                <w:highlight w:val="none"/>
              </w:rPr>
            </w:pPr>
            <w:r>
              <w:rPr>
                <w:rFonts w:hint="eastAsia"/>
                <w:sz w:val="18"/>
                <w:szCs w:val="18"/>
                <w:highlight w:val="none"/>
                <w:lang w:val="en-US"/>
              </w:rPr>
              <w:t>S319（义乌-江山）兰溪段</w:t>
            </w:r>
          </w:p>
        </w:tc>
        <w:tc>
          <w:tcPr>
            <w:tcW w:w="2790"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建设里程21.74km，一级公路标准，路基宽度33m，设计速度80km/h</w:t>
            </w:r>
          </w:p>
        </w:tc>
        <w:tc>
          <w:tcPr>
            <w:tcW w:w="877" w:type="dxa"/>
            <w:tcBorders>
              <w:top w:val="single" w:color="auto" w:sz="4" w:space="0"/>
              <w:left w:val="single" w:color="auto" w:sz="4" w:space="0"/>
              <w:bottom w:val="single" w:color="000000" w:sz="4" w:space="0"/>
              <w:right w:val="single" w:color="000000" w:sz="4" w:space="0"/>
            </w:tcBorders>
            <w:noWrap w:val="0"/>
            <w:vAlign w:val="center"/>
          </w:tcPr>
          <w:p>
            <w:pPr>
              <w:rPr>
                <w:rFonts w:hint="eastAsia" w:ascii="宋体" w:hAnsi="宋体" w:eastAsia="宋体" w:cs="宋体"/>
                <w:sz w:val="18"/>
                <w:szCs w:val="18"/>
                <w:highlight w:val="none"/>
              </w:rPr>
            </w:pPr>
          </w:p>
        </w:tc>
        <w:tc>
          <w:tcPr>
            <w:tcW w:w="1025" w:type="dxa"/>
            <w:tcBorders>
              <w:top w:val="single" w:color="auto" w:sz="4" w:space="0"/>
              <w:left w:val="single" w:color="auto" w:sz="4" w:space="0"/>
              <w:bottom w:val="single" w:color="000000" w:sz="4" w:space="0"/>
              <w:right w:val="single" w:color="000000" w:sz="4" w:space="0"/>
            </w:tcBorders>
            <w:noWrap w:val="0"/>
            <w:vAlign w:val="center"/>
          </w:tcPr>
          <w:p>
            <w:pPr>
              <w:rPr>
                <w:rFonts w:hint="eastAsia" w:ascii="宋体" w:hAnsi="宋体" w:eastAsia="宋体" w:cs="宋体"/>
                <w:sz w:val="18"/>
                <w:szCs w:val="18"/>
                <w:highlight w:val="none"/>
              </w:rPr>
            </w:pPr>
          </w:p>
        </w:tc>
        <w:tc>
          <w:tcPr>
            <w:tcW w:w="1067" w:type="dxa"/>
            <w:tcBorders>
              <w:top w:val="single" w:color="auto" w:sz="4" w:space="0"/>
              <w:left w:val="single" w:color="auto" w:sz="4" w:space="0"/>
              <w:bottom w:val="single" w:color="000000" w:sz="4" w:space="0"/>
              <w:right w:val="single" w:color="000000" w:sz="4" w:space="0"/>
            </w:tcBorders>
            <w:noWrap w:val="0"/>
            <w:vAlign w:val="center"/>
          </w:tcPr>
          <w:p>
            <w:pPr>
              <w:rPr>
                <w:rFonts w:hint="eastAsia" w:ascii="宋体" w:hAnsi="宋体" w:eastAsia="宋体" w:cs="宋体"/>
                <w:sz w:val="18"/>
                <w:szCs w:val="18"/>
                <w:highlight w:val="none"/>
              </w:rPr>
            </w:pPr>
          </w:p>
        </w:tc>
        <w:tc>
          <w:tcPr>
            <w:tcW w:w="1158" w:type="dxa"/>
            <w:tcBorders>
              <w:left w:val="single" w:color="000000" w:sz="4" w:space="0"/>
              <w:right w:val="single" w:color="000000" w:sz="4" w:space="0"/>
            </w:tcBorders>
            <w:noWrap w:val="0"/>
            <w:tcMar>
              <w:top w:w="80" w:type="dxa"/>
              <w:left w:w="80" w:type="dxa"/>
              <w:bottom w:w="80" w:type="dxa"/>
              <w:right w:w="80" w:type="dxa"/>
            </w:tcMar>
            <w:vAlign w:val="center"/>
          </w:tcPr>
          <w:p>
            <w:pPr>
              <w:pStyle w:val="51"/>
              <w:pBdr>
                <w:top w:val="none" w:color="auto" w:sz="0" w:space="0"/>
                <w:left w:val="none" w:color="auto" w:sz="0" w:space="0"/>
                <w:bottom w:val="none" w:color="auto" w:sz="0" w:space="0"/>
                <w:right w:val="none" w:color="auto" w:sz="0" w:space="0"/>
              </w:pBdr>
              <w:jc w:val="center"/>
              <w:rPr>
                <w:rFonts w:hint="eastAsia" w:ascii="宋体" w:hAnsi="宋体" w:eastAsia="宋体" w:cs="宋体"/>
                <w:b/>
                <w:bCs/>
                <w:color w:val="auto"/>
                <w:kern w:val="0"/>
                <w:sz w:val="18"/>
                <w:szCs w:val="18"/>
                <w:highlight w:val="none"/>
                <w:lang w:val="zh-TW" w:eastAsia="zh-TW"/>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trPr>
        <w:tc>
          <w:tcPr>
            <w:tcW w:w="623" w:type="dxa"/>
            <w:tcBorders>
              <w:left w:val="single" w:color="000000" w:sz="4" w:space="0"/>
              <w:right w:val="single" w:color="000000" w:sz="4" w:space="0"/>
            </w:tcBorders>
            <w:noWrap w:val="0"/>
            <w:tcMar>
              <w:top w:w="80" w:type="dxa"/>
              <w:left w:w="80" w:type="dxa"/>
              <w:bottom w:w="80" w:type="dxa"/>
              <w:right w:w="80" w:type="dxa"/>
            </w:tcMar>
            <w:vAlign w:val="center"/>
          </w:tcPr>
          <w:p>
            <w:pPr>
              <w:pStyle w:val="51"/>
              <w:pBdr>
                <w:top w:val="none" w:color="auto" w:sz="0" w:space="0"/>
                <w:left w:val="none" w:color="auto" w:sz="0" w:space="0"/>
                <w:bottom w:val="none" w:color="auto" w:sz="0" w:space="0"/>
                <w:right w:val="none" w:color="auto" w:sz="0" w:space="0"/>
              </w:pBdr>
              <w:spacing w:before="120" w:after="120"/>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3</w:t>
            </w:r>
          </w:p>
        </w:tc>
        <w:tc>
          <w:tcPr>
            <w:tcW w:w="1896" w:type="dxa"/>
            <w:tcBorders>
              <w:left w:val="single" w:color="000000" w:sz="4" w:space="0"/>
              <w:right w:val="single" w:color="auto" w:sz="4" w:space="0"/>
            </w:tcBorders>
            <w:noWrap w:val="0"/>
            <w:tcMar>
              <w:top w:w="80" w:type="dxa"/>
              <w:left w:w="80" w:type="dxa"/>
              <w:bottom w:w="80" w:type="dxa"/>
              <w:right w:w="80" w:type="dxa"/>
            </w:tcMar>
            <w:vAlign w:val="center"/>
          </w:tcPr>
          <w:p>
            <w:pPr>
              <w:rPr>
                <w:rFonts w:hint="eastAsia" w:ascii="宋体" w:hAnsi="宋体" w:eastAsia="宋体" w:cs="宋体"/>
                <w:sz w:val="18"/>
                <w:szCs w:val="18"/>
                <w:highlight w:val="none"/>
              </w:rPr>
            </w:pPr>
            <w:r>
              <w:rPr>
                <w:rFonts w:hint="eastAsia"/>
                <w:sz w:val="18"/>
                <w:szCs w:val="18"/>
                <w:highlight w:val="none"/>
                <w:lang w:val="en-US"/>
              </w:rPr>
              <w:t>S317（婺城-淳安）兰溪段</w:t>
            </w:r>
          </w:p>
        </w:tc>
        <w:tc>
          <w:tcPr>
            <w:tcW w:w="2790"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bidi w:val="0"/>
              <w:adjustRightInd/>
              <w:snapToGrid/>
              <w:spacing w:line="300" w:lineRule="exact"/>
              <w:jc w:val="center"/>
              <w:textAlignment w:val="auto"/>
              <w:rPr>
                <w:rFonts w:hint="eastAsia" w:ascii="宋体" w:hAnsi="宋体" w:eastAsia="宋体" w:cs="宋体"/>
                <w:sz w:val="18"/>
                <w:szCs w:val="18"/>
                <w:highlight w:val="none"/>
              </w:rPr>
            </w:pPr>
            <w:r>
              <w:rPr>
                <w:rFonts w:hint="eastAsia" w:ascii="宋体" w:hAnsi="宋体" w:eastAsia="宋体" w:cs="宋体"/>
                <w:sz w:val="18"/>
                <w:szCs w:val="18"/>
                <w:highlight w:val="none"/>
              </w:rPr>
              <w:t>建设里程17km，一级公路标准，路基宽度33m，设计速度80km/h</w:t>
            </w:r>
          </w:p>
        </w:tc>
        <w:tc>
          <w:tcPr>
            <w:tcW w:w="877" w:type="dxa"/>
            <w:tcBorders>
              <w:top w:val="single" w:color="auto" w:sz="4" w:space="0"/>
              <w:left w:val="single" w:color="auto" w:sz="4" w:space="0"/>
              <w:bottom w:val="single" w:color="auto" w:sz="4" w:space="0"/>
              <w:right w:val="single" w:color="000000" w:sz="4" w:space="0"/>
            </w:tcBorders>
            <w:noWrap w:val="0"/>
            <w:vAlign w:val="center"/>
          </w:tcPr>
          <w:p>
            <w:pPr>
              <w:rPr>
                <w:rFonts w:hint="eastAsia" w:ascii="宋体" w:hAnsi="宋体" w:eastAsia="宋体" w:cs="宋体"/>
                <w:sz w:val="18"/>
                <w:szCs w:val="18"/>
                <w:highlight w:val="none"/>
              </w:rPr>
            </w:pPr>
          </w:p>
        </w:tc>
        <w:tc>
          <w:tcPr>
            <w:tcW w:w="1025" w:type="dxa"/>
            <w:tcBorders>
              <w:top w:val="single" w:color="auto" w:sz="4" w:space="0"/>
              <w:left w:val="single" w:color="auto" w:sz="4" w:space="0"/>
              <w:bottom w:val="single" w:color="auto" w:sz="4" w:space="0"/>
              <w:right w:val="single" w:color="000000" w:sz="4" w:space="0"/>
            </w:tcBorders>
            <w:noWrap w:val="0"/>
            <w:vAlign w:val="center"/>
          </w:tcPr>
          <w:p>
            <w:pPr>
              <w:rPr>
                <w:rFonts w:hint="eastAsia" w:ascii="宋体" w:hAnsi="宋体" w:eastAsia="宋体" w:cs="宋体"/>
                <w:sz w:val="18"/>
                <w:szCs w:val="18"/>
                <w:highlight w:val="none"/>
              </w:rPr>
            </w:pPr>
          </w:p>
        </w:tc>
        <w:tc>
          <w:tcPr>
            <w:tcW w:w="1067" w:type="dxa"/>
            <w:tcBorders>
              <w:top w:val="single" w:color="auto" w:sz="4" w:space="0"/>
              <w:left w:val="single" w:color="auto" w:sz="4" w:space="0"/>
              <w:bottom w:val="single" w:color="auto" w:sz="4" w:space="0"/>
              <w:right w:val="single" w:color="000000" w:sz="4" w:space="0"/>
            </w:tcBorders>
            <w:noWrap w:val="0"/>
            <w:vAlign w:val="center"/>
          </w:tcPr>
          <w:p>
            <w:pPr>
              <w:rPr>
                <w:rFonts w:hint="eastAsia" w:ascii="宋体" w:hAnsi="宋体" w:eastAsia="宋体" w:cs="宋体"/>
                <w:sz w:val="18"/>
                <w:szCs w:val="18"/>
                <w:highlight w:val="none"/>
              </w:rPr>
            </w:pPr>
          </w:p>
        </w:tc>
        <w:tc>
          <w:tcPr>
            <w:tcW w:w="1158" w:type="dxa"/>
            <w:tcBorders>
              <w:left w:val="single" w:color="000000" w:sz="4" w:space="0"/>
              <w:right w:val="single" w:color="000000" w:sz="4" w:space="0"/>
            </w:tcBorders>
            <w:noWrap w:val="0"/>
            <w:tcMar>
              <w:top w:w="80" w:type="dxa"/>
              <w:left w:w="80" w:type="dxa"/>
              <w:bottom w:w="80" w:type="dxa"/>
              <w:right w:w="80" w:type="dxa"/>
            </w:tcMar>
            <w:vAlign w:val="center"/>
          </w:tcPr>
          <w:p>
            <w:pPr>
              <w:pStyle w:val="51"/>
              <w:pBdr>
                <w:top w:val="none" w:color="auto" w:sz="0" w:space="0"/>
                <w:left w:val="none" w:color="auto" w:sz="0" w:space="0"/>
                <w:bottom w:val="none" w:color="auto" w:sz="0" w:space="0"/>
                <w:right w:val="none" w:color="auto" w:sz="0" w:space="0"/>
              </w:pBdr>
              <w:jc w:val="center"/>
              <w:rPr>
                <w:rFonts w:hint="eastAsia" w:ascii="宋体" w:hAnsi="宋体" w:eastAsia="宋体" w:cs="宋体"/>
                <w:b/>
                <w:bCs/>
                <w:color w:val="auto"/>
                <w:kern w:val="0"/>
                <w:sz w:val="18"/>
                <w:szCs w:val="18"/>
                <w:highlight w:val="none"/>
                <w:lang w:val="zh-TW" w:eastAsia="zh-TW"/>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trPr>
        <w:tc>
          <w:tcPr>
            <w:tcW w:w="623" w:type="dxa"/>
            <w:tcBorders>
              <w:left w:val="single" w:color="000000" w:sz="4" w:space="0"/>
              <w:right w:val="single" w:color="000000" w:sz="4" w:space="0"/>
            </w:tcBorders>
            <w:noWrap w:val="0"/>
            <w:tcMar>
              <w:top w:w="80" w:type="dxa"/>
              <w:left w:w="80" w:type="dxa"/>
              <w:bottom w:w="80" w:type="dxa"/>
              <w:right w:w="80" w:type="dxa"/>
            </w:tcMar>
            <w:vAlign w:val="center"/>
          </w:tcPr>
          <w:p>
            <w:pPr>
              <w:pStyle w:val="51"/>
              <w:pBdr>
                <w:top w:val="none" w:color="auto" w:sz="0" w:space="0"/>
                <w:left w:val="none" w:color="auto" w:sz="0" w:space="0"/>
                <w:bottom w:val="none" w:color="auto" w:sz="0" w:space="0"/>
                <w:right w:val="none" w:color="auto" w:sz="0" w:space="0"/>
              </w:pBdr>
              <w:spacing w:before="120" w:after="120"/>
              <w:jc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4</w:t>
            </w:r>
          </w:p>
        </w:tc>
        <w:tc>
          <w:tcPr>
            <w:tcW w:w="1896" w:type="dxa"/>
            <w:tcBorders>
              <w:left w:val="single" w:color="000000" w:sz="4" w:space="0"/>
              <w:right w:val="single" w:color="auto" w:sz="4" w:space="0"/>
            </w:tcBorders>
            <w:noWrap w:val="0"/>
            <w:tcMar>
              <w:top w:w="80" w:type="dxa"/>
              <w:left w:w="80" w:type="dxa"/>
              <w:bottom w:w="80" w:type="dxa"/>
              <w:right w:w="80" w:type="dxa"/>
            </w:tcMar>
            <w:vAlign w:val="center"/>
          </w:tcPr>
          <w:p>
            <w:pPr>
              <w:jc w:val="center"/>
              <w:rPr>
                <w:rFonts w:hint="default" w:eastAsia="宋体"/>
                <w:sz w:val="18"/>
                <w:szCs w:val="18"/>
                <w:highlight w:val="none"/>
                <w:lang w:val="en-US" w:eastAsia="zh-CN"/>
              </w:rPr>
            </w:pPr>
            <w:r>
              <w:rPr>
                <w:rFonts w:hint="eastAsia" w:ascii="宋体" w:hAnsi="宋体" w:eastAsia="宋体" w:cs="宋体"/>
                <w:sz w:val="18"/>
                <w:szCs w:val="18"/>
                <w:highlight w:val="none"/>
                <w:lang w:val="en-US"/>
              </w:rPr>
              <w:t>S215（兰溪-龙泉）兰溪段</w:t>
            </w:r>
          </w:p>
        </w:tc>
        <w:tc>
          <w:tcPr>
            <w:tcW w:w="2790" w:type="dxa"/>
            <w:tcBorders>
              <w:top w:val="single" w:color="auto" w:sz="4" w:space="0"/>
              <w:left w:val="single" w:color="auto" w:sz="4" w:space="0"/>
              <w:bottom w:val="single" w:color="auto" w:sz="4" w:space="0"/>
              <w:right w:val="single" w:color="000000" w:sz="4" w:space="0"/>
            </w:tcBorders>
            <w:noWrap w:val="0"/>
            <w:vAlign w:val="center"/>
          </w:tcPr>
          <w:p>
            <w:pPr>
              <w:pStyle w:val="31"/>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lang w:val="en-US" w:eastAsia="zh-CN"/>
              </w:rPr>
              <w:t>建设里程12.38km，一级公路标准，路基宽度26m，设计速度80km/h</w:t>
            </w:r>
          </w:p>
        </w:tc>
        <w:tc>
          <w:tcPr>
            <w:tcW w:w="877" w:type="dxa"/>
            <w:tcBorders>
              <w:top w:val="single" w:color="auto" w:sz="4" w:space="0"/>
              <w:left w:val="single" w:color="auto" w:sz="4" w:space="0"/>
              <w:bottom w:val="single" w:color="auto" w:sz="4" w:space="0"/>
              <w:right w:val="single" w:color="000000" w:sz="4" w:space="0"/>
            </w:tcBorders>
            <w:noWrap w:val="0"/>
            <w:vAlign w:val="center"/>
          </w:tcPr>
          <w:p>
            <w:pPr>
              <w:rPr>
                <w:rFonts w:hint="eastAsia" w:ascii="宋体" w:hAnsi="宋体" w:eastAsia="宋体" w:cs="宋体"/>
                <w:sz w:val="18"/>
                <w:szCs w:val="18"/>
                <w:highlight w:val="none"/>
              </w:rPr>
            </w:pPr>
          </w:p>
        </w:tc>
        <w:tc>
          <w:tcPr>
            <w:tcW w:w="1025" w:type="dxa"/>
            <w:tcBorders>
              <w:top w:val="single" w:color="auto" w:sz="4" w:space="0"/>
              <w:left w:val="single" w:color="auto" w:sz="4" w:space="0"/>
              <w:bottom w:val="single" w:color="auto" w:sz="4" w:space="0"/>
              <w:right w:val="single" w:color="000000" w:sz="4" w:space="0"/>
            </w:tcBorders>
            <w:noWrap w:val="0"/>
            <w:vAlign w:val="center"/>
          </w:tcPr>
          <w:p>
            <w:pPr>
              <w:rPr>
                <w:rFonts w:hint="eastAsia" w:ascii="宋体" w:hAnsi="宋体" w:eastAsia="宋体" w:cs="宋体"/>
                <w:sz w:val="18"/>
                <w:szCs w:val="18"/>
                <w:highlight w:val="none"/>
              </w:rPr>
            </w:pPr>
          </w:p>
        </w:tc>
        <w:tc>
          <w:tcPr>
            <w:tcW w:w="1067" w:type="dxa"/>
            <w:tcBorders>
              <w:top w:val="single" w:color="auto" w:sz="4" w:space="0"/>
              <w:left w:val="single" w:color="auto" w:sz="4" w:space="0"/>
              <w:bottom w:val="single" w:color="auto" w:sz="4" w:space="0"/>
              <w:right w:val="single" w:color="000000" w:sz="4" w:space="0"/>
            </w:tcBorders>
            <w:noWrap w:val="0"/>
            <w:vAlign w:val="center"/>
          </w:tcPr>
          <w:p>
            <w:pPr>
              <w:rPr>
                <w:rFonts w:hint="eastAsia" w:ascii="宋体" w:hAnsi="宋体" w:eastAsia="宋体" w:cs="宋体"/>
                <w:sz w:val="18"/>
                <w:szCs w:val="18"/>
                <w:highlight w:val="none"/>
              </w:rPr>
            </w:pPr>
          </w:p>
        </w:tc>
        <w:tc>
          <w:tcPr>
            <w:tcW w:w="1158" w:type="dxa"/>
            <w:tcBorders>
              <w:left w:val="single" w:color="000000" w:sz="4" w:space="0"/>
              <w:right w:val="single" w:color="000000" w:sz="4" w:space="0"/>
            </w:tcBorders>
            <w:noWrap w:val="0"/>
            <w:tcMar>
              <w:top w:w="80" w:type="dxa"/>
              <w:left w:w="80" w:type="dxa"/>
              <w:bottom w:w="80" w:type="dxa"/>
              <w:right w:w="80" w:type="dxa"/>
            </w:tcMar>
            <w:vAlign w:val="center"/>
          </w:tcPr>
          <w:p>
            <w:pPr>
              <w:pStyle w:val="51"/>
              <w:pBdr>
                <w:top w:val="none" w:color="auto" w:sz="0" w:space="0"/>
                <w:left w:val="none" w:color="auto" w:sz="0" w:space="0"/>
                <w:bottom w:val="none" w:color="auto" w:sz="0" w:space="0"/>
                <w:right w:val="none" w:color="auto" w:sz="0" w:space="0"/>
              </w:pBdr>
              <w:jc w:val="center"/>
              <w:rPr>
                <w:rFonts w:hint="eastAsia" w:ascii="宋体" w:hAnsi="宋体" w:eastAsia="宋体" w:cs="宋体"/>
                <w:b/>
                <w:bCs/>
                <w:color w:val="auto"/>
                <w:kern w:val="0"/>
                <w:sz w:val="18"/>
                <w:szCs w:val="18"/>
                <w:highlight w:val="none"/>
                <w:lang w:val="zh-TW" w:eastAsia="zh-TW"/>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2" w:hRule="atLeast"/>
        </w:trPr>
        <w:tc>
          <w:tcPr>
            <w:tcW w:w="623" w:type="dxa"/>
            <w:tcBorders>
              <w:left w:val="single" w:color="000000" w:sz="4" w:space="0"/>
              <w:right w:val="single" w:color="000000" w:sz="4" w:space="0"/>
            </w:tcBorders>
            <w:noWrap w:val="0"/>
            <w:tcMar>
              <w:top w:w="80" w:type="dxa"/>
              <w:left w:w="80" w:type="dxa"/>
              <w:bottom w:w="80" w:type="dxa"/>
              <w:right w:w="80" w:type="dxa"/>
            </w:tcMar>
            <w:vAlign w:val="center"/>
          </w:tcPr>
          <w:p>
            <w:pPr>
              <w:pStyle w:val="51"/>
              <w:pBdr>
                <w:top w:val="none" w:color="auto" w:sz="0" w:space="0"/>
                <w:left w:val="none" w:color="auto" w:sz="0" w:space="0"/>
                <w:bottom w:val="none" w:color="auto" w:sz="0" w:space="0"/>
                <w:right w:val="none" w:color="auto" w:sz="0" w:space="0"/>
              </w:pBdr>
              <w:spacing w:before="120" w:after="120"/>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5</w:t>
            </w:r>
          </w:p>
        </w:tc>
        <w:tc>
          <w:tcPr>
            <w:tcW w:w="1896" w:type="dxa"/>
            <w:tcBorders>
              <w:left w:val="single" w:color="000000" w:sz="4" w:space="0"/>
              <w:right w:val="single" w:color="auto" w:sz="4" w:space="0"/>
            </w:tcBorders>
            <w:noWrap w:val="0"/>
            <w:tcMar>
              <w:top w:w="80" w:type="dxa"/>
              <w:left w:w="80" w:type="dxa"/>
              <w:bottom w:w="80" w:type="dxa"/>
              <w:right w:w="80" w:type="dxa"/>
            </w:tcMar>
            <w:vAlign w:val="center"/>
          </w:tcPr>
          <w:p>
            <w:pPr>
              <w:jc w:val="center"/>
              <w:rPr>
                <w:rFonts w:hint="default" w:eastAsia="宋体"/>
                <w:sz w:val="18"/>
                <w:szCs w:val="18"/>
                <w:highlight w:val="none"/>
                <w:lang w:val="en-US" w:eastAsia="zh-CN"/>
              </w:rPr>
            </w:pPr>
            <w:r>
              <w:rPr>
                <w:rFonts w:hint="eastAsia" w:ascii="宋体" w:hAnsi="宋体" w:eastAsia="宋体" w:cs="宋体"/>
                <w:sz w:val="18"/>
                <w:szCs w:val="18"/>
                <w:highlight w:val="none"/>
                <w:lang w:val="en-US"/>
              </w:rPr>
              <w:t>金兰北线货运通道</w:t>
            </w:r>
          </w:p>
        </w:tc>
        <w:tc>
          <w:tcPr>
            <w:tcW w:w="2790"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bidi w:val="0"/>
              <w:adjustRightInd/>
              <w:snapToGrid/>
              <w:spacing w:line="300" w:lineRule="exact"/>
              <w:jc w:val="center"/>
              <w:textAlignment w:val="auto"/>
              <w:rPr>
                <w:rFonts w:hint="eastAsia"/>
                <w:sz w:val="18"/>
                <w:szCs w:val="18"/>
                <w:highlight w:val="none"/>
                <w:lang w:val="en-US" w:eastAsia="zh-CN"/>
              </w:rPr>
            </w:pPr>
            <w:r>
              <w:rPr>
                <w:rFonts w:hint="eastAsia" w:ascii="宋体" w:hAnsi="宋体" w:eastAsia="宋体" w:cs="宋体"/>
                <w:sz w:val="18"/>
                <w:szCs w:val="18"/>
                <w:highlight w:val="none"/>
                <w:lang w:val="en-US" w:eastAsia="zh-CN"/>
              </w:rPr>
              <w:t>建设里程8km，二级公路标准，路基宽度12m，设计速度80km/h</w:t>
            </w:r>
          </w:p>
        </w:tc>
        <w:tc>
          <w:tcPr>
            <w:tcW w:w="877" w:type="dxa"/>
            <w:tcBorders>
              <w:top w:val="single" w:color="auto" w:sz="4" w:space="0"/>
              <w:left w:val="single" w:color="auto" w:sz="4" w:space="0"/>
              <w:bottom w:val="single" w:color="auto" w:sz="4" w:space="0"/>
              <w:right w:val="single" w:color="000000" w:sz="4" w:space="0"/>
            </w:tcBorders>
            <w:noWrap w:val="0"/>
            <w:vAlign w:val="center"/>
          </w:tcPr>
          <w:p>
            <w:pPr>
              <w:rPr>
                <w:rFonts w:hint="eastAsia" w:ascii="宋体" w:hAnsi="宋体" w:eastAsia="宋体" w:cs="宋体"/>
                <w:sz w:val="18"/>
                <w:szCs w:val="18"/>
                <w:highlight w:val="none"/>
              </w:rPr>
            </w:pPr>
          </w:p>
        </w:tc>
        <w:tc>
          <w:tcPr>
            <w:tcW w:w="1025" w:type="dxa"/>
            <w:tcBorders>
              <w:top w:val="single" w:color="auto" w:sz="4" w:space="0"/>
              <w:left w:val="single" w:color="auto" w:sz="4" w:space="0"/>
              <w:bottom w:val="single" w:color="auto" w:sz="4" w:space="0"/>
              <w:right w:val="single" w:color="000000" w:sz="4" w:space="0"/>
            </w:tcBorders>
            <w:noWrap w:val="0"/>
            <w:vAlign w:val="center"/>
          </w:tcPr>
          <w:p>
            <w:pPr>
              <w:rPr>
                <w:rFonts w:hint="eastAsia" w:ascii="宋体" w:hAnsi="宋体" w:eastAsia="宋体" w:cs="宋体"/>
                <w:sz w:val="18"/>
                <w:szCs w:val="18"/>
                <w:highlight w:val="none"/>
              </w:rPr>
            </w:pPr>
          </w:p>
        </w:tc>
        <w:tc>
          <w:tcPr>
            <w:tcW w:w="1067" w:type="dxa"/>
            <w:tcBorders>
              <w:top w:val="single" w:color="auto" w:sz="4" w:space="0"/>
              <w:left w:val="single" w:color="auto" w:sz="4" w:space="0"/>
              <w:bottom w:val="single" w:color="auto" w:sz="4" w:space="0"/>
              <w:right w:val="single" w:color="000000" w:sz="4" w:space="0"/>
            </w:tcBorders>
            <w:noWrap w:val="0"/>
            <w:vAlign w:val="center"/>
          </w:tcPr>
          <w:p>
            <w:pPr>
              <w:rPr>
                <w:rFonts w:hint="eastAsia" w:ascii="宋体" w:hAnsi="宋体" w:eastAsia="宋体" w:cs="宋体"/>
                <w:sz w:val="18"/>
                <w:szCs w:val="18"/>
                <w:highlight w:val="none"/>
              </w:rPr>
            </w:pPr>
          </w:p>
        </w:tc>
        <w:tc>
          <w:tcPr>
            <w:tcW w:w="1158" w:type="dxa"/>
            <w:tcBorders>
              <w:left w:val="single" w:color="000000" w:sz="4" w:space="0"/>
              <w:right w:val="single" w:color="000000" w:sz="4" w:space="0"/>
            </w:tcBorders>
            <w:noWrap w:val="0"/>
            <w:tcMar>
              <w:top w:w="80" w:type="dxa"/>
              <w:left w:w="80" w:type="dxa"/>
              <w:bottom w:w="80" w:type="dxa"/>
              <w:right w:w="80" w:type="dxa"/>
            </w:tcMar>
            <w:vAlign w:val="center"/>
          </w:tcPr>
          <w:p>
            <w:pPr>
              <w:pStyle w:val="51"/>
              <w:pBdr>
                <w:top w:val="none" w:color="auto" w:sz="0" w:space="0"/>
                <w:left w:val="none" w:color="auto" w:sz="0" w:space="0"/>
                <w:bottom w:val="none" w:color="auto" w:sz="0" w:space="0"/>
                <w:right w:val="none" w:color="auto" w:sz="0" w:space="0"/>
              </w:pBdr>
              <w:jc w:val="center"/>
              <w:rPr>
                <w:rFonts w:hint="eastAsia" w:ascii="宋体" w:hAnsi="宋体" w:eastAsia="宋体" w:cs="宋体"/>
                <w:b/>
                <w:bCs/>
                <w:color w:val="auto"/>
                <w:kern w:val="0"/>
                <w:sz w:val="18"/>
                <w:szCs w:val="18"/>
                <w:highlight w:val="none"/>
                <w:lang w:val="zh-TW" w:eastAsia="zh-TW"/>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3" w:hRule="atLeast"/>
        </w:trPr>
        <w:tc>
          <w:tcPr>
            <w:tcW w:w="623" w:type="dxa"/>
            <w:tcBorders>
              <w:left w:val="single" w:color="000000" w:sz="4" w:space="0"/>
              <w:right w:val="single" w:color="000000" w:sz="4" w:space="0"/>
            </w:tcBorders>
            <w:noWrap w:val="0"/>
            <w:tcMar>
              <w:top w:w="80" w:type="dxa"/>
              <w:left w:w="80" w:type="dxa"/>
              <w:bottom w:w="80" w:type="dxa"/>
              <w:right w:w="80" w:type="dxa"/>
            </w:tcMar>
            <w:vAlign w:val="center"/>
          </w:tcPr>
          <w:p>
            <w:pPr>
              <w:pStyle w:val="51"/>
              <w:pBdr>
                <w:top w:val="none" w:color="auto" w:sz="0" w:space="0"/>
                <w:left w:val="none" w:color="auto" w:sz="0" w:space="0"/>
                <w:bottom w:val="none" w:color="auto" w:sz="0" w:space="0"/>
                <w:right w:val="none" w:color="auto" w:sz="0" w:space="0"/>
              </w:pBdr>
              <w:spacing w:before="120" w:after="120"/>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6</w:t>
            </w:r>
          </w:p>
        </w:tc>
        <w:tc>
          <w:tcPr>
            <w:tcW w:w="1896" w:type="dxa"/>
            <w:tcBorders>
              <w:left w:val="single" w:color="000000" w:sz="4" w:space="0"/>
              <w:right w:val="single" w:color="auto" w:sz="4" w:space="0"/>
            </w:tcBorders>
            <w:noWrap w:val="0"/>
            <w:tcMar>
              <w:top w:w="80" w:type="dxa"/>
              <w:left w:w="80" w:type="dxa"/>
              <w:bottom w:w="80" w:type="dxa"/>
              <w:right w:w="80" w:type="dxa"/>
            </w:tcMar>
            <w:vAlign w:val="center"/>
          </w:tcPr>
          <w:p>
            <w:pPr>
              <w:jc w:val="center"/>
              <w:rPr>
                <w:rFonts w:hint="default" w:eastAsia="宋体"/>
                <w:sz w:val="18"/>
                <w:szCs w:val="18"/>
                <w:highlight w:val="none"/>
                <w:lang w:val="en-US" w:eastAsia="zh-CN"/>
              </w:rPr>
            </w:pPr>
            <w:r>
              <w:rPr>
                <w:rFonts w:hint="eastAsia" w:ascii="宋体" w:hAnsi="宋体" w:eastAsia="宋体" w:cs="宋体"/>
                <w:sz w:val="18"/>
                <w:szCs w:val="18"/>
                <w:highlight w:val="none"/>
                <w:lang w:val="en-US"/>
              </w:rPr>
              <w:t>董蒋线二期</w:t>
            </w:r>
          </w:p>
        </w:tc>
        <w:tc>
          <w:tcPr>
            <w:tcW w:w="2790"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bidi w:val="0"/>
              <w:adjustRightInd/>
              <w:snapToGrid/>
              <w:spacing w:line="300" w:lineRule="exact"/>
              <w:jc w:val="center"/>
              <w:textAlignment w:val="auto"/>
              <w:rPr>
                <w:rFonts w:hint="eastAsia"/>
                <w:sz w:val="18"/>
                <w:szCs w:val="18"/>
                <w:highlight w:val="none"/>
                <w:lang w:val="en-US" w:eastAsia="zh-CN"/>
              </w:rPr>
            </w:pPr>
            <w:r>
              <w:rPr>
                <w:rFonts w:hint="eastAsia" w:ascii="宋体" w:hAnsi="宋体" w:eastAsia="宋体" w:cs="宋体"/>
                <w:sz w:val="18"/>
                <w:szCs w:val="18"/>
                <w:highlight w:val="none"/>
                <w:lang w:val="en-US" w:eastAsia="zh-CN"/>
              </w:rPr>
              <w:t>建设里程12.38km，二级公路标准，路基宽度12m，设计速度80km/h</w:t>
            </w:r>
          </w:p>
        </w:tc>
        <w:tc>
          <w:tcPr>
            <w:tcW w:w="877" w:type="dxa"/>
            <w:tcBorders>
              <w:top w:val="single" w:color="auto" w:sz="4" w:space="0"/>
              <w:left w:val="single" w:color="auto" w:sz="4" w:space="0"/>
              <w:bottom w:val="single" w:color="auto" w:sz="4" w:space="0"/>
              <w:right w:val="single" w:color="000000" w:sz="4" w:space="0"/>
            </w:tcBorders>
            <w:noWrap w:val="0"/>
            <w:vAlign w:val="center"/>
          </w:tcPr>
          <w:p>
            <w:pPr>
              <w:rPr>
                <w:rFonts w:hint="eastAsia" w:ascii="宋体" w:hAnsi="宋体" w:eastAsia="宋体" w:cs="宋体"/>
                <w:sz w:val="18"/>
                <w:szCs w:val="18"/>
                <w:highlight w:val="none"/>
              </w:rPr>
            </w:pPr>
          </w:p>
        </w:tc>
        <w:tc>
          <w:tcPr>
            <w:tcW w:w="1025" w:type="dxa"/>
            <w:tcBorders>
              <w:top w:val="single" w:color="auto" w:sz="4" w:space="0"/>
              <w:left w:val="single" w:color="auto" w:sz="4" w:space="0"/>
              <w:bottom w:val="single" w:color="auto" w:sz="4" w:space="0"/>
              <w:right w:val="single" w:color="000000" w:sz="4" w:space="0"/>
            </w:tcBorders>
            <w:noWrap w:val="0"/>
            <w:vAlign w:val="center"/>
          </w:tcPr>
          <w:p>
            <w:pPr>
              <w:rPr>
                <w:rFonts w:hint="eastAsia" w:ascii="宋体" w:hAnsi="宋体" w:eastAsia="宋体" w:cs="宋体"/>
                <w:sz w:val="18"/>
                <w:szCs w:val="18"/>
                <w:highlight w:val="none"/>
              </w:rPr>
            </w:pPr>
          </w:p>
        </w:tc>
        <w:tc>
          <w:tcPr>
            <w:tcW w:w="1067" w:type="dxa"/>
            <w:tcBorders>
              <w:top w:val="single" w:color="auto" w:sz="4" w:space="0"/>
              <w:left w:val="single" w:color="auto" w:sz="4" w:space="0"/>
              <w:bottom w:val="single" w:color="auto" w:sz="4" w:space="0"/>
              <w:right w:val="single" w:color="000000" w:sz="4" w:space="0"/>
            </w:tcBorders>
            <w:noWrap w:val="0"/>
            <w:vAlign w:val="center"/>
          </w:tcPr>
          <w:p>
            <w:pPr>
              <w:rPr>
                <w:rFonts w:hint="eastAsia" w:ascii="宋体" w:hAnsi="宋体" w:eastAsia="宋体" w:cs="宋体"/>
                <w:sz w:val="18"/>
                <w:szCs w:val="18"/>
                <w:highlight w:val="none"/>
              </w:rPr>
            </w:pPr>
          </w:p>
        </w:tc>
        <w:tc>
          <w:tcPr>
            <w:tcW w:w="1158" w:type="dxa"/>
            <w:tcBorders>
              <w:left w:val="single" w:color="000000" w:sz="4" w:space="0"/>
              <w:right w:val="single" w:color="000000" w:sz="4" w:space="0"/>
            </w:tcBorders>
            <w:noWrap w:val="0"/>
            <w:tcMar>
              <w:top w:w="80" w:type="dxa"/>
              <w:left w:w="80" w:type="dxa"/>
              <w:bottom w:w="80" w:type="dxa"/>
              <w:right w:w="80" w:type="dxa"/>
            </w:tcMar>
            <w:vAlign w:val="center"/>
          </w:tcPr>
          <w:p>
            <w:pPr>
              <w:pStyle w:val="51"/>
              <w:pBdr>
                <w:top w:val="none" w:color="auto" w:sz="0" w:space="0"/>
                <w:left w:val="none" w:color="auto" w:sz="0" w:space="0"/>
                <w:bottom w:val="none" w:color="auto" w:sz="0" w:space="0"/>
                <w:right w:val="none" w:color="auto" w:sz="0" w:space="0"/>
              </w:pBdr>
              <w:jc w:val="center"/>
              <w:rPr>
                <w:rFonts w:hint="eastAsia" w:ascii="宋体" w:hAnsi="宋体" w:eastAsia="宋体" w:cs="宋体"/>
                <w:b/>
                <w:bCs/>
                <w:color w:val="auto"/>
                <w:kern w:val="0"/>
                <w:sz w:val="18"/>
                <w:szCs w:val="18"/>
                <w:highlight w:val="none"/>
                <w:lang w:val="zh-TW" w:eastAsia="zh-TW"/>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1" w:hRule="atLeast"/>
        </w:trPr>
        <w:tc>
          <w:tcPr>
            <w:tcW w:w="623" w:type="dxa"/>
            <w:tcBorders>
              <w:left w:val="single" w:color="000000" w:sz="4" w:space="0"/>
              <w:right w:val="single" w:color="000000" w:sz="4" w:space="0"/>
            </w:tcBorders>
            <w:noWrap w:val="0"/>
            <w:tcMar>
              <w:top w:w="80" w:type="dxa"/>
              <w:left w:w="80" w:type="dxa"/>
              <w:bottom w:w="80" w:type="dxa"/>
              <w:right w:w="80" w:type="dxa"/>
            </w:tcMar>
            <w:vAlign w:val="center"/>
          </w:tcPr>
          <w:p>
            <w:pPr>
              <w:pStyle w:val="51"/>
              <w:pBdr>
                <w:top w:val="none" w:color="auto" w:sz="0" w:space="0"/>
                <w:left w:val="none" w:color="auto" w:sz="0" w:space="0"/>
                <w:bottom w:val="none" w:color="auto" w:sz="0" w:space="0"/>
                <w:right w:val="none" w:color="auto" w:sz="0" w:space="0"/>
              </w:pBdr>
              <w:spacing w:before="120" w:after="120"/>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7</w:t>
            </w:r>
          </w:p>
        </w:tc>
        <w:tc>
          <w:tcPr>
            <w:tcW w:w="1896" w:type="dxa"/>
            <w:tcBorders>
              <w:left w:val="single" w:color="000000" w:sz="4" w:space="0"/>
              <w:right w:val="single" w:color="auto" w:sz="4" w:space="0"/>
            </w:tcBorders>
            <w:noWrap w:val="0"/>
            <w:tcMar>
              <w:top w:w="80" w:type="dxa"/>
              <w:left w:w="80" w:type="dxa"/>
              <w:bottom w:w="80" w:type="dxa"/>
              <w:right w:w="80" w:type="dxa"/>
            </w:tcMar>
            <w:vAlign w:val="center"/>
          </w:tcPr>
          <w:p>
            <w:pPr>
              <w:jc w:val="center"/>
              <w:rPr>
                <w:rFonts w:hint="default" w:eastAsia="宋体"/>
                <w:sz w:val="18"/>
                <w:szCs w:val="18"/>
                <w:highlight w:val="none"/>
                <w:lang w:val="en-US" w:eastAsia="zh-CN"/>
              </w:rPr>
            </w:pPr>
            <w:r>
              <w:rPr>
                <w:rFonts w:hint="eastAsia" w:ascii="宋体" w:hAnsi="宋体" w:eastAsia="宋体" w:cs="宋体"/>
                <w:sz w:val="18"/>
                <w:szCs w:val="18"/>
                <w:highlight w:val="none"/>
                <w:lang w:val="en-US"/>
              </w:rPr>
              <w:t>横水线</w:t>
            </w:r>
          </w:p>
        </w:tc>
        <w:tc>
          <w:tcPr>
            <w:tcW w:w="2790"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bidi w:val="0"/>
              <w:adjustRightInd/>
              <w:snapToGrid/>
              <w:spacing w:line="300" w:lineRule="exact"/>
              <w:jc w:val="center"/>
              <w:textAlignment w:val="auto"/>
              <w:rPr>
                <w:rFonts w:hint="eastAsia"/>
                <w:sz w:val="18"/>
                <w:szCs w:val="18"/>
                <w:highlight w:val="none"/>
                <w:lang w:val="en-US" w:eastAsia="zh-CN"/>
              </w:rPr>
            </w:pPr>
            <w:r>
              <w:rPr>
                <w:rFonts w:hint="eastAsia" w:ascii="宋体" w:hAnsi="宋体" w:eastAsia="宋体" w:cs="宋体"/>
                <w:sz w:val="18"/>
                <w:szCs w:val="18"/>
                <w:highlight w:val="none"/>
                <w:lang w:val="en-US" w:eastAsia="zh-CN"/>
              </w:rPr>
              <w:t>建设里程3.7km，二级公路标准，路基宽度12m，设计速度60km/h</w:t>
            </w:r>
          </w:p>
        </w:tc>
        <w:tc>
          <w:tcPr>
            <w:tcW w:w="877" w:type="dxa"/>
            <w:tcBorders>
              <w:top w:val="single" w:color="auto" w:sz="4" w:space="0"/>
              <w:left w:val="single" w:color="auto" w:sz="4" w:space="0"/>
              <w:bottom w:val="single" w:color="auto" w:sz="4" w:space="0"/>
              <w:right w:val="single" w:color="000000" w:sz="4" w:space="0"/>
            </w:tcBorders>
            <w:noWrap w:val="0"/>
            <w:vAlign w:val="center"/>
          </w:tcPr>
          <w:p>
            <w:pPr>
              <w:rPr>
                <w:rFonts w:hint="eastAsia" w:ascii="宋体" w:hAnsi="宋体" w:eastAsia="宋体" w:cs="宋体"/>
                <w:sz w:val="18"/>
                <w:szCs w:val="18"/>
                <w:highlight w:val="none"/>
              </w:rPr>
            </w:pPr>
          </w:p>
        </w:tc>
        <w:tc>
          <w:tcPr>
            <w:tcW w:w="1025" w:type="dxa"/>
            <w:tcBorders>
              <w:top w:val="single" w:color="auto" w:sz="4" w:space="0"/>
              <w:left w:val="single" w:color="auto" w:sz="4" w:space="0"/>
              <w:bottom w:val="single" w:color="auto" w:sz="4" w:space="0"/>
              <w:right w:val="single" w:color="000000" w:sz="4" w:space="0"/>
            </w:tcBorders>
            <w:noWrap w:val="0"/>
            <w:vAlign w:val="center"/>
          </w:tcPr>
          <w:p>
            <w:pPr>
              <w:rPr>
                <w:rFonts w:hint="eastAsia" w:ascii="宋体" w:hAnsi="宋体" w:eastAsia="宋体" w:cs="宋体"/>
                <w:sz w:val="18"/>
                <w:szCs w:val="18"/>
                <w:highlight w:val="none"/>
              </w:rPr>
            </w:pPr>
          </w:p>
        </w:tc>
        <w:tc>
          <w:tcPr>
            <w:tcW w:w="1067" w:type="dxa"/>
            <w:tcBorders>
              <w:top w:val="single" w:color="auto" w:sz="4" w:space="0"/>
              <w:left w:val="single" w:color="auto" w:sz="4" w:space="0"/>
              <w:bottom w:val="single" w:color="auto" w:sz="4" w:space="0"/>
              <w:right w:val="single" w:color="000000" w:sz="4" w:space="0"/>
            </w:tcBorders>
            <w:noWrap w:val="0"/>
            <w:vAlign w:val="center"/>
          </w:tcPr>
          <w:p>
            <w:pPr>
              <w:rPr>
                <w:rFonts w:hint="eastAsia" w:ascii="宋体" w:hAnsi="宋体" w:eastAsia="宋体" w:cs="宋体"/>
                <w:sz w:val="18"/>
                <w:szCs w:val="18"/>
                <w:highlight w:val="none"/>
              </w:rPr>
            </w:pPr>
          </w:p>
        </w:tc>
        <w:tc>
          <w:tcPr>
            <w:tcW w:w="1158" w:type="dxa"/>
            <w:tcBorders>
              <w:left w:val="single" w:color="000000" w:sz="4" w:space="0"/>
              <w:right w:val="single" w:color="000000" w:sz="4" w:space="0"/>
            </w:tcBorders>
            <w:noWrap w:val="0"/>
            <w:tcMar>
              <w:top w:w="80" w:type="dxa"/>
              <w:left w:w="80" w:type="dxa"/>
              <w:bottom w:w="80" w:type="dxa"/>
              <w:right w:w="80" w:type="dxa"/>
            </w:tcMar>
            <w:vAlign w:val="center"/>
          </w:tcPr>
          <w:p>
            <w:pPr>
              <w:pStyle w:val="51"/>
              <w:pBdr>
                <w:top w:val="none" w:color="auto" w:sz="0" w:space="0"/>
                <w:left w:val="none" w:color="auto" w:sz="0" w:space="0"/>
                <w:bottom w:val="none" w:color="auto" w:sz="0" w:space="0"/>
                <w:right w:val="none" w:color="auto" w:sz="0" w:space="0"/>
              </w:pBdr>
              <w:jc w:val="center"/>
              <w:rPr>
                <w:rFonts w:hint="eastAsia" w:ascii="宋体" w:hAnsi="宋体" w:eastAsia="宋体" w:cs="宋体"/>
                <w:b/>
                <w:bCs/>
                <w:color w:val="auto"/>
                <w:kern w:val="0"/>
                <w:sz w:val="18"/>
                <w:szCs w:val="18"/>
                <w:highlight w:val="none"/>
                <w:lang w:val="zh-TW" w:eastAsia="zh-TW"/>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623" w:type="dxa"/>
            <w:tcBorders>
              <w:left w:val="single" w:color="000000" w:sz="4" w:space="0"/>
              <w:right w:val="single" w:color="000000" w:sz="4" w:space="0"/>
            </w:tcBorders>
            <w:noWrap w:val="0"/>
            <w:tcMar>
              <w:top w:w="80" w:type="dxa"/>
              <w:left w:w="80" w:type="dxa"/>
              <w:bottom w:w="80" w:type="dxa"/>
              <w:right w:w="80" w:type="dxa"/>
            </w:tcMar>
            <w:vAlign w:val="center"/>
          </w:tcPr>
          <w:p>
            <w:pPr>
              <w:pStyle w:val="51"/>
              <w:pBdr>
                <w:top w:val="none" w:color="auto" w:sz="0" w:space="0"/>
                <w:left w:val="none" w:color="auto" w:sz="0" w:space="0"/>
                <w:bottom w:val="none" w:color="auto" w:sz="0" w:space="0"/>
                <w:right w:val="none" w:color="auto" w:sz="0" w:space="0"/>
              </w:pBdr>
              <w:spacing w:before="120" w:after="120"/>
              <w:jc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8</w:t>
            </w:r>
          </w:p>
        </w:tc>
        <w:tc>
          <w:tcPr>
            <w:tcW w:w="1896" w:type="dxa"/>
            <w:tcBorders>
              <w:left w:val="single" w:color="000000" w:sz="4" w:space="0"/>
              <w:right w:val="single" w:color="auto" w:sz="4" w:space="0"/>
            </w:tcBorders>
            <w:noWrap w:val="0"/>
            <w:tcMar>
              <w:top w:w="80" w:type="dxa"/>
              <w:left w:w="80" w:type="dxa"/>
              <w:bottom w:w="80" w:type="dxa"/>
              <w:right w:w="80" w:type="dxa"/>
            </w:tcMar>
            <w:vAlign w:val="center"/>
          </w:tcPr>
          <w:p>
            <w:pPr>
              <w:jc w:val="center"/>
              <w:rPr>
                <w:rFonts w:hint="default" w:eastAsia="宋体"/>
                <w:sz w:val="18"/>
                <w:szCs w:val="18"/>
                <w:highlight w:val="none"/>
                <w:lang w:val="en-US" w:eastAsia="zh-CN"/>
              </w:rPr>
            </w:pPr>
            <w:r>
              <w:rPr>
                <w:rFonts w:hint="eastAsia" w:ascii="宋体" w:hAnsi="宋体" w:eastAsia="宋体" w:cs="宋体"/>
                <w:sz w:val="18"/>
                <w:szCs w:val="18"/>
                <w:highlight w:val="none"/>
                <w:lang w:val="en-US"/>
              </w:rPr>
              <w:t>游埠至士元</w:t>
            </w:r>
          </w:p>
        </w:tc>
        <w:tc>
          <w:tcPr>
            <w:tcW w:w="2790"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bidi w:val="0"/>
              <w:adjustRightInd/>
              <w:snapToGrid/>
              <w:spacing w:line="300" w:lineRule="exact"/>
              <w:jc w:val="center"/>
              <w:textAlignment w:val="auto"/>
              <w:rPr>
                <w:rFonts w:hint="eastAsia"/>
                <w:sz w:val="18"/>
                <w:szCs w:val="18"/>
                <w:highlight w:val="none"/>
                <w:lang w:val="en-US" w:eastAsia="zh-CN"/>
              </w:rPr>
            </w:pPr>
            <w:r>
              <w:rPr>
                <w:rFonts w:hint="eastAsia" w:ascii="宋体" w:hAnsi="宋体" w:eastAsia="宋体" w:cs="宋体"/>
                <w:sz w:val="18"/>
                <w:szCs w:val="18"/>
                <w:highlight w:val="none"/>
                <w:lang w:val="en-US" w:eastAsia="zh-CN"/>
              </w:rPr>
              <w:t>建设里程6.5km，二级公路标准，路基宽度12m，设计速度60km/h</w:t>
            </w:r>
          </w:p>
        </w:tc>
        <w:tc>
          <w:tcPr>
            <w:tcW w:w="877" w:type="dxa"/>
            <w:tcBorders>
              <w:top w:val="single" w:color="auto" w:sz="4" w:space="0"/>
              <w:left w:val="single" w:color="auto" w:sz="4" w:space="0"/>
              <w:bottom w:val="single" w:color="auto" w:sz="4" w:space="0"/>
              <w:right w:val="single" w:color="000000" w:sz="4" w:space="0"/>
            </w:tcBorders>
            <w:noWrap w:val="0"/>
            <w:vAlign w:val="center"/>
          </w:tcPr>
          <w:p>
            <w:pPr>
              <w:rPr>
                <w:rFonts w:hint="eastAsia" w:ascii="宋体" w:hAnsi="宋体" w:eastAsia="宋体" w:cs="宋体"/>
                <w:sz w:val="18"/>
                <w:szCs w:val="18"/>
                <w:highlight w:val="none"/>
              </w:rPr>
            </w:pPr>
          </w:p>
        </w:tc>
        <w:tc>
          <w:tcPr>
            <w:tcW w:w="1025" w:type="dxa"/>
            <w:tcBorders>
              <w:top w:val="single" w:color="auto" w:sz="4" w:space="0"/>
              <w:left w:val="single" w:color="auto" w:sz="4" w:space="0"/>
              <w:bottom w:val="single" w:color="auto" w:sz="4" w:space="0"/>
              <w:right w:val="single" w:color="000000" w:sz="4" w:space="0"/>
            </w:tcBorders>
            <w:noWrap w:val="0"/>
            <w:vAlign w:val="center"/>
          </w:tcPr>
          <w:p>
            <w:pPr>
              <w:rPr>
                <w:rFonts w:hint="eastAsia" w:ascii="宋体" w:hAnsi="宋体" w:eastAsia="宋体" w:cs="宋体"/>
                <w:sz w:val="18"/>
                <w:szCs w:val="18"/>
                <w:highlight w:val="none"/>
              </w:rPr>
            </w:pPr>
          </w:p>
        </w:tc>
        <w:tc>
          <w:tcPr>
            <w:tcW w:w="1067" w:type="dxa"/>
            <w:tcBorders>
              <w:top w:val="single" w:color="auto" w:sz="4" w:space="0"/>
              <w:left w:val="single" w:color="auto" w:sz="4" w:space="0"/>
              <w:bottom w:val="single" w:color="auto" w:sz="4" w:space="0"/>
              <w:right w:val="single" w:color="000000" w:sz="4" w:space="0"/>
            </w:tcBorders>
            <w:noWrap w:val="0"/>
            <w:vAlign w:val="center"/>
          </w:tcPr>
          <w:p>
            <w:pPr>
              <w:rPr>
                <w:rFonts w:hint="eastAsia" w:ascii="宋体" w:hAnsi="宋体" w:eastAsia="宋体" w:cs="宋体"/>
                <w:sz w:val="18"/>
                <w:szCs w:val="18"/>
                <w:highlight w:val="none"/>
              </w:rPr>
            </w:pPr>
          </w:p>
        </w:tc>
        <w:tc>
          <w:tcPr>
            <w:tcW w:w="1158" w:type="dxa"/>
            <w:tcBorders>
              <w:left w:val="single" w:color="000000" w:sz="4" w:space="0"/>
              <w:right w:val="single" w:color="000000" w:sz="4" w:space="0"/>
            </w:tcBorders>
            <w:noWrap w:val="0"/>
            <w:tcMar>
              <w:top w:w="80" w:type="dxa"/>
              <w:left w:w="80" w:type="dxa"/>
              <w:bottom w:w="80" w:type="dxa"/>
              <w:right w:w="80" w:type="dxa"/>
            </w:tcMar>
            <w:vAlign w:val="center"/>
          </w:tcPr>
          <w:p>
            <w:pPr>
              <w:pStyle w:val="51"/>
              <w:pBdr>
                <w:top w:val="none" w:color="auto" w:sz="0" w:space="0"/>
                <w:left w:val="none" w:color="auto" w:sz="0" w:space="0"/>
                <w:bottom w:val="none" w:color="auto" w:sz="0" w:space="0"/>
                <w:right w:val="none" w:color="auto" w:sz="0" w:space="0"/>
              </w:pBdr>
              <w:jc w:val="center"/>
              <w:rPr>
                <w:rFonts w:hint="eastAsia" w:ascii="宋体" w:hAnsi="宋体" w:eastAsia="宋体" w:cs="宋体"/>
                <w:b/>
                <w:bCs/>
                <w:color w:val="auto"/>
                <w:kern w:val="0"/>
                <w:sz w:val="18"/>
                <w:szCs w:val="18"/>
                <w:highlight w:val="none"/>
                <w:lang w:val="zh-TW" w:eastAsia="zh-TW"/>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9436" w:type="dxa"/>
            <w:gridSpan w:val="7"/>
            <w:tcBorders>
              <w:left w:val="single" w:color="000000" w:sz="4" w:space="0"/>
              <w:right w:val="single" w:color="000000" w:sz="4" w:space="0"/>
            </w:tcBorders>
            <w:noWrap w:val="0"/>
            <w:tcMar>
              <w:top w:w="80" w:type="dxa"/>
              <w:left w:w="80" w:type="dxa"/>
              <w:bottom w:w="80" w:type="dxa"/>
              <w:right w:w="80" w:type="dxa"/>
            </w:tcMar>
            <w:vAlign w:val="center"/>
          </w:tcPr>
          <w:p>
            <w:pPr>
              <w:pStyle w:val="51"/>
              <w:pBdr>
                <w:top w:val="none" w:color="auto" w:sz="0" w:space="0"/>
                <w:left w:val="none" w:color="auto" w:sz="0" w:space="0"/>
                <w:bottom w:val="none" w:color="auto" w:sz="0" w:space="0"/>
                <w:right w:val="none" w:color="auto" w:sz="0" w:space="0"/>
              </w:pBdr>
              <w:jc w:val="left"/>
              <w:rPr>
                <w:rFonts w:hint="default" w:ascii="宋体" w:hAnsi="宋体" w:eastAsia="宋体" w:cs="宋体"/>
                <w:b/>
                <w:bCs/>
                <w:color w:val="auto"/>
                <w:kern w:val="0"/>
                <w:sz w:val="18"/>
                <w:szCs w:val="18"/>
                <w:highlight w:val="none"/>
                <w:lang w:val="en-US" w:eastAsia="zh-CN"/>
              </w:rPr>
            </w:pPr>
            <w:r>
              <w:rPr>
                <w:rFonts w:hint="eastAsia" w:ascii="宋体" w:hAnsi="宋体" w:eastAsia="宋体" w:cs="宋体"/>
                <w:b w:val="0"/>
                <w:bCs w:val="0"/>
                <w:color w:val="auto"/>
                <w:kern w:val="0"/>
                <w:sz w:val="18"/>
                <w:szCs w:val="18"/>
                <w:highlight w:val="none"/>
                <w:lang w:val="en-US" w:eastAsia="zh-CN"/>
              </w:rPr>
              <w:t>总报价：人民币大写：                     元，</w:t>
            </w:r>
            <w:r>
              <w:rPr>
                <w:rFonts w:hint="default" w:ascii="Arial" w:hAnsi="Arial" w:eastAsia="宋体" w:cs="Arial"/>
                <w:b w:val="0"/>
                <w:bCs w:val="0"/>
                <w:color w:val="auto"/>
                <w:kern w:val="0"/>
                <w:sz w:val="18"/>
                <w:szCs w:val="18"/>
                <w:highlight w:val="none"/>
                <w:lang w:val="en-US" w:eastAsia="zh-CN"/>
              </w:rPr>
              <w:t>¥</w:t>
            </w:r>
            <w:r>
              <w:rPr>
                <w:rFonts w:hint="eastAsia" w:ascii="宋体" w:hAnsi="宋体" w:eastAsia="宋体" w:cs="宋体"/>
                <w:b w:val="0"/>
                <w:bCs w:val="0"/>
                <w:color w:val="auto"/>
                <w:kern w:val="0"/>
                <w:sz w:val="18"/>
                <w:szCs w:val="18"/>
                <w:highlight w:val="none"/>
                <w:lang w:val="en-US" w:eastAsia="zh-CN"/>
              </w:rPr>
              <w:t xml:space="preserve">                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2" w:hRule="atLeast"/>
        </w:trPr>
        <w:tc>
          <w:tcPr>
            <w:tcW w:w="9436" w:type="dxa"/>
            <w:gridSpan w:val="7"/>
            <w:tcBorders>
              <w:left w:val="single" w:color="000000" w:sz="4" w:space="0"/>
              <w:bottom w:val="single" w:color="000000" w:sz="4" w:space="0"/>
              <w:right w:val="single" w:color="000000" w:sz="4" w:space="0"/>
            </w:tcBorders>
            <w:noWrap w:val="0"/>
            <w:tcMar>
              <w:top w:w="80" w:type="dxa"/>
              <w:left w:w="80" w:type="dxa"/>
              <w:bottom w:w="80" w:type="dxa"/>
              <w:right w:w="80" w:type="dxa"/>
            </w:tcMar>
            <w:vAlign w:val="center"/>
          </w:tcPr>
          <w:p>
            <w:pPr>
              <w:keepNext w:val="0"/>
              <w:keepLines w:val="0"/>
              <w:pageBreakBefore w:val="0"/>
              <w:widowControl w:val="0"/>
              <w:kinsoku/>
              <w:wordWrap/>
              <w:overflowPunct/>
              <w:topLinePunct w:val="0"/>
              <w:autoSpaceDE w:val="0"/>
              <w:autoSpaceDN w:val="0"/>
              <w:bidi w:val="0"/>
              <w:adjustRightInd/>
              <w:snapToGrid w:val="0"/>
              <w:spacing w:line="340" w:lineRule="exact"/>
              <w:textAlignment w:val="auto"/>
              <w:rPr>
                <w:rFonts w:hint="eastAsia" w:ascii="宋体" w:hAnsi="宋体" w:eastAsia="宋体" w:cs="宋体"/>
                <w:sz w:val="18"/>
                <w:szCs w:val="20"/>
                <w:highlight w:val="none"/>
                <w:lang w:val="en-US" w:eastAsia="zh-CN"/>
              </w:rPr>
            </w:pPr>
            <w:r>
              <w:rPr>
                <w:rFonts w:hint="eastAsia" w:ascii="宋体" w:hAnsi="宋体" w:eastAsia="宋体" w:cs="宋体"/>
                <w:sz w:val="18"/>
                <w:szCs w:val="20"/>
                <w:highlight w:val="none"/>
                <w:lang w:val="en-US" w:eastAsia="zh-CN"/>
              </w:rPr>
              <w:t>1、按线路方案单独结算。</w:t>
            </w:r>
          </w:p>
          <w:p>
            <w:pPr>
              <w:keepNext w:val="0"/>
              <w:keepLines w:val="0"/>
              <w:pageBreakBefore w:val="0"/>
              <w:widowControl w:val="0"/>
              <w:kinsoku/>
              <w:wordWrap/>
              <w:overflowPunct/>
              <w:topLinePunct w:val="0"/>
              <w:autoSpaceDE w:val="0"/>
              <w:autoSpaceDN w:val="0"/>
              <w:bidi w:val="0"/>
              <w:adjustRightInd/>
              <w:snapToGrid w:val="0"/>
              <w:spacing w:line="340" w:lineRule="exact"/>
              <w:textAlignment w:val="auto"/>
              <w:rPr>
                <w:rFonts w:hint="eastAsia" w:ascii="宋体" w:hAnsi="宋体" w:eastAsia="宋体" w:cs="宋体"/>
                <w:b w:val="0"/>
                <w:bCs w:val="0"/>
                <w:color w:val="auto"/>
                <w:kern w:val="0"/>
                <w:sz w:val="18"/>
                <w:szCs w:val="18"/>
                <w:highlight w:val="none"/>
                <w:lang w:val="en-US" w:eastAsia="zh-CN"/>
              </w:rPr>
            </w:pPr>
            <w:r>
              <w:rPr>
                <w:rFonts w:hint="eastAsia" w:ascii="宋体" w:hAnsi="宋体" w:eastAsia="宋体" w:cs="宋体"/>
                <w:sz w:val="18"/>
                <w:szCs w:val="20"/>
                <w:highlight w:val="none"/>
                <w:lang w:val="en-US" w:eastAsia="zh-CN"/>
              </w:rPr>
              <w:t>2、甲方有权利增、减需要方案研究的线路，如增加研究的线路，增加研究线路的服务费按报价一览表中同类型公路报价单价的平均值作为单价，以单价×公里数计算服务费；如减少研究的线路，减少研究线路的服务费按报价一览表中的报价核减服务费。</w:t>
            </w:r>
          </w:p>
        </w:tc>
      </w:tr>
    </w:tbl>
    <w:p>
      <w:pPr>
        <w:spacing w:line="360" w:lineRule="auto"/>
        <w:rPr>
          <w:spacing w:val="20"/>
          <w:sz w:val="24"/>
          <w:highlight w:val="none"/>
        </w:rPr>
      </w:pPr>
    </w:p>
    <w:p>
      <w:pPr>
        <w:spacing w:line="360" w:lineRule="auto"/>
        <w:ind w:firstLine="4620" w:firstLineChars="2200"/>
        <w:rPr>
          <w:sz w:val="21"/>
          <w:szCs w:val="21"/>
          <w:highlight w:val="none"/>
        </w:rPr>
      </w:pPr>
      <w:r>
        <w:rPr>
          <w:rFonts w:hint="eastAsia"/>
          <w:sz w:val="21"/>
          <w:szCs w:val="21"/>
          <w:highlight w:val="none"/>
        </w:rPr>
        <w:t>投标人（盖章）：</w:t>
      </w:r>
    </w:p>
    <w:p>
      <w:pPr>
        <w:spacing w:line="360" w:lineRule="auto"/>
        <w:ind w:firstLine="4620" w:firstLineChars="2200"/>
        <w:rPr>
          <w:sz w:val="21"/>
          <w:szCs w:val="21"/>
          <w:highlight w:val="none"/>
        </w:rPr>
      </w:pPr>
      <w:r>
        <w:rPr>
          <w:rFonts w:hint="eastAsia"/>
          <w:sz w:val="21"/>
          <w:szCs w:val="21"/>
          <w:highlight w:val="none"/>
        </w:rPr>
        <w:t>法定代表人或委托代理人（签字）：</w:t>
      </w:r>
    </w:p>
    <w:p>
      <w:pPr>
        <w:spacing w:line="360" w:lineRule="auto"/>
        <w:rPr>
          <w:rFonts w:hint="eastAsia"/>
          <w:sz w:val="21"/>
          <w:szCs w:val="21"/>
          <w:highlight w:val="none"/>
        </w:rPr>
      </w:pPr>
      <w:r>
        <w:rPr>
          <w:rFonts w:hint="eastAsia"/>
          <w:sz w:val="21"/>
          <w:szCs w:val="21"/>
          <w:highlight w:val="none"/>
        </w:rPr>
        <w:t xml:space="preserve">                                            日      期：</w:t>
      </w:r>
    </w:p>
    <w:p>
      <w:pPr>
        <w:pStyle w:val="31"/>
      </w:pPr>
    </w:p>
    <w:p>
      <w:pPr>
        <w:spacing w:before="61"/>
        <w:ind w:left="49" w:right="250"/>
        <w:jc w:val="center"/>
        <w:rPr>
          <w:sz w:val="24"/>
          <w:highlight w:val="none"/>
        </w:rPr>
      </w:pPr>
      <w:r>
        <w:rPr>
          <w:rFonts w:hint="eastAsia"/>
          <w:b/>
          <w:sz w:val="28"/>
          <w:highlight w:val="none"/>
        </w:rPr>
        <w:t>三、中小企业声明函（货物）</w:t>
      </w:r>
      <w:r>
        <w:rPr>
          <w:rFonts w:hint="eastAsia"/>
          <w:sz w:val="24"/>
          <w:highlight w:val="none"/>
        </w:rPr>
        <w:t>（如有）</w:t>
      </w:r>
    </w:p>
    <w:p>
      <w:pPr>
        <w:pStyle w:val="13"/>
        <w:rPr>
          <w:sz w:val="28"/>
          <w:highlight w:val="none"/>
        </w:rPr>
      </w:pPr>
    </w:p>
    <w:p>
      <w:pPr>
        <w:pStyle w:val="13"/>
        <w:spacing w:before="6"/>
        <w:rPr>
          <w:sz w:val="32"/>
          <w:highlight w:val="none"/>
        </w:rPr>
      </w:pPr>
    </w:p>
    <w:p>
      <w:pPr>
        <w:pStyle w:val="13"/>
        <w:spacing w:line="446" w:lineRule="auto"/>
        <w:ind w:left="408" w:right="608" w:firstLine="420"/>
        <w:jc w:val="both"/>
        <w:rPr>
          <w:highlight w:val="none"/>
        </w:rPr>
      </w:pPr>
      <w:r>
        <w:rPr>
          <w:rFonts w:hint="eastAsia"/>
          <w:highlight w:val="none"/>
        </w:rPr>
        <w:t>本公司郑重声明，根据《政府采购促进中小企业发展管理办法》（</w:t>
      </w:r>
      <w:r>
        <w:rPr>
          <w:rFonts w:hint="eastAsia"/>
          <w:spacing w:val="2"/>
          <w:highlight w:val="none"/>
        </w:rPr>
        <w:t>财库</w:t>
      </w:r>
      <w:r>
        <w:rPr>
          <w:rFonts w:hint="eastAsia"/>
          <w:highlight w:val="none"/>
        </w:rPr>
        <w:t>﹝2020﹞46</w:t>
      </w:r>
      <w:r>
        <w:rPr>
          <w:rFonts w:hint="eastAsia"/>
          <w:spacing w:val="6"/>
          <w:highlight w:val="none"/>
        </w:rPr>
        <w:t xml:space="preserve"> 号</w:t>
      </w:r>
      <w:r>
        <w:rPr>
          <w:rFonts w:hint="eastAsia"/>
          <w:spacing w:val="4"/>
          <w:highlight w:val="none"/>
        </w:rPr>
        <w:t>）</w:t>
      </w:r>
      <w:r>
        <w:rPr>
          <w:rFonts w:hint="eastAsia"/>
          <w:highlight w:val="none"/>
        </w:rPr>
        <w:t>的规定，本公司参加</w:t>
      </w:r>
      <w:r>
        <w:rPr>
          <w:rFonts w:hint="eastAsia"/>
          <w:highlight w:val="none"/>
          <w:u w:val="single"/>
        </w:rPr>
        <w:t>（单位名称）</w:t>
      </w:r>
      <w:r>
        <w:rPr>
          <w:rFonts w:hint="eastAsia"/>
          <w:spacing w:val="4"/>
          <w:highlight w:val="none"/>
        </w:rPr>
        <w:t>的</w:t>
      </w:r>
      <w:r>
        <w:rPr>
          <w:rFonts w:hint="eastAsia"/>
          <w:highlight w:val="none"/>
          <w:u w:val="single"/>
        </w:rPr>
        <w:t>（项目名称）</w:t>
      </w:r>
      <w:r>
        <w:rPr>
          <w:rFonts w:hint="eastAsia"/>
          <w:highlight w:val="none"/>
        </w:rPr>
        <w:t>采购活动，提供的货物全部由符合政策要求的中小企业制造。相关企业（含联合体中的中小企业、签订分包意向协议的中小企业）的具体情况 如下：</w:t>
      </w:r>
    </w:p>
    <w:p>
      <w:pPr>
        <w:pStyle w:val="13"/>
        <w:tabs>
          <w:tab w:val="left" w:pos="1351"/>
          <w:tab w:val="left" w:pos="3552"/>
          <w:tab w:val="left" w:pos="5959"/>
        </w:tabs>
        <w:spacing w:before="79" w:line="535" w:lineRule="auto"/>
        <w:ind w:left="408" w:right="504" w:firstLine="420"/>
        <w:jc w:val="both"/>
        <w:rPr>
          <w:highlight w:val="none"/>
        </w:rPr>
      </w:pPr>
      <w:r>
        <w:rPr>
          <w:rFonts w:hint="eastAsia"/>
          <w:highlight w:val="none"/>
        </w:rPr>
        <w:t>1.</w:t>
      </w:r>
      <w:r>
        <w:rPr>
          <w:rFonts w:hint="eastAsia"/>
          <w:highlight w:val="none"/>
          <w:u w:val="single"/>
        </w:rPr>
        <w:t>（标的名称）</w:t>
      </w:r>
      <w:r>
        <w:rPr>
          <w:rFonts w:hint="eastAsia"/>
          <w:spacing w:val="-3"/>
          <w:highlight w:val="none"/>
        </w:rPr>
        <w:t>，</w:t>
      </w:r>
      <w:r>
        <w:rPr>
          <w:rFonts w:hint="eastAsia"/>
          <w:highlight w:val="none"/>
        </w:rPr>
        <w:t>属</w:t>
      </w:r>
      <w:r>
        <w:rPr>
          <w:rFonts w:hint="eastAsia"/>
          <w:spacing w:val="-3"/>
          <w:highlight w:val="none"/>
        </w:rPr>
        <w:t>于</w:t>
      </w:r>
      <w:r>
        <w:rPr>
          <w:rFonts w:hint="eastAsia"/>
          <w:highlight w:val="none"/>
          <w:u w:val="single"/>
        </w:rPr>
        <w:t>（采购文件中明确的所属行业）</w:t>
      </w:r>
      <w:r>
        <w:rPr>
          <w:rFonts w:hint="eastAsia"/>
          <w:highlight w:val="none"/>
        </w:rPr>
        <w:t>；制造商</w:t>
      </w:r>
      <w:r>
        <w:rPr>
          <w:rFonts w:hint="eastAsia"/>
          <w:spacing w:val="-3"/>
          <w:highlight w:val="none"/>
        </w:rPr>
        <w:t>为</w:t>
      </w:r>
      <w:r>
        <w:rPr>
          <w:rFonts w:hint="eastAsia"/>
          <w:highlight w:val="none"/>
          <w:u w:val="single"/>
        </w:rPr>
        <w:t>（企业名称</w:t>
      </w:r>
      <w:r>
        <w:rPr>
          <w:rFonts w:hint="eastAsia"/>
          <w:spacing w:val="-4"/>
          <w:highlight w:val="none"/>
          <w:u w:val="single"/>
        </w:rPr>
        <w:t>）</w:t>
      </w:r>
      <w:r>
        <w:rPr>
          <w:rFonts w:hint="eastAsia"/>
          <w:spacing w:val="-4"/>
          <w:highlight w:val="none"/>
        </w:rPr>
        <w:t>，</w:t>
      </w:r>
      <w:r>
        <w:rPr>
          <w:rFonts w:hint="eastAsia"/>
          <w:highlight w:val="none"/>
        </w:rPr>
        <w:t>从业人员</w:t>
      </w:r>
      <w:r>
        <w:rPr>
          <w:rFonts w:hint="eastAsia"/>
          <w:highlight w:val="none"/>
          <w:u w:val="single"/>
        </w:rPr>
        <w:tab/>
      </w:r>
      <w:r>
        <w:rPr>
          <w:rFonts w:hint="eastAsia"/>
          <w:highlight w:val="none"/>
        </w:rPr>
        <w:t>人</w:t>
      </w:r>
      <w:r>
        <w:rPr>
          <w:rFonts w:hint="eastAsia"/>
          <w:spacing w:val="-8"/>
          <w:highlight w:val="none"/>
        </w:rPr>
        <w:t>，</w:t>
      </w:r>
      <w:r>
        <w:rPr>
          <w:rFonts w:hint="eastAsia"/>
          <w:highlight w:val="none"/>
        </w:rPr>
        <w:t>营业收入为</w:t>
      </w:r>
      <w:r>
        <w:rPr>
          <w:rFonts w:hint="eastAsia"/>
          <w:highlight w:val="none"/>
          <w:u w:val="single"/>
        </w:rPr>
        <w:tab/>
      </w:r>
      <w:r>
        <w:rPr>
          <w:rFonts w:hint="eastAsia"/>
          <w:highlight w:val="none"/>
        </w:rPr>
        <w:t>万元</w:t>
      </w:r>
      <w:r>
        <w:rPr>
          <w:rFonts w:hint="eastAsia"/>
          <w:spacing w:val="-8"/>
          <w:highlight w:val="none"/>
        </w:rPr>
        <w:t>，</w:t>
      </w:r>
      <w:r>
        <w:rPr>
          <w:rFonts w:hint="eastAsia"/>
          <w:highlight w:val="none"/>
        </w:rPr>
        <w:t>资产总额为</w:t>
      </w:r>
      <w:r>
        <w:rPr>
          <w:rFonts w:hint="eastAsia"/>
          <w:highlight w:val="none"/>
          <w:u w:val="single"/>
        </w:rPr>
        <w:tab/>
      </w:r>
      <w:r>
        <w:rPr>
          <w:rFonts w:hint="eastAsia"/>
          <w:highlight w:val="none"/>
        </w:rPr>
        <w:t>万元</w:t>
      </w:r>
      <w:r>
        <w:rPr>
          <w:rFonts w:hint="eastAsia"/>
          <w:spacing w:val="-5"/>
          <w:highlight w:val="none"/>
        </w:rPr>
        <w:t>，</w:t>
      </w:r>
      <w:r>
        <w:rPr>
          <w:rFonts w:hint="eastAsia"/>
          <w:highlight w:val="none"/>
        </w:rPr>
        <w:t>属</w:t>
      </w:r>
      <w:r>
        <w:rPr>
          <w:rFonts w:hint="eastAsia"/>
          <w:spacing w:val="-8"/>
          <w:highlight w:val="none"/>
        </w:rPr>
        <w:t>于</w:t>
      </w:r>
      <w:r>
        <w:rPr>
          <w:rFonts w:hint="eastAsia"/>
          <w:highlight w:val="none"/>
          <w:u w:val="single"/>
        </w:rPr>
        <w:t>（中型企业</w:t>
      </w:r>
      <w:r>
        <w:rPr>
          <w:rFonts w:hint="eastAsia"/>
          <w:spacing w:val="-5"/>
          <w:highlight w:val="none"/>
          <w:u w:val="single"/>
        </w:rPr>
        <w:t>、</w:t>
      </w:r>
      <w:r>
        <w:rPr>
          <w:rFonts w:hint="eastAsia"/>
          <w:highlight w:val="none"/>
          <w:u w:val="single"/>
        </w:rPr>
        <w:t>小型企业</w:t>
      </w:r>
      <w:r>
        <w:rPr>
          <w:rFonts w:hint="eastAsia"/>
          <w:spacing w:val="-12"/>
          <w:highlight w:val="none"/>
          <w:u w:val="single"/>
        </w:rPr>
        <w:t>、</w:t>
      </w:r>
    </w:p>
    <w:p>
      <w:pPr>
        <w:pStyle w:val="13"/>
        <w:ind w:left="408"/>
        <w:rPr>
          <w:highlight w:val="none"/>
        </w:rPr>
      </w:pPr>
      <w:r>
        <w:rPr>
          <w:rFonts w:hint="eastAsia"/>
          <w:highlight w:val="none"/>
          <w:u w:val="single"/>
        </w:rPr>
        <w:t>微型企业）</w:t>
      </w:r>
      <w:r>
        <w:rPr>
          <w:rFonts w:hint="eastAsia"/>
          <w:highlight w:val="none"/>
        </w:rPr>
        <w:t>；</w:t>
      </w:r>
    </w:p>
    <w:p>
      <w:pPr>
        <w:pStyle w:val="13"/>
        <w:spacing w:before="10"/>
        <w:rPr>
          <w:highlight w:val="none"/>
        </w:rPr>
      </w:pPr>
    </w:p>
    <w:p>
      <w:pPr>
        <w:pStyle w:val="13"/>
        <w:tabs>
          <w:tab w:val="left" w:pos="1248"/>
          <w:tab w:val="left" w:pos="3243"/>
          <w:tab w:val="left" w:pos="5763"/>
        </w:tabs>
        <w:spacing w:before="1" w:line="535" w:lineRule="auto"/>
        <w:ind w:left="408" w:right="577" w:firstLine="420"/>
        <w:rPr>
          <w:highlight w:val="none"/>
        </w:rPr>
      </w:pPr>
      <w:r>
        <w:rPr>
          <w:rFonts w:hint="eastAsia"/>
          <w:highlight w:val="none"/>
        </w:rPr>
        <w:t>2.</w:t>
      </w:r>
      <w:r>
        <w:rPr>
          <w:rFonts w:hint="eastAsia"/>
          <w:highlight w:val="none"/>
          <w:u w:val="single"/>
        </w:rPr>
        <w:t>（</w:t>
      </w:r>
      <w:r>
        <w:rPr>
          <w:rFonts w:hint="eastAsia"/>
          <w:spacing w:val="4"/>
          <w:highlight w:val="none"/>
          <w:u w:val="single"/>
        </w:rPr>
        <w:t>标</w:t>
      </w:r>
      <w:r>
        <w:rPr>
          <w:rFonts w:hint="eastAsia"/>
          <w:highlight w:val="none"/>
          <w:u w:val="single"/>
        </w:rPr>
        <w:t>的名称）</w:t>
      </w:r>
      <w:r>
        <w:rPr>
          <w:rFonts w:hint="eastAsia"/>
          <w:highlight w:val="none"/>
        </w:rPr>
        <w:t>，</w:t>
      </w:r>
      <w:r>
        <w:rPr>
          <w:rFonts w:hint="eastAsia"/>
          <w:spacing w:val="4"/>
          <w:highlight w:val="none"/>
        </w:rPr>
        <w:t>属</w:t>
      </w:r>
      <w:r>
        <w:rPr>
          <w:rFonts w:hint="eastAsia"/>
          <w:highlight w:val="none"/>
        </w:rPr>
        <w:t>于</w:t>
      </w:r>
      <w:r>
        <w:rPr>
          <w:rFonts w:hint="eastAsia"/>
          <w:highlight w:val="none"/>
          <w:u w:val="single"/>
        </w:rPr>
        <w:t>（</w:t>
      </w:r>
      <w:r>
        <w:rPr>
          <w:rFonts w:hint="eastAsia"/>
          <w:spacing w:val="4"/>
          <w:highlight w:val="none"/>
          <w:u w:val="single"/>
        </w:rPr>
        <w:t>采</w:t>
      </w:r>
      <w:r>
        <w:rPr>
          <w:rFonts w:hint="eastAsia"/>
          <w:highlight w:val="none"/>
          <w:u w:val="single"/>
        </w:rPr>
        <w:t>购文件</w:t>
      </w:r>
      <w:r>
        <w:rPr>
          <w:rFonts w:hint="eastAsia"/>
          <w:spacing w:val="4"/>
          <w:highlight w:val="none"/>
          <w:u w:val="single"/>
        </w:rPr>
        <w:t>中</w:t>
      </w:r>
      <w:r>
        <w:rPr>
          <w:rFonts w:hint="eastAsia"/>
          <w:highlight w:val="none"/>
          <w:u w:val="single"/>
        </w:rPr>
        <w:t>明确的</w:t>
      </w:r>
      <w:r>
        <w:rPr>
          <w:rFonts w:hint="eastAsia"/>
          <w:spacing w:val="4"/>
          <w:highlight w:val="none"/>
          <w:u w:val="single"/>
        </w:rPr>
        <w:t>所</w:t>
      </w:r>
      <w:r>
        <w:rPr>
          <w:rFonts w:hint="eastAsia"/>
          <w:highlight w:val="none"/>
          <w:u w:val="single"/>
        </w:rPr>
        <w:t>属行业）</w:t>
      </w:r>
      <w:r>
        <w:rPr>
          <w:rFonts w:hint="eastAsia"/>
          <w:highlight w:val="none"/>
        </w:rPr>
        <w:t>；制</w:t>
      </w:r>
      <w:r>
        <w:rPr>
          <w:rFonts w:hint="eastAsia"/>
          <w:spacing w:val="4"/>
          <w:highlight w:val="none"/>
        </w:rPr>
        <w:t>造</w:t>
      </w:r>
      <w:r>
        <w:rPr>
          <w:rFonts w:hint="eastAsia"/>
          <w:highlight w:val="none"/>
        </w:rPr>
        <w:t>商</w:t>
      </w:r>
      <w:r>
        <w:rPr>
          <w:rFonts w:hint="eastAsia"/>
          <w:spacing w:val="4"/>
          <w:highlight w:val="none"/>
        </w:rPr>
        <w:t>为</w:t>
      </w:r>
      <w:r>
        <w:rPr>
          <w:rFonts w:hint="eastAsia"/>
          <w:highlight w:val="none"/>
          <w:u w:val="single"/>
        </w:rPr>
        <w:t>（</w:t>
      </w:r>
      <w:r>
        <w:rPr>
          <w:rFonts w:hint="eastAsia"/>
          <w:spacing w:val="4"/>
          <w:highlight w:val="none"/>
          <w:u w:val="single"/>
        </w:rPr>
        <w:t>企</w:t>
      </w:r>
      <w:r>
        <w:rPr>
          <w:rFonts w:hint="eastAsia"/>
          <w:highlight w:val="none"/>
          <w:u w:val="single"/>
        </w:rPr>
        <w:t>业名称）</w:t>
      </w:r>
      <w:r>
        <w:rPr>
          <w:rFonts w:hint="eastAsia"/>
          <w:highlight w:val="none"/>
        </w:rPr>
        <w:t>，</w:t>
      </w:r>
      <w:r>
        <w:rPr>
          <w:rFonts w:hint="eastAsia"/>
          <w:spacing w:val="4"/>
          <w:highlight w:val="none"/>
        </w:rPr>
        <w:t>从</w:t>
      </w:r>
      <w:r>
        <w:rPr>
          <w:rFonts w:hint="eastAsia"/>
          <w:highlight w:val="none"/>
        </w:rPr>
        <w:t>业人员</w:t>
      </w:r>
      <w:r>
        <w:rPr>
          <w:rFonts w:hint="eastAsia"/>
          <w:highlight w:val="none"/>
          <w:u w:val="single"/>
        </w:rPr>
        <w:tab/>
      </w:r>
      <w:r>
        <w:rPr>
          <w:rFonts w:hint="eastAsia"/>
          <w:highlight w:val="none"/>
        </w:rPr>
        <w:t>人，营业收入为</w:t>
      </w:r>
      <w:r>
        <w:rPr>
          <w:rFonts w:hint="eastAsia"/>
          <w:highlight w:val="none"/>
          <w:u w:val="single"/>
        </w:rPr>
        <w:tab/>
      </w:r>
      <w:r>
        <w:rPr>
          <w:rFonts w:hint="eastAsia"/>
          <w:highlight w:val="none"/>
        </w:rPr>
        <w:t>万元，资产总额为</w:t>
      </w:r>
      <w:r>
        <w:rPr>
          <w:rFonts w:hint="eastAsia"/>
          <w:highlight w:val="none"/>
          <w:u w:val="single"/>
        </w:rPr>
        <w:tab/>
      </w:r>
      <w:r>
        <w:rPr>
          <w:rFonts w:hint="eastAsia"/>
          <w:highlight w:val="none"/>
        </w:rPr>
        <w:t>万元，属于</w:t>
      </w:r>
      <w:r>
        <w:rPr>
          <w:rFonts w:hint="eastAsia"/>
          <w:highlight w:val="none"/>
          <w:u w:val="single"/>
        </w:rPr>
        <w:t>（中型企业、小型企业、</w:t>
      </w:r>
    </w:p>
    <w:p>
      <w:pPr>
        <w:pStyle w:val="13"/>
        <w:ind w:left="49" w:right="7777"/>
        <w:jc w:val="center"/>
        <w:rPr>
          <w:highlight w:val="none"/>
        </w:rPr>
      </w:pPr>
      <w:r>
        <w:rPr>
          <w:rFonts w:hint="eastAsia"/>
          <w:highlight w:val="none"/>
          <w:u w:val="single"/>
        </w:rPr>
        <w:t>微型企业）</w:t>
      </w:r>
      <w:r>
        <w:rPr>
          <w:rFonts w:hint="eastAsia"/>
          <w:highlight w:val="none"/>
        </w:rPr>
        <w:t>；</w:t>
      </w:r>
    </w:p>
    <w:p>
      <w:pPr>
        <w:pStyle w:val="13"/>
        <w:spacing w:before="117"/>
        <w:ind w:left="49" w:right="7777"/>
        <w:jc w:val="center"/>
        <w:rPr>
          <w:highlight w:val="none"/>
        </w:rPr>
      </w:pPr>
      <w:r>
        <w:rPr>
          <w:rFonts w:hint="eastAsia"/>
          <w:highlight w:val="none"/>
        </w:rPr>
        <w:t>……</w:t>
      </w:r>
    </w:p>
    <w:p>
      <w:pPr>
        <w:pStyle w:val="13"/>
        <w:spacing w:before="112" w:line="340" w:lineRule="auto"/>
        <w:ind w:left="408" w:right="611" w:firstLine="420"/>
        <w:rPr>
          <w:highlight w:val="none"/>
        </w:rPr>
      </w:pPr>
      <w:r>
        <w:rPr>
          <w:rFonts w:hint="eastAsia"/>
          <w:highlight w:val="none"/>
        </w:rPr>
        <w:t>以上企业，不属于大企业的分支机构，不存在控股股东为大企业的情形，也不存在与大企业的</w:t>
      </w:r>
      <w:r>
        <w:rPr>
          <w:rFonts w:hint="eastAsia"/>
          <w:spacing w:val="-4"/>
          <w:highlight w:val="none"/>
        </w:rPr>
        <w:t>负责人为同一人的情形。</w:t>
      </w:r>
    </w:p>
    <w:p>
      <w:pPr>
        <w:pStyle w:val="13"/>
        <w:spacing w:line="268" w:lineRule="exact"/>
        <w:ind w:left="828"/>
        <w:rPr>
          <w:highlight w:val="none"/>
        </w:rPr>
      </w:pPr>
      <w:r>
        <w:rPr>
          <w:rFonts w:hint="eastAsia"/>
          <w:highlight w:val="none"/>
        </w:rPr>
        <w:t>本企业对上述声明内容的真实性负责。如有虚假，将依法承担相应责任。</w:t>
      </w:r>
    </w:p>
    <w:p>
      <w:pPr>
        <w:pStyle w:val="13"/>
        <w:rPr>
          <w:highlight w:val="none"/>
        </w:rPr>
      </w:pPr>
    </w:p>
    <w:p>
      <w:pPr>
        <w:pStyle w:val="13"/>
        <w:rPr>
          <w:highlight w:val="none"/>
        </w:rPr>
      </w:pPr>
    </w:p>
    <w:p>
      <w:pPr>
        <w:pStyle w:val="13"/>
        <w:spacing w:before="11"/>
        <w:rPr>
          <w:highlight w:val="none"/>
        </w:rPr>
      </w:pPr>
    </w:p>
    <w:p>
      <w:pPr>
        <w:pStyle w:val="13"/>
        <w:tabs>
          <w:tab w:val="left" w:pos="7023"/>
        </w:tabs>
        <w:spacing w:line="501" w:lineRule="auto"/>
        <w:ind w:left="6603" w:right="1854" w:hanging="543"/>
        <w:rPr>
          <w:highlight w:val="none"/>
        </w:rPr>
      </w:pPr>
      <w:r>
        <w:rPr>
          <w:rFonts w:hint="eastAsia"/>
          <w:highlight w:val="none"/>
        </w:rPr>
        <w:t>企业名称（盖章</w:t>
      </w:r>
      <w:r>
        <w:rPr>
          <w:rFonts w:hint="eastAsia"/>
          <w:spacing w:val="-6"/>
          <w:highlight w:val="none"/>
        </w:rPr>
        <w:t xml:space="preserve">）： </w:t>
      </w:r>
      <w:r>
        <w:rPr>
          <w:rFonts w:hint="eastAsia"/>
          <w:highlight w:val="none"/>
        </w:rPr>
        <w:t>日</w:t>
      </w:r>
      <w:r>
        <w:rPr>
          <w:rFonts w:hint="eastAsia"/>
          <w:highlight w:val="none"/>
        </w:rPr>
        <w:tab/>
      </w:r>
      <w:r>
        <w:rPr>
          <w:rFonts w:hint="eastAsia"/>
          <w:highlight w:val="none"/>
        </w:rPr>
        <w:t>期：</w:t>
      </w:r>
    </w:p>
    <w:p>
      <w:pPr>
        <w:pStyle w:val="13"/>
        <w:rPr>
          <w:sz w:val="20"/>
          <w:highlight w:val="none"/>
        </w:rPr>
      </w:pPr>
    </w:p>
    <w:p>
      <w:pPr>
        <w:pStyle w:val="13"/>
        <w:rPr>
          <w:sz w:val="20"/>
          <w:highlight w:val="none"/>
        </w:rPr>
      </w:pPr>
    </w:p>
    <w:p>
      <w:pPr>
        <w:pStyle w:val="13"/>
        <w:rPr>
          <w:sz w:val="20"/>
          <w:highlight w:val="none"/>
        </w:rPr>
      </w:pPr>
    </w:p>
    <w:p>
      <w:pPr>
        <w:pStyle w:val="13"/>
        <w:rPr>
          <w:sz w:val="20"/>
          <w:highlight w:val="none"/>
        </w:rPr>
      </w:pPr>
    </w:p>
    <w:p>
      <w:pPr>
        <w:pStyle w:val="13"/>
        <w:rPr>
          <w:sz w:val="20"/>
          <w:highlight w:val="none"/>
        </w:rPr>
      </w:pPr>
    </w:p>
    <w:p>
      <w:pPr>
        <w:pStyle w:val="13"/>
        <w:rPr>
          <w:sz w:val="20"/>
          <w:highlight w:val="none"/>
        </w:rPr>
      </w:pPr>
    </w:p>
    <w:p>
      <w:pPr>
        <w:pStyle w:val="13"/>
        <w:rPr>
          <w:sz w:val="20"/>
          <w:highlight w:val="none"/>
        </w:rPr>
      </w:pPr>
    </w:p>
    <w:p>
      <w:pPr>
        <w:pStyle w:val="13"/>
        <w:spacing w:before="5"/>
        <w:rPr>
          <w:sz w:val="24"/>
          <w:highlight w:val="none"/>
        </w:rPr>
      </w:pPr>
    </w:p>
    <w:p>
      <w:pPr>
        <w:pStyle w:val="13"/>
        <w:ind w:left="408"/>
        <w:rPr>
          <w:highlight w:val="none"/>
        </w:rPr>
      </w:pPr>
      <w:r>
        <w:rPr>
          <w:rFonts w:hint="eastAsia"/>
          <w:highlight w:val="none"/>
        </w:rPr>
        <w:t>注：从业人员、营业收入、资产总额填报上一年度数据，无上一年度数据的新成立企业可不填报。</w:t>
      </w:r>
    </w:p>
    <w:p>
      <w:pPr>
        <w:rPr>
          <w:highlight w:val="none"/>
        </w:rPr>
      </w:pPr>
    </w:p>
    <w:p>
      <w:pPr>
        <w:pStyle w:val="25"/>
        <w:ind w:left="440"/>
        <w:rPr>
          <w:rFonts w:ascii="宋体" w:hAnsi="宋体"/>
          <w:highlight w:val="none"/>
        </w:rPr>
      </w:pPr>
    </w:p>
    <w:p>
      <w:pPr>
        <w:pStyle w:val="25"/>
        <w:ind w:left="440"/>
        <w:rPr>
          <w:rFonts w:ascii="宋体" w:hAnsi="宋体"/>
          <w:highlight w:val="none"/>
        </w:rPr>
      </w:pPr>
    </w:p>
    <w:p>
      <w:pPr>
        <w:pStyle w:val="25"/>
        <w:ind w:left="440"/>
        <w:rPr>
          <w:rFonts w:ascii="宋体" w:hAnsi="宋体"/>
          <w:highlight w:val="none"/>
        </w:rPr>
      </w:pPr>
    </w:p>
    <w:p>
      <w:pPr>
        <w:pStyle w:val="25"/>
        <w:ind w:left="440"/>
        <w:rPr>
          <w:rFonts w:ascii="宋体" w:hAnsi="宋体"/>
          <w:highlight w:val="none"/>
        </w:rPr>
      </w:pPr>
    </w:p>
    <w:p>
      <w:pPr>
        <w:jc w:val="center"/>
        <w:rPr>
          <w:sz w:val="40"/>
          <w:szCs w:val="40"/>
          <w:highlight w:val="none"/>
        </w:rPr>
      </w:pPr>
      <w:r>
        <w:rPr>
          <w:rFonts w:hint="eastAsia"/>
          <w:b/>
          <w:bCs/>
          <w:sz w:val="32"/>
          <w:szCs w:val="32"/>
          <w:highlight w:val="none"/>
        </w:rPr>
        <w:t>中小企业声明函（工程、服务）</w:t>
      </w:r>
    </w:p>
    <w:p>
      <w:pPr>
        <w:pStyle w:val="25"/>
        <w:ind w:left="440"/>
        <w:rPr>
          <w:highlight w:val="none"/>
        </w:rPr>
      </w:pPr>
    </w:p>
    <w:p>
      <w:pPr>
        <w:pStyle w:val="13"/>
        <w:spacing w:line="446" w:lineRule="auto"/>
        <w:ind w:left="408" w:right="608" w:firstLine="420"/>
        <w:jc w:val="both"/>
        <w:rPr>
          <w:highlight w:val="none"/>
        </w:rPr>
      </w:pPr>
      <w:r>
        <w:rPr>
          <w:rFonts w:hint="eastAsia"/>
          <w:highlight w:val="none"/>
        </w:rPr>
        <w:t>本公司（联合体）郑重声明，根据《政府采购促进中小企业发展管理办法》（财库〔2020）46 号）的规定，本公司（联合体）参加（单位名称）的（项目名称）采购活动，工程的施工单位全部为符合政策要求的中小企业（或者∶ 服务全部由符合政策要求的中小企业承接）。相关企业（含联合体中的中小企业、签订分包意向协议的中小企业）的具体情况如下∶</w:t>
      </w:r>
    </w:p>
    <w:p>
      <w:pPr>
        <w:pStyle w:val="13"/>
        <w:spacing w:line="446" w:lineRule="auto"/>
        <w:ind w:left="408" w:right="608" w:firstLine="420"/>
        <w:jc w:val="both"/>
        <w:rPr>
          <w:highlight w:val="none"/>
        </w:rPr>
      </w:pPr>
      <w:r>
        <w:rPr>
          <w:rFonts w:hint="eastAsia"/>
          <w:highlight w:val="none"/>
        </w:rPr>
        <w:t>1.（标的名称）_，属于（采购文件中明确的所属行业）;承建（承接）企业为_（企业名称），从业人员____人，营业收入为____万元，资产总额为___万元，属于（中型企业、小型企业、微型企业）;</w:t>
      </w:r>
    </w:p>
    <w:p>
      <w:pPr>
        <w:pStyle w:val="13"/>
        <w:spacing w:line="446" w:lineRule="auto"/>
        <w:ind w:left="408" w:right="608" w:firstLine="420"/>
        <w:jc w:val="both"/>
        <w:rPr>
          <w:highlight w:val="none"/>
        </w:rPr>
      </w:pPr>
      <w:r>
        <w:rPr>
          <w:rFonts w:hint="eastAsia"/>
          <w:highlight w:val="none"/>
        </w:rPr>
        <w:t>2.（标的名称）_，属于（采购文件中明确的所属行业）;承建（承接）企业为（企业名称），从业人员____人，营业收入为____万元，资产总额为____万元，属于（</w:t>
      </w:r>
      <w:r>
        <w:rPr>
          <w:rFonts w:hint="eastAsia"/>
          <w:highlight w:val="none"/>
          <w:lang w:val="en-US"/>
        </w:rPr>
        <w:t>中</w:t>
      </w:r>
      <w:r>
        <w:rPr>
          <w:rFonts w:hint="eastAsia"/>
          <w:highlight w:val="none"/>
        </w:rPr>
        <w:t>型企业、型企业、微型企业）;</w:t>
      </w:r>
    </w:p>
    <w:p>
      <w:pPr>
        <w:pStyle w:val="13"/>
        <w:spacing w:line="446" w:lineRule="auto"/>
        <w:ind w:left="408" w:right="608" w:firstLine="420"/>
        <w:jc w:val="both"/>
        <w:rPr>
          <w:highlight w:val="none"/>
        </w:rPr>
      </w:pPr>
      <w:r>
        <w:rPr>
          <w:rFonts w:hint="eastAsia"/>
          <w:highlight w:val="none"/>
        </w:rPr>
        <w:t>..</w:t>
      </w:r>
    </w:p>
    <w:p>
      <w:pPr>
        <w:pStyle w:val="13"/>
        <w:spacing w:line="446" w:lineRule="auto"/>
        <w:ind w:left="408" w:right="608" w:firstLine="420"/>
        <w:jc w:val="both"/>
        <w:rPr>
          <w:highlight w:val="none"/>
        </w:rPr>
      </w:pPr>
      <w:r>
        <w:rPr>
          <w:rFonts w:hint="eastAsia"/>
          <w:highlight w:val="none"/>
        </w:rPr>
        <w:t>以上企业，不属于大企业的分支机构，不存在控股股东为大企业的情形，也，不存在与大企业的负责人为同一人 的情</w:t>
      </w:r>
    </w:p>
    <w:p>
      <w:pPr>
        <w:pStyle w:val="13"/>
        <w:spacing w:line="446" w:lineRule="auto"/>
        <w:ind w:left="408" w:right="608" w:firstLine="420"/>
        <w:jc w:val="both"/>
        <w:rPr>
          <w:highlight w:val="none"/>
        </w:rPr>
      </w:pPr>
      <w:r>
        <w:rPr>
          <w:rFonts w:hint="eastAsia"/>
          <w:highlight w:val="none"/>
        </w:rPr>
        <w:t>形。</w:t>
      </w:r>
    </w:p>
    <w:p>
      <w:pPr>
        <w:pStyle w:val="13"/>
        <w:spacing w:line="446" w:lineRule="auto"/>
        <w:ind w:left="408" w:right="608" w:firstLine="420"/>
        <w:jc w:val="both"/>
        <w:rPr>
          <w:highlight w:val="none"/>
        </w:rPr>
      </w:pPr>
      <w:r>
        <w:rPr>
          <w:rFonts w:hint="eastAsia"/>
          <w:highlight w:val="none"/>
        </w:rPr>
        <w:t>本企业对上述声明内容的真实性负责。如有虚假，将依法承担相应责任。</w:t>
      </w:r>
    </w:p>
    <w:p>
      <w:pPr>
        <w:pStyle w:val="13"/>
        <w:spacing w:line="446" w:lineRule="auto"/>
        <w:ind w:left="408" w:right="608" w:firstLine="420"/>
        <w:jc w:val="center"/>
        <w:rPr>
          <w:highlight w:val="none"/>
        </w:rPr>
      </w:pPr>
      <w:r>
        <w:rPr>
          <w:rFonts w:hint="eastAsia"/>
          <w:highlight w:val="none"/>
        </w:rPr>
        <w:t>企业名称（盖章）∶</w:t>
      </w:r>
    </w:p>
    <w:p>
      <w:pPr>
        <w:pStyle w:val="13"/>
        <w:spacing w:line="446" w:lineRule="auto"/>
        <w:ind w:left="408" w:right="608" w:firstLine="420"/>
        <w:jc w:val="center"/>
        <w:rPr>
          <w:highlight w:val="none"/>
        </w:rPr>
      </w:pPr>
      <w:r>
        <w:rPr>
          <w:rFonts w:hint="eastAsia"/>
          <w:highlight w:val="none"/>
        </w:rPr>
        <w:t>日期∶</w:t>
      </w:r>
    </w:p>
    <w:p>
      <w:pPr>
        <w:rPr>
          <w:sz w:val="21"/>
          <w:szCs w:val="21"/>
          <w:highlight w:val="none"/>
          <w:u w:val="single"/>
          <w:lang w:val="en-US"/>
        </w:rPr>
      </w:pPr>
    </w:p>
    <w:p>
      <w:pPr>
        <w:rPr>
          <w:sz w:val="21"/>
          <w:szCs w:val="21"/>
          <w:highlight w:val="none"/>
          <w:u w:val="single"/>
          <w:lang w:val="en-US"/>
        </w:rPr>
      </w:pPr>
    </w:p>
    <w:p>
      <w:pPr>
        <w:rPr>
          <w:sz w:val="21"/>
          <w:szCs w:val="21"/>
          <w:highlight w:val="none"/>
          <w:u w:val="single"/>
          <w:lang w:val="en-US"/>
        </w:rPr>
      </w:pPr>
    </w:p>
    <w:p>
      <w:pPr>
        <w:rPr>
          <w:sz w:val="21"/>
          <w:szCs w:val="21"/>
          <w:highlight w:val="none"/>
          <w:u w:val="single"/>
          <w:lang w:val="en-US"/>
        </w:rPr>
      </w:pPr>
    </w:p>
    <w:p>
      <w:pPr>
        <w:rPr>
          <w:sz w:val="21"/>
          <w:szCs w:val="21"/>
          <w:highlight w:val="none"/>
          <w:u w:val="single"/>
          <w:lang w:val="en-US"/>
        </w:rPr>
      </w:pPr>
    </w:p>
    <w:p>
      <w:pPr>
        <w:rPr>
          <w:sz w:val="21"/>
          <w:szCs w:val="21"/>
          <w:highlight w:val="none"/>
          <w:u w:val="single"/>
          <w:lang w:val="en-US"/>
        </w:rPr>
      </w:pPr>
    </w:p>
    <w:p>
      <w:pPr>
        <w:rPr>
          <w:sz w:val="21"/>
          <w:szCs w:val="21"/>
          <w:highlight w:val="none"/>
          <w:lang w:val="en-US"/>
        </w:rPr>
      </w:pPr>
    </w:p>
    <w:p>
      <w:pPr>
        <w:rPr>
          <w:sz w:val="21"/>
          <w:szCs w:val="21"/>
          <w:highlight w:val="none"/>
        </w:rPr>
      </w:pPr>
      <w:r>
        <w:rPr>
          <w:rFonts w:hint="eastAsia"/>
          <w:sz w:val="21"/>
          <w:szCs w:val="21"/>
          <w:highlight w:val="none"/>
        </w:rPr>
        <w:t>'从业人员、营业收入、资产总额填报上一年度数据，无上一年度数据的新成立企业可不填报。</w:t>
      </w:r>
    </w:p>
    <w:p>
      <w:pPr>
        <w:pStyle w:val="25"/>
        <w:ind w:left="440"/>
        <w:rPr>
          <w:rFonts w:ascii="宋体" w:hAnsi="宋体"/>
          <w:highlight w:val="none"/>
        </w:rPr>
        <w:sectPr>
          <w:headerReference r:id="rId16" w:type="default"/>
          <w:pgSz w:w="11910" w:h="16840"/>
          <w:pgMar w:top="1360" w:right="920" w:bottom="1040" w:left="1180" w:header="880" w:footer="852" w:gutter="0"/>
          <w:cols w:space="720" w:num="1"/>
        </w:sectPr>
      </w:pPr>
    </w:p>
    <w:p>
      <w:pPr>
        <w:pStyle w:val="13"/>
        <w:spacing w:before="4"/>
        <w:rPr>
          <w:sz w:val="12"/>
          <w:highlight w:val="none"/>
        </w:rPr>
      </w:pPr>
    </w:p>
    <w:p>
      <w:pPr>
        <w:pStyle w:val="6"/>
        <w:spacing w:before="61" w:line="384" w:lineRule="auto"/>
        <w:ind w:left="2271" w:right="2473"/>
        <w:rPr>
          <w:b w:val="0"/>
          <w:sz w:val="24"/>
          <w:highlight w:val="none"/>
        </w:rPr>
      </w:pPr>
      <w:r>
        <w:rPr>
          <w:rFonts w:hint="eastAsia"/>
          <w:w w:val="95"/>
          <w:highlight w:val="none"/>
        </w:rPr>
        <w:t>监狱企业声明函及其相关充分的证明材料</w:t>
      </w:r>
      <w:r>
        <w:rPr>
          <w:rFonts w:hint="eastAsia"/>
          <w:highlight w:val="none"/>
        </w:rPr>
        <w:t>监狱企业声明函</w:t>
      </w:r>
      <w:r>
        <w:rPr>
          <w:rFonts w:hint="eastAsia"/>
          <w:b w:val="0"/>
          <w:sz w:val="24"/>
          <w:highlight w:val="none"/>
        </w:rPr>
        <w:t>（如有）</w:t>
      </w:r>
    </w:p>
    <w:p>
      <w:pPr>
        <w:pStyle w:val="13"/>
        <w:spacing w:before="43"/>
        <w:ind w:left="49" w:right="253"/>
        <w:jc w:val="center"/>
        <w:rPr>
          <w:highlight w:val="none"/>
        </w:rPr>
      </w:pPr>
      <w:r>
        <w:rPr>
          <w:rFonts w:hint="eastAsia"/>
          <w:highlight w:val="none"/>
        </w:rPr>
        <w:t>【不属于监狱企业的无需填写、递交】</w:t>
      </w:r>
    </w:p>
    <w:p>
      <w:pPr>
        <w:pStyle w:val="13"/>
        <w:spacing w:before="7"/>
        <w:rPr>
          <w:sz w:val="23"/>
          <w:highlight w:val="none"/>
        </w:rPr>
      </w:pPr>
    </w:p>
    <w:p>
      <w:pPr>
        <w:pStyle w:val="13"/>
        <w:spacing w:before="1" w:line="511" w:lineRule="auto"/>
        <w:ind w:left="408" w:right="607" w:firstLine="420"/>
        <w:rPr>
          <w:highlight w:val="none"/>
        </w:rPr>
      </w:pPr>
      <w:r>
        <w:rPr>
          <w:rFonts w:hint="eastAsia"/>
          <w:spacing w:val="-11"/>
          <w:highlight w:val="none"/>
        </w:rPr>
        <w:t xml:space="preserve">本公司郑重声明，根据《关于政府采购支持监狱企业发展有关问题的通知》 </w:t>
      </w:r>
      <w:r>
        <w:rPr>
          <w:rFonts w:hint="eastAsia"/>
          <w:highlight w:val="none"/>
        </w:rPr>
        <w:t>（财库[2014]68 号）的规定，本公司为</w:t>
      </w:r>
      <w:r>
        <w:rPr>
          <w:rFonts w:hint="eastAsia"/>
          <w:highlight w:val="none"/>
          <w:u w:val="single"/>
        </w:rPr>
        <w:t>监狱企业</w:t>
      </w:r>
      <w:r>
        <w:rPr>
          <w:rFonts w:hint="eastAsia"/>
          <w:highlight w:val="none"/>
        </w:rPr>
        <w:t>。</w:t>
      </w:r>
    </w:p>
    <w:p>
      <w:pPr>
        <w:pStyle w:val="13"/>
        <w:tabs>
          <w:tab w:val="left" w:pos="7023"/>
        </w:tabs>
        <w:spacing w:before="1"/>
        <w:ind w:left="828"/>
        <w:rPr>
          <w:highlight w:val="none"/>
        </w:rPr>
      </w:pPr>
      <w:r>
        <w:rPr>
          <w:rFonts w:hint="eastAsia"/>
          <w:highlight w:val="none"/>
        </w:rPr>
        <w:t>根据上述标准，我公司属于监狱企业的理由为：</w:t>
      </w:r>
      <w:r>
        <w:rPr>
          <w:rFonts w:hint="eastAsia"/>
          <w:highlight w:val="none"/>
          <w:u w:val="single"/>
        </w:rPr>
        <w:tab/>
      </w:r>
      <w:r>
        <w:rPr>
          <w:rFonts w:hint="eastAsia"/>
          <w:highlight w:val="none"/>
        </w:rPr>
        <w:t>。</w:t>
      </w:r>
    </w:p>
    <w:p>
      <w:pPr>
        <w:pStyle w:val="13"/>
        <w:spacing w:before="9"/>
        <w:rPr>
          <w:sz w:val="23"/>
          <w:highlight w:val="none"/>
        </w:rPr>
      </w:pPr>
    </w:p>
    <w:p>
      <w:pPr>
        <w:pStyle w:val="13"/>
        <w:tabs>
          <w:tab w:val="left" w:pos="4702"/>
          <w:tab w:val="left" w:pos="7102"/>
        </w:tabs>
        <w:spacing w:line="508" w:lineRule="auto"/>
        <w:ind w:left="408" w:right="608" w:firstLine="420"/>
        <w:rPr>
          <w:highlight w:val="none"/>
        </w:rPr>
      </w:pPr>
      <w:r>
        <w:rPr>
          <w:rFonts w:hint="eastAsia"/>
          <w:highlight w:val="none"/>
        </w:rPr>
        <w:t>本公司为参</w:t>
      </w:r>
      <w:r>
        <w:rPr>
          <w:rFonts w:hint="eastAsia"/>
          <w:spacing w:val="-5"/>
          <w:highlight w:val="none"/>
        </w:rPr>
        <w:t>加</w:t>
      </w:r>
      <w:r>
        <w:rPr>
          <w:rFonts w:hint="eastAsia"/>
          <w:highlight w:val="none"/>
        </w:rPr>
        <w:t>（项目名称</w:t>
      </w:r>
      <w:r>
        <w:rPr>
          <w:rFonts w:hint="eastAsia"/>
          <w:spacing w:val="-6"/>
          <w:highlight w:val="none"/>
        </w:rPr>
        <w:t>：</w:t>
      </w:r>
      <w:r>
        <w:rPr>
          <w:rFonts w:hint="eastAsia"/>
          <w:spacing w:val="-6"/>
          <w:highlight w:val="none"/>
          <w:u w:val="single"/>
        </w:rPr>
        <w:tab/>
      </w:r>
      <w:r>
        <w:rPr>
          <w:rFonts w:hint="eastAsia"/>
          <w:spacing w:val="-5"/>
          <w:highlight w:val="none"/>
        </w:rPr>
        <w:t>）（</w:t>
      </w:r>
      <w:r>
        <w:rPr>
          <w:rFonts w:hint="eastAsia"/>
          <w:highlight w:val="none"/>
        </w:rPr>
        <w:t>项目编号</w:t>
      </w:r>
      <w:r>
        <w:rPr>
          <w:rFonts w:hint="eastAsia"/>
          <w:spacing w:val="-6"/>
          <w:highlight w:val="none"/>
        </w:rPr>
        <w:t>：</w:t>
      </w:r>
      <w:r>
        <w:rPr>
          <w:rFonts w:hint="eastAsia"/>
          <w:spacing w:val="-6"/>
          <w:highlight w:val="none"/>
          <w:u w:val="single"/>
        </w:rPr>
        <w:tab/>
      </w:r>
      <w:r>
        <w:rPr>
          <w:rFonts w:hint="eastAsia"/>
          <w:spacing w:val="-5"/>
          <w:highlight w:val="none"/>
        </w:rPr>
        <w:t>）</w:t>
      </w:r>
      <w:r>
        <w:rPr>
          <w:rFonts w:hint="eastAsia"/>
          <w:highlight w:val="none"/>
        </w:rPr>
        <w:t>采购活动提供本企</w:t>
      </w:r>
      <w:r>
        <w:rPr>
          <w:rFonts w:hint="eastAsia"/>
          <w:spacing w:val="-13"/>
          <w:highlight w:val="none"/>
        </w:rPr>
        <w:t>业</w:t>
      </w:r>
      <w:r>
        <w:rPr>
          <w:rFonts w:hint="eastAsia"/>
          <w:highlight w:val="none"/>
        </w:rPr>
        <w:t>制造的货物。</w:t>
      </w:r>
    </w:p>
    <w:p>
      <w:pPr>
        <w:pStyle w:val="13"/>
        <w:spacing w:before="4"/>
        <w:ind w:left="828"/>
        <w:rPr>
          <w:highlight w:val="none"/>
        </w:rPr>
      </w:pPr>
      <w:r>
        <w:rPr>
          <w:rFonts w:hint="eastAsia"/>
          <w:highlight w:val="none"/>
        </w:rPr>
        <w:t>本公司对上述声明的真实性负责。如有虚假，将依法承担相应责任。</w:t>
      </w:r>
    </w:p>
    <w:p>
      <w:pPr>
        <w:pStyle w:val="13"/>
        <w:spacing w:before="10"/>
        <w:rPr>
          <w:sz w:val="23"/>
          <w:highlight w:val="none"/>
        </w:rPr>
      </w:pPr>
    </w:p>
    <w:p>
      <w:pPr>
        <w:pStyle w:val="13"/>
        <w:ind w:left="5379"/>
        <w:rPr>
          <w:highlight w:val="none"/>
        </w:rPr>
      </w:pPr>
      <w:r>
        <w:rPr>
          <w:rFonts w:hint="eastAsia"/>
          <w:highlight w:val="none"/>
        </w:rPr>
        <w:t>供应商名称(公章)：</w:t>
      </w:r>
    </w:p>
    <w:p>
      <w:pPr>
        <w:pStyle w:val="13"/>
        <w:spacing w:before="10"/>
        <w:rPr>
          <w:sz w:val="23"/>
          <w:highlight w:val="none"/>
        </w:rPr>
      </w:pPr>
    </w:p>
    <w:p>
      <w:pPr>
        <w:pStyle w:val="13"/>
        <w:spacing w:line="508" w:lineRule="auto"/>
        <w:ind w:left="5448" w:right="2046"/>
        <w:rPr>
          <w:highlight w:val="none"/>
        </w:rPr>
      </w:pPr>
      <w:r>
        <w:rPr>
          <w:rFonts w:hint="eastAsia"/>
          <w:highlight w:val="none"/>
        </w:rPr>
        <w:t>投标方代表签字或盖章： 日期： 年 月 日</w:t>
      </w:r>
    </w:p>
    <w:p>
      <w:pPr>
        <w:pStyle w:val="13"/>
        <w:rPr>
          <w:sz w:val="20"/>
          <w:highlight w:val="none"/>
        </w:rPr>
      </w:pPr>
    </w:p>
    <w:p>
      <w:pPr>
        <w:pStyle w:val="13"/>
        <w:spacing w:before="1"/>
        <w:rPr>
          <w:sz w:val="25"/>
          <w:highlight w:val="none"/>
        </w:rPr>
      </w:pPr>
    </w:p>
    <w:p>
      <w:pPr>
        <w:pStyle w:val="13"/>
        <w:spacing w:line="511" w:lineRule="auto"/>
        <w:ind w:left="408" w:right="608"/>
        <w:rPr>
          <w:highlight w:val="none"/>
        </w:rPr>
      </w:pPr>
      <w:r>
        <w:rPr>
          <w:rFonts w:hint="eastAsia"/>
          <w:highlight w:val="none"/>
        </w:rPr>
        <w:t>注：提供由省级以上监狱管理局、戒毒管理局（含新疆生产建设兵团）出具的属于监狱企业的证明文件。</w:t>
      </w:r>
    </w:p>
    <w:p>
      <w:pPr>
        <w:spacing w:line="511" w:lineRule="auto"/>
        <w:rPr>
          <w:highlight w:val="none"/>
        </w:rPr>
        <w:sectPr>
          <w:pgSz w:w="11910" w:h="16840"/>
          <w:pgMar w:top="1360" w:right="920" w:bottom="1040" w:left="1180" w:header="880" w:footer="852" w:gutter="0"/>
          <w:cols w:space="720" w:num="1"/>
        </w:sectPr>
      </w:pPr>
    </w:p>
    <w:p>
      <w:pPr>
        <w:pStyle w:val="13"/>
        <w:spacing w:before="9"/>
        <w:rPr>
          <w:sz w:val="9"/>
          <w:highlight w:val="none"/>
        </w:rPr>
      </w:pPr>
    </w:p>
    <w:p>
      <w:pPr>
        <w:pStyle w:val="6"/>
        <w:spacing w:before="61"/>
        <w:ind w:left="408" w:right="0"/>
        <w:jc w:val="left"/>
        <w:rPr>
          <w:highlight w:val="none"/>
        </w:rPr>
      </w:pPr>
      <w:r>
        <w:rPr>
          <w:rFonts w:hint="eastAsia"/>
          <w:highlight w:val="none"/>
        </w:rPr>
        <w:t>外包装封面格式（备份纸质投标文件）：</w:t>
      </w:r>
    </w:p>
    <w:p>
      <w:pPr>
        <w:pStyle w:val="13"/>
        <w:rPr>
          <w:b/>
          <w:sz w:val="28"/>
          <w:highlight w:val="none"/>
        </w:rPr>
      </w:pPr>
    </w:p>
    <w:p>
      <w:pPr>
        <w:pStyle w:val="13"/>
        <w:rPr>
          <w:b/>
          <w:sz w:val="28"/>
          <w:highlight w:val="none"/>
        </w:rPr>
      </w:pPr>
    </w:p>
    <w:p>
      <w:pPr>
        <w:pStyle w:val="13"/>
        <w:rPr>
          <w:b/>
          <w:sz w:val="28"/>
          <w:highlight w:val="none"/>
        </w:rPr>
      </w:pPr>
    </w:p>
    <w:p>
      <w:pPr>
        <w:pStyle w:val="13"/>
        <w:spacing w:before="10"/>
        <w:rPr>
          <w:b/>
          <w:sz w:val="25"/>
          <w:highlight w:val="none"/>
        </w:rPr>
      </w:pPr>
    </w:p>
    <w:p>
      <w:pPr>
        <w:ind w:left="49" w:right="244"/>
        <w:jc w:val="center"/>
        <w:rPr>
          <w:b/>
          <w:sz w:val="48"/>
          <w:highlight w:val="none"/>
        </w:rPr>
      </w:pPr>
      <w:r>
        <w:rPr>
          <w:rFonts w:hint="eastAsia"/>
          <w:b/>
          <w:sz w:val="48"/>
          <w:highlight w:val="none"/>
        </w:rPr>
        <w:t>兰溪市综合交通“十四五”规划落地方案</w:t>
      </w:r>
    </w:p>
    <w:p>
      <w:pPr>
        <w:pStyle w:val="13"/>
        <w:rPr>
          <w:b/>
          <w:sz w:val="48"/>
          <w:highlight w:val="none"/>
        </w:rPr>
      </w:pPr>
    </w:p>
    <w:p>
      <w:pPr>
        <w:spacing w:before="314"/>
        <w:ind w:left="49" w:right="251"/>
        <w:jc w:val="center"/>
        <w:rPr>
          <w:b/>
          <w:sz w:val="72"/>
          <w:highlight w:val="none"/>
        </w:rPr>
      </w:pPr>
      <w:r>
        <w:rPr>
          <w:rFonts w:hint="eastAsia"/>
          <w:b/>
          <w:sz w:val="72"/>
          <w:highlight w:val="none"/>
        </w:rPr>
        <w:t>投标文件</w:t>
      </w:r>
    </w:p>
    <w:p>
      <w:pPr>
        <w:pStyle w:val="13"/>
        <w:spacing w:before="8"/>
        <w:rPr>
          <w:b/>
          <w:sz w:val="98"/>
          <w:highlight w:val="none"/>
        </w:rPr>
      </w:pPr>
    </w:p>
    <w:p>
      <w:pPr>
        <w:spacing w:line="242" w:lineRule="auto"/>
        <w:ind w:left="648" w:right="844"/>
        <w:jc w:val="center"/>
        <w:rPr>
          <w:b/>
          <w:sz w:val="72"/>
          <w:highlight w:val="none"/>
        </w:rPr>
      </w:pPr>
      <w:r>
        <w:rPr>
          <w:rFonts w:hint="eastAsia"/>
          <w:b/>
          <w:w w:val="95"/>
          <w:sz w:val="72"/>
          <w:highlight w:val="none"/>
        </w:rPr>
        <w:t>（资格证明文件/</w:t>
      </w:r>
      <w:r>
        <w:rPr>
          <w:rFonts w:hint="eastAsia"/>
          <w:b/>
          <w:w w:val="95"/>
          <w:sz w:val="72"/>
          <w:highlight w:val="none"/>
          <w:lang w:eastAsia="zh-CN"/>
        </w:rPr>
        <w:t>技术资信标</w:t>
      </w:r>
      <w:r>
        <w:rPr>
          <w:rFonts w:hint="eastAsia"/>
          <w:b/>
          <w:sz w:val="72"/>
          <w:highlight w:val="none"/>
        </w:rPr>
        <w:t>/价格标）</w:t>
      </w:r>
    </w:p>
    <w:p>
      <w:pPr>
        <w:pStyle w:val="13"/>
        <w:rPr>
          <w:b/>
          <w:sz w:val="72"/>
          <w:highlight w:val="none"/>
        </w:rPr>
      </w:pPr>
    </w:p>
    <w:p>
      <w:pPr>
        <w:pStyle w:val="13"/>
        <w:spacing w:before="4"/>
        <w:rPr>
          <w:b/>
          <w:sz w:val="99"/>
          <w:highlight w:val="none"/>
        </w:rPr>
      </w:pPr>
    </w:p>
    <w:p>
      <w:pPr>
        <w:pStyle w:val="5"/>
        <w:ind w:left="1308"/>
        <w:rPr>
          <w:highlight w:val="none"/>
        </w:rPr>
      </w:pPr>
      <w:r>
        <w:rPr>
          <w:rFonts w:hint="eastAsia"/>
          <w:highlight w:val="none"/>
        </w:rPr>
        <w:t>项目编号：</w:t>
      </w:r>
    </w:p>
    <w:p>
      <w:pPr>
        <w:pStyle w:val="5"/>
        <w:spacing w:before="55"/>
        <w:ind w:left="1308"/>
        <w:rPr>
          <w:highlight w:val="none"/>
        </w:rPr>
      </w:pPr>
      <w:r>
        <w:rPr>
          <w:rFonts w:hint="eastAsia"/>
          <w:highlight w:val="none"/>
        </w:rPr>
        <w:t>投标人全称（公章）：</w:t>
      </w:r>
    </w:p>
    <w:p>
      <w:pPr>
        <w:pStyle w:val="5"/>
        <w:spacing w:before="55" w:line="273" w:lineRule="auto"/>
        <w:ind w:left="1308" w:right="3395"/>
        <w:rPr>
          <w:highlight w:val="none"/>
        </w:rPr>
      </w:pPr>
      <w:r>
        <w:rPr>
          <w:rFonts w:hint="eastAsia"/>
          <w:highlight w:val="none"/>
        </w:rPr>
        <w:t>法定代表人或委托代表人签字或盖章： 投标人地址：</w:t>
      </w:r>
    </w:p>
    <w:p>
      <w:pPr>
        <w:pStyle w:val="5"/>
        <w:spacing w:before="2"/>
        <w:ind w:left="1308"/>
        <w:rPr>
          <w:highlight w:val="none"/>
        </w:rPr>
      </w:pPr>
      <w:r>
        <w:rPr>
          <w:rFonts w:hint="eastAsia"/>
          <w:highlight w:val="none"/>
        </w:rPr>
        <w:t>联系电话：</w:t>
      </w:r>
    </w:p>
    <w:p>
      <w:pPr>
        <w:pStyle w:val="13"/>
        <w:rPr>
          <w:sz w:val="30"/>
          <w:highlight w:val="none"/>
        </w:rPr>
      </w:pPr>
    </w:p>
    <w:p>
      <w:pPr>
        <w:pStyle w:val="13"/>
        <w:spacing w:before="3"/>
        <w:rPr>
          <w:sz w:val="27"/>
          <w:highlight w:val="none"/>
        </w:rPr>
      </w:pPr>
    </w:p>
    <w:p>
      <w:pPr>
        <w:pStyle w:val="5"/>
        <w:tabs>
          <w:tab w:val="left" w:pos="1341"/>
          <w:tab w:val="left" w:pos="2089"/>
          <w:tab w:val="left" w:pos="2689"/>
          <w:tab w:val="left" w:pos="3289"/>
          <w:tab w:val="left" w:pos="4189"/>
        </w:tabs>
        <w:ind w:left="590"/>
        <w:jc w:val="center"/>
        <w:rPr>
          <w:highlight w:val="none"/>
        </w:rPr>
      </w:pPr>
      <w:r>
        <w:rPr>
          <w:rFonts w:hint="eastAsia"/>
          <w:highlight w:val="none"/>
        </w:rPr>
        <w:t>在</w:t>
      </w:r>
      <w:r>
        <w:rPr>
          <w:rFonts w:hint="eastAsia"/>
          <w:highlight w:val="none"/>
        </w:rPr>
        <w:tab/>
      </w:r>
      <w:r>
        <w:rPr>
          <w:rFonts w:hint="eastAsia"/>
          <w:highlight w:val="none"/>
        </w:rPr>
        <w:t>年</w:t>
      </w:r>
      <w:r>
        <w:rPr>
          <w:rFonts w:hint="eastAsia"/>
          <w:highlight w:val="none"/>
        </w:rPr>
        <w:tab/>
      </w:r>
      <w:r>
        <w:rPr>
          <w:rFonts w:hint="eastAsia"/>
          <w:highlight w:val="none"/>
        </w:rPr>
        <w:t>月</w:t>
      </w:r>
      <w:r>
        <w:rPr>
          <w:rFonts w:hint="eastAsia"/>
          <w:highlight w:val="none"/>
        </w:rPr>
        <w:tab/>
      </w:r>
      <w:r>
        <w:rPr>
          <w:rFonts w:hint="eastAsia"/>
          <w:highlight w:val="none"/>
        </w:rPr>
        <w:t>日</w:t>
      </w:r>
      <w:r>
        <w:rPr>
          <w:rFonts w:hint="eastAsia"/>
          <w:highlight w:val="none"/>
        </w:rPr>
        <w:tab/>
      </w:r>
      <w:r>
        <w:rPr>
          <w:rFonts w:hint="eastAsia"/>
          <w:highlight w:val="none"/>
        </w:rPr>
        <w:t>时</w:t>
      </w:r>
      <w:r>
        <w:rPr>
          <w:rFonts w:hint="eastAsia"/>
          <w:highlight w:val="none"/>
        </w:rPr>
        <w:tab/>
      </w:r>
      <w:r>
        <w:rPr>
          <w:rFonts w:hint="eastAsia"/>
          <w:highlight w:val="none"/>
        </w:rPr>
        <w:t>分之前不得启封</w:t>
      </w:r>
    </w:p>
    <w:p>
      <w:pPr>
        <w:jc w:val="center"/>
        <w:rPr>
          <w:highlight w:val="none"/>
        </w:rPr>
        <w:sectPr>
          <w:footerReference r:id="rId17" w:type="default"/>
          <w:pgSz w:w="11910" w:h="16840"/>
          <w:pgMar w:top="1360" w:right="920" w:bottom="1040" w:left="1180" w:header="880" w:footer="852" w:gutter="0"/>
          <w:cols w:space="720" w:num="1"/>
        </w:sectPr>
      </w:pPr>
    </w:p>
    <w:p>
      <w:pPr>
        <w:pStyle w:val="7"/>
        <w:spacing w:before="123"/>
        <w:ind w:left="49" w:right="6810"/>
        <w:jc w:val="center"/>
        <w:rPr>
          <w:highlight w:val="none"/>
        </w:rPr>
      </w:pPr>
      <w:r>
        <w:rPr>
          <w:rFonts w:hint="eastAsia"/>
          <w:highlight w:val="none"/>
        </w:rPr>
        <w:t>附件一：</w:t>
      </w:r>
    </w:p>
    <w:p>
      <w:pPr>
        <w:pStyle w:val="6"/>
        <w:spacing w:before="25"/>
        <w:ind w:right="354"/>
        <w:rPr>
          <w:highlight w:val="none"/>
        </w:rPr>
      </w:pPr>
      <w:r>
        <w:rPr>
          <w:rFonts w:hint="eastAsia"/>
          <w:highlight w:val="none"/>
        </w:rPr>
        <w:t>快递单格式</w:t>
      </w:r>
    </w:p>
    <w:p>
      <w:pPr>
        <w:pStyle w:val="13"/>
        <w:rPr>
          <w:b/>
          <w:sz w:val="20"/>
          <w:highlight w:val="none"/>
        </w:rPr>
      </w:pPr>
    </w:p>
    <w:p>
      <w:pPr>
        <w:pStyle w:val="13"/>
        <w:rPr>
          <w:b/>
          <w:sz w:val="20"/>
          <w:highlight w:val="none"/>
        </w:rPr>
      </w:pPr>
    </w:p>
    <w:p>
      <w:pPr>
        <w:pStyle w:val="13"/>
        <w:spacing w:before="3"/>
        <w:rPr>
          <w:b/>
          <w:sz w:val="25"/>
          <w:highlight w:val="none"/>
        </w:rPr>
      </w:pPr>
    </w:p>
    <w:p>
      <w:pPr>
        <w:pStyle w:val="7"/>
        <w:tabs>
          <w:tab w:val="left" w:pos="4085"/>
        </w:tabs>
        <w:spacing w:before="71"/>
        <w:ind w:left="960"/>
        <w:rPr>
          <w:highlight w:val="none"/>
        </w:rPr>
      </w:pPr>
      <w:r>
        <w:rPr>
          <w:rFonts w:hint="eastAsia"/>
          <w:highlight w:val="none"/>
        </w:rPr>
        <w:t>寄</w:t>
      </w:r>
      <w:r>
        <w:rPr>
          <w:rFonts w:hint="eastAsia"/>
          <w:spacing w:val="-3"/>
          <w:highlight w:val="none"/>
        </w:rPr>
        <w:t>件</w:t>
      </w:r>
      <w:r>
        <w:rPr>
          <w:rFonts w:hint="eastAsia"/>
          <w:highlight w:val="none"/>
        </w:rPr>
        <w:t>人：XXX</w:t>
      </w:r>
      <w:r>
        <w:rPr>
          <w:rFonts w:hint="eastAsia"/>
          <w:highlight w:val="none"/>
        </w:rPr>
        <w:tab/>
      </w:r>
      <w:r>
        <w:rPr>
          <w:rFonts w:hint="eastAsia"/>
          <w:highlight w:val="none"/>
        </w:rPr>
        <w:t>手</w:t>
      </w:r>
      <w:r>
        <w:rPr>
          <w:rFonts w:hint="eastAsia"/>
          <w:spacing w:val="-3"/>
          <w:highlight w:val="none"/>
        </w:rPr>
        <w:t>机</w:t>
      </w:r>
      <w:r>
        <w:rPr>
          <w:rFonts w:hint="eastAsia"/>
          <w:highlight w:val="none"/>
        </w:rPr>
        <w:t>：XXXXXX XXXXX</w:t>
      </w:r>
    </w:p>
    <w:p>
      <w:pPr>
        <w:pStyle w:val="7"/>
        <w:spacing w:before="22" w:line="254" w:lineRule="auto"/>
        <w:ind w:left="960" w:right="1904"/>
        <w:rPr>
          <w:highlight w:val="none"/>
        </w:rPr>
      </w:pPr>
      <w:r>
        <w:rPr>
          <w:rFonts w:hint="eastAsia"/>
          <w:highlight w:val="none"/>
        </w:rPr>
        <w:t>寄件单位: （不得填写，快递外壳不得显示投标人名称） 寄件地址：XXXXXXXX</w:t>
      </w:r>
    </w:p>
    <w:p>
      <w:pPr>
        <w:pStyle w:val="13"/>
        <w:spacing w:before="7"/>
        <w:rPr>
          <w:sz w:val="33"/>
          <w:highlight w:val="none"/>
        </w:rPr>
      </w:pPr>
    </w:p>
    <w:p>
      <w:pPr>
        <w:pStyle w:val="7"/>
        <w:tabs>
          <w:tab w:val="left" w:pos="3480"/>
        </w:tabs>
        <w:spacing w:before="1" w:line="254" w:lineRule="auto"/>
        <w:ind w:left="960" w:right="2770"/>
        <w:rPr>
          <w:spacing w:val="-1"/>
          <w:highlight w:val="none"/>
          <w:lang w:val="en-US"/>
        </w:rPr>
      </w:pPr>
      <w:r>
        <w:rPr>
          <w:rFonts w:hint="eastAsia"/>
          <w:highlight w:val="none"/>
        </w:rPr>
        <w:t>收</w:t>
      </w:r>
      <w:r>
        <w:rPr>
          <w:rFonts w:hint="eastAsia"/>
          <w:spacing w:val="-3"/>
          <w:highlight w:val="none"/>
        </w:rPr>
        <w:t>件</w:t>
      </w:r>
      <w:r>
        <w:rPr>
          <w:rFonts w:hint="eastAsia"/>
          <w:highlight w:val="none"/>
        </w:rPr>
        <w:t>人：</w:t>
      </w:r>
      <w:r>
        <w:rPr>
          <w:rFonts w:hint="eastAsia"/>
          <w:spacing w:val="-3"/>
          <w:highlight w:val="none"/>
          <w:lang w:val="en-US"/>
        </w:rPr>
        <w:t>徐女士</w:t>
      </w:r>
      <w:r>
        <w:rPr>
          <w:rFonts w:hint="eastAsia"/>
          <w:highlight w:val="none"/>
        </w:rPr>
        <w:tab/>
      </w:r>
      <w:r>
        <w:rPr>
          <w:rFonts w:hint="eastAsia"/>
          <w:spacing w:val="-1"/>
          <w:highlight w:val="none"/>
        </w:rPr>
        <w:t>联</w:t>
      </w:r>
      <w:r>
        <w:rPr>
          <w:rFonts w:hint="eastAsia"/>
          <w:spacing w:val="-3"/>
          <w:highlight w:val="none"/>
        </w:rPr>
        <w:t>系</w:t>
      </w:r>
      <w:r>
        <w:rPr>
          <w:rFonts w:hint="eastAsia"/>
          <w:spacing w:val="-1"/>
          <w:highlight w:val="none"/>
        </w:rPr>
        <w:t>电话：</w:t>
      </w:r>
      <w:r>
        <w:rPr>
          <w:rFonts w:hint="eastAsia"/>
          <w:spacing w:val="-1"/>
          <w:highlight w:val="none"/>
          <w:lang w:val="en-US"/>
        </w:rPr>
        <w:t>15727927561</w:t>
      </w:r>
    </w:p>
    <w:p>
      <w:pPr>
        <w:pStyle w:val="7"/>
        <w:tabs>
          <w:tab w:val="left" w:pos="3480"/>
        </w:tabs>
        <w:spacing w:before="1" w:line="254" w:lineRule="auto"/>
        <w:ind w:left="960" w:right="2770"/>
        <w:rPr>
          <w:highlight w:val="none"/>
        </w:rPr>
      </w:pPr>
      <w:r>
        <w:rPr>
          <w:rFonts w:hint="eastAsia"/>
          <w:highlight w:val="none"/>
        </w:rPr>
        <w:t>收</w:t>
      </w:r>
      <w:r>
        <w:rPr>
          <w:rFonts w:hint="eastAsia"/>
          <w:spacing w:val="-3"/>
          <w:highlight w:val="none"/>
        </w:rPr>
        <w:t>件</w:t>
      </w:r>
      <w:r>
        <w:rPr>
          <w:rFonts w:hint="eastAsia"/>
          <w:highlight w:val="none"/>
        </w:rPr>
        <w:t>单位</w:t>
      </w:r>
      <w:r>
        <w:rPr>
          <w:rFonts w:hint="eastAsia"/>
          <w:spacing w:val="-3"/>
          <w:highlight w:val="none"/>
        </w:rPr>
        <w:t>：</w:t>
      </w:r>
      <w:r>
        <w:rPr>
          <w:rFonts w:hint="eastAsia"/>
          <w:highlight w:val="none"/>
        </w:rPr>
        <w:t>浙江中信工程咨询有限公司</w:t>
      </w:r>
    </w:p>
    <w:p>
      <w:pPr>
        <w:pStyle w:val="7"/>
        <w:spacing w:before="2" w:line="573" w:lineRule="auto"/>
        <w:ind w:left="968" w:right="1230" w:hanging="8"/>
        <w:rPr>
          <w:highlight w:val="none"/>
          <w:lang w:val="en-US"/>
        </w:rPr>
      </w:pPr>
      <w:r>
        <w:rPr>
          <w:rFonts w:hint="eastAsia"/>
          <w:highlight w:val="none"/>
        </w:rPr>
        <w:t>收件地址：浙江省兰溪市</w:t>
      </w:r>
      <w:r>
        <w:rPr>
          <w:rFonts w:hint="eastAsia"/>
          <w:highlight w:val="none"/>
          <w:lang w:val="en-US"/>
        </w:rPr>
        <w:t>兰江街道同济路71号</w:t>
      </w:r>
    </w:p>
    <w:p>
      <w:pPr>
        <w:pStyle w:val="7"/>
        <w:spacing w:before="2" w:line="573" w:lineRule="auto"/>
        <w:ind w:left="968" w:right="2077" w:hanging="8"/>
        <w:rPr>
          <w:highlight w:val="none"/>
        </w:rPr>
      </w:pPr>
      <w:r>
        <w:rPr>
          <w:rFonts w:hint="eastAsia"/>
          <w:highlight w:val="none"/>
        </w:rPr>
        <w:t>备注：</w:t>
      </w:r>
      <w:r>
        <w:rPr>
          <w:rFonts w:hint="eastAsia"/>
          <w:highlight w:val="none"/>
          <w:u w:val="single"/>
        </w:rPr>
        <w:t>兰溪市综合交通“十四五”规划落地方案</w:t>
      </w:r>
      <w:r>
        <w:rPr>
          <w:rFonts w:hint="eastAsia"/>
          <w:highlight w:val="none"/>
        </w:rPr>
        <w:t>投标，请送至收件人亲收。</w:t>
      </w:r>
    </w:p>
    <w:p>
      <w:pPr>
        <w:spacing w:line="573" w:lineRule="auto"/>
        <w:rPr>
          <w:highlight w:val="none"/>
        </w:rPr>
        <w:sectPr>
          <w:pgSz w:w="11910" w:h="16840"/>
          <w:pgMar w:top="1360" w:right="920" w:bottom="1040" w:left="1180" w:header="880" w:footer="852" w:gutter="0"/>
          <w:cols w:space="720" w:num="1"/>
        </w:sectPr>
      </w:pPr>
    </w:p>
    <w:p>
      <w:pPr>
        <w:pStyle w:val="7"/>
        <w:spacing w:before="123"/>
        <w:ind w:left="49" w:right="6810"/>
        <w:jc w:val="center"/>
        <w:rPr>
          <w:highlight w:val="none"/>
        </w:rPr>
      </w:pPr>
      <w:r>
        <w:rPr>
          <w:rFonts w:hint="eastAsia"/>
          <w:highlight w:val="none"/>
        </w:rPr>
        <w:t>附件二：</w:t>
      </w:r>
    </w:p>
    <w:p>
      <w:pPr>
        <w:pStyle w:val="6"/>
        <w:spacing w:before="25"/>
        <w:ind w:left="1934" w:right="1678"/>
        <w:rPr>
          <w:highlight w:val="none"/>
        </w:rPr>
      </w:pPr>
      <w:r>
        <w:rPr>
          <w:rFonts w:hint="eastAsia"/>
          <w:highlight w:val="none"/>
        </w:rPr>
        <w:t>直接送达单格式</w:t>
      </w:r>
    </w:p>
    <w:p>
      <w:pPr>
        <w:pStyle w:val="13"/>
        <w:rPr>
          <w:b/>
          <w:sz w:val="20"/>
          <w:highlight w:val="none"/>
        </w:rPr>
      </w:pPr>
    </w:p>
    <w:p>
      <w:pPr>
        <w:pStyle w:val="13"/>
        <w:rPr>
          <w:b/>
          <w:sz w:val="20"/>
          <w:highlight w:val="none"/>
        </w:rPr>
      </w:pPr>
    </w:p>
    <w:p>
      <w:pPr>
        <w:pStyle w:val="13"/>
        <w:spacing w:before="11"/>
        <w:rPr>
          <w:b/>
          <w:sz w:val="15"/>
          <w:highlight w:val="none"/>
        </w:rPr>
      </w:pPr>
    </w:p>
    <w:p>
      <w:pPr>
        <w:pStyle w:val="7"/>
        <w:tabs>
          <w:tab w:val="left" w:pos="4085"/>
        </w:tabs>
        <w:spacing w:before="71"/>
        <w:ind w:left="960"/>
        <w:rPr>
          <w:highlight w:val="none"/>
        </w:rPr>
      </w:pPr>
      <w:r>
        <w:rPr>
          <w:rFonts w:hint="eastAsia"/>
          <w:highlight w:val="none"/>
        </w:rPr>
        <w:t>送</w:t>
      </w:r>
      <w:r>
        <w:rPr>
          <w:rFonts w:hint="eastAsia"/>
          <w:spacing w:val="-3"/>
          <w:highlight w:val="none"/>
        </w:rPr>
        <w:t>件</w:t>
      </w:r>
      <w:r>
        <w:rPr>
          <w:rFonts w:hint="eastAsia"/>
          <w:highlight w:val="none"/>
        </w:rPr>
        <w:t>人：XXX</w:t>
      </w:r>
      <w:r>
        <w:rPr>
          <w:rFonts w:hint="eastAsia"/>
          <w:highlight w:val="none"/>
        </w:rPr>
        <w:tab/>
      </w:r>
      <w:r>
        <w:rPr>
          <w:rFonts w:hint="eastAsia"/>
          <w:highlight w:val="none"/>
        </w:rPr>
        <w:t>手</w:t>
      </w:r>
      <w:r>
        <w:rPr>
          <w:rFonts w:hint="eastAsia"/>
          <w:spacing w:val="-3"/>
          <w:highlight w:val="none"/>
        </w:rPr>
        <w:t>机</w:t>
      </w:r>
      <w:r>
        <w:rPr>
          <w:rFonts w:hint="eastAsia"/>
          <w:highlight w:val="none"/>
        </w:rPr>
        <w:t>：XXXXXX XXXXX</w:t>
      </w:r>
    </w:p>
    <w:p>
      <w:pPr>
        <w:pStyle w:val="13"/>
        <w:rPr>
          <w:sz w:val="30"/>
          <w:highlight w:val="none"/>
        </w:rPr>
      </w:pPr>
    </w:p>
    <w:p>
      <w:pPr>
        <w:pStyle w:val="13"/>
        <w:rPr>
          <w:sz w:val="30"/>
          <w:highlight w:val="none"/>
        </w:rPr>
      </w:pPr>
    </w:p>
    <w:p>
      <w:pPr>
        <w:pStyle w:val="13"/>
        <w:rPr>
          <w:sz w:val="30"/>
          <w:highlight w:val="none"/>
        </w:rPr>
      </w:pPr>
    </w:p>
    <w:p>
      <w:pPr>
        <w:pStyle w:val="13"/>
        <w:spacing w:before="10"/>
        <w:rPr>
          <w:sz w:val="44"/>
          <w:highlight w:val="none"/>
        </w:rPr>
      </w:pPr>
    </w:p>
    <w:p>
      <w:pPr>
        <w:pStyle w:val="7"/>
        <w:tabs>
          <w:tab w:val="left" w:pos="3480"/>
        </w:tabs>
        <w:spacing w:before="0" w:line="254" w:lineRule="auto"/>
        <w:ind w:left="960" w:right="1010"/>
        <w:rPr>
          <w:spacing w:val="-1"/>
          <w:highlight w:val="none"/>
          <w:lang w:val="en-US"/>
        </w:rPr>
      </w:pPr>
      <w:r>
        <w:rPr>
          <w:rFonts w:hint="eastAsia"/>
          <w:highlight w:val="none"/>
        </w:rPr>
        <w:t>收</w:t>
      </w:r>
      <w:r>
        <w:rPr>
          <w:rFonts w:hint="eastAsia"/>
          <w:spacing w:val="-3"/>
          <w:highlight w:val="none"/>
        </w:rPr>
        <w:t>件</w:t>
      </w:r>
      <w:r>
        <w:rPr>
          <w:rFonts w:hint="eastAsia"/>
          <w:highlight w:val="none"/>
        </w:rPr>
        <w:t>人：</w:t>
      </w:r>
      <w:r>
        <w:rPr>
          <w:rFonts w:hint="eastAsia"/>
          <w:spacing w:val="-3"/>
          <w:highlight w:val="none"/>
          <w:lang w:val="en-US"/>
        </w:rPr>
        <w:t>徐女士</w:t>
      </w:r>
      <w:r>
        <w:rPr>
          <w:rFonts w:hint="eastAsia"/>
          <w:highlight w:val="none"/>
        </w:rPr>
        <w:tab/>
      </w:r>
      <w:r>
        <w:rPr>
          <w:rFonts w:hint="eastAsia"/>
          <w:spacing w:val="-1"/>
          <w:highlight w:val="none"/>
        </w:rPr>
        <w:t>联</w:t>
      </w:r>
      <w:r>
        <w:rPr>
          <w:rFonts w:hint="eastAsia"/>
          <w:spacing w:val="-3"/>
          <w:highlight w:val="none"/>
        </w:rPr>
        <w:t>系</w:t>
      </w:r>
      <w:r>
        <w:rPr>
          <w:rFonts w:hint="eastAsia"/>
          <w:spacing w:val="-1"/>
          <w:highlight w:val="none"/>
        </w:rPr>
        <w:t>电话：</w:t>
      </w:r>
      <w:r>
        <w:rPr>
          <w:rFonts w:hint="eastAsia"/>
          <w:spacing w:val="-1"/>
          <w:highlight w:val="none"/>
          <w:lang w:val="en-US"/>
        </w:rPr>
        <w:t>15727927561</w:t>
      </w:r>
    </w:p>
    <w:p>
      <w:pPr>
        <w:pStyle w:val="7"/>
        <w:tabs>
          <w:tab w:val="left" w:pos="3480"/>
        </w:tabs>
        <w:spacing w:before="0" w:line="254" w:lineRule="auto"/>
        <w:ind w:left="960" w:right="1010"/>
        <w:rPr>
          <w:highlight w:val="none"/>
        </w:rPr>
      </w:pPr>
      <w:r>
        <w:rPr>
          <w:rFonts w:hint="eastAsia"/>
          <w:highlight w:val="none"/>
        </w:rPr>
        <w:t>收</w:t>
      </w:r>
      <w:r>
        <w:rPr>
          <w:rFonts w:hint="eastAsia"/>
          <w:spacing w:val="-3"/>
          <w:highlight w:val="none"/>
        </w:rPr>
        <w:t>件</w:t>
      </w:r>
      <w:r>
        <w:rPr>
          <w:rFonts w:hint="eastAsia"/>
          <w:highlight w:val="none"/>
        </w:rPr>
        <w:t>单位</w:t>
      </w:r>
      <w:r>
        <w:rPr>
          <w:rFonts w:hint="eastAsia"/>
          <w:spacing w:val="-3"/>
          <w:highlight w:val="none"/>
        </w:rPr>
        <w:t>：</w:t>
      </w:r>
      <w:r>
        <w:rPr>
          <w:rFonts w:hint="eastAsia"/>
          <w:highlight w:val="none"/>
        </w:rPr>
        <w:t>浙江中信工程咨询有限公司</w:t>
      </w:r>
    </w:p>
    <w:p>
      <w:pPr>
        <w:pStyle w:val="7"/>
        <w:spacing w:before="3" w:line="576" w:lineRule="auto"/>
        <w:ind w:left="968" w:right="1010" w:hanging="8"/>
        <w:rPr>
          <w:highlight w:val="none"/>
          <w:lang w:val="en-US"/>
        </w:rPr>
      </w:pPr>
      <w:r>
        <w:rPr>
          <w:rFonts w:hint="eastAsia"/>
          <w:highlight w:val="none"/>
        </w:rPr>
        <w:t>收件地址：浙江省兰溪市</w:t>
      </w:r>
      <w:r>
        <w:rPr>
          <w:rFonts w:hint="eastAsia"/>
          <w:highlight w:val="none"/>
          <w:lang w:val="en-US"/>
        </w:rPr>
        <w:t>兰江街道同济路71号</w:t>
      </w:r>
    </w:p>
    <w:p>
      <w:pPr>
        <w:pStyle w:val="7"/>
        <w:spacing w:before="3" w:line="576" w:lineRule="auto"/>
        <w:ind w:left="968" w:right="1010" w:hanging="8"/>
        <w:rPr>
          <w:highlight w:val="none"/>
        </w:rPr>
      </w:pPr>
      <w:r>
        <w:rPr>
          <w:rFonts w:hint="eastAsia"/>
          <w:highlight w:val="none"/>
        </w:rPr>
        <w:t>备注：</w:t>
      </w:r>
      <w:r>
        <w:rPr>
          <w:rFonts w:hint="eastAsia"/>
          <w:highlight w:val="none"/>
          <w:u w:val="single"/>
        </w:rPr>
        <w:t>兰溪市综合交通“十四五”规划落地方案</w:t>
      </w:r>
      <w:r>
        <w:rPr>
          <w:rFonts w:hint="eastAsia"/>
          <w:highlight w:val="none"/>
        </w:rPr>
        <w:t>投标，请送至收件人亲收。</w:t>
      </w:r>
    </w:p>
    <w:p>
      <w:pPr>
        <w:spacing w:line="576" w:lineRule="auto"/>
        <w:rPr>
          <w:highlight w:val="none"/>
        </w:rPr>
        <w:sectPr>
          <w:pgSz w:w="11910" w:h="16840"/>
          <w:pgMar w:top="1360" w:right="920" w:bottom="1040" w:left="1180" w:header="880" w:footer="852" w:gutter="0"/>
          <w:cols w:space="720" w:num="1"/>
        </w:sectPr>
      </w:pPr>
    </w:p>
    <w:p>
      <w:pPr>
        <w:pStyle w:val="13"/>
        <w:spacing w:before="9"/>
        <w:rPr>
          <w:sz w:val="16"/>
          <w:highlight w:val="none"/>
        </w:rPr>
      </w:pPr>
    </w:p>
    <w:p>
      <w:pPr>
        <w:spacing w:before="50"/>
        <w:ind w:left="49" w:right="251"/>
        <w:jc w:val="center"/>
        <w:rPr>
          <w:sz w:val="36"/>
          <w:highlight w:val="none"/>
        </w:rPr>
      </w:pPr>
      <w:r>
        <w:rPr>
          <w:rFonts w:hint="eastAsia"/>
          <w:sz w:val="36"/>
          <w:highlight w:val="none"/>
        </w:rPr>
        <w:t>弃标确认函</w:t>
      </w:r>
    </w:p>
    <w:p>
      <w:pPr>
        <w:pStyle w:val="13"/>
        <w:rPr>
          <w:sz w:val="36"/>
          <w:highlight w:val="none"/>
        </w:rPr>
      </w:pPr>
    </w:p>
    <w:p>
      <w:pPr>
        <w:pStyle w:val="7"/>
        <w:spacing w:before="300"/>
        <w:rPr>
          <w:highlight w:val="none"/>
        </w:rPr>
      </w:pPr>
      <w:r>
        <w:rPr>
          <w:rFonts w:hint="eastAsia"/>
          <w:highlight w:val="none"/>
        </w:rPr>
        <w:t>浙江中信工程咨询有限公司：</w:t>
      </w:r>
    </w:p>
    <w:p>
      <w:pPr>
        <w:pStyle w:val="7"/>
        <w:tabs>
          <w:tab w:val="left" w:pos="3768"/>
          <w:tab w:val="left" w:pos="8635"/>
        </w:tabs>
        <w:spacing w:before="215"/>
        <w:rPr>
          <w:highlight w:val="none"/>
        </w:rPr>
      </w:pPr>
      <w:r>
        <w:rPr>
          <w:rFonts w:hint="eastAsia"/>
          <w:highlight w:val="none"/>
        </w:rPr>
        <w:t>我</w:t>
      </w:r>
      <w:r>
        <w:rPr>
          <w:rFonts w:hint="eastAsia"/>
          <w:spacing w:val="-3"/>
          <w:highlight w:val="none"/>
        </w:rPr>
        <w:t>公</w:t>
      </w:r>
      <w:r>
        <w:rPr>
          <w:rFonts w:hint="eastAsia"/>
          <w:highlight w:val="none"/>
        </w:rPr>
        <w:t>司</w:t>
      </w:r>
      <w:r>
        <w:rPr>
          <w:rFonts w:hint="eastAsia"/>
          <w:spacing w:val="-3"/>
          <w:highlight w:val="none"/>
        </w:rPr>
        <w:t>因</w:t>
      </w:r>
      <w:r>
        <w:rPr>
          <w:rFonts w:hint="eastAsia"/>
          <w:spacing w:val="-3"/>
          <w:highlight w:val="none"/>
          <w:u w:val="single"/>
        </w:rPr>
        <w:tab/>
      </w:r>
      <w:r>
        <w:rPr>
          <w:rFonts w:hint="eastAsia"/>
          <w:highlight w:val="none"/>
        </w:rPr>
        <w:t>原</w:t>
      </w:r>
      <w:r>
        <w:rPr>
          <w:rFonts w:hint="eastAsia"/>
          <w:spacing w:val="-3"/>
          <w:highlight w:val="none"/>
        </w:rPr>
        <w:t>因</w:t>
      </w:r>
      <w:r>
        <w:rPr>
          <w:rFonts w:hint="eastAsia"/>
          <w:spacing w:val="-34"/>
          <w:highlight w:val="none"/>
        </w:rPr>
        <w:t>，</w:t>
      </w:r>
      <w:r>
        <w:rPr>
          <w:rFonts w:hint="eastAsia"/>
          <w:highlight w:val="none"/>
        </w:rPr>
        <w:t>对</w:t>
      </w:r>
      <w:r>
        <w:rPr>
          <w:rFonts w:hint="eastAsia"/>
          <w:spacing w:val="-3"/>
          <w:highlight w:val="none"/>
        </w:rPr>
        <w:t>于</w:t>
      </w:r>
      <w:r>
        <w:rPr>
          <w:rFonts w:hint="eastAsia"/>
          <w:highlight w:val="none"/>
        </w:rPr>
        <w:t>已报</w:t>
      </w:r>
      <w:r>
        <w:rPr>
          <w:rFonts w:hint="eastAsia"/>
          <w:spacing w:val="-3"/>
          <w:highlight w:val="none"/>
        </w:rPr>
        <w:t>名</w:t>
      </w:r>
      <w:r>
        <w:rPr>
          <w:rFonts w:hint="eastAsia"/>
          <w:highlight w:val="none"/>
        </w:rPr>
        <w:t>的</w:t>
      </w:r>
      <w:r>
        <w:rPr>
          <w:rFonts w:hint="eastAsia"/>
          <w:highlight w:val="none"/>
          <w:u w:val="single"/>
        </w:rPr>
        <w:tab/>
      </w:r>
      <w:r>
        <w:rPr>
          <w:rFonts w:hint="eastAsia"/>
          <w:highlight w:val="none"/>
        </w:rPr>
        <w:t>项目</w:t>
      </w:r>
    </w:p>
    <w:p>
      <w:pPr>
        <w:pStyle w:val="7"/>
        <w:tabs>
          <w:tab w:val="left" w:pos="4188"/>
        </w:tabs>
        <w:spacing w:before="212" w:line="384" w:lineRule="auto"/>
        <w:ind w:right="606"/>
        <w:rPr>
          <w:highlight w:val="none"/>
        </w:rPr>
      </w:pPr>
      <w:r>
        <w:rPr>
          <w:rFonts w:hint="eastAsia"/>
          <w:highlight w:val="none"/>
        </w:rPr>
        <w:t>（</w:t>
      </w:r>
      <w:r>
        <w:rPr>
          <w:rFonts w:hint="eastAsia"/>
          <w:spacing w:val="-3"/>
          <w:highlight w:val="none"/>
        </w:rPr>
        <w:t>项</w:t>
      </w:r>
      <w:r>
        <w:rPr>
          <w:rFonts w:hint="eastAsia"/>
          <w:highlight w:val="none"/>
        </w:rPr>
        <w:t>目编</w:t>
      </w:r>
      <w:r>
        <w:rPr>
          <w:rFonts w:hint="eastAsia"/>
          <w:spacing w:val="-3"/>
          <w:highlight w:val="none"/>
        </w:rPr>
        <w:t>号</w:t>
      </w:r>
      <w:r>
        <w:rPr>
          <w:rFonts w:hint="eastAsia"/>
          <w:spacing w:val="-3"/>
          <w:highlight w:val="none"/>
          <w:u w:val="single"/>
        </w:rPr>
        <w:tab/>
      </w:r>
      <w:r>
        <w:rPr>
          <w:rFonts w:hint="eastAsia"/>
          <w:spacing w:val="-13"/>
          <w:highlight w:val="none"/>
        </w:rPr>
        <w:t>），</w:t>
      </w:r>
      <w:r>
        <w:rPr>
          <w:rFonts w:hint="eastAsia"/>
          <w:highlight w:val="none"/>
        </w:rPr>
        <w:t>现</w:t>
      </w:r>
      <w:r>
        <w:rPr>
          <w:rFonts w:hint="eastAsia"/>
          <w:spacing w:val="-3"/>
          <w:highlight w:val="none"/>
        </w:rPr>
        <w:t>决</w:t>
      </w:r>
      <w:r>
        <w:rPr>
          <w:rFonts w:hint="eastAsia"/>
          <w:highlight w:val="none"/>
        </w:rPr>
        <w:t>定自</w:t>
      </w:r>
      <w:r>
        <w:rPr>
          <w:rFonts w:hint="eastAsia"/>
          <w:spacing w:val="-3"/>
          <w:highlight w:val="none"/>
        </w:rPr>
        <w:t>愿</w:t>
      </w:r>
      <w:r>
        <w:rPr>
          <w:rFonts w:hint="eastAsia"/>
          <w:highlight w:val="none"/>
        </w:rPr>
        <w:t>放弃</w:t>
      </w:r>
      <w:r>
        <w:rPr>
          <w:rFonts w:hint="eastAsia"/>
          <w:spacing w:val="-3"/>
          <w:highlight w:val="none"/>
        </w:rPr>
        <w:t>参</w:t>
      </w:r>
      <w:r>
        <w:rPr>
          <w:rFonts w:hint="eastAsia"/>
          <w:highlight w:val="none"/>
        </w:rPr>
        <w:t>加投</w:t>
      </w:r>
      <w:r>
        <w:rPr>
          <w:rFonts w:hint="eastAsia"/>
          <w:spacing w:val="-3"/>
          <w:highlight w:val="none"/>
        </w:rPr>
        <w:t>标</w:t>
      </w:r>
      <w:r>
        <w:rPr>
          <w:rFonts w:hint="eastAsia"/>
          <w:highlight w:val="none"/>
        </w:rPr>
        <w:t>活</w:t>
      </w:r>
      <w:r>
        <w:rPr>
          <w:rFonts w:hint="eastAsia"/>
          <w:spacing w:val="-3"/>
          <w:highlight w:val="none"/>
        </w:rPr>
        <w:t>动</w:t>
      </w:r>
      <w:r>
        <w:rPr>
          <w:rFonts w:hint="eastAsia"/>
          <w:spacing w:val="-10"/>
          <w:highlight w:val="none"/>
        </w:rPr>
        <w:t>。</w:t>
      </w:r>
      <w:r>
        <w:rPr>
          <w:rFonts w:hint="eastAsia"/>
          <w:highlight w:val="none"/>
        </w:rPr>
        <w:t>特发函</w:t>
      </w:r>
      <w:r>
        <w:rPr>
          <w:rFonts w:hint="eastAsia"/>
          <w:spacing w:val="-3"/>
          <w:highlight w:val="none"/>
        </w:rPr>
        <w:t>向</w:t>
      </w:r>
      <w:r>
        <w:rPr>
          <w:rFonts w:hint="eastAsia"/>
          <w:highlight w:val="none"/>
        </w:rPr>
        <w:t>贵公</w:t>
      </w:r>
      <w:r>
        <w:rPr>
          <w:rFonts w:hint="eastAsia"/>
          <w:spacing w:val="-3"/>
          <w:highlight w:val="none"/>
        </w:rPr>
        <w:t>司</w:t>
      </w:r>
      <w:r>
        <w:rPr>
          <w:rFonts w:hint="eastAsia"/>
          <w:highlight w:val="none"/>
        </w:rPr>
        <w:t>确认。</w:t>
      </w:r>
    </w:p>
    <w:p>
      <w:pPr>
        <w:pStyle w:val="13"/>
        <w:rPr>
          <w:sz w:val="28"/>
          <w:highlight w:val="none"/>
        </w:rPr>
      </w:pPr>
    </w:p>
    <w:p>
      <w:pPr>
        <w:pStyle w:val="7"/>
        <w:spacing w:before="214"/>
        <w:rPr>
          <w:highlight w:val="none"/>
        </w:rPr>
      </w:pPr>
      <w:r>
        <w:rPr>
          <w:rFonts w:hint="eastAsia"/>
          <w:highlight w:val="none"/>
        </w:rPr>
        <w:t>企业名称（盖章）：</w:t>
      </w:r>
    </w:p>
    <w:p>
      <w:pPr>
        <w:pStyle w:val="13"/>
        <w:rPr>
          <w:sz w:val="28"/>
          <w:highlight w:val="none"/>
        </w:rPr>
      </w:pPr>
    </w:p>
    <w:p>
      <w:pPr>
        <w:pStyle w:val="13"/>
        <w:rPr>
          <w:sz w:val="28"/>
          <w:highlight w:val="none"/>
        </w:rPr>
      </w:pPr>
    </w:p>
    <w:p>
      <w:pPr>
        <w:pStyle w:val="7"/>
        <w:spacing w:before="189"/>
        <w:rPr>
          <w:highlight w:val="none"/>
        </w:rPr>
      </w:pPr>
      <w:r>
        <w:rPr>
          <w:rFonts w:hint="eastAsia"/>
          <w:highlight w:val="none"/>
        </w:rPr>
        <w:t>日 期</w:t>
      </w:r>
    </w:p>
    <w:sectPr>
      <w:pgSz w:w="11910" w:h="16840"/>
      <w:pgMar w:top="1360" w:right="920" w:bottom="1040" w:left="1180" w:header="880" w:footer="85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Light">
    <w:panose1 w:val="020B0502040204020203"/>
    <w:charset w:val="86"/>
    <w:family w:val="swiss"/>
    <w:pitch w:val="default"/>
    <w:sig w:usb0="80000287" w:usb1="2ACF001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roman"/>
    <w:pitch w:val="default"/>
    <w:sig w:usb0="00000000" w:usb1="00000000" w:usb2="0000003F" w:usb3="00000000" w:csb0="603F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r>
      <w:pict>
        <v:shape id="_x0000_s4098" o:spid="_x0000_s4098" o:spt="202" type="#_x0000_t202" style="position:absolute;left:0pt;margin-left:297.6pt;margin-top:788.3pt;height:12pt;width:8.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r>
      <w:pict>
        <v:shape id="_x0000_s4100" o:spid="_x0000_s4100" o:spt="202" type="#_x0000_t202" style="position:absolute;left:0pt;margin-left:295.35pt;margin-top:788.3pt;height:12pt;width:13.1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21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r>
      <w:pict>
        <v:shape id="_x0000_s4104" o:spid="_x0000_s4104" o:spt="202" type="#_x0000_t202" style="position:absolute;left:0pt;margin-left:295.35pt;margin-top:788.3pt;height:12pt;width:13.1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33</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r>
      <w:pict>
        <v:shape id="_x0000_s4107" o:spid="_x0000_s4107" o:spt="202" type="#_x0000_t202" style="position:absolute;left:0pt;margin-left:295.35pt;margin-top:788.3pt;height:12pt;width:13.1pt;mso-position-horizontal-relative:page;mso-position-vertical-relative:page;z-index:-251651072;mso-width-relative:page;mso-height-relative:page;" filled="f" stroked="f" coordsize="21600,21600">
          <v:path/>
          <v:fill on="f" focussize="0,0"/>
          <v:stroke on="f" joinstyle="miter"/>
          <v:imagedata o:title=""/>
          <o:lock v:ext="edit"/>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40</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r>
      <w:pict>
        <v:shape id="_x0000_s4108" o:spid="_x0000_s4108" o:spt="202" type="#_x0000_t202" style="position:absolute;left:0pt;margin-left:292.6pt;margin-top:788.3pt;height:12pt;width:15.85pt;mso-position-horizontal-relative:page;mso-position-vertical-relative:page;z-index:-251650048;mso-width-relative:page;mso-height-relative:page;" filled="f" stroked="f" coordsize="21600,21600">
          <v:path/>
          <v:fill on="f" focussize="0,0"/>
          <v:stroke on="f" joinstyle="miter"/>
          <v:imagedata o:title=""/>
          <o:lock v:ext="edit"/>
          <v:textbox inset="0mm,0mm,0mm,0mm">
            <w:txbxContent>
              <w:p>
                <w:pPr>
                  <w:spacing w:before="12"/>
                  <w:ind w:left="95"/>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58</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r>
      <w:pict>
        <v:shape id="_x0000_s4112" o:spid="_x0000_s4112" o:spt="202" type="#_x0000_t202" style="position:absolute;left:0pt;margin-left:292.6pt;margin-top:788.3pt;height:12pt;width:13.1pt;mso-position-horizontal-relative:page;mso-position-vertical-relative:page;z-index:-251646976;mso-width-relative:page;mso-height-relative:page;" filled="f" stroked="f" coordsize="21600,21600">
          <v:path/>
          <v:fill on="f" focussize="0,0"/>
          <v:stroke on="f" joinstyle="miter"/>
          <v:imagedata o:title=""/>
          <o:lock v:ext="edit"/>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62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r>
      <w:pict>
        <v:shape id="_x0000_s4097" o:spid="_x0000_s4097" o:spt="202" type="#_x0000_t202" style="position:absolute;left:0pt;margin-left:69.9pt;margin-top:52pt;height:11.7pt;width:116.7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pStyle w:val="13"/>
                  <w:spacing w:line="249" w:lineRule="exact"/>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r>
      <w:pict>
        <v:shape id="_x0000_s4101" o:spid="_x0000_s4101" o:spt="202" type="#_x0000_t202" style="position:absolute;left:0pt;margin-left:69.9pt;margin-top:51.25pt;height:14.7pt;width:207.45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pStyle w:val="13"/>
                  <w:spacing w:line="249" w:lineRule="exact"/>
                  <w:ind w:left="20"/>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r>
      <w:pict>
        <v:shape id="_x0000_s4105" o:spid="_x0000_s4105" o:spt="202" type="#_x0000_t202" style="position:absolute;left:0pt;margin-left:69.9pt;margin-top:51.25pt;height:15.45pt;width:193.95pt;mso-position-horizontal-relative:page;mso-position-vertical-relative:page;z-index:-251652096;mso-width-relative:page;mso-height-relative:page;" filled="f" stroked="f" coordsize="21600,21600">
          <v:path/>
          <v:fill on="f" focussize="0,0"/>
          <v:stroke on="f" joinstyle="miter"/>
          <v:imagedata o:title=""/>
          <o:lock v:ext="edit"/>
          <v:textbox inset="0mm,0mm,0mm,0mm">
            <w:txbxContent>
              <w:p>
                <w:pPr>
                  <w:pStyle w:val="13"/>
                  <w:spacing w:line="249" w:lineRule="exact"/>
                </w:pPr>
              </w:p>
            </w:txbxContent>
          </v:textbox>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r>
      <w:pict>
        <v:shape id="_x0000_s4110" o:spid="_x0000_s4110" o:spt="202" type="#_x0000_t202" style="position:absolute;left:0pt;margin-left:69.9pt;margin-top:51.25pt;height:12.45pt;width:116.75pt;mso-position-horizontal-relative:page;mso-position-vertical-relative:page;z-index:-251649024;mso-width-relative:page;mso-height-relative:page;" filled="f" stroked="f" coordsize="21600,21600">
          <v:path/>
          <v:fill on="f" focussize="0,0"/>
          <v:stroke on="f" joinstyle="miter"/>
          <v:imagedata o:title=""/>
          <o:lock v:ext="edit"/>
          <v:textbox inset="0mm,0mm,0mm,0mm">
            <w:txbxContent>
              <w:p>
                <w:pPr>
                  <w:pStyle w:val="13"/>
                  <w:spacing w:line="249" w:lineRule="exact"/>
                </w:pPr>
              </w:p>
            </w:txbxContent>
          </v:textbox>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r>
      <w:pict>
        <v:shape id="_x0000_s4111" o:spid="_x0000_s4111" o:spt="202" type="#_x0000_t202" style="position:absolute;left:0pt;margin-left:78.4pt;margin-top:51.25pt;height:13.95pt;width:221.75pt;mso-position-horizontal-relative:page;mso-position-vertical-relative:page;z-index:-251648000;mso-width-relative:page;mso-height-relative:page;" filled="f" stroked="f" coordsize="21600,21600">
          <v:path/>
          <v:fill on="f" focussize="0,0"/>
          <v:stroke on="f" joinstyle="miter"/>
          <v:imagedata o:title=""/>
          <o:lock v:ext="edit"/>
          <v:textbox inset="0mm,0mm,0mm,0mm">
            <w:txbxContent>
              <w:p>
                <w:pPr>
                  <w:pStyle w:val="13"/>
                  <w:spacing w:line="249" w:lineRule="exact"/>
                  <w:ind w:left="20"/>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576A3E"/>
    <w:multiLevelType w:val="singleLevel"/>
    <w:tmpl w:val="80576A3E"/>
    <w:lvl w:ilvl="0" w:tentative="0">
      <w:start w:val="1"/>
      <w:numFmt w:val="chineseCounting"/>
      <w:suff w:val="nothing"/>
      <w:lvlText w:val="（%1）"/>
      <w:lvlJc w:val="left"/>
      <w:rPr>
        <w:rFonts w:hint="eastAsia"/>
      </w:rPr>
    </w:lvl>
  </w:abstractNum>
  <w:abstractNum w:abstractNumId="1">
    <w:nsid w:val="825EC3C5"/>
    <w:multiLevelType w:val="multilevel"/>
    <w:tmpl w:val="825EC3C5"/>
    <w:lvl w:ilvl="0" w:tentative="0">
      <w:start w:val="8"/>
      <w:numFmt w:val="decimal"/>
      <w:lvlText w:val="%1"/>
      <w:lvlJc w:val="left"/>
      <w:pPr>
        <w:ind w:left="238" w:hanging="368"/>
      </w:pPr>
      <w:rPr>
        <w:rFonts w:hint="default"/>
        <w:lang w:val="zh-CN" w:eastAsia="zh-CN" w:bidi="zh-CN"/>
      </w:rPr>
    </w:lvl>
    <w:lvl w:ilvl="1" w:tentative="0">
      <w:start w:val="1"/>
      <w:numFmt w:val="decimal"/>
      <w:lvlText w:val="%1.%2"/>
      <w:lvlJc w:val="left"/>
      <w:pPr>
        <w:ind w:left="238" w:hanging="368"/>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2153" w:hanging="368"/>
      </w:pPr>
      <w:rPr>
        <w:rFonts w:hint="default"/>
        <w:lang w:val="zh-CN" w:eastAsia="zh-CN" w:bidi="zh-CN"/>
      </w:rPr>
    </w:lvl>
    <w:lvl w:ilvl="3" w:tentative="0">
      <w:start w:val="0"/>
      <w:numFmt w:val="bullet"/>
      <w:lvlText w:val="•"/>
      <w:lvlJc w:val="left"/>
      <w:pPr>
        <w:ind w:left="3109" w:hanging="368"/>
      </w:pPr>
      <w:rPr>
        <w:rFonts w:hint="default"/>
        <w:lang w:val="zh-CN" w:eastAsia="zh-CN" w:bidi="zh-CN"/>
      </w:rPr>
    </w:lvl>
    <w:lvl w:ilvl="4" w:tentative="0">
      <w:start w:val="0"/>
      <w:numFmt w:val="bullet"/>
      <w:lvlText w:val="•"/>
      <w:lvlJc w:val="left"/>
      <w:pPr>
        <w:ind w:left="4066" w:hanging="368"/>
      </w:pPr>
      <w:rPr>
        <w:rFonts w:hint="default"/>
        <w:lang w:val="zh-CN" w:eastAsia="zh-CN" w:bidi="zh-CN"/>
      </w:rPr>
    </w:lvl>
    <w:lvl w:ilvl="5" w:tentative="0">
      <w:start w:val="0"/>
      <w:numFmt w:val="bullet"/>
      <w:lvlText w:val="•"/>
      <w:lvlJc w:val="left"/>
      <w:pPr>
        <w:ind w:left="5023" w:hanging="368"/>
      </w:pPr>
      <w:rPr>
        <w:rFonts w:hint="default"/>
        <w:lang w:val="zh-CN" w:eastAsia="zh-CN" w:bidi="zh-CN"/>
      </w:rPr>
    </w:lvl>
    <w:lvl w:ilvl="6" w:tentative="0">
      <w:start w:val="0"/>
      <w:numFmt w:val="bullet"/>
      <w:lvlText w:val="•"/>
      <w:lvlJc w:val="left"/>
      <w:pPr>
        <w:ind w:left="5979" w:hanging="368"/>
      </w:pPr>
      <w:rPr>
        <w:rFonts w:hint="default"/>
        <w:lang w:val="zh-CN" w:eastAsia="zh-CN" w:bidi="zh-CN"/>
      </w:rPr>
    </w:lvl>
    <w:lvl w:ilvl="7" w:tentative="0">
      <w:start w:val="0"/>
      <w:numFmt w:val="bullet"/>
      <w:lvlText w:val="•"/>
      <w:lvlJc w:val="left"/>
      <w:pPr>
        <w:ind w:left="6936" w:hanging="368"/>
      </w:pPr>
      <w:rPr>
        <w:rFonts w:hint="default"/>
        <w:lang w:val="zh-CN" w:eastAsia="zh-CN" w:bidi="zh-CN"/>
      </w:rPr>
    </w:lvl>
    <w:lvl w:ilvl="8" w:tentative="0">
      <w:start w:val="0"/>
      <w:numFmt w:val="bullet"/>
      <w:lvlText w:val="•"/>
      <w:lvlJc w:val="left"/>
      <w:pPr>
        <w:ind w:left="7892" w:hanging="368"/>
      </w:pPr>
      <w:rPr>
        <w:rFonts w:hint="default"/>
        <w:lang w:val="zh-CN" w:eastAsia="zh-CN" w:bidi="zh-CN"/>
      </w:rPr>
    </w:lvl>
  </w:abstractNum>
  <w:abstractNum w:abstractNumId="2">
    <w:nsid w:val="8FB46B00"/>
    <w:multiLevelType w:val="singleLevel"/>
    <w:tmpl w:val="8FB46B00"/>
    <w:lvl w:ilvl="0" w:tentative="0">
      <w:start w:val="1"/>
      <w:numFmt w:val="decimal"/>
      <w:suff w:val="nothing"/>
      <w:lvlText w:val="%1、"/>
      <w:lvlJc w:val="left"/>
      <w:pPr>
        <w:ind w:left="2"/>
      </w:pPr>
    </w:lvl>
  </w:abstractNum>
  <w:abstractNum w:abstractNumId="3">
    <w:nsid w:val="9C11E984"/>
    <w:multiLevelType w:val="multilevel"/>
    <w:tmpl w:val="9C11E984"/>
    <w:lvl w:ilvl="0" w:tentative="0">
      <w:start w:val="2"/>
      <w:numFmt w:val="decimal"/>
      <w:lvlText w:val="%1"/>
      <w:lvlJc w:val="left"/>
      <w:pPr>
        <w:ind w:left="1028" w:hanging="370"/>
      </w:pPr>
      <w:rPr>
        <w:rFonts w:hint="default"/>
        <w:lang w:val="zh-CN" w:eastAsia="zh-CN" w:bidi="zh-CN"/>
      </w:rPr>
    </w:lvl>
    <w:lvl w:ilvl="1" w:tentative="0">
      <w:start w:val="1"/>
      <w:numFmt w:val="decimal"/>
      <w:lvlText w:val="%1.%2"/>
      <w:lvlJc w:val="left"/>
      <w:pPr>
        <w:ind w:left="1028" w:hanging="370"/>
      </w:pPr>
      <w:rPr>
        <w:rFonts w:hint="default" w:ascii="宋体" w:hAnsi="宋体" w:eastAsia="宋体" w:cs="宋体"/>
        <w:b/>
        <w:bCs/>
        <w:spacing w:val="0"/>
        <w:w w:val="98"/>
        <w:sz w:val="21"/>
        <w:szCs w:val="21"/>
        <w:lang w:val="zh-CN" w:eastAsia="zh-CN" w:bidi="zh-CN"/>
      </w:rPr>
    </w:lvl>
    <w:lvl w:ilvl="2" w:tentative="0">
      <w:start w:val="1"/>
      <w:numFmt w:val="decimal"/>
      <w:lvlText w:val="%1.%2.%3"/>
      <w:lvlJc w:val="left"/>
      <w:pPr>
        <w:ind w:left="1239" w:hanging="581"/>
      </w:pPr>
      <w:rPr>
        <w:rFonts w:hint="default"/>
        <w:b/>
        <w:bCs/>
        <w:spacing w:val="0"/>
        <w:w w:val="98"/>
        <w:lang w:val="zh-CN" w:eastAsia="zh-CN" w:bidi="zh-CN"/>
      </w:rPr>
    </w:lvl>
    <w:lvl w:ilvl="3" w:tentative="0">
      <w:start w:val="0"/>
      <w:numFmt w:val="bullet"/>
      <w:lvlText w:val="•"/>
      <w:lvlJc w:val="left"/>
      <w:pPr>
        <w:ind w:left="2310" w:hanging="581"/>
      </w:pPr>
      <w:rPr>
        <w:rFonts w:hint="default"/>
        <w:lang w:val="zh-CN" w:eastAsia="zh-CN" w:bidi="zh-CN"/>
      </w:rPr>
    </w:lvl>
    <w:lvl w:ilvl="4" w:tentative="0">
      <w:start w:val="0"/>
      <w:numFmt w:val="bullet"/>
      <w:lvlText w:val="•"/>
      <w:lvlJc w:val="left"/>
      <w:pPr>
        <w:ind w:left="3381" w:hanging="581"/>
      </w:pPr>
      <w:rPr>
        <w:rFonts w:hint="default"/>
        <w:lang w:val="zh-CN" w:eastAsia="zh-CN" w:bidi="zh-CN"/>
      </w:rPr>
    </w:lvl>
    <w:lvl w:ilvl="5" w:tentative="0">
      <w:start w:val="0"/>
      <w:numFmt w:val="bullet"/>
      <w:lvlText w:val="•"/>
      <w:lvlJc w:val="left"/>
      <w:pPr>
        <w:ind w:left="4452" w:hanging="581"/>
      </w:pPr>
      <w:rPr>
        <w:rFonts w:hint="default"/>
        <w:lang w:val="zh-CN" w:eastAsia="zh-CN" w:bidi="zh-CN"/>
      </w:rPr>
    </w:lvl>
    <w:lvl w:ilvl="6" w:tentative="0">
      <w:start w:val="0"/>
      <w:numFmt w:val="bullet"/>
      <w:lvlText w:val="•"/>
      <w:lvlJc w:val="left"/>
      <w:pPr>
        <w:ind w:left="5523" w:hanging="581"/>
      </w:pPr>
      <w:rPr>
        <w:rFonts w:hint="default"/>
        <w:lang w:val="zh-CN" w:eastAsia="zh-CN" w:bidi="zh-CN"/>
      </w:rPr>
    </w:lvl>
    <w:lvl w:ilvl="7" w:tentative="0">
      <w:start w:val="0"/>
      <w:numFmt w:val="bullet"/>
      <w:lvlText w:val="•"/>
      <w:lvlJc w:val="left"/>
      <w:pPr>
        <w:ind w:left="6593" w:hanging="581"/>
      </w:pPr>
      <w:rPr>
        <w:rFonts w:hint="default"/>
        <w:lang w:val="zh-CN" w:eastAsia="zh-CN" w:bidi="zh-CN"/>
      </w:rPr>
    </w:lvl>
    <w:lvl w:ilvl="8" w:tentative="0">
      <w:start w:val="0"/>
      <w:numFmt w:val="bullet"/>
      <w:lvlText w:val="•"/>
      <w:lvlJc w:val="left"/>
      <w:pPr>
        <w:ind w:left="7664" w:hanging="581"/>
      </w:pPr>
      <w:rPr>
        <w:rFonts w:hint="default"/>
        <w:lang w:val="zh-CN" w:eastAsia="zh-CN" w:bidi="zh-CN"/>
      </w:rPr>
    </w:lvl>
  </w:abstractNum>
  <w:abstractNum w:abstractNumId="4">
    <w:nsid w:val="9DFC6F65"/>
    <w:multiLevelType w:val="multilevel"/>
    <w:tmpl w:val="9DFC6F65"/>
    <w:lvl w:ilvl="0" w:tentative="0">
      <w:start w:val="5"/>
      <w:numFmt w:val="decimal"/>
      <w:lvlText w:val="%1）"/>
      <w:lvlJc w:val="left"/>
      <w:pPr>
        <w:ind w:left="974" w:hanging="316"/>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862" w:hanging="316"/>
      </w:pPr>
      <w:rPr>
        <w:rFonts w:hint="default"/>
        <w:lang w:val="zh-CN" w:eastAsia="zh-CN" w:bidi="zh-CN"/>
      </w:rPr>
    </w:lvl>
    <w:lvl w:ilvl="2" w:tentative="0">
      <w:start w:val="0"/>
      <w:numFmt w:val="bullet"/>
      <w:lvlText w:val="•"/>
      <w:lvlJc w:val="left"/>
      <w:pPr>
        <w:ind w:left="2745" w:hanging="316"/>
      </w:pPr>
      <w:rPr>
        <w:rFonts w:hint="default"/>
        <w:lang w:val="zh-CN" w:eastAsia="zh-CN" w:bidi="zh-CN"/>
      </w:rPr>
    </w:lvl>
    <w:lvl w:ilvl="3" w:tentative="0">
      <w:start w:val="0"/>
      <w:numFmt w:val="bullet"/>
      <w:lvlText w:val="•"/>
      <w:lvlJc w:val="left"/>
      <w:pPr>
        <w:ind w:left="3627" w:hanging="316"/>
      </w:pPr>
      <w:rPr>
        <w:rFonts w:hint="default"/>
        <w:lang w:val="zh-CN" w:eastAsia="zh-CN" w:bidi="zh-CN"/>
      </w:rPr>
    </w:lvl>
    <w:lvl w:ilvl="4" w:tentative="0">
      <w:start w:val="0"/>
      <w:numFmt w:val="bullet"/>
      <w:lvlText w:val="•"/>
      <w:lvlJc w:val="left"/>
      <w:pPr>
        <w:ind w:left="4510" w:hanging="316"/>
      </w:pPr>
      <w:rPr>
        <w:rFonts w:hint="default"/>
        <w:lang w:val="zh-CN" w:eastAsia="zh-CN" w:bidi="zh-CN"/>
      </w:rPr>
    </w:lvl>
    <w:lvl w:ilvl="5" w:tentative="0">
      <w:start w:val="0"/>
      <w:numFmt w:val="bullet"/>
      <w:lvlText w:val="•"/>
      <w:lvlJc w:val="left"/>
      <w:pPr>
        <w:ind w:left="5393" w:hanging="316"/>
      </w:pPr>
      <w:rPr>
        <w:rFonts w:hint="default"/>
        <w:lang w:val="zh-CN" w:eastAsia="zh-CN" w:bidi="zh-CN"/>
      </w:rPr>
    </w:lvl>
    <w:lvl w:ilvl="6" w:tentative="0">
      <w:start w:val="0"/>
      <w:numFmt w:val="bullet"/>
      <w:lvlText w:val="•"/>
      <w:lvlJc w:val="left"/>
      <w:pPr>
        <w:ind w:left="6275" w:hanging="316"/>
      </w:pPr>
      <w:rPr>
        <w:rFonts w:hint="default"/>
        <w:lang w:val="zh-CN" w:eastAsia="zh-CN" w:bidi="zh-CN"/>
      </w:rPr>
    </w:lvl>
    <w:lvl w:ilvl="7" w:tentative="0">
      <w:start w:val="0"/>
      <w:numFmt w:val="bullet"/>
      <w:lvlText w:val="•"/>
      <w:lvlJc w:val="left"/>
      <w:pPr>
        <w:ind w:left="7158" w:hanging="316"/>
      </w:pPr>
      <w:rPr>
        <w:rFonts w:hint="default"/>
        <w:lang w:val="zh-CN" w:eastAsia="zh-CN" w:bidi="zh-CN"/>
      </w:rPr>
    </w:lvl>
    <w:lvl w:ilvl="8" w:tentative="0">
      <w:start w:val="0"/>
      <w:numFmt w:val="bullet"/>
      <w:lvlText w:val="•"/>
      <w:lvlJc w:val="left"/>
      <w:pPr>
        <w:ind w:left="8040" w:hanging="316"/>
      </w:pPr>
      <w:rPr>
        <w:rFonts w:hint="default"/>
        <w:lang w:val="zh-CN" w:eastAsia="zh-CN" w:bidi="zh-CN"/>
      </w:rPr>
    </w:lvl>
  </w:abstractNum>
  <w:abstractNum w:abstractNumId="5">
    <w:nsid w:val="A9AC3AA7"/>
    <w:multiLevelType w:val="multilevel"/>
    <w:tmpl w:val="A9AC3AA7"/>
    <w:lvl w:ilvl="0" w:tentative="0">
      <w:start w:val="6"/>
      <w:numFmt w:val="decimal"/>
      <w:lvlText w:val="%1"/>
      <w:lvlJc w:val="left"/>
      <w:pPr>
        <w:ind w:left="238" w:hanging="420"/>
      </w:pPr>
      <w:rPr>
        <w:rFonts w:hint="default"/>
        <w:lang w:val="zh-CN" w:eastAsia="zh-CN" w:bidi="zh-CN"/>
      </w:rPr>
    </w:lvl>
    <w:lvl w:ilvl="1" w:tentative="0">
      <w:start w:val="1"/>
      <w:numFmt w:val="decimal"/>
      <w:lvlText w:val="%1.%2"/>
      <w:lvlJc w:val="left"/>
      <w:pPr>
        <w:ind w:left="238" w:hanging="420"/>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2153" w:hanging="420"/>
      </w:pPr>
      <w:rPr>
        <w:rFonts w:hint="default"/>
        <w:lang w:val="zh-CN" w:eastAsia="zh-CN" w:bidi="zh-CN"/>
      </w:rPr>
    </w:lvl>
    <w:lvl w:ilvl="3" w:tentative="0">
      <w:start w:val="0"/>
      <w:numFmt w:val="bullet"/>
      <w:lvlText w:val="•"/>
      <w:lvlJc w:val="left"/>
      <w:pPr>
        <w:ind w:left="3109" w:hanging="420"/>
      </w:pPr>
      <w:rPr>
        <w:rFonts w:hint="default"/>
        <w:lang w:val="zh-CN" w:eastAsia="zh-CN" w:bidi="zh-CN"/>
      </w:rPr>
    </w:lvl>
    <w:lvl w:ilvl="4" w:tentative="0">
      <w:start w:val="0"/>
      <w:numFmt w:val="bullet"/>
      <w:lvlText w:val="•"/>
      <w:lvlJc w:val="left"/>
      <w:pPr>
        <w:ind w:left="4066" w:hanging="420"/>
      </w:pPr>
      <w:rPr>
        <w:rFonts w:hint="default"/>
        <w:lang w:val="zh-CN" w:eastAsia="zh-CN" w:bidi="zh-CN"/>
      </w:rPr>
    </w:lvl>
    <w:lvl w:ilvl="5" w:tentative="0">
      <w:start w:val="0"/>
      <w:numFmt w:val="bullet"/>
      <w:lvlText w:val="•"/>
      <w:lvlJc w:val="left"/>
      <w:pPr>
        <w:ind w:left="5023" w:hanging="420"/>
      </w:pPr>
      <w:rPr>
        <w:rFonts w:hint="default"/>
        <w:lang w:val="zh-CN" w:eastAsia="zh-CN" w:bidi="zh-CN"/>
      </w:rPr>
    </w:lvl>
    <w:lvl w:ilvl="6" w:tentative="0">
      <w:start w:val="0"/>
      <w:numFmt w:val="bullet"/>
      <w:lvlText w:val="•"/>
      <w:lvlJc w:val="left"/>
      <w:pPr>
        <w:ind w:left="5979" w:hanging="420"/>
      </w:pPr>
      <w:rPr>
        <w:rFonts w:hint="default"/>
        <w:lang w:val="zh-CN" w:eastAsia="zh-CN" w:bidi="zh-CN"/>
      </w:rPr>
    </w:lvl>
    <w:lvl w:ilvl="7" w:tentative="0">
      <w:start w:val="0"/>
      <w:numFmt w:val="bullet"/>
      <w:lvlText w:val="•"/>
      <w:lvlJc w:val="left"/>
      <w:pPr>
        <w:ind w:left="6936" w:hanging="420"/>
      </w:pPr>
      <w:rPr>
        <w:rFonts w:hint="default"/>
        <w:lang w:val="zh-CN" w:eastAsia="zh-CN" w:bidi="zh-CN"/>
      </w:rPr>
    </w:lvl>
    <w:lvl w:ilvl="8" w:tentative="0">
      <w:start w:val="0"/>
      <w:numFmt w:val="bullet"/>
      <w:lvlText w:val="•"/>
      <w:lvlJc w:val="left"/>
      <w:pPr>
        <w:ind w:left="7892" w:hanging="420"/>
      </w:pPr>
      <w:rPr>
        <w:rFonts w:hint="default"/>
        <w:lang w:val="zh-CN" w:eastAsia="zh-CN" w:bidi="zh-CN"/>
      </w:rPr>
    </w:lvl>
  </w:abstractNum>
  <w:abstractNum w:abstractNumId="6">
    <w:nsid w:val="B8B302B2"/>
    <w:multiLevelType w:val="singleLevel"/>
    <w:tmpl w:val="B8B302B2"/>
    <w:lvl w:ilvl="0" w:tentative="0">
      <w:start w:val="8"/>
      <w:numFmt w:val="chineseCounting"/>
      <w:lvlText w:val="第%1章"/>
      <w:lvlJc w:val="left"/>
      <w:rPr>
        <w:rFonts w:hint="eastAsia"/>
      </w:rPr>
    </w:lvl>
  </w:abstractNum>
  <w:abstractNum w:abstractNumId="7">
    <w:nsid w:val="E0294EC7"/>
    <w:multiLevelType w:val="multilevel"/>
    <w:tmpl w:val="E0294EC7"/>
    <w:lvl w:ilvl="0" w:tentative="0">
      <w:start w:val="3"/>
      <w:numFmt w:val="decimal"/>
      <w:lvlText w:val="%1"/>
      <w:lvlJc w:val="left"/>
      <w:pPr>
        <w:ind w:left="1028" w:hanging="370"/>
      </w:pPr>
      <w:rPr>
        <w:rFonts w:hint="default"/>
        <w:lang w:val="zh-CN" w:eastAsia="zh-CN" w:bidi="zh-CN"/>
      </w:rPr>
    </w:lvl>
    <w:lvl w:ilvl="1" w:tentative="0">
      <w:start w:val="1"/>
      <w:numFmt w:val="decimal"/>
      <w:lvlText w:val="%1.%2"/>
      <w:lvlJc w:val="left"/>
      <w:pPr>
        <w:ind w:left="1028" w:hanging="370"/>
      </w:pPr>
      <w:rPr>
        <w:rFonts w:hint="default" w:ascii="宋体" w:hAnsi="宋体" w:eastAsia="宋体" w:cs="宋体"/>
        <w:b/>
        <w:bCs/>
        <w:spacing w:val="0"/>
        <w:w w:val="98"/>
        <w:sz w:val="21"/>
        <w:szCs w:val="21"/>
        <w:lang w:val="zh-CN" w:eastAsia="zh-CN" w:bidi="zh-CN"/>
      </w:rPr>
    </w:lvl>
    <w:lvl w:ilvl="2" w:tentative="0">
      <w:start w:val="1"/>
      <w:numFmt w:val="decimal"/>
      <w:lvlText w:val="%1.%2.%3"/>
      <w:lvlJc w:val="left"/>
      <w:pPr>
        <w:ind w:left="238" w:hanging="579"/>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2972" w:hanging="579"/>
      </w:pPr>
      <w:rPr>
        <w:rFonts w:hint="default"/>
        <w:lang w:val="zh-CN" w:eastAsia="zh-CN" w:bidi="zh-CN"/>
      </w:rPr>
    </w:lvl>
    <w:lvl w:ilvl="4" w:tentative="0">
      <w:start w:val="0"/>
      <w:numFmt w:val="bullet"/>
      <w:lvlText w:val="•"/>
      <w:lvlJc w:val="left"/>
      <w:pPr>
        <w:ind w:left="3948" w:hanging="579"/>
      </w:pPr>
      <w:rPr>
        <w:rFonts w:hint="default"/>
        <w:lang w:val="zh-CN" w:eastAsia="zh-CN" w:bidi="zh-CN"/>
      </w:rPr>
    </w:lvl>
    <w:lvl w:ilvl="5" w:tentative="0">
      <w:start w:val="0"/>
      <w:numFmt w:val="bullet"/>
      <w:lvlText w:val="•"/>
      <w:lvlJc w:val="left"/>
      <w:pPr>
        <w:ind w:left="4924" w:hanging="579"/>
      </w:pPr>
      <w:rPr>
        <w:rFonts w:hint="default"/>
        <w:lang w:val="zh-CN" w:eastAsia="zh-CN" w:bidi="zh-CN"/>
      </w:rPr>
    </w:lvl>
    <w:lvl w:ilvl="6" w:tentative="0">
      <w:start w:val="0"/>
      <w:numFmt w:val="bullet"/>
      <w:lvlText w:val="•"/>
      <w:lvlJc w:val="left"/>
      <w:pPr>
        <w:ind w:left="5901" w:hanging="579"/>
      </w:pPr>
      <w:rPr>
        <w:rFonts w:hint="default"/>
        <w:lang w:val="zh-CN" w:eastAsia="zh-CN" w:bidi="zh-CN"/>
      </w:rPr>
    </w:lvl>
    <w:lvl w:ilvl="7" w:tentative="0">
      <w:start w:val="0"/>
      <w:numFmt w:val="bullet"/>
      <w:lvlText w:val="•"/>
      <w:lvlJc w:val="left"/>
      <w:pPr>
        <w:ind w:left="6877" w:hanging="579"/>
      </w:pPr>
      <w:rPr>
        <w:rFonts w:hint="default"/>
        <w:lang w:val="zh-CN" w:eastAsia="zh-CN" w:bidi="zh-CN"/>
      </w:rPr>
    </w:lvl>
    <w:lvl w:ilvl="8" w:tentative="0">
      <w:start w:val="0"/>
      <w:numFmt w:val="bullet"/>
      <w:lvlText w:val="•"/>
      <w:lvlJc w:val="left"/>
      <w:pPr>
        <w:ind w:left="7853" w:hanging="579"/>
      </w:pPr>
      <w:rPr>
        <w:rFonts w:hint="default"/>
        <w:lang w:val="zh-CN" w:eastAsia="zh-CN" w:bidi="zh-CN"/>
      </w:rPr>
    </w:lvl>
  </w:abstractNum>
  <w:abstractNum w:abstractNumId="8">
    <w:nsid w:val="E0353928"/>
    <w:multiLevelType w:val="singleLevel"/>
    <w:tmpl w:val="E0353928"/>
    <w:lvl w:ilvl="0" w:tentative="0">
      <w:start w:val="12"/>
      <w:numFmt w:val="chineseCounting"/>
      <w:suff w:val="nothing"/>
      <w:lvlText w:val="%1、"/>
      <w:lvlJc w:val="left"/>
      <w:rPr>
        <w:rFonts w:hint="eastAsia"/>
      </w:rPr>
    </w:lvl>
  </w:abstractNum>
  <w:abstractNum w:abstractNumId="9">
    <w:nsid w:val="E313C3A7"/>
    <w:multiLevelType w:val="singleLevel"/>
    <w:tmpl w:val="E313C3A7"/>
    <w:lvl w:ilvl="0" w:tentative="0">
      <w:start w:val="1"/>
      <w:numFmt w:val="chineseCounting"/>
      <w:suff w:val="nothing"/>
      <w:lvlText w:val="%1、"/>
      <w:lvlJc w:val="left"/>
      <w:rPr>
        <w:rFonts w:hint="eastAsia"/>
      </w:rPr>
    </w:lvl>
  </w:abstractNum>
  <w:abstractNum w:abstractNumId="10">
    <w:nsid w:val="E8FC58DD"/>
    <w:multiLevelType w:val="singleLevel"/>
    <w:tmpl w:val="E8FC58DD"/>
    <w:lvl w:ilvl="0" w:tentative="0">
      <w:start w:val="12"/>
      <w:numFmt w:val="decimal"/>
      <w:suff w:val="nothing"/>
      <w:lvlText w:val="%1、"/>
      <w:lvlJc w:val="left"/>
    </w:lvl>
  </w:abstractNum>
  <w:abstractNum w:abstractNumId="11">
    <w:nsid w:val="F3A33954"/>
    <w:multiLevelType w:val="multilevel"/>
    <w:tmpl w:val="F3A33954"/>
    <w:lvl w:ilvl="0" w:tentative="0">
      <w:start w:val="5"/>
      <w:numFmt w:val="lowerLetter"/>
      <w:lvlText w:val="%1."/>
      <w:lvlJc w:val="left"/>
      <w:pPr>
        <w:ind w:left="869" w:hanging="212"/>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754" w:hanging="212"/>
      </w:pPr>
      <w:rPr>
        <w:rFonts w:hint="default"/>
        <w:lang w:val="zh-CN" w:eastAsia="zh-CN" w:bidi="zh-CN"/>
      </w:rPr>
    </w:lvl>
    <w:lvl w:ilvl="2" w:tentative="0">
      <w:start w:val="0"/>
      <w:numFmt w:val="bullet"/>
      <w:lvlText w:val="•"/>
      <w:lvlJc w:val="left"/>
      <w:pPr>
        <w:ind w:left="2649" w:hanging="212"/>
      </w:pPr>
      <w:rPr>
        <w:rFonts w:hint="default"/>
        <w:lang w:val="zh-CN" w:eastAsia="zh-CN" w:bidi="zh-CN"/>
      </w:rPr>
    </w:lvl>
    <w:lvl w:ilvl="3" w:tentative="0">
      <w:start w:val="0"/>
      <w:numFmt w:val="bullet"/>
      <w:lvlText w:val="•"/>
      <w:lvlJc w:val="left"/>
      <w:pPr>
        <w:ind w:left="3543" w:hanging="212"/>
      </w:pPr>
      <w:rPr>
        <w:rFonts w:hint="default"/>
        <w:lang w:val="zh-CN" w:eastAsia="zh-CN" w:bidi="zh-CN"/>
      </w:rPr>
    </w:lvl>
    <w:lvl w:ilvl="4" w:tentative="0">
      <w:start w:val="0"/>
      <w:numFmt w:val="bullet"/>
      <w:lvlText w:val="•"/>
      <w:lvlJc w:val="left"/>
      <w:pPr>
        <w:ind w:left="4438" w:hanging="212"/>
      </w:pPr>
      <w:rPr>
        <w:rFonts w:hint="default"/>
        <w:lang w:val="zh-CN" w:eastAsia="zh-CN" w:bidi="zh-CN"/>
      </w:rPr>
    </w:lvl>
    <w:lvl w:ilvl="5" w:tentative="0">
      <w:start w:val="0"/>
      <w:numFmt w:val="bullet"/>
      <w:lvlText w:val="•"/>
      <w:lvlJc w:val="left"/>
      <w:pPr>
        <w:ind w:left="5333" w:hanging="212"/>
      </w:pPr>
      <w:rPr>
        <w:rFonts w:hint="default"/>
        <w:lang w:val="zh-CN" w:eastAsia="zh-CN" w:bidi="zh-CN"/>
      </w:rPr>
    </w:lvl>
    <w:lvl w:ilvl="6" w:tentative="0">
      <w:start w:val="0"/>
      <w:numFmt w:val="bullet"/>
      <w:lvlText w:val="•"/>
      <w:lvlJc w:val="left"/>
      <w:pPr>
        <w:ind w:left="6227" w:hanging="212"/>
      </w:pPr>
      <w:rPr>
        <w:rFonts w:hint="default"/>
        <w:lang w:val="zh-CN" w:eastAsia="zh-CN" w:bidi="zh-CN"/>
      </w:rPr>
    </w:lvl>
    <w:lvl w:ilvl="7" w:tentative="0">
      <w:start w:val="0"/>
      <w:numFmt w:val="bullet"/>
      <w:lvlText w:val="•"/>
      <w:lvlJc w:val="left"/>
      <w:pPr>
        <w:ind w:left="7122" w:hanging="212"/>
      </w:pPr>
      <w:rPr>
        <w:rFonts w:hint="default"/>
        <w:lang w:val="zh-CN" w:eastAsia="zh-CN" w:bidi="zh-CN"/>
      </w:rPr>
    </w:lvl>
    <w:lvl w:ilvl="8" w:tentative="0">
      <w:start w:val="0"/>
      <w:numFmt w:val="bullet"/>
      <w:lvlText w:val="•"/>
      <w:lvlJc w:val="left"/>
      <w:pPr>
        <w:ind w:left="8016" w:hanging="212"/>
      </w:pPr>
      <w:rPr>
        <w:rFonts w:hint="default"/>
        <w:lang w:val="zh-CN" w:eastAsia="zh-CN" w:bidi="zh-CN"/>
      </w:rPr>
    </w:lvl>
  </w:abstractNum>
  <w:abstractNum w:abstractNumId="12">
    <w:nsid w:val="03C240C0"/>
    <w:multiLevelType w:val="multilevel"/>
    <w:tmpl w:val="03C240C0"/>
    <w:lvl w:ilvl="0" w:tentative="0">
      <w:start w:val="2"/>
      <w:numFmt w:val="decimal"/>
      <w:lvlText w:val="%1)"/>
      <w:lvlJc w:val="left"/>
      <w:pPr>
        <w:ind w:left="869" w:hanging="212"/>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754" w:hanging="212"/>
      </w:pPr>
      <w:rPr>
        <w:rFonts w:hint="default"/>
        <w:lang w:val="zh-CN" w:eastAsia="zh-CN" w:bidi="zh-CN"/>
      </w:rPr>
    </w:lvl>
    <w:lvl w:ilvl="2" w:tentative="0">
      <w:start w:val="0"/>
      <w:numFmt w:val="bullet"/>
      <w:lvlText w:val="•"/>
      <w:lvlJc w:val="left"/>
      <w:pPr>
        <w:ind w:left="2649" w:hanging="212"/>
      </w:pPr>
      <w:rPr>
        <w:rFonts w:hint="default"/>
        <w:lang w:val="zh-CN" w:eastAsia="zh-CN" w:bidi="zh-CN"/>
      </w:rPr>
    </w:lvl>
    <w:lvl w:ilvl="3" w:tentative="0">
      <w:start w:val="0"/>
      <w:numFmt w:val="bullet"/>
      <w:lvlText w:val="•"/>
      <w:lvlJc w:val="left"/>
      <w:pPr>
        <w:ind w:left="3543" w:hanging="212"/>
      </w:pPr>
      <w:rPr>
        <w:rFonts w:hint="default"/>
        <w:lang w:val="zh-CN" w:eastAsia="zh-CN" w:bidi="zh-CN"/>
      </w:rPr>
    </w:lvl>
    <w:lvl w:ilvl="4" w:tentative="0">
      <w:start w:val="0"/>
      <w:numFmt w:val="bullet"/>
      <w:lvlText w:val="•"/>
      <w:lvlJc w:val="left"/>
      <w:pPr>
        <w:ind w:left="4438" w:hanging="212"/>
      </w:pPr>
      <w:rPr>
        <w:rFonts w:hint="default"/>
        <w:lang w:val="zh-CN" w:eastAsia="zh-CN" w:bidi="zh-CN"/>
      </w:rPr>
    </w:lvl>
    <w:lvl w:ilvl="5" w:tentative="0">
      <w:start w:val="0"/>
      <w:numFmt w:val="bullet"/>
      <w:lvlText w:val="•"/>
      <w:lvlJc w:val="left"/>
      <w:pPr>
        <w:ind w:left="5333" w:hanging="212"/>
      </w:pPr>
      <w:rPr>
        <w:rFonts w:hint="default"/>
        <w:lang w:val="zh-CN" w:eastAsia="zh-CN" w:bidi="zh-CN"/>
      </w:rPr>
    </w:lvl>
    <w:lvl w:ilvl="6" w:tentative="0">
      <w:start w:val="0"/>
      <w:numFmt w:val="bullet"/>
      <w:lvlText w:val="•"/>
      <w:lvlJc w:val="left"/>
      <w:pPr>
        <w:ind w:left="6227" w:hanging="212"/>
      </w:pPr>
      <w:rPr>
        <w:rFonts w:hint="default"/>
        <w:lang w:val="zh-CN" w:eastAsia="zh-CN" w:bidi="zh-CN"/>
      </w:rPr>
    </w:lvl>
    <w:lvl w:ilvl="7" w:tentative="0">
      <w:start w:val="0"/>
      <w:numFmt w:val="bullet"/>
      <w:lvlText w:val="•"/>
      <w:lvlJc w:val="left"/>
      <w:pPr>
        <w:ind w:left="7122" w:hanging="212"/>
      </w:pPr>
      <w:rPr>
        <w:rFonts w:hint="default"/>
        <w:lang w:val="zh-CN" w:eastAsia="zh-CN" w:bidi="zh-CN"/>
      </w:rPr>
    </w:lvl>
    <w:lvl w:ilvl="8" w:tentative="0">
      <w:start w:val="0"/>
      <w:numFmt w:val="bullet"/>
      <w:lvlText w:val="•"/>
      <w:lvlJc w:val="left"/>
      <w:pPr>
        <w:ind w:left="8016" w:hanging="212"/>
      </w:pPr>
      <w:rPr>
        <w:rFonts w:hint="default"/>
        <w:lang w:val="zh-CN" w:eastAsia="zh-CN" w:bidi="zh-CN"/>
      </w:rPr>
    </w:lvl>
  </w:abstractNum>
  <w:abstractNum w:abstractNumId="13">
    <w:nsid w:val="06BA1D6A"/>
    <w:multiLevelType w:val="singleLevel"/>
    <w:tmpl w:val="06BA1D6A"/>
    <w:lvl w:ilvl="0" w:tentative="0">
      <w:start w:val="1"/>
      <w:numFmt w:val="chineseCounting"/>
      <w:suff w:val="nothing"/>
      <w:lvlText w:val="%1、"/>
      <w:lvlJc w:val="left"/>
      <w:rPr>
        <w:rFonts w:hint="eastAsia"/>
      </w:rPr>
    </w:lvl>
  </w:abstractNum>
  <w:abstractNum w:abstractNumId="14">
    <w:nsid w:val="10D591E5"/>
    <w:multiLevelType w:val="multilevel"/>
    <w:tmpl w:val="10D591E5"/>
    <w:lvl w:ilvl="0" w:tentative="0">
      <w:start w:val="1"/>
      <w:numFmt w:val="decimal"/>
      <w:lvlText w:val="%1"/>
      <w:lvlJc w:val="left"/>
      <w:pPr>
        <w:ind w:left="238" w:hanging="420"/>
      </w:pPr>
      <w:rPr>
        <w:rFonts w:hint="default"/>
        <w:lang w:val="zh-CN" w:eastAsia="zh-CN" w:bidi="zh-CN"/>
      </w:rPr>
    </w:lvl>
    <w:lvl w:ilvl="1" w:tentative="0">
      <w:start w:val="1"/>
      <w:numFmt w:val="decimal"/>
      <w:lvlText w:val="%1.%2"/>
      <w:lvlJc w:val="left"/>
      <w:pPr>
        <w:ind w:left="238" w:hanging="420"/>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2153" w:hanging="420"/>
      </w:pPr>
      <w:rPr>
        <w:rFonts w:hint="default"/>
        <w:lang w:val="zh-CN" w:eastAsia="zh-CN" w:bidi="zh-CN"/>
      </w:rPr>
    </w:lvl>
    <w:lvl w:ilvl="3" w:tentative="0">
      <w:start w:val="0"/>
      <w:numFmt w:val="bullet"/>
      <w:lvlText w:val="•"/>
      <w:lvlJc w:val="left"/>
      <w:pPr>
        <w:ind w:left="3109" w:hanging="420"/>
      </w:pPr>
      <w:rPr>
        <w:rFonts w:hint="default"/>
        <w:lang w:val="zh-CN" w:eastAsia="zh-CN" w:bidi="zh-CN"/>
      </w:rPr>
    </w:lvl>
    <w:lvl w:ilvl="4" w:tentative="0">
      <w:start w:val="0"/>
      <w:numFmt w:val="bullet"/>
      <w:lvlText w:val="•"/>
      <w:lvlJc w:val="left"/>
      <w:pPr>
        <w:ind w:left="4066" w:hanging="420"/>
      </w:pPr>
      <w:rPr>
        <w:rFonts w:hint="default"/>
        <w:lang w:val="zh-CN" w:eastAsia="zh-CN" w:bidi="zh-CN"/>
      </w:rPr>
    </w:lvl>
    <w:lvl w:ilvl="5" w:tentative="0">
      <w:start w:val="0"/>
      <w:numFmt w:val="bullet"/>
      <w:lvlText w:val="•"/>
      <w:lvlJc w:val="left"/>
      <w:pPr>
        <w:ind w:left="5023" w:hanging="420"/>
      </w:pPr>
      <w:rPr>
        <w:rFonts w:hint="default"/>
        <w:lang w:val="zh-CN" w:eastAsia="zh-CN" w:bidi="zh-CN"/>
      </w:rPr>
    </w:lvl>
    <w:lvl w:ilvl="6" w:tentative="0">
      <w:start w:val="0"/>
      <w:numFmt w:val="bullet"/>
      <w:lvlText w:val="•"/>
      <w:lvlJc w:val="left"/>
      <w:pPr>
        <w:ind w:left="5979" w:hanging="420"/>
      </w:pPr>
      <w:rPr>
        <w:rFonts w:hint="default"/>
        <w:lang w:val="zh-CN" w:eastAsia="zh-CN" w:bidi="zh-CN"/>
      </w:rPr>
    </w:lvl>
    <w:lvl w:ilvl="7" w:tentative="0">
      <w:start w:val="0"/>
      <w:numFmt w:val="bullet"/>
      <w:lvlText w:val="•"/>
      <w:lvlJc w:val="left"/>
      <w:pPr>
        <w:ind w:left="6936" w:hanging="420"/>
      </w:pPr>
      <w:rPr>
        <w:rFonts w:hint="default"/>
        <w:lang w:val="zh-CN" w:eastAsia="zh-CN" w:bidi="zh-CN"/>
      </w:rPr>
    </w:lvl>
    <w:lvl w:ilvl="8" w:tentative="0">
      <w:start w:val="0"/>
      <w:numFmt w:val="bullet"/>
      <w:lvlText w:val="•"/>
      <w:lvlJc w:val="left"/>
      <w:pPr>
        <w:ind w:left="7892" w:hanging="420"/>
      </w:pPr>
      <w:rPr>
        <w:rFonts w:hint="default"/>
        <w:lang w:val="zh-CN" w:eastAsia="zh-CN" w:bidi="zh-CN"/>
      </w:rPr>
    </w:lvl>
  </w:abstractNum>
  <w:abstractNum w:abstractNumId="15">
    <w:nsid w:val="19FACB72"/>
    <w:multiLevelType w:val="singleLevel"/>
    <w:tmpl w:val="19FACB72"/>
    <w:lvl w:ilvl="0" w:tentative="0">
      <w:start w:val="1"/>
      <w:numFmt w:val="chineseCounting"/>
      <w:suff w:val="nothing"/>
      <w:lvlText w:val="（%1）"/>
      <w:lvlJc w:val="left"/>
      <w:rPr>
        <w:rFonts w:hint="eastAsia"/>
      </w:rPr>
    </w:lvl>
  </w:abstractNum>
  <w:abstractNum w:abstractNumId="16">
    <w:nsid w:val="1AD50295"/>
    <w:multiLevelType w:val="multilevel"/>
    <w:tmpl w:val="1AD50295"/>
    <w:lvl w:ilvl="0" w:tentative="0">
      <w:start w:val="1"/>
      <w:numFmt w:val="decimal"/>
      <w:lvlText w:val="%1）"/>
      <w:lvlJc w:val="left"/>
      <w:pPr>
        <w:ind w:left="238" w:hanging="316"/>
      </w:pPr>
      <w:rPr>
        <w:rFonts w:hint="default" w:ascii="宋体" w:hAnsi="宋体" w:eastAsia="宋体" w:cs="宋体"/>
        <w:spacing w:val="-22"/>
        <w:w w:val="99"/>
        <w:sz w:val="19"/>
        <w:szCs w:val="19"/>
        <w:lang w:val="zh-CN" w:eastAsia="zh-CN" w:bidi="zh-CN"/>
      </w:rPr>
    </w:lvl>
    <w:lvl w:ilvl="1" w:tentative="0">
      <w:start w:val="0"/>
      <w:numFmt w:val="bullet"/>
      <w:lvlText w:val="•"/>
      <w:lvlJc w:val="left"/>
      <w:pPr>
        <w:ind w:left="1196" w:hanging="316"/>
      </w:pPr>
      <w:rPr>
        <w:rFonts w:hint="default"/>
        <w:lang w:val="zh-CN" w:eastAsia="zh-CN" w:bidi="zh-CN"/>
      </w:rPr>
    </w:lvl>
    <w:lvl w:ilvl="2" w:tentative="0">
      <w:start w:val="0"/>
      <w:numFmt w:val="bullet"/>
      <w:lvlText w:val="•"/>
      <w:lvlJc w:val="left"/>
      <w:pPr>
        <w:ind w:left="2153" w:hanging="316"/>
      </w:pPr>
      <w:rPr>
        <w:rFonts w:hint="default"/>
        <w:lang w:val="zh-CN" w:eastAsia="zh-CN" w:bidi="zh-CN"/>
      </w:rPr>
    </w:lvl>
    <w:lvl w:ilvl="3" w:tentative="0">
      <w:start w:val="0"/>
      <w:numFmt w:val="bullet"/>
      <w:lvlText w:val="•"/>
      <w:lvlJc w:val="left"/>
      <w:pPr>
        <w:ind w:left="3109" w:hanging="316"/>
      </w:pPr>
      <w:rPr>
        <w:rFonts w:hint="default"/>
        <w:lang w:val="zh-CN" w:eastAsia="zh-CN" w:bidi="zh-CN"/>
      </w:rPr>
    </w:lvl>
    <w:lvl w:ilvl="4" w:tentative="0">
      <w:start w:val="0"/>
      <w:numFmt w:val="bullet"/>
      <w:lvlText w:val="•"/>
      <w:lvlJc w:val="left"/>
      <w:pPr>
        <w:ind w:left="4066" w:hanging="316"/>
      </w:pPr>
      <w:rPr>
        <w:rFonts w:hint="default"/>
        <w:lang w:val="zh-CN" w:eastAsia="zh-CN" w:bidi="zh-CN"/>
      </w:rPr>
    </w:lvl>
    <w:lvl w:ilvl="5" w:tentative="0">
      <w:start w:val="0"/>
      <w:numFmt w:val="bullet"/>
      <w:lvlText w:val="•"/>
      <w:lvlJc w:val="left"/>
      <w:pPr>
        <w:ind w:left="5023" w:hanging="316"/>
      </w:pPr>
      <w:rPr>
        <w:rFonts w:hint="default"/>
        <w:lang w:val="zh-CN" w:eastAsia="zh-CN" w:bidi="zh-CN"/>
      </w:rPr>
    </w:lvl>
    <w:lvl w:ilvl="6" w:tentative="0">
      <w:start w:val="0"/>
      <w:numFmt w:val="bullet"/>
      <w:lvlText w:val="•"/>
      <w:lvlJc w:val="left"/>
      <w:pPr>
        <w:ind w:left="5979" w:hanging="316"/>
      </w:pPr>
      <w:rPr>
        <w:rFonts w:hint="default"/>
        <w:lang w:val="zh-CN" w:eastAsia="zh-CN" w:bidi="zh-CN"/>
      </w:rPr>
    </w:lvl>
    <w:lvl w:ilvl="7" w:tentative="0">
      <w:start w:val="0"/>
      <w:numFmt w:val="bullet"/>
      <w:lvlText w:val="•"/>
      <w:lvlJc w:val="left"/>
      <w:pPr>
        <w:ind w:left="6936" w:hanging="316"/>
      </w:pPr>
      <w:rPr>
        <w:rFonts w:hint="default"/>
        <w:lang w:val="zh-CN" w:eastAsia="zh-CN" w:bidi="zh-CN"/>
      </w:rPr>
    </w:lvl>
    <w:lvl w:ilvl="8" w:tentative="0">
      <w:start w:val="0"/>
      <w:numFmt w:val="bullet"/>
      <w:lvlText w:val="•"/>
      <w:lvlJc w:val="left"/>
      <w:pPr>
        <w:ind w:left="7892" w:hanging="316"/>
      </w:pPr>
      <w:rPr>
        <w:rFonts w:hint="default"/>
        <w:lang w:val="zh-CN" w:eastAsia="zh-CN" w:bidi="zh-CN"/>
      </w:rPr>
    </w:lvl>
  </w:abstractNum>
  <w:abstractNum w:abstractNumId="17">
    <w:nsid w:val="438040B5"/>
    <w:multiLevelType w:val="singleLevel"/>
    <w:tmpl w:val="438040B5"/>
    <w:lvl w:ilvl="0" w:tentative="0">
      <w:start w:val="6"/>
      <w:numFmt w:val="decimal"/>
      <w:lvlText w:val="%1."/>
      <w:lvlJc w:val="left"/>
      <w:pPr>
        <w:tabs>
          <w:tab w:val="left" w:pos="312"/>
        </w:tabs>
      </w:pPr>
    </w:lvl>
  </w:abstractNum>
  <w:abstractNum w:abstractNumId="18">
    <w:nsid w:val="4A51D704"/>
    <w:multiLevelType w:val="multilevel"/>
    <w:tmpl w:val="4A51D704"/>
    <w:lvl w:ilvl="0" w:tentative="0">
      <w:start w:val="5"/>
      <w:numFmt w:val="decimal"/>
      <w:lvlText w:val="%1"/>
      <w:lvlJc w:val="left"/>
      <w:pPr>
        <w:ind w:left="238" w:hanging="368"/>
      </w:pPr>
      <w:rPr>
        <w:rFonts w:hint="default"/>
        <w:lang w:val="zh-CN" w:eastAsia="zh-CN" w:bidi="zh-CN"/>
      </w:rPr>
    </w:lvl>
    <w:lvl w:ilvl="1" w:tentative="0">
      <w:start w:val="1"/>
      <w:numFmt w:val="decimal"/>
      <w:lvlText w:val="%1.%2"/>
      <w:lvlJc w:val="left"/>
      <w:pPr>
        <w:ind w:left="238" w:hanging="368"/>
      </w:pPr>
      <w:rPr>
        <w:rFonts w:hint="default"/>
        <w:spacing w:val="0"/>
        <w:w w:val="99"/>
        <w:lang w:val="zh-CN" w:eastAsia="zh-CN" w:bidi="zh-CN"/>
      </w:rPr>
    </w:lvl>
    <w:lvl w:ilvl="2" w:tentative="0">
      <w:start w:val="1"/>
      <w:numFmt w:val="decimal"/>
      <w:lvlText w:val="%1.%2.%3"/>
      <w:lvlJc w:val="left"/>
      <w:pPr>
        <w:ind w:left="238" w:hanging="576"/>
      </w:pPr>
      <w:rPr>
        <w:rFonts w:hint="default" w:ascii="宋体" w:hAnsi="宋体" w:eastAsia="宋体" w:cs="宋体"/>
        <w:spacing w:val="-2"/>
        <w:w w:val="99"/>
        <w:sz w:val="21"/>
        <w:szCs w:val="21"/>
        <w:lang w:val="zh-CN" w:eastAsia="zh-CN" w:bidi="zh-CN"/>
      </w:rPr>
    </w:lvl>
    <w:lvl w:ilvl="3" w:tentative="0">
      <w:start w:val="0"/>
      <w:numFmt w:val="bullet"/>
      <w:lvlText w:val="•"/>
      <w:lvlJc w:val="left"/>
      <w:pPr>
        <w:ind w:left="3109" w:hanging="576"/>
      </w:pPr>
      <w:rPr>
        <w:rFonts w:hint="default"/>
        <w:lang w:val="zh-CN" w:eastAsia="zh-CN" w:bidi="zh-CN"/>
      </w:rPr>
    </w:lvl>
    <w:lvl w:ilvl="4" w:tentative="0">
      <w:start w:val="0"/>
      <w:numFmt w:val="bullet"/>
      <w:lvlText w:val="•"/>
      <w:lvlJc w:val="left"/>
      <w:pPr>
        <w:ind w:left="4066" w:hanging="576"/>
      </w:pPr>
      <w:rPr>
        <w:rFonts w:hint="default"/>
        <w:lang w:val="zh-CN" w:eastAsia="zh-CN" w:bidi="zh-CN"/>
      </w:rPr>
    </w:lvl>
    <w:lvl w:ilvl="5" w:tentative="0">
      <w:start w:val="0"/>
      <w:numFmt w:val="bullet"/>
      <w:lvlText w:val="•"/>
      <w:lvlJc w:val="left"/>
      <w:pPr>
        <w:ind w:left="5023" w:hanging="576"/>
      </w:pPr>
      <w:rPr>
        <w:rFonts w:hint="default"/>
        <w:lang w:val="zh-CN" w:eastAsia="zh-CN" w:bidi="zh-CN"/>
      </w:rPr>
    </w:lvl>
    <w:lvl w:ilvl="6" w:tentative="0">
      <w:start w:val="0"/>
      <w:numFmt w:val="bullet"/>
      <w:lvlText w:val="•"/>
      <w:lvlJc w:val="left"/>
      <w:pPr>
        <w:ind w:left="5979" w:hanging="576"/>
      </w:pPr>
      <w:rPr>
        <w:rFonts w:hint="default"/>
        <w:lang w:val="zh-CN" w:eastAsia="zh-CN" w:bidi="zh-CN"/>
      </w:rPr>
    </w:lvl>
    <w:lvl w:ilvl="7" w:tentative="0">
      <w:start w:val="0"/>
      <w:numFmt w:val="bullet"/>
      <w:lvlText w:val="•"/>
      <w:lvlJc w:val="left"/>
      <w:pPr>
        <w:ind w:left="6936" w:hanging="576"/>
      </w:pPr>
      <w:rPr>
        <w:rFonts w:hint="default"/>
        <w:lang w:val="zh-CN" w:eastAsia="zh-CN" w:bidi="zh-CN"/>
      </w:rPr>
    </w:lvl>
    <w:lvl w:ilvl="8" w:tentative="0">
      <w:start w:val="0"/>
      <w:numFmt w:val="bullet"/>
      <w:lvlText w:val="•"/>
      <w:lvlJc w:val="left"/>
      <w:pPr>
        <w:ind w:left="7892" w:hanging="576"/>
      </w:pPr>
      <w:rPr>
        <w:rFonts w:hint="default"/>
        <w:lang w:val="zh-CN" w:eastAsia="zh-CN" w:bidi="zh-CN"/>
      </w:rPr>
    </w:lvl>
  </w:abstractNum>
  <w:abstractNum w:abstractNumId="19">
    <w:nsid w:val="5A3C78F4"/>
    <w:multiLevelType w:val="singleLevel"/>
    <w:tmpl w:val="5A3C78F4"/>
    <w:lvl w:ilvl="0" w:tentative="0">
      <w:start w:val="3"/>
      <w:numFmt w:val="chineseCounting"/>
      <w:suff w:val="space"/>
      <w:lvlText w:val="第%1章"/>
      <w:lvlJc w:val="left"/>
      <w:rPr>
        <w:rFonts w:hint="eastAsia"/>
      </w:rPr>
    </w:lvl>
  </w:abstractNum>
  <w:abstractNum w:abstractNumId="20">
    <w:nsid w:val="5FCE4367"/>
    <w:multiLevelType w:val="multilevel"/>
    <w:tmpl w:val="5FCE4367"/>
    <w:lvl w:ilvl="0" w:tentative="0">
      <w:start w:val="1"/>
      <w:numFmt w:val="lowerLetter"/>
      <w:lvlText w:val="%1."/>
      <w:lvlJc w:val="left"/>
      <w:pPr>
        <w:ind w:left="869" w:hanging="212"/>
      </w:pPr>
      <w:rPr>
        <w:rFonts w:hint="default" w:ascii="宋体" w:hAnsi="宋体" w:eastAsia="宋体" w:cs="宋体"/>
        <w:spacing w:val="-2"/>
        <w:w w:val="99"/>
        <w:sz w:val="19"/>
        <w:szCs w:val="19"/>
        <w:lang w:val="zh-CN" w:eastAsia="zh-CN" w:bidi="zh-CN"/>
      </w:rPr>
    </w:lvl>
    <w:lvl w:ilvl="1" w:tentative="0">
      <w:start w:val="0"/>
      <w:numFmt w:val="bullet"/>
      <w:lvlText w:val="•"/>
      <w:lvlJc w:val="left"/>
      <w:pPr>
        <w:ind w:left="1754" w:hanging="212"/>
      </w:pPr>
      <w:rPr>
        <w:rFonts w:hint="default"/>
        <w:lang w:val="zh-CN" w:eastAsia="zh-CN" w:bidi="zh-CN"/>
      </w:rPr>
    </w:lvl>
    <w:lvl w:ilvl="2" w:tentative="0">
      <w:start w:val="0"/>
      <w:numFmt w:val="bullet"/>
      <w:lvlText w:val="•"/>
      <w:lvlJc w:val="left"/>
      <w:pPr>
        <w:ind w:left="2649" w:hanging="212"/>
      </w:pPr>
      <w:rPr>
        <w:rFonts w:hint="default"/>
        <w:lang w:val="zh-CN" w:eastAsia="zh-CN" w:bidi="zh-CN"/>
      </w:rPr>
    </w:lvl>
    <w:lvl w:ilvl="3" w:tentative="0">
      <w:start w:val="0"/>
      <w:numFmt w:val="bullet"/>
      <w:lvlText w:val="•"/>
      <w:lvlJc w:val="left"/>
      <w:pPr>
        <w:ind w:left="3543" w:hanging="212"/>
      </w:pPr>
      <w:rPr>
        <w:rFonts w:hint="default"/>
        <w:lang w:val="zh-CN" w:eastAsia="zh-CN" w:bidi="zh-CN"/>
      </w:rPr>
    </w:lvl>
    <w:lvl w:ilvl="4" w:tentative="0">
      <w:start w:val="0"/>
      <w:numFmt w:val="bullet"/>
      <w:lvlText w:val="•"/>
      <w:lvlJc w:val="left"/>
      <w:pPr>
        <w:ind w:left="4438" w:hanging="212"/>
      </w:pPr>
      <w:rPr>
        <w:rFonts w:hint="default"/>
        <w:lang w:val="zh-CN" w:eastAsia="zh-CN" w:bidi="zh-CN"/>
      </w:rPr>
    </w:lvl>
    <w:lvl w:ilvl="5" w:tentative="0">
      <w:start w:val="0"/>
      <w:numFmt w:val="bullet"/>
      <w:lvlText w:val="•"/>
      <w:lvlJc w:val="left"/>
      <w:pPr>
        <w:ind w:left="5333" w:hanging="212"/>
      </w:pPr>
      <w:rPr>
        <w:rFonts w:hint="default"/>
        <w:lang w:val="zh-CN" w:eastAsia="zh-CN" w:bidi="zh-CN"/>
      </w:rPr>
    </w:lvl>
    <w:lvl w:ilvl="6" w:tentative="0">
      <w:start w:val="0"/>
      <w:numFmt w:val="bullet"/>
      <w:lvlText w:val="•"/>
      <w:lvlJc w:val="left"/>
      <w:pPr>
        <w:ind w:left="6227" w:hanging="212"/>
      </w:pPr>
      <w:rPr>
        <w:rFonts w:hint="default"/>
        <w:lang w:val="zh-CN" w:eastAsia="zh-CN" w:bidi="zh-CN"/>
      </w:rPr>
    </w:lvl>
    <w:lvl w:ilvl="7" w:tentative="0">
      <w:start w:val="0"/>
      <w:numFmt w:val="bullet"/>
      <w:lvlText w:val="•"/>
      <w:lvlJc w:val="left"/>
      <w:pPr>
        <w:ind w:left="7122" w:hanging="212"/>
      </w:pPr>
      <w:rPr>
        <w:rFonts w:hint="default"/>
        <w:lang w:val="zh-CN" w:eastAsia="zh-CN" w:bidi="zh-CN"/>
      </w:rPr>
    </w:lvl>
    <w:lvl w:ilvl="8" w:tentative="0">
      <w:start w:val="0"/>
      <w:numFmt w:val="bullet"/>
      <w:lvlText w:val="•"/>
      <w:lvlJc w:val="left"/>
      <w:pPr>
        <w:ind w:left="8016" w:hanging="212"/>
      </w:pPr>
      <w:rPr>
        <w:rFonts w:hint="default"/>
        <w:lang w:val="zh-CN" w:eastAsia="zh-CN" w:bidi="zh-CN"/>
      </w:rPr>
    </w:lvl>
  </w:abstractNum>
  <w:abstractNum w:abstractNumId="21">
    <w:nsid w:val="610EFE5C"/>
    <w:multiLevelType w:val="multilevel"/>
    <w:tmpl w:val="610EFE5C"/>
    <w:lvl w:ilvl="0" w:tentative="0">
      <w:start w:val="7"/>
      <w:numFmt w:val="decimal"/>
      <w:lvlText w:val="%1"/>
      <w:lvlJc w:val="left"/>
      <w:pPr>
        <w:ind w:left="238" w:hanging="368"/>
      </w:pPr>
      <w:rPr>
        <w:rFonts w:hint="default"/>
        <w:lang w:val="zh-CN" w:eastAsia="zh-CN" w:bidi="zh-CN"/>
      </w:rPr>
    </w:lvl>
    <w:lvl w:ilvl="1" w:tentative="0">
      <w:start w:val="1"/>
      <w:numFmt w:val="decimal"/>
      <w:lvlText w:val="%1.%2"/>
      <w:lvlJc w:val="left"/>
      <w:pPr>
        <w:ind w:left="238" w:hanging="368"/>
      </w:pPr>
      <w:rPr>
        <w:rFonts w:hint="default" w:ascii="宋体" w:hAnsi="宋体" w:eastAsia="宋体" w:cs="宋体"/>
        <w:spacing w:val="0"/>
        <w:w w:val="99"/>
        <w:sz w:val="21"/>
        <w:szCs w:val="21"/>
        <w:lang w:val="zh-CN" w:eastAsia="zh-CN" w:bidi="zh-CN"/>
      </w:rPr>
    </w:lvl>
    <w:lvl w:ilvl="2" w:tentative="0">
      <w:start w:val="0"/>
      <w:numFmt w:val="bullet"/>
      <w:lvlText w:val="•"/>
      <w:lvlJc w:val="left"/>
      <w:pPr>
        <w:ind w:left="2153" w:hanging="368"/>
      </w:pPr>
      <w:rPr>
        <w:rFonts w:hint="default"/>
        <w:lang w:val="zh-CN" w:eastAsia="zh-CN" w:bidi="zh-CN"/>
      </w:rPr>
    </w:lvl>
    <w:lvl w:ilvl="3" w:tentative="0">
      <w:start w:val="0"/>
      <w:numFmt w:val="bullet"/>
      <w:lvlText w:val="•"/>
      <w:lvlJc w:val="left"/>
      <w:pPr>
        <w:ind w:left="3109" w:hanging="368"/>
      </w:pPr>
      <w:rPr>
        <w:rFonts w:hint="default"/>
        <w:lang w:val="zh-CN" w:eastAsia="zh-CN" w:bidi="zh-CN"/>
      </w:rPr>
    </w:lvl>
    <w:lvl w:ilvl="4" w:tentative="0">
      <w:start w:val="0"/>
      <w:numFmt w:val="bullet"/>
      <w:lvlText w:val="•"/>
      <w:lvlJc w:val="left"/>
      <w:pPr>
        <w:ind w:left="4066" w:hanging="368"/>
      </w:pPr>
      <w:rPr>
        <w:rFonts w:hint="default"/>
        <w:lang w:val="zh-CN" w:eastAsia="zh-CN" w:bidi="zh-CN"/>
      </w:rPr>
    </w:lvl>
    <w:lvl w:ilvl="5" w:tentative="0">
      <w:start w:val="0"/>
      <w:numFmt w:val="bullet"/>
      <w:lvlText w:val="•"/>
      <w:lvlJc w:val="left"/>
      <w:pPr>
        <w:ind w:left="5023" w:hanging="368"/>
      </w:pPr>
      <w:rPr>
        <w:rFonts w:hint="default"/>
        <w:lang w:val="zh-CN" w:eastAsia="zh-CN" w:bidi="zh-CN"/>
      </w:rPr>
    </w:lvl>
    <w:lvl w:ilvl="6" w:tentative="0">
      <w:start w:val="0"/>
      <w:numFmt w:val="bullet"/>
      <w:lvlText w:val="•"/>
      <w:lvlJc w:val="left"/>
      <w:pPr>
        <w:ind w:left="5979" w:hanging="368"/>
      </w:pPr>
      <w:rPr>
        <w:rFonts w:hint="default"/>
        <w:lang w:val="zh-CN" w:eastAsia="zh-CN" w:bidi="zh-CN"/>
      </w:rPr>
    </w:lvl>
    <w:lvl w:ilvl="7" w:tentative="0">
      <w:start w:val="0"/>
      <w:numFmt w:val="bullet"/>
      <w:lvlText w:val="•"/>
      <w:lvlJc w:val="left"/>
      <w:pPr>
        <w:ind w:left="6936" w:hanging="368"/>
      </w:pPr>
      <w:rPr>
        <w:rFonts w:hint="default"/>
        <w:lang w:val="zh-CN" w:eastAsia="zh-CN" w:bidi="zh-CN"/>
      </w:rPr>
    </w:lvl>
    <w:lvl w:ilvl="8" w:tentative="0">
      <w:start w:val="0"/>
      <w:numFmt w:val="bullet"/>
      <w:lvlText w:val="•"/>
      <w:lvlJc w:val="left"/>
      <w:pPr>
        <w:ind w:left="7892" w:hanging="368"/>
      </w:pPr>
      <w:rPr>
        <w:rFonts w:hint="default"/>
        <w:lang w:val="zh-CN" w:eastAsia="zh-CN" w:bidi="zh-CN"/>
      </w:rPr>
    </w:lvl>
  </w:abstractNum>
  <w:abstractNum w:abstractNumId="22">
    <w:nsid w:val="63ECF3BE"/>
    <w:multiLevelType w:val="singleLevel"/>
    <w:tmpl w:val="63ECF3BE"/>
    <w:lvl w:ilvl="0" w:tentative="0">
      <w:start w:val="6"/>
      <w:numFmt w:val="chineseCounting"/>
      <w:lvlText w:val="第%1章"/>
      <w:lvlJc w:val="left"/>
      <w:rPr>
        <w:rFonts w:hint="eastAsia"/>
      </w:rPr>
    </w:lvl>
  </w:abstractNum>
  <w:num w:numId="1">
    <w:abstractNumId w:val="9"/>
  </w:num>
  <w:num w:numId="2">
    <w:abstractNumId w:val="8"/>
  </w:num>
  <w:num w:numId="3">
    <w:abstractNumId w:val="17"/>
  </w:num>
  <w:num w:numId="4">
    <w:abstractNumId w:val="19"/>
  </w:num>
  <w:num w:numId="5">
    <w:abstractNumId w:val="13"/>
  </w:num>
  <w:num w:numId="6">
    <w:abstractNumId w:val="0"/>
  </w:num>
  <w:num w:numId="7">
    <w:abstractNumId w:val="15"/>
  </w:num>
  <w:num w:numId="8">
    <w:abstractNumId w:val="2"/>
  </w:num>
  <w:num w:numId="9">
    <w:abstractNumId w:val="10"/>
  </w:num>
  <w:num w:numId="10">
    <w:abstractNumId w:val="14"/>
  </w:num>
  <w:num w:numId="11">
    <w:abstractNumId w:val="3"/>
  </w:num>
  <w:num w:numId="12">
    <w:abstractNumId w:val="7"/>
  </w:num>
  <w:num w:numId="13">
    <w:abstractNumId w:val="16"/>
  </w:num>
  <w:num w:numId="14">
    <w:abstractNumId w:val="18"/>
  </w:num>
  <w:num w:numId="15">
    <w:abstractNumId w:val="5"/>
  </w:num>
  <w:num w:numId="16">
    <w:abstractNumId w:val="21"/>
  </w:num>
  <w:num w:numId="17">
    <w:abstractNumId w:val="1"/>
  </w:num>
  <w:num w:numId="18">
    <w:abstractNumId w:val="22"/>
  </w:num>
  <w:num w:numId="19">
    <w:abstractNumId w:val="6"/>
  </w:num>
  <w:num w:numId="20">
    <w:abstractNumId w:val="20"/>
  </w:num>
  <w:num w:numId="21">
    <w:abstractNumId w:val="11"/>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bordersDoNotSurroundHeader w:val="1"/>
  <w:bordersDoNotSurroundFooter w:val="1"/>
  <w:documentProtection w:enforcement="0"/>
  <w:defaultTabStop w:val="720"/>
  <w:drawingGridHorizontalSpacing w:val="110"/>
  <w:noPunctuationKerning w:val="1"/>
  <w:characterSpacingControl w:val="doNotCompress"/>
  <w:hdrShapeDefaults>
    <o:shapelayout v:ext="edit">
      <o:idmap v:ext="edit" data="3,4"/>
    </o:shapelayout>
  </w:hdrShapeDefaults>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BjOWE0NWZlZDkyOThkY2I1ZWRhNTdiOWE5NmIyZGIifQ=="/>
  </w:docVars>
  <w:rsids>
    <w:rsidRoot w:val="00453951"/>
    <w:rsid w:val="00107D89"/>
    <w:rsid w:val="0011235C"/>
    <w:rsid w:val="0012026C"/>
    <w:rsid w:val="0014606D"/>
    <w:rsid w:val="001B25B7"/>
    <w:rsid w:val="001C17D8"/>
    <w:rsid w:val="001D6233"/>
    <w:rsid w:val="0022731A"/>
    <w:rsid w:val="002461A0"/>
    <w:rsid w:val="002652DA"/>
    <w:rsid w:val="002A4194"/>
    <w:rsid w:val="002A4A98"/>
    <w:rsid w:val="002B7A18"/>
    <w:rsid w:val="00397FF1"/>
    <w:rsid w:val="003C4FAE"/>
    <w:rsid w:val="0043177F"/>
    <w:rsid w:val="00453951"/>
    <w:rsid w:val="004871A0"/>
    <w:rsid w:val="004C1EA7"/>
    <w:rsid w:val="00602B99"/>
    <w:rsid w:val="00845D66"/>
    <w:rsid w:val="00862686"/>
    <w:rsid w:val="008A30E7"/>
    <w:rsid w:val="0095336F"/>
    <w:rsid w:val="00AF1827"/>
    <w:rsid w:val="00B14B39"/>
    <w:rsid w:val="00C01B4E"/>
    <w:rsid w:val="00C5003E"/>
    <w:rsid w:val="00CD7C03"/>
    <w:rsid w:val="00D011FB"/>
    <w:rsid w:val="00D96BC6"/>
    <w:rsid w:val="00DD0621"/>
    <w:rsid w:val="00E112EA"/>
    <w:rsid w:val="00E14B26"/>
    <w:rsid w:val="00E22B77"/>
    <w:rsid w:val="00E76F18"/>
    <w:rsid w:val="00EA0A2F"/>
    <w:rsid w:val="00EA0CC3"/>
    <w:rsid w:val="03046902"/>
    <w:rsid w:val="031D1807"/>
    <w:rsid w:val="034C2E36"/>
    <w:rsid w:val="03C22226"/>
    <w:rsid w:val="04441D61"/>
    <w:rsid w:val="04725813"/>
    <w:rsid w:val="049E78A7"/>
    <w:rsid w:val="05E24B67"/>
    <w:rsid w:val="061E5687"/>
    <w:rsid w:val="07926B85"/>
    <w:rsid w:val="08624875"/>
    <w:rsid w:val="092857DF"/>
    <w:rsid w:val="0E382DCA"/>
    <w:rsid w:val="0F2C7FC2"/>
    <w:rsid w:val="0F5662C3"/>
    <w:rsid w:val="103826AD"/>
    <w:rsid w:val="116A1733"/>
    <w:rsid w:val="124721E4"/>
    <w:rsid w:val="125D6CCC"/>
    <w:rsid w:val="127C2D35"/>
    <w:rsid w:val="12D6336A"/>
    <w:rsid w:val="1381371D"/>
    <w:rsid w:val="15222920"/>
    <w:rsid w:val="15331091"/>
    <w:rsid w:val="15485104"/>
    <w:rsid w:val="15A72366"/>
    <w:rsid w:val="15D86645"/>
    <w:rsid w:val="171C6DF5"/>
    <w:rsid w:val="19887BE3"/>
    <w:rsid w:val="1A446144"/>
    <w:rsid w:val="1A8C5DB8"/>
    <w:rsid w:val="1AC6778B"/>
    <w:rsid w:val="1ACD628B"/>
    <w:rsid w:val="1ADF5300"/>
    <w:rsid w:val="1B9D784A"/>
    <w:rsid w:val="1C822555"/>
    <w:rsid w:val="1DD74BA9"/>
    <w:rsid w:val="1E5833AE"/>
    <w:rsid w:val="1E9B2A6E"/>
    <w:rsid w:val="1FC45BF7"/>
    <w:rsid w:val="20717F2A"/>
    <w:rsid w:val="212F692A"/>
    <w:rsid w:val="214F31B3"/>
    <w:rsid w:val="2248596C"/>
    <w:rsid w:val="24B76319"/>
    <w:rsid w:val="2ABB0720"/>
    <w:rsid w:val="2B230073"/>
    <w:rsid w:val="2BA2543C"/>
    <w:rsid w:val="2C2B63A4"/>
    <w:rsid w:val="2D7E3C87"/>
    <w:rsid w:val="2E1614E9"/>
    <w:rsid w:val="2F631DCC"/>
    <w:rsid w:val="2F73560E"/>
    <w:rsid w:val="2F7E541B"/>
    <w:rsid w:val="2F833124"/>
    <w:rsid w:val="2F835C30"/>
    <w:rsid w:val="30A50806"/>
    <w:rsid w:val="32CA2337"/>
    <w:rsid w:val="32E501EF"/>
    <w:rsid w:val="32FC3D7F"/>
    <w:rsid w:val="34AC600E"/>
    <w:rsid w:val="359D1427"/>
    <w:rsid w:val="37264D8C"/>
    <w:rsid w:val="3786676E"/>
    <w:rsid w:val="386D767D"/>
    <w:rsid w:val="3D471091"/>
    <w:rsid w:val="3FB30E48"/>
    <w:rsid w:val="40CD467D"/>
    <w:rsid w:val="430265A7"/>
    <w:rsid w:val="430F77F0"/>
    <w:rsid w:val="44022AC4"/>
    <w:rsid w:val="445E35D2"/>
    <w:rsid w:val="44D75C46"/>
    <w:rsid w:val="46326F64"/>
    <w:rsid w:val="479C44DC"/>
    <w:rsid w:val="47A34DD7"/>
    <w:rsid w:val="484E5CBE"/>
    <w:rsid w:val="48890010"/>
    <w:rsid w:val="48C4125B"/>
    <w:rsid w:val="4B711842"/>
    <w:rsid w:val="4BAE1A45"/>
    <w:rsid w:val="4BB44A83"/>
    <w:rsid w:val="4CD617D0"/>
    <w:rsid w:val="4DAE7818"/>
    <w:rsid w:val="4E1833F4"/>
    <w:rsid w:val="4F3B7EC4"/>
    <w:rsid w:val="4F9B5B7A"/>
    <w:rsid w:val="513A2283"/>
    <w:rsid w:val="51F74B5B"/>
    <w:rsid w:val="536D3630"/>
    <w:rsid w:val="537657DE"/>
    <w:rsid w:val="53957A31"/>
    <w:rsid w:val="53CD17DF"/>
    <w:rsid w:val="55205306"/>
    <w:rsid w:val="556F7667"/>
    <w:rsid w:val="558A1392"/>
    <w:rsid w:val="56560313"/>
    <w:rsid w:val="57870B2E"/>
    <w:rsid w:val="57A22A70"/>
    <w:rsid w:val="589C4D75"/>
    <w:rsid w:val="58F016F3"/>
    <w:rsid w:val="5A294735"/>
    <w:rsid w:val="5A7005F5"/>
    <w:rsid w:val="5AAC0064"/>
    <w:rsid w:val="5C5E38C5"/>
    <w:rsid w:val="5D3537FD"/>
    <w:rsid w:val="5DDC5CDC"/>
    <w:rsid w:val="5E2F009E"/>
    <w:rsid w:val="5E4D0988"/>
    <w:rsid w:val="5E6E0C74"/>
    <w:rsid w:val="5E8E2375"/>
    <w:rsid w:val="5F524A76"/>
    <w:rsid w:val="5F661D01"/>
    <w:rsid w:val="5FC62CC2"/>
    <w:rsid w:val="61293DF3"/>
    <w:rsid w:val="614477C8"/>
    <w:rsid w:val="619D0475"/>
    <w:rsid w:val="62271F09"/>
    <w:rsid w:val="644F2A76"/>
    <w:rsid w:val="64F11C3E"/>
    <w:rsid w:val="65405E7A"/>
    <w:rsid w:val="657C215B"/>
    <w:rsid w:val="685B0A18"/>
    <w:rsid w:val="68F730F4"/>
    <w:rsid w:val="69A0638C"/>
    <w:rsid w:val="6C872615"/>
    <w:rsid w:val="6CE038C6"/>
    <w:rsid w:val="6D660DF3"/>
    <w:rsid w:val="6D7B6B19"/>
    <w:rsid w:val="6D8610BE"/>
    <w:rsid w:val="6D8E61F1"/>
    <w:rsid w:val="6E2C05BA"/>
    <w:rsid w:val="6E8652A8"/>
    <w:rsid w:val="6F8A5598"/>
    <w:rsid w:val="6F8C46AD"/>
    <w:rsid w:val="707565EA"/>
    <w:rsid w:val="70F2189B"/>
    <w:rsid w:val="72D70680"/>
    <w:rsid w:val="739322B9"/>
    <w:rsid w:val="747F1C95"/>
    <w:rsid w:val="748A3C8C"/>
    <w:rsid w:val="750A69E7"/>
    <w:rsid w:val="76B148F1"/>
    <w:rsid w:val="78A32D0B"/>
    <w:rsid w:val="79610437"/>
    <w:rsid w:val="7BF67178"/>
    <w:rsid w:val="7E2F2DE4"/>
    <w:rsid w:val="7FC5755B"/>
    <w:rsid w:val="7FF30330"/>
    <w:rsid w:val="B7F43D93"/>
    <w:rsid w:val="DEF9AFE8"/>
    <w:rsid w:val="F59B6F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ind w:right="87"/>
      <w:jc w:val="center"/>
      <w:outlineLvl w:val="0"/>
    </w:pPr>
    <w:rPr>
      <w:b/>
      <w:bCs/>
      <w:sz w:val="32"/>
      <w:szCs w:val="32"/>
    </w:rPr>
  </w:style>
  <w:style w:type="paragraph" w:styleId="2">
    <w:name w:val="heading 2"/>
    <w:basedOn w:val="1"/>
    <w:next w:val="1"/>
    <w:qFormat/>
    <w:uiPriority w:val="1"/>
    <w:pPr>
      <w:spacing w:before="53"/>
      <w:ind w:left="49" w:right="141"/>
      <w:jc w:val="center"/>
      <w:outlineLvl w:val="1"/>
    </w:pPr>
    <w:rPr>
      <w:sz w:val="32"/>
      <w:szCs w:val="32"/>
    </w:rPr>
  </w:style>
  <w:style w:type="paragraph" w:styleId="4">
    <w:name w:val="heading 3"/>
    <w:basedOn w:val="1"/>
    <w:next w:val="1"/>
    <w:qFormat/>
    <w:uiPriority w:val="1"/>
    <w:pPr>
      <w:spacing w:before="8"/>
      <w:ind w:left="49" w:right="136"/>
      <w:jc w:val="center"/>
      <w:outlineLvl w:val="2"/>
    </w:pPr>
    <w:rPr>
      <w:b/>
      <w:bCs/>
      <w:sz w:val="30"/>
      <w:szCs w:val="30"/>
    </w:rPr>
  </w:style>
  <w:style w:type="paragraph" w:styleId="5">
    <w:name w:val="heading 4"/>
    <w:basedOn w:val="1"/>
    <w:next w:val="1"/>
    <w:qFormat/>
    <w:uiPriority w:val="1"/>
    <w:pPr>
      <w:ind w:left="1138"/>
      <w:outlineLvl w:val="3"/>
    </w:pPr>
    <w:rPr>
      <w:sz w:val="30"/>
      <w:szCs w:val="30"/>
    </w:rPr>
  </w:style>
  <w:style w:type="paragraph" w:styleId="6">
    <w:name w:val="heading 5"/>
    <w:basedOn w:val="1"/>
    <w:next w:val="1"/>
    <w:qFormat/>
    <w:uiPriority w:val="1"/>
    <w:pPr>
      <w:spacing w:before="45"/>
      <w:ind w:left="49" w:right="138"/>
      <w:jc w:val="center"/>
      <w:outlineLvl w:val="4"/>
    </w:pPr>
    <w:rPr>
      <w:b/>
      <w:bCs/>
      <w:sz w:val="28"/>
      <w:szCs w:val="28"/>
    </w:rPr>
  </w:style>
  <w:style w:type="paragraph" w:styleId="7">
    <w:name w:val="heading 6"/>
    <w:basedOn w:val="1"/>
    <w:next w:val="1"/>
    <w:qFormat/>
    <w:uiPriority w:val="1"/>
    <w:pPr>
      <w:spacing w:before="124"/>
      <w:ind w:left="408"/>
      <w:outlineLvl w:val="5"/>
    </w:pPr>
    <w:rPr>
      <w:sz w:val="28"/>
      <w:szCs w:val="28"/>
    </w:rPr>
  </w:style>
  <w:style w:type="paragraph" w:styleId="8">
    <w:name w:val="heading 7"/>
    <w:basedOn w:val="1"/>
    <w:next w:val="1"/>
    <w:qFormat/>
    <w:uiPriority w:val="1"/>
    <w:pPr>
      <w:spacing w:before="116"/>
      <w:ind w:left="238"/>
      <w:outlineLvl w:val="6"/>
    </w:pPr>
    <w:rPr>
      <w:b/>
      <w:bCs/>
    </w:rPr>
  </w:style>
  <w:style w:type="paragraph" w:styleId="9">
    <w:name w:val="heading 8"/>
    <w:basedOn w:val="1"/>
    <w:next w:val="1"/>
    <w:qFormat/>
    <w:uiPriority w:val="1"/>
    <w:pPr>
      <w:ind w:left="658"/>
      <w:outlineLvl w:val="7"/>
    </w:pPr>
    <w:rPr>
      <w:b/>
      <w:bCs/>
      <w:sz w:val="21"/>
      <w:szCs w:val="21"/>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0">
    <w:name w:val="Normal Indent"/>
    <w:basedOn w:val="1"/>
    <w:next w:val="11"/>
    <w:qFormat/>
    <w:uiPriority w:val="0"/>
    <w:pPr>
      <w:ind w:firstLine="420"/>
    </w:pPr>
    <w:rPr>
      <w:szCs w:val="20"/>
    </w:rPr>
  </w:style>
  <w:style w:type="paragraph" w:styleId="11">
    <w:name w:val="Body Text Indent"/>
    <w:basedOn w:val="1"/>
    <w:next w:val="10"/>
    <w:qFormat/>
    <w:uiPriority w:val="0"/>
    <w:pPr>
      <w:spacing w:line="200" w:lineRule="atLeast"/>
      <w:ind w:firstLine="301"/>
    </w:pPr>
    <w:rPr>
      <w:rFonts w:hint="eastAsia" w:hAnsi="Courier New"/>
      <w:spacing w:val="-4"/>
      <w:sz w:val="18"/>
      <w:szCs w:val="20"/>
    </w:rPr>
  </w:style>
  <w:style w:type="paragraph" w:styleId="12">
    <w:name w:val="annotation text"/>
    <w:basedOn w:val="1"/>
    <w:qFormat/>
    <w:uiPriority w:val="0"/>
    <w:pPr>
      <w:jc w:val="left"/>
    </w:pPr>
  </w:style>
  <w:style w:type="paragraph" w:styleId="13">
    <w:name w:val="Body Text"/>
    <w:basedOn w:val="1"/>
    <w:next w:val="14"/>
    <w:link w:val="49"/>
    <w:qFormat/>
    <w:uiPriority w:val="1"/>
    <w:rPr>
      <w:sz w:val="21"/>
      <w:szCs w:val="21"/>
    </w:rPr>
  </w:style>
  <w:style w:type="paragraph" w:styleId="14">
    <w:name w:val="Body Text First Indent"/>
    <w:basedOn w:val="13"/>
    <w:next w:val="15"/>
    <w:qFormat/>
    <w:uiPriority w:val="0"/>
    <w:pPr>
      <w:adjustRightInd w:val="0"/>
      <w:spacing w:after="120"/>
      <w:ind w:firstLine="420" w:firstLineChars="100"/>
      <w:jc w:val="both"/>
      <w:textAlignment w:val="baseline"/>
    </w:pPr>
    <w:rPr>
      <w:rFonts w:ascii="Calibri" w:hAnsi="Calibri" w:cs="Times New Roman"/>
      <w:kern w:val="2"/>
      <w:sz w:val="24"/>
      <w:szCs w:val="20"/>
      <w:lang w:val="en-US" w:bidi="ar-SA"/>
    </w:rPr>
  </w:style>
  <w:style w:type="paragraph" w:styleId="15">
    <w:name w:val="toc 6"/>
    <w:next w:val="1"/>
    <w:unhideWhenUsed/>
    <w:qFormat/>
    <w:uiPriority w:val="39"/>
    <w:pPr>
      <w:widowControl w:val="0"/>
      <w:ind w:left="1050"/>
    </w:pPr>
    <w:rPr>
      <w:rFonts w:ascii="Times New Roman" w:hAnsi="Times New Roman" w:eastAsia="宋体" w:cs="Times New Roman"/>
      <w:kern w:val="2"/>
      <w:sz w:val="18"/>
      <w:szCs w:val="18"/>
      <w:lang w:val="en-US" w:eastAsia="zh-CN" w:bidi="ar-SA"/>
    </w:rPr>
  </w:style>
  <w:style w:type="paragraph" w:styleId="16">
    <w:name w:val="Plain Text"/>
    <w:basedOn w:val="1"/>
    <w:next w:val="1"/>
    <w:qFormat/>
    <w:uiPriority w:val="0"/>
    <w:pPr>
      <w:spacing w:beforeLines="50" w:afterLines="50" w:line="400" w:lineRule="atLeast"/>
    </w:pPr>
    <w:rPr>
      <w:rFonts w:hAnsi="Courier New"/>
      <w:sz w:val="24"/>
    </w:rPr>
  </w:style>
  <w:style w:type="paragraph" w:styleId="17">
    <w:name w:val="Balloon Text"/>
    <w:basedOn w:val="1"/>
    <w:link w:val="50"/>
    <w:qFormat/>
    <w:uiPriority w:val="0"/>
    <w:rPr>
      <w:sz w:val="18"/>
      <w:szCs w:val="18"/>
    </w:rPr>
  </w:style>
  <w:style w:type="paragraph" w:styleId="18">
    <w:name w:val="footer"/>
    <w:basedOn w:val="1"/>
    <w:qFormat/>
    <w:uiPriority w:val="0"/>
    <w:pPr>
      <w:tabs>
        <w:tab w:val="center" w:pos="4153"/>
        <w:tab w:val="right" w:pos="8306"/>
      </w:tabs>
      <w:snapToGrid w:val="0"/>
    </w:pPr>
    <w:rPr>
      <w:sz w:val="18"/>
    </w:rPr>
  </w:style>
  <w:style w:type="paragraph" w:styleId="1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20">
    <w:name w:val="toc 1"/>
    <w:basedOn w:val="1"/>
    <w:next w:val="1"/>
    <w:qFormat/>
    <w:uiPriority w:val="1"/>
    <w:pPr>
      <w:spacing w:before="440"/>
      <w:ind w:left="238"/>
    </w:pPr>
    <w:rPr>
      <w:b/>
      <w:bCs/>
      <w:sz w:val="28"/>
      <w:szCs w:val="28"/>
    </w:rPr>
  </w:style>
  <w:style w:type="paragraph" w:styleId="21">
    <w:name w:val="List"/>
    <w:basedOn w:val="1"/>
    <w:qFormat/>
    <w:uiPriority w:val="0"/>
    <w:pPr>
      <w:ind w:left="200" w:hanging="200" w:hangingChars="200"/>
    </w:pPr>
    <w:rPr>
      <w:rFonts w:ascii="Times New Roman" w:hAnsi="Times New Roman"/>
      <w:szCs w:val="24"/>
    </w:rPr>
  </w:style>
  <w:style w:type="paragraph" w:styleId="22">
    <w:name w:val="Body Text 2"/>
    <w:basedOn w:val="1"/>
    <w:qFormat/>
    <w:uiPriority w:val="0"/>
    <w:pPr>
      <w:widowControl/>
      <w:snapToGrid w:val="0"/>
      <w:spacing w:afterLines="50" w:line="400" w:lineRule="atLeast"/>
    </w:pPr>
    <w:rPr>
      <w:rFonts w:hint="eastAsia"/>
      <w:color w:val="000000"/>
      <w:sz w:val="24"/>
    </w:rPr>
  </w:style>
  <w:style w:type="paragraph" w:styleId="23">
    <w:name w:val="Normal (Web)"/>
    <w:basedOn w:val="1"/>
    <w:qFormat/>
    <w:uiPriority w:val="0"/>
    <w:pPr>
      <w:widowControl/>
      <w:spacing w:beforeAutospacing="1" w:afterAutospacing="1"/>
    </w:pPr>
    <w:rPr>
      <w:color w:val="000000"/>
      <w:sz w:val="24"/>
    </w:rPr>
  </w:style>
  <w:style w:type="paragraph" w:styleId="24">
    <w:name w:val="Title"/>
    <w:basedOn w:val="1"/>
    <w:qFormat/>
    <w:uiPriority w:val="0"/>
    <w:pPr>
      <w:spacing w:before="240" w:after="60"/>
      <w:jc w:val="center"/>
      <w:outlineLvl w:val="0"/>
    </w:pPr>
    <w:rPr>
      <w:rFonts w:ascii="Arial" w:hAnsi="Arial" w:cs="Arial"/>
      <w:b/>
      <w:bCs/>
      <w:sz w:val="32"/>
      <w:szCs w:val="32"/>
    </w:rPr>
  </w:style>
  <w:style w:type="paragraph" w:styleId="25">
    <w:name w:val="Body Text First Indent 2"/>
    <w:basedOn w:val="11"/>
    <w:qFormat/>
    <w:uiPriority w:val="99"/>
    <w:pPr>
      <w:spacing w:after="120" w:line="240" w:lineRule="auto"/>
      <w:ind w:left="420" w:leftChars="200" w:firstLine="420" w:firstLineChars="200"/>
    </w:pPr>
    <w:rPr>
      <w:rFonts w:hint="default" w:ascii="Times New Roman" w:hAnsi="Times New Roman"/>
      <w:spacing w:val="0"/>
      <w:sz w:val="21"/>
      <w:szCs w:val="22"/>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29">
    <w:name w:val="Strong"/>
    <w:basedOn w:val="28"/>
    <w:qFormat/>
    <w:uiPriority w:val="22"/>
    <w:rPr>
      <w:b/>
      <w:bCs/>
    </w:rPr>
  </w:style>
  <w:style w:type="character" w:styleId="30">
    <w:name w:val="Hyperlink"/>
    <w:basedOn w:val="28"/>
    <w:qFormat/>
    <w:uiPriority w:val="0"/>
    <w:rPr>
      <w:color w:val="000000"/>
      <w:u w:val="none"/>
    </w:rPr>
  </w:style>
  <w:style w:type="paragraph" w:customStyle="1" w:styleId="31">
    <w:name w:val="_Style 3"/>
    <w:qFormat/>
    <w:uiPriority w:val="1"/>
    <w:pPr>
      <w:widowControl w:val="0"/>
      <w:jc w:val="both"/>
    </w:pPr>
    <w:rPr>
      <w:rFonts w:ascii="Calibri" w:hAnsi="Calibri" w:eastAsia="宋体" w:cs="Times New Roman"/>
      <w:kern w:val="2"/>
      <w:sz w:val="21"/>
      <w:szCs w:val="22"/>
      <w:lang w:val="en-US" w:eastAsia="zh-CN" w:bidi="ar-SA"/>
    </w:rPr>
  </w:style>
  <w:style w:type="paragraph" w:customStyle="1" w:styleId="32">
    <w:name w:val="无间距1"/>
    <w:qFormat/>
    <w:uiPriority w:val="1"/>
    <w:pPr>
      <w:widowControl w:val="0"/>
      <w:jc w:val="both"/>
    </w:pPr>
    <w:rPr>
      <w:rFonts w:ascii="Calibri" w:hAnsi="Calibri" w:eastAsia="微软雅黑 Light" w:cs="Times New Roman"/>
      <w:kern w:val="2"/>
      <w:sz w:val="24"/>
      <w:szCs w:val="22"/>
      <w:lang w:val="en-US" w:eastAsia="zh-CN" w:bidi="ar-SA"/>
    </w:rPr>
  </w:style>
  <w:style w:type="table" w:customStyle="1" w:styleId="33">
    <w:name w:val="Table Normal"/>
    <w:semiHidden/>
    <w:unhideWhenUsed/>
    <w:qFormat/>
    <w:uiPriority w:val="2"/>
    <w:tblPr>
      <w:tblCellMar>
        <w:top w:w="0" w:type="dxa"/>
        <w:left w:w="0" w:type="dxa"/>
        <w:bottom w:w="0" w:type="dxa"/>
        <w:right w:w="0" w:type="dxa"/>
      </w:tblCellMar>
    </w:tblPr>
  </w:style>
  <w:style w:type="paragraph" w:styleId="34">
    <w:name w:val="List Paragraph"/>
    <w:basedOn w:val="1"/>
    <w:qFormat/>
    <w:uiPriority w:val="1"/>
    <w:pPr>
      <w:ind w:left="238" w:firstLine="420"/>
    </w:pPr>
  </w:style>
  <w:style w:type="paragraph" w:customStyle="1" w:styleId="35">
    <w:name w:val="Table Paragraph"/>
    <w:basedOn w:val="1"/>
    <w:qFormat/>
    <w:uiPriority w:val="1"/>
  </w:style>
  <w:style w:type="paragraph" w:customStyle="1" w:styleId="36">
    <w:name w:val="Default"/>
    <w:unhideWhenUsed/>
    <w:qFormat/>
    <w:uiPriority w:val="0"/>
    <w:pPr>
      <w:widowControl w:val="0"/>
      <w:autoSpaceDE w:val="0"/>
      <w:autoSpaceDN w:val="0"/>
    </w:pPr>
    <w:rPr>
      <w:rFonts w:hint="eastAsia" w:ascii="宋体" w:hAnsi="宋体" w:eastAsia="宋体" w:cs="Times New Roman"/>
      <w:color w:val="000000"/>
      <w:sz w:val="24"/>
      <w:lang w:val="en-US" w:eastAsia="zh-CN" w:bidi="ar-SA"/>
    </w:rPr>
  </w:style>
  <w:style w:type="paragraph" w:customStyle="1" w:styleId="37">
    <w:name w:val="TOC 标题1"/>
    <w:basedOn w:val="3"/>
    <w:next w:val="1"/>
    <w:qFormat/>
    <w:uiPriority w:val="99"/>
    <w:pPr>
      <w:widowControl/>
      <w:autoSpaceDE/>
      <w:autoSpaceDN/>
      <w:spacing w:before="240" w:line="259" w:lineRule="auto"/>
      <w:outlineLvl w:val="9"/>
    </w:pPr>
    <w:rPr>
      <w:rFonts w:ascii="Calibri Light" w:hAnsi="Calibri Light"/>
      <w:b w:val="0"/>
      <w:color w:val="2E74B5"/>
    </w:rPr>
  </w:style>
  <w:style w:type="paragraph" w:customStyle="1" w:styleId="38">
    <w:name w:val="正文缩进1"/>
    <w:basedOn w:val="1"/>
    <w:qFormat/>
    <w:uiPriority w:val="0"/>
    <w:pPr>
      <w:adjustRightInd w:val="0"/>
      <w:ind w:firstLine="420"/>
    </w:pPr>
    <w:rPr>
      <w:rFonts w:hAnsi="Times New Roman"/>
      <w:sz w:val="24"/>
      <w:szCs w:val="20"/>
    </w:rPr>
  </w:style>
  <w:style w:type="paragraph" w:customStyle="1" w:styleId="39">
    <w:name w:val="索引 11"/>
    <w:basedOn w:val="1"/>
    <w:next w:val="1"/>
    <w:qFormat/>
    <w:uiPriority w:val="0"/>
    <w:pPr>
      <w:spacing w:line="360" w:lineRule="auto"/>
    </w:pPr>
    <w:rPr>
      <w:rFonts w:ascii="仿宋_GB2312" w:hAnsi="Times New Roman" w:eastAsia="仿宋_GB2312"/>
      <w:sz w:val="24"/>
      <w:szCs w:val="20"/>
    </w:rPr>
  </w:style>
  <w:style w:type="paragraph" w:customStyle="1" w:styleId="40">
    <w:name w:val="纯文本1"/>
    <w:basedOn w:val="41"/>
    <w:qFormat/>
    <w:uiPriority w:val="0"/>
    <w:rPr>
      <w:rFonts w:hAnsi="Courier New" w:cs="Times New Roman"/>
    </w:rPr>
  </w:style>
  <w:style w:type="paragraph" w:customStyle="1" w:styleId="41">
    <w:name w:val="正文2"/>
    <w:basedOn w:val="1"/>
    <w:qFormat/>
    <w:uiPriority w:val="0"/>
    <w:pPr>
      <w:autoSpaceDE/>
      <w:autoSpaceDN/>
      <w:spacing w:before="156" w:line="360" w:lineRule="auto"/>
      <w:ind w:firstLine="510" w:firstLineChars="200"/>
      <w:jc w:val="both"/>
    </w:pPr>
    <w:rPr>
      <w:rFonts w:hAnsi="Calibri" w:cs="Times New Roman"/>
      <w:sz w:val="24"/>
      <w:szCs w:val="20"/>
      <w:lang w:val="en-US" w:bidi="ar-SA"/>
    </w:rPr>
  </w:style>
  <w:style w:type="paragraph" w:customStyle="1" w:styleId="4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_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正文_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6">
    <w:name w:val="正文段"/>
    <w:basedOn w:val="1"/>
    <w:qFormat/>
    <w:uiPriority w:val="0"/>
    <w:pPr>
      <w:widowControl/>
      <w:snapToGrid w:val="0"/>
      <w:spacing w:afterLines="50"/>
      <w:ind w:firstLine="200" w:firstLineChars="200"/>
    </w:pPr>
    <w:rPr>
      <w:sz w:val="24"/>
      <w:szCs w:val="20"/>
    </w:rPr>
  </w:style>
  <w:style w:type="paragraph" w:customStyle="1" w:styleId="47">
    <w:name w:val="无间隔1"/>
    <w:qFormat/>
    <w:uiPriority w:val="99"/>
    <w:pPr>
      <w:adjustRightInd w:val="0"/>
      <w:snapToGrid w:val="0"/>
    </w:pPr>
    <w:rPr>
      <w:rFonts w:ascii="Tahoma" w:hAnsi="Tahoma" w:eastAsia="微软雅黑" w:cs="Times New Roman"/>
      <w:sz w:val="22"/>
      <w:szCs w:val="22"/>
      <w:lang w:val="en-US" w:eastAsia="zh-CN" w:bidi="ar-SA"/>
    </w:rPr>
  </w:style>
  <w:style w:type="paragraph" w:customStyle="1" w:styleId="48">
    <w:name w:val="正文0"/>
    <w:qFormat/>
    <w:uiPriority w:val="0"/>
    <w:pPr>
      <w:widowControl w:val="0"/>
      <w:spacing w:line="360" w:lineRule="auto"/>
      <w:ind w:firstLine="200" w:firstLineChars="200"/>
      <w:jc w:val="both"/>
    </w:pPr>
    <w:rPr>
      <w:rFonts w:ascii="仿宋_GB2312" w:hAnsi="Calibri" w:eastAsia="仿宋_GB2312" w:cs="Times New Roman"/>
      <w:kern w:val="2"/>
      <w:sz w:val="28"/>
      <w:szCs w:val="24"/>
      <w:lang w:val="en-US" w:eastAsia="zh-CN" w:bidi="ar-SA"/>
    </w:rPr>
  </w:style>
  <w:style w:type="character" w:customStyle="1" w:styleId="49">
    <w:name w:val="正文文本 Char"/>
    <w:basedOn w:val="28"/>
    <w:link w:val="13"/>
    <w:qFormat/>
    <w:uiPriority w:val="0"/>
    <w:rPr>
      <w:rFonts w:hint="eastAsia" w:ascii="宋体" w:hAnsi="宋体" w:eastAsia="宋体" w:cs="宋体"/>
      <w:sz w:val="22"/>
      <w:szCs w:val="22"/>
      <w:lang w:val="zh-CN" w:bidi="zh-CN"/>
    </w:rPr>
  </w:style>
  <w:style w:type="character" w:customStyle="1" w:styleId="50">
    <w:name w:val="批注框文本 Char"/>
    <w:basedOn w:val="28"/>
    <w:link w:val="17"/>
    <w:qFormat/>
    <w:uiPriority w:val="0"/>
    <w:rPr>
      <w:rFonts w:ascii="宋体" w:hAnsi="宋体" w:cs="宋体"/>
      <w:sz w:val="18"/>
      <w:szCs w:val="18"/>
      <w:lang w:val="zh-CN" w:bidi="zh-CN"/>
    </w:rPr>
  </w:style>
  <w:style w:type="paragraph" w:customStyle="1" w:styleId="51">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Times New Roman" w:hAnsi="Arial Unicode MS" w:eastAsia="Times New Roman" w:cs="Times New Roman"/>
      <w:color w:val="000000"/>
      <w:kern w:val="2"/>
      <w:sz w:val="21"/>
      <w:szCs w:val="21"/>
      <w:u w:val="none"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6.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Info spid="_x0000_s4101"/>
    <customShpInfo spid="_x0000_s4100"/>
    <customShpInfo spid="_x0000_s4104"/>
    <customShpInfo spid="_x0000_s4105"/>
    <customShpInfo spid="_x0000_s4107"/>
    <customShpInfo spid="_x0000_s4108"/>
    <customShpInfo spid="_x0000_s4110"/>
    <customShpInfo spid="_x0000_s4111"/>
    <customShpInfo spid="_x0000_s411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68</Pages>
  <Words>38893</Words>
  <Characters>41583</Characters>
  <Lines>266</Lines>
  <Paragraphs>74</Paragraphs>
  <TotalTime>85</TotalTime>
  <ScaleCrop>false</ScaleCrop>
  <LinksUpToDate>false</LinksUpToDate>
  <CharactersWithSpaces>43162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2021-11-25T07:14:00Z</dcterms:created>
  <dc:creator>zhuoyue</dc:creator>
  <cp:lastModifiedBy>Shirley</cp:lastModifiedBy>
  <cp:lastPrinted>2022-04-19T01:25:00Z</cp:lastPrinted>
  <dcterms:modified xsi:type="dcterms:W3CDTF">2022-05-20T02:04:53Z</dcterms:modified>
  <dc:title>目  录</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2021-11-18T00:00:00Z</vt:filetime>
  </property>
  <property fmtid="{D5CDD505-2E9C-101B-9397-08002B2CF9AE}" pid="3" name="Creator">
    <vt:lpwstr>WPS 文字</vt:lpwstr>
  </property>
  <property fmtid="{D5CDD505-2E9C-101B-9397-08002B2CF9AE}" pid="4" name="LastSaved">
    <vt:filetime>2021-11-24T00:00:00Z</vt:filetime>
  </property>
  <property fmtid="{D5CDD505-2E9C-101B-9397-08002B2CF9AE}" pid="5" name="KSOProductBuildVer">
    <vt:lpwstr>2052-11.1.0.11636</vt:lpwstr>
  </property>
  <property fmtid="{D5CDD505-2E9C-101B-9397-08002B2CF9AE}" pid="6" name="ICV">
    <vt:lpwstr>17A500ED3BD54D4D8FCE0514F239F67A</vt:lpwstr>
  </property>
</Properties>
</file>