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48"/>
          <w:szCs w:val="48"/>
          <w:highlight w:val="none"/>
        </w:rPr>
      </w:pPr>
      <w:bookmarkStart w:id="3" w:name="_GoBack"/>
      <w:bookmarkEnd w:id="3"/>
    </w:p>
    <w:p>
      <w:pPr>
        <w:pStyle w:val="17"/>
        <w:snapToGrid w:val="0"/>
        <w:spacing w:before="0" w:beforeLines="0" w:after="0" w:afterLines="0" w:line="600" w:lineRule="exact"/>
        <w:jc w:val="center"/>
        <w:rPr>
          <w:rFonts w:hint="eastAsia" w:hAnsi="宋体"/>
          <w:b/>
          <w:bCs/>
          <w:color w:val="auto"/>
          <w:sz w:val="48"/>
          <w:szCs w:val="48"/>
          <w:highlight w:val="none"/>
        </w:rPr>
      </w:pPr>
    </w:p>
    <w:p>
      <w:pPr>
        <w:spacing w:line="360" w:lineRule="auto"/>
        <w:jc w:val="center"/>
        <w:rPr>
          <w:rFonts w:ascii="宋体" w:hAnsi="宋体"/>
          <w:b/>
          <w:bCs/>
          <w:color w:val="auto"/>
          <w:sz w:val="52"/>
          <w:szCs w:val="48"/>
          <w:highlight w:val="none"/>
        </w:rPr>
      </w:pPr>
      <w:r>
        <w:rPr>
          <w:rFonts w:hint="eastAsia" w:ascii="宋体" w:hAnsi="宋体"/>
          <w:b/>
          <w:bCs/>
          <w:color w:val="auto"/>
          <w:sz w:val="52"/>
          <w:szCs w:val="48"/>
          <w:highlight w:val="none"/>
        </w:rPr>
        <w:t>浙江省金华监狱移动**录音复听、</w:t>
      </w:r>
    </w:p>
    <w:p>
      <w:pPr>
        <w:spacing w:line="360" w:lineRule="auto"/>
        <w:jc w:val="center"/>
        <w:rPr>
          <w:rFonts w:hint="eastAsia" w:ascii="宋体" w:hAnsi="宋体"/>
          <w:b/>
          <w:bCs/>
          <w:color w:val="auto"/>
          <w:sz w:val="52"/>
          <w:szCs w:val="48"/>
          <w:highlight w:val="none"/>
        </w:rPr>
      </w:pPr>
      <w:r>
        <w:rPr>
          <w:rFonts w:hint="eastAsia" w:ascii="宋体" w:hAnsi="宋体"/>
          <w:b/>
          <w:bCs/>
          <w:color w:val="auto"/>
          <w:sz w:val="52"/>
          <w:szCs w:val="48"/>
          <w:highlight w:val="none"/>
        </w:rPr>
        <w:t>智慧督查APP应用系统采购项目</w:t>
      </w:r>
    </w:p>
    <w:p>
      <w:pPr>
        <w:spacing w:line="360" w:lineRule="auto"/>
        <w:jc w:val="center"/>
        <w:rPr>
          <w:rFonts w:hint="eastAsia" w:ascii="宋体" w:hAnsi="宋体"/>
          <w:b/>
          <w:color w:val="auto"/>
          <w:sz w:val="56"/>
          <w:szCs w:val="52"/>
          <w:highlight w:val="none"/>
        </w:rPr>
      </w:pPr>
    </w:p>
    <w:p>
      <w:pPr>
        <w:spacing w:before="120" w:beforeLines="50"/>
        <w:jc w:val="center"/>
        <w:rPr>
          <w:rFonts w:hint="eastAsia" w:ascii="黑体" w:hAnsi="宋体" w:eastAsia="黑体"/>
          <w:color w:val="auto"/>
          <w:sz w:val="84"/>
          <w:szCs w:val="84"/>
          <w:highlight w:val="none"/>
        </w:rPr>
      </w:pPr>
      <w:r>
        <w:rPr>
          <w:rFonts w:hint="eastAsia" w:ascii="宋体" w:hAnsi="宋体"/>
          <w:b/>
          <w:color w:val="auto"/>
          <w:sz w:val="48"/>
          <w:szCs w:val="48"/>
          <w:highlight w:val="none"/>
        </w:rPr>
        <w:t xml:space="preserve"> </w:t>
      </w:r>
      <w:r>
        <w:rPr>
          <w:rFonts w:hint="eastAsia" w:ascii="黑体" w:hAnsi="宋体" w:eastAsia="黑体"/>
          <w:color w:val="auto"/>
          <w:sz w:val="84"/>
          <w:szCs w:val="84"/>
          <w:highlight w:val="none"/>
        </w:rPr>
        <w:t>公开招标文件</w:t>
      </w: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pStyle w:val="17"/>
        <w:snapToGrid w:val="0"/>
        <w:spacing w:before="0" w:beforeLines="0" w:after="0" w:afterLines="0" w:line="600" w:lineRule="exact"/>
        <w:ind w:firstLine="991" w:firstLineChars="329"/>
        <w:rPr>
          <w:rFonts w:hint="eastAsia" w:hAnsi="宋体"/>
          <w:b/>
          <w:bCs/>
          <w:color w:val="auto"/>
          <w:sz w:val="30"/>
          <w:szCs w:val="30"/>
          <w:highlight w:val="none"/>
        </w:rPr>
      </w:pPr>
      <w:r>
        <w:rPr>
          <w:rFonts w:hAnsi="宋体"/>
          <w:b/>
          <w:bCs/>
          <w:color w:val="auto"/>
          <w:sz w:val="30"/>
          <w:szCs w:val="30"/>
          <w:highlight w:val="none"/>
        </w:rPr>
        <w:t>项目编号：</w:t>
      </w:r>
      <w:r>
        <w:rPr>
          <w:rFonts w:hint="eastAsia" w:hAnsi="宋体"/>
          <w:b/>
          <w:bCs/>
          <w:color w:val="auto"/>
          <w:sz w:val="30"/>
          <w:szCs w:val="30"/>
          <w:highlight w:val="none"/>
        </w:rPr>
        <w:t>SJH-B202113015</w:t>
      </w:r>
    </w:p>
    <w:p>
      <w:pPr>
        <w:pStyle w:val="17"/>
        <w:snapToGrid w:val="0"/>
        <w:spacing w:before="0" w:beforeLines="0" w:after="0" w:afterLines="0" w:line="600" w:lineRule="exact"/>
        <w:ind w:firstLine="991" w:firstLineChars="329"/>
        <w:rPr>
          <w:rFonts w:hint="eastAsia" w:hAnsi="宋体"/>
          <w:b/>
          <w:bCs/>
          <w:color w:val="auto"/>
          <w:sz w:val="30"/>
          <w:szCs w:val="30"/>
          <w:highlight w:val="none"/>
        </w:rPr>
      </w:pPr>
      <w:r>
        <w:rPr>
          <w:rFonts w:hAnsi="宋体"/>
          <w:b/>
          <w:bCs/>
          <w:color w:val="auto"/>
          <w:sz w:val="30"/>
          <w:szCs w:val="30"/>
          <w:highlight w:val="none"/>
        </w:rPr>
        <w:t>采购单位：</w:t>
      </w:r>
      <w:r>
        <w:rPr>
          <w:rFonts w:hint="eastAsia" w:hAnsi="宋体"/>
          <w:b/>
          <w:bCs/>
          <w:color w:val="auto"/>
          <w:sz w:val="30"/>
          <w:szCs w:val="30"/>
          <w:highlight w:val="none"/>
        </w:rPr>
        <w:t>浙江省金华监狱</w:t>
      </w:r>
    </w:p>
    <w:p>
      <w:pPr>
        <w:pStyle w:val="17"/>
        <w:snapToGrid w:val="0"/>
        <w:spacing w:before="0" w:beforeLines="0" w:after="0" w:afterLines="0" w:line="600" w:lineRule="exact"/>
        <w:ind w:firstLine="942" w:firstLineChars="329"/>
        <w:rPr>
          <w:rFonts w:hint="eastAsia" w:hAnsi="宋体"/>
          <w:b/>
          <w:color w:val="auto"/>
          <w:sz w:val="30"/>
          <w:szCs w:val="48"/>
          <w:highlight w:val="none"/>
        </w:rPr>
      </w:pPr>
      <w:r>
        <w:rPr>
          <w:rFonts w:hint="eastAsia" w:hAnsi="宋体"/>
          <w:b/>
          <w:bCs/>
          <w:color w:val="auto"/>
          <w:w w:val="95"/>
          <w:sz w:val="30"/>
          <w:szCs w:val="30"/>
          <w:highlight w:val="none"/>
        </w:rPr>
        <w:t>采购</w:t>
      </w:r>
      <w:r>
        <w:rPr>
          <w:rFonts w:hAnsi="宋体"/>
          <w:b/>
          <w:bCs/>
          <w:color w:val="auto"/>
          <w:w w:val="95"/>
          <w:sz w:val="30"/>
          <w:szCs w:val="30"/>
          <w:highlight w:val="none"/>
        </w:rPr>
        <w:t>代理机构：</w:t>
      </w:r>
      <w:r>
        <w:rPr>
          <w:rFonts w:hint="eastAsia" w:hAnsi="宋体"/>
          <w:b/>
          <w:color w:val="auto"/>
          <w:sz w:val="30"/>
          <w:szCs w:val="48"/>
          <w:highlight w:val="none"/>
        </w:rPr>
        <w:t>金华市万全招标代理有限公司</w:t>
      </w:r>
    </w:p>
    <w:p>
      <w:pPr>
        <w:snapToGrid w:val="0"/>
        <w:spacing w:before="120" w:beforeLines="50" w:line="360" w:lineRule="auto"/>
        <w:ind w:left="384" w:leftChars="183" w:firstLine="4599" w:firstLineChars="1607"/>
        <w:rPr>
          <w:rFonts w:hint="eastAsia" w:ascii="宋体" w:hAnsi="宋体"/>
          <w:b/>
          <w:bCs/>
          <w:color w:val="auto"/>
          <w:w w:val="95"/>
          <w:sz w:val="30"/>
          <w:szCs w:val="30"/>
          <w:highlight w:val="none"/>
        </w:rPr>
      </w:pPr>
    </w:p>
    <w:p>
      <w:pPr>
        <w:snapToGrid w:val="0"/>
        <w:spacing w:before="120" w:beforeLines="50" w:line="360" w:lineRule="auto"/>
        <w:ind w:left="384" w:leftChars="183" w:firstLine="5171" w:firstLineChars="1807"/>
        <w:rPr>
          <w:rFonts w:ascii="宋体" w:hAnsi="宋体"/>
          <w:color w:val="auto"/>
          <w:sz w:val="30"/>
          <w:szCs w:val="20"/>
          <w:highlight w:val="none"/>
        </w:rPr>
      </w:pPr>
      <w:r>
        <w:rPr>
          <w:rFonts w:hint="eastAsia" w:ascii="宋体" w:hAnsi="宋体"/>
          <w:b/>
          <w:bCs/>
          <w:color w:val="auto"/>
          <w:w w:val="95"/>
          <w:sz w:val="30"/>
          <w:szCs w:val="30"/>
          <w:highlight w:val="none"/>
        </w:rPr>
        <w:t>2021年</w:t>
      </w:r>
      <w:r>
        <w:rPr>
          <w:rFonts w:ascii="宋体" w:hAnsi="宋体"/>
          <w:b/>
          <w:bCs/>
          <w:color w:val="auto"/>
          <w:w w:val="95"/>
          <w:sz w:val="30"/>
          <w:szCs w:val="30"/>
          <w:highlight w:val="none"/>
        </w:rPr>
        <w:t>6</w:t>
      </w:r>
      <w:r>
        <w:rPr>
          <w:rFonts w:hint="eastAsia" w:ascii="宋体" w:hAnsi="宋体"/>
          <w:b/>
          <w:bCs/>
          <w:color w:val="auto"/>
          <w:w w:val="95"/>
          <w:sz w:val="30"/>
          <w:szCs w:val="30"/>
          <w:highlight w:val="none"/>
        </w:rPr>
        <w:t xml:space="preserve">月  </w:t>
      </w:r>
    </w:p>
    <w:p>
      <w:pPr>
        <w:pStyle w:val="17"/>
        <w:spacing w:before="120" w:beforeLines="0" w:after="120" w:afterLines="0" w:line="360" w:lineRule="auto"/>
        <w:jc w:val="center"/>
        <w:rPr>
          <w:rFonts w:hint="eastAsia" w:hAnsi="宋体"/>
          <w:color w:val="auto"/>
          <w:highlight w:val="none"/>
        </w:rPr>
      </w:pPr>
      <w:r>
        <w:rPr>
          <w:rFonts w:hAnsi="宋体"/>
          <w:color w:val="auto"/>
          <w:highlight w:val="none"/>
        </w:rPr>
        <w:br w:type="page"/>
      </w:r>
    </w:p>
    <w:p>
      <w:pPr>
        <w:pStyle w:val="17"/>
        <w:spacing w:before="120" w:beforeLines="0" w:after="120" w:afterLines="0" w:line="360" w:lineRule="auto"/>
        <w:jc w:val="center"/>
        <w:rPr>
          <w:rFonts w:hint="eastAsia"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pPr>
        <w:pStyle w:val="17"/>
        <w:spacing w:before="120" w:beforeLines="0" w:after="120" w:afterLines="0" w:line="360" w:lineRule="auto"/>
        <w:jc w:val="center"/>
        <w:rPr>
          <w:rFonts w:hint="eastAsia" w:ascii="创艺简标宋" w:hAnsi="宋体" w:eastAsia="创艺简标宋"/>
          <w:color w:val="auto"/>
          <w:sz w:val="44"/>
          <w:szCs w:val="44"/>
          <w:highlight w:val="none"/>
        </w:rPr>
      </w:pPr>
    </w:p>
    <w:p>
      <w:pPr>
        <w:numPr>
          <w:ilvl w:val="0"/>
          <w:numId w:val="4"/>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公开招标公告</w:t>
      </w:r>
    </w:p>
    <w:p>
      <w:pPr>
        <w:numPr>
          <w:ilvl w:val="0"/>
          <w:numId w:val="4"/>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招标需求</w:t>
      </w:r>
    </w:p>
    <w:p>
      <w:pPr>
        <w:numPr>
          <w:ilvl w:val="0"/>
          <w:numId w:val="4"/>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投标人须知</w:t>
      </w:r>
    </w:p>
    <w:p>
      <w:pPr>
        <w:numPr>
          <w:ilvl w:val="0"/>
          <w:numId w:val="4"/>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评标办法及评分标准</w:t>
      </w:r>
    </w:p>
    <w:p>
      <w:pPr>
        <w:numPr>
          <w:ilvl w:val="0"/>
          <w:numId w:val="4"/>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采购合同（范本）</w:t>
      </w:r>
    </w:p>
    <w:p>
      <w:pPr>
        <w:spacing w:before="120" w:beforeLines="50" w:line="480" w:lineRule="exact"/>
        <w:ind w:left="1800"/>
        <w:rPr>
          <w:rFonts w:hint="eastAsia" w:ascii="宋体" w:hAnsi="宋体"/>
          <w:color w:val="auto"/>
          <w:sz w:val="30"/>
          <w:szCs w:val="20"/>
          <w:highlight w:val="none"/>
        </w:rPr>
      </w:pPr>
      <w:r>
        <w:rPr>
          <w:rFonts w:hint="eastAsia" w:ascii="宋体" w:hAnsi="宋体"/>
          <w:color w:val="auto"/>
          <w:sz w:val="30"/>
          <w:highlight w:val="none"/>
        </w:rPr>
        <w:t>第六章   投标文件格式</w:t>
      </w:r>
    </w:p>
    <w:p>
      <w:pPr>
        <w:spacing w:before="120" w:beforeLines="50" w:line="480" w:lineRule="exact"/>
        <w:ind w:left="1800"/>
        <w:rPr>
          <w:rFonts w:hint="eastAsia" w:ascii="宋体" w:hAnsi="宋体"/>
          <w:color w:val="auto"/>
          <w:sz w:val="30"/>
          <w:highlight w:val="none"/>
        </w:rPr>
      </w:pPr>
    </w:p>
    <w:p>
      <w:pPr>
        <w:spacing w:before="120" w:beforeLines="50" w:line="480" w:lineRule="exact"/>
        <w:ind w:left="1800"/>
        <w:rPr>
          <w:rFonts w:hint="eastAsia" w:ascii="宋体" w:hAnsi="宋体"/>
          <w:color w:val="auto"/>
          <w:sz w:val="30"/>
          <w:highlight w:val="none"/>
        </w:rPr>
      </w:pPr>
    </w:p>
    <w:p>
      <w:pPr>
        <w:spacing w:before="120" w:beforeLines="50" w:line="480" w:lineRule="exact"/>
        <w:ind w:left="1800"/>
        <w:rPr>
          <w:rFonts w:hint="eastAsia" w:ascii="宋体" w:hAnsi="宋体"/>
          <w:color w:val="auto"/>
          <w:sz w:val="30"/>
          <w:highlight w:val="none"/>
        </w:rPr>
      </w:pPr>
    </w:p>
    <w:p>
      <w:pPr>
        <w:spacing w:before="120" w:beforeLines="50" w:line="480" w:lineRule="exact"/>
        <w:ind w:left="1800"/>
        <w:rPr>
          <w:rFonts w:hint="eastAsia" w:ascii="宋体" w:hAnsi="宋体"/>
          <w:color w:val="auto"/>
          <w:sz w:val="30"/>
          <w:highlight w:val="none"/>
        </w:rPr>
      </w:pPr>
    </w:p>
    <w:p>
      <w:pPr>
        <w:spacing w:before="120" w:beforeLines="50" w:line="480" w:lineRule="exact"/>
        <w:ind w:left="1800"/>
        <w:rPr>
          <w:rFonts w:hint="eastAsia" w:ascii="宋体" w:hAnsi="宋体"/>
          <w:color w:val="auto"/>
          <w:sz w:val="30"/>
          <w:highlight w:val="none"/>
        </w:rPr>
      </w:pPr>
    </w:p>
    <w:p>
      <w:pPr>
        <w:spacing w:before="120" w:beforeLines="50" w:line="480" w:lineRule="exact"/>
        <w:ind w:left="1800"/>
        <w:rPr>
          <w:rFonts w:hint="eastAsia" w:ascii="宋体" w:hAnsi="宋体"/>
          <w:color w:val="auto"/>
          <w:sz w:val="30"/>
          <w:highlight w:val="none"/>
        </w:rPr>
      </w:pPr>
    </w:p>
    <w:p>
      <w:pPr>
        <w:tabs>
          <w:tab w:val="left" w:pos="1134"/>
        </w:tabs>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温馨提示：</w:t>
      </w:r>
    </w:p>
    <w:p>
      <w:pPr>
        <w:tabs>
          <w:tab w:val="left" w:pos="1134"/>
        </w:tabs>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1、参加本项目的各供应商可按招标文件要求的信用记录查询网站预先查询企业信用情况。</w:t>
      </w:r>
    </w:p>
    <w:p>
      <w:pPr>
        <w:pBdr>
          <w:bottom w:val="single" w:color="auto" w:sz="6" w:space="1"/>
        </w:pBdr>
        <w:tabs>
          <w:tab w:val="left" w:pos="1134"/>
        </w:tabs>
        <w:spacing w:line="360" w:lineRule="auto"/>
        <w:ind w:firstLine="551" w:firstLineChars="196"/>
        <w:rPr>
          <w:rFonts w:hint="eastAsia" w:ascii="宋体" w:hAnsi="宋体"/>
          <w:b/>
          <w:bCs/>
          <w:color w:val="auto"/>
          <w:sz w:val="28"/>
          <w:szCs w:val="28"/>
          <w:highlight w:val="none"/>
        </w:rPr>
      </w:pPr>
      <w:r>
        <w:rPr>
          <w:rFonts w:hint="eastAsia" w:ascii="宋体" w:hAnsi="宋体"/>
          <w:b/>
          <w:bCs/>
          <w:color w:val="auto"/>
          <w:sz w:val="28"/>
          <w:szCs w:val="28"/>
          <w:highlight w:val="none"/>
        </w:rPr>
        <w:t>2、为不影响中标后采购流程的履行，未在浙江政府采购网注册成为正式供应商的企业请尽快在浙江政府采购网“供应商注册”版块注册成为正式供应商。</w:t>
      </w:r>
    </w:p>
    <w:p>
      <w:pPr>
        <w:spacing w:before="120" w:beforeLines="50"/>
        <w:rPr>
          <w:rFonts w:ascii="宋体" w:hAnsi="宋体"/>
          <w:color w:val="auto"/>
          <w:szCs w:val="21"/>
          <w:highlight w:val="none"/>
        </w:rPr>
      </w:pPr>
      <w:r>
        <w:rPr>
          <w:rFonts w:hint="eastAsia" w:ascii="宋体" w:hAnsi="宋体"/>
          <w:color w:val="auto"/>
          <w:sz w:val="30"/>
          <w:highlight w:val="none"/>
        </w:rPr>
        <w:t xml:space="preserve">       </w:t>
      </w:r>
      <w:r>
        <w:rPr>
          <w:rFonts w:hint="eastAsia" w:ascii="宋体" w:hAnsi="宋体"/>
          <w:color w:val="auto"/>
          <w:szCs w:val="21"/>
          <w:highlight w:val="none"/>
        </w:rPr>
        <w:t>招标文件编制：方晓琳                  代理公司内部审核：金雅珍</w:t>
      </w:r>
    </w:p>
    <w:p>
      <w:pPr>
        <w:spacing w:before="120" w:beforeLines="50"/>
        <w:rPr>
          <w:rFonts w:hint="eastAsia" w:ascii="宋体" w:hAnsi="宋体"/>
          <w:color w:val="auto"/>
          <w:szCs w:val="21"/>
          <w:highlight w:val="none"/>
        </w:rPr>
      </w:pPr>
      <w:r>
        <w:rPr>
          <w:rFonts w:ascii="宋体" w:hAnsi="宋体"/>
          <w:color w:val="auto"/>
          <w:szCs w:val="21"/>
          <w:highlight w:val="none"/>
        </w:rPr>
        <w:br w:type="page"/>
      </w:r>
    </w:p>
    <w:p>
      <w:pPr>
        <w:pStyle w:val="17"/>
        <w:snapToGrid w:val="0"/>
        <w:spacing w:before="120" w:after="120" w:line="360" w:lineRule="auto"/>
        <w:ind w:firstLine="602" w:firstLineChars="200"/>
        <w:jc w:val="center"/>
        <w:outlineLvl w:val="0"/>
        <w:rPr>
          <w:rFonts w:hAnsi="宋体"/>
          <w:color w:val="auto"/>
          <w:sz w:val="30"/>
          <w:szCs w:val="30"/>
          <w:highlight w:val="none"/>
        </w:rPr>
      </w:pPr>
      <w:r>
        <w:rPr>
          <w:rFonts w:hint="eastAsia" w:hAnsi="宋体"/>
          <w:b/>
          <w:bCs/>
          <w:color w:val="auto"/>
          <w:sz w:val="30"/>
          <w:szCs w:val="30"/>
          <w:highlight w:val="none"/>
        </w:rPr>
        <w:t>第一章  公开招标公告</w:t>
      </w:r>
    </w:p>
    <w:p>
      <w:pPr>
        <w:pBdr>
          <w:top w:val="single" w:color="auto" w:sz="4" w:space="1"/>
          <w:left w:val="single" w:color="auto" w:sz="4" w:space="0"/>
          <w:bottom w:val="single" w:color="auto" w:sz="4" w:space="1"/>
          <w:right w:val="single" w:color="auto" w:sz="4" w:space="4"/>
        </w:pBdr>
        <w:spacing w:line="400" w:lineRule="exact"/>
        <w:jc w:val="center"/>
        <w:rPr>
          <w:rFonts w:hint="eastAsia" w:ascii="楷体" w:hAnsi="楷体" w:eastAsia="楷体"/>
          <w:b/>
          <w:bCs/>
          <w:color w:val="auto"/>
          <w:sz w:val="30"/>
          <w:szCs w:val="30"/>
          <w:highlight w:val="none"/>
        </w:rPr>
      </w:pPr>
      <w:r>
        <w:rPr>
          <w:rFonts w:hint="eastAsia" w:ascii="楷体" w:hAnsi="楷体" w:eastAsia="楷体"/>
          <w:b/>
          <w:bCs/>
          <w:color w:val="auto"/>
          <w:sz w:val="30"/>
          <w:szCs w:val="30"/>
          <w:highlight w:val="none"/>
        </w:rPr>
        <w:t xml:space="preserve"> </w:t>
      </w:r>
    </w:p>
    <w:p>
      <w:pPr>
        <w:pBdr>
          <w:top w:val="single" w:color="auto" w:sz="4" w:space="1"/>
          <w:left w:val="single" w:color="auto" w:sz="4" w:space="0"/>
          <w:bottom w:val="single" w:color="auto" w:sz="4" w:space="1"/>
          <w:right w:val="single" w:color="auto" w:sz="4" w:space="4"/>
        </w:pBd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项 目 概 况 </w:t>
      </w:r>
    </w:p>
    <w:p>
      <w:pPr>
        <w:pBdr>
          <w:top w:val="single" w:color="auto" w:sz="4" w:space="1"/>
          <w:left w:val="single" w:color="auto" w:sz="4" w:space="0"/>
          <w:bottom w:val="single" w:color="auto" w:sz="4" w:space="1"/>
          <w:right w:val="single" w:color="auto" w:sz="4" w:space="4"/>
        </w:pBdr>
        <w:spacing w:line="400" w:lineRule="exact"/>
        <w:jc w:val="center"/>
        <w:rPr>
          <w:rFonts w:hint="eastAsia" w:ascii="宋体" w:hAnsi="宋体"/>
          <w:b/>
          <w:bCs/>
          <w:color w:val="auto"/>
          <w:sz w:val="24"/>
          <w:highlight w:val="none"/>
        </w:rPr>
      </w:pPr>
      <w:r>
        <w:rPr>
          <w:rFonts w:hint="eastAsia" w:ascii="宋体" w:hAnsi="宋体"/>
          <w:b/>
          <w:bCs/>
          <w:color w:val="auto"/>
          <w:sz w:val="24"/>
          <w:highlight w:val="none"/>
        </w:rPr>
        <w:t xml:space="preserve"> </w:t>
      </w:r>
    </w:p>
    <w:p>
      <w:pPr>
        <w:pBdr>
          <w:top w:val="single" w:color="auto" w:sz="4" w:space="1"/>
          <w:left w:val="single" w:color="auto" w:sz="4" w:space="0"/>
          <w:bottom w:val="single" w:color="auto" w:sz="4" w:space="1"/>
          <w:right w:val="single" w:color="auto" w:sz="4" w:space="4"/>
        </w:pBdr>
        <w:spacing w:line="273" w:lineRule="auto"/>
        <w:ind w:firstLine="480" w:firstLineChars="200"/>
        <w:rPr>
          <w:rFonts w:hint="eastAsia" w:ascii="宋体" w:hAnsi="宋体"/>
          <w:color w:val="auto"/>
          <w:sz w:val="24"/>
          <w:highlight w:val="none"/>
        </w:rPr>
      </w:pPr>
      <w:r>
        <w:rPr>
          <w:rFonts w:hint="eastAsia" w:ascii="宋体" w:hAnsi="宋体"/>
          <w:color w:val="auto"/>
          <w:sz w:val="24"/>
          <w:highlight w:val="none"/>
        </w:rPr>
        <w:t>浙江省金华监狱移动**录音复听、智慧督查APP应用系统采购项目的潜在投标人应在浙江政府采购网（http：//zfcg.czt.zj.gov.cn）获取（下载）招标文件，并于2021年</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0时（北京时间）前递交（上传）投标文件。</w:t>
      </w:r>
    </w:p>
    <w:p>
      <w:pPr>
        <w:pBdr>
          <w:top w:val="single" w:color="auto" w:sz="4" w:space="1"/>
          <w:left w:val="single" w:color="auto" w:sz="4" w:space="0"/>
          <w:bottom w:val="single" w:color="auto" w:sz="4" w:space="1"/>
          <w:right w:val="single" w:color="auto" w:sz="4" w:space="4"/>
        </w:pBdr>
        <w:spacing w:line="273"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00" w:lineRule="atLeast"/>
        <w:ind w:firstLine="482" w:firstLineChars="200"/>
        <w:rPr>
          <w:rFonts w:hint="eastAsia" w:ascii="宋体" w:hAnsi="宋体"/>
          <w:b/>
          <w:bCs/>
          <w:color w:val="auto"/>
          <w:sz w:val="24"/>
          <w:highlight w:val="none"/>
        </w:rPr>
      </w:pPr>
      <w:r>
        <w:rPr>
          <w:rFonts w:hint="eastAsia" w:ascii="宋体" w:hAnsi="宋体"/>
          <w:b/>
          <w:bCs/>
          <w:color w:val="auto"/>
          <w:sz w:val="24"/>
          <w:highlight w:val="none"/>
        </w:rPr>
        <w:t>一、项目基本情况</w:t>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（一）项目编号：SJH-B202113015</w:t>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（二）项目名称：浙江省金华监狱移动**录音复听、智慧督查APP应用系统采购项目</w:t>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（三）预算金额（元）：500000</w:t>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（四）最高限价（元）：500000</w:t>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（五）采购需求：</w:t>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标项一：</w:t>
      </w:r>
      <w:r>
        <w:rPr>
          <w:rFonts w:hint="eastAsia" w:ascii="宋体" w:hAnsi="宋体"/>
          <w:color w:val="auto"/>
          <w:sz w:val="24"/>
          <w:highlight w:val="none"/>
        </w:rPr>
        <w:tab/>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标项名称：移动**录音复听、智慧督查APP应用系统采购</w:t>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数量：1套</w:t>
      </w:r>
    </w:p>
    <w:p>
      <w:pPr>
        <w:snapToGrid w:val="0"/>
        <w:spacing w:line="400" w:lineRule="atLeast"/>
        <w:ind w:firstLine="480" w:firstLineChars="200"/>
        <w:rPr>
          <w:rFonts w:hint="eastAsia" w:ascii="宋体" w:hAnsi="宋体"/>
          <w:color w:val="auto"/>
          <w:sz w:val="24"/>
          <w:highlight w:val="none"/>
        </w:rPr>
      </w:pPr>
      <w:r>
        <w:rPr>
          <w:rFonts w:hint="eastAsia" w:ascii="宋体" w:hAnsi="宋体"/>
          <w:color w:val="auto"/>
          <w:sz w:val="24"/>
          <w:highlight w:val="none"/>
        </w:rPr>
        <w:t>预算金额（元）：500000</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简要规格描述或项目基本概况介绍、用途：详见招标文件</w:t>
      </w:r>
    </w:p>
    <w:p>
      <w:pPr>
        <w:snapToGrid w:val="0"/>
        <w:spacing w:line="400" w:lineRule="atLeast"/>
        <w:ind w:firstLine="480" w:firstLineChars="200"/>
        <w:rPr>
          <w:rFonts w:ascii="宋体" w:hAnsi="宋体"/>
          <w:color w:val="auto"/>
          <w:kern w:val="0"/>
          <w:sz w:val="24"/>
          <w:highlight w:val="none"/>
        </w:rPr>
      </w:pPr>
      <w:r>
        <w:rPr>
          <w:rFonts w:hint="eastAsia" w:ascii="宋体" w:hAnsi="宋体"/>
          <w:color w:val="auto"/>
          <w:sz w:val="24"/>
          <w:highlight w:val="none"/>
        </w:rPr>
        <w:t>（六）合同履行期限：本项目建设工期为4个月，前3月内完成系统的需求分析、开发测试、集成部署，完成系统安装调试投入试运行，试运行期1个月；试运行期内，需进一步完善使用过程中出现的问题。提供不少于3年的免费维护期限。</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（七）本项目谢绝联合体投标。</w:t>
      </w:r>
    </w:p>
    <w:p>
      <w:pPr>
        <w:pStyle w:val="19"/>
        <w:spacing w:line="400" w:lineRule="exact"/>
        <w:ind w:firstLine="480" w:firstLineChars="200"/>
        <w:rPr>
          <w:rFonts w:hint="eastAsia" w:ascii="宋体"/>
          <w:color w:val="auto"/>
          <w:highlight w:val="none"/>
        </w:rPr>
      </w:pPr>
      <w:r>
        <w:rPr>
          <w:rFonts w:hint="eastAsia" w:ascii="宋体"/>
          <w:b w:val="0"/>
          <w:bCs w:val="0"/>
          <w:color w:val="auto"/>
          <w:highlight w:val="none"/>
        </w:rPr>
        <w:t>二、申请人的资格要求：</w:t>
      </w:r>
    </w:p>
    <w:p>
      <w:pPr>
        <w:pStyle w:val="19"/>
        <w:spacing w:line="400" w:lineRule="exact"/>
        <w:ind w:firstLine="480" w:firstLineChars="200"/>
        <w:rPr>
          <w:rFonts w:hint="eastAsia" w:ascii="宋体"/>
          <w:b w:val="0"/>
          <w:bCs w:val="0"/>
          <w:color w:val="auto"/>
          <w:highlight w:val="none"/>
        </w:rPr>
      </w:pPr>
      <w:r>
        <w:rPr>
          <w:rFonts w:hint="eastAsia" w:ascii="宋体"/>
          <w:b w:val="0"/>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Style w:val="19"/>
        <w:spacing w:line="400" w:lineRule="exact"/>
        <w:ind w:firstLine="480" w:firstLineChars="200"/>
        <w:rPr>
          <w:rFonts w:hint="eastAsia" w:ascii="宋体"/>
          <w:b w:val="0"/>
          <w:color w:val="auto"/>
          <w:highlight w:val="none"/>
        </w:rPr>
      </w:pPr>
      <w:r>
        <w:rPr>
          <w:rFonts w:hint="eastAsia" w:ascii="宋体"/>
          <w:b w:val="0"/>
          <w:color w:val="auto"/>
          <w:highlight w:val="none"/>
        </w:rPr>
        <w:t xml:space="preserve">2.落实政府采购政策需满足的资格要求：/ ； </w:t>
      </w:r>
    </w:p>
    <w:p>
      <w:pPr>
        <w:pStyle w:val="19"/>
        <w:spacing w:line="400" w:lineRule="exact"/>
        <w:ind w:firstLine="480" w:firstLineChars="200"/>
        <w:rPr>
          <w:rFonts w:hint="eastAsia" w:ascii="宋体"/>
          <w:b w:val="0"/>
          <w:color w:val="auto"/>
          <w:highlight w:val="none"/>
        </w:rPr>
      </w:pPr>
      <w:r>
        <w:rPr>
          <w:rFonts w:hint="eastAsia" w:ascii="宋体"/>
          <w:b w:val="0"/>
          <w:color w:val="auto"/>
          <w:highlight w:val="none"/>
        </w:rPr>
        <w:t>3.本项目的特定资格要求：无。</w:t>
      </w:r>
    </w:p>
    <w:p>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三、获取招标文件：</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（一）时间：/至2021年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日投标截止时间前，每天上午00:00至12:00 ，下午12:00至23:59（北京时间，线上获取法定节假日均可，线下获取文件法定节假日除外）。</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（二）地点（网址）：浙江政府采购网-政采云（http：//login.zcygov.cn）平台。</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（三）方式： </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1.网上免费获取：潜在供应商登录政采云（http：//login.zcygov.cn）平台，在线申请获取招标文件（进入“项目采购”应用，在获取招标文件菜单中选择项目，申请获取招标文件）。</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代理机构免费获取：未在政采云注册的供应商或因网站、网络等原因无法获取的供应商，可向金华市万全招标代理有限公司（电子邮箱：77254778@qq.com，工作时间上午8:30-11:30，下午13:30-16:30，节假日除外）发送企业经营执照、联系人、联系电话等信息后以电子邮件发送方式获取文件。</w:t>
      </w:r>
    </w:p>
    <w:p>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3.售价（元）：0 </w:t>
      </w:r>
    </w:p>
    <w:p>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四、提交投标文件截止时间、开标时间和地点</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（一）提交投标文件截止时间：2021年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0时（北京时间）</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（二）投标地点（网址）：金华市公共资源交易中心开标</w:t>
      </w:r>
      <w:r>
        <w:rPr>
          <w:rFonts w:hint="eastAsia" w:ascii="宋体" w:hAnsi="宋体"/>
          <w:color w:val="auto"/>
          <w:sz w:val="24"/>
          <w:highlight w:val="none"/>
          <w:lang w:val="en-US" w:eastAsia="zh-CN"/>
        </w:rPr>
        <w:t>3</w:t>
      </w:r>
      <w:r>
        <w:rPr>
          <w:rFonts w:hint="eastAsia" w:ascii="宋体" w:hAnsi="宋体"/>
          <w:color w:val="auto"/>
          <w:sz w:val="24"/>
          <w:highlight w:val="none"/>
        </w:rPr>
        <w:t>室（双龙南街858号金华市行政服务中心四楼）</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（三）开标时间：2021年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0时</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（四）开标地点（网址）：金华市公共资源交易中心开标</w:t>
      </w:r>
      <w:r>
        <w:rPr>
          <w:rFonts w:hint="eastAsia" w:ascii="宋体" w:hAnsi="宋体"/>
          <w:color w:val="auto"/>
          <w:sz w:val="24"/>
          <w:highlight w:val="none"/>
          <w:lang w:val="en-US" w:eastAsia="zh-CN"/>
        </w:rPr>
        <w:t>3</w:t>
      </w:r>
      <w:r>
        <w:rPr>
          <w:rFonts w:hint="eastAsia" w:ascii="宋体" w:hAnsi="宋体"/>
          <w:color w:val="auto"/>
          <w:sz w:val="24"/>
          <w:highlight w:val="none"/>
        </w:rPr>
        <w:t>室（双龙南街858号金华市行政服务中心四楼）</w:t>
      </w:r>
    </w:p>
    <w:p>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五、公告期限 </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自本公告发布之日起5个工作日。</w:t>
      </w:r>
    </w:p>
    <w:p>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六、其他补充事宜</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1）本项目不提供招标文件纸质版。浙江政府采购网上随公告发布的招标文件仅供阅览，供应商应按上述方式获取招标文件；未按上述方式获取招标文件的，不得对招标文件提起质疑投诉且采购代理机构有权拒绝其投标。同时请供应商在参加投标前随时关注项目的更正公告情况因供应商未及时查看项目变更情况造成无效投标的责任由供应商自行承担。</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（2）发布招标公告的媒体为：浙江政府采购网（http：//zfcg.czt.zj.gov.cn） </w:t>
      </w:r>
    </w:p>
    <w:p>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七、对本次采购提出询问、质疑、投诉，请按以下方式联系：</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1.采购人信息</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名    称：浙江省金华监狱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地    址：</w:t>
      </w:r>
      <w:r>
        <w:rPr>
          <w:rFonts w:hint="eastAsia" w:hAnsi="宋体" w:cs="Arial"/>
          <w:color w:val="auto"/>
          <w:sz w:val="24"/>
          <w:highlight w:val="none"/>
        </w:rPr>
        <w:t>金华市婺城区蒋堂开化村</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项目联系人（询问）：陈先生</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项目联系方式（询问）：</w:t>
      </w:r>
      <w:r>
        <w:rPr>
          <w:rFonts w:ascii="宋体" w:hAnsi="宋体"/>
          <w:color w:val="auto"/>
          <w:sz w:val="24"/>
          <w:highlight w:val="none"/>
        </w:rPr>
        <w:t>13505706962</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质疑联系人：李先生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质疑联系方式：0579-82720349</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2.采购代理机构信息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名    称：金华市万全招标代理有限公司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地    址：金华市婺城区玉泉东路288号1号楼3楼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项目联系人（询问）：方晓琳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项目联系方式（询问）：0579-82583379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质疑联系人：金雅珍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质疑联系方式：0579-82583380        </w:t>
      </w:r>
    </w:p>
    <w:p>
      <w:pPr>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3. 同级政府采购监督管理部门            </w:t>
      </w:r>
    </w:p>
    <w:p>
      <w:pPr>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名    称：浙江省财政厅政府采购监管处             </w:t>
      </w:r>
    </w:p>
    <w:p>
      <w:pPr>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地    址：</w:t>
      </w:r>
      <w:r>
        <w:rPr>
          <w:rFonts w:hint="eastAsia" w:ascii="宋体" w:hAnsi="宋体" w:cs="宋体"/>
          <w:color w:val="auto"/>
          <w:sz w:val="24"/>
          <w:highlight w:val="none"/>
        </w:rPr>
        <w:t>杭州市环城西路37号</w:t>
      </w:r>
      <w:r>
        <w:rPr>
          <w:rFonts w:hint="eastAsia" w:ascii="宋体" w:hAnsi="宋体" w:cs="Arial"/>
          <w:color w:val="auto"/>
          <w:sz w:val="24"/>
          <w:highlight w:val="none"/>
        </w:rPr>
        <w:t xml:space="preserve">             </w:t>
      </w:r>
    </w:p>
    <w:p>
      <w:pPr>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联系人：倪文良、吴聪瑜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监督投诉电话：0571-87057615、87058489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 </w:t>
      </w:r>
    </w:p>
    <w:p>
      <w:pPr>
        <w:snapToGrid w:val="0"/>
        <w:spacing w:line="4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ascii="宋体" w:hAnsi="宋体" w:cs="Arial"/>
          <w:color w:val="auto"/>
          <w:sz w:val="24"/>
          <w:highlight w:val="none"/>
        </w:rPr>
        <w:t xml:space="preserve">   浙江省金华监狱   </w:t>
      </w:r>
    </w:p>
    <w:p>
      <w:pPr>
        <w:snapToGrid w:val="0"/>
        <w:spacing w:line="400" w:lineRule="exact"/>
        <w:ind w:firstLine="5520" w:firstLineChars="2300"/>
        <w:rPr>
          <w:color w:val="auto"/>
          <w:highlight w:val="none"/>
        </w:rPr>
      </w:pPr>
      <w:r>
        <w:rPr>
          <w:rFonts w:hint="eastAsia" w:ascii="宋体" w:hAnsi="宋体"/>
          <w:color w:val="auto"/>
          <w:kern w:val="0"/>
          <w:sz w:val="24"/>
          <w:highlight w:val="none"/>
        </w:rPr>
        <w:t xml:space="preserve"> 二〇二一年</w:t>
      </w:r>
      <w:r>
        <w:rPr>
          <w:rFonts w:hint="eastAsia" w:ascii="宋体" w:hAnsi="宋体"/>
          <w:color w:val="auto"/>
          <w:kern w:val="0"/>
          <w:sz w:val="24"/>
          <w:highlight w:val="none"/>
          <w:lang w:val="en-US" w:eastAsia="zh-CN"/>
        </w:rPr>
        <w:t>六</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三</w:t>
      </w:r>
      <w:r>
        <w:rPr>
          <w:rFonts w:hint="eastAsia" w:ascii="宋体" w:hAnsi="宋体"/>
          <w:color w:val="auto"/>
          <w:kern w:val="0"/>
          <w:sz w:val="24"/>
          <w:highlight w:val="none"/>
        </w:rPr>
        <w:t xml:space="preserve">日  </w:t>
      </w:r>
    </w:p>
    <w:p>
      <w:pPr>
        <w:wordWrap w:val="0"/>
        <w:spacing w:line="380" w:lineRule="exact"/>
        <w:ind w:right="480"/>
        <w:jc w:val="right"/>
        <w:rPr>
          <w:rFonts w:hint="eastAsia" w:ascii="宋体" w:hAnsi="宋体"/>
          <w:color w:val="auto"/>
          <w:sz w:val="24"/>
          <w:highlight w:val="none"/>
        </w:rPr>
      </w:pPr>
      <w:r>
        <w:rPr>
          <w:rFonts w:hint="eastAsia" w:ascii="宋体" w:hAnsi="宋体"/>
          <w:color w:val="auto"/>
          <w:kern w:val="0"/>
          <w:sz w:val="24"/>
          <w:highlight w:val="none"/>
        </w:rPr>
        <w:t xml:space="preserve"> </w:t>
      </w:r>
    </w:p>
    <w:p>
      <w:pPr>
        <w:pStyle w:val="4"/>
        <w:spacing w:line="240" w:lineRule="auto"/>
        <w:jc w:val="center"/>
        <w:rPr>
          <w:rFonts w:hint="eastAsia" w:ascii="黑体" w:eastAsia="黑体"/>
          <w:color w:val="auto"/>
          <w:sz w:val="32"/>
          <w:szCs w:val="32"/>
          <w:highlight w:val="none"/>
        </w:rPr>
      </w:pPr>
      <w:r>
        <w:rPr>
          <w:rFonts w:hAnsi="宋体"/>
          <w:color w:val="auto"/>
          <w:highlight w:val="none"/>
        </w:rPr>
        <w:br w:type="page"/>
      </w:r>
      <w:r>
        <w:rPr>
          <w:rFonts w:hint="eastAsia" w:ascii="黑体" w:eastAsia="黑体"/>
          <w:color w:val="auto"/>
          <w:sz w:val="32"/>
          <w:szCs w:val="32"/>
          <w:highlight w:val="none"/>
        </w:rPr>
        <w:t>第二章  招标需求</w:t>
      </w:r>
    </w:p>
    <w:p>
      <w:pPr>
        <w:spacing w:line="460" w:lineRule="exact"/>
        <w:ind w:firstLine="482" w:firstLineChars="200"/>
        <w:rPr>
          <w:rFonts w:hint="eastAsia" w:ascii="宋体" w:hAnsi="宋体"/>
          <w:b/>
          <w:color w:val="auto"/>
          <w:sz w:val="24"/>
          <w:highlight w:val="none"/>
        </w:rPr>
      </w:pPr>
    </w:p>
    <w:p>
      <w:pPr>
        <w:tabs>
          <w:tab w:val="left" w:pos="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一、项目概况</w:t>
      </w:r>
    </w:p>
    <w:p>
      <w:pPr>
        <w:pStyle w:val="68"/>
        <w:framePr w:wrap="auto" w:vAnchor="margin" w:hAnchor="text" w:yAlign="inline"/>
        <w:spacing w:line="360" w:lineRule="auto"/>
        <w:ind w:firstLine="480" w:firstLineChars="200"/>
        <w:rPr>
          <w:rFonts w:hint="eastAsia" w:ascii="宋体" w:hAnsi="宋体" w:eastAsia="宋体" w:cs="宋体"/>
          <w:color w:val="auto"/>
          <w:sz w:val="24"/>
          <w:szCs w:val="24"/>
          <w:highlight w:val="none"/>
          <w:u w:val="none" w:color="000000"/>
          <w:lang w:val="zh-TW" w:eastAsia="zh-TW"/>
        </w:rPr>
      </w:pPr>
      <w:r>
        <w:rPr>
          <w:rFonts w:hint="eastAsia" w:ascii="宋体" w:hAnsi="宋体" w:eastAsia="宋体" w:cs="宋体"/>
          <w:color w:val="auto"/>
          <w:sz w:val="24"/>
          <w:szCs w:val="24"/>
          <w:highlight w:val="none"/>
          <w:u w:val="none" w:color="000000"/>
        </w:rPr>
        <w:t>建设</w:t>
      </w:r>
      <w:r>
        <w:rPr>
          <w:rFonts w:hint="eastAsia" w:ascii="宋体" w:hAnsi="宋体" w:eastAsia="宋体" w:cs="宋体"/>
          <w:color w:val="auto"/>
          <w:sz w:val="24"/>
          <w:szCs w:val="24"/>
          <w:highlight w:val="none"/>
          <w:u w:val="none" w:color="000000"/>
          <w:lang w:val="zh-TW" w:eastAsia="zh-TW"/>
        </w:rPr>
        <w:t>系统包含三个模块</w:t>
      </w:r>
      <w:r>
        <w:rPr>
          <w:rFonts w:hint="eastAsia" w:ascii="宋体" w:hAnsi="宋体" w:eastAsia="宋体" w:cs="宋体"/>
          <w:color w:val="auto"/>
          <w:sz w:val="24"/>
          <w:szCs w:val="24"/>
          <w:highlight w:val="none"/>
          <w:u w:val="none" w:color="000000"/>
          <w:lang w:val="zh-TW"/>
        </w:rPr>
        <w:t>：</w:t>
      </w:r>
      <w:r>
        <w:rPr>
          <w:rFonts w:hint="eastAsia" w:ascii="宋体" w:hAnsi="宋体" w:eastAsia="宋体" w:cs="宋体"/>
          <w:color w:val="auto"/>
          <w:sz w:val="24"/>
          <w:szCs w:val="24"/>
          <w:highlight w:val="none"/>
          <w:u w:val="none" w:color="000000"/>
          <w:lang w:val="zh-TW" w:eastAsia="zh-TW"/>
        </w:rPr>
        <w:t>智慧督查模块、录音复听模块、信件收发登记模块，建设移动智慧督察和智慧督察业务管理后台，以发布的巡查信息内容管理为特点，以计算机和**通app为操作平台，以“快捷”、“精准”和功能全面为优势,实现指挥中心工作的便捷化、信息化、规范化与标准化管理。实现巡查信息从“发现”到“解决”的动态监管，实现巡查消息接收、反馈、申辩、查看当时督察重点。解决巡查信息录入对图片及视频的录入不方便、督查信息的送达不及时、整改效率不够高等问题。为指挥中心巡查任务监管和领导决策提供可靠的依据。</w:t>
      </w:r>
    </w:p>
    <w:p>
      <w:pPr>
        <w:pStyle w:val="68"/>
        <w:framePr w:wrap="auto" w:vAnchor="margin" w:hAnchor="text" w:yAlign="inline"/>
        <w:spacing w:line="360" w:lineRule="auto"/>
        <w:ind w:firstLine="480" w:firstLineChars="200"/>
        <w:rPr>
          <w:rFonts w:hint="eastAsia" w:ascii="宋体" w:hAnsi="宋体" w:eastAsia="宋体" w:cs="宋体"/>
          <w:color w:val="auto"/>
          <w:sz w:val="24"/>
          <w:szCs w:val="24"/>
          <w:highlight w:val="none"/>
          <w:u w:val="none" w:color="000000"/>
          <w:lang w:val="zh-TW" w:eastAsia="zh-TW"/>
        </w:rPr>
      </w:pPr>
      <w:r>
        <w:rPr>
          <w:rFonts w:hint="eastAsia" w:ascii="宋体" w:hAnsi="宋体" w:eastAsia="宋体" w:cs="宋体"/>
          <w:color w:val="auto"/>
          <w:sz w:val="24"/>
          <w:szCs w:val="24"/>
          <w:highlight w:val="none"/>
          <w:u w:val="none" w:color="000000"/>
          <w:lang w:val="zh-TW" w:eastAsia="zh-TW"/>
        </w:rPr>
        <w:t>基于监狱应用场景，结合移动终端应用的便利性，面向监狱提供会见录音复听、会见审核、录音复听统计于一体的录音复听APP。在移动**通之上，可结合录音复听相关日常工作，利用移动互联网等技术手段，构建安全、可靠、高效的录音复听APP应用，将进一步提升监狱**工作效率。打破时间、空间的限制。面向监狱民警提供犯人亲情电话、亲情会见所产生的录音文件进行复听、评估。在APP呈现图表化的未复听、复听时效、复听异常率统计分析和会见审批相关的工作，以进一步提升监狱**工作效率。</w:t>
      </w:r>
    </w:p>
    <w:p>
      <w:pPr>
        <w:pStyle w:val="68"/>
        <w:framePr w:wrap="auto" w:vAnchor="margin" w:hAnchor="text" w:yAlign="inline"/>
        <w:spacing w:line="360" w:lineRule="auto"/>
        <w:ind w:firstLine="480" w:firstLineChars="200"/>
        <w:rPr>
          <w:rFonts w:hint="eastAsia" w:ascii="宋体" w:hAnsi="宋体" w:eastAsia="宋体" w:cs="宋体"/>
          <w:color w:val="auto"/>
          <w:sz w:val="24"/>
          <w:szCs w:val="24"/>
          <w:highlight w:val="none"/>
          <w:u w:val="none" w:color="000000"/>
          <w:lang w:val="zh-TW" w:eastAsia="zh-TW"/>
        </w:rPr>
      </w:pPr>
      <w:r>
        <w:rPr>
          <w:rFonts w:hint="eastAsia" w:ascii="宋体" w:hAnsi="宋体" w:eastAsia="宋体" w:cs="宋体"/>
          <w:color w:val="auto"/>
          <w:sz w:val="24"/>
          <w:szCs w:val="24"/>
          <w:highlight w:val="none"/>
          <w:u w:val="none" w:color="000000"/>
          <w:lang w:val="zh-TW" w:eastAsia="zh-TW"/>
        </w:rPr>
        <w:t>信件收发登记模块对信息进行拍照上传留档，对上传数据如（检查民警、处置意见），方便民警操作。</w:t>
      </w:r>
    </w:p>
    <w:p>
      <w:pPr>
        <w:tabs>
          <w:tab w:val="left" w:pos="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二、建设内容</w:t>
      </w:r>
    </w:p>
    <w:p>
      <w:pPr>
        <w:tabs>
          <w:tab w:val="left" w:pos="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（一）建设模块</w:t>
      </w:r>
    </w:p>
    <w:tbl>
      <w:tblPr>
        <w:tblStyle w:val="30"/>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817"/>
        <w:gridCol w:w="2410"/>
        <w:gridCol w:w="5741"/>
      </w:tblGrid>
      <w:tr>
        <w:tblPrEx>
          <w:tblCellMar>
            <w:top w:w="0" w:type="dxa"/>
            <w:left w:w="108" w:type="dxa"/>
            <w:bottom w:w="0" w:type="dxa"/>
            <w:right w:w="108" w:type="dxa"/>
          </w:tblCellMar>
        </w:tblPrEx>
        <w:trPr>
          <w:wBefore w:w="0" w:type="dxa"/>
          <w:wAfter w:w="0" w:type="dxa"/>
          <w:trHeight w:val="557" w:hRule="atLeast"/>
        </w:trPr>
        <w:tc>
          <w:tcPr>
            <w:tcW w:w="81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建设模块</w:t>
            </w:r>
          </w:p>
        </w:tc>
        <w:tc>
          <w:tcPr>
            <w:tcW w:w="574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建设内容</w:t>
            </w:r>
          </w:p>
        </w:tc>
      </w:tr>
      <w:tr>
        <w:tblPrEx>
          <w:tblCellMar>
            <w:top w:w="0" w:type="dxa"/>
            <w:left w:w="108" w:type="dxa"/>
            <w:bottom w:w="0" w:type="dxa"/>
            <w:right w:w="108" w:type="dxa"/>
          </w:tblCellMar>
        </w:tblPrEx>
        <w:trPr>
          <w:wBefore w:w="0" w:type="dxa"/>
          <w:wAfter w:w="0" w:type="dxa"/>
          <w:trHeight w:val="104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lang w:val="zh-TW" w:eastAsia="zh-TW"/>
              </w:rPr>
            </w:pPr>
            <w:r>
              <w:rPr>
                <w:rFonts w:hint="eastAsia" w:ascii="宋体" w:hAnsi="宋体" w:cs="宋体"/>
                <w:color w:val="auto"/>
                <w:sz w:val="24"/>
                <w:highlight w:val="none"/>
                <w:u w:val="none" w:color="000000"/>
                <w:lang w:val="zh-TW" w:eastAsia="zh-TW"/>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lang w:val="zh-TW"/>
              </w:rPr>
            </w:pPr>
            <w:r>
              <w:rPr>
                <w:rFonts w:hint="eastAsia" w:ascii="宋体" w:hAnsi="宋体" w:cs="宋体"/>
                <w:color w:val="auto"/>
                <w:sz w:val="24"/>
                <w:highlight w:val="none"/>
                <w:u w:val="none" w:color="000000"/>
                <w:lang w:val="zh-TW" w:eastAsia="zh-TW"/>
              </w:rPr>
              <w:t>移动录音复听</w:t>
            </w:r>
            <w:r>
              <w:rPr>
                <w:rFonts w:hint="eastAsia" w:ascii="宋体" w:hAnsi="宋体" w:cs="宋体"/>
                <w:color w:val="auto"/>
                <w:sz w:val="24"/>
                <w:highlight w:val="none"/>
                <w:u w:val="none" w:color="000000"/>
              </w:rPr>
              <w:t>应用</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u w:val="none" w:color="000000"/>
                <w:lang w:val="zh-TW" w:eastAsia="zh-TW"/>
              </w:rPr>
            </w:pPr>
            <w:r>
              <w:rPr>
                <w:rFonts w:hint="eastAsia" w:ascii="宋体" w:hAnsi="宋体" w:cs="宋体"/>
                <w:color w:val="auto"/>
                <w:sz w:val="24"/>
                <w:highlight w:val="none"/>
                <w:u w:val="none" w:color="000000"/>
                <w:lang w:val="zh-TW" w:eastAsia="zh-TW"/>
              </w:rPr>
              <w:t>基于监狱应用场景，结合移动终端应用的便利性，面向监狱提供会见录音复听、会见审核、录音复听统计于一体的录音复听APP。</w:t>
            </w:r>
          </w:p>
        </w:tc>
      </w:tr>
      <w:tr>
        <w:tblPrEx>
          <w:tblCellMar>
            <w:top w:w="0" w:type="dxa"/>
            <w:left w:w="108" w:type="dxa"/>
            <w:bottom w:w="0" w:type="dxa"/>
            <w:right w:w="108" w:type="dxa"/>
          </w:tblCellMar>
        </w:tblPrEx>
        <w:trPr>
          <w:wBefore w:w="0" w:type="dxa"/>
          <w:wAfter w:w="0" w:type="dxa"/>
          <w:trHeight w:val="124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2</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信件收发登记</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信件收发信息录入，通过移动终端拍照录入信息，有效对信件数据进行审核与溯源</w:t>
            </w:r>
          </w:p>
        </w:tc>
      </w:tr>
      <w:tr>
        <w:tblPrEx>
          <w:tblCellMar>
            <w:top w:w="0" w:type="dxa"/>
            <w:left w:w="108" w:type="dxa"/>
            <w:bottom w:w="0" w:type="dxa"/>
            <w:right w:w="108" w:type="dxa"/>
          </w:tblCellMar>
        </w:tblPrEx>
        <w:trPr>
          <w:wBefore w:w="0" w:type="dxa"/>
          <w:wAfter w:w="0" w:type="dxa"/>
          <w:trHeight w:val="124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3</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智慧督查应用</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包含流程审批、消息通知、督查巡查、监管改造，业务数据对接。</w:t>
            </w:r>
          </w:p>
        </w:tc>
      </w:tr>
    </w:tbl>
    <w:p>
      <w:pPr>
        <w:tabs>
          <w:tab w:val="left" w:pos="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（二）工作内容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385"/>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56" w:type="dxa"/>
            <w:noWrap w:val="0"/>
            <w:vAlign w:val="center"/>
          </w:tcPr>
          <w:p>
            <w:pPr>
              <w:jc w:val="center"/>
              <w:textAlignment w:val="center"/>
              <w:rPr>
                <w:rFonts w:hint="eastAsia" w:ascii="宋体" w:hAnsi="宋体" w:cs="宋体"/>
                <w:b/>
                <w:color w:val="auto"/>
                <w:sz w:val="24"/>
                <w:highlight w:val="none"/>
              </w:rPr>
            </w:pPr>
            <w:r>
              <w:rPr>
                <w:rFonts w:hint="eastAsia" w:ascii="宋体" w:hAnsi="宋体" w:cs="宋体"/>
                <w:b/>
                <w:color w:val="auto"/>
                <w:sz w:val="24"/>
                <w:highlight w:val="none"/>
                <w:lang w:bidi="ar"/>
              </w:rPr>
              <w:t>子系统</w:t>
            </w:r>
          </w:p>
        </w:tc>
        <w:tc>
          <w:tcPr>
            <w:tcW w:w="2385" w:type="dxa"/>
            <w:noWrap w:val="0"/>
            <w:vAlign w:val="center"/>
          </w:tcPr>
          <w:p>
            <w:pPr>
              <w:jc w:val="center"/>
              <w:textAlignment w:val="center"/>
              <w:rPr>
                <w:rFonts w:hint="eastAsia" w:ascii="宋体" w:hAnsi="宋体" w:cs="宋体"/>
                <w:b/>
                <w:color w:val="auto"/>
                <w:sz w:val="24"/>
                <w:highlight w:val="none"/>
              </w:rPr>
            </w:pPr>
            <w:r>
              <w:rPr>
                <w:rFonts w:hint="eastAsia" w:ascii="宋体" w:hAnsi="宋体" w:cs="宋体"/>
                <w:b/>
                <w:color w:val="auto"/>
                <w:sz w:val="24"/>
                <w:highlight w:val="none"/>
                <w:lang w:bidi="ar"/>
              </w:rPr>
              <w:t>工作单元</w:t>
            </w:r>
          </w:p>
        </w:tc>
        <w:tc>
          <w:tcPr>
            <w:tcW w:w="5706" w:type="dxa"/>
            <w:noWrap w:val="0"/>
            <w:vAlign w:val="center"/>
          </w:tcPr>
          <w:p>
            <w:pPr>
              <w:jc w:val="center"/>
              <w:textAlignment w:val="center"/>
              <w:rPr>
                <w:rFonts w:hint="eastAsia" w:ascii="宋体" w:hAnsi="宋体" w:cs="宋体"/>
                <w:b/>
                <w:color w:val="auto"/>
                <w:sz w:val="24"/>
                <w:highlight w:val="none"/>
              </w:rPr>
            </w:pPr>
            <w:r>
              <w:rPr>
                <w:rFonts w:hint="eastAsia" w:ascii="宋体" w:hAnsi="宋体" w:cs="宋体"/>
                <w:b/>
                <w:color w:val="auto"/>
                <w:sz w:val="24"/>
                <w:highlight w:val="none"/>
                <w:lang w:bidi="ar"/>
              </w:rPr>
              <w:t>主要工作内容（功能要求）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Android手机APP应用系统</w:t>
            </w: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基础功能</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APP的基础功能，包括登录、认证、退出、权限等用户基础功能；APP升级、APP设置、APP启动页等APP基础功能；APP推送功能。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录音复听</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基于登录用户所能查阅的会见记录、录音复听、复听评价。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会见审核</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对接会见系统，基于登录用户权限的会见审批流程流转。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统计分析</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录音复听时效报表、未复听报表、录音复听异常率等统计分析报表。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发件登记</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发件登记管理，录入信息的同时可调用手机相机拍照上传留档。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收件登记</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收件登记管理，录入信息的同时可调用手机相机拍照上传留档。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模块记录</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收发件模板可记录上一次的登记信息，在新增加收发件信息时可自动填入重复的数据，如（检查民警、处置意见），方便民警操作。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工作台（首页）</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APP启动后的首页面，整合和提供工作桌面的功能，待办的巡查事项、待审批事项、待确认消息通知。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流程审批</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智慧督查流程审批功能模块，实现流程审批信息列表，支持分页显示查看、审批处理以及审批详情信息查看等功能。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消息通知</w:t>
            </w:r>
          </w:p>
        </w:tc>
        <w:tc>
          <w:tcPr>
            <w:tcW w:w="5706" w:type="dxa"/>
            <w:noWrap w:val="0"/>
            <w:vAlign w:val="top"/>
          </w:tcPr>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智慧督查动态消息通知功能模块，基于消息通知动态对接，实现通知列表和通知详情：</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1.流程审批类消息通知的对接、列表和详情；</w:t>
            </w:r>
          </w:p>
          <w:p>
            <w:pPr>
              <w:tabs>
                <w:tab w:val="left" w:pos="0"/>
              </w:tabs>
              <w:spacing w:line="360" w:lineRule="exact"/>
              <w:rPr>
                <w:rFonts w:hint="eastAsia" w:ascii="宋体" w:hAnsi="宋体"/>
                <w:b/>
                <w:color w:val="auto"/>
                <w:sz w:val="24"/>
                <w:highlight w:val="none"/>
              </w:rPr>
            </w:pPr>
            <w:r>
              <w:rPr>
                <w:rFonts w:hint="eastAsia" w:ascii="宋体" w:hAnsi="宋体" w:cs="宋体"/>
                <w:color w:val="auto"/>
                <w:sz w:val="24"/>
                <w:highlight w:val="none"/>
                <w:lang w:bidi="ar"/>
              </w:rPr>
              <w:t>2.巡查动态消息通知的对接、列表和详情。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巡查</w:t>
            </w:r>
          </w:p>
        </w:tc>
        <w:tc>
          <w:tcPr>
            <w:tcW w:w="5706" w:type="dxa"/>
            <w:noWrap w:val="0"/>
            <w:vAlign w:val="top"/>
          </w:tcPr>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智慧督查巡查功能模块，实现：</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1.指挥巡查任务接收和查看，支持列表及详情查看；</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2.指挥巡查任务处理及录入，支持文本、图片、音频、视频等内容格式，其中图片、音频、视频支持**通手机拍照和照片对接；</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3.巡查处置，对巡查任务及记录进行处置，根据情况生成和下发督查整改通知书；</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4.信息反馈，根据巡查及调查的情况，填写和提交信息反馈；</w:t>
            </w:r>
          </w:p>
          <w:p>
            <w:pPr>
              <w:tabs>
                <w:tab w:val="left" w:pos="0"/>
              </w:tabs>
              <w:spacing w:line="360" w:lineRule="exact"/>
              <w:rPr>
                <w:rFonts w:hint="eastAsia" w:ascii="宋体" w:hAnsi="宋体"/>
                <w:b/>
                <w:color w:val="auto"/>
                <w:sz w:val="24"/>
                <w:highlight w:val="none"/>
              </w:rPr>
            </w:pPr>
            <w:r>
              <w:rPr>
                <w:rFonts w:hint="eastAsia" w:ascii="宋体" w:hAnsi="宋体" w:cs="宋体"/>
                <w:color w:val="auto"/>
                <w:sz w:val="24"/>
                <w:highlight w:val="none"/>
                <w:lang w:bidi="ar"/>
              </w:rPr>
              <w:t>5.巡查记录管理，支持已处理的巡查记录的更新和查看。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监管改造</w:t>
            </w:r>
          </w:p>
        </w:tc>
        <w:tc>
          <w:tcPr>
            <w:tcW w:w="5706" w:type="dxa"/>
            <w:noWrap w:val="0"/>
            <w:vAlign w:val="top"/>
          </w:tcPr>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监管改造相关规定及考核的内容展示学习：</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1.指挥中心监管改造考核实施细则；</w:t>
            </w:r>
          </w:p>
          <w:p>
            <w:pPr>
              <w:tabs>
                <w:tab w:val="left" w:pos="0"/>
              </w:tabs>
              <w:spacing w:line="360" w:lineRule="exact"/>
              <w:rPr>
                <w:rFonts w:hint="eastAsia" w:ascii="宋体" w:hAnsi="宋体"/>
                <w:b/>
                <w:color w:val="auto"/>
                <w:sz w:val="24"/>
                <w:highlight w:val="none"/>
              </w:rPr>
            </w:pPr>
            <w:r>
              <w:rPr>
                <w:rFonts w:hint="eastAsia" w:ascii="宋体" w:hAnsi="宋体" w:cs="宋体"/>
                <w:color w:val="auto"/>
                <w:sz w:val="24"/>
                <w:highlight w:val="none"/>
                <w:lang w:bidi="ar"/>
              </w:rPr>
              <w:t>2.新文件及新规定学习。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个人中心</w:t>
            </w:r>
          </w:p>
        </w:tc>
        <w:tc>
          <w:tcPr>
            <w:tcW w:w="5706" w:type="dxa"/>
            <w:noWrap w:val="0"/>
            <w:vAlign w:val="top"/>
          </w:tcPr>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1.基于登录用户的用户服务、复听数据、评估数据、审批数据、意见建议、系统设置等功能：</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2.APP系统设置，设置字体及推送时间段；</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3.我的巡查，提供我的巡查记录入口；</w:t>
            </w:r>
          </w:p>
          <w:p>
            <w:pPr>
              <w:tabs>
                <w:tab w:val="left" w:pos="0"/>
              </w:tabs>
              <w:spacing w:line="360" w:lineRule="exact"/>
              <w:rPr>
                <w:rFonts w:hint="eastAsia" w:ascii="宋体" w:hAnsi="宋体"/>
                <w:b/>
                <w:color w:val="auto"/>
                <w:sz w:val="24"/>
                <w:highlight w:val="none"/>
              </w:rPr>
            </w:pPr>
            <w:r>
              <w:rPr>
                <w:rFonts w:hint="eastAsia" w:ascii="宋体" w:hAnsi="宋体" w:cs="宋体"/>
                <w:color w:val="auto"/>
                <w:sz w:val="24"/>
                <w:highlight w:val="none"/>
                <w:lang w:bidi="ar"/>
              </w:rPr>
              <w:t>4.意见反馈，APP问题及意见反馈。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数据及业务接口服务子系统</w:t>
            </w: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业务服务接口</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面向APP应用端提供复听、审核、个人中心等相关功能的数据及业务接口支持。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基础数据服务</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系统基础用户数据体系,民警、罪犯等基础用户数据同步，以及用户相关的业务及数据服务支持供前端APP系统对接调用。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会见数据服务</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会见数据服务体系，会见数据对接、会见数据同步，以及会见复听相关的业务及数据支撑服务支持。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文件转换服务</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实现对会见、情亲电话录音文件的格式及编码转换，使其支持手机移动端复听播放。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语音转写服务</w:t>
            </w:r>
          </w:p>
        </w:tc>
        <w:tc>
          <w:tcPr>
            <w:tcW w:w="5706" w:type="dxa"/>
            <w:noWrap w:val="0"/>
            <w:vAlign w:val="center"/>
          </w:tcPr>
          <w:p>
            <w:pPr>
              <w:spacing w:line="360" w:lineRule="exact"/>
              <w:textAlignment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实现对会见、亲情电话录音文件进行文字转写，准确率在90%以上。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会见业务对接</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会见审批标准化服务构建，实现基于统一标准的会见审批流程及信息对接，提供审批信息审批获取、审批处理、审批状态等功能及业务对接支持。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流程审批服务</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对接流程审批模块，提供审批信息列表、信息详情、审批处置等相关服务接口，供前端APP系统对接调用。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消息通知服务</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对接消息通知模块，提供消息通知列表、消息详情等相关服务接口，供前端APP系统对接调用。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巡查服务</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对接巡查模块，提供巡查任务列表、任务详情、巡查上报、巡查记录等相关服务接口，供前端APP系统调用。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监管改造</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对接监管改造模块，提供相关学习内容列表、详情等相关服务接口，供前端APP系统调用。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个人中心</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对接个人中心模块，提供个人信息、意见建议、APP设置等相关接口，供前端APP系统对接调用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调度及消息服务</w:t>
            </w:r>
          </w:p>
        </w:tc>
        <w:tc>
          <w:tcPr>
            <w:tcW w:w="5706" w:type="dxa"/>
            <w:noWrap w:val="0"/>
            <w:vAlign w:val="top"/>
          </w:tcPr>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1.对接现有系统数据库，基于调度方式，实现任务、流程等信息的动态获取；</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2.提供相应的接收接口，供后台系统调用，实现信息的对接；</w:t>
            </w:r>
          </w:p>
          <w:p>
            <w:pPr>
              <w:tabs>
                <w:tab w:val="left" w:pos="0"/>
                <w:tab w:val="left" w:pos="930"/>
              </w:tabs>
              <w:spacing w:line="360" w:lineRule="exact"/>
              <w:rPr>
                <w:rFonts w:hint="eastAsia" w:ascii="宋体" w:hAnsi="宋体"/>
                <w:b/>
                <w:color w:val="auto"/>
                <w:sz w:val="24"/>
                <w:highlight w:val="none"/>
              </w:rPr>
            </w:pPr>
            <w:r>
              <w:rPr>
                <w:rFonts w:hint="eastAsia" w:ascii="宋体" w:hAnsi="宋体" w:cs="宋体"/>
                <w:color w:val="auto"/>
                <w:sz w:val="24"/>
                <w:highlight w:val="none"/>
                <w:lang w:bidi="ar"/>
              </w:rPr>
              <w:t>3.构建消息服务，整合审批、巡查等功能的消息，统一面向APP端的工作台提供对接。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系统及业务对接</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电子政务系统对接，实现部门民警用户等相关信息，用于支撑**通端用户的统一登录以及用户鉴权等功能服务。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后台管理系统</w:t>
            </w: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基础管理</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系统用户、角色、权限、日志等基础管理，层级及权域管理，APP版本管理等系统管理功能支持。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数据管理</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基础数据、会见数据等基础数据同步配置、管理、运行维护等功能支持。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业务管理</w:t>
            </w:r>
          </w:p>
        </w:tc>
        <w:tc>
          <w:tcPr>
            <w:tcW w:w="5706" w:type="dxa"/>
            <w:noWrap w:val="0"/>
            <w:vAlign w:val="center"/>
          </w:tcPr>
          <w:p>
            <w:pPr>
              <w:spacing w:line="360" w:lineRule="exact"/>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统一会见业务对接接口管理，实现对业务接入、权限等相关基础配置，以及运行状态等维护管理功能支持。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系统管理</w:t>
            </w:r>
          </w:p>
        </w:tc>
        <w:tc>
          <w:tcPr>
            <w:tcW w:w="5706" w:type="dxa"/>
            <w:noWrap w:val="0"/>
            <w:vAlign w:val="top"/>
          </w:tcPr>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系统的基础功能及配置管理</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1.系统的资源及菜单管理；</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2.系统用户、角色管理；</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3.系统用户及角色的权限管理；</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4.系统数据字典配置管理；</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5.智慧督查场景配置和制度管理；</w:t>
            </w:r>
          </w:p>
          <w:p>
            <w:pPr>
              <w:tabs>
                <w:tab w:val="left" w:pos="0"/>
              </w:tabs>
              <w:spacing w:line="360" w:lineRule="exact"/>
              <w:rPr>
                <w:rFonts w:hint="eastAsia" w:ascii="宋体" w:hAnsi="宋体"/>
                <w:b/>
                <w:color w:val="auto"/>
                <w:sz w:val="24"/>
                <w:highlight w:val="none"/>
              </w:rPr>
            </w:pPr>
            <w:r>
              <w:rPr>
                <w:rFonts w:hint="eastAsia" w:ascii="宋体" w:hAnsi="宋体" w:cs="宋体"/>
                <w:color w:val="auto"/>
                <w:sz w:val="24"/>
                <w:highlight w:val="none"/>
              </w:rPr>
              <w:t>6.组织结构和用户管理。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短信提醒</w:t>
            </w:r>
          </w:p>
        </w:tc>
        <w:tc>
          <w:tcPr>
            <w:tcW w:w="5706" w:type="dxa"/>
            <w:noWrap w:val="0"/>
            <w:vAlign w:val="bottom"/>
          </w:tcPr>
          <w:p>
            <w:pPr>
              <w:spacing w:line="360" w:lineRule="exact"/>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短信提醒，支持每个最小管理单元三个号码。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审批流程管理</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智慧督查及巡查的流程配置管理，实现对巡查业务流程以及节点的新增、编辑、删除等功能支持。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巡查重点管理</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巡查重点工作的添加、编辑、删除、查询、查看等维护和管理功能。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tabs>
                <w:tab w:val="left" w:pos="0"/>
              </w:tabs>
              <w:spacing w:line="360" w:lineRule="auto"/>
              <w:jc w:val="center"/>
              <w:rPr>
                <w:rFonts w:hint="eastAsia" w:ascii="宋体" w:hAnsi="宋体"/>
                <w:b/>
                <w:color w:val="auto"/>
                <w:sz w:val="24"/>
                <w:highlight w:val="none"/>
              </w:rPr>
            </w:pPr>
            <w:r>
              <w:rPr>
                <w:rFonts w:hint="eastAsia" w:ascii="宋体" w:hAnsi="宋体" w:cs="宋体"/>
                <w:color w:val="auto"/>
                <w:sz w:val="24"/>
                <w:highlight w:val="none"/>
                <w:lang w:bidi="ar"/>
              </w:rPr>
              <w:t>巡查管理</w:t>
            </w:r>
          </w:p>
        </w:tc>
        <w:tc>
          <w:tcPr>
            <w:tcW w:w="5706" w:type="dxa"/>
            <w:noWrap w:val="0"/>
            <w:vAlign w:val="top"/>
          </w:tcPr>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1.对督察组人员（组长，组员）进行配置，督察录入分省局和监狱、监区自查端分开录入，能进行审核、复议、整改管理。</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2.督查巡查计划（开始时间、结束时间、督察类型（民警履职、监管安全、重大节日）、督察场所等）进行配置，并且和督察组人员挂钩。</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3.对每日专项巡查上报信息进行新增、查看、查询等操作管理功能</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支持上报信息多媒体附件内容的查看；</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支持上报信息的分类分状态查看；</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支持对上报信息进行处置；</w:t>
            </w:r>
          </w:p>
          <w:p>
            <w:pPr>
              <w:tabs>
                <w:tab w:val="left" w:pos="0"/>
              </w:tabs>
              <w:spacing w:line="36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支持处置时发起和对接审批；</w:t>
            </w:r>
          </w:p>
          <w:p>
            <w:pPr>
              <w:tabs>
                <w:tab w:val="left" w:pos="0"/>
              </w:tabs>
              <w:spacing w:line="360" w:lineRule="exact"/>
              <w:rPr>
                <w:rFonts w:hint="eastAsia" w:ascii="宋体" w:hAnsi="宋体"/>
                <w:b/>
                <w:color w:val="auto"/>
                <w:sz w:val="24"/>
                <w:highlight w:val="none"/>
              </w:rPr>
            </w:pPr>
            <w:r>
              <w:rPr>
                <w:rFonts w:hint="eastAsia" w:ascii="宋体" w:hAnsi="宋体" w:cs="宋体"/>
                <w:color w:val="auto"/>
                <w:sz w:val="24"/>
                <w:highlight w:val="none"/>
                <w:lang w:bidi="ar"/>
              </w:rPr>
              <w:t>支持处置生成和下发整改通知书。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监管改造</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监管改造相关信息内容的添加、上传、编辑等操作管理功能支持。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信息审核</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支持对要审批审核的信息进行查看、查询、审批处置、生成和发起整改通知书等功能。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隐患管理</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对巡查所产生的隐患进行跟进查看以及维护管理等功能支持。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督查统计分析</w:t>
            </w:r>
          </w:p>
        </w:tc>
        <w:tc>
          <w:tcPr>
            <w:tcW w:w="5706" w:type="dxa"/>
            <w:noWrap w:val="0"/>
            <w:vAlign w:val="bottom"/>
          </w:tcPr>
          <w:p>
            <w:pPr>
              <w:spacing w:line="360" w:lineRule="exact"/>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能对督查人员和排名情况进行统计分析，能导出各层次督查汇总的问题。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督查数字驾驶舱</w:t>
            </w:r>
          </w:p>
        </w:tc>
        <w:tc>
          <w:tcPr>
            <w:tcW w:w="5706" w:type="dxa"/>
            <w:noWrap w:val="0"/>
            <w:vAlign w:val="bottom"/>
          </w:tcPr>
          <w:p>
            <w:pPr>
              <w:spacing w:line="360" w:lineRule="exact"/>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将日常视频监控督查、**督查、现场督查（检查）、巡回检察、驻在式检查等督（检）查数据采集录入在线督查系统，对监狱落实监管安全核心制度存在的问题进行分类汇总（按周、月、季、年等），展示相关单元（分监区、监区、监狱）落实监管安全核心制度的趋势，便于对容易出现问题的单元进行督查“回头看”，确保核心制度的得到有效落实。</w:t>
            </w:r>
          </w:p>
          <w:p>
            <w:pPr>
              <w:spacing w:line="360" w:lineRule="exact"/>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依据不同督查场景（监控督查、**督查等）进行统计分析，分析容易出现问题的管理环节和单元，对相关单元和环节进行重点跟踪，并提出有针对性的工作建议，确保督查发现的问题切实得到整改。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top"/>
          </w:tcPr>
          <w:p>
            <w:pPr>
              <w:tabs>
                <w:tab w:val="left" w:pos="0"/>
              </w:tabs>
              <w:spacing w:line="360" w:lineRule="auto"/>
              <w:rPr>
                <w:rFonts w:hint="eastAsia" w:ascii="宋体" w:hAnsi="宋体"/>
                <w:b/>
                <w:color w:val="auto"/>
                <w:sz w:val="24"/>
                <w:highlight w:val="none"/>
              </w:rPr>
            </w:pPr>
          </w:p>
        </w:tc>
        <w:tc>
          <w:tcPr>
            <w:tcW w:w="2385" w:type="dxa"/>
            <w:noWrap w:val="0"/>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bidi="ar"/>
              </w:rPr>
              <w:t>查询统计</w:t>
            </w:r>
          </w:p>
        </w:tc>
        <w:tc>
          <w:tcPr>
            <w:tcW w:w="5706" w:type="dxa"/>
            <w:noWrap w:val="0"/>
            <w:vAlign w:val="bottom"/>
          </w:tcPr>
          <w:p>
            <w:pPr>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bidi="ar"/>
              </w:rPr>
              <w:t>对巡查相关信息进行统计分析和查以及录音复听时效报表、未复听报表、录音复听异常率等统计分析报表询汇总</w:t>
            </w:r>
          </w:p>
        </w:tc>
      </w:tr>
    </w:tbl>
    <w:p>
      <w:pPr>
        <w:autoSpaceDE w:val="0"/>
        <w:autoSpaceDN w:val="0"/>
        <w:adjustRightInd w:val="0"/>
        <w:spacing w:line="440" w:lineRule="exact"/>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三、技术要求：</w:t>
      </w:r>
    </w:p>
    <w:p>
      <w:pPr>
        <w:pStyle w:val="68"/>
        <w:framePr w:wrap="auto" w:vAnchor="margin" w:hAnchor="text" w:yAlign="inline"/>
        <w:spacing w:line="440" w:lineRule="exact"/>
        <w:ind w:firstLine="482" w:firstLineChars="200"/>
        <w:rPr>
          <w:rFonts w:hint="eastAsia" w:ascii="宋体" w:hAnsi="宋体" w:eastAsia="宋体" w:cs="宋体"/>
          <w:b/>
          <w:color w:val="auto"/>
          <w:sz w:val="24"/>
          <w:szCs w:val="24"/>
          <w:highlight w:val="none"/>
          <w:u w:val="none" w:color="000000"/>
        </w:rPr>
      </w:pPr>
      <w:r>
        <w:rPr>
          <w:rFonts w:hint="eastAsia" w:ascii="宋体" w:hAnsi="宋体" w:eastAsia="宋体" w:cs="宋体"/>
          <w:b/>
          <w:color w:val="auto"/>
          <w:sz w:val="24"/>
          <w:szCs w:val="24"/>
          <w:highlight w:val="none"/>
          <w:u w:val="none" w:color="000000"/>
        </w:rPr>
        <w:t>（一）接口标准</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1.兼容现有电子政务平台</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从架构层面上兼容现有的政务平台（包括统一身份认证），做到不同的业务子系统共用同一个入口、同一个标准。</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2.基础信息系统对接</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遵照行业管理规定和保密协议，对本系统需要的相关基础信息及数据进行提取和使用。系统中涉及到的业务流程、数据格式、数据编码要符合司法部等有关部门的相关规范，上述规范由省监狱局提供。</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本系统提供遵照行业管理规定和业务交互标准的，数据开放接口，以HTTP接口的方式，提供数据结果的相关接口。各监狱通过上述接口对接，实现自有业务和应用系统的功能实现。</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3.接口规范</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能方便地与其他业务系统或管理系统相互引用集成，规范的数据标准，保障统计流程、数据自动汇总。</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4.业务延展性</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需要有二次开发能力，灵活的版本实现各数据之间的逻辑关系。</w:t>
      </w:r>
    </w:p>
    <w:p>
      <w:pPr>
        <w:pStyle w:val="68"/>
        <w:framePr w:wrap="auto" w:vAnchor="margin" w:hAnchor="text" w:yAlign="inline"/>
        <w:spacing w:line="440" w:lineRule="exact"/>
        <w:ind w:firstLine="482" w:firstLineChars="200"/>
        <w:rPr>
          <w:rFonts w:hint="eastAsia" w:ascii="宋体" w:hAnsi="宋体" w:eastAsia="宋体" w:cs="宋体"/>
          <w:b/>
          <w:color w:val="auto"/>
          <w:sz w:val="24"/>
          <w:szCs w:val="24"/>
          <w:highlight w:val="none"/>
          <w:u w:val="none" w:color="000000"/>
        </w:rPr>
      </w:pPr>
      <w:r>
        <w:rPr>
          <w:rFonts w:hint="eastAsia" w:ascii="宋体" w:hAnsi="宋体" w:eastAsia="宋体" w:cs="宋体"/>
          <w:b/>
          <w:color w:val="auto"/>
          <w:sz w:val="24"/>
          <w:szCs w:val="24"/>
          <w:highlight w:val="none"/>
          <w:u w:val="none" w:color="000000"/>
        </w:rPr>
        <w:t>（二）系统部署和技术要求</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1.部署要求</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系统部署在浙江省金华监狱内网，全省各终端通过内网可访问系统中的各业务单元。</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服务及后台管理系统，选用Java语言，数据库系统采用MySQL、服务器操作系统采用Linux系统、手机终端系统为基于Android的APP应用。系统技术开发采用的相关语言、服务以及中间件，不涉及版权等限制。并在后期可支持将系统迁移至国产操作系统及国产数据库，迁移费用由供应商在报价中考虑。</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2.系统对接</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需要对接相关体系和系统，实现系统相关功能。</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与监狱的基础信息系统对接，实现民警等相关基础信息的同步对接。</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对接电子政务用户体系，实现民警用户的统一登录标准规范。</w:t>
      </w:r>
    </w:p>
    <w:p>
      <w:pPr>
        <w:pStyle w:val="68"/>
        <w:framePr w:wrap="auto" w:vAnchor="margin" w:hAnchor="text" w:yAlign="inline"/>
        <w:spacing w:line="440" w:lineRule="exact"/>
        <w:ind w:firstLine="480" w:firstLineChars="200"/>
        <w:rPr>
          <w:rFonts w:hint="eastAsia" w:ascii="宋体" w:hAnsi="宋体" w:eastAsia="宋体" w:cs="仿宋_GB2312"/>
          <w:b/>
          <w:color w:val="auto"/>
          <w:sz w:val="24"/>
          <w:szCs w:val="24"/>
          <w:highlight w:val="none"/>
        </w:rPr>
      </w:pPr>
      <w:r>
        <w:rPr>
          <w:rFonts w:hint="eastAsia" w:ascii="宋体" w:hAnsi="宋体" w:eastAsia="宋体" w:cs="仿宋_GB2312"/>
          <w:color w:val="auto"/>
          <w:sz w:val="24"/>
          <w:szCs w:val="24"/>
          <w:highlight w:val="none"/>
        </w:rPr>
        <w:t xml:space="preserve"> </w:t>
      </w:r>
      <w:r>
        <w:rPr>
          <w:rFonts w:hint="eastAsia" w:ascii="宋体" w:hAnsi="宋体" w:eastAsia="宋体" w:cs="仿宋_GB2312"/>
          <w:b/>
          <w:color w:val="auto"/>
          <w:sz w:val="24"/>
          <w:szCs w:val="24"/>
          <w:highlight w:val="none"/>
        </w:rPr>
        <w:t>（三）业务模块开发的技术要求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1.数据精度</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（1）时间精度：对时间的精度应该控制到秒，对于并发用户数大于10的应用系统强制到秒级；</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（2）数值型：对于数值型的数据精度一般通过数据库进行定义，对于实际应用中可能存在歧义或者异议的精确到小数点后两位；</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（3）字符型：对于字符型的数据应该确保数据定义的明确性，以确保不产生歧义为第一要素，同时根据业务的不同应该允许用户自定义相关常用字符数据；</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（4）媒体文件：对于直接上传到硬盘的媒体文件应该进行MD5或HASH值的效验，以确保数据的完整性。</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2.时间特性要求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软件的时间特性要求：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（1）软件一般响应时间不得大于3秒；</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（2）数据及业务的处理更新时间依据数据和业务量的大小而定，但最大不应该超过6秒；</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（3）数据的转换和传送时间不得超过3秒；</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（4）其他的应用和业务处理应该在1秒内返回信息，即使处理失败的也应该在3秒内返回错误信息。</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3.灵活性 </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当需求发生某些变化时，该软件对这些变化的适应能力：</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（1）除非发生根本性的需求变化或者重新设置，需求的变化不应该导致用户操作的重新设定；</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（2）同其他软件的接口发生变化，应当以详细的方式予以说明并提供范例；</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（3）精度和有效时限的变化应该满足精度的要求；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（4）计划的变化或改进不得以改变用户操作习惯为前提，除非这种改变是对用户使用体验的提升。</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4.输入输出要求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该业务模块的数据输入包括键盘录入和基于文档的批量输入，以及基于数据库级的数据批量导入等。无论何种方式的输入，其必须满足数据库本身限定的数据类型的要求。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该业务的数据输出包括WEB显示输出、APP显示输出端、文档导出以及数据库的批量导出、备份等，对这些输出系统必须有一定的权限机制。对于数据输出错误的，必须以错误代码形式进行显示，而不是程序代码或者乱码等形式。</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5.数据管理能力要求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数据库的数据由系统应用层进行存储和操作，这种操作必须是基于事务的。而数据管理应该尽量的由DBMS来完成。针对数据的不断增长，系统应该提供基于数据库集群的存储和管理模式。</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6.故障处理要求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对于可能的软件本身造成的系统故障或运行障碍，系统本身应该提供详尽的处理文档和说明；</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对于用户操作造成的系统故障，必须提供系统的故障恢复机制，确保系统的正常和数据的完整；</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对于软件附带硬件系统故障造成的系统瘫痪，系统应该提供备用的硬件或者硬件的应急恢复机制；</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对于服务器硬件故障造成的系统瘫痪，系统应该提供紧急的恢复点，以供恢复系统的运行和数据的完整性。</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7.其他专门要求</w:t>
      </w:r>
    </w:p>
    <w:p>
      <w:pPr>
        <w:pStyle w:val="68"/>
        <w:framePr w:wrap="auto" w:vAnchor="margin" w:hAnchor="text" w:yAlign="inline"/>
        <w:spacing w:line="440" w:lineRule="exact"/>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对于重要的数据，系统必须进行软件加密的方式进行存储和管理，同时根据用户的需求在软件加密的基础上尽可能的提供基于软硬件结合的加密方式。</w:t>
      </w:r>
    </w:p>
    <w:p>
      <w:pPr>
        <w:pStyle w:val="68"/>
        <w:framePr w:wrap="auto" w:vAnchor="margin" w:hAnchor="text" w:yAlign="inline"/>
        <w:spacing w:line="440" w:lineRule="exact"/>
        <w:ind w:firstLine="482" w:firstLineChars="200"/>
        <w:rPr>
          <w:rFonts w:hint="eastAsia" w:ascii="宋体" w:hAnsi="宋体" w:eastAsia="宋体" w:cs="宋体"/>
          <w:b/>
          <w:color w:val="auto"/>
          <w:sz w:val="24"/>
          <w:szCs w:val="24"/>
          <w:highlight w:val="none"/>
          <w:u w:val="none" w:color="000000"/>
        </w:rPr>
      </w:pPr>
      <w:r>
        <w:rPr>
          <w:rFonts w:hint="eastAsia" w:ascii="宋体" w:hAnsi="宋体" w:eastAsia="宋体" w:cs="宋体"/>
          <w:b/>
          <w:color w:val="auto"/>
          <w:sz w:val="24"/>
          <w:szCs w:val="24"/>
          <w:highlight w:val="none"/>
          <w:u w:val="none" w:color="000000"/>
        </w:rPr>
        <w:t>（四）安全要求</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1.身份认证：对接现有的电子政务用户体系。身份认证与授权在用户提交、审核、管理、维护等业务处理过程中，对双方进行认证，以保证身份的正确性。</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2.保密性：保证系统中涉及的大量需要保密的信息通过传输过程中不被窃取。</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3.完整性：保证系统在业务处理中所传输信息不被中途篡改、数据掉包缺项以及重复发送。</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4.稳定性：保证系统在应对各种应急情况时能保持稳定，保证数据的完整与真实。</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5.自检性：在出现明显的人为失误操作时有系统提示提醒相关人员误操作。</w:t>
      </w:r>
    </w:p>
    <w:p>
      <w:pPr>
        <w:pStyle w:val="68"/>
        <w:framePr w:wrap="auto" w:vAnchor="margin" w:hAnchor="text" w:yAlign="inline"/>
        <w:spacing w:line="440" w:lineRule="exact"/>
        <w:ind w:firstLine="480" w:firstLineChars="20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6.保护性：一些重要操作系统能自动记录存档详情和状态</w:t>
      </w:r>
    </w:p>
    <w:p>
      <w:pPr>
        <w:autoSpaceDE w:val="0"/>
        <w:autoSpaceDN w:val="0"/>
        <w:adjustRightInd w:val="0"/>
        <w:spacing w:line="0" w:lineRule="atLeast"/>
        <w:ind w:firstLine="482" w:firstLineChars="200"/>
        <w:jc w:val="left"/>
        <w:rPr>
          <w:rFonts w:hint="eastAsia" w:ascii="宋体" w:hAnsi="宋体"/>
          <w:b/>
          <w:color w:val="auto"/>
          <w:kern w:val="0"/>
          <w:sz w:val="24"/>
          <w:highlight w:val="none"/>
        </w:rPr>
      </w:pPr>
      <w:r>
        <w:rPr>
          <w:rFonts w:hint="eastAsia" w:ascii="宋体" w:hAnsi="宋体"/>
          <w:b/>
          <w:color w:val="auto"/>
          <w:kern w:val="0"/>
          <w:sz w:val="24"/>
          <w:highlight w:val="none"/>
        </w:rPr>
        <w:t>四、建设工期：</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（一）本项目建设工期为4个月（自合同签订之日起计算），前3月内完成系统的需求分析、开发测试、集成部署，完成系统安装调试投入运行，试运行1个月，试运行期内需进一步完善使用过程中出现的问题。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安装标准：符合我国国家有关技术规范要求和技术标准。采购人提供的系统内容为基本要求，后续有可能进行局部修改，投标人也可以根据自身实际能力完善系统内容或提出优化建议。整体系统安装完成后应能构成技术要求正常运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（三）安装过程中发生的所有费用由中标人负责,包括安装调试人员的交通、食、宿费用等。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（四）供应商应在投标文件中提出其安装调试过程中采购人需配合的内容。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（五）中标人应指派一名项目经理负责现场技术指导。</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（六）</w:t>
      </w:r>
      <w:r>
        <w:rPr>
          <w:rFonts w:hint="eastAsia" w:ascii="宋体" w:hAnsi="宋体"/>
          <w:color w:val="auto"/>
          <w:highlight w:val="none"/>
        </w:rPr>
        <w:t>★</w:t>
      </w:r>
      <w:r>
        <w:rPr>
          <w:rFonts w:hint="eastAsia" w:ascii="宋体" w:hAnsi="宋体"/>
          <w:color w:val="auto"/>
          <w:sz w:val="24"/>
          <w:highlight w:val="none"/>
        </w:rPr>
        <w:t>该项目的版权及源代码著作权归采购人所有，供应商须承诺后期协助采购人获得软件专利证书及软件著作权证书，费用由供应商承担。</w:t>
      </w:r>
    </w:p>
    <w:p>
      <w:pPr>
        <w:spacing w:line="440" w:lineRule="exact"/>
        <w:ind w:firstLine="482" w:firstLineChars="200"/>
        <w:rPr>
          <w:rFonts w:ascii="宋体" w:hAnsi="宋体"/>
          <w:color w:val="auto"/>
          <w:sz w:val="24"/>
          <w:highlight w:val="none"/>
        </w:rPr>
      </w:pPr>
      <w:r>
        <w:rPr>
          <w:rFonts w:hint="eastAsia" w:ascii="宋体" w:hAnsi="宋体"/>
          <w:b/>
          <w:bCs/>
          <w:color w:val="auto"/>
          <w:sz w:val="24"/>
          <w:highlight w:val="none"/>
        </w:rPr>
        <w:t>五、验收：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一）试运行结束，系统正常的，采购人将按规定根据行业相关标准及招标文件、投标文件内容对本项目系统建设的参数配置、数量、安装调试后的使用性能、运行状况、技术资料及其他进行验收，中标人必须在验收现场提供必要的技术支持，验收费用由中标人承担。验收前须经第三方检测机构检测合格，验收产生的费用由中标人承担。</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（二）中标人须保证所提供产品符合国家有关规定，保证所提供产品具有合法的版权或使用权，本项目采购的产品，如在本项目范围内使用过程中出现版权或使用权纠纷，应由中标人负责，采购人不承担责任。</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（三）供应商必须保证解决项目所涉及的技术问题，如因技术原因无法满足采购人需求，由此产生的风险由供应商承担。</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（四）验收时须提供软件介质（光盘、U 盘等）、设计文档、技术文档和许可证（含电子授权）等相关资料。具体资料目录如下：</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1.设计文档包括《需求规格说明书》、《系统总体技术方案》、《概要设计说明书》、《详细设计说明书》、《数据库设计说明书》、《接口设计说明书》等；</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2.技术文档包括《用户操作手册》、《系统管理员安装部署操作手册》以及第三方产品介质、原厂授权书、技术白皮书、质量保证书、保修卡（售后服务承诺）等。</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（五）如发生所供产品与采购文件或投标承诺中规定的要求不符，中标人必须无条件整改或更换，并承担由此产生的一切责任和后果。</w:t>
      </w:r>
    </w:p>
    <w:p>
      <w:pPr>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六、售后服务要求：</w:t>
      </w:r>
    </w:p>
    <w:p>
      <w:pPr>
        <w:spacing w:line="440" w:lineRule="exact"/>
        <w:ind w:firstLine="480" w:firstLineChars="200"/>
        <w:rPr>
          <w:rFonts w:ascii="宋体" w:hAnsi="宋体"/>
          <w:b/>
          <w:bCs/>
          <w:color w:val="auto"/>
          <w:sz w:val="24"/>
          <w:highlight w:val="none"/>
        </w:rPr>
      </w:pPr>
      <w:r>
        <w:rPr>
          <w:rFonts w:hint="eastAsia" w:ascii="宋体" w:hAnsi="宋体"/>
          <w:color w:val="auto"/>
          <w:sz w:val="24"/>
          <w:highlight w:val="none"/>
        </w:rPr>
        <w:t>（一）提供不少于3年的免费维护期限（自验收合格之日起计算）。</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（二）具备完善的售后服务能力，支持7*24小时服务。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三）售后服务要求响应时间为：提供7*24小时电话技术咨询支持，在收到用户通知后，30分钟内须响应，须在4小时内到达现场24小时内解决，保障系统正常运行使用。包括免费升级、功能完善、故障排除、性能调优、技术咨询等。</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（四）出现故障后，中标人如未按上述要求进行响应，采购人可以采取必要的补救措施，由此产生的风险和费用全部由中标人承担。</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（五）培训：供应商应对采购人的操作人员进行操作培训；培训包括软件操作使用和维护培训，使其能对软件进行正常使用、日常维护保养及能对一般故障进行维修。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（六）</w:t>
      </w:r>
      <w:r>
        <w:rPr>
          <w:rFonts w:hint="eastAsia" w:ascii="宋体" w:hAnsi="宋体"/>
          <w:color w:val="auto"/>
          <w:highlight w:val="none"/>
        </w:rPr>
        <w:t>★</w:t>
      </w:r>
      <w:r>
        <w:rPr>
          <w:rFonts w:hint="eastAsia" w:ascii="宋体" w:hAnsi="宋体"/>
          <w:color w:val="auto"/>
          <w:sz w:val="24"/>
          <w:highlight w:val="none"/>
        </w:rPr>
        <w:t>中标人及相关人员应遵守监狱纪律，对在服务过程中所接触到的一切信息严格保密。造成泄密的，需承担法律责任。供应商需在投标文件中对保密义务作出承诺，并在中标后与采购人另行签署保密协议。</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七、违约责任：</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（一）本项目不允许任何形式的分包和转包。</w:t>
      </w:r>
    </w:p>
    <w:p>
      <w:pPr>
        <w:widowControl/>
        <w:tabs>
          <w:tab w:val="center" w:pos="4755"/>
          <w:tab w:val="right" w:pos="9070"/>
        </w:tabs>
        <w:spacing w:line="440" w:lineRule="exact"/>
        <w:ind w:firstLine="480" w:firstLineChars="200"/>
        <w:jc w:val="left"/>
        <w:rPr>
          <w:rFonts w:ascii="宋体" w:hAnsi="宋体"/>
          <w:b/>
          <w:color w:val="auto"/>
          <w:sz w:val="24"/>
          <w:highlight w:val="none"/>
        </w:rPr>
      </w:pPr>
      <w:r>
        <w:rPr>
          <w:rFonts w:hint="eastAsia" w:ascii="宋体" w:hAnsi="宋体"/>
          <w:color w:val="auto"/>
          <w:sz w:val="24"/>
          <w:highlight w:val="none"/>
        </w:rPr>
        <w:t>（二）如中标人延期交货，除人力不可抗拒的因素外，中标人自逾期之日起，向采购人每日偿付合同总价千分之五的违约金；中标人逾期30日不能完成的，采购人将终止合同，不支付任何费用，并由中标人承担采购人的损失和相应的法律责任。</w:t>
      </w:r>
    </w:p>
    <w:p>
      <w:pPr>
        <w:spacing w:line="440" w:lineRule="exact"/>
        <w:ind w:firstLine="472" w:firstLineChars="196"/>
        <w:rPr>
          <w:rFonts w:ascii="宋体" w:hAnsi="宋体"/>
          <w:b/>
          <w:bCs/>
          <w:color w:val="auto"/>
          <w:sz w:val="24"/>
          <w:highlight w:val="none"/>
        </w:rPr>
      </w:pPr>
      <w:r>
        <w:rPr>
          <w:rFonts w:hint="eastAsia" w:ascii="宋体" w:hAnsi="宋体"/>
          <w:b/>
          <w:bCs/>
          <w:color w:val="auto"/>
          <w:sz w:val="24"/>
          <w:highlight w:val="none"/>
        </w:rPr>
        <w:t>八、付款方式:</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1.中标人在签订合同之前向采购人交纳履约保证金，金额为中标价的5%</w:t>
      </w:r>
      <w:r>
        <w:rPr>
          <w:rFonts w:hint="eastAsia" w:ascii="宋体" w:hAnsi="宋体"/>
          <w:color w:val="auto"/>
          <w:kern w:val="0"/>
          <w:sz w:val="24"/>
          <w:highlight w:val="none"/>
        </w:rPr>
        <w:t>（四舍五入精确到元），</w:t>
      </w:r>
      <w:r>
        <w:rPr>
          <w:rFonts w:hint="eastAsia" w:ascii="宋体" w:hAnsi="宋体"/>
          <w:color w:val="auto"/>
          <w:sz w:val="24"/>
          <w:highlight w:val="none"/>
        </w:rPr>
        <w:t>履约保证金在投标人承诺的质保期满后退还（不计息）。</w:t>
      </w:r>
    </w:p>
    <w:p>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2.项目整体验收合格后付采购人支付合同总款的100%。中标人应提供</w:t>
      </w:r>
      <w:r>
        <w:rPr>
          <w:rFonts w:hint="eastAsia" w:hAnsi="宋体" w:cs="Arial"/>
          <w:color w:val="auto"/>
          <w:sz w:val="24"/>
          <w:highlight w:val="none"/>
        </w:rPr>
        <w:t>增值税</w:t>
      </w:r>
      <w:r>
        <w:rPr>
          <w:rFonts w:hint="eastAsia" w:ascii="宋体" w:hAnsi="宋体"/>
          <w:color w:val="auto"/>
          <w:sz w:val="24"/>
          <w:highlight w:val="none"/>
        </w:rPr>
        <w:t>发票。</w:t>
      </w:r>
    </w:p>
    <w:p>
      <w:pPr>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九、须注意的其他事项:</w:t>
      </w:r>
    </w:p>
    <w:p>
      <w:pPr>
        <w:spacing w:line="44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（一）中标人需文明安装和施工，保证安全，如在安装和施工过程中发生事故，一切责任由中标人承担。</w:t>
      </w:r>
    </w:p>
    <w:p>
      <w:pPr>
        <w:spacing w:line="44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（二）安装和施工期间，中标人应妥善保管货物、产品、各种材料和器材，如有被盗和其它损失的，采购人不承担任何责任。</w:t>
      </w:r>
    </w:p>
    <w:p>
      <w:pPr>
        <w:spacing w:line="440" w:lineRule="exact"/>
        <w:ind w:firstLine="480" w:firstLineChars="200"/>
        <w:rPr>
          <w:rFonts w:ascii="宋体" w:hAnsi="宋体" w:cs="Arial"/>
          <w:b/>
          <w:color w:val="auto"/>
          <w:sz w:val="28"/>
          <w:szCs w:val="28"/>
          <w:highlight w:val="none"/>
        </w:rPr>
      </w:pPr>
      <w:r>
        <w:rPr>
          <w:rFonts w:hint="eastAsia" w:ascii="宋体" w:hAnsi="宋体" w:cs="Arial"/>
          <w:color w:val="auto"/>
          <w:sz w:val="24"/>
          <w:highlight w:val="none"/>
        </w:rPr>
        <w:t>（三）在项目安装和施工过程中如对采购人的建筑物和设施设备造成损坏的，中标人须负责赔偿或免费修复。</w:t>
      </w:r>
    </w:p>
    <w:p>
      <w:pPr>
        <w:snapToGrid w:val="0"/>
        <w:spacing w:line="420" w:lineRule="exact"/>
        <w:jc w:val="center"/>
        <w:rPr>
          <w:rFonts w:hint="eastAsia" w:ascii="黑体" w:eastAsia="黑体"/>
          <w:color w:val="auto"/>
          <w:sz w:val="32"/>
          <w:szCs w:val="32"/>
          <w:highlight w:val="none"/>
        </w:rPr>
      </w:pPr>
      <w:r>
        <w:rPr>
          <w:rFonts w:ascii="黑体" w:eastAsia="黑体"/>
          <w:color w:val="auto"/>
          <w:sz w:val="32"/>
          <w:szCs w:val="32"/>
          <w:highlight w:val="none"/>
        </w:rPr>
        <w:br w:type="page"/>
      </w:r>
      <w:r>
        <w:rPr>
          <w:rFonts w:hint="eastAsia" w:ascii="黑体" w:eastAsia="黑体"/>
          <w:color w:val="auto"/>
          <w:sz w:val="32"/>
          <w:szCs w:val="32"/>
          <w:highlight w:val="none"/>
        </w:rPr>
        <w:t>第三章  投标人须知</w:t>
      </w:r>
    </w:p>
    <w:p>
      <w:pPr>
        <w:snapToGrid w:val="0"/>
        <w:spacing w:before="120" w:beforeLines="50" w:after="120" w:afterLines="50"/>
        <w:ind w:left="238"/>
        <w:jc w:val="center"/>
        <w:rPr>
          <w:rFonts w:ascii="黑体" w:hAnsi="宋体" w:eastAsia="黑体"/>
          <w:color w:val="auto"/>
          <w:sz w:val="24"/>
          <w:highlight w:val="none"/>
        </w:rPr>
      </w:pPr>
      <w:r>
        <w:rPr>
          <w:rFonts w:hint="eastAsia" w:ascii="黑体" w:hAnsi="宋体" w:eastAsia="黑体"/>
          <w:color w:val="auto"/>
          <w:sz w:val="24"/>
          <w:highlight w:val="none"/>
        </w:rPr>
        <w:t>前附表</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hint="eastAsia" w:ascii="宋体" w:hAnsi="宋体"/>
                <w:color w:val="auto"/>
                <w:sz w:val="24"/>
                <w:highlight w:val="none"/>
              </w:rPr>
              <w:t>序号</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hint="eastAsia" w:ascii="宋体" w:hAnsi="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5"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1</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Arial"/>
                <w:color w:val="auto"/>
                <w:sz w:val="24"/>
                <w:highlight w:val="none"/>
              </w:rPr>
            </w:pPr>
            <w:r>
              <w:rPr>
                <w:rFonts w:hint="eastAsia" w:ascii="宋体" w:hAnsi="宋体"/>
                <w:color w:val="auto"/>
                <w:sz w:val="24"/>
                <w:highlight w:val="none"/>
              </w:rPr>
              <w:t>项目名称：</w:t>
            </w:r>
            <w:r>
              <w:rPr>
                <w:rFonts w:hint="eastAsia" w:ascii="宋体" w:hAnsi="宋体" w:cs="Arial"/>
                <w:color w:val="auto"/>
                <w:sz w:val="24"/>
                <w:highlight w:val="none"/>
              </w:rPr>
              <w:t>浙江省金华监狱移动**录音复听、智慧督查APP应用系统采购项目</w:t>
            </w:r>
          </w:p>
          <w:p>
            <w:pPr>
              <w:spacing w:line="460" w:lineRule="exact"/>
              <w:rPr>
                <w:rFonts w:hint="eastAsia" w:ascii="宋体" w:hAnsi="宋体" w:cs="Arial"/>
                <w:color w:val="auto"/>
                <w:sz w:val="24"/>
                <w:highlight w:val="none"/>
              </w:rPr>
            </w:pPr>
            <w:r>
              <w:rPr>
                <w:rFonts w:hint="eastAsia" w:ascii="宋体" w:hAnsi="宋体" w:cs="Arial"/>
                <w:color w:val="auto"/>
                <w:sz w:val="24"/>
                <w:highlight w:val="none"/>
              </w:rPr>
              <w:t>采购计划书号：浙江省本级政府采购计划书临[2021]24160号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9"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2</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宋体" w:hAnsi="宋体"/>
                <w:color w:val="auto"/>
                <w:sz w:val="24"/>
                <w:highlight w:val="none"/>
              </w:rPr>
            </w:pPr>
            <w:r>
              <w:rPr>
                <w:rFonts w:hint="eastAsia" w:ascii="宋体" w:hAnsi="宋体"/>
                <w:color w:val="auto"/>
                <w:sz w:val="24"/>
                <w:highlight w:val="none"/>
              </w:rPr>
              <w:t>招标内容：详见招标文件第二章。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6"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3</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宋体" w:hAnsi="宋体"/>
                <w:color w:val="auto"/>
                <w:sz w:val="24"/>
                <w:highlight w:val="none"/>
              </w:rPr>
            </w:pPr>
            <w:r>
              <w:rPr>
                <w:rFonts w:hint="eastAsia" w:ascii="宋体" w:hAnsi="宋体"/>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w:t>
            </w:r>
            <w:r>
              <w:rPr>
                <w:rFonts w:ascii="宋体" w:hAnsi="宋体"/>
                <w:b/>
                <w:bCs/>
                <w:color w:val="auto"/>
                <w:sz w:val="24"/>
                <w:highlight w:val="none"/>
              </w:rPr>
              <w:t>3</w:t>
            </w:r>
            <w:r>
              <w:rPr>
                <w:rFonts w:hint="eastAsia" w:ascii="宋体" w:hAnsi="宋体"/>
                <w:b/>
                <w:bCs/>
                <w:color w:val="auto"/>
                <w:sz w:val="24"/>
                <w:highlight w:val="none"/>
              </w:rPr>
              <w:t>、</w:t>
            </w:r>
            <w:r>
              <w:rPr>
                <w:rFonts w:hint="eastAsia" w:hAnsi="宋体" w:cs="宋体"/>
                <w:b/>
                <w:bCs/>
                <w:color w:val="auto"/>
                <w:sz w:val="24"/>
                <w:highlight w:val="none"/>
              </w:rPr>
              <w:t>本项目采购代理服务费按4878元收取，在中标通知书领取前由中标人支付给采购代理机构。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2"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4</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宋体" w:hAnsi="宋体"/>
                <w:color w:val="auto"/>
                <w:sz w:val="24"/>
                <w:highlight w:val="none"/>
              </w:rPr>
            </w:pPr>
            <w:r>
              <w:rPr>
                <w:rFonts w:hint="eastAsia" w:ascii="宋体" w:hAnsi="宋体"/>
                <w:color w:val="auto"/>
                <w:sz w:val="24"/>
                <w:highlight w:val="none"/>
              </w:rPr>
              <w:t>履约保证金:签订合同之前中标人将履约保证金 (中标总价*5%)转入采购单位指定账户；中标人承诺的质保期满无任何遗留问题的经采购人签字认可后一次性退还（不计息）。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2"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5</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60" w:lineRule="exact"/>
              <w:textAlignment w:val="bottom"/>
              <w:rPr>
                <w:rFonts w:ascii="宋体" w:hAnsi="宋体" w:cs="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答疑与澄清：投标人如认为招标文件表述不清晰、存在歧视性、排他性或者其他违法内容的，可自获取招标文件之日（招标文件公告期届满后获取的以公告届满之日起计）起</w:t>
            </w:r>
            <w:r>
              <w:rPr>
                <w:rFonts w:ascii="宋体" w:hAnsi="宋体"/>
                <w:color w:val="auto"/>
                <w:sz w:val="24"/>
                <w:highlight w:val="none"/>
              </w:rPr>
              <w:t>7</w:t>
            </w:r>
            <w:r>
              <w:rPr>
                <w:rFonts w:hint="eastAsia" w:ascii="宋体" w:hAnsi="宋体"/>
                <w:color w:val="auto"/>
                <w:sz w:val="24"/>
                <w:highlight w:val="none"/>
              </w:rPr>
              <w:t>个工作日内且在投标截止时间前，以书面形式要求采购代理机构作出书面解释、澄清或者向采购代理机构提出书面质疑；</w:t>
            </w:r>
            <w:r>
              <w:rPr>
                <w:rFonts w:ascii="宋体" w:hAnsi="宋体"/>
                <w:color w:val="auto"/>
                <w:sz w:val="24"/>
                <w:highlight w:val="none"/>
              </w:rPr>
              <w:t>采购代理机构</w:t>
            </w:r>
            <w:r>
              <w:rPr>
                <w:rFonts w:hint="eastAsia" w:ascii="宋体" w:hAnsi="宋体"/>
                <w:color w:val="auto"/>
                <w:sz w:val="24"/>
                <w:highlight w:val="none"/>
              </w:rPr>
              <w:t>将对</w:t>
            </w:r>
            <w:r>
              <w:rPr>
                <w:rFonts w:ascii="宋体" w:hAnsi="宋体"/>
                <w:color w:val="auto"/>
                <w:sz w:val="24"/>
                <w:highlight w:val="none"/>
              </w:rPr>
              <w:t>招标文件进行必要澄清、答复、修改或补充</w:t>
            </w:r>
            <w:r>
              <w:rPr>
                <w:rFonts w:hint="eastAsia" w:ascii="宋体" w:hAnsi="宋体"/>
                <w:color w:val="auto"/>
                <w:sz w:val="24"/>
                <w:highlight w:val="none"/>
              </w:rPr>
              <w:t>。采</w:t>
            </w:r>
            <w:r>
              <w:rPr>
                <w:rFonts w:ascii="宋体" w:hAnsi="宋体"/>
                <w:color w:val="auto"/>
                <w:sz w:val="24"/>
                <w:highlight w:val="none"/>
              </w:rPr>
              <w:t>购代理机构对已发出的招标文件进行必要澄清、答复、修改或补充</w:t>
            </w:r>
            <w:r>
              <w:rPr>
                <w:rFonts w:hint="eastAsia" w:ascii="宋体" w:hAnsi="宋体"/>
                <w:color w:val="auto"/>
                <w:sz w:val="24"/>
                <w:highlight w:val="none"/>
              </w:rPr>
              <w:t>若影响投标文件制作且距离提交投标文件截止时间不足15日时，投标截止时间将相应顺延，并</w:t>
            </w:r>
            <w:r>
              <w:rPr>
                <w:rFonts w:ascii="宋体" w:hAnsi="宋体"/>
                <w:color w:val="auto"/>
                <w:sz w:val="24"/>
                <w:highlight w:val="none"/>
              </w:rPr>
              <w:t>在</w:t>
            </w:r>
            <w:r>
              <w:rPr>
                <w:rFonts w:hint="eastAsia" w:ascii="宋体" w:hAnsi="宋体"/>
                <w:color w:val="auto"/>
                <w:sz w:val="24"/>
                <w:highlight w:val="none"/>
              </w:rPr>
              <w:t>原公告</w:t>
            </w:r>
            <w:r>
              <w:rPr>
                <w:rFonts w:ascii="宋体" w:hAnsi="宋体"/>
                <w:color w:val="auto"/>
                <w:sz w:val="24"/>
                <w:highlight w:val="none"/>
              </w:rPr>
              <w:t>网</w:t>
            </w:r>
            <w:r>
              <w:rPr>
                <w:rFonts w:hint="eastAsia" w:ascii="宋体" w:hAnsi="宋体"/>
                <w:color w:val="auto"/>
                <w:sz w:val="24"/>
                <w:highlight w:val="none"/>
              </w:rPr>
              <w:t>站</w:t>
            </w:r>
            <w:r>
              <w:rPr>
                <w:rFonts w:ascii="宋体" w:hAnsi="宋体"/>
                <w:color w:val="auto"/>
                <w:sz w:val="24"/>
                <w:highlight w:val="none"/>
              </w:rPr>
              <w:t>上发布更正公告。</w:t>
            </w:r>
            <w:r>
              <w:rPr>
                <w:rFonts w:hint="eastAsia" w:ascii="宋体" w:hAnsi="宋体"/>
                <w:color w:val="auto"/>
                <w:sz w:val="24"/>
                <w:highlight w:val="none"/>
              </w:rPr>
              <w:t>因其他紧急情况影响本项目正常招标活动的，采购代理机构将于投标截止日期</w:t>
            </w:r>
            <w:r>
              <w:rPr>
                <w:rFonts w:ascii="宋体" w:hAnsi="宋体"/>
                <w:color w:val="auto"/>
                <w:sz w:val="24"/>
                <w:highlight w:val="none"/>
              </w:rPr>
              <w:t>5</w:t>
            </w:r>
            <w:r>
              <w:rPr>
                <w:rFonts w:hint="eastAsia" w:ascii="宋体" w:hAnsi="宋体"/>
                <w:color w:val="auto"/>
                <w:sz w:val="24"/>
                <w:highlight w:val="none"/>
              </w:rPr>
              <w:t>天前在原公告网站上发布通知。各投标人应主动关注投标项目的更正公告等情况。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9"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6</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投标文件组成：资信及</w:t>
            </w:r>
            <w:r>
              <w:rPr>
                <w:rFonts w:hint="eastAsia" w:ascii="宋体" w:hAnsi="宋体" w:cs="Arial"/>
                <w:color w:val="auto"/>
                <w:sz w:val="24"/>
                <w:highlight w:val="none"/>
              </w:rPr>
              <w:t>技术标、投标报价标</w:t>
            </w:r>
            <w:r>
              <w:rPr>
                <w:rFonts w:hint="eastAsia" w:ascii="宋体" w:hAnsi="宋体"/>
                <w:color w:val="auto"/>
                <w:sz w:val="24"/>
                <w:highlight w:val="none"/>
              </w:rPr>
              <w:t>正本各</w:t>
            </w:r>
            <w:r>
              <w:rPr>
                <w:rFonts w:hint="eastAsia" w:ascii="宋体" w:hAnsi="宋体"/>
                <w:color w:val="auto"/>
                <w:sz w:val="24"/>
                <w:highlight w:val="none"/>
                <w:u w:val="single"/>
              </w:rPr>
              <w:t xml:space="preserve"> </w:t>
            </w:r>
            <w:r>
              <w:rPr>
                <w:rFonts w:hint="eastAsia" w:ascii="宋体" w:hAnsi="宋体" w:cs="Arial"/>
                <w:color w:val="auto"/>
                <w:sz w:val="24"/>
                <w:highlight w:val="none"/>
                <w:u w:val="single"/>
              </w:rPr>
              <w:t>1</w:t>
            </w:r>
            <w:r>
              <w:rPr>
                <w:rFonts w:hint="eastAsia" w:ascii="宋体" w:hAnsi="宋体"/>
                <w:color w:val="auto"/>
                <w:sz w:val="24"/>
                <w:highlight w:val="none"/>
                <w:u w:val="single"/>
              </w:rPr>
              <w:t xml:space="preserve"> </w:t>
            </w:r>
            <w:r>
              <w:rPr>
                <w:rFonts w:hint="eastAsia" w:ascii="宋体" w:hAnsi="宋体"/>
                <w:color w:val="auto"/>
                <w:sz w:val="24"/>
                <w:highlight w:val="none"/>
              </w:rPr>
              <w:t>份、副本各</w:t>
            </w:r>
            <w:r>
              <w:rPr>
                <w:rFonts w:hint="eastAsia" w:ascii="宋体" w:hAnsi="宋体"/>
                <w:color w:val="auto"/>
                <w:sz w:val="24"/>
                <w:highlight w:val="none"/>
                <w:u w:val="single"/>
              </w:rPr>
              <w:t xml:space="preserve"> 4 </w:t>
            </w:r>
            <w:r>
              <w:rPr>
                <w:rFonts w:hint="eastAsia" w:ascii="宋体" w:hAnsi="宋体"/>
                <w:color w:val="auto"/>
                <w:sz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2"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7</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投标时间：2021年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0时</w:t>
            </w:r>
          </w:p>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投标文件递交地点：</w:t>
            </w:r>
            <w:r>
              <w:rPr>
                <w:rFonts w:hint="eastAsia" w:ascii="宋体" w:hAnsi="宋体" w:cs="宋体"/>
                <w:color w:val="auto"/>
                <w:kern w:val="0"/>
                <w:sz w:val="24"/>
                <w:highlight w:val="none"/>
              </w:rPr>
              <w:t>金华市公共资源交易中心开标</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室（双龙南街858号金华市行政服务中心四楼）</w:t>
            </w:r>
            <w:r>
              <w:rPr>
                <w:rFonts w:hint="eastAsia" w:ascii="宋体" w:hAnsi="宋体" w:cs="Arial"/>
                <w:color w:val="auto"/>
                <w:sz w:val="24"/>
                <w:highlight w:val="none"/>
              </w:rPr>
              <w:t>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2"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8</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开标时间：2021年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0时</w:t>
            </w:r>
          </w:p>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开标地点：</w:t>
            </w:r>
            <w:r>
              <w:rPr>
                <w:rFonts w:hint="eastAsia" w:ascii="宋体" w:hAnsi="宋体" w:cs="宋体"/>
                <w:color w:val="auto"/>
                <w:kern w:val="0"/>
                <w:sz w:val="24"/>
                <w:highlight w:val="none"/>
              </w:rPr>
              <w:t>金华市公共资源交易中心开标</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室（双龙南街858号金华市行政服务中心四楼）</w:t>
            </w:r>
            <w:r>
              <w:rPr>
                <w:rFonts w:hint="eastAsia" w:ascii="宋体" w:hAnsi="宋体" w:cs="Arial"/>
                <w:color w:val="auto"/>
                <w:sz w:val="24"/>
                <w:highlight w:val="none"/>
              </w:rPr>
              <w:t>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6"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9</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3"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10</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评标结果公告时间：确定中标结果后2个工作日内。</w:t>
            </w:r>
          </w:p>
          <w:p>
            <w:pPr>
              <w:autoSpaceDE w:val="0"/>
              <w:autoSpaceDN w:val="0"/>
              <w:snapToGrid w:val="0"/>
              <w:spacing w:line="360" w:lineRule="exact"/>
              <w:textAlignment w:val="bottom"/>
              <w:rPr>
                <w:rFonts w:ascii="宋体" w:hAnsi="宋体" w:cs="Arial"/>
                <w:color w:val="auto"/>
                <w:sz w:val="24"/>
                <w:highlight w:val="none"/>
                <w:lang w:bidi="ar"/>
              </w:rPr>
            </w:pPr>
            <w:r>
              <w:rPr>
                <w:rFonts w:hint="eastAsia" w:ascii="宋体" w:hAnsi="宋体" w:cs="宋体"/>
                <w:color w:val="auto"/>
                <w:sz w:val="24"/>
                <w:highlight w:val="none"/>
              </w:rPr>
              <w:t>评标结果公告网址：</w:t>
            </w:r>
            <w:r>
              <w:rPr>
                <w:rFonts w:hint="eastAsia" w:ascii="宋体" w:hAnsi="宋体" w:cs="Arial"/>
                <w:color w:val="auto"/>
                <w:sz w:val="24"/>
                <w:highlight w:val="none"/>
                <w:lang w:bidi="ar"/>
              </w:rPr>
              <w:t>浙江政府采购网（</w:t>
            </w:r>
            <w:r>
              <w:rPr>
                <w:rFonts w:ascii="宋体" w:hAnsi="宋体" w:cs="Arial"/>
                <w:color w:val="auto"/>
                <w:sz w:val="24"/>
                <w:highlight w:val="none"/>
                <w:lang w:bidi="ar"/>
              </w:rPr>
              <w:fldChar w:fldCharType="begin"/>
            </w:r>
            <w:r>
              <w:rPr>
                <w:rFonts w:ascii="宋体" w:hAnsi="宋体" w:cs="Arial"/>
                <w:color w:val="auto"/>
                <w:sz w:val="24"/>
                <w:highlight w:val="none"/>
                <w:lang w:bidi="ar"/>
              </w:rPr>
              <w:instrText xml:space="preserve"> HYPERLINK "http://www.zjzfcg.gov.cn/" </w:instrText>
            </w:r>
            <w:r>
              <w:rPr>
                <w:rFonts w:ascii="宋体" w:hAnsi="宋体" w:cs="Arial"/>
                <w:color w:val="auto"/>
                <w:sz w:val="24"/>
                <w:highlight w:val="none"/>
                <w:lang w:bidi="ar"/>
              </w:rPr>
              <w:fldChar w:fldCharType="separate"/>
            </w:r>
            <w:r>
              <w:rPr>
                <w:rFonts w:hint="eastAsia" w:ascii="宋体" w:hAnsi="宋体" w:cs="Arial"/>
                <w:color w:val="auto"/>
                <w:sz w:val="24"/>
                <w:highlight w:val="none"/>
                <w:lang w:bidi="ar"/>
              </w:rPr>
              <w:t>http：//zfcg.czt.zj.gov.cn</w:t>
            </w:r>
            <w:r>
              <w:rPr>
                <w:rFonts w:ascii="宋体" w:hAnsi="宋体" w:cs="Arial"/>
                <w:color w:val="auto"/>
                <w:sz w:val="24"/>
                <w:highlight w:val="none"/>
                <w:lang w:bidi="ar"/>
              </w:rPr>
              <w:fldChar w:fldCharType="end"/>
            </w:r>
            <w:r>
              <w:rPr>
                <w:rFonts w:hint="eastAsia" w:ascii="宋体" w:hAnsi="宋体" w:cs="Arial"/>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11</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中标通知书领取时间：</w:t>
            </w:r>
            <w:r>
              <w:rPr>
                <w:rFonts w:hint="eastAsia" w:ascii="宋体" w:hAnsi="宋体" w:cs="宋体"/>
                <w:color w:val="auto"/>
                <w:sz w:val="24"/>
                <w:highlight w:val="none"/>
              </w:rPr>
              <w:t>中标公告发出当日向中标人发送中标通知书。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5"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12</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合同签订时间：</w:t>
            </w:r>
            <w:r>
              <w:rPr>
                <w:rFonts w:hint="eastAsia" w:ascii="宋体" w:hAnsi="宋体" w:cs="宋体"/>
                <w:color w:val="auto"/>
                <w:sz w:val="24"/>
                <w:highlight w:val="none"/>
              </w:rPr>
              <w:t>中标通知书发出后30日内双方尽快签订合同。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7"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13</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color w:val="auto"/>
                <w:sz w:val="24"/>
                <w:highlight w:val="none"/>
              </w:rPr>
            </w:pPr>
            <w:r>
              <w:rPr>
                <w:rFonts w:hint="eastAsia" w:ascii="宋体" w:hAnsi="宋体"/>
                <w:color w:val="auto"/>
                <w:sz w:val="24"/>
                <w:highlight w:val="none"/>
              </w:rPr>
              <w:t>投标文件有效期：</w:t>
            </w:r>
            <w:r>
              <w:rPr>
                <w:rFonts w:hint="eastAsia" w:ascii="宋体" w:hAnsi="宋体" w:cs="Arial"/>
                <w:color w:val="auto"/>
                <w:sz w:val="24"/>
                <w:highlight w:val="none"/>
                <w:u w:val="single"/>
              </w:rPr>
              <w:t>60</w:t>
            </w:r>
            <w:r>
              <w:rPr>
                <w:rFonts w:hint="eastAsia" w:ascii="宋体" w:hAnsi="宋体" w:cs="Arial"/>
                <w:color w:val="auto"/>
                <w:sz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4"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ascii="宋体" w:hAnsi="宋体"/>
                <w:color w:val="auto"/>
                <w:sz w:val="24"/>
                <w:highlight w:val="none"/>
              </w:rPr>
              <w:t>14</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供应商注册：非浙江政府采购网注册的供应商或发生变更且未及时更新的供应商，应当在尽快按照《浙江省政府采购供应商注册及诚信管理暂行办法》（浙财采监字［2009］28号）的相关规定及时办理更新或供应商注册事项。否则可能造成中标后无法备案合同和后续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4"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hint="eastAsia" w:ascii="宋体" w:hAnsi="宋体"/>
                <w:color w:val="auto"/>
                <w:sz w:val="24"/>
                <w:highlight w:val="none"/>
              </w:rPr>
              <w:t>15</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信用记录查询：</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根据《关于在政府采购活动中查询及使用信用记录有关问题的通知》（财库[2016]125号）要求，采购代理机构会对供应商信用记录进行查询并甄别。</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1.信用信息查询时点：供应商在本项目投标截止时间前的信用记录；</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2.查询渠道：</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信用中国（www.creditchina.gov.cn）；</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中国政府采购网（www.ccgp.gov.cn）；</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浙江政府采购网（zfcg.czt.zj.gov.cn）；</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3.信用信息查询记录和证据留存具体方式：采购代理机构经办人和监督人员将查询网页打印、签字与其他招标文件一并保存；</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4.信用信息的使用规则：供应商存在不良信用记录的，其投标将被作为无效投标。</w:t>
            </w:r>
          </w:p>
          <w:p>
            <w:pPr>
              <w:snapToGrid w:val="0"/>
              <w:spacing w:line="38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不良信用记录指：被列入失信被执行人、重大税收违法案件当事人名单、政府采购严重违法失信行为记录名单或浙江政府采购网曝光台中尚在行政处罚期内的。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4"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hint="eastAsia" w:ascii="宋体" w:hAnsi="宋体"/>
                <w:color w:val="auto"/>
                <w:sz w:val="24"/>
                <w:highlight w:val="none"/>
              </w:rPr>
              <w:t>16</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lang w:bidi="ar"/>
              </w:rPr>
              <w:t>政府采购优惠政策：</w:t>
            </w:r>
          </w:p>
          <w:p>
            <w:pPr>
              <w:tabs>
                <w:tab w:val="left" w:pos="0"/>
              </w:tabs>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lang w:bidi="ar"/>
              </w:rPr>
              <w:t>（1）根据财政部、国家环境保护总局关于环境标识产品政策采购实施意见（财库[2006]90号）文件，投标产品属于“环境标志产品政府采购品目清单”并提供有效证明材料的，在资信及技术评分时给予相应分值。</w:t>
            </w:r>
          </w:p>
          <w:p>
            <w:pPr>
              <w:tabs>
                <w:tab w:val="left" w:pos="0"/>
              </w:tabs>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2）根据浙江省财政厅、浙江省经济贸易委员会、浙江省发展和改革委员会转发财政部、国家发展改革委关于印发《节能有产品政府采购实施意见》的通知（浙财办字[2005]10号）文件，投标产品列入“节能产品政府采购品目清单” 并提供有效证明材料的，在资信及技术评分时给予相应分值。 </w:t>
            </w:r>
          </w:p>
          <w:p>
            <w:pPr>
              <w:tabs>
                <w:tab w:val="left" w:pos="0"/>
              </w:tabs>
              <w:snapToGrid w:val="0"/>
              <w:spacing w:line="380" w:lineRule="exact"/>
              <w:rPr>
                <w:rFonts w:hint="eastAsia" w:ascii="宋体" w:hAnsi="宋体" w:cs="宋体"/>
                <w:color w:val="auto"/>
                <w:sz w:val="24"/>
                <w:highlight w:val="none"/>
              </w:rPr>
            </w:pPr>
            <w:r>
              <w:rPr>
                <w:rFonts w:hint="eastAsia" w:ascii="宋体" w:hAnsi="宋体" w:cs="宋体"/>
                <w:color w:val="auto"/>
                <w:sz w:val="24"/>
                <w:highlight w:val="none"/>
                <w:lang w:bidi="ar"/>
              </w:rPr>
              <w:t>（3）根据财库[2020]46号文件《政府采购促进中小企业发展管理办法》的要求，对小型和微型企业服务的价格给予6%扣除，用扣除后的价格参与评审（需主动提供中小企业声明函，否则不予扣）。监狱企业提供由省级以上监狱管理局、戒毒管理局（含新疆生产建设兵团）出具的监狱企业的证明文件视同小微企业，残疾人福利性企业提供《残疾人福利性单位声明函》的视同小微企业，同样享受上述优惠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4"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24"/>
                <w:highlight w:val="none"/>
              </w:rPr>
            </w:pPr>
            <w:r>
              <w:rPr>
                <w:rFonts w:hint="eastAsia" w:ascii="宋体" w:hAnsi="宋体"/>
                <w:color w:val="auto"/>
                <w:sz w:val="24"/>
                <w:highlight w:val="none"/>
              </w:rPr>
              <w:t>17</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pStyle w:val="27"/>
              <w:adjustRightInd w:val="0"/>
              <w:snapToGrid w:val="0"/>
              <w:spacing w:line="380" w:lineRule="exact"/>
              <w:rPr>
                <w:rFonts w:hint="eastAsia" w:ascii="宋体" w:hAnsi="宋体" w:cs="宋体"/>
                <w:color w:val="auto"/>
                <w:highlight w:val="none"/>
              </w:rPr>
            </w:pPr>
            <w:r>
              <w:rPr>
                <w:rFonts w:hint="eastAsia" w:ascii="宋体" w:hAnsi="宋体"/>
                <w:color w:val="auto"/>
                <w:highlight w:val="none"/>
              </w:rPr>
              <w:t>其他：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tc>
      </w:tr>
    </w:tbl>
    <w:p>
      <w:pPr>
        <w:snapToGrid w:val="0"/>
        <w:spacing w:line="460" w:lineRule="exact"/>
        <w:ind w:left="237" w:leftChars="113" w:firstLine="240" w:firstLineChars="100"/>
        <w:rPr>
          <w:rFonts w:hint="eastAsia" w:ascii="黑体" w:hAnsi="宋体" w:eastAsia="黑体"/>
          <w:color w:val="auto"/>
          <w:sz w:val="24"/>
          <w:highlight w:val="none"/>
        </w:rPr>
      </w:pPr>
      <w:r>
        <w:rPr>
          <w:rFonts w:ascii="黑体" w:hAnsi="宋体" w:eastAsia="黑体"/>
          <w:color w:val="auto"/>
          <w:sz w:val="24"/>
          <w:highlight w:val="none"/>
        </w:rPr>
        <w:br w:type="page"/>
      </w:r>
      <w:r>
        <w:rPr>
          <w:rFonts w:hint="eastAsia" w:ascii="黑体" w:hAnsi="宋体" w:eastAsia="黑体"/>
          <w:color w:val="auto"/>
          <w:sz w:val="24"/>
          <w:highlight w:val="none"/>
        </w:rPr>
        <w:t>一、总则</w:t>
      </w:r>
    </w:p>
    <w:p>
      <w:pPr>
        <w:snapToGrid w:val="0"/>
        <w:spacing w:line="460" w:lineRule="exact"/>
        <w:ind w:firstLine="361" w:firstLineChars="15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Arial"/>
          <w:color w:val="auto"/>
          <w:sz w:val="24"/>
          <w:highlight w:val="none"/>
        </w:rPr>
        <w:t>浙江省金华监狱移动**录音复听、智慧督查APP应用系统采购项目</w:t>
      </w:r>
      <w:r>
        <w:rPr>
          <w:rFonts w:hint="eastAsia" w:ascii="宋体" w:hAnsi="宋体"/>
          <w:color w:val="auto"/>
          <w:sz w:val="24"/>
          <w:highlight w:val="none"/>
        </w:rPr>
        <w:t>的招标、投标、评标、定标、验收、合同履约、付款等行为（法律、法规另有规定的，从其规定）。</w:t>
      </w:r>
    </w:p>
    <w:p>
      <w:pPr>
        <w:snapToGrid w:val="0"/>
        <w:spacing w:line="460" w:lineRule="exact"/>
        <w:ind w:firstLine="354" w:firstLineChars="147"/>
        <w:jc w:val="left"/>
        <w:outlineLvl w:val="1"/>
        <w:rPr>
          <w:rFonts w:ascii="宋体" w:hAnsi="宋体"/>
          <w:b/>
          <w:color w:val="auto"/>
          <w:sz w:val="24"/>
          <w:highlight w:val="none"/>
        </w:rPr>
      </w:pPr>
      <w:r>
        <w:rPr>
          <w:rFonts w:hint="eastAsia" w:ascii="宋体" w:hAnsi="宋体"/>
          <w:b/>
          <w:color w:val="auto"/>
          <w:sz w:val="24"/>
          <w:highlight w:val="none"/>
        </w:rPr>
        <w:t>（二）定义</w:t>
      </w:r>
    </w:p>
    <w:p>
      <w:pPr>
        <w:snapToGri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1.“采购人”系指</w:t>
      </w:r>
      <w:r>
        <w:rPr>
          <w:rFonts w:hint="eastAsia" w:ascii="宋体" w:hAnsi="宋体" w:cs="宋体"/>
          <w:bCs/>
          <w:color w:val="auto"/>
          <w:sz w:val="24"/>
          <w:highlight w:val="none"/>
        </w:rPr>
        <w:t>浙江省金华监狱</w:t>
      </w:r>
      <w:r>
        <w:rPr>
          <w:rFonts w:hint="eastAsia" w:ascii="宋体" w:hAnsi="宋体" w:cs="宋体"/>
          <w:color w:val="auto"/>
          <w:sz w:val="24"/>
          <w:highlight w:val="none"/>
        </w:rPr>
        <w:t>（包括实际使用部门）。</w:t>
      </w:r>
    </w:p>
    <w:p>
      <w:pPr>
        <w:snapToGrid w:val="0"/>
        <w:spacing w:line="460" w:lineRule="exact"/>
        <w:ind w:firstLine="480" w:firstLineChars="200"/>
        <w:jc w:val="left"/>
        <w:rPr>
          <w:rFonts w:hint="eastAsia" w:ascii="宋体" w:hAnsi="宋体"/>
          <w:color w:val="auto"/>
          <w:sz w:val="24"/>
          <w:highlight w:val="none"/>
        </w:rPr>
      </w:pPr>
      <w:r>
        <w:rPr>
          <w:rFonts w:hint="eastAsia" w:ascii="宋体" w:hAnsi="宋体" w:cs="宋体"/>
          <w:color w:val="auto"/>
          <w:sz w:val="24"/>
          <w:highlight w:val="none"/>
        </w:rPr>
        <w:t>2.“投标人”</w:t>
      </w:r>
      <w:r>
        <w:rPr>
          <w:rFonts w:ascii="宋体" w:hAnsi="宋体"/>
          <w:color w:val="auto"/>
          <w:sz w:val="24"/>
          <w:highlight w:val="none"/>
        </w:rPr>
        <w:t>系指</w:t>
      </w:r>
      <w:r>
        <w:rPr>
          <w:rFonts w:hint="eastAsia" w:ascii="宋体" w:hAnsi="宋体"/>
          <w:color w:val="auto"/>
          <w:sz w:val="24"/>
          <w:highlight w:val="none"/>
        </w:rPr>
        <w:t>响应招标、参加投标竞争的法人、其他组织或者自然人</w:t>
      </w:r>
      <w:r>
        <w:rPr>
          <w:rFonts w:ascii="宋体" w:hAnsi="宋体"/>
          <w:color w:val="auto"/>
          <w:sz w:val="24"/>
          <w:highlight w:val="none"/>
        </w:rPr>
        <w:t>。</w:t>
      </w:r>
    </w:p>
    <w:p>
      <w:pPr>
        <w:snapToGri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3.“采购代理机构”系指金华市万全招标代理有限公司。</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 “产品”系指供方按招标文件规定，须向采购人提供的一切产品、保险、税金、备品备件、工具、手册及其它有关技术资料和材料。</w:t>
      </w:r>
    </w:p>
    <w:p>
      <w:pPr>
        <w:snapToGri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 xml:space="preserve"> </w:t>
      </w:r>
      <w:r>
        <w:rPr>
          <w:rFonts w:hint="eastAsia" w:ascii="宋体" w:hAnsi="宋体" w:cs="宋体"/>
          <w:color w:val="auto"/>
          <w:sz w:val="24"/>
          <w:highlight w:val="none"/>
        </w:rPr>
        <w:t>“服务”系指招标文件规定投标人须承担的安装、调试、技术协助、校准、培训、技术指导以及其他类似的义务。</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 xml:space="preserve"> </w:t>
      </w:r>
      <w:r>
        <w:rPr>
          <w:rFonts w:hint="eastAsia" w:ascii="宋体" w:hAnsi="宋体" w:cs="宋体"/>
          <w:color w:val="auto"/>
          <w:sz w:val="24"/>
          <w:highlight w:val="none"/>
        </w:rPr>
        <w:t>“项目”系指投标人按招标文件规定向采购人提供的产品和服务。</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 “</w:t>
      </w:r>
      <w:r>
        <w:rPr>
          <w:rFonts w:hint="eastAsia" w:ascii="宋体" w:hAnsi="宋体"/>
          <w:color w:val="auto"/>
          <w:highlight w:val="none"/>
        </w:rPr>
        <w:t>★</w:t>
      </w:r>
      <w:r>
        <w:rPr>
          <w:rFonts w:hint="eastAsia" w:ascii="宋体" w:hAnsi="宋体" w:cs="宋体"/>
          <w:color w:val="auto"/>
          <w:sz w:val="24"/>
          <w:highlight w:val="none"/>
        </w:rPr>
        <w:t>”系指实质性要求条款，必须满足，否则为无效投标。</w:t>
      </w:r>
    </w:p>
    <w:p>
      <w:pPr>
        <w:snapToGrid w:val="0"/>
        <w:spacing w:line="460" w:lineRule="exact"/>
        <w:ind w:firstLine="422" w:firstLineChars="200"/>
        <w:jc w:val="left"/>
        <w:rPr>
          <w:rFonts w:hAnsi="宋体"/>
          <w:b/>
          <w:color w:val="auto"/>
          <w:highlight w:val="none"/>
        </w:rPr>
      </w:pPr>
      <w:r>
        <w:rPr>
          <w:rFonts w:hint="eastAsia" w:hAnsi="宋体"/>
          <w:b/>
          <w:color w:val="auto"/>
          <w:highlight w:val="none"/>
        </w:rPr>
        <w:t>（三）招标方式</w:t>
      </w:r>
    </w:p>
    <w:p>
      <w:pPr>
        <w:pStyle w:val="17"/>
        <w:snapToGrid w:val="0"/>
        <w:spacing w:before="0" w:beforeLines="0" w:after="0" w:afterLines="0" w:line="460" w:lineRule="exact"/>
        <w:ind w:left="2" w:leftChars="1" w:firstLine="480" w:firstLineChars="200"/>
        <w:rPr>
          <w:rFonts w:hAnsi="宋体"/>
          <w:color w:val="auto"/>
          <w:highlight w:val="none"/>
        </w:rPr>
      </w:pPr>
      <w:r>
        <w:rPr>
          <w:rFonts w:hAnsi="宋体"/>
          <w:color w:val="auto"/>
          <w:highlight w:val="none"/>
        </w:rPr>
        <w:t>本次招标采用公开招标</w:t>
      </w:r>
      <w:r>
        <w:rPr>
          <w:rFonts w:hint="eastAsia" w:hAnsi="宋体"/>
          <w:color w:val="auto"/>
          <w:highlight w:val="none"/>
        </w:rPr>
        <w:t>方</w:t>
      </w:r>
      <w:r>
        <w:rPr>
          <w:rFonts w:hAnsi="宋体"/>
          <w:color w:val="auto"/>
          <w:highlight w:val="none"/>
        </w:rPr>
        <w:t>式进行。</w:t>
      </w:r>
    </w:p>
    <w:p>
      <w:pPr>
        <w:pStyle w:val="17"/>
        <w:snapToGrid w:val="0"/>
        <w:spacing w:before="0" w:beforeLines="0" w:after="0" w:afterLines="0" w:line="460" w:lineRule="exact"/>
        <w:ind w:left="2" w:leftChars="1" w:firstLine="482" w:firstLineChars="200"/>
        <w:rPr>
          <w:rFonts w:hAnsi="宋体"/>
          <w:b/>
          <w:color w:val="auto"/>
          <w:highlight w:val="none"/>
        </w:rPr>
      </w:pPr>
      <w:r>
        <w:rPr>
          <w:rFonts w:hint="eastAsia" w:hAnsi="宋体"/>
          <w:b/>
          <w:color w:val="auto"/>
          <w:highlight w:val="none"/>
        </w:rPr>
        <w:t>（四）投标委托</w:t>
      </w:r>
    </w:p>
    <w:p>
      <w:pPr>
        <w:pStyle w:val="17"/>
        <w:snapToGrid w:val="0"/>
        <w:spacing w:before="0" w:beforeLines="0" w:after="0" w:afterLines="0" w:line="460" w:lineRule="exact"/>
        <w:ind w:left="2" w:leftChars="1" w:firstLine="480" w:firstLineChars="200"/>
        <w:rPr>
          <w:rFonts w:hAnsi="宋体"/>
          <w:color w:val="auto"/>
          <w:highlight w:val="none"/>
        </w:rPr>
      </w:pPr>
      <w:r>
        <w:rPr>
          <w:rFonts w:hAnsi="宋体"/>
          <w:color w:val="auto"/>
          <w:highlight w:val="none"/>
        </w:rPr>
        <w:t>投标人代表须携带</w:t>
      </w:r>
      <w:r>
        <w:rPr>
          <w:rFonts w:hint="eastAsia" w:hAnsi="宋体"/>
          <w:color w:val="auto"/>
          <w:highlight w:val="none"/>
        </w:rPr>
        <w:t>有效</w:t>
      </w:r>
      <w:r>
        <w:rPr>
          <w:rFonts w:hAnsi="宋体"/>
          <w:color w:val="auto"/>
          <w:highlight w:val="none"/>
        </w:rPr>
        <w:t>身份证</w:t>
      </w:r>
      <w:r>
        <w:rPr>
          <w:rFonts w:hint="eastAsia" w:hAnsi="宋体"/>
          <w:color w:val="auto"/>
          <w:highlight w:val="none"/>
        </w:rPr>
        <w:t>件</w:t>
      </w:r>
      <w:r>
        <w:rPr>
          <w:rFonts w:hAnsi="宋体"/>
          <w:color w:val="auto"/>
          <w:highlight w:val="none"/>
        </w:rPr>
        <w:t>。如投标人代表不是法定代表人，须有法定代表人出具的授权委托书（正本用原件，副本用复印件）。</w:t>
      </w:r>
    </w:p>
    <w:p>
      <w:pPr>
        <w:pStyle w:val="17"/>
        <w:snapToGrid w:val="0"/>
        <w:spacing w:before="0" w:beforeLines="0" w:after="0" w:afterLines="0" w:line="460" w:lineRule="exact"/>
        <w:ind w:left="2" w:leftChars="1" w:firstLine="482" w:firstLineChars="200"/>
        <w:rPr>
          <w:rFonts w:hAnsi="宋体"/>
          <w:b/>
          <w:color w:val="auto"/>
          <w:highlight w:val="none"/>
        </w:rPr>
      </w:pPr>
      <w:r>
        <w:rPr>
          <w:rFonts w:hint="eastAsia" w:hAnsi="宋体"/>
          <w:b/>
          <w:color w:val="auto"/>
          <w:highlight w:val="none"/>
        </w:rPr>
        <w:t>（五）投标费用</w:t>
      </w:r>
    </w:p>
    <w:p>
      <w:pPr>
        <w:pStyle w:val="17"/>
        <w:snapToGrid w:val="0"/>
        <w:spacing w:before="0" w:beforeLines="0" w:after="0" w:afterLines="0" w:line="460" w:lineRule="exact"/>
        <w:ind w:left="2" w:leftChars="1" w:firstLine="480" w:firstLineChars="200"/>
        <w:rPr>
          <w:rFonts w:hAnsi="宋体"/>
          <w:color w:val="auto"/>
          <w:highlight w:val="none"/>
        </w:rPr>
      </w:pPr>
      <w:r>
        <w:rPr>
          <w:rFonts w:hint="eastAsia" w:hAnsi="宋体"/>
          <w:color w:val="auto"/>
          <w:highlight w:val="none"/>
        </w:rPr>
        <w:t>不论投标结果如何，投标人均应自行承担所有与投标有关的全部费用。</w:t>
      </w:r>
    </w:p>
    <w:p>
      <w:pPr>
        <w:pStyle w:val="17"/>
        <w:snapToGrid w:val="0"/>
        <w:spacing w:before="0" w:beforeLines="0" w:after="0" w:afterLines="0" w:line="460" w:lineRule="exact"/>
        <w:ind w:left="2" w:leftChars="1" w:firstLine="482" w:firstLineChars="200"/>
        <w:rPr>
          <w:rFonts w:hAnsi="宋体"/>
          <w:b/>
          <w:color w:val="auto"/>
          <w:highlight w:val="none"/>
        </w:rPr>
      </w:pPr>
      <w:r>
        <w:rPr>
          <w:rFonts w:hint="eastAsia" w:hAnsi="宋体"/>
          <w:b/>
          <w:color w:val="auto"/>
          <w:highlight w:val="none"/>
        </w:rPr>
        <w:t>（六）联合体投标</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本项目不接受联合体投标。</w:t>
      </w:r>
    </w:p>
    <w:p>
      <w:pPr>
        <w:pStyle w:val="17"/>
        <w:snapToGrid w:val="0"/>
        <w:spacing w:before="0" w:beforeLines="0" w:after="0" w:afterLines="0" w:line="460" w:lineRule="exact"/>
        <w:ind w:left="2" w:leftChars="1" w:firstLine="482" w:firstLineChars="200"/>
        <w:rPr>
          <w:rFonts w:hAnsi="宋体"/>
          <w:b/>
          <w:color w:val="auto"/>
          <w:highlight w:val="none"/>
        </w:rPr>
      </w:pPr>
      <w:r>
        <w:rPr>
          <w:rFonts w:hint="eastAsia" w:hAnsi="宋体"/>
          <w:b/>
          <w:color w:val="auto"/>
          <w:highlight w:val="none"/>
        </w:rPr>
        <w:t>（七）转包与分包</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 xml:space="preserve">本项目不允许转包、分包。 </w:t>
      </w:r>
    </w:p>
    <w:p>
      <w:pPr>
        <w:snapToGrid w:val="0"/>
        <w:spacing w:line="460" w:lineRule="exact"/>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17"/>
        <w:snapToGrid w:val="0"/>
        <w:spacing w:before="0" w:beforeLines="0" w:after="0" w:afterLines="0" w:line="460" w:lineRule="exact"/>
        <w:ind w:left="2" w:leftChars="1" w:firstLine="480" w:firstLineChars="200"/>
        <w:rPr>
          <w:rFonts w:hint="eastAsia" w:hAnsi="宋体" w:cs="宋体"/>
          <w:color w:val="auto"/>
          <w:kern w:val="0"/>
          <w:highlight w:val="none"/>
        </w:rPr>
      </w:pPr>
      <w:r>
        <w:rPr>
          <w:rFonts w:hint="eastAsia" w:hAnsi="宋体" w:cs="宋体"/>
          <w:color w:val="auto"/>
          <w:kern w:val="0"/>
          <w:highlight w:val="none"/>
        </w:rPr>
        <w:t>1.投标人投标所使用的资格、信誉、荣誉、业绩与企业认证必须为本法人所拥有。投标人投标所使用的采购项目实施人员必须为本法人员工（或必须为本法人或控股公司正式员工）。</w:t>
      </w:r>
    </w:p>
    <w:p>
      <w:pPr>
        <w:pStyle w:val="17"/>
        <w:snapToGrid w:val="0"/>
        <w:spacing w:beforeLines="0" w:after="120"/>
        <w:ind w:firstLine="480" w:firstLineChars="200"/>
        <w:outlineLvl w:val="1"/>
        <w:rPr>
          <w:rFonts w:hAnsi="宋体" w:cs="宋体"/>
          <w:color w:val="auto"/>
          <w:highlight w:val="none"/>
        </w:rPr>
      </w:pPr>
      <w:r>
        <w:rPr>
          <w:rFonts w:hint="eastAsia" w:hAnsi="宋体" w:cs="宋体"/>
          <w:color w:val="auto"/>
          <w:kern w:val="0"/>
          <w:highlight w:val="none"/>
        </w:rPr>
        <w:t>2.</w:t>
      </w:r>
      <w:r>
        <w:rPr>
          <w:rFonts w:hAnsi="宋体" w:cs="宋体"/>
          <w:color w:val="auto"/>
          <w:highlight w:val="none"/>
        </w:rPr>
        <w:t>单位负责人为同一人或者存在直接控股、管理关系的不同投标人，不得参加同一合同项下的政府采购活动。一旦参加投标活动即是对招标文件所有条款的认可。</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3.</w:t>
      </w:r>
      <w:r>
        <w:rPr>
          <w:rFonts w:hAnsi="宋体"/>
          <w:color w:val="auto"/>
          <w:highlight w:val="none"/>
        </w:rPr>
        <w:t>投标人应仔细阅读招标文件的所有内容，按照招标文件的要求提交投标文件，并对所提供的全部资料的真实性承担法律责任。</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4.</w:t>
      </w:r>
      <w:r>
        <w:rPr>
          <w:rFonts w:hAnsi="宋体"/>
          <w:color w:val="auto"/>
          <w:highlight w:val="none"/>
        </w:rPr>
        <w:t>投标人在投标活动中提供任何虚假材料,其投标无效，并报监管部门查处；中标后发现的,中标人须依照《中华人民共和国消费者权益保护法》之规定双倍赔偿采购人</w:t>
      </w:r>
      <w:r>
        <w:rPr>
          <w:rFonts w:hint="eastAsia" w:hAnsi="宋体"/>
          <w:color w:val="auto"/>
          <w:highlight w:val="none"/>
        </w:rPr>
        <w:t>，</w:t>
      </w:r>
      <w:r>
        <w:rPr>
          <w:rFonts w:hAnsi="宋体"/>
          <w:color w:val="auto"/>
          <w:highlight w:val="none"/>
        </w:rPr>
        <w:t>且民事赔偿并不免除违法投标人的行政与刑事责任。</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 xml:space="preserve">5.本项目不统一组织现场踏勘。 </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6.本次招标采取开标后资格审查。开标结束后，采购人或采购代理机构将对各投标人的投标资格按公开招标公告中要求的条件进行审，并出具审查结果。采购人或采购代理机构不保证所有报名的投标人都符合投标人资格要求。</w:t>
      </w:r>
    </w:p>
    <w:p>
      <w:pPr>
        <w:pStyle w:val="17"/>
        <w:snapToGrid w:val="0"/>
        <w:spacing w:before="0" w:beforeLines="0" w:after="0" w:afterLines="0" w:line="460" w:lineRule="exact"/>
        <w:ind w:firstLine="472" w:firstLineChars="196"/>
        <w:outlineLvl w:val="1"/>
        <w:rPr>
          <w:rFonts w:hAnsi="宋体"/>
          <w:b/>
          <w:bCs/>
          <w:color w:val="auto"/>
          <w:highlight w:val="none"/>
        </w:rPr>
      </w:pPr>
      <w:r>
        <w:rPr>
          <w:rFonts w:hAnsi="宋体"/>
          <w:b/>
          <w:bCs/>
          <w:color w:val="auto"/>
          <w:highlight w:val="none"/>
        </w:rPr>
        <w:t>（九）质疑和投诉</w:t>
      </w:r>
    </w:p>
    <w:p>
      <w:pPr>
        <w:pStyle w:val="17"/>
        <w:snapToGrid w:val="0"/>
        <w:spacing w:before="0" w:beforeLines="0" w:after="0" w:afterLines="0" w:line="460" w:lineRule="exact"/>
        <w:ind w:left="2" w:leftChars="1" w:firstLine="480" w:firstLineChars="200"/>
        <w:rPr>
          <w:rFonts w:hAnsi="宋体"/>
          <w:color w:val="auto"/>
          <w:highlight w:val="none"/>
        </w:rPr>
      </w:pPr>
      <w:r>
        <w:rPr>
          <w:rFonts w:hint="eastAsia" w:hAnsi="宋体"/>
          <w:color w:val="auto"/>
          <w:highlight w:val="none"/>
        </w:rPr>
        <w:t>1.投标人认为招标文件、招标过程或中标结果使自己的合法权益受到损害的，应当在知道或者应知其权益受到损害之日起七个工作日内，以书面形式向采购代理机构提出质疑。</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2.质疑应当以书面形式提出，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a供应商的姓名或者名称、地址、邮编、联系人及联系电话；</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b质疑项目的名称、编号；</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c具体、明确的质疑事项和与质疑事项相关的请求；</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d事实依据；</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e必要的法律依据；</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f提出质疑的日期。</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pStyle w:val="17"/>
        <w:snapToGrid w:val="0"/>
        <w:spacing w:before="0" w:beforeLines="0" w:after="0" w:afterLines="0" w:line="460" w:lineRule="exact"/>
        <w:ind w:left="2" w:leftChars="1" w:firstLine="480" w:firstLineChars="200"/>
        <w:rPr>
          <w:rFonts w:hint="eastAsia" w:hAnsi="宋体"/>
          <w:color w:val="auto"/>
          <w:highlight w:val="none"/>
        </w:rPr>
      </w:pPr>
      <w:r>
        <w:rPr>
          <w:rFonts w:hint="eastAsia" w:hAnsi="宋体"/>
          <w:color w:val="auto"/>
          <w:highlight w:val="none"/>
        </w:rPr>
        <w:t>3.投诉</w:t>
      </w:r>
    </w:p>
    <w:p>
      <w:pPr>
        <w:pStyle w:val="17"/>
        <w:snapToGrid w:val="0"/>
        <w:spacing w:before="0" w:beforeLines="0" w:after="0" w:afterLines="0" w:line="460" w:lineRule="exact"/>
        <w:ind w:left="2" w:leftChars="1" w:firstLine="480" w:firstLineChars="200"/>
        <w:rPr>
          <w:rFonts w:hAnsi="宋体"/>
          <w:color w:val="auto"/>
          <w:highlight w:val="none"/>
        </w:rPr>
      </w:pPr>
      <w:r>
        <w:rPr>
          <w:rFonts w:hint="eastAsia" w:hAnsi="宋体"/>
          <w:color w:val="auto"/>
          <w:highlight w:val="none"/>
        </w:rPr>
        <w:t>投标人对采购代理机构的质疑答复不满意或者采购代理机构未在规定时间内作出答复的，可以在答复期满后十五个工作日内向同级采购监管部门投诉。</w:t>
      </w:r>
    </w:p>
    <w:p>
      <w:pPr>
        <w:pStyle w:val="17"/>
        <w:snapToGrid w:val="0"/>
        <w:spacing w:before="0" w:beforeLines="0" w:after="0" w:afterLines="0" w:line="460" w:lineRule="exact"/>
        <w:ind w:firstLine="482" w:firstLineChars="200"/>
        <w:rPr>
          <w:rFonts w:ascii="黑体" w:hAnsi="宋体" w:eastAsia="黑体"/>
          <w:b/>
          <w:color w:val="auto"/>
          <w:highlight w:val="none"/>
        </w:rPr>
      </w:pPr>
      <w:r>
        <w:rPr>
          <w:rFonts w:hint="eastAsia" w:ascii="黑体" w:hAnsi="宋体" w:eastAsia="黑体"/>
          <w:b/>
          <w:color w:val="auto"/>
          <w:highlight w:val="none"/>
        </w:rPr>
        <w:t>二、</w:t>
      </w:r>
      <w:r>
        <w:rPr>
          <w:rFonts w:ascii="黑体" w:hAnsi="宋体" w:eastAsia="黑体"/>
          <w:b/>
          <w:color w:val="auto"/>
          <w:highlight w:val="none"/>
        </w:rPr>
        <w:t>招标文件</w:t>
      </w:r>
    </w:p>
    <w:p>
      <w:pPr>
        <w:snapToGrid w:val="0"/>
        <w:spacing w:line="46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.公开</w:t>
      </w:r>
      <w:r>
        <w:rPr>
          <w:rFonts w:ascii="宋体" w:hAnsi="宋体"/>
          <w:color w:val="auto"/>
          <w:sz w:val="24"/>
          <w:highlight w:val="none"/>
        </w:rPr>
        <w:t>招标公告</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pPr>
        <w:snapToGrid w:val="0"/>
        <w:spacing w:line="460" w:lineRule="exact"/>
        <w:ind w:firstLine="480" w:firstLineChars="200"/>
        <w:jc w:val="left"/>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.采购合同（范本）</w:t>
      </w:r>
    </w:p>
    <w:p>
      <w:pPr>
        <w:snapToGrid w:val="0"/>
        <w:spacing w:line="460" w:lineRule="exact"/>
        <w:ind w:firstLine="480" w:firstLineChars="200"/>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pPr>
        <w:snapToGrid w:val="0"/>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pPr>
        <w:snapToGrid w:val="0"/>
        <w:spacing w:line="46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pPr>
        <w:pStyle w:val="8"/>
        <w:widowControl w:val="0"/>
        <w:numPr>
          <w:ilvl w:val="0"/>
          <w:numId w:val="0"/>
        </w:numPr>
        <w:snapToGrid w:val="0"/>
        <w:spacing w:after="0" w:afterLines="0" w:line="460" w:lineRule="exact"/>
        <w:ind w:firstLine="472" w:firstLineChars="196"/>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pPr>
        <w:pStyle w:val="17"/>
        <w:snapToGrid w:val="0"/>
        <w:spacing w:before="0" w:beforeLines="0" w:after="0" w:afterLines="0" w:line="460" w:lineRule="exact"/>
        <w:ind w:firstLine="480" w:firstLineChars="200"/>
        <w:rPr>
          <w:rFonts w:hAnsi="宋体"/>
          <w:color w:val="auto"/>
          <w:highlight w:val="none"/>
        </w:rPr>
      </w:pPr>
      <w:r>
        <w:rPr>
          <w:rFonts w:hint="eastAsia" w:hAnsi="宋体"/>
          <w:color w:val="auto"/>
          <w:highlight w:val="none"/>
        </w:rPr>
        <w:t>1.</w:t>
      </w:r>
      <w:r>
        <w:rPr>
          <w:rFonts w:hAnsi="宋体"/>
          <w:bCs/>
          <w:color w:val="auto"/>
          <w:highlight w:val="none"/>
        </w:rPr>
        <w:t xml:space="preserve"> 投标人应认真阅读本招标文件，发现其中有误或有不合理要求的，</w:t>
      </w:r>
      <w:r>
        <w:rPr>
          <w:rFonts w:hAnsi="宋体"/>
          <w:color w:val="auto"/>
          <w:highlight w:val="none"/>
          <w:lang w:val="zh-CN"/>
        </w:rPr>
        <w:t>可自获取招标文件之日（招标文件公告期届满后获取的以公告届满之日起计）起7个工作日内且在投标截止时间前</w:t>
      </w:r>
      <w:r>
        <w:rPr>
          <w:rFonts w:hAnsi="宋体"/>
          <w:color w:val="auto"/>
          <w:highlight w:val="none"/>
        </w:rPr>
        <w:t>，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提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pPr>
        <w:pStyle w:val="17"/>
        <w:snapToGrid w:val="0"/>
        <w:spacing w:before="0" w:beforeLines="0" w:after="0" w:afterLines="0" w:line="460" w:lineRule="exact"/>
        <w:ind w:firstLine="480" w:firstLineChars="200"/>
        <w:rPr>
          <w:rFonts w:hint="eastAsia" w:hAnsi="宋体"/>
          <w:color w:val="auto"/>
          <w:highlight w:val="none"/>
        </w:rPr>
      </w:pPr>
      <w:r>
        <w:rPr>
          <w:rFonts w:hint="eastAsia" w:hAnsi="宋体"/>
          <w:color w:val="auto"/>
          <w:highlight w:val="none"/>
        </w:rPr>
        <w:t>2.招标文件澄清、答复、修改、补充的内容为招标文件的组成部分。当招标文件与招标文件的答复、澄清、修改、补充通知就同一内容的表述不一致时，以最后发出的内容为准。</w:t>
      </w:r>
    </w:p>
    <w:p>
      <w:pPr>
        <w:pStyle w:val="17"/>
        <w:snapToGrid w:val="0"/>
        <w:spacing w:before="0" w:beforeLines="0" w:after="0" w:afterLines="0" w:line="460" w:lineRule="exact"/>
        <w:ind w:firstLine="480" w:firstLineChars="200"/>
        <w:rPr>
          <w:rFonts w:hint="eastAsia" w:hAnsi="宋体"/>
          <w:color w:val="auto"/>
          <w:highlight w:val="none"/>
        </w:rPr>
      </w:pPr>
      <w:r>
        <w:rPr>
          <w:rFonts w:hint="eastAsia" w:hAnsi="宋体"/>
          <w:color w:val="auto"/>
          <w:highlight w:val="none"/>
        </w:rPr>
        <w:t>3.招标文件的澄清、答复、修改或补充都应该通过采购代理机构以法定形式发布，采购人非通过采购代理机构，不得擅自澄清、答复、修改或补充招标文件。</w:t>
      </w:r>
    </w:p>
    <w:p>
      <w:pPr>
        <w:pStyle w:val="17"/>
        <w:snapToGrid w:val="0"/>
        <w:spacing w:before="0" w:beforeLines="0" w:after="0" w:afterLines="0" w:line="460" w:lineRule="exact"/>
        <w:ind w:firstLine="480" w:firstLineChars="200"/>
        <w:rPr>
          <w:rFonts w:hint="eastAsia" w:hAnsi="宋体"/>
          <w:color w:val="auto"/>
          <w:highlight w:val="none"/>
        </w:rPr>
      </w:pPr>
      <w:r>
        <w:rPr>
          <w:rFonts w:hint="eastAsia" w:hAnsi="宋体"/>
          <w:color w:val="auto"/>
          <w:highlight w:val="none"/>
        </w:rPr>
        <w:t>4.采购代理机构可以视采购具体情况，延长投标截止时间和开标时间并在原公告网站上发布变更公告。</w:t>
      </w:r>
    </w:p>
    <w:p>
      <w:pPr>
        <w:pStyle w:val="17"/>
        <w:snapToGrid w:val="0"/>
        <w:spacing w:before="0" w:beforeLines="0" w:after="0" w:afterLines="0" w:line="460" w:lineRule="exact"/>
        <w:ind w:firstLine="482" w:firstLineChars="200"/>
        <w:rPr>
          <w:rFonts w:ascii="黑体" w:hAnsi="宋体" w:eastAsia="黑体"/>
          <w:b/>
          <w:color w:val="auto"/>
          <w:highlight w:val="none"/>
        </w:rPr>
      </w:pPr>
      <w:r>
        <w:rPr>
          <w:rFonts w:ascii="黑体" w:hAnsi="宋体" w:eastAsia="黑体"/>
          <w:b/>
          <w:color w:val="auto"/>
          <w:highlight w:val="none"/>
        </w:rPr>
        <w:t>三、投标文件的编制</w:t>
      </w:r>
    </w:p>
    <w:p>
      <w:pPr>
        <w:snapToGrid w:val="0"/>
        <w:spacing w:line="460" w:lineRule="exact"/>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pPr>
        <w:snapToGrid w:val="0"/>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投标文件由两部分组成，第一部分为资信及技术标，第二部分为投标报价标。</w:t>
      </w:r>
    </w:p>
    <w:p>
      <w:pPr>
        <w:snapToGrid w:val="0"/>
        <w:spacing w:line="46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1、资信及技术标的组成</w:t>
      </w:r>
    </w:p>
    <w:p>
      <w:pPr>
        <w:snapToGrid w:val="0"/>
        <w:spacing w:line="460" w:lineRule="exact"/>
        <w:ind w:firstLine="480" w:firstLineChars="200"/>
        <w:jc w:val="left"/>
        <w:rPr>
          <w:rFonts w:hint="eastAsia"/>
          <w:color w:val="auto"/>
          <w:sz w:val="24"/>
          <w:highlight w:val="none"/>
        </w:rPr>
      </w:pPr>
      <w:r>
        <w:rPr>
          <w:rFonts w:hint="eastAsia"/>
          <w:color w:val="auto"/>
          <w:sz w:val="24"/>
          <w:highlight w:val="none"/>
        </w:rPr>
        <w:t>投标人资格、资信合格性的有关证明及资料：投标人应提交证明其有资格参加投标和中标后有能力履行合同的文件，并作为其投标文件的一部分。投标人提交的合格性的证明文件应使招标人满意，投标人在投标时应是符合条件的投标人。其具体内容为：</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（1）法定代表人授权委托书（格式附后）；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（2）投标声明书（格式附后）；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（3）符合投标人资格条件的资格审查材料：</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a.营业执照复印件；（格式自拟）</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b.投标人最近季度的财务报表、依法缴纳税收以及社会保障资金的证明材料复印件（无缴纳记录提供合理说明）；（格式自拟）</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c.具有履行合同所必须的设备和专业技术能力的书面声明；（</w:t>
      </w:r>
      <w:r>
        <w:rPr>
          <w:rFonts w:hint="eastAsia" w:ascii="宋体" w:hAnsi="宋体" w:cs="宋体"/>
          <w:color w:val="auto"/>
          <w:sz w:val="24"/>
          <w:highlight w:val="none"/>
        </w:rPr>
        <w:t>格式附后</w:t>
      </w:r>
      <w:r>
        <w:rPr>
          <w:rFonts w:hint="eastAsia" w:ascii="宋体" w:hAnsi="宋体"/>
          <w:color w:val="auto"/>
          <w:sz w:val="24"/>
          <w:highlight w:val="none"/>
        </w:rPr>
        <w:t>）</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d.参加采购活动前三年内（开标之日往前推算），在经营活动中没有重大违法记录的书面声明；（</w:t>
      </w:r>
      <w:r>
        <w:rPr>
          <w:rFonts w:hint="eastAsia" w:ascii="宋体" w:hAnsi="宋体" w:cs="宋体"/>
          <w:color w:val="auto"/>
          <w:sz w:val="24"/>
          <w:highlight w:val="none"/>
        </w:rPr>
        <w:t>格式附后</w:t>
      </w:r>
      <w:r>
        <w:rPr>
          <w:rFonts w:hint="eastAsia" w:ascii="宋体" w:hAnsi="宋体"/>
          <w:color w:val="auto"/>
          <w:sz w:val="24"/>
          <w:highlight w:val="none"/>
        </w:rPr>
        <w:t>）</w:t>
      </w:r>
    </w:p>
    <w:p>
      <w:pPr>
        <w:snapToGrid w:val="0"/>
        <w:spacing w:line="460" w:lineRule="exact"/>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e.投标人承诺（1.</w:t>
      </w:r>
      <w:r>
        <w:rPr>
          <w:rFonts w:hint="eastAsia" w:ascii="宋体" w:hAnsi="宋体"/>
          <w:color w:val="auto"/>
          <w:sz w:val="24"/>
          <w:highlight w:val="none"/>
        </w:rPr>
        <w:t>投标人相关人员遵守监狱纪律，对在服务过程中所接触到的一切信息严格保密，造成泄密的，需承担法律责任</w:t>
      </w:r>
      <w:r>
        <w:rPr>
          <w:rFonts w:hint="eastAsia" w:ascii="宋体" w:hAnsi="宋体" w:cs="宋体"/>
          <w:color w:val="auto"/>
          <w:sz w:val="24"/>
          <w:highlight w:val="none"/>
        </w:rPr>
        <w:t>的承诺；2.</w:t>
      </w:r>
      <w:r>
        <w:rPr>
          <w:rFonts w:hint="eastAsia" w:ascii="宋体" w:hAnsi="宋体"/>
          <w:color w:val="auto"/>
          <w:sz w:val="24"/>
          <w:highlight w:val="none"/>
        </w:rPr>
        <w:t xml:space="preserve"> 本项目的版权及源代码著作权归采购人所有，后期协助采购人获得软件专利证书及软件著作权证书，费用由供应商承担的承诺</w:t>
      </w:r>
      <w:r>
        <w:rPr>
          <w:rFonts w:hint="eastAsia" w:ascii="宋体" w:hAnsi="宋体" w:cs="宋体"/>
          <w:color w:val="auto"/>
          <w:sz w:val="24"/>
          <w:highlight w:val="none"/>
        </w:rPr>
        <w:t>）；（格式附后）</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f.信用中国网站、中国政府采购网查询结果截图（此项内容投标人可事先查询后截图制作到投标文件中；最终以代理机构查询结果为准）；</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（4）投标人情况介绍（如企业简介，技术力量，企业优势，企业荣誉，企业资质，拥有相关认证情况等等，</w:t>
      </w:r>
      <w:r>
        <w:rPr>
          <w:rFonts w:ascii="宋体" w:hAnsi="宋体" w:cs="宋体"/>
          <w:color w:val="auto"/>
          <w:sz w:val="24"/>
          <w:highlight w:val="none"/>
        </w:rPr>
        <w:t>格式自拟</w:t>
      </w:r>
      <w:r>
        <w:rPr>
          <w:rFonts w:hint="eastAsia" w:ascii="宋体" w:hAnsi="宋体" w:cs="宋体"/>
          <w:color w:val="auto"/>
          <w:sz w:val="24"/>
          <w:highlight w:val="none"/>
        </w:rPr>
        <w:t>）；</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（5）商务响应表（格式附后）；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（6）2018年1月至今投标人完成的同类项目业绩（提供合同复印件）；</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（7）针对本项目的整体方案，包括：对本项目的理解；产品说明（产品名称、技术指标、功能说明、性能指标等）；</w:t>
      </w:r>
      <w:r>
        <w:rPr>
          <w:rFonts w:ascii="宋体" w:hAnsi="宋体" w:cs="宋体"/>
          <w:color w:val="auto"/>
          <w:kern w:val="0"/>
          <w:sz w:val="24"/>
          <w:highlight w:val="none"/>
        </w:rPr>
        <w:t>系统总体框架</w:t>
      </w:r>
      <w:r>
        <w:rPr>
          <w:rFonts w:hint="eastAsia" w:ascii="宋体" w:hAnsi="宋体" w:cs="宋体"/>
          <w:color w:val="auto"/>
          <w:kern w:val="0"/>
          <w:sz w:val="24"/>
          <w:highlight w:val="none"/>
        </w:rPr>
        <w:t>设计</w:t>
      </w:r>
      <w:r>
        <w:rPr>
          <w:rFonts w:ascii="宋体" w:hAnsi="宋体" w:cs="宋体"/>
          <w:color w:val="auto"/>
          <w:kern w:val="0"/>
          <w:sz w:val="24"/>
          <w:highlight w:val="none"/>
        </w:rPr>
        <w:t>、业务流程和应用模式</w:t>
      </w:r>
      <w:r>
        <w:rPr>
          <w:rFonts w:hint="eastAsia" w:ascii="宋体" w:hAnsi="宋体" w:cs="宋体"/>
          <w:color w:val="auto"/>
          <w:kern w:val="0"/>
          <w:sz w:val="24"/>
          <w:highlight w:val="none"/>
        </w:rPr>
        <w:t>设计；</w:t>
      </w:r>
      <w:r>
        <w:rPr>
          <w:rFonts w:ascii="宋体" w:hAnsi="宋体" w:cs="宋体"/>
          <w:color w:val="auto"/>
          <w:kern w:val="0"/>
          <w:sz w:val="24"/>
          <w:highlight w:val="none"/>
        </w:rPr>
        <w:t>各个模块及系统功能设计</w:t>
      </w:r>
      <w:r>
        <w:rPr>
          <w:rFonts w:hint="eastAsia" w:ascii="宋体" w:hAnsi="宋体" w:cs="宋体"/>
          <w:color w:val="auto"/>
          <w:kern w:val="0"/>
          <w:sz w:val="24"/>
          <w:highlight w:val="none"/>
        </w:rPr>
        <w:t>；现有系统对接方案；</w:t>
      </w:r>
      <w:r>
        <w:rPr>
          <w:rFonts w:ascii="宋体" w:hAnsi="宋体" w:cs="宋体"/>
          <w:color w:val="auto"/>
          <w:kern w:val="0"/>
          <w:sz w:val="24"/>
          <w:highlight w:val="none"/>
        </w:rPr>
        <w:t>关键技术解决方案等满足和适用情况</w:t>
      </w:r>
      <w:r>
        <w:rPr>
          <w:rFonts w:hint="eastAsia" w:ascii="宋体" w:hAnsi="宋体" w:cs="宋体"/>
          <w:color w:val="auto"/>
          <w:kern w:val="0"/>
          <w:sz w:val="24"/>
          <w:highlight w:val="none"/>
        </w:rPr>
        <w:t>；</w:t>
      </w:r>
      <w:r>
        <w:rPr>
          <w:rFonts w:hint="eastAsia" w:ascii="宋体" w:hAnsi="宋体" w:cs="宋体"/>
          <w:color w:val="auto"/>
          <w:sz w:val="24"/>
          <w:highlight w:val="none"/>
        </w:rPr>
        <w:t>计划安排；质量保证方案；质保期承诺（格式自拟）；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（8）投标人拥有主要装备和检测设施的情况及现状（格式自拟）；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（9）产品出厂标准、质量检测报告（格式自拟）；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（10）原厂出厂配置表及原厂中文使用说明书（格式自拟）；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（11）产品配置清单（均不含报价，</w:t>
      </w:r>
      <w:r>
        <w:rPr>
          <w:rFonts w:hAnsi="宋体"/>
          <w:color w:val="auto"/>
          <w:sz w:val="24"/>
          <w:highlight w:val="none"/>
        </w:rPr>
        <w:t>格式附后</w:t>
      </w:r>
      <w:r>
        <w:rPr>
          <w:rFonts w:hint="eastAsia" w:ascii="宋体" w:hAnsi="宋体" w:cs="宋体"/>
          <w:color w:val="auto"/>
          <w:sz w:val="24"/>
          <w:highlight w:val="none"/>
        </w:rPr>
        <w:t>）；</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（12）技术响应表（必须针对“招标需求”所列的技术参数条目，逐一说明是符合、正偏离、负偏离等响应情况，</w:t>
      </w:r>
      <w:r>
        <w:rPr>
          <w:rFonts w:hAnsi="宋体"/>
          <w:color w:val="auto"/>
          <w:sz w:val="24"/>
          <w:highlight w:val="none"/>
        </w:rPr>
        <w:t>格式附后</w:t>
      </w:r>
      <w:r>
        <w:rPr>
          <w:rFonts w:hint="eastAsia" w:ascii="宋体" w:hAnsi="宋体" w:cs="宋体"/>
          <w:color w:val="auto"/>
          <w:sz w:val="24"/>
          <w:highlight w:val="none"/>
        </w:rPr>
        <w:t>）；</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（13）投标人建议的安装、调试、验收方法或方案（格式自拟）；</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（14）技术服务、技术培训、售后服务的内容和措施（格式自拟）；</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（15）项目实施人员一览表（格式自拟）；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（16）优惠条件：投标人承诺给予采购人的各种优惠条件，包括售后服务、备品备件、专用耗材等方面的优惠（格式自拟）；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（17）投标人对本项目的合理化建议和改进措施（格式自拟）；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（18）投标人认为需要提供的其他材料。（结合评分细则提供）</w:t>
      </w:r>
    </w:p>
    <w:p>
      <w:pPr>
        <w:snapToGrid w:val="0"/>
        <w:spacing w:line="400" w:lineRule="atLeast"/>
        <w:ind w:firstLine="360" w:firstLineChars="150"/>
        <w:jc w:val="left"/>
        <w:rPr>
          <w:rFonts w:hint="eastAsia"/>
          <w:b/>
          <w:color w:val="auto"/>
          <w:sz w:val="24"/>
          <w:highlight w:val="none"/>
        </w:rPr>
      </w:pPr>
      <w:r>
        <w:rPr>
          <w:rFonts w:hint="eastAsia"/>
          <w:color w:val="auto"/>
          <w:sz w:val="24"/>
          <w:highlight w:val="none"/>
        </w:rPr>
        <w:t xml:space="preserve"> </w:t>
      </w:r>
      <w:r>
        <w:rPr>
          <w:rFonts w:hint="eastAsia"/>
          <w:b/>
          <w:color w:val="auto"/>
          <w:sz w:val="24"/>
          <w:highlight w:val="none"/>
        </w:rPr>
        <w:t>2、投标报价标的组成</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（1）投标函（格式附后）；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（2）开标一览表（格式附后）；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（3）报价明细表（格式附后）；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（4）投标人认为有必要提供其他资料（如小微企业声明函等）。</w:t>
      </w:r>
      <w:r>
        <w:rPr>
          <w:rFonts w:hint="eastAsia" w:ascii="宋体" w:hAnsi="宋体" w:cs="宋体"/>
          <w:color w:val="auto"/>
          <w:sz w:val="24"/>
          <w:highlight w:val="none"/>
        </w:rPr>
        <w:tab/>
      </w:r>
    </w:p>
    <w:p>
      <w:pPr>
        <w:snapToGrid w:val="0"/>
        <w:spacing w:line="460" w:lineRule="exact"/>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（二）投标文件的语言及计量</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投标文件以及投标人与招标人就有关投标事宜的所有来往函电，均应以中文汉语书写。除签名、盖章、专用名称等特殊情形外，以中文汉语以外的文字表述的投标文件视同未提供。</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line="460" w:lineRule="exact"/>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（三）投标报价（本项目设有最高限价50万元；高于最高限价的投标报价为无效报价作无效投标处理）</w:t>
      </w:r>
    </w:p>
    <w:p>
      <w:pPr>
        <w:tabs>
          <w:tab w:val="left" w:pos="525"/>
        </w:tabs>
        <w:snapToGrid w:val="0"/>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1．投标报价应按招标文件中相关附表格式填写。</w:t>
      </w:r>
    </w:p>
    <w:p>
      <w:pPr>
        <w:tabs>
          <w:tab w:val="left" w:pos="525"/>
        </w:tabs>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w:t>
      </w:r>
      <w:r>
        <w:rPr>
          <w:rFonts w:hint="eastAsia" w:ascii="宋体" w:hAnsi="宋体"/>
          <w:color w:val="auto"/>
          <w:sz w:val="24"/>
          <w:highlight w:val="none"/>
        </w:rPr>
        <w:t>即</w:t>
      </w:r>
      <w:r>
        <w:rPr>
          <w:rFonts w:ascii="宋体" w:hAnsi="宋体"/>
          <w:color w:val="auto"/>
          <w:sz w:val="24"/>
          <w:highlight w:val="none"/>
        </w:rPr>
        <w:t>是</w:t>
      </w:r>
      <w:r>
        <w:rPr>
          <w:rFonts w:hint="eastAsia" w:ascii="宋体" w:hAnsi="宋体"/>
          <w:color w:val="auto"/>
          <w:sz w:val="24"/>
          <w:highlight w:val="none"/>
        </w:rPr>
        <w:t>中标人</w:t>
      </w:r>
      <w:r>
        <w:rPr>
          <w:rFonts w:ascii="宋体" w:hAnsi="宋体"/>
          <w:color w:val="auto"/>
          <w:sz w:val="24"/>
          <w:highlight w:val="none"/>
        </w:rPr>
        <w:t>履行合同的最终价格</w:t>
      </w:r>
      <w:r>
        <w:rPr>
          <w:rFonts w:hint="eastAsia" w:ascii="宋体" w:hAnsi="宋体"/>
          <w:color w:val="auto"/>
          <w:sz w:val="24"/>
          <w:highlight w:val="none"/>
        </w:rPr>
        <w:t>，报价</w:t>
      </w:r>
      <w:r>
        <w:rPr>
          <w:rFonts w:ascii="宋体" w:hAnsi="宋体"/>
          <w:color w:val="auto"/>
          <w:sz w:val="24"/>
          <w:highlight w:val="none"/>
        </w:rPr>
        <w:t>包括</w:t>
      </w:r>
      <w:r>
        <w:rPr>
          <w:rFonts w:hint="eastAsia" w:ascii="宋体" w:hAnsi="宋体" w:cs="宋体"/>
          <w:color w:val="auto"/>
          <w:sz w:val="24"/>
          <w:highlight w:val="none"/>
        </w:rPr>
        <w:t>应包括软件设计开发费用、全省监狱系统接入使用的系统技术支撑、系统培训、系统维护、</w:t>
      </w:r>
      <w:r>
        <w:rPr>
          <w:rFonts w:hint="eastAsia" w:ascii="宋体" w:hAnsi="宋体" w:cs="宋体"/>
          <w:color w:val="auto"/>
          <w:sz w:val="24"/>
          <w:highlight w:val="none"/>
          <w:u w:val="none" w:color="000000"/>
        </w:rPr>
        <w:t>系统迁移</w:t>
      </w:r>
      <w:r>
        <w:rPr>
          <w:rFonts w:hint="eastAsia" w:ascii="宋体" w:hAnsi="宋体" w:cs="宋体"/>
          <w:color w:val="auto"/>
          <w:sz w:val="24"/>
          <w:highlight w:val="none"/>
        </w:rPr>
        <w:t>费、验收费、税金、售后服务费用、标准附件、安装、调试、保修、采购代理服务费等项目所有涉及相关的费用。投标人的报价如有缺漏项，也将被视为投标优惠，已包含在总价范围内。</w:t>
      </w:r>
    </w:p>
    <w:p>
      <w:pPr>
        <w:tabs>
          <w:tab w:val="left" w:pos="525"/>
        </w:tabs>
        <w:snapToGrid w:val="0"/>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投标人的报价一旦确定就不再更改（因采购人增加工作量原因除外）。投标人的报价如有缺漏项，也将被视为投标优惠，已包含在总价范围内。</w:t>
      </w:r>
    </w:p>
    <w:p>
      <w:pPr>
        <w:tabs>
          <w:tab w:val="left" w:pos="525"/>
        </w:tabs>
        <w:snapToGrid w:val="0"/>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p>
    <w:p>
      <w:pPr>
        <w:tabs>
          <w:tab w:val="left" w:pos="525"/>
        </w:tabs>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8"/>
        <w:widowControl w:val="0"/>
        <w:numPr>
          <w:ilvl w:val="0"/>
          <w:numId w:val="0"/>
        </w:numPr>
        <w:snapToGrid w:val="0"/>
        <w:spacing w:after="0" w:afterLines="0" w:line="460" w:lineRule="exact"/>
        <w:ind w:firstLine="472" w:firstLineChars="196"/>
        <w:rPr>
          <w:rFonts w:ascii="宋体" w:hAnsi="宋体"/>
          <w:b/>
          <w:color w:val="auto"/>
          <w:szCs w:val="24"/>
          <w:highlight w:val="none"/>
        </w:rPr>
      </w:pPr>
      <w:r>
        <w:rPr>
          <w:rFonts w:hint="eastAsia" w:ascii="宋体" w:hAnsi="宋体"/>
          <w:b/>
          <w:color w:val="auto"/>
          <w:szCs w:val="24"/>
          <w:highlight w:val="none"/>
        </w:rPr>
        <w:t>（四）投标文件的有效期</w:t>
      </w:r>
    </w:p>
    <w:p>
      <w:pPr>
        <w:pStyle w:val="8"/>
        <w:widowControl w:val="0"/>
        <w:numPr>
          <w:ilvl w:val="0"/>
          <w:numId w:val="0"/>
        </w:numPr>
        <w:snapToGrid w:val="0"/>
        <w:spacing w:after="0" w:afterLines="0" w:line="460" w:lineRule="exact"/>
        <w:ind w:firstLine="480" w:firstLineChars="200"/>
        <w:jc w:val="both"/>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w:t>
      </w:r>
      <w:r>
        <w:rPr>
          <w:rFonts w:ascii="宋体" w:hAnsi="宋体"/>
          <w:color w:val="auto"/>
          <w:szCs w:val="24"/>
          <w:highlight w:val="none"/>
        </w:rPr>
        <w:t>自投标截止日起</w:t>
      </w:r>
      <w:r>
        <w:rPr>
          <w:rFonts w:hint="eastAsia" w:ascii="宋体" w:hAnsi="宋体"/>
          <w:color w:val="auto"/>
          <w:szCs w:val="24"/>
          <w:highlight w:val="none"/>
        </w:rPr>
        <w:t>60日</w:t>
      </w:r>
      <w:r>
        <w:rPr>
          <w:rFonts w:ascii="宋体" w:hAnsi="宋体"/>
          <w:color w:val="auto"/>
          <w:szCs w:val="24"/>
          <w:highlight w:val="none"/>
        </w:rPr>
        <w:t>投标</w:t>
      </w:r>
      <w:r>
        <w:rPr>
          <w:rFonts w:hint="eastAsia" w:ascii="宋体" w:hAnsi="宋体"/>
          <w:color w:val="auto"/>
          <w:szCs w:val="24"/>
          <w:highlight w:val="none"/>
        </w:rPr>
        <w:t>文件</w:t>
      </w:r>
      <w:r>
        <w:rPr>
          <w:rFonts w:ascii="宋体" w:hAnsi="宋体"/>
          <w:color w:val="auto"/>
          <w:szCs w:val="24"/>
          <w:highlight w:val="none"/>
        </w:rPr>
        <w:t>应保持有效。有效期</w:t>
      </w:r>
      <w:r>
        <w:rPr>
          <w:rFonts w:hint="eastAsia" w:ascii="宋体" w:hAnsi="宋体"/>
          <w:color w:val="auto"/>
          <w:szCs w:val="24"/>
          <w:highlight w:val="none"/>
        </w:rPr>
        <w:t>不足</w:t>
      </w:r>
      <w:r>
        <w:rPr>
          <w:rFonts w:ascii="宋体" w:hAnsi="宋体"/>
          <w:color w:val="auto"/>
          <w:szCs w:val="24"/>
          <w:highlight w:val="none"/>
        </w:rPr>
        <w:t>的投标</w:t>
      </w:r>
      <w:r>
        <w:rPr>
          <w:rFonts w:hint="eastAsia" w:ascii="宋体" w:hAnsi="宋体"/>
          <w:color w:val="auto"/>
          <w:szCs w:val="24"/>
          <w:highlight w:val="none"/>
        </w:rPr>
        <w:t>文件</w:t>
      </w:r>
      <w:r>
        <w:rPr>
          <w:rFonts w:ascii="宋体" w:hAnsi="宋体"/>
          <w:color w:val="auto"/>
          <w:szCs w:val="24"/>
          <w:highlight w:val="none"/>
        </w:rPr>
        <w:t>将被拒绝。</w:t>
      </w:r>
    </w:p>
    <w:p>
      <w:pPr>
        <w:pStyle w:val="8"/>
        <w:widowControl w:val="0"/>
        <w:numPr>
          <w:ilvl w:val="0"/>
          <w:numId w:val="0"/>
        </w:numPr>
        <w:snapToGrid w:val="0"/>
        <w:spacing w:after="0" w:afterLines="0" w:line="460" w:lineRule="exact"/>
        <w:ind w:firstLine="480" w:firstLineChars="20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在特殊情况下，可与投标人协商延长投标书的有效期，这种要求和答复均以书面形式进行。</w:t>
      </w:r>
    </w:p>
    <w:p>
      <w:pPr>
        <w:snapToGrid w:val="0"/>
        <w:spacing w:line="460" w:lineRule="exact"/>
        <w:ind w:firstLine="480" w:firstLineChars="200"/>
        <w:jc w:val="left"/>
        <w:outlineLvl w:val="0"/>
        <w:rPr>
          <w:rFonts w:ascii="宋体" w:hAnsi="宋体"/>
          <w:b/>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投标人可拒绝接受延期要求。同意延长有效期的投标人不能修改投标文件。</w:t>
      </w:r>
      <w:r>
        <w:rPr>
          <w:rFonts w:hint="eastAsia" w:ascii="宋体" w:hAnsi="宋体"/>
          <w:color w:val="auto"/>
          <w:sz w:val="24"/>
          <w:highlight w:val="none"/>
        </w:rPr>
        <w:t xml:space="preserve"> </w:t>
      </w:r>
      <w:r>
        <w:rPr>
          <w:rFonts w:ascii="宋体" w:hAnsi="宋体"/>
          <w:b/>
          <w:color w:val="auto"/>
          <w:sz w:val="24"/>
          <w:highlight w:val="none"/>
        </w:rPr>
        <w:t xml:space="preserve"> </w:t>
      </w:r>
    </w:p>
    <w:p>
      <w:pPr>
        <w:snapToGrid w:val="0"/>
        <w:spacing w:line="460" w:lineRule="exact"/>
        <w:ind w:firstLine="480" w:firstLineChars="200"/>
        <w:jc w:val="left"/>
        <w:outlineLvl w:val="0"/>
        <w:rPr>
          <w:rFonts w:hint="eastAsia"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pPr>
        <w:snapToGrid w:val="0"/>
        <w:spacing w:line="400" w:lineRule="exact"/>
        <w:ind w:firstLine="482" w:firstLineChars="200"/>
        <w:jc w:val="left"/>
        <w:outlineLvl w:val="0"/>
        <w:rPr>
          <w:rFonts w:ascii="宋体" w:hAnsi="宋体" w:cs="宋体"/>
          <w:b/>
          <w:bCs/>
          <w:color w:val="auto"/>
          <w:sz w:val="24"/>
          <w:highlight w:val="none"/>
        </w:rPr>
      </w:pPr>
      <w:r>
        <w:rPr>
          <w:rFonts w:hint="eastAsia" w:ascii="宋体" w:hAnsi="宋体"/>
          <w:b/>
          <w:color w:val="auto"/>
          <w:sz w:val="24"/>
          <w:highlight w:val="none"/>
        </w:rPr>
        <w:t>（五）投标人有</w:t>
      </w:r>
      <w:r>
        <w:rPr>
          <w:rFonts w:ascii="宋体" w:hAnsi="宋体"/>
          <w:b/>
          <w:color w:val="auto"/>
          <w:sz w:val="24"/>
          <w:highlight w:val="none"/>
        </w:rPr>
        <w:t>下列情</w:t>
      </w:r>
      <w:r>
        <w:rPr>
          <w:rFonts w:hint="eastAsia" w:ascii="宋体" w:hAnsi="宋体"/>
          <w:b/>
          <w:color w:val="auto"/>
          <w:sz w:val="24"/>
          <w:highlight w:val="none"/>
        </w:rPr>
        <w:t>形之一的</w:t>
      </w:r>
      <w:r>
        <w:rPr>
          <w:rFonts w:ascii="宋体" w:hAnsi="宋体"/>
          <w:b/>
          <w:color w:val="auto"/>
          <w:sz w:val="24"/>
          <w:highlight w:val="none"/>
        </w:rPr>
        <w:t>，</w:t>
      </w:r>
      <w:r>
        <w:rPr>
          <w:rFonts w:hint="eastAsia" w:ascii="宋体" w:hAnsi="宋体"/>
          <w:b/>
          <w:color w:val="auto"/>
          <w:sz w:val="24"/>
          <w:highlight w:val="none"/>
        </w:rPr>
        <w:t>报财政监管部门处理，</w:t>
      </w:r>
      <w:r>
        <w:rPr>
          <w:rFonts w:hint="eastAsia" w:ascii="宋体" w:hAnsi="宋体" w:cs="宋体"/>
          <w:b/>
          <w:bCs/>
          <w:color w:val="auto"/>
          <w:sz w:val="24"/>
          <w:highlight w:val="none"/>
        </w:rPr>
        <w:t>同时采购单位有权将其列入采购单位不良记录名单，禁止参加采购单位同类项目投标1-3年</w:t>
      </w:r>
      <w:r>
        <w:rPr>
          <w:rFonts w:ascii="宋体" w:hAnsi="宋体" w:cs="宋体"/>
          <w:b/>
          <w:bCs/>
          <w:color w:val="auto"/>
          <w:sz w:val="24"/>
          <w:highlight w:val="none"/>
        </w:rPr>
        <w:t>：</w:t>
      </w:r>
    </w:p>
    <w:p>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2.投标人在投标过程中弄虚作假，提供虚假材料的；</w:t>
      </w:r>
    </w:p>
    <w:p>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3.中标单位无正当理由不与采购人签订合同的；</w:t>
      </w:r>
    </w:p>
    <w:p>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 xml:space="preserve"> 将中标项目转让给他人或者在投标文件中未说明且未经采购人同意，</w:t>
      </w:r>
      <w:r>
        <w:rPr>
          <w:rFonts w:hint="eastAsia" w:ascii="宋体" w:hAnsi="宋体"/>
          <w:color w:val="auto"/>
          <w:sz w:val="24"/>
          <w:highlight w:val="none"/>
        </w:rPr>
        <w:t>将中标项目转让给他人或者分包给他人的；</w:t>
      </w:r>
    </w:p>
    <w:p>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5.拒绝履行合同义务的；</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6.其他严重扰乱政府采购程序的。</w:t>
      </w:r>
    </w:p>
    <w:p>
      <w:pPr>
        <w:snapToGrid w:val="0"/>
        <w:spacing w:line="460" w:lineRule="exact"/>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（六）履约保证金</w:t>
      </w:r>
    </w:p>
    <w:p>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1.</w:t>
      </w:r>
      <w:r>
        <w:rPr>
          <w:rFonts w:ascii="宋体" w:hAnsi="宋体" w:cs="Arial"/>
          <w:b/>
          <w:color w:val="auto"/>
          <w:sz w:val="24"/>
          <w:highlight w:val="none"/>
        </w:rPr>
        <w:t>履约保证金</w:t>
      </w:r>
      <w:r>
        <w:rPr>
          <w:rFonts w:hint="eastAsia" w:ascii="宋体" w:hAnsi="宋体" w:cs="Arial"/>
          <w:b/>
          <w:color w:val="auto"/>
          <w:sz w:val="24"/>
          <w:highlight w:val="none"/>
        </w:rPr>
        <w:t>金额：中标总价*5%</w:t>
      </w:r>
      <w:r>
        <w:rPr>
          <w:rFonts w:ascii="宋体" w:hAnsi="宋体" w:cs="Arial"/>
          <w:color w:val="auto"/>
          <w:sz w:val="24"/>
          <w:highlight w:val="none"/>
        </w:rPr>
        <w:t>，从中标人基本账户交纳到</w:t>
      </w:r>
      <w:r>
        <w:rPr>
          <w:rFonts w:hint="eastAsia" w:ascii="宋体" w:hAnsi="宋体" w:cs="Arial"/>
          <w:color w:val="auto"/>
          <w:sz w:val="24"/>
          <w:highlight w:val="none"/>
        </w:rPr>
        <w:t>下列</w:t>
      </w:r>
      <w:r>
        <w:rPr>
          <w:rFonts w:ascii="宋体" w:hAnsi="宋体" w:cs="Arial"/>
          <w:color w:val="auto"/>
          <w:sz w:val="24"/>
          <w:highlight w:val="none"/>
        </w:rPr>
        <w:t>履约保证金账户</w:t>
      </w:r>
      <w:r>
        <w:rPr>
          <w:rFonts w:hint="eastAsia" w:ascii="宋体" w:hAnsi="宋体" w:cs="Arial"/>
          <w:color w:val="auto"/>
          <w:sz w:val="24"/>
          <w:highlight w:val="none"/>
        </w:rPr>
        <w:t>：</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开户名称：浙江省金华监狱</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开户银行：金华市农行蒋堂支行</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开户帐号：19</w:t>
      </w:r>
      <w:r>
        <w:rPr>
          <w:rFonts w:ascii="宋体" w:hAnsi="宋体"/>
          <w:color w:val="auto"/>
          <w:sz w:val="24"/>
          <w:highlight w:val="none"/>
        </w:rPr>
        <w:t>610701040003464</w:t>
      </w:r>
    </w:p>
    <w:p>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中标人将本项目转让给他人，</w:t>
      </w:r>
      <w:r>
        <w:rPr>
          <w:rFonts w:hint="eastAsia" w:ascii="宋体" w:hAnsi="宋体" w:cs="Arial"/>
          <w:color w:val="auto"/>
          <w:sz w:val="24"/>
          <w:highlight w:val="none"/>
        </w:rPr>
        <w:t>并</w:t>
      </w:r>
      <w:r>
        <w:rPr>
          <w:rFonts w:ascii="宋体" w:hAnsi="宋体" w:cs="Arial"/>
          <w:color w:val="auto"/>
          <w:sz w:val="24"/>
          <w:highlight w:val="none"/>
        </w:rPr>
        <w:t>在投标文件中未说明</w:t>
      </w:r>
      <w:r>
        <w:rPr>
          <w:rFonts w:hint="eastAsia" w:ascii="宋体" w:hAnsi="宋体" w:cs="Arial"/>
          <w:color w:val="auto"/>
          <w:sz w:val="24"/>
          <w:highlight w:val="none"/>
        </w:rPr>
        <w:t>；或</w:t>
      </w:r>
      <w:r>
        <w:rPr>
          <w:rFonts w:ascii="宋体" w:hAnsi="宋体" w:cs="Arial"/>
          <w:color w:val="auto"/>
          <w:sz w:val="24"/>
          <w:highlight w:val="none"/>
        </w:rPr>
        <w:t>未经</w:t>
      </w:r>
      <w:r>
        <w:rPr>
          <w:rFonts w:hint="eastAsia" w:ascii="宋体" w:hAnsi="宋体" w:cs="Arial"/>
          <w:color w:val="auto"/>
          <w:sz w:val="24"/>
          <w:highlight w:val="none"/>
        </w:rPr>
        <w:t>采购人</w:t>
      </w:r>
      <w:r>
        <w:rPr>
          <w:rFonts w:ascii="宋体" w:hAnsi="宋体" w:cs="Arial"/>
          <w:color w:val="auto"/>
          <w:sz w:val="24"/>
          <w:highlight w:val="none"/>
        </w:rPr>
        <w:t>同意，将中标项目分包给他人的，</w:t>
      </w:r>
      <w:r>
        <w:rPr>
          <w:rFonts w:hint="eastAsia" w:ascii="宋体" w:hAnsi="宋体" w:cs="Arial"/>
          <w:color w:val="auto"/>
          <w:sz w:val="24"/>
          <w:highlight w:val="none"/>
        </w:rPr>
        <w:t>采购人</w:t>
      </w:r>
      <w:r>
        <w:rPr>
          <w:rFonts w:ascii="宋体" w:hAnsi="宋体" w:cs="Arial"/>
          <w:color w:val="auto"/>
          <w:sz w:val="24"/>
          <w:highlight w:val="none"/>
        </w:rPr>
        <w:t>可依法没收其</w:t>
      </w:r>
      <w:r>
        <w:rPr>
          <w:rFonts w:hint="eastAsia" w:ascii="宋体" w:hAnsi="宋体" w:cs="Arial"/>
          <w:color w:val="auto"/>
          <w:sz w:val="24"/>
          <w:highlight w:val="none"/>
        </w:rPr>
        <w:t>全额</w:t>
      </w:r>
      <w:r>
        <w:rPr>
          <w:rFonts w:ascii="宋体" w:hAnsi="宋体" w:cs="Arial"/>
          <w:color w:val="auto"/>
          <w:sz w:val="24"/>
          <w:highlight w:val="none"/>
        </w:rPr>
        <w:t>履约保证金</w:t>
      </w:r>
      <w:r>
        <w:rPr>
          <w:rFonts w:hint="eastAsia" w:ascii="宋体" w:hAnsi="宋体" w:cs="Arial"/>
          <w:color w:val="auto"/>
          <w:sz w:val="24"/>
          <w:highlight w:val="none"/>
        </w:rPr>
        <w:t>并重新组织招标。</w:t>
      </w:r>
    </w:p>
    <w:p>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3.</w:t>
      </w:r>
      <w:r>
        <w:rPr>
          <w:rFonts w:ascii="宋体" w:hAnsi="宋体" w:cs="Arial"/>
          <w:color w:val="auto"/>
          <w:sz w:val="24"/>
          <w:highlight w:val="none"/>
        </w:rPr>
        <w:t>中标人在履行采购合同期间，违反有关法律法规的规定及合同约定的条款，损害了</w:t>
      </w:r>
      <w:r>
        <w:rPr>
          <w:rFonts w:hint="eastAsia" w:ascii="宋体" w:hAnsi="宋体" w:cs="Arial"/>
          <w:color w:val="auto"/>
          <w:sz w:val="24"/>
          <w:highlight w:val="none"/>
        </w:rPr>
        <w:t>采购人</w:t>
      </w:r>
      <w:r>
        <w:rPr>
          <w:rFonts w:ascii="宋体" w:hAnsi="宋体" w:cs="Arial"/>
          <w:color w:val="auto"/>
          <w:sz w:val="24"/>
          <w:highlight w:val="none"/>
        </w:rPr>
        <w:t>利益的，可依法没收其</w:t>
      </w:r>
      <w:r>
        <w:rPr>
          <w:rFonts w:hint="eastAsia" w:ascii="宋体" w:hAnsi="宋体" w:cs="Arial"/>
          <w:color w:val="auto"/>
          <w:sz w:val="24"/>
          <w:highlight w:val="none"/>
        </w:rPr>
        <w:t>全额</w:t>
      </w:r>
      <w:r>
        <w:rPr>
          <w:rFonts w:ascii="宋体" w:hAnsi="宋体" w:cs="Arial"/>
          <w:color w:val="auto"/>
          <w:sz w:val="24"/>
          <w:highlight w:val="none"/>
        </w:rPr>
        <w:t>履约保证金</w:t>
      </w:r>
      <w:r>
        <w:rPr>
          <w:rFonts w:hint="eastAsia" w:ascii="宋体" w:hAnsi="宋体" w:cs="Arial"/>
          <w:color w:val="auto"/>
          <w:sz w:val="24"/>
          <w:highlight w:val="none"/>
        </w:rPr>
        <w:t>并重新组织招标</w:t>
      </w:r>
      <w:r>
        <w:rPr>
          <w:rFonts w:ascii="宋体" w:hAnsi="宋体" w:cs="Arial"/>
          <w:color w:val="auto"/>
          <w:sz w:val="24"/>
          <w:highlight w:val="none"/>
        </w:rPr>
        <w:t>。</w:t>
      </w:r>
    </w:p>
    <w:p>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4.</w:t>
      </w:r>
      <w:r>
        <w:rPr>
          <w:rFonts w:ascii="宋体" w:hAnsi="宋体" w:cs="Arial"/>
          <w:color w:val="auto"/>
          <w:sz w:val="24"/>
          <w:highlight w:val="none"/>
        </w:rPr>
        <w:t>履约保证金须在合同签订前，缴入</w:t>
      </w:r>
      <w:r>
        <w:rPr>
          <w:rFonts w:hint="eastAsia" w:ascii="宋体" w:hAnsi="宋体" w:cs="Arial"/>
          <w:color w:val="auto"/>
          <w:sz w:val="24"/>
          <w:highlight w:val="none"/>
        </w:rPr>
        <w:t>采购人</w:t>
      </w:r>
      <w:r>
        <w:rPr>
          <w:rFonts w:ascii="宋体" w:hAnsi="宋体" w:cs="Arial"/>
          <w:color w:val="auto"/>
          <w:sz w:val="24"/>
          <w:highlight w:val="none"/>
        </w:rPr>
        <w:t>指定的账户内。</w:t>
      </w:r>
    </w:p>
    <w:p>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5.履约受处罚情形：</w:t>
      </w:r>
    </w:p>
    <w:p>
      <w:pPr>
        <w:spacing w:line="460" w:lineRule="exact"/>
        <w:ind w:firstLine="480" w:firstLineChars="200"/>
        <w:rPr>
          <w:rFonts w:hint="eastAsia" w:hAnsi="宋体" w:cs="Arial"/>
          <w:color w:val="auto"/>
          <w:sz w:val="24"/>
          <w:highlight w:val="none"/>
        </w:rPr>
      </w:pPr>
      <w:r>
        <w:rPr>
          <w:rFonts w:hint="eastAsia" w:ascii="宋体" w:hAnsi="宋体" w:cs="宋体"/>
          <w:color w:val="auto"/>
          <w:sz w:val="24"/>
          <w:highlight w:val="none"/>
        </w:rPr>
        <w:t>（1）因</w:t>
      </w:r>
      <w:r>
        <w:rPr>
          <w:rFonts w:hint="eastAsia" w:hAnsi="宋体" w:cs="Arial"/>
          <w:color w:val="auto"/>
          <w:sz w:val="24"/>
          <w:highlight w:val="none"/>
        </w:rPr>
        <w:t>中标人</w:t>
      </w:r>
      <w:r>
        <w:rPr>
          <w:rFonts w:hint="eastAsia" w:ascii="宋体" w:hAnsi="宋体" w:cs="宋体"/>
          <w:color w:val="auto"/>
          <w:sz w:val="24"/>
          <w:highlight w:val="none"/>
        </w:rPr>
        <w:t>原因导致合同在事实上无法履行的，扣除全部履约保证金，且</w:t>
      </w:r>
      <w:r>
        <w:rPr>
          <w:rFonts w:hint="eastAsia" w:hAnsi="宋体" w:cs="Arial"/>
          <w:color w:val="auto"/>
          <w:sz w:val="24"/>
          <w:highlight w:val="none"/>
        </w:rPr>
        <w:t>招标单位</w:t>
      </w:r>
      <w:r>
        <w:rPr>
          <w:rFonts w:hint="eastAsia" w:ascii="宋体" w:hAnsi="宋体" w:cs="宋体"/>
          <w:color w:val="auto"/>
          <w:sz w:val="24"/>
          <w:highlight w:val="none"/>
        </w:rPr>
        <w:t>有权单方解除合同。</w:t>
      </w:r>
    </w:p>
    <w:p>
      <w:pPr>
        <w:spacing w:line="460" w:lineRule="exact"/>
        <w:ind w:firstLine="480" w:firstLineChars="200"/>
        <w:rPr>
          <w:rFonts w:hint="eastAsia" w:hAnsi="宋体" w:cs="Arial"/>
          <w:color w:val="auto"/>
          <w:sz w:val="24"/>
          <w:highlight w:val="none"/>
        </w:rPr>
      </w:pPr>
      <w:r>
        <w:rPr>
          <w:rFonts w:hint="eastAsia" w:ascii="宋体" w:hAnsi="宋体" w:cs="宋体"/>
          <w:color w:val="auto"/>
          <w:sz w:val="24"/>
          <w:highlight w:val="none"/>
        </w:rPr>
        <w:t>（2）</w:t>
      </w:r>
      <w:r>
        <w:rPr>
          <w:rFonts w:hint="eastAsia" w:hAnsi="宋体" w:cs="Arial"/>
          <w:color w:val="auto"/>
          <w:sz w:val="24"/>
          <w:highlight w:val="none"/>
        </w:rPr>
        <w:t>因中标人原因不能及时供货的造成不良影响的，且影响招标单位正常运作的，送货延迟一天扣罚1000元，依此类推，不足部分从货款中扣除。如发生三次以上的，招标单位有权解除合同。</w:t>
      </w:r>
    </w:p>
    <w:p>
      <w:pPr>
        <w:spacing w:line="460" w:lineRule="exact"/>
        <w:ind w:firstLine="480" w:firstLineChars="200"/>
        <w:rPr>
          <w:rFonts w:hint="eastAsia" w:hAnsi="宋体" w:cs="Arial"/>
          <w:color w:val="auto"/>
          <w:sz w:val="24"/>
          <w:highlight w:val="none"/>
        </w:rPr>
      </w:pPr>
      <w:r>
        <w:rPr>
          <w:rFonts w:hint="eastAsia" w:ascii="宋体" w:hAnsi="宋体" w:cs="宋体"/>
          <w:color w:val="auto"/>
          <w:sz w:val="24"/>
          <w:highlight w:val="none"/>
        </w:rPr>
        <w:t>（3）</w:t>
      </w:r>
      <w:r>
        <w:rPr>
          <w:rFonts w:hint="eastAsia" w:hAnsi="宋体" w:cs="Arial"/>
          <w:color w:val="auto"/>
          <w:sz w:val="24"/>
          <w:highlight w:val="none"/>
        </w:rPr>
        <w:t>中标人</w:t>
      </w:r>
      <w:r>
        <w:rPr>
          <w:rFonts w:hint="eastAsia" w:ascii="宋体" w:hAnsi="宋体" w:cs="宋体"/>
          <w:color w:val="auto"/>
          <w:sz w:val="24"/>
          <w:highlight w:val="none"/>
        </w:rPr>
        <w:t>保证所供货物质量、品牌、规格型号等符合合同约定。否则，须无条件更换，并扣除50%履约保证金/次。</w:t>
      </w:r>
    </w:p>
    <w:p>
      <w:pPr>
        <w:spacing w:line="460" w:lineRule="exact"/>
        <w:ind w:firstLine="480" w:firstLineChars="200"/>
        <w:rPr>
          <w:rFonts w:hint="eastAsia" w:hAnsi="宋体" w:cs="Arial"/>
          <w:strike/>
          <w:color w:val="auto"/>
          <w:sz w:val="24"/>
          <w:highlight w:val="none"/>
        </w:rPr>
      </w:pPr>
      <w:r>
        <w:rPr>
          <w:rFonts w:hint="eastAsia" w:hAnsi="宋体" w:cs="Arial"/>
          <w:color w:val="auto"/>
          <w:sz w:val="24"/>
          <w:highlight w:val="none"/>
        </w:rPr>
        <w:t>6.履约保证金未发生履约受处罚情形的，于</w:t>
      </w:r>
      <w:r>
        <w:rPr>
          <w:rFonts w:hint="eastAsia" w:ascii="宋体" w:hAnsi="宋体"/>
          <w:color w:val="auto"/>
          <w:sz w:val="24"/>
          <w:highlight w:val="none"/>
        </w:rPr>
        <w:t>中标人承诺的质保期满无任何遗留问题的</w:t>
      </w:r>
      <w:r>
        <w:rPr>
          <w:rFonts w:hint="eastAsia" w:hAnsi="宋体" w:cs="Arial"/>
          <w:color w:val="auto"/>
          <w:sz w:val="24"/>
          <w:highlight w:val="none"/>
        </w:rPr>
        <w:t>一次性无息退还。</w:t>
      </w:r>
    </w:p>
    <w:p>
      <w:pPr>
        <w:snapToGrid w:val="0"/>
        <w:spacing w:line="460" w:lineRule="exact"/>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（七）投标文件的签署和份数</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按</w:t>
      </w:r>
      <w:r>
        <w:rPr>
          <w:rFonts w:ascii="宋体" w:hAnsi="宋体"/>
          <w:color w:val="auto"/>
          <w:sz w:val="24"/>
          <w:highlight w:val="none"/>
        </w:rPr>
        <w:t>本招标文件规定的格式和顺序编制、装订投标文件</w:t>
      </w:r>
      <w:r>
        <w:rPr>
          <w:rFonts w:hint="eastAsia" w:ascii="宋体" w:hAnsi="宋体"/>
          <w:color w:val="auto"/>
          <w:sz w:val="24"/>
          <w:highlight w:val="none"/>
        </w:rPr>
        <w:t>并标注页码</w:t>
      </w:r>
      <w:r>
        <w:rPr>
          <w:rFonts w:ascii="宋体" w:hAnsi="宋体"/>
          <w:color w:val="auto"/>
          <w:sz w:val="24"/>
          <w:highlight w:val="none"/>
        </w:rPr>
        <w:t>，投标文件内容不完整、编排混乱导致投标文件被误读、漏读或者查找不到相关内容的，是投标人的责任。</w:t>
      </w:r>
    </w:p>
    <w:p>
      <w:pPr>
        <w:snapToGrid w:val="0"/>
        <w:spacing w:line="460" w:lineRule="exact"/>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投标人按</w:t>
      </w:r>
      <w:r>
        <w:rPr>
          <w:rFonts w:hint="eastAsia" w:ascii="宋体" w:hAnsi="宋体"/>
          <w:color w:val="auto"/>
          <w:sz w:val="24"/>
          <w:highlight w:val="none"/>
        </w:rPr>
        <w:t>资信及技术标和投标报价标正本各1份，副本各4份分别编制并单独装订成册，投标文件的封面应注明“正本”、“副本”字样。活页装订的投标文件将被拒绝。</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投标文件的正本需打印或用不褪色的墨水填写，投标文件正本除本</w:t>
      </w:r>
      <w:r>
        <w:rPr>
          <w:rFonts w:hint="eastAsia" w:ascii="宋体" w:hAnsi="宋体"/>
          <w:color w:val="auto"/>
          <w:sz w:val="24"/>
          <w:highlight w:val="none"/>
        </w:rPr>
        <w:t>《</w:t>
      </w:r>
      <w:r>
        <w:rPr>
          <w:rFonts w:ascii="宋体" w:hAnsi="宋体"/>
          <w:color w:val="auto"/>
          <w:sz w:val="24"/>
          <w:highlight w:val="none"/>
        </w:rPr>
        <w:t>投标人须知</w:t>
      </w:r>
      <w:r>
        <w:rPr>
          <w:rFonts w:hint="eastAsia" w:ascii="宋体" w:hAnsi="宋体"/>
          <w:color w:val="auto"/>
          <w:sz w:val="24"/>
          <w:highlight w:val="none"/>
        </w:rPr>
        <w:t>》</w:t>
      </w:r>
      <w:r>
        <w:rPr>
          <w:rFonts w:ascii="宋体" w:hAnsi="宋体"/>
          <w:color w:val="auto"/>
          <w:sz w:val="24"/>
          <w:highlight w:val="none"/>
        </w:rPr>
        <w:t>中规定的可提供复印件外均须提供原件</w:t>
      </w:r>
      <w:r>
        <w:rPr>
          <w:rFonts w:hint="eastAsia" w:ascii="宋体" w:hAnsi="宋体"/>
          <w:color w:val="auto"/>
          <w:sz w:val="24"/>
          <w:highlight w:val="none"/>
        </w:rPr>
        <w:t>，</w:t>
      </w:r>
      <w:r>
        <w:rPr>
          <w:rFonts w:ascii="宋体" w:hAnsi="宋体"/>
          <w:color w:val="auto"/>
          <w:sz w:val="24"/>
          <w:highlight w:val="none"/>
        </w:rPr>
        <w:t>副本为正本的复印件。</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pPr>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line="46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（八）投标文件的包装、递交、修改和撤回</w:t>
      </w:r>
    </w:p>
    <w:p>
      <w:pPr>
        <w:snapToGrid w:val="0"/>
        <w:spacing w:line="460" w:lineRule="exact"/>
        <w:ind w:firstLine="420"/>
        <w:jc w:val="left"/>
        <w:rPr>
          <w:rFonts w:hint="eastAsia" w:ascii="宋体" w:hAnsi="宋体"/>
          <w:color w:val="auto"/>
          <w:sz w:val="24"/>
          <w:highlight w:val="none"/>
        </w:rPr>
      </w:pPr>
      <w:r>
        <w:rPr>
          <w:rFonts w:hint="eastAsia" w:ascii="宋体" w:hAnsi="宋体"/>
          <w:color w:val="auto"/>
          <w:sz w:val="24"/>
          <w:highlight w:val="none"/>
        </w:rPr>
        <w:t>1.投标人按资信及技术标和投标报价标两部分密封封装投标文件。投标文件的包装封面上应注明投标人名称、投标人地址、投标文件名称（资信及技术标或投标报价标）、投标项目名称、项目编号及“开标时启封”字样，并加盖投标人公章。</w:t>
      </w:r>
    </w:p>
    <w:p>
      <w:pPr>
        <w:snapToGrid w:val="0"/>
        <w:spacing w:line="460" w:lineRule="exact"/>
        <w:ind w:firstLine="420"/>
        <w:rPr>
          <w:rFonts w:hint="eastAsia"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2.未按规定密封或标记的投标文件将被拒绝，由此造成投标文件被误投或提前拆封的风险由投标人承担。</w:t>
      </w:r>
    </w:p>
    <w:p>
      <w:pPr>
        <w:snapToGrid w:val="0"/>
        <w:spacing w:line="460" w:lineRule="exact"/>
        <w:ind w:firstLine="420"/>
        <w:rPr>
          <w:rFonts w:hint="eastAsia" w:ascii="宋体" w:hAnsi="宋体"/>
          <w:color w:val="auto"/>
          <w:sz w:val="24"/>
          <w:highlight w:val="none"/>
        </w:rPr>
      </w:pPr>
      <w:r>
        <w:rPr>
          <w:rFonts w:hint="eastAsia" w:ascii="宋体" w:hAnsi="宋体"/>
          <w:color w:val="auto"/>
          <w:sz w:val="24"/>
          <w:highlight w:val="none"/>
        </w:rPr>
        <w:t>3.投标人在投标截止时间之前，可以对已提交的投标文件进行修改或撤回，并书面通知招标代理机构；投标截止时间后，投标人不得撤回、修改投标文件。修改后重新递交的投标文件应当按本招标文件的要求签署、盖章和密封。</w:t>
      </w:r>
    </w:p>
    <w:p>
      <w:pPr>
        <w:snapToGrid w:val="0"/>
        <w:spacing w:line="460" w:lineRule="exact"/>
        <w:ind w:firstLine="472" w:firstLineChars="196"/>
        <w:outlineLvl w:val="2"/>
        <w:rPr>
          <w:rFonts w:ascii="宋体" w:hAnsi="宋体"/>
          <w:b/>
          <w:color w:val="auto"/>
          <w:sz w:val="24"/>
          <w:highlight w:val="none"/>
        </w:rPr>
      </w:pPr>
      <w:r>
        <w:rPr>
          <w:rFonts w:hint="eastAsia" w:ascii="宋体" w:hAnsi="宋体"/>
          <w:b/>
          <w:color w:val="auto"/>
          <w:sz w:val="24"/>
          <w:highlight w:val="none"/>
        </w:rPr>
        <w:t>（九）投标无效的情形</w:t>
      </w:r>
    </w:p>
    <w:p>
      <w:pPr>
        <w:snapToGrid w:val="0"/>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60" w:lineRule="exact"/>
        <w:ind w:firstLine="482" w:firstLineChars="200"/>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w:t>
      </w:r>
      <w:r>
        <w:rPr>
          <w:rFonts w:hint="eastAsia" w:ascii="宋体" w:hAnsi="宋体"/>
          <w:b/>
          <w:bCs/>
          <w:color w:val="auto"/>
          <w:sz w:val="24"/>
          <w:highlight w:val="none"/>
        </w:rPr>
        <w:t>资格审查和</w:t>
      </w:r>
      <w:r>
        <w:rPr>
          <w:rFonts w:ascii="宋体" w:hAnsi="宋体"/>
          <w:b/>
          <w:bCs/>
          <w:color w:val="auto"/>
          <w:sz w:val="24"/>
          <w:highlight w:val="none"/>
        </w:rPr>
        <w:t>符合性审查时，如发现下列情形之一的，投标文件将被视为无效：</w:t>
      </w:r>
    </w:p>
    <w:p>
      <w:pPr>
        <w:snapToGrid w:val="0"/>
        <w:spacing w:line="46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）资格证明文件不全的，或者不符合招标文件标明的资格要求的</w:t>
      </w:r>
      <w:r>
        <w:rPr>
          <w:rFonts w:hint="eastAsia" w:ascii="宋体" w:hAnsi="宋体"/>
          <w:bCs/>
          <w:color w:val="auto"/>
          <w:sz w:val="24"/>
          <w:highlight w:val="none"/>
        </w:rPr>
        <w:t>；</w:t>
      </w:r>
    </w:p>
    <w:p>
      <w:pPr>
        <w:snapToGrid w:val="0"/>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）投标文件未</w:t>
      </w:r>
      <w:r>
        <w:rPr>
          <w:rFonts w:hint="eastAsia" w:ascii="宋体" w:hAnsi="宋体"/>
          <w:bCs/>
          <w:color w:val="auto"/>
          <w:sz w:val="24"/>
          <w:highlight w:val="none"/>
        </w:rPr>
        <w:t>提供法定代表人授权委托书、投标声明书或者填写项目不齐全的；</w:t>
      </w:r>
    </w:p>
    <w:p>
      <w:pPr>
        <w:snapToGrid w:val="0"/>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投标代表人未能出具身份证明或与法定代表人授权委托人身份不符的；</w:t>
      </w:r>
      <w:r>
        <w:rPr>
          <w:rFonts w:ascii="宋体" w:hAnsi="宋体"/>
          <w:bCs/>
          <w:color w:val="auto"/>
          <w:sz w:val="24"/>
          <w:highlight w:val="none"/>
        </w:rPr>
        <w:t xml:space="preserve"> </w:t>
      </w:r>
    </w:p>
    <w:p>
      <w:pPr>
        <w:snapToGrid w:val="0"/>
        <w:spacing w:line="460" w:lineRule="exact"/>
        <w:ind w:firstLine="480" w:firstLineChars="200"/>
        <w:rPr>
          <w:rFonts w:ascii="宋体" w:hAnsi="宋体"/>
          <w:bCs/>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4</w:t>
      </w:r>
      <w:r>
        <w:rPr>
          <w:rFonts w:ascii="宋体" w:hAnsi="宋体"/>
          <w:bCs/>
          <w:color w:val="auto"/>
          <w:sz w:val="24"/>
          <w:highlight w:val="none"/>
        </w:rPr>
        <w:t>）投标文件项目不齐全或者内容虚假的；</w:t>
      </w:r>
    </w:p>
    <w:p>
      <w:pPr>
        <w:snapToGrid w:val="0"/>
        <w:spacing w:line="460" w:lineRule="exact"/>
        <w:ind w:firstLine="480" w:firstLineChars="200"/>
        <w:rPr>
          <w:rFonts w:ascii="宋体" w:hAnsi="宋体"/>
          <w:bCs/>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5</w:t>
      </w:r>
      <w:r>
        <w:rPr>
          <w:rFonts w:ascii="宋体" w:hAnsi="宋体"/>
          <w:bCs/>
          <w:color w:val="auto"/>
          <w:sz w:val="24"/>
          <w:highlight w:val="none"/>
        </w:rPr>
        <w:t>）投标文件的实质性内容未使用中文表述、意思表述不明确、前后矛盾或者使用计量单位不符合招标文件要求的（经评标委员会认定</w:t>
      </w:r>
      <w:r>
        <w:rPr>
          <w:rFonts w:hint="eastAsia" w:ascii="宋体" w:hAnsi="宋体"/>
          <w:bCs/>
          <w:color w:val="auto"/>
          <w:sz w:val="24"/>
          <w:highlight w:val="none"/>
        </w:rPr>
        <w:t>并</w:t>
      </w:r>
      <w:r>
        <w:rPr>
          <w:rFonts w:ascii="宋体" w:hAnsi="宋体"/>
          <w:bCs/>
          <w:color w:val="auto"/>
          <w:sz w:val="24"/>
          <w:highlight w:val="none"/>
        </w:rPr>
        <w:t>允许其当场更正的笔误除外）</w:t>
      </w:r>
    </w:p>
    <w:p>
      <w:pPr>
        <w:snapToGrid w:val="0"/>
        <w:spacing w:line="460" w:lineRule="exact"/>
        <w:ind w:firstLine="480" w:firstLineChars="200"/>
        <w:rPr>
          <w:rFonts w:ascii="宋体" w:hAnsi="宋体"/>
          <w:bCs/>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6</w:t>
      </w:r>
      <w:r>
        <w:rPr>
          <w:rFonts w:ascii="宋体" w:hAnsi="宋体"/>
          <w:bCs/>
          <w:color w:val="auto"/>
          <w:sz w:val="24"/>
          <w:highlight w:val="none"/>
        </w:rPr>
        <w:t>）投标有效期、</w:t>
      </w:r>
      <w:r>
        <w:rPr>
          <w:rFonts w:hint="eastAsia" w:ascii="宋体" w:hAnsi="宋体" w:cs="宋体"/>
          <w:bCs/>
          <w:color w:val="auto"/>
          <w:sz w:val="24"/>
          <w:highlight w:val="none"/>
        </w:rPr>
        <w:t>工期要求</w:t>
      </w:r>
      <w:r>
        <w:rPr>
          <w:rFonts w:ascii="宋体" w:hAnsi="宋体" w:cs="宋体"/>
          <w:bCs/>
          <w:color w:val="auto"/>
          <w:sz w:val="24"/>
          <w:highlight w:val="none"/>
        </w:rPr>
        <w:t>、质保期</w:t>
      </w:r>
      <w:r>
        <w:rPr>
          <w:rFonts w:hint="eastAsia" w:ascii="宋体" w:hAnsi="宋体" w:cs="宋体"/>
          <w:bCs/>
          <w:color w:val="auto"/>
          <w:sz w:val="24"/>
          <w:highlight w:val="none"/>
        </w:rPr>
        <w:t>、付款方式</w:t>
      </w:r>
      <w:r>
        <w:rPr>
          <w:rFonts w:ascii="宋体" w:hAnsi="宋体"/>
          <w:bCs/>
          <w:color w:val="auto"/>
          <w:sz w:val="24"/>
          <w:highlight w:val="none"/>
        </w:rPr>
        <w:t>等商务条款不能满足招标文件要求的；</w:t>
      </w:r>
    </w:p>
    <w:p>
      <w:pPr>
        <w:snapToGrid w:val="0"/>
        <w:spacing w:line="460" w:lineRule="exact"/>
        <w:ind w:firstLine="480" w:firstLineChars="200"/>
        <w:rPr>
          <w:rFonts w:hint="eastAsia" w:ascii="宋体" w:hAnsi="宋体"/>
          <w:bCs/>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7</w:t>
      </w:r>
      <w:r>
        <w:rPr>
          <w:rFonts w:ascii="宋体" w:hAnsi="宋体"/>
          <w:bCs/>
          <w:color w:val="auto"/>
          <w:sz w:val="24"/>
          <w:highlight w:val="none"/>
        </w:rPr>
        <w:t>）</w:t>
      </w:r>
      <w:r>
        <w:rPr>
          <w:rFonts w:hint="eastAsia" w:ascii="宋体" w:hAnsi="宋体"/>
          <w:bCs/>
          <w:color w:val="auto"/>
          <w:sz w:val="24"/>
          <w:highlight w:val="none"/>
        </w:rPr>
        <w:t>未实质性</w:t>
      </w:r>
      <w:r>
        <w:rPr>
          <w:rFonts w:ascii="宋体" w:hAnsi="宋体"/>
          <w:bCs/>
          <w:color w:val="auto"/>
          <w:sz w:val="24"/>
          <w:highlight w:val="none"/>
        </w:rPr>
        <w:t>响应招标文件要求或者投标文件有招标人不能接受的附加条件的；</w:t>
      </w:r>
    </w:p>
    <w:p>
      <w:pPr>
        <w:snapToGrid w:val="0"/>
        <w:spacing w:line="460" w:lineRule="exact"/>
        <w:ind w:firstLine="482" w:firstLineChars="200"/>
        <w:rPr>
          <w:rFonts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在技术评审时，如发现下列情形之一的，投标文件将被视为无效：</w:t>
      </w:r>
    </w:p>
    <w:p>
      <w:pPr>
        <w:snapToGrid w:val="0"/>
        <w:spacing w:line="460" w:lineRule="exact"/>
        <w:ind w:firstLine="480" w:firstLineChars="200"/>
        <w:rPr>
          <w:rFonts w:ascii="宋体" w:hAnsi="宋体"/>
          <w:bCs/>
          <w:color w:val="auto"/>
          <w:sz w:val="24"/>
          <w:highlight w:val="none"/>
        </w:rPr>
      </w:pPr>
      <w:r>
        <w:rPr>
          <w:rFonts w:ascii="宋体" w:hAnsi="宋体"/>
          <w:bCs/>
          <w:color w:val="auto"/>
          <w:sz w:val="24"/>
          <w:highlight w:val="none"/>
        </w:rPr>
        <w:t>（1）未提供或未如实提供</w:t>
      </w:r>
      <w:r>
        <w:rPr>
          <w:rFonts w:hint="eastAsia" w:ascii="宋体" w:hAnsi="宋体"/>
          <w:bCs/>
          <w:color w:val="auto"/>
          <w:sz w:val="24"/>
          <w:highlight w:val="none"/>
        </w:rPr>
        <w:t>本项目服务方案的相应条款</w:t>
      </w:r>
      <w:r>
        <w:rPr>
          <w:rFonts w:ascii="宋体" w:hAnsi="宋体"/>
          <w:bCs/>
          <w:color w:val="auto"/>
          <w:sz w:val="24"/>
          <w:highlight w:val="none"/>
        </w:rPr>
        <w:t>，或者投标文件标明的响应或偏离与事实不符或虚假投标的；</w:t>
      </w:r>
    </w:p>
    <w:p>
      <w:pPr>
        <w:snapToGrid w:val="0"/>
        <w:spacing w:line="460" w:lineRule="exact"/>
        <w:ind w:firstLine="480" w:firstLineChars="200"/>
        <w:rPr>
          <w:rFonts w:ascii="宋体" w:hAnsi="宋体"/>
          <w:bCs/>
          <w:color w:val="auto"/>
          <w:sz w:val="24"/>
          <w:highlight w:val="none"/>
        </w:rPr>
      </w:pPr>
      <w:r>
        <w:rPr>
          <w:rFonts w:ascii="宋体" w:hAnsi="宋体"/>
          <w:bCs/>
          <w:color w:val="auto"/>
          <w:sz w:val="24"/>
          <w:highlight w:val="none"/>
        </w:rPr>
        <w:t>（2）明显不符合招标文件</w:t>
      </w:r>
      <w:r>
        <w:rPr>
          <w:rFonts w:hint="eastAsia" w:ascii="宋体" w:hAnsi="宋体"/>
          <w:bCs/>
          <w:color w:val="auto"/>
          <w:sz w:val="24"/>
          <w:highlight w:val="none"/>
        </w:rPr>
        <w:t>要求</w:t>
      </w:r>
      <w:r>
        <w:rPr>
          <w:rFonts w:ascii="宋体" w:hAnsi="宋体"/>
          <w:bCs/>
          <w:color w:val="auto"/>
          <w:sz w:val="24"/>
          <w:highlight w:val="none"/>
        </w:rPr>
        <w:t>的</w:t>
      </w:r>
      <w:r>
        <w:rPr>
          <w:rFonts w:hAnsi="宋体"/>
          <w:bCs/>
          <w:color w:val="auto"/>
          <w:sz w:val="24"/>
          <w:highlight w:val="none"/>
        </w:rPr>
        <w:t>规格型号、质量标准</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olor w:val="auto"/>
          <w:highlight w:val="none"/>
        </w:rPr>
        <w:t>★</w:t>
      </w:r>
      <w:r>
        <w:rPr>
          <w:rFonts w:ascii="宋体" w:hAnsi="宋体"/>
          <w:bCs/>
          <w:color w:val="auto"/>
          <w:sz w:val="24"/>
          <w:highlight w:val="none"/>
        </w:rPr>
        <w:t>”的技术</w:t>
      </w:r>
      <w:r>
        <w:rPr>
          <w:rFonts w:hint="eastAsia" w:ascii="宋体" w:hAnsi="宋体"/>
          <w:bCs/>
          <w:color w:val="auto"/>
          <w:sz w:val="24"/>
          <w:highlight w:val="none"/>
        </w:rPr>
        <w:t>条款等</w:t>
      </w:r>
      <w:r>
        <w:rPr>
          <w:rFonts w:ascii="宋体" w:hAnsi="宋体"/>
          <w:bCs/>
          <w:color w:val="auto"/>
          <w:sz w:val="24"/>
          <w:highlight w:val="none"/>
        </w:rPr>
        <w:t>发生实质性偏离的；</w:t>
      </w:r>
    </w:p>
    <w:p>
      <w:pPr>
        <w:snapToGrid w:val="0"/>
        <w:spacing w:line="460" w:lineRule="exact"/>
        <w:ind w:firstLine="480" w:firstLineChars="200"/>
        <w:rPr>
          <w:rFonts w:ascii="宋体" w:hAnsi="宋体"/>
          <w:bCs/>
          <w:color w:val="auto"/>
          <w:sz w:val="24"/>
          <w:highlight w:val="none"/>
        </w:rPr>
      </w:pPr>
      <w:r>
        <w:rPr>
          <w:rFonts w:ascii="宋体" w:hAnsi="宋体"/>
          <w:bCs/>
          <w:color w:val="auto"/>
          <w:sz w:val="24"/>
          <w:highlight w:val="none"/>
        </w:rPr>
        <w:t>（3）投标技术方案不明确，存在一个或一个以上备选（替代）投标</w:t>
      </w:r>
      <w:r>
        <w:rPr>
          <w:rFonts w:hint="eastAsia" w:ascii="宋体" w:hAnsi="宋体"/>
          <w:bCs/>
          <w:color w:val="auto"/>
          <w:sz w:val="24"/>
          <w:highlight w:val="none"/>
        </w:rPr>
        <w:t>方</w:t>
      </w:r>
      <w:r>
        <w:rPr>
          <w:rFonts w:ascii="宋体" w:hAnsi="宋体"/>
          <w:bCs/>
          <w:color w:val="auto"/>
          <w:sz w:val="24"/>
          <w:highlight w:val="none"/>
        </w:rPr>
        <w:t>案的；</w:t>
      </w:r>
    </w:p>
    <w:p>
      <w:pPr>
        <w:snapToGrid w:val="0"/>
        <w:spacing w:line="46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（4）与其他参加本次投标供应商的投标文件（技术文件）的文字表述内容相同连续20行以上或者差错相同2处以上的；</w:t>
      </w:r>
    </w:p>
    <w:p>
      <w:pPr>
        <w:snapToGrid w:val="0"/>
        <w:spacing w:line="460" w:lineRule="exact"/>
        <w:ind w:firstLine="482" w:firstLineChars="200"/>
        <w:rPr>
          <w:rFonts w:ascii="宋体" w:hAns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w:t>
      </w:r>
      <w:r>
        <w:rPr>
          <w:rFonts w:ascii="宋体" w:hAnsi="宋体"/>
          <w:b/>
          <w:bCs/>
          <w:color w:val="auto"/>
          <w:sz w:val="24"/>
          <w:highlight w:val="none"/>
        </w:rPr>
        <w:t>在报价评审时，如发现下列情形之一的，投标文件将被视为无效：</w:t>
      </w:r>
    </w:p>
    <w:p>
      <w:pPr>
        <w:snapToGrid w:val="0"/>
        <w:spacing w:line="460" w:lineRule="exact"/>
        <w:ind w:firstLine="480" w:firstLineChars="200"/>
        <w:rPr>
          <w:rFonts w:ascii="宋体" w:hAnsi="宋体"/>
          <w:bCs/>
          <w:color w:val="auto"/>
          <w:sz w:val="24"/>
          <w:highlight w:val="none"/>
        </w:rPr>
      </w:pPr>
      <w:r>
        <w:rPr>
          <w:rFonts w:ascii="宋体" w:hAnsi="宋体"/>
          <w:bCs/>
          <w:color w:val="auto"/>
          <w:sz w:val="24"/>
          <w:highlight w:val="none"/>
        </w:rPr>
        <w:t>（1）未采用人民币报价或者未按照招标文件标明的币种报价的；</w:t>
      </w:r>
    </w:p>
    <w:p>
      <w:pPr>
        <w:snapToGrid w:val="0"/>
        <w:spacing w:line="460" w:lineRule="exact"/>
        <w:ind w:firstLine="480" w:firstLineChars="200"/>
        <w:rPr>
          <w:rFonts w:hint="eastAsia" w:ascii="宋体" w:hAnsi="宋体"/>
          <w:bCs/>
          <w:color w:val="auto"/>
          <w:sz w:val="24"/>
          <w:highlight w:val="none"/>
        </w:rPr>
      </w:pPr>
      <w:r>
        <w:rPr>
          <w:rFonts w:ascii="宋体" w:hAnsi="宋体"/>
          <w:bCs/>
          <w:color w:val="auto"/>
          <w:sz w:val="24"/>
          <w:highlight w:val="none"/>
        </w:rPr>
        <w:t>（2）</w:t>
      </w:r>
      <w:r>
        <w:rPr>
          <w:rFonts w:hAnsi="宋体" w:cs="宋体"/>
          <w:bCs/>
          <w:color w:val="auto"/>
          <w:sz w:val="24"/>
          <w:highlight w:val="none"/>
        </w:rPr>
        <w:t>报价超出最高限价或者超出采购预算金额，采购人不能支付的；</w:t>
      </w:r>
    </w:p>
    <w:p>
      <w:pPr>
        <w:snapToGrid w:val="0"/>
        <w:spacing w:line="46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（3）投标报价具有选择性，或者开标价格与投标文件承诺的优惠（折扣）价格不一致的。                                                                                              </w:t>
      </w:r>
    </w:p>
    <w:p>
      <w:pPr>
        <w:snapToGrid w:val="0"/>
        <w:spacing w:line="460" w:lineRule="exact"/>
        <w:ind w:firstLine="480" w:firstLineChars="200"/>
        <w:rPr>
          <w:rFonts w:ascii="宋体" w:hAns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w:t>
      </w:r>
      <w:r>
        <w:rPr>
          <w:rFonts w:ascii="宋体" w:hAnsi="宋体"/>
          <w:bCs/>
          <w:color w:val="auto"/>
          <w:sz w:val="24"/>
          <w:highlight w:val="none"/>
        </w:rPr>
        <w:t>被拒绝的投标文件为无效。</w:t>
      </w:r>
    </w:p>
    <w:p>
      <w:pPr>
        <w:pStyle w:val="17"/>
        <w:snapToGrid w:val="0"/>
        <w:spacing w:before="0" w:beforeLines="0" w:after="0" w:afterLines="0" w:line="460" w:lineRule="exact"/>
        <w:ind w:firstLine="482" w:firstLineChars="200"/>
        <w:rPr>
          <w:rFonts w:hint="eastAsia" w:ascii="黑体" w:hAnsi="宋体" w:eastAsia="黑体"/>
          <w:b/>
          <w:color w:val="auto"/>
          <w:highlight w:val="none"/>
        </w:rPr>
      </w:pPr>
      <w:r>
        <w:rPr>
          <w:rFonts w:hint="eastAsia" w:ascii="黑体" w:hAnsi="宋体" w:eastAsia="黑体"/>
          <w:b/>
          <w:color w:val="auto"/>
          <w:highlight w:val="none"/>
        </w:rPr>
        <w:t>四、开标</w:t>
      </w:r>
    </w:p>
    <w:p>
      <w:pPr>
        <w:pStyle w:val="17"/>
        <w:snapToGrid w:val="0"/>
        <w:spacing w:before="0" w:beforeLines="0" w:after="0" w:afterLines="0" w:line="460" w:lineRule="exact"/>
        <w:ind w:firstLine="472" w:firstLineChars="196"/>
        <w:rPr>
          <w:rFonts w:hAnsi="宋体"/>
          <w:b/>
          <w:color w:val="auto"/>
          <w:highlight w:val="none"/>
        </w:rPr>
      </w:pPr>
      <w:r>
        <w:rPr>
          <w:rFonts w:hAnsi="宋体"/>
          <w:b/>
          <w:color w:val="auto"/>
          <w:highlight w:val="none"/>
        </w:rPr>
        <w:t>（一）开标准备</w:t>
      </w:r>
    </w:p>
    <w:p>
      <w:pPr>
        <w:pStyle w:val="17"/>
        <w:snapToGrid w:val="0"/>
        <w:spacing w:before="0" w:beforeLines="0" w:after="0" w:afterLines="0" w:line="460" w:lineRule="exact"/>
        <w:ind w:firstLine="480" w:firstLineChars="200"/>
        <w:rPr>
          <w:rFonts w:hAnsi="宋体"/>
          <w:bCs/>
          <w:color w:val="auto"/>
          <w:highlight w:val="none"/>
        </w:rPr>
      </w:pPr>
      <w:r>
        <w:rPr>
          <w:rFonts w:hint="eastAsia" w:hAnsi="宋体"/>
          <w:bCs/>
          <w:color w:val="auto"/>
          <w:highlight w:val="none"/>
        </w:rPr>
        <w:t>采购代理机构</w:t>
      </w:r>
      <w:r>
        <w:rPr>
          <w:rFonts w:hAnsi="宋体"/>
          <w:bCs/>
          <w:color w:val="auto"/>
          <w:highlight w:val="none"/>
        </w:rPr>
        <w:t>将在规定的时间和地点进行开标，投标人的法定代表人或其授权代表应参加开标会并签到。投标人的法定代表人或其授权代表未按时签到的，视同放弃开标监督权利、认可开标结果。</w:t>
      </w:r>
    </w:p>
    <w:p>
      <w:pPr>
        <w:pStyle w:val="17"/>
        <w:snapToGrid w:val="0"/>
        <w:spacing w:before="0" w:beforeLines="0" w:after="0" w:afterLines="0" w:line="460" w:lineRule="exact"/>
        <w:ind w:firstLine="472" w:firstLineChars="196"/>
        <w:rPr>
          <w:rFonts w:hAnsi="宋体"/>
          <w:b/>
          <w:color w:val="auto"/>
          <w:highlight w:val="none"/>
        </w:rPr>
      </w:pPr>
      <w:r>
        <w:rPr>
          <w:rFonts w:hAnsi="宋体"/>
          <w:b/>
          <w:color w:val="auto"/>
          <w:highlight w:val="none"/>
        </w:rPr>
        <w:t>（二） 开标程序：</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开标会由采购代理机构主持，主持人宣布开标会议开始；</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2</w:t>
      </w:r>
      <w:r>
        <w:rPr>
          <w:rFonts w:hint="eastAsia" w:hAnsi="宋体"/>
          <w:color w:val="auto"/>
          <w:highlight w:val="none"/>
        </w:rPr>
        <w:t>.主持人</w:t>
      </w:r>
      <w:r>
        <w:rPr>
          <w:rFonts w:hAnsi="宋体"/>
          <w:color w:val="auto"/>
          <w:highlight w:val="none"/>
        </w:rPr>
        <w:t xml:space="preserve">介绍参加开标会的人员名单； </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3</w:t>
      </w:r>
      <w:r>
        <w:rPr>
          <w:rFonts w:hint="eastAsia" w:hAnsi="宋体"/>
          <w:color w:val="auto"/>
          <w:highlight w:val="none"/>
        </w:rPr>
        <w:t>.主持人</w:t>
      </w:r>
      <w:r>
        <w:rPr>
          <w:rFonts w:hAnsi="宋体"/>
          <w:color w:val="auto"/>
          <w:highlight w:val="none"/>
        </w:rPr>
        <w:t>宣布评标期间的有关事项；告知应当回避的情形,提请有关人员回避；</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.各投标人或投标人代表</w:t>
      </w:r>
      <w:r>
        <w:rPr>
          <w:rFonts w:hAnsi="宋体"/>
          <w:color w:val="auto"/>
          <w:highlight w:val="none"/>
        </w:rPr>
        <w:t>检</w:t>
      </w:r>
      <w:r>
        <w:rPr>
          <w:rFonts w:hint="eastAsia" w:hAnsi="宋体"/>
          <w:color w:val="auto"/>
          <w:highlight w:val="none"/>
        </w:rPr>
        <w:t>查</w:t>
      </w:r>
      <w:r>
        <w:rPr>
          <w:rFonts w:hAnsi="宋体"/>
          <w:color w:val="auto"/>
          <w:highlight w:val="none"/>
        </w:rPr>
        <w:t>投标文件密封的完整性并签字确认；</w:t>
      </w:r>
    </w:p>
    <w:p>
      <w:pPr>
        <w:pStyle w:val="17"/>
        <w:snapToGrid w:val="0"/>
        <w:spacing w:before="0" w:beforeLines="0" w:after="0" w:afterLines="0" w:line="460" w:lineRule="exact"/>
        <w:ind w:firstLine="480" w:firstLineChars="200"/>
        <w:rPr>
          <w:rFonts w:hint="eastAsia" w:hAnsi="宋体"/>
          <w:color w:val="auto"/>
          <w:highlight w:val="none"/>
        </w:rPr>
      </w:pPr>
      <w:r>
        <w:rPr>
          <w:rFonts w:hAnsi="宋体"/>
          <w:color w:val="auto"/>
          <w:highlight w:val="none"/>
        </w:rPr>
        <w:t>5</w:t>
      </w:r>
      <w:r>
        <w:rPr>
          <w:rFonts w:hint="eastAsia" w:hAnsi="宋体"/>
          <w:color w:val="auto"/>
          <w:highlight w:val="none"/>
        </w:rPr>
        <w:t>.</w:t>
      </w:r>
      <w:r>
        <w:rPr>
          <w:rFonts w:hAnsi="宋体"/>
          <w:color w:val="auto"/>
          <w:highlight w:val="none"/>
        </w:rPr>
        <w:t>按各投标人提交投标文件时间的先后顺序打开资信及技术标外包装，清点投标文件正本、副本数量，并由投标人代表签字确认</w:t>
      </w:r>
      <w:r>
        <w:rPr>
          <w:rFonts w:hint="eastAsia" w:hAnsi="宋体"/>
          <w:color w:val="auto"/>
          <w:highlight w:val="none"/>
        </w:rPr>
        <w:t>；</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w:t>
      </w:r>
      <w:r>
        <w:rPr>
          <w:rFonts w:hAnsi="宋体"/>
          <w:color w:val="auto"/>
          <w:highlight w:val="none"/>
        </w:rPr>
        <w:t>资信及技术标评分结束后，由主持人公布无效投标的投标人名单、投标无效的原因及其他有效投标的评分结果；</w:t>
      </w:r>
    </w:p>
    <w:p>
      <w:pPr>
        <w:pStyle w:val="17"/>
        <w:snapToGrid w:val="0"/>
        <w:spacing w:before="0" w:beforeLines="0" w:after="0" w:afterLines="0" w:line="460" w:lineRule="exact"/>
        <w:ind w:firstLine="480" w:firstLineChars="200"/>
        <w:rPr>
          <w:rFonts w:hint="eastAsia" w:hAnsi="宋体"/>
          <w:color w:val="auto"/>
          <w:highlight w:val="none"/>
        </w:rPr>
      </w:pPr>
      <w:r>
        <w:rPr>
          <w:rFonts w:hAnsi="宋体"/>
          <w:color w:val="auto"/>
          <w:highlight w:val="none"/>
        </w:rPr>
        <w:t>7</w:t>
      </w:r>
      <w:r>
        <w:rPr>
          <w:rFonts w:hint="eastAsia" w:hAnsi="宋体"/>
          <w:color w:val="auto"/>
          <w:highlight w:val="none"/>
        </w:rPr>
        <w:t>.</w:t>
      </w:r>
      <w:r>
        <w:rPr>
          <w:rFonts w:hAnsi="宋体"/>
          <w:color w:val="auto"/>
          <w:highlight w:val="none"/>
        </w:rPr>
        <w:t>由主持人宣读《投标报价一览表》中的投标人名称及在其投标文件中承诺的投标报价、服务项目名称，以及采购代理机构认为有必要宣读的其他内容。</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8</w:t>
      </w:r>
      <w:r>
        <w:rPr>
          <w:rFonts w:hint="eastAsia" w:hAnsi="宋体"/>
          <w:color w:val="auto"/>
          <w:highlight w:val="none"/>
        </w:rPr>
        <w:t>.</w:t>
      </w:r>
      <w:r>
        <w:rPr>
          <w:rFonts w:hAnsi="宋体"/>
          <w:color w:val="auto"/>
          <w:highlight w:val="none"/>
        </w:rPr>
        <w:t>采购代理机构做开标记录, 投标人代表对开标记录进行当场校核及勘误，并签字确认；同时由记录人、</w:t>
      </w:r>
      <w:r>
        <w:rPr>
          <w:rFonts w:hint="eastAsia" w:hAnsi="宋体"/>
          <w:color w:val="auto"/>
          <w:highlight w:val="none"/>
        </w:rPr>
        <w:t>主持人</w:t>
      </w:r>
      <w:r>
        <w:rPr>
          <w:rFonts w:hAnsi="宋体"/>
          <w:color w:val="auto"/>
          <w:highlight w:val="none"/>
        </w:rPr>
        <w:t>当场签字确认。投标人代表未到场签字确认</w:t>
      </w:r>
      <w:r>
        <w:rPr>
          <w:rFonts w:hint="eastAsia" w:hAnsi="宋体"/>
          <w:color w:val="auto"/>
          <w:highlight w:val="none"/>
        </w:rPr>
        <w:t>或者拒绝签字确认</w:t>
      </w:r>
      <w:r>
        <w:rPr>
          <w:rFonts w:hAnsi="宋体"/>
          <w:color w:val="auto"/>
          <w:highlight w:val="none"/>
        </w:rPr>
        <w:t>的，不影响评标过程。</w:t>
      </w:r>
    </w:p>
    <w:p>
      <w:pPr>
        <w:pStyle w:val="17"/>
        <w:snapToGrid w:val="0"/>
        <w:spacing w:before="0" w:beforeLines="0" w:after="0" w:afterLines="0" w:line="460" w:lineRule="exact"/>
        <w:ind w:left="719" w:leftChars="228" w:hanging="240" w:hangingChars="100"/>
        <w:rPr>
          <w:rFonts w:hAnsi="宋体"/>
          <w:color w:val="auto"/>
          <w:highlight w:val="none"/>
        </w:rPr>
      </w:pPr>
      <w:r>
        <w:rPr>
          <w:rFonts w:hint="eastAsia" w:hAnsi="宋体"/>
          <w:color w:val="auto"/>
          <w:highlight w:val="none"/>
        </w:rPr>
        <w:t>9.</w:t>
      </w:r>
      <w:r>
        <w:rPr>
          <w:rFonts w:hAnsi="宋体"/>
          <w:color w:val="auto"/>
          <w:highlight w:val="none"/>
        </w:rPr>
        <w:t>开标会议结束。</w:t>
      </w:r>
    </w:p>
    <w:p>
      <w:pPr>
        <w:pStyle w:val="17"/>
        <w:snapToGrid w:val="0"/>
        <w:spacing w:before="0" w:beforeLines="0" w:after="0" w:afterLines="0" w:line="460" w:lineRule="exact"/>
        <w:ind w:firstLine="482" w:firstLineChars="200"/>
        <w:rPr>
          <w:rFonts w:hint="eastAsia" w:ascii="黑体" w:hAnsi="宋体" w:eastAsia="黑体"/>
          <w:b/>
          <w:color w:val="auto"/>
          <w:highlight w:val="none"/>
        </w:rPr>
      </w:pPr>
      <w:r>
        <w:rPr>
          <w:rFonts w:hint="eastAsia" w:ascii="黑体" w:hAnsi="宋体" w:eastAsia="黑体"/>
          <w:b/>
          <w:color w:val="auto"/>
          <w:highlight w:val="none"/>
        </w:rPr>
        <w:t>五、评标</w:t>
      </w:r>
    </w:p>
    <w:p>
      <w:pPr>
        <w:pStyle w:val="17"/>
        <w:snapToGrid w:val="0"/>
        <w:spacing w:before="0" w:beforeLines="0" w:after="0" w:afterLines="0" w:line="460" w:lineRule="exact"/>
        <w:ind w:left="720" w:leftChars="228" w:hanging="241" w:hangingChars="100"/>
        <w:rPr>
          <w:rFonts w:hAnsi="宋体"/>
          <w:b/>
          <w:color w:val="auto"/>
          <w:highlight w:val="none"/>
        </w:rPr>
      </w:pPr>
      <w:r>
        <w:rPr>
          <w:rFonts w:hAnsi="宋体"/>
          <w:b/>
          <w:color w:val="auto"/>
          <w:highlight w:val="none"/>
        </w:rPr>
        <w:t>（一）组建评标委员会</w:t>
      </w:r>
    </w:p>
    <w:p>
      <w:pPr>
        <w:pStyle w:val="17"/>
        <w:snapToGrid w:val="0"/>
        <w:spacing w:before="0" w:beforeLines="0" w:after="0" w:afterLines="0" w:line="460" w:lineRule="exact"/>
        <w:ind w:firstLine="480" w:firstLineChars="200"/>
        <w:rPr>
          <w:rFonts w:hAnsi="宋体" w:cs="宋体"/>
          <w:color w:val="auto"/>
          <w:highlight w:val="none"/>
        </w:rPr>
      </w:pPr>
      <w:r>
        <w:rPr>
          <w:rFonts w:hint="eastAsia" w:hAnsi="宋体" w:cs="宋体"/>
          <w:color w:val="auto"/>
          <w:highlight w:val="none"/>
        </w:rPr>
        <w:t>本项目评标委员会由政府采购评审专家（随机抽取）和采购人代表共5人及以上单数组成（其中采购人代表不超过总人数的1/3）。</w:t>
      </w:r>
    </w:p>
    <w:p>
      <w:pPr>
        <w:pStyle w:val="17"/>
        <w:snapToGrid w:val="0"/>
        <w:spacing w:before="0" w:beforeLines="0" w:after="0" w:afterLines="0" w:line="460" w:lineRule="exact"/>
        <w:ind w:left="720" w:leftChars="228" w:hanging="241" w:hangingChars="100"/>
        <w:rPr>
          <w:rFonts w:hAnsi="宋体"/>
          <w:b/>
          <w:color w:val="auto"/>
          <w:highlight w:val="none"/>
        </w:rPr>
      </w:pPr>
      <w:r>
        <w:rPr>
          <w:rFonts w:hAnsi="宋体"/>
          <w:b/>
          <w:color w:val="auto"/>
          <w:highlight w:val="none"/>
        </w:rPr>
        <w:t>（二）评标方式</w:t>
      </w:r>
    </w:p>
    <w:p>
      <w:pPr>
        <w:pStyle w:val="17"/>
        <w:snapToGrid w:val="0"/>
        <w:spacing w:before="0" w:beforeLines="0" w:after="0" w:afterLines="0" w:line="460" w:lineRule="exact"/>
        <w:ind w:left="563" w:leftChars="171" w:hanging="204" w:hangingChars="85"/>
        <w:rPr>
          <w:rFonts w:hAnsi="宋体"/>
          <w:color w:val="auto"/>
          <w:highlight w:val="none"/>
        </w:rPr>
      </w:pPr>
      <w:r>
        <w:rPr>
          <w:rFonts w:hAnsi="宋体"/>
          <w:color w:val="auto"/>
          <w:highlight w:val="none"/>
        </w:rPr>
        <w:t>本项目采用不公开方式评标，评标的依据为招标文件和投标文件。</w:t>
      </w:r>
    </w:p>
    <w:p>
      <w:pPr>
        <w:pStyle w:val="17"/>
        <w:snapToGrid w:val="0"/>
        <w:spacing w:before="0" w:beforeLines="0" w:after="0" w:afterLines="0" w:line="460" w:lineRule="exact"/>
        <w:ind w:left="720" w:leftChars="228" w:hanging="241" w:hangingChars="100"/>
        <w:rPr>
          <w:rFonts w:hAnsi="宋体"/>
          <w:b/>
          <w:color w:val="auto"/>
          <w:highlight w:val="none"/>
        </w:rPr>
      </w:pPr>
      <w:r>
        <w:rPr>
          <w:rFonts w:hAnsi="宋体"/>
          <w:b/>
          <w:color w:val="auto"/>
          <w:highlight w:val="none"/>
        </w:rPr>
        <w:t>（三）</w:t>
      </w:r>
      <w:r>
        <w:rPr>
          <w:rFonts w:hAnsi="宋体"/>
          <w:b/>
          <w:bCs/>
          <w:color w:val="auto"/>
          <w:highlight w:val="none"/>
        </w:rPr>
        <w:t>评标程序</w:t>
      </w:r>
    </w:p>
    <w:p>
      <w:pPr>
        <w:snapToGrid w:val="0"/>
        <w:spacing w:line="460" w:lineRule="exact"/>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snapToGrid w:val="0"/>
        <w:spacing w:line="460" w:lineRule="exact"/>
        <w:ind w:firstLine="480" w:firstLineChars="200"/>
        <w:rPr>
          <w:rFonts w:hint="eastAsia" w:ascii="宋体" w:hAnsi="宋体"/>
          <w:b/>
          <w:color w:val="auto"/>
          <w:sz w:val="24"/>
          <w:highlight w:val="none"/>
        </w:rPr>
      </w:pPr>
      <w:r>
        <w:rPr>
          <w:rFonts w:hint="eastAsia" w:ascii="宋体" w:hAnsi="宋体"/>
          <w:color w:val="auto"/>
          <w:sz w:val="24"/>
          <w:highlight w:val="none"/>
        </w:rPr>
        <w:t>采购人代表和代理机构工作人员协助评标委员会对投标人的资格</w:t>
      </w:r>
      <w:r>
        <w:rPr>
          <w:rFonts w:ascii="宋体" w:hAnsi="宋体"/>
          <w:color w:val="auto"/>
          <w:sz w:val="24"/>
          <w:highlight w:val="none"/>
        </w:rPr>
        <w:t>和投标文件的完整性、合法性等进行审查。</w:t>
      </w:r>
    </w:p>
    <w:p>
      <w:pPr>
        <w:snapToGrid w:val="0"/>
        <w:spacing w:line="460" w:lineRule="exact"/>
        <w:ind w:firstLine="472" w:firstLineChars="196"/>
        <w:rPr>
          <w:rFonts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1）评标委员会审查投标文件的实质性内容是否符合招标文件的实质性要求。</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2）评标委员会将根据投标人的投标文件进行审查、核对,如有疑问,将对投标人进行询标,投标人要向评标委员会澄清有关问题,并最终以书面形式进行答复。</w:t>
      </w:r>
      <w:r>
        <w:rPr>
          <w:rFonts w:hint="eastAsia" w:ascii="宋体" w:hAnsi="宋体"/>
          <w:color w:val="auto"/>
          <w:sz w:val="24"/>
          <w:highlight w:val="none"/>
        </w:rPr>
        <w:t>投标人代表未到场或者拒绝澄清或者澄清的内容改变了投标文件的实质性内容的，评标委员会有权对该投标文件作出不利于投标人的评判。</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3）各投标人的技术得分为所有评委的有效评分的算术平均数</w:t>
      </w:r>
      <w:r>
        <w:rPr>
          <w:rFonts w:hint="eastAsia" w:ascii="宋体" w:hAnsi="宋体"/>
          <w:color w:val="auto"/>
          <w:sz w:val="24"/>
          <w:highlight w:val="none"/>
        </w:rPr>
        <w:t>，</w:t>
      </w:r>
      <w:r>
        <w:rPr>
          <w:rFonts w:ascii="宋体" w:hAnsi="宋体"/>
          <w:color w:val="auto"/>
          <w:sz w:val="24"/>
          <w:highlight w:val="none"/>
        </w:rPr>
        <w:t>由指定专人进行计算复核。</w:t>
      </w:r>
    </w:p>
    <w:p>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代理机构工作人员协助</w:t>
      </w:r>
      <w:r>
        <w:rPr>
          <w:rFonts w:ascii="宋体" w:hAnsi="宋体"/>
          <w:color w:val="auto"/>
          <w:sz w:val="24"/>
          <w:highlight w:val="none"/>
        </w:rPr>
        <w:t>评标委员会根据</w:t>
      </w:r>
      <w:r>
        <w:rPr>
          <w:rFonts w:hint="eastAsia" w:ascii="宋体" w:hAnsi="宋体"/>
          <w:color w:val="auto"/>
          <w:sz w:val="24"/>
          <w:highlight w:val="none"/>
        </w:rPr>
        <w:t>本项目的评分标准</w:t>
      </w:r>
      <w:r>
        <w:rPr>
          <w:rFonts w:ascii="宋体" w:hAnsi="宋体"/>
          <w:color w:val="auto"/>
          <w:sz w:val="24"/>
          <w:highlight w:val="none"/>
        </w:rPr>
        <w:t>计算各投标人的商务报价得分</w:t>
      </w:r>
      <w:r>
        <w:rPr>
          <w:rFonts w:hint="eastAsia" w:ascii="宋体" w:hAnsi="宋体"/>
          <w:color w:val="auto"/>
          <w:sz w:val="24"/>
          <w:highlight w:val="none"/>
        </w:rPr>
        <w:t>。</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5）评标委员会完成评标后,评委对各部分得分汇总,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最终得分、性价比、评标价等</w:t>
      </w:r>
      <w:r>
        <w:rPr>
          <w:rFonts w:ascii="宋体" w:hAnsi="宋体"/>
          <w:color w:val="auto"/>
          <w:sz w:val="24"/>
          <w:highlight w:val="none"/>
        </w:rPr>
        <w:t>。评标委员会按评标原则推荐中标候选人同时起草评标报告。</w:t>
      </w:r>
    </w:p>
    <w:p>
      <w:pPr>
        <w:snapToGrid w:val="0"/>
        <w:spacing w:line="460" w:lineRule="exact"/>
        <w:ind w:firstLine="482" w:firstLineChars="200"/>
        <w:rPr>
          <w:rFonts w:ascii="宋体" w:hAnsi="宋体"/>
          <w:b/>
          <w:color w:val="auto"/>
          <w:sz w:val="24"/>
          <w:highlight w:val="none"/>
        </w:rPr>
      </w:pPr>
      <w:r>
        <w:rPr>
          <w:rFonts w:hint="eastAsia" w:ascii="黑体" w:hAnsi="宋体" w:eastAsia="黑体"/>
          <w:b/>
          <w:color w:val="auto"/>
          <w:sz w:val="24"/>
          <w:highlight w:val="none"/>
        </w:rPr>
        <w:t>（四）</w:t>
      </w:r>
      <w:r>
        <w:rPr>
          <w:rFonts w:hint="eastAsia" w:ascii="宋体" w:hAnsi="宋体"/>
          <w:b/>
          <w:color w:val="auto"/>
          <w:sz w:val="24"/>
          <w:highlight w:val="none"/>
        </w:rPr>
        <w:t>澄清问题的形式</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7"/>
        <w:snapToGrid w:val="0"/>
        <w:spacing w:before="0" w:beforeLines="0" w:after="0" w:afterLines="0" w:line="460" w:lineRule="exact"/>
        <w:ind w:left="720" w:leftChars="228" w:hanging="241" w:hangingChars="100"/>
        <w:rPr>
          <w:rFonts w:hAnsi="宋体"/>
          <w:b/>
          <w:color w:val="auto"/>
          <w:highlight w:val="none"/>
        </w:rPr>
      </w:pPr>
      <w:r>
        <w:rPr>
          <w:rFonts w:hAnsi="宋体"/>
          <w:b/>
          <w:color w:val="auto"/>
          <w:highlight w:val="none"/>
        </w:rPr>
        <w:t>（五）错误修正</w:t>
      </w:r>
    </w:p>
    <w:p>
      <w:pPr>
        <w:pStyle w:val="17"/>
        <w:snapToGrid w:val="0"/>
        <w:spacing w:before="0" w:beforeLines="0" w:after="0" w:afterLines="0" w:line="460" w:lineRule="exact"/>
        <w:ind w:left="719" w:leftChars="228" w:hanging="240" w:hangingChars="100"/>
        <w:rPr>
          <w:rFonts w:hAnsi="宋体"/>
          <w:color w:val="auto"/>
          <w:highlight w:val="none"/>
        </w:rPr>
      </w:pPr>
      <w:r>
        <w:rPr>
          <w:rFonts w:hAnsi="宋体"/>
          <w:color w:val="auto"/>
          <w:highlight w:val="none"/>
        </w:rPr>
        <w:t>投标文件如果出现计算或表达上的错误，修正错误的原则如下：</w:t>
      </w:r>
    </w:p>
    <w:p>
      <w:pPr>
        <w:snapToGrid w:val="0"/>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.开标一览表总价与投标报价明细表汇总数不一致的，</w:t>
      </w:r>
      <w:r>
        <w:rPr>
          <w:rFonts w:hint="eastAsia" w:ascii="宋体" w:hAnsi="宋体" w:cs="Arial"/>
          <w:color w:val="auto"/>
          <w:kern w:val="0"/>
          <w:sz w:val="24"/>
          <w:highlight w:val="none"/>
        </w:rPr>
        <w:t>以开标一览表为准；</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投标文件的大写金额和小写金额不一致的，以大写金额为准；</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总价金额与按单价汇总金额不一致的，以单价金额计算结果为准；</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对不同文字文本投标文件的解释发生异议的，以中文文本为准。</w:t>
      </w:r>
    </w:p>
    <w:p>
      <w:pPr>
        <w:pStyle w:val="17"/>
        <w:snapToGrid w:val="0"/>
        <w:spacing w:before="0" w:beforeLines="0" w:after="0" w:afterLines="0" w:line="460" w:lineRule="exact"/>
        <w:ind w:firstLine="482" w:firstLineChars="200"/>
        <w:rPr>
          <w:rFonts w:hAnsi="宋体"/>
          <w:b/>
          <w:bCs/>
          <w:color w:val="auto"/>
          <w:highlight w:val="none"/>
        </w:rPr>
      </w:pPr>
      <w:r>
        <w:rPr>
          <w:rFonts w:hAnsi="宋体"/>
          <w:b/>
          <w:bCs/>
          <w:color w:val="auto"/>
          <w:highlight w:val="none"/>
        </w:rPr>
        <w:t>按上述修正错误的原则及方法调整或修正投标文件的投标报价，投标人同意</w:t>
      </w:r>
      <w:r>
        <w:rPr>
          <w:rFonts w:hint="eastAsia" w:hAnsi="宋体"/>
          <w:b/>
          <w:bCs/>
          <w:color w:val="auto"/>
          <w:highlight w:val="none"/>
        </w:rPr>
        <w:t>并签字确认</w:t>
      </w:r>
      <w:r>
        <w:rPr>
          <w:rFonts w:hAnsi="宋体"/>
          <w:b/>
          <w:bCs/>
          <w:color w:val="auto"/>
          <w:highlight w:val="none"/>
        </w:rPr>
        <w:t>后，调整后的投标报价对投标人具有约束作用。如果投标人不接受修正后的报价，则其投标将</w:t>
      </w:r>
      <w:r>
        <w:rPr>
          <w:rFonts w:hint="eastAsia" w:hAnsi="宋体"/>
          <w:b/>
          <w:bCs/>
          <w:color w:val="auto"/>
          <w:highlight w:val="none"/>
        </w:rPr>
        <w:t>作为无效投标处理</w:t>
      </w:r>
      <w:r>
        <w:rPr>
          <w:rFonts w:hAnsi="宋体"/>
          <w:b/>
          <w:bCs/>
          <w:color w:val="auto"/>
          <w:highlight w:val="none"/>
        </w:rPr>
        <w:t>。</w:t>
      </w:r>
    </w:p>
    <w:p>
      <w:pPr>
        <w:pStyle w:val="17"/>
        <w:tabs>
          <w:tab w:val="left" w:pos="630"/>
        </w:tabs>
        <w:snapToGrid w:val="0"/>
        <w:spacing w:before="0" w:beforeLines="0" w:after="0" w:afterLines="0" w:line="460" w:lineRule="exact"/>
        <w:ind w:firstLine="472" w:firstLineChars="196"/>
        <w:rPr>
          <w:rFonts w:hAnsi="宋体"/>
          <w:b/>
          <w:color w:val="auto"/>
          <w:highlight w:val="none"/>
        </w:rPr>
      </w:pPr>
      <w:r>
        <w:rPr>
          <w:rFonts w:hAnsi="宋体"/>
          <w:b/>
          <w:color w:val="auto"/>
          <w:highlight w:val="none"/>
        </w:rPr>
        <w:t>（六）评标原则和评标办法</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snapToGrid w:val="0"/>
        <w:spacing w:before="0" w:beforeLines="0" w:after="0" w:afterLines="0" w:line="460" w:lineRule="exact"/>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评标办法。本项目评标办法是</w:t>
      </w:r>
      <w:r>
        <w:rPr>
          <w:rFonts w:hAnsi="宋体"/>
          <w:b/>
          <w:color w:val="auto"/>
          <w:highlight w:val="none"/>
          <w:u w:val="single"/>
        </w:rPr>
        <w:t xml:space="preserve"> </w:t>
      </w:r>
      <w:r>
        <w:rPr>
          <w:rFonts w:hint="eastAsia" w:hAnsi="宋体"/>
          <w:b/>
          <w:color w:val="auto"/>
          <w:highlight w:val="none"/>
          <w:u w:val="single"/>
        </w:rPr>
        <w:t>综合评分法</w:t>
      </w:r>
      <w:r>
        <w:rPr>
          <w:rFonts w:hAnsi="宋体"/>
          <w:color w:val="auto"/>
          <w:highlight w:val="none"/>
        </w:rPr>
        <w:t>，具体评标内容及评分标准等详见《第四章：评标办法及评分标准》。</w:t>
      </w:r>
    </w:p>
    <w:p>
      <w:pPr>
        <w:pStyle w:val="17"/>
        <w:snapToGrid w:val="0"/>
        <w:spacing w:before="0" w:beforeLines="0" w:after="0" w:afterLines="0" w:line="460" w:lineRule="exact"/>
        <w:ind w:firstLine="472" w:firstLineChars="196"/>
        <w:rPr>
          <w:rFonts w:hAnsi="宋体"/>
          <w:b/>
          <w:color w:val="auto"/>
          <w:highlight w:val="none"/>
        </w:rPr>
      </w:pPr>
      <w:r>
        <w:rPr>
          <w:rFonts w:hAnsi="宋体"/>
          <w:b/>
          <w:color w:val="auto"/>
          <w:highlight w:val="none"/>
        </w:rPr>
        <w:t>（七）评标过程的监控</w:t>
      </w:r>
    </w:p>
    <w:p>
      <w:pPr>
        <w:pStyle w:val="17"/>
        <w:snapToGrid w:val="0"/>
        <w:spacing w:before="0" w:beforeLines="0" w:after="0" w:afterLines="0" w:line="460" w:lineRule="exact"/>
        <w:ind w:firstLine="480" w:firstLineChars="200"/>
        <w:rPr>
          <w:rFonts w:hint="eastAsia" w:hAnsi="宋体"/>
          <w:color w:val="auto"/>
          <w:highlight w:val="none"/>
        </w:rPr>
      </w:pPr>
      <w:r>
        <w:rPr>
          <w:rFonts w:hAnsi="宋体"/>
          <w:color w:val="auto"/>
          <w:highlight w:val="none"/>
        </w:rPr>
        <w:t>本项目评标过程实行全程录音、录像监控，投标人在评标过程中所进行的</w:t>
      </w:r>
      <w:r>
        <w:rPr>
          <w:rFonts w:hint="eastAsia" w:hAnsi="宋体"/>
          <w:color w:val="auto"/>
          <w:highlight w:val="none"/>
        </w:rPr>
        <w:t>试</w:t>
      </w:r>
      <w:r>
        <w:rPr>
          <w:rFonts w:hAnsi="宋体"/>
          <w:color w:val="auto"/>
          <w:highlight w:val="none"/>
        </w:rPr>
        <w:t>图影响评标结果的不公正活动，可能导致其投标被拒绝。</w:t>
      </w:r>
    </w:p>
    <w:p>
      <w:pPr>
        <w:pStyle w:val="17"/>
        <w:snapToGrid w:val="0"/>
        <w:spacing w:before="0" w:beforeLines="0" w:after="0" w:afterLines="0" w:line="460" w:lineRule="exact"/>
        <w:ind w:firstLine="482" w:firstLineChars="200"/>
        <w:rPr>
          <w:rFonts w:hAnsi="宋体"/>
          <w:b/>
          <w:bCs/>
          <w:color w:val="auto"/>
          <w:highlight w:val="none"/>
        </w:rPr>
      </w:pPr>
      <w:r>
        <w:rPr>
          <w:rFonts w:hint="eastAsia" w:ascii="黑体" w:hAnsi="黑体" w:eastAsia="黑体"/>
          <w:b/>
          <w:color w:val="auto"/>
          <w:highlight w:val="none"/>
        </w:rPr>
        <w:t>六、</w:t>
      </w:r>
      <w:r>
        <w:rPr>
          <w:rFonts w:hAnsi="宋体"/>
          <w:b/>
          <w:bCs/>
          <w:color w:val="auto"/>
          <w:highlight w:val="none"/>
        </w:rPr>
        <w:t>投标截止后投标人不足3家或者通过资格审查或符合性审查的投标人不足3家的，除采购任务取消情形外，按照以下方式处理：</w:t>
      </w:r>
    </w:p>
    <w:p>
      <w:pPr>
        <w:pStyle w:val="17"/>
        <w:snapToGrid w:val="0"/>
        <w:spacing w:before="0" w:beforeLines="0" w:after="0" w:afterLines="0"/>
        <w:ind w:firstLine="480" w:firstLineChars="200"/>
        <w:rPr>
          <w:rFonts w:hAnsi="宋体"/>
          <w:bCs/>
          <w:color w:val="auto"/>
          <w:w w:val="98"/>
          <w:highlight w:val="none"/>
        </w:rPr>
      </w:pPr>
      <w:r>
        <w:rPr>
          <w:rFonts w:hAnsi="宋体"/>
          <w:bCs/>
          <w:color w:val="auto"/>
          <w:highlight w:val="none"/>
        </w:rPr>
        <w:t>（一）招标文件存在不合理条款或者招标程序不符合规定的，改正后依法重新招标；</w:t>
      </w:r>
    </w:p>
    <w:p>
      <w:pPr>
        <w:pStyle w:val="17"/>
        <w:snapToGrid w:val="0"/>
        <w:spacing w:before="0" w:beforeLines="0" w:after="0" w:afterLines="0"/>
        <w:ind w:firstLine="480" w:firstLineChars="200"/>
        <w:rPr>
          <w:rFonts w:hAnsi="宋体"/>
          <w:bCs/>
          <w:color w:val="auto"/>
          <w:highlight w:val="none"/>
        </w:rPr>
      </w:pPr>
      <w:r>
        <w:rPr>
          <w:rFonts w:hAnsi="宋体"/>
          <w:bCs/>
          <w:color w:val="auto"/>
          <w:highlight w:val="none"/>
        </w:rPr>
        <w:t>（二）招标文件没有不合理条款、招标程序符合规定，需要采用其他采购方式采购的，采购人应当依法报财政部门批准。</w:t>
      </w:r>
    </w:p>
    <w:p>
      <w:pPr>
        <w:pStyle w:val="17"/>
        <w:snapToGrid w:val="0"/>
        <w:spacing w:before="0" w:beforeLines="0" w:after="0" w:afterLines="0" w:line="400" w:lineRule="atLeast"/>
        <w:ind w:firstLine="600" w:firstLineChars="200"/>
        <w:jc w:val="center"/>
        <w:rPr>
          <w:rFonts w:hint="eastAsia" w:ascii="黑体" w:eastAsia="黑体"/>
          <w:color w:val="auto"/>
          <w:sz w:val="32"/>
          <w:szCs w:val="32"/>
          <w:highlight w:val="none"/>
        </w:rPr>
      </w:pPr>
      <w:r>
        <w:rPr>
          <w:rFonts w:ascii="黑体" w:eastAsia="黑体"/>
          <w:color w:val="auto"/>
          <w:sz w:val="30"/>
          <w:szCs w:val="30"/>
          <w:highlight w:val="none"/>
        </w:rPr>
        <w:br w:type="page"/>
      </w:r>
      <w:r>
        <w:rPr>
          <w:rFonts w:hint="eastAsia" w:ascii="黑体" w:eastAsia="黑体"/>
          <w:color w:val="auto"/>
          <w:sz w:val="32"/>
          <w:szCs w:val="32"/>
          <w:highlight w:val="none"/>
        </w:rPr>
        <w:t>第四章  评标办法及评分标准</w:t>
      </w:r>
    </w:p>
    <w:p>
      <w:pPr>
        <w:spacing w:line="460" w:lineRule="exact"/>
        <w:ind w:firstLine="420"/>
        <w:rPr>
          <w:rFonts w:hint="eastAsia" w:ascii="宋体" w:hAnsi="宋体"/>
          <w:b/>
          <w:bCs/>
          <w:color w:val="auto"/>
          <w:sz w:val="24"/>
          <w:highlight w:val="none"/>
        </w:rPr>
      </w:pPr>
    </w:p>
    <w:p>
      <w:pPr>
        <w:pStyle w:val="17"/>
        <w:snapToGrid w:val="0"/>
        <w:spacing w:before="0" w:beforeLines="0" w:after="0" w:afterLines="0" w:line="460" w:lineRule="exact"/>
        <w:ind w:firstLine="480" w:firstLineChars="200"/>
        <w:jc w:val="left"/>
        <w:rPr>
          <w:rFonts w:hint="eastAsia"/>
          <w:color w:val="auto"/>
          <w:highlight w:val="none"/>
        </w:rPr>
      </w:pPr>
      <w:r>
        <w:rPr>
          <w:rFonts w:hint="eastAsia"/>
          <w:bCs/>
          <w:color w:val="auto"/>
          <w:highlight w:val="none"/>
        </w:rPr>
        <w:t>本次招标以</w:t>
      </w:r>
      <w:r>
        <w:rPr>
          <w:rFonts w:hint="eastAsia"/>
          <w:color w:val="auto"/>
          <w:highlight w:val="none"/>
          <w:u w:val="single"/>
        </w:rPr>
        <w:t xml:space="preserve"> 综合评分法</w:t>
      </w:r>
      <w:r>
        <w:rPr>
          <w:rFonts w:hint="eastAsia"/>
          <w:bCs/>
          <w:color w:val="auto"/>
          <w:highlight w:val="none"/>
        </w:rPr>
        <w:t>对各个项目的投标人依次作出评标结论。</w:t>
      </w:r>
      <w:r>
        <w:rPr>
          <w:rFonts w:hint="eastAsia" w:hAnsi="宋体"/>
          <w:color w:val="auto"/>
          <w:highlight w:val="none"/>
        </w:rPr>
        <w:t xml:space="preserve"> </w:t>
      </w:r>
      <w:r>
        <w:rPr>
          <w:rFonts w:hint="eastAsia"/>
          <w:color w:val="auto"/>
          <w:highlight w:val="none"/>
        </w:rPr>
        <w:t>评标委员会按照平等、客观、公正、科学、择优的原则，在澄清、调查核实、评估和比较的基础上，按照招标文件的要求和条件进行评审，只对确定为实质上响应招标文件的投标文件资信及技术部分、投标报价部分进行综合评价和比较，先评资信及技术标，后评投标报价标。</w:t>
      </w:r>
    </w:p>
    <w:p>
      <w:pPr>
        <w:pStyle w:val="17"/>
        <w:snapToGrid w:val="0"/>
        <w:spacing w:before="0" w:beforeLines="0" w:after="0" w:afterLines="0" w:line="460" w:lineRule="exact"/>
        <w:ind w:firstLine="480" w:firstLineChars="200"/>
        <w:jc w:val="left"/>
        <w:rPr>
          <w:rFonts w:hint="eastAsia" w:ascii="黑体" w:eastAsia="黑体"/>
          <w:color w:val="auto"/>
          <w:sz w:val="32"/>
          <w:szCs w:val="32"/>
          <w:highlight w:val="none"/>
        </w:rPr>
      </w:pPr>
      <w:r>
        <w:rPr>
          <w:rFonts w:hint="eastAsia" w:ascii="黑体" w:hAnsi="黑体" w:eastAsia="黑体"/>
          <w:color w:val="auto"/>
          <w:highlight w:val="none"/>
        </w:rPr>
        <w:t>一、评标：</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（一）资信及技术标评审（满分50分）</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435"/>
        <w:gridCol w:w="6286"/>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微软雅黑"/>
                <w:color w:val="auto"/>
                <w:sz w:val="24"/>
                <w:highlight w:val="none"/>
                <w:lang w:bidi="ar"/>
              </w:rPr>
              <w:t>序号</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微软雅黑"/>
                <w:color w:val="auto"/>
                <w:sz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微软雅黑"/>
                <w:color w:val="auto"/>
                <w:sz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微软雅黑"/>
                <w:color w:val="auto"/>
                <w:sz w:val="24"/>
                <w:highlight w:val="none"/>
              </w:rPr>
            </w:pPr>
            <w:r>
              <w:rPr>
                <w:rFonts w:hint="eastAsia" w:ascii="宋体" w:hAnsi="宋体" w:cs="微软雅黑"/>
                <w:color w:val="auto"/>
                <w:sz w:val="24"/>
                <w:highlight w:val="none"/>
                <w:lang w:bidi="ar"/>
              </w:rPr>
              <w:t>分值</w:t>
            </w:r>
          </w:p>
          <w:p>
            <w:pPr>
              <w:spacing w:line="400" w:lineRule="exact"/>
              <w:jc w:val="center"/>
              <w:rPr>
                <w:rFonts w:hint="eastAsia" w:ascii="宋体" w:hAnsi="宋体" w:cs="宋体"/>
                <w:color w:val="auto"/>
                <w:sz w:val="24"/>
                <w:highlight w:val="none"/>
              </w:rPr>
            </w:pPr>
            <w:r>
              <w:rPr>
                <w:rFonts w:hint="eastAsia" w:ascii="宋体" w:hAnsi="宋体" w:cs="微软雅黑"/>
                <w:color w:val="auto"/>
                <w:sz w:val="24"/>
                <w:highlight w:val="none"/>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tcBorders>
              <w:top w:val="single" w:color="000000" w:sz="4" w:space="0"/>
              <w:left w:val="single" w:color="000000" w:sz="4" w:space="0"/>
              <w:right w:val="single" w:color="000000" w:sz="4" w:space="0"/>
            </w:tcBorders>
            <w:noWrap w:val="0"/>
            <w:vAlign w:val="center"/>
          </w:tcPr>
          <w:p>
            <w:pPr>
              <w:spacing w:line="400" w:lineRule="exact"/>
              <w:jc w:val="center"/>
              <w:rPr>
                <w:rFonts w:hint="eastAsia" w:ascii="宋体" w:hAnsi="宋体" w:cs="微软雅黑"/>
                <w:color w:val="auto"/>
                <w:sz w:val="24"/>
                <w:highlight w:val="none"/>
              </w:rPr>
            </w:pPr>
            <w:r>
              <w:rPr>
                <w:rFonts w:hint="eastAsia" w:ascii="宋体" w:hAnsi="宋体" w:cs="微软雅黑"/>
                <w:color w:val="auto"/>
                <w:sz w:val="24"/>
                <w:highlight w:val="none"/>
                <w:lang w:bidi="ar"/>
              </w:rPr>
              <w:t>1</w:t>
            </w:r>
          </w:p>
        </w:tc>
        <w:tc>
          <w:tcPr>
            <w:tcW w:w="1435" w:type="dxa"/>
            <w:tcBorders>
              <w:top w:val="single" w:color="000000" w:sz="4" w:space="0"/>
              <w:left w:val="single" w:color="000000" w:sz="4" w:space="0"/>
              <w:right w:val="single" w:color="000000" w:sz="4" w:space="0"/>
            </w:tcBorders>
            <w:noWrap w:val="0"/>
            <w:vAlign w:val="center"/>
          </w:tcPr>
          <w:p>
            <w:pPr>
              <w:spacing w:line="400" w:lineRule="exact"/>
              <w:jc w:val="center"/>
              <w:rPr>
                <w:rFonts w:hint="eastAsia" w:ascii="宋体" w:hAnsi="宋体" w:cs="微软雅黑"/>
                <w:color w:val="auto"/>
                <w:sz w:val="24"/>
                <w:highlight w:val="none"/>
              </w:rPr>
            </w:pPr>
            <w:r>
              <w:rPr>
                <w:rFonts w:hint="eastAsia" w:ascii="宋体" w:hAnsi="宋体" w:cs="微软雅黑"/>
                <w:color w:val="auto"/>
                <w:sz w:val="24"/>
                <w:highlight w:val="none"/>
                <w:lang w:bidi="ar"/>
              </w:rPr>
              <w:t>企业资信</w:t>
            </w:r>
          </w:p>
        </w:tc>
        <w:tc>
          <w:tcPr>
            <w:tcW w:w="62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rPr>
              <w:t>投标人经营状况0-1分、诚信情况0-1分、拥有的资质情况0-1分。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微软雅黑"/>
                <w:color w:val="auto"/>
                <w:sz w:val="24"/>
                <w:highlight w:val="none"/>
              </w:rPr>
            </w:pPr>
            <w:r>
              <w:rPr>
                <w:rFonts w:hint="eastAsia" w:ascii="宋体" w:hAnsi="宋体" w:cs="微软雅黑"/>
                <w:color w:val="auto"/>
                <w:sz w:val="24"/>
                <w:highlight w:val="none"/>
                <w:lang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微软雅黑"/>
                <w:color w:val="auto"/>
                <w:sz w:val="24"/>
                <w:highlight w:val="none"/>
              </w:rPr>
            </w:pPr>
            <w:r>
              <w:rPr>
                <w:rFonts w:hint="eastAsia" w:ascii="宋体" w:hAnsi="宋体" w:cs="微软雅黑"/>
                <w:color w:val="auto"/>
                <w:sz w:val="24"/>
                <w:highlight w:val="none"/>
                <w:lang w:bidi="ar"/>
              </w:rPr>
              <w:t>同类业绩</w:t>
            </w:r>
          </w:p>
        </w:tc>
        <w:tc>
          <w:tcPr>
            <w:tcW w:w="628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hint="eastAsia" w:ascii="宋体" w:hAnsi="宋体" w:cs="微软雅黑"/>
                <w:color w:val="auto"/>
                <w:sz w:val="24"/>
                <w:highlight w:val="none"/>
                <w:lang w:bidi="ar"/>
              </w:rPr>
            </w:pPr>
            <w:r>
              <w:rPr>
                <w:rFonts w:hint="eastAsia" w:ascii="宋体" w:hAnsi="宋体" w:cs="Arial"/>
                <w:bCs/>
                <w:snapToGrid w:val="0"/>
                <w:color w:val="auto"/>
                <w:sz w:val="24"/>
                <w:highlight w:val="none"/>
              </w:rPr>
              <w:t>投标人</w:t>
            </w:r>
            <w:r>
              <w:rPr>
                <w:rFonts w:hint="eastAsia" w:ascii="宋体" w:hAnsi="宋体" w:cs="宋体"/>
                <w:color w:val="auto"/>
                <w:sz w:val="24"/>
                <w:highlight w:val="none"/>
                <w:lang w:bidi="ar"/>
              </w:rPr>
              <w:t>2018</w:t>
            </w:r>
            <w:r>
              <w:rPr>
                <w:rFonts w:hint="eastAsia" w:ascii="宋体" w:hAnsi="宋体" w:cs="微软雅黑"/>
                <w:color w:val="auto"/>
                <w:sz w:val="24"/>
                <w:highlight w:val="none"/>
                <w:lang w:bidi="ar"/>
              </w:rPr>
              <w:t>年</w:t>
            </w:r>
            <w:r>
              <w:rPr>
                <w:rFonts w:hint="eastAsia" w:ascii="宋体" w:hAnsi="宋体" w:cs="宋体"/>
                <w:color w:val="auto"/>
                <w:sz w:val="24"/>
                <w:highlight w:val="none"/>
                <w:lang w:bidi="ar"/>
              </w:rPr>
              <w:t>1</w:t>
            </w:r>
            <w:r>
              <w:rPr>
                <w:rFonts w:hint="eastAsia" w:ascii="宋体" w:hAnsi="宋体" w:cs="微软雅黑"/>
                <w:color w:val="auto"/>
                <w:sz w:val="24"/>
                <w:highlight w:val="none"/>
                <w:lang w:bidi="ar"/>
              </w:rPr>
              <w:t>月</w:t>
            </w:r>
            <w:r>
              <w:rPr>
                <w:rFonts w:hint="eastAsia" w:ascii="宋体" w:hAnsi="宋体" w:cs="宋体"/>
                <w:color w:val="auto"/>
                <w:sz w:val="24"/>
                <w:highlight w:val="none"/>
                <w:lang w:bidi="ar"/>
              </w:rPr>
              <w:t>1</w:t>
            </w:r>
            <w:r>
              <w:rPr>
                <w:rFonts w:hint="eastAsia" w:ascii="宋体" w:hAnsi="宋体" w:cs="微软雅黑"/>
                <w:color w:val="auto"/>
                <w:sz w:val="24"/>
                <w:highlight w:val="none"/>
                <w:lang w:bidi="ar"/>
              </w:rPr>
              <w:t>日（以合同签订时间为准）以来具备同类业绩的，每笔有效业绩按</w:t>
            </w:r>
            <w:r>
              <w:rPr>
                <w:rFonts w:hint="eastAsia" w:ascii="宋体" w:hAnsi="宋体" w:cs="宋体"/>
                <w:color w:val="auto"/>
                <w:sz w:val="24"/>
                <w:highlight w:val="none"/>
                <w:lang w:bidi="ar"/>
              </w:rPr>
              <w:t>1</w:t>
            </w:r>
            <w:r>
              <w:rPr>
                <w:rFonts w:hint="eastAsia" w:ascii="宋体" w:hAnsi="宋体" w:cs="微软雅黑"/>
                <w:color w:val="auto"/>
                <w:sz w:val="24"/>
                <w:highlight w:val="none"/>
                <w:lang w:bidi="ar"/>
              </w:rPr>
              <w:t>分计算，最高得</w:t>
            </w:r>
            <w:r>
              <w:rPr>
                <w:rFonts w:hint="eastAsia" w:ascii="宋体" w:hAnsi="宋体" w:cs="宋体"/>
                <w:color w:val="auto"/>
                <w:sz w:val="24"/>
                <w:highlight w:val="none"/>
                <w:lang w:bidi="ar"/>
              </w:rPr>
              <w:t>5</w:t>
            </w:r>
            <w:r>
              <w:rPr>
                <w:rFonts w:hint="eastAsia" w:ascii="宋体" w:hAnsi="宋体" w:cs="微软雅黑"/>
                <w:color w:val="auto"/>
                <w:sz w:val="24"/>
                <w:highlight w:val="none"/>
                <w:lang w:bidi="ar"/>
              </w:rPr>
              <w:t>分。</w:t>
            </w:r>
          </w:p>
          <w:p>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提供合同复印件及对应结算发票复印件，是否有效业绩由评标委员会共同判定。</w:t>
            </w:r>
            <w:r>
              <w:rPr>
                <w:rFonts w:hint="eastAsia" w:ascii="宋体" w:hAnsi="宋体" w:cs="宋体"/>
                <w:b/>
                <w:color w:val="auto"/>
                <w:sz w:val="24"/>
                <w:highlight w:val="none"/>
              </w:rPr>
              <w:t>）</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vMerge w:val="restart"/>
            <w:tcBorders>
              <w:top w:val="single" w:color="000000" w:sz="4" w:space="0"/>
              <w:left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c>
          <w:tcPr>
            <w:tcW w:w="1435" w:type="dxa"/>
            <w:vMerge w:val="restart"/>
            <w:tcBorders>
              <w:top w:val="single" w:color="000000" w:sz="4" w:space="0"/>
              <w:left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项目实施</w:t>
            </w:r>
          </w:p>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整体方案</w:t>
            </w:r>
          </w:p>
        </w:tc>
        <w:tc>
          <w:tcPr>
            <w:tcW w:w="6286" w:type="dxa"/>
            <w:tcBorders>
              <w:top w:val="single" w:color="000000" w:sz="4" w:space="0"/>
              <w:left w:val="single" w:color="000000" w:sz="4" w:space="0"/>
              <w:bottom w:val="single" w:color="000000" w:sz="4" w:space="0"/>
              <w:right w:val="single" w:color="000000" w:sz="4" w:space="0"/>
            </w:tcBorders>
            <w:noWrap w:val="0"/>
            <w:vAlign w:val="top"/>
          </w:tcPr>
          <w:p>
            <w:pPr>
              <w:tabs>
                <w:tab w:val="left" w:pos="3495"/>
              </w:tabs>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组织方案：</w:t>
            </w:r>
          </w:p>
          <w:p>
            <w:pPr>
              <w:tabs>
                <w:tab w:val="left" w:pos="3495"/>
              </w:tabs>
              <w:spacing w:line="400" w:lineRule="exact"/>
              <w:rPr>
                <w:rFonts w:hint="eastAsia" w:ascii="宋体" w:hAnsi="宋体" w:cs="宋体"/>
                <w:color w:val="auto"/>
                <w:sz w:val="24"/>
                <w:highlight w:val="none"/>
                <w:lang w:bidi="ar"/>
              </w:rPr>
            </w:pPr>
            <w:r>
              <w:rPr>
                <w:rFonts w:hint="eastAsia" w:ascii="宋体" w:hAnsi="宋体" w:cs="宋体"/>
                <w:color w:val="auto"/>
                <w:kern w:val="0"/>
                <w:sz w:val="24"/>
                <w:highlight w:val="none"/>
              </w:rPr>
              <w:t>针对本项目的明确实施管理组织方案，有合理的质量保证措施、确保质量、工期进度掌控措施等0-3分。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vMerge w:val="continue"/>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lang w:bidi="ar"/>
              </w:rPr>
            </w:pPr>
          </w:p>
        </w:tc>
        <w:tc>
          <w:tcPr>
            <w:tcW w:w="1435" w:type="dxa"/>
            <w:vMerge w:val="continue"/>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服务团队：</w:t>
            </w:r>
          </w:p>
          <w:p>
            <w:pPr>
              <w:widowControl/>
              <w:spacing w:line="40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（1）根据项目负责人和技术负责人的专业素质、技术能力、等情况0-3分（提供学历证书、资格证书、职称证书等相关证明材料）</w:t>
            </w:r>
          </w:p>
          <w:p>
            <w:pPr>
              <w:tabs>
                <w:tab w:val="left" w:pos="3495"/>
              </w:tabs>
              <w:spacing w:line="400" w:lineRule="exact"/>
              <w:rPr>
                <w:rFonts w:hint="eastAsia" w:ascii="宋体" w:hAnsi="宋体" w:cs="宋体"/>
                <w:color w:val="auto"/>
                <w:sz w:val="24"/>
                <w:highlight w:val="none"/>
                <w:lang w:bidi="ar"/>
              </w:rPr>
            </w:pPr>
            <w:r>
              <w:rPr>
                <w:rFonts w:hint="eastAsia" w:ascii="宋体" w:hAnsi="宋体" w:cs="宋体"/>
                <w:color w:val="auto"/>
                <w:kern w:val="0"/>
                <w:sz w:val="24"/>
                <w:highlight w:val="none"/>
              </w:rPr>
              <w:t>（2）拟派团队其他人员资历、同类经验情况0-2分。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color w:val="auto"/>
                <w:sz w:val="20"/>
                <w:szCs w:val="20"/>
                <w:highlight w:val="none"/>
              </w:rPr>
            </w:pPr>
            <w:r>
              <w:rPr>
                <w:rFonts w:hint="eastAsia" w:ascii="宋体" w:hAnsi="宋体" w:cs="宋体"/>
                <w:color w:val="auto"/>
                <w:sz w:val="24"/>
                <w:highlight w:val="none"/>
                <w:lang w:bidi="ar"/>
              </w:rPr>
              <w:t>4</w:t>
            </w:r>
          </w:p>
        </w:tc>
        <w:tc>
          <w:tcPr>
            <w:tcW w:w="14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微软雅黑"/>
                <w:color w:val="auto"/>
                <w:sz w:val="24"/>
                <w:highlight w:val="none"/>
              </w:rPr>
            </w:pPr>
            <w:r>
              <w:rPr>
                <w:rFonts w:hint="eastAsia" w:ascii="宋体" w:hAnsi="宋体" w:cs="微软雅黑"/>
                <w:color w:val="auto"/>
                <w:sz w:val="24"/>
                <w:highlight w:val="none"/>
                <w:lang w:bidi="ar"/>
              </w:rPr>
              <w:t>技术方案</w:t>
            </w:r>
          </w:p>
        </w:tc>
        <w:tc>
          <w:tcPr>
            <w:tcW w:w="62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需求理解：对项目整体方案和系统建设目标的理解0-3分；</w:t>
            </w:r>
          </w:p>
          <w:p>
            <w:pPr>
              <w:tabs>
                <w:tab w:val="left" w:pos="3495"/>
              </w:tabs>
              <w:spacing w:line="400" w:lineRule="exact"/>
              <w:rPr>
                <w:rFonts w:hint="eastAsia" w:ascii="宋体" w:hAnsi="宋体" w:cs="宋体"/>
                <w:color w:val="auto"/>
                <w:sz w:val="24"/>
                <w:highlight w:val="none"/>
                <w:lang w:bidi="ar"/>
              </w:rPr>
            </w:pPr>
            <w:r>
              <w:rPr>
                <w:rFonts w:hint="eastAsia" w:ascii="宋体" w:hAnsi="宋体" w:cs="宋体"/>
                <w:color w:val="auto"/>
                <w:kern w:val="0"/>
                <w:sz w:val="24"/>
                <w:highlight w:val="none"/>
              </w:rPr>
              <w:t>对项目建设的重点与难点的分析与掌控情况0-2分。</w:t>
            </w:r>
            <w:r>
              <w:rPr>
                <w:rFonts w:hint="eastAsia" w:ascii="宋体" w:hAnsi="宋体" w:cs="宋体"/>
                <w:color w:val="auto"/>
                <w:sz w:val="24"/>
                <w:highlight w:val="none"/>
                <w:lang w:bidi="ar"/>
              </w:rPr>
              <w:t xml:space="preserve"> </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95"/>
              </w:tabs>
              <w:spacing w:line="4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auto"/>
                <w:sz w:val="20"/>
                <w:szCs w:val="20"/>
                <w:highlight w:val="none"/>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微软雅黑"/>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宋体" w:hAnsi="宋体" w:cs="宋体"/>
                <w:color w:val="auto"/>
                <w:kern w:val="0"/>
                <w:sz w:val="24"/>
                <w:highlight w:val="none"/>
              </w:rPr>
            </w:pPr>
            <w:r>
              <w:rPr>
                <w:rFonts w:ascii="宋体" w:hAnsi="宋体" w:cs="宋体"/>
                <w:color w:val="auto"/>
                <w:kern w:val="0"/>
                <w:sz w:val="24"/>
                <w:highlight w:val="none"/>
              </w:rPr>
              <w:t>系统总体框架</w:t>
            </w:r>
            <w:r>
              <w:rPr>
                <w:rFonts w:hint="eastAsia" w:ascii="宋体" w:hAnsi="宋体" w:cs="宋体"/>
                <w:color w:val="auto"/>
                <w:kern w:val="0"/>
                <w:sz w:val="24"/>
                <w:highlight w:val="none"/>
              </w:rPr>
              <w:t>设计</w:t>
            </w:r>
            <w:r>
              <w:rPr>
                <w:rFonts w:ascii="宋体" w:hAnsi="宋体" w:cs="宋体"/>
                <w:color w:val="auto"/>
                <w:kern w:val="0"/>
                <w:sz w:val="24"/>
                <w:highlight w:val="none"/>
              </w:rPr>
              <w:t>、业务流程和应用模式</w:t>
            </w:r>
            <w:r>
              <w:rPr>
                <w:rFonts w:hint="eastAsia" w:ascii="宋体" w:hAnsi="宋体" w:cs="宋体"/>
                <w:color w:val="auto"/>
                <w:kern w:val="0"/>
                <w:sz w:val="24"/>
                <w:highlight w:val="none"/>
              </w:rPr>
              <w:t>设计0-3分；</w:t>
            </w:r>
          </w:p>
          <w:p>
            <w:pPr>
              <w:widowControl/>
              <w:spacing w:line="400" w:lineRule="exact"/>
              <w:jc w:val="left"/>
              <w:textAlignment w:val="center"/>
              <w:rPr>
                <w:rFonts w:ascii="宋体" w:hAnsi="宋体" w:cs="宋体"/>
                <w:color w:val="auto"/>
                <w:kern w:val="0"/>
                <w:sz w:val="24"/>
                <w:highlight w:val="none"/>
              </w:rPr>
            </w:pPr>
            <w:r>
              <w:rPr>
                <w:rFonts w:ascii="宋体" w:hAnsi="宋体" w:cs="宋体"/>
                <w:color w:val="auto"/>
                <w:kern w:val="0"/>
                <w:sz w:val="24"/>
                <w:highlight w:val="none"/>
              </w:rPr>
              <w:t>各个模块及系统功能设计</w:t>
            </w:r>
            <w:r>
              <w:rPr>
                <w:rFonts w:hint="eastAsia" w:ascii="宋体" w:hAnsi="宋体" w:cs="宋体"/>
                <w:color w:val="auto"/>
                <w:kern w:val="0"/>
                <w:sz w:val="24"/>
                <w:highlight w:val="none"/>
              </w:rPr>
              <w:t>的</w:t>
            </w:r>
            <w:r>
              <w:rPr>
                <w:rFonts w:ascii="宋体" w:hAnsi="宋体" w:cs="宋体"/>
                <w:color w:val="auto"/>
                <w:kern w:val="0"/>
                <w:sz w:val="24"/>
                <w:highlight w:val="none"/>
              </w:rPr>
              <w:t>合理、开放和可扩展，数据可共享</w:t>
            </w:r>
            <w:r>
              <w:rPr>
                <w:rFonts w:hint="eastAsia" w:ascii="宋体" w:hAnsi="宋体" w:cs="宋体"/>
                <w:color w:val="auto"/>
                <w:kern w:val="0"/>
                <w:sz w:val="24"/>
                <w:highlight w:val="none"/>
              </w:rPr>
              <w:t>情况0-4分；</w:t>
            </w:r>
          </w:p>
          <w:p>
            <w:pPr>
              <w:widowControl/>
              <w:spacing w:line="40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实现本平台与监狱的基础信息系统对接方案0-4分；</w:t>
            </w:r>
          </w:p>
          <w:p>
            <w:pPr>
              <w:widowControl/>
              <w:spacing w:line="400" w:lineRule="exact"/>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实现本平台与电子政务用户体系对接方案0-4分；</w:t>
            </w:r>
          </w:p>
          <w:p>
            <w:pPr>
              <w:tabs>
                <w:tab w:val="left" w:pos="3495"/>
              </w:tabs>
              <w:spacing w:line="400" w:lineRule="exact"/>
              <w:rPr>
                <w:rFonts w:hint="eastAsia" w:ascii="宋体" w:hAnsi="宋体" w:cs="宋体"/>
                <w:color w:val="auto"/>
                <w:sz w:val="24"/>
                <w:highlight w:val="none"/>
                <w:lang w:bidi="ar"/>
              </w:rPr>
            </w:pPr>
            <w:r>
              <w:rPr>
                <w:rFonts w:ascii="宋体" w:hAnsi="宋体" w:cs="宋体"/>
                <w:color w:val="auto"/>
                <w:kern w:val="0"/>
                <w:sz w:val="24"/>
                <w:highlight w:val="none"/>
              </w:rPr>
              <w:t>关键技术解决方案等满足和适用情况</w:t>
            </w:r>
            <w:r>
              <w:rPr>
                <w:rFonts w:hint="eastAsia" w:ascii="宋体" w:hAnsi="宋体" w:cs="宋体"/>
                <w:color w:val="auto"/>
                <w:kern w:val="0"/>
                <w:sz w:val="24"/>
                <w:highlight w:val="none"/>
              </w:rPr>
              <w:t>0-3分。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95"/>
              </w:tabs>
              <w:spacing w:line="4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0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交货、验收</w:t>
            </w:r>
          </w:p>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计划</w:t>
            </w:r>
          </w:p>
        </w:tc>
        <w:tc>
          <w:tcPr>
            <w:tcW w:w="628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hint="eastAsia" w:ascii="宋体" w:hAnsi="宋体" w:cs="宋体"/>
                <w:color w:val="auto"/>
                <w:sz w:val="24"/>
                <w:highlight w:val="none"/>
              </w:rPr>
            </w:pPr>
            <w:r>
              <w:rPr>
                <w:rFonts w:hint="eastAsia" w:ascii="宋体" w:hAnsi="宋体" w:cs="宋体"/>
                <w:color w:val="auto"/>
                <w:sz w:val="24"/>
                <w:highlight w:val="none"/>
                <w:lang w:bidi="ar"/>
              </w:rPr>
              <w:t>交货计划及交货保障方案、验收方案、实施人员安排情况0-3分。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56"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auto"/>
                <w:sz w:val="20"/>
                <w:szCs w:val="20"/>
                <w:highlight w:val="none"/>
              </w:rPr>
            </w:pPr>
          </w:p>
          <w:p>
            <w:pPr>
              <w:spacing w:line="400" w:lineRule="exact"/>
              <w:jc w:val="center"/>
              <w:rPr>
                <w:rFonts w:hint="eastAsia"/>
                <w:color w:val="auto"/>
                <w:sz w:val="20"/>
                <w:szCs w:val="20"/>
                <w:highlight w:val="none"/>
              </w:rPr>
            </w:pPr>
            <w:r>
              <w:rPr>
                <w:rFonts w:hint="eastAsia" w:ascii="宋体" w:hAnsi="宋体" w:cs="宋体"/>
                <w:color w:val="auto"/>
                <w:sz w:val="24"/>
                <w:highlight w:val="none"/>
                <w:lang w:bidi="ar"/>
              </w:rPr>
              <w:t>6</w:t>
            </w:r>
          </w:p>
        </w:tc>
        <w:tc>
          <w:tcPr>
            <w:tcW w:w="14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微软雅黑"/>
                <w:color w:val="auto"/>
                <w:sz w:val="24"/>
                <w:highlight w:val="none"/>
                <w:lang w:bidi="ar"/>
              </w:rPr>
              <w:t>售后服务</w:t>
            </w:r>
          </w:p>
        </w:tc>
        <w:tc>
          <w:tcPr>
            <w:tcW w:w="62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sz w:val="24"/>
                <w:highlight w:val="none"/>
              </w:rPr>
            </w:pPr>
            <w:r>
              <w:rPr>
                <w:rFonts w:hint="eastAsia" w:ascii="宋体" w:hAnsi="宋体" w:cs="宋体"/>
                <w:color w:val="auto"/>
                <w:sz w:val="24"/>
                <w:highlight w:val="none"/>
                <w:lang w:bidi="ar"/>
              </w:rPr>
              <w:t>质保期限优于招标要求的，每延长1年加1.5分，最多得3分。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color w:val="auto"/>
                <w:sz w:val="20"/>
                <w:szCs w:val="20"/>
                <w:highlight w:val="none"/>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color w:val="auto"/>
                <w:sz w:val="20"/>
                <w:szCs w:val="20"/>
                <w:highlight w:val="none"/>
              </w:rPr>
            </w:pPr>
          </w:p>
        </w:tc>
        <w:tc>
          <w:tcPr>
            <w:tcW w:w="628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售后维护计划（质保期内对用户故障的响应时间、故障处理方案、距采购人服务网点设置、定期巡检情况）0-3分。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color w:val="auto"/>
                <w:sz w:val="20"/>
                <w:szCs w:val="20"/>
                <w:highlight w:val="none"/>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color w:val="auto"/>
                <w:sz w:val="20"/>
                <w:szCs w:val="20"/>
                <w:highlight w:val="none"/>
              </w:rPr>
            </w:pPr>
          </w:p>
        </w:tc>
        <w:tc>
          <w:tcPr>
            <w:tcW w:w="62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sz w:val="24"/>
                <w:highlight w:val="none"/>
              </w:rPr>
            </w:pPr>
            <w:r>
              <w:rPr>
                <w:rFonts w:hint="eastAsia" w:ascii="宋体" w:hAnsi="宋体" w:cs="宋体"/>
                <w:color w:val="auto"/>
                <w:sz w:val="24"/>
                <w:highlight w:val="none"/>
                <w:lang w:bidi="ar"/>
              </w:rPr>
              <w:t>针对本次采购项目的培训方案0-2分。</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小计</w:t>
            </w:r>
          </w:p>
        </w:tc>
        <w:tc>
          <w:tcPr>
            <w:tcW w:w="62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sz w:val="24"/>
                <w:highlight w:val="none"/>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=SUM(ABOVE)</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ascii="宋体" w:hAnsi="宋体" w:cs="宋体"/>
                <w:color w:val="auto"/>
                <w:sz w:val="24"/>
                <w:highlight w:val="none"/>
                <w:lang/>
              </w:rPr>
              <w:t>50</w:t>
            </w:r>
            <w:r>
              <w:rPr>
                <w:rFonts w:ascii="宋体" w:hAnsi="宋体" w:cs="宋体"/>
                <w:color w:val="auto"/>
                <w:sz w:val="24"/>
                <w:highlight w:val="none"/>
              </w:rPr>
              <w:fldChar w:fldCharType="end"/>
            </w:r>
          </w:p>
        </w:tc>
      </w:tr>
    </w:tbl>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评委根据评分细则，对各投标人的技术部分进行书面审核和评论后，由各专家独立酌情打分，打分时保留小数1位，每人一份评分表，并签名。投标人最终得分为评标小组所有成员的有效评分的算术平均值，计算时保留小数2位。</w:t>
      </w:r>
    </w:p>
    <w:p>
      <w:pPr>
        <w:spacing w:line="460" w:lineRule="exact"/>
        <w:ind w:firstLine="482" w:firstLineChars="200"/>
        <w:rPr>
          <w:rFonts w:hint="eastAsia" w:ascii="宋体" w:hAnsi="宋体"/>
          <w:color w:val="auto"/>
          <w:sz w:val="24"/>
          <w:highlight w:val="none"/>
        </w:rPr>
      </w:pPr>
      <w:r>
        <w:rPr>
          <w:rFonts w:hint="eastAsia" w:ascii="宋体" w:hAnsi="宋体"/>
          <w:b/>
          <w:color w:val="auto"/>
          <w:sz w:val="24"/>
          <w:highlight w:val="none"/>
        </w:rPr>
        <w:t>（二）投标报价标评审（满分50分）</w:t>
      </w:r>
    </w:p>
    <w:p>
      <w:pPr>
        <w:spacing w:line="4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1．拆启各投标人的报价，并公开宣读。</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分析总报价及各个分项报价是否合理，报价范围是否完整，有否重大错漏。</w:t>
      </w:r>
      <w:r>
        <w:rPr>
          <w:rFonts w:hint="eastAsia" w:ascii="宋体" w:hAnsi="宋体" w:cs="宋体"/>
          <w:color w:val="auto"/>
          <w:kern w:val="0"/>
          <w:sz w:val="24"/>
          <w:highlight w:val="none"/>
        </w:rPr>
        <w:t>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理。</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享受小微企业价格优惠政策的投标人以优惠后的价格作为评审价格，计算方式：评审价格=投标总价*（1-6%）。</w:t>
      </w:r>
    </w:p>
    <w:p>
      <w:pPr>
        <w:spacing w:line="40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（二）评定评标基准价：</w:t>
      </w:r>
      <w:r>
        <w:rPr>
          <w:rFonts w:hint="eastAsia" w:ascii="宋体" w:hAnsi="宋体"/>
          <w:color w:val="auto"/>
          <w:sz w:val="24"/>
          <w:highlight w:val="none"/>
        </w:rPr>
        <w:t>所有有效报价的最低报价</w:t>
      </w:r>
      <w:r>
        <w:rPr>
          <w:rFonts w:hint="eastAsia" w:ascii="宋体" w:hAnsi="宋体" w:cs="宋体"/>
          <w:color w:val="auto"/>
          <w:sz w:val="24"/>
          <w:highlight w:val="none"/>
        </w:rPr>
        <w:t>（享受小微企业优惠后）</w:t>
      </w:r>
      <w:r>
        <w:rPr>
          <w:rFonts w:hint="eastAsia" w:ascii="宋体" w:hAnsi="宋体"/>
          <w:color w:val="auto"/>
          <w:sz w:val="24"/>
          <w:highlight w:val="none"/>
        </w:rPr>
        <w:t>作为评标基准价。</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报价得分计算：报价得分=（评标基准价/投标报价）×50分</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计算时四舍五入最多可保留2位小数。</w:t>
      </w:r>
    </w:p>
    <w:p>
      <w:pPr>
        <w:spacing w:line="460" w:lineRule="exact"/>
        <w:ind w:firstLine="361" w:firstLineChars="150"/>
        <w:rPr>
          <w:rFonts w:hint="eastAsia" w:ascii="宋体" w:hAnsi="宋体" w:cs="宋体"/>
          <w:color w:val="auto"/>
          <w:sz w:val="24"/>
          <w:highlight w:val="none"/>
        </w:rPr>
      </w:pPr>
      <w:r>
        <w:rPr>
          <w:rFonts w:hint="eastAsia" w:ascii="宋体" w:hAnsi="宋体"/>
          <w:b/>
          <w:color w:val="auto"/>
          <w:sz w:val="24"/>
          <w:highlight w:val="none"/>
        </w:rPr>
        <w:t>（三）</w:t>
      </w:r>
      <w:r>
        <w:rPr>
          <w:rFonts w:hint="eastAsia" w:ascii="宋体" w:hAnsi="宋体" w:cs="宋体"/>
          <w:b/>
          <w:color w:val="auto"/>
          <w:sz w:val="24"/>
          <w:highlight w:val="none"/>
        </w:rPr>
        <w:t>计算综合总分（满分为100分）</w:t>
      </w:r>
      <w:r>
        <w:rPr>
          <w:rFonts w:hint="eastAsia" w:ascii="宋体" w:hAnsi="宋体" w:cs="宋体"/>
          <w:color w:val="auto"/>
          <w:sz w:val="24"/>
          <w:highlight w:val="none"/>
        </w:rPr>
        <w:t>：综合总分=资信及技术得分+投标报价得分</w:t>
      </w:r>
    </w:p>
    <w:p>
      <w:pPr>
        <w:spacing w:line="460" w:lineRule="exact"/>
        <w:ind w:firstLine="361" w:firstLineChars="150"/>
        <w:rPr>
          <w:rFonts w:hint="eastAsia" w:ascii="宋体" w:hAnsi="宋体" w:cs="宋体"/>
          <w:color w:val="auto"/>
          <w:sz w:val="24"/>
          <w:highlight w:val="none"/>
        </w:rPr>
      </w:pPr>
      <w:r>
        <w:rPr>
          <w:rFonts w:hint="eastAsia" w:ascii="宋体" w:hAnsi="宋体" w:cs="宋体"/>
          <w:b/>
          <w:color w:val="auto"/>
          <w:sz w:val="24"/>
          <w:highlight w:val="none"/>
        </w:rPr>
        <w:t>（四）确定中标人：</w:t>
      </w:r>
      <w:r>
        <w:rPr>
          <w:rFonts w:hint="eastAsia" w:ascii="宋体" w:hAnsi="宋体" w:cs="宋体"/>
          <w:color w:val="auto"/>
          <w:sz w:val="24"/>
          <w:highlight w:val="none"/>
        </w:rPr>
        <w:t xml:space="preserve">以综合总分最高者为中标人。综合得分相同时，以资信及技术得分高者优先；均相同时由采购人抽签确定中标人。 </w:t>
      </w:r>
    </w:p>
    <w:p>
      <w:pPr>
        <w:pStyle w:val="17"/>
        <w:snapToGrid w:val="0"/>
        <w:spacing w:before="0" w:beforeLines="0" w:after="0" w:afterLines="0" w:line="460" w:lineRule="exact"/>
        <w:ind w:firstLine="482" w:firstLineChars="200"/>
        <w:rPr>
          <w:rFonts w:hint="eastAsia" w:ascii="黑体" w:hAnsi="黑体" w:eastAsia="黑体" w:cs="宋体"/>
          <w:b/>
          <w:color w:val="auto"/>
          <w:highlight w:val="none"/>
        </w:rPr>
      </w:pPr>
      <w:r>
        <w:rPr>
          <w:rFonts w:hint="eastAsia" w:ascii="黑体" w:hAnsi="黑体" w:eastAsia="黑体" w:cs="宋体"/>
          <w:b/>
          <w:color w:val="auto"/>
          <w:highlight w:val="none"/>
        </w:rPr>
        <w:t>二、定标：</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（一）中标供应商确定后，中标结果在浙江政府采购网上进行公告。</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（二）公告的同时，采购代理机构向中标供应商发出《中标通知书》，《中标通知书》对采购人和中标供应商具有同等法律效力。</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（三）《中标通知书》发出后，采购人改变招标结果或者中标供应商放弃中标，均应当承担相应的法律责任。</w:t>
      </w:r>
    </w:p>
    <w:p>
      <w:pPr>
        <w:spacing w:line="460" w:lineRule="exact"/>
        <w:ind w:firstLine="480" w:firstLineChars="200"/>
        <w:rPr>
          <w:rFonts w:hint="eastAsia" w:ascii="宋体" w:hAnsi="宋体" w:cs="宋体"/>
          <w:color w:val="auto"/>
          <w:sz w:val="24"/>
          <w:highlight w:val="none"/>
        </w:rPr>
      </w:pPr>
    </w:p>
    <w:p>
      <w:pPr>
        <w:pStyle w:val="4"/>
        <w:spacing w:before="0" w:after="0" w:line="380" w:lineRule="exact"/>
        <w:jc w:val="center"/>
        <w:rPr>
          <w:rFonts w:hint="eastAsia"/>
          <w:color w:val="auto"/>
          <w:highlight w:val="none"/>
        </w:rPr>
      </w:pPr>
      <w:r>
        <w:rPr>
          <w:rFonts w:ascii="黑体" w:eastAsia="黑体"/>
          <w:color w:val="auto"/>
          <w:sz w:val="32"/>
          <w:szCs w:val="32"/>
          <w:highlight w:val="none"/>
        </w:rPr>
        <w:br w:type="page"/>
      </w:r>
      <w:r>
        <w:rPr>
          <w:rFonts w:hint="eastAsia" w:ascii="黑体" w:eastAsia="黑体"/>
          <w:color w:val="auto"/>
          <w:sz w:val="32"/>
          <w:szCs w:val="32"/>
          <w:highlight w:val="none"/>
        </w:rPr>
        <w:t>第五章  采购合同（范本）</w:t>
      </w:r>
    </w:p>
    <w:p>
      <w:pPr>
        <w:tabs>
          <w:tab w:val="left" w:pos="0"/>
          <w:tab w:val="left" w:pos="840"/>
        </w:tabs>
        <w:spacing w:line="360" w:lineRule="exact"/>
        <w:rPr>
          <w:rFonts w:hint="eastAsia" w:hAnsi="宋体"/>
          <w:color w:val="auto"/>
          <w:sz w:val="24"/>
          <w:highlight w:val="none"/>
        </w:rPr>
      </w:pPr>
    </w:p>
    <w:p>
      <w:pPr>
        <w:pStyle w:val="17"/>
        <w:snapToGrid w:val="0"/>
        <w:spacing w:before="120" w:beforeLines="0" w:after="120" w:afterLines="0" w:line="240" w:lineRule="auto"/>
        <w:rPr>
          <w:rFonts w:hint="eastAsia" w:hAnsi="宋体"/>
          <w:color w:val="auto"/>
          <w:highlight w:val="none"/>
        </w:rPr>
      </w:pPr>
      <w:r>
        <w:rPr>
          <w:rFonts w:hint="eastAsia" w:hAnsi="宋体"/>
          <w:color w:val="auto"/>
          <w:highlight w:val="none"/>
        </w:rPr>
        <w:t xml:space="preserve">项目名称：浙江省金华监狱移动**录音复听、智慧督查APP应用系统采购项目    </w:t>
      </w:r>
    </w:p>
    <w:p>
      <w:pPr>
        <w:pStyle w:val="17"/>
        <w:snapToGrid w:val="0"/>
        <w:spacing w:before="120" w:beforeLines="0" w:after="120" w:afterLines="0" w:line="240" w:lineRule="auto"/>
        <w:rPr>
          <w:rFonts w:hint="eastAsia" w:hAnsi="宋体"/>
          <w:color w:val="auto"/>
          <w:highlight w:val="none"/>
        </w:rPr>
      </w:pPr>
      <w:r>
        <w:rPr>
          <w:rFonts w:hint="eastAsia" w:hAnsi="宋体"/>
          <w:color w:val="auto"/>
          <w:highlight w:val="none"/>
        </w:rPr>
        <w:t>项目编号：</w:t>
      </w:r>
    </w:p>
    <w:p>
      <w:pPr>
        <w:pStyle w:val="17"/>
        <w:snapToGrid w:val="0"/>
        <w:spacing w:before="120" w:beforeLines="0" w:after="120" w:afterLines="0" w:line="240" w:lineRule="auto"/>
        <w:rPr>
          <w:rFonts w:hint="eastAsia" w:hAnsi="宋体"/>
          <w:color w:val="auto"/>
          <w:highlight w:val="none"/>
        </w:rPr>
      </w:pPr>
      <w:r>
        <w:rPr>
          <w:rFonts w:hint="eastAsia" w:hAnsi="宋体"/>
          <w:color w:val="auto"/>
          <w:highlight w:val="none"/>
        </w:rPr>
        <w:t>甲方：浙江省金华监狱</w:t>
      </w:r>
    </w:p>
    <w:p>
      <w:pPr>
        <w:pStyle w:val="17"/>
        <w:snapToGrid w:val="0"/>
        <w:spacing w:before="120" w:beforeLines="0" w:after="120" w:afterLines="0" w:line="240" w:lineRule="auto"/>
        <w:rPr>
          <w:rFonts w:hint="eastAsia" w:hAnsi="宋体"/>
          <w:color w:val="auto"/>
          <w:highlight w:val="none"/>
        </w:rPr>
      </w:pPr>
      <w:r>
        <w:rPr>
          <w:rFonts w:hint="eastAsia" w:hAnsi="宋体"/>
          <w:color w:val="auto"/>
          <w:highlight w:val="none"/>
        </w:rPr>
        <w:t xml:space="preserve">乙方： </w:t>
      </w:r>
    </w:p>
    <w:p>
      <w:pPr>
        <w:pStyle w:val="17"/>
        <w:snapToGrid w:val="0"/>
        <w:spacing w:before="0" w:beforeLines="0" w:after="0" w:afterLines="0" w:line="360" w:lineRule="auto"/>
        <w:rPr>
          <w:rFonts w:hint="eastAsia" w:hAnsi="宋体"/>
          <w:b/>
          <w:color w:val="auto"/>
          <w:highlight w:val="none"/>
        </w:rPr>
      </w:pPr>
      <w:r>
        <w:rPr>
          <w:rFonts w:hint="eastAsia" w:hAnsi="宋体"/>
          <w:b/>
          <w:color w:val="auto"/>
          <w:highlight w:val="none"/>
        </w:rPr>
        <w:t xml:space="preserve">   </w:t>
      </w:r>
      <w:r>
        <w:rPr>
          <w:rFonts w:hint="eastAsia" w:hAnsi="宋体"/>
          <w:color w:val="auto"/>
          <w:highlight w:val="none"/>
        </w:rPr>
        <w:t>根据《中华人民共和国政府采购法》、《中华人民共和国民法典》等有关法律，甲、乙双方根据浙江省金华监狱移动**录音复听、智慧督查APP应用系统采购项目的公开招标结果，签署本合同。</w:t>
      </w:r>
      <w:r>
        <w:rPr>
          <w:rFonts w:hint="eastAsia" w:hAnsi="宋体"/>
          <w:color w:val="auto"/>
          <w:highlight w:val="none"/>
        </w:rPr>
        <w:tab/>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一、服务内容</w:t>
      </w:r>
    </w:p>
    <w:tbl>
      <w:tblPr>
        <w:tblStyle w:val="30"/>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817"/>
        <w:gridCol w:w="2410"/>
        <w:gridCol w:w="5741"/>
      </w:tblGrid>
      <w:tr>
        <w:tblPrEx>
          <w:tblCellMar>
            <w:top w:w="0" w:type="dxa"/>
            <w:left w:w="108" w:type="dxa"/>
            <w:bottom w:w="0" w:type="dxa"/>
            <w:right w:w="108" w:type="dxa"/>
          </w:tblCellMar>
        </w:tblPrEx>
        <w:trPr>
          <w:wBefore w:w="0" w:type="dxa"/>
          <w:wAfter w:w="0" w:type="dxa"/>
          <w:trHeight w:val="557" w:hRule="atLeast"/>
        </w:trPr>
        <w:tc>
          <w:tcPr>
            <w:tcW w:w="81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建设模块</w:t>
            </w:r>
          </w:p>
        </w:tc>
        <w:tc>
          <w:tcPr>
            <w:tcW w:w="574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建设内容</w:t>
            </w:r>
          </w:p>
        </w:tc>
      </w:tr>
      <w:tr>
        <w:tblPrEx>
          <w:tblCellMar>
            <w:top w:w="0" w:type="dxa"/>
            <w:left w:w="108" w:type="dxa"/>
            <w:bottom w:w="0" w:type="dxa"/>
            <w:right w:w="108" w:type="dxa"/>
          </w:tblCellMar>
        </w:tblPrEx>
        <w:trPr>
          <w:wBefore w:w="0" w:type="dxa"/>
          <w:wAfter w:w="0" w:type="dxa"/>
          <w:trHeight w:val="104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lang w:val="zh-TW" w:eastAsia="zh-TW"/>
              </w:rPr>
            </w:pPr>
            <w:r>
              <w:rPr>
                <w:rFonts w:hint="eastAsia" w:ascii="宋体" w:hAnsi="宋体" w:cs="宋体"/>
                <w:color w:val="auto"/>
                <w:sz w:val="24"/>
                <w:highlight w:val="none"/>
                <w:u w:val="none" w:color="000000"/>
                <w:lang w:val="zh-TW" w:eastAsia="zh-TW"/>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lang w:val="zh-TW"/>
              </w:rPr>
            </w:pPr>
            <w:r>
              <w:rPr>
                <w:rFonts w:hint="eastAsia" w:ascii="宋体" w:hAnsi="宋体" w:cs="宋体"/>
                <w:color w:val="auto"/>
                <w:sz w:val="24"/>
                <w:highlight w:val="none"/>
                <w:u w:val="none" w:color="000000"/>
                <w:lang w:val="zh-TW" w:eastAsia="zh-TW"/>
              </w:rPr>
              <w:t>移动录音复听</w:t>
            </w:r>
            <w:r>
              <w:rPr>
                <w:rFonts w:hint="eastAsia" w:ascii="宋体" w:hAnsi="宋体" w:cs="宋体"/>
                <w:color w:val="auto"/>
                <w:sz w:val="24"/>
                <w:highlight w:val="none"/>
                <w:u w:val="none" w:color="000000"/>
              </w:rPr>
              <w:t>应用</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u w:val="none" w:color="000000"/>
                <w:lang w:val="zh-TW" w:eastAsia="zh-TW"/>
              </w:rPr>
            </w:pPr>
            <w:r>
              <w:rPr>
                <w:rFonts w:hint="eastAsia" w:ascii="宋体" w:hAnsi="宋体" w:cs="宋体"/>
                <w:color w:val="auto"/>
                <w:sz w:val="24"/>
                <w:highlight w:val="none"/>
                <w:u w:val="none" w:color="000000"/>
                <w:lang w:val="zh-TW" w:eastAsia="zh-TW"/>
              </w:rPr>
              <w:t>基于监狱应用场景，结合移动终端应用的便利性，面向监狱提供会见录音复听、会见审核、录音复听统计于一体的录音复听APP。</w:t>
            </w:r>
          </w:p>
        </w:tc>
      </w:tr>
      <w:tr>
        <w:tblPrEx>
          <w:tblCellMar>
            <w:top w:w="0" w:type="dxa"/>
            <w:left w:w="108" w:type="dxa"/>
            <w:bottom w:w="0" w:type="dxa"/>
            <w:right w:w="108" w:type="dxa"/>
          </w:tblCellMar>
        </w:tblPrEx>
        <w:trPr>
          <w:wBefore w:w="0" w:type="dxa"/>
          <w:wAfter w:w="0" w:type="dxa"/>
          <w:trHeight w:val="124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2</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信件收发登记</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信件收发信息录入，通过移动终端拍照录入信息，有效对信件数据进行审核与溯源</w:t>
            </w:r>
          </w:p>
        </w:tc>
      </w:tr>
      <w:tr>
        <w:tblPrEx>
          <w:tblCellMar>
            <w:top w:w="0" w:type="dxa"/>
            <w:left w:w="108" w:type="dxa"/>
            <w:bottom w:w="0" w:type="dxa"/>
            <w:right w:w="108" w:type="dxa"/>
          </w:tblCellMar>
        </w:tblPrEx>
        <w:trPr>
          <w:wBefore w:w="0" w:type="dxa"/>
          <w:wAfter w:w="0" w:type="dxa"/>
          <w:trHeight w:val="124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3</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智慧督查应用</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包含流程审批、消息通知、督查巡查、监管改造，业务数据对接。</w:t>
            </w:r>
          </w:p>
        </w:tc>
      </w:tr>
    </w:tbl>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详细建设内容见项目公开招标文件。</w:t>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二、合同金额</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本合同金额为（大写）：人民币</w:t>
      </w:r>
      <w:r>
        <w:rPr>
          <w:rFonts w:hint="eastAsia" w:hAnsi="宋体"/>
          <w:color w:val="auto"/>
          <w:highlight w:val="none"/>
          <w:u w:val="single"/>
        </w:rPr>
        <w:t xml:space="preserve">       </w:t>
      </w:r>
      <w:r>
        <w:rPr>
          <w:rFonts w:hint="eastAsia" w:hAnsi="宋体"/>
          <w:color w:val="auto"/>
          <w:highlight w:val="none"/>
        </w:rPr>
        <w:t>元（￥</w:t>
      </w:r>
      <w:r>
        <w:rPr>
          <w:rFonts w:hint="eastAsia" w:hAnsi="宋体"/>
          <w:color w:val="auto"/>
          <w:highlight w:val="none"/>
          <w:u w:val="single"/>
        </w:rPr>
        <w:t xml:space="preserve">            .00</w:t>
      </w:r>
      <w:r>
        <w:rPr>
          <w:rFonts w:hint="eastAsia" w:hAnsi="宋体"/>
          <w:color w:val="auto"/>
          <w:highlight w:val="none"/>
        </w:rPr>
        <w:t>）。</w:t>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三、知识产权</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乙方保证按合同要求提供的产品不会侵犯任何第三方的知识产权。且无任何抵押、查封等产权瑕疵。</w:t>
      </w:r>
    </w:p>
    <w:p>
      <w:pPr>
        <w:pStyle w:val="68"/>
        <w:framePr w:wrap="auto" w:vAnchor="margin" w:hAnchor="text" w:yAlign="inline"/>
        <w:spacing w:line="360" w:lineRule="auto"/>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本项目的版权及源代码著作权归甲方所有，乙方须承诺后期协助甲方获得软件专利证书及软件著作权证书，费用由乙方承担。</w:t>
      </w:r>
    </w:p>
    <w:p>
      <w:pPr>
        <w:pStyle w:val="17"/>
        <w:snapToGrid w:val="0"/>
        <w:spacing w:before="0" w:beforeLines="0" w:after="0" w:afterLines="0" w:line="360" w:lineRule="auto"/>
        <w:rPr>
          <w:rFonts w:hint="eastAsia" w:hAnsi="宋体"/>
          <w:b/>
          <w:color w:val="auto"/>
          <w:highlight w:val="none"/>
        </w:rPr>
      </w:pPr>
      <w:r>
        <w:rPr>
          <w:rFonts w:hint="eastAsia" w:hAnsi="宋体"/>
          <w:b/>
          <w:color w:val="auto"/>
          <w:highlight w:val="none"/>
        </w:rPr>
        <w:t>四、履约保证金</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签订合同前乙方向甲方交纳合同总价5%（即人民币</w:t>
      </w:r>
      <w:r>
        <w:rPr>
          <w:rFonts w:hint="eastAsia" w:hAnsi="宋体"/>
          <w:color w:val="auto"/>
          <w:highlight w:val="none"/>
          <w:u w:val="single"/>
        </w:rPr>
        <w:t xml:space="preserve">     </w:t>
      </w:r>
      <w:r>
        <w:rPr>
          <w:rFonts w:hint="eastAsia" w:hAnsi="宋体"/>
          <w:color w:val="auto"/>
          <w:highlight w:val="none"/>
        </w:rPr>
        <w:t>元）的款项作为履约保证金。在乙方承诺的质保期满后各项技术指标都符合招标文件及合同规定的要求、且无质量问题后无息退还。</w:t>
      </w:r>
    </w:p>
    <w:p>
      <w:pPr>
        <w:pStyle w:val="17"/>
        <w:snapToGrid w:val="0"/>
        <w:spacing w:before="0" w:beforeLines="0" w:after="0" w:afterLines="0" w:line="360" w:lineRule="auto"/>
        <w:ind w:firstLine="482" w:firstLineChars="200"/>
        <w:rPr>
          <w:rFonts w:hint="eastAsia" w:hAnsi="宋体"/>
          <w:b/>
          <w:color w:val="auto"/>
          <w:highlight w:val="none"/>
        </w:rPr>
      </w:pPr>
      <w:r>
        <w:rPr>
          <w:rFonts w:hint="eastAsia" w:hAnsi="宋体"/>
          <w:b/>
          <w:color w:val="auto"/>
          <w:highlight w:val="none"/>
        </w:rPr>
        <w:t>五、服务质量保证期</w:t>
      </w:r>
    </w:p>
    <w:p>
      <w:pPr>
        <w:pStyle w:val="17"/>
        <w:snapToGrid w:val="0"/>
        <w:spacing w:before="0" w:beforeLines="0" w:after="0" w:afterLines="0" w:line="360" w:lineRule="auto"/>
        <w:ind w:firstLine="470" w:firstLineChars="196"/>
        <w:rPr>
          <w:rFonts w:hint="eastAsia" w:hAnsi="宋体"/>
          <w:color w:val="auto"/>
          <w:highlight w:val="none"/>
        </w:rPr>
      </w:pPr>
      <w:r>
        <w:rPr>
          <w:rFonts w:hint="eastAsia" w:hAnsi="宋体"/>
          <w:color w:val="auto"/>
          <w:highlight w:val="none"/>
        </w:rPr>
        <w:t>免费售后服务期从安装调试完毕之日开始计算。免费售后服务期为</w:t>
      </w:r>
      <w:r>
        <w:rPr>
          <w:rFonts w:hint="eastAsia" w:hAnsi="宋体"/>
          <w:color w:val="auto"/>
          <w:highlight w:val="none"/>
          <w:u w:val="single"/>
        </w:rPr>
        <w:t xml:space="preserve">    </w:t>
      </w:r>
      <w:r>
        <w:rPr>
          <w:rFonts w:hint="eastAsia" w:hAnsi="宋体"/>
          <w:color w:val="auto"/>
          <w:highlight w:val="none"/>
        </w:rPr>
        <w:t>年。免费售后服务期内乙方提供电话、网络远程和上门服务。乙方在接到故障通知后，在半小时内做出响应安排，4小时内到达现场提供技术服务，</w:t>
      </w:r>
      <w:r>
        <w:rPr>
          <w:rFonts w:hint="eastAsia" w:hAnsi="宋体" w:cs="宋体"/>
          <w:color w:val="auto"/>
          <w:highlight w:val="none"/>
          <w:u w:val="none" w:color="000000"/>
        </w:rPr>
        <w:t xml:space="preserve"> 24小时内解决，保障系统正常运行使用。包括免费升级、功能完善、故障排除、性能调优、技术咨询等。</w:t>
      </w:r>
    </w:p>
    <w:p>
      <w:pPr>
        <w:pStyle w:val="17"/>
        <w:snapToGrid w:val="0"/>
        <w:spacing w:before="0" w:beforeLines="0" w:after="0" w:afterLines="0" w:line="360" w:lineRule="auto"/>
        <w:ind w:firstLine="470" w:firstLineChars="196"/>
        <w:rPr>
          <w:rFonts w:hint="eastAsia" w:hAnsi="宋体"/>
          <w:color w:val="auto"/>
          <w:highlight w:val="none"/>
        </w:rPr>
      </w:pPr>
      <w:r>
        <w:rPr>
          <w:rFonts w:hint="eastAsia" w:hAnsi="宋体"/>
          <w:color w:val="auto"/>
          <w:highlight w:val="none"/>
        </w:rPr>
        <w:t>乙方提供终身服务。免费服务期后的服务费双方协商。</w:t>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六、合同履行时间、履行方式及履行地点</w:t>
      </w:r>
    </w:p>
    <w:p>
      <w:pPr>
        <w:pStyle w:val="17"/>
        <w:snapToGrid w:val="0"/>
        <w:spacing w:before="0" w:beforeLines="0" w:after="0" w:afterLines="0" w:line="360" w:lineRule="auto"/>
        <w:ind w:firstLine="480" w:firstLineChars="200"/>
        <w:rPr>
          <w:rFonts w:hint="eastAsia" w:hAnsi="宋体"/>
          <w:bCs/>
          <w:color w:val="auto"/>
          <w:highlight w:val="none"/>
        </w:rPr>
      </w:pPr>
      <w:r>
        <w:rPr>
          <w:rFonts w:hint="eastAsia" w:hAnsi="宋体"/>
          <w:bCs/>
          <w:color w:val="auto"/>
          <w:highlight w:val="none"/>
        </w:rPr>
        <w:t xml:space="preserve">1. </w:t>
      </w:r>
      <w:r>
        <w:rPr>
          <w:rFonts w:hint="eastAsia" w:hAnsi="宋体"/>
          <w:color w:val="auto"/>
          <w:highlight w:val="none"/>
        </w:rPr>
        <w:t>履行时间</w:t>
      </w:r>
      <w:r>
        <w:rPr>
          <w:rFonts w:hint="eastAsia" w:hAnsi="宋体"/>
          <w:bCs/>
          <w:color w:val="auto"/>
          <w:highlight w:val="none"/>
        </w:rPr>
        <w:t xml:space="preserve">： </w:t>
      </w:r>
    </w:p>
    <w:p>
      <w:pPr>
        <w:pStyle w:val="17"/>
        <w:snapToGrid w:val="0"/>
        <w:spacing w:before="0" w:beforeLines="0" w:after="0" w:afterLines="0" w:line="360" w:lineRule="auto"/>
        <w:ind w:firstLine="480" w:firstLineChars="200"/>
        <w:rPr>
          <w:rFonts w:hint="eastAsia" w:hAnsi="宋体"/>
          <w:bCs/>
          <w:color w:val="auto"/>
          <w:highlight w:val="none"/>
        </w:rPr>
      </w:pPr>
      <w:r>
        <w:rPr>
          <w:rFonts w:hint="eastAsia" w:hAnsi="宋体"/>
          <w:bCs/>
          <w:color w:val="auto"/>
          <w:highlight w:val="none"/>
        </w:rPr>
        <w:t xml:space="preserve">2. </w:t>
      </w:r>
      <w:r>
        <w:rPr>
          <w:rFonts w:hint="eastAsia" w:hAnsi="宋体"/>
          <w:color w:val="auto"/>
          <w:highlight w:val="none"/>
        </w:rPr>
        <w:t>履行方式</w:t>
      </w:r>
      <w:r>
        <w:rPr>
          <w:rFonts w:hint="eastAsia" w:hAnsi="宋体"/>
          <w:bCs/>
          <w:color w:val="auto"/>
          <w:highlight w:val="none"/>
        </w:rPr>
        <w:t>：详见招标文件要求</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bCs/>
          <w:color w:val="auto"/>
          <w:highlight w:val="none"/>
        </w:rPr>
        <w:t xml:space="preserve">3. </w:t>
      </w:r>
      <w:r>
        <w:rPr>
          <w:rFonts w:hint="eastAsia" w:hAnsi="宋体"/>
          <w:color w:val="auto"/>
          <w:highlight w:val="none"/>
        </w:rPr>
        <w:t>履行地点</w:t>
      </w:r>
      <w:r>
        <w:rPr>
          <w:rFonts w:hint="eastAsia" w:hAnsi="宋体"/>
          <w:bCs/>
          <w:color w:val="auto"/>
          <w:highlight w:val="none"/>
        </w:rPr>
        <w:t>：甲方指定地点</w:t>
      </w:r>
      <w:r>
        <w:rPr>
          <w:rFonts w:hint="eastAsia" w:hAnsi="宋体"/>
          <w:color w:val="auto"/>
          <w:highlight w:val="none"/>
        </w:rPr>
        <w:t xml:space="preserve"> </w:t>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七、服务验收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试运行结束，系统正常的，甲方将按规定根据行业相关标准及招标文件、投标文件内容对本项目系统建设的参数配置、数量、安装调试后的使用性能、运行状况、技术资料及其他进行验收，乙方必须在验收现场提供必要的技术支持，验收费用由乙方承担。验收前须经第三方检测机构检测合格，验收产生的费用由乙方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乙方须保证所提供产品符合国家有关规定，保证所提供产品具有合法的版权或使用权，本项目采购的产品，如在本项目范围内使用过程中出现版权或使用权纠纷，应由乙方负责，甲方不承担责任。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乙方必须保证解决项目所涉及的技术问题，如因技术原因无法满足甲方需求，由此产生的风险由乙方承担。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4.验收时须提供软件介质（光盘、U 盘等）、设计文档、技术文档和许可证（含电子授权）等相关资料。具体资料目录如下：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（1）设计文档包括《需求规格说明书》、《系统总体技术方案》、《概要设计说明书》、《详细设计说明书》、《数据库设计说明书》、《接口设计说明书》等；</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（2）技术文档包括《用户操作手册》、《系统管理员安装部署操作手册》以及第三方产品介质、原厂授权书、技术白皮书、质量保证书、保修卡（售后服务承诺）等。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5.如发生所供产品与采购文件或投标承诺中规定的要求不符，乙方必须无条件整改或更换，并承担由此产生的一切责任和后果。</w:t>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八、款项支付</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 乙方在签订合同之前向甲方交纳履约保证金，金额为中标价的5%</w:t>
      </w:r>
      <w:r>
        <w:rPr>
          <w:rFonts w:hint="eastAsia" w:ascii="宋体" w:hAnsi="宋体"/>
          <w:color w:val="auto"/>
          <w:kern w:val="0"/>
          <w:sz w:val="24"/>
          <w:highlight w:val="none"/>
        </w:rPr>
        <w:t>（四舍五入精确到元），</w:t>
      </w:r>
      <w:r>
        <w:rPr>
          <w:rFonts w:hint="eastAsia" w:ascii="宋体" w:hAnsi="宋体"/>
          <w:color w:val="auto"/>
          <w:sz w:val="24"/>
          <w:highlight w:val="none"/>
        </w:rPr>
        <w:t>履约保证金在乙方承诺的质保期满后退还（不计息）。</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2.项目整体验收合格后付甲方支付合同总款的100%。乙方应提供</w:t>
      </w:r>
      <w:r>
        <w:rPr>
          <w:rFonts w:hint="eastAsia" w:hAnsi="宋体" w:cs="Arial"/>
          <w:color w:val="auto"/>
          <w:sz w:val="24"/>
          <w:highlight w:val="none"/>
        </w:rPr>
        <w:t>增值税</w:t>
      </w:r>
      <w:r>
        <w:rPr>
          <w:rFonts w:hint="eastAsia" w:ascii="宋体" w:hAnsi="宋体"/>
          <w:color w:val="auto"/>
          <w:sz w:val="24"/>
          <w:highlight w:val="none"/>
        </w:rPr>
        <w:t>发票。</w:t>
      </w:r>
    </w:p>
    <w:p>
      <w:pPr>
        <w:snapToGrid w:val="0"/>
        <w:spacing w:line="360" w:lineRule="auto"/>
        <w:ind w:firstLine="472" w:firstLineChars="196"/>
        <w:rPr>
          <w:rFonts w:hint="eastAsia" w:ascii="宋体" w:hAnsi="宋体"/>
          <w:b/>
          <w:color w:val="auto"/>
          <w:sz w:val="24"/>
          <w:highlight w:val="none"/>
        </w:rPr>
      </w:pPr>
      <w:r>
        <w:rPr>
          <w:rFonts w:hint="eastAsia" w:ascii="宋体" w:hAnsi="宋体"/>
          <w:b/>
          <w:color w:val="auto"/>
          <w:sz w:val="24"/>
          <w:highlight w:val="none"/>
        </w:rPr>
        <w:t>九、税费</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本合同执行中相关的一切税费均由乙方负担。</w:t>
      </w:r>
    </w:p>
    <w:p>
      <w:pPr>
        <w:pStyle w:val="17"/>
        <w:snapToGrid w:val="0"/>
        <w:spacing w:before="0" w:beforeLines="0" w:after="0" w:afterLines="0" w:line="360" w:lineRule="auto"/>
        <w:rPr>
          <w:rFonts w:hint="eastAsia" w:hAnsi="宋体"/>
          <w:b/>
          <w:color w:val="auto"/>
          <w:highlight w:val="none"/>
        </w:rPr>
      </w:pPr>
      <w:r>
        <w:rPr>
          <w:rFonts w:hint="eastAsia" w:hAnsi="宋体"/>
          <w:b/>
          <w:color w:val="auto"/>
          <w:highlight w:val="none"/>
        </w:rPr>
        <w:t>十、违约责任</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1．甲方无故逾期验收和办理款项支付手续的,甲方应按逾期付款总额每日万分之五向乙方支付违约金。</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2．乙方未能如期完成招标文件约定服务，自逾期之日起每日向甲方支付合同款项的千分之五的违约金。乙方超过约定日期30日仍不能完成服务的，甲方有权单方终止合同，履约保证金不予退还，不再支付任何费用；造成甲方损失的乙方还应承担甲方损失和相应的法律责任。.</w:t>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十一、不可抗力事件处理</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1．在合同有效期内，任何一方因不可抗力事件导致不能履行合同，则合同履行期可延长，其延长期与不可抗力影响期相同。</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2．不可抗力事件发生后，应立即通知对方，并寄送有关权威机构出具的证明。</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3．不可抗力事件延续120天以上，双方应通过友好协商，确定是否继续履行合同。</w:t>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十二、诉讼</w:t>
      </w:r>
    </w:p>
    <w:p>
      <w:pPr>
        <w:pStyle w:val="17"/>
        <w:snapToGrid w:val="0"/>
        <w:spacing w:before="0" w:beforeLines="0" w:after="0" w:afterLines="0" w:line="360" w:lineRule="auto"/>
        <w:ind w:firstLine="470" w:firstLineChars="196"/>
        <w:rPr>
          <w:rFonts w:hint="eastAsia" w:hAnsi="宋体"/>
          <w:color w:val="auto"/>
          <w:highlight w:val="none"/>
        </w:rPr>
      </w:pPr>
      <w:r>
        <w:rPr>
          <w:rFonts w:hint="eastAsia" w:hAnsi="宋体"/>
          <w:color w:val="auto"/>
          <w:highlight w:val="none"/>
        </w:rPr>
        <w:t>双方在执行合同中所发生的一切争议，应通过协商解决。如协商不成，可向甲方所在地法院起诉。</w:t>
      </w:r>
    </w:p>
    <w:p>
      <w:pPr>
        <w:pStyle w:val="17"/>
        <w:snapToGrid w:val="0"/>
        <w:spacing w:before="0" w:beforeLines="0" w:after="0" w:afterLines="0" w:line="360" w:lineRule="auto"/>
        <w:ind w:firstLine="472" w:firstLineChars="196"/>
        <w:rPr>
          <w:rFonts w:hint="eastAsia" w:hAnsi="宋体"/>
          <w:b/>
          <w:color w:val="auto"/>
          <w:highlight w:val="none"/>
        </w:rPr>
      </w:pPr>
      <w:r>
        <w:rPr>
          <w:rFonts w:hint="eastAsia" w:hAnsi="宋体"/>
          <w:b/>
          <w:color w:val="auto"/>
          <w:highlight w:val="none"/>
        </w:rPr>
        <w:t>十三、合同生效及其它</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1．合同经双方法定代表人或授权代表签字并加盖单位公章后生效。</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2．本合同未尽事宜，遵照《中华人民共和国民法典》有关条文执行。</w:t>
      </w:r>
    </w:p>
    <w:p>
      <w:pPr>
        <w:pStyle w:val="17"/>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3．本合同正本一式五份，具有同等法律效力，甲、乙双方各执二份，采购代理机构鉴证一份。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本合同自双方签字盖章之日起生效。</w:t>
      </w:r>
    </w:p>
    <w:tbl>
      <w:tblPr>
        <w:tblStyle w:val="3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方：浙江省金华监狱</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单位地址：金华市婺城区蒋堂镇开化</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法定代表人：</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委托代理人：</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color w:val="auto"/>
                <w:sz w:val="24"/>
                <w:highlight w:val="none"/>
              </w:rPr>
            </w:pPr>
            <w:r>
              <w:rPr>
                <w:rFonts w:hint="eastAsia" w:ascii="宋体" w:hAnsi="宋体" w:cs="宋体"/>
                <w:b/>
                <w:bCs/>
                <w:color w:val="auto"/>
                <w:sz w:val="24"/>
                <w:highlight w:val="none"/>
              </w:rPr>
              <w:t>户名：</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color w:val="auto"/>
                <w:sz w:val="24"/>
                <w:highlight w:val="none"/>
              </w:rPr>
            </w:pPr>
            <w:r>
              <w:rPr>
                <w:rFonts w:hint="eastAsia" w:ascii="宋体" w:hAnsi="宋体" w:cs="宋体"/>
                <w:b/>
                <w:bCs/>
                <w:color w:val="auto"/>
                <w:sz w:val="24"/>
                <w:highlight w:val="none"/>
              </w:rPr>
              <w:t>开户银行：</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color w:val="auto"/>
                <w:sz w:val="24"/>
                <w:highlight w:val="none"/>
              </w:rPr>
            </w:pPr>
            <w:r>
              <w:rPr>
                <w:rFonts w:hint="eastAsia" w:ascii="宋体" w:hAnsi="宋体" w:cs="宋体"/>
                <w:b/>
                <w:bCs/>
                <w:color w:val="auto"/>
                <w:sz w:val="24"/>
                <w:highlight w:val="none"/>
              </w:rPr>
              <w:t>账</w:t>
            </w:r>
            <w:r>
              <w:rPr>
                <w:rFonts w:ascii="宋体" w:hAnsi="宋体" w:cs="宋体"/>
                <w:b/>
                <w:bCs/>
                <w:color w:val="auto"/>
                <w:sz w:val="24"/>
                <w:highlight w:val="none"/>
              </w:rPr>
              <w:t xml:space="preserve">   </w:t>
            </w:r>
            <w:r>
              <w:rPr>
                <w:rFonts w:hint="eastAsia" w:ascii="宋体" w:hAnsi="宋体" w:cs="宋体"/>
                <w:b/>
                <w:bCs/>
                <w:color w:val="auto"/>
                <w:sz w:val="24"/>
                <w:highlight w:val="none"/>
              </w:rPr>
              <w:t>号：</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账</w:t>
            </w:r>
            <w:r>
              <w:rPr>
                <w:rFonts w:ascii="宋体" w:hAnsi="宋体" w:cs="宋体"/>
                <w:color w:val="auto"/>
                <w:sz w:val="24"/>
                <w:highlight w:val="none"/>
              </w:rPr>
              <w:t xml:space="preserve">   </w:t>
            </w:r>
            <w:r>
              <w:rPr>
                <w:rFonts w:hint="eastAsia" w:ascii="宋体" w:hAnsi="宋体" w:cs="宋体"/>
                <w:color w:val="auto"/>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068" w:type="dxa"/>
            <w:noWrap w:val="0"/>
            <w:vAlign w:val="top"/>
          </w:tcPr>
          <w:p>
            <w:pPr>
              <w:spacing w:line="400" w:lineRule="exact"/>
              <w:ind w:right="-105" w:rightChars="-50"/>
              <w:rPr>
                <w:rFonts w:ascii="宋体"/>
                <w:b/>
                <w:bCs/>
                <w:color w:val="auto"/>
                <w:sz w:val="24"/>
                <w:highlight w:val="none"/>
              </w:rPr>
            </w:pPr>
            <w:r>
              <w:rPr>
                <w:rFonts w:hint="eastAsia" w:cs="宋体"/>
                <w:b/>
                <w:bCs/>
                <w:color w:val="auto"/>
                <w:sz w:val="24"/>
                <w:highlight w:val="none"/>
              </w:rPr>
              <w:t>统一社会信用代码</w:t>
            </w:r>
            <w:r>
              <w:rPr>
                <w:rFonts w:hint="eastAsia" w:ascii="宋体" w:hAnsi="宋体" w:cs="宋体"/>
                <w:b/>
                <w:bCs/>
                <w:color w:val="auto"/>
                <w:sz w:val="24"/>
                <w:highlight w:val="none"/>
              </w:rPr>
              <w:t>：</w:t>
            </w:r>
          </w:p>
        </w:tc>
        <w:tc>
          <w:tcPr>
            <w:tcW w:w="4454" w:type="dxa"/>
            <w:noWrap w:val="0"/>
            <w:vAlign w:val="top"/>
          </w:tcPr>
          <w:p>
            <w:pPr>
              <w:spacing w:line="400" w:lineRule="exact"/>
              <w:ind w:right="-105" w:rightChars="-50"/>
              <w:rPr>
                <w:rFonts w:ascii="宋体"/>
                <w:color w:val="auto"/>
                <w:sz w:val="24"/>
                <w:highlight w:val="none"/>
              </w:rPr>
            </w:pPr>
            <w:r>
              <w:rPr>
                <w:rFonts w:hint="eastAsia" w:ascii="宋体" w:hAnsi="宋体" w:cs="宋体"/>
                <w:color w:val="auto"/>
                <w:sz w:val="24"/>
                <w:highlight w:val="none"/>
              </w:rPr>
              <w:t>统一社会信用代码：</w:t>
            </w:r>
          </w:p>
          <w:p>
            <w:pPr>
              <w:spacing w:line="400" w:lineRule="exact"/>
              <w:ind w:right="-105" w:rightChars="-50"/>
              <w:rPr>
                <w:rFonts w:ascii="宋体" w:hAnsi="宋体" w:cs="宋体"/>
                <w:color w:val="auto"/>
                <w:sz w:val="24"/>
                <w:highlight w:val="none"/>
              </w:rPr>
            </w:pPr>
          </w:p>
        </w:tc>
      </w:tr>
    </w:tbl>
    <w:p>
      <w:pPr>
        <w:pStyle w:val="17"/>
        <w:snapToGrid w:val="0"/>
        <w:spacing w:before="120" w:beforeLines="0" w:after="120" w:afterLines="0" w:line="240" w:lineRule="auto"/>
        <w:rPr>
          <w:rFonts w:hint="eastAsia" w:hAnsi="宋体"/>
          <w:color w:val="auto"/>
          <w:highlight w:val="none"/>
        </w:rPr>
      </w:pPr>
    </w:p>
    <w:p>
      <w:pPr>
        <w:pStyle w:val="17"/>
        <w:snapToGrid w:val="0"/>
        <w:spacing w:before="120" w:beforeLines="0" w:after="120" w:afterLines="0" w:line="240" w:lineRule="auto"/>
        <w:ind w:firstLine="120" w:firstLineChars="50"/>
        <w:rPr>
          <w:rFonts w:hint="eastAsia" w:hAnsi="宋体"/>
          <w:color w:val="auto"/>
          <w:highlight w:val="none"/>
        </w:rPr>
      </w:pPr>
      <w:r>
        <w:rPr>
          <w:rFonts w:hint="eastAsia" w:hAnsi="宋体"/>
          <w:color w:val="auto"/>
          <w:highlight w:val="none"/>
        </w:rPr>
        <w:t xml:space="preserve"> 合同鉴证方:</w:t>
      </w:r>
    </w:p>
    <w:p>
      <w:pPr>
        <w:pStyle w:val="17"/>
        <w:snapToGrid w:val="0"/>
        <w:spacing w:before="120" w:beforeLines="0" w:after="120" w:afterLines="0" w:line="240" w:lineRule="auto"/>
        <w:ind w:firstLine="360" w:firstLineChars="150"/>
        <w:rPr>
          <w:rFonts w:hint="eastAsia" w:hAnsi="宋体"/>
          <w:color w:val="auto"/>
          <w:highlight w:val="none"/>
        </w:rPr>
      </w:pPr>
      <w:r>
        <w:rPr>
          <w:rFonts w:hint="eastAsia" w:hAnsi="宋体"/>
          <w:color w:val="auto"/>
          <w:highlight w:val="none"/>
        </w:rPr>
        <w:t>法定（授权）代表人或主要负责人:</w:t>
      </w:r>
    </w:p>
    <w:p>
      <w:pPr>
        <w:pStyle w:val="17"/>
        <w:snapToGrid w:val="0"/>
        <w:spacing w:before="120" w:beforeLines="0" w:after="120" w:afterLines="0" w:line="240" w:lineRule="auto"/>
        <w:ind w:firstLine="5160" w:firstLineChars="2150"/>
        <w:rPr>
          <w:rFonts w:hint="eastAsia" w:hAnsi="宋体"/>
          <w:color w:val="auto"/>
          <w:highlight w:val="none"/>
        </w:rPr>
      </w:pPr>
      <w:r>
        <w:rPr>
          <w:rFonts w:hint="eastAsia" w:hAnsi="宋体"/>
          <w:color w:val="auto"/>
          <w:highlight w:val="none"/>
        </w:rPr>
        <w:t>鉴证日期:</w:t>
      </w:r>
    </w:p>
    <w:p>
      <w:pPr>
        <w:spacing w:line="480" w:lineRule="exact"/>
        <w:ind w:firstLine="6480" w:firstLineChars="2700"/>
        <w:rPr>
          <w:rFonts w:ascii="黑体" w:eastAsia="黑体"/>
          <w:color w:val="auto"/>
          <w:sz w:val="32"/>
          <w:szCs w:val="32"/>
          <w:highlight w:val="none"/>
        </w:rPr>
      </w:pPr>
      <w:r>
        <w:rPr>
          <w:rFonts w:ascii="宋体" w:hAnsi="宋体" w:cs="宋体"/>
          <w:color w:val="auto"/>
          <w:sz w:val="24"/>
          <w:highlight w:val="none"/>
        </w:rPr>
        <w:br w:type="page"/>
      </w:r>
    </w:p>
    <w:p>
      <w:pPr>
        <w:pStyle w:val="4"/>
        <w:spacing w:before="0" w:after="0" w:line="380" w:lineRule="exact"/>
        <w:jc w:val="center"/>
        <w:rPr>
          <w:rFonts w:hint="eastAsia" w:ascii="黑体" w:eastAsia="黑体"/>
          <w:color w:val="auto"/>
          <w:sz w:val="32"/>
          <w:szCs w:val="32"/>
          <w:highlight w:val="none"/>
        </w:rPr>
      </w:pPr>
      <w:r>
        <w:rPr>
          <w:rFonts w:hint="eastAsia" w:ascii="黑体" w:eastAsia="黑体"/>
          <w:color w:val="auto"/>
          <w:sz w:val="32"/>
          <w:szCs w:val="32"/>
          <w:highlight w:val="none"/>
        </w:rPr>
        <w:t>第六章　投标文件格式（部分）</w:t>
      </w:r>
    </w:p>
    <w:p>
      <w:pPr>
        <w:spacing w:line="360" w:lineRule="auto"/>
        <w:jc w:val="center"/>
        <w:rPr>
          <w:rFonts w:hint="eastAsia"/>
          <w:b/>
          <w:color w:val="auto"/>
          <w:sz w:val="32"/>
          <w:szCs w:val="32"/>
          <w:highlight w:val="none"/>
        </w:rPr>
      </w:pPr>
    </w:p>
    <w:p>
      <w:pPr>
        <w:pStyle w:val="17"/>
        <w:snapToGrid w:val="0"/>
        <w:spacing w:before="120" w:beforeLines="0" w:after="120" w:afterLines="0" w:line="240" w:lineRule="auto"/>
        <w:outlineLvl w:val="0"/>
        <w:rPr>
          <w:rFonts w:hint="eastAsia"/>
          <w:color w:val="auto"/>
          <w:szCs w:val="20"/>
          <w:highlight w:val="none"/>
        </w:rPr>
      </w:pPr>
      <w:r>
        <w:rPr>
          <w:rFonts w:hint="eastAsia"/>
          <w:color w:val="auto"/>
          <w:highlight w:val="none"/>
        </w:rPr>
        <w:t>第1部分.资信及技术标包装及封面格式</w:t>
      </w:r>
    </w:p>
    <w:p>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b/>
          <w:bCs/>
          <w:color w:val="auto"/>
          <w:highlight w:val="none"/>
        </w:rPr>
        <w:t>正本/或副本</w:t>
      </w:r>
    </w:p>
    <w:p>
      <w:pPr>
        <w:shd w:val="clear" w:color="auto" w:fill="FFFFFF"/>
        <w:snapToGrid w:val="0"/>
        <w:spacing w:after="50"/>
        <w:rPr>
          <w:rFonts w:hint="eastAsia" w:ascii="宋体" w:hAnsi="宋体"/>
          <w:b/>
          <w:color w:val="auto"/>
          <w:sz w:val="24"/>
          <w:szCs w:val="20"/>
          <w:highlight w:val="none"/>
        </w:rPr>
      </w:pPr>
      <w:r>
        <w:rPr>
          <w:rFonts w:hint="eastAsia" w:ascii="宋体" w:hAnsi="宋体"/>
          <w:b/>
          <w:color w:val="auto"/>
          <w:sz w:val="24"/>
          <w:szCs w:val="20"/>
          <w:highlight w:val="none"/>
        </w:rPr>
        <w:t> </w:t>
      </w:r>
    </w:p>
    <w:p>
      <w:pPr>
        <w:shd w:val="clear" w:color="auto" w:fill="FFFFFF"/>
        <w:snapToGrid w:val="0"/>
        <w:spacing w:after="50"/>
        <w:jc w:val="center"/>
        <w:rPr>
          <w:rFonts w:hint="eastAsia" w:ascii="宋体" w:hAnsi="宋体"/>
          <w:b/>
          <w:bCs/>
          <w:color w:val="auto"/>
          <w:sz w:val="48"/>
          <w:szCs w:val="52"/>
          <w:highlight w:val="none"/>
        </w:rPr>
      </w:pPr>
    </w:p>
    <w:p>
      <w:pPr>
        <w:shd w:val="clear" w:color="auto" w:fill="FFFFFF"/>
        <w:snapToGrid w:val="0"/>
        <w:spacing w:after="50"/>
        <w:jc w:val="center"/>
        <w:rPr>
          <w:rFonts w:hint="eastAsia" w:ascii="宋体" w:hAnsi="宋体"/>
          <w:b/>
          <w:bCs/>
          <w:color w:val="auto"/>
          <w:sz w:val="48"/>
          <w:szCs w:val="52"/>
          <w:highlight w:val="none"/>
        </w:rPr>
      </w:pPr>
    </w:p>
    <w:p>
      <w:pPr>
        <w:shd w:val="clear" w:color="auto" w:fill="FFFFFF"/>
        <w:snapToGrid w:val="0"/>
        <w:jc w:val="center"/>
        <w:rPr>
          <w:rFonts w:hint="eastAsia" w:ascii="宋体" w:hAnsi="宋体"/>
          <w:b/>
          <w:bCs/>
          <w:color w:val="auto"/>
          <w:sz w:val="52"/>
          <w:szCs w:val="52"/>
          <w:highlight w:val="none"/>
        </w:rPr>
      </w:pPr>
      <w:r>
        <w:rPr>
          <w:rFonts w:hint="eastAsia" w:ascii="宋体" w:hAnsi="宋体"/>
          <w:b/>
          <w:bCs/>
          <w:color w:val="auto"/>
          <w:sz w:val="52"/>
          <w:szCs w:val="52"/>
          <w:highlight w:val="none"/>
        </w:rPr>
        <w:t>浙江省金华监狱移动**录音复听、智慧督查APP应用系统采购项目</w:t>
      </w:r>
    </w:p>
    <w:p>
      <w:pPr>
        <w:shd w:val="clear" w:color="auto" w:fill="FFFFFF"/>
        <w:snapToGrid w:val="0"/>
        <w:spacing w:after="50"/>
        <w:jc w:val="center"/>
        <w:rPr>
          <w:rFonts w:hint="eastAsia" w:ascii="宋体" w:hAnsi="宋体"/>
          <w:bCs/>
          <w:color w:val="auto"/>
          <w:sz w:val="52"/>
          <w:szCs w:val="52"/>
          <w:highlight w:val="none"/>
        </w:rPr>
      </w:pPr>
    </w:p>
    <w:p>
      <w:pPr>
        <w:shd w:val="clear" w:color="auto" w:fill="FFFFFF"/>
        <w:snapToGrid w:val="0"/>
        <w:spacing w:after="50"/>
        <w:jc w:val="center"/>
        <w:rPr>
          <w:rFonts w:hint="eastAsia" w:ascii="宋体" w:hAnsi="宋体"/>
          <w:bCs/>
          <w:color w:val="auto"/>
          <w:sz w:val="52"/>
          <w:szCs w:val="52"/>
          <w:highlight w:val="none"/>
        </w:rPr>
      </w:pPr>
      <w:r>
        <w:rPr>
          <w:rFonts w:hint="eastAsia" w:ascii="宋体" w:hAnsi="宋体"/>
          <w:bCs/>
          <w:color w:val="auto"/>
          <w:sz w:val="52"/>
          <w:szCs w:val="52"/>
          <w:highlight w:val="none"/>
        </w:rPr>
        <w:t>资信及技术标</w:t>
      </w:r>
    </w:p>
    <w:p>
      <w:pPr>
        <w:shd w:val="clear" w:color="auto" w:fill="FFFFFF"/>
        <w:snapToGrid w:val="0"/>
        <w:spacing w:after="50"/>
        <w:jc w:val="center"/>
        <w:rPr>
          <w:rFonts w:hint="eastAsia" w:ascii="宋体" w:hAnsi="宋体"/>
          <w:bCs/>
          <w:color w:val="auto"/>
          <w:sz w:val="24"/>
          <w:highlight w:val="none"/>
        </w:rPr>
      </w:pPr>
    </w:p>
    <w:p>
      <w:pPr>
        <w:shd w:val="clear" w:color="auto" w:fill="FFFFFF"/>
        <w:snapToGrid w:val="0"/>
        <w:spacing w:after="50"/>
        <w:jc w:val="center"/>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hd w:val="clear" w:color="auto" w:fill="FFFFFF"/>
        <w:snapToGrid w:val="0"/>
        <w:spacing w:after="50"/>
        <w:rPr>
          <w:rFonts w:hint="eastAsia" w:ascii="宋体" w:hAnsi="宋体"/>
          <w:bCs/>
          <w:color w:val="auto"/>
          <w:sz w:val="24"/>
          <w:szCs w:val="20"/>
          <w:highlight w:val="none"/>
        </w:rPr>
      </w:pPr>
      <w:r>
        <w:rPr>
          <w:rFonts w:hint="eastAsia" w:ascii="宋体" w:hAnsi="宋体"/>
          <w:bCs/>
          <w:color w:val="auto"/>
          <w:sz w:val="24"/>
          <w:szCs w:val="20"/>
          <w:highlight w:val="none"/>
        </w:rPr>
        <w:t> </w:t>
      </w:r>
    </w:p>
    <w:p>
      <w:pPr>
        <w:shd w:val="clear" w:color="auto" w:fill="FFFFFF"/>
        <w:snapToGrid w:val="0"/>
        <w:spacing w:after="50"/>
        <w:rPr>
          <w:rFonts w:hint="eastAsia" w:ascii="宋体" w:hAnsi="宋体"/>
          <w:bCs/>
          <w:color w:val="auto"/>
          <w:sz w:val="24"/>
          <w:szCs w:val="20"/>
          <w:highlight w:val="none"/>
        </w:rPr>
      </w:pPr>
    </w:p>
    <w:p>
      <w:pPr>
        <w:shd w:val="clear" w:color="auto" w:fill="FFFFFF"/>
        <w:snapToGrid w:val="0"/>
        <w:spacing w:after="50"/>
        <w:rPr>
          <w:rFonts w:hint="eastAsia" w:ascii="宋体" w:hAnsi="宋体"/>
          <w:bCs/>
          <w:color w:val="auto"/>
          <w:sz w:val="24"/>
          <w:szCs w:val="20"/>
          <w:highlight w:val="none"/>
        </w:rPr>
      </w:pPr>
    </w:p>
    <w:p>
      <w:pPr>
        <w:shd w:val="clear" w:color="auto" w:fill="FFFFFF"/>
        <w:snapToGrid w:val="0"/>
        <w:spacing w:after="50"/>
        <w:rPr>
          <w:rFonts w:hint="eastAsia" w:ascii="宋体" w:hAnsi="宋体"/>
          <w:bCs/>
          <w:color w:val="auto"/>
          <w:sz w:val="24"/>
          <w:szCs w:val="20"/>
          <w:highlight w:val="none"/>
        </w:rPr>
      </w:pPr>
    </w:p>
    <w:p>
      <w:pPr>
        <w:shd w:val="clear" w:color="auto" w:fill="FFFFFF"/>
        <w:snapToGrid w:val="0"/>
        <w:spacing w:after="50"/>
        <w:rPr>
          <w:rFonts w:hint="eastAsia" w:ascii="宋体" w:hAnsi="宋体"/>
          <w:bCs/>
          <w:color w:val="auto"/>
          <w:sz w:val="24"/>
          <w:szCs w:val="20"/>
          <w:highlight w:val="none"/>
        </w:rPr>
      </w:pP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项目编号：SJH-B202113015</w:t>
      </w: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投标人名称：</w:t>
      </w: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法定代表人或委托代表人签字或盖章：</w:t>
      </w:r>
    </w:p>
    <w:p>
      <w:pPr>
        <w:shd w:val="clear" w:color="auto" w:fill="FFFFFF"/>
        <w:snapToGrid w:val="0"/>
        <w:spacing w:after="50"/>
        <w:ind w:firstLine="900" w:firstLineChars="300"/>
        <w:rPr>
          <w:rFonts w:hint="eastAsia" w:ascii="宋体" w:hAnsi="宋体"/>
          <w:bCs/>
          <w:color w:val="auto"/>
          <w:sz w:val="30"/>
          <w:szCs w:val="30"/>
          <w:highlight w:val="none"/>
        </w:rPr>
      </w:pP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在  年  月  日  时  分之前不得启封</w:t>
      </w:r>
    </w:p>
    <w:p>
      <w:pPr>
        <w:shd w:val="clear" w:color="auto" w:fill="FFFFFF"/>
        <w:snapToGrid w:val="0"/>
        <w:spacing w:before="50" w:after="50"/>
        <w:ind w:firstLine="960" w:firstLineChars="400"/>
        <w:rPr>
          <w:rFonts w:hint="eastAsia" w:ascii="宋体" w:hAnsi="宋体"/>
          <w:bCs/>
          <w:color w:val="auto"/>
          <w:sz w:val="24"/>
          <w:highlight w:val="none"/>
        </w:rPr>
      </w:pPr>
      <w:r>
        <w:rPr>
          <w:rFonts w:hint="eastAsia" w:ascii="宋体" w:hAnsi="宋体"/>
          <w:bCs/>
          <w:color w:val="auto"/>
          <w:sz w:val="24"/>
          <w:highlight w:val="none"/>
        </w:rPr>
        <w:t> </w:t>
      </w:r>
    </w:p>
    <w:p>
      <w:pPr>
        <w:shd w:val="clear" w:color="auto" w:fill="FFFFFF"/>
        <w:snapToGrid w:val="0"/>
        <w:spacing w:after="50"/>
        <w:ind w:firstLine="4080" w:firstLineChars="1700"/>
        <w:rPr>
          <w:rFonts w:hint="eastAsia" w:ascii="宋体" w:hAnsi="宋体"/>
          <w:color w:val="auto"/>
          <w:sz w:val="24"/>
          <w:szCs w:val="20"/>
          <w:highlight w:val="none"/>
        </w:rPr>
      </w:pPr>
      <w:r>
        <w:rPr>
          <w:rFonts w:hint="eastAsia" w:ascii="宋体" w:hAnsi="宋体"/>
          <w:color w:val="auto"/>
          <w:sz w:val="24"/>
          <w:szCs w:val="20"/>
          <w:highlight w:val="none"/>
        </w:rPr>
        <w:t> </w:t>
      </w:r>
    </w:p>
    <w:p>
      <w:pPr>
        <w:shd w:val="clear" w:color="auto" w:fill="FFFFFF"/>
        <w:snapToGrid w:val="0"/>
        <w:spacing w:after="50"/>
        <w:ind w:firstLine="645"/>
        <w:jc w:val="center"/>
        <w:rPr>
          <w:rFonts w:hint="eastAsia" w:ascii="宋体" w:hAnsi="宋体"/>
          <w:color w:val="auto"/>
          <w:sz w:val="24"/>
          <w:szCs w:val="20"/>
          <w:highlight w:val="none"/>
        </w:rPr>
      </w:pPr>
      <w:r>
        <w:rPr>
          <w:rFonts w:hint="eastAsia" w:ascii="宋体" w:hAnsi="宋体"/>
          <w:color w:val="auto"/>
          <w:sz w:val="24"/>
          <w:highlight w:val="none"/>
        </w:rPr>
        <w:t xml:space="preserve">                        年  月  日</w:t>
      </w:r>
    </w:p>
    <w:p>
      <w:pPr>
        <w:snapToGrid w:val="0"/>
        <w:spacing w:before="120" w:beforeLines="50" w:after="50"/>
        <w:jc w:val="center"/>
        <w:rPr>
          <w:rFonts w:hint="eastAsia" w:ascii="宋体" w:hAnsi="宋体"/>
          <w:b/>
          <w:color w:val="auto"/>
          <w:sz w:val="24"/>
          <w:highlight w:val="none"/>
        </w:rPr>
      </w:pPr>
      <w:r>
        <w:rPr>
          <w:rFonts w:ascii="宋体" w:hAnsi="宋体"/>
          <w:b/>
          <w:color w:val="auto"/>
          <w:sz w:val="30"/>
          <w:highlight w:val="none"/>
        </w:rPr>
        <w:br w:type="page"/>
      </w:r>
      <w:r>
        <w:rPr>
          <w:rFonts w:hint="eastAsia" w:ascii="宋体" w:hAnsi="宋体"/>
          <w:b/>
          <w:color w:val="auto"/>
          <w:sz w:val="24"/>
          <w:highlight w:val="none"/>
        </w:rPr>
        <w:t>资信及技术标目录</w:t>
      </w:r>
    </w:p>
    <w:p>
      <w:pPr>
        <w:snapToGrid w:val="0"/>
        <w:spacing w:line="400" w:lineRule="atLeast"/>
        <w:ind w:firstLine="360" w:firstLineChars="150"/>
        <w:jc w:val="left"/>
        <w:rPr>
          <w:rFonts w:hint="eastAsia" w:ascii="宋体" w:hAnsi="宋体"/>
          <w:color w:val="auto"/>
          <w:sz w:val="24"/>
          <w:highlight w:val="none"/>
        </w:rPr>
      </w:pP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（1）法定代表人授权委托书（格式附后）；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（2）投标声明书（格式附后）；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（3）符合投标人资格条件的资格审查材料：</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a.营业执照复印件；（格式自拟）</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b.投标人最近季度的财务报表、依法缴纳税收以及社会保障资金的证明材料复印件（无缴纳记录提供合理说明）；（格式自拟）</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c.具有履行合同所必须的设备和专业技术能力的书面声明；（</w:t>
      </w:r>
      <w:r>
        <w:rPr>
          <w:rFonts w:hint="eastAsia" w:ascii="宋体" w:hAnsi="宋体" w:cs="宋体"/>
          <w:color w:val="auto"/>
          <w:sz w:val="24"/>
          <w:highlight w:val="none"/>
        </w:rPr>
        <w:t>格式附后</w:t>
      </w:r>
      <w:r>
        <w:rPr>
          <w:rFonts w:hint="eastAsia" w:ascii="宋体" w:hAnsi="宋体"/>
          <w:color w:val="auto"/>
          <w:sz w:val="24"/>
          <w:highlight w:val="none"/>
        </w:rPr>
        <w:t>）</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d.参加采购活动前三年内（开标之日往前推算），在经营活动中没有重大违法记录的书面声明；（</w:t>
      </w:r>
      <w:r>
        <w:rPr>
          <w:rFonts w:hint="eastAsia" w:ascii="宋体" w:hAnsi="宋体" w:cs="宋体"/>
          <w:color w:val="auto"/>
          <w:sz w:val="24"/>
          <w:highlight w:val="none"/>
        </w:rPr>
        <w:t>格式附后</w:t>
      </w:r>
      <w:r>
        <w:rPr>
          <w:rFonts w:hint="eastAsia" w:ascii="宋体" w:hAnsi="宋体"/>
          <w:color w:val="auto"/>
          <w:sz w:val="24"/>
          <w:highlight w:val="none"/>
        </w:rPr>
        <w:t>）</w:t>
      </w:r>
    </w:p>
    <w:p>
      <w:pPr>
        <w:snapToGrid w:val="0"/>
        <w:spacing w:line="460" w:lineRule="exact"/>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e.投标人承诺（1.</w:t>
      </w:r>
      <w:r>
        <w:rPr>
          <w:rFonts w:hint="eastAsia" w:ascii="宋体" w:hAnsi="宋体"/>
          <w:color w:val="auto"/>
          <w:sz w:val="24"/>
          <w:highlight w:val="none"/>
        </w:rPr>
        <w:t>投标人相关人员遵守监狱纪律，对在服务过程中所接触到的一切信息严格保密，造成泄密的，需承担法律责任</w:t>
      </w:r>
      <w:r>
        <w:rPr>
          <w:rFonts w:hint="eastAsia" w:ascii="宋体" w:hAnsi="宋体" w:cs="宋体"/>
          <w:color w:val="auto"/>
          <w:sz w:val="24"/>
          <w:highlight w:val="none"/>
        </w:rPr>
        <w:t>的承诺；2.</w:t>
      </w:r>
      <w:r>
        <w:rPr>
          <w:rFonts w:hint="eastAsia" w:ascii="宋体" w:hAnsi="宋体"/>
          <w:color w:val="auto"/>
          <w:sz w:val="24"/>
          <w:highlight w:val="none"/>
        </w:rPr>
        <w:t xml:space="preserve"> 本项目的版权及源代码著作权归采购人所有，后期协助采购人获得软件专利证书及软件著作权证书，费用由供应商承担的承诺</w:t>
      </w:r>
      <w:r>
        <w:rPr>
          <w:rFonts w:hint="eastAsia" w:ascii="宋体" w:hAnsi="宋体" w:cs="宋体"/>
          <w:color w:val="auto"/>
          <w:sz w:val="24"/>
          <w:highlight w:val="none"/>
        </w:rPr>
        <w:t>）；（格式附后）</w:t>
      </w: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f.信用中国网站、中国政府采购网查询结果截图（此项内容投标人可事先查询后截图制作到投标文件中；最终以代理机构查询结果为准）；</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（4）投标人情况介绍（如企业简介，技术力量，企业优势，企业荣誉，企业资质，拥有相关认证情况等等，</w:t>
      </w:r>
      <w:r>
        <w:rPr>
          <w:rFonts w:ascii="宋体" w:hAnsi="宋体" w:cs="宋体"/>
          <w:color w:val="auto"/>
          <w:sz w:val="24"/>
          <w:highlight w:val="none"/>
        </w:rPr>
        <w:t>格式自拟</w:t>
      </w:r>
      <w:r>
        <w:rPr>
          <w:rFonts w:hint="eastAsia" w:ascii="宋体" w:hAnsi="宋体" w:cs="宋体"/>
          <w:color w:val="auto"/>
          <w:sz w:val="24"/>
          <w:highlight w:val="none"/>
        </w:rPr>
        <w:t>）；</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（5）商务响应表（格式附后）；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（6）2018年1月至今投标人完成的同类项目业绩（提供合同复印件）；</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（7）针对本项目的整体方案，包括：对本项目的理解；产品说明（产品名称、技术指标、功能说明、性能指标等）；</w:t>
      </w:r>
      <w:r>
        <w:rPr>
          <w:rFonts w:ascii="宋体" w:hAnsi="宋体" w:cs="宋体"/>
          <w:color w:val="auto"/>
          <w:kern w:val="0"/>
          <w:sz w:val="24"/>
          <w:highlight w:val="none"/>
        </w:rPr>
        <w:t>系统总体框架</w:t>
      </w:r>
      <w:r>
        <w:rPr>
          <w:rFonts w:hint="eastAsia" w:ascii="宋体" w:hAnsi="宋体" w:cs="宋体"/>
          <w:color w:val="auto"/>
          <w:kern w:val="0"/>
          <w:sz w:val="24"/>
          <w:highlight w:val="none"/>
        </w:rPr>
        <w:t>设计</w:t>
      </w:r>
      <w:r>
        <w:rPr>
          <w:rFonts w:ascii="宋体" w:hAnsi="宋体" w:cs="宋体"/>
          <w:color w:val="auto"/>
          <w:kern w:val="0"/>
          <w:sz w:val="24"/>
          <w:highlight w:val="none"/>
        </w:rPr>
        <w:t>、业务流程和应用模式</w:t>
      </w:r>
      <w:r>
        <w:rPr>
          <w:rFonts w:hint="eastAsia" w:ascii="宋体" w:hAnsi="宋体" w:cs="宋体"/>
          <w:color w:val="auto"/>
          <w:kern w:val="0"/>
          <w:sz w:val="24"/>
          <w:highlight w:val="none"/>
        </w:rPr>
        <w:t>设计；</w:t>
      </w:r>
      <w:r>
        <w:rPr>
          <w:rFonts w:ascii="宋体" w:hAnsi="宋体" w:cs="宋体"/>
          <w:color w:val="auto"/>
          <w:kern w:val="0"/>
          <w:sz w:val="24"/>
          <w:highlight w:val="none"/>
        </w:rPr>
        <w:t>各个模块及系统功能设计</w:t>
      </w:r>
      <w:r>
        <w:rPr>
          <w:rFonts w:hint="eastAsia" w:ascii="宋体" w:hAnsi="宋体" w:cs="宋体"/>
          <w:color w:val="auto"/>
          <w:kern w:val="0"/>
          <w:sz w:val="24"/>
          <w:highlight w:val="none"/>
        </w:rPr>
        <w:t>；现有系统对接方案；</w:t>
      </w:r>
      <w:r>
        <w:rPr>
          <w:rFonts w:ascii="宋体" w:hAnsi="宋体" w:cs="宋体"/>
          <w:color w:val="auto"/>
          <w:kern w:val="0"/>
          <w:sz w:val="24"/>
          <w:highlight w:val="none"/>
        </w:rPr>
        <w:t>关键技术解决方案等满足和适用情况</w:t>
      </w:r>
      <w:r>
        <w:rPr>
          <w:rFonts w:hint="eastAsia" w:ascii="宋体" w:hAnsi="宋体" w:cs="宋体"/>
          <w:color w:val="auto"/>
          <w:kern w:val="0"/>
          <w:sz w:val="24"/>
          <w:highlight w:val="none"/>
        </w:rPr>
        <w:t>；</w:t>
      </w:r>
      <w:r>
        <w:rPr>
          <w:rFonts w:hint="eastAsia" w:ascii="宋体" w:hAnsi="宋体" w:cs="宋体"/>
          <w:color w:val="auto"/>
          <w:sz w:val="24"/>
          <w:highlight w:val="none"/>
        </w:rPr>
        <w:t>计划安排；质量保证方案；质保期承诺（格式自拟）；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（8）投标人拥有主要装备和检测设施的情况及现状（格式自拟）；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（9）产品出厂标准、质量检测报告（格式自拟）；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（10）原厂出厂配置表及原厂中文使用说明书（格式自拟）；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（11）产品配置清单（均不含报价，</w:t>
      </w:r>
      <w:r>
        <w:rPr>
          <w:rFonts w:hAnsi="宋体"/>
          <w:color w:val="auto"/>
          <w:sz w:val="24"/>
          <w:highlight w:val="none"/>
        </w:rPr>
        <w:t>格式附后</w:t>
      </w:r>
      <w:r>
        <w:rPr>
          <w:rFonts w:hint="eastAsia" w:ascii="宋体" w:hAnsi="宋体" w:cs="宋体"/>
          <w:color w:val="auto"/>
          <w:sz w:val="24"/>
          <w:highlight w:val="none"/>
        </w:rPr>
        <w:t>）；</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（12）技术响应表（必须针对“招标需求”所列的技术参数条目，逐一说明是符合、正偏离、负偏离等响应情况，</w:t>
      </w:r>
      <w:r>
        <w:rPr>
          <w:rFonts w:hAnsi="宋体"/>
          <w:color w:val="auto"/>
          <w:sz w:val="24"/>
          <w:highlight w:val="none"/>
        </w:rPr>
        <w:t>格式附后</w:t>
      </w:r>
      <w:r>
        <w:rPr>
          <w:rFonts w:hint="eastAsia" w:ascii="宋体" w:hAnsi="宋体" w:cs="宋体"/>
          <w:color w:val="auto"/>
          <w:sz w:val="24"/>
          <w:highlight w:val="none"/>
        </w:rPr>
        <w:t>）；</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（13）投标人建议的安装、调试、验收方法或方案（格式自拟）；</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（14）技术服务、技术培训、售后服务的内容和措施（格式自拟）；</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（15）项目实施人员一览表（格式自拟）；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（16）优惠条件：投标人承诺给予采购人的各种优惠条件，包括售后服务、备品备件、专用耗材等方面的优惠（格式自拟）；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（17）投标人对本项目的合理化建议和改进措施（格式自拟）；</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（18）投标人认为需要提供的其他材料。（结合评分细则提供）</w:t>
      </w:r>
    </w:p>
    <w:p>
      <w:pPr>
        <w:snapToGrid w:val="0"/>
        <w:spacing w:line="400" w:lineRule="atLeast"/>
        <w:ind w:firstLine="452" w:firstLineChars="150"/>
        <w:jc w:val="center"/>
        <w:rPr>
          <w:rFonts w:ascii="宋体" w:hAnsi="宋体"/>
          <w:b/>
          <w:bCs/>
          <w:color w:val="auto"/>
          <w:sz w:val="30"/>
          <w:szCs w:val="30"/>
          <w:highlight w:val="none"/>
        </w:rPr>
      </w:pPr>
      <w:r>
        <w:rPr>
          <w:rFonts w:hint="eastAsia" w:ascii="宋体" w:hAnsi="宋体"/>
          <w:b/>
          <w:color w:val="auto"/>
          <w:sz w:val="30"/>
          <w:highlight w:val="none"/>
        </w:rPr>
        <w:t>注明“格式自拟”的投标内容由投标人自行制作。</w:t>
      </w:r>
      <w:r>
        <w:rPr>
          <w:rFonts w:ascii="宋体" w:hAnsi="宋体"/>
          <w:b/>
          <w:color w:val="auto"/>
          <w:sz w:val="30"/>
          <w:highlight w:val="none"/>
        </w:rPr>
        <w:br w:type="page"/>
      </w:r>
      <w:r>
        <w:rPr>
          <w:rFonts w:hint="eastAsia" w:ascii="宋体" w:hAnsi="宋体"/>
          <w:b/>
          <w:bCs/>
          <w:color w:val="auto"/>
          <w:sz w:val="30"/>
          <w:szCs w:val="30"/>
          <w:highlight w:val="none"/>
        </w:rPr>
        <w:t>投标人自评分表（格式）</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9"/>
        <w:gridCol w:w="1128"/>
        <w:gridCol w:w="4759"/>
        <w:gridCol w:w="1433"/>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r>
              <w:rPr>
                <w:rFonts w:hint="eastAsia" w:ascii="宋体" w:hAnsi="宋体"/>
                <w:color w:val="auto"/>
                <w:sz w:val="24"/>
                <w:highlight w:val="none"/>
              </w:rPr>
              <w:t>序号</w:t>
            </w: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r>
              <w:rPr>
                <w:rFonts w:hint="eastAsia" w:ascii="宋体" w:hAnsi="宋体"/>
                <w:color w:val="auto"/>
                <w:sz w:val="24"/>
                <w:highlight w:val="none"/>
              </w:rPr>
              <w:t>评审</w:t>
            </w:r>
          </w:p>
          <w:p>
            <w:pPr>
              <w:spacing w:line="260" w:lineRule="exact"/>
              <w:jc w:val="center"/>
              <w:rPr>
                <w:rFonts w:ascii="宋体" w:hAnsi="宋体"/>
                <w:color w:val="auto"/>
                <w:sz w:val="24"/>
                <w:highlight w:val="none"/>
              </w:rPr>
            </w:pPr>
            <w:r>
              <w:rPr>
                <w:rFonts w:hint="eastAsia" w:ascii="宋体" w:hAnsi="宋体"/>
                <w:color w:val="auto"/>
                <w:sz w:val="24"/>
                <w:highlight w:val="none"/>
              </w:rPr>
              <w:t>内容</w:t>
            </w: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r>
              <w:rPr>
                <w:rFonts w:hint="eastAsia" w:ascii="宋体" w:hAnsi="宋体"/>
                <w:color w:val="auto"/>
                <w:sz w:val="24"/>
                <w:highlight w:val="none"/>
              </w:rPr>
              <w:t>评分标准</w:t>
            </w: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r>
              <w:rPr>
                <w:rFonts w:hint="eastAsia" w:ascii="宋体" w:hAnsi="宋体"/>
                <w:color w:val="auto"/>
                <w:sz w:val="24"/>
                <w:highlight w:val="none"/>
              </w:rPr>
              <w:t>分值</w:t>
            </w:r>
          </w:p>
        </w:tc>
        <w:tc>
          <w:tcPr>
            <w:tcW w:w="921"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r>
              <w:rPr>
                <w:rFonts w:hint="eastAsia" w:ascii="宋体" w:hAnsi="宋体"/>
                <w:color w:val="auto"/>
                <w:sz w:val="24"/>
                <w:highlight w:val="none"/>
              </w:rPr>
              <w:t>投标文件对应页码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000000" w:sz="4" w:space="0"/>
              <w:right w:val="single" w:color="000000" w:sz="4" w:space="0"/>
            </w:tcBorders>
            <w:noWrap w:val="0"/>
            <w:vAlign w:val="top"/>
          </w:tcPr>
          <w:p>
            <w:pPr>
              <w:spacing w:line="26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128"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4759" w:type="dxa"/>
            <w:tcBorders>
              <w:top w:val="single" w:color="000000" w:sz="4" w:space="0"/>
              <w:left w:val="nil"/>
              <w:bottom w:val="single" w:color="auto"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1433" w:type="dxa"/>
            <w:tcBorders>
              <w:top w:val="single" w:color="000000" w:sz="4" w:space="0"/>
              <w:left w:val="nil"/>
              <w:bottom w:val="single" w:color="auto" w:sz="4" w:space="0"/>
              <w:right w:val="single" w:color="000000" w:sz="4" w:space="0"/>
            </w:tcBorders>
            <w:noWrap w:val="0"/>
            <w:vAlign w:val="center"/>
          </w:tcPr>
          <w:p>
            <w:pPr>
              <w:spacing w:line="260" w:lineRule="exact"/>
              <w:jc w:val="center"/>
              <w:rPr>
                <w:rFonts w:ascii="宋体" w:hAnsi="宋体"/>
                <w:color w:val="auto"/>
                <w:sz w:val="24"/>
                <w:highlight w:val="none"/>
              </w:rPr>
            </w:pPr>
          </w:p>
        </w:tc>
        <w:tc>
          <w:tcPr>
            <w:tcW w:w="921" w:type="dxa"/>
            <w:tcBorders>
              <w:top w:val="single" w:color="000000" w:sz="4" w:space="0"/>
              <w:left w:val="nil"/>
              <w:bottom w:val="single" w:color="auto" w:sz="4" w:space="0"/>
              <w:right w:val="single" w:color="000000" w:sz="4" w:space="0"/>
            </w:tcBorders>
            <w:noWrap w:val="0"/>
            <w:vAlign w:val="top"/>
          </w:tcPr>
          <w:p>
            <w:pPr>
              <w:spacing w:line="260" w:lineRule="exact"/>
              <w:jc w:val="center"/>
              <w:rPr>
                <w:rFonts w:ascii="宋体" w:hAnsi="宋体"/>
                <w:color w:val="auto"/>
                <w:sz w:val="24"/>
                <w:highlight w:val="none"/>
              </w:rPr>
            </w:pPr>
          </w:p>
        </w:tc>
      </w:tr>
    </w:tbl>
    <w:p>
      <w:pPr>
        <w:snapToGrid w:val="0"/>
        <w:spacing w:line="400" w:lineRule="exact"/>
        <w:ind w:firstLine="480" w:firstLineChars="200"/>
        <w:jc w:val="left"/>
        <w:rPr>
          <w:rFonts w:ascii="宋体" w:hAnsi="宋体"/>
          <w:color w:val="auto"/>
          <w:sz w:val="24"/>
          <w:highlight w:val="none"/>
        </w:rPr>
      </w:pPr>
    </w:p>
    <w:p>
      <w:pPr>
        <w:snapToGrid w:val="0"/>
        <w:spacing w:line="400" w:lineRule="exact"/>
        <w:jc w:val="left"/>
        <w:rPr>
          <w:rFonts w:hint="eastAsia" w:ascii="宋体" w:hAnsi="宋体"/>
          <w:color w:val="auto"/>
          <w:sz w:val="24"/>
          <w:highlight w:val="none"/>
        </w:rPr>
      </w:pPr>
      <w:r>
        <w:rPr>
          <w:rFonts w:hint="eastAsia" w:ascii="宋体" w:hAnsi="宋体"/>
          <w:color w:val="auto"/>
          <w:sz w:val="24"/>
          <w:highlight w:val="none"/>
        </w:rPr>
        <w:t xml:space="preserve"> </w:t>
      </w:r>
    </w:p>
    <w:p>
      <w:pPr>
        <w:widowControl/>
        <w:shd w:val="clear" w:color="auto" w:fill="FFFFFF"/>
        <w:spacing w:before="100" w:beforeAutospacing="1" w:after="100" w:afterAutospacing="1" w:line="500" w:lineRule="atLeast"/>
        <w:jc w:val="center"/>
        <w:rPr>
          <w:rFonts w:ascii="宋体" w:hAnsi="宋体" w:cs="宋体"/>
          <w:b/>
          <w:color w:val="auto"/>
          <w:kern w:val="0"/>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一、</w:t>
      </w:r>
      <w:r>
        <w:rPr>
          <w:rFonts w:ascii="宋体" w:hAnsi="宋体"/>
          <w:b/>
          <w:color w:val="auto"/>
          <w:sz w:val="32"/>
          <w:szCs w:val="32"/>
          <w:highlight w:val="none"/>
        </w:rPr>
        <w:t>法定代表人授权委托书</w:t>
      </w:r>
    </w:p>
    <w:p>
      <w:pPr>
        <w:shd w:val="clear" w:color="auto" w:fill="FFFFFF"/>
        <w:snapToGrid w:val="0"/>
        <w:spacing w:after="50"/>
        <w:rPr>
          <w:rFonts w:hint="eastAsia" w:ascii="宋体" w:hAnsi="宋体"/>
          <w:bCs/>
          <w:color w:val="auto"/>
          <w:sz w:val="24"/>
          <w:highlight w:val="none"/>
        </w:rPr>
      </w:pPr>
      <w:r>
        <w:rPr>
          <w:rFonts w:ascii="_5b8b_4f53" w:hAnsi="_5b8b_4f53" w:cs="宋体"/>
          <w:color w:val="auto"/>
          <w:kern w:val="0"/>
          <w:szCs w:val="28"/>
          <w:highlight w:val="none"/>
        </w:rPr>
        <w:t> </w:t>
      </w:r>
    </w:p>
    <w:p>
      <w:pPr>
        <w:shd w:val="clear" w:color="auto" w:fill="FFFFFF"/>
        <w:snapToGrid w:val="0"/>
        <w:spacing w:after="50"/>
        <w:rPr>
          <w:rFonts w:hint="eastAsia" w:hAnsi="宋体"/>
          <w:color w:val="auto"/>
          <w:sz w:val="24"/>
          <w:highlight w:val="none"/>
        </w:rPr>
      </w:pPr>
      <w:r>
        <w:rPr>
          <w:rFonts w:hint="eastAsia" w:hAnsi="宋体"/>
          <w:color w:val="auto"/>
          <w:sz w:val="24"/>
          <w:highlight w:val="none"/>
        </w:rPr>
        <w:t>浙江省金华监狱：</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我______</w:t>
      </w:r>
      <w:r>
        <w:rPr>
          <w:rFonts w:hint="eastAsia" w:ascii="宋体" w:hAnsi="宋体"/>
          <w:color w:val="auto"/>
          <w:sz w:val="24"/>
          <w:highlight w:val="none"/>
          <w:u w:val="single"/>
        </w:rPr>
        <w:t>_     _</w:t>
      </w:r>
      <w:r>
        <w:rPr>
          <w:rFonts w:hint="eastAsia" w:ascii="宋体" w:hAnsi="宋体"/>
          <w:color w:val="auto"/>
          <w:sz w:val="24"/>
          <w:highlight w:val="none"/>
        </w:rPr>
        <w:t>_（姓名）系______</w:t>
      </w:r>
      <w:r>
        <w:rPr>
          <w:rFonts w:hint="eastAsia" w:ascii="宋体" w:hAnsi="宋体"/>
          <w:color w:val="auto"/>
          <w:sz w:val="24"/>
          <w:highlight w:val="none"/>
          <w:u w:val="single"/>
        </w:rPr>
        <w:t>_     _</w:t>
      </w:r>
      <w:r>
        <w:rPr>
          <w:rFonts w:hint="eastAsia" w:ascii="宋体" w:hAnsi="宋体"/>
          <w:color w:val="auto"/>
          <w:sz w:val="24"/>
          <w:highlight w:val="none"/>
        </w:rPr>
        <w:t>_（投标人名称）的法定代表人，现授权委托本单位在职职工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s="Arial"/>
          <w:color w:val="auto"/>
          <w:sz w:val="24"/>
          <w:highlight w:val="none"/>
        </w:rPr>
        <w:t>浙江省金华监狱移动**录音复听、智慧督查APP应用系统采购项目</w:t>
      </w:r>
      <w:r>
        <w:rPr>
          <w:rFonts w:hint="eastAsia" w:ascii="宋体" w:hAnsi="宋体"/>
          <w:color w:val="auto"/>
          <w:sz w:val="24"/>
          <w:highlight w:val="none"/>
        </w:rPr>
        <w:t>的投标活动，并代表我方全权办理针对上述项目的投标、开标、评标、签约等具体事务和签署相关文件。</w:t>
      </w:r>
    </w:p>
    <w:p>
      <w:pPr>
        <w:shd w:val="clear" w:color="auto" w:fill="FFFFFF"/>
        <w:snapToGrid w:val="0"/>
        <w:spacing w:after="50" w:line="360" w:lineRule="auto"/>
        <w:rPr>
          <w:rFonts w:hint="eastAsia"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hd w:val="clear" w:color="auto" w:fill="FFFFFF"/>
        <w:snapToGrid w:val="0"/>
        <w:spacing w:after="50" w:line="360" w:lineRule="auto"/>
        <w:ind w:firstLine="480"/>
        <w:rPr>
          <w:rFonts w:hint="eastAsia" w:ascii="宋体" w:hAnsi="宋体"/>
          <w:color w:val="auto"/>
          <w:sz w:val="24"/>
          <w:highlight w:val="none"/>
        </w:rPr>
      </w:pPr>
      <w:r>
        <w:rPr>
          <w:rFonts w:hint="eastAsia" w:ascii="宋体" w:hAnsi="宋体"/>
          <w:color w:val="auto"/>
          <w:sz w:val="24"/>
          <w:highlight w:val="none"/>
        </w:rPr>
        <w:t>在撤销授权的书面通知以前，本授权书一直有效。被授权人在授权书有效期内签署的所有文件不因授权的撤销而失效。</w:t>
      </w:r>
    </w:p>
    <w:p>
      <w:pPr>
        <w:shd w:val="clear" w:color="auto" w:fill="FFFFFF"/>
        <w:snapToGrid w:val="0"/>
        <w:spacing w:after="50" w:line="360" w:lineRule="auto"/>
        <w:ind w:firstLine="480"/>
        <w:rPr>
          <w:rFonts w:hint="eastAsia" w:ascii="宋体" w:hAnsi="宋体"/>
          <w:color w:val="auto"/>
          <w:sz w:val="24"/>
          <w:highlight w:val="none"/>
        </w:rPr>
      </w:pPr>
      <w:r>
        <w:rPr>
          <w:rFonts w:hint="eastAsia" w:ascii="宋体" w:hAnsi="宋体"/>
          <w:color w:val="auto"/>
          <w:sz w:val="24"/>
          <w:highlight w:val="none"/>
        </w:rPr>
        <w:t>被授权人无转委托权，特此委托。</w:t>
      </w:r>
    </w:p>
    <w:p>
      <w:pPr>
        <w:shd w:val="clear" w:color="auto" w:fill="FFFFFF"/>
        <w:snapToGrid w:val="0"/>
        <w:spacing w:after="50"/>
        <w:rPr>
          <w:rFonts w:hint="eastAsia" w:ascii="宋体" w:hAnsi="宋体"/>
          <w:color w:val="auto"/>
          <w:sz w:val="24"/>
          <w:szCs w:val="20"/>
          <w:highlight w:val="none"/>
        </w:rPr>
      </w:pPr>
      <w:r>
        <w:rPr>
          <w:rFonts w:hint="eastAsia" w:ascii="宋体" w:hAnsi="宋体"/>
          <w:color w:val="auto"/>
          <w:sz w:val="24"/>
          <w:szCs w:val="20"/>
          <w:highlight w:val="none"/>
        </w:rPr>
        <w:t> </w:t>
      </w:r>
    </w:p>
    <w:p>
      <w:pPr>
        <w:shd w:val="clear" w:color="auto" w:fill="FFFFFF"/>
        <w:snapToGrid w:val="0"/>
        <w:spacing w:after="50"/>
        <w:rPr>
          <w:rFonts w:hint="eastAsia" w:ascii="宋体" w:hAnsi="宋体"/>
          <w:color w:val="auto"/>
          <w:sz w:val="24"/>
          <w:szCs w:val="20"/>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法定代表人签名：</w:t>
      </w:r>
      <w:r>
        <w:rPr>
          <w:rFonts w:hint="eastAsia" w:ascii="宋体" w:hAnsi="宋体"/>
          <w:color w:val="auto"/>
          <w:sz w:val="24"/>
          <w:highlight w:val="none"/>
          <w:u w:val="single"/>
        </w:rPr>
        <w:t xml:space="preserve">          </w:t>
      </w:r>
    </w:p>
    <w:p>
      <w:pPr>
        <w:shd w:val="clear" w:color="auto" w:fill="FFFFFF"/>
        <w:snapToGrid w:val="0"/>
        <w:spacing w:after="50"/>
        <w:ind w:firstLine="960" w:firstLineChars="400"/>
        <w:rPr>
          <w:rFonts w:hint="eastAsia" w:ascii="宋体" w:hAnsi="宋体"/>
          <w:color w:val="auto"/>
          <w:sz w:val="24"/>
          <w:szCs w:val="20"/>
          <w:highlight w:val="none"/>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hd w:val="clear" w:color="auto" w:fill="FFFFFF"/>
        <w:snapToGrid w:val="0"/>
        <w:spacing w:after="50"/>
        <w:rPr>
          <w:rFonts w:hint="eastAsia" w:ascii="宋体" w:hAnsi="宋体"/>
          <w:color w:val="auto"/>
          <w:sz w:val="24"/>
          <w:highlight w:val="none"/>
        </w:rPr>
      </w:pPr>
    </w:p>
    <w:p>
      <w:pPr>
        <w:shd w:val="clear" w:color="auto" w:fill="FFFFFF"/>
        <w:snapToGrid w:val="0"/>
        <w:spacing w:after="50"/>
        <w:rPr>
          <w:rFonts w:hint="eastAsia" w:ascii="宋体" w:hAnsi="宋体"/>
          <w:color w:val="auto"/>
          <w:sz w:val="24"/>
          <w:highlight w:val="none"/>
        </w:rPr>
      </w:pPr>
    </w:p>
    <w:p>
      <w:pPr>
        <w:shd w:val="clear" w:color="auto" w:fill="FFFFFF"/>
        <w:snapToGrid w:val="0"/>
        <w:spacing w:after="50"/>
        <w:rPr>
          <w:rFonts w:hint="eastAsia" w:ascii="宋体" w:hAnsi="宋体"/>
          <w:color w:val="auto"/>
          <w:sz w:val="24"/>
          <w:highlight w:val="none"/>
        </w:rPr>
      </w:pPr>
    </w:p>
    <w:p>
      <w:pPr>
        <w:snapToGrid w:val="0"/>
        <w:spacing w:line="360" w:lineRule="auto"/>
        <w:ind w:firstLine="480"/>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后附：1.法定代表人身份证复印件（双面）；</w:t>
      </w:r>
    </w:p>
    <w:p>
      <w:pPr>
        <w:snapToGrid w:val="0"/>
        <w:spacing w:before="120" w:beforeLines="50" w:after="50" w:line="360" w:lineRule="auto"/>
        <w:ind w:firstLine="904" w:firstLineChars="300"/>
        <w:rPr>
          <w:rFonts w:hint="eastAsia" w:ascii="宋体" w:hAnsi="宋体" w:cs="宋体"/>
          <w:b/>
          <w:color w:val="auto"/>
          <w:sz w:val="30"/>
          <w:szCs w:val="30"/>
          <w:highlight w:val="none"/>
        </w:rPr>
      </w:pPr>
      <w:r>
        <w:rPr>
          <w:rFonts w:hint="eastAsia" w:ascii="宋体" w:hAnsi="宋体" w:cs="宋体"/>
          <w:b/>
          <w:color w:val="auto"/>
          <w:sz w:val="30"/>
          <w:szCs w:val="30"/>
          <w:highlight w:val="none"/>
        </w:rPr>
        <w:t>2.被授权人身份证复印件（双面）；</w:t>
      </w:r>
    </w:p>
    <w:p>
      <w:pPr>
        <w:snapToGrid w:val="0"/>
        <w:spacing w:before="120" w:beforeLines="50" w:after="50" w:line="360" w:lineRule="auto"/>
        <w:ind w:firstLine="904" w:firstLineChars="300"/>
        <w:rPr>
          <w:rFonts w:hint="eastAsia" w:ascii="宋体" w:hAnsi="宋体" w:cs="宋体"/>
          <w:b/>
          <w:color w:val="auto"/>
          <w:sz w:val="30"/>
          <w:szCs w:val="30"/>
          <w:highlight w:val="none"/>
        </w:rPr>
      </w:pPr>
      <w:r>
        <w:rPr>
          <w:rFonts w:hint="eastAsia" w:ascii="宋体" w:hAnsi="宋体" w:cs="宋体"/>
          <w:b/>
          <w:color w:val="auto"/>
          <w:sz w:val="30"/>
          <w:szCs w:val="30"/>
          <w:highlight w:val="none"/>
        </w:rPr>
        <w:t>3.被授权人在投标企业的社保缴纳材料复印件或相关说明。</w:t>
      </w:r>
    </w:p>
    <w:p>
      <w:pPr>
        <w:shd w:val="clear" w:color="auto" w:fill="FFFFFF"/>
        <w:snapToGrid w:val="0"/>
        <w:spacing w:after="50"/>
        <w:rPr>
          <w:rFonts w:hint="eastAsia" w:ascii="宋体" w:hAnsi="宋体"/>
          <w:color w:val="auto"/>
          <w:sz w:val="24"/>
          <w:highlight w:val="none"/>
        </w:rPr>
      </w:pPr>
      <w:r>
        <w:rPr>
          <w:rFonts w:hint="eastAsia" w:ascii="宋体" w:hAnsi="宋体"/>
          <w:color w:val="auto"/>
          <w:sz w:val="24"/>
          <w:highlight w:val="none"/>
        </w:rPr>
        <w:t> </w:t>
      </w:r>
    </w:p>
    <w:p>
      <w:pPr>
        <w:shd w:val="clear" w:color="auto" w:fill="FFFFFF"/>
        <w:snapToGrid w:val="0"/>
        <w:spacing w:after="50"/>
        <w:rPr>
          <w:rFonts w:hint="eastAsia" w:ascii="宋体" w:hAnsi="宋体"/>
          <w:color w:val="auto"/>
          <w:sz w:val="24"/>
          <w:highlight w:val="none"/>
        </w:rPr>
      </w:pPr>
      <w:r>
        <w:rPr>
          <w:rFonts w:hint="eastAsia" w:ascii="宋体" w:hAnsi="宋体"/>
          <w:color w:val="auto"/>
          <w:sz w:val="24"/>
          <w:highlight w:val="none"/>
        </w:rPr>
        <w:t xml:space="preserve"> </w:t>
      </w:r>
    </w:p>
    <w:p>
      <w:pPr>
        <w:shd w:val="clear" w:color="auto" w:fill="FFFFFF"/>
        <w:snapToGrid w:val="0"/>
        <w:spacing w:after="50"/>
        <w:rPr>
          <w:rFonts w:hint="eastAsia" w:ascii="宋体" w:hAnsi="宋体"/>
          <w:color w:val="auto"/>
          <w:sz w:val="24"/>
          <w:szCs w:val="20"/>
          <w:highlight w:val="none"/>
        </w:rPr>
      </w:pPr>
      <w:r>
        <w:rPr>
          <w:rFonts w:hint="eastAsia" w:ascii="宋体" w:hAnsi="宋体"/>
          <w:color w:val="auto"/>
          <w:sz w:val="24"/>
          <w:highlight w:val="none"/>
        </w:rPr>
        <w:t> </w:t>
      </w:r>
      <w:r>
        <w:rPr>
          <w:rFonts w:hint="eastAsia" w:ascii="宋体" w:hAnsi="宋体"/>
          <w:color w:val="auto"/>
          <w:sz w:val="24"/>
          <w:szCs w:val="20"/>
          <w:highlight w:val="none"/>
        </w:rPr>
        <w:t> </w:t>
      </w:r>
    </w:p>
    <w:p>
      <w:pPr>
        <w:shd w:val="clear" w:color="auto" w:fill="FFFFFF"/>
        <w:snapToGrid w:val="0"/>
        <w:spacing w:after="50"/>
        <w:rPr>
          <w:rFonts w:hint="eastAsia" w:ascii="宋体" w:hAnsi="宋体"/>
          <w:color w:val="auto"/>
          <w:sz w:val="24"/>
          <w:szCs w:val="20"/>
          <w:highlight w:val="none"/>
        </w:rPr>
      </w:pPr>
      <w:r>
        <w:rPr>
          <w:rFonts w:hint="eastAsia" w:ascii="宋体" w:hAnsi="宋体"/>
          <w:color w:val="auto"/>
          <w:sz w:val="24"/>
          <w:highlight w:val="none"/>
        </w:rPr>
        <w:t xml:space="preserve">                                         投标人全称（公章）：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widowControl/>
        <w:shd w:val="clear" w:color="auto" w:fill="FFFFFF"/>
        <w:spacing w:before="100" w:beforeAutospacing="1" w:after="100" w:afterAutospacing="1" w:line="440" w:lineRule="atLeast"/>
        <w:rPr>
          <w:rFonts w:ascii="宋体" w:hAnsi="宋体" w:cs="宋体"/>
          <w:color w:val="auto"/>
          <w:kern w:val="0"/>
          <w:sz w:val="27"/>
          <w:szCs w:val="27"/>
          <w:highlight w:val="none"/>
        </w:rPr>
      </w:pPr>
      <w:r>
        <w:rPr>
          <w:rFonts w:ascii="_5b8b_4f53" w:hAnsi="_5b8b_4f53" w:cs="宋体"/>
          <w:color w:val="auto"/>
          <w:kern w:val="0"/>
          <w:sz w:val="27"/>
          <w:szCs w:val="27"/>
          <w:highlight w:val="none"/>
        </w:rPr>
        <w:t> </w:t>
      </w:r>
      <w:r>
        <w:rPr>
          <w:rFonts w:cs="宋体"/>
          <w:color w:val="auto"/>
          <w:kern w:val="0"/>
          <w:sz w:val="27"/>
          <w:szCs w:val="27"/>
          <w:highlight w:val="none"/>
        </w:rPr>
        <w:t> </w:t>
      </w:r>
    </w:p>
    <w:p>
      <w:pPr>
        <w:widowControl/>
        <w:shd w:val="clear" w:color="auto" w:fill="FFFFFF"/>
        <w:spacing w:before="100" w:beforeAutospacing="1" w:after="100" w:afterAutospacing="1"/>
        <w:jc w:val="center"/>
        <w:rPr>
          <w:rFonts w:hint="eastAsia" w:ascii="_5b8b_4f53" w:hAnsi="_5b8b_4f53" w:cs="宋体"/>
          <w:color w:val="auto"/>
          <w:kern w:val="0"/>
          <w:sz w:val="27"/>
          <w:szCs w:val="27"/>
          <w:highlight w:val="none"/>
        </w:rPr>
      </w:pPr>
      <w:bookmarkStart w:id="0" w:name="_Toc24832"/>
      <w:bookmarkEnd w:id="0"/>
    </w:p>
    <w:p>
      <w:pPr>
        <w:widowControl/>
        <w:shd w:val="clear" w:color="auto" w:fill="FFFFFF"/>
        <w:spacing w:before="100" w:beforeAutospacing="1" w:after="100" w:afterAutospacing="1"/>
        <w:jc w:val="center"/>
        <w:rPr>
          <w:rFonts w:ascii="宋体" w:hAnsi="宋体" w:cs="宋体"/>
          <w:color w:val="auto"/>
          <w:kern w:val="0"/>
          <w:sz w:val="27"/>
          <w:szCs w:val="27"/>
          <w:highlight w:val="none"/>
        </w:rPr>
      </w:pPr>
      <w:r>
        <w:rPr>
          <w:rFonts w:ascii="_5b8b_4f53" w:hAnsi="_5b8b_4f53" w:cs="宋体"/>
          <w:color w:val="auto"/>
          <w:kern w:val="0"/>
          <w:sz w:val="27"/>
          <w:szCs w:val="27"/>
          <w:highlight w:val="none"/>
        </w:rPr>
        <w:t>法定代表人身份证明书</w:t>
      </w:r>
    </w:p>
    <w:p>
      <w:pPr>
        <w:widowControl/>
        <w:shd w:val="clear" w:color="auto" w:fill="FFFFFF"/>
        <w:spacing w:before="100" w:beforeAutospacing="1" w:after="100" w:afterAutospacing="1" w:line="500" w:lineRule="atLeast"/>
        <w:ind w:firstLine="358"/>
        <w:rPr>
          <w:rFonts w:ascii="宋体" w:hAnsi="宋体" w:cs="宋体"/>
          <w:color w:val="auto"/>
          <w:kern w:val="0"/>
          <w:sz w:val="27"/>
          <w:szCs w:val="27"/>
          <w:highlight w:val="none"/>
        </w:rPr>
      </w:pPr>
      <w:r>
        <w:rPr>
          <w:rFonts w:ascii="_5b8b_4f53" w:hAnsi="_5b8b_4f53" w:cs="宋体"/>
          <w:color w:val="auto"/>
          <w:kern w:val="0"/>
          <w:szCs w:val="28"/>
          <w:highlight w:val="none"/>
        </w:rPr>
        <w:t> </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rPr>
      </w:pPr>
      <w:r>
        <w:rPr>
          <w:rFonts w:ascii="_5b8b_4f53" w:hAnsi="_5b8b_4f53" w:cs="宋体"/>
          <w:color w:val="auto"/>
          <w:spacing w:val="8"/>
          <w:kern w:val="0"/>
          <w:sz w:val="24"/>
          <w:highlight w:val="none"/>
        </w:rPr>
        <w:t>单位名称：</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rPr>
      </w:pPr>
      <w:r>
        <w:rPr>
          <w:rFonts w:ascii="_5b8b_4f53" w:hAnsi="_5b8b_4f53" w:cs="宋体"/>
          <w:color w:val="auto"/>
          <w:spacing w:val="8"/>
          <w:kern w:val="0"/>
          <w:sz w:val="24"/>
          <w:highlight w:val="none"/>
        </w:rPr>
        <w:t> </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rPr>
      </w:pPr>
      <w:r>
        <w:rPr>
          <w:rFonts w:ascii="_5b8b_4f53" w:hAnsi="_5b8b_4f53" w:cs="宋体"/>
          <w:color w:val="auto"/>
          <w:spacing w:val="8"/>
          <w:kern w:val="0"/>
          <w:sz w:val="24"/>
          <w:highlight w:val="none"/>
        </w:rPr>
        <w:t>地    址：</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rPr>
      </w:pPr>
      <w:r>
        <w:rPr>
          <w:rFonts w:ascii="_5b8b_4f53" w:hAnsi="_5b8b_4f53" w:cs="宋体"/>
          <w:color w:val="auto"/>
          <w:spacing w:val="8"/>
          <w:kern w:val="0"/>
          <w:sz w:val="24"/>
          <w:highlight w:val="none"/>
        </w:rPr>
        <w:t> </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rPr>
      </w:pPr>
      <w:r>
        <w:rPr>
          <w:rFonts w:ascii="_5b8b_4f53" w:hAnsi="_5b8b_4f53" w:cs="宋体"/>
          <w:color w:val="auto"/>
          <w:spacing w:val="8"/>
          <w:kern w:val="0"/>
          <w:sz w:val="24"/>
          <w:highlight w:val="none"/>
        </w:rPr>
        <w:t>姓名：</w:t>
      </w:r>
      <w:r>
        <w:rPr>
          <w:rFonts w:hint="eastAsia" w:ascii="_5b8b_4f53" w:hAnsi="_5b8b_4f53" w:cs="宋体"/>
          <w:color w:val="auto"/>
          <w:spacing w:val="8"/>
          <w:kern w:val="0"/>
          <w:sz w:val="24"/>
          <w:highlight w:val="none"/>
          <w:u w:val="single"/>
        </w:rPr>
        <w:t xml:space="preserve">          </w:t>
      </w:r>
      <w:r>
        <w:rPr>
          <w:rFonts w:ascii="_5b8b_4f53" w:hAnsi="_5b8b_4f53" w:cs="宋体"/>
          <w:color w:val="auto"/>
          <w:spacing w:val="8"/>
          <w:kern w:val="0"/>
          <w:sz w:val="24"/>
          <w:highlight w:val="none"/>
        </w:rPr>
        <w:t>性别</w:t>
      </w:r>
      <w:r>
        <w:rPr>
          <w:rFonts w:ascii="_5b8b_4f53" w:hAnsi="_5b8b_4f53" w:cs="宋体"/>
          <w:color w:val="auto"/>
          <w:spacing w:val="8"/>
          <w:kern w:val="0"/>
          <w:sz w:val="24"/>
          <w:highlight w:val="none"/>
          <w:u w:val="single"/>
        </w:rPr>
        <w:t>：       </w:t>
      </w:r>
      <w:r>
        <w:rPr>
          <w:rFonts w:ascii="_5b8b_4f53" w:hAnsi="_5b8b_4f53" w:cs="宋体"/>
          <w:color w:val="auto"/>
          <w:spacing w:val="8"/>
          <w:kern w:val="0"/>
          <w:sz w:val="24"/>
          <w:highlight w:val="none"/>
        </w:rPr>
        <w:t>年龄</w:t>
      </w:r>
      <w:r>
        <w:rPr>
          <w:rFonts w:ascii="_5b8b_4f53" w:hAnsi="_5b8b_4f53" w:cs="宋体"/>
          <w:color w:val="auto"/>
          <w:spacing w:val="8"/>
          <w:kern w:val="0"/>
          <w:sz w:val="24"/>
          <w:highlight w:val="none"/>
          <w:u w:val="single"/>
        </w:rPr>
        <w:t>：      </w:t>
      </w:r>
      <w:r>
        <w:rPr>
          <w:rFonts w:ascii="_5b8b_4f53" w:hAnsi="_5b8b_4f53" w:cs="宋体"/>
          <w:color w:val="auto"/>
          <w:spacing w:val="8"/>
          <w:kern w:val="0"/>
          <w:sz w:val="24"/>
          <w:highlight w:val="none"/>
        </w:rPr>
        <w:t>职务</w:t>
      </w:r>
      <w:r>
        <w:rPr>
          <w:rFonts w:ascii="_5b8b_4f53" w:hAnsi="_5b8b_4f53" w:cs="宋体"/>
          <w:color w:val="auto"/>
          <w:spacing w:val="8"/>
          <w:kern w:val="0"/>
          <w:sz w:val="24"/>
          <w:highlight w:val="none"/>
          <w:u w:val="single"/>
        </w:rPr>
        <w:t>：        </w:t>
      </w:r>
    </w:p>
    <w:p>
      <w:pPr>
        <w:widowControl/>
        <w:shd w:val="clear" w:color="auto" w:fill="FFFFFF"/>
        <w:spacing w:before="100" w:beforeAutospacing="1" w:after="100" w:afterAutospacing="1" w:line="500" w:lineRule="atLeast"/>
        <w:ind w:firstLine="384"/>
        <w:rPr>
          <w:rFonts w:ascii="宋体" w:hAnsi="宋体" w:cs="宋体"/>
          <w:color w:val="auto"/>
          <w:kern w:val="0"/>
          <w:sz w:val="27"/>
          <w:szCs w:val="27"/>
          <w:highlight w:val="none"/>
        </w:rPr>
      </w:pPr>
      <w:r>
        <w:rPr>
          <w:rFonts w:ascii="_5b8b_4f53" w:hAnsi="_5b8b_4f53" w:cs="宋体"/>
          <w:color w:val="auto"/>
          <w:spacing w:val="8"/>
          <w:kern w:val="0"/>
          <w:sz w:val="24"/>
          <w:highlight w:val="none"/>
        </w:rPr>
        <w:t>系</w:t>
      </w:r>
      <w:r>
        <w:rPr>
          <w:rFonts w:hint="eastAsia" w:ascii="_5b8b_4f53" w:hAnsi="_5b8b_4f53" w:cs="宋体"/>
          <w:color w:val="auto"/>
          <w:spacing w:val="8"/>
          <w:kern w:val="0"/>
          <w:sz w:val="24"/>
          <w:highlight w:val="none"/>
        </w:rPr>
        <w:t xml:space="preserve"> </w:t>
      </w:r>
      <w:r>
        <w:rPr>
          <w:rFonts w:hint="eastAsia" w:ascii="_5b8b_4f53" w:hAnsi="_5b8b_4f53" w:cs="宋体"/>
          <w:color w:val="auto"/>
          <w:spacing w:val="8"/>
          <w:kern w:val="0"/>
          <w:sz w:val="24"/>
          <w:highlight w:val="none"/>
          <w:u w:val="single"/>
        </w:rPr>
        <w:t xml:space="preserve">                           </w:t>
      </w:r>
      <w:r>
        <w:rPr>
          <w:rFonts w:hint="eastAsia" w:ascii="_5b8b_4f53" w:hAnsi="_5b8b_4f53" w:cs="宋体"/>
          <w:color w:val="auto"/>
          <w:spacing w:val="8"/>
          <w:kern w:val="0"/>
          <w:sz w:val="24"/>
          <w:highlight w:val="none"/>
        </w:rPr>
        <w:t xml:space="preserve"> </w:t>
      </w:r>
      <w:r>
        <w:rPr>
          <w:rFonts w:ascii="_5b8b_4f53" w:hAnsi="_5b8b_4f53" w:cs="宋体"/>
          <w:color w:val="auto"/>
          <w:spacing w:val="8"/>
          <w:kern w:val="0"/>
          <w:sz w:val="24"/>
          <w:highlight w:val="none"/>
        </w:rPr>
        <w:t>的法定代表人 </w:t>
      </w:r>
      <w:r>
        <w:rPr>
          <w:rFonts w:hint="eastAsia" w:ascii="_5b8b_4f53" w:hAnsi="_5b8b_4f53" w:cs="宋体"/>
          <w:color w:val="auto"/>
          <w:spacing w:val="8"/>
          <w:kern w:val="0"/>
          <w:sz w:val="24"/>
          <w:highlight w:val="none"/>
        </w:rPr>
        <w:t>。</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rPr>
      </w:pPr>
      <w:r>
        <w:rPr>
          <w:rFonts w:ascii="_5b8b_4f53" w:hAnsi="_5b8b_4f53" w:cs="宋体"/>
          <w:color w:val="auto"/>
          <w:spacing w:val="8"/>
          <w:kern w:val="0"/>
          <w:sz w:val="24"/>
          <w:highlight w:val="none"/>
        </w:rPr>
        <w:t> </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rPr>
      </w:pPr>
      <w:r>
        <w:rPr>
          <w:rFonts w:ascii="_5b8b_4f53" w:hAnsi="_5b8b_4f53" w:cs="宋体"/>
          <w:color w:val="auto"/>
          <w:spacing w:val="8"/>
          <w:kern w:val="0"/>
          <w:sz w:val="24"/>
          <w:highlight w:val="none"/>
        </w:rPr>
        <w:t>特此证明。</w:t>
      </w:r>
    </w:p>
    <w:p>
      <w:pPr>
        <w:widowControl/>
        <w:shd w:val="clear" w:color="auto" w:fill="FFFFFF"/>
        <w:spacing w:before="100" w:beforeAutospacing="1" w:after="100" w:afterAutospacing="1" w:line="500" w:lineRule="atLeast"/>
        <w:rPr>
          <w:rFonts w:ascii="宋体" w:hAnsi="宋体" w:cs="宋体"/>
          <w:color w:val="auto"/>
          <w:kern w:val="0"/>
          <w:sz w:val="27"/>
          <w:szCs w:val="27"/>
          <w:highlight w:val="none"/>
        </w:rPr>
      </w:pPr>
      <w:r>
        <w:rPr>
          <w:rFonts w:ascii="_5b8b_4f53" w:hAnsi="_5b8b_4f53" w:cs="宋体"/>
          <w:color w:val="auto"/>
          <w:kern w:val="0"/>
          <w:szCs w:val="28"/>
          <w:highlight w:val="none"/>
        </w:rPr>
        <w:t> </w:t>
      </w:r>
    </w:p>
    <w:p>
      <w:pPr>
        <w:widowControl/>
        <w:shd w:val="clear" w:color="auto" w:fill="FFFFFF"/>
        <w:spacing w:before="100" w:beforeAutospacing="1" w:after="100" w:afterAutospacing="1" w:line="500" w:lineRule="atLeast"/>
        <w:rPr>
          <w:rFonts w:ascii="宋体" w:hAnsi="宋体" w:cs="宋体"/>
          <w:color w:val="auto"/>
          <w:kern w:val="0"/>
          <w:sz w:val="27"/>
          <w:szCs w:val="27"/>
          <w:highlight w:val="none"/>
        </w:rPr>
      </w:pPr>
      <w:r>
        <w:rPr>
          <w:rFonts w:ascii="_5b8b_4f53" w:hAnsi="_5b8b_4f53" w:cs="宋体"/>
          <w:color w:val="auto"/>
          <w:kern w:val="0"/>
          <w:szCs w:val="28"/>
          <w:highlight w:val="none"/>
        </w:rPr>
        <w:t> </w:t>
      </w:r>
    </w:p>
    <w:p>
      <w:pPr>
        <w:shd w:val="clear" w:color="auto" w:fill="FFFFFF"/>
        <w:snapToGrid w:val="0"/>
        <w:spacing w:after="50"/>
        <w:rPr>
          <w:rFonts w:hint="eastAsia" w:ascii="宋体" w:hAnsi="宋体"/>
          <w:color w:val="auto"/>
          <w:sz w:val="24"/>
          <w:szCs w:val="20"/>
          <w:highlight w:val="none"/>
        </w:rPr>
      </w:pPr>
      <w:r>
        <w:rPr>
          <w:rFonts w:ascii="_5b8b_4f53" w:hAnsi="_5b8b_4f53" w:cs="宋体"/>
          <w:color w:val="auto"/>
          <w:kern w:val="0"/>
          <w:szCs w:val="28"/>
          <w:highlight w:val="none"/>
        </w:rPr>
        <w:t> </w:t>
      </w:r>
      <w:r>
        <w:rPr>
          <w:rFonts w:hint="eastAsia" w:ascii="宋体" w:hAnsi="宋体"/>
          <w:color w:val="auto"/>
          <w:sz w:val="24"/>
          <w:highlight w:val="none"/>
        </w:rPr>
        <w:t xml:space="preserve">                                               投标人全称（公章）：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jc w:val="center"/>
        <w:rPr>
          <w:rFonts w:ascii="宋体" w:hAnsi="宋体"/>
          <w:color w:val="auto"/>
          <w:sz w:val="30"/>
          <w:szCs w:val="30"/>
          <w:highlight w:val="none"/>
        </w:rPr>
      </w:pPr>
    </w:p>
    <w:p>
      <w:pPr>
        <w:snapToGrid w:val="0"/>
        <w:spacing w:before="120" w:beforeLines="50" w:after="50"/>
        <w:jc w:val="center"/>
        <w:rPr>
          <w:rFonts w:ascii="宋体" w:hAnsi="宋体" w:cs="宋体"/>
          <w:b/>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rPr>
        <w:t>二、</w:t>
      </w:r>
      <w:r>
        <w:rPr>
          <w:rFonts w:hint="eastAsia" w:ascii="宋体" w:hAnsi="宋体" w:cs="宋体"/>
          <w:b/>
          <w:color w:val="auto"/>
          <w:sz w:val="30"/>
          <w:szCs w:val="30"/>
          <w:highlight w:val="none"/>
        </w:rPr>
        <w:t>投标声明书（格式）</w:t>
      </w:r>
    </w:p>
    <w:p>
      <w:pPr>
        <w:snapToGrid w:val="0"/>
        <w:spacing w:before="120" w:beforeLines="50" w:after="50"/>
        <w:jc w:val="center"/>
        <w:rPr>
          <w:rFonts w:ascii="宋体" w:hAnsi="宋体" w:cs="宋体"/>
          <w:b/>
          <w:color w:val="auto"/>
          <w:sz w:val="30"/>
          <w:szCs w:val="30"/>
          <w:highlight w:val="none"/>
        </w:rPr>
      </w:pPr>
    </w:p>
    <w:p>
      <w:pPr>
        <w:snapToGrid w:val="0"/>
        <w:spacing w:line="360" w:lineRule="auto"/>
        <w:rPr>
          <w:rFonts w:hint="eastAsia" w:ascii="宋体" w:hAnsi="宋体" w:cs="宋体"/>
          <w:b/>
          <w:bCs/>
          <w:color w:val="auto"/>
          <w:sz w:val="24"/>
          <w:szCs w:val="20"/>
          <w:highlight w:val="none"/>
        </w:rPr>
      </w:pPr>
      <w:r>
        <w:rPr>
          <w:rFonts w:hint="eastAsia" w:ascii="宋体" w:hAnsi="宋体" w:cs="宋体"/>
          <w:color w:val="auto"/>
          <w:sz w:val="24"/>
          <w:highlight w:val="none"/>
        </w:rPr>
        <w:t>浙江省金华监狱：</w:t>
      </w:r>
    </w:p>
    <w:p>
      <w:pPr>
        <w:snapToGrid w:val="0"/>
        <w:spacing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（投标人名称）系中华人民共和国合法企业，经营地址。</w:t>
      </w:r>
    </w:p>
    <w:p>
      <w:pPr>
        <w:snapToGrid w:val="0"/>
        <w:spacing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w:t>
      </w:r>
      <w:r>
        <w:rPr>
          <w:rFonts w:hint="eastAsia" w:ascii="宋体" w:hAnsi="宋体" w:cs="宋体"/>
          <w:color w:val="auto"/>
          <w:sz w:val="24"/>
          <w:highlight w:val="none"/>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2.本投标有效期自开标日起 </w:t>
      </w:r>
      <w:r>
        <w:rPr>
          <w:rFonts w:hint="eastAsia" w:ascii="宋体" w:hAnsi="宋体" w:cs="宋体"/>
          <w:color w:val="auto"/>
          <w:sz w:val="24"/>
          <w:highlight w:val="none"/>
          <w:u w:val="single"/>
        </w:rPr>
        <w:t>60</w:t>
      </w:r>
      <w:r>
        <w:rPr>
          <w:rFonts w:hint="eastAsia" w:ascii="宋体" w:hAnsi="宋体" w:cs="宋体"/>
          <w:color w:val="auto"/>
          <w:sz w:val="24"/>
          <w:highlight w:val="none"/>
        </w:rPr>
        <w:t>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.我方此次向贵方提供的产品名称为：</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p>
    <w:p>
      <w:pPr>
        <w:snapToGrid w:val="0"/>
        <w:spacing w:line="360" w:lineRule="auto"/>
        <w:ind w:firstLine="480" w:firstLineChars="200"/>
        <w:rPr>
          <w:rFonts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hAnsi="宋体" w:cs="宋体"/>
          <w:color w:val="auto"/>
          <w:sz w:val="24"/>
          <w:highlight w:val="none"/>
        </w:rPr>
        <w:t>我方及由本人担任法定代表人的其他机构最近三年内（以法院判决日期为准）被通报（包括被处罚、行贿犯罪）的违法行为有：</w:t>
      </w:r>
    </w:p>
    <w:p>
      <w:pPr>
        <w:snapToGrid w:val="0"/>
        <w:spacing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before="120" w:beforeLines="50" w:after="50"/>
        <w:ind w:firstLine="240" w:firstLineChars="100"/>
        <w:rPr>
          <w:rFonts w:ascii="宋体" w:hAnsi="宋体" w:cs="宋体"/>
          <w:color w:val="auto"/>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snapToGrid w:val="0"/>
        <w:spacing w:line="360" w:lineRule="auto"/>
        <w:ind w:firstLine="480" w:firstLineChars="200"/>
        <w:rPr>
          <w:rFonts w:ascii="宋体" w:hAnsi="宋体" w:cs="宋体"/>
          <w:color w:val="auto"/>
          <w:sz w:val="24"/>
          <w:szCs w:val="20"/>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120" w:beforeLines="50" w:after="50" w:line="360" w:lineRule="auto"/>
        <w:jc w:val="center"/>
        <w:rPr>
          <w:rFonts w:hint="eastAsia" w:ascii="宋体" w:hAnsi="宋体" w:cs="宋体"/>
          <w:b/>
          <w:color w:val="auto"/>
          <w:sz w:val="30"/>
          <w:szCs w:val="30"/>
          <w:highlight w:val="none"/>
        </w:rPr>
      </w:pPr>
      <w:r>
        <w:rPr>
          <w:rFonts w:ascii="宋体" w:hAnsi="宋体"/>
          <w:color w:val="auto"/>
          <w:sz w:val="24"/>
          <w:highlight w:val="none"/>
        </w:rPr>
        <w:br w:type="page"/>
      </w:r>
      <w:r>
        <w:rPr>
          <w:rFonts w:hint="eastAsia" w:ascii="宋体" w:hAnsi="宋体" w:cs="宋体"/>
          <w:b/>
          <w:color w:val="auto"/>
          <w:sz w:val="30"/>
          <w:szCs w:val="30"/>
          <w:highlight w:val="none"/>
        </w:rPr>
        <w:t>三、符合投标人资格条件的资格审查材料：</w:t>
      </w:r>
    </w:p>
    <w:p>
      <w:pPr>
        <w:snapToGrid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a.营业执照（或法人证书）等经营登记材料复印件；</w:t>
      </w:r>
    </w:p>
    <w:p>
      <w:pPr>
        <w:snapToGrid w:val="0"/>
        <w:spacing w:line="360" w:lineRule="auto"/>
        <w:jc w:val="left"/>
        <w:rPr>
          <w:rFonts w:hint="eastAsia" w:ascii="宋体" w:hAnsi="宋体" w:cs="宋体"/>
          <w:color w:val="auto"/>
          <w:sz w:val="28"/>
          <w:szCs w:val="28"/>
          <w:highlight w:val="none"/>
        </w:rPr>
      </w:pPr>
    </w:p>
    <w:p>
      <w:pPr>
        <w:snapToGrid w:val="0"/>
        <w:spacing w:line="360" w:lineRule="auto"/>
        <w:ind w:firstLine="560" w:firstLineChars="200"/>
        <w:jc w:val="left"/>
        <w:rPr>
          <w:rFonts w:hint="eastAsia" w:ascii="宋体" w:hAnsi="宋体" w:cs="宋体"/>
          <w:color w:val="auto"/>
          <w:sz w:val="28"/>
          <w:szCs w:val="28"/>
          <w:highlight w:val="none"/>
        </w:rPr>
      </w:pPr>
    </w:p>
    <w:p>
      <w:pPr>
        <w:snapToGrid w:val="0"/>
        <w:spacing w:line="360" w:lineRule="auto"/>
        <w:ind w:firstLine="560" w:firstLineChars="200"/>
        <w:jc w:val="left"/>
        <w:rPr>
          <w:rFonts w:hint="eastAsia" w:ascii="宋体" w:hAnsi="宋体" w:cs="宋体"/>
          <w:color w:val="auto"/>
          <w:sz w:val="28"/>
          <w:szCs w:val="28"/>
          <w:highlight w:val="none"/>
        </w:rPr>
      </w:pPr>
    </w:p>
    <w:p>
      <w:pPr>
        <w:snapToGrid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b. 投标人</w:t>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w:instrText>
      </w:r>
      <w:r>
        <w:rPr>
          <w:rFonts w:hint="eastAsia" w:ascii="宋体" w:hAnsi="宋体" w:cs="宋体"/>
          <w:color w:val="auto"/>
          <w:sz w:val="28"/>
          <w:szCs w:val="28"/>
          <w:highlight w:val="none"/>
        </w:rPr>
        <w:instrText xml:space="preserve">= 1 \* GB3</w:instrText>
      </w:r>
      <w:r>
        <w:rPr>
          <w:rFonts w:ascii="宋体" w:hAnsi="宋体" w:cs="宋体"/>
          <w:color w:val="auto"/>
          <w:sz w:val="28"/>
          <w:szCs w:val="28"/>
          <w:highlight w:val="none"/>
        </w:rPr>
        <w:instrText xml:space="preserve"> </w:instrText>
      </w:r>
      <w:r>
        <w:rPr>
          <w:rFonts w:ascii="宋体" w:hAnsi="宋体" w:cs="宋体"/>
          <w:color w:val="auto"/>
          <w:sz w:val="28"/>
          <w:szCs w:val="28"/>
          <w:highlight w:val="none"/>
        </w:rPr>
        <w:fldChar w:fldCharType="separate"/>
      </w:r>
      <w:r>
        <w:rPr>
          <w:rFonts w:hint="eastAsia" w:ascii="宋体" w:hAnsi="宋体" w:cs="宋体"/>
          <w:color w:val="auto"/>
          <w:sz w:val="28"/>
          <w:szCs w:val="28"/>
          <w:highlight w:val="none"/>
          <w:lang/>
        </w:rPr>
        <w:t>①</w:t>
      </w:r>
      <w:r>
        <w:rPr>
          <w:rFonts w:ascii="宋体" w:hAnsi="宋体" w:cs="宋体"/>
          <w:color w:val="auto"/>
          <w:sz w:val="28"/>
          <w:szCs w:val="28"/>
          <w:highlight w:val="none"/>
        </w:rPr>
        <w:fldChar w:fldCharType="end"/>
      </w:r>
      <w:r>
        <w:rPr>
          <w:rFonts w:hint="eastAsia" w:ascii="宋体" w:hAnsi="宋体" w:cs="宋体"/>
          <w:color w:val="auto"/>
          <w:sz w:val="28"/>
          <w:szCs w:val="28"/>
          <w:highlight w:val="none"/>
        </w:rPr>
        <w:t>最近季度的财务报表复印件、</w:t>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w:instrText>
      </w:r>
      <w:r>
        <w:rPr>
          <w:rFonts w:hint="eastAsia" w:ascii="宋体" w:hAnsi="宋体" w:cs="宋体"/>
          <w:color w:val="auto"/>
          <w:sz w:val="28"/>
          <w:szCs w:val="28"/>
          <w:highlight w:val="none"/>
        </w:rPr>
        <w:instrText xml:space="preserve">= 2 \* GB3</w:instrText>
      </w:r>
      <w:r>
        <w:rPr>
          <w:rFonts w:ascii="宋体" w:hAnsi="宋体" w:cs="宋体"/>
          <w:color w:val="auto"/>
          <w:sz w:val="28"/>
          <w:szCs w:val="28"/>
          <w:highlight w:val="none"/>
        </w:rPr>
        <w:instrText xml:space="preserve"> </w:instrText>
      </w:r>
      <w:r>
        <w:rPr>
          <w:rFonts w:ascii="宋体" w:hAnsi="宋体" w:cs="宋体"/>
          <w:color w:val="auto"/>
          <w:sz w:val="28"/>
          <w:szCs w:val="28"/>
          <w:highlight w:val="none"/>
        </w:rPr>
        <w:fldChar w:fldCharType="separate"/>
      </w:r>
      <w:r>
        <w:rPr>
          <w:rFonts w:hint="eastAsia" w:ascii="宋体" w:hAnsi="宋体" w:cs="宋体"/>
          <w:color w:val="auto"/>
          <w:sz w:val="28"/>
          <w:szCs w:val="28"/>
          <w:highlight w:val="none"/>
          <w:lang/>
        </w:rPr>
        <w:t>②</w:t>
      </w:r>
      <w:r>
        <w:rPr>
          <w:rFonts w:ascii="宋体" w:hAnsi="宋体" w:cs="宋体"/>
          <w:color w:val="auto"/>
          <w:sz w:val="28"/>
          <w:szCs w:val="28"/>
          <w:highlight w:val="none"/>
        </w:rPr>
        <w:fldChar w:fldCharType="end"/>
      </w:r>
      <w:r>
        <w:rPr>
          <w:rFonts w:hint="eastAsia" w:ascii="宋体" w:hAnsi="宋体" w:cs="宋体"/>
          <w:color w:val="auto"/>
          <w:sz w:val="28"/>
          <w:szCs w:val="28"/>
          <w:highlight w:val="none"/>
        </w:rPr>
        <w:t>依法缴纳税收证明材料复印件</w:t>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w:instrText>
      </w:r>
      <w:r>
        <w:rPr>
          <w:rFonts w:hint="eastAsia" w:ascii="宋体" w:hAnsi="宋体" w:cs="宋体"/>
          <w:color w:val="auto"/>
          <w:sz w:val="28"/>
          <w:szCs w:val="28"/>
          <w:highlight w:val="none"/>
        </w:rPr>
        <w:instrText xml:space="preserve">= 3 \* GB3</w:instrText>
      </w:r>
      <w:r>
        <w:rPr>
          <w:rFonts w:ascii="宋体" w:hAnsi="宋体" w:cs="宋体"/>
          <w:color w:val="auto"/>
          <w:sz w:val="28"/>
          <w:szCs w:val="28"/>
          <w:highlight w:val="none"/>
        </w:rPr>
        <w:instrText xml:space="preserve"> </w:instrText>
      </w:r>
      <w:r>
        <w:rPr>
          <w:rFonts w:ascii="宋体" w:hAnsi="宋体" w:cs="宋体"/>
          <w:color w:val="auto"/>
          <w:sz w:val="28"/>
          <w:szCs w:val="28"/>
          <w:highlight w:val="none"/>
        </w:rPr>
        <w:fldChar w:fldCharType="separate"/>
      </w:r>
      <w:r>
        <w:rPr>
          <w:rFonts w:hint="eastAsia" w:ascii="宋体" w:hAnsi="宋体" w:cs="宋体"/>
          <w:color w:val="auto"/>
          <w:sz w:val="28"/>
          <w:szCs w:val="28"/>
          <w:highlight w:val="none"/>
          <w:lang/>
        </w:rPr>
        <w:t>③</w:t>
      </w:r>
      <w:r>
        <w:rPr>
          <w:rFonts w:ascii="宋体" w:hAnsi="宋体" w:cs="宋体"/>
          <w:color w:val="auto"/>
          <w:sz w:val="28"/>
          <w:szCs w:val="28"/>
          <w:highlight w:val="none"/>
        </w:rPr>
        <w:fldChar w:fldCharType="end"/>
      </w:r>
      <w:r>
        <w:rPr>
          <w:rFonts w:hint="eastAsia" w:ascii="宋体" w:hAnsi="宋体" w:cs="宋体"/>
          <w:color w:val="auto"/>
          <w:sz w:val="28"/>
          <w:szCs w:val="28"/>
          <w:highlight w:val="none"/>
        </w:rPr>
        <w:t>社会保障资金缴纳的证明材料复印件（以上无缴纳记录提供合理说明，否则可能造成资格证明不充分）；</w:t>
      </w:r>
    </w:p>
    <w:p>
      <w:pPr>
        <w:snapToGrid w:val="0"/>
        <w:spacing w:line="360" w:lineRule="auto"/>
        <w:ind w:firstLine="560" w:firstLineChars="200"/>
        <w:jc w:val="left"/>
        <w:rPr>
          <w:rFonts w:hint="eastAsia" w:ascii="宋体" w:hAnsi="宋体" w:cs="宋体"/>
          <w:color w:val="auto"/>
          <w:sz w:val="28"/>
          <w:szCs w:val="28"/>
          <w:highlight w:val="none"/>
        </w:rPr>
      </w:pPr>
    </w:p>
    <w:p>
      <w:pPr>
        <w:snapToGrid w:val="0"/>
        <w:spacing w:line="360" w:lineRule="auto"/>
        <w:ind w:firstLine="560" w:firstLineChars="200"/>
        <w:jc w:val="left"/>
        <w:rPr>
          <w:rFonts w:hint="eastAsia" w:ascii="宋体" w:hAnsi="宋体" w:cs="宋体"/>
          <w:color w:val="auto"/>
          <w:sz w:val="28"/>
          <w:szCs w:val="28"/>
          <w:highlight w:val="none"/>
        </w:rPr>
      </w:pPr>
    </w:p>
    <w:p>
      <w:pPr>
        <w:snapToGrid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c.具有履行合同所必须的设备和专业技术能力的书面声明</w:t>
      </w:r>
    </w:p>
    <w:p>
      <w:pPr>
        <w:snapToGrid w:val="0"/>
        <w:spacing w:line="400" w:lineRule="exact"/>
        <w:ind w:firstLine="643" w:firstLineChars="200"/>
        <w:jc w:val="left"/>
        <w:rPr>
          <w:rFonts w:hint="eastAsia" w:ascii="宋体" w:hAnsi="宋体"/>
          <w:b/>
          <w:color w:val="auto"/>
          <w:sz w:val="32"/>
          <w:szCs w:val="32"/>
          <w:highlight w:val="none"/>
        </w:rPr>
      </w:pPr>
    </w:p>
    <w:p>
      <w:pPr>
        <w:shd w:val="clear" w:color="auto" w:fill="FFFFFF"/>
        <w:snapToGrid w:val="0"/>
        <w:spacing w:after="50"/>
        <w:rPr>
          <w:rFonts w:hint="eastAsia" w:hAnsi="宋体"/>
          <w:color w:val="auto"/>
          <w:sz w:val="30"/>
          <w:szCs w:val="48"/>
          <w:highlight w:val="none"/>
        </w:rPr>
      </w:pPr>
      <w:r>
        <w:rPr>
          <w:rFonts w:hint="eastAsia" w:hAnsi="宋体"/>
          <w:color w:val="auto"/>
          <w:sz w:val="30"/>
          <w:szCs w:val="48"/>
          <w:highlight w:val="none"/>
        </w:rPr>
        <w:t>浙江省金华监狱</w:t>
      </w:r>
      <w:r>
        <w:rPr>
          <w:rFonts w:hint="eastAsia" w:ascii="_5b8b_4f53" w:hAnsi="_5b8b_4f53" w:cs="宋体"/>
          <w:color w:val="auto"/>
          <w:kern w:val="0"/>
          <w:sz w:val="30"/>
          <w:szCs w:val="30"/>
          <w:highlight w:val="none"/>
        </w:rPr>
        <w:t>：</w:t>
      </w:r>
    </w:p>
    <w:p>
      <w:pPr>
        <w:widowControl/>
        <w:shd w:val="clear" w:color="auto" w:fill="FFFFFF"/>
        <w:spacing w:before="100" w:beforeAutospacing="1" w:after="100" w:afterAutospacing="1" w:line="360" w:lineRule="auto"/>
        <w:ind w:firstLine="600" w:firstLineChars="200"/>
        <w:rPr>
          <w:rFonts w:ascii="宋体" w:hAnsi="宋体" w:cs="宋体"/>
          <w:color w:val="auto"/>
          <w:kern w:val="0"/>
          <w:sz w:val="30"/>
          <w:szCs w:val="30"/>
          <w:highlight w:val="none"/>
        </w:rPr>
      </w:pPr>
      <w:r>
        <w:rPr>
          <w:rFonts w:hint="eastAsia" w:ascii="_5b8b_4f53" w:hAnsi="_5b8b_4f53" w:cs="宋体"/>
          <w:color w:val="auto"/>
          <w:kern w:val="0"/>
          <w:sz w:val="30"/>
          <w:szCs w:val="30"/>
          <w:highlight w:val="none"/>
        </w:rPr>
        <w:t>若我单位有幸成为浙江省金华监狱移动**录音复听、智慧督查APP应用系统采购项目的中标单位，我单位有履行该项目合同的设备和专业技术能力，胜任本项目的服务工作</w:t>
      </w:r>
      <w:r>
        <w:rPr>
          <w:rFonts w:ascii="_5b8b_4f53" w:hAnsi="_5b8b_4f53" w:cs="宋体"/>
          <w:color w:val="auto"/>
          <w:kern w:val="0"/>
          <w:sz w:val="30"/>
          <w:szCs w:val="30"/>
          <w:highlight w:val="none"/>
        </w:rPr>
        <w:t>。如本</w:t>
      </w:r>
      <w:r>
        <w:rPr>
          <w:rFonts w:hint="eastAsia" w:ascii="_5b8b_4f53" w:hAnsi="_5b8b_4f53" w:cs="宋体"/>
          <w:color w:val="auto"/>
          <w:kern w:val="0"/>
          <w:sz w:val="30"/>
          <w:szCs w:val="30"/>
          <w:highlight w:val="none"/>
        </w:rPr>
        <w:t>声明</w:t>
      </w:r>
      <w:r>
        <w:rPr>
          <w:rFonts w:ascii="_5b8b_4f53" w:hAnsi="_5b8b_4f53" w:cs="宋体"/>
          <w:color w:val="auto"/>
          <w:kern w:val="0"/>
          <w:sz w:val="30"/>
          <w:szCs w:val="30"/>
          <w:highlight w:val="none"/>
        </w:rPr>
        <w:t>失实，</w:t>
      </w:r>
      <w:r>
        <w:rPr>
          <w:rFonts w:hint="eastAsia" w:ascii="_5b8b_4f53" w:hAnsi="_5b8b_4f53" w:cs="宋体"/>
          <w:color w:val="auto"/>
          <w:kern w:val="0"/>
          <w:sz w:val="30"/>
          <w:szCs w:val="30"/>
          <w:highlight w:val="none"/>
        </w:rPr>
        <w:t>我单位</w:t>
      </w:r>
      <w:r>
        <w:rPr>
          <w:rFonts w:ascii="_5b8b_4f53" w:hAnsi="_5b8b_4f53" w:cs="宋体"/>
          <w:color w:val="auto"/>
          <w:kern w:val="0"/>
          <w:sz w:val="30"/>
          <w:szCs w:val="30"/>
          <w:highlight w:val="none"/>
        </w:rPr>
        <w:t>自愿承担被取消</w:t>
      </w:r>
      <w:r>
        <w:rPr>
          <w:rFonts w:hint="eastAsia" w:ascii="_5b8b_4f53" w:hAnsi="_5b8b_4f53" w:cs="宋体"/>
          <w:color w:val="auto"/>
          <w:kern w:val="0"/>
          <w:sz w:val="30"/>
          <w:szCs w:val="30"/>
          <w:highlight w:val="none"/>
        </w:rPr>
        <w:t>中标</w:t>
      </w:r>
      <w:r>
        <w:rPr>
          <w:rFonts w:ascii="_5b8b_4f53" w:hAnsi="_5b8b_4f53" w:cs="宋体"/>
          <w:color w:val="auto"/>
          <w:kern w:val="0"/>
          <w:sz w:val="30"/>
          <w:szCs w:val="30"/>
          <w:highlight w:val="none"/>
        </w:rPr>
        <w:t>资格等责任。</w:t>
      </w:r>
    </w:p>
    <w:p>
      <w:pPr>
        <w:widowControl/>
        <w:shd w:val="clear" w:color="auto" w:fill="FFFFFF"/>
        <w:spacing w:before="100" w:beforeAutospacing="1" w:after="100" w:afterAutospacing="1" w:line="360" w:lineRule="auto"/>
        <w:ind w:firstLine="600" w:firstLineChars="200"/>
        <w:rPr>
          <w:rFonts w:hint="eastAsia" w:ascii="_5b8b_4f53" w:hAnsi="_5b8b_4f53" w:cs="宋体"/>
          <w:color w:val="auto"/>
          <w:kern w:val="0"/>
          <w:sz w:val="30"/>
          <w:szCs w:val="30"/>
          <w:highlight w:val="none"/>
        </w:rPr>
      </w:pPr>
      <w:r>
        <w:rPr>
          <w:rFonts w:hint="eastAsia" w:ascii="_5b8b_4f53" w:hAnsi="_5b8b_4f53" w:cs="宋体"/>
          <w:color w:val="auto"/>
          <w:kern w:val="0"/>
          <w:sz w:val="30"/>
          <w:szCs w:val="30"/>
          <w:highlight w:val="none"/>
        </w:rPr>
        <w:t>特此声明</w:t>
      </w: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line="460" w:lineRule="exact"/>
        <w:jc w:val="left"/>
        <w:rPr>
          <w:rFonts w:hint="eastAsia" w:ascii="宋体" w:hAnsi="宋体"/>
          <w:b/>
          <w:color w:val="auto"/>
          <w:sz w:val="32"/>
          <w:szCs w:val="32"/>
          <w:highlight w:val="none"/>
        </w:rPr>
      </w:pPr>
      <w:r>
        <w:rPr>
          <w:rFonts w:ascii="宋体" w:hAnsi="宋体"/>
          <w:b/>
          <w:color w:val="auto"/>
          <w:sz w:val="30"/>
          <w:szCs w:val="30"/>
          <w:highlight w:val="none"/>
        </w:rPr>
        <w:br w:type="page"/>
      </w:r>
      <w:r>
        <w:rPr>
          <w:rFonts w:hint="eastAsia" w:ascii="宋体" w:hAnsi="宋体" w:cs="宋体"/>
          <w:color w:val="auto"/>
          <w:sz w:val="28"/>
          <w:szCs w:val="28"/>
          <w:highlight w:val="none"/>
        </w:rPr>
        <w:t>d.</w:t>
      </w:r>
      <w:r>
        <w:rPr>
          <w:rFonts w:ascii="宋体" w:hAnsi="宋体"/>
          <w:b/>
          <w:color w:val="auto"/>
          <w:sz w:val="32"/>
          <w:szCs w:val="32"/>
          <w:highlight w:val="none"/>
        </w:rPr>
        <w:t>参加政府采购活动前三年内</w:t>
      </w:r>
      <w:r>
        <w:rPr>
          <w:rFonts w:hint="eastAsia" w:ascii="宋体" w:hAnsi="宋体"/>
          <w:b/>
          <w:color w:val="auto"/>
          <w:sz w:val="32"/>
          <w:szCs w:val="32"/>
          <w:highlight w:val="none"/>
        </w:rPr>
        <w:t>（开标之日往前推算）</w:t>
      </w:r>
      <w:r>
        <w:rPr>
          <w:rFonts w:ascii="宋体" w:hAnsi="宋体"/>
          <w:b/>
          <w:color w:val="auto"/>
          <w:sz w:val="32"/>
          <w:szCs w:val="32"/>
          <w:highlight w:val="none"/>
        </w:rPr>
        <w:t>，在经营活动中没有重大违法记录</w:t>
      </w:r>
      <w:r>
        <w:rPr>
          <w:rFonts w:hint="eastAsia" w:ascii="宋体" w:hAnsi="宋体"/>
          <w:b/>
          <w:color w:val="auto"/>
          <w:sz w:val="32"/>
          <w:szCs w:val="32"/>
          <w:highlight w:val="none"/>
        </w:rPr>
        <w:t>的书面声明</w:t>
      </w:r>
    </w:p>
    <w:p>
      <w:pPr>
        <w:widowControl/>
        <w:shd w:val="clear" w:color="auto" w:fill="FFFFFF"/>
        <w:spacing w:before="100" w:beforeAutospacing="1" w:after="100" w:afterAutospacing="1" w:line="360" w:lineRule="auto"/>
        <w:rPr>
          <w:rFonts w:hint="eastAsia" w:ascii="_5b8b_4f53" w:hAnsi="_5b8b_4f53" w:cs="宋体"/>
          <w:color w:val="auto"/>
          <w:kern w:val="0"/>
          <w:sz w:val="30"/>
          <w:szCs w:val="30"/>
          <w:highlight w:val="none"/>
        </w:rPr>
      </w:pPr>
      <w:r>
        <w:rPr>
          <w:rFonts w:hint="eastAsia" w:hAnsi="宋体"/>
          <w:color w:val="auto"/>
          <w:sz w:val="30"/>
          <w:szCs w:val="48"/>
          <w:highlight w:val="none"/>
        </w:rPr>
        <w:t>浙江省金华监狱</w:t>
      </w:r>
      <w:r>
        <w:rPr>
          <w:rFonts w:hint="eastAsia" w:ascii="_5b8b_4f53" w:hAnsi="_5b8b_4f53" w:cs="宋体"/>
          <w:color w:val="auto"/>
          <w:kern w:val="0"/>
          <w:sz w:val="30"/>
          <w:szCs w:val="30"/>
          <w:highlight w:val="none"/>
        </w:rPr>
        <w:t>：</w:t>
      </w:r>
    </w:p>
    <w:p>
      <w:pPr>
        <w:widowControl/>
        <w:shd w:val="clear" w:color="auto" w:fill="FFFFFF"/>
        <w:spacing w:before="100" w:beforeAutospacing="1" w:after="100" w:afterAutospacing="1" w:line="360" w:lineRule="auto"/>
        <w:ind w:firstLine="600" w:firstLineChars="200"/>
        <w:rPr>
          <w:rFonts w:hint="eastAsia" w:ascii="_5b8b_4f53" w:hAnsi="_5b8b_4f53" w:cs="宋体"/>
          <w:color w:val="auto"/>
          <w:kern w:val="0"/>
          <w:sz w:val="30"/>
          <w:szCs w:val="30"/>
          <w:highlight w:val="none"/>
        </w:rPr>
      </w:pPr>
      <w:r>
        <w:rPr>
          <w:rFonts w:hint="eastAsia" w:ascii="_5b8b_4f53" w:hAnsi="_5b8b_4f53" w:cs="宋体"/>
          <w:color w:val="auto"/>
          <w:kern w:val="0"/>
          <w:sz w:val="30"/>
          <w:szCs w:val="30"/>
          <w:highlight w:val="none"/>
        </w:rPr>
        <w:t>我单位在</w:t>
      </w:r>
      <w:r>
        <w:rPr>
          <w:rFonts w:ascii="_5b8b_4f53" w:hAnsi="_5b8b_4f53" w:cs="宋体"/>
          <w:color w:val="auto"/>
          <w:kern w:val="0"/>
          <w:sz w:val="30"/>
          <w:szCs w:val="30"/>
          <w:highlight w:val="none"/>
        </w:rPr>
        <w:t>参加</w:t>
      </w:r>
      <w:r>
        <w:rPr>
          <w:rFonts w:hint="eastAsia" w:ascii="_5b8b_4f53" w:hAnsi="_5b8b_4f53" w:cs="宋体"/>
          <w:color w:val="auto"/>
          <w:kern w:val="0"/>
          <w:sz w:val="30"/>
          <w:szCs w:val="30"/>
          <w:highlight w:val="none"/>
        </w:rPr>
        <w:t>浙江省金华监狱移动**录音复听、智慧督查APP应用系统采购项目的投标活动</w:t>
      </w:r>
      <w:r>
        <w:rPr>
          <w:rFonts w:ascii="_5b8b_4f53" w:hAnsi="_5b8b_4f53" w:cs="宋体"/>
          <w:color w:val="auto"/>
          <w:kern w:val="0"/>
          <w:sz w:val="30"/>
          <w:szCs w:val="30"/>
          <w:highlight w:val="none"/>
        </w:rPr>
        <w:t>前三年内</w:t>
      </w:r>
      <w:r>
        <w:rPr>
          <w:rFonts w:hint="eastAsia" w:ascii="_5b8b_4f53" w:hAnsi="_5b8b_4f53" w:cs="宋体"/>
          <w:color w:val="auto"/>
          <w:kern w:val="0"/>
          <w:sz w:val="30"/>
          <w:szCs w:val="30"/>
          <w:highlight w:val="none"/>
        </w:rPr>
        <w:t>（开标之日往前推算）</w:t>
      </w:r>
      <w:r>
        <w:rPr>
          <w:rFonts w:ascii="_5b8b_4f53" w:hAnsi="_5b8b_4f53" w:cs="宋体"/>
          <w:color w:val="auto"/>
          <w:kern w:val="0"/>
          <w:sz w:val="30"/>
          <w:szCs w:val="30"/>
          <w:highlight w:val="none"/>
        </w:rPr>
        <w:t>，在经营活动中没有重大违法记录。如本</w:t>
      </w:r>
      <w:r>
        <w:rPr>
          <w:rFonts w:hint="eastAsia" w:ascii="_5b8b_4f53" w:hAnsi="_5b8b_4f53" w:cs="宋体"/>
          <w:color w:val="auto"/>
          <w:kern w:val="0"/>
          <w:sz w:val="30"/>
          <w:szCs w:val="30"/>
          <w:highlight w:val="none"/>
        </w:rPr>
        <w:t>声明</w:t>
      </w:r>
      <w:r>
        <w:rPr>
          <w:rFonts w:ascii="_5b8b_4f53" w:hAnsi="_5b8b_4f53" w:cs="宋体"/>
          <w:color w:val="auto"/>
          <w:kern w:val="0"/>
          <w:sz w:val="30"/>
          <w:szCs w:val="30"/>
          <w:highlight w:val="none"/>
        </w:rPr>
        <w:t>失实，</w:t>
      </w:r>
      <w:r>
        <w:rPr>
          <w:rFonts w:hint="eastAsia" w:ascii="_5b8b_4f53" w:hAnsi="_5b8b_4f53" w:cs="宋体"/>
          <w:color w:val="auto"/>
          <w:kern w:val="0"/>
          <w:sz w:val="30"/>
          <w:szCs w:val="30"/>
          <w:highlight w:val="none"/>
        </w:rPr>
        <w:t>我单位</w:t>
      </w:r>
      <w:r>
        <w:rPr>
          <w:rFonts w:ascii="_5b8b_4f53" w:hAnsi="_5b8b_4f53" w:cs="宋体"/>
          <w:color w:val="auto"/>
          <w:kern w:val="0"/>
          <w:sz w:val="30"/>
          <w:szCs w:val="30"/>
          <w:highlight w:val="none"/>
        </w:rPr>
        <w:t>自愿承担被取消</w:t>
      </w:r>
      <w:r>
        <w:rPr>
          <w:rFonts w:hint="eastAsia" w:ascii="_5b8b_4f53" w:hAnsi="_5b8b_4f53" w:cs="宋体"/>
          <w:color w:val="auto"/>
          <w:kern w:val="0"/>
          <w:sz w:val="30"/>
          <w:szCs w:val="30"/>
          <w:highlight w:val="none"/>
        </w:rPr>
        <w:t>中标</w:t>
      </w:r>
      <w:r>
        <w:rPr>
          <w:rFonts w:ascii="_5b8b_4f53" w:hAnsi="_5b8b_4f53" w:cs="宋体"/>
          <w:color w:val="auto"/>
          <w:kern w:val="0"/>
          <w:sz w:val="30"/>
          <w:szCs w:val="30"/>
          <w:highlight w:val="none"/>
        </w:rPr>
        <w:t>资格等责任。</w:t>
      </w:r>
    </w:p>
    <w:p>
      <w:pPr>
        <w:widowControl/>
        <w:shd w:val="clear" w:color="auto" w:fill="FFFFFF"/>
        <w:spacing w:before="100" w:beforeAutospacing="1" w:after="100" w:afterAutospacing="1" w:line="360" w:lineRule="auto"/>
        <w:ind w:firstLine="600" w:firstLineChars="200"/>
        <w:rPr>
          <w:rFonts w:ascii="宋体" w:hAnsi="宋体" w:cs="宋体"/>
          <w:color w:val="auto"/>
          <w:kern w:val="0"/>
          <w:sz w:val="27"/>
          <w:szCs w:val="27"/>
          <w:highlight w:val="none"/>
        </w:rPr>
      </w:pPr>
      <w:r>
        <w:rPr>
          <w:rFonts w:hint="eastAsia" w:ascii="_5b8b_4f53" w:hAnsi="_5b8b_4f53" w:cs="宋体"/>
          <w:color w:val="auto"/>
          <w:kern w:val="0"/>
          <w:sz w:val="30"/>
          <w:szCs w:val="30"/>
          <w:highlight w:val="none"/>
        </w:rPr>
        <w:t>特此声明</w:t>
      </w: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line="460" w:lineRule="exact"/>
        <w:ind w:firstLine="480" w:firstLineChars="200"/>
        <w:jc w:val="left"/>
        <w:rPr>
          <w:rFonts w:hint="eastAsia" w:ascii="宋体" w:hAnsi="宋体"/>
          <w:color w:val="auto"/>
          <w:sz w:val="24"/>
          <w:highlight w:val="none"/>
        </w:rPr>
      </w:pPr>
    </w:p>
    <w:p>
      <w:pPr>
        <w:snapToGrid w:val="0"/>
        <w:spacing w:line="460" w:lineRule="exact"/>
        <w:ind w:firstLine="480" w:firstLineChars="200"/>
        <w:jc w:val="left"/>
        <w:rPr>
          <w:rFonts w:hint="eastAsia" w:ascii="宋体" w:hAnsi="宋体"/>
          <w:color w:val="auto"/>
          <w:sz w:val="24"/>
          <w:highlight w:val="none"/>
        </w:rPr>
      </w:pPr>
    </w:p>
    <w:p>
      <w:pPr>
        <w:snapToGrid w:val="0"/>
        <w:spacing w:line="460" w:lineRule="exact"/>
        <w:ind w:firstLine="480" w:firstLineChars="200"/>
        <w:jc w:val="left"/>
        <w:rPr>
          <w:rFonts w:ascii="宋体" w:hAnsi="宋体"/>
          <w:color w:val="auto"/>
          <w:sz w:val="24"/>
          <w:highlight w:val="none"/>
        </w:rPr>
      </w:pPr>
    </w:p>
    <w:p>
      <w:pPr>
        <w:snapToGrid w:val="0"/>
        <w:spacing w:line="360" w:lineRule="auto"/>
        <w:jc w:val="center"/>
        <w:rPr>
          <w:rFonts w:hint="eastAsia" w:ascii="宋体" w:hAnsi="宋体" w:cs="宋体"/>
          <w:color w:val="auto"/>
          <w:sz w:val="30"/>
          <w:szCs w:val="20"/>
          <w:highlight w:val="none"/>
        </w:rPr>
      </w:pPr>
      <w:r>
        <w:rPr>
          <w:rFonts w:ascii="_5b8b_4f53" w:hAnsi="_5b8b_4f53" w:cs="宋体"/>
          <w:color w:val="auto"/>
          <w:kern w:val="0"/>
          <w:sz w:val="30"/>
          <w:szCs w:val="30"/>
          <w:highlight w:val="none"/>
        </w:rPr>
        <w:br w:type="page"/>
      </w:r>
      <w:r>
        <w:rPr>
          <w:rFonts w:hint="eastAsia" w:ascii="_5b8b_4f53" w:hAnsi="_5b8b_4f53" w:cs="宋体"/>
          <w:color w:val="auto"/>
          <w:kern w:val="0"/>
          <w:sz w:val="30"/>
          <w:szCs w:val="30"/>
          <w:highlight w:val="none"/>
        </w:rPr>
        <w:t>e.投标人承诺</w:t>
      </w:r>
    </w:p>
    <w:p>
      <w:pPr>
        <w:widowControl/>
        <w:shd w:val="clear" w:color="auto" w:fill="FFFFFF"/>
        <w:spacing w:before="100" w:beforeAutospacing="1" w:after="100" w:afterAutospacing="1" w:line="360" w:lineRule="auto"/>
        <w:rPr>
          <w:rFonts w:hint="eastAsia" w:ascii="_5b8b_4f53" w:hAnsi="_5b8b_4f53" w:cs="宋体"/>
          <w:color w:val="auto"/>
          <w:kern w:val="0"/>
          <w:sz w:val="30"/>
          <w:szCs w:val="30"/>
          <w:highlight w:val="none"/>
        </w:rPr>
      </w:pPr>
      <w:r>
        <w:rPr>
          <w:rFonts w:hint="eastAsia" w:ascii="_5b8b_4f53" w:hAnsi="_5b8b_4f53" w:cs="宋体"/>
          <w:color w:val="auto"/>
          <w:kern w:val="0"/>
          <w:sz w:val="30"/>
          <w:szCs w:val="30"/>
          <w:highlight w:val="none"/>
        </w:rPr>
        <w:t>我方承诺：</w:t>
      </w:r>
    </w:p>
    <w:p>
      <w:pPr>
        <w:widowControl/>
        <w:shd w:val="clear" w:color="auto" w:fill="FFFFFF"/>
        <w:spacing w:before="100" w:beforeAutospacing="1" w:after="100" w:afterAutospacing="1" w:line="360" w:lineRule="auto"/>
        <w:ind w:firstLine="600" w:firstLineChars="200"/>
        <w:rPr>
          <w:rFonts w:hint="eastAsia" w:ascii="_5b8b_4f53" w:hAnsi="_5b8b_4f53" w:cs="宋体"/>
          <w:color w:val="auto"/>
          <w:kern w:val="0"/>
          <w:sz w:val="30"/>
          <w:szCs w:val="30"/>
          <w:highlight w:val="none"/>
        </w:rPr>
      </w:pPr>
      <w:r>
        <w:rPr>
          <w:rFonts w:hint="eastAsia" w:ascii="_5b8b_4f53" w:hAnsi="_5b8b_4f53" w:cs="宋体"/>
          <w:color w:val="auto"/>
          <w:kern w:val="0"/>
          <w:sz w:val="30"/>
          <w:szCs w:val="30"/>
          <w:highlight w:val="none"/>
        </w:rPr>
        <w:t>1. 若我方中标，我方拟派本项目的相关人员将会严格遵守监狱纪律，对在服务过程中所接触到的一切信息严格保密，因我方原因造成泄密的，我单位</w:t>
      </w:r>
      <w:r>
        <w:rPr>
          <w:rFonts w:ascii="_5b8b_4f53" w:hAnsi="_5b8b_4f53" w:cs="宋体"/>
          <w:color w:val="auto"/>
          <w:kern w:val="0"/>
          <w:sz w:val="30"/>
          <w:szCs w:val="30"/>
          <w:highlight w:val="none"/>
        </w:rPr>
        <w:t>愿</w:t>
      </w:r>
      <w:r>
        <w:rPr>
          <w:rFonts w:hint="eastAsia" w:ascii="_5b8b_4f53" w:hAnsi="_5b8b_4f53" w:cs="宋体"/>
          <w:color w:val="auto"/>
          <w:kern w:val="0"/>
          <w:sz w:val="30"/>
          <w:szCs w:val="30"/>
          <w:highlight w:val="none"/>
        </w:rPr>
        <w:t>承担一切法律责任及</w:t>
      </w:r>
      <w:r>
        <w:rPr>
          <w:rFonts w:ascii="_5b8b_4f53" w:hAnsi="_5b8b_4f53" w:cs="宋体"/>
          <w:color w:val="auto"/>
          <w:kern w:val="0"/>
          <w:sz w:val="30"/>
          <w:szCs w:val="30"/>
          <w:highlight w:val="none"/>
        </w:rPr>
        <w:t>被取消</w:t>
      </w:r>
      <w:r>
        <w:rPr>
          <w:rFonts w:hint="eastAsia" w:ascii="_5b8b_4f53" w:hAnsi="_5b8b_4f53" w:cs="宋体"/>
          <w:color w:val="auto"/>
          <w:kern w:val="0"/>
          <w:sz w:val="30"/>
          <w:szCs w:val="30"/>
          <w:highlight w:val="none"/>
        </w:rPr>
        <w:t>中标</w:t>
      </w:r>
      <w:r>
        <w:rPr>
          <w:rFonts w:ascii="_5b8b_4f53" w:hAnsi="_5b8b_4f53" w:cs="宋体"/>
          <w:color w:val="auto"/>
          <w:kern w:val="0"/>
          <w:sz w:val="30"/>
          <w:szCs w:val="30"/>
          <w:highlight w:val="none"/>
        </w:rPr>
        <w:t>资格</w:t>
      </w:r>
      <w:r>
        <w:rPr>
          <w:rFonts w:hint="eastAsia" w:ascii="_5b8b_4f53" w:hAnsi="_5b8b_4f53" w:cs="宋体"/>
          <w:color w:val="auto"/>
          <w:kern w:val="0"/>
          <w:sz w:val="30"/>
          <w:szCs w:val="30"/>
          <w:highlight w:val="none"/>
        </w:rPr>
        <w:t>的</w:t>
      </w:r>
      <w:r>
        <w:rPr>
          <w:rFonts w:ascii="_5b8b_4f53" w:hAnsi="_5b8b_4f53" w:cs="宋体"/>
          <w:color w:val="auto"/>
          <w:kern w:val="0"/>
          <w:sz w:val="30"/>
          <w:szCs w:val="30"/>
          <w:highlight w:val="none"/>
        </w:rPr>
        <w:t>责任</w:t>
      </w:r>
      <w:r>
        <w:rPr>
          <w:rFonts w:hint="eastAsia" w:ascii="_5b8b_4f53" w:hAnsi="_5b8b_4f53" w:cs="宋体"/>
          <w:color w:val="auto"/>
          <w:kern w:val="0"/>
          <w:sz w:val="30"/>
          <w:szCs w:val="30"/>
          <w:highlight w:val="none"/>
        </w:rPr>
        <w:t>。</w:t>
      </w:r>
    </w:p>
    <w:p>
      <w:pPr>
        <w:widowControl/>
        <w:shd w:val="clear" w:color="auto" w:fill="FFFFFF"/>
        <w:spacing w:before="100" w:beforeAutospacing="1" w:after="100" w:afterAutospacing="1" w:line="360" w:lineRule="auto"/>
        <w:ind w:firstLine="600" w:firstLineChars="200"/>
        <w:rPr>
          <w:rFonts w:hint="eastAsia" w:ascii="_5b8b_4f53" w:hAnsi="_5b8b_4f53" w:cs="宋体"/>
          <w:color w:val="auto"/>
          <w:kern w:val="0"/>
          <w:sz w:val="30"/>
          <w:szCs w:val="30"/>
          <w:highlight w:val="none"/>
        </w:rPr>
      </w:pPr>
      <w:r>
        <w:rPr>
          <w:rFonts w:hint="eastAsia" w:ascii="_5b8b_4f53" w:hAnsi="_5b8b_4f53" w:cs="宋体"/>
          <w:color w:val="auto"/>
          <w:kern w:val="0"/>
          <w:sz w:val="30"/>
          <w:szCs w:val="30"/>
          <w:highlight w:val="none"/>
        </w:rPr>
        <w:t>2. 若我方中标，我方承诺关于本项目的版权及源代码著作权归采购人所有，后期会协助采购人获得软件专利证书及软件著作权证书，费用由我方承担。</w:t>
      </w:r>
    </w:p>
    <w:p>
      <w:pPr>
        <w:widowControl/>
        <w:shd w:val="clear" w:color="auto" w:fill="FFFFFF"/>
        <w:spacing w:before="100" w:beforeAutospacing="1" w:after="100" w:afterAutospacing="1" w:line="360" w:lineRule="auto"/>
        <w:ind w:firstLine="600" w:firstLineChars="200"/>
        <w:rPr>
          <w:rFonts w:hint="eastAsia" w:ascii="_5b8b_4f53" w:hAnsi="_5b8b_4f53" w:cs="宋体"/>
          <w:color w:val="auto"/>
          <w:kern w:val="0"/>
          <w:sz w:val="30"/>
          <w:szCs w:val="30"/>
          <w:highlight w:val="none"/>
        </w:rPr>
      </w:pPr>
    </w:p>
    <w:p>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rPr>
        <w:t>投标人全称（公章）：___________________</w:t>
      </w:r>
    </w:p>
    <w:p>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法定代表人或授权委托人（签字或盖章）：___________                      </w:t>
      </w:r>
    </w:p>
    <w:p>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pPr>
        <w:pStyle w:val="2"/>
        <w:ind w:firstLine="210"/>
        <w:rPr>
          <w:color w:val="auto"/>
          <w:highlight w:val="none"/>
        </w:rPr>
      </w:pPr>
    </w:p>
    <w:p>
      <w:pPr>
        <w:snapToGrid w:val="0"/>
        <w:spacing w:line="46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f.信用中国网站、中国政府采购网查询结果截图（此项内容投标人可事先查询后截图制作到投标文件中；最终以代理机构查询结果为准）；</w:t>
      </w:r>
    </w:p>
    <w:p>
      <w:pPr>
        <w:pStyle w:val="2"/>
        <w:ind w:firstLine="210"/>
        <w:rPr>
          <w:rFonts w:hint="eastAsia"/>
          <w:color w:val="auto"/>
          <w:highlight w:val="none"/>
        </w:rPr>
      </w:pPr>
    </w:p>
    <w:p>
      <w:pPr>
        <w:snapToGrid w:val="0"/>
        <w:spacing w:line="400" w:lineRule="exact"/>
        <w:ind w:firstLine="480" w:firstLineChars="200"/>
        <w:jc w:val="left"/>
        <w:rPr>
          <w:rFonts w:hint="eastAsia" w:ascii="宋体" w:hAnsi="宋体"/>
          <w:b/>
          <w:color w:val="auto"/>
          <w:sz w:val="32"/>
          <w:szCs w:val="32"/>
          <w:highlight w:val="none"/>
        </w:rPr>
      </w:pPr>
      <w:r>
        <w:rPr>
          <w:rFonts w:ascii="宋体" w:hAnsi="宋体"/>
          <w:color w:val="auto"/>
          <w:sz w:val="24"/>
          <w:highlight w:val="none"/>
        </w:rPr>
        <w:br w:type="page"/>
      </w:r>
      <w:r>
        <w:rPr>
          <w:rFonts w:hint="eastAsia" w:ascii="宋体" w:hAnsi="宋体"/>
          <w:b/>
          <w:color w:val="auto"/>
          <w:sz w:val="32"/>
          <w:szCs w:val="32"/>
          <w:highlight w:val="none"/>
        </w:rPr>
        <w:t>四、投标人情况介绍（如企业简介，技术力量，企业优势，企业荣誉，企业资质，拥有相关认证情况等等，格式自拟）</w:t>
      </w:r>
    </w:p>
    <w:p>
      <w:pPr>
        <w:snapToGrid w:val="0"/>
        <w:spacing w:line="400" w:lineRule="exact"/>
        <w:ind w:firstLine="480" w:firstLineChars="200"/>
        <w:jc w:val="left"/>
        <w:rPr>
          <w:rFonts w:hint="eastAsia" w:ascii="宋体" w:hAnsi="宋体"/>
          <w:color w:val="auto"/>
          <w:sz w:val="24"/>
          <w:highlight w:val="none"/>
        </w:rPr>
      </w:pPr>
    </w:p>
    <w:p>
      <w:pPr>
        <w:snapToGrid w:val="0"/>
        <w:spacing w:line="400" w:lineRule="exact"/>
        <w:ind w:firstLine="480" w:firstLineChars="200"/>
        <w:jc w:val="left"/>
        <w:rPr>
          <w:rFonts w:hint="eastAsia" w:ascii="宋体" w:hAnsi="宋体"/>
          <w:color w:val="auto"/>
          <w:sz w:val="24"/>
          <w:highlight w:val="none"/>
        </w:rPr>
      </w:pPr>
    </w:p>
    <w:p>
      <w:pPr>
        <w:snapToGrid w:val="0"/>
        <w:spacing w:before="50" w:after="120" w:afterLines="5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五、商务响应表 </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1"/>
        <w:gridCol w:w="2723"/>
        <w:gridCol w:w="1271"/>
        <w:gridCol w:w="3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9"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项目</w:t>
            </w:r>
          </w:p>
        </w:tc>
        <w:tc>
          <w:tcPr>
            <w:tcW w:w="27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招标文件要求</w:t>
            </w:r>
          </w:p>
        </w:tc>
        <w:tc>
          <w:tcPr>
            <w:tcW w:w="127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是否响应</w:t>
            </w:r>
          </w:p>
        </w:tc>
        <w:tc>
          <w:tcPr>
            <w:tcW w:w="30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7"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质保期</w:t>
            </w:r>
          </w:p>
        </w:tc>
        <w:tc>
          <w:tcPr>
            <w:tcW w:w="27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5"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售后技术服务要求</w:t>
            </w:r>
          </w:p>
        </w:tc>
        <w:tc>
          <w:tcPr>
            <w:tcW w:w="27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85"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工期要求</w:t>
            </w:r>
          </w:p>
        </w:tc>
        <w:tc>
          <w:tcPr>
            <w:tcW w:w="27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cs="宋体"/>
                <w:color w:val="auto"/>
                <w:sz w:val="24"/>
                <w:szCs w:val="20"/>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9"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付款条件</w:t>
            </w:r>
          </w:p>
        </w:tc>
        <w:tc>
          <w:tcPr>
            <w:tcW w:w="27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5"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备品备件及耗材等要求</w:t>
            </w:r>
          </w:p>
        </w:tc>
        <w:tc>
          <w:tcPr>
            <w:tcW w:w="27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color w:val="auto"/>
                <w:sz w:val="24"/>
                <w:szCs w:val="20"/>
                <w:highlight w:val="none"/>
              </w:rPr>
            </w:pPr>
            <w:r>
              <w:rPr>
                <w:rFonts w:hint="eastAsia" w:ascii="宋体" w:hAnsi="宋体" w:cs="宋体"/>
                <w:color w:val="auto"/>
                <w:sz w:val="24"/>
                <w:highlight w:val="none"/>
              </w:rPr>
              <w:t>…</w:t>
            </w:r>
          </w:p>
        </w:tc>
        <w:tc>
          <w:tcPr>
            <w:tcW w:w="27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auto"/>
                <w:sz w:val="24"/>
                <w:szCs w:val="20"/>
                <w:highlight w:val="none"/>
              </w:rPr>
            </w:pPr>
          </w:p>
        </w:tc>
      </w:tr>
    </w:tbl>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line="400" w:lineRule="exact"/>
        <w:ind w:firstLine="480" w:firstLineChars="200"/>
        <w:jc w:val="left"/>
        <w:rPr>
          <w:rFonts w:hint="eastAsia" w:ascii="宋体" w:hAnsi="宋体"/>
          <w:color w:val="auto"/>
          <w:sz w:val="24"/>
          <w:highlight w:val="none"/>
        </w:rPr>
      </w:pPr>
    </w:p>
    <w:p>
      <w:pPr>
        <w:snapToGrid w:val="0"/>
        <w:spacing w:line="400" w:lineRule="exact"/>
        <w:ind w:firstLine="480" w:firstLineChars="200"/>
        <w:jc w:val="left"/>
        <w:rPr>
          <w:rFonts w:hint="eastAsia" w:ascii="宋体" w:hAnsi="宋体"/>
          <w:b/>
          <w:color w:val="auto"/>
          <w:sz w:val="32"/>
          <w:szCs w:val="32"/>
          <w:highlight w:val="none"/>
        </w:rPr>
      </w:pPr>
      <w:r>
        <w:rPr>
          <w:rFonts w:ascii="宋体" w:hAnsi="宋体"/>
          <w:color w:val="auto"/>
          <w:sz w:val="24"/>
          <w:highlight w:val="none"/>
        </w:rPr>
        <w:br w:type="page"/>
      </w:r>
      <w:r>
        <w:rPr>
          <w:rFonts w:hint="eastAsia" w:ascii="宋体" w:hAnsi="宋体"/>
          <w:color w:val="auto"/>
          <w:sz w:val="24"/>
          <w:highlight w:val="none"/>
        </w:rPr>
        <w:t xml:space="preserve"> </w:t>
      </w:r>
    </w:p>
    <w:p>
      <w:pPr>
        <w:spacing w:line="460" w:lineRule="exact"/>
        <w:jc w:val="center"/>
        <w:rPr>
          <w:rFonts w:hint="eastAsia" w:ascii="宋体" w:hAnsi="宋体"/>
          <w:b/>
          <w:color w:val="auto"/>
          <w:sz w:val="32"/>
          <w:szCs w:val="32"/>
          <w:highlight w:val="none"/>
        </w:rPr>
      </w:pPr>
      <w:r>
        <w:rPr>
          <w:rFonts w:hint="eastAsia" w:ascii="宋体" w:hAnsi="宋体" w:cs="宋体"/>
          <w:b/>
          <w:color w:val="auto"/>
          <w:sz w:val="30"/>
          <w:szCs w:val="30"/>
          <w:highlight w:val="none"/>
        </w:rPr>
        <w:t>六、</w:t>
      </w:r>
      <w:r>
        <w:rPr>
          <w:rFonts w:hint="eastAsia" w:ascii="宋体" w:hAnsi="宋体"/>
          <w:b/>
          <w:color w:val="auto"/>
          <w:sz w:val="32"/>
          <w:szCs w:val="32"/>
          <w:highlight w:val="none"/>
        </w:rPr>
        <w:t>2018年至今完成的同类项目业绩情况</w:t>
      </w:r>
    </w:p>
    <w:p>
      <w:pPr>
        <w:snapToGrid w:val="0"/>
        <w:spacing w:before="50" w:after="120" w:afterLines="50"/>
        <w:jc w:val="center"/>
        <w:rPr>
          <w:rFonts w:ascii="宋体" w:hAnsi="宋体"/>
          <w:b/>
          <w:color w:val="auto"/>
          <w:sz w:val="32"/>
          <w:szCs w:val="32"/>
          <w:highlight w:val="none"/>
        </w:rPr>
      </w:pPr>
    </w:p>
    <w:tbl>
      <w:tblPr>
        <w:tblStyle w:val="30"/>
        <w:tblW w:w="0" w:type="auto"/>
        <w:jc w:val="center"/>
        <w:tblLayout w:type="fixed"/>
        <w:tblCellMar>
          <w:top w:w="0" w:type="dxa"/>
          <w:left w:w="0" w:type="dxa"/>
          <w:bottom w:w="0" w:type="dxa"/>
          <w:right w:w="0" w:type="dxa"/>
        </w:tblCellMar>
      </w:tblPr>
      <w:tblGrid>
        <w:gridCol w:w="2765"/>
        <w:gridCol w:w="1456"/>
        <w:gridCol w:w="1757"/>
        <w:gridCol w:w="1531"/>
        <w:gridCol w:w="1132"/>
        <w:gridCol w:w="1132"/>
      </w:tblGrid>
      <w:tr>
        <w:tblPrEx>
          <w:tblCellMar>
            <w:top w:w="0" w:type="dxa"/>
            <w:left w:w="0" w:type="dxa"/>
            <w:bottom w:w="0" w:type="dxa"/>
            <w:right w:w="0" w:type="dxa"/>
          </w:tblCellMar>
        </w:tblPrEx>
        <w:trPr>
          <w:wBefore w:w="0" w:type="dxa"/>
          <w:wAfter w:w="0" w:type="dxa"/>
          <w:trHeight w:val="1031"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简要描述</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合同金额</w:t>
            </w:r>
          </w:p>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甲方单位</w:t>
            </w:r>
          </w:p>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是否提供合同复印件</w:t>
            </w:r>
          </w:p>
        </w:tc>
        <w:tc>
          <w:tcPr>
            <w:tcW w:w="113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对应结算发票编号</w:t>
            </w:r>
          </w:p>
        </w:tc>
      </w:tr>
      <w:tr>
        <w:tblPrEx>
          <w:tblCellMar>
            <w:top w:w="0" w:type="dxa"/>
            <w:left w:w="0" w:type="dxa"/>
            <w:bottom w:w="0" w:type="dxa"/>
            <w:right w:w="0" w:type="dxa"/>
          </w:tblCellMar>
        </w:tblPrEx>
        <w:trPr>
          <w:wBefore w:w="0" w:type="dxa"/>
          <w:wAfter w:w="0" w:type="dxa"/>
          <w:trHeight w:val="1028"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132"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atLeast"/>
              <w:jc w:val="center"/>
              <w:rPr>
                <w:rFonts w:ascii="_5b8b_4f53" w:hAnsi="_5b8b_4f53" w:cs="宋体"/>
                <w:color w:val="auto"/>
                <w:sz w:val="24"/>
                <w:highlight w:val="none"/>
              </w:rPr>
            </w:pPr>
          </w:p>
        </w:tc>
      </w:tr>
      <w:tr>
        <w:tblPrEx>
          <w:tblCellMar>
            <w:top w:w="0" w:type="dxa"/>
            <w:left w:w="0" w:type="dxa"/>
            <w:bottom w:w="0" w:type="dxa"/>
            <w:right w:w="0" w:type="dxa"/>
          </w:tblCellMar>
        </w:tblPrEx>
        <w:trPr>
          <w:wBefore w:w="0" w:type="dxa"/>
          <w:wAfter w:w="0" w:type="dxa"/>
          <w:trHeight w:val="1057"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132"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atLeast"/>
              <w:jc w:val="center"/>
              <w:rPr>
                <w:rFonts w:ascii="_5b8b_4f53" w:hAnsi="_5b8b_4f53" w:cs="宋体"/>
                <w:color w:val="auto"/>
                <w:sz w:val="24"/>
                <w:highlight w:val="none"/>
              </w:rPr>
            </w:pPr>
          </w:p>
        </w:tc>
      </w:tr>
      <w:tr>
        <w:tblPrEx>
          <w:tblCellMar>
            <w:top w:w="0" w:type="dxa"/>
            <w:left w:w="0" w:type="dxa"/>
            <w:bottom w:w="0" w:type="dxa"/>
            <w:right w:w="0" w:type="dxa"/>
          </w:tblCellMar>
        </w:tblPrEx>
        <w:trPr>
          <w:wBefore w:w="0" w:type="dxa"/>
          <w:wAfter w:w="0" w:type="dxa"/>
          <w:trHeight w:val="1032"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132"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atLeast"/>
              <w:jc w:val="center"/>
              <w:rPr>
                <w:rFonts w:ascii="_5b8b_4f53" w:hAnsi="_5b8b_4f53" w:cs="宋体"/>
                <w:color w:val="auto"/>
                <w:sz w:val="24"/>
                <w:highlight w:val="none"/>
              </w:rPr>
            </w:pPr>
          </w:p>
        </w:tc>
      </w:tr>
      <w:tr>
        <w:tblPrEx>
          <w:tblCellMar>
            <w:top w:w="0" w:type="dxa"/>
            <w:left w:w="0" w:type="dxa"/>
            <w:bottom w:w="0" w:type="dxa"/>
            <w:right w:w="0" w:type="dxa"/>
          </w:tblCellMar>
        </w:tblPrEx>
        <w:trPr>
          <w:wBefore w:w="0" w:type="dxa"/>
          <w:wAfter w:w="0" w:type="dxa"/>
          <w:trHeight w:val="1032"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tLeast"/>
              <w:jc w:val="center"/>
              <w:rPr>
                <w:rFonts w:hAnsi="宋体" w:cs="宋体"/>
                <w:color w:val="auto"/>
                <w:sz w:val="24"/>
                <w:highlight w:val="none"/>
              </w:rPr>
            </w:pPr>
            <w:r>
              <w:rPr>
                <w:rFonts w:ascii="_5b8b_4f53" w:hAnsi="_5b8b_4f53" w:cs="宋体"/>
                <w:color w:val="auto"/>
                <w:sz w:val="24"/>
                <w:highlight w:val="none"/>
              </w:rPr>
              <w:t> </w:t>
            </w:r>
          </w:p>
        </w:tc>
        <w:tc>
          <w:tcPr>
            <w:tcW w:w="1132"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atLeast"/>
              <w:jc w:val="center"/>
              <w:rPr>
                <w:rFonts w:ascii="_5b8b_4f53" w:hAnsi="_5b8b_4f53" w:cs="宋体"/>
                <w:color w:val="auto"/>
                <w:sz w:val="24"/>
                <w:highlight w:val="none"/>
              </w:rPr>
            </w:pPr>
          </w:p>
        </w:tc>
      </w:tr>
    </w:tbl>
    <w:p>
      <w:pPr>
        <w:autoSpaceDE w:val="0"/>
        <w:autoSpaceDN w:val="0"/>
        <w:adjustRightInd w:val="0"/>
        <w:spacing w:line="440" w:lineRule="exact"/>
        <w:rPr>
          <w:rFonts w:hint="eastAsia" w:ascii="宋体" w:hAnsi="宋体"/>
          <w:color w:val="auto"/>
          <w:sz w:val="24"/>
          <w:highlight w:val="none"/>
        </w:rPr>
      </w:pPr>
      <w:r>
        <w:rPr>
          <w:rFonts w:hint="eastAsia" w:ascii="宋体" w:hAnsi="宋体"/>
          <w:b/>
          <w:color w:val="auto"/>
          <w:sz w:val="24"/>
          <w:highlight w:val="none"/>
        </w:rPr>
        <w:t>注：投标人可按上述的格式自行编制，须随表提交相应的合同复印件、结算发票复印件。</w:t>
      </w:r>
    </w:p>
    <w:p>
      <w:pPr>
        <w:pStyle w:val="10"/>
        <w:snapToGrid w:val="0"/>
        <w:rPr>
          <w:rFonts w:ascii="宋体" w:hAnsi="宋体" w:eastAsia="宋体"/>
          <w:color w:val="auto"/>
          <w:sz w:val="24"/>
          <w:highlight w:val="none"/>
        </w:rPr>
      </w:pPr>
    </w:p>
    <w:p>
      <w:pPr>
        <w:shd w:val="clear" w:color="auto" w:fill="FFFFFF"/>
        <w:snapToGrid w:val="0"/>
        <w:spacing w:after="50"/>
        <w:rPr>
          <w:rFonts w:hint="eastAsia" w:ascii="宋体" w:hAnsi="宋体"/>
          <w:color w:val="auto"/>
          <w:sz w:val="24"/>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50" w:after="120" w:afterLines="50" w:line="360" w:lineRule="auto"/>
        <w:rPr>
          <w:rFonts w:hint="eastAsia" w:ascii="宋体" w:hAnsi="宋体"/>
          <w:color w:val="auto"/>
          <w:sz w:val="24"/>
          <w:highlight w:val="none"/>
        </w:rPr>
      </w:pPr>
    </w:p>
    <w:p>
      <w:pPr>
        <w:snapToGrid w:val="0"/>
        <w:spacing w:line="400" w:lineRule="exact"/>
        <w:ind w:firstLine="602" w:firstLineChars="200"/>
        <w:jc w:val="left"/>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七、针对本项目的整体方案，包括：对本项目的理解；产品说明（产品名称、技术指标、功能说明、性能指标等）；系统总体框架设计、业务流程和应用模式设计；各个模块及系统功能设计；现有系统对接方案；关键技术解决方案等满足和适用情况；计划安排；质量保证方案；质保期承诺（格式自拟）；</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jc w:val="center"/>
        <w:rPr>
          <w:rFonts w:ascii="宋体" w:hAnsi="宋体" w:cs="宋体"/>
          <w:color w:val="auto"/>
          <w:sz w:val="24"/>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50" w:line="360" w:lineRule="auto"/>
        <w:rPr>
          <w:rFonts w:hint="eastAsia" w:ascii="宋体" w:hAnsi="宋体" w:cs="宋体"/>
          <w:b/>
          <w:color w:val="auto"/>
          <w:sz w:val="30"/>
          <w:szCs w:val="30"/>
          <w:highlight w:val="none"/>
        </w:rPr>
      </w:pPr>
    </w:p>
    <w:p>
      <w:pPr>
        <w:snapToGrid w:val="0"/>
        <w:spacing w:line="400" w:lineRule="exact"/>
        <w:ind w:firstLine="602" w:firstLineChars="200"/>
        <w:jc w:val="left"/>
        <w:rPr>
          <w:rFonts w:ascii="宋体" w:hAnsi="宋体" w:cs="宋体"/>
          <w:b/>
          <w:color w:val="auto"/>
          <w:sz w:val="30"/>
          <w:szCs w:val="30"/>
          <w:highlight w:val="none"/>
        </w:rPr>
      </w:pPr>
      <w:r>
        <w:rPr>
          <w:rFonts w:hint="eastAsia" w:ascii="宋体" w:hAnsi="宋体" w:cs="宋体"/>
          <w:b/>
          <w:color w:val="auto"/>
          <w:sz w:val="30"/>
          <w:szCs w:val="30"/>
          <w:highlight w:val="none"/>
        </w:rPr>
        <w:t>八、投标人拥有主要装备和检测设施的情况及现状（格式自拟）；</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jc w:val="center"/>
        <w:rPr>
          <w:rFonts w:ascii="宋体" w:hAnsi="宋体" w:cs="宋体"/>
          <w:color w:val="auto"/>
          <w:sz w:val="24"/>
          <w:highlight w:val="none"/>
        </w:rPr>
      </w:pP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line="400" w:lineRule="exact"/>
        <w:ind w:firstLine="602" w:firstLineChars="200"/>
        <w:jc w:val="left"/>
        <w:rPr>
          <w:rFonts w:hint="eastAsia" w:ascii="宋体" w:hAnsi="宋体" w:cs="宋体"/>
          <w:b/>
          <w:color w:val="auto"/>
          <w:sz w:val="30"/>
          <w:szCs w:val="30"/>
          <w:highlight w:val="none"/>
        </w:rPr>
      </w:pPr>
    </w:p>
    <w:p>
      <w:pPr>
        <w:snapToGrid w:val="0"/>
        <w:spacing w:line="400" w:lineRule="exact"/>
        <w:ind w:firstLine="602" w:firstLineChars="200"/>
        <w:jc w:val="left"/>
        <w:rPr>
          <w:rFonts w:hint="eastAsia" w:ascii="宋体" w:hAnsi="宋体" w:cs="宋体"/>
          <w:b/>
          <w:color w:val="auto"/>
          <w:sz w:val="30"/>
          <w:szCs w:val="30"/>
          <w:highlight w:val="none"/>
        </w:rPr>
      </w:pPr>
    </w:p>
    <w:p>
      <w:pPr>
        <w:snapToGrid w:val="0"/>
        <w:spacing w:line="400" w:lineRule="exact"/>
        <w:ind w:firstLine="602" w:firstLineChars="200"/>
        <w:jc w:val="left"/>
        <w:rPr>
          <w:rFonts w:hint="eastAsia" w:ascii="宋体" w:hAnsi="宋体" w:cs="宋体"/>
          <w:b/>
          <w:color w:val="auto"/>
          <w:sz w:val="30"/>
          <w:szCs w:val="30"/>
          <w:highlight w:val="none"/>
        </w:rPr>
      </w:pPr>
    </w:p>
    <w:p>
      <w:pPr>
        <w:snapToGrid w:val="0"/>
        <w:spacing w:line="400" w:lineRule="exact"/>
        <w:ind w:firstLine="602" w:firstLineChars="200"/>
        <w:jc w:val="left"/>
        <w:rPr>
          <w:rFonts w:ascii="宋体" w:hAnsi="宋体" w:cs="宋体"/>
          <w:b/>
          <w:color w:val="auto"/>
          <w:sz w:val="30"/>
          <w:szCs w:val="30"/>
          <w:highlight w:val="none"/>
        </w:rPr>
      </w:pPr>
      <w:r>
        <w:rPr>
          <w:rFonts w:hint="eastAsia" w:ascii="宋体" w:hAnsi="宋体" w:cs="宋体"/>
          <w:b/>
          <w:color w:val="auto"/>
          <w:sz w:val="30"/>
          <w:szCs w:val="30"/>
          <w:highlight w:val="none"/>
        </w:rPr>
        <w:t>九、产品出厂标准、质量检测报告（格式自拟）；</w:t>
      </w:r>
    </w:p>
    <w:p>
      <w:pPr>
        <w:snapToGrid w:val="0"/>
        <w:spacing w:line="360" w:lineRule="auto"/>
        <w:ind w:firstLine="2640" w:firstLineChars="1100"/>
        <w:jc w:val="right"/>
        <w:rPr>
          <w:rFonts w:hint="eastAsia" w:ascii="宋体" w:hAnsi="宋体" w:cs="宋体"/>
          <w:color w:val="auto"/>
          <w:sz w:val="24"/>
          <w:highlight w:val="none"/>
        </w:rPr>
      </w:pPr>
    </w:p>
    <w:p>
      <w:pPr>
        <w:snapToGrid w:val="0"/>
        <w:spacing w:line="360" w:lineRule="auto"/>
        <w:ind w:firstLine="2640" w:firstLineChars="1100"/>
        <w:jc w:val="right"/>
        <w:rPr>
          <w:rFonts w:hint="eastAsia" w:ascii="宋体" w:hAnsi="宋体" w:cs="宋体"/>
          <w:color w:val="auto"/>
          <w:sz w:val="24"/>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line="400" w:lineRule="exact"/>
        <w:ind w:firstLine="602" w:firstLineChars="200"/>
        <w:jc w:val="left"/>
        <w:rPr>
          <w:rFonts w:ascii="宋体" w:hAnsi="宋体" w:cs="宋体"/>
          <w:b/>
          <w:color w:val="auto"/>
          <w:sz w:val="30"/>
          <w:szCs w:val="30"/>
          <w:highlight w:val="none"/>
        </w:rPr>
      </w:pPr>
      <w:r>
        <w:rPr>
          <w:rFonts w:ascii="宋体" w:hAnsi="宋体" w:cs="宋体"/>
          <w:b/>
          <w:color w:val="auto"/>
          <w:sz w:val="30"/>
          <w:szCs w:val="30"/>
          <w:highlight w:val="none"/>
        </w:rPr>
        <w:br w:type="page"/>
      </w:r>
    </w:p>
    <w:p>
      <w:pPr>
        <w:snapToGrid w:val="0"/>
        <w:spacing w:line="400" w:lineRule="exact"/>
        <w:ind w:firstLine="602" w:firstLineChars="200"/>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十、原厂出厂配置表及原厂中文使用说明书（格式自拟）；</w:t>
      </w:r>
    </w:p>
    <w:p>
      <w:pPr>
        <w:snapToGrid w:val="0"/>
        <w:spacing w:line="360" w:lineRule="auto"/>
        <w:ind w:firstLine="2640" w:firstLineChars="1100"/>
        <w:jc w:val="right"/>
        <w:rPr>
          <w:rFonts w:hint="eastAsia" w:ascii="宋体" w:hAnsi="宋体" w:cs="宋体"/>
          <w:color w:val="auto"/>
          <w:sz w:val="24"/>
          <w:highlight w:val="none"/>
        </w:rPr>
      </w:pPr>
    </w:p>
    <w:p>
      <w:pPr>
        <w:snapToGrid w:val="0"/>
        <w:spacing w:line="360" w:lineRule="auto"/>
        <w:ind w:firstLine="2640" w:firstLineChars="1100"/>
        <w:jc w:val="right"/>
        <w:rPr>
          <w:rFonts w:hint="eastAsia" w:ascii="宋体" w:hAnsi="宋体" w:cs="宋体"/>
          <w:color w:val="auto"/>
          <w:sz w:val="24"/>
          <w:highlight w:val="none"/>
        </w:rPr>
      </w:pPr>
    </w:p>
    <w:p>
      <w:pPr>
        <w:snapToGrid w:val="0"/>
        <w:spacing w:line="360" w:lineRule="auto"/>
        <w:ind w:firstLine="2640" w:firstLineChars="1100"/>
        <w:jc w:val="right"/>
        <w:rPr>
          <w:rFonts w:hint="eastAsia" w:ascii="宋体" w:hAnsi="宋体" w:cs="宋体"/>
          <w:color w:val="auto"/>
          <w:sz w:val="24"/>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line="400" w:lineRule="exact"/>
        <w:ind w:firstLine="480" w:firstLineChars="200"/>
        <w:jc w:val="left"/>
        <w:rPr>
          <w:rFonts w:ascii="宋体" w:hAnsi="宋体" w:cs="宋体"/>
          <w:color w:val="auto"/>
          <w:sz w:val="24"/>
          <w:highlight w:val="none"/>
        </w:rPr>
      </w:pPr>
    </w:p>
    <w:p>
      <w:pPr>
        <w:snapToGrid w:val="0"/>
        <w:spacing w:line="400" w:lineRule="exact"/>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十一、产品配置清单（均不含报价）；</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产品名称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p>
            <w:pPr>
              <w:snapToGrid w:val="0"/>
              <w:spacing w:before="50" w:after="50"/>
              <w:jc w:val="center"/>
              <w:rPr>
                <w:rFonts w:ascii="宋体" w:hAnsi="宋体" w:cs="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s="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宋体"/>
                <w:color w:val="auto"/>
                <w:sz w:val="24"/>
                <w:szCs w:val="20"/>
                <w:highlight w:val="none"/>
              </w:rPr>
            </w:pPr>
          </w:p>
        </w:tc>
      </w:tr>
    </w:tbl>
    <w:p>
      <w:pPr>
        <w:snapToGrid w:val="0"/>
        <w:spacing w:line="400" w:lineRule="exact"/>
        <w:ind w:firstLine="602" w:firstLineChars="200"/>
        <w:jc w:val="left"/>
        <w:rPr>
          <w:rFonts w:hint="eastAsia" w:ascii="宋体" w:hAnsi="宋体" w:cs="宋体"/>
          <w:b/>
          <w:color w:val="auto"/>
          <w:sz w:val="30"/>
          <w:szCs w:val="30"/>
          <w:highlight w:val="none"/>
        </w:rPr>
      </w:pPr>
    </w:p>
    <w:p>
      <w:pPr>
        <w:snapToGrid w:val="0"/>
        <w:spacing w:line="400" w:lineRule="exact"/>
        <w:ind w:firstLine="602" w:firstLineChars="200"/>
        <w:jc w:val="left"/>
        <w:rPr>
          <w:rFonts w:hint="eastAsia" w:ascii="宋体" w:hAnsi="宋体" w:cs="宋体"/>
          <w:b/>
          <w:color w:val="auto"/>
          <w:sz w:val="30"/>
          <w:szCs w:val="30"/>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line="400" w:lineRule="exact"/>
        <w:ind w:firstLine="602" w:firstLineChars="200"/>
        <w:jc w:val="left"/>
        <w:rPr>
          <w:rFonts w:hint="eastAsia" w:ascii="宋体" w:hAnsi="宋体" w:cs="宋体"/>
          <w:b/>
          <w:color w:val="auto"/>
          <w:sz w:val="30"/>
          <w:szCs w:val="30"/>
          <w:highlight w:val="none"/>
        </w:rPr>
      </w:pPr>
    </w:p>
    <w:p>
      <w:pPr>
        <w:snapToGrid w:val="0"/>
        <w:spacing w:before="50" w:after="120" w:afterLines="50"/>
        <w:ind w:firstLine="110" w:firstLineChars="46"/>
        <w:jc w:val="center"/>
        <w:rPr>
          <w:rFonts w:hint="eastAsia" w:ascii="宋体" w:hAnsi="宋体" w:cs="宋体"/>
          <w:b/>
          <w:color w:val="auto"/>
          <w:sz w:val="30"/>
          <w:szCs w:val="30"/>
          <w:highlight w:val="none"/>
        </w:rPr>
      </w:pPr>
      <w:r>
        <w:rPr>
          <w:rFonts w:ascii="宋体" w:hAnsi="宋体"/>
          <w:color w:val="auto"/>
          <w:sz w:val="24"/>
          <w:highlight w:val="none"/>
        </w:rPr>
        <w:br w:type="page"/>
      </w:r>
      <w:r>
        <w:rPr>
          <w:rFonts w:hint="eastAsia" w:ascii="宋体" w:hAnsi="宋体" w:cs="宋体"/>
          <w:b/>
          <w:color w:val="auto"/>
          <w:sz w:val="30"/>
          <w:szCs w:val="30"/>
          <w:highlight w:val="none"/>
        </w:rPr>
        <w:t>十二、技术响应表（格式）</w:t>
      </w:r>
    </w:p>
    <w:p>
      <w:pPr>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（必须针对“招标需求”所列的技术参数条目，逐一说明是符合、正偏离、负偏离等响应必须）；</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3114"/>
        <w:gridCol w:w="3784"/>
        <w:gridCol w:w="12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beforeLines="0" w:after="120" w:line="240" w:lineRule="auto"/>
              <w:ind w:left="560" w:hanging="560"/>
              <w:jc w:val="center"/>
              <w:outlineLvl w:val="0"/>
              <w:rPr>
                <w:rFonts w:hAnsi="宋体" w:cs="宋体"/>
                <w:color w:val="auto"/>
                <w:highlight w:val="none"/>
              </w:rPr>
            </w:pPr>
            <w:r>
              <w:rPr>
                <w:rFonts w:hAnsi="宋体" w:cs="宋体"/>
                <w:color w:val="auto"/>
                <w:highlight w:val="none"/>
              </w:rPr>
              <w:t>序号</w:t>
            </w:r>
          </w:p>
        </w:tc>
        <w:tc>
          <w:tcPr>
            <w:tcW w:w="3114"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before="120" w:after="120"/>
              <w:ind w:left="560" w:hanging="560"/>
              <w:jc w:val="center"/>
              <w:outlineLvl w:val="0"/>
              <w:rPr>
                <w:rFonts w:hAnsi="宋体" w:cs="宋体"/>
                <w:color w:val="auto"/>
                <w:highlight w:val="none"/>
              </w:rPr>
            </w:pPr>
            <w:r>
              <w:rPr>
                <w:rFonts w:hAnsi="宋体" w:cs="宋体"/>
                <w:color w:val="auto"/>
                <w:highlight w:val="none"/>
              </w:rPr>
              <w:t>招标文件要求</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beforeLines="0" w:after="120" w:line="240" w:lineRule="auto"/>
              <w:ind w:left="560" w:hanging="560"/>
              <w:jc w:val="center"/>
              <w:outlineLvl w:val="0"/>
              <w:rPr>
                <w:rFonts w:hAnsi="宋体" w:cs="宋体"/>
                <w:color w:val="auto"/>
                <w:highlight w:val="none"/>
              </w:rPr>
            </w:pPr>
            <w:r>
              <w:rPr>
                <w:rFonts w:hAnsi="宋体" w:cs="宋体"/>
                <w:color w:val="auto"/>
                <w:highlight w:val="none"/>
              </w:rPr>
              <w:t>投标文件响应情况</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beforeLines="0" w:after="120" w:line="240" w:lineRule="auto"/>
              <w:ind w:left="560" w:hanging="560"/>
              <w:jc w:val="center"/>
              <w:outlineLvl w:val="0"/>
              <w:rPr>
                <w:rFonts w:hAnsi="宋体" w:cs="宋体"/>
                <w:color w:val="auto"/>
                <w:highlight w:val="none"/>
              </w:rPr>
            </w:pPr>
            <w:r>
              <w:rPr>
                <w:rFonts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after="120"/>
              <w:ind w:left="560" w:hanging="560"/>
              <w:jc w:val="center"/>
              <w:outlineLvl w:val="0"/>
              <w:rPr>
                <w:rFonts w:hAnsi="宋体" w:cs="宋体"/>
                <w:color w:val="auto"/>
                <w:highlight w:val="none"/>
              </w:rPr>
            </w:pPr>
          </w:p>
        </w:tc>
        <w:tc>
          <w:tcPr>
            <w:tcW w:w="378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outlineLvl w:val="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after="120"/>
              <w:ind w:left="560" w:hanging="560"/>
              <w:jc w:val="center"/>
              <w:outlineLvl w:val="0"/>
              <w:rPr>
                <w:rFonts w:hAnsi="宋体" w:cs="宋体"/>
                <w:color w:val="auto"/>
                <w:highlight w:val="none"/>
              </w:rPr>
            </w:pPr>
          </w:p>
        </w:tc>
        <w:tc>
          <w:tcPr>
            <w:tcW w:w="378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outlineLvl w:val="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after="120"/>
              <w:ind w:left="560" w:hanging="560"/>
              <w:jc w:val="center"/>
              <w:outlineLvl w:val="0"/>
              <w:rPr>
                <w:rFonts w:hAnsi="宋体" w:cs="宋体"/>
                <w:color w:val="auto"/>
                <w:highlight w:val="none"/>
              </w:rPr>
            </w:pPr>
          </w:p>
        </w:tc>
        <w:tc>
          <w:tcPr>
            <w:tcW w:w="378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outlineLvl w:val="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after="120"/>
              <w:ind w:left="560" w:hanging="560"/>
              <w:jc w:val="center"/>
              <w:outlineLvl w:val="0"/>
              <w:rPr>
                <w:rFonts w:hAnsi="宋体" w:cs="宋体"/>
                <w:color w:val="auto"/>
                <w:highlight w:val="none"/>
              </w:rPr>
            </w:pPr>
          </w:p>
        </w:tc>
        <w:tc>
          <w:tcPr>
            <w:tcW w:w="378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outlineLvl w:val="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after="120"/>
              <w:ind w:left="560" w:hanging="560"/>
              <w:jc w:val="center"/>
              <w:outlineLvl w:val="0"/>
              <w:rPr>
                <w:rFonts w:hAnsi="宋体" w:cs="宋体"/>
                <w:color w:val="auto"/>
                <w:highlight w:val="none"/>
              </w:rPr>
            </w:pPr>
          </w:p>
        </w:tc>
        <w:tc>
          <w:tcPr>
            <w:tcW w:w="378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outlineLvl w:val="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after="120"/>
              <w:ind w:left="560" w:hanging="560"/>
              <w:jc w:val="center"/>
              <w:outlineLvl w:val="0"/>
              <w:rPr>
                <w:rFonts w:hAnsi="宋体" w:cs="宋体"/>
                <w:color w:val="auto"/>
                <w:highlight w:val="none"/>
              </w:rPr>
            </w:pPr>
          </w:p>
        </w:tc>
        <w:tc>
          <w:tcPr>
            <w:tcW w:w="3784"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jc w:val="center"/>
              <w:outlineLvl w:val="0"/>
              <w:rPr>
                <w:rFonts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0" w:after="120" w:line="240" w:lineRule="auto"/>
              <w:ind w:left="560" w:hanging="560"/>
              <w:outlineLvl w:val="0"/>
              <w:rPr>
                <w:rFonts w:hAnsi="宋体" w:cs="宋体"/>
                <w:color w:val="auto"/>
                <w:highlight w:val="none"/>
              </w:rPr>
            </w:pPr>
          </w:p>
        </w:tc>
      </w:tr>
    </w:tbl>
    <w:p>
      <w:pPr>
        <w:pStyle w:val="13"/>
        <w:rPr>
          <w:rFonts w:hint="eastAsia" w:ascii="宋体" w:cs="宋体"/>
          <w:color w:val="auto"/>
          <w:highlight w:val="none"/>
        </w:rPr>
      </w:pPr>
      <w:r>
        <w:rPr>
          <w:rFonts w:hint="eastAsia" w:ascii="宋体" w:cs="宋体"/>
          <w:color w:val="auto"/>
          <w:highlight w:val="none"/>
        </w:rPr>
        <w:t>注：投标人应根据投标设备的性能指标、对照招标文件要求在“偏离情况”栏注明“正偏离”、“负偏离”或“符合”。</w:t>
      </w:r>
    </w:p>
    <w:p>
      <w:pPr>
        <w:pStyle w:val="13"/>
        <w:rPr>
          <w:rFonts w:hint="eastAsia" w:ascii="宋体" w:cs="宋体"/>
          <w:color w:val="auto"/>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50" w:after="120" w:afterLines="50"/>
        <w:ind w:firstLine="139" w:firstLineChars="46"/>
        <w:jc w:val="left"/>
        <w:rPr>
          <w:rFonts w:ascii="宋体" w:hAnsi="宋体" w:cs="宋体"/>
          <w:b/>
          <w:color w:val="auto"/>
          <w:sz w:val="30"/>
          <w:szCs w:val="30"/>
          <w:highlight w:val="none"/>
        </w:rPr>
      </w:pPr>
      <w:r>
        <w:rPr>
          <w:rFonts w:ascii="宋体" w:hAnsi="宋体" w:cs="宋体"/>
          <w:b/>
          <w:color w:val="auto"/>
          <w:sz w:val="30"/>
          <w:szCs w:val="30"/>
          <w:highlight w:val="none"/>
        </w:rPr>
        <w:t>十三、</w:t>
      </w:r>
      <w:r>
        <w:rPr>
          <w:rFonts w:hint="eastAsia" w:ascii="宋体" w:hAnsi="宋体" w:cs="宋体"/>
          <w:b/>
          <w:color w:val="auto"/>
          <w:sz w:val="30"/>
          <w:szCs w:val="30"/>
          <w:highlight w:val="none"/>
        </w:rPr>
        <w:t>投标人建议的安装、调试、验收方法或方案（格式自拟）；</w:t>
      </w:r>
    </w:p>
    <w:p>
      <w:pPr>
        <w:snapToGrid w:val="0"/>
        <w:spacing w:line="400" w:lineRule="exact"/>
        <w:ind w:firstLine="602" w:firstLineChars="200"/>
        <w:jc w:val="left"/>
        <w:rPr>
          <w:rFonts w:hint="eastAsia" w:ascii="宋体" w:hAnsi="宋体" w:cs="宋体"/>
          <w:b/>
          <w:color w:val="auto"/>
          <w:sz w:val="30"/>
          <w:szCs w:val="30"/>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50" w:after="120" w:afterLines="50"/>
        <w:ind w:firstLine="139" w:firstLineChars="46"/>
        <w:jc w:val="left"/>
        <w:rPr>
          <w:rFonts w:hint="eastAsia" w:ascii="宋体" w:hAnsi="宋体" w:cs="宋体"/>
          <w:b/>
          <w:color w:val="auto"/>
          <w:sz w:val="30"/>
          <w:szCs w:val="30"/>
          <w:highlight w:val="none"/>
        </w:rPr>
      </w:pPr>
    </w:p>
    <w:p>
      <w:pPr>
        <w:snapToGrid w:val="0"/>
        <w:spacing w:before="50" w:after="120" w:afterLines="50"/>
        <w:ind w:firstLine="139" w:firstLineChars="46"/>
        <w:jc w:val="left"/>
        <w:rPr>
          <w:rFonts w:ascii="宋体" w:hAnsi="宋体" w:cs="宋体"/>
          <w:b/>
          <w:color w:val="auto"/>
          <w:sz w:val="30"/>
          <w:szCs w:val="30"/>
          <w:highlight w:val="none"/>
        </w:rPr>
      </w:pPr>
      <w:r>
        <w:rPr>
          <w:rFonts w:hint="eastAsia" w:ascii="宋体" w:hAnsi="宋体" w:cs="宋体"/>
          <w:b/>
          <w:color w:val="auto"/>
          <w:sz w:val="30"/>
          <w:szCs w:val="30"/>
          <w:highlight w:val="none"/>
        </w:rPr>
        <w:t>十四、技术服务、技术培训、售后服务的内容和措施（格式自拟）；</w:t>
      </w:r>
    </w:p>
    <w:p>
      <w:pPr>
        <w:snapToGrid w:val="0"/>
        <w:spacing w:line="400" w:lineRule="exact"/>
        <w:ind w:firstLine="602" w:firstLineChars="200"/>
        <w:jc w:val="left"/>
        <w:rPr>
          <w:rFonts w:hint="eastAsia" w:ascii="宋体" w:hAnsi="宋体" w:cs="宋体"/>
          <w:b/>
          <w:color w:val="auto"/>
          <w:sz w:val="30"/>
          <w:szCs w:val="30"/>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50" w:after="120" w:afterLines="50"/>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十五、项目实施人员一览表（格式自拟）；</w:t>
      </w:r>
    </w:p>
    <w:p>
      <w:pPr>
        <w:snapToGrid w:val="0"/>
        <w:spacing w:before="50" w:after="120" w:afterLines="50"/>
        <w:ind w:firstLine="139" w:firstLineChars="46"/>
        <w:jc w:val="left"/>
        <w:rPr>
          <w:rFonts w:hint="eastAsia" w:ascii="宋体" w:hAnsi="宋体" w:cs="宋体"/>
          <w:b/>
          <w:color w:val="auto"/>
          <w:sz w:val="30"/>
          <w:szCs w:val="30"/>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50" w:after="120" w:afterLines="50"/>
        <w:ind w:firstLine="139" w:firstLineChars="46"/>
        <w:jc w:val="left"/>
        <w:rPr>
          <w:rFonts w:hint="eastAsia" w:ascii="宋体" w:hAnsi="宋体" w:cs="宋体"/>
          <w:b/>
          <w:color w:val="auto"/>
          <w:sz w:val="30"/>
          <w:szCs w:val="30"/>
          <w:highlight w:val="none"/>
        </w:rPr>
      </w:pPr>
    </w:p>
    <w:p>
      <w:pPr>
        <w:snapToGrid w:val="0"/>
        <w:spacing w:before="50" w:after="120" w:afterLines="50"/>
        <w:ind w:firstLine="139" w:firstLineChars="46"/>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十六、优惠条件：投标人承诺给予采购人的各种优惠条件，包括售后服务、备品备件、专用耗材等方面的优惠（格式自拟）；</w:t>
      </w:r>
    </w:p>
    <w:p>
      <w:pPr>
        <w:snapToGrid w:val="0"/>
        <w:spacing w:before="50" w:after="120" w:afterLines="50"/>
        <w:ind w:firstLine="139" w:firstLineChars="46"/>
        <w:jc w:val="left"/>
        <w:rPr>
          <w:rFonts w:hint="eastAsia" w:ascii="宋体" w:hAnsi="宋体" w:cs="宋体"/>
          <w:b/>
          <w:color w:val="auto"/>
          <w:sz w:val="30"/>
          <w:szCs w:val="30"/>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50" w:after="120" w:afterLines="50"/>
        <w:ind w:firstLine="139" w:firstLineChars="46"/>
        <w:jc w:val="left"/>
        <w:rPr>
          <w:rFonts w:hint="eastAsia" w:ascii="宋体" w:hAnsi="宋体" w:cs="宋体"/>
          <w:b/>
          <w:color w:val="auto"/>
          <w:sz w:val="30"/>
          <w:szCs w:val="30"/>
          <w:highlight w:val="none"/>
        </w:rPr>
      </w:pPr>
    </w:p>
    <w:p>
      <w:pPr>
        <w:snapToGrid w:val="0"/>
        <w:spacing w:before="50" w:after="120" w:afterLines="50"/>
        <w:ind w:firstLine="139" w:firstLineChars="46"/>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十七、投标人对本项目的合理化建议和改进措施（格式自拟）；</w:t>
      </w: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before="50" w:after="120" w:afterLines="50"/>
        <w:ind w:firstLine="139" w:firstLineChars="46"/>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十八、投标人认为需要提供的其他材料。</w:t>
      </w:r>
    </w:p>
    <w:p>
      <w:pPr>
        <w:shd w:val="clear" w:color="auto" w:fill="FFFFFF"/>
        <w:snapToGrid w:val="0"/>
        <w:spacing w:after="50"/>
        <w:jc w:val="center"/>
        <w:rPr>
          <w:rFonts w:hint="eastAsia" w:ascii="宋体" w:hAnsi="宋体"/>
          <w:color w:val="auto"/>
          <w:sz w:val="24"/>
          <w:highlight w:val="none"/>
        </w:rPr>
      </w:pPr>
    </w:p>
    <w:p>
      <w:pPr>
        <w:snapToGrid w:val="0"/>
        <w:spacing w:before="50"/>
        <w:ind w:firstLine="480" w:firstLineChars="200"/>
        <w:jc w:val="left"/>
        <w:rPr>
          <w:rFonts w:ascii="宋体" w:hAnsi="宋体"/>
          <w:color w:val="auto"/>
          <w:sz w:val="24"/>
          <w:szCs w:val="20"/>
          <w:highlight w:val="none"/>
        </w:rPr>
      </w:pPr>
    </w:p>
    <w:p>
      <w:pPr>
        <w:snapToGrid w:val="0"/>
        <w:spacing w:line="360" w:lineRule="auto"/>
        <w:rPr>
          <w:rFonts w:hint="eastAsia" w:ascii="宋体" w:hAnsi="宋体"/>
          <w:color w:val="auto"/>
          <w:highlight w:val="none"/>
        </w:rPr>
      </w:pPr>
    </w:p>
    <w:p>
      <w:pPr>
        <w:pStyle w:val="17"/>
        <w:snapToGrid w:val="0"/>
        <w:spacing w:before="120" w:beforeLines="0" w:after="120" w:afterLines="0" w:line="240" w:lineRule="auto"/>
        <w:outlineLvl w:val="0"/>
        <w:rPr>
          <w:rFonts w:hint="eastAsia"/>
          <w:color w:val="auto"/>
          <w:szCs w:val="20"/>
          <w:highlight w:val="none"/>
        </w:rPr>
      </w:pPr>
      <w:r>
        <w:rPr>
          <w:color w:val="auto"/>
          <w:highlight w:val="none"/>
        </w:rPr>
        <w:br w:type="page"/>
      </w:r>
      <w:r>
        <w:rPr>
          <w:rFonts w:hint="eastAsia"/>
          <w:color w:val="auto"/>
          <w:highlight w:val="none"/>
        </w:rPr>
        <w:t>第2部分.资信及技术标包装及封面格式</w:t>
      </w:r>
    </w:p>
    <w:p>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b/>
          <w:bCs/>
          <w:color w:val="auto"/>
          <w:highlight w:val="none"/>
        </w:rPr>
        <w:t>正本/或副本</w:t>
      </w:r>
    </w:p>
    <w:p>
      <w:pPr>
        <w:shd w:val="clear" w:color="auto" w:fill="FFFFFF"/>
        <w:snapToGrid w:val="0"/>
        <w:spacing w:after="50"/>
        <w:rPr>
          <w:rFonts w:hint="eastAsia" w:ascii="宋体" w:hAnsi="宋体"/>
          <w:b/>
          <w:color w:val="auto"/>
          <w:sz w:val="32"/>
          <w:szCs w:val="20"/>
          <w:highlight w:val="none"/>
        </w:rPr>
      </w:pPr>
      <w:r>
        <w:rPr>
          <w:rFonts w:hint="eastAsia" w:ascii="宋体" w:hAnsi="宋体"/>
          <w:b/>
          <w:color w:val="auto"/>
          <w:sz w:val="24"/>
          <w:szCs w:val="20"/>
          <w:highlight w:val="none"/>
        </w:rPr>
        <w:t> </w:t>
      </w:r>
    </w:p>
    <w:p>
      <w:pPr>
        <w:shd w:val="clear" w:color="auto" w:fill="FFFFFF"/>
        <w:snapToGrid w:val="0"/>
        <w:spacing w:after="50" w:line="360" w:lineRule="auto"/>
        <w:jc w:val="center"/>
        <w:rPr>
          <w:rFonts w:hint="eastAsia" w:ascii="宋体" w:hAnsi="宋体"/>
          <w:b/>
          <w:bCs/>
          <w:color w:val="auto"/>
          <w:sz w:val="56"/>
          <w:szCs w:val="52"/>
          <w:highlight w:val="none"/>
        </w:rPr>
      </w:pPr>
      <w:r>
        <w:rPr>
          <w:rFonts w:hint="eastAsia" w:ascii="宋体" w:hAnsi="宋体"/>
          <w:b/>
          <w:bCs/>
          <w:color w:val="auto"/>
          <w:sz w:val="56"/>
          <w:szCs w:val="52"/>
          <w:highlight w:val="none"/>
        </w:rPr>
        <w:t>浙江省金华监狱</w:t>
      </w:r>
    </w:p>
    <w:p>
      <w:pPr>
        <w:shd w:val="clear" w:color="auto" w:fill="FFFFFF"/>
        <w:snapToGrid w:val="0"/>
        <w:spacing w:after="50" w:line="360" w:lineRule="auto"/>
        <w:jc w:val="center"/>
        <w:rPr>
          <w:rFonts w:hint="eastAsia" w:ascii="宋体" w:hAnsi="宋体"/>
          <w:b/>
          <w:bCs/>
          <w:color w:val="auto"/>
          <w:sz w:val="56"/>
          <w:szCs w:val="52"/>
          <w:highlight w:val="none"/>
        </w:rPr>
      </w:pPr>
      <w:r>
        <w:rPr>
          <w:rFonts w:hint="eastAsia" w:ascii="宋体" w:hAnsi="宋体"/>
          <w:b/>
          <w:bCs/>
          <w:color w:val="auto"/>
          <w:sz w:val="56"/>
          <w:szCs w:val="52"/>
          <w:highlight w:val="none"/>
        </w:rPr>
        <w:t>移动**录音复听、智慧督查APP应用系统采购项目</w:t>
      </w:r>
    </w:p>
    <w:p>
      <w:pPr>
        <w:shd w:val="clear" w:color="auto" w:fill="FFFFFF"/>
        <w:snapToGrid w:val="0"/>
        <w:spacing w:after="50"/>
        <w:jc w:val="center"/>
        <w:rPr>
          <w:rFonts w:hint="eastAsia" w:ascii="宋体" w:hAnsi="宋体"/>
          <w:bCs/>
          <w:color w:val="auto"/>
          <w:sz w:val="52"/>
          <w:szCs w:val="52"/>
          <w:highlight w:val="none"/>
        </w:rPr>
      </w:pPr>
    </w:p>
    <w:p>
      <w:pPr>
        <w:tabs>
          <w:tab w:val="left" w:pos="0"/>
        </w:tabs>
        <w:snapToGrid w:val="0"/>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投 标 文 件</w:t>
      </w:r>
    </w:p>
    <w:p>
      <w:pPr>
        <w:tabs>
          <w:tab w:val="left" w:pos="0"/>
        </w:tabs>
        <w:snapToGrid w:val="0"/>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（投标报价标）</w:t>
      </w:r>
    </w:p>
    <w:p>
      <w:pPr>
        <w:shd w:val="clear" w:color="auto" w:fill="FFFFFF"/>
        <w:snapToGrid w:val="0"/>
        <w:spacing w:after="50"/>
        <w:jc w:val="center"/>
        <w:rPr>
          <w:rFonts w:hint="eastAsia" w:ascii="宋体" w:hAnsi="宋体"/>
          <w:bCs/>
          <w:color w:val="auto"/>
          <w:sz w:val="24"/>
          <w:highlight w:val="none"/>
        </w:rPr>
      </w:pPr>
    </w:p>
    <w:p>
      <w:pPr>
        <w:shd w:val="clear" w:color="auto" w:fill="FFFFFF"/>
        <w:snapToGrid w:val="0"/>
        <w:spacing w:after="50"/>
        <w:jc w:val="center"/>
        <w:rPr>
          <w:rFonts w:hint="eastAsia" w:ascii="宋体" w:hAnsi="宋体"/>
          <w:bCs/>
          <w:color w:val="auto"/>
          <w:sz w:val="24"/>
          <w:highlight w:val="none"/>
        </w:rPr>
      </w:pPr>
    </w:p>
    <w:p>
      <w:pPr>
        <w:shd w:val="clear" w:color="auto" w:fill="FFFFFF"/>
        <w:snapToGrid w:val="0"/>
        <w:spacing w:after="50"/>
        <w:rPr>
          <w:rFonts w:hint="eastAsia" w:ascii="宋体" w:hAnsi="宋体"/>
          <w:bCs/>
          <w:color w:val="auto"/>
          <w:sz w:val="24"/>
          <w:szCs w:val="20"/>
          <w:highlight w:val="none"/>
        </w:rPr>
      </w:pPr>
      <w:r>
        <w:rPr>
          <w:rFonts w:hint="eastAsia" w:ascii="宋体" w:hAnsi="宋体"/>
          <w:bCs/>
          <w:color w:val="auto"/>
          <w:sz w:val="24"/>
          <w:szCs w:val="20"/>
          <w:highlight w:val="none"/>
        </w:rPr>
        <w:t xml:space="preserve"> </w:t>
      </w:r>
    </w:p>
    <w:p>
      <w:pPr>
        <w:shd w:val="clear" w:color="auto" w:fill="FFFFFF"/>
        <w:snapToGrid w:val="0"/>
        <w:spacing w:after="50"/>
        <w:rPr>
          <w:rFonts w:hint="eastAsia" w:ascii="宋体" w:hAnsi="宋体"/>
          <w:bCs/>
          <w:color w:val="auto"/>
          <w:sz w:val="24"/>
          <w:szCs w:val="20"/>
          <w:highlight w:val="none"/>
        </w:rPr>
      </w:pPr>
    </w:p>
    <w:p>
      <w:pPr>
        <w:shd w:val="clear" w:color="auto" w:fill="FFFFFF"/>
        <w:snapToGrid w:val="0"/>
        <w:spacing w:after="50"/>
        <w:rPr>
          <w:rFonts w:hint="eastAsia" w:ascii="宋体" w:hAnsi="宋体"/>
          <w:bCs/>
          <w:color w:val="auto"/>
          <w:sz w:val="24"/>
          <w:szCs w:val="20"/>
          <w:highlight w:val="none"/>
        </w:rPr>
      </w:pPr>
    </w:p>
    <w:p>
      <w:pPr>
        <w:shd w:val="clear" w:color="auto" w:fill="FFFFFF"/>
        <w:snapToGrid w:val="0"/>
        <w:spacing w:after="50"/>
        <w:rPr>
          <w:rFonts w:hint="eastAsia" w:ascii="宋体" w:hAnsi="宋体"/>
          <w:bCs/>
          <w:color w:val="auto"/>
          <w:sz w:val="24"/>
          <w:szCs w:val="20"/>
          <w:highlight w:val="none"/>
        </w:rPr>
      </w:pP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项目编号：SJH-B202113015</w:t>
      </w: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投标人名称：</w:t>
      </w: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法定代表人或委托代表人签字或盖章：</w:t>
      </w:r>
    </w:p>
    <w:p>
      <w:pPr>
        <w:shd w:val="clear" w:color="auto" w:fill="FFFFFF"/>
        <w:snapToGrid w:val="0"/>
        <w:spacing w:after="50"/>
        <w:ind w:firstLine="900" w:firstLineChars="300"/>
        <w:rPr>
          <w:rFonts w:hint="eastAsia" w:ascii="宋体" w:hAnsi="宋体"/>
          <w:bCs/>
          <w:color w:val="auto"/>
          <w:sz w:val="30"/>
          <w:szCs w:val="30"/>
          <w:highlight w:val="none"/>
        </w:rPr>
      </w:pPr>
    </w:p>
    <w:p>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在  年  月  日  时  分之前不得启封</w:t>
      </w:r>
    </w:p>
    <w:p>
      <w:pPr>
        <w:shd w:val="clear" w:color="auto" w:fill="FFFFFF"/>
        <w:snapToGrid w:val="0"/>
        <w:spacing w:before="50" w:after="50"/>
        <w:ind w:firstLine="960" w:firstLineChars="400"/>
        <w:rPr>
          <w:rFonts w:hint="eastAsia" w:ascii="宋体" w:hAnsi="宋体"/>
          <w:bCs/>
          <w:color w:val="auto"/>
          <w:sz w:val="24"/>
          <w:highlight w:val="none"/>
        </w:rPr>
      </w:pPr>
      <w:r>
        <w:rPr>
          <w:rFonts w:hint="eastAsia" w:ascii="宋体" w:hAnsi="宋体"/>
          <w:bCs/>
          <w:color w:val="auto"/>
          <w:sz w:val="24"/>
          <w:highlight w:val="none"/>
        </w:rPr>
        <w:t> </w:t>
      </w:r>
    </w:p>
    <w:p>
      <w:pPr>
        <w:shd w:val="clear" w:color="auto" w:fill="FFFFFF"/>
        <w:snapToGrid w:val="0"/>
        <w:spacing w:after="50"/>
        <w:ind w:firstLine="4080" w:firstLineChars="1700"/>
        <w:rPr>
          <w:rFonts w:hint="eastAsia" w:ascii="宋体" w:hAnsi="宋体"/>
          <w:color w:val="auto"/>
          <w:sz w:val="24"/>
          <w:szCs w:val="20"/>
          <w:highlight w:val="none"/>
        </w:rPr>
      </w:pPr>
      <w:r>
        <w:rPr>
          <w:rFonts w:hint="eastAsia" w:ascii="宋体" w:hAnsi="宋体"/>
          <w:color w:val="auto"/>
          <w:sz w:val="24"/>
          <w:szCs w:val="20"/>
          <w:highlight w:val="none"/>
        </w:rPr>
        <w:t> </w:t>
      </w:r>
    </w:p>
    <w:p>
      <w:pPr>
        <w:shd w:val="clear" w:color="auto" w:fill="FFFFFF"/>
        <w:snapToGrid w:val="0"/>
        <w:spacing w:after="50"/>
        <w:ind w:firstLine="645"/>
        <w:jc w:val="center"/>
        <w:rPr>
          <w:rFonts w:hint="eastAsia" w:ascii="宋体" w:hAnsi="宋体"/>
          <w:color w:val="auto"/>
          <w:sz w:val="24"/>
          <w:szCs w:val="20"/>
          <w:highlight w:val="none"/>
        </w:rPr>
      </w:pPr>
      <w:r>
        <w:rPr>
          <w:rFonts w:hint="eastAsia" w:ascii="宋体" w:hAnsi="宋体"/>
          <w:color w:val="auto"/>
          <w:sz w:val="24"/>
          <w:highlight w:val="none"/>
        </w:rPr>
        <w:t xml:space="preserve">                        年  月  日</w:t>
      </w:r>
    </w:p>
    <w:p>
      <w:pPr>
        <w:snapToGrid w:val="0"/>
        <w:spacing w:before="120" w:beforeLines="50" w:after="50"/>
        <w:rPr>
          <w:rFonts w:hAnsi="宋体"/>
          <w:color w:val="auto"/>
          <w:highlight w:val="none"/>
        </w:rPr>
      </w:pPr>
      <w:r>
        <w:rPr>
          <w:rFonts w:hAnsi="宋体"/>
          <w:color w:val="auto"/>
          <w:highlight w:val="none"/>
        </w:rPr>
        <w:t xml:space="preserve"> </w:t>
      </w:r>
    </w:p>
    <w:p>
      <w:pPr>
        <w:pStyle w:val="17"/>
        <w:snapToGrid w:val="0"/>
        <w:spacing w:before="295" w:beforeLines="0" w:after="295" w:afterLines="0" w:line="240" w:lineRule="auto"/>
        <w:jc w:val="center"/>
        <w:rPr>
          <w:rFonts w:hint="eastAsia"/>
          <w:color w:val="auto"/>
          <w:highlight w:val="none"/>
        </w:rPr>
      </w:pPr>
      <w:r>
        <w:rPr>
          <w:rFonts w:hint="eastAsia"/>
          <w:b/>
          <w:color w:val="auto"/>
          <w:highlight w:val="none"/>
        </w:rPr>
        <w:t>投标报价标目录</w:t>
      </w:r>
    </w:p>
    <w:p>
      <w:pPr>
        <w:pStyle w:val="17"/>
        <w:snapToGrid w:val="0"/>
        <w:spacing w:before="295" w:beforeLines="0" w:after="295" w:afterLines="0" w:line="240" w:lineRule="auto"/>
        <w:ind w:firstLine="480" w:firstLineChars="200"/>
        <w:rPr>
          <w:rFonts w:hint="eastAsia"/>
          <w:color w:val="auto"/>
          <w:highlight w:val="none"/>
        </w:rPr>
      </w:pP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（1）投标函（格式附后）；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（2）开标一览表（格式附后）；</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（3）报价明细表（格式附后）；</w:t>
      </w:r>
    </w:p>
    <w:p>
      <w:pPr>
        <w:snapToGrid w:val="0"/>
        <w:spacing w:line="400" w:lineRule="exact"/>
        <w:ind w:firstLine="480" w:firstLineChars="200"/>
        <w:rPr>
          <w:rFonts w:hint="eastAsia"/>
          <w:color w:val="auto"/>
          <w:highlight w:val="none"/>
        </w:rPr>
      </w:pPr>
      <w:r>
        <w:rPr>
          <w:rFonts w:hint="eastAsia" w:ascii="宋体" w:hAnsi="宋体" w:cs="宋体"/>
          <w:color w:val="auto"/>
          <w:sz w:val="24"/>
          <w:highlight w:val="none"/>
        </w:rPr>
        <w:t>（4）投标人认为有必要提供其他资料（如小微企业声明函等）。</w:t>
      </w:r>
      <w:r>
        <w:rPr>
          <w:color w:val="auto"/>
          <w:highlight w:val="none"/>
        </w:rPr>
        <w:br w:type="page"/>
      </w:r>
    </w:p>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30"/>
          <w:szCs w:val="30"/>
          <w:highlight w:val="none"/>
        </w:rPr>
        <w:t>一、</w:t>
      </w:r>
      <w:r>
        <w:rPr>
          <w:rFonts w:hint="eastAsia" w:ascii="宋体" w:hAnsi="宋体" w:cs="宋体"/>
          <w:b/>
          <w:color w:val="auto"/>
          <w:sz w:val="30"/>
          <w:szCs w:val="30"/>
          <w:highlight w:val="none"/>
        </w:rPr>
        <w:t>投 标 函</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浙江省金华监狱：</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（投标人名称）提交资信及技术标、报价标正本各</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份、副本各</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份。</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 xml:space="preserve">3.本投标有效期自开标日起 </w:t>
      </w:r>
      <w:r>
        <w:rPr>
          <w:rFonts w:hint="eastAsia" w:ascii="宋体" w:hAnsi="宋体" w:cs="宋体"/>
          <w:color w:val="auto"/>
          <w:sz w:val="24"/>
          <w:highlight w:val="none"/>
          <w:u w:val="single"/>
        </w:rPr>
        <w:t>60</w:t>
      </w:r>
      <w:r>
        <w:rPr>
          <w:rFonts w:hint="eastAsia" w:ascii="宋体" w:hAnsi="宋体" w:cs="宋体"/>
          <w:color w:val="auto"/>
          <w:sz w:val="24"/>
          <w:highlight w:val="none"/>
        </w:rPr>
        <w:t>日。</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传真：______________投标人代表姓名（印刷体） ________  职务：_____________</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ind w:firstLine="4252" w:firstLineChars="1772"/>
        <w:rPr>
          <w:rFonts w:hint="eastAsia" w:ascii="宋体" w:hAnsi="宋体" w:cs="宋体"/>
          <w:color w:val="auto"/>
          <w:sz w:val="24"/>
          <w:szCs w:val="20"/>
          <w:highlight w:val="none"/>
        </w:rPr>
      </w:pPr>
      <w:r>
        <w:rPr>
          <w:rFonts w:hint="eastAsia" w:ascii="宋体" w:hAnsi="宋体" w:cs="宋体"/>
          <w:color w:val="auto"/>
          <w:sz w:val="24"/>
          <w:highlight w:val="none"/>
        </w:rPr>
        <w:t>投标人全称（公章）：</w:t>
      </w:r>
    </w:p>
    <w:p>
      <w:pPr>
        <w:snapToGrid w:val="0"/>
        <w:spacing w:line="360" w:lineRule="auto"/>
        <w:ind w:firstLine="4252" w:firstLineChars="1772"/>
        <w:rPr>
          <w:rFonts w:hint="eastAsia" w:ascii="宋体" w:hAnsi="宋体" w:cs="宋体"/>
          <w:color w:val="auto"/>
          <w:sz w:val="24"/>
          <w:highlight w:val="none"/>
        </w:rPr>
      </w:pPr>
      <w:r>
        <w:rPr>
          <w:rFonts w:hint="eastAsia" w:ascii="宋体" w:hAnsi="宋体" w:cs="宋体"/>
          <w:color w:val="auto"/>
          <w:sz w:val="24"/>
          <w:highlight w:val="none"/>
        </w:rPr>
        <w:t>开户银行：</w:t>
      </w:r>
    </w:p>
    <w:p>
      <w:pPr>
        <w:snapToGrid w:val="0"/>
        <w:spacing w:line="360" w:lineRule="auto"/>
        <w:ind w:firstLine="4252" w:firstLineChars="1772"/>
        <w:rPr>
          <w:rFonts w:hint="eastAsia" w:ascii="宋体" w:hAnsi="宋体" w:cs="宋体"/>
          <w:color w:val="auto"/>
          <w:sz w:val="24"/>
          <w:szCs w:val="20"/>
          <w:highlight w:val="none"/>
        </w:rPr>
      </w:pPr>
      <w:r>
        <w:rPr>
          <w:rFonts w:hint="eastAsia" w:ascii="宋体" w:hAnsi="宋体" w:cs="宋体"/>
          <w:color w:val="auto"/>
          <w:sz w:val="24"/>
          <w:highlight w:val="none"/>
        </w:rPr>
        <w:t>银行账号：</w:t>
      </w:r>
    </w:p>
    <w:p>
      <w:pPr>
        <w:snapToGrid w:val="0"/>
        <w:spacing w:line="360" w:lineRule="auto"/>
        <w:ind w:firstLine="4252" w:firstLineChars="1772"/>
        <w:jc w:val="left"/>
        <w:rPr>
          <w:rFonts w:hint="eastAsia" w:ascii="宋体" w:hAnsi="宋体" w:cs="宋体"/>
          <w:color w:val="auto"/>
          <w:sz w:val="24"/>
          <w:highlight w:val="none"/>
        </w:rPr>
      </w:pPr>
      <w:r>
        <w:rPr>
          <w:rFonts w:hint="eastAsia" w:ascii="宋体" w:hAnsi="宋体"/>
          <w:color w:val="auto"/>
          <w:kern w:val="0"/>
          <w:sz w:val="24"/>
          <w:highlight w:val="none"/>
        </w:rPr>
        <w:t>法定代表人或授权委托人（签字或盖章）</w:t>
      </w:r>
      <w:r>
        <w:rPr>
          <w:rFonts w:hint="eastAsia" w:ascii="宋体" w:hAnsi="宋体" w:cs="宋体"/>
          <w:color w:val="auto"/>
          <w:sz w:val="24"/>
          <w:highlight w:val="none"/>
        </w:rPr>
        <w:t xml:space="preserve">：                     </w:t>
      </w:r>
    </w:p>
    <w:p>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rPr>
        <w:t>_____年___月___日</w:t>
      </w:r>
    </w:p>
    <w:p>
      <w:pPr>
        <w:pStyle w:val="17"/>
        <w:snapToGrid w:val="0"/>
        <w:spacing w:before="120" w:after="120" w:line="360" w:lineRule="auto"/>
        <w:jc w:val="center"/>
        <w:rPr>
          <w:rFonts w:hAnsi="宋体" w:cs="宋体"/>
          <w:b/>
          <w:color w:val="auto"/>
          <w:sz w:val="30"/>
          <w:szCs w:val="30"/>
          <w:highlight w:val="none"/>
        </w:rPr>
      </w:pPr>
      <w:r>
        <w:rPr>
          <w:rFonts w:hAnsi="宋体" w:cs="宋体"/>
          <w:b/>
          <w:color w:val="auto"/>
          <w:sz w:val="30"/>
          <w:szCs w:val="30"/>
          <w:highlight w:val="none"/>
        </w:rPr>
        <w:br w:type="page"/>
      </w:r>
      <w:r>
        <w:rPr>
          <w:rFonts w:hAnsi="宋体" w:cs="宋体"/>
          <w:b/>
          <w:color w:val="auto"/>
          <w:sz w:val="30"/>
          <w:szCs w:val="30"/>
          <w:highlight w:val="none"/>
        </w:rPr>
        <w:t>二、开标一览表</w:t>
      </w:r>
    </w:p>
    <w:p>
      <w:pPr>
        <w:snapToGrid w:val="0"/>
        <w:spacing w:before="50" w:after="50" w:line="360" w:lineRule="auto"/>
        <w:rPr>
          <w:rFonts w:hint="eastAsia" w:ascii="宋体" w:hAnsi="宋体" w:cs="宋体"/>
          <w:color w:val="auto"/>
          <w:sz w:val="24"/>
          <w:highlight w:val="none"/>
        </w:rPr>
      </w:pPr>
    </w:p>
    <w:p>
      <w:pPr>
        <w:pStyle w:val="17"/>
        <w:spacing w:before="120" w:after="120" w:line="360" w:lineRule="auto"/>
        <w:rPr>
          <w:rFonts w:hAnsi="宋体" w:cs="宋体"/>
          <w:bCs/>
          <w:color w:val="auto"/>
          <w:highlight w:val="none"/>
        </w:rPr>
      </w:pPr>
      <w:r>
        <w:rPr>
          <w:rFonts w:hAnsi="宋体" w:cs="宋体"/>
          <w:bCs/>
          <w:color w:val="auto"/>
          <w:highlight w:val="none"/>
        </w:rPr>
        <w:t>项目名称：浙江省金华监狱移动**录音复听、智慧督查APP应用系统采购项目</w:t>
      </w:r>
    </w:p>
    <w:p>
      <w:pPr>
        <w:pStyle w:val="17"/>
        <w:spacing w:before="120" w:after="120" w:line="360" w:lineRule="auto"/>
        <w:rPr>
          <w:rFonts w:hAnsi="宋体" w:cs="宋体"/>
          <w:color w:val="auto"/>
          <w:highlight w:val="none"/>
        </w:rPr>
      </w:pPr>
      <w:r>
        <w:rPr>
          <w:rFonts w:hAnsi="宋体" w:cs="宋体"/>
          <w:color w:val="auto"/>
          <w:highlight w:val="none"/>
        </w:rPr>
        <w:t>项目编号：SJH-B202113015</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9"/>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019" w:type="dxa"/>
            <w:tcBorders>
              <w:left w:val="single" w:color="auto" w:sz="4" w:space="0"/>
            </w:tcBorders>
            <w:noWrap w:val="0"/>
            <w:vAlign w:val="center"/>
          </w:tcPr>
          <w:p>
            <w:pPr>
              <w:pStyle w:val="17"/>
              <w:spacing w:beforeLines="0" w:after="120" w:line="360" w:lineRule="exact"/>
              <w:jc w:val="center"/>
              <w:rPr>
                <w:rFonts w:hAnsi="宋体" w:cs="宋体"/>
                <w:color w:val="auto"/>
                <w:highlight w:val="none"/>
              </w:rPr>
            </w:pPr>
            <w:r>
              <w:rPr>
                <w:rFonts w:hAnsi="宋体" w:cs="宋体"/>
                <w:color w:val="auto"/>
                <w:highlight w:val="none"/>
              </w:rPr>
              <w:t>项目名称</w:t>
            </w:r>
          </w:p>
        </w:tc>
        <w:tc>
          <w:tcPr>
            <w:tcW w:w="5380" w:type="dxa"/>
            <w:noWrap w:val="0"/>
            <w:vAlign w:val="center"/>
          </w:tcPr>
          <w:p>
            <w:pPr>
              <w:pStyle w:val="17"/>
              <w:spacing w:beforeLines="0" w:after="120" w:line="360" w:lineRule="exact"/>
              <w:jc w:val="center"/>
              <w:rPr>
                <w:rFonts w:hAnsi="宋体" w:cs="宋体"/>
                <w:color w:val="auto"/>
                <w:highlight w:val="none"/>
              </w:rPr>
            </w:pPr>
            <w:r>
              <w:rPr>
                <w:rFonts w:hAnsi="宋体" w:cs="宋体"/>
                <w:color w:val="auto"/>
                <w:highlight w:val="none"/>
              </w:rPr>
              <w:t>投标报价</w:t>
            </w:r>
          </w:p>
          <w:p>
            <w:pPr>
              <w:pStyle w:val="17"/>
              <w:spacing w:beforeLines="0" w:after="120" w:line="360" w:lineRule="exact"/>
              <w:jc w:val="center"/>
              <w:rPr>
                <w:rFonts w:hAnsi="宋体" w:cs="宋体"/>
                <w:color w:val="auto"/>
                <w:highlight w:val="none"/>
              </w:rPr>
            </w:pPr>
            <w:r>
              <w:rPr>
                <w:rFonts w:hAnsi="宋体" w:cs="宋体"/>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jc w:val="center"/>
        </w:trPr>
        <w:tc>
          <w:tcPr>
            <w:tcW w:w="4019" w:type="dxa"/>
            <w:tcBorders>
              <w:left w:val="single" w:color="auto" w:sz="4" w:space="0"/>
            </w:tcBorders>
            <w:noWrap w:val="0"/>
            <w:vAlign w:val="center"/>
          </w:tcPr>
          <w:p>
            <w:pPr>
              <w:pStyle w:val="17"/>
              <w:spacing w:before="0" w:beforeLines="0" w:after="0" w:afterLines="0" w:line="360" w:lineRule="exact"/>
              <w:jc w:val="center"/>
              <w:rPr>
                <w:rFonts w:hAnsi="宋体" w:cs="宋体"/>
                <w:bCs/>
                <w:color w:val="auto"/>
                <w:szCs w:val="18"/>
                <w:highlight w:val="none"/>
              </w:rPr>
            </w:pPr>
            <w:r>
              <w:rPr>
                <w:rFonts w:hAnsi="宋体" w:cs="宋体"/>
                <w:bCs/>
                <w:color w:val="auto"/>
                <w:szCs w:val="18"/>
                <w:highlight w:val="none"/>
              </w:rPr>
              <w:t>浙江省金华监狱</w:t>
            </w:r>
          </w:p>
          <w:p>
            <w:pPr>
              <w:pStyle w:val="17"/>
              <w:spacing w:before="0" w:beforeLines="0" w:after="0" w:afterLines="0" w:line="360" w:lineRule="exact"/>
              <w:jc w:val="center"/>
              <w:rPr>
                <w:rFonts w:hAnsi="宋体" w:cs="宋体"/>
                <w:color w:val="auto"/>
                <w:highlight w:val="none"/>
              </w:rPr>
            </w:pPr>
            <w:r>
              <w:rPr>
                <w:rFonts w:hAnsi="宋体" w:cs="宋体"/>
                <w:bCs/>
                <w:color w:val="auto"/>
                <w:highlight w:val="none"/>
              </w:rPr>
              <w:t>移动**录音复听、智慧督查APP应用系统采购项目</w:t>
            </w:r>
          </w:p>
        </w:tc>
        <w:tc>
          <w:tcPr>
            <w:tcW w:w="5380" w:type="dxa"/>
            <w:noWrap w:val="0"/>
            <w:vAlign w:val="center"/>
          </w:tcPr>
          <w:p>
            <w:pPr>
              <w:widowControl/>
              <w:spacing w:line="360" w:lineRule="auto"/>
              <w:rPr>
                <w:rFonts w:hint="eastAsia" w:hAnsi="宋体" w:cs="宋体"/>
                <w:color w:val="auto"/>
                <w:sz w:val="24"/>
                <w:highlight w:val="none"/>
              </w:rPr>
            </w:pP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pPr>
              <w:widowControl/>
              <w:jc w:val="left"/>
              <w:rPr>
                <w:color w:val="auto"/>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pPr>
        <w:snapToGrid w:val="0"/>
        <w:spacing w:before="50" w:after="50" w:line="360" w:lineRule="auto"/>
        <w:jc w:val="left"/>
        <w:rPr>
          <w:rFonts w:hint="eastAsia" w:ascii="宋体" w:hAnsi="宋体" w:cs="宋体"/>
          <w:color w:val="auto"/>
          <w:sz w:val="24"/>
          <w:szCs w:val="20"/>
          <w:highlight w:val="none"/>
        </w:rPr>
      </w:pPr>
      <w:r>
        <w:rPr>
          <w:rFonts w:hint="eastAsia" w:ascii="宋体" w:hAnsi="宋体" w:cs="宋体"/>
          <w:color w:val="auto"/>
          <w:sz w:val="24"/>
          <w:highlight w:val="none"/>
        </w:rPr>
        <w:t>注： 报价一经涂改，应在涂改处加盖单位公章或者由法定代表人或授权委托人签字，否则其投标作无效标处理。投标报价金额与报价明细表合计金额需一致。报价金额最多可保留小数点后2位。</w:t>
      </w:r>
    </w:p>
    <w:p>
      <w:pPr>
        <w:snapToGrid w:val="0"/>
        <w:spacing w:before="50" w:after="50" w:line="360" w:lineRule="auto"/>
        <w:ind w:firstLine="480" w:firstLineChars="200"/>
        <w:rPr>
          <w:rFonts w:hint="eastAsia" w:ascii="宋体" w:hAnsi="宋体" w:cs="宋体"/>
          <w:color w:val="auto"/>
          <w:sz w:val="24"/>
          <w:highlight w:val="none"/>
        </w:rPr>
      </w:pPr>
    </w:p>
    <w:p>
      <w:pPr>
        <w:snapToGrid w:val="0"/>
        <w:spacing w:before="50" w:after="50" w:line="360" w:lineRule="auto"/>
        <w:ind w:firstLine="480" w:firstLineChars="200"/>
        <w:rPr>
          <w:rFonts w:hint="eastAsia" w:ascii="宋体" w:hAnsi="宋体" w:cs="宋体"/>
          <w:color w:val="auto"/>
          <w:sz w:val="24"/>
          <w:highlight w:val="none"/>
        </w:rPr>
      </w:pPr>
    </w:p>
    <w:p>
      <w:pPr>
        <w:snapToGrid w:val="0"/>
        <w:spacing w:line="360" w:lineRule="auto"/>
        <w:ind w:firstLine="2640" w:firstLineChars="1100"/>
        <w:rPr>
          <w:rFonts w:hint="eastAsia" w:ascii="宋体" w:hAnsi="宋体" w:cs="宋体"/>
          <w:color w:val="auto"/>
          <w:sz w:val="24"/>
          <w:highlight w:val="none"/>
        </w:rPr>
      </w:pP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pStyle w:val="17"/>
        <w:snapToGrid w:val="0"/>
        <w:spacing w:before="120" w:after="120" w:line="360" w:lineRule="auto"/>
        <w:jc w:val="center"/>
        <w:rPr>
          <w:rFonts w:hAnsi="宋体" w:cs="宋体"/>
          <w:b/>
          <w:color w:val="auto"/>
          <w:sz w:val="30"/>
          <w:szCs w:val="30"/>
          <w:highlight w:val="none"/>
        </w:rPr>
      </w:pPr>
    </w:p>
    <w:p>
      <w:pPr>
        <w:pStyle w:val="17"/>
        <w:snapToGrid w:val="0"/>
        <w:spacing w:before="120" w:after="120" w:line="360" w:lineRule="auto"/>
        <w:jc w:val="center"/>
        <w:rPr>
          <w:rFonts w:hAnsi="宋体" w:cs="宋体"/>
          <w:b/>
          <w:color w:val="auto"/>
          <w:sz w:val="30"/>
          <w:szCs w:val="30"/>
          <w:highlight w:val="none"/>
        </w:rPr>
      </w:pPr>
    </w:p>
    <w:p>
      <w:pPr>
        <w:pStyle w:val="17"/>
        <w:snapToGrid w:val="0"/>
        <w:spacing w:before="120" w:after="120" w:line="360" w:lineRule="auto"/>
        <w:jc w:val="center"/>
        <w:rPr>
          <w:rFonts w:hAnsi="宋体" w:cs="宋体"/>
          <w:b/>
          <w:color w:val="auto"/>
          <w:sz w:val="30"/>
          <w:szCs w:val="30"/>
          <w:highlight w:val="none"/>
        </w:rPr>
      </w:pPr>
      <w:r>
        <w:rPr>
          <w:rFonts w:hAnsi="宋体" w:cs="宋体"/>
          <w:b/>
          <w:color w:val="auto"/>
          <w:sz w:val="30"/>
          <w:szCs w:val="30"/>
          <w:highlight w:val="none"/>
        </w:rPr>
        <w:br w:type="page"/>
      </w:r>
      <w:r>
        <w:rPr>
          <w:rFonts w:hAnsi="宋体" w:cs="宋体"/>
          <w:b/>
          <w:color w:val="auto"/>
          <w:sz w:val="30"/>
          <w:szCs w:val="30"/>
          <w:highlight w:val="none"/>
        </w:rPr>
        <w:t>三、报价明细表</w:t>
      </w:r>
    </w:p>
    <w:p>
      <w:pPr>
        <w:pStyle w:val="17"/>
        <w:spacing w:before="120" w:after="120" w:line="360" w:lineRule="auto"/>
        <w:rPr>
          <w:rFonts w:hAnsi="宋体" w:cs="宋体"/>
          <w:bCs/>
          <w:color w:val="auto"/>
          <w:highlight w:val="none"/>
        </w:rPr>
      </w:pPr>
      <w:r>
        <w:rPr>
          <w:rFonts w:hAnsi="宋体" w:cs="宋体"/>
          <w:bCs/>
          <w:color w:val="auto"/>
          <w:highlight w:val="none"/>
        </w:rPr>
        <w:t>项目名称：浙江省金华监狱移动**录音复听、智慧督查APP应用系统采购项目</w:t>
      </w:r>
    </w:p>
    <w:p>
      <w:pPr>
        <w:pStyle w:val="17"/>
        <w:spacing w:before="120" w:after="120" w:line="360" w:lineRule="auto"/>
        <w:rPr>
          <w:rFonts w:hAnsi="宋体" w:cs="宋体"/>
          <w:color w:val="auto"/>
          <w:highlight w:val="none"/>
        </w:rPr>
      </w:pPr>
      <w:r>
        <w:rPr>
          <w:rFonts w:hAnsi="宋体" w:cs="宋体"/>
          <w:color w:val="auto"/>
          <w:highlight w:val="none"/>
        </w:rPr>
        <w:t>项目编号：SJH-B202113015</w:t>
      </w:r>
    </w:p>
    <w:p>
      <w:pPr>
        <w:pStyle w:val="17"/>
        <w:tabs>
          <w:tab w:val="left" w:pos="0"/>
        </w:tabs>
        <w:snapToGrid w:val="0"/>
        <w:spacing w:before="120" w:after="120" w:line="360" w:lineRule="auto"/>
        <w:ind w:left="420" w:leftChars="200"/>
        <w:jc w:val="right"/>
        <w:rPr>
          <w:rFonts w:hAnsi="宋体" w:cs="宋体"/>
          <w:b/>
          <w:color w:val="auto"/>
          <w:highlight w:val="none"/>
        </w:rPr>
      </w:pPr>
      <w:r>
        <w:rPr>
          <w:rFonts w:hAnsi="宋体" w:cs="宋体"/>
          <w:b/>
          <w:color w:val="auto"/>
          <w:highlight w:val="none"/>
        </w:rPr>
        <w:t>（人民币：元）</w:t>
      </w:r>
    </w:p>
    <w:tbl>
      <w:tblPr>
        <w:tblStyle w:val="30"/>
        <w:tblW w:w="0" w:type="auto"/>
        <w:jc w:val="center"/>
        <w:tblLayout w:type="fixed"/>
        <w:tblCellMar>
          <w:top w:w="0" w:type="dxa"/>
          <w:left w:w="30" w:type="dxa"/>
          <w:bottom w:w="0" w:type="dxa"/>
          <w:right w:w="30" w:type="dxa"/>
        </w:tblCellMar>
      </w:tblPr>
      <w:tblGrid>
        <w:gridCol w:w="802"/>
        <w:gridCol w:w="2719"/>
        <w:gridCol w:w="921"/>
        <w:gridCol w:w="843"/>
        <w:gridCol w:w="1764"/>
        <w:gridCol w:w="1425"/>
        <w:gridCol w:w="1084"/>
      </w:tblGrid>
      <w:tr>
        <w:tblPrEx>
          <w:tblCellMar>
            <w:top w:w="0" w:type="dxa"/>
            <w:left w:w="30" w:type="dxa"/>
            <w:bottom w:w="0" w:type="dxa"/>
            <w:right w:w="30" w:type="dxa"/>
          </w:tblCellMar>
        </w:tblPrEx>
        <w:trPr>
          <w:trHeight w:val="566"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序号</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计费项目名称</w:t>
            </w:r>
          </w:p>
        </w:tc>
        <w:tc>
          <w:tcPr>
            <w:tcW w:w="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数量</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单价金额</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tabs>
                <w:tab w:val="left" w:pos="2460"/>
              </w:tabs>
              <w:autoSpaceDE w:val="0"/>
              <w:autoSpaceDN w:val="0"/>
              <w:adjustRightInd w:val="0"/>
              <w:jc w:val="center"/>
              <w:rPr>
                <w:rFonts w:ascii="宋体" w:cs="宋体"/>
                <w:color w:val="auto"/>
                <w:sz w:val="24"/>
                <w:highlight w:val="none"/>
              </w:rPr>
            </w:pPr>
            <w:r>
              <w:rPr>
                <w:rFonts w:hint="eastAsia" w:ascii="宋体" w:cs="宋体"/>
                <w:color w:val="auto"/>
                <w:sz w:val="24"/>
                <w:highlight w:val="none"/>
              </w:rPr>
              <w:t>小计金额</w:t>
            </w:r>
          </w:p>
        </w:tc>
        <w:tc>
          <w:tcPr>
            <w:tcW w:w="1084" w:type="dxa"/>
            <w:tcBorders>
              <w:top w:val="single" w:color="auto" w:sz="6" w:space="0"/>
              <w:left w:val="single" w:color="auto" w:sz="6" w:space="0"/>
              <w:bottom w:val="single" w:color="auto" w:sz="6" w:space="0"/>
              <w:right w:val="single" w:color="auto" w:sz="6" w:space="0"/>
            </w:tcBorders>
            <w:noWrap w:val="0"/>
            <w:vAlign w:val="center"/>
          </w:tcPr>
          <w:p>
            <w:pPr>
              <w:tabs>
                <w:tab w:val="left" w:pos="2460"/>
              </w:tabs>
              <w:autoSpaceDE w:val="0"/>
              <w:autoSpaceDN w:val="0"/>
              <w:adjustRightInd w:val="0"/>
              <w:jc w:val="center"/>
              <w:rPr>
                <w:rFonts w:ascii="宋体" w:cs="宋体"/>
                <w:color w:val="auto"/>
                <w:sz w:val="24"/>
                <w:highlight w:val="none"/>
              </w:rPr>
            </w:pPr>
            <w:r>
              <w:rPr>
                <w:rFonts w:hint="eastAsia" w:ascii="宋体" w:cs="宋体"/>
                <w:color w:val="auto"/>
                <w:sz w:val="24"/>
                <w:highlight w:val="none"/>
              </w:rPr>
              <w:t>是否小微企业提供服务</w:t>
            </w: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1</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2</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3</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4</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5</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6</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7</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8</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b/>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9</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b/>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604" w:hRule="atLeast"/>
          <w:jc w:val="center"/>
        </w:trPr>
        <w:tc>
          <w:tcPr>
            <w:tcW w:w="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r>
              <w:rPr>
                <w:rFonts w:hint="eastAsia" w:ascii="宋体" w:cs="宋体"/>
                <w:color w:val="auto"/>
                <w:sz w:val="24"/>
                <w:highlight w:val="none"/>
              </w:rPr>
              <w:t>……</w:t>
            </w:r>
          </w:p>
        </w:tc>
        <w:tc>
          <w:tcPr>
            <w:tcW w:w="36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b/>
                <w:color w:val="auto"/>
                <w:sz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auto"/>
                <w:sz w:val="24"/>
                <w:highlight w:val="none"/>
              </w:rPr>
            </w:pPr>
          </w:p>
        </w:tc>
      </w:tr>
      <w:tr>
        <w:tblPrEx>
          <w:tblCellMar>
            <w:top w:w="0" w:type="dxa"/>
            <w:left w:w="30" w:type="dxa"/>
            <w:bottom w:w="0" w:type="dxa"/>
            <w:right w:w="30" w:type="dxa"/>
          </w:tblCellMar>
        </w:tblPrEx>
        <w:trPr>
          <w:trHeight w:val="967" w:hRule="atLeast"/>
          <w:jc w:val="center"/>
        </w:trPr>
        <w:tc>
          <w:tcPr>
            <w:tcW w:w="802"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ascii="宋体" w:cs="宋体"/>
                <w:color w:val="auto"/>
                <w:sz w:val="24"/>
                <w:highlight w:val="none"/>
              </w:rPr>
            </w:pPr>
          </w:p>
        </w:tc>
        <w:tc>
          <w:tcPr>
            <w:tcW w:w="271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rPr>
                <w:rFonts w:ascii="宋体" w:cs="宋体"/>
                <w:b/>
                <w:color w:val="auto"/>
                <w:sz w:val="28"/>
                <w:highlight w:val="none"/>
              </w:rPr>
            </w:pPr>
            <w:r>
              <w:rPr>
                <w:rFonts w:hint="eastAsia" w:ascii="宋体" w:cs="宋体"/>
                <w:b/>
                <w:color w:val="auto"/>
                <w:sz w:val="28"/>
                <w:highlight w:val="none"/>
              </w:rPr>
              <w:t>合计（投标报价）</w:t>
            </w:r>
          </w:p>
        </w:tc>
        <w:tc>
          <w:tcPr>
            <w:tcW w:w="6037" w:type="dxa"/>
            <w:gridSpan w:val="5"/>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360" w:lineRule="auto"/>
              <w:ind w:firstLine="240" w:firstLineChars="100"/>
              <w:rPr>
                <w:rFonts w:ascii="宋体" w:cs="宋体"/>
                <w:color w:val="auto"/>
                <w:sz w:val="24"/>
                <w:highlight w:val="none"/>
              </w:rPr>
            </w:pPr>
            <w:r>
              <w:rPr>
                <w:rFonts w:hint="eastAsia" w:ascii="宋体" w:cs="宋体"/>
                <w:color w:val="auto"/>
                <w:sz w:val="24"/>
                <w:highlight w:val="none"/>
              </w:rPr>
              <w:t>大写：</w:t>
            </w:r>
          </w:p>
          <w:p>
            <w:pPr>
              <w:autoSpaceDE w:val="0"/>
              <w:autoSpaceDN w:val="0"/>
              <w:adjustRightInd w:val="0"/>
              <w:spacing w:line="360" w:lineRule="auto"/>
              <w:ind w:firstLine="240" w:firstLineChars="100"/>
              <w:rPr>
                <w:rFonts w:ascii="宋体" w:cs="宋体"/>
                <w:color w:val="auto"/>
                <w:sz w:val="24"/>
                <w:highlight w:val="none"/>
              </w:rPr>
            </w:pPr>
            <w:r>
              <w:rPr>
                <w:rFonts w:hint="eastAsia" w:ascii="宋体" w:cs="宋体"/>
                <w:color w:val="auto"/>
                <w:sz w:val="24"/>
                <w:highlight w:val="none"/>
              </w:rPr>
              <w:t>小写：</w:t>
            </w:r>
          </w:p>
        </w:tc>
      </w:tr>
    </w:tbl>
    <w:p>
      <w:pPr>
        <w:snapToGrid w:val="0"/>
        <w:spacing w:before="50" w:after="50" w:line="360" w:lineRule="auto"/>
        <w:ind w:firstLine="480" w:firstLineChars="200"/>
        <w:jc w:val="left"/>
        <w:rPr>
          <w:rFonts w:hint="eastAsia" w:ascii="宋体" w:hAnsi="宋体" w:cs="宋体"/>
          <w:color w:val="auto"/>
          <w:sz w:val="24"/>
          <w:szCs w:val="20"/>
          <w:highlight w:val="none"/>
        </w:rPr>
      </w:pPr>
      <w:r>
        <w:rPr>
          <w:rFonts w:hint="eastAsia" w:ascii="宋体" w:hAnsi="宋体" w:cs="宋体"/>
          <w:color w:val="auto"/>
          <w:sz w:val="24"/>
          <w:highlight w:val="none"/>
        </w:rPr>
        <w:t>报价金额最多可保留小数点后2位。</w:t>
      </w:r>
    </w:p>
    <w:p>
      <w:pPr>
        <w:widowControl/>
        <w:shd w:val="clear" w:color="auto" w:fill="FFFFFF"/>
        <w:spacing w:before="100" w:beforeAutospacing="1" w:after="100" w:afterAutospacing="1" w:line="360" w:lineRule="atLeast"/>
        <w:ind w:firstLine="5280"/>
        <w:rPr>
          <w:rFonts w:ascii="宋体" w:hAnsi="宋体" w:cs="宋体"/>
          <w:color w:val="auto"/>
          <w:kern w:val="0"/>
          <w:sz w:val="27"/>
          <w:szCs w:val="27"/>
          <w:highlight w:val="none"/>
        </w:rPr>
      </w:pPr>
      <w:r>
        <w:rPr>
          <w:rFonts w:hint="eastAsia" w:ascii="_5b8b_4f53" w:hAnsi="_5b8b_4f53" w:cs="宋体"/>
          <w:color w:val="auto"/>
          <w:kern w:val="0"/>
          <w:sz w:val="24"/>
          <w:highlight w:val="none"/>
        </w:rPr>
        <w:t>投标人全称</w:t>
      </w:r>
      <w:r>
        <w:rPr>
          <w:rFonts w:ascii="_5b8b_4f53" w:hAnsi="_5b8b_4f53" w:cs="宋体"/>
          <w:color w:val="auto"/>
          <w:kern w:val="0"/>
          <w:sz w:val="24"/>
          <w:highlight w:val="none"/>
        </w:rPr>
        <w:t>（</w:t>
      </w:r>
      <w:r>
        <w:rPr>
          <w:rFonts w:hint="eastAsia" w:ascii="_5b8b_4f53" w:hAnsi="_5b8b_4f53" w:cs="宋体"/>
          <w:color w:val="auto"/>
          <w:kern w:val="0"/>
          <w:sz w:val="24"/>
          <w:highlight w:val="none"/>
        </w:rPr>
        <w:t>公</w:t>
      </w:r>
      <w:r>
        <w:rPr>
          <w:rFonts w:ascii="_5b8b_4f53" w:hAnsi="_5b8b_4f53" w:cs="宋体"/>
          <w:color w:val="auto"/>
          <w:kern w:val="0"/>
          <w:sz w:val="24"/>
          <w:highlight w:val="none"/>
        </w:rPr>
        <w:t>章）：</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法定代表人或委托代表人（签字或盖章）：  </w:t>
      </w:r>
    </w:p>
    <w:p>
      <w:pPr>
        <w:shd w:val="clear" w:color="auto" w:fill="FFFFFF"/>
        <w:snapToGrid w:val="0"/>
        <w:spacing w:after="5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年    月    日</w:t>
      </w:r>
      <w:r>
        <w:rPr>
          <w:rFonts w:ascii="宋体" w:hAnsi="宋体"/>
          <w:color w:val="auto"/>
          <w:sz w:val="24"/>
          <w:highlight w:val="none"/>
        </w:rPr>
        <w:t xml:space="preserve"> </w:t>
      </w:r>
    </w:p>
    <w:p>
      <w:pPr>
        <w:snapToGrid w:val="0"/>
        <w:spacing w:line="460" w:lineRule="exact"/>
        <w:ind w:firstLine="452" w:firstLineChars="150"/>
        <w:jc w:val="center"/>
        <w:rPr>
          <w:rFonts w:hint="eastAsia" w:ascii="宋体" w:hAnsi="宋体"/>
          <w:color w:val="auto"/>
          <w:sz w:val="24"/>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四、其他投标人认为有必要提供的资料（如中小微企业声明函等）</w:t>
      </w:r>
    </w:p>
    <w:p>
      <w:pPr>
        <w:spacing w:line="500" w:lineRule="exact"/>
        <w:jc w:val="center"/>
        <w:rPr>
          <w:rFonts w:hint="eastAsia"/>
          <w:color w:val="auto"/>
          <w:highlight w:val="none"/>
        </w:rPr>
      </w:pPr>
    </w:p>
    <w:p>
      <w:pPr>
        <w:pStyle w:val="59"/>
        <w:spacing w:line="530" w:lineRule="exact"/>
        <w:ind w:firstLine="660"/>
        <w:jc w:val="both"/>
        <w:rPr>
          <w:rFonts w:hint="eastAsia"/>
          <w:color w:val="auto"/>
          <w:sz w:val="28"/>
          <w:szCs w:val="28"/>
          <w:highlight w:val="none"/>
        </w:rPr>
      </w:pPr>
      <w:r>
        <w:rPr>
          <w:rFonts w:hint="eastAsia"/>
          <w:color w:val="auto"/>
          <w:sz w:val="28"/>
          <w:szCs w:val="28"/>
          <w:highlight w:val="none"/>
        </w:rPr>
        <w:t>本公司郑重声明，根据《政府采购促进中小企业发展管理办法》（财库〔2020 ）46号）的规定，本公司参加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采购活动的服务全部由符合政策要求的中小企业承接。相关企业的具体情况如下：</w:t>
      </w:r>
    </w:p>
    <w:p>
      <w:pPr>
        <w:pStyle w:val="59"/>
        <w:numPr>
          <w:ilvl w:val="0"/>
          <w:numId w:val="5"/>
        </w:numPr>
        <w:tabs>
          <w:tab w:val="left" w:pos="1193"/>
          <w:tab w:val="left" w:pos="6974"/>
        </w:tabs>
        <w:spacing w:line="525" w:lineRule="exact"/>
        <w:ind w:firstLine="660"/>
        <w:jc w:val="both"/>
        <w:rPr>
          <w:rFonts w:hint="eastAsia"/>
          <w:color w:val="auto"/>
          <w:sz w:val="28"/>
          <w:szCs w:val="28"/>
          <w:highlight w:val="none"/>
        </w:rPr>
      </w:pPr>
      <w:bookmarkStart w:id="1" w:name="bookmark35"/>
      <w:bookmarkEnd w:id="1"/>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 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lang w:eastAsia="zh-CN"/>
        </w:rPr>
        <w:t xml:space="preserve">  </w:t>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lang w:eastAsia="zh-CN"/>
        </w:rPr>
        <w:t xml:space="preserve">  </w:t>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lang w:eastAsia="zh-CN"/>
        </w:rPr>
        <w:t xml:space="preserve">  </w:t>
      </w:r>
      <w:r>
        <w:rPr>
          <w:rFonts w:hint="eastAsia"/>
          <w:color w:val="auto"/>
          <w:sz w:val="28"/>
          <w:szCs w:val="28"/>
          <w:highlight w:val="none"/>
        </w:rPr>
        <w:t>万元</w:t>
      </w:r>
      <w:r>
        <w:rPr>
          <w:rFonts w:hint="eastAsia"/>
          <w:color w:val="auto"/>
          <w:sz w:val="28"/>
          <w:szCs w:val="28"/>
          <w:highlight w:val="none"/>
          <w:lang w:val="en-US" w:eastAsia="zh-CN" w:bidi="en-US"/>
        </w:rPr>
        <w:t>，</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lang w:eastAsia="zh-CN"/>
        </w:rPr>
        <w:t>；</w:t>
      </w:r>
    </w:p>
    <w:p>
      <w:pPr>
        <w:pStyle w:val="59"/>
        <w:numPr>
          <w:ilvl w:val="0"/>
          <w:numId w:val="5"/>
        </w:numPr>
        <w:tabs>
          <w:tab w:val="left" w:pos="1193"/>
          <w:tab w:val="left" w:pos="6974"/>
        </w:tabs>
        <w:spacing w:line="525" w:lineRule="exact"/>
        <w:ind w:firstLine="660"/>
        <w:jc w:val="both"/>
        <w:rPr>
          <w:rFonts w:hint="eastAsia"/>
          <w:color w:val="auto"/>
          <w:sz w:val="28"/>
          <w:szCs w:val="28"/>
          <w:highlight w:val="none"/>
        </w:rPr>
      </w:pPr>
      <w:bookmarkStart w:id="2" w:name="bookmark36"/>
      <w:bookmarkEnd w:id="2"/>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 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lang w:eastAsia="zh-CN"/>
        </w:rPr>
        <w:t xml:space="preserve">  </w:t>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lang w:eastAsia="zh-CN"/>
        </w:rPr>
        <w:t xml:space="preserve">  </w:t>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lang w:eastAsia="zh-CN"/>
        </w:rPr>
        <w:t xml:space="preserve">  </w:t>
      </w:r>
      <w:r>
        <w:rPr>
          <w:rFonts w:hint="eastAsia"/>
          <w:color w:val="auto"/>
          <w:sz w:val="28"/>
          <w:szCs w:val="28"/>
          <w:highlight w:val="none"/>
        </w:rPr>
        <w:t>万元</w:t>
      </w:r>
      <w:r>
        <w:rPr>
          <w:rFonts w:hint="eastAsia"/>
          <w:color w:val="auto"/>
          <w:sz w:val="28"/>
          <w:szCs w:val="28"/>
          <w:highlight w:val="none"/>
          <w:lang w:val="en-US" w:eastAsia="zh-CN" w:bidi="en-US"/>
        </w:rPr>
        <w:t>，</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lang w:eastAsia="zh-CN"/>
        </w:rPr>
        <w:t>；</w:t>
      </w:r>
    </w:p>
    <w:p>
      <w:pPr>
        <w:pStyle w:val="59"/>
        <w:numPr>
          <w:ilvl w:val="0"/>
          <w:numId w:val="5"/>
        </w:numPr>
        <w:tabs>
          <w:tab w:val="left" w:pos="1193"/>
          <w:tab w:val="left" w:pos="6974"/>
        </w:tabs>
        <w:spacing w:line="525" w:lineRule="exact"/>
        <w:ind w:firstLine="660"/>
        <w:jc w:val="both"/>
        <w:rPr>
          <w:rFonts w:hint="eastAsia"/>
          <w:color w:val="auto"/>
          <w:sz w:val="28"/>
          <w:szCs w:val="28"/>
          <w:highlight w:val="none"/>
        </w:rPr>
      </w:pPr>
      <w:r>
        <w:rPr>
          <w:rFonts w:hint="eastAsia"/>
          <w:color w:val="auto"/>
          <w:sz w:val="28"/>
          <w:szCs w:val="28"/>
          <w:highlight w:val="none"/>
          <w:lang w:eastAsia="zh-CN"/>
        </w:rPr>
        <w:t>……</w:t>
      </w:r>
    </w:p>
    <w:p>
      <w:pPr>
        <w:pStyle w:val="59"/>
        <w:spacing w:line="520" w:lineRule="exact"/>
        <w:ind w:firstLine="660"/>
        <w:jc w:val="both"/>
        <w:rPr>
          <w:rFonts w:hint="eastAsia"/>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pPr>
        <w:pStyle w:val="59"/>
        <w:spacing w:line="520" w:lineRule="exact"/>
        <w:ind w:firstLine="660"/>
        <w:jc w:val="both"/>
        <w:rPr>
          <w:rFonts w:hint="eastAsia"/>
          <w:color w:val="auto"/>
          <w:sz w:val="28"/>
          <w:szCs w:val="28"/>
          <w:highlight w:val="none"/>
        </w:rPr>
      </w:pPr>
      <w:r>
        <w:rPr>
          <w:rFonts w:hint="eastAsia"/>
          <w:color w:val="auto"/>
          <w:sz w:val="28"/>
          <w:szCs w:val="28"/>
          <w:highlight w:val="none"/>
        </w:rPr>
        <w:t>本企业对上述声明内容的真实性负责。如有虚假，将依法承担相应责任。</w:t>
      </w:r>
    </w:p>
    <w:p>
      <w:pPr>
        <w:wordWrap w:val="0"/>
        <w:spacing w:line="500" w:lineRule="exact"/>
        <w:ind w:firstLine="420" w:firstLineChars="200"/>
        <w:jc w:val="right"/>
        <w:rPr>
          <w:rFonts w:ascii="宋体" w:hAnsi="宋体"/>
          <w:color w:val="auto"/>
          <w:sz w:val="28"/>
          <w:szCs w:val="28"/>
          <w:highlight w:val="none"/>
        </w:rPr>
      </w:pPr>
      <w:r>
        <w:rPr>
          <w:rFonts w:hint="eastAsia" w:ascii="宋体" w:hAnsi="宋体"/>
          <w:color w:val="auto"/>
          <w:highlight w:val="none"/>
        </w:rPr>
        <w:t xml:space="preserve"> </w:t>
      </w:r>
      <w:r>
        <w:rPr>
          <w:rFonts w:ascii="宋体" w:hAnsi="宋体"/>
          <w:color w:val="auto"/>
          <w:sz w:val="28"/>
          <w:szCs w:val="28"/>
          <w:highlight w:val="none"/>
        </w:rPr>
        <w:t>企业名称（盖章）：</w:t>
      </w:r>
      <w:r>
        <w:rPr>
          <w:rFonts w:hint="eastAsia" w:ascii="宋体" w:hAnsi="宋体"/>
          <w:color w:val="auto"/>
          <w:sz w:val="28"/>
          <w:szCs w:val="28"/>
          <w:highlight w:val="none"/>
        </w:rPr>
        <w:t xml:space="preserve">         </w:t>
      </w:r>
    </w:p>
    <w:p>
      <w:pPr>
        <w:pStyle w:val="59"/>
        <w:spacing w:line="562" w:lineRule="exact"/>
        <w:ind w:left="3860" w:leftChars="1838" w:firstLine="1755" w:firstLineChars="627"/>
        <w:rPr>
          <w:color w:val="auto"/>
          <w:highlight w:val="none"/>
        </w:rPr>
      </w:pPr>
      <w:r>
        <w:rPr>
          <w:color w:val="auto"/>
          <w:sz w:val="28"/>
          <w:szCs w:val="28"/>
          <w:highlight w:val="none"/>
        </w:rPr>
        <w:t>日  期：</w:t>
      </w:r>
    </w:p>
    <w:p>
      <w:pPr>
        <w:pStyle w:val="57"/>
        <w:tabs>
          <w:tab w:val="left" w:pos="1130"/>
        </w:tabs>
        <w:ind w:hanging="1740"/>
        <w:rPr>
          <w:color w:val="auto"/>
          <w:highlight w:val="none"/>
        </w:rPr>
      </w:pPr>
      <w:r>
        <w:rPr>
          <w:color w:val="auto"/>
          <w:highlight w:val="none"/>
        </w:rPr>
        <w:t xml:space="preserve"> </w:t>
      </w:r>
    </w:p>
    <w:p>
      <w:pPr>
        <w:pStyle w:val="43"/>
        <w:rPr>
          <w:b/>
          <w:color w:val="auto"/>
          <w:sz w:val="24"/>
          <w:szCs w:val="24"/>
          <w:highlight w:val="none"/>
        </w:rPr>
      </w:pPr>
      <w:r>
        <w:rPr>
          <w:rFonts w:hint="eastAsia"/>
          <w:b/>
          <w:color w:val="auto"/>
          <w:sz w:val="24"/>
          <w:szCs w:val="24"/>
          <w:highlight w:val="none"/>
        </w:rPr>
        <w:t>（</w:t>
      </w:r>
      <w:r>
        <w:rPr>
          <w:b/>
          <w:color w:val="auto"/>
          <w:sz w:val="24"/>
          <w:szCs w:val="24"/>
          <w:highlight w:val="none"/>
        </w:rPr>
        <w:t>从业人员、营业收入、资产总额填报上一年度数据，无上一年度数据的新成立企业可不填报。）</w:t>
      </w:r>
    </w:p>
    <w:p>
      <w:pPr>
        <w:pStyle w:val="43"/>
        <w:jc w:val="center"/>
        <w:rPr>
          <w:rFonts w:hint="eastAsia"/>
          <w:b/>
          <w:color w:val="auto"/>
          <w:sz w:val="32"/>
          <w:szCs w:val="32"/>
          <w:highlight w:val="none"/>
        </w:rPr>
      </w:pPr>
      <w:r>
        <w:rPr>
          <w:rFonts w:hint="eastAsia"/>
          <w:color w:val="auto"/>
          <w:highlight w:val="none"/>
        </w:rPr>
        <w:br w:type="page"/>
      </w:r>
      <w:r>
        <w:rPr>
          <w:rFonts w:hint="eastAsia"/>
          <w:b/>
          <w:color w:val="auto"/>
          <w:sz w:val="32"/>
          <w:szCs w:val="32"/>
          <w:highlight w:val="none"/>
          <w:lang w:bidi="ar"/>
        </w:rPr>
        <w:t>残疾人福利性单位声明函</w:t>
      </w:r>
    </w:p>
    <w:p>
      <w:pPr>
        <w:widowControl/>
        <w:shd w:val="clear" w:color="auto" w:fill="FFFFFF"/>
        <w:autoSpaceDE w:val="0"/>
        <w:autoSpaceDN w:val="0"/>
        <w:adjustRightInd w:val="0"/>
        <w:spacing w:before="100" w:beforeAutospacing="1" w:after="100" w:afterAutospacing="1" w:line="360" w:lineRule="auto"/>
        <w:ind w:firstLine="480" w:firstLineChars="200"/>
        <w:jc w:val="left"/>
        <w:rPr>
          <w:rFonts w:hint="eastAsia" w:ascii="宋体" w:hAnsi="宋体" w:cs="宋体"/>
          <w:color w:val="auto"/>
          <w:highlight w:val="none"/>
          <w:shd w:val="clear" w:color="auto" w:fill="FFFFFF"/>
        </w:rPr>
      </w:pPr>
      <w:r>
        <w:rPr>
          <w:rFonts w:hint="eastAsia" w:ascii="宋体" w:hAnsi="宋体" w:cs="宋体"/>
          <w:color w:val="auto"/>
          <w:kern w:val="0"/>
          <w:sz w:val="24"/>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autoSpaceDE w:val="0"/>
        <w:autoSpaceDN w:val="0"/>
        <w:adjustRightInd w:val="0"/>
        <w:spacing w:before="100" w:beforeAutospacing="1" w:after="100" w:afterAutospacing="1" w:line="360" w:lineRule="auto"/>
        <w:jc w:val="left"/>
        <w:rPr>
          <w:rFonts w:hint="eastAsia" w:ascii="宋体" w:hAnsi="宋体" w:cs="宋体"/>
          <w:color w:val="auto"/>
          <w:highlight w:val="none"/>
          <w:shd w:val="clear" w:color="auto" w:fill="FFFFFF"/>
        </w:rPr>
      </w:pPr>
      <w:r>
        <w:rPr>
          <w:rFonts w:hint="eastAsia" w:ascii="宋体" w:hAnsi="宋体" w:cs="宋体"/>
          <w:color w:val="auto"/>
          <w:kern w:val="0"/>
          <w:sz w:val="24"/>
          <w:highlight w:val="none"/>
          <w:shd w:val="clear" w:color="auto" w:fill="FFFFFF"/>
          <w:lang w:bidi="ar"/>
        </w:rPr>
        <w:t>本单位对上述声明的真实性负责。如有虚假，将依法承担相应责任。</w:t>
      </w:r>
    </w:p>
    <w:p>
      <w:pPr>
        <w:widowControl/>
        <w:shd w:val="clear" w:color="auto" w:fill="FFFFFF"/>
        <w:autoSpaceDE w:val="0"/>
        <w:autoSpaceDN w:val="0"/>
        <w:adjustRightInd w:val="0"/>
        <w:spacing w:before="100" w:beforeAutospacing="1" w:after="100" w:afterAutospacing="1" w:line="360" w:lineRule="auto"/>
        <w:jc w:val="left"/>
        <w:rPr>
          <w:rFonts w:eastAsia="仿宋_GB2312" w:cs="Calibri"/>
          <w:color w:val="auto"/>
          <w:highlight w:val="none"/>
          <w:shd w:val="clear" w:color="auto" w:fill="FFFFFF"/>
        </w:rPr>
      </w:pPr>
      <w:r>
        <w:rPr>
          <w:rFonts w:eastAsia="仿宋_GB2312"/>
          <w:color w:val="auto"/>
          <w:kern w:val="0"/>
          <w:sz w:val="24"/>
          <w:highlight w:val="none"/>
          <w:shd w:val="clear" w:color="auto" w:fill="FFFFFF"/>
          <w:lang w:bidi="ar"/>
        </w:rPr>
        <w:t xml:space="preserve"> </w:t>
      </w:r>
    </w:p>
    <w:p>
      <w:pPr>
        <w:wordWrap w:val="0"/>
        <w:autoSpaceDE w:val="0"/>
        <w:autoSpaceDN w:val="0"/>
        <w:adjustRightInd w:val="0"/>
        <w:spacing w:line="500" w:lineRule="exact"/>
        <w:ind w:firstLine="560" w:firstLineChars="200"/>
        <w:jc w:val="right"/>
        <w:rPr>
          <w:color w:val="auto"/>
          <w:sz w:val="28"/>
          <w:szCs w:val="28"/>
          <w:highlight w:val="none"/>
        </w:rPr>
      </w:pPr>
      <w:r>
        <w:rPr>
          <w:rFonts w:hint="eastAsia" w:cs="宋体"/>
          <w:color w:val="auto"/>
          <w:kern w:val="0"/>
          <w:sz w:val="28"/>
          <w:szCs w:val="28"/>
          <w:highlight w:val="none"/>
          <w:lang w:bidi="ar"/>
        </w:rPr>
        <w:t>企业名称（盖章）：</w:t>
      </w:r>
      <w:r>
        <w:rPr>
          <w:color w:val="auto"/>
          <w:kern w:val="0"/>
          <w:sz w:val="28"/>
          <w:szCs w:val="28"/>
          <w:highlight w:val="none"/>
          <w:lang w:bidi="ar"/>
        </w:rPr>
        <w:t xml:space="preserve">         </w:t>
      </w:r>
    </w:p>
    <w:p>
      <w:pPr>
        <w:pStyle w:val="27"/>
        <w:spacing w:line="562" w:lineRule="exact"/>
        <w:ind w:left="3860" w:leftChars="1838" w:firstLine="1755" w:firstLineChars="627"/>
        <w:rPr>
          <w:color w:val="auto"/>
          <w:highlight w:val="none"/>
          <w:lang w:eastAsia="zh-TW"/>
        </w:rPr>
      </w:pPr>
      <w:r>
        <w:rPr>
          <w:rFonts w:cs="宋体"/>
          <w:color w:val="auto"/>
          <w:sz w:val="28"/>
          <w:szCs w:val="28"/>
          <w:highlight w:val="none"/>
          <w:lang w:eastAsia="zh-TW" w:bidi="ar"/>
        </w:rPr>
        <w:t>日  期：</w:t>
      </w:r>
    </w:p>
    <w:p>
      <w:pPr>
        <w:widowControl/>
        <w:shd w:val="clear" w:color="auto" w:fill="FFFFFF"/>
        <w:autoSpaceDE w:val="0"/>
        <w:autoSpaceDN w:val="0"/>
        <w:adjustRightInd w:val="0"/>
        <w:spacing w:before="100" w:beforeAutospacing="1" w:after="100" w:afterAutospacing="1" w:line="360" w:lineRule="auto"/>
        <w:jc w:val="left"/>
        <w:rPr>
          <w:rFonts w:eastAsia="仿宋_GB2312" w:cs="Calibri"/>
          <w:color w:val="auto"/>
          <w:highlight w:val="none"/>
          <w:shd w:val="clear" w:color="auto" w:fill="FFFFFF"/>
        </w:rPr>
      </w:pPr>
      <w:r>
        <w:rPr>
          <w:rFonts w:eastAsia="仿宋_GB2312"/>
          <w:color w:val="auto"/>
          <w:kern w:val="0"/>
          <w:sz w:val="24"/>
          <w:highlight w:val="none"/>
          <w:shd w:val="clear" w:color="auto" w:fill="FFFFFF"/>
          <w:lang w:eastAsia="zh-TW" w:bidi="ar"/>
        </w:rPr>
        <w:t xml:space="preserve"> </w:t>
      </w:r>
    </w:p>
    <w:p>
      <w:pPr>
        <w:autoSpaceDE w:val="0"/>
        <w:autoSpaceDN w:val="0"/>
        <w:adjustRightInd w:val="0"/>
        <w:jc w:val="center"/>
        <w:rPr>
          <w:b/>
          <w:color w:val="auto"/>
          <w:sz w:val="32"/>
          <w:szCs w:val="32"/>
          <w:highlight w:val="none"/>
        </w:rPr>
      </w:pPr>
      <w:r>
        <w:rPr>
          <w:rFonts w:hint="eastAsia" w:ascii="宋体" w:hAnsi="宋体" w:cs="宋体"/>
          <w:b/>
          <w:color w:val="auto"/>
          <w:kern w:val="0"/>
          <w:sz w:val="32"/>
          <w:szCs w:val="32"/>
          <w:highlight w:val="none"/>
          <w:lang w:bidi="ar"/>
        </w:rPr>
        <w:t>监狱企业证明文件</w:t>
      </w:r>
    </w:p>
    <w:p>
      <w:pPr>
        <w:autoSpaceDE w:val="0"/>
        <w:autoSpaceDN w:val="0"/>
        <w:adjustRightInd w:val="0"/>
        <w:snapToGrid w:val="0"/>
        <w:spacing w:before="100" w:beforeAutospacing="1" w:after="100" w:afterAutospacing="1" w:line="39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注：监狱企业参加政府采购活动时，应当提供由省级以上监狱管理局、戒毒管理局（含新疆生产建设兵团）出具的属于监狱企业的证明文件。</w:t>
      </w:r>
    </w:p>
    <w:p>
      <w:pPr>
        <w:snapToGrid w:val="0"/>
        <w:spacing w:line="460" w:lineRule="exact"/>
        <w:jc w:val="left"/>
        <w:rPr>
          <w:rFonts w:hint="eastAsia" w:ascii="宋体" w:hAnsi="宋体" w:cs="宋体"/>
          <w:color w:val="auto"/>
          <w:sz w:val="28"/>
          <w:szCs w:val="28"/>
          <w:highlight w:val="none"/>
        </w:rPr>
      </w:pPr>
    </w:p>
    <w:p>
      <w:pPr>
        <w:pStyle w:val="17"/>
        <w:snapToGrid w:val="0"/>
        <w:spacing w:before="295" w:beforeLines="0" w:after="295" w:afterLines="0" w:line="240" w:lineRule="auto"/>
        <w:rPr>
          <w:rFonts w:hint="eastAsia"/>
          <w:color w:val="auto"/>
          <w:highlight w:val="none"/>
        </w:rPr>
      </w:pPr>
    </w:p>
    <w:p>
      <w:pPr>
        <w:pStyle w:val="43"/>
        <w:rPr>
          <w:rFonts w:hint="eastAsia" w:hAnsi="方正小标宋_GBK" w:eastAsia="方正小标宋_GBK" w:cs="方正小标宋_GBK"/>
          <w:color w:val="auto"/>
          <w:sz w:val="36"/>
          <w:szCs w:val="36"/>
          <w:highlight w:val="none"/>
          <w:lang w:val="en-US" w:eastAsia="zh-CN" w:bidi="ar"/>
        </w:rPr>
      </w:pPr>
    </w:p>
    <w:sectPr>
      <w:headerReference r:id="rId3" w:type="default"/>
      <w:footerReference r:id="rId4" w:type="default"/>
      <w:footerReference r:id="rId5" w:type="even"/>
      <w:pgSz w:w="11906" w:h="16838"/>
      <w:pgMar w:top="1474" w:right="1274" w:bottom="1247"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Helvetica">
    <w:altName w:val="Arial"/>
    <w:panose1 w:val="020B0604020202020204"/>
    <w:charset w:val="00"/>
    <w:family w:val="swiss"/>
    <w:pitch w:val="default"/>
    <w:sig w:usb0="E0002EFF" w:usb1="C000785B" w:usb2="00000009" w:usb3="00000000" w:csb0="000001FF" w:csb1="00000000"/>
  </w:font>
  <w:font w:name="创艺简标宋">
    <w:altName w:val="宋体"/>
    <w:panose1 w:val="00000000000000000000"/>
    <w:charset w:val="86"/>
    <w:family w:val="auto"/>
    <w:pitch w:val="default"/>
    <w:sig w:usb0="00000000"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5b8b_4f53">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Fonts w:hint="eastAsia" w:ascii="宋体" w:hAnsi="宋体" w:eastAsia="宋体"/>
      </w:rPr>
    </w:pPr>
    <w:r>
      <w:rPr>
        <w:rFonts w:hint="eastAsia" w:ascii="宋体" w:hAnsi="宋体" w:eastAsia="宋体"/>
      </w:rPr>
      <w:t xml:space="preserve">金华市万全招标代理有限公司    QQ:77254778          电话：0579－82583380      </w:t>
    </w:r>
    <w:r>
      <w:rPr>
        <w:rFonts w:hint="eastAsia" w:ascii="宋体" w:hAnsi="宋体" w:eastAsia="宋体"/>
        <w:szCs w:val="21"/>
      </w:rPr>
      <w:t xml:space="preserve">第 </w:t>
    </w:r>
    <w:r>
      <w:rPr>
        <w:rFonts w:ascii="宋体" w:hAnsi="宋体" w:eastAsia="宋体"/>
        <w:szCs w:val="21"/>
      </w:rPr>
      <w:fldChar w:fldCharType="begin"/>
    </w:r>
    <w:r>
      <w:rPr>
        <w:rFonts w:ascii="宋体" w:hAnsi="宋体" w:eastAsia="宋体"/>
        <w:szCs w:val="21"/>
      </w:rPr>
      <w:instrText xml:space="preserve"> PAGE </w:instrText>
    </w:r>
    <w:r>
      <w:rPr>
        <w:rFonts w:ascii="宋体" w:hAnsi="宋体" w:eastAsia="宋体"/>
        <w:szCs w:val="21"/>
      </w:rPr>
      <w:fldChar w:fldCharType="separate"/>
    </w:r>
    <w:r>
      <w:rPr>
        <w:rFonts w:ascii="宋体" w:hAnsi="宋体" w:eastAsia="宋体"/>
        <w:szCs w:val="21"/>
        <w:lang/>
      </w:rPr>
      <w:t>57</w:t>
    </w:r>
    <w:r>
      <w:rPr>
        <w:rFonts w:ascii="宋体" w:hAnsi="宋体" w:eastAsia="宋体"/>
        <w:szCs w:val="21"/>
      </w:rPr>
      <w:fldChar w:fldCharType="end"/>
    </w:r>
    <w:r>
      <w:rPr>
        <w:rFonts w:hint="eastAsia" w:ascii="宋体" w:hAnsi="宋体" w:eastAsia="宋体"/>
        <w:szCs w:val="21"/>
      </w:rPr>
      <w:t xml:space="preserve"> 页 共 </w:t>
    </w:r>
    <w:r>
      <w:rPr>
        <w:rFonts w:ascii="宋体" w:hAnsi="宋体" w:eastAsia="宋体"/>
        <w:szCs w:val="21"/>
      </w:rPr>
      <w:fldChar w:fldCharType="begin"/>
    </w:r>
    <w:r>
      <w:rPr>
        <w:rFonts w:ascii="宋体" w:hAnsi="宋体" w:eastAsia="宋体"/>
        <w:szCs w:val="21"/>
      </w:rPr>
      <w:instrText xml:space="preserve"> NUMPAGES </w:instrText>
    </w:r>
    <w:r>
      <w:rPr>
        <w:rFonts w:ascii="宋体" w:hAnsi="宋体" w:eastAsia="宋体"/>
        <w:szCs w:val="21"/>
      </w:rPr>
      <w:fldChar w:fldCharType="separate"/>
    </w:r>
    <w:r>
      <w:rPr>
        <w:rFonts w:ascii="宋体" w:hAnsi="宋体" w:eastAsia="宋体"/>
        <w:szCs w:val="21"/>
        <w:lang/>
      </w:rPr>
      <w:t>59</w:t>
    </w:r>
    <w:r>
      <w:rPr>
        <w:rFonts w:ascii="宋体" w:hAnsi="宋体" w:eastAsia="宋体"/>
        <w:szCs w:val="21"/>
      </w:rPr>
      <w:fldChar w:fldCharType="end"/>
    </w:r>
    <w:r>
      <w:rPr>
        <w:rFonts w:hint="eastAsia" w:ascii="宋体" w:hAnsi="宋体" w:eastAsia="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3"/>
      </w:rPr>
    </w:pPr>
    <w:r>
      <w:fldChar w:fldCharType="begin"/>
    </w:r>
    <w:r>
      <w:rPr>
        <w:rStyle w:val="33"/>
      </w:rPr>
      <w:instrText xml:space="preserve">PAGE  </w:instrText>
    </w:r>
    <w:r>
      <w:fldChar w:fldCharType="separate"/>
    </w:r>
    <w:r>
      <w:fldChar w:fldCharType="end"/>
    </w:r>
  </w:p>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宋体" w:hAnsi="宋体" w:eastAsia="宋体"/>
      </w:rPr>
    </w:pPr>
    <w:r>
      <w:rPr>
        <w:rFonts w:hint="eastAsia" w:ascii="宋体" w:hAnsi="宋体" w:eastAsia="宋体"/>
      </w:rPr>
      <w:t>浙江省金华监狱移动警务录音复听、智慧督查APP应用系统采购项目公开招标文件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FFFFFF7F"/>
    <w:multiLevelType w:val="singleLevel"/>
    <w:tmpl w:val="FFFFFF7F"/>
    <w:lvl w:ilvl="0" w:tentative="0">
      <w:start w:val="1"/>
      <w:numFmt w:val="decimal"/>
      <w:pStyle w:val="7"/>
      <w:lvlText w:val="%1."/>
      <w:lvlJc w:val="left"/>
      <w:pPr>
        <w:tabs>
          <w:tab w:val="left" w:pos="780"/>
        </w:tabs>
        <w:ind w:left="780" w:hanging="360"/>
      </w:pPr>
    </w:lvl>
  </w:abstractNum>
  <w:abstractNum w:abstractNumId="2">
    <w:nsid w:val="0000000C"/>
    <w:multiLevelType w:val="multilevel"/>
    <w:tmpl w:val="0000000C"/>
    <w:lvl w:ilvl="0" w:tentative="0">
      <w:start w:val="1"/>
      <w:numFmt w:val="japaneseCounting"/>
      <w:lvlText w:val="第%1章"/>
      <w:lvlJc w:val="left"/>
      <w:pPr>
        <w:tabs>
          <w:tab w:val="left" w:pos="3075"/>
        </w:tabs>
        <w:ind w:left="3075" w:hanging="1275"/>
      </w:pPr>
      <w:rPr>
        <w:rFonts w:hint="eastAsia"/>
      </w:rPr>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abstractNum w:abstractNumId="3">
    <w:nsid w:val="0000000D"/>
    <w:multiLevelType w:val="singleLevel"/>
    <w:tmpl w:val="0000000D"/>
    <w:lvl w:ilvl="0" w:tentative="0">
      <w:start w:val="1"/>
      <w:numFmt w:val="decimal"/>
      <w:pStyle w:val="64"/>
      <w:lvlText w:val="%1."/>
      <w:lvlJc w:val="left"/>
      <w:pPr>
        <w:tabs>
          <w:tab w:val="left" w:pos="1200"/>
        </w:tabs>
        <w:ind w:left="1200" w:hanging="360"/>
      </w:pPr>
    </w:lvl>
  </w:abstractNum>
  <w:abstractNum w:abstractNumId="4">
    <w:nsid w:val="00000011"/>
    <w:multiLevelType w:val="multilevel"/>
    <w:tmpl w:val="00000011"/>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4"/>
  </w:num>
  <w:num w:numId="3">
    <w:abstractNumId w:val="3"/>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8A"/>
    <w:rsid w:val="00001AA7"/>
    <w:rsid w:val="00001FA7"/>
    <w:rsid w:val="000030E2"/>
    <w:rsid w:val="00003459"/>
    <w:rsid w:val="00003825"/>
    <w:rsid w:val="0000411F"/>
    <w:rsid w:val="00004138"/>
    <w:rsid w:val="00005FD5"/>
    <w:rsid w:val="00006257"/>
    <w:rsid w:val="000064FE"/>
    <w:rsid w:val="00006B2B"/>
    <w:rsid w:val="000074D5"/>
    <w:rsid w:val="00007C15"/>
    <w:rsid w:val="0001106B"/>
    <w:rsid w:val="00011CBB"/>
    <w:rsid w:val="00012442"/>
    <w:rsid w:val="000127A7"/>
    <w:rsid w:val="00013968"/>
    <w:rsid w:val="0001515F"/>
    <w:rsid w:val="0001529A"/>
    <w:rsid w:val="000153FB"/>
    <w:rsid w:val="00015469"/>
    <w:rsid w:val="0001560C"/>
    <w:rsid w:val="00015C1C"/>
    <w:rsid w:val="000160C9"/>
    <w:rsid w:val="00017759"/>
    <w:rsid w:val="00017B58"/>
    <w:rsid w:val="00020656"/>
    <w:rsid w:val="000208EA"/>
    <w:rsid w:val="00020CEC"/>
    <w:rsid w:val="00022275"/>
    <w:rsid w:val="00022404"/>
    <w:rsid w:val="0002270E"/>
    <w:rsid w:val="000240C1"/>
    <w:rsid w:val="0002462C"/>
    <w:rsid w:val="000246CA"/>
    <w:rsid w:val="000252A5"/>
    <w:rsid w:val="000259FC"/>
    <w:rsid w:val="000261A8"/>
    <w:rsid w:val="00026244"/>
    <w:rsid w:val="00026ACD"/>
    <w:rsid w:val="00026D06"/>
    <w:rsid w:val="00027495"/>
    <w:rsid w:val="00027D96"/>
    <w:rsid w:val="00032B2F"/>
    <w:rsid w:val="00032BD0"/>
    <w:rsid w:val="00034A8F"/>
    <w:rsid w:val="000358FF"/>
    <w:rsid w:val="000359AB"/>
    <w:rsid w:val="00035D12"/>
    <w:rsid w:val="00036CC5"/>
    <w:rsid w:val="000401F8"/>
    <w:rsid w:val="00040F63"/>
    <w:rsid w:val="00041FA5"/>
    <w:rsid w:val="000422C7"/>
    <w:rsid w:val="00043688"/>
    <w:rsid w:val="0004398F"/>
    <w:rsid w:val="00043B32"/>
    <w:rsid w:val="00043EE8"/>
    <w:rsid w:val="00044579"/>
    <w:rsid w:val="00045DBF"/>
    <w:rsid w:val="000462C8"/>
    <w:rsid w:val="000467B5"/>
    <w:rsid w:val="00046E9C"/>
    <w:rsid w:val="0004700C"/>
    <w:rsid w:val="0004722A"/>
    <w:rsid w:val="00047FCB"/>
    <w:rsid w:val="00050B07"/>
    <w:rsid w:val="00050D31"/>
    <w:rsid w:val="00051042"/>
    <w:rsid w:val="00051061"/>
    <w:rsid w:val="00051079"/>
    <w:rsid w:val="00051C80"/>
    <w:rsid w:val="00051DFF"/>
    <w:rsid w:val="00052302"/>
    <w:rsid w:val="00052A39"/>
    <w:rsid w:val="00052CF1"/>
    <w:rsid w:val="00052EC8"/>
    <w:rsid w:val="000530B1"/>
    <w:rsid w:val="00053184"/>
    <w:rsid w:val="000543D4"/>
    <w:rsid w:val="00055368"/>
    <w:rsid w:val="0005536F"/>
    <w:rsid w:val="000558AA"/>
    <w:rsid w:val="000558C8"/>
    <w:rsid w:val="00056377"/>
    <w:rsid w:val="00056741"/>
    <w:rsid w:val="00057587"/>
    <w:rsid w:val="00061261"/>
    <w:rsid w:val="0006142F"/>
    <w:rsid w:val="00061D76"/>
    <w:rsid w:val="00061EC8"/>
    <w:rsid w:val="000623E5"/>
    <w:rsid w:val="00064FDC"/>
    <w:rsid w:val="00065110"/>
    <w:rsid w:val="00065943"/>
    <w:rsid w:val="00066AA0"/>
    <w:rsid w:val="000701EE"/>
    <w:rsid w:val="000713E3"/>
    <w:rsid w:val="0007176D"/>
    <w:rsid w:val="00072EE5"/>
    <w:rsid w:val="00073031"/>
    <w:rsid w:val="00073839"/>
    <w:rsid w:val="00073C39"/>
    <w:rsid w:val="000741FF"/>
    <w:rsid w:val="00075911"/>
    <w:rsid w:val="00076400"/>
    <w:rsid w:val="00076D49"/>
    <w:rsid w:val="00077887"/>
    <w:rsid w:val="00077BD0"/>
    <w:rsid w:val="00077E97"/>
    <w:rsid w:val="00077F0D"/>
    <w:rsid w:val="00077FE4"/>
    <w:rsid w:val="0008095F"/>
    <w:rsid w:val="00080F67"/>
    <w:rsid w:val="000818C3"/>
    <w:rsid w:val="00081D16"/>
    <w:rsid w:val="000820D7"/>
    <w:rsid w:val="000820F5"/>
    <w:rsid w:val="00082DF9"/>
    <w:rsid w:val="00083209"/>
    <w:rsid w:val="00083A60"/>
    <w:rsid w:val="00083A8F"/>
    <w:rsid w:val="00083FA9"/>
    <w:rsid w:val="00084260"/>
    <w:rsid w:val="00084A10"/>
    <w:rsid w:val="00084B35"/>
    <w:rsid w:val="00086C4B"/>
    <w:rsid w:val="00086F6B"/>
    <w:rsid w:val="0008700E"/>
    <w:rsid w:val="00090265"/>
    <w:rsid w:val="000908DD"/>
    <w:rsid w:val="00090AEE"/>
    <w:rsid w:val="00090EA0"/>
    <w:rsid w:val="0009118E"/>
    <w:rsid w:val="000922C8"/>
    <w:rsid w:val="00092359"/>
    <w:rsid w:val="00092987"/>
    <w:rsid w:val="00092BE9"/>
    <w:rsid w:val="000933C3"/>
    <w:rsid w:val="000937A3"/>
    <w:rsid w:val="0009432E"/>
    <w:rsid w:val="00094384"/>
    <w:rsid w:val="00095236"/>
    <w:rsid w:val="00095574"/>
    <w:rsid w:val="00096A08"/>
    <w:rsid w:val="00096A2C"/>
    <w:rsid w:val="00097A67"/>
    <w:rsid w:val="00097E6D"/>
    <w:rsid w:val="000A25F5"/>
    <w:rsid w:val="000A2E8A"/>
    <w:rsid w:val="000A37BD"/>
    <w:rsid w:val="000A3876"/>
    <w:rsid w:val="000A3BCA"/>
    <w:rsid w:val="000A6AC7"/>
    <w:rsid w:val="000A6F8E"/>
    <w:rsid w:val="000A7039"/>
    <w:rsid w:val="000A7232"/>
    <w:rsid w:val="000B0186"/>
    <w:rsid w:val="000B0783"/>
    <w:rsid w:val="000B10E2"/>
    <w:rsid w:val="000B1621"/>
    <w:rsid w:val="000B1FBD"/>
    <w:rsid w:val="000B2548"/>
    <w:rsid w:val="000B2596"/>
    <w:rsid w:val="000B2B6C"/>
    <w:rsid w:val="000B34CF"/>
    <w:rsid w:val="000B404C"/>
    <w:rsid w:val="000B4439"/>
    <w:rsid w:val="000B4F00"/>
    <w:rsid w:val="000B5771"/>
    <w:rsid w:val="000B6383"/>
    <w:rsid w:val="000B63C5"/>
    <w:rsid w:val="000B650A"/>
    <w:rsid w:val="000B6754"/>
    <w:rsid w:val="000B7555"/>
    <w:rsid w:val="000C16E2"/>
    <w:rsid w:val="000C207E"/>
    <w:rsid w:val="000C3082"/>
    <w:rsid w:val="000C34C4"/>
    <w:rsid w:val="000C3601"/>
    <w:rsid w:val="000C364F"/>
    <w:rsid w:val="000C3685"/>
    <w:rsid w:val="000C37F2"/>
    <w:rsid w:val="000C3D52"/>
    <w:rsid w:val="000C453E"/>
    <w:rsid w:val="000C5762"/>
    <w:rsid w:val="000C659D"/>
    <w:rsid w:val="000C67D0"/>
    <w:rsid w:val="000C79DD"/>
    <w:rsid w:val="000D00E0"/>
    <w:rsid w:val="000D0170"/>
    <w:rsid w:val="000D12F3"/>
    <w:rsid w:val="000D185A"/>
    <w:rsid w:val="000D1A6E"/>
    <w:rsid w:val="000D1F1A"/>
    <w:rsid w:val="000D1FEF"/>
    <w:rsid w:val="000D2054"/>
    <w:rsid w:val="000D256F"/>
    <w:rsid w:val="000D2F5A"/>
    <w:rsid w:val="000D545F"/>
    <w:rsid w:val="000D59D1"/>
    <w:rsid w:val="000D59F9"/>
    <w:rsid w:val="000D6323"/>
    <w:rsid w:val="000D66F7"/>
    <w:rsid w:val="000D69A4"/>
    <w:rsid w:val="000D6DE9"/>
    <w:rsid w:val="000D75A4"/>
    <w:rsid w:val="000E1D55"/>
    <w:rsid w:val="000E1F9F"/>
    <w:rsid w:val="000E220D"/>
    <w:rsid w:val="000E2A60"/>
    <w:rsid w:val="000E319A"/>
    <w:rsid w:val="000E38F5"/>
    <w:rsid w:val="000E3F17"/>
    <w:rsid w:val="000E572F"/>
    <w:rsid w:val="000E5956"/>
    <w:rsid w:val="000E6059"/>
    <w:rsid w:val="000E65AB"/>
    <w:rsid w:val="000E6D29"/>
    <w:rsid w:val="000E6E71"/>
    <w:rsid w:val="000E6ED8"/>
    <w:rsid w:val="000E706A"/>
    <w:rsid w:val="000E749F"/>
    <w:rsid w:val="000E76D8"/>
    <w:rsid w:val="000F19C1"/>
    <w:rsid w:val="000F1F71"/>
    <w:rsid w:val="000F2150"/>
    <w:rsid w:val="000F266D"/>
    <w:rsid w:val="000F28B7"/>
    <w:rsid w:val="000F43AE"/>
    <w:rsid w:val="000F51CC"/>
    <w:rsid w:val="000F597D"/>
    <w:rsid w:val="000F5FC5"/>
    <w:rsid w:val="000F7403"/>
    <w:rsid w:val="001001A0"/>
    <w:rsid w:val="00100322"/>
    <w:rsid w:val="001004C9"/>
    <w:rsid w:val="00100B61"/>
    <w:rsid w:val="001016D0"/>
    <w:rsid w:val="001019A6"/>
    <w:rsid w:val="00101FF5"/>
    <w:rsid w:val="0010215F"/>
    <w:rsid w:val="00102678"/>
    <w:rsid w:val="0010353E"/>
    <w:rsid w:val="0010480B"/>
    <w:rsid w:val="001057DE"/>
    <w:rsid w:val="00105CB0"/>
    <w:rsid w:val="0010664B"/>
    <w:rsid w:val="00106985"/>
    <w:rsid w:val="00106C0D"/>
    <w:rsid w:val="001073C0"/>
    <w:rsid w:val="00107705"/>
    <w:rsid w:val="00107817"/>
    <w:rsid w:val="0010798E"/>
    <w:rsid w:val="00110C94"/>
    <w:rsid w:val="001112BD"/>
    <w:rsid w:val="001120CB"/>
    <w:rsid w:val="001122C2"/>
    <w:rsid w:val="0011292A"/>
    <w:rsid w:val="00112B06"/>
    <w:rsid w:val="00113533"/>
    <w:rsid w:val="00113BF0"/>
    <w:rsid w:val="001149C0"/>
    <w:rsid w:val="00115312"/>
    <w:rsid w:val="00115C58"/>
    <w:rsid w:val="00116080"/>
    <w:rsid w:val="00117F4F"/>
    <w:rsid w:val="00117FB1"/>
    <w:rsid w:val="00120360"/>
    <w:rsid w:val="001208B6"/>
    <w:rsid w:val="001211F4"/>
    <w:rsid w:val="0012215D"/>
    <w:rsid w:val="001221B1"/>
    <w:rsid w:val="001234DF"/>
    <w:rsid w:val="001234E6"/>
    <w:rsid w:val="00124CEC"/>
    <w:rsid w:val="00124E87"/>
    <w:rsid w:val="0012588E"/>
    <w:rsid w:val="00125C9E"/>
    <w:rsid w:val="00126199"/>
    <w:rsid w:val="00126711"/>
    <w:rsid w:val="00126F6B"/>
    <w:rsid w:val="001306D2"/>
    <w:rsid w:val="00130FB1"/>
    <w:rsid w:val="001313E6"/>
    <w:rsid w:val="00132124"/>
    <w:rsid w:val="0013281C"/>
    <w:rsid w:val="00132E8C"/>
    <w:rsid w:val="00133D92"/>
    <w:rsid w:val="00134027"/>
    <w:rsid w:val="0013408B"/>
    <w:rsid w:val="001344A8"/>
    <w:rsid w:val="001349F3"/>
    <w:rsid w:val="00135568"/>
    <w:rsid w:val="00135A9C"/>
    <w:rsid w:val="001360F6"/>
    <w:rsid w:val="00137001"/>
    <w:rsid w:val="00137007"/>
    <w:rsid w:val="00141402"/>
    <w:rsid w:val="0014181E"/>
    <w:rsid w:val="0014218A"/>
    <w:rsid w:val="0014298B"/>
    <w:rsid w:val="00142C64"/>
    <w:rsid w:val="00142D66"/>
    <w:rsid w:val="0014413B"/>
    <w:rsid w:val="0014419D"/>
    <w:rsid w:val="001444BE"/>
    <w:rsid w:val="001453D2"/>
    <w:rsid w:val="001466FB"/>
    <w:rsid w:val="00146B31"/>
    <w:rsid w:val="00147120"/>
    <w:rsid w:val="001472D6"/>
    <w:rsid w:val="001472DD"/>
    <w:rsid w:val="00150808"/>
    <w:rsid w:val="00150981"/>
    <w:rsid w:val="00150D27"/>
    <w:rsid w:val="001527A1"/>
    <w:rsid w:val="001540CB"/>
    <w:rsid w:val="001542F1"/>
    <w:rsid w:val="00154451"/>
    <w:rsid w:val="001546C5"/>
    <w:rsid w:val="001547DC"/>
    <w:rsid w:val="001555FE"/>
    <w:rsid w:val="00155F17"/>
    <w:rsid w:val="0015621B"/>
    <w:rsid w:val="00156304"/>
    <w:rsid w:val="00157A60"/>
    <w:rsid w:val="00160167"/>
    <w:rsid w:val="00161325"/>
    <w:rsid w:val="00161741"/>
    <w:rsid w:val="001623EB"/>
    <w:rsid w:val="00162D85"/>
    <w:rsid w:val="001636F9"/>
    <w:rsid w:val="0016484B"/>
    <w:rsid w:val="00164922"/>
    <w:rsid w:val="00164BD8"/>
    <w:rsid w:val="0016606A"/>
    <w:rsid w:val="0016651B"/>
    <w:rsid w:val="0016658F"/>
    <w:rsid w:val="0016711C"/>
    <w:rsid w:val="00167706"/>
    <w:rsid w:val="0016797E"/>
    <w:rsid w:val="001708D6"/>
    <w:rsid w:val="001710FA"/>
    <w:rsid w:val="0017123D"/>
    <w:rsid w:val="00171589"/>
    <w:rsid w:val="00172780"/>
    <w:rsid w:val="00172C69"/>
    <w:rsid w:val="00172FBF"/>
    <w:rsid w:val="001738BB"/>
    <w:rsid w:val="00173EE6"/>
    <w:rsid w:val="001740A2"/>
    <w:rsid w:val="0017411F"/>
    <w:rsid w:val="00174F94"/>
    <w:rsid w:val="00175339"/>
    <w:rsid w:val="00175D64"/>
    <w:rsid w:val="001761D2"/>
    <w:rsid w:val="00176CAC"/>
    <w:rsid w:val="00177005"/>
    <w:rsid w:val="0018063D"/>
    <w:rsid w:val="00181074"/>
    <w:rsid w:val="0018227D"/>
    <w:rsid w:val="00182AB8"/>
    <w:rsid w:val="00184C4E"/>
    <w:rsid w:val="00184D04"/>
    <w:rsid w:val="00184DBC"/>
    <w:rsid w:val="00185A48"/>
    <w:rsid w:val="00185BF1"/>
    <w:rsid w:val="00186ADC"/>
    <w:rsid w:val="00186FA7"/>
    <w:rsid w:val="0018744C"/>
    <w:rsid w:val="00187890"/>
    <w:rsid w:val="00187FC7"/>
    <w:rsid w:val="00190440"/>
    <w:rsid w:val="0019084B"/>
    <w:rsid w:val="00190C9F"/>
    <w:rsid w:val="001910B0"/>
    <w:rsid w:val="00191243"/>
    <w:rsid w:val="00191497"/>
    <w:rsid w:val="001917BB"/>
    <w:rsid w:val="00191AEB"/>
    <w:rsid w:val="00191AF0"/>
    <w:rsid w:val="001921E7"/>
    <w:rsid w:val="001959E4"/>
    <w:rsid w:val="00195DA6"/>
    <w:rsid w:val="00196016"/>
    <w:rsid w:val="00196613"/>
    <w:rsid w:val="001967C5"/>
    <w:rsid w:val="0019691B"/>
    <w:rsid w:val="00196BBB"/>
    <w:rsid w:val="001978AB"/>
    <w:rsid w:val="00197F04"/>
    <w:rsid w:val="00197F52"/>
    <w:rsid w:val="001A0190"/>
    <w:rsid w:val="001A05D2"/>
    <w:rsid w:val="001A112C"/>
    <w:rsid w:val="001A22AE"/>
    <w:rsid w:val="001A284B"/>
    <w:rsid w:val="001A2C95"/>
    <w:rsid w:val="001A308A"/>
    <w:rsid w:val="001A322E"/>
    <w:rsid w:val="001A4359"/>
    <w:rsid w:val="001A5074"/>
    <w:rsid w:val="001A60DF"/>
    <w:rsid w:val="001A61AF"/>
    <w:rsid w:val="001A7643"/>
    <w:rsid w:val="001B0219"/>
    <w:rsid w:val="001B081A"/>
    <w:rsid w:val="001B0962"/>
    <w:rsid w:val="001B0EE3"/>
    <w:rsid w:val="001B3549"/>
    <w:rsid w:val="001B445F"/>
    <w:rsid w:val="001B4B3E"/>
    <w:rsid w:val="001B4F8B"/>
    <w:rsid w:val="001B51AC"/>
    <w:rsid w:val="001B56E0"/>
    <w:rsid w:val="001B5AAF"/>
    <w:rsid w:val="001B648A"/>
    <w:rsid w:val="001B6A29"/>
    <w:rsid w:val="001B6CCA"/>
    <w:rsid w:val="001B70DA"/>
    <w:rsid w:val="001C0566"/>
    <w:rsid w:val="001C0A5D"/>
    <w:rsid w:val="001C1101"/>
    <w:rsid w:val="001C2964"/>
    <w:rsid w:val="001C2DF2"/>
    <w:rsid w:val="001C3517"/>
    <w:rsid w:val="001C48AB"/>
    <w:rsid w:val="001C5095"/>
    <w:rsid w:val="001C50B6"/>
    <w:rsid w:val="001C524D"/>
    <w:rsid w:val="001C5692"/>
    <w:rsid w:val="001C5C83"/>
    <w:rsid w:val="001C5FC2"/>
    <w:rsid w:val="001C62C2"/>
    <w:rsid w:val="001C62DF"/>
    <w:rsid w:val="001C630F"/>
    <w:rsid w:val="001C633F"/>
    <w:rsid w:val="001C6C2E"/>
    <w:rsid w:val="001C6CFE"/>
    <w:rsid w:val="001C73A1"/>
    <w:rsid w:val="001C7C3D"/>
    <w:rsid w:val="001D01BF"/>
    <w:rsid w:val="001D0310"/>
    <w:rsid w:val="001D0632"/>
    <w:rsid w:val="001D0B72"/>
    <w:rsid w:val="001D1077"/>
    <w:rsid w:val="001D1372"/>
    <w:rsid w:val="001D2035"/>
    <w:rsid w:val="001D2831"/>
    <w:rsid w:val="001D32FE"/>
    <w:rsid w:val="001D43DB"/>
    <w:rsid w:val="001D47ED"/>
    <w:rsid w:val="001D5200"/>
    <w:rsid w:val="001D5267"/>
    <w:rsid w:val="001D6D40"/>
    <w:rsid w:val="001D6E77"/>
    <w:rsid w:val="001D7688"/>
    <w:rsid w:val="001D7918"/>
    <w:rsid w:val="001E0AAC"/>
    <w:rsid w:val="001E1020"/>
    <w:rsid w:val="001E227D"/>
    <w:rsid w:val="001E23B9"/>
    <w:rsid w:val="001E2B39"/>
    <w:rsid w:val="001E2B5C"/>
    <w:rsid w:val="001E57CB"/>
    <w:rsid w:val="001E6395"/>
    <w:rsid w:val="001E644E"/>
    <w:rsid w:val="001E7832"/>
    <w:rsid w:val="001E7FDD"/>
    <w:rsid w:val="001F046E"/>
    <w:rsid w:val="001F09CF"/>
    <w:rsid w:val="001F15C4"/>
    <w:rsid w:val="001F1BEC"/>
    <w:rsid w:val="001F2029"/>
    <w:rsid w:val="001F3EFA"/>
    <w:rsid w:val="001F4013"/>
    <w:rsid w:val="001F445A"/>
    <w:rsid w:val="001F4E0F"/>
    <w:rsid w:val="001F5310"/>
    <w:rsid w:val="001F542D"/>
    <w:rsid w:val="001F5F6B"/>
    <w:rsid w:val="001F75BB"/>
    <w:rsid w:val="00201612"/>
    <w:rsid w:val="0020198C"/>
    <w:rsid w:val="002019B6"/>
    <w:rsid w:val="00201CB3"/>
    <w:rsid w:val="0020271B"/>
    <w:rsid w:val="002032C7"/>
    <w:rsid w:val="00203D88"/>
    <w:rsid w:val="00203F9A"/>
    <w:rsid w:val="002052CF"/>
    <w:rsid w:val="00205C98"/>
    <w:rsid w:val="00205E1F"/>
    <w:rsid w:val="0020615F"/>
    <w:rsid w:val="002064A8"/>
    <w:rsid w:val="00206574"/>
    <w:rsid w:val="00207EC3"/>
    <w:rsid w:val="002101FC"/>
    <w:rsid w:val="0021081F"/>
    <w:rsid w:val="0021093B"/>
    <w:rsid w:val="00210A85"/>
    <w:rsid w:val="002110C4"/>
    <w:rsid w:val="002114CB"/>
    <w:rsid w:val="00212164"/>
    <w:rsid w:val="002122F9"/>
    <w:rsid w:val="0021294E"/>
    <w:rsid w:val="00212A1A"/>
    <w:rsid w:val="00213412"/>
    <w:rsid w:val="00213EF3"/>
    <w:rsid w:val="002140B2"/>
    <w:rsid w:val="00214201"/>
    <w:rsid w:val="002152E0"/>
    <w:rsid w:val="0021535A"/>
    <w:rsid w:val="002161ED"/>
    <w:rsid w:val="0021639D"/>
    <w:rsid w:val="0021653D"/>
    <w:rsid w:val="00216827"/>
    <w:rsid w:val="00220876"/>
    <w:rsid w:val="00220F26"/>
    <w:rsid w:val="0022120C"/>
    <w:rsid w:val="00223B85"/>
    <w:rsid w:val="00224690"/>
    <w:rsid w:val="00224788"/>
    <w:rsid w:val="00226005"/>
    <w:rsid w:val="002268E4"/>
    <w:rsid w:val="00227726"/>
    <w:rsid w:val="00227886"/>
    <w:rsid w:val="0022790B"/>
    <w:rsid w:val="00230DE0"/>
    <w:rsid w:val="002317EA"/>
    <w:rsid w:val="00231829"/>
    <w:rsid w:val="00231E85"/>
    <w:rsid w:val="0023205F"/>
    <w:rsid w:val="00233EE1"/>
    <w:rsid w:val="00233FA9"/>
    <w:rsid w:val="002343F6"/>
    <w:rsid w:val="002349E4"/>
    <w:rsid w:val="00235186"/>
    <w:rsid w:val="00235924"/>
    <w:rsid w:val="00235B1D"/>
    <w:rsid w:val="00236B72"/>
    <w:rsid w:val="00237709"/>
    <w:rsid w:val="00237F92"/>
    <w:rsid w:val="00240FF6"/>
    <w:rsid w:val="00241038"/>
    <w:rsid w:val="002414F9"/>
    <w:rsid w:val="0024169A"/>
    <w:rsid w:val="002419AC"/>
    <w:rsid w:val="00241C29"/>
    <w:rsid w:val="00241DFC"/>
    <w:rsid w:val="00243C01"/>
    <w:rsid w:val="00243D8D"/>
    <w:rsid w:val="002448C7"/>
    <w:rsid w:val="0024538A"/>
    <w:rsid w:val="00246507"/>
    <w:rsid w:val="0024788E"/>
    <w:rsid w:val="00250684"/>
    <w:rsid w:val="00250D57"/>
    <w:rsid w:val="002510D3"/>
    <w:rsid w:val="00251150"/>
    <w:rsid w:val="002516B9"/>
    <w:rsid w:val="00252170"/>
    <w:rsid w:val="00252A41"/>
    <w:rsid w:val="002532CE"/>
    <w:rsid w:val="00253338"/>
    <w:rsid w:val="00254723"/>
    <w:rsid w:val="002558A8"/>
    <w:rsid w:val="00255A46"/>
    <w:rsid w:val="00257083"/>
    <w:rsid w:val="00257213"/>
    <w:rsid w:val="0026000E"/>
    <w:rsid w:val="00260AC9"/>
    <w:rsid w:val="00260CEB"/>
    <w:rsid w:val="00261967"/>
    <w:rsid w:val="00262896"/>
    <w:rsid w:val="002628D3"/>
    <w:rsid w:val="0026318B"/>
    <w:rsid w:val="00264075"/>
    <w:rsid w:val="002648C6"/>
    <w:rsid w:val="00264F78"/>
    <w:rsid w:val="00264F9E"/>
    <w:rsid w:val="00266501"/>
    <w:rsid w:val="0026674E"/>
    <w:rsid w:val="00271F62"/>
    <w:rsid w:val="002720C5"/>
    <w:rsid w:val="002733F8"/>
    <w:rsid w:val="00273A69"/>
    <w:rsid w:val="00274784"/>
    <w:rsid w:val="00275568"/>
    <w:rsid w:val="002758E8"/>
    <w:rsid w:val="00275AFF"/>
    <w:rsid w:val="00276B10"/>
    <w:rsid w:val="00276EA6"/>
    <w:rsid w:val="0027709E"/>
    <w:rsid w:val="002773D8"/>
    <w:rsid w:val="0027744F"/>
    <w:rsid w:val="00277847"/>
    <w:rsid w:val="00277A54"/>
    <w:rsid w:val="0028069F"/>
    <w:rsid w:val="00280BDC"/>
    <w:rsid w:val="0028220F"/>
    <w:rsid w:val="00282D08"/>
    <w:rsid w:val="00283486"/>
    <w:rsid w:val="002839FE"/>
    <w:rsid w:val="002848A9"/>
    <w:rsid w:val="0028505E"/>
    <w:rsid w:val="00285D9D"/>
    <w:rsid w:val="002866BF"/>
    <w:rsid w:val="002867A1"/>
    <w:rsid w:val="00287706"/>
    <w:rsid w:val="00290009"/>
    <w:rsid w:val="0029004E"/>
    <w:rsid w:val="00290290"/>
    <w:rsid w:val="0029070B"/>
    <w:rsid w:val="0029096B"/>
    <w:rsid w:val="0029125A"/>
    <w:rsid w:val="00291773"/>
    <w:rsid w:val="00291801"/>
    <w:rsid w:val="0029212C"/>
    <w:rsid w:val="00292762"/>
    <w:rsid w:val="00292C0F"/>
    <w:rsid w:val="0029367A"/>
    <w:rsid w:val="0029426B"/>
    <w:rsid w:val="00294AA4"/>
    <w:rsid w:val="00295913"/>
    <w:rsid w:val="00296C14"/>
    <w:rsid w:val="002975E8"/>
    <w:rsid w:val="002976A3"/>
    <w:rsid w:val="0029775B"/>
    <w:rsid w:val="002A01F0"/>
    <w:rsid w:val="002A27E6"/>
    <w:rsid w:val="002A2A15"/>
    <w:rsid w:val="002A3160"/>
    <w:rsid w:val="002A3858"/>
    <w:rsid w:val="002A4671"/>
    <w:rsid w:val="002A5280"/>
    <w:rsid w:val="002A534A"/>
    <w:rsid w:val="002A5689"/>
    <w:rsid w:val="002A5984"/>
    <w:rsid w:val="002A5AAE"/>
    <w:rsid w:val="002A5AC7"/>
    <w:rsid w:val="002A6919"/>
    <w:rsid w:val="002A76AE"/>
    <w:rsid w:val="002A775C"/>
    <w:rsid w:val="002B0D46"/>
    <w:rsid w:val="002B181C"/>
    <w:rsid w:val="002B260E"/>
    <w:rsid w:val="002B3FE7"/>
    <w:rsid w:val="002B4B69"/>
    <w:rsid w:val="002B519D"/>
    <w:rsid w:val="002B5931"/>
    <w:rsid w:val="002B5A18"/>
    <w:rsid w:val="002B6264"/>
    <w:rsid w:val="002B628B"/>
    <w:rsid w:val="002B74E5"/>
    <w:rsid w:val="002B79C0"/>
    <w:rsid w:val="002B7C58"/>
    <w:rsid w:val="002C05FD"/>
    <w:rsid w:val="002C0879"/>
    <w:rsid w:val="002C3437"/>
    <w:rsid w:val="002C3C47"/>
    <w:rsid w:val="002C3ECB"/>
    <w:rsid w:val="002C4B1F"/>
    <w:rsid w:val="002C4B98"/>
    <w:rsid w:val="002C68EC"/>
    <w:rsid w:val="002C6F82"/>
    <w:rsid w:val="002D09BB"/>
    <w:rsid w:val="002D0C76"/>
    <w:rsid w:val="002D0F43"/>
    <w:rsid w:val="002D1177"/>
    <w:rsid w:val="002D1F82"/>
    <w:rsid w:val="002D20C3"/>
    <w:rsid w:val="002D2777"/>
    <w:rsid w:val="002D2E8F"/>
    <w:rsid w:val="002D2EA3"/>
    <w:rsid w:val="002D3363"/>
    <w:rsid w:val="002D3BB3"/>
    <w:rsid w:val="002D571A"/>
    <w:rsid w:val="002D6470"/>
    <w:rsid w:val="002D647B"/>
    <w:rsid w:val="002D64B5"/>
    <w:rsid w:val="002D6F80"/>
    <w:rsid w:val="002D78FE"/>
    <w:rsid w:val="002E0079"/>
    <w:rsid w:val="002E0DF4"/>
    <w:rsid w:val="002E0ED9"/>
    <w:rsid w:val="002E11FE"/>
    <w:rsid w:val="002E1B49"/>
    <w:rsid w:val="002E1DDA"/>
    <w:rsid w:val="002E1F51"/>
    <w:rsid w:val="002E25DE"/>
    <w:rsid w:val="002E2DC1"/>
    <w:rsid w:val="002E3FAC"/>
    <w:rsid w:val="002E404A"/>
    <w:rsid w:val="002E4196"/>
    <w:rsid w:val="002E5F45"/>
    <w:rsid w:val="002E5F5E"/>
    <w:rsid w:val="002E5F99"/>
    <w:rsid w:val="002E5FFC"/>
    <w:rsid w:val="002E6723"/>
    <w:rsid w:val="002E747F"/>
    <w:rsid w:val="002E77A7"/>
    <w:rsid w:val="002E79C1"/>
    <w:rsid w:val="002E7B68"/>
    <w:rsid w:val="002F071B"/>
    <w:rsid w:val="002F13C2"/>
    <w:rsid w:val="002F2630"/>
    <w:rsid w:val="002F3485"/>
    <w:rsid w:val="002F3869"/>
    <w:rsid w:val="002F4769"/>
    <w:rsid w:val="002F4D44"/>
    <w:rsid w:val="002F5D2B"/>
    <w:rsid w:val="002F604C"/>
    <w:rsid w:val="002F7A12"/>
    <w:rsid w:val="00300121"/>
    <w:rsid w:val="00300BB3"/>
    <w:rsid w:val="00300BDD"/>
    <w:rsid w:val="00302074"/>
    <w:rsid w:val="003020E9"/>
    <w:rsid w:val="00302778"/>
    <w:rsid w:val="0030539D"/>
    <w:rsid w:val="003053AB"/>
    <w:rsid w:val="00305915"/>
    <w:rsid w:val="00306A63"/>
    <w:rsid w:val="0031004B"/>
    <w:rsid w:val="003105C2"/>
    <w:rsid w:val="00310AC6"/>
    <w:rsid w:val="00310AF4"/>
    <w:rsid w:val="00310D27"/>
    <w:rsid w:val="00310D76"/>
    <w:rsid w:val="00311026"/>
    <w:rsid w:val="003115F5"/>
    <w:rsid w:val="003132A4"/>
    <w:rsid w:val="0031377C"/>
    <w:rsid w:val="00315C5A"/>
    <w:rsid w:val="003167F6"/>
    <w:rsid w:val="00316D0B"/>
    <w:rsid w:val="0031713E"/>
    <w:rsid w:val="00317202"/>
    <w:rsid w:val="00317545"/>
    <w:rsid w:val="00317929"/>
    <w:rsid w:val="00317F33"/>
    <w:rsid w:val="00320994"/>
    <w:rsid w:val="00321005"/>
    <w:rsid w:val="0032180A"/>
    <w:rsid w:val="00321E2A"/>
    <w:rsid w:val="00321EC8"/>
    <w:rsid w:val="003228A4"/>
    <w:rsid w:val="0032349D"/>
    <w:rsid w:val="0032376B"/>
    <w:rsid w:val="003237D8"/>
    <w:rsid w:val="003241A8"/>
    <w:rsid w:val="003255F9"/>
    <w:rsid w:val="003256E0"/>
    <w:rsid w:val="00326019"/>
    <w:rsid w:val="003263BB"/>
    <w:rsid w:val="00326807"/>
    <w:rsid w:val="00326B67"/>
    <w:rsid w:val="003300E6"/>
    <w:rsid w:val="00330322"/>
    <w:rsid w:val="00330517"/>
    <w:rsid w:val="00330B40"/>
    <w:rsid w:val="00330BE7"/>
    <w:rsid w:val="00331098"/>
    <w:rsid w:val="0033116B"/>
    <w:rsid w:val="003313F0"/>
    <w:rsid w:val="00331C68"/>
    <w:rsid w:val="0033318D"/>
    <w:rsid w:val="003338C8"/>
    <w:rsid w:val="00333C95"/>
    <w:rsid w:val="003340A1"/>
    <w:rsid w:val="00334657"/>
    <w:rsid w:val="00334B92"/>
    <w:rsid w:val="0033699C"/>
    <w:rsid w:val="00337DA2"/>
    <w:rsid w:val="00337E6B"/>
    <w:rsid w:val="00337F1F"/>
    <w:rsid w:val="003408D5"/>
    <w:rsid w:val="00340A6C"/>
    <w:rsid w:val="00340C1E"/>
    <w:rsid w:val="00340FAC"/>
    <w:rsid w:val="00341609"/>
    <w:rsid w:val="00342445"/>
    <w:rsid w:val="00342B82"/>
    <w:rsid w:val="003431CC"/>
    <w:rsid w:val="00343797"/>
    <w:rsid w:val="003446A9"/>
    <w:rsid w:val="00344C93"/>
    <w:rsid w:val="00344D72"/>
    <w:rsid w:val="003450EF"/>
    <w:rsid w:val="0034531E"/>
    <w:rsid w:val="00345954"/>
    <w:rsid w:val="003467EA"/>
    <w:rsid w:val="00346EDF"/>
    <w:rsid w:val="00347C76"/>
    <w:rsid w:val="003509BE"/>
    <w:rsid w:val="00350B68"/>
    <w:rsid w:val="00350D02"/>
    <w:rsid w:val="00350E9B"/>
    <w:rsid w:val="00350EFA"/>
    <w:rsid w:val="00351C63"/>
    <w:rsid w:val="0035228E"/>
    <w:rsid w:val="00352334"/>
    <w:rsid w:val="00352440"/>
    <w:rsid w:val="0035441D"/>
    <w:rsid w:val="00354B10"/>
    <w:rsid w:val="00355000"/>
    <w:rsid w:val="003555B3"/>
    <w:rsid w:val="00355740"/>
    <w:rsid w:val="00356F3F"/>
    <w:rsid w:val="003577B4"/>
    <w:rsid w:val="00357D48"/>
    <w:rsid w:val="00360646"/>
    <w:rsid w:val="0036115D"/>
    <w:rsid w:val="003618E1"/>
    <w:rsid w:val="00361B10"/>
    <w:rsid w:val="00362D2B"/>
    <w:rsid w:val="003635F3"/>
    <w:rsid w:val="003637DE"/>
    <w:rsid w:val="003643FE"/>
    <w:rsid w:val="00364868"/>
    <w:rsid w:val="0036488A"/>
    <w:rsid w:val="003655B2"/>
    <w:rsid w:val="0036751B"/>
    <w:rsid w:val="0037024E"/>
    <w:rsid w:val="0037042D"/>
    <w:rsid w:val="00370AFC"/>
    <w:rsid w:val="00371831"/>
    <w:rsid w:val="00371C0B"/>
    <w:rsid w:val="00371D9A"/>
    <w:rsid w:val="003723B2"/>
    <w:rsid w:val="00374BF5"/>
    <w:rsid w:val="0037617B"/>
    <w:rsid w:val="00376AB8"/>
    <w:rsid w:val="003772AF"/>
    <w:rsid w:val="00377BDD"/>
    <w:rsid w:val="0038042E"/>
    <w:rsid w:val="00380B9F"/>
    <w:rsid w:val="00380DAC"/>
    <w:rsid w:val="0038100F"/>
    <w:rsid w:val="0038188A"/>
    <w:rsid w:val="00383A7C"/>
    <w:rsid w:val="00383FA0"/>
    <w:rsid w:val="00384C11"/>
    <w:rsid w:val="00385F14"/>
    <w:rsid w:val="00386121"/>
    <w:rsid w:val="00386399"/>
    <w:rsid w:val="003869DA"/>
    <w:rsid w:val="00387181"/>
    <w:rsid w:val="00387210"/>
    <w:rsid w:val="00387304"/>
    <w:rsid w:val="00387330"/>
    <w:rsid w:val="00387B5D"/>
    <w:rsid w:val="00387E48"/>
    <w:rsid w:val="003905AF"/>
    <w:rsid w:val="003914EA"/>
    <w:rsid w:val="0039188E"/>
    <w:rsid w:val="00392761"/>
    <w:rsid w:val="00392873"/>
    <w:rsid w:val="00392FD2"/>
    <w:rsid w:val="00393231"/>
    <w:rsid w:val="0039352C"/>
    <w:rsid w:val="003936DC"/>
    <w:rsid w:val="003937AB"/>
    <w:rsid w:val="00393984"/>
    <w:rsid w:val="003945F3"/>
    <w:rsid w:val="00395B9C"/>
    <w:rsid w:val="00396203"/>
    <w:rsid w:val="00396FA5"/>
    <w:rsid w:val="003974BA"/>
    <w:rsid w:val="003A0696"/>
    <w:rsid w:val="003A072F"/>
    <w:rsid w:val="003A08B5"/>
    <w:rsid w:val="003A0B8B"/>
    <w:rsid w:val="003A0BC8"/>
    <w:rsid w:val="003A0E09"/>
    <w:rsid w:val="003A174A"/>
    <w:rsid w:val="003A1D9F"/>
    <w:rsid w:val="003A209C"/>
    <w:rsid w:val="003A25D9"/>
    <w:rsid w:val="003A2B68"/>
    <w:rsid w:val="003A40ED"/>
    <w:rsid w:val="003A44DE"/>
    <w:rsid w:val="003A4988"/>
    <w:rsid w:val="003A5C35"/>
    <w:rsid w:val="003A621C"/>
    <w:rsid w:val="003A6DFB"/>
    <w:rsid w:val="003A7570"/>
    <w:rsid w:val="003A7D81"/>
    <w:rsid w:val="003A7F34"/>
    <w:rsid w:val="003B0455"/>
    <w:rsid w:val="003B0623"/>
    <w:rsid w:val="003B0E68"/>
    <w:rsid w:val="003B0EFD"/>
    <w:rsid w:val="003B15C5"/>
    <w:rsid w:val="003B2402"/>
    <w:rsid w:val="003B2C15"/>
    <w:rsid w:val="003B2DFB"/>
    <w:rsid w:val="003B3558"/>
    <w:rsid w:val="003B37D2"/>
    <w:rsid w:val="003B3804"/>
    <w:rsid w:val="003B3DCC"/>
    <w:rsid w:val="003B4DC0"/>
    <w:rsid w:val="003B5665"/>
    <w:rsid w:val="003B6847"/>
    <w:rsid w:val="003B7108"/>
    <w:rsid w:val="003B7599"/>
    <w:rsid w:val="003B7D65"/>
    <w:rsid w:val="003B7F5E"/>
    <w:rsid w:val="003C07CC"/>
    <w:rsid w:val="003C1189"/>
    <w:rsid w:val="003C1592"/>
    <w:rsid w:val="003C20FB"/>
    <w:rsid w:val="003C2B57"/>
    <w:rsid w:val="003C3574"/>
    <w:rsid w:val="003C38E8"/>
    <w:rsid w:val="003C420C"/>
    <w:rsid w:val="003C4459"/>
    <w:rsid w:val="003C45D8"/>
    <w:rsid w:val="003C4F77"/>
    <w:rsid w:val="003C5343"/>
    <w:rsid w:val="003C7438"/>
    <w:rsid w:val="003C7913"/>
    <w:rsid w:val="003C7C5B"/>
    <w:rsid w:val="003D03EB"/>
    <w:rsid w:val="003D0E1D"/>
    <w:rsid w:val="003D16BC"/>
    <w:rsid w:val="003D219E"/>
    <w:rsid w:val="003D26AF"/>
    <w:rsid w:val="003D29C1"/>
    <w:rsid w:val="003D2F0A"/>
    <w:rsid w:val="003D385C"/>
    <w:rsid w:val="003D4014"/>
    <w:rsid w:val="003D41F7"/>
    <w:rsid w:val="003D45B0"/>
    <w:rsid w:val="003D47DC"/>
    <w:rsid w:val="003D4AC8"/>
    <w:rsid w:val="003D6C82"/>
    <w:rsid w:val="003D6E7D"/>
    <w:rsid w:val="003D7E24"/>
    <w:rsid w:val="003E0279"/>
    <w:rsid w:val="003E0746"/>
    <w:rsid w:val="003E15BB"/>
    <w:rsid w:val="003E18E3"/>
    <w:rsid w:val="003E20CA"/>
    <w:rsid w:val="003E2C14"/>
    <w:rsid w:val="003E2CC9"/>
    <w:rsid w:val="003E2F9B"/>
    <w:rsid w:val="003E3540"/>
    <w:rsid w:val="003E3F5A"/>
    <w:rsid w:val="003E4544"/>
    <w:rsid w:val="003E5519"/>
    <w:rsid w:val="003E561A"/>
    <w:rsid w:val="003E5BD4"/>
    <w:rsid w:val="003E5C99"/>
    <w:rsid w:val="003E6052"/>
    <w:rsid w:val="003E60D3"/>
    <w:rsid w:val="003F0068"/>
    <w:rsid w:val="003F085B"/>
    <w:rsid w:val="003F0DE1"/>
    <w:rsid w:val="003F0E30"/>
    <w:rsid w:val="003F0E35"/>
    <w:rsid w:val="003F0F2B"/>
    <w:rsid w:val="003F15BE"/>
    <w:rsid w:val="003F183E"/>
    <w:rsid w:val="003F1AAD"/>
    <w:rsid w:val="003F1D39"/>
    <w:rsid w:val="003F3532"/>
    <w:rsid w:val="003F38E9"/>
    <w:rsid w:val="003F5B4D"/>
    <w:rsid w:val="003F6276"/>
    <w:rsid w:val="003F628C"/>
    <w:rsid w:val="003F6951"/>
    <w:rsid w:val="003F7769"/>
    <w:rsid w:val="0040110E"/>
    <w:rsid w:val="00401341"/>
    <w:rsid w:val="00401699"/>
    <w:rsid w:val="00401AD7"/>
    <w:rsid w:val="00401B63"/>
    <w:rsid w:val="00401EA9"/>
    <w:rsid w:val="00402030"/>
    <w:rsid w:val="004021B9"/>
    <w:rsid w:val="004027DA"/>
    <w:rsid w:val="004033CB"/>
    <w:rsid w:val="004040FD"/>
    <w:rsid w:val="00404306"/>
    <w:rsid w:val="00405573"/>
    <w:rsid w:val="00405F64"/>
    <w:rsid w:val="00406286"/>
    <w:rsid w:val="004069C0"/>
    <w:rsid w:val="00406AD2"/>
    <w:rsid w:val="004072B2"/>
    <w:rsid w:val="0040736B"/>
    <w:rsid w:val="004074F4"/>
    <w:rsid w:val="004079C6"/>
    <w:rsid w:val="00407CEB"/>
    <w:rsid w:val="004100AE"/>
    <w:rsid w:val="00410130"/>
    <w:rsid w:val="00410BE1"/>
    <w:rsid w:val="00411853"/>
    <w:rsid w:val="00411E54"/>
    <w:rsid w:val="00412FF5"/>
    <w:rsid w:val="00413130"/>
    <w:rsid w:val="004131A7"/>
    <w:rsid w:val="00413BB5"/>
    <w:rsid w:val="00413F73"/>
    <w:rsid w:val="00413F95"/>
    <w:rsid w:val="004140BF"/>
    <w:rsid w:val="0041581D"/>
    <w:rsid w:val="00415FB4"/>
    <w:rsid w:val="004161D8"/>
    <w:rsid w:val="004169A8"/>
    <w:rsid w:val="00417356"/>
    <w:rsid w:val="004217E9"/>
    <w:rsid w:val="00421A5D"/>
    <w:rsid w:val="004232E1"/>
    <w:rsid w:val="00423A81"/>
    <w:rsid w:val="00424311"/>
    <w:rsid w:val="00424852"/>
    <w:rsid w:val="00424DA6"/>
    <w:rsid w:val="00425355"/>
    <w:rsid w:val="0042622E"/>
    <w:rsid w:val="0042666C"/>
    <w:rsid w:val="00426778"/>
    <w:rsid w:val="00426DE2"/>
    <w:rsid w:val="00427026"/>
    <w:rsid w:val="00427D8D"/>
    <w:rsid w:val="00430116"/>
    <w:rsid w:val="004319B3"/>
    <w:rsid w:val="00432E04"/>
    <w:rsid w:val="00432F50"/>
    <w:rsid w:val="00432FDE"/>
    <w:rsid w:val="0043316D"/>
    <w:rsid w:val="004331CB"/>
    <w:rsid w:val="0043427A"/>
    <w:rsid w:val="004345DC"/>
    <w:rsid w:val="00435584"/>
    <w:rsid w:val="00435B95"/>
    <w:rsid w:val="00436A9E"/>
    <w:rsid w:val="00437D1F"/>
    <w:rsid w:val="004402B6"/>
    <w:rsid w:val="004405C3"/>
    <w:rsid w:val="004407E7"/>
    <w:rsid w:val="00440DFC"/>
    <w:rsid w:val="00441342"/>
    <w:rsid w:val="0044181B"/>
    <w:rsid w:val="00442DA1"/>
    <w:rsid w:val="00444197"/>
    <w:rsid w:val="004448A7"/>
    <w:rsid w:val="00445433"/>
    <w:rsid w:val="00445720"/>
    <w:rsid w:val="00445889"/>
    <w:rsid w:val="00446080"/>
    <w:rsid w:val="0044649B"/>
    <w:rsid w:val="004464B0"/>
    <w:rsid w:val="00446DCD"/>
    <w:rsid w:val="0045003F"/>
    <w:rsid w:val="0045036B"/>
    <w:rsid w:val="00450B57"/>
    <w:rsid w:val="0045180C"/>
    <w:rsid w:val="00451BDE"/>
    <w:rsid w:val="00451C87"/>
    <w:rsid w:val="00453B48"/>
    <w:rsid w:val="00454C9E"/>
    <w:rsid w:val="00455547"/>
    <w:rsid w:val="004556EB"/>
    <w:rsid w:val="00455721"/>
    <w:rsid w:val="00455B19"/>
    <w:rsid w:val="00455DF4"/>
    <w:rsid w:val="004560D8"/>
    <w:rsid w:val="0045650E"/>
    <w:rsid w:val="004575D4"/>
    <w:rsid w:val="0046069E"/>
    <w:rsid w:val="004613AF"/>
    <w:rsid w:val="00461D75"/>
    <w:rsid w:val="00461E8F"/>
    <w:rsid w:val="00461F60"/>
    <w:rsid w:val="00462269"/>
    <w:rsid w:val="004622D9"/>
    <w:rsid w:val="00464FB9"/>
    <w:rsid w:val="00465E8E"/>
    <w:rsid w:val="00465EAA"/>
    <w:rsid w:val="0046617B"/>
    <w:rsid w:val="0046669F"/>
    <w:rsid w:val="00466B55"/>
    <w:rsid w:val="00466FB4"/>
    <w:rsid w:val="0046765F"/>
    <w:rsid w:val="00467960"/>
    <w:rsid w:val="004709F7"/>
    <w:rsid w:val="00470C34"/>
    <w:rsid w:val="00471568"/>
    <w:rsid w:val="00471E42"/>
    <w:rsid w:val="00472556"/>
    <w:rsid w:val="00472697"/>
    <w:rsid w:val="0047290C"/>
    <w:rsid w:val="004729C1"/>
    <w:rsid w:val="004731FA"/>
    <w:rsid w:val="004734D1"/>
    <w:rsid w:val="004737C6"/>
    <w:rsid w:val="00473D9E"/>
    <w:rsid w:val="00477002"/>
    <w:rsid w:val="00477F5F"/>
    <w:rsid w:val="004803A3"/>
    <w:rsid w:val="0048050C"/>
    <w:rsid w:val="00481557"/>
    <w:rsid w:val="004822FF"/>
    <w:rsid w:val="004829C1"/>
    <w:rsid w:val="004838B9"/>
    <w:rsid w:val="004848C2"/>
    <w:rsid w:val="00484B22"/>
    <w:rsid w:val="00484B79"/>
    <w:rsid w:val="00484D17"/>
    <w:rsid w:val="00485A52"/>
    <w:rsid w:val="00486129"/>
    <w:rsid w:val="00486B06"/>
    <w:rsid w:val="004877C8"/>
    <w:rsid w:val="004900CA"/>
    <w:rsid w:val="00490375"/>
    <w:rsid w:val="0049157B"/>
    <w:rsid w:val="00491AE8"/>
    <w:rsid w:val="00491C15"/>
    <w:rsid w:val="004923C8"/>
    <w:rsid w:val="004929AB"/>
    <w:rsid w:val="00493A2F"/>
    <w:rsid w:val="00493BC3"/>
    <w:rsid w:val="00494686"/>
    <w:rsid w:val="00495F4B"/>
    <w:rsid w:val="0049658A"/>
    <w:rsid w:val="00496D7C"/>
    <w:rsid w:val="00497944"/>
    <w:rsid w:val="00497B94"/>
    <w:rsid w:val="004A04A2"/>
    <w:rsid w:val="004A0FCC"/>
    <w:rsid w:val="004A133C"/>
    <w:rsid w:val="004A1374"/>
    <w:rsid w:val="004A1486"/>
    <w:rsid w:val="004A1DE9"/>
    <w:rsid w:val="004A1E2E"/>
    <w:rsid w:val="004A25BE"/>
    <w:rsid w:val="004A281A"/>
    <w:rsid w:val="004A3E5D"/>
    <w:rsid w:val="004A4D00"/>
    <w:rsid w:val="004A5B4A"/>
    <w:rsid w:val="004A5BC9"/>
    <w:rsid w:val="004A5E3C"/>
    <w:rsid w:val="004A6B4E"/>
    <w:rsid w:val="004A738E"/>
    <w:rsid w:val="004A73DA"/>
    <w:rsid w:val="004A73DC"/>
    <w:rsid w:val="004B0570"/>
    <w:rsid w:val="004B166A"/>
    <w:rsid w:val="004B1F15"/>
    <w:rsid w:val="004B3C8E"/>
    <w:rsid w:val="004B4614"/>
    <w:rsid w:val="004B47B7"/>
    <w:rsid w:val="004B48C5"/>
    <w:rsid w:val="004B491E"/>
    <w:rsid w:val="004B4E05"/>
    <w:rsid w:val="004B504B"/>
    <w:rsid w:val="004B59D0"/>
    <w:rsid w:val="004B6BB3"/>
    <w:rsid w:val="004B6C63"/>
    <w:rsid w:val="004B6DBD"/>
    <w:rsid w:val="004B7253"/>
    <w:rsid w:val="004B7452"/>
    <w:rsid w:val="004B7AD0"/>
    <w:rsid w:val="004B7EC6"/>
    <w:rsid w:val="004B7F3D"/>
    <w:rsid w:val="004C10BA"/>
    <w:rsid w:val="004C15F5"/>
    <w:rsid w:val="004C166A"/>
    <w:rsid w:val="004C16B5"/>
    <w:rsid w:val="004C25D6"/>
    <w:rsid w:val="004C2B59"/>
    <w:rsid w:val="004C2FAA"/>
    <w:rsid w:val="004C3739"/>
    <w:rsid w:val="004C481C"/>
    <w:rsid w:val="004C4AA7"/>
    <w:rsid w:val="004C5649"/>
    <w:rsid w:val="004C5753"/>
    <w:rsid w:val="004C5A66"/>
    <w:rsid w:val="004C5C6B"/>
    <w:rsid w:val="004C79B3"/>
    <w:rsid w:val="004D1823"/>
    <w:rsid w:val="004D1CAC"/>
    <w:rsid w:val="004D2CFB"/>
    <w:rsid w:val="004D31DA"/>
    <w:rsid w:val="004D4A3E"/>
    <w:rsid w:val="004D54D6"/>
    <w:rsid w:val="004D56FC"/>
    <w:rsid w:val="004D5D0A"/>
    <w:rsid w:val="004D5D43"/>
    <w:rsid w:val="004D682B"/>
    <w:rsid w:val="004D7A8D"/>
    <w:rsid w:val="004D7B0B"/>
    <w:rsid w:val="004E0DDD"/>
    <w:rsid w:val="004E0E73"/>
    <w:rsid w:val="004E1598"/>
    <w:rsid w:val="004E223B"/>
    <w:rsid w:val="004E29D6"/>
    <w:rsid w:val="004E3354"/>
    <w:rsid w:val="004E3641"/>
    <w:rsid w:val="004E48B9"/>
    <w:rsid w:val="004E6A5C"/>
    <w:rsid w:val="004E6B70"/>
    <w:rsid w:val="004E6C02"/>
    <w:rsid w:val="004E6DDF"/>
    <w:rsid w:val="004E75F7"/>
    <w:rsid w:val="004F032D"/>
    <w:rsid w:val="004F1C41"/>
    <w:rsid w:val="004F1DEE"/>
    <w:rsid w:val="004F1E23"/>
    <w:rsid w:val="004F2F59"/>
    <w:rsid w:val="004F34AB"/>
    <w:rsid w:val="004F3B09"/>
    <w:rsid w:val="004F3B4C"/>
    <w:rsid w:val="004F43AC"/>
    <w:rsid w:val="004F4925"/>
    <w:rsid w:val="004F5194"/>
    <w:rsid w:val="004F5618"/>
    <w:rsid w:val="004F561F"/>
    <w:rsid w:val="004F5F19"/>
    <w:rsid w:val="004F6A4D"/>
    <w:rsid w:val="004F6A89"/>
    <w:rsid w:val="004F73D3"/>
    <w:rsid w:val="004F7757"/>
    <w:rsid w:val="004F7BC2"/>
    <w:rsid w:val="00501775"/>
    <w:rsid w:val="00504208"/>
    <w:rsid w:val="005055E8"/>
    <w:rsid w:val="00506276"/>
    <w:rsid w:val="00506B3E"/>
    <w:rsid w:val="0050725A"/>
    <w:rsid w:val="00510EDB"/>
    <w:rsid w:val="005110F3"/>
    <w:rsid w:val="005112F5"/>
    <w:rsid w:val="00511999"/>
    <w:rsid w:val="00511ACA"/>
    <w:rsid w:val="00511F73"/>
    <w:rsid w:val="0051266B"/>
    <w:rsid w:val="005126E2"/>
    <w:rsid w:val="0051290D"/>
    <w:rsid w:val="005139BF"/>
    <w:rsid w:val="00513E12"/>
    <w:rsid w:val="005141ED"/>
    <w:rsid w:val="00514F1D"/>
    <w:rsid w:val="00515BD5"/>
    <w:rsid w:val="00516C16"/>
    <w:rsid w:val="0051708E"/>
    <w:rsid w:val="005205E7"/>
    <w:rsid w:val="00520648"/>
    <w:rsid w:val="00521489"/>
    <w:rsid w:val="00521A22"/>
    <w:rsid w:val="005239C6"/>
    <w:rsid w:val="0052470C"/>
    <w:rsid w:val="00525475"/>
    <w:rsid w:val="00525CA5"/>
    <w:rsid w:val="005265CD"/>
    <w:rsid w:val="00526E10"/>
    <w:rsid w:val="00531880"/>
    <w:rsid w:val="00531C6A"/>
    <w:rsid w:val="00531E06"/>
    <w:rsid w:val="00532529"/>
    <w:rsid w:val="005325F3"/>
    <w:rsid w:val="00532BE7"/>
    <w:rsid w:val="00532F03"/>
    <w:rsid w:val="00533846"/>
    <w:rsid w:val="00533C82"/>
    <w:rsid w:val="0053403D"/>
    <w:rsid w:val="005357A0"/>
    <w:rsid w:val="00535EB6"/>
    <w:rsid w:val="005369FA"/>
    <w:rsid w:val="00537111"/>
    <w:rsid w:val="005373F1"/>
    <w:rsid w:val="005421E6"/>
    <w:rsid w:val="00542F09"/>
    <w:rsid w:val="00542F1F"/>
    <w:rsid w:val="00543C81"/>
    <w:rsid w:val="00543F22"/>
    <w:rsid w:val="00544FBB"/>
    <w:rsid w:val="005455D9"/>
    <w:rsid w:val="0054619D"/>
    <w:rsid w:val="005464B4"/>
    <w:rsid w:val="005469DC"/>
    <w:rsid w:val="00546CB3"/>
    <w:rsid w:val="0054713E"/>
    <w:rsid w:val="005473C1"/>
    <w:rsid w:val="00551BC7"/>
    <w:rsid w:val="00552EC1"/>
    <w:rsid w:val="005532BB"/>
    <w:rsid w:val="00553F34"/>
    <w:rsid w:val="00554A78"/>
    <w:rsid w:val="0055500F"/>
    <w:rsid w:val="005553CC"/>
    <w:rsid w:val="005553D4"/>
    <w:rsid w:val="00555D65"/>
    <w:rsid w:val="005560D9"/>
    <w:rsid w:val="00556340"/>
    <w:rsid w:val="00556DC2"/>
    <w:rsid w:val="0055713C"/>
    <w:rsid w:val="005575FE"/>
    <w:rsid w:val="00560672"/>
    <w:rsid w:val="0056353C"/>
    <w:rsid w:val="005639A8"/>
    <w:rsid w:val="00564251"/>
    <w:rsid w:val="005643BE"/>
    <w:rsid w:val="0056513A"/>
    <w:rsid w:val="0056533E"/>
    <w:rsid w:val="005660D5"/>
    <w:rsid w:val="00566C28"/>
    <w:rsid w:val="00566E38"/>
    <w:rsid w:val="0056759E"/>
    <w:rsid w:val="00567626"/>
    <w:rsid w:val="005702DB"/>
    <w:rsid w:val="005702E4"/>
    <w:rsid w:val="00570817"/>
    <w:rsid w:val="00570F73"/>
    <w:rsid w:val="005719CE"/>
    <w:rsid w:val="00571A41"/>
    <w:rsid w:val="00572D66"/>
    <w:rsid w:val="00572DB1"/>
    <w:rsid w:val="00573269"/>
    <w:rsid w:val="00573688"/>
    <w:rsid w:val="00573755"/>
    <w:rsid w:val="00573E41"/>
    <w:rsid w:val="00574499"/>
    <w:rsid w:val="00574814"/>
    <w:rsid w:val="00575179"/>
    <w:rsid w:val="005757E8"/>
    <w:rsid w:val="00576B00"/>
    <w:rsid w:val="005813A9"/>
    <w:rsid w:val="00581715"/>
    <w:rsid w:val="00581AE3"/>
    <w:rsid w:val="00581FA3"/>
    <w:rsid w:val="0058297A"/>
    <w:rsid w:val="005834F9"/>
    <w:rsid w:val="00583A10"/>
    <w:rsid w:val="00583C60"/>
    <w:rsid w:val="00583E33"/>
    <w:rsid w:val="00584582"/>
    <w:rsid w:val="00585DCD"/>
    <w:rsid w:val="005879D7"/>
    <w:rsid w:val="005904F9"/>
    <w:rsid w:val="00591092"/>
    <w:rsid w:val="00593550"/>
    <w:rsid w:val="0059484D"/>
    <w:rsid w:val="00595733"/>
    <w:rsid w:val="00595A1D"/>
    <w:rsid w:val="00595BF7"/>
    <w:rsid w:val="00595EB4"/>
    <w:rsid w:val="00596F33"/>
    <w:rsid w:val="00597145"/>
    <w:rsid w:val="00597A03"/>
    <w:rsid w:val="005A0775"/>
    <w:rsid w:val="005A0FFA"/>
    <w:rsid w:val="005A1451"/>
    <w:rsid w:val="005A1A32"/>
    <w:rsid w:val="005A1E29"/>
    <w:rsid w:val="005A2562"/>
    <w:rsid w:val="005A3255"/>
    <w:rsid w:val="005A4126"/>
    <w:rsid w:val="005A510F"/>
    <w:rsid w:val="005A5432"/>
    <w:rsid w:val="005A6C3A"/>
    <w:rsid w:val="005A7648"/>
    <w:rsid w:val="005A77FA"/>
    <w:rsid w:val="005A7AFB"/>
    <w:rsid w:val="005B01A7"/>
    <w:rsid w:val="005B06AF"/>
    <w:rsid w:val="005B1204"/>
    <w:rsid w:val="005B122C"/>
    <w:rsid w:val="005B1844"/>
    <w:rsid w:val="005B1A17"/>
    <w:rsid w:val="005B1A3E"/>
    <w:rsid w:val="005B205A"/>
    <w:rsid w:val="005B22A5"/>
    <w:rsid w:val="005B307D"/>
    <w:rsid w:val="005B42E7"/>
    <w:rsid w:val="005B4313"/>
    <w:rsid w:val="005B4D09"/>
    <w:rsid w:val="005B5C7B"/>
    <w:rsid w:val="005B6220"/>
    <w:rsid w:val="005B6AAC"/>
    <w:rsid w:val="005B6E1A"/>
    <w:rsid w:val="005B7F07"/>
    <w:rsid w:val="005C0714"/>
    <w:rsid w:val="005C15DD"/>
    <w:rsid w:val="005C1A80"/>
    <w:rsid w:val="005C1B78"/>
    <w:rsid w:val="005C2524"/>
    <w:rsid w:val="005C2623"/>
    <w:rsid w:val="005C2639"/>
    <w:rsid w:val="005C3058"/>
    <w:rsid w:val="005C31ED"/>
    <w:rsid w:val="005C32AE"/>
    <w:rsid w:val="005C363E"/>
    <w:rsid w:val="005C458B"/>
    <w:rsid w:val="005C4B6C"/>
    <w:rsid w:val="005C4F86"/>
    <w:rsid w:val="005C5E79"/>
    <w:rsid w:val="005C61B9"/>
    <w:rsid w:val="005C655B"/>
    <w:rsid w:val="005C6B44"/>
    <w:rsid w:val="005C7734"/>
    <w:rsid w:val="005C7EC5"/>
    <w:rsid w:val="005D0932"/>
    <w:rsid w:val="005D0C31"/>
    <w:rsid w:val="005D171E"/>
    <w:rsid w:val="005D183A"/>
    <w:rsid w:val="005D1CBF"/>
    <w:rsid w:val="005D3259"/>
    <w:rsid w:val="005D3EAF"/>
    <w:rsid w:val="005D496C"/>
    <w:rsid w:val="005D5280"/>
    <w:rsid w:val="005D54A6"/>
    <w:rsid w:val="005D59BF"/>
    <w:rsid w:val="005D5D53"/>
    <w:rsid w:val="005D6E89"/>
    <w:rsid w:val="005E0509"/>
    <w:rsid w:val="005E172E"/>
    <w:rsid w:val="005E2D6C"/>
    <w:rsid w:val="005E2F38"/>
    <w:rsid w:val="005E3902"/>
    <w:rsid w:val="005E4806"/>
    <w:rsid w:val="005E4D5F"/>
    <w:rsid w:val="005E52DE"/>
    <w:rsid w:val="005E5374"/>
    <w:rsid w:val="005E606C"/>
    <w:rsid w:val="005E65E8"/>
    <w:rsid w:val="005E7959"/>
    <w:rsid w:val="005E7B1C"/>
    <w:rsid w:val="005F02EE"/>
    <w:rsid w:val="005F174F"/>
    <w:rsid w:val="005F20DE"/>
    <w:rsid w:val="005F306C"/>
    <w:rsid w:val="005F32A7"/>
    <w:rsid w:val="005F3AEE"/>
    <w:rsid w:val="005F3D74"/>
    <w:rsid w:val="005F3F5C"/>
    <w:rsid w:val="005F4670"/>
    <w:rsid w:val="005F499F"/>
    <w:rsid w:val="005F4A0C"/>
    <w:rsid w:val="005F4C0A"/>
    <w:rsid w:val="005F4E18"/>
    <w:rsid w:val="005F529A"/>
    <w:rsid w:val="005F5426"/>
    <w:rsid w:val="005F5907"/>
    <w:rsid w:val="005F72CE"/>
    <w:rsid w:val="005F7B62"/>
    <w:rsid w:val="006000A4"/>
    <w:rsid w:val="006000FD"/>
    <w:rsid w:val="006003C1"/>
    <w:rsid w:val="00600518"/>
    <w:rsid w:val="00601C36"/>
    <w:rsid w:val="00601CD3"/>
    <w:rsid w:val="00601DA9"/>
    <w:rsid w:val="0060224E"/>
    <w:rsid w:val="00602ECB"/>
    <w:rsid w:val="00604079"/>
    <w:rsid w:val="00604794"/>
    <w:rsid w:val="006062FC"/>
    <w:rsid w:val="00607123"/>
    <w:rsid w:val="00607596"/>
    <w:rsid w:val="00610146"/>
    <w:rsid w:val="00610449"/>
    <w:rsid w:val="006106D9"/>
    <w:rsid w:val="0061213B"/>
    <w:rsid w:val="006123BA"/>
    <w:rsid w:val="00612609"/>
    <w:rsid w:val="0061274E"/>
    <w:rsid w:val="00612898"/>
    <w:rsid w:val="00612CB2"/>
    <w:rsid w:val="00612CE3"/>
    <w:rsid w:val="00613EA1"/>
    <w:rsid w:val="0061411D"/>
    <w:rsid w:val="0061425F"/>
    <w:rsid w:val="00615851"/>
    <w:rsid w:val="006160EF"/>
    <w:rsid w:val="006165A4"/>
    <w:rsid w:val="00616A3C"/>
    <w:rsid w:val="00616A4D"/>
    <w:rsid w:val="00616B86"/>
    <w:rsid w:val="00616DF8"/>
    <w:rsid w:val="006173F8"/>
    <w:rsid w:val="0061761C"/>
    <w:rsid w:val="0061763A"/>
    <w:rsid w:val="00617837"/>
    <w:rsid w:val="00617BB5"/>
    <w:rsid w:val="00617F21"/>
    <w:rsid w:val="0062158F"/>
    <w:rsid w:val="00621987"/>
    <w:rsid w:val="00621A99"/>
    <w:rsid w:val="00621C67"/>
    <w:rsid w:val="00621D4F"/>
    <w:rsid w:val="00622E4C"/>
    <w:rsid w:val="0062553A"/>
    <w:rsid w:val="006256FE"/>
    <w:rsid w:val="00625BC0"/>
    <w:rsid w:val="006260DA"/>
    <w:rsid w:val="006266C4"/>
    <w:rsid w:val="00626E44"/>
    <w:rsid w:val="00626E6A"/>
    <w:rsid w:val="00626E74"/>
    <w:rsid w:val="00630AD0"/>
    <w:rsid w:val="00630C79"/>
    <w:rsid w:val="00631070"/>
    <w:rsid w:val="00631AB0"/>
    <w:rsid w:val="00632402"/>
    <w:rsid w:val="00632B63"/>
    <w:rsid w:val="00633058"/>
    <w:rsid w:val="00633185"/>
    <w:rsid w:val="0063392E"/>
    <w:rsid w:val="00633FEA"/>
    <w:rsid w:val="00634608"/>
    <w:rsid w:val="006349F0"/>
    <w:rsid w:val="00635041"/>
    <w:rsid w:val="00635489"/>
    <w:rsid w:val="00635A82"/>
    <w:rsid w:val="00636552"/>
    <w:rsid w:val="00636576"/>
    <w:rsid w:val="0063679E"/>
    <w:rsid w:val="00640604"/>
    <w:rsid w:val="00640C56"/>
    <w:rsid w:val="0064118C"/>
    <w:rsid w:val="00642874"/>
    <w:rsid w:val="00642F50"/>
    <w:rsid w:val="00643447"/>
    <w:rsid w:val="00643B97"/>
    <w:rsid w:val="006441EB"/>
    <w:rsid w:val="00644B49"/>
    <w:rsid w:val="006501C3"/>
    <w:rsid w:val="0065148C"/>
    <w:rsid w:val="00651C36"/>
    <w:rsid w:val="00653639"/>
    <w:rsid w:val="006539F7"/>
    <w:rsid w:val="00653B48"/>
    <w:rsid w:val="00653F5A"/>
    <w:rsid w:val="00654476"/>
    <w:rsid w:val="00655F43"/>
    <w:rsid w:val="00656018"/>
    <w:rsid w:val="00656D51"/>
    <w:rsid w:val="0065724B"/>
    <w:rsid w:val="0066136D"/>
    <w:rsid w:val="006616EF"/>
    <w:rsid w:val="00661734"/>
    <w:rsid w:val="00661EC6"/>
    <w:rsid w:val="006629D0"/>
    <w:rsid w:val="006637C6"/>
    <w:rsid w:val="00663E62"/>
    <w:rsid w:val="006642BA"/>
    <w:rsid w:val="0066471F"/>
    <w:rsid w:val="00664B4F"/>
    <w:rsid w:val="00666B93"/>
    <w:rsid w:val="006703E0"/>
    <w:rsid w:val="00671244"/>
    <w:rsid w:val="0067154C"/>
    <w:rsid w:val="00672200"/>
    <w:rsid w:val="006723DE"/>
    <w:rsid w:val="00672636"/>
    <w:rsid w:val="0067272B"/>
    <w:rsid w:val="00672CE1"/>
    <w:rsid w:val="0067339B"/>
    <w:rsid w:val="0067385B"/>
    <w:rsid w:val="00673B35"/>
    <w:rsid w:val="00673C53"/>
    <w:rsid w:val="00674692"/>
    <w:rsid w:val="00674AF8"/>
    <w:rsid w:val="00674FE7"/>
    <w:rsid w:val="00676174"/>
    <w:rsid w:val="00676909"/>
    <w:rsid w:val="0067739A"/>
    <w:rsid w:val="00677B99"/>
    <w:rsid w:val="00680576"/>
    <w:rsid w:val="00680895"/>
    <w:rsid w:val="006812EF"/>
    <w:rsid w:val="00681E6D"/>
    <w:rsid w:val="0068230F"/>
    <w:rsid w:val="0068314E"/>
    <w:rsid w:val="006838C7"/>
    <w:rsid w:val="00683A70"/>
    <w:rsid w:val="00683EEC"/>
    <w:rsid w:val="00684672"/>
    <w:rsid w:val="006849FE"/>
    <w:rsid w:val="00684C11"/>
    <w:rsid w:val="0068538A"/>
    <w:rsid w:val="00685A92"/>
    <w:rsid w:val="006862A2"/>
    <w:rsid w:val="0068666E"/>
    <w:rsid w:val="0068710B"/>
    <w:rsid w:val="00687DDF"/>
    <w:rsid w:val="00691340"/>
    <w:rsid w:val="006925F0"/>
    <w:rsid w:val="006934FA"/>
    <w:rsid w:val="0069351A"/>
    <w:rsid w:val="00693D36"/>
    <w:rsid w:val="00694A79"/>
    <w:rsid w:val="006954C2"/>
    <w:rsid w:val="0069588B"/>
    <w:rsid w:val="00695918"/>
    <w:rsid w:val="00697DF7"/>
    <w:rsid w:val="006A110F"/>
    <w:rsid w:val="006A16ED"/>
    <w:rsid w:val="006A2C55"/>
    <w:rsid w:val="006A3180"/>
    <w:rsid w:val="006A34CA"/>
    <w:rsid w:val="006A3E47"/>
    <w:rsid w:val="006A3E6C"/>
    <w:rsid w:val="006A4032"/>
    <w:rsid w:val="006A4062"/>
    <w:rsid w:val="006A493F"/>
    <w:rsid w:val="006A5519"/>
    <w:rsid w:val="006A559A"/>
    <w:rsid w:val="006A5635"/>
    <w:rsid w:val="006A59D0"/>
    <w:rsid w:val="006A606E"/>
    <w:rsid w:val="006B0607"/>
    <w:rsid w:val="006B1586"/>
    <w:rsid w:val="006B2127"/>
    <w:rsid w:val="006B3B02"/>
    <w:rsid w:val="006B3E20"/>
    <w:rsid w:val="006B4469"/>
    <w:rsid w:val="006B4526"/>
    <w:rsid w:val="006B4B75"/>
    <w:rsid w:val="006B4CD1"/>
    <w:rsid w:val="006B4D58"/>
    <w:rsid w:val="006B6046"/>
    <w:rsid w:val="006B7B72"/>
    <w:rsid w:val="006B7CB4"/>
    <w:rsid w:val="006C0021"/>
    <w:rsid w:val="006C01BF"/>
    <w:rsid w:val="006C050F"/>
    <w:rsid w:val="006C0704"/>
    <w:rsid w:val="006C0C76"/>
    <w:rsid w:val="006C0DF8"/>
    <w:rsid w:val="006C1744"/>
    <w:rsid w:val="006C1801"/>
    <w:rsid w:val="006C1C45"/>
    <w:rsid w:val="006C2357"/>
    <w:rsid w:val="006C2C47"/>
    <w:rsid w:val="006C2CE2"/>
    <w:rsid w:val="006C376C"/>
    <w:rsid w:val="006C3CA4"/>
    <w:rsid w:val="006C41E0"/>
    <w:rsid w:val="006C4393"/>
    <w:rsid w:val="006C4FB0"/>
    <w:rsid w:val="006C51BB"/>
    <w:rsid w:val="006C55FB"/>
    <w:rsid w:val="006C6524"/>
    <w:rsid w:val="006C65AE"/>
    <w:rsid w:val="006C6C27"/>
    <w:rsid w:val="006D0020"/>
    <w:rsid w:val="006D0EEB"/>
    <w:rsid w:val="006D1FBA"/>
    <w:rsid w:val="006D25FE"/>
    <w:rsid w:val="006D3826"/>
    <w:rsid w:val="006D489D"/>
    <w:rsid w:val="006D4CBC"/>
    <w:rsid w:val="006D5026"/>
    <w:rsid w:val="006D50C6"/>
    <w:rsid w:val="006D55FE"/>
    <w:rsid w:val="006D5960"/>
    <w:rsid w:val="006D6965"/>
    <w:rsid w:val="006D7100"/>
    <w:rsid w:val="006D7509"/>
    <w:rsid w:val="006E0A0B"/>
    <w:rsid w:val="006E0F88"/>
    <w:rsid w:val="006E1218"/>
    <w:rsid w:val="006E1CE8"/>
    <w:rsid w:val="006E24ED"/>
    <w:rsid w:val="006E4070"/>
    <w:rsid w:val="006E43B3"/>
    <w:rsid w:val="006E4E48"/>
    <w:rsid w:val="006E4EF2"/>
    <w:rsid w:val="006E5FFC"/>
    <w:rsid w:val="006E6035"/>
    <w:rsid w:val="006E6050"/>
    <w:rsid w:val="006E69EB"/>
    <w:rsid w:val="006E6BF1"/>
    <w:rsid w:val="006E7E03"/>
    <w:rsid w:val="006F06C6"/>
    <w:rsid w:val="006F12DC"/>
    <w:rsid w:val="006F16C1"/>
    <w:rsid w:val="006F1777"/>
    <w:rsid w:val="006F18D2"/>
    <w:rsid w:val="006F2EB5"/>
    <w:rsid w:val="006F38EA"/>
    <w:rsid w:val="006F3B84"/>
    <w:rsid w:val="006F3B8A"/>
    <w:rsid w:val="006F4210"/>
    <w:rsid w:val="006F55F3"/>
    <w:rsid w:val="006F6AEB"/>
    <w:rsid w:val="006F726D"/>
    <w:rsid w:val="00700191"/>
    <w:rsid w:val="00700A3D"/>
    <w:rsid w:val="007015AB"/>
    <w:rsid w:val="00701BF9"/>
    <w:rsid w:val="00702503"/>
    <w:rsid w:val="007028C5"/>
    <w:rsid w:val="00703148"/>
    <w:rsid w:val="00703214"/>
    <w:rsid w:val="007039BA"/>
    <w:rsid w:val="007040E3"/>
    <w:rsid w:val="00704CF5"/>
    <w:rsid w:val="0070510E"/>
    <w:rsid w:val="00705417"/>
    <w:rsid w:val="00705847"/>
    <w:rsid w:val="00706008"/>
    <w:rsid w:val="0071084E"/>
    <w:rsid w:val="0071087F"/>
    <w:rsid w:val="00711B02"/>
    <w:rsid w:val="00713164"/>
    <w:rsid w:val="00713A3A"/>
    <w:rsid w:val="00713F4B"/>
    <w:rsid w:val="0071465F"/>
    <w:rsid w:val="00715022"/>
    <w:rsid w:val="007150C5"/>
    <w:rsid w:val="007150E0"/>
    <w:rsid w:val="00715254"/>
    <w:rsid w:val="00715308"/>
    <w:rsid w:val="00715DC9"/>
    <w:rsid w:val="00715E32"/>
    <w:rsid w:val="00716394"/>
    <w:rsid w:val="00716576"/>
    <w:rsid w:val="007165A3"/>
    <w:rsid w:val="00716E14"/>
    <w:rsid w:val="00717972"/>
    <w:rsid w:val="00717EB9"/>
    <w:rsid w:val="0072006B"/>
    <w:rsid w:val="0072052F"/>
    <w:rsid w:val="007221BC"/>
    <w:rsid w:val="00722524"/>
    <w:rsid w:val="0072268D"/>
    <w:rsid w:val="00722880"/>
    <w:rsid w:val="00722B74"/>
    <w:rsid w:val="00723DD5"/>
    <w:rsid w:val="00723E85"/>
    <w:rsid w:val="0072448B"/>
    <w:rsid w:val="00724552"/>
    <w:rsid w:val="007249D7"/>
    <w:rsid w:val="00725627"/>
    <w:rsid w:val="00726208"/>
    <w:rsid w:val="007263B8"/>
    <w:rsid w:val="007271E3"/>
    <w:rsid w:val="00727631"/>
    <w:rsid w:val="00727E15"/>
    <w:rsid w:val="00731378"/>
    <w:rsid w:val="0073138D"/>
    <w:rsid w:val="0073180D"/>
    <w:rsid w:val="00732BDE"/>
    <w:rsid w:val="00732CEF"/>
    <w:rsid w:val="00733ED4"/>
    <w:rsid w:val="007355C1"/>
    <w:rsid w:val="007357FC"/>
    <w:rsid w:val="00735CDB"/>
    <w:rsid w:val="00735DC4"/>
    <w:rsid w:val="0074042A"/>
    <w:rsid w:val="007406FA"/>
    <w:rsid w:val="00740807"/>
    <w:rsid w:val="00741F2E"/>
    <w:rsid w:val="00742207"/>
    <w:rsid w:val="00742E7D"/>
    <w:rsid w:val="00743022"/>
    <w:rsid w:val="00743C68"/>
    <w:rsid w:val="0074515D"/>
    <w:rsid w:val="007454A8"/>
    <w:rsid w:val="007459FB"/>
    <w:rsid w:val="00745B06"/>
    <w:rsid w:val="00746809"/>
    <w:rsid w:val="00746A41"/>
    <w:rsid w:val="0075156C"/>
    <w:rsid w:val="00753055"/>
    <w:rsid w:val="00753B7C"/>
    <w:rsid w:val="00754192"/>
    <w:rsid w:val="00754FC3"/>
    <w:rsid w:val="00755AD4"/>
    <w:rsid w:val="00755EA3"/>
    <w:rsid w:val="007573AB"/>
    <w:rsid w:val="00757E68"/>
    <w:rsid w:val="00757FA8"/>
    <w:rsid w:val="00761995"/>
    <w:rsid w:val="00761B93"/>
    <w:rsid w:val="0076236F"/>
    <w:rsid w:val="007625B4"/>
    <w:rsid w:val="0076272F"/>
    <w:rsid w:val="00762B48"/>
    <w:rsid w:val="00762BCD"/>
    <w:rsid w:val="00762D94"/>
    <w:rsid w:val="007631F1"/>
    <w:rsid w:val="00764294"/>
    <w:rsid w:val="007648FB"/>
    <w:rsid w:val="00764B58"/>
    <w:rsid w:val="00766725"/>
    <w:rsid w:val="00766CE5"/>
    <w:rsid w:val="007674F8"/>
    <w:rsid w:val="00767962"/>
    <w:rsid w:val="00767D2C"/>
    <w:rsid w:val="00770069"/>
    <w:rsid w:val="007701FC"/>
    <w:rsid w:val="0077079C"/>
    <w:rsid w:val="00770950"/>
    <w:rsid w:val="0077127C"/>
    <w:rsid w:val="00771452"/>
    <w:rsid w:val="00771750"/>
    <w:rsid w:val="00772EBA"/>
    <w:rsid w:val="00774E98"/>
    <w:rsid w:val="00775612"/>
    <w:rsid w:val="0077635A"/>
    <w:rsid w:val="00776E73"/>
    <w:rsid w:val="0077786A"/>
    <w:rsid w:val="00777A6E"/>
    <w:rsid w:val="00777ADC"/>
    <w:rsid w:val="007800F9"/>
    <w:rsid w:val="00780988"/>
    <w:rsid w:val="00780DA0"/>
    <w:rsid w:val="00782B52"/>
    <w:rsid w:val="00782CBE"/>
    <w:rsid w:val="00784020"/>
    <w:rsid w:val="0078432B"/>
    <w:rsid w:val="007844A3"/>
    <w:rsid w:val="007853D7"/>
    <w:rsid w:val="007862F3"/>
    <w:rsid w:val="007873A9"/>
    <w:rsid w:val="00787482"/>
    <w:rsid w:val="00787FDE"/>
    <w:rsid w:val="0079045F"/>
    <w:rsid w:val="00790675"/>
    <w:rsid w:val="00790C0D"/>
    <w:rsid w:val="007913A4"/>
    <w:rsid w:val="007921AC"/>
    <w:rsid w:val="007921B5"/>
    <w:rsid w:val="007928DD"/>
    <w:rsid w:val="00792B29"/>
    <w:rsid w:val="0079327C"/>
    <w:rsid w:val="00793623"/>
    <w:rsid w:val="007940D1"/>
    <w:rsid w:val="00794E3D"/>
    <w:rsid w:val="00795083"/>
    <w:rsid w:val="00795BF7"/>
    <w:rsid w:val="00795D36"/>
    <w:rsid w:val="00795DD1"/>
    <w:rsid w:val="00796127"/>
    <w:rsid w:val="007962D7"/>
    <w:rsid w:val="00796465"/>
    <w:rsid w:val="0079659B"/>
    <w:rsid w:val="007969B9"/>
    <w:rsid w:val="007973C9"/>
    <w:rsid w:val="007A06E7"/>
    <w:rsid w:val="007A075B"/>
    <w:rsid w:val="007A07CA"/>
    <w:rsid w:val="007A0F73"/>
    <w:rsid w:val="007A1082"/>
    <w:rsid w:val="007A17E1"/>
    <w:rsid w:val="007A2995"/>
    <w:rsid w:val="007A2AA4"/>
    <w:rsid w:val="007A441D"/>
    <w:rsid w:val="007A4F72"/>
    <w:rsid w:val="007A6A6B"/>
    <w:rsid w:val="007A74EB"/>
    <w:rsid w:val="007A7813"/>
    <w:rsid w:val="007B2203"/>
    <w:rsid w:val="007B2F42"/>
    <w:rsid w:val="007B4D4E"/>
    <w:rsid w:val="007B4E29"/>
    <w:rsid w:val="007B4F32"/>
    <w:rsid w:val="007B583C"/>
    <w:rsid w:val="007B742C"/>
    <w:rsid w:val="007C02D3"/>
    <w:rsid w:val="007C15DD"/>
    <w:rsid w:val="007C16C3"/>
    <w:rsid w:val="007C232F"/>
    <w:rsid w:val="007C3084"/>
    <w:rsid w:val="007C33D5"/>
    <w:rsid w:val="007C466B"/>
    <w:rsid w:val="007C52E2"/>
    <w:rsid w:val="007C5F1B"/>
    <w:rsid w:val="007C6014"/>
    <w:rsid w:val="007C67F6"/>
    <w:rsid w:val="007C6A1C"/>
    <w:rsid w:val="007C7D6A"/>
    <w:rsid w:val="007D0102"/>
    <w:rsid w:val="007D095A"/>
    <w:rsid w:val="007D0CDB"/>
    <w:rsid w:val="007D14CD"/>
    <w:rsid w:val="007D1830"/>
    <w:rsid w:val="007D1872"/>
    <w:rsid w:val="007D2B26"/>
    <w:rsid w:val="007D3133"/>
    <w:rsid w:val="007D3941"/>
    <w:rsid w:val="007D3B72"/>
    <w:rsid w:val="007D5E18"/>
    <w:rsid w:val="007D6043"/>
    <w:rsid w:val="007D7FA8"/>
    <w:rsid w:val="007E0D15"/>
    <w:rsid w:val="007E0E47"/>
    <w:rsid w:val="007E1F1D"/>
    <w:rsid w:val="007E228A"/>
    <w:rsid w:val="007E3476"/>
    <w:rsid w:val="007E3C59"/>
    <w:rsid w:val="007E419B"/>
    <w:rsid w:val="007E61B7"/>
    <w:rsid w:val="007E7295"/>
    <w:rsid w:val="007E7460"/>
    <w:rsid w:val="007E74B3"/>
    <w:rsid w:val="007F028C"/>
    <w:rsid w:val="007F03E8"/>
    <w:rsid w:val="007F0A50"/>
    <w:rsid w:val="007F0AE0"/>
    <w:rsid w:val="007F0B99"/>
    <w:rsid w:val="007F0D52"/>
    <w:rsid w:val="007F1B7E"/>
    <w:rsid w:val="007F26F4"/>
    <w:rsid w:val="007F2CC0"/>
    <w:rsid w:val="007F2D9B"/>
    <w:rsid w:val="007F2FCB"/>
    <w:rsid w:val="007F3EDB"/>
    <w:rsid w:val="007F4DF7"/>
    <w:rsid w:val="007F5409"/>
    <w:rsid w:val="007F54C7"/>
    <w:rsid w:val="007F65F0"/>
    <w:rsid w:val="007F69FA"/>
    <w:rsid w:val="007F6B8C"/>
    <w:rsid w:val="00800853"/>
    <w:rsid w:val="00800B78"/>
    <w:rsid w:val="0080121B"/>
    <w:rsid w:val="008016D1"/>
    <w:rsid w:val="00801A2E"/>
    <w:rsid w:val="008039AC"/>
    <w:rsid w:val="00803D4B"/>
    <w:rsid w:val="0080472B"/>
    <w:rsid w:val="00804C0E"/>
    <w:rsid w:val="00804C56"/>
    <w:rsid w:val="0080514C"/>
    <w:rsid w:val="00805E0A"/>
    <w:rsid w:val="008069D9"/>
    <w:rsid w:val="00806C52"/>
    <w:rsid w:val="008075B0"/>
    <w:rsid w:val="0080797F"/>
    <w:rsid w:val="00810637"/>
    <w:rsid w:val="00810C9F"/>
    <w:rsid w:val="00810E38"/>
    <w:rsid w:val="0081348A"/>
    <w:rsid w:val="00813A55"/>
    <w:rsid w:val="00813E8A"/>
    <w:rsid w:val="008146C5"/>
    <w:rsid w:val="008147C8"/>
    <w:rsid w:val="00814A53"/>
    <w:rsid w:val="0081537C"/>
    <w:rsid w:val="00815A70"/>
    <w:rsid w:val="00815AA7"/>
    <w:rsid w:val="008162DD"/>
    <w:rsid w:val="00816ED9"/>
    <w:rsid w:val="00820863"/>
    <w:rsid w:val="008233D6"/>
    <w:rsid w:val="00823EB6"/>
    <w:rsid w:val="008251EE"/>
    <w:rsid w:val="008273E1"/>
    <w:rsid w:val="008303B4"/>
    <w:rsid w:val="00830AA3"/>
    <w:rsid w:val="008311AB"/>
    <w:rsid w:val="00831725"/>
    <w:rsid w:val="008318A6"/>
    <w:rsid w:val="00831CBD"/>
    <w:rsid w:val="008322EA"/>
    <w:rsid w:val="00832BFF"/>
    <w:rsid w:val="0083313A"/>
    <w:rsid w:val="0083385D"/>
    <w:rsid w:val="00834027"/>
    <w:rsid w:val="00834626"/>
    <w:rsid w:val="008354E1"/>
    <w:rsid w:val="008362FF"/>
    <w:rsid w:val="00836CFE"/>
    <w:rsid w:val="00837BB6"/>
    <w:rsid w:val="008415B6"/>
    <w:rsid w:val="008416B0"/>
    <w:rsid w:val="00841998"/>
    <w:rsid w:val="00842079"/>
    <w:rsid w:val="00842659"/>
    <w:rsid w:val="008427A4"/>
    <w:rsid w:val="008447A3"/>
    <w:rsid w:val="00844B8F"/>
    <w:rsid w:val="00844F80"/>
    <w:rsid w:val="00845989"/>
    <w:rsid w:val="00845BCA"/>
    <w:rsid w:val="00845E95"/>
    <w:rsid w:val="008473A2"/>
    <w:rsid w:val="0084765C"/>
    <w:rsid w:val="00847A1F"/>
    <w:rsid w:val="00850184"/>
    <w:rsid w:val="0085024F"/>
    <w:rsid w:val="00850400"/>
    <w:rsid w:val="0085084E"/>
    <w:rsid w:val="00852F87"/>
    <w:rsid w:val="008532E4"/>
    <w:rsid w:val="0085421D"/>
    <w:rsid w:val="00854552"/>
    <w:rsid w:val="00854D48"/>
    <w:rsid w:val="00855C87"/>
    <w:rsid w:val="00856B71"/>
    <w:rsid w:val="008606F6"/>
    <w:rsid w:val="00860AA6"/>
    <w:rsid w:val="0086156C"/>
    <w:rsid w:val="0086182F"/>
    <w:rsid w:val="00861B1B"/>
    <w:rsid w:val="008631A7"/>
    <w:rsid w:val="00863279"/>
    <w:rsid w:val="00863B06"/>
    <w:rsid w:val="00863E95"/>
    <w:rsid w:val="00864B94"/>
    <w:rsid w:val="00865430"/>
    <w:rsid w:val="008663C8"/>
    <w:rsid w:val="00866AFC"/>
    <w:rsid w:val="00866DAB"/>
    <w:rsid w:val="00866ECB"/>
    <w:rsid w:val="0086715C"/>
    <w:rsid w:val="008674FA"/>
    <w:rsid w:val="00867DB9"/>
    <w:rsid w:val="00870A2A"/>
    <w:rsid w:val="008723EE"/>
    <w:rsid w:val="0087282C"/>
    <w:rsid w:val="00872E50"/>
    <w:rsid w:val="00873354"/>
    <w:rsid w:val="008736F0"/>
    <w:rsid w:val="008742F2"/>
    <w:rsid w:val="00874337"/>
    <w:rsid w:val="0087450E"/>
    <w:rsid w:val="008752B5"/>
    <w:rsid w:val="00875A7B"/>
    <w:rsid w:val="008764D3"/>
    <w:rsid w:val="00876577"/>
    <w:rsid w:val="0088063B"/>
    <w:rsid w:val="00881142"/>
    <w:rsid w:val="00881216"/>
    <w:rsid w:val="008813F9"/>
    <w:rsid w:val="00881441"/>
    <w:rsid w:val="00881C5A"/>
    <w:rsid w:val="00881EB1"/>
    <w:rsid w:val="00882140"/>
    <w:rsid w:val="008823C1"/>
    <w:rsid w:val="00882F0E"/>
    <w:rsid w:val="008830F5"/>
    <w:rsid w:val="0088402F"/>
    <w:rsid w:val="00884C3C"/>
    <w:rsid w:val="008859E8"/>
    <w:rsid w:val="00886289"/>
    <w:rsid w:val="00887786"/>
    <w:rsid w:val="00890129"/>
    <w:rsid w:val="00890BBA"/>
    <w:rsid w:val="00890ED5"/>
    <w:rsid w:val="00890FBD"/>
    <w:rsid w:val="00891325"/>
    <w:rsid w:val="008916D2"/>
    <w:rsid w:val="00891CAD"/>
    <w:rsid w:val="008921DF"/>
    <w:rsid w:val="00893EFB"/>
    <w:rsid w:val="00894E4A"/>
    <w:rsid w:val="008958B0"/>
    <w:rsid w:val="008963B1"/>
    <w:rsid w:val="00896969"/>
    <w:rsid w:val="00896A4C"/>
    <w:rsid w:val="00896ADF"/>
    <w:rsid w:val="00896E0F"/>
    <w:rsid w:val="00897D28"/>
    <w:rsid w:val="00897D54"/>
    <w:rsid w:val="008A07FB"/>
    <w:rsid w:val="008A10C7"/>
    <w:rsid w:val="008A1851"/>
    <w:rsid w:val="008A1E0D"/>
    <w:rsid w:val="008A2019"/>
    <w:rsid w:val="008A3304"/>
    <w:rsid w:val="008A3701"/>
    <w:rsid w:val="008A3B3D"/>
    <w:rsid w:val="008A3F65"/>
    <w:rsid w:val="008A3F86"/>
    <w:rsid w:val="008A45A6"/>
    <w:rsid w:val="008A4C1E"/>
    <w:rsid w:val="008A4D2F"/>
    <w:rsid w:val="008A4F77"/>
    <w:rsid w:val="008A53BD"/>
    <w:rsid w:val="008A563F"/>
    <w:rsid w:val="008A570D"/>
    <w:rsid w:val="008A5900"/>
    <w:rsid w:val="008A5966"/>
    <w:rsid w:val="008A64BB"/>
    <w:rsid w:val="008A678F"/>
    <w:rsid w:val="008A78B8"/>
    <w:rsid w:val="008A7F7C"/>
    <w:rsid w:val="008B02AE"/>
    <w:rsid w:val="008B06EA"/>
    <w:rsid w:val="008B0B9F"/>
    <w:rsid w:val="008B0C86"/>
    <w:rsid w:val="008B0D40"/>
    <w:rsid w:val="008B1249"/>
    <w:rsid w:val="008B1F71"/>
    <w:rsid w:val="008B2510"/>
    <w:rsid w:val="008B252C"/>
    <w:rsid w:val="008B3C17"/>
    <w:rsid w:val="008B4537"/>
    <w:rsid w:val="008B642B"/>
    <w:rsid w:val="008B67AD"/>
    <w:rsid w:val="008B728C"/>
    <w:rsid w:val="008B764E"/>
    <w:rsid w:val="008B76E1"/>
    <w:rsid w:val="008C02B5"/>
    <w:rsid w:val="008C28BE"/>
    <w:rsid w:val="008C36AE"/>
    <w:rsid w:val="008C3B5E"/>
    <w:rsid w:val="008C4D3D"/>
    <w:rsid w:val="008C5207"/>
    <w:rsid w:val="008C5285"/>
    <w:rsid w:val="008C57C2"/>
    <w:rsid w:val="008C6E4A"/>
    <w:rsid w:val="008C6EFE"/>
    <w:rsid w:val="008C6F7D"/>
    <w:rsid w:val="008C79CB"/>
    <w:rsid w:val="008D0B46"/>
    <w:rsid w:val="008D16DE"/>
    <w:rsid w:val="008D16FA"/>
    <w:rsid w:val="008D1887"/>
    <w:rsid w:val="008D1EBF"/>
    <w:rsid w:val="008D21B4"/>
    <w:rsid w:val="008D2C2B"/>
    <w:rsid w:val="008D416A"/>
    <w:rsid w:val="008D41E5"/>
    <w:rsid w:val="008D43A3"/>
    <w:rsid w:val="008D53BE"/>
    <w:rsid w:val="008D568C"/>
    <w:rsid w:val="008D67D2"/>
    <w:rsid w:val="008D7363"/>
    <w:rsid w:val="008D783F"/>
    <w:rsid w:val="008D7D51"/>
    <w:rsid w:val="008D7EB5"/>
    <w:rsid w:val="008D7F3E"/>
    <w:rsid w:val="008E03A0"/>
    <w:rsid w:val="008E130D"/>
    <w:rsid w:val="008E1F8B"/>
    <w:rsid w:val="008E2058"/>
    <w:rsid w:val="008E2277"/>
    <w:rsid w:val="008E33AA"/>
    <w:rsid w:val="008E40D4"/>
    <w:rsid w:val="008E5464"/>
    <w:rsid w:val="008E5911"/>
    <w:rsid w:val="008E5AA9"/>
    <w:rsid w:val="008E5C16"/>
    <w:rsid w:val="008E6161"/>
    <w:rsid w:val="008F0195"/>
    <w:rsid w:val="008F0213"/>
    <w:rsid w:val="008F054E"/>
    <w:rsid w:val="008F0676"/>
    <w:rsid w:val="008F133F"/>
    <w:rsid w:val="008F17DC"/>
    <w:rsid w:val="008F1804"/>
    <w:rsid w:val="008F19FA"/>
    <w:rsid w:val="008F1EE8"/>
    <w:rsid w:val="008F4448"/>
    <w:rsid w:val="008F46F5"/>
    <w:rsid w:val="008F4E8D"/>
    <w:rsid w:val="008F508B"/>
    <w:rsid w:val="008F58D8"/>
    <w:rsid w:val="008F6567"/>
    <w:rsid w:val="008F687A"/>
    <w:rsid w:val="008F73CE"/>
    <w:rsid w:val="008F7C5A"/>
    <w:rsid w:val="008F7D86"/>
    <w:rsid w:val="009000AD"/>
    <w:rsid w:val="00901287"/>
    <w:rsid w:val="0090248B"/>
    <w:rsid w:val="009032BE"/>
    <w:rsid w:val="0090341B"/>
    <w:rsid w:val="00904594"/>
    <w:rsid w:val="009045C5"/>
    <w:rsid w:val="009045EE"/>
    <w:rsid w:val="00905335"/>
    <w:rsid w:val="009056D0"/>
    <w:rsid w:val="009057A4"/>
    <w:rsid w:val="00906C38"/>
    <w:rsid w:val="00907CB0"/>
    <w:rsid w:val="009108DD"/>
    <w:rsid w:val="009116B8"/>
    <w:rsid w:val="00911CE2"/>
    <w:rsid w:val="00911DAD"/>
    <w:rsid w:val="009121FB"/>
    <w:rsid w:val="00912223"/>
    <w:rsid w:val="009129FD"/>
    <w:rsid w:val="009130A2"/>
    <w:rsid w:val="00913D8A"/>
    <w:rsid w:val="00914AC3"/>
    <w:rsid w:val="00914C49"/>
    <w:rsid w:val="00914E4C"/>
    <w:rsid w:val="009156E2"/>
    <w:rsid w:val="00915C50"/>
    <w:rsid w:val="0091608F"/>
    <w:rsid w:val="009161FA"/>
    <w:rsid w:val="00916241"/>
    <w:rsid w:val="0091643E"/>
    <w:rsid w:val="00916A73"/>
    <w:rsid w:val="00917A72"/>
    <w:rsid w:val="00917EB9"/>
    <w:rsid w:val="009223E4"/>
    <w:rsid w:val="009227BB"/>
    <w:rsid w:val="0092397B"/>
    <w:rsid w:val="00923ACB"/>
    <w:rsid w:val="00924663"/>
    <w:rsid w:val="00924CA9"/>
    <w:rsid w:val="00924ECD"/>
    <w:rsid w:val="00925669"/>
    <w:rsid w:val="0092580B"/>
    <w:rsid w:val="00925FBB"/>
    <w:rsid w:val="00926843"/>
    <w:rsid w:val="009269B8"/>
    <w:rsid w:val="009271CE"/>
    <w:rsid w:val="009273D6"/>
    <w:rsid w:val="00930CC2"/>
    <w:rsid w:val="00931E3B"/>
    <w:rsid w:val="00931F4B"/>
    <w:rsid w:val="0093202F"/>
    <w:rsid w:val="00932611"/>
    <w:rsid w:val="00932D01"/>
    <w:rsid w:val="009347BE"/>
    <w:rsid w:val="00934E26"/>
    <w:rsid w:val="00935082"/>
    <w:rsid w:val="009350D5"/>
    <w:rsid w:val="00935C98"/>
    <w:rsid w:val="00935DA8"/>
    <w:rsid w:val="00936463"/>
    <w:rsid w:val="0093684F"/>
    <w:rsid w:val="00936981"/>
    <w:rsid w:val="00940D47"/>
    <w:rsid w:val="0094176B"/>
    <w:rsid w:val="00941FC8"/>
    <w:rsid w:val="0094228A"/>
    <w:rsid w:val="0094289B"/>
    <w:rsid w:val="009430F3"/>
    <w:rsid w:val="0094358F"/>
    <w:rsid w:val="009435F8"/>
    <w:rsid w:val="009440F2"/>
    <w:rsid w:val="009444DE"/>
    <w:rsid w:val="00944A76"/>
    <w:rsid w:val="009451EE"/>
    <w:rsid w:val="00945CFB"/>
    <w:rsid w:val="0094637F"/>
    <w:rsid w:val="0094671A"/>
    <w:rsid w:val="0094672F"/>
    <w:rsid w:val="00947167"/>
    <w:rsid w:val="009502FA"/>
    <w:rsid w:val="00950A75"/>
    <w:rsid w:val="0095122F"/>
    <w:rsid w:val="0095257A"/>
    <w:rsid w:val="009526C7"/>
    <w:rsid w:val="009536E2"/>
    <w:rsid w:val="00953ADA"/>
    <w:rsid w:val="00954F6D"/>
    <w:rsid w:val="00955351"/>
    <w:rsid w:val="00956CAA"/>
    <w:rsid w:val="00957DE4"/>
    <w:rsid w:val="00960138"/>
    <w:rsid w:val="00960556"/>
    <w:rsid w:val="0096147D"/>
    <w:rsid w:val="00961830"/>
    <w:rsid w:val="00961845"/>
    <w:rsid w:val="00961AD2"/>
    <w:rsid w:val="009623FA"/>
    <w:rsid w:val="00962816"/>
    <w:rsid w:val="0096319E"/>
    <w:rsid w:val="00963B13"/>
    <w:rsid w:val="009643F6"/>
    <w:rsid w:val="009671D4"/>
    <w:rsid w:val="009678ED"/>
    <w:rsid w:val="00967BFE"/>
    <w:rsid w:val="00967DA5"/>
    <w:rsid w:val="009701DA"/>
    <w:rsid w:val="0097031E"/>
    <w:rsid w:val="009712E7"/>
    <w:rsid w:val="00971F3F"/>
    <w:rsid w:val="00972474"/>
    <w:rsid w:val="00972784"/>
    <w:rsid w:val="009731C1"/>
    <w:rsid w:val="00973A81"/>
    <w:rsid w:val="00973D48"/>
    <w:rsid w:val="00973DB1"/>
    <w:rsid w:val="00974603"/>
    <w:rsid w:val="009746D2"/>
    <w:rsid w:val="0097697D"/>
    <w:rsid w:val="0097718E"/>
    <w:rsid w:val="0097783B"/>
    <w:rsid w:val="00977966"/>
    <w:rsid w:val="0098018C"/>
    <w:rsid w:val="00980911"/>
    <w:rsid w:val="00980A7E"/>
    <w:rsid w:val="009815EB"/>
    <w:rsid w:val="009820DC"/>
    <w:rsid w:val="009821DE"/>
    <w:rsid w:val="009823A9"/>
    <w:rsid w:val="0098273E"/>
    <w:rsid w:val="009829F3"/>
    <w:rsid w:val="00982F53"/>
    <w:rsid w:val="00983BA7"/>
    <w:rsid w:val="00983D06"/>
    <w:rsid w:val="00984735"/>
    <w:rsid w:val="00984B30"/>
    <w:rsid w:val="00984E22"/>
    <w:rsid w:val="00984F52"/>
    <w:rsid w:val="00984F64"/>
    <w:rsid w:val="00985203"/>
    <w:rsid w:val="00985563"/>
    <w:rsid w:val="0098633F"/>
    <w:rsid w:val="009863C2"/>
    <w:rsid w:val="00986FD2"/>
    <w:rsid w:val="00987AF9"/>
    <w:rsid w:val="0099104C"/>
    <w:rsid w:val="0099184F"/>
    <w:rsid w:val="00991FFF"/>
    <w:rsid w:val="00992310"/>
    <w:rsid w:val="009924E6"/>
    <w:rsid w:val="009925E6"/>
    <w:rsid w:val="0099266B"/>
    <w:rsid w:val="00993113"/>
    <w:rsid w:val="009932C3"/>
    <w:rsid w:val="0099416A"/>
    <w:rsid w:val="009943C0"/>
    <w:rsid w:val="00994528"/>
    <w:rsid w:val="00994AFB"/>
    <w:rsid w:val="00994B9A"/>
    <w:rsid w:val="00994BA4"/>
    <w:rsid w:val="009956A1"/>
    <w:rsid w:val="00995CB0"/>
    <w:rsid w:val="0099659E"/>
    <w:rsid w:val="00997044"/>
    <w:rsid w:val="00997D54"/>
    <w:rsid w:val="00997D92"/>
    <w:rsid w:val="009A0437"/>
    <w:rsid w:val="009A0521"/>
    <w:rsid w:val="009A0889"/>
    <w:rsid w:val="009A0A25"/>
    <w:rsid w:val="009A22A0"/>
    <w:rsid w:val="009A2C16"/>
    <w:rsid w:val="009A310D"/>
    <w:rsid w:val="009A58AB"/>
    <w:rsid w:val="009A5E60"/>
    <w:rsid w:val="009A6070"/>
    <w:rsid w:val="009A6803"/>
    <w:rsid w:val="009A73F3"/>
    <w:rsid w:val="009A7567"/>
    <w:rsid w:val="009B0D5C"/>
    <w:rsid w:val="009B16F1"/>
    <w:rsid w:val="009B1954"/>
    <w:rsid w:val="009B1F2C"/>
    <w:rsid w:val="009B20E8"/>
    <w:rsid w:val="009B2D59"/>
    <w:rsid w:val="009B4165"/>
    <w:rsid w:val="009B4F6D"/>
    <w:rsid w:val="009B5978"/>
    <w:rsid w:val="009B6223"/>
    <w:rsid w:val="009B63C5"/>
    <w:rsid w:val="009B6559"/>
    <w:rsid w:val="009B7145"/>
    <w:rsid w:val="009C037D"/>
    <w:rsid w:val="009C05B7"/>
    <w:rsid w:val="009C08FE"/>
    <w:rsid w:val="009C0B41"/>
    <w:rsid w:val="009C0BBE"/>
    <w:rsid w:val="009C2BB3"/>
    <w:rsid w:val="009C2C3B"/>
    <w:rsid w:val="009C3C26"/>
    <w:rsid w:val="009C4595"/>
    <w:rsid w:val="009C4C42"/>
    <w:rsid w:val="009C4FC1"/>
    <w:rsid w:val="009C51EC"/>
    <w:rsid w:val="009C5837"/>
    <w:rsid w:val="009C59A5"/>
    <w:rsid w:val="009C59B0"/>
    <w:rsid w:val="009C5B9D"/>
    <w:rsid w:val="009C5E7D"/>
    <w:rsid w:val="009C5F7F"/>
    <w:rsid w:val="009C7308"/>
    <w:rsid w:val="009C78A1"/>
    <w:rsid w:val="009C7A32"/>
    <w:rsid w:val="009D05BB"/>
    <w:rsid w:val="009D0E4A"/>
    <w:rsid w:val="009D0F84"/>
    <w:rsid w:val="009D1255"/>
    <w:rsid w:val="009D1AAF"/>
    <w:rsid w:val="009D2967"/>
    <w:rsid w:val="009D3666"/>
    <w:rsid w:val="009D47E8"/>
    <w:rsid w:val="009D55BA"/>
    <w:rsid w:val="009D5640"/>
    <w:rsid w:val="009D6653"/>
    <w:rsid w:val="009D6BD0"/>
    <w:rsid w:val="009D6EE2"/>
    <w:rsid w:val="009D7420"/>
    <w:rsid w:val="009D7EDA"/>
    <w:rsid w:val="009E17DD"/>
    <w:rsid w:val="009E31EA"/>
    <w:rsid w:val="009E33A9"/>
    <w:rsid w:val="009E38E4"/>
    <w:rsid w:val="009E3FC2"/>
    <w:rsid w:val="009E58B7"/>
    <w:rsid w:val="009E5F15"/>
    <w:rsid w:val="009E6841"/>
    <w:rsid w:val="009E6923"/>
    <w:rsid w:val="009E6DCC"/>
    <w:rsid w:val="009F0534"/>
    <w:rsid w:val="009F06CB"/>
    <w:rsid w:val="009F0B54"/>
    <w:rsid w:val="009F183C"/>
    <w:rsid w:val="009F2B68"/>
    <w:rsid w:val="009F2D9F"/>
    <w:rsid w:val="009F35B6"/>
    <w:rsid w:val="009F4D9C"/>
    <w:rsid w:val="009F539A"/>
    <w:rsid w:val="009F6913"/>
    <w:rsid w:val="009F7905"/>
    <w:rsid w:val="009F7EE9"/>
    <w:rsid w:val="00A000BC"/>
    <w:rsid w:val="00A00130"/>
    <w:rsid w:val="00A01242"/>
    <w:rsid w:val="00A0150F"/>
    <w:rsid w:val="00A01ED9"/>
    <w:rsid w:val="00A022AD"/>
    <w:rsid w:val="00A02517"/>
    <w:rsid w:val="00A043D8"/>
    <w:rsid w:val="00A04466"/>
    <w:rsid w:val="00A06B45"/>
    <w:rsid w:val="00A0775F"/>
    <w:rsid w:val="00A07B26"/>
    <w:rsid w:val="00A10786"/>
    <w:rsid w:val="00A10A56"/>
    <w:rsid w:val="00A11074"/>
    <w:rsid w:val="00A11DB6"/>
    <w:rsid w:val="00A12039"/>
    <w:rsid w:val="00A13774"/>
    <w:rsid w:val="00A1468E"/>
    <w:rsid w:val="00A14C5B"/>
    <w:rsid w:val="00A16444"/>
    <w:rsid w:val="00A16D34"/>
    <w:rsid w:val="00A17FCF"/>
    <w:rsid w:val="00A209DA"/>
    <w:rsid w:val="00A20C0A"/>
    <w:rsid w:val="00A222F5"/>
    <w:rsid w:val="00A229B2"/>
    <w:rsid w:val="00A23A05"/>
    <w:rsid w:val="00A24174"/>
    <w:rsid w:val="00A244C3"/>
    <w:rsid w:val="00A26C67"/>
    <w:rsid w:val="00A277C8"/>
    <w:rsid w:val="00A27805"/>
    <w:rsid w:val="00A27849"/>
    <w:rsid w:val="00A27965"/>
    <w:rsid w:val="00A30C78"/>
    <w:rsid w:val="00A3117C"/>
    <w:rsid w:val="00A32378"/>
    <w:rsid w:val="00A32667"/>
    <w:rsid w:val="00A33F53"/>
    <w:rsid w:val="00A346BF"/>
    <w:rsid w:val="00A34BBF"/>
    <w:rsid w:val="00A34F79"/>
    <w:rsid w:val="00A353A1"/>
    <w:rsid w:val="00A35415"/>
    <w:rsid w:val="00A358D8"/>
    <w:rsid w:val="00A3650D"/>
    <w:rsid w:val="00A36DA7"/>
    <w:rsid w:val="00A3740C"/>
    <w:rsid w:val="00A37801"/>
    <w:rsid w:val="00A40150"/>
    <w:rsid w:val="00A40670"/>
    <w:rsid w:val="00A4078A"/>
    <w:rsid w:val="00A409D9"/>
    <w:rsid w:val="00A40F97"/>
    <w:rsid w:val="00A414CB"/>
    <w:rsid w:val="00A41930"/>
    <w:rsid w:val="00A41947"/>
    <w:rsid w:val="00A4195D"/>
    <w:rsid w:val="00A42242"/>
    <w:rsid w:val="00A42E95"/>
    <w:rsid w:val="00A446F8"/>
    <w:rsid w:val="00A459A9"/>
    <w:rsid w:val="00A4620D"/>
    <w:rsid w:val="00A4690B"/>
    <w:rsid w:val="00A475B3"/>
    <w:rsid w:val="00A47C2A"/>
    <w:rsid w:val="00A47F98"/>
    <w:rsid w:val="00A50C30"/>
    <w:rsid w:val="00A50FF6"/>
    <w:rsid w:val="00A52326"/>
    <w:rsid w:val="00A548C8"/>
    <w:rsid w:val="00A54E1F"/>
    <w:rsid w:val="00A5512B"/>
    <w:rsid w:val="00A5518C"/>
    <w:rsid w:val="00A55624"/>
    <w:rsid w:val="00A5654A"/>
    <w:rsid w:val="00A57438"/>
    <w:rsid w:val="00A57A0D"/>
    <w:rsid w:val="00A57DD5"/>
    <w:rsid w:val="00A57E6D"/>
    <w:rsid w:val="00A60BB1"/>
    <w:rsid w:val="00A615B8"/>
    <w:rsid w:val="00A615E7"/>
    <w:rsid w:val="00A61D3B"/>
    <w:rsid w:val="00A629BC"/>
    <w:rsid w:val="00A6352D"/>
    <w:rsid w:val="00A66601"/>
    <w:rsid w:val="00A678A4"/>
    <w:rsid w:val="00A700AB"/>
    <w:rsid w:val="00A70135"/>
    <w:rsid w:val="00A705C1"/>
    <w:rsid w:val="00A72772"/>
    <w:rsid w:val="00A731B5"/>
    <w:rsid w:val="00A73585"/>
    <w:rsid w:val="00A73846"/>
    <w:rsid w:val="00A73FDB"/>
    <w:rsid w:val="00A74DAE"/>
    <w:rsid w:val="00A80BC6"/>
    <w:rsid w:val="00A81765"/>
    <w:rsid w:val="00A81CEF"/>
    <w:rsid w:val="00A81E21"/>
    <w:rsid w:val="00A843DE"/>
    <w:rsid w:val="00A84B2C"/>
    <w:rsid w:val="00A84BDD"/>
    <w:rsid w:val="00A84C61"/>
    <w:rsid w:val="00A84F68"/>
    <w:rsid w:val="00A856E0"/>
    <w:rsid w:val="00A86898"/>
    <w:rsid w:val="00A86A4E"/>
    <w:rsid w:val="00A87248"/>
    <w:rsid w:val="00A873C0"/>
    <w:rsid w:val="00A87A25"/>
    <w:rsid w:val="00A87B35"/>
    <w:rsid w:val="00A87C9D"/>
    <w:rsid w:val="00A903F8"/>
    <w:rsid w:val="00A9049F"/>
    <w:rsid w:val="00A9077A"/>
    <w:rsid w:val="00A90EA3"/>
    <w:rsid w:val="00A91421"/>
    <w:rsid w:val="00A91878"/>
    <w:rsid w:val="00A92572"/>
    <w:rsid w:val="00A92B5A"/>
    <w:rsid w:val="00A92FAB"/>
    <w:rsid w:val="00A93393"/>
    <w:rsid w:val="00A93928"/>
    <w:rsid w:val="00A94BEB"/>
    <w:rsid w:val="00A95374"/>
    <w:rsid w:val="00A95FCF"/>
    <w:rsid w:val="00A9622A"/>
    <w:rsid w:val="00A963E9"/>
    <w:rsid w:val="00A97286"/>
    <w:rsid w:val="00A97955"/>
    <w:rsid w:val="00AA019B"/>
    <w:rsid w:val="00AA0200"/>
    <w:rsid w:val="00AA12A1"/>
    <w:rsid w:val="00AA1F1E"/>
    <w:rsid w:val="00AA271E"/>
    <w:rsid w:val="00AA2CDE"/>
    <w:rsid w:val="00AA3248"/>
    <w:rsid w:val="00AA5108"/>
    <w:rsid w:val="00AA5152"/>
    <w:rsid w:val="00AA5643"/>
    <w:rsid w:val="00AA5FC2"/>
    <w:rsid w:val="00AA6025"/>
    <w:rsid w:val="00AA73CB"/>
    <w:rsid w:val="00AA77FF"/>
    <w:rsid w:val="00AA7B5E"/>
    <w:rsid w:val="00AA7BFA"/>
    <w:rsid w:val="00AA7E69"/>
    <w:rsid w:val="00AB007F"/>
    <w:rsid w:val="00AB0376"/>
    <w:rsid w:val="00AB064B"/>
    <w:rsid w:val="00AB069D"/>
    <w:rsid w:val="00AB0AF1"/>
    <w:rsid w:val="00AB0D92"/>
    <w:rsid w:val="00AB10C1"/>
    <w:rsid w:val="00AB1721"/>
    <w:rsid w:val="00AB28BD"/>
    <w:rsid w:val="00AB4187"/>
    <w:rsid w:val="00AB4713"/>
    <w:rsid w:val="00AB4BD4"/>
    <w:rsid w:val="00AB4F35"/>
    <w:rsid w:val="00AB5215"/>
    <w:rsid w:val="00AB554D"/>
    <w:rsid w:val="00AB5949"/>
    <w:rsid w:val="00AB713D"/>
    <w:rsid w:val="00AB798F"/>
    <w:rsid w:val="00AC021F"/>
    <w:rsid w:val="00AC04B6"/>
    <w:rsid w:val="00AC0843"/>
    <w:rsid w:val="00AC093F"/>
    <w:rsid w:val="00AC17B5"/>
    <w:rsid w:val="00AC2480"/>
    <w:rsid w:val="00AC2761"/>
    <w:rsid w:val="00AC3224"/>
    <w:rsid w:val="00AC358A"/>
    <w:rsid w:val="00AC423B"/>
    <w:rsid w:val="00AC4B7A"/>
    <w:rsid w:val="00AC4FCB"/>
    <w:rsid w:val="00AC59EC"/>
    <w:rsid w:val="00AC5A11"/>
    <w:rsid w:val="00AC6617"/>
    <w:rsid w:val="00AD089B"/>
    <w:rsid w:val="00AD0D27"/>
    <w:rsid w:val="00AD1A5D"/>
    <w:rsid w:val="00AD21B6"/>
    <w:rsid w:val="00AD2B2C"/>
    <w:rsid w:val="00AD2F3F"/>
    <w:rsid w:val="00AD352A"/>
    <w:rsid w:val="00AD358A"/>
    <w:rsid w:val="00AD3C85"/>
    <w:rsid w:val="00AD3E58"/>
    <w:rsid w:val="00AD408C"/>
    <w:rsid w:val="00AD4988"/>
    <w:rsid w:val="00AD55C9"/>
    <w:rsid w:val="00AD5DDE"/>
    <w:rsid w:val="00AD5F62"/>
    <w:rsid w:val="00AD60B1"/>
    <w:rsid w:val="00AD7583"/>
    <w:rsid w:val="00AD762C"/>
    <w:rsid w:val="00AD7E37"/>
    <w:rsid w:val="00AE0054"/>
    <w:rsid w:val="00AE0A18"/>
    <w:rsid w:val="00AE0C11"/>
    <w:rsid w:val="00AE0E85"/>
    <w:rsid w:val="00AE14A4"/>
    <w:rsid w:val="00AE17D5"/>
    <w:rsid w:val="00AE2BB4"/>
    <w:rsid w:val="00AE3D87"/>
    <w:rsid w:val="00AE4360"/>
    <w:rsid w:val="00AE4785"/>
    <w:rsid w:val="00AE4D93"/>
    <w:rsid w:val="00AE50CF"/>
    <w:rsid w:val="00AE5442"/>
    <w:rsid w:val="00AE6431"/>
    <w:rsid w:val="00AE6A64"/>
    <w:rsid w:val="00AE6F4E"/>
    <w:rsid w:val="00AE6FF9"/>
    <w:rsid w:val="00AF0549"/>
    <w:rsid w:val="00AF0C68"/>
    <w:rsid w:val="00AF0C6B"/>
    <w:rsid w:val="00AF1113"/>
    <w:rsid w:val="00AF1A03"/>
    <w:rsid w:val="00AF233D"/>
    <w:rsid w:val="00AF2ACE"/>
    <w:rsid w:val="00AF3288"/>
    <w:rsid w:val="00AF42AA"/>
    <w:rsid w:val="00AF47AB"/>
    <w:rsid w:val="00AF4EFE"/>
    <w:rsid w:val="00AF4FCD"/>
    <w:rsid w:val="00AF51C9"/>
    <w:rsid w:val="00AF5234"/>
    <w:rsid w:val="00AF5BB8"/>
    <w:rsid w:val="00AF5DFD"/>
    <w:rsid w:val="00AF6026"/>
    <w:rsid w:val="00AF6480"/>
    <w:rsid w:val="00AF6AD7"/>
    <w:rsid w:val="00AF7C29"/>
    <w:rsid w:val="00B013E0"/>
    <w:rsid w:val="00B01454"/>
    <w:rsid w:val="00B01C42"/>
    <w:rsid w:val="00B01F01"/>
    <w:rsid w:val="00B0335E"/>
    <w:rsid w:val="00B03716"/>
    <w:rsid w:val="00B03B00"/>
    <w:rsid w:val="00B03D24"/>
    <w:rsid w:val="00B03D82"/>
    <w:rsid w:val="00B03F6B"/>
    <w:rsid w:val="00B04682"/>
    <w:rsid w:val="00B04923"/>
    <w:rsid w:val="00B04935"/>
    <w:rsid w:val="00B04E84"/>
    <w:rsid w:val="00B05752"/>
    <w:rsid w:val="00B05AAE"/>
    <w:rsid w:val="00B05BB5"/>
    <w:rsid w:val="00B061D4"/>
    <w:rsid w:val="00B06E6C"/>
    <w:rsid w:val="00B07463"/>
    <w:rsid w:val="00B07A52"/>
    <w:rsid w:val="00B104A4"/>
    <w:rsid w:val="00B111D2"/>
    <w:rsid w:val="00B123DC"/>
    <w:rsid w:val="00B12F3A"/>
    <w:rsid w:val="00B1345C"/>
    <w:rsid w:val="00B139E4"/>
    <w:rsid w:val="00B14AA8"/>
    <w:rsid w:val="00B16197"/>
    <w:rsid w:val="00B17E9F"/>
    <w:rsid w:val="00B2045F"/>
    <w:rsid w:val="00B20682"/>
    <w:rsid w:val="00B20C76"/>
    <w:rsid w:val="00B20E51"/>
    <w:rsid w:val="00B210E9"/>
    <w:rsid w:val="00B22576"/>
    <w:rsid w:val="00B23594"/>
    <w:rsid w:val="00B249CF"/>
    <w:rsid w:val="00B24A61"/>
    <w:rsid w:val="00B24AC4"/>
    <w:rsid w:val="00B24BCC"/>
    <w:rsid w:val="00B2550C"/>
    <w:rsid w:val="00B259A2"/>
    <w:rsid w:val="00B260AD"/>
    <w:rsid w:val="00B268A9"/>
    <w:rsid w:val="00B26C14"/>
    <w:rsid w:val="00B279FA"/>
    <w:rsid w:val="00B27CD8"/>
    <w:rsid w:val="00B30BF6"/>
    <w:rsid w:val="00B30D68"/>
    <w:rsid w:val="00B31647"/>
    <w:rsid w:val="00B31965"/>
    <w:rsid w:val="00B3208F"/>
    <w:rsid w:val="00B332F7"/>
    <w:rsid w:val="00B33415"/>
    <w:rsid w:val="00B3366D"/>
    <w:rsid w:val="00B336EA"/>
    <w:rsid w:val="00B33A53"/>
    <w:rsid w:val="00B33A96"/>
    <w:rsid w:val="00B33DE4"/>
    <w:rsid w:val="00B34294"/>
    <w:rsid w:val="00B34DBD"/>
    <w:rsid w:val="00B34F69"/>
    <w:rsid w:val="00B357DB"/>
    <w:rsid w:val="00B35A64"/>
    <w:rsid w:val="00B35D75"/>
    <w:rsid w:val="00B370E7"/>
    <w:rsid w:val="00B377B9"/>
    <w:rsid w:val="00B37E53"/>
    <w:rsid w:val="00B400A3"/>
    <w:rsid w:val="00B42B3E"/>
    <w:rsid w:val="00B42D53"/>
    <w:rsid w:val="00B44231"/>
    <w:rsid w:val="00B44973"/>
    <w:rsid w:val="00B449D4"/>
    <w:rsid w:val="00B44AF6"/>
    <w:rsid w:val="00B459C7"/>
    <w:rsid w:val="00B459D7"/>
    <w:rsid w:val="00B45B63"/>
    <w:rsid w:val="00B468A3"/>
    <w:rsid w:val="00B471A7"/>
    <w:rsid w:val="00B4733A"/>
    <w:rsid w:val="00B47FB9"/>
    <w:rsid w:val="00B50199"/>
    <w:rsid w:val="00B50373"/>
    <w:rsid w:val="00B51CBD"/>
    <w:rsid w:val="00B52429"/>
    <w:rsid w:val="00B5248F"/>
    <w:rsid w:val="00B52A93"/>
    <w:rsid w:val="00B52EF7"/>
    <w:rsid w:val="00B5306D"/>
    <w:rsid w:val="00B53464"/>
    <w:rsid w:val="00B539C8"/>
    <w:rsid w:val="00B53AED"/>
    <w:rsid w:val="00B54750"/>
    <w:rsid w:val="00B5478C"/>
    <w:rsid w:val="00B54823"/>
    <w:rsid w:val="00B54BB7"/>
    <w:rsid w:val="00B54DD5"/>
    <w:rsid w:val="00B552B1"/>
    <w:rsid w:val="00B55801"/>
    <w:rsid w:val="00B56194"/>
    <w:rsid w:val="00B56386"/>
    <w:rsid w:val="00B567B0"/>
    <w:rsid w:val="00B567E9"/>
    <w:rsid w:val="00B56ACE"/>
    <w:rsid w:val="00B57B91"/>
    <w:rsid w:val="00B605E2"/>
    <w:rsid w:val="00B60DAD"/>
    <w:rsid w:val="00B61734"/>
    <w:rsid w:val="00B61D8A"/>
    <w:rsid w:val="00B61DF3"/>
    <w:rsid w:val="00B622B0"/>
    <w:rsid w:val="00B6239A"/>
    <w:rsid w:val="00B643C4"/>
    <w:rsid w:val="00B64AD7"/>
    <w:rsid w:val="00B65756"/>
    <w:rsid w:val="00B65927"/>
    <w:rsid w:val="00B65CF1"/>
    <w:rsid w:val="00B6653F"/>
    <w:rsid w:val="00B66E4D"/>
    <w:rsid w:val="00B673BD"/>
    <w:rsid w:val="00B70205"/>
    <w:rsid w:val="00B71683"/>
    <w:rsid w:val="00B716A4"/>
    <w:rsid w:val="00B721DC"/>
    <w:rsid w:val="00B7240C"/>
    <w:rsid w:val="00B72877"/>
    <w:rsid w:val="00B72B32"/>
    <w:rsid w:val="00B72F69"/>
    <w:rsid w:val="00B74C01"/>
    <w:rsid w:val="00B74CFB"/>
    <w:rsid w:val="00B74D67"/>
    <w:rsid w:val="00B753A5"/>
    <w:rsid w:val="00B75508"/>
    <w:rsid w:val="00B75560"/>
    <w:rsid w:val="00B759DC"/>
    <w:rsid w:val="00B771F4"/>
    <w:rsid w:val="00B772CE"/>
    <w:rsid w:val="00B775CC"/>
    <w:rsid w:val="00B77A14"/>
    <w:rsid w:val="00B81143"/>
    <w:rsid w:val="00B814D7"/>
    <w:rsid w:val="00B82830"/>
    <w:rsid w:val="00B82AE1"/>
    <w:rsid w:val="00B832A4"/>
    <w:rsid w:val="00B835A0"/>
    <w:rsid w:val="00B83A4F"/>
    <w:rsid w:val="00B85284"/>
    <w:rsid w:val="00B86895"/>
    <w:rsid w:val="00B868B0"/>
    <w:rsid w:val="00B86E89"/>
    <w:rsid w:val="00B87977"/>
    <w:rsid w:val="00B905CE"/>
    <w:rsid w:val="00B913B9"/>
    <w:rsid w:val="00B9164E"/>
    <w:rsid w:val="00B91C00"/>
    <w:rsid w:val="00B91CCA"/>
    <w:rsid w:val="00B920E9"/>
    <w:rsid w:val="00B92782"/>
    <w:rsid w:val="00B9303E"/>
    <w:rsid w:val="00B93E75"/>
    <w:rsid w:val="00B93EE2"/>
    <w:rsid w:val="00B944E5"/>
    <w:rsid w:val="00B94619"/>
    <w:rsid w:val="00B94B08"/>
    <w:rsid w:val="00B9742F"/>
    <w:rsid w:val="00B97455"/>
    <w:rsid w:val="00B976F8"/>
    <w:rsid w:val="00BA07C9"/>
    <w:rsid w:val="00BA0D73"/>
    <w:rsid w:val="00BA0DDA"/>
    <w:rsid w:val="00BA0FDA"/>
    <w:rsid w:val="00BA192C"/>
    <w:rsid w:val="00BA208C"/>
    <w:rsid w:val="00BA2893"/>
    <w:rsid w:val="00BA2C2E"/>
    <w:rsid w:val="00BA44E5"/>
    <w:rsid w:val="00BA68B6"/>
    <w:rsid w:val="00BA6C7B"/>
    <w:rsid w:val="00BA771D"/>
    <w:rsid w:val="00BB30EA"/>
    <w:rsid w:val="00BB316C"/>
    <w:rsid w:val="00BB4412"/>
    <w:rsid w:val="00BB4754"/>
    <w:rsid w:val="00BB478C"/>
    <w:rsid w:val="00BB48AD"/>
    <w:rsid w:val="00BB48DC"/>
    <w:rsid w:val="00BB53C0"/>
    <w:rsid w:val="00BB55ED"/>
    <w:rsid w:val="00BB57F7"/>
    <w:rsid w:val="00BB5FF0"/>
    <w:rsid w:val="00BB6B63"/>
    <w:rsid w:val="00BB6F36"/>
    <w:rsid w:val="00BB7E70"/>
    <w:rsid w:val="00BB7FA4"/>
    <w:rsid w:val="00BC0552"/>
    <w:rsid w:val="00BC067C"/>
    <w:rsid w:val="00BC09EF"/>
    <w:rsid w:val="00BC13D0"/>
    <w:rsid w:val="00BC168A"/>
    <w:rsid w:val="00BC22B0"/>
    <w:rsid w:val="00BC2894"/>
    <w:rsid w:val="00BC2F6F"/>
    <w:rsid w:val="00BC39F4"/>
    <w:rsid w:val="00BC4217"/>
    <w:rsid w:val="00BC4CBF"/>
    <w:rsid w:val="00BC63C6"/>
    <w:rsid w:val="00BC6717"/>
    <w:rsid w:val="00BC68CB"/>
    <w:rsid w:val="00BC6E3A"/>
    <w:rsid w:val="00BC728C"/>
    <w:rsid w:val="00BC7AF7"/>
    <w:rsid w:val="00BC7CFF"/>
    <w:rsid w:val="00BD0AB0"/>
    <w:rsid w:val="00BD1CC9"/>
    <w:rsid w:val="00BD2804"/>
    <w:rsid w:val="00BD413A"/>
    <w:rsid w:val="00BD42DA"/>
    <w:rsid w:val="00BD4662"/>
    <w:rsid w:val="00BD482B"/>
    <w:rsid w:val="00BD527B"/>
    <w:rsid w:val="00BD588E"/>
    <w:rsid w:val="00BD58FB"/>
    <w:rsid w:val="00BD5A64"/>
    <w:rsid w:val="00BE1F9A"/>
    <w:rsid w:val="00BE251A"/>
    <w:rsid w:val="00BE2A1A"/>
    <w:rsid w:val="00BE2A4E"/>
    <w:rsid w:val="00BE2A65"/>
    <w:rsid w:val="00BE2AF3"/>
    <w:rsid w:val="00BE3018"/>
    <w:rsid w:val="00BE4323"/>
    <w:rsid w:val="00BE594E"/>
    <w:rsid w:val="00BE59C1"/>
    <w:rsid w:val="00BE6B0C"/>
    <w:rsid w:val="00BE6B6F"/>
    <w:rsid w:val="00BE71CB"/>
    <w:rsid w:val="00BE78FF"/>
    <w:rsid w:val="00BE7B90"/>
    <w:rsid w:val="00BE7C26"/>
    <w:rsid w:val="00BF08D8"/>
    <w:rsid w:val="00BF0FE0"/>
    <w:rsid w:val="00BF113B"/>
    <w:rsid w:val="00BF213F"/>
    <w:rsid w:val="00BF276B"/>
    <w:rsid w:val="00BF33A1"/>
    <w:rsid w:val="00BF380C"/>
    <w:rsid w:val="00BF3F15"/>
    <w:rsid w:val="00BF3FE2"/>
    <w:rsid w:val="00BF4286"/>
    <w:rsid w:val="00BF4959"/>
    <w:rsid w:val="00BF4C3A"/>
    <w:rsid w:val="00BF571E"/>
    <w:rsid w:val="00BF5E12"/>
    <w:rsid w:val="00BF661B"/>
    <w:rsid w:val="00BF70FD"/>
    <w:rsid w:val="00BF7426"/>
    <w:rsid w:val="00C01069"/>
    <w:rsid w:val="00C02AE6"/>
    <w:rsid w:val="00C02B27"/>
    <w:rsid w:val="00C0325D"/>
    <w:rsid w:val="00C033AE"/>
    <w:rsid w:val="00C03491"/>
    <w:rsid w:val="00C043D0"/>
    <w:rsid w:val="00C043EB"/>
    <w:rsid w:val="00C0589C"/>
    <w:rsid w:val="00C05ABC"/>
    <w:rsid w:val="00C06233"/>
    <w:rsid w:val="00C06D98"/>
    <w:rsid w:val="00C106E4"/>
    <w:rsid w:val="00C10D17"/>
    <w:rsid w:val="00C111BE"/>
    <w:rsid w:val="00C1201E"/>
    <w:rsid w:val="00C12D3E"/>
    <w:rsid w:val="00C12DD2"/>
    <w:rsid w:val="00C13D6E"/>
    <w:rsid w:val="00C14A00"/>
    <w:rsid w:val="00C14ED0"/>
    <w:rsid w:val="00C15A94"/>
    <w:rsid w:val="00C15DF9"/>
    <w:rsid w:val="00C16550"/>
    <w:rsid w:val="00C16BB7"/>
    <w:rsid w:val="00C16F7C"/>
    <w:rsid w:val="00C2029D"/>
    <w:rsid w:val="00C21221"/>
    <w:rsid w:val="00C22728"/>
    <w:rsid w:val="00C23411"/>
    <w:rsid w:val="00C2358E"/>
    <w:rsid w:val="00C24F76"/>
    <w:rsid w:val="00C25C45"/>
    <w:rsid w:val="00C25D1F"/>
    <w:rsid w:val="00C2742F"/>
    <w:rsid w:val="00C2775B"/>
    <w:rsid w:val="00C278DF"/>
    <w:rsid w:val="00C27E33"/>
    <w:rsid w:val="00C30453"/>
    <w:rsid w:val="00C30CB0"/>
    <w:rsid w:val="00C313AC"/>
    <w:rsid w:val="00C31453"/>
    <w:rsid w:val="00C31D6E"/>
    <w:rsid w:val="00C32853"/>
    <w:rsid w:val="00C32C05"/>
    <w:rsid w:val="00C33E28"/>
    <w:rsid w:val="00C34848"/>
    <w:rsid w:val="00C35C56"/>
    <w:rsid w:val="00C36565"/>
    <w:rsid w:val="00C369D8"/>
    <w:rsid w:val="00C377EB"/>
    <w:rsid w:val="00C37BC9"/>
    <w:rsid w:val="00C37ED9"/>
    <w:rsid w:val="00C40336"/>
    <w:rsid w:val="00C4103E"/>
    <w:rsid w:val="00C417A6"/>
    <w:rsid w:val="00C423AC"/>
    <w:rsid w:val="00C425C6"/>
    <w:rsid w:val="00C429EA"/>
    <w:rsid w:val="00C43080"/>
    <w:rsid w:val="00C43422"/>
    <w:rsid w:val="00C43703"/>
    <w:rsid w:val="00C43D45"/>
    <w:rsid w:val="00C43F79"/>
    <w:rsid w:val="00C44031"/>
    <w:rsid w:val="00C45037"/>
    <w:rsid w:val="00C45596"/>
    <w:rsid w:val="00C45B53"/>
    <w:rsid w:val="00C45C48"/>
    <w:rsid w:val="00C46362"/>
    <w:rsid w:val="00C465D8"/>
    <w:rsid w:val="00C4703F"/>
    <w:rsid w:val="00C475D5"/>
    <w:rsid w:val="00C50029"/>
    <w:rsid w:val="00C5040A"/>
    <w:rsid w:val="00C51C10"/>
    <w:rsid w:val="00C51E0F"/>
    <w:rsid w:val="00C52266"/>
    <w:rsid w:val="00C5384D"/>
    <w:rsid w:val="00C54C97"/>
    <w:rsid w:val="00C550AF"/>
    <w:rsid w:val="00C561E8"/>
    <w:rsid w:val="00C563BC"/>
    <w:rsid w:val="00C56F76"/>
    <w:rsid w:val="00C5708C"/>
    <w:rsid w:val="00C57161"/>
    <w:rsid w:val="00C60CA3"/>
    <w:rsid w:val="00C60EAE"/>
    <w:rsid w:val="00C61383"/>
    <w:rsid w:val="00C6154C"/>
    <w:rsid w:val="00C6295D"/>
    <w:rsid w:val="00C634C7"/>
    <w:rsid w:val="00C63F64"/>
    <w:rsid w:val="00C6412B"/>
    <w:rsid w:val="00C6433C"/>
    <w:rsid w:val="00C6438A"/>
    <w:rsid w:val="00C64BF1"/>
    <w:rsid w:val="00C660F7"/>
    <w:rsid w:val="00C672E4"/>
    <w:rsid w:val="00C67BBD"/>
    <w:rsid w:val="00C7137B"/>
    <w:rsid w:val="00C71569"/>
    <w:rsid w:val="00C718C2"/>
    <w:rsid w:val="00C72FBD"/>
    <w:rsid w:val="00C73257"/>
    <w:rsid w:val="00C7359C"/>
    <w:rsid w:val="00C73E85"/>
    <w:rsid w:val="00C75163"/>
    <w:rsid w:val="00C7524B"/>
    <w:rsid w:val="00C75782"/>
    <w:rsid w:val="00C75B91"/>
    <w:rsid w:val="00C75CCE"/>
    <w:rsid w:val="00C769BE"/>
    <w:rsid w:val="00C77B24"/>
    <w:rsid w:val="00C77CD4"/>
    <w:rsid w:val="00C77F2B"/>
    <w:rsid w:val="00C8064B"/>
    <w:rsid w:val="00C818FA"/>
    <w:rsid w:val="00C822D0"/>
    <w:rsid w:val="00C8252E"/>
    <w:rsid w:val="00C829CE"/>
    <w:rsid w:val="00C834F1"/>
    <w:rsid w:val="00C84504"/>
    <w:rsid w:val="00C8644C"/>
    <w:rsid w:val="00C86D4B"/>
    <w:rsid w:val="00C87683"/>
    <w:rsid w:val="00C914F4"/>
    <w:rsid w:val="00C91764"/>
    <w:rsid w:val="00C920D5"/>
    <w:rsid w:val="00C921AD"/>
    <w:rsid w:val="00C92FD8"/>
    <w:rsid w:val="00C930D8"/>
    <w:rsid w:val="00C94016"/>
    <w:rsid w:val="00C94786"/>
    <w:rsid w:val="00C95B61"/>
    <w:rsid w:val="00C9686B"/>
    <w:rsid w:val="00C974F8"/>
    <w:rsid w:val="00C9759F"/>
    <w:rsid w:val="00CA0203"/>
    <w:rsid w:val="00CA0B59"/>
    <w:rsid w:val="00CA126A"/>
    <w:rsid w:val="00CA145D"/>
    <w:rsid w:val="00CA2BA8"/>
    <w:rsid w:val="00CA2C8E"/>
    <w:rsid w:val="00CA38F0"/>
    <w:rsid w:val="00CA4255"/>
    <w:rsid w:val="00CA4A05"/>
    <w:rsid w:val="00CA4C72"/>
    <w:rsid w:val="00CA5A7F"/>
    <w:rsid w:val="00CA5AA1"/>
    <w:rsid w:val="00CA6BB0"/>
    <w:rsid w:val="00CB0FB6"/>
    <w:rsid w:val="00CB10D8"/>
    <w:rsid w:val="00CB1B62"/>
    <w:rsid w:val="00CB1D29"/>
    <w:rsid w:val="00CB2BCC"/>
    <w:rsid w:val="00CB2D28"/>
    <w:rsid w:val="00CB2ED4"/>
    <w:rsid w:val="00CB356D"/>
    <w:rsid w:val="00CB40B4"/>
    <w:rsid w:val="00CB540C"/>
    <w:rsid w:val="00CB5DBC"/>
    <w:rsid w:val="00CB5F22"/>
    <w:rsid w:val="00CB760B"/>
    <w:rsid w:val="00CC0258"/>
    <w:rsid w:val="00CC0637"/>
    <w:rsid w:val="00CC0CED"/>
    <w:rsid w:val="00CC1282"/>
    <w:rsid w:val="00CC28EE"/>
    <w:rsid w:val="00CC2A29"/>
    <w:rsid w:val="00CC39B3"/>
    <w:rsid w:val="00CC417D"/>
    <w:rsid w:val="00CC4F62"/>
    <w:rsid w:val="00CC60D7"/>
    <w:rsid w:val="00CC62EA"/>
    <w:rsid w:val="00CC7C5B"/>
    <w:rsid w:val="00CC7E91"/>
    <w:rsid w:val="00CD0D8A"/>
    <w:rsid w:val="00CD0E7E"/>
    <w:rsid w:val="00CD23DB"/>
    <w:rsid w:val="00CD271A"/>
    <w:rsid w:val="00CD3CF8"/>
    <w:rsid w:val="00CD42D7"/>
    <w:rsid w:val="00CD4704"/>
    <w:rsid w:val="00CD5365"/>
    <w:rsid w:val="00CD5393"/>
    <w:rsid w:val="00CD61CA"/>
    <w:rsid w:val="00CD654F"/>
    <w:rsid w:val="00CD6A50"/>
    <w:rsid w:val="00CD7673"/>
    <w:rsid w:val="00CD780C"/>
    <w:rsid w:val="00CD7AA5"/>
    <w:rsid w:val="00CD7E1E"/>
    <w:rsid w:val="00CE0EB7"/>
    <w:rsid w:val="00CE1B5B"/>
    <w:rsid w:val="00CE1E5E"/>
    <w:rsid w:val="00CE225D"/>
    <w:rsid w:val="00CE2619"/>
    <w:rsid w:val="00CE26F6"/>
    <w:rsid w:val="00CE2C70"/>
    <w:rsid w:val="00CE316C"/>
    <w:rsid w:val="00CE363E"/>
    <w:rsid w:val="00CE3A6C"/>
    <w:rsid w:val="00CE441C"/>
    <w:rsid w:val="00CE53AB"/>
    <w:rsid w:val="00CE5646"/>
    <w:rsid w:val="00CE6504"/>
    <w:rsid w:val="00CE68B0"/>
    <w:rsid w:val="00CE6BD9"/>
    <w:rsid w:val="00CE7DDE"/>
    <w:rsid w:val="00CE7F22"/>
    <w:rsid w:val="00CF0118"/>
    <w:rsid w:val="00CF0680"/>
    <w:rsid w:val="00CF06CD"/>
    <w:rsid w:val="00CF0753"/>
    <w:rsid w:val="00CF12B6"/>
    <w:rsid w:val="00CF18B6"/>
    <w:rsid w:val="00CF2570"/>
    <w:rsid w:val="00CF2C0D"/>
    <w:rsid w:val="00CF2DB2"/>
    <w:rsid w:val="00CF2F2E"/>
    <w:rsid w:val="00CF31D4"/>
    <w:rsid w:val="00CF3FC3"/>
    <w:rsid w:val="00CF571D"/>
    <w:rsid w:val="00CF5D9B"/>
    <w:rsid w:val="00CF7C43"/>
    <w:rsid w:val="00D00710"/>
    <w:rsid w:val="00D00B1E"/>
    <w:rsid w:val="00D0198A"/>
    <w:rsid w:val="00D0474D"/>
    <w:rsid w:val="00D049D1"/>
    <w:rsid w:val="00D07EDD"/>
    <w:rsid w:val="00D115A4"/>
    <w:rsid w:val="00D11A85"/>
    <w:rsid w:val="00D134AA"/>
    <w:rsid w:val="00D13917"/>
    <w:rsid w:val="00D13A3D"/>
    <w:rsid w:val="00D13BCF"/>
    <w:rsid w:val="00D13EA3"/>
    <w:rsid w:val="00D1481B"/>
    <w:rsid w:val="00D149EA"/>
    <w:rsid w:val="00D15777"/>
    <w:rsid w:val="00D16938"/>
    <w:rsid w:val="00D16A25"/>
    <w:rsid w:val="00D17A16"/>
    <w:rsid w:val="00D17DE7"/>
    <w:rsid w:val="00D205C7"/>
    <w:rsid w:val="00D205E6"/>
    <w:rsid w:val="00D2118D"/>
    <w:rsid w:val="00D21C6A"/>
    <w:rsid w:val="00D225AC"/>
    <w:rsid w:val="00D226C1"/>
    <w:rsid w:val="00D2285A"/>
    <w:rsid w:val="00D22BD7"/>
    <w:rsid w:val="00D24513"/>
    <w:rsid w:val="00D26307"/>
    <w:rsid w:val="00D2673C"/>
    <w:rsid w:val="00D27B3B"/>
    <w:rsid w:val="00D30DC2"/>
    <w:rsid w:val="00D31037"/>
    <w:rsid w:val="00D311B1"/>
    <w:rsid w:val="00D318DC"/>
    <w:rsid w:val="00D31AB2"/>
    <w:rsid w:val="00D323D5"/>
    <w:rsid w:val="00D32929"/>
    <w:rsid w:val="00D3322A"/>
    <w:rsid w:val="00D334B8"/>
    <w:rsid w:val="00D33579"/>
    <w:rsid w:val="00D336A5"/>
    <w:rsid w:val="00D350BA"/>
    <w:rsid w:val="00D35149"/>
    <w:rsid w:val="00D35B58"/>
    <w:rsid w:val="00D36273"/>
    <w:rsid w:val="00D366F4"/>
    <w:rsid w:val="00D36C43"/>
    <w:rsid w:val="00D400EB"/>
    <w:rsid w:val="00D407D2"/>
    <w:rsid w:val="00D414D3"/>
    <w:rsid w:val="00D419F1"/>
    <w:rsid w:val="00D41ADF"/>
    <w:rsid w:val="00D4212E"/>
    <w:rsid w:val="00D42217"/>
    <w:rsid w:val="00D438E6"/>
    <w:rsid w:val="00D44CC2"/>
    <w:rsid w:val="00D451AF"/>
    <w:rsid w:val="00D451BE"/>
    <w:rsid w:val="00D45FFD"/>
    <w:rsid w:val="00D4617E"/>
    <w:rsid w:val="00D465A3"/>
    <w:rsid w:val="00D46C6A"/>
    <w:rsid w:val="00D46CC8"/>
    <w:rsid w:val="00D46D9C"/>
    <w:rsid w:val="00D47C10"/>
    <w:rsid w:val="00D506B6"/>
    <w:rsid w:val="00D51531"/>
    <w:rsid w:val="00D51A3E"/>
    <w:rsid w:val="00D5238A"/>
    <w:rsid w:val="00D52925"/>
    <w:rsid w:val="00D52E2D"/>
    <w:rsid w:val="00D531D4"/>
    <w:rsid w:val="00D53539"/>
    <w:rsid w:val="00D537A3"/>
    <w:rsid w:val="00D53851"/>
    <w:rsid w:val="00D544FD"/>
    <w:rsid w:val="00D54FCA"/>
    <w:rsid w:val="00D5517D"/>
    <w:rsid w:val="00D55F97"/>
    <w:rsid w:val="00D60DE2"/>
    <w:rsid w:val="00D61DA1"/>
    <w:rsid w:val="00D62BB0"/>
    <w:rsid w:val="00D63444"/>
    <w:rsid w:val="00D634A4"/>
    <w:rsid w:val="00D6375D"/>
    <w:rsid w:val="00D63BC8"/>
    <w:rsid w:val="00D63D51"/>
    <w:rsid w:val="00D646AF"/>
    <w:rsid w:val="00D652E7"/>
    <w:rsid w:val="00D657CA"/>
    <w:rsid w:val="00D65E90"/>
    <w:rsid w:val="00D66171"/>
    <w:rsid w:val="00D66217"/>
    <w:rsid w:val="00D6730D"/>
    <w:rsid w:val="00D67CB3"/>
    <w:rsid w:val="00D70449"/>
    <w:rsid w:val="00D70800"/>
    <w:rsid w:val="00D70C44"/>
    <w:rsid w:val="00D70C67"/>
    <w:rsid w:val="00D7166B"/>
    <w:rsid w:val="00D7190A"/>
    <w:rsid w:val="00D71A42"/>
    <w:rsid w:val="00D72762"/>
    <w:rsid w:val="00D72934"/>
    <w:rsid w:val="00D7337C"/>
    <w:rsid w:val="00D734FE"/>
    <w:rsid w:val="00D7487B"/>
    <w:rsid w:val="00D74920"/>
    <w:rsid w:val="00D756E0"/>
    <w:rsid w:val="00D75C00"/>
    <w:rsid w:val="00D75F18"/>
    <w:rsid w:val="00D764CC"/>
    <w:rsid w:val="00D765E4"/>
    <w:rsid w:val="00D76B3F"/>
    <w:rsid w:val="00D770F7"/>
    <w:rsid w:val="00D77F0C"/>
    <w:rsid w:val="00D80094"/>
    <w:rsid w:val="00D8042D"/>
    <w:rsid w:val="00D804A3"/>
    <w:rsid w:val="00D80D2E"/>
    <w:rsid w:val="00D81336"/>
    <w:rsid w:val="00D813B3"/>
    <w:rsid w:val="00D81555"/>
    <w:rsid w:val="00D816F4"/>
    <w:rsid w:val="00D81DFA"/>
    <w:rsid w:val="00D820CD"/>
    <w:rsid w:val="00D821EF"/>
    <w:rsid w:val="00D827AD"/>
    <w:rsid w:val="00D82D87"/>
    <w:rsid w:val="00D831BF"/>
    <w:rsid w:val="00D847EF"/>
    <w:rsid w:val="00D86A5C"/>
    <w:rsid w:val="00D86B76"/>
    <w:rsid w:val="00D870E3"/>
    <w:rsid w:val="00D87CA4"/>
    <w:rsid w:val="00D90680"/>
    <w:rsid w:val="00D909C0"/>
    <w:rsid w:val="00D90E1B"/>
    <w:rsid w:val="00D922C0"/>
    <w:rsid w:val="00D931FD"/>
    <w:rsid w:val="00D935ED"/>
    <w:rsid w:val="00D9392A"/>
    <w:rsid w:val="00D9451F"/>
    <w:rsid w:val="00D94AD0"/>
    <w:rsid w:val="00D94C13"/>
    <w:rsid w:val="00D94DD3"/>
    <w:rsid w:val="00D9522A"/>
    <w:rsid w:val="00D95818"/>
    <w:rsid w:val="00D9670E"/>
    <w:rsid w:val="00D9695D"/>
    <w:rsid w:val="00D97A5B"/>
    <w:rsid w:val="00DA0094"/>
    <w:rsid w:val="00DA0322"/>
    <w:rsid w:val="00DA15FA"/>
    <w:rsid w:val="00DA1673"/>
    <w:rsid w:val="00DA1BDE"/>
    <w:rsid w:val="00DA1E74"/>
    <w:rsid w:val="00DA3502"/>
    <w:rsid w:val="00DA4188"/>
    <w:rsid w:val="00DA45AB"/>
    <w:rsid w:val="00DA4606"/>
    <w:rsid w:val="00DA494E"/>
    <w:rsid w:val="00DA5AD9"/>
    <w:rsid w:val="00DA5D3A"/>
    <w:rsid w:val="00DA67B2"/>
    <w:rsid w:val="00DA7131"/>
    <w:rsid w:val="00DA7384"/>
    <w:rsid w:val="00DA7E0E"/>
    <w:rsid w:val="00DB02A1"/>
    <w:rsid w:val="00DB0B37"/>
    <w:rsid w:val="00DB0C59"/>
    <w:rsid w:val="00DB190E"/>
    <w:rsid w:val="00DB1ED9"/>
    <w:rsid w:val="00DB26FA"/>
    <w:rsid w:val="00DB28B1"/>
    <w:rsid w:val="00DB2C53"/>
    <w:rsid w:val="00DB2FCB"/>
    <w:rsid w:val="00DB336D"/>
    <w:rsid w:val="00DB3C22"/>
    <w:rsid w:val="00DB3FD5"/>
    <w:rsid w:val="00DB4A6B"/>
    <w:rsid w:val="00DB4D50"/>
    <w:rsid w:val="00DB6548"/>
    <w:rsid w:val="00DB680D"/>
    <w:rsid w:val="00DB7D56"/>
    <w:rsid w:val="00DC1336"/>
    <w:rsid w:val="00DC2435"/>
    <w:rsid w:val="00DC2CBA"/>
    <w:rsid w:val="00DC2DD3"/>
    <w:rsid w:val="00DC358E"/>
    <w:rsid w:val="00DC59B3"/>
    <w:rsid w:val="00DC61EE"/>
    <w:rsid w:val="00DC63A0"/>
    <w:rsid w:val="00DC6735"/>
    <w:rsid w:val="00DC6D14"/>
    <w:rsid w:val="00DC6D45"/>
    <w:rsid w:val="00DC78FF"/>
    <w:rsid w:val="00DD05FE"/>
    <w:rsid w:val="00DD152B"/>
    <w:rsid w:val="00DD179D"/>
    <w:rsid w:val="00DD1B88"/>
    <w:rsid w:val="00DD1DEE"/>
    <w:rsid w:val="00DD1F62"/>
    <w:rsid w:val="00DD309A"/>
    <w:rsid w:val="00DD3A69"/>
    <w:rsid w:val="00DD3CBC"/>
    <w:rsid w:val="00DD4100"/>
    <w:rsid w:val="00DD4794"/>
    <w:rsid w:val="00DD4D01"/>
    <w:rsid w:val="00DD59E1"/>
    <w:rsid w:val="00DD6766"/>
    <w:rsid w:val="00DD738B"/>
    <w:rsid w:val="00DE07F1"/>
    <w:rsid w:val="00DE1241"/>
    <w:rsid w:val="00DE193C"/>
    <w:rsid w:val="00DE1B98"/>
    <w:rsid w:val="00DE1D59"/>
    <w:rsid w:val="00DE3BB9"/>
    <w:rsid w:val="00DE3C44"/>
    <w:rsid w:val="00DE3C94"/>
    <w:rsid w:val="00DE4544"/>
    <w:rsid w:val="00DE587A"/>
    <w:rsid w:val="00DE61CA"/>
    <w:rsid w:val="00DE6733"/>
    <w:rsid w:val="00DE6A4E"/>
    <w:rsid w:val="00DE6BBB"/>
    <w:rsid w:val="00DE6C6C"/>
    <w:rsid w:val="00DE77AF"/>
    <w:rsid w:val="00DF0046"/>
    <w:rsid w:val="00DF0070"/>
    <w:rsid w:val="00DF0871"/>
    <w:rsid w:val="00DF0976"/>
    <w:rsid w:val="00DF2C24"/>
    <w:rsid w:val="00DF3F54"/>
    <w:rsid w:val="00DF41D5"/>
    <w:rsid w:val="00DF455C"/>
    <w:rsid w:val="00DF4841"/>
    <w:rsid w:val="00DF5951"/>
    <w:rsid w:val="00DF5DB5"/>
    <w:rsid w:val="00DF7096"/>
    <w:rsid w:val="00E018ED"/>
    <w:rsid w:val="00E01CB3"/>
    <w:rsid w:val="00E02EB8"/>
    <w:rsid w:val="00E039A8"/>
    <w:rsid w:val="00E03CD5"/>
    <w:rsid w:val="00E048E5"/>
    <w:rsid w:val="00E052EF"/>
    <w:rsid w:val="00E06245"/>
    <w:rsid w:val="00E06977"/>
    <w:rsid w:val="00E06BBE"/>
    <w:rsid w:val="00E06D43"/>
    <w:rsid w:val="00E06D76"/>
    <w:rsid w:val="00E07E01"/>
    <w:rsid w:val="00E10780"/>
    <w:rsid w:val="00E11334"/>
    <w:rsid w:val="00E11532"/>
    <w:rsid w:val="00E11F0A"/>
    <w:rsid w:val="00E1223D"/>
    <w:rsid w:val="00E1324C"/>
    <w:rsid w:val="00E143A8"/>
    <w:rsid w:val="00E149F1"/>
    <w:rsid w:val="00E14A82"/>
    <w:rsid w:val="00E14D00"/>
    <w:rsid w:val="00E14D80"/>
    <w:rsid w:val="00E15BE1"/>
    <w:rsid w:val="00E15D6A"/>
    <w:rsid w:val="00E15D8D"/>
    <w:rsid w:val="00E16913"/>
    <w:rsid w:val="00E16B3A"/>
    <w:rsid w:val="00E1707B"/>
    <w:rsid w:val="00E170FE"/>
    <w:rsid w:val="00E17107"/>
    <w:rsid w:val="00E17971"/>
    <w:rsid w:val="00E17C20"/>
    <w:rsid w:val="00E17C3F"/>
    <w:rsid w:val="00E22221"/>
    <w:rsid w:val="00E2296C"/>
    <w:rsid w:val="00E23333"/>
    <w:rsid w:val="00E23B4D"/>
    <w:rsid w:val="00E2476C"/>
    <w:rsid w:val="00E247EB"/>
    <w:rsid w:val="00E24E21"/>
    <w:rsid w:val="00E2515B"/>
    <w:rsid w:val="00E25783"/>
    <w:rsid w:val="00E25ACB"/>
    <w:rsid w:val="00E26548"/>
    <w:rsid w:val="00E26BCD"/>
    <w:rsid w:val="00E26D10"/>
    <w:rsid w:val="00E27CD2"/>
    <w:rsid w:val="00E30483"/>
    <w:rsid w:val="00E30AFB"/>
    <w:rsid w:val="00E31EED"/>
    <w:rsid w:val="00E3220A"/>
    <w:rsid w:val="00E3280E"/>
    <w:rsid w:val="00E32B24"/>
    <w:rsid w:val="00E32D80"/>
    <w:rsid w:val="00E32F9D"/>
    <w:rsid w:val="00E33668"/>
    <w:rsid w:val="00E338C6"/>
    <w:rsid w:val="00E33A4F"/>
    <w:rsid w:val="00E3451B"/>
    <w:rsid w:val="00E34A58"/>
    <w:rsid w:val="00E34D12"/>
    <w:rsid w:val="00E35501"/>
    <w:rsid w:val="00E36DE5"/>
    <w:rsid w:val="00E3715C"/>
    <w:rsid w:val="00E37D6E"/>
    <w:rsid w:val="00E405ED"/>
    <w:rsid w:val="00E41F72"/>
    <w:rsid w:val="00E428FB"/>
    <w:rsid w:val="00E42D8D"/>
    <w:rsid w:val="00E4310A"/>
    <w:rsid w:val="00E4367E"/>
    <w:rsid w:val="00E43BFC"/>
    <w:rsid w:val="00E441CB"/>
    <w:rsid w:val="00E44DE8"/>
    <w:rsid w:val="00E45130"/>
    <w:rsid w:val="00E4532C"/>
    <w:rsid w:val="00E460D6"/>
    <w:rsid w:val="00E4766D"/>
    <w:rsid w:val="00E516CB"/>
    <w:rsid w:val="00E52014"/>
    <w:rsid w:val="00E5211B"/>
    <w:rsid w:val="00E527E0"/>
    <w:rsid w:val="00E53B5E"/>
    <w:rsid w:val="00E54D14"/>
    <w:rsid w:val="00E5613D"/>
    <w:rsid w:val="00E5746E"/>
    <w:rsid w:val="00E5761B"/>
    <w:rsid w:val="00E600A6"/>
    <w:rsid w:val="00E600C9"/>
    <w:rsid w:val="00E60D9A"/>
    <w:rsid w:val="00E612CB"/>
    <w:rsid w:val="00E613A7"/>
    <w:rsid w:val="00E616AB"/>
    <w:rsid w:val="00E618FF"/>
    <w:rsid w:val="00E63125"/>
    <w:rsid w:val="00E63189"/>
    <w:rsid w:val="00E635C0"/>
    <w:rsid w:val="00E63961"/>
    <w:rsid w:val="00E642CA"/>
    <w:rsid w:val="00E64C1F"/>
    <w:rsid w:val="00E657E7"/>
    <w:rsid w:val="00E66920"/>
    <w:rsid w:val="00E671C5"/>
    <w:rsid w:val="00E672F0"/>
    <w:rsid w:val="00E673F9"/>
    <w:rsid w:val="00E679BF"/>
    <w:rsid w:val="00E7138D"/>
    <w:rsid w:val="00E71406"/>
    <w:rsid w:val="00E72296"/>
    <w:rsid w:val="00E723BD"/>
    <w:rsid w:val="00E726B0"/>
    <w:rsid w:val="00E72721"/>
    <w:rsid w:val="00E72FA9"/>
    <w:rsid w:val="00E73491"/>
    <w:rsid w:val="00E73A94"/>
    <w:rsid w:val="00E73FFF"/>
    <w:rsid w:val="00E75683"/>
    <w:rsid w:val="00E75ACA"/>
    <w:rsid w:val="00E760E7"/>
    <w:rsid w:val="00E80254"/>
    <w:rsid w:val="00E80776"/>
    <w:rsid w:val="00E819D2"/>
    <w:rsid w:val="00E81C96"/>
    <w:rsid w:val="00E827E3"/>
    <w:rsid w:val="00E82B76"/>
    <w:rsid w:val="00E85427"/>
    <w:rsid w:val="00E85A20"/>
    <w:rsid w:val="00E8648B"/>
    <w:rsid w:val="00E86D40"/>
    <w:rsid w:val="00E8738D"/>
    <w:rsid w:val="00E874BB"/>
    <w:rsid w:val="00E87C1E"/>
    <w:rsid w:val="00E87D5F"/>
    <w:rsid w:val="00E900A0"/>
    <w:rsid w:val="00E907C2"/>
    <w:rsid w:val="00E907DA"/>
    <w:rsid w:val="00E910F1"/>
    <w:rsid w:val="00E9195B"/>
    <w:rsid w:val="00E91A3A"/>
    <w:rsid w:val="00E934EC"/>
    <w:rsid w:val="00E93DA1"/>
    <w:rsid w:val="00E9451E"/>
    <w:rsid w:val="00E948C0"/>
    <w:rsid w:val="00E94BC7"/>
    <w:rsid w:val="00E9614C"/>
    <w:rsid w:val="00E9673E"/>
    <w:rsid w:val="00E972DA"/>
    <w:rsid w:val="00E9789B"/>
    <w:rsid w:val="00E97AF4"/>
    <w:rsid w:val="00EA004C"/>
    <w:rsid w:val="00EA0386"/>
    <w:rsid w:val="00EA102A"/>
    <w:rsid w:val="00EA142B"/>
    <w:rsid w:val="00EA1903"/>
    <w:rsid w:val="00EA2243"/>
    <w:rsid w:val="00EA27F3"/>
    <w:rsid w:val="00EA29BF"/>
    <w:rsid w:val="00EA2F08"/>
    <w:rsid w:val="00EA3D41"/>
    <w:rsid w:val="00EA4B3E"/>
    <w:rsid w:val="00EA502E"/>
    <w:rsid w:val="00EA5143"/>
    <w:rsid w:val="00EA5538"/>
    <w:rsid w:val="00EA63BC"/>
    <w:rsid w:val="00EA7D88"/>
    <w:rsid w:val="00EA7DF9"/>
    <w:rsid w:val="00EB000F"/>
    <w:rsid w:val="00EB058C"/>
    <w:rsid w:val="00EB07B4"/>
    <w:rsid w:val="00EB0B53"/>
    <w:rsid w:val="00EB29E6"/>
    <w:rsid w:val="00EB36BB"/>
    <w:rsid w:val="00EB378A"/>
    <w:rsid w:val="00EB3A00"/>
    <w:rsid w:val="00EB45B2"/>
    <w:rsid w:val="00EB51EF"/>
    <w:rsid w:val="00EB5437"/>
    <w:rsid w:val="00EB5880"/>
    <w:rsid w:val="00EB5889"/>
    <w:rsid w:val="00EB6225"/>
    <w:rsid w:val="00EB73C2"/>
    <w:rsid w:val="00EB760D"/>
    <w:rsid w:val="00EB7FFE"/>
    <w:rsid w:val="00EC059B"/>
    <w:rsid w:val="00EC156B"/>
    <w:rsid w:val="00EC1DC2"/>
    <w:rsid w:val="00EC1E6E"/>
    <w:rsid w:val="00EC339C"/>
    <w:rsid w:val="00EC361E"/>
    <w:rsid w:val="00EC47F3"/>
    <w:rsid w:val="00EC4DBD"/>
    <w:rsid w:val="00EC5A2A"/>
    <w:rsid w:val="00EC5F86"/>
    <w:rsid w:val="00EC6250"/>
    <w:rsid w:val="00EC6956"/>
    <w:rsid w:val="00EC702A"/>
    <w:rsid w:val="00EC76BB"/>
    <w:rsid w:val="00ED0571"/>
    <w:rsid w:val="00ED09D2"/>
    <w:rsid w:val="00ED0A33"/>
    <w:rsid w:val="00ED0D53"/>
    <w:rsid w:val="00ED0F51"/>
    <w:rsid w:val="00ED1651"/>
    <w:rsid w:val="00ED1C2E"/>
    <w:rsid w:val="00ED1E52"/>
    <w:rsid w:val="00ED205D"/>
    <w:rsid w:val="00ED47C9"/>
    <w:rsid w:val="00ED6888"/>
    <w:rsid w:val="00ED68EC"/>
    <w:rsid w:val="00ED6D38"/>
    <w:rsid w:val="00ED6FB3"/>
    <w:rsid w:val="00ED700B"/>
    <w:rsid w:val="00ED7083"/>
    <w:rsid w:val="00EE00A2"/>
    <w:rsid w:val="00EE07E0"/>
    <w:rsid w:val="00EE0BE9"/>
    <w:rsid w:val="00EE0FFF"/>
    <w:rsid w:val="00EE1844"/>
    <w:rsid w:val="00EE18D5"/>
    <w:rsid w:val="00EE1A71"/>
    <w:rsid w:val="00EE2570"/>
    <w:rsid w:val="00EE5665"/>
    <w:rsid w:val="00EE6A8B"/>
    <w:rsid w:val="00EE6D84"/>
    <w:rsid w:val="00EE7127"/>
    <w:rsid w:val="00EE7473"/>
    <w:rsid w:val="00EE781F"/>
    <w:rsid w:val="00EF1271"/>
    <w:rsid w:val="00EF213E"/>
    <w:rsid w:val="00EF265B"/>
    <w:rsid w:val="00EF3699"/>
    <w:rsid w:val="00EF4216"/>
    <w:rsid w:val="00EF4AB3"/>
    <w:rsid w:val="00EF6D1C"/>
    <w:rsid w:val="00EF73AB"/>
    <w:rsid w:val="00EF73C4"/>
    <w:rsid w:val="00EF77CA"/>
    <w:rsid w:val="00EF7F83"/>
    <w:rsid w:val="00F006B5"/>
    <w:rsid w:val="00F00A28"/>
    <w:rsid w:val="00F00B71"/>
    <w:rsid w:val="00F00DD1"/>
    <w:rsid w:val="00F01932"/>
    <w:rsid w:val="00F01D0E"/>
    <w:rsid w:val="00F022BB"/>
    <w:rsid w:val="00F02B3D"/>
    <w:rsid w:val="00F0346C"/>
    <w:rsid w:val="00F03CC3"/>
    <w:rsid w:val="00F04077"/>
    <w:rsid w:val="00F045EC"/>
    <w:rsid w:val="00F04759"/>
    <w:rsid w:val="00F04949"/>
    <w:rsid w:val="00F050B6"/>
    <w:rsid w:val="00F05145"/>
    <w:rsid w:val="00F051B6"/>
    <w:rsid w:val="00F05C23"/>
    <w:rsid w:val="00F064F7"/>
    <w:rsid w:val="00F0669F"/>
    <w:rsid w:val="00F06B64"/>
    <w:rsid w:val="00F06D15"/>
    <w:rsid w:val="00F06FB9"/>
    <w:rsid w:val="00F0726E"/>
    <w:rsid w:val="00F074AF"/>
    <w:rsid w:val="00F104BE"/>
    <w:rsid w:val="00F10E16"/>
    <w:rsid w:val="00F10FE5"/>
    <w:rsid w:val="00F11079"/>
    <w:rsid w:val="00F11591"/>
    <w:rsid w:val="00F11FC7"/>
    <w:rsid w:val="00F124E6"/>
    <w:rsid w:val="00F125E3"/>
    <w:rsid w:val="00F1357A"/>
    <w:rsid w:val="00F1481F"/>
    <w:rsid w:val="00F150FE"/>
    <w:rsid w:val="00F15A81"/>
    <w:rsid w:val="00F15DA2"/>
    <w:rsid w:val="00F163BF"/>
    <w:rsid w:val="00F16F29"/>
    <w:rsid w:val="00F16F53"/>
    <w:rsid w:val="00F178EB"/>
    <w:rsid w:val="00F17944"/>
    <w:rsid w:val="00F17E38"/>
    <w:rsid w:val="00F208A8"/>
    <w:rsid w:val="00F20F8B"/>
    <w:rsid w:val="00F213EA"/>
    <w:rsid w:val="00F2141B"/>
    <w:rsid w:val="00F219F1"/>
    <w:rsid w:val="00F22135"/>
    <w:rsid w:val="00F224B5"/>
    <w:rsid w:val="00F22794"/>
    <w:rsid w:val="00F2353E"/>
    <w:rsid w:val="00F23EF6"/>
    <w:rsid w:val="00F245C7"/>
    <w:rsid w:val="00F24668"/>
    <w:rsid w:val="00F2548B"/>
    <w:rsid w:val="00F25DCD"/>
    <w:rsid w:val="00F25FBA"/>
    <w:rsid w:val="00F268A0"/>
    <w:rsid w:val="00F2751E"/>
    <w:rsid w:val="00F27D71"/>
    <w:rsid w:val="00F30527"/>
    <w:rsid w:val="00F30F28"/>
    <w:rsid w:val="00F30FF9"/>
    <w:rsid w:val="00F31E6E"/>
    <w:rsid w:val="00F34D58"/>
    <w:rsid w:val="00F35320"/>
    <w:rsid w:val="00F35BF9"/>
    <w:rsid w:val="00F360FF"/>
    <w:rsid w:val="00F373F2"/>
    <w:rsid w:val="00F373FB"/>
    <w:rsid w:val="00F404FC"/>
    <w:rsid w:val="00F40819"/>
    <w:rsid w:val="00F4082A"/>
    <w:rsid w:val="00F40ADF"/>
    <w:rsid w:val="00F41350"/>
    <w:rsid w:val="00F41522"/>
    <w:rsid w:val="00F41896"/>
    <w:rsid w:val="00F423F3"/>
    <w:rsid w:val="00F43275"/>
    <w:rsid w:val="00F43E0B"/>
    <w:rsid w:val="00F43E0E"/>
    <w:rsid w:val="00F45775"/>
    <w:rsid w:val="00F463D0"/>
    <w:rsid w:val="00F4669D"/>
    <w:rsid w:val="00F4681B"/>
    <w:rsid w:val="00F46E3E"/>
    <w:rsid w:val="00F472C1"/>
    <w:rsid w:val="00F5041D"/>
    <w:rsid w:val="00F50DC1"/>
    <w:rsid w:val="00F51307"/>
    <w:rsid w:val="00F52BC5"/>
    <w:rsid w:val="00F5318E"/>
    <w:rsid w:val="00F533E5"/>
    <w:rsid w:val="00F53A99"/>
    <w:rsid w:val="00F53C93"/>
    <w:rsid w:val="00F53DEE"/>
    <w:rsid w:val="00F53F9F"/>
    <w:rsid w:val="00F546F7"/>
    <w:rsid w:val="00F56498"/>
    <w:rsid w:val="00F56F41"/>
    <w:rsid w:val="00F57550"/>
    <w:rsid w:val="00F578B7"/>
    <w:rsid w:val="00F57D93"/>
    <w:rsid w:val="00F60106"/>
    <w:rsid w:val="00F6035D"/>
    <w:rsid w:val="00F623E7"/>
    <w:rsid w:val="00F62652"/>
    <w:rsid w:val="00F62C31"/>
    <w:rsid w:val="00F63006"/>
    <w:rsid w:val="00F63650"/>
    <w:rsid w:val="00F6442D"/>
    <w:rsid w:val="00F64FFA"/>
    <w:rsid w:val="00F651BF"/>
    <w:rsid w:val="00F65575"/>
    <w:rsid w:val="00F65D17"/>
    <w:rsid w:val="00F65F0F"/>
    <w:rsid w:val="00F66818"/>
    <w:rsid w:val="00F66B66"/>
    <w:rsid w:val="00F67222"/>
    <w:rsid w:val="00F676A3"/>
    <w:rsid w:val="00F67ACF"/>
    <w:rsid w:val="00F67B03"/>
    <w:rsid w:val="00F67FCF"/>
    <w:rsid w:val="00F70469"/>
    <w:rsid w:val="00F70554"/>
    <w:rsid w:val="00F70D9C"/>
    <w:rsid w:val="00F71887"/>
    <w:rsid w:val="00F72F60"/>
    <w:rsid w:val="00F741D8"/>
    <w:rsid w:val="00F74675"/>
    <w:rsid w:val="00F767D9"/>
    <w:rsid w:val="00F76950"/>
    <w:rsid w:val="00F76E4A"/>
    <w:rsid w:val="00F77228"/>
    <w:rsid w:val="00F7757C"/>
    <w:rsid w:val="00F80D11"/>
    <w:rsid w:val="00F83449"/>
    <w:rsid w:val="00F845A1"/>
    <w:rsid w:val="00F85DCB"/>
    <w:rsid w:val="00F87107"/>
    <w:rsid w:val="00F87C4A"/>
    <w:rsid w:val="00F87E3C"/>
    <w:rsid w:val="00F90439"/>
    <w:rsid w:val="00F9076A"/>
    <w:rsid w:val="00F92288"/>
    <w:rsid w:val="00F92558"/>
    <w:rsid w:val="00F934E3"/>
    <w:rsid w:val="00F94370"/>
    <w:rsid w:val="00F9554A"/>
    <w:rsid w:val="00F95567"/>
    <w:rsid w:val="00F97545"/>
    <w:rsid w:val="00F97B6A"/>
    <w:rsid w:val="00F97C53"/>
    <w:rsid w:val="00FA02B6"/>
    <w:rsid w:val="00FA0408"/>
    <w:rsid w:val="00FA190A"/>
    <w:rsid w:val="00FA1B3C"/>
    <w:rsid w:val="00FA236D"/>
    <w:rsid w:val="00FA2450"/>
    <w:rsid w:val="00FA24CD"/>
    <w:rsid w:val="00FA2ABB"/>
    <w:rsid w:val="00FA5AB8"/>
    <w:rsid w:val="00FA65C5"/>
    <w:rsid w:val="00FA71EB"/>
    <w:rsid w:val="00FA76BE"/>
    <w:rsid w:val="00FA7E5B"/>
    <w:rsid w:val="00FB010D"/>
    <w:rsid w:val="00FB0397"/>
    <w:rsid w:val="00FB0538"/>
    <w:rsid w:val="00FB0EB7"/>
    <w:rsid w:val="00FB1564"/>
    <w:rsid w:val="00FB1FE9"/>
    <w:rsid w:val="00FB225E"/>
    <w:rsid w:val="00FB2381"/>
    <w:rsid w:val="00FB296C"/>
    <w:rsid w:val="00FB2DB5"/>
    <w:rsid w:val="00FB44B9"/>
    <w:rsid w:val="00FB63EA"/>
    <w:rsid w:val="00FB7064"/>
    <w:rsid w:val="00FB7307"/>
    <w:rsid w:val="00FB77BA"/>
    <w:rsid w:val="00FB7E0E"/>
    <w:rsid w:val="00FB7FA1"/>
    <w:rsid w:val="00FC0055"/>
    <w:rsid w:val="00FC0A27"/>
    <w:rsid w:val="00FC14FE"/>
    <w:rsid w:val="00FC46D1"/>
    <w:rsid w:val="00FC4B74"/>
    <w:rsid w:val="00FC56C3"/>
    <w:rsid w:val="00FC6BF7"/>
    <w:rsid w:val="00FC7016"/>
    <w:rsid w:val="00FC757F"/>
    <w:rsid w:val="00FC769B"/>
    <w:rsid w:val="00FC7BF8"/>
    <w:rsid w:val="00FD09D1"/>
    <w:rsid w:val="00FD25A2"/>
    <w:rsid w:val="00FD28B2"/>
    <w:rsid w:val="00FD3167"/>
    <w:rsid w:val="00FD3B8C"/>
    <w:rsid w:val="00FD3BBE"/>
    <w:rsid w:val="00FD434F"/>
    <w:rsid w:val="00FD5B62"/>
    <w:rsid w:val="00FD5B71"/>
    <w:rsid w:val="00FD5CC3"/>
    <w:rsid w:val="00FD5D19"/>
    <w:rsid w:val="00FD6B15"/>
    <w:rsid w:val="00FD71B9"/>
    <w:rsid w:val="00FD7C67"/>
    <w:rsid w:val="00FE00B8"/>
    <w:rsid w:val="00FE0704"/>
    <w:rsid w:val="00FE0B42"/>
    <w:rsid w:val="00FE0F0D"/>
    <w:rsid w:val="00FE1599"/>
    <w:rsid w:val="00FE1C45"/>
    <w:rsid w:val="00FE2BA4"/>
    <w:rsid w:val="00FE324D"/>
    <w:rsid w:val="00FE3365"/>
    <w:rsid w:val="00FE3537"/>
    <w:rsid w:val="00FE3978"/>
    <w:rsid w:val="00FE3B6C"/>
    <w:rsid w:val="00FE4136"/>
    <w:rsid w:val="00FE4AB0"/>
    <w:rsid w:val="00FE4D7F"/>
    <w:rsid w:val="00FE532B"/>
    <w:rsid w:val="00FE5378"/>
    <w:rsid w:val="00FE57B5"/>
    <w:rsid w:val="00FE5B6E"/>
    <w:rsid w:val="00FE6611"/>
    <w:rsid w:val="00FE71D6"/>
    <w:rsid w:val="00FE77AE"/>
    <w:rsid w:val="00FE78C1"/>
    <w:rsid w:val="00FF058E"/>
    <w:rsid w:val="00FF1526"/>
    <w:rsid w:val="00FF23FC"/>
    <w:rsid w:val="00FF3581"/>
    <w:rsid w:val="00FF39D1"/>
    <w:rsid w:val="00FF44E9"/>
    <w:rsid w:val="00FF486C"/>
    <w:rsid w:val="00FF4A29"/>
    <w:rsid w:val="00FF4AC8"/>
    <w:rsid w:val="00FF53AF"/>
    <w:rsid w:val="00FF5BBD"/>
    <w:rsid w:val="00FF5FA6"/>
    <w:rsid w:val="00FF608B"/>
    <w:rsid w:val="00FF66BD"/>
    <w:rsid w:val="00FF6B4D"/>
    <w:rsid w:val="018F49DD"/>
    <w:rsid w:val="02593BC3"/>
    <w:rsid w:val="02720D6C"/>
    <w:rsid w:val="02CF30C3"/>
    <w:rsid w:val="02FB1BD5"/>
    <w:rsid w:val="033B3D01"/>
    <w:rsid w:val="03495BB2"/>
    <w:rsid w:val="035E6C92"/>
    <w:rsid w:val="03BC1C2A"/>
    <w:rsid w:val="03F406BA"/>
    <w:rsid w:val="043B4C4C"/>
    <w:rsid w:val="045F4CFB"/>
    <w:rsid w:val="04641C9A"/>
    <w:rsid w:val="05D87581"/>
    <w:rsid w:val="06260F32"/>
    <w:rsid w:val="06540C01"/>
    <w:rsid w:val="06851451"/>
    <w:rsid w:val="06CB064E"/>
    <w:rsid w:val="078E712C"/>
    <w:rsid w:val="07D52FDF"/>
    <w:rsid w:val="08130767"/>
    <w:rsid w:val="08164CB6"/>
    <w:rsid w:val="084E061B"/>
    <w:rsid w:val="085A23E9"/>
    <w:rsid w:val="08F704B8"/>
    <w:rsid w:val="0AD6189C"/>
    <w:rsid w:val="0AE97716"/>
    <w:rsid w:val="0B0120D1"/>
    <w:rsid w:val="0B103A32"/>
    <w:rsid w:val="0C756EC9"/>
    <w:rsid w:val="0CA04DDD"/>
    <w:rsid w:val="0CA26DA4"/>
    <w:rsid w:val="0D6D4384"/>
    <w:rsid w:val="0E072D8E"/>
    <w:rsid w:val="0E41639F"/>
    <w:rsid w:val="0E916EE0"/>
    <w:rsid w:val="0EA01EB3"/>
    <w:rsid w:val="0EAB27E7"/>
    <w:rsid w:val="0F810CED"/>
    <w:rsid w:val="0FB40CDE"/>
    <w:rsid w:val="107535E6"/>
    <w:rsid w:val="1078353C"/>
    <w:rsid w:val="10B85377"/>
    <w:rsid w:val="12236F84"/>
    <w:rsid w:val="12D72A55"/>
    <w:rsid w:val="13901849"/>
    <w:rsid w:val="13BF1C90"/>
    <w:rsid w:val="1417435D"/>
    <w:rsid w:val="14BD7543"/>
    <w:rsid w:val="14EF1919"/>
    <w:rsid w:val="15AF034A"/>
    <w:rsid w:val="15B12289"/>
    <w:rsid w:val="163A2FB7"/>
    <w:rsid w:val="17F12EA5"/>
    <w:rsid w:val="186F4F01"/>
    <w:rsid w:val="189639FA"/>
    <w:rsid w:val="18F80E5B"/>
    <w:rsid w:val="1A2609AF"/>
    <w:rsid w:val="1A746F36"/>
    <w:rsid w:val="1AA50374"/>
    <w:rsid w:val="1AEC4023"/>
    <w:rsid w:val="1BB168D5"/>
    <w:rsid w:val="1C3006A0"/>
    <w:rsid w:val="1CBD373C"/>
    <w:rsid w:val="1D184A01"/>
    <w:rsid w:val="1D670949"/>
    <w:rsid w:val="1D906043"/>
    <w:rsid w:val="1DE7063A"/>
    <w:rsid w:val="1E301FE8"/>
    <w:rsid w:val="1E624518"/>
    <w:rsid w:val="1E635F81"/>
    <w:rsid w:val="1FC208E6"/>
    <w:rsid w:val="202039FB"/>
    <w:rsid w:val="21B913F5"/>
    <w:rsid w:val="21FD2351"/>
    <w:rsid w:val="222203D7"/>
    <w:rsid w:val="2238310A"/>
    <w:rsid w:val="2251017E"/>
    <w:rsid w:val="22A94A1F"/>
    <w:rsid w:val="22BA03AC"/>
    <w:rsid w:val="22BB4CF5"/>
    <w:rsid w:val="22D34CFF"/>
    <w:rsid w:val="23301878"/>
    <w:rsid w:val="238254EB"/>
    <w:rsid w:val="23AC1AE5"/>
    <w:rsid w:val="23AD70EA"/>
    <w:rsid w:val="24294D9A"/>
    <w:rsid w:val="247F4679"/>
    <w:rsid w:val="25444C1C"/>
    <w:rsid w:val="25536EF1"/>
    <w:rsid w:val="257549BE"/>
    <w:rsid w:val="25D17F8D"/>
    <w:rsid w:val="25E466ED"/>
    <w:rsid w:val="26097C1A"/>
    <w:rsid w:val="262B7A45"/>
    <w:rsid w:val="263C5DA7"/>
    <w:rsid w:val="26565219"/>
    <w:rsid w:val="26CD4D8B"/>
    <w:rsid w:val="2722641C"/>
    <w:rsid w:val="27AC4CBC"/>
    <w:rsid w:val="27B95D63"/>
    <w:rsid w:val="27D5779E"/>
    <w:rsid w:val="27FE64B7"/>
    <w:rsid w:val="284F7DFA"/>
    <w:rsid w:val="2861721D"/>
    <w:rsid w:val="295E54A6"/>
    <w:rsid w:val="29A61DCB"/>
    <w:rsid w:val="29D04DC0"/>
    <w:rsid w:val="2A0175FC"/>
    <w:rsid w:val="2A591404"/>
    <w:rsid w:val="2ADB4C5F"/>
    <w:rsid w:val="2B38271F"/>
    <w:rsid w:val="2BB23A6E"/>
    <w:rsid w:val="2C4A5A82"/>
    <w:rsid w:val="2D065C30"/>
    <w:rsid w:val="2D5C2E46"/>
    <w:rsid w:val="2DAB50EE"/>
    <w:rsid w:val="2DD93678"/>
    <w:rsid w:val="2E010586"/>
    <w:rsid w:val="2E534B22"/>
    <w:rsid w:val="2E783EB2"/>
    <w:rsid w:val="2E8117C1"/>
    <w:rsid w:val="2E8C7261"/>
    <w:rsid w:val="2EBF539A"/>
    <w:rsid w:val="2ED92411"/>
    <w:rsid w:val="2EDB23D1"/>
    <w:rsid w:val="304A5933"/>
    <w:rsid w:val="30697824"/>
    <w:rsid w:val="308707E1"/>
    <w:rsid w:val="31A533DE"/>
    <w:rsid w:val="3465415C"/>
    <w:rsid w:val="34714DE3"/>
    <w:rsid w:val="34B77890"/>
    <w:rsid w:val="34EF4213"/>
    <w:rsid w:val="35392DBB"/>
    <w:rsid w:val="35563F78"/>
    <w:rsid w:val="35B15E0A"/>
    <w:rsid w:val="3627380D"/>
    <w:rsid w:val="3643337E"/>
    <w:rsid w:val="366810C1"/>
    <w:rsid w:val="36FA73D8"/>
    <w:rsid w:val="37075EAD"/>
    <w:rsid w:val="37180FDB"/>
    <w:rsid w:val="371D50DE"/>
    <w:rsid w:val="37DE06EC"/>
    <w:rsid w:val="38A22471"/>
    <w:rsid w:val="39083A5C"/>
    <w:rsid w:val="39457CCC"/>
    <w:rsid w:val="3A0C4C44"/>
    <w:rsid w:val="3A2935F2"/>
    <w:rsid w:val="3A2B5551"/>
    <w:rsid w:val="3A591A6A"/>
    <w:rsid w:val="3A66049B"/>
    <w:rsid w:val="3A983D60"/>
    <w:rsid w:val="3AE66083"/>
    <w:rsid w:val="3B302F3C"/>
    <w:rsid w:val="3B874988"/>
    <w:rsid w:val="3B8F6293"/>
    <w:rsid w:val="3BFD745A"/>
    <w:rsid w:val="3C7C4F4F"/>
    <w:rsid w:val="3D15721A"/>
    <w:rsid w:val="3D992FDC"/>
    <w:rsid w:val="3DEB5955"/>
    <w:rsid w:val="3E3C4975"/>
    <w:rsid w:val="3E517F08"/>
    <w:rsid w:val="3E5D5077"/>
    <w:rsid w:val="3F65143D"/>
    <w:rsid w:val="3F665652"/>
    <w:rsid w:val="3FD32839"/>
    <w:rsid w:val="3FE73C3B"/>
    <w:rsid w:val="400F5F88"/>
    <w:rsid w:val="409248E5"/>
    <w:rsid w:val="40B87D9F"/>
    <w:rsid w:val="40CA0A94"/>
    <w:rsid w:val="40D526DA"/>
    <w:rsid w:val="40D541F2"/>
    <w:rsid w:val="411E0BCB"/>
    <w:rsid w:val="41632C9A"/>
    <w:rsid w:val="41A05A5B"/>
    <w:rsid w:val="41E65D5F"/>
    <w:rsid w:val="4252572B"/>
    <w:rsid w:val="42636165"/>
    <w:rsid w:val="426677F5"/>
    <w:rsid w:val="430A1B67"/>
    <w:rsid w:val="4362409D"/>
    <w:rsid w:val="43CC0AAD"/>
    <w:rsid w:val="44243296"/>
    <w:rsid w:val="447457DD"/>
    <w:rsid w:val="44DC79AD"/>
    <w:rsid w:val="45AF1352"/>
    <w:rsid w:val="46E70AD4"/>
    <w:rsid w:val="47890455"/>
    <w:rsid w:val="48C9754B"/>
    <w:rsid w:val="48DB694E"/>
    <w:rsid w:val="491A6049"/>
    <w:rsid w:val="492A6FC4"/>
    <w:rsid w:val="49C27DDA"/>
    <w:rsid w:val="4A0B028A"/>
    <w:rsid w:val="4AC218DB"/>
    <w:rsid w:val="4AC70333"/>
    <w:rsid w:val="4BA834FF"/>
    <w:rsid w:val="4BF62A21"/>
    <w:rsid w:val="4C102041"/>
    <w:rsid w:val="4CDE03B5"/>
    <w:rsid w:val="4CF11324"/>
    <w:rsid w:val="4CF87DB7"/>
    <w:rsid w:val="4D0837C2"/>
    <w:rsid w:val="4D351745"/>
    <w:rsid w:val="4D896F90"/>
    <w:rsid w:val="4DFA4B6D"/>
    <w:rsid w:val="4E163597"/>
    <w:rsid w:val="4EDC4D41"/>
    <w:rsid w:val="4EDF11E5"/>
    <w:rsid w:val="4FBC751F"/>
    <w:rsid w:val="4FDA25CB"/>
    <w:rsid w:val="50A17248"/>
    <w:rsid w:val="50E25860"/>
    <w:rsid w:val="51132665"/>
    <w:rsid w:val="51145170"/>
    <w:rsid w:val="512219B2"/>
    <w:rsid w:val="51575793"/>
    <w:rsid w:val="5192337F"/>
    <w:rsid w:val="51AC7C17"/>
    <w:rsid w:val="51C41A2F"/>
    <w:rsid w:val="51E51B3B"/>
    <w:rsid w:val="53DE7108"/>
    <w:rsid w:val="541F1FAB"/>
    <w:rsid w:val="544414C5"/>
    <w:rsid w:val="55B84021"/>
    <w:rsid w:val="56054E98"/>
    <w:rsid w:val="567330AA"/>
    <w:rsid w:val="568E7F50"/>
    <w:rsid w:val="56D20B97"/>
    <w:rsid w:val="57833869"/>
    <w:rsid w:val="57C03CC6"/>
    <w:rsid w:val="58135941"/>
    <w:rsid w:val="59AF3F64"/>
    <w:rsid w:val="5A0A7215"/>
    <w:rsid w:val="5A7545EF"/>
    <w:rsid w:val="5BA94383"/>
    <w:rsid w:val="5BE44224"/>
    <w:rsid w:val="5C1724BB"/>
    <w:rsid w:val="5C296129"/>
    <w:rsid w:val="5CAB2E20"/>
    <w:rsid w:val="5CD26367"/>
    <w:rsid w:val="5CF86F93"/>
    <w:rsid w:val="5D007EBF"/>
    <w:rsid w:val="5D014820"/>
    <w:rsid w:val="5DE30B34"/>
    <w:rsid w:val="5E762ED7"/>
    <w:rsid w:val="5E976565"/>
    <w:rsid w:val="5EEE20FD"/>
    <w:rsid w:val="5F9438B5"/>
    <w:rsid w:val="5FEC75FD"/>
    <w:rsid w:val="602F21E0"/>
    <w:rsid w:val="60DC7818"/>
    <w:rsid w:val="61C76433"/>
    <w:rsid w:val="61D756D4"/>
    <w:rsid w:val="620A20C8"/>
    <w:rsid w:val="62A06FCE"/>
    <w:rsid w:val="62DF181D"/>
    <w:rsid w:val="63D872D1"/>
    <w:rsid w:val="64061481"/>
    <w:rsid w:val="644A1AF9"/>
    <w:rsid w:val="64A91560"/>
    <w:rsid w:val="651C0D7B"/>
    <w:rsid w:val="666458DA"/>
    <w:rsid w:val="679D12E6"/>
    <w:rsid w:val="69F2151E"/>
    <w:rsid w:val="6A565B68"/>
    <w:rsid w:val="6B622E15"/>
    <w:rsid w:val="6BDF1EAF"/>
    <w:rsid w:val="6BEF6407"/>
    <w:rsid w:val="6C5C2C49"/>
    <w:rsid w:val="6CF272D2"/>
    <w:rsid w:val="6E205771"/>
    <w:rsid w:val="6EC20A8E"/>
    <w:rsid w:val="6F3D290C"/>
    <w:rsid w:val="70251A3C"/>
    <w:rsid w:val="707F7616"/>
    <w:rsid w:val="70907E25"/>
    <w:rsid w:val="710E0BA0"/>
    <w:rsid w:val="715A5F0D"/>
    <w:rsid w:val="71FD7AF7"/>
    <w:rsid w:val="72551823"/>
    <w:rsid w:val="72B654A0"/>
    <w:rsid w:val="73BB7579"/>
    <w:rsid w:val="741A687E"/>
    <w:rsid w:val="74203839"/>
    <w:rsid w:val="74AC02B4"/>
    <w:rsid w:val="751B136F"/>
    <w:rsid w:val="75376158"/>
    <w:rsid w:val="761B05AB"/>
    <w:rsid w:val="761F0DE5"/>
    <w:rsid w:val="775542D6"/>
    <w:rsid w:val="77C15353"/>
    <w:rsid w:val="7806433B"/>
    <w:rsid w:val="78353AED"/>
    <w:rsid w:val="78965EFE"/>
    <w:rsid w:val="78F73236"/>
    <w:rsid w:val="79373ED6"/>
    <w:rsid w:val="797D7A52"/>
    <w:rsid w:val="79BD07DD"/>
    <w:rsid w:val="7A913973"/>
    <w:rsid w:val="7ABF6D08"/>
    <w:rsid w:val="7AC53107"/>
    <w:rsid w:val="7AC5641A"/>
    <w:rsid w:val="7B5C03D8"/>
    <w:rsid w:val="7B8F5591"/>
    <w:rsid w:val="7BC15B75"/>
    <w:rsid w:val="7BF1758B"/>
    <w:rsid w:val="7BF20DA0"/>
    <w:rsid w:val="7C4D4D93"/>
    <w:rsid w:val="7D12152E"/>
    <w:rsid w:val="7D821D8F"/>
    <w:rsid w:val="7DDB1CDD"/>
    <w:rsid w:val="7DFE1E3A"/>
    <w:rsid w:val="7E011781"/>
    <w:rsid w:val="7E2F3ED8"/>
    <w:rsid w:val="7E4D51AF"/>
    <w:rsid w:val="7F4B6A19"/>
    <w:rsid w:val="7F6E22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46"/>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4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32">
    <w:name w:val="Default Paragraph Font"/>
    <w:uiPriority w:val="0"/>
  </w:style>
  <w:style w:type="table" w:default="1" w:styleId="3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30"/>
      <w:tblCellMar>
        <w:top w:w="0" w:type="dxa"/>
        <w:left w:w="108" w:type="dxa"/>
        <w:bottom w:w="0" w:type="dxa"/>
        <w:right w:w="108" w:type="dxa"/>
      </w:tblCellMar>
    </w:tblPr>
  </w:style>
  <w:style w:type="paragraph" w:styleId="2">
    <w:name w:val="Body Text First Indent"/>
    <w:basedOn w:val="3"/>
    <w:uiPriority w:val="0"/>
    <w:pPr>
      <w:widowControl/>
      <w:spacing w:after="120" w:line="240" w:lineRule="auto"/>
      <w:ind w:firstLine="420" w:firstLineChars="100"/>
      <w:jc w:val="left"/>
    </w:pPr>
    <w:rPr>
      <w:rFonts w:ascii="Times New Roman" w:hAnsi="Times New Roman"/>
      <w:sz w:val="21"/>
    </w:rPr>
  </w:style>
  <w:style w:type="paragraph" w:styleId="3">
    <w:name w:val="Body Text"/>
    <w:basedOn w:val="1"/>
    <w:next w:val="2"/>
    <w:uiPriority w:val="0"/>
    <w:pPr>
      <w:spacing w:after="120" w:afterLines="0"/>
    </w:pPr>
    <w:rPr>
      <w:sz w:val="28"/>
    </w:rPr>
  </w:style>
  <w:style w:type="paragraph" w:styleId="7">
    <w:name w:val="List Number 2"/>
    <w:basedOn w:val="1"/>
    <w:uiPriority w:val="0"/>
    <w:pPr>
      <w:numPr>
        <w:ilvl w:val="0"/>
        <w:numId w:val="1"/>
      </w:numPr>
      <w:contextualSpacing/>
    </w:pPr>
  </w:style>
  <w:style w:type="paragraph" w:styleId="8">
    <w:name w:val="List Number"/>
    <w:basedOn w:val="1"/>
    <w:uiPriority w:val="0"/>
    <w:pPr>
      <w:widowControl/>
      <w:numPr>
        <w:ilvl w:val="0"/>
        <w:numId w:val="2"/>
      </w:numPr>
      <w:tabs>
        <w:tab w:val="left" w:pos="454"/>
        <w:tab w:val="left" w:pos="720"/>
      </w:tabs>
      <w:spacing w:after="156" w:afterLines="50"/>
      <w:jc w:val="left"/>
    </w:pPr>
    <w:rPr>
      <w:kern w:val="0"/>
      <w:sz w:val="24"/>
      <w:szCs w:val="20"/>
    </w:rPr>
  </w:style>
  <w:style w:type="paragraph" w:styleId="9">
    <w:name w:val="Normal Indent"/>
    <w:basedOn w:val="1"/>
    <w:link w:val="49"/>
    <w:qFormat/>
    <w:uiPriority w:val="99"/>
    <w:pPr>
      <w:ind w:firstLine="420"/>
    </w:pPr>
    <w:rPr>
      <w:szCs w:val="20"/>
    </w:rPr>
  </w:style>
  <w:style w:type="paragraph" w:styleId="10">
    <w:name w:val="caption"/>
    <w:basedOn w:val="1"/>
    <w:next w:val="1"/>
    <w:qFormat/>
    <w:uiPriority w:val="0"/>
    <w:pPr>
      <w:spacing w:before="152" w:beforeLines="0" w:after="160" w:afterLines="0"/>
    </w:pPr>
    <w:rPr>
      <w:rFonts w:ascii="Arial" w:hAnsi="Arial" w:eastAsia="黑体" w:cs="Arial"/>
      <w:sz w:val="20"/>
      <w:szCs w:val="20"/>
    </w:rPr>
  </w:style>
  <w:style w:type="paragraph" w:styleId="11">
    <w:name w:val="Document Map"/>
    <w:basedOn w:val="1"/>
    <w:uiPriority w:val="0"/>
    <w:pPr>
      <w:shd w:val="clear" w:color="auto" w:fill="000080"/>
    </w:pPr>
  </w:style>
  <w:style w:type="paragraph" w:styleId="12">
    <w:name w:val="annotation text"/>
    <w:basedOn w:val="1"/>
    <w:link w:val="44"/>
    <w:uiPriority w:val="0"/>
    <w:pPr>
      <w:jc w:val="left"/>
    </w:pPr>
  </w:style>
  <w:style w:type="paragraph" w:styleId="13">
    <w:name w:val="Body Text 3"/>
    <w:basedOn w:val="1"/>
    <w:uiPriority w:val="0"/>
    <w:pPr>
      <w:snapToGrid w:val="0"/>
      <w:spacing w:before="50" w:beforeLines="0" w:after="50" w:afterLines="0"/>
    </w:pPr>
  </w:style>
  <w:style w:type="paragraph" w:styleId="14">
    <w:name w:val="Body Text Indent"/>
    <w:basedOn w:val="1"/>
    <w:link w:val="47"/>
    <w:qFormat/>
    <w:uiPriority w:val="0"/>
    <w:pPr>
      <w:spacing w:line="200" w:lineRule="exact"/>
      <w:ind w:firstLine="301"/>
    </w:pPr>
  </w:style>
  <w:style w:type="paragraph" w:styleId="15">
    <w:name w:val="List Number 3"/>
    <w:basedOn w:val="1"/>
    <w:uiPriority w:val="0"/>
    <w:pPr>
      <w:numPr>
        <w:ilvl w:val="0"/>
        <w:numId w:val="3"/>
      </w:numPr>
    </w:pPr>
  </w:style>
  <w:style w:type="paragraph" w:styleId="16">
    <w:name w:val="List 2"/>
    <w:basedOn w:val="1"/>
    <w:uiPriority w:val="0"/>
    <w:pPr>
      <w:ind w:left="100" w:leftChars="200" w:hanging="200" w:hangingChars="200"/>
    </w:pPr>
    <w:rPr>
      <w:sz w:val="28"/>
    </w:rPr>
  </w:style>
  <w:style w:type="paragraph" w:styleId="17">
    <w:name w:val="Plain Text"/>
    <w:basedOn w:val="1"/>
    <w:link w:val="37"/>
    <w:qFormat/>
    <w:uiPriority w:val="0"/>
    <w:pPr>
      <w:spacing w:before="156" w:beforeLines="50" w:after="156" w:afterLines="50" w:line="400" w:lineRule="exact"/>
    </w:pPr>
    <w:rPr>
      <w:rFonts w:ascii="宋体" w:hAnsi="Courier New"/>
      <w:sz w:val="24"/>
    </w:rPr>
  </w:style>
  <w:style w:type="paragraph" w:styleId="18">
    <w:name w:val="Date"/>
    <w:basedOn w:val="1"/>
    <w:next w:val="1"/>
    <w:uiPriority w:val="0"/>
    <w:pPr>
      <w:ind w:leftChars="2500"/>
    </w:pPr>
    <w:rPr>
      <w:rFonts w:eastAsia="楷体_GB2312"/>
      <w:sz w:val="32"/>
      <w:szCs w:val="20"/>
    </w:rPr>
  </w:style>
  <w:style w:type="paragraph" w:styleId="19">
    <w:name w:val="Body Text Indent 2"/>
    <w:basedOn w:val="1"/>
    <w:link w:val="41"/>
    <w:uiPriority w:val="0"/>
    <w:pPr>
      <w:snapToGrid w:val="0"/>
      <w:ind w:firstLine="542" w:firstLineChars="225"/>
    </w:pPr>
    <w:rPr>
      <w:rFonts w:ascii="仿宋_GB2312" w:hAnsi="宋体"/>
      <w:b/>
      <w:bCs/>
      <w:color w:val="000000"/>
      <w:sz w:val="24"/>
    </w:rPr>
  </w:style>
  <w:style w:type="paragraph" w:styleId="20">
    <w:name w:val="Balloon Text"/>
    <w:basedOn w:val="1"/>
    <w:uiPriority w:val="0"/>
    <w:rPr>
      <w:sz w:val="18"/>
      <w:szCs w:val="18"/>
    </w:rPr>
  </w:style>
  <w:style w:type="paragraph" w:styleId="21">
    <w:name w:val="footer"/>
    <w:basedOn w:val="1"/>
    <w:link w:val="40"/>
    <w:uiPriority w:val="0"/>
    <w:pPr>
      <w:tabs>
        <w:tab w:val="center" w:pos="4153"/>
        <w:tab w:val="right" w:pos="8306"/>
      </w:tabs>
      <w:snapToGrid w:val="0"/>
      <w:jc w:val="left"/>
    </w:pPr>
    <w:rPr>
      <w:rFonts w:eastAsia="黑体"/>
      <w:snapToGrid w:val="0"/>
      <w:kern w:val="0"/>
      <w:sz w:val="18"/>
      <w:szCs w:val="18"/>
    </w:rPr>
  </w:style>
  <w:style w:type="paragraph" w:styleId="22">
    <w:name w:val="header"/>
    <w:basedOn w:val="1"/>
    <w:link w:val="48"/>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3">
    <w:name w:val="toc 1"/>
    <w:basedOn w:val="1"/>
    <w:next w:val="1"/>
    <w:uiPriority w:val="0"/>
  </w:style>
  <w:style w:type="paragraph" w:styleId="24">
    <w:name w:val="List"/>
    <w:basedOn w:val="1"/>
    <w:uiPriority w:val="0"/>
    <w:pPr>
      <w:ind w:left="200" w:hanging="200" w:hangingChars="200"/>
    </w:pPr>
    <w:rPr>
      <w:sz w:val="28"/>
    </w:rPr>
  </w:style>
  <w:style w:type="paragraph" w:styleId="25">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26">
    <w:name w:val="Body Text 2"/>
    <w:basedOn w:val="1"/>
    <w:uiPriority w:val="0"/>
    <w:pPr>
      <w:widowControl/>
      <w:snapToGrid w:val="0"/>
      <w:spacing w:before="50" w:beforeLines="0" w:after="156" w:afterLines="50" w:line="400" w:lineRule="exact"/>
      <w:jc w:val="left"/>
    </w:pPr>
    <w:rPr>
      <w:rFonts w:ascii="宋体" w:hAnsi="宋体"/>
      <w:color w:val="000000"/>
      <w:sz w:val="24"/>
    </w:rPr>
  </w:style>
  <w:style w:type="paragraph" w:styleId="27">
    <w:name w:val="Normal (Web)"/>
    <w:basedOn w:val="1"/>
    <w:uiPriority w:val="99"/>
    <w:rPr>
      <w:sz w:val="24"/>
    </w:rPr>
  </w:style>
  <w:style w:type="paragraph" w:styleId="28">
    <w:name w:val="annotation subject"/>
    <w:basedOn w:val="12"/>
    <w:next w:val="12"/>
    <w:link w:val="51"/>
    <w:uiPriority w:val="0"/>
    <w:rPr>
      <w:b/>
      <w:bCs/>
    </w:rPr>
  </w:style>
  <w:style w:type="paragraph" w:styleId="29">
    <w:name w:val="Body Text First Indent 2"/>
    <w:basedOn w:val="14"/>
    <w:link w:val="52"/>
    <w:uiPriority w:val="0"/>
    <w:pPr>
      <w:ind w:firstLine="420" w:firstLineChars="200"/>
    </w:pPr>
    <w:rPr>
      <w:rFonts w:ascii="Calibri" w:hAnsi="Calibri"/>
      <w:spacing w:val="0"/>
      <w:sz w:val="21"/>
      <w:szCs w:val="24"/>
    </w:rPr>
  </w:style>
  <w:style w:type="table" w:styleId="31">
    <w:name w:val="Table Grid"/>
    <w:basedOn w:val="30"/>
    <w:uiPriority w:val="0"/>
    <w:pPr>
      <w:widowControl w:val="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uiPriority w:val="0"/>
  </w:style>
  <w:style w:type="character" w:styleId="34">
    <w:name w:val="FollowedHyperlink"/>
    <w:uiPriority w:val="0"/>
    <w:rPr>
      <w:color w:val="800080"/>
      <w:u w:val="single"/>
    </w:rPr>
  </w:style>
  <w:style w:type="character" w:styleId="35">
    <w:name w:val="Hyperlink"/>
    <w:qFormat/>
    <w:uiPriority w:val="99"/>
    <w:rPr>
      <w:color w:val="0000FF"/>
      <w:u w:val="single"/>
    </w:rPr>
  </w:style>
  <w:style w:type="character" w:styleId="36">
    <w:name w:val="annotation reference"/>
    <w:uiPriority w:val="0"/>
    <w:rPr>
      <w:sz w:val="21"/>
      <w:szCs w:val="21"/>
    </w:rPr>
  </w:style>
  <w:style w:type="character" w:customStyle="1" w:styleId="37">
    <w:name w:val="纯文本 字符"/>
    <w:link w:val="17"/>
    <w:uiPriority w:val="0"/>
    <w:rPr>
      <w:rFonts w:hint="eastAsia" w:ascii="宋体" w:hAnsi="Courier New" w:eastAsia="宋体" w:cs="Courier New"/>
      <w:kern w:val="2"/>
      <w:sz w:val="21"/>
      <w:szCs w:val="21"/>
    </w:rPr>
  </w:style>
  <w:style w:type="character" w:customStyle="1" w:styleId="38">
    <w:name w:val="列表段落 字符"/>
    <w:link w:val="39"/>
    <w:uiPriority w:val="0"/>
    <w:rPr>
      <w:rFonts w:ascii="Calibri" w:hAnsi="Calibri" w:eastAsia="宋体"/>
      <w:kern w:val="2"/>
      <w:sz w:val="24"/>
      <w:szCs w:val="22"/>
      <w:lang w:val="en-US" w:eastAsia="zh-CN" w:bidi="ar-SA"/>
    </w:rPr>
  </w:style>
  <w:style w:type="paragraph" w:styleId="39">
    <w:name w:val="List Paragraph"/>
    <w:basedOn w:val="1"/>
    <w:link w:val="38"/>
    <w:qFormat/>
    <w:uiPriority w:val="0"/>
    <w:pPr>
      <w:spacing w:line="360" w:lineRule="auto"/>
      <w:ind w:firstLine="420" w:firstLineChars="200"/>
    </w:pPr>
    <w:rPr>
      <w:sz w:val="24"/>
      <w:szCs w:val="22"/>
    </w:rPr>
  </w:style>
  <w:style w:type="character" w:customStyle="1" w:styleId="40">
    <w:name w:val="页脚 字符"/>
    <w:link w:val="21"/>
    <w:uiPriority w:val="0"/>
    <w:rPr>
      <w:rFonts w:eastAsia="黑体"/>
      <w:snapToGrid w:val="0"/>
      <w:sz w:val="18"/>
      <w:szCs w:val="18"/>
    </w:rPr>
  </w:style>
  <w:style w:type="character" w:customStyle="1" w:styleId="41">
    <w:name w:val="正文文本缩进 2 字符"/>
    <w:link w:val="19"/>
    <w:uiPriority w:val="0"/>
    <w:rPr>
      <w:rFonts w:ascii="仿宋_GB2312" w:hAnsi="宋体" w:cs="Arial"/>
      <w:b/>
      <w:bCs/>
      <w:color w:val="000000"/>
      <w:kern w:val="2"/>
      <w:sz w:val="24"/>
      <w:szCs w:val="24"/>
    </w:rPr>
  </w:style>
  <w:style w:type="character" w:customStyle="1" w:styleId="42">
    <w:name w:val="Body text|3_"/>
    <w:link w:val="43"/>
    <w:qFormat/>
    <w:uiPriority w:val="0"/>
    <w:rPr>
      <w:rFonts w:ascii="宋体" w:hAnsi="宋体" w:cs="宋体"/>
      <w:sz w:val="17"/>
      <w:szCs w:val="17"/>
      <w:lang w:val="zh-TW" w:eastAsia="zh-TW" w:bidi="zh-TW"/>
    </w:rPr>
  </w:style>
  <w:style w:type="paragraph" w:customStyle="1" w:styleId="43">
    <w:name w:val="Body text|3"/>
    <w:basedOn w:val="1"/>
    <w:link w:val="42"/>
    <w:qFormat/>
    <w:uiPriority w:val="0"/>
    <w:pPr>
      <w:jc w:val="left"/>
    </w:pPr>
    <w:rPr>
      <w:rFonts w:ascii="宋体" w:hAnsi="宋体" w:cs="宋体"/>
      <w:kern w:val="0"/>
      <w:sz w:val="17"/>
      <w:szCs w:val="17"/>
      <w:lang w:val="zh-TW" w:eastAsia="zh-TW" w:bidi="zh-TW"/>
    </w:rPr>
  </w:style>
  <w:style w:type="character" w:customStyle="1" w:styleId="44">
    <w:name w:val="批注文字 字符"/>
    <w:link w:val="12"/>
    <w:uiPriority w:val="0"/>
    <w:rPr>
      <w:kern w:val="2"/>
      <w:sz w:val="21"/>
      <w:szCs w:val="24"/>
    </w:rPr>
  </w:style>
  <w:style w:type="character" w:customStyle="1" w:styleId="45">
    <w:name w:val="标题 2 字符"/>
    <w:link w:val="5"/>
    <w:uiPriority w:val="0"/>
    <w:rPr>
      <w:rFonts w:ascii="Arial" w:hAnsi="Arial" w:eastAsia="黑体"/>
      <w:b/>
      <w:bCs/>
      <w:kern w:val="2"/>
      <w:sz w:val="32"/>
      <w:szCs w:val="32"/>
    </w:rPr>
  </w:style>
  <w:style w:type="character" w:customStyle="1" w:styleId="46">
    <w:name w:val="标题 1 字符"/>
    <w:link w:val="4"/>
    <w:uiPriority w:val="0"/>
    <w:rPr>
      <w:b/>
      <w:bCs/>
      <w:kern w:val="44"/>
      <w:sz w:val="44"/>
      <w:szCs w:val="44"/>
    </w:rPr>
  </w:style>
  <w:style w:type="character" w:customStyle="1" w:styleId="47">
    <w:name w:val="正文文本缩进 字符"/>
    <w:link w:val="14"/>
    <w:qFormat/>
    <w:uiPriority w:val="0"/>
    <w:rPr>
      <w:kern w:val="2"/>
      <w:sz w:val="21"/>
      <w:szCs w:val="24"/>
    </w:rPr>
  </w:style>
  <w:style w:type="character" w:customStyle="1" w:styleId="48">
    <w:name w:val="页眉 字符"/>
    <w:link w:val="22"/>
    <w:uiPriority w:val="0"/>
    <w:rPr>
      <w:rFonts w:eastAsia="仿宋_GB2312"/>
      <w:kern w:val="2"/>
      <w:sz w:val="18"/>
    </w:rPr>
  </w:style>
  <w:style w:type="character" w:customStyle="1" w:styleId="49">
    <w:name w:val="正文缩进 字符"/>
    <w:link w:val="9"/>
    <w:qFormat/>
    <w:uiPriority w:val="99"/>
    <w:rPr>
      <w:kern w:val="2"/>
      <w:sz w:val="21"/>
    </w:rPr>
  </w:style>
  <w:style w:type="character" w:customStyle="1" w:styleId="50">
    <w:name w:val="纯文本 Char"/>
    <w:qFormat/>
    <w:uiPriority w:val="0"/>
    <w:rPr>
      <w:rFonts w:ascii="宋体" w:hAnsi="Courier New" w:eastAsia="宋体"/>
      <w:kern w:val="2"/>
      <w:sz w:val="24"/>
      <w:szCs w:val="24"/>
      <w:lang w:val="en-US" w:eastAsia="zh-CN" w:bidi="ar-SA"/>
    </w:rPr>
  </w:style>
  <w:style w:type="character" w:customStyle="1" w:styleId="51">
    <w:name w:val="批注主题 字符"/>
    <w:link w:val="28"/>
    <w:uiPriority w:val="0"/>
    <w:rPr>
      <w:b/>
      <w:bCs/>
      <w:kern w:val="2"/>
      <w:sz w:val="21"/>
      <w:szCs w:val="24"/>
    </w:rPr>
  </w:style>
  <w:style w:type="character" w:customStyle="1" w:styleId="52">
    <w:name w:val="正文文本首行缩进 2 字符"/>
    <w:link w:val="29"/>
    <w:uiPriority w:val="0"/>
    <w:rPr>
      <w:kern w:val="2"/>
      <w:sz w:val="21"/>
      <w:szCs w:val="24"/>
    </w:rPr>
  </w:style>
  <w:style w:type="character" w:customStyle="1" w:styleId="53">
    <w:name w:val=" Char Char3"/>
    <w:uiPriority w:val="0"/>
    <w:rPr>
      <w:rFonts w:eastAsia="楷体_GB2312"/>
      <w:kern w:val="2"/>
      <w:sz w:val="32"/>
      <w:lang w:val="en-US" w:eastAsia="zh-CN" w:bidi="ar-SA"/>
    </w:rPr>
  </w:style>
  <w:style w:type="character" w:customStyle="1" w:styleId="54">
    <w:name w:val="普通文字 Char Char2"/>
    <w:aliases w:val="普通文字 Char Char Char2,正 文 1 Char1,普通文字 Char2,Texte Char1,普通文字 Char Char Char Char1,普通文字1 Char1,普通文字2 Char1,普通文字3 Char1,普通文字4 Char1,普通文字5 Char1,普通文字6 Char1,普通文字11 Char1,普通文字21 Char1,普通文字31 Char1,普通文字41 Char1,普通文字7 Char1"/>
    <w:uiPriority w:val="0"/>
    <w:rPr>
      <w:rFonts w:ascii="宋体" w:hAnsi="Courier New" w:eastAsia="宋体"/>
      <w:kern w:val="2"/>
      <w:sz w:val="24"/>
      <w:szCs w:val="24"/>
      <w:lang w:val="en-US" w:eastAsia="zh-CN" w:bidi="ar-SA"/>
    </w:rPr>
  </w:style>
  <w:style w:type="character" w:customStyle="1" w:styleId="55">
    <w:name w:val="page number"/>
    <w:uiPriority w:val="0"/>
  </w:style>
  <w:style w:type="character" w:customStyle="1" w:styleId="56">
    <w:name w:val="Body text|5_"/>
    <w:link w:val="57"/>
    <w:qFormat/>
    <w:uiPriority w:val="0"/>
    <w:rPr>
      <w:rFonts w:ascii="宋体" w:hAnsi="宋体" w:cs="宋体"/>
      <w:sz w:val="22"/>
      <w:szCs w:val="22"/>
      <w:u w:val="single"/>
      <w:lang w:val="zh-CN"/>
    </w:rPr>
  </w:style>
  <w:style w:type="paragraph" w:customStyle="1" w:styleId="57">
    <w:name w:val="Body text|5"/>
    <w:basedOn w:val="1"/>
    <w:link w:val="56"/>
    <w:qFormat/>
    <w:uiPriority w:val="0"/>
    <w:pPr>
      <w:ind w:hanging="1640"/>
      <w:jc w:val="left"/>
    </w:pPr>
    <w:rPr>
      <w:rFonts w:ascii="宋体" w:hAnsi="宋体" w:cs="宋体"/>
      <w:kern w:val="0"/>
      <w:sz w:val="22"/>
      <w:szCs w:val="22"/>
      <w:u w:val="single"/>
      <w:lang w:val="zh-CN"/>
    </w:rPr>
  </w:style>
  <w:style w:type="character" w:customStyle="1" w:styleId="58">
    <w:name w:val="Body text|1_"/>
    <w:link w:val="59"/>
    <w:qFormat/>
    <w:uiPriority w:val="0"/>
    <w:rPr>
      <w:rFonts w:ascii="宋体" w:hAnsi="宋体" w:cs="宋体"/>
      <w:sz w:val="30"/>
      <w:szCs w:val="30"/>
      <w:lang w:val="zh-TW" w:eastAsia="zh-TW" w:bidi="zh-TW"/>
    </w:rPr>
  </w:style>
  <w:style w:type="paragraph" w:customStyle="1" w:styleId="59">
    <w:name w:val="Body text|1"/>
    <w:basedOn w:val="1"/>
    <w:link w:val="58"/>
    <w:qFormat/>
    <w:uiPriority w:val="0"/>
    <w:pPr>
      <w:spacing w:line="401" w:lineRule="auto"/>
      <w:ind w:firstLine="400"/>
      <w:jc w:val="left"/>
    </w:pPr>
    <w:rPr>
      <w:rFonts w:ascii="宋体" w:hAnsi="宋体" w:cs="宋体"/>
      <w:kern w:val="0"/>
      <w:sz w:val="30"/>
      <w:szCs w:val="30"/>
      <w:lang w:val="zh-TW" w:eastAsia="zh-TW" w:bidi="zh-TW"/>
    </w:rPr>
  </w:style>
  <w:style w:type="paragraph" w:customStyle="1" w:styleId="6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61">
    <w:name w:val="默认段落字体 Para Char Char Char Char Char Char Char Char Char1 Char Char Char Char"/>
    <w:basedOn w:val="1"/>
    <w:uiPriority w:val="0"/>
    <w:rPr>
      <w:rFonts w:ascii="Tahoma" w:hAnsi="Tahoma"/>
      <w:sz w:val="24"/>
      <w:szCs w:val="20"/>
    </w:rPr>
  </w:style>
  <w:style w:type="paragraph" w:customStyle="1" w:styleId="62">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3">
    <w:name w:val="xl47"/>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64">
    <w:name w:val=" Char"/>
    <w:basedOn w:val="1"/>
    <w:uiPriority w:val="0"/>
    <w:pPr>
      <w:numPr>
        <w:ilvl w:val="0"/>
        <w:numId w:val="3"/>
      </w:numPr>
    </w:pPr>
    <w:rPr>
      <w:sz w:val="24"/>
    </w:rPr>
  </w:style>
  <w:style w:type="paragraph" w:customStyle="1" w:styleId="65">
    <w:name w:val=" Char Char Char Char"/>
    <w:basedOn w:val="1"/>
    <w:uiPriority w:val="0"/>
    <w:pPr>
      <w:spacing w:line="360" w:lineRule="auto"/>
      <w:ind w:firstLine="540"/>
      <w:jc w:val="left"/>
    </w:pPr>
    <w:rPr>
      <w:rFonts w:ascii="宋体" w:hAnsi="宋体"/>
      <w:color w:val="000000"/>
      <w:sz w:val="24"/>
      <w:lang w:val="en-GB"/>
    </w:rPr>
  </w:style>
  <w:style w:type="paragraph" w:customStyle="1" w:styleId="66">
    <w:name w:val="默认段落字体 Para Char Char Char Char Char Char Char Char"/>
    <w:basedOn w:val="1"/>
    <w:uiPriority w:val="0"/>
    <w:rPr>
      <w:color w:val="000000"/>
      <w:kern w:val="0"/>
      <w:szCs w:val="20"/>
      <w:u w:val="none" w:color="000000"/>
    </w:rPr>
  </w:style>
  <w:style w:type="paragraph" w:customStyle="1" w:styleId="67">
    <w:name w:val="标准小四"/>
    <w:basedOn w:val="1"/>
    <w:qFormat/>
    <w:uiPriority w:val="0"/>
    <w:pPr>
      <w:spacing w:line="360" w:lineRule="auto"/>
      <w:ind w:firstLine="480" w:firstLineChars="200"/>
    </w:pPr>
    <w:rPr>
      <w:rFonts w:ascii="Arial" w:hAnsi="Arial"/>
      <w:sz w:val="24"/>
      <w:szCs w:val="21"/>
    </w:rPr>
  </w:style>
  <w:style w:type="paragraph" w:customStyle="1" w:styleId="68">
    <w:name w:val="正文 A"/>
    <w:qFormat/>
    <w:uiPriority w:val="0"/>
    <w:pPr>
      <w:framePr w:wrap="around" w:vAnchor="margin" w:hAnchor="text" w:y="1"/>
      <w:widowControl w:val="0"/>
      <w:jc w:val="both"/>
    </w:pPr>
    <w:rPr>
      <w:rFonts w:eastAsia="Arial Unicode MS" w:cs="Arial Unicode MS"/>
      <w:color w:val="000000"/>
      <w:kern w:val="2"/>
      <w:sz w:val="21"/>
      <w:szCs w:val="21"/>
      <w:lang w:val="en-US" w:eastAsia="zh-CN" w:bidi="ar-SA"/>
    </w:rPr>
  </w:style>
  <w:style w:type="paragraph" w:customStyle="1" w:styleId="69">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styleId="70">
    <w:name w:val=""/>
    <w:semiHidden/>
    <w:uiPriority w:val="99"/>
    <w:rPr>
      <w:kern w:val="2"/>
      <w:sz w:val="21"/>
      <w:szCs w:val="24"/>
      <w:lang w:val="en-US" w:eastAsia="zh-CN" w:bidi="ar-SA"/>
    </w:rPr>
  </w:style>
  <w:style w:type="paragraph" w:customStyle="1" w:styleId="71">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72">
    <w:name w:val="需求标题2"/>
    <w:basedOn w:val="1"/>
    <w:next w:val="1"/>
    <w:qFormat/>
    <w:uiPriority w:val="0"/>
    <w:pPr>
      <w:spacing w:before="40"/>
      <w:ind w:firstLine="560" w:firstLineChars="200"/>
      <w:outlineLvl w:val="2"/>
    </w:pPr>
    <w:rPr>
      <w:rFonts w:eastAsia="黑体"/>
      <w:sz w:val="28"/>
    </w:rPr>
  </w:style>
  <w:style w:type="paragraph" w:customStyle="1" w:styleId="73">
    <w:name w:val="普通(Web)1"/>
    <w:basedOn w:val="1"/>
    <w:next w:val="27"/>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74">
    <w:name w:val="正文段"/>
    <w:basedOn w:val="1"/>
    <w:uiPriority w:val="0"/>
    <w:pPr>
      <w:widowControl/>
      <w:snapToGrid w:val="0"/>
      <w:spacing w:after="156" w:afterLines="50"/>
      <w:ind w:firstLine="200" w:firstLineChars="200"/>
    </w:pPr>
    <w:rPr>
      <w:kern w:val="0"/>
      <w:sz w:val="24"/>
      <w:szCs w:val="20"/>
    </w:rPr>
  </w:style>
  <w:style w:type="paragraph" w:customStyle="1" w:styleId="75">
    <w:name w:val="table_lines"/>
    <w:basedOn w:val="1"/>
    <w:uiPriority w:val="0"/>
    <w:pPr>
      <w:widowControl/>
      <w:jc w:val="left"/>
    </w:pPr>
    <w:rPr>
      <w:kern w:val="0"/>
      <w:sz w:val="20"/>
      <w:szCs w:val="20"/>
      <w:lang w:val="de-DE" w:eastAsia="de-D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59</Pages>
  <Words>5118</Words>
  <Characters>29178</Characters>
  <Lines>243</Lines>
  <Paragraphs>68</Paragraphs>
  <TotalTime>19</TotalTime>
  <ScaleCrop>false</ScaleCrop>
  <LinksUpToDate>false</LinksUpToDate>
  <CharactersWithSpaces>34228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2020-08-20T11:15:00Z</dcterms:created>
  <dc:creator>雨林木风</dc:creator>
  <cp:lastModifiedBy>WPS_1701756769</cp:lastModifiedBy>
  <cp:lastPrinted>2020-07-23T02:22:00Z</cp:lastPrinted>
  <dcterms:modified xsi:type="dcterms:W3CDTF">2024-02-23T02:47:42Z</dcterms:modified>
  <cp:revision>6</cp:revision>
  <dc:title>浙江省政府采购招标文件范本（试行）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14D721519C4D47759122FE3A89485031_13</vt:lpwstr>
  </property>
</Properties>
</file>