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BBEF">
      <w:pPr>
        <w:pStyle w:val="26"/>
        <w:widowControl w:val="0"/>
        <w:adjustRightInd w:val="0"/>
        <w:snapToGrid w:val="0"/>
        <w:jc w:val="both"/>
        <w:rPr>
          <w:rFonts w:hint="eastAsia"/>
          <w:sz w:val="10"/>
        </w:rPr>
      </w:pPr>
      <w:r>
        <w:rPr>
          <w:sz w:val="32"/>
        </w:rPr>
        <w:t xml:space="preserve">                         </w:t>
      </w:r>
      <w:r>
        <w:rPr>
          <w:sz w:val="10"/>
        </w:rPr>
        <w:t xml:space="preserve">                                                                                     </w:t>
      </w:r>
    </w:p>
    <w:p w14:paraId="6AB833BC">
      <w:pPr>
        <w:pStyle w:val="26"/>
        <w:widowControl w:val="0"/>
        <w:adjustRightInd w:val="0"/>
        <w:snapToGrid w:val="0"/>
        <w:jc w:val="both"/>
        <w:rPr>
          <w:rFonts w:hint="eastAsia"/>
          <w:sz w:val="72"/>
          <w:szCs w:val="72"/>
        </w:rPr>
      </w:pPr>
      <w:r>
        <w:rPr>
          <w:sz w:val="32"/>
        </w:rPr>
        <w:t xml:space="preserve">          </w:t>
      </w:r>
    </w:p>
    <w:p w14:paraId="73CC1D5D">
      <w:pPr>
        <w:pStyle w:val="26"/>
        <w:widowControl w:val="0"/>
        <w:adjustRightInd w:val="0"/>
        <w:snapToGrid w:val="0"/>
        <w:jc w:val="both"/>
        <w:rPr>
          <w:rFonts w:hint="eastAsia"/>
          <w:sz w:val="72"/>
          <w:szCs w:val="72"/>
        </w:rPr>
      </w:pPr>
    </w:p>
    <w:p w14:paraId="24EDF0AE">
      <w:pPr>
        <w:pStyle w:val="26"/>
        <w:widowControl w:val="0"/>
        <w:adjustRightInd w:val="0"/>
        <w:snapToGrid w:val="0"/>
        <w:jc w:val="both"/>
        <w:rPr>
          <w:rFonts w:hint="eastAsia"/>
          <w:sz w:val="72"/>
          <w:szCs w:val="72"/>
        </w:rPr>
      </w:pPr>
    </w:p>
    <w:p w14:paraId="06DC8BDA">
      <w:pPr>
        <w:pStyle w:val="26"/>
        <w:widowControl w:val="0"/>
        <w:adjustRightInd w:val="0"/>
        <w:snapToGrid w:val="0"/>
        <w:rPr>
          <w:rFonts w:hint="eastAsia"/>
          <w:sz w:val="36"/>
          <w:szCs w:val="36"/>
        </w:rPr>
      </w:pPr>
    </w:p>
    <w:p w14:paraId="1794D3D8">
      <w:pPr>
        <w:pStyle w:val="26"/>
        <w:widowControl w:val="0"/>
        <w:adjustRightInd w:val="0"/>
        <w:snapToGrid w:val="0"/>
        <w:jc w:val="center"/>
        <w:rPr>
          <w:rFonts w:ascii="Times New Roman" w:hAnsi="Times New Roman"/>
          <w:sz w:val="84"/>
        </w:rPr>
      </w:pPr>
      <w:r>
        <w:rPr>
          <w:rFonts w:ascii="Times New Roman" w:hAnsi="Times New Roman"/>
          <w:sz w:val="84"/>
        </w:rPr>
        <w:t>公开招标文件</w:t>
      </w:r>
    </w:p>
    <w:p w14:paraId="23297AB5">
      <w:pPr>
        <w:pStyle w:val="26"/>
        <w:widowControl w:val="0"/>
        <w:adjustRightInd w:val="0"/>
        <w:snapToGrid w:val="0"/>
        <w:jc w:val="center"/>
        <w:rPr>
          <w:rFonts w:ascii="Times New Roman" w:hAnsi="Times New Roman"/>
          <w:sz w:val="36"/>
        </w:rPr>
      </w:pPr>
      <w:r>
        <w:rPr>
          <w:rFonts w:ascii="Times New Roman" w:hAnsi="Times New Roman"/>
          <w:sz w:val="36"/>
        </w:rPr>
        <w:t>编号：YG2025-FW7634-ZFCG</w:t>
      </w:r>
      <w:r>
        <w:rPr>
          <w:rFonts w:hint="eastAsia" w:ascii="Times New Roman" w:hAnsi="Times New Roman"/>
          <w:sz w:val="36"/>
        </w:rPr>
        <w:t>314</w:t>
      </w:r>
    </w:p>
    <w:p w14:paraId="29F7EBF6">
      <w:pPr>
        <w:widowControl w:val="0"/>
        <w:adjustRightInd w:val="0"/>
        <w:snapToGrid w:val="0"/>
        <w:spacing w:line="360" w:lineRule="auto"/>
        <w:jc w:val="center"/>
        <w:rPr>
          <w:sz w:val="36"/>
        </w:rPr>
      </w:pPr>
      <w:r>
        <w:rPr>
          <w:sz w:val="36"/>
        </w:rPr>
        <w:t>项目：金华市中心医院、金华市妇幼保健院减重医用食品配送项目</w:t>
      </w:r>
    </w:p>
    <w:p w14:paraId="60C31D8E">
      <w:pPr>
        <w:widowControl w:val="0"/>
        <w:adjustRightInd w:val="0"/>
        <w:snapToGrid w:val="0"/>
        <w:spacing w:line="360" w:lineRule="exact"/>
        <w:rPr>
          <w:b/>
          <w:sz w:val="44"/>
        </w:rPr>
      </w:pPr>
    </w:p>
    <w:p w14:paraId="1C8E0B9F">
      <w:pPr>
        <w:widowControl w:val="0"/>
        <w:adjustRightInd w:val="0"/>
        <w:snapToGrid w:val="0"/>
        <w:spacing w:line="360" w:lineRule="exact"/>
        <w:rPr>
          <w:b/>
          <w:sz w:val="44"/>
        </w:rPr>
      </w:pPr>
    </w:p>
    <w:p w14:paraId="3853AD51">
      <w:pPr>
        <w:widowControl w:val="0"/>
        <w:adjustRightInd w:val="0"/>
        <w:snapToGrid w:val="0"/>
        <w:spacing w:line="360" w:lineRule="exact"/>
        <w:rPr>
          <w:b/>
          <w:sz w:val="44"/>
        </w:rPr>
      </w:pPr>
    </w:p>
    <w:p w14:paraId="7E9982BF">
      <w:pPr>
        <w:widowControl w:val="0"/>
        <w:adjustRightInd w:val="0"/>
        <w:snapToGrid w:val="0"/>
        <w:spacing w:line="360" w:lineRule="exact"/>
        <w:rPr>
          <w:b/>
          <w:sz w:val="44"/>
        </w:rPr>
      </w:pPr>
    </w:p>
    <w:p w14:paraId="4167BF3C">
      <w:pPr>
        <w:widowControl w:val="0"/>
        <w:adjustRightInd w:val="0"/>
        <w:snapToGrid w:val="0"/>
        <w:spacing w:line="360" w:lineRule="exact"/>
        <w:rPr>
          <w:b/>
          <w:sz w:val="44"/>
        </w:rPr>
      </w:pPr>
    </w:p>
    <w:p w14:paraId="12439EBB">
      <w:pPr>
        <w:widowControl w:val="0"/>
        <w:adjustRightInd w:val="0"/>
        <w:snapToGrid w:val="0"/>
        <w:spacing w:line="360" w:lineRule="exact"/>
        <w:rPr>
          <w:b/>
          <w:sz w:val="44"/>
        </w:rPr>
      </w:pPr>
    </w:p>
    <w:p w14:paraId="46AF7E48">
      <w:pPr>
        <w:widowControl w:val="0"/>
        <w:adjustRightInd w:val="0"/>
        <w:snapToGrid w:val="0"/>
        <w:spacing w:line="360" w:lineRule="exact"/>
        <w:rPr>
          <w:b/>
          <w:sz w:val="44"/>
        </w:rPr>
      </w:pPr>
    </w:p>
    <w:p w14:paraId="1AE5A6FC">
      <w:pPr>
        <w:widowControl w:val="0"/>
        <w:adjustRightInd w:val="0"/>
        <w:snapToGrid w:val="0"/>
        <w:spacing w:line="360" w:lineRule="exact"/>
        <w:rPr>
          <w:b/>
          <w:sz w:val="44"/>
        </w:rPr>
      </w:pPr>
    </w:p>
    <w:p w14:paraId="5C53D9BD">
      <w:pPr>
        <w:pStyle w:val="2"/>
        <w:ind w:left="0" w:leftChars="0" w:firstLine="0" w:firstLineChars="0"/>
      </w:pPr>
    </w:p>
    <w:p w14:paraId="5F211AC8">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采 购 人：金华市中心医院、金华市妇幼保健院</w:t>
      </w:r>
    </w:p>
    <w:p w14:paraId="7164B39B">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代理机构：浙江金华阳光招标代理有限公司</w:t>
      </w:r>
    </w:p>
    <w:p w14:paraId="698E6EEC">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监管部门：金华市财政局政府采购监管处</w:t>
      </w:r>
    </w:p>
    <w:p w14:paraId="4F37FF96">
      <w:pPr>
        <w:pStyle w:val="26"/>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sz w:val="28"/>
        </w:rPr>
      </w:pPr>
      <w:r>
        <w:rPr>
          <w:rFonts w:ascii="Times New Roman" w:hAnsi="Times New Roman"/>
          <w:b/>
          <w:bCs/>
          <w:sz w:val="28"/>
        </w:rPr>
        <w:t>编制日期：</w:t>
      </w:r>
      <w:r>
        <w:rPr>
          <w:rFonts w:ascii="Times New Roman" w:hAnsi="Times New Roman"/>
          <w:b/>
          <w:sz w:val="28"/>
        </w:rPr>
        <w:t>二〇二</w:t>
      </w:r>
      <w:r>
        <w:rPr>
          <w:rFonts w:hint="eastAsia" w:ascii="Times New Roman" w:hAnsi="Times New Roman"/>
          <w:b/>
          <w:sz w:val="28"/>
        </w:rPr>
        <w:t>五</w:t>
      </w:r>
      <w:r>
        <w:rPr>
          <w:rFonts w:ascii="Times New Roman" w:hAnsi="Times New Roman"/>
          <w:b/>
          <w:sz w:val="28"/>
        </w:rPr>
        <w:t>年</w:t>
      </w:r>
      <w:r>
        <w:rPr>
          <w:rFonts w:hint="eastAsia" w:ascii="Times New Roman" w:hAnsi="Times New Roman"/>
          <w:b/>
          <w:sz w:val="28"/>
        </w:rPr>
        <w:t>六</w:t>
      </w:r>
      <w:r>
        <w:rPr>
          <w:rFonts w:ascii="Times New Roman" w:hAnsi="Times New Roman"/>
          <w:b/>
          <w:sz w:val="28"/>
        </w:rPr>
        <w:t>月</w:t>
      </w:r>
    </w:p>
    <w:p w14:paraId="05672EA6">
      <w:pPr>
        <w:widowControl w:val="0"/>
        <w:adjustRightInd w:val="0"/>
        <w:snapToGrid w:val="0"/>
        <w:spacing w:line="360" w:lineRule="auto"/>
        <w:rPr>
          <w:rFonts w:hint="eastAsia" w:ascii="宋体" w:hAnsi="宋体"/>
          <w:b/>
          <w:bCs/>
          <w:sz w:val="48"/>
        </w:rPr>
      </w:pPr>
    </w:p>
    <w:p w14:paraId="4D0C9635">
      <w:pPr>
        <w:widowControl w:val="0"/>
        <w:adjustRightInd w:val="0"/>
        <w:snapToGrid w:val="0"/>
        <w:spacing w:line="360" w:lineRule="auto"/>
        <w:jc w:val="center"/>
        <w:rPr>
          <w:rFonts w:hint="eastAsia" w:ascii="宋体" w:hAnsi="宋体"/>
          <w:b/>
          <w:bCs/>
          <w:sz w:val="52"/>
          <w:szCs w:val="52"/>
        </w:rPr>
      </w:pPr>
      <w:r>
        <w:rPr>
          <w:rFonts w:ascii="宋体" w:hAnsi="宋体"/>
          <w:b/>
          <w:bCs/>
          <w:sz w:val="52"/>
          <w:szCs w:val="52"/>
        </w:rPr>
        <w:t>招 标 文 件 目 录</w:t>
      </w:r>
    </w:p>
    <w:p w14:paraId="1782B526">
      <w:pPr>
        <w:pStyle w:val="33"/>
        <w:tabs>
          <w:tab w:val="right" w:leader="dot" w:pos="8990"/>
        </w:tabs>
        <w:spacing w:line="480" w:lineRule="auto"/>
        <w:rPr>
          <w:rFonts w:hint="eastAsia" w:hAnsi="等线"/>
          <w:b w:val="0"/>
          <w:bCs w:val="0"/>
          <w:caps w:val="0"/>
          <w:kern w:val="2"/>
          <w:sz w:val="28"/>
          <w:szCs w:val="32"/>
        </w:rPr>
      </w:pPr>
      <w:r>
        <w:rPr>
          <w:rFonts w:ascii="宋体" w:hAnsi="宋体" w:eastAsia="宋体"/>
          <w:sz w:val="36"/>
          <w:szCs w:val="36"/>
        </w:rPr>
        <w:fldChar w:fldCharType="begin"/>
      </w:r>
      <w:r>
        <w:rPr>
          <w:rFonts w:ascii="宋体" w:hAnsi="宋体" w:eastAsia="宋体"/>
          <w:sz w:val="36"/>
          <w:szCs w:val="36"/>
        </w:rPr>
        <w:instrText xml:space="preserve"> </w:instrText>
      </w:r>
      <w:r>
        <w:rPr>
          <w:rFonts w:hint="eastAsia" w:ascii="宋体" w:hAnsi="宋体" w:eastAsia="宋体"/>
          <w:sz w:val="36"/>
          <w:szCs w:val="36"/>
        </w:rPr>
        <w:instrText xml:space="preserve">TOC \o "1-3" \h \z \u</w:instrText>
      </w:r>
      <w:r>
        <w:rPr>
          <w:rFonts w:ascii="宋体" w:hAnsi="宋体" w:eastAsia="宋体"/>
          <w:sz w:val="36"/>
          <w:szCs w:val="36"/>
        </w:rPr>
        <w:instrText xml:space="preserve"> </w:instrText>
      </w:r>
      <w:r>
        <w:rPr>
          <w:rFonts w:ascii="宋体" w:hAnsi="宋体" w:eastAsia="宋体"/>
          <w:sz w:val="36"/>
          <w:szCs w:val="36"/>
        </w:rPr>
        <w:fldChar w:fldCharType="separate"/>
      </w:r>
      <w:r>
        <w:fldChar w:fldCharType="begin"/>
      </w:r>
      <w:r>
        <w:instrText xml:space="preserve"> HYPERLINK \l "_Toc93668159" </w:instrText>
      </w:r>
      <w:r>
        <w:fldChar w:fldCharType="separate"/>
      </w:r>
      <w:r>
        <w:rPr>
          <w:rStyle w:val="51"/>
          <w:rFonts w:ascii="宋体" w:hAnsi="宋体"/>
          <w:sz w:val="24"/>
          <w:szCs w:val="24"/>
        </w:rPr>
        <w:t>第一章  招标公告</w:t>
      </w:r>
      <w:r>
        <w:rPr>
          <w:sz w:val="24"/>
          <w:szCs w:val="24"/>
        </w:rPr>
        <w:tab/>
      </w:r>
      <w:r>
        <w:rPr>
          <w:sz w:val="24"/>
          <w:szCs w:val="24"/>
        </w:rPr>
        <w:fldChar w:fldCharType="begin"/>
      </w:r>
      <w:r>
        <w:rPr>
          <w:sz w:val="24"/>
          <w:szCs w:val="24"/>
        </w:rPr>
        <w:instrText xml:space="preserve"> PAGEREF _Toc93668159 \h </w:instrText>
      </w:r>
      <w:r>
        <w:rPr>
          <w:sz w:val="24"/>
          <w:szCs w:val="24"/>
        </w:rPr>
        <w:fldChar w:fldCharType="separate"/>
      </w:r>
      <w:r>
        <w:rPr>
          <w:sz w:val="24"/>
          <w:szCs w:val="24"/>
        </w:rPr>
        <w:t>4</w:t>
      </w:r>
      <w:r>
        <w:rPr>
          <w:sz w:val="24"/>
          <w:szCs w:val="24"/>
        </w:rPr>
        <w:fldChar w:fldCharType="end"/>
      </w:r>
      <w:r>
        <w:rPr>
          <w:sz w:val="24"/>
          <w:szCs w:val="24"/>
        </w:rPr>
        <w:fldChar w:fldCharType="end"/>
      </w:r>
    </w:p>
    <w:p w14:paraId="53701A23">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"_Toc93668160" </w:instrText>
      </w:r>
      <w:r>
        <w:fldChar w:fldCharType="separate"/>
      </w:r>
      <w:r>
        <w:rPr>
          <w:rStyle w:val="51"/>
          <w:rFonts w:ascii="宋体" w:hAnsi="宋体"/>
          <w:sz w:val="24"/>
          <w:szCs w:val="24"/>
        </w:rPr>
        <w:t>第二章  前附表</w:t>
      </w:r>
      <w:r>
        <w:rPr>
          <w:sz w:val="24"/>
          <w:szCs w:val="24"/>
        </w:rPr>
        <w:tab/>
      </w:r>
      <w:r>
        <w:rPr>
          <w:sz w:val="24"/>
          <w:szCs w:val="24"/>
        </w:rPr>
        <w:fldChar w:fldCharType="begin"/>
      </w:r>
      <w:r>
        <w:rPr>
          <w:sz w:val="24"/>
          <w:szCs w:val="24"/>
        </w:rPr>
        <w:instrText xml:space="preserve"> PAGEREF _Toc93668160 \h </w:instrText>
      </w:r>
      <w:r>
        <w:rPr>
          <w:sz w:val="24"/>
          <w:szCs w:val="24"/>
        </w:rPr>
        <w:fldChar w:fldCharType="separate"/>
      </w:r>
      <w:r>
        <w:rPr>
          <w:sz w:val="24"/>
          <w:szCs w:val="24"/>
        </w:rPr>
        <w:t>8</w:t>
      </w:r>
      <w:r>
        <w:rPr>
          <w:sz w:val="24"/>
          <w:szCs w:val="24"/>
        </w:rPr>
        <w:fldChar w:fldCharType="end"/>
      </w:r>
      <w:r>
        <w:rPr>
          <w:sz w:val="24"/>
          <w:szCs w:val="24"/>
        </w:rPr>
        <w:fldChar w:fldCharType="end"/>
      </w:r>
    </w:p>
    <w:p w14:paraId="2AFA286D">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"_Toc93668161" </w:instrText>
      </w:r>
      <w:r>
        <w:fldChar w:fldCharType="separate"/>
      </w:r>
      <w:r>
        <w:rPr>
          <w:rStyle w:val="51"/>
          <w:rFonts w:ascii="宋体" w:hAnsi="宋体"/>
          <w:sz w:val="24"/>
          <w:szCs w:val="24"/>
        </w:rPr>
        <w:t>第三章  项目技术规范和要求</w:t>
      </w:r>
      <w:r>
        <w:rPr>
          <w:sz w:val="24"/>
          <w:szCs w:val="24"/>
        </w:rPr>
        <w:tab/>
      </w:r>
      <w:r>
        <w:rPr>
          <w:sz w:val="24"/>
          <w:szCs w:val="24"/>
        </w:rPr>
        <w:fldChar w:fldCharType="begin"/>
      </w:r>
      <w:r>
        <w:rPr>
          <w:sz w:val="24"/>
          <w:szCs w:val="24"/>
        </w:rPr>
        <w:instrText xml:space="preserve"> PAGEREF _Toc93668161 \h </w:instrText>
      </w:r>
      <w:r>
        <w:rPr>
          <w:sz w:val="24"/>
          <w:szCs w:val="24"/>
        </w:rPr>
        <w:fldChar w:fldCharType="separate"/>
      </w:r>
      <w:r>
        <w:rPr>
          <w:sz w:val="24"/>
          <w:szCs w:val="24"/>
        </w:rPr>
        <w:t>12</w:t>
      </w:r>
      <w:r>
        <w:rPr>
          <w:sz w:val="24"/>
          <w:szCs w:val="24"/>
        </w:rPr>
        <w:fldChar w:fldCharType="end"/>
      </w:r>
      <w:r>
        <w:rPr>
          <w:sz w:val="24"/>
          <w:szCs w:val="24"/>
        </w:rPr>
        <w:fldChar w:fldCharType="end"/>
      </w:r>
    </w:p>
    <w:p w14:paraId="6A364683">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"_Toc93668162" </w:instrText>
      </w:r>
      <w:r>
        <w:fldChar w:fldCharType="separate"/>
      </w:r>
      <w:r>
        <w:rPr>
          <w:rStyle w:val="51"/>
          <w:rFonts w:ascii="宋体" w:hAnsi="宋体"/>
          <w:sz w:val="24"/>
          <w:szCs w:val="24"/>
        </w:rPr>
        <w:t>第四章  投标人须知</w:t>
      </w:r>
      <w:r>
        <w:rPr>
          <w:sz w:val="24"/>
          <w:szCs w:val="24"/>
        </w:rPr>
        <w:tab/>
      </w:r>
      <w:r>
        <w:rPr>
          <w:sz w:val="24"/>
          <w:szCs w:val="24"/>
        </w:rPr>
        <w:fldChar w:fldCharType="begin"/>
      </w:r>
      <w:r>
        <w:rPr>
          <w:sz w:val="24"/>
          <w:szCs w:val="24"/>
        </w:rPr>
        <w:instrText xml:space="preserve"> PAGEREF _Toc93668162 \h </w:instrText>
      </w:r>
      <w:r>
        <w:rPr>
          <w:sz w:val="24"/>
          <w:szCs w:val="24"/>
        </w:rPr>
        <w:fldChar w:fldCharType="separate"/>
      </w:r>
      <w:r>
        <w:rPr>
          <w:sz w:val="24"/>
          <w:szCs w:val="24"/>
        </w:rPr>
        <w:t>16</w:t>
      </w:r>
      <w:r>
        <w:rPr>
          <w:sz w:val="24"/>
          <w:szCs w:val="24"/>
        </w:rPr>
        <w:fldChar w:fldCharType="end"/>
      </w:r>
      <w:r>
        <w:rPr>
          <w:sz w:val="24"/>
          <w:szCs w:val="24"/>
        </w:rPr>
        <w:fldChar w:fldCharType="end"/>
      </w:r>
    </w:p>
    <w:p w14:paraId="5F57682D">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"_Toc93668163" </w:instrText>
      </w:r>
      <w:r>
        <w:fldChar w:fldCharType="separate"/>
      </w:r>
      <w:r>
        <w:rPr>
          <w:rStyle w:val="51"/>
          <w:rFonts w:ascii="宋体" w:hAnsi="宋体"/>
          <w:sz w:val="24"/>
          <w:szCs w:val="24"/>
        </w:rPr>
        <w:t>第五章  评标办法</w:t>
      </w:r>
      <w:r>
        <w:rPr>
          <w:sz w:val="24"/>
          <w:szCs w:val="24"/>
        </w:rPr>
        <w:tab/>
      </w:r>
      <w:r>
        <w:rPr>
          <w:sz w:val="24"/>
          <w:szCs w:val="24"/>
        </w:rPr>
        <w:fldChar w:fldCharType="begin"/>
      </w:r>
      <w:r>
        <w:rPr>
          <w:sz w:val="24"/>
          <w:szCs w:val="24"/>
        </w:rPr>
        <w:instrText xml:space="preserve"> PAGEREF _Toc93668163 \h </w:instrText>
      </w:r>
      <w:r>
        <w:rPr>
          <w:sz w:val="24"/>
          <w:szCs w:val="24"/>
        </w:rPr>
        <w:fldChar w:fldCharType="separate"/>
      </w:r>
      <w:r>
        <w:rPr>
          <w:sz w:val="24"/>
          <w:szCs w:val="24"/>
        </w:rPr>
        <w:t>31</w:t>
      </w:r>
      <w:r>
        <w:rPr>
          <w:sz w:val="24"/>
          <w:szCs w:val="24"/>
        </w:rPr>
        <w:fldChar w:fldCharType="end"/>
      </w:r>
      <w:r>
        <w:rPr>
          <w:sz w:val="24"/>
          <w:szCs w:val="24"/>
        </w:rPr>
        <w:fldChar w:fldCharType="end"/>
      </w:r>
    </w:p>
    <w:p w14:paraId="1BCBF7CE">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"_Toc93668164" </w:instrText>
      </w:r>
      <w:r>
        <w:fldChar w:fldCharType="separate"/>
      </w:r>
      <w:r>
        <w:rPr>
          <w:rStyle w:val="51"/>
          <w:rFonts w:ascii="宋体" w:hAnsi="宋体"/>
          <w:sz w:val="24"/>
          <w:szCs w:val="24"/>
        </w:rPr>
        <w:t>第六章  合同</w:t>
      </w:r>
      <w:bookmarkStart w:id="0" w:name="_Hlt93671327"/>
      <w:bookmarkStart w:id="1" w:name="_Hlt93671328"/>
      <w:r>
        <w:rPr>
          <w:rStyle w:val="51"/>
          <w:rFonts w:ascii="宋体" w:hAnsi="宋体"/>
          <w:sz w:val="24"/>
          <w:szCs w:val="24"/>
        </w:rPr>
        <w:t>范</w:t>
      </w:r>
      <w:bookmarkEnd w:id="0"/>
      <w:bookmarkEnd w:id="1"/>
      <w:r>
        <w:rPr>
          <w:rStyle w:val="51"/>
          <w:rFonts w:ascii="宋体" w:hAnsi="宋体"/>
          <w:sz w:val="24"/>
          <w:szCs w:val="24"/>
        </w:rPr>
        <w:t>本</w:t>
      </w:r>
      <w:r>
        <w:rPr>
          <w:sz w:val="24"/>
          <w:szCs w:val="24"/>
        </w:rPr>
        <w:tab/>
      </w:r>
      <w:r>
        <w:rPr>
          <w:sz w:val="24"/>
          <w:szCs w:val="24"/>
        </w:rPr>
        <w:fldChar w:fldCharType="begin"/>
      </w:r>
      <w:r>
        <w:rPr>
          <w:sz w:val="24"/>
          <w:szCs w:val="24"/>
        </w:rPr>
        <w:instrText xml:space="preserve"> PAGEREF _Toc93668164 \h </w:instrText>
      </w:r>
      <w:r>
        <w:rPr>
          <w:sz w:val="24"/>
          <w:szCs w:val="24"/>
        </w:rPr>
        <w:fldChar w:fldCharType="separate"/>
      </w:r>
      <w:r>
        <w:rPr>
          <w:sz w:val="24"/>
          <w:szCs w:val="24"/>
        </w:rPr>
        <w:t>37</w:t>
      </w:r>
      <w:r>
        <w:rPr>
          <w:sz w:val="24"/>
          <w:szCs w:val="24"/>
        </w:rPr>
        <w:fldChar w:fldCharType="end"/>
      </w:r>
      <w:r>
        <w:rPr>
          <w:sz w:val="24"/>
          <w:szCs w:val="24"/>
        </w:rPr>
        <w:fldChar w:fldCharType="end"/>
      </w:r>
    </w:p>
    <w:p w14:paraId="09D54192">
      <w:pPr>
        <w:pStyle w:val="33"/>
        <w:tabs>
          <w:tab w:val="right" w:leader="dot" w:pos="8990"/>
        </w:tabs>
        <w:spacing w:line="480" w:lineRule="auto"/>
        <w:rPr>
          <w:rFonts w:hint="eastAsia" w:hAnsi="等线"/>
          <w:b w:val="0"/>
          <w:bCs w:val="0"/>
          <w:caps w:val="0"/>
          <w:kern w:val="2"/>
          <w:sz w:val="28"/>
          <w:szCs w:val="32"/>
        </w:rPr>
      </w:pPr>
      <w:r>
        <w:fldChar w:fldCharType="begin"/>
      </w:r>
      <w:r>
        <w:instrText xml:space="preserve"> HYPERLINK \l "_Toc93668165" </w:instrText>
      </w:r>
      <w:r>
        <w:fldChar w:fldCharType="separate"/>
      </w:r>
      <w:r>
        <w:rPr>
          <w:rStyle w:val="51"/>
          <w:rFonts w:ascii="宋体" w:hAnsi="宋体"/>
          <w:sz w:val="24"/>
          <w:szCs w:val="24"/>
        </w:rPr>
        <w:t>第七章  投标文件格式</w:t>
      </w:r>
      <w:r>
        <w:rPr>
          <w:sz w:val="24"/>
          <w:szCs w:val="24"/>
        </w:rPr>
        <w:tab/>
      </w:r>
      <w:r>
        <w:rPr>
          <w:sz w:val="24"/>
          <w:szCs w:val="24"/>
        </w:rPr>
        <w:fldChar w:fldCharType="begin"/>
      </w:r>
      <w:r>
        <w:rPr>
          <w:sz w:val="24"/>
          <w:szCs w:val="24"/>
        </w:rPr>
        <w:instrText xml:space="preserve"> PAGEREF _Toc93668165 \h </w:instrText>
      </w:r>
      <w:r>
        <w:rPr>
          <w:sz w:val="24"/>
          <w:szCs w:val="24"/>
        </w:rPr>
        <w:fldChar w:fldCharType="separate"/>
      </w:r>
      <w:r>
        <w:rPr>
          <w:sz w:val="24"/>
          <w:szCs w:val="24"/>
        </w:rPr>
        <w:t>43</w:t>
      </w:r>
      <w:r>
        <w:rPr>
          <w:sz w:val="24"/>
          <w:szCs w:val="24"/>
        </w:rPr>
        <w:fldChar w:fldCharType="end"/>
      </w:r>
      <w:r>
        <w:rPr>
          <w:sz w:val="24"/>
          <w:szCs w:val="24"/>
        </w:rPr>
        <w:fldChar w:fldCharType="end"/>
      </w:r>
    </w:p>
    <w:p w14:paraId="05E4A044">
      <w:pPr>
        <w:widowControl w:val="0"/>
        <w:adjustRightInd w:val="0"/>
        <w:snapToGrid w:val="0"/>
        <w:spacing w:line="480" w:lineRule="auto"/>
        <w:jc w:val="center"/>
        <w:rPr>
          <w:rFonts w:hint="eastAsia" w:ascii="宋体" w:hAnsi="宋体"/>
          <w:b/>
          <w:bCs/>
          <w:sz w:val="52"/>
          <w:szCs w:val="52"/>
        </w:rPr>
      </w:pPr>
      <w:r>
        <w:rPr>
          <w:rFonts w:ascii="宋体" w:hAnsi="宋体"/>
          <w:sz w:val="36"/>
          <w:szCs w:val="36"/>
        </w:rPr>
        <w:fldChar w:fldCharType="end"/>
      </w:r>
    </w:p>
    <w:p w14:paraId="1A1F0F91">
      <w:pPr>
        <w:widowControl w:val="0"/>
        <w:adjustRightInd w:val="0"/>
        <w:snapToGrid w:val="0"/>
        <w:spacing w:line="360" w:lineRule="auto"/>
        <w:jc w:val="center"/>
        <w:rPr>
          <w:rFonts w:hint="eastAsia" w:ascii="宋体" w:hAnsi="宋体"/>
          <w:b/>
          <w:bCs/>
          <w:sz w:val="48"/>
        </w:rPr>
      </w:pPr>
    </w:p>
    <w:p w14:paraId="7A016C7C">
      <w:pPr>
        <w:pStyle w:val="26"/>
        <w:widowControl w:val="0"/>
        <w:adjustRightInd w:val="0"/>
        <w:snapToGrid w:val="0"/>
        <w:spacing w:line="600" w:lineRule="auto"/>
        <w:ind w:left="1384"/>
        <w:jc w:val="both"/>
        <w:rPr>
          <w:rFonts w:hint="eastAsia"/>
          <w:spacing w:val="20"/>
          <w:sz w:val="32"/>
        </w:rPr>
      </w:pPr>
    </w:p>
    <w:p w14:paraId="7B671AFD">
      <w:pPr>
        <w:pStyle w:val="26"/>
        <w:widowControl w:val="0"/>
        <w:adjustRightInd w:val="0"/>
        <w:snapToGrid w:val="0"/>
        <w:ind w:left="902" w:leftChars="376" w:firstLine="1280" w:firstLineChars="400"/>
        <w:jc w:val="both"/>
        <w:rPr>
          <w:rFonts w:hint="eastAsia"/>
          <w:sz w:val="32"/>
        </w:rPr>
      </w:pPr>
    </w:p>
    <w:p w14:paraId="52F76BDF">
      <w:pPr>
        <w:pStyle w:val="26"/>
        <w:widowControl w:val="0"/>
        <w:adjustRightInd w:val="0"/>
        <w:snapToGrid w:val="0"/>
        <w:spacing w:line="480" w:lineRule="auto"/>
        <w:ind w:left="902"/>
        <w:jc w:val="both"/>
        <w:rPr>
          <w:rFonts w:hint="eastAsia"/>
          <w:sz w:val="32"/>
        </w:rPr>
        <w:sectPr>
          <w:headerReference r:id="rId5" w:type="first"/>
          <w:footerReference r:id="rId8"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14:paraId="4A76594E">
      <w:pPr>
        <w:widowControl w:val="0"/>
        <w:spacing w:line="360" w:lineRule="auto"/>
        <w:ind w:firstLine="562" w:firstLineChars="200"/>
        <w:jc w:val="both"/>
        <w:rPr>
          <w:rFonts w:hint="eastAsia" w:ascii="宋体" w:hAnsi="宋体" w:cs="仿宋"/>
          <w:b/>
          <w:bCs/>
          <w:kern w:val="2"/>
          <w:sz w:val="28"/>
          <w:szCs w:val="28"/>
        </w:rPr>
      </w:pPr>
      <w:bookmarkStart w:id="2" w:name="_Toc73432709"/>
    </w:p>
    <w:p w14:paraId="50C1F530">
      <w:pPr>
        <w:widowControl w:val="0"/>
        <w:spacing w:line="360" w:lineRule="auto"/>
        <w:ind w:firstLine="562" w:firstLineChars="200"/>
        <w:jc w:val="both"/>
        <w:rPr>
          <w:rFonts w:hint="eastAsia" w:ascii="宋体" w:hAnsi="宋体" w:cs="仿宋"/>
          <w:b/>
          <w:bCs/>
          <w:kern w:val="2"/>
          <w:sz w:val="28"/>
          <w:szCs w:val="28"/>
        </w:rPr>
      </w:pPr>
      <w:r>
        <w:rPr>
          <w:rFonts w:hint="eastAsia" w:ascii="宋体" w:hAnsi="宋体" w:cs="仿宋"/>
          <w:b/>
          <w:bCs/>
          <w:kern w:val="2"/>
          <w:sz w:val="28"/>
          <w:szCs w:val="28"/>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14:paraId="2460D672">
      <w:pPr>
        <w:widowControl w:val="0"/>
        <w:spacing w:line="360" w:lineRule="auto"/>
        <w:ind w:firstLine="562" w:firstLineChars="200"/>
        <w:jc w:val="both"/>
        <w:rPr>
          <w:rFonts w:hint="eastAsia" w:ascii="宋体" w:hAnsi="宋体" w:cs="仿宋"/>
          <w:b/>
          <w:bCs/>
          <w:kern w:val="2"/>
          <w:sz w:val="28"/>
          <w:szCs w:val="28"/>
        </w:rPr>
      </w:pPr>
      <w:bookmarkStart w:id="3" w:name="_Toc73432710"/>
      <w:r>
        <w:rPr>
          <w:rFonts w:hint="eastAsia" w:ascii="宋体" w:hAnsi="宋体" w:cs="仿宋"/>
          <w:b/>
          <w:bCs/>
          <w:kern w:val="2"/>
          <w:sz w:val="28"/>
          <w:szCs w:val="28"/>
        </w:rPr>
        <w:t>举报电话：</w:t>
      </w:r>
      <w:bookmarkEnd w:id="3"/>
    </w:p>
    <w:p w14:paraId="62820409">
      <w:pPr>
        <w:widowControl w:val="0"/>
        <w:spacing w:line="360" w:lineRule="auto"/>
        <w:ind w:firstLine="562" w:firstLineChars="200"/>
        <w:jc w:val="both"/>
        <w:rPr>
          <w:rFonts w:hint="eastAsia" w:ascii="宋体" w:hAnsi="宋体" w:cs="仿宋"/>
          <w:b/>
          <w:bCs/>
          <w:kern w:val="2"/>
          <w:sz w:val="28"/>
          <w:szCs w:val="28"/>
        </w:rPr>
      </w:pPr>
      <w:bookmarkStart w:id="4" w:name="_Toc73432711"/>
      <w:r>
        <w:rPr>
          <w:rFonts w:hint="eastAsia" w:ascii="宋体" w:hAnsi="宋体" w:cs="仿宋"/>
          <w:b/>
          <w:bCs/>
          <w:kern w:val="2"/>
          <w:sz w:val="28"/>
          <w:szCs w:val="28"/>
        </w:rPr>
        <w:t xml:space="preserve">市扫黑办 </w:t>
      </w:r>
      <w:r>
        <w:rPr>
          <w:rFonts w:ascii="宋体" w:hAnsi="宋体" w:cs="仿宋"/>
          <w:b/>
          <w:bCs/>
          <w:kern w:val="2"/>
          <w:sz w:val="28"/>
          <w:szCs w:val="28"/>
        </w:rPr>
        <w:t>  </w:t>
      </w:r>
      <w:r>
        <w:rPr>
          <w:rFonts w:hint="eastAsia" w:ascii="宋体" w:hAnsi="宋体" w:cs="仿宋"/>
          <w:b/>
          <w:bCs/>
          <w:kern w:val="2"/>
          <w:sz w:val="28"/>
          <w:szCs w:val="28"/>
        </w:rPr>
        <w:t xml:space="preserve">  0579-82495227</w:t>
      </w:r>
      <w:bookmarkEnd w:id="4"/>
    </w:p>
    <w:p w14:paraId="79DC0F2C">
      <w:pPr>
        <w:widowControl w:val="0"/>
        <w:spacing w:line="360" w:lineRule="auto"/>
        <w:ind w:firstLine="562" w:firstLineChars="200"/>
        <w:jc w:val="both"/>
        <w:rPr>
          <w:rFonts w:hint="eastAsia" w:ascii="宋体" w:hAnsi="宋体" w:cs="仿宋"/>
          <w:b/>
          <w:bCs/>
          <w:kern w:val="2"/>
          <w:sz w:val="28"/>
          <w:szCs w:val="28"/>
        </w:rPr>
      </w:pPr>
      <w:bookmarkStart w:id="5" w:name="_Toc73432712"/>
      <w:r>
        <w:rPr>
          <w:rFonts w:hint="eastAsia" w:ascii="宋体" w:hAnsi="宋体" w:cs="仿宋"/>
          <w:b/>
          <w:bCs/>
          <w:kern w:val="2"/>
          <w:sz w:val="28"/>
          <w:szCs w:val="28"/>
        </w:rPr>
        <w:t xml:space="preserve">市公安局 </w:t>
      </w:r>
      <w:r>
        <w:rPr>
          <w:rFonts w:ascii="宋体" w:hAnsi="宋体" w:cs="仿宋"/>
          <w:b/>
          <w:bCs/>
          <w:kern w:val="2"/>
          <w:sz w:val="28"/>
          <w:szCs w:val="28"/>
        </w:rPr>
        <w:t>  </w:t>
      </w:r>
      <w:r>
        <w:rPr>
          <w:rFonts w:hint="eastAsia" w:ascii="宋体" w:hAnsi="宋体" w:cs="仿宋"/>
          <w:b/>
          <w:bCs/>
          <w:kern w:val="2"/>
          <w:sz w:val="28"/>
          <w:szCs w:val="28"/>
        </w:rPr>
        <w:t xml:space="preserve">  110、0579-82512110</w:t>
      </w:r>
      <w:bookmarkEnd w:id="5"/>
    </w:p>
    <w:p w14:paraId="521D9D08">
      <w:pPr>
        <w:widowControl w:val="0"/>
        <w:spacing w:line="360" w:lineRule="auto"/>
        <w:ind w:firstLine="562" w:firstLineChars="200"/>
        <w:jc w:val="both"/>
        <w:rPr>
          <w:rFonts w:hint="eastAsia" w:ascii="宋体" w:hAnsi="宋体" w:cs="仿宋"/>
          <w:b/>
          <w:bCs/>
          <w:kern w:val="2"/>
          <w:sz w:val="28"/>
          <w:szCs w:val="28"/>
        </w:rPr>
      </w:pPr>
      <w:bookmarkStart w:id="6" w:name="_Toc73432713"/>
      <w:r>
        <w:rPr>
          <w:rFonts w:hint="eastAsia" w:ascii="宋体" w:hAnsi="宋体" w:cs="仿宋"/>
          <w:b/>
          <w:bCs/>
          <w:kern w:val="2"/>
          <w:sz w:val="28"/>
          <w:szCs w:val="28"/>
        </w:rPr>
        <w:t xml:space="preserve">市检察院 </w:t>
      </w:r>
      <w:r>
        <w:rPr>
          <w:rFonts w:ascii="宋体" w:hAnsi="宋体" w:cs="仿宋"/>
          <w:b/>
          <w:bCs/>
          <w:kern w:val="2"/>
          <w:sz w:val="28"/>
          <w:szCs w:val="28"/>
        </w:rPr>
        <w:t> </w:t>
      </w:r>
      <w:r>
        <w:rPr>
          <w:rFonts w:hint="eastAsia" w:ascii="宋体" w:hAnsi="宋体" w:cs="仿宋"/>
          <w:b/>
          <w:bCs/>
          <w:kern w:val="2"/>
          <w:sz w:val="28"/>
          <w:szCs w:val="28"/>
        </w:rPr>
        <w:t xml:space="preserve">  </w:t>
      </w:r>
      <w:r>
        <w:rPr>
          <w:rFonts w:ascii="宋体" w:hAnsi="宋体" w:cs="仿宋"/>
          <w:b/>
          <w:bCs/>
          <w:kern w:val="2"/>
          <w:sz w:val="28"/>
          <w:szCs w:val="28"/>
        </w:rPr>
        <w:t> </w:t>
      </w:r>
      <w:r>
        <w:rPr>
          <w:rFonts w:hint="eastAsia" w:ascii="宋体" w:hAnsi="宋体" w:cs="仿宋"/>
          <w:b/>
          <w:bCs/>
          <w:kern w:val="2"/>
          <w:sz w:val="28"/>
          <w:szCs w:val="28"/>
        </w:rPr>
        <w:t>0579-82537082</w:t>
      </w:r>
      <w:bookmarkEnd w:id="6"/>
    </w:p>
    <w:p w14:paraId="5E17354D">
      <w:pPr>
        <w:widowControl w:val="0"/>
        <w:spacing w:line="360" w:lineRule="auto"/>
        <w:ind w:firstLine="562" w:firstLineChars="200"/>
        <w:jc w:val="both"/>
        <w:rPr>
          <w:rFonts w:hint="eastAsia" w:ascii="宋体" w:hAnsi="宋体" w:cs="仿宋"/>
          <w:b/>
          <w:bCs/>
          <w:kern w:val="2"/>
          <w:sz w:val="28"/>
          <w:szCs w:val="28"/>
        </w:rPr>
      </w:pPr>
      <w:bookmarkStart w:id="7" w:name="_Toc73432714"/>
      <w:r>
        <w:rPr>
          <w:rFonts w:hint="eastAsia" w:ascii="宋体" w:hAnsi="宋体" w:cs="仿宋"/>
          <w:b/>
          <w:bCs/>
          <w:kern w:val="2"/>
          <w:sz w:val="28"/>
          <w:szCs w:val="28"/>
        </w:rPr>
        <w:t xml:space="preserve">市 法 院 </w:t>
      </w:r>
      <w:r>
        <w:rPr>
          <w:rFonts w:ascii="宋体" w:hAnsi="宋体" w:cs="仿宋"/>
          <w:b/>
          <w:bCs/>
          <w:kern w:val="2"/>
          <w:sz w:val="28"/>
          <w:szCs w:val="28"/>
        </w:rPr>
        <w:t>  </w:t>
      </w:r>
      <w:r>
        <w:rPr>
          <w:rFonts w:hint="eastAsia" w:ascii="宋体" w:hAnsi="宋体" w:cs="仿宋"/>
          <w:b/>
          <w:bCs/>
          <w:kern w:val="2"/>
          <w:sz w:val="28"/>
          <w:szCs w:val="28"/>
        </w:rPr>
        <w:t xml:space="preserve">  0579-82688725</w:t>
      </w:r>
      <w:bookmarkEnd w:id="7"/>
    </w:p>
    <w:p w14:paraId="4A23CDA9">
      <w:pPr>
        <w:widowControl w:val="0"/>
        <w:spacing w:line="360" w:lineRule="auto"/>
        <w:ind w:firstLine="562" w:firstLineChars="200"/>
        <w:jc w:val="both"/>
        <w:rPr>
          <w:rFonts w:hint="eastAsia" w:ascii="宋体" w:hAnsi="宋体" w:cs="仿宋"/>
          <w:b/>
          <w:bCs/>
          <w:kern w:val="2"/>
          <w:sz w:val="28"/>
          <w:szCs w:val="28"/>
        </w:rPr>
      </w:pPr>
      <w:bookmarkStart w:id="8" w:name="_Toc73432715"/>
      <w:r>
        <w:rPr>
          <w:rFonts w:hint="eastAsia" w:ascii="宋体" w:hAnsi="宋体" w:cs="仿宋"/>
          <w:b/>
          <w:bCs/>
          <w:kern w:val="2"/>
          <w:sz w:val="28"/>
          <w:szCs w:val="28"/>
        </w:rPr>
        <w:t xml:space="preserve">市公共资源办 </w:t>
      </w:r>
      <w:r>
        <w:rPr>
          <w:rFonts w:ascii="宋体" w:hAnsi="宋体" w:cs="仿宋"/>
          <w:b/>
          <w:bCs/>
          <w:kern w:val="2"/>
          <w:sz w:val="28"/>
          <w:szCs w:val="28"/>
        </w:rPr>
        <w:t> </w:t>
      </w:r>
      <w:r>
        <w:rPr>
          <w:rFonts w:hint="eastAsia" w:ascii="宋体" w:hAnsi="宋体" w:cs="仿宋"/>
          <w:b/>
          <w:bCs/>
          <w:kern w:val="2"/>
          <w:sz w:val="28"/>
          <w:szCs w:val="28"/>
        </w:rPr>
        <w:t>0579-82469285</w:t>
      </w:r>
      <w:bookmarkEnd w:id="8"/>
    </w:p>
    <w:p w14:paraId="378F65E5">
      <w:pPr>
        <w:widowControl w:val="0"/>
        <w:spacing w:line="360" w:lineRule="auto"/>
        <w:ind w:firstLine="562" w:firstLineChars="200"/>
        <w:jc w:val="both"/>
        <w:rPr>
          <w:rFonts w:hint="eastAsia" w:ascii="宋体" w:hAnsi="宋体" w:cs="仿宋"/>
          <w:b/>
          <w:bCs/>
          <w:kern w:val="2"/>
          <w:sz w:val="28"/>
          <w:szCs w:val="28"/>
        </w:rPr>
      </w:pPr>
      <w:bookmarkStart w:id="9" w:name="_Toc73432716"/>
      <w:r>
        <w:rPr>
          <w:rFonts w:hint="eastAsia" w:ascii="宋体" w:hAnsi="宋体" w:cs="仿宋"/>
          <w:b/>
          <w:bCs/>
          <w:kern w:val="2"/>
          <w:sz w:val="28"/>
          <w:szCs w:val="28"/>
        </w:rPr>
        <w:t xml:space="preserve">市公共资源交易中心 </w:t>
      </w:r>
      <w:r>
        <w:rPr>
          <w:rFonts w:ascii="宋体" w:hAnsi="宋体" w:cs="仿宋"/>
          <w:b/>
          <w:bCs/>
          <w:kern w:val="2"/>
          <w:sz w:val="28"/>
          <w:szCs w:val="28"/>
        </w:rPr>
        <w:t> </w:t>
      </w:r>
      <w:r>
        <w:rPr>
          <w:rFonts w:hint="eastAsia" w:ascii="宋体" w:hAnsi="宋体" w:cs="仿宋"/>
          <w:b/>
          <w:bCs/>
          <w:kern w:val="2"/>
          <w:sz w:val="28"/>
          <w:szCs w:val="28"/>
        </w:rPr>
        <w:t>0579-83187211</w:t>
      </w:r>
      <w:bookmarkEnd w:id="9"/>
    </w:p>
    <w:p w14:paraId="321AA4A1"/>
    <w:p w14:paraId="6EDB87EA">
      <w:pPr>
        <w:widowControl w:val="0"/>
        <w:spacing w:line="360" w:lineRule="auto"/>
        <w:ind w:firstLine="562" w:firstLineChars="200"/>
        <w:jc w:val="both"/>
        <w:rPr>
          <w:rFonts w:hint="eastAsia" w:ascii="宋体" w:hAnsi="宋体" w:cs="仿宋"/>
          <w:b/>
          <w:bCs/>
          <w:kern w:val="2"/>
          <w:sz w:val="28"/>
          <w:szCs w:val="28"/>
        </w:rPr>
      </w:pPr>
      <w:r>
        <w:rPr>
          <w:rFonts w:hint="eastAsia" w:ascii="宋体" w:hAnsi="宋体" w:cs="仿宋"/>
          <w:b/>
          <w:bCs/>
          <w:kern w:val="2"/>
          <w:sz w:val="28"/>
          <w:szCs w:val="28"/>
        </w:rPr>
        <w:t>为方便后续通知书领取、开具发票、合同拟定等事宜，欢迎各投标人添加我公司财务与法务微信：</w:t>
      </w:r>
    </w:p>
    <w:p w14:paraId="14446CF3">
      <w:r>
        <w:drawing>
          <wp:inline distT="0" distB="0" distL="114300" distR="114300">
            <wp:extent cx="2567940" cy="3381375"/>
            <wp:effectExtent l="0" t="0" r="3810" b="9525"/>
            <wp:docPr id="1" name="图片 1" descr="15227602554bcb6bb260e2c13e3b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27602554bcb6bb260e2c13e3bf6a"/>
                    <pic:cNvPicPr>
                      <a:picLocks noChangeAspect="1"/>
                    </pic:cNvPicPr>
                  </pic:nvPicPr>
                  <pic:blipFill>
                    <a:blip r:embed="rId12"/>
                    <a:srcRect l="14046" t="23521" r="13054" b="32451"/>
                    <a:stretch>
                      <a:fillRect/>
                    </a:stretch>
                  </pic:blipFill>
                  <pic:spPr>
                    <a:xfrm>
                      <a:off x="0" y="0"/>
                      <a:ext cx="2567940" cy="3381375"/>
                    </a:xfrm>
                    <a:prstGeom prst="rect">
                      <a:avLst/>
                    </a:prstGeom>
                    <a:noFill/>
                    <a:ln>
                      <a:noFill/>
                    </a:ln>
                  </pic:spPr>
                </pic:pic>
              </a:graphicData>
            </a:graphic>
          </wp:inline>
        </w:drawing>
      </w:r>
      <w:r>
        <w:rPr>
          <w:rFonts w:hint="eastAsia"/>
        </w:rPr>
        <w:t xml:space="preserve">       </w:t>
      </w:r>
      <w:r>
        <w:drawing>
          <wp:inline distT="0" distB="0" distL="114300" distR="114300">
            <wp:extent cx="2774950" cy="3459480"/>
            <wp:effectExtent l="0" t="0" r="6350" b="7620"/>
            <wp:docPr id="2" name="图片 2" descr="9d8cb11cf59948b0608db562bc6b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8cb11cf59948b0608db562bc6b013"/>
                    <pic:cNvPicPr>
                      <a:picLocks noChangeAspect="1"/>
                    </pic:cNvPicPr>
                  </pic:nvPicPr>
                  <pic:blipFill>
                    <a:blip r:embed="rId13"/>
                    <a:srcRect l="7405" t="6509" r="7761" b="15874"/>
                    <a:stretch>
                      <a:fillRect/>
                    </a:stretch>
                  </pic:blipFill>
                  <pic:spPr>
                    <a:xfrm>
                      <a:off x="0" y="0"/>
                      <a:ext cx="2774950" cy="3459480"/>
                    </a:xfrm>
                    <a:prstGeom prst="rect">
                      <a:avLst/>
                    </a:prstGeom>
                    <a:noFill/>
                    <a:ln>
                      <a:noFill/>
                    </a:ln>
                  </pic:spPr>
                </pic:pic>
              </a:graphicData>
            </a:graphic>
          </wp:inline>
        </w:drawing>
      </w:r>
    </w:p>
    <w:p w14:paraId="112D214F">
      <w:pPr>
        <w:pStyle w:val="43"/>
        <w:ind w:firstLine="240"/>
        <w:sectPr>
          <w:pgSz w:w="11906" w:h="16838"/>
          <w:pgMar w:top="1258" w:right="1286" w:bottom="1361" w:left="1620" w:header="709" w:footer="971" w:gutter="0"/>
          <w:cols w:space="720" w:num="1"/>
          <w:docGrid w:linePitch="360" w:charSpace="0"/>
        </w:sectPr>
      </w:pPr>
    </w:p>
    <w:p w14:paraId="350C1D86">
      <w:pPr>
        <w:pStyle w:val="6"/>
        <w:spacing w:before="120" w:after="240" w:line="240" w:lineRule="auto"/>
        <w:jc w:val="center"/>
        <w:rPr>
          <w:rFonts w:hint="eastAsia" w:ascii="宋体" w:hAnsi="宋体"/>
        </w:rPr>
      </w:pPr>
      <w:bookmarkStart w:id="10" w:name="_Toc39239703"/>
      <w:bookmarkStart w:id="11" w:name="_Toc93668159"/>
      <w:r>
        <w:rPr>
          <w:rFonts w:ascii="宋体" w:hAnsi="宋体"/>
        </w:rPr>
        <w:t>第一章  招标公告</w:t>
      </w:r>
      <w:bookmarkEnd w:id="10"/>
      <w:bookmarkEnd w:id="11"/>
    </w:p>
    <w:p w14:paraId="2D24119E">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sz w:val="28"/>
          <w:szCs w:val="28"/>
        </w:rPr>
      </w:pPr>
      <w:r>
        <w:rPr>
          <w:rFonts w:hint="eastAsia" w:ascii="宋体" w:hAnsi="宋体"/>
          <w:sz w:val="28"/>
          <w:szCs w:val="28"/>
        </w:rPr>
        <w:t>项目概况</w:t>
      </w:r>
    </w:p>
    <w:p w14:paraId="45C3A97C">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sz w:val="28"/>
          <w:szCs w:val="28"/>
        </w:rPr>
      </w:pPr>
      <w:r>
        <w:rPr>
          <w:rFonts w:hint="eastAsia" w:ascii="宋体" w:hAnsi="宋体"/>
          <w:sz w:val="28"/>
          <w:szCs w:val="28"/>
          <w:u w:val="single"/>
        </w:rPr>
        <w:t>金华市中心医院、金华市妇幼保健院减重医用食品配送项目</w:t>
      </w:r>
      <w:r>
        <w:rPr>
          <w:rFonts w:hint="eastAsia" w:ascii="宋体" w:hAnsi="宋体"/>
          <w:sz w:val="28"/>
          <w:szCs w:val="28"/>
        </w:rPr>
        <w:t>的潜在投标人应在</w:t>
      </w:r>
      <w:r>
        <w:rPr>
          <w:rFonts w:hint="eastAsia" w:ascii="宋体" w:hAnsi="宋体"/>
          <w:sz w:val="28"/>
          <w:szCs w:val="28"/>
          <w:u w:val="single"/>
        </w:rPr>
        <w:t xml:space="preserve">浙江政府采购网本项目公告附件处（潜在供应商）下载  </w:t>
      </w:r>
      <w:r>
        <w:rPr>
          <w:rFonts w:hint="eastAsia" w:ascii="宋体" w:hAnsi="宋体"/>
          <w:sz w:val="28"/>
          <w:szCs w:val="28"/>
        </w:rPr>
        <w:t>获取招标文件，并于</w:t>
      </w:r>
      <w:r>
        <w:rPr>
          <w:rFonts w:hint="eastAsia" w:ascii="宋体" w:hAnsi="宋体"/>
          <w:sz w:val="28"/>
          <w:szCs w:val="28"/>
          <w:u w:val="single"/>
        </w:rPr>
        <w:t>2025年</w:t>
      </w:r>
      <w:r>
        <w:rPr>
          <w:rFonts w:hint="eastAsia" w:ascii="宋体" w:hAnsi="宋体"/>
          <w:sz w:val="28"/>
          <w:szCs w:val="28"/>
          <w:u w:val="single"/>
          <w:lang w:val="en-US" w:eastAsia="zh-CN"/>
        </w:rPr>
        <w:t>7</w:t>
      </w:r>
      <w:r>
        <w:rPr>
          <w:rFonts w:hint="eastAsia" w:ascii="宋体" w:hAnsi="宋体"/>
          <w:sz w:val="28"/>
          <w:szCs w:val="28"/>
          <w:u w:val="single"/>
        </w:rPr>
        <w:t>月</w:t>
      </w:r>
      <w:r>
        <w:rPr>
          <w:rFonts w:hint="eastAsia" w:ascii="宋体" w:hAnsi="宋体"/>
          <w:sz w:val="28"/>
          <w:szCs w:val="28"/>
          <w:u w:val="single"/>
          <w:lang w:val="en-US" w:eastAsia="zh-CN"/>
        </w:rPr>
        <w:t>11</w:t>
      </w:r>
      <w:r>
        <w:rPr>
          <w:rFonts w:hint="eastAsia" w:ascii="宋体" w:hAnsi="宋体"/>
          <w:sz w:val="28"/>
          <w:szCs w:val="28"/>
          <w:u w:val="single"/>
        </w:rPr>
        <w:t>日14点</w:t>
      </w:r>
      <w:r>
        <w:rPr>
          <w:rFonts w:ascii="宋体" w:hAnsi="宋体"/>
          <w:sz w:val="28"/>
          <w:szCs w:val="28"/>
          <w:u w:val="single"/>
        </w:rPr>
        <w:t>30</w:t>
      </w:r>
      <w:r>
        <w:rPr>
          <w:rFonts w:hint="eastAsia" w:ascii="宋体" w:hAnsi="宋体"/>
          <w:sz w:val="28"/>
          <w:szCs w:val="28"/>
          <w:u w:val="single"/>
        </w:rPr>
        <w:t>分</w:t>
      </w:r>
      <w:r>
        <w:rPr>
          <w:rFonts w:hint="eastAsia" w:ascii="宋体" w:hAnsi="宋体"/>
          <w:sz w:val="28"/>
          <w:szCs w:val="28"/>
        </w:rPr>
        <w:t>（北京时间）前递交（上传）投标文件。</w:t>
      </w:r>
    </w:p>
    <w:p w14:paraId="77F17F89">
      <w:pPr>
        <w:pStyle w:val="26"/>
        <w:widowControl w:val="0"/>
        <w:adjustRightInd w:val="0"/>
        <w:snapToGrid w:val="0"/>
        <w:spacing w:before="0" w:beforeAutospacing="0" w:after="0" w:afterAutospacing="0" w:line="360" w:lineRule="auto"/>
        <w:ind w:firstLine="482" w:firstLineChars="200"/>
        <w:rPr>
          <w:rFonts w:hint="eastAsia" w:cs="宋体"/>
          <w:b/>
        </w:rPr>
      </w:pPr>
      <w:bookmarkStart w:id="12" w:name="_Toc28359002"/>
      <w:bookmarkStart w:id="13" w:name="_Toc35393790"/>
      <w:bookmarkStart w:id="14" w:name="_Toc28359079"/>
      <w:bookmarkStart w:id="15" w:name="_Toc35393621"/>
      <w:bookmarkStart w:id="16" w:name="_Hlk24379207"/>
    </w:p>
    <w:p w14:paraId="2F7C18FD">
      <w:pPr>
        <w:pStyle w:val="26"/>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一、项目基本情况</w:t>
      </w:r>
      <w:bookmarkEnd w:id="12"/>
      <w:bookmarkEnd w:id="13"/>
      <w:bookmarkEnd w:id="14"/>
      <w:bookmarkEnd w:id="15"/>
    </w:p>
    <w:p w14:paraId="476A359E">
      <w:pPr>
        <w:spacing w:line="360" w:lineRule="auto"/>
        <w:ind w:firstLine="540" w:firstLineChars="225"/>
      </w:pPr>
      <w:r>
        <w:t>项目编号：YG2025-FW7634-ZFCG</w:t>
      </w:r>
      <w:r>
        <w:rPr>
          <w:rFonts w:hint="eastAsia"/>
        </w:rPr>
        <w:t>314</w:t>
      </w:r>
    </w:p>
    <w:p w14:paraId="2DE3C39F">
      <w:pPr>
        <w:spacing w:line="360" w:lineRule="auto"/>
        <w:ind w:firstLine="540" w:firstLineChars="225"/>
      </w:pPr>
      <w:r>
        <w:t>政府采购计划编号：</w:t>
      </w:r>
      <w:r>
        <w:fldChar w:fldCharType="begin"/>
      </w:r>
      <w:r>
        <w:instrText xml:space="preserve"> HYPERLINK "https://pay.zcygov.cn/purchaseplan_front/" \l "/plan/list/view?_app_=zcy.purchase-plan&amp;id=1000000000016037463" \t "https://pay.zcygov.cn/purchaseplan_front/" \l "/procurement-plan/plan/_blank" </w:instrText>
      </w:r>
      <w:r>
        <w:fldChar w:fldCharType="separate"/>
      </w:r>
      <w:r>
        <w:rPr>
          <w:rFonts w:hint="eastAsia"/>
        </w:rPr>
        <w:t>临[2025]1726号</w:t>
      </w:r>
      <w:r>
        <w:rPr>
          <w:rFonts w:hint="eastAsia"/>
        </w:rPr>
        <w:fldChar w:fldCharType="end"/>
      </w:r>
      <w:r>
        <w:rPr>
          <w:rFonts w:hint="eastAsia"/>
        </w:rPr>
        <w:t xml:space="preserve"> </w:t>
      </w:r>
    </w:p>
    <w:p w14:paraId="2049C09D">
      <w:pPr>
        <w:spacing w:line="360" w:lineRule="auto"/>
        <w:ind w:firstLine="540" w:firstLineChars="225"/>
      </w:pPr>
      <w:r>
        <w:t>项目名称：金华市中心医院、金华市妇幼保健院减重医用食品配送项目</w:t>
      </w:r>
    </w:p>
    <w:bookmarkEnd w:id="16"/>
    <w:p w14:paraId="6DF6A035">
      <w:pPr>
        <w:spacing w:line="360" w:lineRule="auto"/>
        <w:ind w:firstLine="540" w:firstLineChars="225"/>
      </w:pPr>
      <w:r>
        <w:t>预算金额：</w:t>
      </w:r>
      <w:r>
        <w:rPr>
          <w:rFonts w:hint="eastAsia"/>
        </w:rPr>
        <w:t>250万元</w:t>
      </w:r>
    </w:p>
    <w:p w14:paraId="788CB9E5">
      <w:pPr>
        <w:spacing w:line="360" w:lineRule="auto"/>
        <w:ind w:firstLine="540" w:firstLineChars="225"/>
      </w:pPr>
      <w:r>
        <w:t>最高限价：</w:t>
      </w:r>
      <w:r>
        <w:rPr>
          <w:rFonts w:hint="eastAsia"/>
        </w:rPr>
        <w:t>250万元</w:t>
      </w:r>
    </w:p>
    <w:p w14:paraId="0F1DA31E">
      <w:pPr>
        <w:spacing w:line="360" w:lineRule="auto"/>
        <w:ind w:firstLine="540" w:firstLineChars="225"/>
      </w:pPr>
      <w:r>
        <w:t>采购需求：</w:t>
      </w:r>
    </w:p>
    <w:tbl>
      <w:tblPr>
        <w:tblStyle w:val="4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885"/>
        <w:gridCol w:w="1133"/>
        <w:gridCol w:w="994"/>
        <w:gridCol w:w="1984"/>
        <w:gridCol w:w="1559"/>
      </w:tblGrid>
      <w:tr w14:paraId="176D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6" w:type="dxa"/>
            <w:vAlign w:val="center"/>
          </w:tcPr>
          <w:p w14:paraId="10192D82">
            <w:pPr>
              <w:jc w:val="center"/>
              <w:rPr>
                <w:sz w:val="21"/>
                <w:szCs w:val="21"/>
              </w:rPr>
            </w:pPr>
            <w:bookmarkStart w:id="17" w:name="_Hlk102134594"/>
            <w:r>
              <w:rPr>
                <w:rFonts w:hint="eastAsia"/>
                <w:sz w:val="21"/>
                <w:szCs w:val="21"/>
              </w:rPr>
              <w:t>序号</w:t>
            </w:r>
          </w:p>
        </w:tc>
        <w:tc>
          <w:tcPr>
            <w:tcW w:w="2885" w:type="dxa"/>
            <w:vAlign w:val="center"/>
          </w:tcPr>
          <w:p w14:paraId="6C5268CC">
            <w:pPr>
              <w:ind w:firstLine="420"/>
              <w:jc w:val="center"/>
              <w:rPr>
                <w:sz w:val="21"/>
                <w:szCs w:val="21"/>
              </w:rPr>
            </w:pPr>
            <w:r>
              <w:rPr>
                <w:rFonts w:hint="eastAsia"/>
                <w:sz w:val="21"/>
                <w:szCs w:val="21"/>
              </w:rPr>
              <w:t>项目</w:t>
            </w:r>
            <w:r>
              <w:rPr>
                <w:sz w:val="21"/>
                <w:szCs w:val="21"/>
              </w:rPr>
              <w:t>名称</w:t>
            </w:r>
          </w:p>
        </w:tc>
        <w:tc>
          <w:tcPr>
            <w:tcW w:w="1133" w:type="dxa"/>
            <w:vAlign w:val="center"/>
          </w:tcPr>
          <w:p w14:paraId="1C06D51E">
            <w:pPr>
              <w:jc w:val="center"/>
              <w:rPr>
                <w:sz w:val="21"/>
                <w:szCs w:val="21"/>
              </w:rPr>
            </w:pPr>
            <w:r>
              <w:rPr>
                <w:sz w:val="21"/>
                <w:szCs w:val="21"/>
              </w:rPr>
              <w:t>数量</w:t>
            </w:r>
          </w:p>
        </w:tc>
        <w:tc>
          <w:tcPr>
            <w:tcW w:w="994" w:type="dxa"/>
            <w:vAlign w:val="center"/>
          </w:tcPr>
          <w:p w14:paraId="2129D4A0">
            <w:pPr>
              <w:jc w:val="center"/>
              <w:rPr>
                <w:sz w:val="21"/>
                <w:szCs w:val="21"/>
              </w:rPr>
            </w:pPr>
            <w:r>
              <w:rPr>
                <w:sz w:val="21"/>
                <w:szCs w:val="21"/>
              </w:rPr>
              <w:t>单位</w:t>
            </w:r>
          </w:p>
        </w:tc>
        <w:tc>
          <w:tcPr>
            <w:tcW w:w="1984" w:type="dxa"/>
            <w:vAlign w:val="center"/>
          </w:tcPr>
          <w:p w14:paraId="43C2015D">
            <w:pPr>
              <w:jc w:val="center"/>
              <w:rPr>
                <w:sz w:val="21"/>
                <w:szCs w:val="21"/>
              </w:rPr>
            </w:pPr>
            <w:r>
              <w:rPr>
                <w:sz w:val="21"/>
                <w:szCs w:val="21"/>
              </w:rPr>
              <w:t>金华市中心医院预算</w:t>
            </w:r>
          </w:p>
        </w:tc>
        <w:tc>
          <w:tcPr>
            <w:tcW w:w="1559" w:type="dxa"/>
            <w:vAlign w:val="center"/>
          </w:tcPr>
          <w:p w14:paraId="23C58C32">
            <w:pPr>
              <w:jc w:val="center"/>
              <w:rPr>
                <w:sz w:val="21"/>
                <w:szCs w:val="21"/>
              </w:rPr>
            </w:pPr>
            <w:r>
              <w:rPr>
                <w:sz w:val="21"/>
                <w:szCs w:val="21"/>
              </w:rPr>
              <w:t>金华市妇幼保健院</w:t>
            </w:r>
            <w:r>
              <w:rPr>
                <w:rFonts w:hint="eastAsia"/>
                <w:sz w:val="21"/>
                <w:szCs w:val="21"/>
              </w:rPr>
              <w:t>预算</w:t>
            </w:r>
          </w:p>
        </w:tc>
      </w:tr>
      <w:tr w14:paraId="6315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6" w:type="dxa"/>
            <w:shd w:val="clear" w:color="auto" w:fill="FFFFFF"/>
            <w:vAlign w:val="center"/>
          </w:tcPr>
          <w:p w14:paraId="682484CC">
            <w:pPr>
              <w:jc w:val="center"/>
              <w:rPr>
                <w:sz w:val="21"/>
                <w:szCs w:val="21"/>
              </w:rPr>
            </w:pPr>
            <w:r>
              <w:rPr>
                <w:sz w:val="21"/>
                <w:szCs w:val="21"/>
              </w:rPr>
              <w:t>1</w:t>
            </w:r>
          </w:p>
        </w:tc>
        <w:tc>
          <w:tcPr>
            <w:tcW w:w="2885" w:type="dxa"/>
            <w:vAlign w:val="center"/>
          </w:tcPr>
          <w:p w14:paraId="7D240C91">
            <w:pPr>
              <w:jc w:val="center"/>
              <w:rPr>
                <w:sz w:val="21"/>
                <w:szCs w:val="21"/>
              </w:rPr>
            </w:pPr>
            <w:r>
              <w:rPr>
                <w:sz w:val="21"/>
                <w:szCs w:val="21"/>
              </w:rPr>
              <w:t>金华市中心医院、金华市妇幼保健院减重医用食品配送项目</w:t>
            </w:r>
          </w:p>
        </w:tc>
        <w:tc>
          <w:tcPr>
            <w:tcW w:w="1133" w:type="dxa"/>
            <w:vAlign w:val="center"/>
          </w:tcPr>
          <w:p w14:paraId="5EFFC9FC">
            <w:pPr>
              <w:jc w:val="center"/>
              <w:rPr>
                <w:sz w:val="21"/>
                <w:szCs w:val="21"/>
              </w:rPr>
            </w:pPr>
            <w:r>
              <w:rPr>
                <w:sz w:val="21"/>
                <w:szCs w:val="21"/>
              </w:rPr>
              <w:t>1</w:t>
            </w:r>
          </w:p>
        </w:tc>
        <w:tc>
          <w:tcPr>
            <w:tcW w:w="994" w:type="dxa"/>
            <w:vAlign w:val="center"/>
          </w:tcPr>
          <w:p w14:paraId="1DA80B4D">
            <w:pPr>
              <w:jc w:val="center"/>
              <w:rPr>
                <w:sz w:val="21"/>
                <w:szCs w:val="21"/>
              </w:rPr>
            </w:pPr>
            <w:r>
              <w:rPr>
                <w:sz w:val="21"/>
                <w:szCs w:val="21"/>
              </w:rPr>
              <w:t>批</w:t>
            </w:r>
          </w:p>
        </w:tc>
        <w:tc>
          <w:tcPr>
            <w:tcW w:w="1984" w:type="dxa"/>
            <w:vAlign w:val="center"/>
          </w:tcPr>
          <w:p w14:paraId="4631F979">
            <w:pPr>
              <w:jc w:val="center"/>
              <w:rPr>
                <w:sz w:val="21"/>
                <w:szCs w:val="21"/>
              </w:rPr>
            </w:pPr>
            <w:r>
              <w:rPr>
                <w:rFonts w:hint="eastAsia"/>
                <w:sz w:val="21"/>
                <w:szCs w:val="21"/>
              </w:rPr>
              <w:t>200</w:t>
            </w:r>
            <w:r>
              <w:rPr>
                <w:sz w:val="21"/>
                <w:szCs w:val="21"/>
              </w:rPr>
              <w:t>万元</w:t>
            </w:r>
          </w:p>
        </w:tc>
        <w:tc>
          <w:tcPr>
            <w:tcW w:w="1559" w:type="dxa"/>
            <w:vAlign w:val="center"/>
          </w:tcPr>
          <w:p w14:paraId="7F96BCCC">
            <w:pPr>
              <w:jc w:val="center"/>
              <w:rPr>
                <w:sz w:val="21"/>
                <w:szCs w:val="21"/>
              </w:rPr>
            </w:pPr>
            <w:r>
              <w:rPr>
                <w:rFonts w:hint="eastAsia"/>
                <w:sz w:val="21"/>
                <w:szCs w:val="21"/>
              </w:rPr>
              <w:t>50</w:t>
            </w:r>
            <w:r>
              <w:rPr>
                <w:sz w:val="21"/>
                <w:szCs w:val="21"/>
              </w:rPr>
              <w:t>万元</w:t>
            </w:r>
          </w:p>
        </w:tc>
      </w:tr>
      <w:bookmarkEnd w:id="17"/>
    </w:tbl>
    <w:p w14:paraId="4366A501">
      <w:pPr>
        <w:widowControl w:val="0"/>
        <w:tabs>
          <w:tab w:val="left" w:pos="1935"/>
          <w:tab w:val="center" w:pos="4500"/>
        </w:tabs>
        <w:spacing w:line="360" w:lineRule="auto"/>
        <w:ind w:firstLine="480"/>
      </w:pPr>
      <w:r>
        <w:t>合同履行期限：</w:t>
      </w:r>
      <w:r>
        <w:rPr>
          <w:rFonts w:hint="eastAsia"/>
        </w:rPr>
        <w:t>服务期1年或实际发生金额达到预算金额（金华市中心医院200万，金华市妇幼保健院50万），以先到者为准。如履约情况良好，经双方同意，合同可以续签，一年一签，最多可续签2次。</w:t>
      </w:r>
    </w:p>
    <w:p w14:paraId="3FB9E319">
      <w:pPr>
        <w:spacing w:line="360" w:lineRule="auto"/>
        <w:ind w:firstLine="540" w:firstLineChars="225"/>
      </w:pPr>
      <w:r>
        <w:t>本项目</w:t>
      </w:r>
      <w:r>
        <w:rPr>
          <w:rFonts w:hint="eastAsia"/>
        </w:rPr>
        <w:t>（否）</w:t>
      </w:r>
      <w:r>
        <w:t>接受联合体投标。</w:t>
      </w:r>
    </w:p>
    <w:p w14:paraId="326D740E">
      <w:pPr>
        <w:pStyle w:val="26"/>
        <w:widowControl w:val="0"/>
        <w:adjustRightInd w:val="0"/>
        <w:snapToGrid w:val="0"/>
        <w:spacing w:before="0" w:beforeAutospacing="0" w:after="0" w:afterAutospacing="0" w:line="360" w:lineRule="auto"/>
        <w:ind w:firstLine="482" w:firstLineChars="200"/>
        <w:rPr>
          <w:rFonts w:ascii="Times New Roman" w:hAnsi="Times New Roman"/>
          <w:b/>
        </w:rPr>
      </w:pPr>
      <w:bookmarkStart w:id="18" w:name="_Toc28359080"/>
      <w:bookmarkStart w:id="19" w:name="_Toc28359003"/>
      <w:bookmarkStart w:id="20" w:name="_Toc35393622"/>
      <w:bookmarkStart w:id="21" w:name="_Toc35393791"/>
      <w:r>
        <w:rPr>
          <w:rFonts w:ascii="Times New Roman" w:hAnsi="Times New Roman"/>
          <w:b/>
        </w:rPr>
        <w:t>二、申请人的资格要求：</w:t>
      </w:r>
      <w:bookmarkEnd w:id="18"/>
      <w:bookmarkEnd w:id="19"/>
      <w:bookmarkEnd w:id="20"/>
      <w:bookmarkEnd w:id="21"/>
    </w:p>
    <w:p w14:paraId="43289AA0">
      <w:pPr>
        <w:spacing w:line="360" w:lineRule="auto"/>
        <w:ind w:firstLine="540" w:firstLineChars="225"/>
      </w:pPr>
      <w:bookmarkStart w:id="22" w:name="_Toc35393792"/>
      <w:bookmarkStart w:id="23" w:name="_Toc35393623"/>
      <w:r>
        <w:t>（一）</w:t>
      </w:r>
      <w:bookmarkStart w:id="24" w:name="_Hlk185431398"/>
      <w:r>
        <w:t>满足《中华人民共和国政府采购法》第二十二条规定；</w:t>
      </w:r>
      <w:r>
        <w:rPr>
          <w:rFonts w:hint="eastAsia"/>
        </w:rPr>
        <w:t>未被“信用中国”（www.creditchina.gov.cn)、中国政府采购网（www.ccgp.gov.cn）列入失信被执行人、重大税收违法失信主体、政府采购严重违法失信行为记录名单。</w:t>
      </w:r>
      <w:bookmarkEnd w:id="24"/>
    </w:p>
    <w:p w14:paraId="3626DBA7">
      <w:pPr>
        <w:spacing w:line="360" w:lineRule="auto"/>
        <w:ind w:firstLine="540" w:firstLineChars="225"/>
      </w:pPr>
      <w:r>
        <w:t>（</w:t>
      </w:r>
      <w:r>
        <w:rPr>
          <w:rFonts w:hint="eastAsia"/>
        </w:rPr>
        <w:t>二</w:t>
      </w:r>
      <w:r>
        <w:t>）落实政府采购政策需满足的资格要求：</w:t>
      </w:r>
    </w:p>
    <w:p w14:paraId="7D3375B4">
      <w:pPr>
        <w:spacing w:line="360" w:lineRule="auto"/>
        <w:ind w:firstLine="540" w:firstLineChars="225"/>
      </w:pPr>
      <w:r>
        <w:rPr>
          <w:rFonts w:ascii="Segoe UI Symbol" w:hAnsi="Segoe UI Symbol" w:cs="Segoe UI Symbol"/>
        </w:rPr>
        <w:t>☐</w:t>
      </w:r>
      <w:r>
        <w:rPr>
          <w:rFonts w:hint="eastAsia"/>
        </w:rPr>
        <w:t>无；</w:t>
      </w:r>
    </w:p>
    <w:p w14:paraId="2AD962E2">
      <w:pPr>
        <w:spacing w:line="360" w:lineRule="auto"/>
        <w:ind w:firstLine="540" w:firstLineChars="225"/>
      </w:pPr>
      <w:r>
        <w:rPr/>
        <w:sym w:font="Wingdings" w:char="F0FE"/>
      </w:r>
      <w:r>
        <w:rPr>
          <w:rFonts w:hint="eastAsia"/>
        </w:rPr>
        <w:t>专门面向中小企业：</w:t>
      </w:r>
      <w:bookmarkStart w:id="25" w:name="_Hlk96955753"/>
      <w:r>
        <w:rPr>
          <w:rFonts w:hint="eastAsia"/>
        </w:rPr>
        <w:t>服务全部由符合政策要求的中小企业承接，提供中小企业声明函</w:t>
      </w:r>
      <w:bookmarkEnd w:id="25"/>
      <w:r>
        <w:rPr>
          <w:rFonts w:hint="eastAsia"/>
        </w:rPr>
        <w:t>。</w:t>
      </w:r>
    </w:p>
    <w:p w14:paraId="2A105831">
      <w:pPr>
        <w:spacing w:line="360" w:lineRule="auto"/>
        <w:ind w:firstLine="540" w:firstLineChars="225"/>
      </w:pPr>
      <w:r>
        <w:t>（</w:t>
      </w:r>
      <w:r>
        <w:rPr>
          <w:rFonts w:hint="eastAsia"/>
        </w:rPr>
        <w:t>三</w:t>
      </w:r>
      <w:r>
        <w:t>）本项目的特定资格要求：无。</w:t>
      </w:r>
    </w:p>
    <w:p w14:paraId="50C83714">
      <w:pPr>
        <w:pStyle w:val="26"/>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三、获取招标文件</w:t>
      </w:r>
      <w:bookmarkEnd w:id="22"/>
      <w:bookmarkEnd w:id="23"/>
    </w:p>
    <w:p w14:paraId="27DD8BEF">
      <w:pPr>
        <w:spacing w:line="360" w:lineRule="auto"/>
        <w:ind w:firstLine="540" w:firstLineChars="225"/>
      </w:pPr>
      <w:bookmarkStart w:id="26" w:name="_Toc28359005"/>
      <w:bookmarkStart w:id="27" w:name="_Toc28359082"/>
      <w:bookmarkStart w:id="28" w:name="_Toc35393624"/>
      <w:bookmarkStart w:id="29" w:name="_Toc35393793"/>
      <w:r>
        <w:t>（一）时间：</w:t>
      </w:r>
      <w:r>
        <w:rPr>
          <w:b/>
          <w:u w:val="single"/>
        </w:rPr>
        <w:t>公告发布之日起至开标时间</w:t>
      </w:r>
      <w:r>
        <w:t>，每天上午08:30至12:00，下午14:00至17:00</w:t>
      </w:r>
      <w:r>
        <w:rPr>
          <w:rFonts w:hint="eastAsia"/>
        </w:rPr>
        <w:t>（北京时间，线上获取法定节假日均可，线下获取文件法定节假日除外）</w:t>
      </w:r>
    </w:p>
    <w:p w14:paraId="1960602D">
      <w:pPr>
        <w:spacing w:line="360" w:lineRule="auto"/>
        <w:ind w:firstLine="540" w:firstLineChars="225"/>
      </w:pPr>
      <w:r>
        <w:t>（二）获取方式</w:t>
      </w:r>
    </w:p>
    <w:p w14:paraId="09FA5EF0">
      <w:pPr>
        <w:spacing w:line="360" w:lineRule="auto"/>
        <w:ind w:firstLine="540" w:firstLineChars="225"/>
      </w:pPr>
      <w:r>
        <w:t xml:space="preserve">1.地点（网址）：政采云平台（https://www.zcygov.cn/） </w:t>
      </w:r>
    </w:p>
    <w:p w14:paraId="73D79AA9">
      <w:pPr>
        <w:spacing w:line="360" w:lineRule="auto"/>
        <w:ind w:firstLine="540" w:firstLineChars="225"/>
      </w:pPr>
      <w:r>
        <w:t>2.方式：供应商登录政采云平台https://www.zcygov.cn/在线申请获取采购文件（进入“项目采购”应用，在获取采购文件菜单中选择项目，申请获取采购文件）。</w:t>
      </w:r>
      <w:r>
        <w:rPr>
          <w:b/>
          <w:bCs/>
          <w:kern w:val="2"/>
        </w:rPr>
        <w:t>注：未按照规定方式获取采购文件的，不得对采购文件提起质疑投诉。在“投标人要求澄清时间”截止之后获取采购文件的潜在投标人如对采购文件有异议的，不予受理、答复。</w:t>
      </w:r>
    </w:p>
    <w:p w14:paraId="63BC7A1B">
      <w:pPr>
        <w:spacing w:line="360" w:lineRule="auto"/>
        <w:ind w:firstLine="540" w:firstLineChars="225"/>
      </w:pPr>
      <w:r>
        <w:t>（三）售价：无</w:t>
      </w:r>
    </w:p>
    <w:p w14:paraId="03D2C195">
      <w:pPr>
        <w:pStyle w:val="26"/>
        <w:widowControl w:val="0"/>
        <w:adjustRightInd w:val="0"/>
        <w:snapToGrid w:val="0"/>
        <w:spacing w:before="0" w:beforeAutospacing="0" w:after="0" w:afterAutospacing="0" w:line="360" w:lineRule="auto"/>
        <w:ind w:firstLine="482" w:firstLineChars="200"/>
        <w:rPr>
          <w:rFonts w:ascii="Times New Roman" w:hAnsi="Times New Roman"/>
          <w:b/>
        </w:rPr>
      </w:pPr>
      <w:r>
        <w:rPr>
          <w:rFonts w:ascii="Times New Roman" w:hAnsi="Times New Roman"/>
          <w:b/>
        </w:rPr>
        <w:t>四、提交投标文件</w:t>
      </w:r>
      <w:bookmarkEnd w:id="26"/>
      <w:bookmarkEnd w:id="27"/>
      <w:r>
        <w:rPr>
          <w:rFonts w:ascii="Times New Roman" w:hAnsi="Times New Roman"/>
          <w:b/>
        </w:rPr>
        <w:t>截止时间、开标时间和地点</w:t>
      </w:r>
      <w:bookmarkEnd w:id="28"/>
      <w:bookmarkEnd w:id="29"/>
    </w:p>
    <w:p w14:paraId="09ECF9C8">
      <w:pPr>
        <w:spacing w:line="360" w:lineRule="auto"/>
        <w:ind w:firstLine="540" w:firstLineChars="225"/>
      </w:pPr>
      <w:r>
        <w:t>提交投标文件截止时间：</w:t>
      </w:r>
      <w:r>
        <w:rPr>
          <w:u w:val="single"/>
        </w:rPr>
        <w:t>2025年</w:t>
      </w:r>
      <w:r>
        <w:rPr>
          <w:rFonts w:hint="eastAsia"/>
          <w:u w:val="single"/>
          <w:lang w:val="en-US" w:eastAsia="zh-CN"/>
        </w:rPr>
        <w:t>7</w:t>
      </w:r>
      <w:r>
        <w:rPr>
          <w:u w:val="single"/>
        </w:rPr>
        <w:t>月</w:t>
      </w:r>
      <w:r>
        <w:rPr>
          <w:rFonts w:hint="eastAsia"/>
          <w:u w:val="single"/>
          <w:lang w:val="en-US" w:eastAsia="zh-CN"/>
        </w:rPr>
        <w:t>11</w:t>
      </w:r>
      <w:r>
        <w:rPr>
          <w:u w:val="single"/>
        </w:rPr>
        <w:t>日</w:t>
      </w:r>
      <w:r>
        <w:rPr>
          <w:rFonts w:hint="eastAsia"/>
          <w:u w:val="single"/>
        </w:rPr>
        <w:t>14</w:t>
      </w:r>
      <w:r>
        <w:rPr>
          <w:u w:val="single"/>
        </w:rPr>
        <w:t>点30分</w:t>
      </w:r>
      <w:r>
        <w:t>（北京时间）</w:t>
      </w:r>
    </w:p>
    <w:p w14:paraId="4C0FED9A">
      <w:pPr>
        <w:spacing w:line="360" w:lineRule="auto"/>
        <w:ind w:firstLine="540" w:firstLineChars="225"/>
      </w:pPr>
      <w:r>
        <w:t>投标地点（网址）：政采云平台（https://www.zcygov.cn/）</w:t>
      </w:r>
    </w:p>
    <w:p w14:paraId="72A64710">
      <w:pPr>
        <w:spacing w:line="360" w:lineRule="auto"/>
        <w:ind w:firstLine="540" w:firstLineChars="225"/>
      </w:pPr>
      <w:r>
        <w:t>开标时间：</w:t>
      </w:r>
      <w:r>
        <w:rPr>
          <w:u w:val="single"/>
        </w:rPr>
        <w:t>2025年</w:t>
      </w:r>
      <w:r>
        <w:rPr>
          <w:rFonts w:hint="eastAsia"/>
          <w:u w:val="single"/>
          <w:lang w:val="en-US" w:eastAsia="zh-CN"/>
        </w:rPr>
        <w:t>7</w:t>
      </w:r>
      <w:r>
        <w:rPr>
          <w:u w:val="single"/>
        </w:rPr>
        <w:t>月</w:t>
      </w:r>
      <w:r>
        <w:rPr>
          <w:rFonts w:hint="eastAsia"/>
          <w:u w:val="single"/>
          <w:lang w:val="en-US" w:eastAsia="zh-CN"/>
        </w:rPr>
        <w:t>11</w:t>
      </w:r>
      <w:r>
        <w:rPr>
          <w:u w:val="single"/>
        </w:rPr>
        <w:t>日</w:t>
      </w:r>
      <w:r>
        <w:rPr>
          <w:rFonts w:hint="eastAsia"/>
          <w:u w:val="single"/>
        </w:rPr>
        <w:t>14</w:t>
      </w:r>
      <w:r>
        <w:rPr>
          <w:u w:val="single"/>
        </w:rPr>
        <w:t>点30分</w:t>
      </w:r>
    </w:p>
    <w:p w14:paraId="39D13564">
      <w:pPr>
        <w:spacing w:line="360" w:lineRule="auto"/>
        <w:ind w:firstLine="540" w:firstLineChars="225"/>
      </w:pPr>
      <w:r>
        <w:t>开标地点（网址）：</w:t>
      </w:r>
      <w:r>
        <w:rPr>
          <w:rFonts w:hint="eastAsia"/>
        </w:rPr>
        <w:t>金华市双龙南街858号财富大厦4楼开标室</w:t>
      </w:r>
    </w:p>
    <w:p w14:paraId="1DF05117">
      <w:pPr>
        <w:pStyle w:val="26"/>
        <w:widowControl w:val="0"/>
        <w:adjustRightInd w:val="0"/>
        <w:snapToGrid w:val="0"/>
        <w:spacing w:before="0" w:beforeAutospacing="0" w:after="0" w:afterAutospacing="0" w:line="360" w:lineRule="auto"/>
        <w:ind w:firstLine="482" w:firstLineChars="200"/>
        <w:rPr>
          <w:rFonts w:ascii="Times New Roman" w:hAnsi="Times New Roman"/>
          <w:b/>
        </w:rPr>
      </w:pPr>
      <w:bookmarkStart w:id="30" w:name="_Toc35393794"/>
      <w:bookmarkStart w:id="31" w:name="_Toc28359084"/>
      <w:bookmarkStart w:id="32" w:name="_Toc35393625"/>
      <w:bookmarkStart w:id="33" w:name="_Toc28359007"/>
      <w:r>
        <w:rPr>
          <w:rFonts w:ascii="Times New Roman" w:hAnsi="Times New Roman"/>
          <w:b/>
        </w:rPr>
        <w:t>五、公告期限</w:t>
      </w:r>
      <w:bookmarkEnd w:id="30"/>
      <w:bookmarkEnd w:id="31"/>
      <w:bookmarkEnd w:id="32"/>
      <w:bookmarkEnd w:id="33"/>
    </w:p>
    <w:p w14:paraId="35725DCC">
      <w:pPr>
        <w:spacing w:line="360" w:lineRule="auto"/>
        <w:ind w:firstLine="540" w:firstLineChars="225"/>
      </w:pPr>
      <w:r>
        <w:t>自本公告发布之日起5个工作日。</w:t>
      </w:r>
    </w:p>
    <w:p w14:paraId="2553FC0E">
      <w:pPr>
        <w:pStyle w:val="26"/>
        <w:widowControl w:val="0"/>
        <w:adjustRightInd w:val="0"/>
        <w:snapToGrid w:val="0"/>
        <w:spacing w:before="0" w:beforeAutospacing="0" w:after="0" w:afterAutospacing="0" w:line="360" w:lineRule="auto"/>
        <w:ind w:firstLine="482" w:firstLineChars="200"/>
        <w:rPr>
          <w:rFonts w:ascii="Times New Roman" w:hAnsi="Times New Roman"/>
          <w:b/>
        </w:rPr>
      </w:pPr>
      <w:bookmarkStart w:id="34" w:name="_Toc35393626"/>
      <w:bookmarkStart w:id="35" w:name="_Toc35393795"/>
      <w:r>
        <w:rPr>
          <w:rFonts w:ascii="Times New Roman" w:hAnsi="Times New Roman"/>
          <w:b/>
        </w:rPr>
        <w:t>六、其他补充事宜</w:t>
      </w:r>
      <w:bookmarkEnd w:id="34"/>
      <w:bookmarkEnd w:id="35"/>
    </w:p>
    <w:p w14:paraId="1230EEF3">
      <w:pPr>
        <w:spacing w:line="360" w:lineRule="auto"/>
        <w:ind w:firstLine="540" w:firstLineChars="225"/>
      </w:pPr>
      <w:bookmarkStart w:id="36" w:name="_Hlk99783971"/>
      <w:bookmarkStart w:id="37" w:name="_Toc35393796"/>
      <w:bookmarkStart w:id="38" w:name="_Toc28359085"/>
      <w:bookmarkStart w:id="39" w:name="_Toc28359008"/>
      <w:bookmarkStart w:id="40" w:name="_Toc35393627"/>
      <w:r>
        <w:t>（一）</w:t>
      </w:r>
      <w:bookmarkStart w:id="41" w:name="_Hlk99784094"/>
      <w: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F76ACA">
      <w:pPr>
        <w:widowControl w:val="0"/>
        <w:spacing w:line="360" w:lineRule="auto"/>
        <w:ind w:firstLine="480" w:firstLineChars="200"/>
        <w:jc w:val="both"/>
      </w:pPr>
      <w:r>
        <w:rPr>
          <w:rFonts w:hint="eastAsia"/>
        </w:rPr>
        <w:t>（二）本项目通过浙江政府采购网政府采购云平台在线开标，供应商无需到开标现场，但须准时在线参加，直至评审结束。</w:t>
      </w:r>
    </w:p>
    <w:bookmarkEnd w:id="36"/>
    <w:bookmarkEnd w:id="41"/>
    <w:p w14:paraId="03A653C3">
      <w:pPr>
        <w:widowControl w:val="0"/>
        <w:spacing w:line="360" w:lineRule="auto"/>
        <w:ind w:firstLine="480" w:firstLineChars="200"/>
        <w:jc w:val="both"/>
        <w:rPr>
          <w:rFonts w:hint="eastAsia" w:ascii="宋体" w:hAnsi="宋体" w:cs="宋体"/>
        </w:rPr>
      </w:pPr>
      <w:r>
        <w:rPr>
          <w:kern w:val="2"/>
        </w:rPr>
        <w:t>（</w:t>
      </w:r>
      <w:r>
        <w:rPr>
          <w:rFonts w:hint="eastAsia"/>
          <w:kern w:val="2"/>
        </w:rPr>
        <w:t>三</w:t>
      </w:r>
      <w:r>
        <w:rPr>
          <w:kern w:val="2"/>
        </w:rPr>
        <w:t>）</w:t>
      </w:r>
      <w:bookmarkStart w:id="42" w:name="_Hlk185431421"/>
      <w:r>
        <w:rPr>
          <w:rFonts w:hint="eastAsia" w:ascii="宋体" w:hAnsi="宋体" w:cs="宋体"/>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bookmarkEnd w:id="42"/>
    <w:p w14:paraId="72B125BC">
      <w:pPr>
        <w:widowControl w:val="0"/>
        <w:spacing w:line="360" w:lineRule="auto"/>
        <w:ind w:firstLine="480" w:firstLineChars="200"/>
        <w:jc w:val="both"/>
        <w:rPr>
          <w:kern w:val="2"/>
        </w:rPr>
      </w:pPr>
      <w:r>
        <w:rPr>
          <w:kern w:val="2"/>
        </w:rPr>
        <w:t>（</w:t>
      </w:r>
      <w:r>
        <w:rPr>
          <w:rFonts w:hint="eastAsia"/>
          <w:kern w:val="2"/>
        </w:rPr>
        <w:t>四</w:t>
      </w:r>
      <w:r>
        <w:rPr>
          <w:kern w:val="2"/>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4C564">
      <w:pPr>
        <w:spacing w:line="360" w:lineRule="auto"/>
        <w:ind w:firstLine="480" w:firstLineChars="200"/>
        <w:rPr>
          <w:kern w:val="2"/>
        </w:rPr>
      </w:pPr>
      <w:bookmarkStart w:id="43" w:name="_Hlk114058203"/>
      <w:r>
        <w:rPr>
          <w:kern w:val="2"/>
        </w:rPr>
        <w:t>（</w:t>
      </w:r>
      <w:r>
        <w:rPr>
          <w:rFonts w:hint="eastAsia"/>
          <w:kern w:val="2"/>
        </w:rPr>
        <w:t>五</w:t>
      </w:r>
      <w:r>
        <w:rPr>
          <w:kern w:val="2"/>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bookmarkEnd w:id="43"/>
    <w:p w14:paraId="1DA16D6F">
      <w:pPr>
        <w:widowControl w:val="0"/>
        <w:spacing w:line="360" w:lineRule="auto"/>
        <w:ind w:firstLine="482" w:firstLineChars="200"/>
        <w:jc w:val="both"/>
        <w:rPr>
          <w:b/>
        </w:rPr>
      </w:pPr>
      <w:r>
        <w:rPr>
          <w:b/>
        </w:rPr>
        <w:t>七、对本次招标提出询问，请按以下方式联系。</w:t>
      </w:r>
      <w:bookmarkEnd w:id="37"/>
      <w:bookmarkEnd w:id="38"/>
      <w:bookmarkEnd w:id="39"/>
      <w:bookmarkEnd w:id="40"/>
    </w:p>
    <w:p w14:paraId="300F3B90">
      <w:pPr>
        <w:widowControl w:val="0"/>
        <w:adjustRightInd w:val="0"/>
        <w:snapToGrid w:val="0"/>
        <w:spacing w:line="360" w:lineRule="auto"/>
        <w:ind w:firstLine="480" w:firstLineChars="200"/>
      </w:pPr>
      <w:r>
        <w:t>（一）采购人信息</w:t>
      </w:r>
    </w:p>
    <w:p w14:paraId="1C0A80D2">
      <w:pPr>
        <w:widowControl w:val="0"/>
        <w:adjustRightInd w:val="0"/>
        <w:snapToGrid w:val="0"/>
        <w:spacing w:line="360" w:lineRule="auto"/>
        <w:ind w:firstLine="480" w:firstLineChars="200"/>
        <w:rPr>
          <w:kern w:val="2"/>
        </w:rPr>
      </w:pPr>
      <w:r>
        <w:rPr>
          <w:kern w:val="2"/>
        </w:rPr>
        <w:t>名称：金华市中心医院、金华市妇幼保健院</w:t>
      </w:r>
    </w:p>
    <w:p w14:paraId="615017E2">
      <w:pPr>
        <w:widowControl w:val="0"/>
        <w:adjustRightInd w:val="0"/>
        <w:snapToGrid w:val="0"/>
        <w:spacing w:line="360" w:lineRule="auto"/>
        <w:ind w:firstLine="480" w:firstLineChars="200"/>
        <w:rPr>
          <w:kern w:val="2"/>
        </w:rPr>
      </w:pPr>
      <w:r>
        <w:rPr>
          <w:kern w:val="2"/>
        </w:rPr>
        <w:t xml:space="preserve">地址： </w:t>
      </w:r>
      <w:r>
        <w:rPr>
          <w:rFonts w:hint="eastAsia"/>
          <w:kern w:val="2"/>
        </w:rPr>
        <w:t>金华市人民东路365号，金华市婺城区后山路266号</w:t>
      </w:r>
    </w:p>
    <w:p w14:paraId="654E7DE7">
      <w:pPr>
        <w:widowControl w:val="0"/>
        <w:adjustRightInd w:val="0"/>
        <w:snapToGrid w:val="0"/>
        <w:spacing w:line="360" w:lineRule="auto"/>
        <w:ind w:firstLine="480" w:firstLineChars="200"/>
        <w:rPr>
          <w:kern w:val="2"/>
        </w:rPr>
      </w:pPr>
      <w:r>
        <w:rPr>
          <w:rFonts w:hint="eastAsia"/>
          <w:kern w:val="2"/>
        </w:rPr>
        <w:t>项目</w:t>
      </w:r>
      <w:r>
        <w:rPr>
          <w:kern w:val="2"/>
        </w:rPr>
        <w:t>联系人：</w:t>
      </w:r>
      <w:r>
        <w:rPr>
          <w:rFonts w:hint="eastAsia"/>
          <w:kern w:val="2"/>
        </w:rPr>
        <w:t xml:space="preserve">黄先生 </w:t>
      </w:r>
      <w:r>
        <w:rPr>
          <w:kern w:val="2"/>
        </w:rPr>
        <w:t xml:space="preserve"> </w:t>
      </w:r>
      <w:r>
        <w:rPr>
          <w:rFonts w:hint="eastAsia"/>
          <w:kern w:val="2"/>
        </w:rPr>
        <w:t>应先生</w:t>
      </w:r>
      <w:r>
        <w:rPr>
          <w:kern w:val="2"/>
        </w:rPr>
        <w:t xml:space="preserve">       </w:t>
      </w:r>
      <w:r>
        <w:rPr>
          <w:rFonts w:hint="eastAsia"/>
          <w:kern w:val="2"/>
        </w:rPr>
        <w:t xml:space="preserve"> </w:t>
      </w:r>
      <w:r>
        <w:rPr>
          <w:kern w:val="2"/>
        </w:rPr>
        <w:t>联系电话：</w:t>
      </w:r>
      <w:r>
        <w:rPr>
          <w:rFonts w:hint="eastAsia"/>
        </w:rPr>
        <w:t>0579-82552997</w:t>
      </w:r>
      <w:r>
        <w:rPr>
          <w:rFonts w:hint="eastAsia"/>
          <w:kern w:val="2"/>
        </w:rPr>
        <w:t xml:space="preserve">   0579</w:t>
      </w:r>
      <w:r>
        <w:rPr>
          <w:kern w:val="2"/>
        </w:rPr>
        <w:t>-</w:t>
      </w:r>
      <w:r>
        <w:rPr>
          <w:rFonts w:hint="eastAsia"/>
          <w:kern w:val="2"/>
        </w:rPr>
        <w:t>89163672</w:t>
      </w:r>
    </w:p>
    <w:p w14:paraId="6BC66D11">
      <w:pPr>
        <w:widowControl w:val="0"/>
        <w:adjustRightInd w:val="0"/>
        <w:snapToGrid w:val="0"/>
        <w:spacing w:line="360" w:lineRule="auto"/>
        <w:ind w:firstLine="480" w:firstLineChars="200"/>
        <w:rPr>
          <w:kern w:val="2"/>
        </w:rPr>
      </w:pPr>
      <w:r>
        <w:rPr>
          <w:rFonts w:hint="eastAsia"/>
        </w:rPr>
        <w:t>质疑联系人：</w:t>
      </w:r>
      <w:r>
        <w:rPr>
          <w:rFonts w:hint="eastAsia"/>
          <w:kern w:val="2"/>
        </w:rPr>
        <w:t xml:space="preserve">虞女士 </w:t>
      </w:r>
      <w:r>
        <w:rPr>
          <w:kern w:val="2"/>
        </w:rPr>
        <w:t xml:space="preserve"> </w:t>
      </w:r>
      <w:r>
        <w:rPr>
          <w:rFonts w:hint="eastAsia"/>
          <w:kern w:val="2"/>
        </w:rPr>
        <w:t>应先生</w:t>
      </w:r>
      <w:r>
        <w:rPr>
          <w:kern w:val="2"/>
        </w:rPr>
        <w:t xml:space="preserve">        联系电话：</w:t>
      </w:r>
      <w:r>
        <w:rPr>
          <w:rFonts w:hint="eastAsia"/>
          <w:kern w:val="2"/>
        </w:rPr>
        <w:t>0579-82559077   0579</w:t>
      </w:r>
      <w:r>
        <w:rPr>
          <w:kern w:val="2"/>
        </w:rPr>
        <w:t>-</w:t>
      </w:r>
      <w:r>
        <w:rPr>
          <w:rFonts w:hint="eastAsia"/>
          <w:kern w:val="2"/>
        </w:rPr>
        <w:t>89163672</w:t>
      </w:r>
    </w:p>
    <w:p w14:paraId="438D68EA">
      <w:pPr>
        <w:widowControl w:val="0"/>
        <w:adjustRightInd w:val="0"/>
        <w:snapToGrid w:val="0"/>
        <w:spacing w:line="360" w:lineRule="auto"/>
        <w:ind w:firstLine="480" w:firstLineChars="200"/>
      </w:pPr>
      <w:r>
        <w:rPr>
          <w:kern w:val="2"/>
        </w:rPr>
        <w:t>（二）采购代理机构信息</w:t>
      </w:r>
    </w:p>
    <w:p w14:paraId="6FB08900">
      <w:pPr>
        <w:widowControl w:val="0"/>
        <w:adjustRightInd w:val="0"/>
        <w:snapToGrid w:val="0"/>
        <w:spacing w:line="360" w:lineRule="auto"/>
        <w:ind w:firstLine="480" w:firstLineChars="200"/>
      </w:pPr>
      <w:r>
        <w:rPr>
          <w:kern w:val="2"/>
        </w:rPr>
        <w:t>名称：浙江金华阳光招标代理有限公司</w:t>
      </w:r>
    </w:p>
    <w:p w14:paraId="2CF472B7">
      <w:pPr>
        <w:widowControl w:val="0"/>
        <w:adjustRightInd w:val="0"/>
        <w:snapToGrid w:val="0"/>
        <w:spacing w:line="360" w:lineRule="auto"/>
        <w:ind w:firstLine="480" w:firstLineChars="200"/>
      </w:pPr>
      <w:r>
        <w:rPr>
          <w:kern w:val="2"/>
        </w:rPr>
        <w:t>地　址：浙江省金华市</w:t>
      </w:r>
      <w:r>
        <w:rPr>
          <w:rFonts w:hint="eastAsia"/>
          <w:kern w:val="2"/>
        </w:rPr>
        <w:t>义乌街1626号</w:t>
      </w:r>
    </w:p>
    <w:p w14:paraId="1AB2E718">
      <w:pPr>
        <w:widowControl w:val="0"/>
        <w:adjustRightInd w:val="0"/>
        <w:snapToGrid w:val="0"/>
        <w:spacing w:line="360" w:lineRule="auto"/>
        <w:ind w:firstLine="480" w:firstLineChars="200"/>
        <w:rPr>
          <w:kern w:val="2"/>
        </w:rPr>
      </w:pPr>
      <w:bookmarkStart w:id="44" w:name="_Toc28359087"/>
      <w:bookmarkStart w:id="45" w:name="_Toc28359010"/>
      <w:r>
        <w:rPr>
          <w:rFonts w:hint="eastAsia"/>
          <w:kern w:val="2"/>
        </w:rPr>
        <w:t>项目咨询联系人：</w:t>
      </w:r>
      <w:r>
        <w:rPr>
          <w:rFonts w:hint="eastAsia"/>
        </w:rPr>
        <w:t xml:space="preserve"> 朱文倩 谢迦恺 </w:t>
      </w:r>
      <w:r>
        <w:t xml:space="preserve">   </w:t>
      </w:r>
      <w:r>
        <w:rPr>
          <w:kern w:val="2"/>
        </w:rPr>
        <w:t xml:space="preserve">联系方式：0579- </w:t>
      </w:r>
      <w:r>
        <w:rPr>
          <w:rFonts w:hint="eastAsia"/>
          <w:kern w:val="2"/>
        </w:rPr>
        <w:t>83182132</w:t>
      </w:r>
    </w:p>
    <w:p w14:paraId="7F27D8C3">
      <w:pPr>
        <w:widowControl w:val="0"/>
        <w:adjustRightInd w:val="0"/>
        <w:snapToGrid w:val="0"/>
        <w:spacing w:line="360" w:lineRule="auto"/>
        <w:ind w:firstLine="480" w:firstLineChars="200"/>
        <w:rPr>
          <w:kern w:val="2"/>
        </w:rPr>
      </w:pPr>
      <w:r>
        <w:rPr>
          <w:rFonts w:hint="eastAsia"/>
        </w:rPr>
        <w:t xml:space="preserve">质疑联系人：包女士 </w:t>
      </w:r>
      <w:r>
        <w:t xml:space="preserve">    </w:t>
      </w:r>
      <w:r>
        <w:rPr>
          <w:kern w:val="2"/>
        </w:rPr>
        <w:t>联系方式：0579- 83180811</w:t>
      </w:r>
      <w:bookmarkEnd w:id="44"/>
      <w:bookmarkEnd w:id="45"/>
    </w:p>
    <w:p w14:paraId="46A5C490">
      <w:pPr>
        <w:widowControl w:val="0"/>
        <w:adjustRightInd w:val="0"/>
        <w:snapToGrid w:val="0"/>
        <w:spacing w:line="360" w:lineRule="auto"/>
        <w:ind w:firstLine="480" w:firstLineChars="200"/>
        <w:rPr>
          <w:kern w:val="2"/>
        </w:rPr>
      </w:pPr>
      <w:r>
        <w:rPr>
          <w:rFonts w:hint="eastAsia"/>
        </w:rPr>
        <w:t xml:space="preserve">财务、中标通知书、发票联系人：方女士 </w:t>
      </w:r>
      <w:r>
        <w:t xml:space="preserve">   </w:t>
      </w:r>
      <w:r>
        <w:rPr>
          <w:kern w:val="2"/>
        </w:rPr>
        <w:t>联系方式：0579- 83182152</w:t>
      </w:r>
    </w:p>
    <w:p w14:paraId="4C9BAB42">
      <w:pPr>
        <w:widowControl w:val="0"/>
        <w:adjustRightInd w:val="0"/>
        <w:snapToGrid w:val="0"/>
        <w:spacing w:line="360" w:lineRule="auto"/>
        <w:ind w:firstLine="480" w:firstLineChars="200"/>
        <w:rPr>
          <w:kern w:val="2"/>
        </w:rPr>
      </w:pPr>
      <w:r>
        <w:rPr>
          <w:rFonts w:hint="eastAsia"/>
        </w:rPr>
        <w:t xml:space="preserve">合同联系人：施女士 </w:t>
      </w:r>
      <w:r>
        <w:t xml:space="preserve">  </w:t>
      </w:r>
      <w:r>
        <w:rPr>
          <w:kern w:val="2"/>
        </w:rPr>
        <w:t>联系方式：0579- 83180511</w:t>
      </w:r>
    </w:p>
    <w:p w14:paraId="417FA3BC">
      <w:pPr>
        <w:widowControl w:val="0"/>
        <w:adjustRightInd w:val="0"/>
        <w:snapToGrid w:val="0"/>
        <w:spacing w:line="360" w:lineRule="auto"/>
        <w:ind w:firstLine="480" w:firstLineChars="200"/>
        <w:rPr>
          <w:kern w:val="2"/>
        </w:rPr>
      </w:pPr>
      <w:r>
        <w:t>（</w:t>
      </w:r>
      <w:r>
        <w:rPr>
          <w:rFonts w:hint="eastAsia"/>
        </w:rPr>
        <w:t>三</w:t>
      </w:r>
      <w:r>
        <w:t>）政府采购行政监管及投诉受理部门：金华市财政局政府采购监管处</w:t>
      </w:r>
    </w:p>
    <w:p w14:paraId="0B74DD75">
      <w:pPr>
        <w:widowControl w:val="0"/>
        <w:adjustRightInd w:val="0"/>
        <w:snapToGrid w:val="0"/>
        <w:spacing w:line="360" w:lineRule="auto"/>
        <w:ind w:firstLine="480" w:firstLineChars="200"/>
      </w:pPr>
      <w:r>
        <w:t>联系人： 徐女士</w:t>
      </w:r>
    </w:p>
    <w:p w14:paraId="32F0E0D8">
      <w:pPr>
        <w:widowControl w:val="0"/>
        <w:adjustRightInd w:val="0"/>
        <w:snapToGrid w:val="0"/>
        <w:spacing w:line="360" w:lineRule="auto"/>
        <w:ind w:firstLine="480" w:firstLineChars="200"/>
        <w:rPr>
          <w:rFonts w:hint="eastAsia" w:ascii="宋体" w:hAnsi="宋体"/>
        </w:rPr>
        <w:sectPr>
          <w:pgSz w:w="11906" w:h="16838"/>
          <w:pgMar w:top="1258" w:right="1286" w:bottom="1361" w:left="1620" w:header="709" w:footer="971" w:gutter="0"/>
          <w:cols w:space="720" w:num="1"/>
          <w:docGrid w:linePitch="360" w:charSpace="0"/>
        </w:sectPr>
      </w:pPr>
      <w:r>
        <w:t>联系电话：0579- 82468735</w:t>
      </w:r>
    </w:p>
    <w:p w14:paraId="593FD107">
      <w:pPr>
        <w:pStyle w:val="6"/>
        <w:spacing w:before="120" w:after="240" w:line="240" w:lineRule="auto"/>
        <w:jc w:val="center"/>
        <w:rPr>
          <w:rFonts w:hint="eastAsia" w:ascii="宋体" w:hAnsi="宋体"/>
        </w:rPr>
      </w:pPr>
      <w:bookmarkStart w:id="46" w:name="_Toc93668160"/>
      <w:bookmarkStart w:id="47" w:name="_Toc39239704"/>
      <w:r>
        <w:rPr>
          <w:rFonts w:ascii="宋体" w:hAnsi="宋体"/>
        </w:rPr>
        <w:t>第</w:t>
      </w:r>
      <w:r>
        <w:rPr>
          <w:rFonts w:hint="eastAsia" w:ascii="宋体" w:hAnsi="宋体"/>
        </w:rPr>
        <w:t>二</w:t>
      </w:r>
      <w:r>
        <w:rPr>
          <w:rFonts w:ascii="宋体" w:hAnsi="宋体"/>
        </w:rPr>
        <w:t>章</w:t>
      </w:r>
      <w:r>
        <w:rPr>
          <w:rFonts w:hint="eastAsia" w:ascii="宋体" w:hAnsi="宋体"/>
        </w:rPr>
        <w:t xml:space="preserve">  </w:t>
      </w:r>
      <w:r>
        <w:rPr>
          <w:rFonts w:ascii="宋体" w:hAnsi="宋体"/>
        </w:rPr>
        <w:t>前附表</w:t>
      </w:r>
      <w:bookmarkEnd w:id="46"/>
    </w:p>
    <w:tbl>
      <w:tblPr>
        <w:tblStyle w:val="44"/>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14:paraId="608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vAlign w:val="center"/>
          </w:tcPr>
          <w:p w14:paraId="3F76EEC7">
            <w:pPr>
              <w:pStyle w:val="26"/>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序号</w:t>
            </w:r>
          </w:p>
        </w:tc>
        <w:tc>
          <w:tcPr>
            <w:tcW w:w="2076" w:type="dxa"/>
            <w:vAlign w:val="center"/>
          </w:tcPr>
          <w:p w14:paraId="557D609D">
            <w:pPr>
              <w:pStyle w:val="26"/>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事项</w:t>
            </w:r>
          </w:p>
        </w:tc>
        <w:tc>
          <w:tcPr>
            <w:tcW w:w="7035" w:type="dxa"/>
            <w:vAlign w:val="center"/>
          </w:tcPr>
          <w:p w14:paraId="3A92F0BB">
            <w:pPr>
              <w:pStyle w:val="26"/>
              <w:widowControl w:val="0"/>
              <w:adjustRightInd w:val="0"/>
              <w:snapToGrid w:val="0"/>
              <w:spacing w:before="120" w:beforeLines="50" w:after="120" w:afterLines="50" w:line="276" w:lineRule="auto"/>
              <w:jc w:val="center"/>
              <w:rPr>
                <w:rFonts w:ascii="Times New Roman" w:hAnsi="Times New Roman"/>
              </w:rPr>
            </w:pPr>
            <w:r>
              <w:rPr>
                <w:rFonts w:ascii="Times New Roman" w:hAnsi="Times New Roman"/>
              </w:rPr>
              <w:t>本项目的特别规定</w:t>
            </w:r>
          </w:p>
        </w:tc>
      </w:tr>
      <w:tr w14:paraId="30B5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7FF73EE4">
            <w:pPr>
              <w:pStyle w:val="158"/>
              <w:adjustRightInd w:val="0"/>
              <w:snapToGrid w:val="0"/>
              <w:spacing w:before="120" w:beforeLines="50" w:after="120" w:afterLines="50" w:line="276" w:lineRule="auto"/>
              <w:jc w:val="center"/>
              <w:rPr>
                <w:kern w:val="0"/>
                <w:sz w:val="24"/>
              </w:rPr>
            </w:pPr>
            <w:r>
              <w:rPr>
                <w:kern w:val="0"/>
                <w:sz w:val="24"/>
              </w:rPr>
              <w:t>1</w:t>
            </w:r>
          </w:p>
        </w:tc>
        <w:tc>
          <w:tcPr>
            <w:tcW w:w="2076" w:type="dxa"/>
            <w:vAlign w:val="center"/>
          </w:tcPr>
          <w:p w14:paraId="4B0928E7">
            <w:pPr>
              <w:widowControl w:val="0"/>
              <w:adjustRightInd w:val="0"/>
              <w:snapToGrid w:val="0"/>
              <w:spacing w:line="276" w:lineRule="auto"/>
              <w:jc w:val="center"/>
            </w:pPr>
            <w:r>
              <w:t>报价要求</w:t>
            </w:r>
          </w:p>
        </w:tc>
        <w:tc>
          <w:tcPr>
            <w:tcW w:w="7035" w:type="dxa"/>
            <w:vAlign w:val="center"/>
          </w:tcPr>
          <w:p w14:paraId="04BC4073">
            <w:pPr>
              <w:snapToGrid w:val="0"/>
              <w:rPr>
                <w:b/>
                <w:bCs/>
                <w:color w:val="FF0000"/>
                <w:highlight w:val="yellow"/>
              </w:rPr>
            </w:pPr>
            <w:r>
              <w:rPr>
                <w:rFonts w:hint="eastAsia"/>
                <w:b/>
                <w:bCs/>
                <w:lang w:val="zh-CN"/>
              </w:rPr>
              <w:t>1</w:t>
            </w:r>
            <w:r>
              <w:rPr>
                <w:b/>
                <w:bCs/>
                <w:lang w:val="zh-CN"/>
              </w:rPr>
              <w:t>.</w:t>
            </w:r>
            <w:r>
              <w:rPr>
                <w:rFonts w:hint="eastAsia"/>
                <w:b/>
                <w:bCs/>
                <w:lang w:val="zh-CN"/>
              </w:rPr>
              <w:t>报价口径</w:t>
            </w:r>
            <w:r>
              <w:rPr>
                <w:b/>
                <w:bCs/>
                <w:lang w:val="zh-CN"/>
              </w:rPr>
              <w:t>为</w:t>
            </w:r>
            <w:r>
              <w:rPr>
                <w:rFonts w:hint="eastAsia"/>
                <w:b/>
                <w:bCs/>
                <w:lang w:val="zh-CN"/>
              </w:rPr>
              <w:t>单价，最多可保留两位小数，</w:t>
            </w:r>
            <w:r>
              <w:rPr>
                <w:b/>
                <w:bCs/>
                <w:lang w:val="zh-CN"/>
              </w:rPr>
              <w:t>按四舍五入计算</w:t>
            </w:r>
            <w:r>
              <w:rPr>
                <w:rFonts w:hint="eastAsia"/>
                <w:b/>
                <w:bCs/>
                <w:lang w:val="zh-CN"/>
              </w:rPr>
              <w:t>。结算价=</w:t>
            </w:r>
            <w:r>
              <w:rPr>
                <w:b/>
                <w:bCs/>
                <w:lang w:val="zh-CN"/>
              </w:rPr>
              <w:t>中标</w:t>
            </w:r>
            <w:r>
              <w:rPr>
                <w:rFonts w:hint="eastAsia"/>
                <w:b/>
                <w:bCs/>
                <w:lang w:val="zh-CN"/>
              </w:rPr>
              <w:t>单价</w:t>
            </w:r>
            <w:r>
              <w:rPr>
                <w:b/>
                <w:bCs/>
                <w:lang w:val="zh-CN"/>
              </w:rPr>
              <w:t>×实际采购数量</w:t>
            </w:r>
            <w:r>
              <w:rPr>
                <w:rFonts w:hint="eastAsia"/>
                <w:b/>
                <w:bCs/>
                <w:lang w:val="zh-CN"/>
              </w:rPr>
              <w:t>。</w:t>
            </w:r>
          </w:p>
          <w:p w14:paraId="3186DBA2">
            <w:pPr>
              <w:snapToGrid w:val="0"/>
              <w:rPr>
                <w:rFonts w:hint="eastAsia"/>
                <w:b/>
                <w:bCs/>
                <w:lang w:val="zh-CN"/>
              </w:rPr>
            </w:pPr>
            <w:r>
              <w:rPr>
                <w:rFonts w:hint="eastAsia"/>
                <w:b/>
                <w:bCs/>
                <w:lang w:val="zh-CN"/>
              </w:rPr>
              <w:t>2</w:t>
            </w:r>
            <w:r>
              <w:rPr>
                <w:b/>
                <w:bCs/>
                <w:lang w:val="zh-CN"/>
              </w:rPr>
              <w:t>.有关本项目实施所需的所有费用（含税费）均计入报价。</w:t>
            </w:r>
            <w:r>
              <w:rPr>
                <w:rFonts w:hint="eastAsia"/>
                <w:b/>
                <w:bCs/>
                <w:lang w:val="zh-CN"/>
              </w:rPr>
              <w:t>招标</w:t>
            </w:r>
            <w:r>
              <w:rPr>
                <w:b/>
                <w:bCs/>
                <w:lang w:val="zh-CN"/>
              </w:rPr>
              <w:t>文件未列明，而</w:t>
            </w:r>
            <w:r>
              <w:rPr>
                <w:rFonts w:hint="eastAsia"/>
                <w:b/>
                <w:bCs/>
                <w:lang w:val="zh-CN"/>
              </w:rPr>
              <w:t>投标人</w:t>
            </w:r>
            <w:r>
              <w:rPr>
                <w:b/>
                <w:bCs/>
                <w:lang w:val="zh-CN"/>
              </w:rPr>
              <w:t>认为必需的费用也需列入报价。</w:t>
            </w:r>
          </w:p>
        </w:tc>
      </w:tr>
      <w:tr w14:paraId="0FD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13E495F6">
            <w:pPr>
              <w:pStyle w:val="158"/>
              <w:adjustRightInd w:val="0"/>
              <w:snapToGrid w:val="0"/>
              <w:spacing w:before="120" w:beforeLines="50" w:after="120" w:afterLines="50" w:line="276" w:lineRule="auto"/>
              <w:jc w:val="center"/>
              <w:rPr>
                <w:kern w:val="0"/>
                <w:sz w:val="24"/>
              </w:rPr>
            </w:pPr>
            <w:r>
              <w:rPr>
                <w:kern w:val="0"/>
                <w:sz w:val="24"/>
              </w:rPr>
              <w:t>2</w:t>
            </w:r>
          </w:p>
        </w:tc>
        <w:tc>
          <w:tcPr>
            <w:tcW w:w="2076" w:type="dxa"/>
            <w:vAlign w:val="center"/>
          </w:tcPr>
          <w:p w14:paraId="71780383">
            <w:pPr>
              <w:widowControl w:val="0"/>
              <w:adjustRightInd w:val="0"/>
              <w:snapToGrid w:val="0"/>
              <w:spacing w:line="276" w:lineRule="auto"/>
              <w:jc w:val="center"/>
            </w:pPr>
            <w:r>
              <w:t>中标服务费</w:t>
            </w:r>
          </w:p>
        </w:tc>
        <w:tc>
          <w:tcPr>
            <w:tcW w:w="7035" w:type="dxa"/>
            <w:vAlign w:val="center"/>
          </w:tcPr>
          <w:p w14:paraId="1E8D71AD">
            <w:pPr>
              <w:widowControl w:val="0"/>
              <w:adjustRightInd w:val="0"/>
              <w:snapToGrid w:val="0"/>
              <w:spacing w:line="276" w:lineRule="auto"/>
            </w:pPr>
            <w:r>
              <w:rPr>
                <w:rFonts w:hint="eastAsia"/>
                <w:b/>
              </w:rPr>
              <w:t>各标段</w:t>
            </w:r>
            <w:r>
              <w:rPr>
                <w:b/>
              </w:rPr>
              <w:t>投标人取得中标资格后，须按</w:t>
            </w:r>
            <w:r>
              <w:rPr>
                <w:rFonts w:hint="eastAsia"/>
                <w:b/>
              </w:rPr>
              <w:t>预算</w:t>
            </w:r>
            <w:r>
              <w:rPr>
                <w:b/>
              </w:rPr>
              <w:t>价×1.5%×45</w:t>
            </w:r>
            <w:r>
              <w:rPr>
                <w:rFonts w:hint="eastAsia"/>
                <w:b/>
              </w:rPr>
              <w:t>%</w:t>
            </w:r>
            <w:r>
              <w:rPr>
                <w:b/>
              </w:rPr>
              <w:t>计收中标服务费，不足1</w:t>
            </w:r>
            <w:r>
              <w:rPr>
                <w:rFonts w:hint="eastAsia"/>
                <w:b/>
              </w:rPr>
              <w:t>7</w:t>
            </w:r>
            <w:r>
              <w:rPr>
                <w:b/>
              </w:rPr>
              <w:t>00元按1</w:t>
            </w:r>
            <w:r>
              <w:rPr>
                <w:rFonts w:hint="eastAsia"/>
                <w:b/>
              </w:rPr>
              <w:t>7</w:t>
            </w:r>
            <w:r>
              <w:rPr>
                <w:b/>
              </w:rPr>
              <w:t>00元计收，中标人在领取中标通知书前须支付至招标代理公司。</w:t>
            </w:r>
            <w:r>
              <w:t>转账至以下账户：</w:t>
            </w:r>
          </w:p>
          <w:p w14:paraId="54D09D86">
            <w:pPr>
              <w:widowControl w:val="0"/>
              <w:adjustRightInd w:val="0"/>
              <w:snapToGrid w:val="0"/>
              <w:ind w:right="-82"/>
              <w:rPr>
                <w:rFonts w:hint="eastAsia" w:ascii="宋体" w:hAnsi="宋体" w:cs="宋体"/>
              </w:rPr>
            </w:pPr>
            <w:r>
              <w:rPr>
                <w:rFonts w:hint="eastAsia" w:ascii="宋体" w:hAnsi="宋体" w:cs="宋体"/>
              </w:rPr>
              <w:t>户名：浙江金华阳光招标代理有限公司</w:t>
            </w:r>
          </w:p>
          <w:p w14:paraId="75A94F10">
            <w:pPr>
              <w:widowControl w:val="0"/>
              <w:adjustRightInd w:val="0"/>
              <w:snapToGrid w:val="0"/>
              <w:ind w:right="-82"/>
              <w:rPr>
                <w:rFonts w:hint="eastAsia" w:ascii="宋体" w:hAnsi="宋体" w:cs="宋体"/>
              </w:rPr>
            </w:pPr>
            <w:r>
              <w:rPr>
                <w:rFonts w:hint="eastAsia" w:ascii="宋体" w:hAnsi="宋体" w:cs="宋体"/>
              </w:rPr>
              <w:t>开户银行：金华银行文创支行</w:t>
            </w:r>
          </w:p>
          <w:p w14:paraId="1950B524">
            <w:pPr>
              <w:widowControl w:val="0"/>
              <w:adjustRightInd w:val="0"/>
              <w:snapToGrid w:val="0"/>
              <w:ind w:right="-82"/>
              <w:rPr>
                <w:rFonts w:hint="eastAsia" w:ascii="宋体" w:hAnsi="宋体" w:cs="宋体"/>
              </w:rPr>
            </w:pPr>
            <w:r>
              <w:rPr>
                <w:rFonts w:hint="eastAsia" w:ascii="宋体" w:hAnsi="宋体" w:cs="宋体"/>
              </w:rPr>
              <w:t>账号：1306226200000168</w:t>
            </w:r>
          </w:p>
        </w:tc>
      </w:tr>
      <w:tr w14:paraId="2C55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1E55B067">
            <w:pPr>
              <w:pStyle w:val="158"/>
              <w:adjustRightInd w:val="0"/>
              <w:snapToGrid w:val="0"/>
              <w:spacing w:before="120" w:beforeLines="50" w:after="120" w:afterLines="50" w:line="276" w:lineRule="auto"/>
              <w:jc w:val="center"/>
              <w:rPr>
                <w:kern w:val="0"/>
                <w:sz w:val="24"/>
              </w:rPr>
            </w:pPr>
            <w:r>
              <w:rPr>
                <w:rFonts w:hint="eastAsia"/>
                <w:kern w:val="0"/>
                <w:sz w:val="24"/>
              </w:rPr>
              <w:t>3</w:t>
            </w:r>
          </w:p>
        </w:tc>
        <w:tc>
          <w:tcPr>
            <w:tcW w:w="2076" w:type="dxa"/>
            <w:vAlign w:val="center"/>
          </w:tcPr>
          <w:p w14:paraId="49586DC5">
            <w:pPr>
              <w:widowControl w:val="0"/>
              <w:adjustRightInd w:val="0"/>
              <w:snapToGrid w:val="0"/>
              <w:spacing w:line="276" w:lineRule="auto"/>
              <w:jc w:val="center"/>
            </w:pPr>
            <w:r>
              <w:t>履约保证金</w:t>
            </w:r>
          </w:p>
        </w:tc>
        <w:tc>
          <w:tcPr>
            <w:tcW w:w="7035" w:type="dxa"/>
            <w:vAlign w:val="center"/>
          </w:tcPr>
          <w:p w14:paraId="35623845">
            <w:pPr>
              <w:widowControl w:val="0"/>
              <w:adjustRightInd w:val="0"/>
              <w:snapToGrid w:val="0"/>
              <w:rPr>
                <w:rFonts w:ascii="Segoe UI Symbol" w:hAnsi="Segoe UI Symbol" w:cs="Segoe UI Symbol"/>
              </w:rPr>
            </w:pPr>
            <w:r>
              <w:rPr>
                <w:rFonts w:ascii="Segoe UI Symbol" w:hAnsi="Segoe UI Symbol" w:cs="Segoe UI Symbol"/>
              </w:rPr>
              <w:t>☐</w:t>
            </w:r>
            <w:r>
              <w:rPr>
                <w:rFonts w:hint="eastAsia" w:ascii="Segoe UI Symbol" w:hAnsi="Segoe UI Symbol" w:cs="Segoe UI Symbol"/>
              </w:rPr>
              <w:t>不需要缴纳</w:t>
            </w:r>
          </w:p>
          <w:p w14:paraId="1C965386">
            <w:pPr>
              <w:widowControl w:val="0"/>
              <w:adjustRightInd w:val="0"/>
              <w:snapToGrid w:val="0"/>
              <w:spacing w:line="276" w:lineRule="auto"/>
              <w:rPr>
                <w:b/>
              </w:rPr>
            </w:pPr>
            <w:r>
              <w:rPr>
                <w:rFonts w:ascii="Segoe UI Symbol" w:hAnsi="Segoe UI Symbol" w:eastAsia="仿宋_GB2312" w:cs="Segoe UI Symbol"/>
              </w:rPr>
              <w:t>☑</w:t>
            </w:r>
            <w:r>
              <w:rPr>
                <w:rFonts w:hint="eastAsia"/>
              </w:rPr>
              <w:t>需要缴纳，</w:t>
            </w:r>
            <w:r>
              <w:t>中标人必须在</w:t>
            </w:r>
            <w:r>
              <w:rPr>
                <w:rFonts w:hint="eastAsia"/>
              </w:rPr>
              <w:t>合同签订后七日内分别</w:t>
            </w:r>
            <w:r>
              <w:t>向</w:t>
            </w:r>
            <w:r>
              <w:rPr>
                <w:rFonts w:hint="eastAsia"/>
              </w:rPr>
              <w:t>各院区</w:t>
            </w:r>
            <w:r>
              <w:t>采购人提供</w:t>
            </w:r>
            <w:r>
              <w:rPr>
                <w:rFonts w:hint="eastAsia"/>
              </w:rPr>
              <w:t>预算</w:t>
            </w:r>
            <w:r>
              <w:t>1%的履约保证金</w:t>
            </w:r>
            <w:r>
              <w:rPr>
                <w:rFonts w:hint="eastAsia" w:ascii="宋体" w:hAnsi="宋体"/>
              </w:rPr>
              <w:t>（可在政采云</w:t>
            </w:r>
            <w:r>
              <w:rPr>
                <w:rFonts w:hint="eastAsia"/>
              </w:rPr>
              <w:t>平台购买）</w:t>
            </w:r>
            <w:r>
              <w:t>，可以支票、汇票、本票或者金融机构、保险公司、担保机构出具的保函/保险（</w:t>
            </w:r>
            <w:r>
              <w:rPr>
                <w:rFonts w:ascii="Segoe UI Symbol" w:hAnsi="Segoe UI Symbol" w:cs="Segoe UI Symbol"/>
              </w:rPr>
              <w:t>可在政采云平台购买，咨询热线4009039583）等非现金形式提交。</w:t>
            </w:r>
            <w:r>
              <w:t>履约保证金（或保函/保险）在</w:t>
            </w:r>
            <w:r>
              <w:rPr>
                <w:rFonts w:hint="eastAsia"/>
              </w:rPr>
              <w:t>合同履约完毕后</w:t>
            </w:r>
            <w:r>
              <w:t>退还</w:t>
            </w:r>
            <w:r>
              <w:rPr>
                <w:rFonts w:hint="eastAsia"/>
              </w:rPr>
              <w:t>。</w:t>
            </w:r>
            <w:r>
              <w:rPr>
                <w:rFonts w:hint="eastAsia" w:ascii="Segoe UI Symbol" w:hAnsi="Segoe UI Symbol" w:cs="Segoe UI Symbol"/>
              </w:rPr>
              <w:t>鼓励和支持供应商以履约保函形式提供履约保证金。中标人没有履行合同项中约定的责任和义务所承担的违约金、赔偿金及其他费用，采购人有权直接从履约保证金中扣除，履约保证金中不足以扣除的，采购人有权从任何一笔货款中扣除。</w:t>
            </w:r>
          </w:p>
        </w:tc>
      </w:tr>
      <w:tr w14:paraId="7C4E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298D12DF">
            <w:pPr>
              <w:pStyle w:val="158"/>
              <w:adjustRightInd w:val="0"/>
              <w:snapToGrid w:val="0"/>
              <w:spacing w:before="120" w:beforeLines="50" w:after="120" w:afterLines="50" w:line="276" w:lineRule="auto"/>
              <w:jc w:val="center"/>
              <w:rPr>
                <w:kern w:val="0"/>
                <w:sz w:val="24"/>
              </w:rPr>
            </w:pPr>
            <w:r>
              <w:rPr>
                <w:kern w:val="0"/>
                <w:sz w:val="24"/>
              </w:rPr>
              <w:t>4</w:t>
            </w:r>
          </w:p>
        </w:tc>
        <w:tc>
          <w:tcPr>
            <w:tcW w:w="2076" w:type="dxa"/>
            <w:vAlign w:val="center"/>
          </w:tcPr>
          <w:p w14:paraId="753E71F9">
            <w:pPr>
              <w:widowControl w:val="0"/>
              <w:adjustRightInd w:val="0"/>
              <w:snapToGrid w:val="0"/>
              <w:spacing w:line="276" w:lineRule="auto"/>
              <w:jc w:val="center"/>
            </w:pPr>
            <w:r>
              <w:rPr>
                <w:rFonts w:hint="eastAsia"/>
              </w:rPr>
              <w:t>项目属性</w:t>
            </w:r>
          </w:p>
        </w:tc>
        <w:tc>
          <w:tcPr>
            <w:tcW w:w="7035" w:type="dxa"/>
            <w:vAlign w:val="center"/>
          </w:tcPr>
          <w:p w14:paraId="52267E99">
            <w:pPr>
              <w:spacing w:line="276" w:lineRule="auto"/>
            </w:pPr>
            <w:r>
              <w:rPr>
                <w:rFonts w:ascii="Segoe UI Symbol" w:hAnsi="Segoe UI Symbol" w:cs="Segoe UI Symbol"/>
              </w:rPr>
              <w:t>☐</w:t>
            </w:r>
            <w:r>
              <w:rPr>
                <w:rFonts w:hint="eastAsia"/>
              </w:rPr>
              <w:t>货物类</w:t>
            </w:r>
          </w:p>
          <w:p w14:paraId="0B08AE1D">
            <w:pPr>
              <w:widowControl w:val="0"/>
              <w:adjustRightInd w:val="0"/>
              <w:snapToGrid w:val="0"/>
              <w:rPr>
                <w:rFonts w:ascii="Segoe UI Symbol" w:hAnsi="Segoe UI Symbol" w:cs="Segoe UI Symbol"/>
              </w:rPr>
            </w:pPr>
            <w:r>
              <w:rPr>
                <w:rFonts w:ascii="Segoe UI Symbol" w:hAnsi="Segoe UI Symbol" w:eastAsia="仿宋_GB2312" w:cs="Segoe UI Symbol"/>
              </w:rPr>
              <w:t>☑</w:t>
            </w:r>
            <w:r>
              <w:rPr>
                <w:rFonts w:hint="eastAsia"/>
              </w:rPr>
              <w:t>服务类。</w:t>
            </w:r>
          </w:p>
        </w:tc>
      </w:tr>
      <w:tr w14:paraId="6ED6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0D61C6F1">
            <w:pPr>
              <w:pStyle w:val="26"/>
              <w:widowControl w:val="0"/>
              <w:adjustRightInd w:val="0"/>
              <w:snapToGrid w:val="0"/>
              <w:spacing w:before="120" w:beforeLines="50" w:after="120" w:afterLines="50" w:line="276" w:lineRule="auto"/>
              <w:jc w:val="center"/>
              <w:rPr>
                <w:rFonts w:ascii="Times New Roman" w:hAnsi="Times New Roman"/>
              </w:rPr>
            </w:pPr>
            <w:r>
              <w:t>5</w:t>
            </w:r>
          </w:p>
        </w:tc>
        <w:tc>
          <w:tcPr>
            <w:tcW w:w="2076" w:type="dxa"/>
            <w:vAlign w:val="center"/>
          </w:tcPr>
          <w:p w14:paraId="5F4EC101">
            <w:pPr>
              <w:widowControl w:val="0"/>
              <w:adjustRightInd w:val="0"/>
              <w:snapToGrid w:val="0"/>
              <w:spacing w:line="276" w:lineRule="auto"/>
              <w:jc w:val="center"/>
            </w:pPr>
            <w:r>
              <w:t>采购标的对应的中小企业划分标准所属行业</w:t>
            </w:r>
          </w:p>
        </w:tc>
        <w:tc>
          <w:tcPr>
            <w:tcW w:w="7035" w:type="dxa"/>
            <w:vAlign w:val="center"/>
          </w:tcPr>
          <w:p w14:paraId="47C70C96">
            <w:pPr>
              <w:snapToGrid w:val="0"/>
            </w:pPr>
            <w:r>
              <w:t>属于工信部【2011】300号文件规定的</w:t>
            </w:r>
            <w:r>
              <w:rPr>
                <w:rFonts w:hint="eastAsia" w:ascii="宋体" w:hAnsi="宋体"/>
              </w:rPr>
              <w:t>其他未列明行业</w:t>
            </w:r>
          </w:p>
          <w:p w14:paraId="4249688B">
            <w:pPr>
              <w:widowControl w:val="0"/>
              <w:adjustRightInd w:val="0"/>
              <w:spacing w:line="276" w:lineRule="auto"/>
              <w:ind w:right="-82"/>
            </w:pPr>
            <w:r>
              <w:rPr>
                <w:rFonts w:hint="eastAsia" w:ascii="宋体" w:hAnsi="宋体"/>
              </w:rPr>
              <w:t>（备注：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4A21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63652C6F">
            <w:pPr>
              <w:pStyle w:val="26"/>
              <w:widowControl w:val="0"/>
              <w:adjustRightInd w:val="0"/>
              <w:snapToGrid w:val="0"/>
              <w:spacing w:before="120" w:beforeLines="50" w:after="120" w:afterLines="50" w:line="276" w:lineRule="auto"/>
              <w:jc w:val="center"/>
              <w:rPr>
                <w:rFonts w:ascii="Times New Roman" w:hAnsi="Times New Roman"/>
              </w:rPr>
            </w:pPr>
            <w:r>
              <w:rPr>
                <w:rFonts w:hint="eastAsia"/>
              </w:rPr>
              <w:t>6</w:t>
            </w:r>
          </w:p>
        </w:tc>
        <w:tc>
          <w:tcPr>
            <w:tcW w:w="2076" w:type="dxa"/>
            <w:vAlign w:val="center"/>
          </w:tcPr>
          <w:p w14:paraId="4BD82D0A">
            <w:pPr>
              <w:widowControl w:val="0"/>
              <w:adjustRightInd w:val="0"/>
              <w:snapToGrid w:val="0"/>
              <w:spacing w:line="276" w:lineRule="auto"/>
              <w:jc w:val="center"/>
            </w:pPr>
            <w:r>
              <w:rPr>
                <w:rFonts w:hint="eastAsia"/>
              </w:rPr>
              <w:t>节能产品</w:t>
            </w:r>
          </w:p>
        </w:tc>
        <w:tc>
          <w:tcPr>
            <w:tcW w:w="7035" w:type="dxa"/>
            <w:vAlign w:val="center"/>
          </w:tcPr>
          <w:p w14:paraId="0887DE99">
            <w:pPr>
              <w:widowControl w:val="0"/>
              <w:adjustRightInd w:val="0"/>
              <w:snapToGrid w:val="0"/>
              <w:spacing w:line="276" w:lineRule="auto"/>
              <w:ind w:right="-82"/>
            </w:pPr>
            <w:r>
              <w:rPr>
                <w:rFonts w:ascii="Segoe UI Symbol" w:hAnsi="Segoe UI Symbol" w:cs="Segoe UI Symbol"/>
              </w:rPr>
              <w:t>☐</w:t>
            </w:r>
            <w:r>
              <w:rPr>
                <w:rFonts w:hint="eastAsia"/>
              </w:rPr>
              <w:t xml:space="preserve"> 强制采购节能产品</w:t>
            </w:r>
          </w:p>
          <w:p w14:paraId="172A48C1">
            <w:pPr>
              <w:pStyle w:val="167"/>
              <w:widowControl w:val="0"/>
              <w:adjustRightInd w:val="0"/>
              <w:spacing w:line="276" w:lineRule="auto"/>
              <w:ind w:right="-82"/>
              <w:rPr>
                <w:rFonts w:hint="default" w:ascii="Times New Roman" w:hAnsi="Times New Roman"/>
                <w:kern w:val="0"/>
                <w:sz w:val="24"/>
                <w:szCs w:val="24"/>
              </w:rPr>
            </w:pPr>
            <w:r>
              <w:rPr>
                <w:rFonts w:ascii="Segoe UI Symbol" w:hAnsi="Segoe UI Symbol" w:cs="Segoe UI Symbol"/>
              </w:rPr>
              <w:t>☐</w:t>
            </w:r>
            <w:r>
              <w:rPr>
                <w:rFonts w:ascii="Times New Roman" w:hAnsi="Times New Roman"/>
                <w:kern w:val="0"/>
                <w:sz w:val="24"/>
                <w:szCs w:val="24"/>
              </w:rPr>
              <w:t>优先采购节能产品</w:t>
            </w:r>
          </w:p>
          <w:p w14:paraId="5A953308">
            <w:pPr>
              <w:widowControl w:val="0"/>
              <w:adjustRightInd w:val="0"/>
              <w:snapToGrid w:val="0"/>
              <w:spacing w:line="276" w:lineRule="auto"/>
              <w:ind w:right="-82"/>
            </w:pPr>
            <w:r>
              <w:rPr>
                <w:rFonts w:ascii="Segoe UI Symbol" w:hAnsi="Segoe UI Symbol" w:eastAsia="仿宋_GB2312" w:cs="Segoe UI Symbol"/>
              </w:rPr>
              <w:t>☑</w:t>
            </w:r>
            <w:r>
              <w:rPr>
                <w:rFonts w:hint="eastAsia"/>
              </w:rPr>
              <w:t>不适用</w:t>
            </w:r>
          </w:p>
        </w:tc>
      </w:tr>
      <w:tr w14:paraId="6162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040E8927">
            <w:pPr>
              <w:pStyle w:val="26"/>
              <w:widowControl w:val="0"/>
              <w:adjustRightInd w:val="0"/>
              <w:snapToGrid w:val="0"/>
              <w:spacing w:before="120" w:beforeLines="50" w:after="120" w:afterLines="50" w:line="276" w:lineRule="auto"/>
              <w:jc w:val="center"/>
              <w:rPr>
                <w:rFonts w:ascii="Times New Roman" w:hAnsi="Times New Roman"/>
              </w:rPr>
            </w:pPr>
            <w:r>
              <w:rPr>
                <w:rFonts w:hint="eastAsia"/>
              </w:rPr>
              <w:t>7</w:t>
            </w:r>
          </w:p>
        </w:tc>
        <w:tc>
          <w:tcPr>
            <w:tcW w:w="2076" w:type="dxa"/>
            <w:vAlign w:val="center"/>
          </w:tcPr>
          <w:p w14:paraId="1EFC8D78">
            <w:pPr>
              <w:widowControl w:val="0"/>
              <w:adjustRightInd w:val="0"/>
              <w:snapToGrid w:val="0"/>
              <w:spacing w:line="276" w:lineRule="auto"/>
              <w:jc w:val="center"/>
            </w:pPr>
            <w:r>
              <w:rPr>
                <w:rFonts w:hint="eastAsia"/>
              </w:rPr>
              <w:t>环境标志产品</w:t>
            </w:r>
          </w:p>
        </w:tc>
        <w:tc>
          <w:tcPr>
            <w:tcW w:w="7035" w:type="dxa"/>
            <w:vAlign w:val="center"/>
          </w:tcPr>
          <w:p w14:paraId="4D0FC7A4">
            <w:pPr>
              <w:widowControl w:val="0"/>
              <w:adjustRightInd w:val="0"/>
              <w:snapToGrid w:val="0"/>
              <w:spacing w:line="276" w:lineRule="auto"/>
              <w:ind w:right="-82"/>
            </w:pPr>
            <w:r>
              <w:rPr>
                <w:rFonts w:ascii="Segoe UI Symbol" w:hAnsi="Segoe UI Symbol" w:cs="Segoe UI Symbol"/>
              </w:rPr>
              <w:t>☐</w:t>
            </w:r>
            <w:r>
              <w:rPr>
                <w:rFonts w:hint="eastAsia"/>
              </w:rPr>
              <w:t xml:space="preserve"> 优先采购环境标志产品</w:t>
            </w:r>
          </w:p>
          <w:p w14:paraId="614B11E4">
            <w:pPr>
              <w:widowControl w:val="0"/>
              <w:adjustRightInd w:val="0"/>
              <w:snapToGrid w:val="0"/>
              <w:spacing w:line="276" w:lineRule="auto"/>
              <w:ind w:right="-82"/>
              <w:rPr>
                <w:rFonts w:ascii="Segoe UI Symbol" w:hAnsi="Segoe UI Symbol" w:eastAsia="仿宋_GB2312" w:cs="Segoe UI Symbol"/>
              </w:rPr>
            </w:pPr>
            <w:r>
              <w:rPr>
                <w:rFonts w:ascii="Segoe UI Symbol" w:hAnsi="Segoe UI Symbol" w:eastAsia="仿宋_GB2312" w:cs="Segoe UI Symbol"/>
              </w:rPr>
              <w:t>☑</w:t>
            </w:r>
            <w:r>
              <w:rPr>
                <w:rFonts w:hint="eastAsia"/>
              </w:rPr>
              <w:t>不适用</w:t>
            </w:r>
          </w:p>
        </w:tc>
      </w:tr>
      <w:tr w14:paraId="3A13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A3DE286">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8</w:t>
            </w:r>
          </w:p>
        </w:tc>
        <w:tc>
          <w:tcPr>
            <w:tcW w:w="2076" w:type="dxa"/>
            <w:vAlign w:val="center"/>
          </w:tcPr>
          <w:p w14:paraId="041AE8D2">
            <w:pPr>
              <w:widowControl w:val="0"/>
              <w:adjustRightInd w:val="0"/>
              <w:snapToGrid w:val="0"/>
              <w:spacing w:line="276" w:lineRule="auto"/>
              <w:jc w:val="center"/>
            </w:pPr>
            <w:r>
              <w:t>转包</w:t>
            </w:r>
          </w:p>
        </w:tc>
        <w:tc>
          <w:tcPr>
            <w:tcW w:w="7035" w:type="dxa"/>
            <w:vAlign w:val="center"/>
          </w:tcPr>
          <w:p w14:paraId="66B7213C">
            <w:pPr>
              <w:snapToGrid w:val="0"/>
              <w:spacing w:line="276" w:lineRule="auto"/>
            </w:pPr>
            <w:r>
              <w:rPr>
                <w:rFonts w:ascii="Segoe UI Symbol" w:hAnsi="Segoe UI Symbol" w:eastAsia="仿宋_GB2312" w:cs="Segoe UI Symbol"/>
              </w:rPr>
              <w:t>☑</w:t>
            </w:r>
            <w:r>
              <w:t xml:space="preserve"> 不同意转包。</w:t>
            </w:r>
          </w:p>
        </w:tc>
      </w:tr>
      <w:tr w14:paraId="481F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6F34D9FD">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9</w:t>
            </w:r>
          </w:p>
        </w:tc>
        <w:tc>
          <w:tcPr>
            <w:tcW w:w="2076" w:type="dxa"/>
            <w:vAlign w:val="center"/>
          </w:tcPr>
          <w:p w14:paraId="11E7B8D5">
            <w:pPr>
              <w:widowControl w:val="0"/>
              <w:adjustRightInd w:val="0"/>
              <w:snapToGrid w:val="0"/>
              <w:spacing w:line="276" w:lineRule="auto"/>
              <w:jc w:val="center"/>
            </w:pPr>
            <w:r>
              <w:t>分包</w:t>
            </w:r>
          </w:p>
        </w:tc>
        <w:tc>
          <w:tcPr>
            <w:tcW w:w="7035" w:type="dxa"/>
            <w:vAlign w:val="center"/>
          </w:tcPr>
          <w:p w14:paraId="54378AF3">
            <w:pPr>
              <w:snapToGrid w:val="0"/>
              <w:spacing w:line="276" w:lineRule="auto"/>
            </w:pPr>
            <w:r>
              <w:rPr>
                <w:rFonts w:ascii="Segoe UI Symbol" w:hAnsi="Segoe UI Symbol" w:eastAsia="仿宋_GB2312" w:cs="Segoe UI Symbol"/>
              </w:rPr>
              <w:t>☑</w:t>
            </w:r>
            <w:r>
              <w:t>同意将非主体、非关键性的工作分包。</w:t>
            </w:r>
          </w:p>
          <w:p w14:paraId="000ECC6A">
            <w:pPr>
              <w:snapToGrid w:val="0"/>
              <w:spacing w:line="276" w:lineRule="auto"/>
            </w:pPr>
            <w:r>
              <w:rPr>
                <w:rFonts w:ascii="Segoe UI Symbol" w:hAnsi="Segoe UI Symbol" w:cs="Segoe UI Symbol"/>
              </w:rPr>
              <w:t>☐</w:t>
            </w:r>
            <w:r>
              <w:t xml:space="preserve"> 不同意分包。</w:t>
            </w:r>
          </w:p>
        </w:tc>
      </w:tr>
      <w:tr w14:paraId="6B36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5A559AF4">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10</w:t>
            </w:r>
          </w:p>
        </w:tc>
        <w:tc>
          <w:tcPr>
            <w:tcW w:w="2076" w:type="dxa"/>
            <w:vAlign w:val="center"/>
          </w:tcPr>
          <w:p w14:paraId="6E8EDA07">
            <w:pPr>
              <w:widowControl w:val="0"/>
              <w:adjustRightInd w:val="0"/>
              <w:snapToGrid w:val="0"/>
              <w:spacing w:line="276" w:lineRule="auto"/>
              <w:jc w:val="center"/>
            </w:pPr>
            <w:r>
              <w:t>开标前答疑会或现场考察</w:t>
            </w:r>
          </w:p>
        </w:tc>
        <w:tc>
          <w:tcPr>
            <w:tcW w:w="7035" w:type="dxa"/>
            <w:vAlign w:val="center"/>
          </w:tcPr>
          <w:p w14:paraId="65813872">
            <w:pPr>
              <w:spacing w:line="276" w:lineRule="auto"/>
            </w:pPr>
            <w:r>
              <w:rPr>
                <w:rFonts w:ascii="Segoe UI Symbol" w:hAnsi="Segoe UI Symbol" w:eastAsia="仿宋_GB2312" w:cs="Segoe UI Symbol"/>
              </w:rPr>
              <w:t>☑</w:t>
            </w:r>
            <w:r>
              <w:t>不组织。</w:t>
            </w:r>
          </w:p>
          <w:p w14:paraId="7C6E9160">
            <w:pPr>
              <w:snapToGrid w:val="0"/>
              <w:spacing w:line="276" w:lineRule="auto"/>
            </w:pPr>
            <w:r>
              <w:rPr>
                <w:rFonts w:ascii="Segoe UI Symbol" w:hAnsi="Segoe UI Symbol" w:cs="Segoe UI Symbol"/>
              </w:rPr>
              <w:t>☐</w:t>
            </w:r>
            <w:r>
              <w:t>组织，时间：</w:t>
            </w:r>
            <w:r>
              <w:rPr>
                <w:u w:val="single"/>
              </w:rPr>
              <w:t xml:space="preserve">      </w:t>
            </w:r>
            <w:r>
              <w:t>,地点：</w:t>
            </w:r>
            <w:r>
              <w:rPr>
                <w:u w:val="single"/>
              </w:rPr>
              <w:t xml:space="preserve">      </w:t>
            </w:r>
            <w:r>
              <w:t>，联系人：</w:t>
            </w:r>
            <w:r>
              <w:rPr>
                <w:u w:val="single"/>
              </w:rPr>
              <w:t xml:space="preserve">      </w:t>
            </w:r>
            <w:r>
              <w:t>，联系方式：</w:t>
            </w:r>
            <w:r>
              <w:rPr>
                <w:u w:val="single"/>
              </w:rPr>
              <w:t xml:space="preserve">      </w:t>
            </w:r>
            <w:r>
              <w:t>。</w:t>
            </w:r>
          </w:p>
        </w:tc>
      </w:tr>
      <w:tr w14:paraId="250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2D30E3F5">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11</w:t>
            </w:r>
          </w:p>
        </w:tc>
        <w:tc>
          <w:tcPr>
            <w:tcW w:w="2076" w:type="dxa"/>
            <w:vAlign w:val="center"/>
          </w:tcPr>
          <w:p w14:paraId="2C9333F9">
            <w:pPr>
              <w:widowControl w:val="0"/>
              <w:adjustRightInd w:val="0"/>
              <w:snapToGrid w:val="0"/>
              <w:spacing w:line="276" w:lineRule="auto"/>
              <w:jc w:val="center"/>
            </w:pPr>
            <w:r>
              <w:t>样品提供</w:t>
            </w:r>
          </w:p>
        </w:tc>
        <w:tc>
          <w:tcPr>
            <w:tcW w:w="7035" w:type="dxa"/>
            <w:vAlign w:val="center"/>
          </w:tcPr>
          <w:p w14:paraId="210D42B9">
            <w:pPr>
              <w:spacing w:line="276" w:lineRule="auto"/>
            </w:pPr>
            <w:r>
              <w:rPr>
                <w:rFonts w:ascii="Segoe UI Symbol" w:hAnsi="Segoe UI Symbol" w:eastAsia="仿宋_GB2312" w:cs="Segoe UI Symbol"/>
              </w:rPr>
              <w:t>☐</w:t>
            </w:r>
            <w:r>
              <w:t>不要求提供。</w:t>
            </w:r>
          </w:p>
          <w:p w14:paraId="289A2848">
            <w:pPr>
              <w:spacing w:line="276" w:lineRule="auto"/>
            </w:pPr>
            <w:r>
              <w:rPr>
                <w:rFonts w:ascii="Segoe UI Symbol" w:hAnsi="Segoe UI Symbol" w:eastAsia="仿宋_GB2312" w:cs="Segoe UI Symbol"/>
              </w:rPr>
              <w:t>☑</w:t>
            </w:r>
            <w:r>
              <w:t>要求提供</w:t>
            </w:r>
            <w:r>
              <w:rPr>
                <w:rFonts w:hint="eastAsia"/>
              </w:rPr>
              <w:t>。</w:t>
            </w:r>
          </w:p>
          <w:p w14:paraId="6F4C7742">
            <w:pPr>
              <w:spacing w:line="276" w:lineRule="auto"/>
            </w:pPr>
            <w:r>
              <w:t>（1）</w:t>
            </w:r>
            <w:r>
              <w:rPr>
                <w:snapToGrid w:val="0"/>
                <w:kern w:val="28"/>
              </w:rPr>
              <w:t>样品：</w:t>
            </w:r>
            <w:r>
              <w:rPr>
                <w:u w:val="single"/>
              </w:rPr>
              <w:t xml:space="preserve"> </w:t>
            </w:r>
            <w:r>
              <w:rPr>
                <w:rFonts w:hint="eastAsia"/>
                <w:u w:val="single"/>
              </w:rPr>
              <w:t>清单中所有产品各提供完整包装一份，每份样品标注产品名称及投标人名称</w:t>
            </w:r>
            <w:r>
              <w:t>；</w:t>
            </w:r>
          </w:p>
          <w:p w14:paraId="3070B195">
            <w:pPr>
              <w:spacing w:line="276" w:lineRule="auto"/>
            </w:pPr>
            <w:r>
              <w:t>（2）</w:t>
            </w:r>
            <w:r>
              <w:rPr>
                <w:snapToGrid w:val="0"/>
                <w:kern w:val="28"/>
              </w:rPr>
              <w:t>样品制作的标准和要求：</w:t>
            </w:r>
            <w:r>
              <w:rPr>
                <w:u w:val="single"/>
              </w:rPr>
              <w:t xml:space="preserve"> 详见招标文件技术要求 </w:t>
            </w:r>
            <w:r>
              <w:t>；</w:t>
            </w:r>
          </w:p>
          <w:p w14:paraId="3E852422">
            <w:pPr>
              <w:spacing w:line="276" w:lineRule="auto"/>
            </w:pPr>
            <w:r>
              <w:t>（3）样品的评审方法以及评审标准</w:t>
            </w:r>
            <w:r>
              <w:rPr>
                <w:snapToGrid w:val="0"/>
                <w:kern w:val="28"/>
              </w:rPr>
              <w:t>：详见</w:t>
            </w:r>
            <w:r>
              <w:rPr>
                <w:u w:val="single"/>
              </w:rPr>
              <w:t>评标办法</w:t>
            </w:r>
            <w:r>
              <w:t>；</w:t>
            </w:r>
          </w:p>
          <w:p w14:paraId="3F603F93">
            <w:pPr>
              <w:spacing w:line="276" w:lineRule="auto"/>
            </w:pPr>
            <w:r>
              <w:t>（4）是否需要随样品提交检测报告：</w:t>
            </w:r>
            <w:r>
              <w:rPr/>
              <w:sym w:font="Wingdings" w:char="F0FE"/>
            </w:r>
            <w:r>
              <w:t>否；</w:t>
            </w:r>
            <w:r>
              <w:rPr>
                <w:rFonts w:ascii="Segoe UI Symbol" w:hAnsi="Segoe UI Symbol" w:cs="Segoe UI Symbol"/>
              </w:rPr>
              <w:t>☐</w:t>
            </w:r>
            <w:r>
              <w:t>是，检测机构的要求：</w:t>
            </w:r>
            <w:r>
              <w:rPr>
                <w:u w:val="single"/>
              </w:rPr>
              <w:t xml:space="preserve">    </w:t>
            </w:r>
            <w:r>
              <w:t>；检测内容：</w:t>
            </w:r>
            <w:r>
              <w:rPr>
                <w:u w:val="single"/>
              </w:rPr>
              <w:t xml:space="preserve">    </w:t>
            </w:r>
            <w:r>
              <w:t>。</w:t>
            </w:r>
          </w:p>
          <w:p w14:paraId="06FE46CF">
            <w:pPr>
              <w:spacing w:line="276" w:lineRule="auto"/>
            </w:pPr>
            <w:r>
              <w:t>（5）提供样品的时间：</w:t>
            </w:r>
            <w:r>
              <w:rPr>
                <w:rFonts w:hint="eastAsia"/>
                <w:u w:val="single"/>
              </w:rPr>
              <w:t>投标截止时间前一个工作日17点前</w:t>
            </w:r>
            <w:r>
              <w:rPr>
                <w:u w:val="single"/>
              </w:rPr>
              <w:t xml:space="preserve"> </w:t>
            </w:r>
            <w:r>
              <w:t>；地点：</w:t>
            </w:r>
            <w:r>
              <w:rPr>
                <w:rFonts w:hint="eastAsia"/>
                <w:u w:val="single"/>
              </w:rPr>
              <w:t>金华市义乌街1626号</w:t>
            </w:r>
            <w:r>
              <w:rPr>
                <w:u w:val="single"/>
              </w:rPr>
              <w:t xml:space="preserve"> </w:t>
            </w:r>
            <w:r>
              <w:t>；</w:t>
            </w:r>
            <w:r>
              <w:rPr>
                <w:rFonts w:hint="eastAsia"/>
              </w:rPr>
              <w:t>递交方式：</w:t>
            </w:r>
            <w:r>
              <w:rPr>
                <w:rFonts w:hint="eastAsia"/>
                <w:u w:val="single"/>
              </w:rPr>
              <w:t>邮寄或现场递交</w:t>
            </w:r>
            <w:r>
              <w:rPr>
                <w:rFonts w:hint="eastAsia"/>
              </w:rPr>
              <w:t>；</w:t>
            </w:r>
            <w:r>
              <w:t>联系人：</w:t>
            </w:r>
            <w:r>
              <w:rPr>
                <w:rFonts w:hint="eastAsia"/>
                <w:u w:val="single"/>
              </w:rPr>
              <w:t>朱女士  包女士</w:t>
            </w:r>
            <w:r>
              <w:rPr>
                <w:u w:val="single"/>
              </w:rPr>
              <w:t xml:space="preserve"> </w:t>
            </w:r>
            <w:r>
              <w:t>，</w:t>
            </w:r>
            <w:r>
              <w:rPr>
                <w:kern w:val="28"/>
              </w:rPr>
              <w:t>联系电话：</w:t>
            </w:r>
            <w:r>
              <w:rPr>
                <w:u w:val="single"/>
              </w:rPr>
              <w:t xml:space="preserve">  </w:t>
            </w:r>
            <w:r>
              <w:rPr>
                <w:rFonts w:hint="eastAsia"/>
                <w:u w:val="single"/>
              </w:rPr>
              <w:t>0579-83180811</w:t>
            </w:r>
            <w:r>
              <w:rPr>
                <w:u w:val="single"/>
              </w:rPr>
              <w:t xml:space="preserve">  </w:t>
            </w:r>
            <w:r>
              <w:rPr>
                <w:rFonts w:hint="eastAsia"/>
              </w:rPr>
              <w:t>；包装要求：</w:t>
            </w:r>
            <w:r>
              <w:rPr>
                <w:rFonts w:hint="eastAsia"/>
                <w:u w:val="single"/>
              </w:rPr>
              <w:t>所有样品密封在一个包装袋或箱子，包装袋或箱子上注明“金华市中心医院、金华市妇幼保健院减重医用食品采购项目样品”</w:t>
            </w:r>
            <w:r>
              <w:rPr>
                <w:rFonts w:hint="eastAsia"/>
              </w:rPr>
              <w:t>。</w:t>
            </w:r>
            <w:r>
              <w:t>请投标人在上述时间内提供样品。超过截止时间的，采购人或采购代理机构将不予接收，并将清场并封闭样品现场。</w:t>
            </w:r>
          </w:p>
          <w:p w14:paraId="7CE9196F">
            <w:pPr>
              <w:spacing w:line="276" w:lineRule="auto"/>
            </w:pPr>
            <w:r>
              <w:t xml:space="preserve"> </w:t>
            </w:r>
            <w:r>
              <w:rPr>
                <w:rFonts w:hint="eastAsia"/>
              </w:rPr>
              <w:t>（6）</w:t>
            </w:r>
            <w: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9F4C6D0">
            <w:pPr>
              <w:pStyle w:val="2"/>
              <w:ind w:left="0" w:leftChars="0" w:firstLine="0" w:firstLineChars="0"/>
            </w:pPr>
            <w:r>
              <w:t>（7）制作、运输、安装和保管样品所发生的一切费用由投标人自理。</w:t>
            </w:r>
          </w:p>
        </w:tc>
      </w:tr>
      <w:tr w14:paraId="2327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173E6330">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12</w:t>
            </w:r>
          </w:p>
        </w:tc>
        <w:tc>
          <w:tcPr>
            <w:tcW w:w="2076" w:type="dxa"/>
            <w:vAlign w:val="center"/>
          </w:tcPr>
          <w:p w14:paraId="282BD932">
            <w:pPr>
              <w:widowControl w:val="0"/>
              <w:adjustRightInd w:val="0"/>
              <w:snapToGrid w:val="0"/>
              <w:spacing w:line="276" w:lineRule="auto"/>
              <w:jc w:val="center"/>
            </w:pPr>
            <w:r>
              <w:t>方案讲解演示</w:t>
            </w:r>
          </w:p>
        </w:tc>
        <w:tc>
          <w:tcPr>
            <w:tcW w:w="7035" w:type="dxa"/>
            <w:vAlign w:val="center"/>
          </w:tcPr>
          <w:p w14:paraId="5912BFE7">
            <w:pPr>
              <w:spacing w:line="276" w:lineRule="auto"/>
              <w:rPr>
                <w:rFonts w:eastAsia="仿宋_GB2312"/>
              </w:rPr>
            </w:pPr>
            <w:r>
              <w:rPr>
                <w:rFonts w:ascii="Segoe UI Symbol" w:hAnsi="Segoe UI Symbol" w:eastAsia="仿宋_GB2312" w:cs="Segoe UI Symbol"/>
              </w:rPr>
              <w:t>☑</w:t>
            </w:r>
            <w:r>
              <w:rPr>
                <w:rFonts w:hint="eastAsia"/>
              </w:rPr>
              <w:t>不组织。</w:t>
            </w:r>
          </w:p>
          <w:p w14:paraId="72EC2395">
            <w:pPr>
              <w:spacing w:line="276" w:lineRule="auto"/>
              <w:rPr>
                <w:rFonts w:eastAsia="仿宋_GB2312"/>
              </w:rPr>
            </w:pPr>
            <w:r>
              <w:rPr>
                <w:rFonts w:ascii="Segoe UI Symbol" w:hAnsi="Segoe UI Symbol" w:eastAsia="仿宋_GB2312" w:cs="Segoe UI Symbol"/>
              </w:rPr>
              <w:t>☐</w:t>
            </w:r>
            <w:r>
              <w:rPr>
                <w:rFonts w:hint="eastAsia"/>
              </w:rPr>
              <w:t>组织。</w:t>
            </w:r>
          </w:p>
          <w:p w14:paraId="15997687">
            <w:pPr>
              <w:snapToGrid w:val="0"/>
              <w:spacing w:line="276" w:lineRule="auto"/>
            </w:pPr>
            <w:r>
              <w:rPr>
                <w:rFonts w:hint="eastAsia"/>
              </w:rPr>
              <w:t>（</w:t>
            </w:r>
            <w:r>
              <w:t>1</w:t>
            </w:r>
            <w:r>
              <w:rPr>
                <w:rFonts w:hint="eastAsia"/>
              </w:rPr>
              <w:t>）在评标时安排每个投标人进行方案讲解演示。每个投标人时间不超过</w:t>
            </w:r>
            <w:r>
              <w:t>20</w:t>
            </w:r>
            <w:r>
              <w:rPr>
                <w:rFonts w:hint="eastAsia"/>
              </w:rPr>
              <w:t>分钟，讲解次序以投标文件解密时间先后次序为准。</w:t>
            </w:r>
          </w:p>
          <w:p w14:paraId="19991C43">
            <w:pPr>
              <w:snapToGrid w:val="0"/>
              <w:spacing w:line="276" w:lineRule="auto"/>
            </w:pPr>
            <w:r>
              <w:rPr>
                <w:rFonts w:hint="eastAsia"/>
              </w:rPr>
              <w:t>（</w:t>
            </w:r>
            <w:r>
              <w:t>2</w:t>
            </w:r>
            <w:r>
              <w:rPr>
                <w:rFonts w:hint="eastAsia"/>
              </w:rPr>
              <w:t>）方案讲解方式：钉钉会议远程讲解。各投标人需在投标文件提交截止时间前添加代理公司工作人员钉钉号（</w:t>
            </w:r>
            <w:r>
              <w:rPr>
                <w:u w:val="single"/>
              </w:rPr>
              <w:t xml:space="preserve">           </w:t>
            </w:r>
            <w:r>
              <w:rPr>
                <w:rFonts w:hint="eastAsia"/>
              </w:rPr>
              <w:t>），添加时请注明“</w:t>
            </w:r>
            <w:r>
              <w:t>**</w:t>
            </w:r>
            <w:r>
              <w:rPr>
                <w:rFonts w:hint="eastAsia"/>
              </w:rPr>
              <w:t>公司</w:t>
            </w:r>
            <w:r>
              <w:t>***</w:t>
            </w:r>
            <w:r>
              <w:rPr>
                <w:rFonts w:hint="eastAsia"/>
              </w:rPr>
              <w:t>项目”；开启文件后，由代理公司工作人员分别组建钉钉会议，逐一进行远程讲解。</w:t>
            </w:r>
          </w:p>
          <w:p w14:paraId="0254A8FF">
            <w:pPr>
              <w:spacing w:line="276" w:lineRule="auto"/>
            </w:pPr>
            <w:r>
              <w:rPr>
                <w:rFonts w:hint="eastAsia"/>
              </w:rPr>
              <w:t>注：因投标人自身原因导致无法演示或者演示效果不理想的，责任自负。</w:t>
            </w:r>
          </w:p>
        </w:tc>
      </w:tr>
      <w:tr w14:paraId="7BA7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117E9448">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13</w:t>
            </w:r>
          </w:p>
        </w:tc>
        <w:tc>
          <w:tcPr>
            <w:tcW w:w="2076" w:type="dxa"/>
            <w:vAlign w:val="center"/>
          </w:tcPr>
          <w:p w14:paraId="1CD9A365">
            <w:pPr>
              <w:snapToGrid w:val="0"/>
              <w:spacing w:line="276" w:lineRule="auto"/>
              <w:jc w:val="center"/>
            </w:pPr>
            <w:r>
              <w:t>政府采购优惠政策</w:t>
            </w:r>
          </w:p>
        </w:tc>
        <w:tc>
          <w:tcPr>
            <w:tcW w:w="7035" w:type="dxa"/>
            <w:vAlign w:val="center"/>
          </w:tcPr>
          <w:p w14:paraId="75EEB8C5">
            <w:pPr>
              <w:snapToGrid w:val="0"/>
              <w:spacing w:line="276" w:lineRule="auto"/>
              <w:rPr>
                <w:bCs/>
              </w:rPr>
            </w:pPr>
            <w:r>
              <w:rPr>
                <w:bCs/>
              </w:rPr>
              <w:t>（1）根据财政部、发展改革委、生态环境部等部门发布的节能产品品目清单（财库〔2019〕19号）且提供国家确定的认证机构出具的、处于有效期之内的节能产品认证证书的，在技术资信评分时给予相应分值。</w:t>
            </w:r>
          </w:p>
          <w:p w14:paraId="079FB915">
            <w:pPr>
              <w:snapToGrid w:val="0"/>
              <w:spacing w:line="276" w:lineRule="auto"/>
              <w:rPr>
                <w:bCs/>
              </w:rPr>
            </w:pPr>
            <w:r>
              <w:rPr>
                <w:bCs/>
              </w:rPr>
              <w:t>（2）根据财政部、发展改革委、生态环境部等部门发布的节能产品品目清单（财库〔2019〕19号）且提供国家确定的认证机构出具的、处于有效期之内的环境标志产品认证证书的，在技术资信评分时给予相应分值。</w:t>
            </w:r>
          </w:p>
          <w:p w14:paraId="6B5C9A89">
            <w:pPr>
              <w:snapToGrid w:val="0"/>
              <w:spacing w:line="276" w:lineRule="auto"/>
            </w:pPr>
            <w:r>
              <w:rPr>
                <w:bCs/>
              </w:rPr>
              <w:t>（3）根据财库[2020]46 号文件《政府采购促进中小企业发展管理办法》和财库[2022]19号文件《关于进一步加大政府采购支持中小企业力度的通知》的要求，对小型和微型企业的价格给予20%扣除，用扣除后的价格参与评审（需主动提供小微企业声明函，否则不予扣），</w:t>
            </w:r>
            <w:r>
              <w:t>对于联合协议或者分包意向协议约定小微企业的合同份额占到合同总金额30%以上的，评审优惠幅度为6%</w:t>
            </w:r>
            <w:r>
              <w:rPr>
                <w:bCs/>
              </w:rPr>
              <w:t>。监狱企业提供由省级以上监狱管理局、戒毒管理局（含新疆生产建设兵团）出具的监狱企业的证明文件视同小微企业，残疾人福利性企业提供《残疾人福利性单位声明函》的视同小微企业，同样享受上述优惠扣除。</w:t>
            </w:r>
            <w:r>
              <w:t>政府采购工程的价格评审优惠按照财库〔2020〕46号文件的规定执行。（备注：专门面向中小企业采购的项目，不再执行价格评审优惠的扶持政策）</w:t>
            </w:r>
          </w:p>
          <w:p w14:paraId="6122FA3C">
            <w:pPr>
              <w:snapToGrid w:val="0"/>
              <w:spacing w:line="276" w:lineRule="auto"/>
              <w:rPr>
                <w:bCs/>
              </w:rPr>
            </w:pPr>
            <w:r>
              <w:rPr>
                <w:bCs/>
              </w:rPr>
              <w:t>（4）支持创新发展。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tc>
      </w:tr>
      <w:tr w14:paraId="73B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17EA1553">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14</w:t>
            </w:r>
          </w:p>
        </w:tc>
        <w:tc>
          <w:tcPr>
            <w:tcW w:w="2076" w:type="dxa"/>
            <w:vAlign w:val="center"/>
          </w:tcPr>
          <w:p w14:paraId="14D11963">
            <w:pPr>
              <w:snapToGrid w:val="0"/>
              <w:spacing w:line="276" w:lineRule="auto"/>
              <w:jc w:val="center"/>
            </w:pPr>
            <w:r>
              <w:rPr>
                <w:rFonts w:hint="eastAsia"/>
              </w:rPr>
              <w:t>信用查询</w:t>
            </w:r>
          </w:p>
        </w:tc>
        <w:tc>
          <w:tcPr>
            <w:tcW w:w="7035" w:type="dxa"/>
            <w:vAlign w:val="center"/>
          </w:tcPr>
          <w:p w14:paraId="6811347A">
            <w:pPr>
              <w:snapToGrid w:val="0"/>
              <w:spacing w:line="276" w:lineRule="auto"/>
              <w:rPr>
                <w:bCs/>
              </w:rPr>
            </w:pPr>
            <w:r>
              <w:t>截至投标截止时间前1个工作日17:00（北京时间），投标人未被列入“信用中国”网(</w:t>
            </w:r>
            <w:r>
              <w:fldChar w:fldCharType="begin"/>
            </w:r>
            <w:r>
              <w:instrText xml:space="preserve"> HYPERLINK "http://www.creditchina.gov.cn/" </w:instrText>
            </w:r>
            <w:r>
              <w:fldChar w:fldCharType="separate"/>
            </w:r>
            <w:r>
              <w:t>www.creditchina.gov.cn</w:t>
            </w:r>
            <w:r>
              <w:fldChar w:fldCharType="end"/>
            </w:r>
            <w:r>
              <w:t>)和“中国政府采购网”（www.ccgp.gov.cn）失信被执行人、重大税收违法案件当事人名单、政府采购严重违法失信行为记录名单的</w:t>
            </w:r>
            <w:r>
              <w:rPr>
                <w:rFonts w:hint="eastAsia"/>
              </w:rPr>
              <w:t>。</w:t>
            </w:r>
            <w:r>
              <w:t>（由招标代理机构将查询网页打印保存</w:t>
            </w:r>
            <w:r>
              <w:rPr>
                <w:rFonts w:hint="eastAsia"/>
              </w:rPr>
              <w:t>；</w:t>
            </w:r>
            <w:r>
              <w:rPr>
                <w:rFonts w:hint="eastAsia" w:ascii="宋体"/>
              </w:rPr>
              <w:t>联合体成员任意一方存在不良信用记录的，视同联合体存在不良信用记录</w:t>
            </w:r>
            <w:r>
              <w:rPr>
                <w:rFonts w:hint="eastAsia"/>
              </w:rPr>
              <w:t>）。</w:t>
            </w:r>
          </w:p>
        </w:tc>
      </w:tr>
      <w:tr w14:paraId="026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70EB1A1E">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15</w:t>
            </w:r>
          </w:p>
        </w:tc>
        <w:tc>
          <w:tcPr>
            <w:tcW w:w="2076" w:type="dxa"/>
            <w:vAlign w:val="center"/>
          </w:tcPr>
          <w:p w14:paraId="7F350290">
            <w:pPr>
              <w:snapToGrid w:val="0"/>
              <w:spacing w:line="276" w:lineRule="auto"/>
              <w:jc w:val="center"/>
            </w:pPr>
            <w:r>
              <w:rPr>
                <w:kern w:val="2"/>
              </w:rPr>
              <w:t>电子招投标的说明</w:t>
            </w:r>
          </w:p>
        </w:tc>
        <w:tc>
          <w:tcPr>
            <w:tcW w:w="7035" w:type="dxa"/>
            <w:vAlign w:val="center"/>
          </w:tcPr>
          <w:p w14:paraId="1B9B2135">
            <w:pPr>
              <w:rPr>
                <w:kern w:val="2"/>
              </w:rPr>
            </w:pPr>
            <w:r>
              <w:rPr>
                <w:kern w:val="2"/>
              </w:rPr>
              <w:t>1.</w:t>
            </w:r>
            <w:r>
              <w:rPr>
                <w:rFonts w:hint="eastAsia" w:ascii="宋体" w:hAnsi="宋体" w:cs="宋体"/>
                <w:snapToGrid w:val="0"/>
              </w:rPr>
              <w:t>本项目通过“政府采购云平台（www.zcygov.cn）”实行在线投标响应（电子投标）</w:t>
            </w:r>
            <w:r>
              <w:rPr>
                <w:kern w:val="2"/>
              </w:rPr>
              <w:t>，不接受纸质投标文件</w:t>
            </w:r>
            <w:r>
              <w:rPr>
                <w:rFonts w:hint="eastAsia"/>
                <w:kern w:val="2"/>
              </w:rPr>
              <w:t>。</w:t>
            </w:r>
          </w:p>
          <w:p w14:paraId="071953BF">
            <w:pPr>
              <w:rPr>
                <w:kern w:val="2"/>
              </w:rPr>
            </w:pPr>
            <w:r>
              <w:rPr>
                <w:kern w:val="2"/>
              </w:rPr>
              <w:t>2.</w:t>
            </w:r>
            <w:r>
              <w:rPr>
                <w:rFonts w:hint="eastAsia" w:ascii="宋体" w:hAnsi="宋体" w:cs="宋体"/>
                <w:snapToGrid w:val="0"/>
              </w:rPr>
              <w:t>电子投标文件是指通过“政采云电子交易客户端”完成投标文件编制后生成并加密的数据电文形式的电子加密投标文件。投标人应先安装“政采云电子交易客户端”，并按照本招标文件和“政府采购云平台”的要求，通过“政采云电子交易客户端”编制并加密投标文件。</w:t>
            </w:r>
            <w:r>
              <w:rPr>
                <w:kern w:val="2"/>
              </w:rPr>
              <w:t>具体操作指南：详见政采云平台“服务中心-帮助文档-项目采购-操作流程-电子招投标-政府采购项目电子交易管理操作指南-供应商”。</w:t>
            </w:r>
          </w:p>
          <w:p w14:paraId="33EB2C94">
            <w:pPr>
              <w:pStyle w:val="2"/>
              <w:ind w:left="0" w:leftChars="0" w:firstLine="0" w:firstLineChars="0"/>
            </w:pPr>
            <w:r>
              <w:rPr>
                <w:rFonts w:hint="eastAsia"/>
              </w:rPr>
              <w:t>3.</w:t>
            </w:r>
            <w:r>
              <w:t xml:space="preserve"> 投标人在电子交易平台传输递交投标文件后，可自行选择</w:t>
            </w:r>
            <w:r>
              <w:rPr>
                <w:rFonts w:hint="eastAsia"/>
              </w:rPr>
              <w:t>是否递交备份电子投标文件</w:t>
            </w:r>
            <w:r>
              <w:t>。</w:t>
            </w:r>
            <w:r>
              <w:rPr>
                <w:kern w:val="2"/>
              </w:rPr>
              <w:t>“电子备份投标文件”为非强制性要求，但如遇投标人未按时解密成功且未提供“电子备份投标文件”的，作投标无效处理，后果由投标人自负。</w:t>
            </w:r>
          </w:p>
          <w:p w14:paraId="76F78104">
            <w:pPr>
              <w:pStyle w:val="2"/>
              <w:ind w:left="0" w:leftChars="0" w:firstLine="0" w:firstLineChars="0"/>
            </w:pPr>
            <w:r>
              <w:rPr>
                <w:kern w:val="2"/>
              </w:rPr>
              <w:t>备</w:t>
            </w:r>
            <w:r>
              <w:t>份</w:t>
            </w:r>
            <w:r>
              <w:rPr>
                <w:rFonts w:hint="eastAsia"/>
              </w:rPr>
              <w:t>投标</w:t>
            </w:r>
            <w:r>
              <w:t>文件</w:t>
            </w:r>
            <w:r>
              <w:rPr>
                <w:rFonts w:hint="eastAsia"/>
              </w:rPr>
              <w:t>发送</w:t>
            </w:r>
            <w:r>
              <w:t>截止时间：与</w:t>
            </w:r>
            <w:r>
              <w:rPr>
                <w:rFonts w:hint="eastAsia"/>
              </w:rPr>
              <w:t>投标文件递交截止</w:t>
            </w:r>
            <w:r>
              <w:t>时间一致</w:t>
            </w:r>
          </w:p>
          <w:p w14:paraId="5E68E9ED">
            <w:pPr>
              <w:pStyle w:val="2"/>
              <w:ind w:left="0" w:leftChars="0" w:firstLine="0" w:firstLineChars="0"/>
            </w:pPr>
            <w:r>
              <w:t>备份</w:t>
            </w:r>
            <w:r>
              <w:rPr>
                <w:rFonts w:hint="eastAsia"/>
              </w:rPr>
              <w:t>投标</w:t>
            </w:r>
            <w:r>
              <w:t>文件</w:t>
            </w:r>
            <w:r>
              <w:rPr>
                <w:rFonts w:hint="eastAsia"/>
              </w:rPr>
              <w:t>递交方式</w:t>
            </w:r>
            <w:r>
              <w:t>：</w:t>
            </w:r>
            <w:r>
              <w:rPr>
                <w:rFonts w:hint="eastAsia"/>
              </w:rPr>
              <w:t>电子文件加密后邮件发送至代理公司邮箱（</w:t>
            </w:r>
            <w:r>
              <w:fldChar w:fldCharType="begin"/>
            </w:r>
            <w:r>
              <w:instrText xml:space="preserve"> HYPERLINK "mailto:jhygzb@qq.com" </w:instrText>
            </w:r>
            <w:r>
              <w:fldChar w:fldCharType="separate"/>
            </w:r>
            <w:r>
              <w:rPr>
                <w:rFonts w:hint="eastAsia"/>
              </w:rPr>
              <w:t>j</w:t>
            </w:r>
            <w:r>
              <w:t>hygzb</w:t>
            </w:r>
            <w:r>
              <w:rPr>
                <w:rFonts w:hint="eastAsia"/>
              </w:rPr>
              <w:t>@</w:t>
            </w:r>
            <w:r>
              <w:t>qq.com</w:t>
            </w:r>
            <w:r>
              <w:fldChar w:fldCharType="end"/>
            </w:r>
            <w:r>
              <w:rPr>
                <w:rFonts w:hint="eastAsia"/>
              </w:rPr>
              <w:t>）。</w:t>
            </w:r>
          </w:p>
          <w:p w14:paraId="7BAB638C">
            <w:pPr>
              <w:pStyle w:val="2"/>
              <w:ind w:left="0" w:leftChars="0" w:firstLine="0" w:firstLineChars="0"/>
            </w:pPr>
            <w:r>
              <w:rPr>
                <w:rFonts w:hint="eastAsia"/>
              </w:rPr>
              <w:t>不符合上述制作、递交时间及递交方式的备份投标文件将被视为无效的</w:t>
            </w:r>
            <w:r>
              <w:t>备份</w:t>
            </w:r>
            <w:r>
              <w:rPr>
                <w:rFonts w:hint="eastAsia"/>
              </w:rPr>
              <w:t>投标</w:t>
            </w:r>
            <w:r>
              <w:t>文件</w:t>
            </w:r>
            <w:r>
              <w:rPr>
                <w:rFonts w:hint="eastAsia"/>
              </w:rPr>
              <w:t>。</w:t>
            </w:r>
          </w:p>
          <w:p w14:paraId="25A0BDE8">
            <w:pPr>
              <w:snapToGrid w:val="0"/>
              <w:spacing w:line="276" w:lineRule="auto"/>
              <w:rPr>
                <w:bCs/>
              </w:rPr>
            </w:pPr>
            <w:r>
              <w:rPr>
                <w:rFonts w:hint="eastAsia"/>
              </w:rPr>
              <w:t>4.</w:t>
            </w:r>
            <w:r>
              <w:t>若对项目采购电子交易系统</w:t>
            </w:r>
            <w:r>
              <w:rPr>
                <w:kern w:val="2"/>
              </w:rPr>
              <w:t>操作有疑问，可登录政采云（https://www.zcygov.cn/），点击右侧咨询小采，获取采小蜜智能服务管家帮助，或拨打政采云服务热线95763获取热线服务帮助。CA问题联系电话（人工）：汇信CA 400-888-4636；天谷CA 400-087-8198。</w:t>
            </w:r>
          </w:p>
        </w:tc>
      </w:tr>
      <w:tr w14:paraId="0DAB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49875B2D">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16</w:t>
            </w:r>
          </w:p>
        </w:tc>
        <w:tc>
          <w:tcPr>
            <w:tcW w:w="2076" w:type="dxa"/>
            <w:vAlign w:val="center"/>
          </w:tcPr>
          <w:p w14:paraId="25BED4A8">
            <w:pPr>
              <w:widowControl w:val="0"/>
              <w:adjustRightInd w:val="0"/>
              <w:snapToGrid w:val="0"/>
              <w:spacing w:line="276" w:lineRule="auto"/>
              <w:jc w:val="center"/>
            </w:pPr>
            <w:r>
              <w:t>中小企业信用融资</w:t>
            </w:r>
          </w:p>
        </w:tc>
        <w:tc>
          <w:tcPr>
            <w:tcW w:w="7035" w:type="dxa"/>
            <w:vAlign w:val="center"/>
          </w:tcPr>
          <w:p w14:paraId="6649BE27">
            <w:pPr>
              <w:autoSpaceDE w:val="0"/>
              <w:autoSpaceDN w:val="0"/>
              <w:adjustRightInd w:val="0"/>
              <w:spacing w:line="276" w:lineRule="auto"/>
            </w:pPr>
            <w: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0D56331C">
            <w:pPr>
              <w:autoSpaceDE w:val="0"/>
              <w:autoSpaceDN w:val="0"/>
              <w:adjustRightInd w:val="0"/>
              <w:spacing w:line="276" w:lineRule="auto"/>
            </w:pPr>
            <w:r>
              <w:t>为扩大政府采购金融服务面，除政采云网上金融服务合作银行外，金华市范围增加线下合作银行两家，具体信息如下：</w:t>
            </w:r>
          </w:p>
          <w:p w14:paraId="6C2F8A2D">
            <w:pPr>
              <w:autoSpaceDE w:val="0"/>
              <w:autoSpaceDN w:val="0"/>
              <w:adjustRightInd w:val="0"/>
              <w:spacing w:line="276" w:lineRule="auto"/>
            </w:pPr>
            <w:r>
              <w:t>金华银行文创支行  联系人：</w:t>
            </w:r>
            <w:r>
              <w:rPr>
                <w:rFonts w:hint="eastAsia"/>
              </w:rPr>
              <w:t>姜峰</w:t>
            </w:r>
          </w:p>
          <w:p w14:paraId="0AA2BE21">
            <w:pPr>
              <w:autoSpaceDE w:val="0"/>
              <w:autoSpaceDN w:val="0"/>
              <w:adjustRightInd w:val="0"/>
              <w:spacing w:line="276" w:lineRule="auto"/>
            </w:pPr>
            <w:r>
              <w:t>联系电话：</w:t>
            </w:r>
            <w:r>
              <w:rPr>
                <w:rFonts w:hint="eastAsia"/>
              </w:rPr>
              <w:t>13905792828</w:t>
            </w:r>
            <w:r>
              <w:t xml:space="preserve">   0579-82479020</w:t>
            </w:r>
          </w:p>
          <w:p w14:paraId="63768E8E">
            <w:pPr>
              <w:autoSpaceDE w:val="0"/>
              <w:autoSpaceDN w:val="0"/>
              <w:adjustRightInd w:val="0"/>
              <w:spacing w:line="276" w:lineRule="auto"/>
            </w:pPr>
            <w:r>
              <w:t xml:space="preserve">浙商银行金华分行   联系人：朱晨祥 </w:t>
            </w:r>
          </w:p>
          <w:p w14:paraId="4282E648">
            <w:pPr>
              <w:autoSpaceDE w:val="0"/>
              <w:autoSpaceDN w:val="0"/>
              <w:adjustRightInd w:val="0"/>
              <w:spacing w:line="276" w:lineRule="auto"/>
            </w:pPr>
            <w:r>
              <w:t>联系电话：15857978811    0579-82999581</w:t>
            </w:r>
          </w:p>
        </w:tc>
      </w:tr>
      <w:tr w14:paraId="13E7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vAlign w:val="center"/>
          </w:tcPr>
          <w:p w14:paraId="3133A21D">
            <w:pPr>
              <w:pStyle w:val="26"/>
              <w:widowControl w:val="0"/>
              <w:adjustRightInd w:val="0"/>
              <w:snapToGrid w:val="0"/>
              <w:spacing w:before="120" w:beforeLines="50" w:after="120" w:afterLines="50" w:line="276" w:lineRule="auto"/>
              <w:jc w:val="center"/>
              <w:rPr>
                <w:rFonts w:ascii="Times New Roman" w:hAnsi="Times New Roman"/>
              </w:rPr>
            </w:pPr>
            <w:r>
              <w:rPr>
                <w:rFonts w:hint="eastAsia" w:ascii="Times New Roman" w:hAnsi="Times New Roman"/>
              </w:rPr>
              <w:t>17</w:t>
            </w:r>
          </w:p>
        </w:tc>
        <w:tc>
          <w:tcPr>
            <w:tcW w:w="2076" w:type="dxa"/>
            <w:vAlign w:val="center"/>
          </w:tcPr>
          <w:p w14:paraId="79F7CF82">
            <w:pPr>
              <w:widowControl w:val="0"/>
              <w:adjustRightInd w:val="0"/>
              <w:snapToGrid w:val="0"/>
              <w:spacing w:line="276" w:lineRule="auto"/>
              <w:jc w:val="center"/>
            </w:pPr>
            <w:r>
              <w:t>特别说明</w:t>
            </w:r>
          </w:p>
        </w:tc>
        <w:tc>
          <w:tcPr>
            <w:tcW w:w="7035" w:type="dxa"/>
            <w:vAlign w:val="center"/>
          </w:tcPr>
          <w:p w14:paraId="30DB40EB">
            <w:pPr>
              <w:widowControl w:val="0"/>
              <w:adjustRightInd w:val="0"/>
              <w:snapToGrid w:val="0"/>
              <w:spacing w:line="276" w:lineRule="auto"/>
            </w:pPr>
            <w:r>
              <w:t>当招标文件中的内容与前附表规定不一致时，以前附表规定为准。</w:t>
            </w:r>
          </w:p>
        </w:tc>
      </w:tr>
    </w:tbl>
    <w:p w14:paraId="04E3A4F9">
      <w:pPr>
        <w:spacing w:line="360" w:lineRule="auto"/>
        <w:rPr>
          <w:rFonts w:hint="eastAsia" w:ascii="宋体" w:hAnsi="宋体"/>
        </w:rPr>
        <w:sectPr>
          <w:pgSz w:w="11906" w:h="16838"/>
          <w:pgMar w:top="1258" w:right="1286" w:bottom="1361" w:left="1620" w:header="709" w:footer="971" w:gutter="0"/>
          <w:cols w:space="720" w:num="1"/>
          <w:docGrid w:linePitch="360" w:charSpace="0"/>
        </w:sectPr>
      </w:pPr>
    </w:p>
    <w:p w14:paraId="2333F043">
      <w:pPr>
        <w:pStyle w:val="6"/>
        <w:spacing w:before="120" w:after="240" w:line="240" w:lineRule="auto"/>
        <w:jc w:val="center"/>
        <w:rPr>
          <w:rFonts w:hint="eastAsia" w:ascii="宋体" w:hAnsi="宋体"/>
        </w:rPr>
      </w:pPr>
      <w:bookmarkStart w:id="48" w:name="_Toc93668161"/>
      <w:r>
        <w:rPr>
          <w:rFonts w:hint="eastAsia" w:ascii="宋体" w:hAnsi="宋体"/>
        </w:rPr>
        <w:t xml:space="preserve">第三章 </w:t>
      </w:r>
      <w:r>
        <w:rPr>
          <w:rFonts w:ascii="宋体" w:hAnsi="宋体"/>
        </w:rPr>
        <w:t xml:space="preserve"> 项目技术规范和要求</w:t>
      </w:r>
      <w:bookmarkEnd w:id="48"/>
    </w:p>
    <w:p w14:paraId="78591D97">
      <w:pPr>
        <w:spacing w:line="420" w:lineRule="exact"/>
        <w:rPr>
          <w:b/>
          <w:bCs/>
        </w:rPr>
      </w:pPr>
      <w:bookmarkStart w:id="49" w:name="_Hlk93996520"/>
      <w:r>
        <w:rPr>
          <w:rFonts w:hint="eastAsia"/>
          <w:b/>
          <w:bCs/>
        </w:rPr>
        <w:t>一、项目概况</w:t>
      </w:r>
    </w:p>
    <w:p w14:paraId="72C76D82">
      <w:pPr>
        <w:spacing w:line="420" w:lineRule="exact"/>
        <w:ind w:firstLine="480" w:firstLineChars="200"/>
      </w:pPr>
      <w:r>
        <w:rPr>
          <w:rFonts w:hint="eastAsia"/>
        </w:rPr>
        <w:t>（一）本项目为金华市中心医院、金华市妇幼保健院减重医用食品配送项目的采购，中标人分别与金华市中心医院、金华市妇幼保健院签订合同。</w:t>
      </w:r>
    </w:p>
    <w:p w14:paraId="6D96D3CF">
      <w:pPr>
        <w:spacing w:line="420" w:lineRule="exact"/>
        <w:ind w:firstLine="480" w:firstLineChars="200"/>
      </w:pPr>
      <w:r>
        <w:rPr>
          <w:rFonts w:hint="eastAsia"/>
        </w:rPr>
        <w:t>（二）投标人参加报名后，必须就招标文件中全部货物进行投标。</w:t>
      </w:r>
    </w:p>
    <w:p w14:paraId="6593CCF7">
      <w:pPr>
        <w:spacing w:line="420" w:lineRule="exact"/>
        <w:ind w:firstLine="480" w:firstLineChars="200"/>
      </w:pPr>
      <w:r>
        <w:rPr>
          <w:rFonts w:hint="eastAsia"/>
        </w:rPr>
        <w:t>（三）中标人应当严格按照《采购清单及技术参数要求》中的规格、型号、种类及要求进行供货，结算根据实际采购数量和中标单价结算货款。</w:t>
      </w:r>
    </w:p>
    <w:p w14:paraId="585D03E2">
      <w:pPr>
        <w:spacing w:line="360" w:lineRule="auto"/>
        <w:ind w:firstLine="480" w:firstLineChars="200"/>
      </w:pPr>
      <w:r>
        <w:rPr>
          <w:rFonts w:hint="eastAsia"/>
        </w:rPr>
        <w:t>（四）投标人在取得中标资格后，须负责各项货物的制作、加工、包装、检测、运输、售后服务等一切与投标货物有关的附随服务工作。本次采购的项目为 “交钥匙工程”。</w:t>
      </w:r>
    </w:p>
    <w:p w14:paraId="016E9BF8">
      <w:pPr>
        <w:spacing w:line="360" w:lineRule="auto"/>
        <w:rPr>
          <w:b/>
          <w:bCs/>
        </w:rPr>
      </w:pPr>
      <w:r>
        <w:rPr>
          <w:rFonts w:hint="eastAsia"/>
          <w:b/>
          <w:bCs/>
        </w:rPr>
        <w:t>二、采购清单</w:t>
      </w:r>
    </w:p>
    <w:p w14:paraId="328DF813">
      <w:pPr>
        <w:spacing w:line="360" w:lineRule="auto"/>
        <w:rPr>
          <w:rStyle w:val="52"/>
          <w:kern w:val="2"/>
        </w:rPr>
      </w:pPr>
      <w:r>
        <w:rPr>
          <w:rStyle w:val="52"/>
          <w:rFonts w:hint="eastAsia"/>
          <w:kern w:val="2"/>
        </w:rPr>
        <w:t>备注：</w:t>
      </w:r>
      <w:r>
        <w:rPr>
          <w:rStyle w:val="52"/>
          <w:rFonts w:hint="eastAsia"/>
          <w:b/>
          <w:bCs/>
          <w:kern w:val="2"/>
        </w:rPr>
        <w:t>1、技术参数以提供的样品外包装为准。</w:t>
      </w:r>
    </w:p>
    <w:p w14:paraId="362E8260">
      <w:pPr>
        <w:spacing w:line="360" w:lineRule="auto"/>
        <w:rPr>
          <w:rStyle w:val="52"/>
          <w:b/>
          <w:bCs/>
          <w:color w:val="FF0000"/>
          <w:kern w:val="2"/>
        </w:rPr>
      </w:pPr>
      <w:r>
        <w:rPr>
          <w:rStyle w:val="52"/>
          <w:rFonts w:hint="eastAsia"/>
          <w:b/>
          <w:bCs/>
          <w:color w:val="FF0000"/>
          <w:kern w:val="2"/>
        </w:rPr>
        <w:t>2、</w:t>
      </w:r>
      <w:r>
        <w:rPr>
          <w:rStyle w:val="52"/>
          <w:b/>
          <w:bCs/>
          <w:color w:val="FF0000"/>
          <w:kern w:val="2"/>
        </w:rPr>
        <w:t>减重益生菌</w:t>
      </w:r>
      <w:r>
        <w:rPr>
          <w:rStyle w:val="52"/>
          <w:rFonts w:hint="eastAsia"/>
          <w:b/>
          <w:bCs/>
          <w:color w:val="FF0000"/>
          <w:kern w:val="2"/>
        </w:rPr>
        <w:t>中含B420为正偏离，其他核心参数均不视为正偏离。</w:t>
      </w:r>
    </w:p>
    <w:tbl>
      <w:tblPr>
        <w:tblStyle w:val="44"/>
        <w:tblW w:w="149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70"/>
        <w:gridCol w:w="2361"/>
        <w:gridCol w:w="1440"/>
        <w:gridCol w:w="1470"/>
        <w:gridCol w:w="1342"/>
        <w:gridCol w:w="1274"/>
        <w:gridCol w:w="1413"/>
        <w:gridCol w:w="1407"/>
        <w:gridCol w:w="6"/>
        <w:gridCol w:w="1407"/>
        <w:gridCol w:w="6"/>
      </w:tblGrid>
      <w:tr w14:paraId="1C9E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760" w:type="dxa"/>
            <w:noWrap/>
            <w:vAlign w:val="center"/>
          </w:tcPr>
          <w:p w14:paraId="573678B9">
            <w:pPr>
              <w:jc w:val="center"/>
              <w:rPr>
                <w:sz w:val="21"/>
                <w:szCs w:val="21"/>
              </w:rPr>
            </w:pPr>
            <w:r>
              <w:rPr>
                <w:sz w:val="21"/>
                <w:szCs w:val="21"/>
              </w:rPr>
              <w:t>编号</w:t>
            </w:r>
          </w:p>
        </w:tc>
        <w:tc>
          <w:tcPr>
            <w:tcW w:w="2070" w:type="dxa"/>
            <w:noWrap/>
            <w:vAlign w:val="center"/>
          </w:tcPr>
          <w:p w14:paraId="48161CE4">
            <w:pPr>
              <w:jc w:val="center"/>
              <w:rPr>
                <w:sz w:val="21"/>
                <w:szCs w:val="21"/>
              </w:rPr>
            </w:pPr>
            <w:r>
              <w:rPr>
                <w:sz w:val="21"/>
                <w:szCs w:val="21"/>
              </w:rPr>
              <w:t>名称</w:t>
            </w:r>
          </w:p>
        </w:tc>
        <w:tc>
          <w:tcPr>
            <w:tcW w:w="9300" w:type="dxa"/>
            <w:gridSpan w:val="6"/>
            <w:noWrap/>
            <w:vAlign w:val="center"/>
          </w:tcPr>
          <w:p w14:paraId="6B92850F">
            <w:pPr>
              <w:jc w:val="center"/>
              <w:rPr>
                <w:sz w:val="21"/>
                <w:szCs w:val="21"/>
              </w:rPr>
            </w:pPr>
            <w:r>
              <w:rPr>
                <w:rFonts w:hint="eastAsia"/>
                <w:sz w:val="21"/>
                <w:szCs w:val="21"/>
              </w:rPr>
              <w:t>核心</w:t>
            </w:r>
            <w:r>
              <w:rPr>
                <w:sz w:val="21"/>
                <w:szCs w:val="21"/>
              </w:rPr>
              <w:t>参数（每100g）</w:t>
            </w:r>
          </w:p>
        </w:tc>
        <w:tc>
          <w:tcPr>
            <w:tcW w:w="1413" w:type="dxa"/>
            <w:gridSpan w:val="2"/>
            <w:noWrap/>
            <w:vAlign w:val="center"/>
          </w:tcPr>
          <w:p w14:paraId="1232F988">
            <w:pPr>
              <w:jc w:val="center"/>
              <w:rPr>
                <w:sz w:val="21"/>
                <w:szCs w:val="21"/>
              </w:rPr>
            </w:pPr>
            <w:r>
              <w:rPr>
                <w:sz w:val="21"/>
                <w:szCs w:val="21"/>
              </w:rPr>
              <w:t>规格</w:t>
            </w:r>
            <w:r>
              <w:rPr>
                <w:rFonts w:hint="eastAsia"/>
                <w:sz w:val="21"/>
                <w:szCs w:val="21"/>
              </w:rPr>
              <w:t>及其他</w:t>
            </w:r>
          </w:p>
        </w:tc>
        <w:tc>
          <w:tcPr>
            <w:tcW w:w="1413" w:type="dxa"/>
            <w:gridSpan w:val="2"/>
            <w:noWrap/>
            <w:vAlign w:val="center"/>
          </w:tcPr>
          <w:p w14:paraId="32D0B170">
            <w:pPr>
              <w:jc w:val="center"/>
              <w:rPr>
                <w:sz w:val="21"/>
                <w:szCs w:val="21"/>
              </w:rPr>
            </w:pPr>
            <w:r>
              <w:rPr>
                <w:rFonts w:hint="eastAsia"/>
                <w:sz w:val="21"/>
                <w:szCs w:val="21"/>
              </w:rPr>
              <w:t>备注：</w:t>
            </w:r>
          </w:p>
        </w:tc>
      </w:tr>
      <w:tr w14:paraId="649B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32AF1CCB">
            <w:pPr>
              <w:jc w:val="center"/>
              <w:rPr>
                <w:sz w:val="21"/>
                <w:szCs w:val="21"/>
              </w:rPr>
            </w:pPr>
            <w:r>
              <w:rPr>
                <w:sz w:val="21"/>
                <w:szCs w:val="21"/>
              </w:rPr>
              <w:t>1</w:t>
            </w:r>
          </w:p>
        </w:tc>
        <w:tc>
          <w:tcPr>
            <w:tcW w:w="2070" w:type="dxa"/>
            <w:noWrap/>
            <w:vAlign w:val="center"/>
          </w:tcPr>
          <w:p w14:paraId="58681493">
            <w:pPr>
              <w:rPr>
                <w:sz w:val="21"/>
                <w:szCs w:val="21"/>
              </w:rPr>
            </w:pPr>
            <w:r>
              <w:rPr>
                <w:sz w:val="21"/>
                <w:szCs w:val="21"/>
              </w:rPr>
              <w:t>替餐营养棒系列</w:t>
            </w:r>
          </w:p>
        </w:tc>
        <w:tc>
          <w:tcPr>
            <w:tcW w:w="2361" w:type="dxa"/>
            <w:noWrap/>
            <w:vAlign w:val="center"/>
          </w:tcPr>
          <w:p w14:paraId="3AA98CA4">
            <w:pPr>
              <w:rPr>
                <w:sz w:val="21"/>
                <w:szCs w:val="21"/>
              </w:rPr>
            </w:pPr>
          </w:p>
        </w:tc>
        <w:tc>
          <w:tcPr>
            <w:tcW w:w="1440" w:type="dxa"/>
            <w:noWrap/>
            <w:vAlign w:val="center"/>
          </w:tcPr>
          <w:p w14:paraId="5AB80CFB">
            <w:pPr>
              <w:rPr>
                <w:sz w:val="21"/>
                <w:szCs w:val="21"/>
              </w:rPr>
            </w:pPr>
          </w:p>
        </w:tc>
        <w:tc>
          <w:tcPr>
            <w:tcW w:w="1470" w:type="dxa"/>
            <w:noWrap/>
            <w:vAlign w:val="center"/>
          </w:tcPr>
          <w:p w14:paraId="07AB1B4B">
            <w:pPr>
              <w:rPr>
                <w:sz w:val="21"/>
                <w:szCs w:val="21"/>
              </w:rPr>
            </w:pPr>
          </w:p>
        </w:tc>
        <w:tc>
          <w:tcPr>
            <w:tcW w:w="1342" w:type="dxa"/>
            <w:noWrap/>
            <w:vAlign w:val="center"/>
          </w:tcPr>
          <w:p w14:paraId="577C3053">
            <w:pPr>
              <w:rPr>
                <w:sz w:val="21"/>
                <w:szCs w:val="21"/>
              </w:rPr>
            </w:pPr>
          </w:p>
        </w:tc>
        <w:tc>
          <w:tcPr>
            <w:tcW w:w="1274" w:type="dxa"/>
            <w:noWrap/>
            <w:vAlign w:val="center"/>
          </w:tcPr>
          <w:p w14:paraId="0F057A4E">
            <w:pPr>
              <w:rPr>
                <w:sz w:val="21"/>
                <w:szCs w:val="21"/>
              </w:rPr>
            </w:pPr>
          </w:p>
        </w:tc>
        <w:tc>
          <w:tcPr>
            <w:tcW w:w="1413" w:type="dxa"/>
            <w:noWrap/>
            <w:vAlign w:val="center"/>
          </w:tcPr>
          <w:p w14:paraId="5AB5F85A">
            <w:pPr>
              <w:rPr>
                <w:sz w:val="21"/>
                <w:szCs w:val="21"/>
              </w:rPr>
            </w:pPr>
          </w:p>
        </w:tc>
        <w:tc>
          <w:tcPr>
            <w:tcW w:w="1407" w:type="dxa"/>
            <w:noWrap/>
            <w:vAlign w:val="center"/>
          </w:tcPr>
          <w:p w14:paraId="1A8158B9">
            <w:pPr>
              <w:rPr>
                <w:sz w:val="21"/>
                <w:szCs w:val="21"/>
              </w:rPr>
            </w:pPr>
          </w:p>
        </w:tc>
        <w:tc>
          <w:tcPr>
            <w:tcW w:w="1413" w:type="dxa"/>
            <w:gridSpan w:val="2"/>
            <w:noWrap/>
            <w:vAlign w:val="center"/>
          </w:tcPr>
          <w:p w14:paraId="2CDAE848">
            <w:pPr>
              <w:rPr>
                <w:sz w:val="21"/>
                <w:szCs w:val="21"/>
              </w:rPr>
            </w:pPr>
          </w:p>
        </w:tc>
      </w:tr>
      <w:tr w14:paraId="634B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5CFF055E">
            <w:pPr>
              <w:jc w:val="center"/>
              <w:rPr>
                <w:sz w:val="21"/>
                <w:szCs w:val="21"/>
              </w:rPr>
            </w:pPr>
            <w:r>
              <w:rPr>
                <w:rFonts w:hint="eastAsia"/>
                <w:sz w:val="21"/>
                <w:szCs w:val="21"/>
              </w:rPr>
              <w:t>1.1</w:t>
            </w:r>
          </w:p>
        </w:tc>
        <w:tc>
          <w:tcPr>
            <w:tcW w:w="2070" w:type="dxa"/>
            <w:noWrap/>
            <w:vAlign w:val="center"/>
          </w:tcPr>
          <w:p w14:paraId="1EB96A61">
            <w:pPr>
              <w:rPr>
                <w:sz w:val="21"/>
                <w:szCs w:val="21"/>
              </w:rPr>
            </w:pPr>
            <w:r>
              <w:rPr>
                <w:sz w:val="21"/>
                <w:szCs w:val="21"/>
              </w:rPr>
              <w:t>营养棒系列I（高蛋白型）</w:t>
            </w:r>
          </w:p>
        </w:tc>
        <w:tc>
          <w:tcPr>
            <w:tcW w:w="2361" w:type="dxa"/>
            <w:noWrap/>
            <w:vAlign w:val="center"/>
          </w:tcPr>
          <w:p w14:paraId="6ECF0CD9">
            <w:pPr>
              <w:rPr>
                <w:sz w:val="21"/>
                <w:szCs w:val="21"/>
              </w:rPr>
            </w:pPr>
            <w:r>
              <w:rPr>
                <w:rFonts w:hint="eastAsia" w:cs="Times New Roman"/>
                <w:color w:val="000000"/>
                <w:sz w:val="21"/>
                <w:szCs w:val="21"/>
                <w:lang w:val="en-US" w:eastAsia="zh-CN"/>
              </w:rPr>
              <w:t>★</w:t>
            </w:r>
            <w:r>
              <w:rPr>
                <w:sz w:val="21"/>
                <w:szCs w:val="21"/>
              </w:rPr>
              <w:t>能量320-365kcal</w:t>
            </w:r>
          </w:p>
        </w:tc>
        <w:tc>
          <w:tcPr>
            <w:tcW w:w="1440" w:type="dxa"/>
            <w:noWrap/>
            <w:vAlign w:val="center"/>
          </w:tcPr>
          <w:p w14:paraId="6E4DB5D6">
            <w:pPr>
              <w:rPr>
                <w:sz w:val="21"/>
                <w:szCs w:val="21"/>
              </w:rPr>
            </w:pPr>
            <w:r>
              <w:rPr>
                <w:rFonts w:hint="eastAsia" w:cs="Times New Roman"/>
                <w:color w:val="000000"/>
                <w:sz w:val="21"/>
                <w:szCs w:val="21"/>
                <w:lang w:val="en-US" w:eastAsia="zh-CN"/>
              </w:rPr>
              <w:t>★</w:t>
            </w:r>
            <w:r>
              <w:rPr>
                <w:sz w:val="21"/>
                <w:szCs w:val="21"/>
              </w:rPr>
              <w:t>碳水化合物≤34g</w:t>
            </w:r>
          </w:p>
        </w:tc>
        <w:tc>
          <w:tcPr>
            <w:tcW w:w="1470" w:type="dxa"/>
            <w:noWrap/>
            <w:vAlign w:val="center"/>
          </w:tcPr>
          <w:p w14:paraId="2FA4664B">
            <w:pPr>
              <w:rPr>
                <w:sz w:val="21"/>
                <w:szCs w:val="21"/>
              </w:rPr>
            </w:pPr>
            <w:r>
              <w:rPr>
                <w:rFonts w:hint="eastAsia" w:cs="Times New Roman"/>
                <w:color w:val="000000"/>
                <w:sz w:val="21"/>
                <w:szCs w:val="21"/>
                <w:lang w:val="en-US" w:eastAsia="zh-CN"/>
              </w:rPr>
              <w:t>★</w:t>
            </w:r>
            <w:r>
              <w:rPr>
                <w:sz w:val="21"/>
                <w:szCs w:val="21"/>
              </w:rPr>
              <w:t>蛋白质30-39g</w:t>
            </w:r>
          </w:p>
        </w:tc>
        <w:tc>
          <w:tcPr>
            <w:tcW w:w="1342" w:type="dxa"/>
            <w:noWrap/>
            <w:vAlign w:val="center"/>
          </w:tcPr>
          <w:p w14:paraId="42AD34AD">
            <w:pPr>
              <w:rPr>
                <w:sz w:val="21"/>
                <w:szCs w:val="21"/>
              </w:rPr>
            </w:pPr>
            <w:r>
              <w:rPr>
                <w:rFonts w:hint="eastAsia" w:cs="Times New Roman"/>
                <w:color w:val="000000"/>
                <w:sz w:val="21"/>
                <w:szCs w:val="21"/>
                <w:lang w:val="en-US" w:eastAsia="zh-CN"/>
              </w:rPr>
              <w:t>★</w:t>
            </w:r>
            <w:r>
              <w:rPr>
                <w:sz w:val="21"/>
                <w:szCs w:val="21"/>
              </w:rPr>
              <w:t>脂肪5-15g</w:t>
            </w:r>
          </w:p>
        </w:tc>
        <w:tc>
          <w:tcPr>
            <w:tcW w:w="1274" w:type="dxa"/>
            <w:noWrap/>
            <w:vAlign w:val="center"/>
          </w:tcPr>
          <w:p w14:paraId="718737DD">
            <w:pPr>
              <w:rPr>
                <w:sz w:val="21"/>
                <w:szCs w:val="21"/>
              </w:rPr>
            </w:pPr>
            <w:r>
              <w:rPr>
                <w:rFonts w:hint="eastAsia" w:cs="Times New Roman"/>
                <w:color w:val="000000"/>
                <w:sz w:val="21"/>
                <w:szCs w:val="21"/>
                <w:lang w:val="en-US" w:eastAsia="zh-CN"/>
              </w:rPr>
              <w:t>★</w:t>
            </w:r>
            <w:r>
              <w:rPr>
                <w:sz w:val="21"/>
                <w:szCs w:val="21"/>
              </w:rPr>
              <w:t>膳食纤维11-17g</w:t>
            </w:r>
          </w:p>
        </w:tc>
        <w:tc>
          <w:tcPr>
            <w:tcW w:w="1413" w:type="dxa"/>
            <w:noWrap/>
            <w:vAlign w:val="center"/>
          </w:tcPr>
          <w:p w14:paraId="5E331AE5">
            <w:pPr>
              <w:rPr>
                <w:sz w:val="21"/>
                <w:szCs w:val="21"/>
              </w:rPr>
            </w:pPr>
          </w:p>
        </w:tc>
        <w:tc>
          <w:tcPr>
            <w:tcW w:w="1407" w:type="dxa"/>
            <w:noWrap/>
            <w:vAlign w:val="center"/>
          </w:tcPr>
          <w:p w14:paraId="1B80D545">
            <w:pPr>
              <w:rPr>
                <w:sz w:val="21"/>
                <w:szCs w:val="21"/>
              </w:rPr>
            </w:pPr>
            <w:r>
              <w:rPr>
                <w:sz w:val="21"/>
                <w:szCs w:val="21"/>
              </w:rPr>
              <w:t>25-50g/包</w:t>
            </w:r>
          </w:p>
        </w:tc>
        <w:tc>
          <w:tcPr>
            <w:tcW w:w="1413" w:type="dxa"/>
            <w:gridSpan w:val="2"/>
            <w:noWrap/>
            <w:vAlign w:val="center"/>
          </w:tcPr>
          <w:p w14:paraId="5108BE5F">
            <w:pPr>
              <w:rPr>
                <w:sz w:val="21"/>
                <w:szCs w:val="21"/>
              </w:rPr>
            </w:pPr>
          </w:p>
        </w:tc>
      </w:tr>
      <w:tr w14:paraId="3290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0EBB08CF">
            <w:pPr>
              <w:jc w:val="center"/>
              <w:rPr>
                <w:sz w:val="21"/>
                <w:szCs w:val="21"/>
              </w:rPr>
            </w:pPr>
            <w:r>
              <w:rPr>
                <w:rFonts w:hint="eastAsia"/>
                <w:sz w:val="21"/>
                <w:szCs w:val="21"/>
              </w:rPr>
              <w:t>1.2</w:t>
            </w:r>
          </w:p>
        </w:tc>
        <w:tc>
          <w:tcPr>
            <w:tcW w:w="2070" w:type="dxa"/>
            <w:noWrap/>
            <w:vAlign w:val="center"/>
          </w:tcPr>
          <w:p w14:paraId="2F7DDA38">
            <w:pPr>
              <w:rPr>
                <w:sz w:val="21"/>
                <w:szCs w:val="21"/>
              </w:rPr>
            </w:pPr>
            <w:r>
              <w:rPr>
                <w:sz w:val="21"/>
                <w:szCs w:val="21"/>
              </w:rPr>
              <w:t>营养棒系列II（均衡型）</w:t>
            </w:r>
          </w:p>
        </w:tc>
        <w:tc>
          <w:tcPr>
            <w:tcW w:w="2361" w:type="dxa"/>
            <w:noWrap/>
            <w:vAlign w:val="center"/>
          </w:tcPr>
          <w:p w14:paraId="7F03BBBC">
            <w:pPr>
              <w:rPr>
                <w:sz w:val="21"/>
                <w:szCs w:val="21"/>
              </w:rPr>
            </w:pPr>
            <w:r>
              <w:rPr>
                <w:rFonts w:hint="eastAsia" w:cs="Times New Roman"/>
                <w:color w:val="000000"/>
                <w:sz w:val="21"/>
                <w:szCs w:val="21"/>
                <w:lang w:val="en-US" w:eastAsia="zh-CN"/>
              </w:rPr>
              <w:t>★</w:t>
            </w:r>
            <w:r>
              <w:rPr>
                <w:sz w:val="21"/>
                <w:szCs w:val="21"/>
              </w:rPr>
              <w:t>能量335-375kcal</w:t>
            </w:r>
          </w:p>
        </w:tc>
        <w:tc>
          <w:tcPr>
            <w:tcW w:w="1440" w:type="dxa"/>
            <w:noWrap/>
            <w:vAlign w:val="center"/>
          </w:tcPr>
          <w:p w14:paraId="72204A1A">
            <w:pPr>
              <w:rPr>
                <w:sz w:val="21"/>
                <w:szCs w:val="21"/>
              </w:rPr>
            </w:pPr>
            <w:r>
              <w:rPr>
                <w:rFonts w:hint="eastAsia" w:cs="Times New Roman"/>
                <w:color w:val="000000"/>
                <w:sz w:val="21"/>
                <w:szCs w:val="21"/>
                <w:lang w:val="en-US" w:eastAsia="zh-CN"/>
              </w:rPr>
              <w:t>★</w:t>
            </w:r>
            <w:r>
              <w:rPr>
                <w:sz w:val="21"/>
                <w:szCs w:val="21"/>
              </w:rPr>
              <w:t>碳水化合物28-35g</w:t>
            </w:r>
          </w:p>
        </w:tc>
        <w:tc>
          <w:tcPr>
            <w:tcW w:w="1470" w:type="dxa"/>
            <w:noWrap/>
            <w:vAlign w:val="center"/>
          </w:tcPr>
          <w:p w14:paraId="3527D2AE">
            <w:pPr>
              <w:rPr>
                <w:sz w:val="21"/>
                <w:szCs w:val="21"/>
              </w:rPr>
            </w:pPr>
            <w:r>
              <w:rPr>
                <w:rFonts w:hint="eastAsia" w:cs="Times New Roman"/>
                <w:color w:val="000000"/>
                <w:sz w:val="21"/>
                <w:szCs w:val="21"/>
                <w:lang w:val="en-US" w:eastAsia="zh-CN"/>
              </w:rPr>
              <w:t>★</w:t>
            </w:r>
            <w:r>
              <w:rPr>
                <w:sz w:val="21"/>
                <w:szCs w:val="21"/>
              </w:rPr>
              <w:t>蛋白质28-3</w:t>
            </w:r>
            <w:r>
              <w:rPr>
                <w:rFonts w:hint="eastAsia"/>
                <w:sz w:val="21"/>
                <w:szCs w:val="21"/>
              </w:rPr>
              <w:t>3</w:t>
            </w:r>
            <w:r>
              <w:rPr>
                <w:sz w:val="21"/>
                <w:szCs w:val="21"/>
              </w:rPr>
              <w:t>g</w:t>
            </w:r>
          </w:p>
        </w:tc>
        <w:tc>
          <w:tcPr>
            <w:tcW w:w="1342" w:type="dxa"/>
            <w:noWrap/>
            <w:vAlign w:val="center"/>
          </w:tcPr>
          <w:p w14:paraId="0B69D667">
            <w:pPr>
              <w:rPr>
                <w:sz w:val="21"/>
                <w:szCs w:val="21"/>
              </w:rPr>
            </w:pPr>
            <w:r>
              <w:rPr>
                <w:rFonts w:hint="eastAsia" w:cs="Times New Roman"/>
                <w:color w:val="000000"/>
                <w:sz w:val="21"/>
                <w:szCs w:val="21"/>
                <w:lang w:val="en-US" w:eastAsia="zh-CN"/>
              </w:rPr>
              <w:t>★</w:t>
            </w:r>
            <w:r>
              <w:rPr>
                <w:sz w:val="21"/>
                <w:szCs w:val="21"/>
              </w:rPr>
              <w:t>脂肪10-16g</w:t>
            </w:r>
          </w:p>
        </w:tc>
        <w:tc>
          <w:tcPr>
            <w:tcW w:w="1274" w:type="dxa"/>
            <w:noWrap/>
            <w:vAlign w:val="center"/>
          </w:tcPr>
          <w:p w14:paraId="13CE9683">
            <w:pPr>
              <w:rPr>
                <w:sz w:val="21"/>
                <w:szCs w:val="21"/>
              </w:rPr>
            </w:pPr>
            <w:r>
              <w:rPr>
                <w:rFonts w:hint="eastAsia" w:cs="Times New Roman"/>
                <w:color w:val="000000"/>
                <w:sz w:val="21"/>
                <w:szCs w:val="21"/>
                <w:lang w:val="en-US" w:eastAsia="zh-CN"/>
              </w:rPr>
              <w:t>★</w:t>
            </w:r>
            <w:r>
              <w:rPr>
                <w:sz w:val="21"/>
                <w:szCs w:val="21"/>
              </w:rPr>
              <w:t>膳食纤维4.5-14g</w:t>
            </w:r>
          </w:p>
        </w:tc>
        <w:tc>
          <w:tcPr>
            <w:tcW w:w="1413" w:type="dxa"/>
            <w:noWrap/>
            <w:vAlign w:val="center"/>
          </w:tcPr>
          <w:p w14:paraId="385A48B3">
            <w:pPr>
              <w:rPr>
                <w:sz w:val="21"/>
                <w:szCs w:val="21"/>
              </w:rPr>
            </w:pPr>
          </w:p>
        </w:tc>
        <w:tc>
          <w:tcPr>
            <w:tcW w:w="1407" w:type="dxa"/>
            <w:noWrap/>
            <w:vAlign w:val="center"/>
          </w:tcPr>
          <w:p w14:paraId="448A5AA7">
            <w:pPr>
              <w:rPr>
                <w:sz w:val="21"/>
                <w:szCs w:val="21"/>
              </w:rPr>
            </w:pPr>
            <w:r>
              <w:rPr>
                <w:sz w:val="21"/>
                <w:szCs w:val="21"/>
              </w:rPr>
              <w:t>25-60g/包</w:t>
            </w:r>
          </w:p>
        </w:tc>
        <w:tc>
          <w:tcPr>
            <w:tcW w:w="1413" w:type="dxa"/>
            <w:gridSpan w:val="2"/>
            <w:noWrap/>
            <w:vAlign w:val="center"/>
          </w:tcPr>
          <w:p w14:paraId="66D93AAE">
            <w:pPr>
              <w:rPr>
                <w:sz w:val="21"/>
                <w:szCs w:val="21"/>
              </w:rPr>
            </w:pPr>
          </w:p>
        </w:tc>
      </w:tr>
      <w:tr w14:paraId="44A5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2A239A9D">
            <w:pPr>
              <w:jc w:val="center"/>
              <w:rPr>
                <w:sz w:val="21"/>
                <w:szCs w:val="21"/>
              </w:rPr>
            </w:pPr>
            <w:r>
              <w:rPr>
                <w:sz w:val="21"/>
                <w:szCs w:val="21"/>
              </w:rPr>
              <w:t>2</w:t>
            </w:r>
          </w:p>
        </w:tc>
        <w:tc>
          <w:tcPr>
            <w:tcW w:w="2070" w:type="dxa"/>
            <w:noWrap/>
            <w:vAlign w:val="center"/>
          </w:tcPr>
          <w:p w14:paraId="3BF7CCCA">
            <w:pPr>
              <w:rPr>
                <w:sz w:val="21"/>
                <w:szCs w:val="21"/>
              </w:rPr>
            </w:pPr>
            <w:r>
              <w:rPr>
                <w:sz w:val="21"/>
                <w:szCs w:val="21"/>
              </w:rPr>
              <w:t>蛋白奶昔</w:t>
            </w:r>
          </w:p>
        </w:tc>
        <w:tc>
          <w:tcPr>
            <w:tcW w:w="2361" w:type="dxa"/>
            <w:noWrap/>
            <w:vAlign w:val="center"/>
          </w:tcPr>
          <w:p w14:paraId="041312D8">
            <w:pPr>
              <w:rPr>
                <w:sz w:val="21"/>
                <w:szCs w:val="21"/>
              </w:rPr>
            </w:pPr>
            <w:r>
              <w:rPr>
                <w:rFonts w:hint="eastAsia" w:cs="Times New Roman"/>
                <w:color w:val="000000"/>
                <w:sz w:val="21"/>
                <w:szCs w:val="21"/>
                <w:lang w:val="en-US" w:eastAsia="zh-CN"/>
              </w:rPr>
              <w:t>★</w:t>
            </w:r>
            <w:r>
              <w:rPr>
                <w:sz w:val="21"/>
                <w:szCs w:val="21"/>
              </w:rPr>
              <w:t>能量330-390Kcal</w:t>
            </w:r>
          </w:p>
        </w:tc>
        <w:tc>
          <w:tcPr>
            <w:tcW w:w="1440" w:type="dxa"/>
            <w:noWrap/>
            <w:vAlign w:val="center"/>
          </w:tcPr>
          <w:p w14:paraId="7B433404">
            <w:pPr>
              <w:rPr>
                <w:sz w:val="21"/>
                <w:szCs w:val="21"/>
              </w:rPr>
            </w:pPr>
            <w:r>
              <w:rPr>
                <w:rFonts w:hint="eastAsia" w:cs="Times New Roman"/>
                <w:color w:val="000000"/>
                <w:sz w:val="21"/>
                <w:szCs w:val="21"/>
                <w:lang w:val="en-US" w:eastAsia="zh-CN"/>
              </w:rPr>
              <w:t>★</w:t>
            </w:r>
            <w:r>
              <w:rPr>
                <w:sz w:val="21"/>
                <w:szCs w:val="21"/>
              </w:rPr>
              <w:t>碳水化合物≤40g</w:t>
            </w:r>
          </w:p>
        </w:tc>
        <w:tc>
          <w:tcPr>
            <w:tcW w:w="1470" w:type="dxa"/>
            <w:noWrap/>
            <w:vAlign w:val="center"/>
          </w:tcPr>
          <w:p w14:paraId="1E9C707A">
            <w:pPr>
              <w:rPr>
                <w:sz w:val="21"/>
                <w:szCs w:val="21"/>
              </w:rPr>
            </w:pPr>
            <w:r>
              <w:rPr>
                <w:rFonts w:hint="eastAsia" w:cs="Times New Roman"/>
                <w:color w:val="000000"/>
                <w:sz w:val="21"/>
                <w:szCs w:val="21"/>
                <w:lang w:val="en-US" w:eastAsia="zh-CN"/>
              </w:rPr>
              <w:t>★</w:t>
            </w:r>
            <w:r>
              <w:rPr>
                <w:sz w:val="21"/>
                <w:szCs w:val="21"/>
              </w:rPr>
              <w:t>蛋白质20-55g</w:t>
            </w:r>
          </w:p>
        </w:tc>
        <w:tc>
          <w:tcPr>
            <w:tcW w:w="1342" w:type="dxa"/>
            <w:noWrap/>
            <w:vAlign w:val="center"/>
          </w:tcPr>
          <w:p w14:paraId="2F8C1799">
            <w:pPr>
              <w:rPr>
                <w:sz w:val="21"/>
                <w:szCs w:val="21"/>
              </w:rPr>
            </w:pPr>
            <w:r>
              <w:rPr>
                <w:rFonts w:hint="eastAsia" w:cs="Times New Roman"/>
                <w:color w:val="000000"/>
                <w:sz w:val="21"/>
                <w:szCs w:val="21"/>
                <w:lang w:val="en-US" w:eastAsia="zh-CN"/>
              </w:rPr>
              <w:t>★</w:t>
            </w:r>
            <w:r>
              <w:rPr>
                <w:sz w:val="21"/>
                <w:szCs w:val="21"/>
              </w:rPr>
              <w:t>脂肪≤10g</w:t>
            </w:r>
          </w:p>
        </w:tc>
        <w:tc>
          <w:tcPr>
            <w:tcW w:w="1274" w:type="dxa"/>
            <w:noWrap/>
            <w:vAlign w:val="center"/>
          </w:tcPr>
          <w:p w14:paraId="5A26BE8A">
            <w:pPr>
              <w:rPr>
                <w:sz w:val="21"/>
                <w:szCs w:val="21"/>
              </w:rPr>
            </w:pPr>
            <w:r>
              <w:rPr>
                <w:rFonts w:hint="eastAsia" w:cs="Times New Roman"/>
                <w:color w:val="000000"/>
                <w:sz w:val="21"/>
                <w:szCs w:val="21"/>
                <w:lang w:val="en-US" w:eastAsia="zh-CN"/>
              </w:rPr>
              <w:t>★</w:t>
            </w:r>
            <w:r>
              <w:rPr>
                <w:sz w:val="21"/>
                <w:szCs w:val="21"/>
              </w:rPr>
              <w:t>膳食纤维≥5.5g</w:t>
            </w:r>
          </w:p>
        </w:tc>
        <w:tc>
          <w:tcPr>
            <w:tcW w:w="1413" w:type="dxa"/>
            <w:noWrap/>
            <w:vAlign w:val="center"/>
          </w:tcPr>
          <w:p w14:paraId="2E4E2F52">
            <w:pPr>
              <w:rPr>
                <w:sz w:val="21"/>
                <w:szCs w:val="21"/>
              </w:rPr>
            </w:pPr>
          </w:p>
        </w:tc>
        <w:tc>
          <w:tcPr>
            <w:tcW w:w="1407" w:type="dxa"/>
            <w:noWrap/>
            <w:vAlign w:val="center"/>
          </w:tcPr>
          <w:p w14:paraId="1A58E52B">
            <w:pPr>
              <w:rPr>
                <w:sz w:val="21"/>
                <w:szCs w:val="21"/>
              </w:rPr>
            </w:pPr>
            <w:r>
              <w:rPr>
                <w:sz w:val="21"/>
                <w:szCs w:val="21"/>
              </w:rPr>
              <w:t>10-60g/包</w:t>
            </w:r>
          </w:p>
        </w:tc>
        <w:tc>
          <w:tcPr>
            <w:tcW w:w="1413" w:type="dxa"/>
            <w:gridSpan w:val="2"/>
            <w:noWrap/>
            <w:vAlign w:val="center"/>
          </w:tcPr>
          <w:p w14:paraId="6B8DE545">
            <w:pPr>
              <w:rPr>
                <w:sz w:val="21"/>
                <w:szCs w:val="21"/>
              </w:rPr>
            </w:pPr>
          </w:p>
        </w:tc>
      </w:tr>
      <w:tr w14:paraId="62FF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5532B9F4">
            <w:pPr>
              <w:jc w:val="center"/>
              <w:rPr>
                <w:sz w:val="21"/>
                <w:szCs w:val="21"/>
              </w:rPr>
            </w:pPr>
            <w:r>
              <w:rPr>
                <w:sz w:val="21"/>
                <w:szCs w:val="21"/>
              </w:rPr>
              <w:t>3</w:t>
            </w:r>
          </w:p>
        </w:tc>
        <w:tc>
          <w:tcPr>
            <w:tcW w:w="2070" w:type="dxa"/>
            <w:noWrap/>
            <w:vAlign w:val="center"/>
          </w:tcPr>
          <w:p w14:paraId="4A4C945F">
            <w:pPr>
              <w:rPr>
                <w:sz w:val="21"/>
                <w:szCs w:val="21"/>
              </w:rPr>
            </w:pPr>
            <w:r>
              <w:rPr>
                <w:sz w:val="21"/>
                <w:szCs w:val="21"/>
              </w:rPr>
              <w:t>能量阻断剂系列</w:t>
            </w:r>
          </w:p>
        </w:tc>
        <w:tc>
          <w:tcPr>
            <w:tcW w:w="2361" w:type="dxa"/>
            <w:noWrap/>
            <w:vAlign w:val="center"/>
          </w:tcPr>
          <w:p w14:paraId="292BBE65">
            <w:pPr>
              <w:rPr>
                <w:sz w:val="21"/>
                <w:szCs w:val="21"/>
              </w:rPr>
            </w:pPr>
          </w:p>
        </w:tc>
        <w:tc>
          <w:tcPr>
            <w:tcW w:w="1440" w:type="dxa"/>
            <w:noWrap/>
            <w:vAlign w:val="center"/>
          </w:tcPr>
          <w:p w14:paraId="25ED1D6E">
            <w:pPr>
              <w:rPr>
                <w:sz w:val="21"/>
                <w:szCs w:val="21"/>
              </w:rPr>
            </w:pPr>
          </w:p>
        </w:tc>
        <w:tc>
          <w:tcPr>
            <w:tcW w:w="1470" w:type="dxa"/>
            <w:noWrap/>
            <w:vAlign w:val="center"/>
          </w:tcPr>
          <w:p w14:paraId="4F95D3C4">
            <w:pPr>
              <w:rPr>
                <w:sz w:val="21"/>
                <w:szCs w:val="21"/>
              </w:rPr>
            </w:pPr>
          </w:p>
        </w:tc>
        <w:tc>
          <w:tcPr>
            <w:tcW w:w="1342" w:type="dxa"/>
            <w:noWrap/>
            <w:vAlign w:val="center"/>
          </w:tcPr>
          <w:p w14:paraId="1E93F8C7">
            <w:pPr>
              <w:rPr>
                <w:sz w:val="21"/>
                <w:szCs w:val="21"/>
              </w:rPr>
            </w:pPr>
          </w:p>
        </w:tc>
        <w:tc>
          <w:tcPr>
            <w:tcW w:w="1274" w:type="dxa"/>
            <w:noWrap/>
            <w:vAlign w:val="center"/>
          </w:tcPr>
          <w:p w14:paraId="6C378451">
            <w:pPr>
              <w:rPr>
                <w:sz w:val="21"/>
                <w:szCs w:val="21"/>
              </w:rPr>
            </w:pPr>
          </w:p>
        </w:tc>
        <w:tc>
          <w:tcPr>
            <w:tcW w:w="1413" w:type="dxa"/>
            <w:noWrap/>
            <w:vAlign w:val="center"/>
          </w:tcPr>
          <w:p w14:paraId="1162712B">
            <w:pPr>
              <w:rPr>
                <w:sz w:val="21"/>
                <w:szCs w:val="21"/>
              </w:rPr>
            </w:pPr>
          </w:p>
        </w:tc>
        <w:tc>
          <w:tcPr>
            <w:tcW w:w="1407" w:type="dxa"/>
            <w:noWrap/>
            <w:vAlign w:val="center"/>
          </w:tcPr>
          <w:p w14:paraId="460017F0">
            <w:pPr>
              <w:rPr>
                <w:sz w:val="21"/>
                <w:szCs w:val="21"/>
              </w:rPr>
            </w:pPr>
            <w:r>
              <w:rPr>
                <w:sz w:val="21"/>
                <w:szCs w:val="21"/>
              </w:rPr>
              <w:t>10-20g/包</w:t>
            </w:r>
          </w:p>
        </w:tc>
        <w:tc>
          <w:tcPr>
            <w:tcW w:w="1413" w:type="dxa"/>
            <w:gridSpan w:val="2"/>
            <w:noWrap/>
            <w:vAlign w:val="center"/>
          </w:tcPr>
          <w:p w14:paraId="66E9B66F">
            <w:pPr>
              <w:rPr>
                <w:sz w:val="21"/>
                <w:szCs w:val="21"/>
              </w:rPr>
            </w:pPr>
          </w:p>
        </w:tc>
      </w:tr>
      <w:tr w14:paraId="28F5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39DB80A6">
            <w:pPr>
              <w:jc w:val="center"/>
              <w:rPr>
                <w:sz w:val="21"/>
                <w:szCs w:val="21"/>
              </w:rPr>
            </w:pPr>
            <w:r>
              <w:rPr>
                <w:rFonts w:hint="eastAsia"/>
                <w:sz w:val="21"/>
                <w:szCs w:val="21"/>
              </w:rPr>
              <w:t>3.1</w:t>
            </w:r>
          </w:p>
        </w:tc>
        <w:tc>
          <w:tcPr>
            <w:tcW w:w="2070" w:type="dxa"/>
            <w:noWrap/>
            <w:vAlign w:val="center"/>
          </w:tcPr>
          <w:p w14:paraId="2EDDD42F">
            <w:pPr>
              <w:rPr>
                <w:sz w:val="21"/>
                <w:szCs w:val="21"/>
              </w:rPr>
            </w:pPr>
            <w:r>
              <w:rPr>
                <w:sz w:val="21"/>
                <w:szCs w:val="21"/>
              </w:rPr>
              <w:t>阻断剂系列I</w:t>
            </w:r>
            <w:r>
              <w:rPr>
                <w:rFonts w:hint="eastAsia"/>
                <w:sz w:val="21"/>
                <w:szCs w:val="21"/>
              </w:rPr>
              <w:t>（粉剂）</w:t>
            </w:r>
          </w:p>
        </w:tc>
        <w:tc>
          <w:tcPr>
            <w:tcW w:w="2361" w:type="dxa"/>
            <w:noWrap/>
            <w:vAlign w:val="center"/>
          </w:tcPr>
          <w:p w14:paraId="7888260D">
            <w:pPr>
              <w:rPr>
                <w:sz w:val="21"/>
                <w:szCs w:val="21"/>
              </w:rPr>
            </w:pPr>
            <w:r>
              <w:rPr>
                <w:rFonts w:hint="eastAsia" w:cs="Times New Roman"/>
                <w:color w:val="000000"/>
                <w:sz w:val="21"/>
                <w:szCs w:val="21"/>
                <w:lang w:val="en-US" w:eastAsia="zh-CN"/>
              </w:rPr>
              <w:t>★</w:t>
            </w:r>
            <w:r>
              <w:rPr>
                <w:sz w:val="21"/>
                <w:szCs w:val="21"/>
              </w:rPr>
              <w:t>能量＜430kcal，含白芸豆提取物、L-阿拉伯糖、抗性糊精</w:t>
            </w:r>
          </w:p>
        </w:tc>
        <w:tc>
          <w:tcPr>
            <w:tcW w:w="1440" w:type="dxa"/>
            <w:noWrap/>
            <w:vAlign w:val="center"/>
          </w:tcPr>
          <w:p w14:paraId="00B84AA0">
            <w:pPr>
              <w:rPr>
                <w:sz w:val="21"/>
                <w:szCs w:val="21"/>
              </w:rPr>
            </w:pPr>
          </w:p>
        </w:tc>
        <w:tc>
          <w:tcPr>
            <w:tcW w:w="1470" w:type="dxa"/>
            <w:noWrap/>
            <w:vAlign w:val="center"/>
          </w:tcPr>
          <w:p w14:paraId="7490E0C6">
            <w:pPr>
              <w:rPr>
                <w:sz w:val="21"/>
                <w:szCs w:val="21"/>
              </w:rPr>
            </w:pPr>
          </w:p>
        </w:tc>
        <w:tc>
          <w:tcPr>
            <w:tcW w:w="1342" w:type="dxa"/>
            <w:noWrap/>
            <w:vAlign w:val="center"/>
          </w:tcPr>
          <w:p w14:paraId="541D6EF6">
            <w:pPr>
              <w:rPr>
                <w:sz w:val="21"/>
                <w:szCs w:val="21"/>
              </w:rPr>
            </w:pPr>
          </w:p>
        </w:tc>
        <w:tc>
          <w:tcPr>
            <w:tcW w:w="1274" w:type="dxa"/>
            <w:noWrap/>
            <w:vAlign w:val="center"/>
          </w:tcPr>
          <w:p w14:paraId="42F66408">
            <w:pPr>
              <w:rPr>
                <w:sz w:val="21"/>
                <w:szCs w:val="21"/>
              </w:rPr>
            </w:pPr>
          </w:p>
        </w:tc>
        <w:tc>
          <w:tcPr>
            <w:tcW w:w="1413" w:type="dxa"/>
            <w:noWrap/>
            <w:vAlign w:val="center"/>
          </w:tcPr>
          <w:p w14:paraId="43A32A08">
            <w:pPr>
              <w:rPr>
                <w:sz w:val="21"/>
                <w:szCs w:val="21"/>
              </w:rPr>
            </w:pPr>
            <w:r>
              <w:rPr>
                <w:rFonts w:hint="eastAsia"/>
                <w:sz w:val="21"/>
                <w:szCs w:val="21"/>
              </w:rPr>
              <w:t>▲</w:t>
            </w:r>
            <w:r>
              <w:rPr>
                <w:sz w:val="21"/>
                <w:szCs w:val="21"/>
              </w:rPr>
              <w:t>粉剂</w:t>
            </w:r>
          </w:p>
        </w:tc>
        <w:tc>
          <w:tcPr>
            <w:tcW w:w="1407" w:type="dxa"/>
            <w:noWrap/>
            <w:vAlign w:val="center"/>
          </w:tcPr>
          <w:p w14:paraId="083A1482">
            <w:pPr>
              <w:rPr>
                <w:sz w:val="21"/>
                <w:szCs w:val="21"/>
              </w:rPr>
            </w:pPr>
            <w:r>
              <w:rPr>
                <w:sz w:val="21"/>
                <w:szCs w:val="21"/>
              </w:rPr>
              <w:t>≤20g/包</w:t>
            </w:r>
            <w:r>
              <w:rPr>
                <w:rFonts w:hint="eastAsia"/>
                <w:sz w:val="21"/>
                <w:szCs w:val="21"/>
              </w:rPr>
              <w:t>，</w:t>
            </w:r>
          </w:p>
        </w:tc>
        <w:tc>
          <w:tcPr>
            <w:tcW w:w="1413" w:type="dxa"/>
            <w:gridSpan w:val="2"/>
            <w:noWrap/>
            <w:vAlign w:val="center"/>
          </w:tcPr>
          <w:p w14:paraId="32BC8F1C">
            <w:pPr>
              <w:rPr>
                <w:sz w:val="21"/>
                <w:szCs w:val="21"/>
              </w:rPr>
            </w:pPr>
          </w:p>
        </w:tc>
      </w:tr>
      <w:tr w14:paraId="2EDA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623CA439">
            <w:pPr>
              <w:jc w:val="center"/>
              <w:rPr>
                <w:sz w:val="21"/>
                <w:szCs w:val="21"/>
              </w:rPr>
            </w:pPr>
            <w:r>
              <w:rPr>
                <w:rFonts w:hint="eastAsia"/>
                <w:sz w:val="21"/>
                <w:szCs w:val="21"/>
              </w:rPr>
              <w:t>3.2</w:t>
            </w:r>
          </w:p>
        </w:tc>
        <w:tc>
          <w:tcPr>
            <w:tcW w:w="2070" w:type="dxa"/>
            <w:noWrap/>
            <w:vAlign w:val="center"/>
          </w:tcPr>
          <w:p w14:paraId="781F3BBE">
            <w:pPr>
              <w:rPr>
                <w:sz w:val="21"/>
                <w:szCs w:val="21"/>
              </w:rPr>
            </w:pPr>
            <w:r>
              <w:rPr>
                <w:sz w:val="21"/>
                <w:szCs w:val="21"/>
              </w:rPr>
              <w:t>阻断剂系列II</w:t>
            </w:r>
            <w:r>
              <w:rPr>
                <w:rFonts w:hint="eastAsia"/>
                <w:sz w:val="21"/>
                <w:szCs w:val="21"/>
              </w:rPr>
              <w:t>（片剂）</w:t>
            </w:r>
          </w:p>
        </w:tc>
        <w:tc>
          <w:tcPr>
            <w:tcW w:w="2361" w:type="dxa"/>
            <w:noWrap/>
            <w:vAlign w:val="center"/>
          </w:tcPr>
          <w:p w14:paraId="3B122C95">
            <w:pPr>
              <w:rPr>
                <w:sz w:val="21"/>
                <w:szCs w:val="21"/>
              </w:rPr>
            </w:pPr>
            <w:r>
              <w:rPr>
                <w:rFonts w:hint="eastAsia" w:cs="Times New Roman"/>
                <w:color w:val="000000"/>
                <w:sz w:val="21"/>
                <w:szCs w:val="21"/>
                <w:lang w:val="en-US" w:eastAsia="zh-CN"/>
              </w:rPr>
              <w:t>★</w:t>
            </w:r>
            <w:r>
              <w:rPr>
                <w:sz w:val="21"/>
                <w:szCs w:val="21"/>
              </w:rPr>
              <w:t>能量＜400kcal，含白芸豆提取物、L-阿拉伯糖、抗性糊精</w:t>
            </w:r>
          </w:p>
        </w:tc>
        <w:tc>
          <w:tcPr>
            <w:tcW w:w="1440" w:type="dxa"/>
            <w:noWrap/>
            <w:vAlign w:val="center"/>
          </w:tcPr>
          <w:p w14:paraId="39A64094">
            <w:pPr>
              <w:rPr>
                <w:sz w:val="21"/>
                <w:szCs w:val="21"/>
              </w:rPr>
            </w:pPr>
          </w:p>
        </w:tc>
        <w:tc>
          <w:tcPr>
            <w:tcW w:w="1470" w:type="dxa"/>
            <w:noWrap/>
            <w:vAlign w:val="center"/>
          </w:tcPr>
          <w:p w14:paraId="0ED95385">
            <w:pPr>
              <w:rPr>
                <w:sz w:val="21"/>
                <w:szCs w:val="21"/>
              </w:rPr>
            </w:pPr>
          </w:p>
        </w:tc>
        <w:tc>
          <w:tcPr>
            <w:tcW w:w="1342" w:type="dxa"/>
            <w:noWrap/>
            <w:vAlign w:val="center"/>
          </w:tcPr>
          <w:p w14:paraId="0461C2CD">
            <w:pPr>
              <w:rPr>
                <w:sz w:val="21"/>
                <w:szCs w:val="21"/>
              </w:rPr>
            </w:pPr>
          </w:p>
        </w:tc>
        <w:tc>
          <w:tcPr>
            <w:tcW w:w="1274" w:type="dxa"/>
            <w:noWrap/>
            <w:vAlign w:val="center"/>
          </w:tcPr>
          <w:p w14:paraId="5D77D2A9">
            <w:pPr>
              <w:rPr>
                <w:sz w:val="21"/>
                <w:szCs w:val="21"/>
              </w:rPr>
            </w:pPr>
          </w:p>
        </w:tc>
        <w:tc>
          <w:tcPr>
            <w:tcW w:w="1413" w:type="dxa"/>
            <w:noWrap/>
            <w:vAlign w:val="center"/>
          </w:tcPr>
          <w:p w14:paraId="26B49A13">
            <w:pPr>
              <w:rPr>
                <w:sz w:val="21"/>
                <w:szCs w:val="21"/>
              </w:rPr>
            </w:pPr>
            <w:r>
              <w:rPr>
                <w:rFonts w:hint="eastAsia"/>
                <w:sz w:val="21"/>
                <w:szCs w:val="21"/>
              </w:rPr>
              <w:t>▲</w:t>
            </w:r>
            <w:r>
              <w:rPr>
                <w:sz w:val="21"/>
                <w:szCs w:val="21"/>
              </w:rPr>
              <w:t>片剂</w:t>
            </w:r>
            <w:r>
              <w:rPr>
                <w:rFonts w:hint="eastAsia"/>
                <w:sz w:val="21"/>
                <w:szCs w:val="21"/>
              </w:rPr>
              <w:t>或粒剂</w:t>
            </w:r>
            <w:r>
              <w:rPr>
                <w:sz w:val="21"/>
                <w:szCs w:val="21"/>
              </w:rPr>
              <w:t>，</w:t>
            </w:r>
          </w:p>
        </w:tc>
        <w:tc>
          <w:tcPr>
            <w:tcW w:w="1407" w:type="dxa"/>
            <w:noWrap/>
            <w:vAlign w:val="center"/>
          </w:tcPr>
          <w:p w14:paraId="4CB19CCC">
            <w:pPr>
              <w:rPr>
                <w:sz w:val="21"/>
                <w:szCs w:val="21"/>
              </w:rPr>
            </w:pPr>
            <w:r>
              <w:rPr>
                <w:sz w:val="21"/>
                <w:szCs w:val="21"/>
              </w:rPr>
              <w:t>≤20g/包</w:t>
            </w:r>
            <w:r>
              <w:rPr>
                <w:rFonts w:hint="eastAsia"/>
                <w:sz w:val="21"/>
                <w:szCs w:val="21"/>
              </w:rPr>
              <w:t>，</w:t>
            </w:r>
          </w:p>
        </w:tc>
        <w:tc>
          <w:tcPr>
            <w:tcW w:w="1413" w:type="dxa"/>
            <w:gridSpan w:val="2"/>
            <w:noWrap/>
            <w:vAlign w:val="center"/>
          </w:tcPr>
          <w:p w14:paraId="5D01A73E">
            <w:pPr>
              <w:rPr>
                <w:sz w:val="21"/>
                <w:szCs w:val="21"/>
              </w:rPr>
            </w:pPr>
          </w:p>
        </w:tc>
      </w:tr>
      <w:tr w14:paraId="4DE6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3B3B4A1B">
            <w:pPr>
              <w:jc w:val="center"/>
              <w:rPr>
                <w:sz w:val="21"/>
                <w:szCs w:val="21"/>
              </w:rPr>
            </w:pPr>
            <w:r>
              <w:rPr>
                <w:sz w:val="21"/>
                <w:szCs w:val="21"/>
              </w:rPr>
              <w:t>4</w:t>
            </w:r>
          </w:p>
        </w:tc>
        <w:tc>
          <w:tcPr>
            <w:tcW w:w="2070" w:type="dxa"/>
            <w:noWrap/>
            <w:vAlign w:val="center"/>
          </w:tcPr>
          <w:p w14:paraId="5B2240D7">
            <w:pPr>
              <w:rPr>
                <w:sz w:val="21"/>
                <w:szCs w:val="21"/>
              </w:rPr>
            </w:pPr>
            <w:r>
              <w:rPr>
                <w:sz w:val="21"/>
                <w:szCs w:val="21"/>
              </w:rPr>
              <w:t>减重益生菌</w:t>
            </w:r>
          </w:p>
        </w:tc>
        <w:tc>
          <w:tcPr>
            <w:tcW w:w="2361" w:type="dxa"/>
            <w:noWrap/>
            <w:vAlign w:val="center"/>
          </w:tcPr>
          <w:p w14:paraId="25C003D2">
            <w:pPr>
              <w:rPr>
                <w:sz w:val="21"/>
                <w:szCs w:val="21"/>
              </w:rPr>
            </w:pPr>
            <w:r>
              <w:rPr>
                <w:rFonts w:hint="eastAsia" w:cs="Times New Roman"/>
                <w:color w:val="000000"/>
                <w:sz w:val="21"/>
                <w:szCs w:val="21"/>
                <w:lang w:val="en-US" w:eastAsia="zh-CN"/>
              </w:rPr>
              <w:t>★</w:t>
            </w:r>
            <w:r>
              <w:rPr>
                <w:sz w:val="21"/>
                <w:szCs w:val="21"/>
              </w:rPr>
              <w:t>益生菌种类≥6种</w:t>
            </w:r>
          </w:p>
        </w:tc>
        <w:tc>
          <w:tcPr>
            <w:tcW w:w="1440" w:type="dxa"/>
            <w:noWrap/>
            <w:vAlign w:val="center"/>
          </w:tcPr>
          <w:p w14:paraId="5A4140C2">
            <w:pPr>
              <w:rPr>
                <w:sz w:val="21"/>
                <w:szCs w:val="21"/>
              </w:rPr>
            </w:pPr>
            <w:r>
              <w:rPr>
                <w:rFonts w:hint="eastAsia" w:cs="Times New Roman"/>
                <w:color w:val="000000"/>
                <w:sz w:val="21"/>
                <w:szCs w:val="21"/>
                <w:lang w:val="en-US" w:eastAsia="zh-CN"/>
              </w:rPr>
              <w:t>★</w:t>
            </w:r>
            <w:r>
              <w:rPr>
                <w:sz w:val="21"/>
                <w:szCs w:val="21"/>
              </w:rPr>
              <w:t>每克活菌数≥100（亿CFU）</w:t>
            </w:r>
          </w:p>
        </w:tc>
        <w:tc>
          <w:tcPr>
            <w:tcW w:w="1470" w:type="dxa"/>
            <w:noWrap/>
            <w:vAlign w:val="center"/>
          </w:tcPr>
          <w:p w14:paraId="0B02BF6E">
            <w:pPr>
              <w:rPr>
                <w:sz w:val="21"/>
                <w:szCs w:val="21"/>
              </w:rPr>
            </w:pPr>
          </w:p>
        </w:tc>
        <w:tc>
          <w:tcPr>
            <w:tcW w:w="1342" w:type="dxa"/>
            <w:noWrap/>
            <w:vAlign w:val="center"/>
          </w:tcPr>
          <w:p w14:paraId="691732D6">
            <w:pPr>
              <w:rPr>
                <w:sz w:val="21"/>
                <w:szCs w:val="21"/>
              </w:rPr>
            </w:pPr>
          </w:p>
        </w:tc>
        <w:tc>
          <w:tcPr>
            <w:tcW w:w="1274" w:type="dxa"/>
            <w:noWrap/>
            <w:vAlign w:val="center"/>
          </w:tcPr>
          <w:p w14:paraId="3E0BB3C0">
            <w:pPr>
              <w:rPr>
                <w:sz w:val="21"/>
                <w:szCs w:val="21"/>
              </w:rPr>
            </w:pPr>
          </w:p>
        </w:tc>
        <w:tc>
          <w:tcPr>
            <w:tcW w:w="1413" w:type="dxa"/>
            <w:noWrap/>
            <w:vAlign w:val="center"/>
          </w:tcPr>
          <w:p w14:paraId="5BDA8BEE">
            <w:pPr>
              <w:rPr>
                <w:sz w:val="21"/>
                <w:szCs w:val="21"/>
              </w:rPr>
            </w:pPr>
          </w:p>
        </w:tc>
        <w:tc>
          <w:tcPr>
            <w:tcW w:w="1407" w:type="dxa"/>
            <w:noWrap/>
            <w:vAlign w:val="center"/>
          </w:tcPr>
          <w:p w14:paraId="15425FBD">
            <w:pPr>
              <w:pStyle w:val="2"/>
              <w:ind w:left="0" w:leftChars="0" w:firstLine="0" w:firstLineChars="0"/>
            </w:pPr>
          </w:p>
        </w:tc>
        <w:tc>
          <w:tcPr>
            <w:tcW w:w="1413" w:type="dxa"/>
            <w:gridSpan w:val="2"/>
            <w:noWrap/>
            <w:vAlign w:val="center"/>
          </w:tcPr>
          <w:p w14:paraId="564807AE">
            <w:pPr>
              <w:rPr>
                <w:sz w:val="21"/>
                <w:szCs w:val="21"/>
              </w:rPr>
            </w:pPr>
            <w:r>
              <w:rPr>
                <w:rFonts w:hint="eastAsia"/>
                <w:sz w:val="21"/>
                <w:szCs w:val="21"/>
              </w:rPr>
              <w:t xml:space="preserve"> </w:t>
            </w:r>
          </w:p>
          <w:p w14:paraId="05EA0BF3">
            <w:pPr>
              <w:rPr>
                <w:sz w:val="21"/>
                <w:szCs w:val="21"/>
              </w:rPr>
            </w:pPr>
          </w:p>
        </w:tc>
      </w:tr>
      <w:tr w14:paraId="2EDC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shd w:val="clear" w:color="auto" w:fill="auto"/>
            <w:noWrap/>
            <w:vAlign w:val="center"/>
          </w:tcPr>
          <w:p w14:paraId="28214D94">
            <w:pPr>
              <w:jc w:val="center"/>
              <w:rPr>
                <w:sz w:val="21"/>
                <w:szCs w:val="21"/>
              </w:rPr>
            </w:pPr>
            <w:r>
              <w:rPr>
                <w:rFonts w:hint="eastAsia"/>
                <w:sz w:val="21"/>
                <w:szCs w:val="21"/>
              </w:rPr>
              <w:t>5</w:t>
            </w:r>
          </w:p>
        </w:tc>
        <w:tc>
          <w:tcPr>
            <w:tcW w:w="2070" w:type="dxa"/>
            <w:shd w:val="clear" w:color="auto" w:fill="auto"/>
            <w:noWrap/>
            <w:vAlign w:val="center"/>
          </w:tcPr>
          <w:p w14:paraId="0A8A3924">
            <w:pPr>
              <w:rPr>
                <w:sz w:val="21"/>
                <w:szCs w:val="21"/>
              </w:rPr>
            </w:pPr>
            <w:r>
              <w:rPr>
                <w:sz w:val="21"/>
                <w:szCs w:val="21"/>
              </w:rPr>
              <w:t>膳食纤维复合粉</w:t>
            </w:r>
          </w:p>
        </w:tc>
        <w:tc>
          <w:tcPr>
            <w:tcW w:w="2361" w:type="dxa"/>
            <w:shd w:val="clear" w:color="auto" w:fill="auto"/>
            <w:noWrap/>
            <w:vAlign w:val="center"/>
          </w:tcPr>
          <w:p w14:paraId="53F1FFF9">
            <w:pPr>
              <w:rPr>
                <w:sz w:val="21"/>
                <w:szCs w:val="21"/>
              </w:rPr>
            </w:pPr>
            <w:r>
              <w:rPr>
                <w:rFonts w:hint="eastAsia"/>
                <w:sz w:val="21"/>
                <w:szCs w:val="21"/>
              </w:rPr>
              <w:t>▲</w:t>
            </w:r>
            <w:r>
              <w:rPr>
                <w:sz w:val="21"/>
                <w:szCs w:val="21"/>
              </w:rPr>
              <w:t>能量180-210kcal</w:t>
            </w:r>
          </w:p>
        </w:tc>
        <w:tc>
          <w:tcPr>
            <w:tcW w:w="1440" w:type="dxa"/>
            <w:shd w:val="clear" w:color="auto" w:fill="auto"/>
            <w:noWrap/>
            <w:vAlign w:val="center"/>
          </w:tcPr>
          <w:p w14:paraId="5B0408C6">
            <w:pPr>
              <w:rPr>
                <w:sz w:val="21"/>
                <w:szCs w:val="21"/>
              </w:rPr>
            </w:pPr>
            <w:r>
              <w:rPr>
                <w:rFonts w:hint="eastAsia"/>
                <w:sz w:val="21"/>
                <w:szCs w:val="21"/>
              </w:rPr>
              <w:t>▲</w:t>
            </w:r>
            <w:r>
              <w:rPr>
                <w:sz w:val="21"/>
                <w:szCs w:val="21"/>
              </w:rPr>
              <w:t>碳水化合物≤9g</w:t>
            </w:r>
          </w:p>
        </w:tc>
        <w:tc>
          <w:tcPr>
            <w:tcW w:w="1470" w:type="dxa"/>
            <w:shd w:val="clear" w:color="auto" w:fill="auto"/>
            <w:noWrap/>
            <w:vAlign w:val="center"/>
          </w:tcPr>
          <w:p w14:paraId="59FA7E92">
            <w:pPr>
              <w:rPr>
                <w:sz w:val="21"/>
                <w:szCs w:val="21"/>
              </w:rPr>
            </w:pPr>
            <w:r>
              <w:rPr>
                <w:rFonts w:hint="eastAsia" w:cs="Times New Roman"/>
                <w:color w:val="000000"/>
                <w:sz w:val="21"/>
                <w:szCs w:val="21"/>
                <w:lang w:val="en-US" w:eastAsia="zh-CN"/>
              </w:rPr>
              <w:t>★</w:t>
            </w:r>
            <w:r>
              <w:rPr>
                <w:sz w:val="21"/>
                <w:szCs w:val="21"/>
              </w:rPr>
              <w:t>膳食纤维≥88g</w:t>
            </w:r>
          </w:p>
        </w:tc>
        <w:tc>
          <w:tcPr>
            <w:tcW w:w="1342" w:type="dxa"/>
            <w:noWrap/>
            <w:vAlign w:val="center"/>
          </w:tcPr>
          <w:p w14:paraId="490CF838">
            <w:pPr>
              <w:rPr>
                <w:sz w:val="21"/>
                <w:szCs w:val="21"/>
              </w:rPr>
            </w:pPr>
          </w:p>
        </w:tc>
        <w:tc>
          <w:tcPr>
            <w:tcW w:w="1274" w:type="dxa"/>
            <w:noWrap/>
            <w:vAlign w:val="center"/>
          </w:tcPr>
          <w:p w14:paraId="44F0C16B">
            <w:pPr>
              <w:rPr>
                <w:sz w:val="21"/>
                <w:szCs w:val="21"/>
              </w:rPr>
            </w:pPr>
          </w:p>
        </w:tc>
        <w:tc>
          <w:tcPr>
            <w:tcW w:w="1413" w:type="dxa"/>
            <w:noWrap/>
            <w:vAlign w:val="center"/>
          </w:tcPr>
          <w:p w14:paraId="0A8FB939">
            <w:pPr>
              <w:rPr>
                <w:sz w:val="21"/>
                <w:szCs w:val="21"/>
              </w:rPr>
            </w:pPr>
          </w:p>
        </w:tc>
        <w:tc>
          <w:tcPr>
            <w:tcW w:w="1407" w:type="dxa"/>
            <w:noWrap/>
            <w:vAlign w:val="center"/>
          </w:tcPr>
          <w:p w14:paraId="4B6BBDD1">
            <w:pPr>
              <w:rPr>
                <w:sz w:val="21"/>
                <w:szCs w:val="21"/>
              </w:rPr>
            </w:pPr>
          </w:p>
        </w:tc>
        <w:tc>
          <w:tcPr>
            <w:tcW w:w="1413" w:type="dxa"/>
            <w:gridSpan w:val="2"/>
            <w:noWrap/>
            <w:vAlign w:val="center"/>
          </w:tcPr>
          <w:p w14:paraId="02B59A1C">
            <w:pPr>
              <w:rPr>
                <w:sz w:val="21"/>
                <w:szCs w:val="21"/>
              </w:rPr>
            </w:pPr>
          </w:p>
        </w:tc>
      </w:tr>
      <w:tr w14:paraId="668D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shd w:val="clear" w:color="auto" w:fill="auto"/>
            <w:noWrap/>
            <w:vAlign w:val="center"/>
          </w:tcPr>
          <w:p w14:paraId="27EFCB0D">
            <w:pPr>
              <w:jc w:val="center"/>
              <w:rPr>
                <w:sz w:val="21"/>
                <w:szCs w:val="21"/>
              </w:rPr>
            </w:pPr>
            <w:r>
              <w:rPr>
                <w:rFonts w:hint="eastAsia"/>
                <w:sz w:val="21"/>
                <w:szCs w:val="21"/>
              </w:rPr>
              <w:t>6</w:t>
            </w:r>
          </w:p>
        </w:tc>
        <w:tc>
          <w:tcPr>
            <w:tcW w:w="2070" w:type="dxa"/>
            <w:shd w:val="clear" w:color="auto" w:fill="auto"/>
            <w:noWrap/>
            <w:vAlign w:val="center"/>
          </w:tcPr>
          <w:p w14:paraId="25E9A1F0">
            <w:pPr>
              <w:rPr>
                <w:sz w:val="21"/>
                <w:szCs w:val="21"/>
              </w:rPr>
            </w:pPr>
            <w:r>
              <w:rPr>
                <w:sz w:val="21"/>
                <w:szCs w:val="21"/>
              </w:rPr>
              <w:t>HMB复合粉</w:t>
            </w:r>
          </w:p>
        </w:tc>
        <w:tc>
          <w:tcPr>
            <w:tcW w:w="2361" w:type="dxa"/>
            <w:shd w:val="clear" w:color="auto" w:fill="auto"/>
            <w:noWrap/>
            <w:vAlign w:val="center"/>
          </w:tcPr>
          <w:p w14:paraId="2A8061D7">
            <w:pPr>
              <w:rPr>
                <w:sz w:val="21"/>
                <w:szCs w:val="21"/>
              </w:rPr>
            </w:pPr>
            <w:r>
              <w:rPr>
                <w:rFonts w:hint="eastAsia" w:cs="Times New Roman"/>
                <w:color w:val="000000"/>
                <w:sz w:val="21"/>
                <w:szCs w:val="21"/>
                <w:lang w:val="en-US" w:eastAsia="zh-CN"/>
              </w:rPr>
              <w:t>★</w:t>
            </w:r>
            <w:r>
              <w:rPr>
                <w:sz w:val="21"/>
                <w:szCs w:val="21"/>
              </w:rPr>
              <w:t>HMB≥5g</w:t>
            </w:r>
          </w:p>
        </w:tc>
        <w:tc>
          <w:tcPr>
            <w:tcW w:w="1440" w:type="dxa"/>
            <w:shd w:val="clear" w:color="auto" w:fill="auto"/>
            <w:noWrap/>
            <w:vAlign w:val="center"/>
          </w:tcPr>
          <w:p w14:paraId="19BB1F24">
            <w:pPr>
              <w:rPr>
                <w:sz w:val="21"/>
                <w:szCs w:val="21"/>
              </w:rPr>
            </w:pPr>
            <w:r>
              <w:rPr>
                <w:rFonts w:hint="eastAsia" w:cs="Times New Roman"/>
                <w:color w:val="000000"/>
                <w:sz w:val="21"/>
                <w:szCs w:val="21"/>
                <w:lang w:val="en-US" w:eastAsia="zh-CN"/>
              </w:rPr>
              <w:t>★</w:t>
            </w:r>
            <w:r>
              <w:rPr>
                <w:sz w:val="21"/>
                <w:szCs w:val="21"/>
              </w:rPr>
              <w:t>含有维生素D及钙元素</w:t>
            </w:r>
          </w:p>
        </w:tc>
        <w:tc>
          <w:tcPr>
            <w:tcW w:w="1470" w:type="dxa"/>
            <w:shd w:val="clear" w:color="auto" w:fill="auto"/>
            <w:noWrap/>
            <w:vAlign w:val="center"/>
          </w:tcPr>
          <w:p w14:paraId="1EECE861">
            <w:pPr>
              <w:rPr>
                <w:sz w:val="21"/>
                <w:szCs w:val="21"/>
              </w:rPr>
            </w:pPr>
          </w:p>
        </w:tc>
        <w:tc>
          <w:tcPr>
            <w:tcW w:w="1342" w:type="dxa"/>
            <w:shd w:val="clear" w:color="auto" w:fill="auto"/>
            <w:noWrap/>
            <w:vAlign w:val="center"/>
          </w:tcPr>
          <w:p w14:paraId="1BD7B89F">
            <w:pPr>
              <w:rPr>
                <w:sz w:val="21"/>
                <w:szCs w:val="21"/>
              </w:rPr>
            </w:pPr>
          </w:p>
        </w:tc>
        <w:tc>
          <w:tcPr>
            <w:tcW w:w="1274" w:type="dxa"/>
            <w:shd w:val="clear" w:color="auto" w:fill="auto"/>
            <w:noWrap/>
            <w:vAlign w:val="center"/>
          </w:tcPr>
          <w:p w14:paraId="21DE841D">
            <w:pPr>
              <w:rPr>
                <w:sz w:val="21"/>
                <w:szCs w:val="21"/>
              </w:rPr>
            </w:pPr>
          </w:p>
        </w:tc>
        <w:tc>
          <w:tcPr>
            <w:tcW w:w="1413" w:type="dxa"/>
            <w:shd w:val="clear" w:color="auto" w:fill="auto"/>
            <w:noWrap/>
            <w:vAlign w:val="center"/>
          </w:tcPr>
          <w:p w14:paraId="658CF644">
            <w:pPr>
              <w:rPr>
                <w:sz w:val="21"/>
                <w:szCs w:val="21"/>
              </w:rPr>
            </w:pPr>
          </w:p>
        </w:tc>
        <w:tc>
          <w:tcPr>
            <w:tcW w:w="1407" w:type="dxa"/>
            <w:shd w:val="clear" w:color="auto" w:fill="auto"/>
            <w:noWrap/>
            <w:vAlign w:val="center"/>
          </w:tcPr>
          <w:p w14:paraId="43A2A930">
            <w:pPr>
              <w:rPr>
                <w:sz w:val="21"/>
                <w:szCs w:val="21"/>
              </w:rPr>
            </w:pPr>
            <w:r>
              <w:rPr>
                <w:sz w:val="21"/>
                <w:szCs w:val="21"/>
              </w:rPr>
              <w:t>10-25g/袋</w:t>
            </w:r>
          </w:p>
        </w:tc>
        <w:tc>
          <w:tcPr>
            <w:tcW w:w="1413" w:type="dxa"/>
            <w:gridSpan w:val="2"/>
            <w:shd w:val="clear" w:color="auto" w:fill="auto"/>
            <w:noWrap/>
            <w:vAlign w:val="center"/>
          </w:tcPr>
          <w:p w14:paraId="0658598E">
            <w:pPr>
              <w:rPr>
                <w:sz w:val="21"/>
                <w:szCs w:val="21"/>
              </w:rPr>
            </w:pPr>
          </w:p>
        </w:tc>
      </w:tr>
      <w:tr w14:paraId="2FD0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300" w:hRule="atLeast"/>
        </w:trPr>
        <w:tc>
          <w:tcPr>
            <w:tcW w:w="760" w:type="dxa"/>
            <w:noWrap/>
            <w:vAlign w:val="center"/>
          </w:tcPr>
          <w:p w14:paraId="37979BE7">
            <w:pPr>
              <w:jc w:val="center"/>
              <w:rPr>
                <w:sz w:val="21"/>
                <w:szCs w:val="21"/>
              </w:rPr>
            </w:pPr>
          </w:p>
        </w:tc>
        <w:tc>
          <w:tcPr>
            <w:tcW w:w="2070" w:type="dxa"/>
            <w:noWrap/>
            <w:vAlign w:val="center"/>
          </w:tcPr>
          <w:p w14:paraId="7D984DA7">
            <w:pPr>
              <w:rPr>
                <w:sz w:val="21"/>
                <w:szCs w:val="21"/>
              </w:rPr>
            </w:pPr>
          </w:p>
        </w:tc>
        <w:tc>
          <w:tcPr>
            <w:tcW w:w="2361" w:type="dxa"/>
            <w:noWrap/>
            <w:vAlign w:val="center"/>
          </w:tcPr>
          <w:p w14:paraId="66FA335C">
            <w:pPr>
              <w:rPr>
                <w:sz w:val="21"/>
                <w:szCs w:val="21"/>
              </w:rPr>
            </w:pPr>
          </w:p>
        </w:tc>
        <w:tc>
          <w:tcPr>
            <w:tcW w:w="1440" w:type="dxa"/>
            <w:noWrap/>
            <w:vAlign w:val="center"/>
          </w:tcPr>
          <w:p w14:paraId="2307D3AE">
            <w:pPr>
              <w:rPr>
                <w:sz w:val="21"/>
                <w:szCs w:val="21"/>
              </w:rPr>
            </w:pPr>
          </w:p>
        </w:tc>
        <w:tc>
          <w:tcPr>
            <w:tcW w:w="1470" w:type="dxa"/>
            <w:noWrap/>
            <w:vAlign w:val="center"/>
          </w:tcPr>
          <w:p w14:paraId="2447788B">
            <w:pPr>
              <w:rPr>
                <w:sz w:val="21"/>
                <w:szCs w:val="21"/>
              </w:rPr>
            </w:pPr>
          </w:p>
        </w:tc>
        <w:tc>
          <w:tcPr>
            <w:tcW w:w="1342" w:type="dxa"/>
            <w:noWrap/>
            <w:vAlign w:val="center"/>
          </w:tcPr>
          <w:p w14:paraId="73043A57">
            <w:pPr>
              <w:rPr>
                <w:sz w:val="21"/>
                <w:szCs w:val="21"/>
              </w:rPr>
            </w:pPr>
          </w:p>
        </w:tc>
        <w:tc>
          <w:tcPr>
            <w:tcW w:w="1274" w:type="dxa"/>
            <w:noWrap/>
            <w:vAlign w:val="center"/>
          </w:tcPr>
          <w:p w14:paraId="7B855F25">
            <w:pPr>
              <w:rPr>
                <w:sz w:val="21"/>
                <w:szCs w:val="21"/>
              </w:rPr>
            </w:pPr>
          </w:p>
        </w:tc>
        <w:tc>
          <w:tcPr>
            <w:tcW w:w="1413" w:type="dxa"/>
            <w:noWrap/>
            <w:vAlign w:val="center"/>
          </w:tcPr>
          <w:p w14:paraId="24BAEB3B">
            <w:pPr>
              <w:rPr>
                <w:sz w:val="21"/>
                <w:szCs w:val="21"/>
              </w:rPr>
            </w:pPr>
          </w:p>
        </w:tc>
        <w:tc>
          <w:tcPr>
            <w:tcW w:w="1407" w:type="dxa"/>
            <w:noWrap/>
            <w:vAlign w:val="center"/>
          </w:tcPr>
          <w:p w14:paraId="6C549D98">
            <w:pPr>
              <w:rPr>
                <w:sz w:val="21"/>
                <w:szCs w:val="21"/>
              </w:rPr>
            </w:pPr>
          </w:p>
        </w:tc>
        <w:tc>
          <w:tcPr>
            <w:tcW w:w="1413" w:type="dxa"/>
            <w:gridSpan w:val="2"/>
            <w:noWrap/>
            <w:vAlign w:val="center"/>
          </w:tcPr>
          <w:p w14:paraId="1AC7A950">
            <w:pPr>
              <w:rPr>
                <w:sz w:val="21"/>
                <w:szCs w:val="21"/>
              </w:rPr>
            </w:pPr>
          </w:p>
        </w:tc>
      </w:tr>
      <w:tr w14:paraId="5A5F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3CF72997">
            <w:pPr>
              <w:jc w:val="center"/>
              <w:rPr>
                <w:sz w:val="21"/>
                <w:szCs w:val="21"/>
              </w:rPr>
            </w:pPr>
            <w:r>
              <w:rPr>
                <w:sz w:val="21"/>
                <w:szCs w:val="21"/>
              </w:rPr>
              <w:t>7</w:t>
            </w:r>
          </w:p>
        </w:tc>
        <w:tc>
          <w:tcPr>
            <w:tcW w:w="2070" w:type="dxa"/>
            <w:noWrap/>
            <w:vAlign w:val="center"/>
          </w:tcPr>
          <w:p w14:paraId="6655CD95">
            <w:pPr>
              <w:rPr>
                <w:sz w:val="21"/>
                <w:szCs w:val="21"/>
              </w:rPr>
            </w:pPr>
            <w:r>
              <w:rPr>
                <w:sz w:val="21"/>
                <w:szCs w:val="21"/>
              </w:rPr>
              <w:t>多种维生素</w:t>
            </w:r>
          </w:p>
        </w:tc>
        <w:tc>
          <w:tcPr>
            <w:tcW w:w="2361" w:type="dxa"/>
            <w:noWrap/>
            <w:vAlign w:val="center"/>
          </w:tcPr>
          <w:p w14:paraId="6E376D1B">
            <w:pPr>
              <w:rPr>
                <w:sz w:val="21"/>
                <w:szCs w:val="21"/>
              </w:rPr>
            </w:pPr>
            <w:r>
              <w:rPr>
                <w:rFonts w:hint="eastAsia"/>
                <w:sz w:val="21"/>
                <w:szCs w:val="21"/>
              </w:rPr>
              <w:t>▲</w:t>
            </w:r>
            <w:r>
              <w:rPr>
                <w:sz w:val="21"/>
                <w:szCs w:val="21"/>
              </w:rPr>
              <w:t>不少于18种人体所必需的维生素矿物质</w:t>
            </w:r>
          </w:p>
        </w:tc>
        <w:tc>
          <w:tcPr>
            <w:tcW w:w="1440" w:type="dxa"/>
            <w:noWrap/>
            <w:vAlign w:val="center"/>
          </w:tcPr>
          <w:p w14:paraId="4723495E">
            <w:pPr>
              <w:rPr>
                <w:sz w:val="21"/>
                <w:szCs w:val="21"/>
              </w:rPr>
            </w:pPr>
          </w:p>
        </w:tc>
        <w:tc>
          <w:tcPr>
            <w:tcW w:w="1470" w:type="dxa"/>
            <w:noWrap/>
            <w:vAlign w:val="center"/>
          </w:tcPr>
          <w:p w14:paraId="2647C2D1">
            <w:pPr>
              <w:rPr>
                <w:sz w:val="21"/>
                <w:szCs w:val="21"/>
              </w:rPr>
            </w:pPr>
          </w:p>
        </w:tc>
        <w:tc>
          <w:tcPr>
            <w:tcW w:w="1342" w:type="dxa"/>
            <w:noWrap/>
            <w:vAlign w:val="center"/>
          </w:tcPr>
          <w:p w14:paraId="6AA21D67">
            <w:pPr>
              <w:rPr>
                <w:sz w:val="21"/>
                <w:szCs w:val="21"/>
              </w:rPr>
            </w:pPr>
          </w:p>
        </w:tc>
        <w:tc>
          <w:tcPr>
            <w:tcW w:w="1274" w:type="dxa"/>
            <w:noWrap/>
            <w:vAlign w:val="center"/>
          </w:tcPr>
          <w:p w14:paraId="2ADBB195">
            <w:pPr>
              <w:rPr>
                <w:sz w:val="21"/>
                <w:szCs w:val="21"/>
              </w:rPr>
            </w:pPr>
          </w:p>
        </w:tc>
        <w:tc>
          <w:tcPr>
            <w:tcW w:w="1413" w:type="dxa"/>
            <w:noWrap/>
            <w:vAlign w:val="center"/>
          </w:tcPr>
          <w:p w14:paraId="2517130F">
            <w:pPr>
              <w:rPr>
                <w:sz w:val="21"/>
                <w:szCs w:val="21"/>
              </w:rPr>
            </w:pPr>
          </w:p>
        </w:tc>
        <w:tc>
          <w:tcPr>
            <w:tcW w:w="1407" w:type="dxa"/>
            <w:noWrap/>
            <w:vAlign w:val="center"/>
          </w:tcPr>
          <w:p w14:paraId="5A3DF7AE">
            <w:pPr>
              <w:rPr>
                <w:sz w:val="21"/>
                <w:szCs w:val="21"/>
              </w:rPr>
            </w:pPr>
          </w:p>
        </w:tc>
        <w:tc>
          <w:tcPr>
            <w:tcW w:w="1413" w:type="dxa"/>
            <w:gridSpan w:val="2"/>
            <w:noWrap/>
            <w:vAlign w:val="center"/>
          </w:tcPr>
          <w:p w14:paraId="68E0ECDD">
            <w:pPr>
              <w:rPr>
                <w:sz w:val="21"/>
                <w:szCs w:val="21"/>
              </w:rPr>
            </w:pPr>
          </w:p>
        </w:tc>
      </w:tr>
      <w:tr w14:paraId="6F6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7A27B51E">
            <w:pPr>
              <w:jc w:val="center"/>
              <w:rPr>
                <w:sz w:val="21"/>
                <w:szCs w:val="21"/>
              </w:rPr>
            </w:pPr>
            <w:r>
              <w:rPr>
                <w:sz w:val="21"/>
                <w:szCs w:val="21"/>
              </w:rPr>
              <w:t>8</w:t>
            </w:r>
          </w:p>
        </w:tc>
        <w:tc>
          <w:tcPr>
            <w:tcW w:w="2070" w:type="dxa"/>
            <w:noWrap/>
            <w:vAlign w:val="center"/>
          </w:tcPr>
          <w:p w14:paraId="272037CB">
            <w:pPr>
              <w:rPr>
                <w:sz w:val="21"/>
                <w:szCs w:val="21"/>
              </w:rPr>
            </w:pPr>
            <w:r>
              <w:rPr>
                <w:sz w:val="21"/>
                <w:szCs w:val="21"/>
              </w:rPr>
              <w:t>W-3系列</w:t>
            </w:r>
          </w:p>
        </w:tc>
        <w:tc>
          <w:tcPr>
            <w:tcW w:w="2361" w:type="dxa"/>
            <w:noWrap/>
            <w:vAlign w:val="center"/>
          </w:tcPr>
          <w:p w14:paraId="62D76F74">
            <w:pPr>
              <w:rPr>
                <w:sz w:val="21"/>
                <w:szCs w:val="21"/>
              </w:rPr>
            </w:pPr>
          </w:p>
        </w:tc>
        <w:tc>
          <w:tcPr>
            <w:tcW w:w="1440" w:type="dxa"/>
            <w:noWrap/>
            <w:vAlign w:val="center"/>
          </w:tcPr>
          <w:p w14:paraId="777481E9">
            <w:pPr>
              <w:rPr>
                <w:sz w:val="21"/>
                <w:szCs w:val="21"/>
              </w:rPr>
            </w:pPr>
          </w:p>
        </w:tc>
        <w:tc>
          <w:tcPr>
            <w:tcW w:w="1470" w:type="dxa"/>
            <w:noWrap/>
            <w:vAlign w:val="center"/>
          </w:tcPr>
          <w:p w14:paraId="282475EA">
            <w:pPr>
              <w:rPr>
                <w:sz w:val="21"/>
                <w:szCs w:val="21"/>
              </w:rPr>
            </w:pPr>
          </w:p>
        </w:tc>
        <w:tc>
          <w:tcPr>
            <w:tcW w:w="1342" w:type="dxa"/>
            <w:noWrap/>
            <w:vAlign w:val="center"/>
          </w:tcPr>
          <w:p w14:paraId="4D1D1EC3">
            <w:pPr>
              <w:rPr>
                <w:sz w:val="21"/>
                <w:szCs w:val="21"/>
              </w:rPr>
            </w:pPr>
          </w:p>
        </w:tc>
        <w:tc>
          <w:tcPr>
            <w:tcW w:w="1274" w:type="dxa"/>
            <w:noWrap/>
            <w:vAlign w:val="center"/>
          </w:tcPr>
          <w:p w14:paraId="34A48553">
            <w:pPr>
              <w:rPr>
                <w:sz w:val="21"/>
                <w:szCs w:val="21"/>
              </w:rPr>
            </w:pPr>
          </w:p>
        </w:tc>
        <w:tc>
          <w:tcPr>
            <w:tcW w:w="1413" w:type="dxa"/>
            <w:noWrap/>
            <w:vAlign w:val="center"/>
          </w:tcPr>
          <w:p w14:paraId="3CE6925B">
            <w:pPr>
              <w:rPr>
                <w:sz w:val="21"/>
                <w:szCs w:val="21"/>
              </w:rPr>
            </w:pPr>
          </w:p>
        </w:tc>
        <w:tc>
          <w:tcPr>
            <w:tcW w:w="1407" w:type="dxa"/>
            <w:noWrap/>
            <w:vAlign w:val="center"/>
          </w:tcPr>
          <w:p w14:paraId="4A48CED1">
            <w:pPr>
              <w:rPr>
                <w:sz w:val="21"/>
                <w:szCs w:val="21"/>
              </w:rPr>
            </w:pPr>
          </w:p>
        </w:tc>
        <w:tc>
          <w:tcPr>
            <w:tcW w:w="1413" w:type="dxa"/>
            <w:gridSpan w:val="2"/>
            <w:noWrap/>
            <w:vAlign w:val="center"/>
          </w:tcPr>
          <w:p w14:paraId="2CCE9BC1">
            <w:pPr>
              <w:rPr>
                <w:sz w:val="21"/>
                <w:szCs w:val="21"/>
              </w:rPr>
            </w:pPr>
          </w:p>
        </w:tc>
      </w:tr>
      <w:tr w14:paraId="2E7F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300" w:hRule="atLeast"/>
        </w:trPr>
        <w:tc>
          <w:tcPr>
            <w:tcW w:w="760" w:type="dxa"/>
            <w:noWrap/>
            <w:vAlign w:val="center"/>
          </w:tcPr>
          <w:p w14:paraId="38EE28C1">
            <w:pPr>
              <w:jc w:val="center"/>
              <w:rPr>
                <w:sz w:val="21"/>
                <w:szCs w:val="21"/>
              </w:rPr>
            </w:pPr>
            <w:r>
              <w:rPr>
                <w:rFonts w:hint="eastAsia"/>
                <w:sz w:val="21"/>
                <w:szCs w:val="21"/>
              </w:rPr>
              <w:t>8.1</w:t>
            </w:r>
          </w:p>
        </w:tc>
        <w:tc>
          <w:tcPr>
            <w:tcW w:w="2070" w:type="dxa"/>
            <w:noWrap/>
            <w:vAlign w:val="center"/>
          </w:tcPr>
          <w:p w14:paraId="775ABE54">
            <w:pPr>
              <w:rPr>
                <w:sz w:val="21"/>
                <w:szCs w:val="21"/>
              </w:rPr>
            </w:pPr>
            <w:r>
              <w:rPr>
                <w:sz w:val="21"/>
                <w:szCs w:val="21"/>
              </w:rPr>
              <w:t>w-3（高蛋白型）</w:t>
            </w:r>
          </w:p>
        </w:tc>
        <w:tc>
          <w:tcPr>
            <w:tcW w:w="2361" w:type="dxa"/>
            <w:noWrap/>
            <w:vAlign w:val="center"/>
          </w:tcPr>
          <w:p w14:paraId="5669A3E4">
            <w:pPr>
              <w:rPr>
                <w:sz w:val="21"/>
                <w:szCs w:val="21"/>
              </w:rPr>
            </w:pPr>
            <w:r>
              <w:rPr>
                <w:rFonts w:hint="eastAsia"/>
                <w:sz w:val="21"/>
                <w:szCs w:val="21"/>
              </w:rPr>
              <w:t>▲</w:t>
            </w:r>
            <w:r>
              <w:rPr>
                <w:sz w:val="21"/>
                <w:szCs w:val="21"/>
              </w:rPr>
              <w:t>能量410-430kcal</w:t>
            </w:r>
          </w:p>
        </w:tc>
        <w:tc>
          <w:tcPr>
            <w:tcW w:w="1440" w:type="dxa"/>
            <w:noWrap/>
            <w:vAlign w:val="center"/>
          </w:tcPr>
          <w:p w14:paraId="0D7CAB52">
            <w:pPr>
              <w:rPr>
                <w:sz w:val="21"/>
                <w:szCs w:val="21"/>
              </w:rPr>
            </w:pPr>
            <w:r>
              <w:rPr>
                <w:sz w:val="21"/>
                <w:szCs w:val="21"/>
              </w:rPr>
              <w:t>碳水化合物5-15g</w:t>
            </w:r>
          </w:p>
        </w:tc>
        <w:tc>
          <w:tcPr>
            <w:tcW w:w="1470" w:type="dxa"/>
            <w:noWrap/>
            <w:vAlign w:val="center"/>
          </w:tcPr>
          <w:p w14:paraId="6FD6C726">
            <w:pPr>
              <w:rPr>
                <w:sz w:val="21"/>
                <w:szCs w:val="21"/>
              </w:rPr>
            </w:pPr>
            <w:r>
              <w:rPr>
                <w:rFonts w:hint="eastAsia"/>
                <w:sz w:val="21"/>
                <w:szCs w:val="21"/>
              </w:rPr>
              <w:t>▲</w:t>
            </w:r>
            <w:r>
              <w:rPr>
                <w:sz w:val="21"/>
                <w:szCs w:val="21"/>
              </w:rPr>
              <w:t>蛋白质40-60g</w:t>
            </w:r>
          </w:p>
        </w:tc>
        <w:tc>
          <w:tcPr>
            <w:tcW w:w="1342" w:type="dxa"/>
            <w:noWrap/>
            <w:vAlign w:val="center"/>
          </w:tcPr>
          <w:p w14:paraId="2A4BE2D3">
            <w:pPr>
              <w:rPr>
                <w:sz w:val="21"/>
                <w:szCs w:val="21"/>
              </w:rPr>
            </w:pPr>
            <w:r>
              <w:rPr>
                <w:sz w:val="21"/>
                <w:szCs w:val="21"/>
              </w:rPr>
              <w:t>脂肪15-25g</w:t>
            </w:r>
          </w:p>
        </w:tc>
        <w:tc>
          <w:tcPr>
            <w:tcW w:w="1274" w:type="dxa"/>
            <w:noWrap/>
            <w:vAlign w:val="center"/>
          </w:tcPr>
          <w:p w14:paraId="2EA6CDC5">
            <w:pPr>
              <w:rPr>
                <w:sz w:val="21"/>
                <w:szCs w:val="21"/>
              </w:rPr>
            </w:pPr>
            <w:r>
              <w:rPr>
                <w:sz w:val="21"/>
                <w:szCs w:val="21"/>
              </w:rPr>
              <w:t>膳食纤维≥20g</w:t>
            </w:r>
          </w:p>
        </w:tc>
        <w:tc>
          <w:tcPr>
            <w:tcW w:w="1413" w:type="dxa"/>
            <w:noWrap/>
            <w:vAlign w:val="center"/>
          </w:tcPr>
          <w:p w14:paraId="1C24534B">
            <w:pPr>
              <w:rPr>
                <w:sz w:val="21"/>
                <w:szCs w:val="21"/>
              </w:rPr>
            </w:pPr>
            <w:r>
              <w:rPr>
                <w:rFonts w:hint="eastAsia"/>
                <w:sz w:val="21"/>
                <w:szCs w:val="21"/>
              </w:rPr>
              <w:t>▲</w:t>
            </w:r>
            <w:r>
              <w:rPr>
                <w:sz w:val="21"/>
                <w:szCs w:val="21"/>
              </w:rPr>
              <w:t>w-3≥</w:t>
            </w:r>
            <w:r>
              <w:rPr>
                <w:rFonts w:hint="eastAsia"/>
                <w:sz w:val="21"/>
                <w:szCs w:val="21"/>
              </w:rPr>
              <w:t>1</w:t>
            </w:r>
            <w:r>
              <w:rPr>
                <w:sz w:val="21"/>
                <w:szCs w:val="21"/>
              </w:rPr>
              <w:t>0g</w:t>
            </w:r>
          </w:p>
        </w:tc>
        <w:tc>
          <w:tcPr>
            <w:tcW w:w="1407" w:type="dxa"/>
            <w:noWrap/>
            <w:vAlign w:val="center"/>
          </w:tcPr>
          <w:p w14:paraId="502F79E3">
            <w:pPr>
              <w:rPr>
                <w:sz w:val="21"/>
                <w:szCs w:val="21"/>
              </w:rPr>
            </w:pPr>
            <w:r>
              <w:rPr>
                <w:sz w:val="21"/>
                <w:szCs w:val="21"/>
              </w:rPr>
              <w:t>20-30g/包</w:t>
            </w:r>
          </w:p>
        </w:tc>
        <w:tc>
          <w:tcPr>
            <w:tcW w:w="1413" w:type="dxa"/>
            <w:gridSpan w:val="2"/>
            <w:noWrap/>
            <w:vAlign w:val="center"/>
          </w:tcPr>
          <w:p w14:paraId="7DEA534F">
            <w:pPr>
              <w:rPr>
                <w:sz w:val="21"/>
                <w:szCs w:val="21"/>
              </w:rPr>
            </w:pPr>
          </w:p>
        </w:tc>
      </w:tr>
      <w:tr w14:paraId="36A3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1A93AD7B">
            <w:pPr>
              <w:jc w:val="center"/>
              <w:rPr>
                <w:sz w:val="21"/>
                <w:szCs w:val="21"/>
              </w:rPr>
            </w:pPr>
            <w:r>
              <w:rPr>
                <w:rFonts w:hint="eastAsia"/>
                <w:sz w:val="21"/>
                <w:szCs w:val="21"/>
              </w:rPr>
              <w:t>8.2</w:t>
            </w:r>
          </w:p>
        </w:tc>
        <w:tc>
          <w:tcPr>
            <w:tcW w:w="2070" w:type="dxa"/>
            <w:noWrap/>
            <w:vAlign w:val="center"/>
          </w:tcPr>
          <w:p w14:paraId="51598B7C">
            <w:pPr>
              <w:rPr>
                <w:sz w:val="21"/>
                <w:szCs w:val="21"/>
              </w:rPr>
            </w:pPr>
            <w:r>
              <w:rPr>
                <w:sz w:val="21"/>
                <w:szCs w:val="21"/>
              </w:rPr>
              <w:t>w-3（低碳型）</w:t>
            </w:r>
          </w:p>
        </w:tc>
        <w:tc>
          <w:tcPr>
            <w:tcW w:w="2361" w:type="dxa"/>
            <w:noWrap/>
            <w:vAlign w:val="center"/>
          </w:tcPr>
          <w:p w14:paraId="1BCD50D1">
            <w:pPr>
              <w:rPr>
                <w:sz w:val="21"/>
                <w:szCs w:val="21"/>
              </w:rPr>
            </w:pPr>
            <w:r>
              <w:rPr>
                <w:rFonts w:hint="eastAsia"/>
                <w:sz w:val="21"/>
                <w:szCs w:val="21"/>
              </w:rPr>
              <w:t>▲</w:t>
            </w:r>
            <w:r>
              <w:rPr>
                <w:sz w:val="21"/>
                <w:szCs w:val="21"/>
              </w:rPr>
              <w:t>能量410-430kcal</w:t>
            </w:r>
          </w:p>
        </w:tc>
        <w:tc>
          <w:tcPr>
            <w:tcW w:w="1440" w:type="dxa"/>
            <w:noWrap/>
            <w:vAlign w:val="center"/>
          </w:tcPr>
          <w:p w14:paraId="1E7726DC">
            <w:pPr>
              <w:rPr>
                <w:sz w:val="21"/>
                <w:szCs w:val="21"/>
              </w:rPr>
            </w:pPr>
            <w:r>
              <w:rPr>
                <w:rFonts w:hint="eastAsia"/>
                <w:sz w:val="21"/>
                <w:szCs w:val="21"/>
              </w:rPr>
              <w:t>▲</w:t>
            </w:r>
            <w:r>
              <w:rPr>
                <w:sz w:val="21"/>
                <w:szCs w:val="21"/>
              </w:rPr>
              <w:t>碳水化合物0-10g</w:t>
            </w:r>
          </w:p>
        </w:tc>
        <w:tc>
          <w:tcPr>
            <w:tcW w:w="1470" w:type="dxa"/>
            <w:noWrap/>
            <w:vAlign w:val="center"/>
          </w:tcPr>
          <w:p w14:paraId="26B78384">
            <w:pPr>
              <w:rPr>
                <w:sz w:val="21"/>
                <w:szCs w:val="21"/>
              </w:rPr>
            </w:pPr>
            <w:r>
              <w:rPr>
                <w:sz w:val="21"/>
                <w:szCs w:val="21"/>
              </w:rPr>
              <w:t>蛋白质15-20g</w:t>
            </w:r>
          </w:p>
        </w:tc>
        <w:tc>
          <w:tcPr>
            <w:tcW w:w="1342" w:type="dxa"/>
            <w:noWrap/>
            <w:vAlign w:val="center"/>
          </w:tcPr>
          <w:p w14:paraId="0248D176">
            <w:pPr>
              <w:rPr>
                <w:sz w:val="21"/>
                <w:szCs w:val="21"/>
              </w:rPr>
            </w:pPr>
            <w:r>
              <w:rPr>
                <w:sz w:val="21"/>
                <w:szCs w:val="21"/>
              </w:rPr>
              <w:t>脂肪20-30g</w:t>
            </w:r>
          </w:p>
        </w:tc>
        <w:tc>
          <w:tcPr>
            <w:tcW w:w="1274" w:type="dxa"/>
            <w:noWrap/>
            <w:vAlign w:val="center"/>
          </w:tcPr>
          <w:p w14:paraId="565D8672">
            <w:pPr>
              <w:rPr>
                <w:sz w:val="21"/>
                <w:szCs w:val="21"/>
              </w:rPr>
            </w:pPr>
            <w:r>
              <w:rPr>
                <w:sz w:val="21"/>
                <w:szCs w:val="21"/>
              </w:rPr>
              <w:t>膳食纤维≥40g</w:t>
            </w:r>
          </w:p>
        </w:tc>
        <w:tc>
          <w:tcPr>
            <w:tcW w:w="1413" w:type="dxa"/>
            <w:noWrap/>
            <w:vAlign w:val="center"/>
          </w:tcPr>
          <w:p w14:paraId="6965A906">
            <w:pPr>
              <w:rPr>
                <w:sz w:val="21"/>
                <w:szCs w:val="21"/>
              </w:rPr>
            </w:pPr>
            <w:r>
              <w:rPr>
                <w:rFonts w:hint="eastAsia"/>
                <w:sz w:val="21"/>
                <w:szCs w:val="21"/>
              </w:rPr>
              <w:t>▲</w:t>
            </w:r>
            <w:r>
              <w:rPr>
                <w:sz w:val="21"/>
                <w:szCs w:val="21"/>
              </w:rPr>
              <w:t>w-3≥</w:t>
            </w:r>
            <w:r>
              <w:rPr>
                <w:rFonts w:hint="eastAsia"/>
                <w:sz w:val="21"/>
                <w:szCs w:val="21"/>
              </w:rPr>
              <w:t>1</w:t>
            </w:r>
            <w:r>
              <w:rPr>
                <w:sz w:val="21"/>
                <w:szCs w:val="21"/>
              </w:rPr>
              <w:t>0g</w:t>
            </w:r>
          </w:p>
        </w:tc>
        <w:tc>
          <w:tcPr>
            <w:tcW w:w="1407" w:type="dxa"/>
            <w:noWrap/>
            <w:vAlign w:val="center"/>
          </w:tcPr>
          <w:p w14:paraId="4DED5840">
            <w:pPr>
              <w:rPr>
                <w:sz w:val="21"/>
                <w:szCs w:val="21"/>
              </w:rPr>
            </w:pPr>
            <w:r>
              <w:rPr>
                <w:sz w:val="21"/>
                <w:szCs w:val="21"/>
              </w:rPr>
              <w:t>20-30g/包</w:t>
            </w:r>
          </w:p>
        </w:tc>
        <w:tc>
          <w:tcPr>
            <w:tcW w:w="1413" w:type="dxa"/>
            <w:gridSpan w:val="2"/>
            <w:noWrap/>
            <w:vAlign w:val="center"/>
          </w:tcPr>
          <w:p w14:paraId="3345CC3E">
            <w:pPr>
              <w:rPr>
                <w:sz w:val="21"/>
                <w:szCs w:val="21"/>
              </w:rPr>
            </w:pPr>
          </w:p>
        </w:tc>
      </w:tr>
      <w:tr w14:paraId="174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6211A368">
            <w:pPr>
              <w:jc w:val="center"/>
              <w:rPr>
                <w:sz w:val="21"/>
                <w:szCs w:val="21"/>
              </w:rPr>
            </w:pPr>
            <w:r>
              <w:rPr>
                <w:rFonts w:hint="eastAsia"/>
                <w:sz w:val="21"/>
                <w:szCs w:val="21"/>
              </w:rPr>
              <w:t>8.3</w:t>
            </w:r>
          </w:p>
        </w:tc>
        <w:tc>
          <w:tcPr>
            <w:tcW w:w="2070" w:type="dxa"/>
            <w:noWrap/>
            <w:vAlign w:val="center"/>
          </w:tcPr>
          <w:p w14:paraId="3443C86A">
            <w:pPr>
              <w:rPr>
                <w:sz w:val="21"/>
                <w:szCs w:val="21"/>
              </w:rPr>
            </w:pPr>
            <w:r>
              <w:rPr>
                <w:sz w:val="21"/>
                <w:szCs w:val="21"/>
              </w:rPr>
              <w:t>w-3（均衡型）</w:t>
            </w:r>
          </w:p>
        </w:tc>
        <w:tc>
          <w:tcPr>
            <w:tcW w:w="2361" w:type="dxa"/>
            <w:noWrap/>
            <w:vAlign w:val="center"/>
          </w:tcPr>
          <w:p w14:paraId="7CF2F6FD">
            <w:pPr>
              <w:rPr>
                <w:sz w:val="21"/>
                <w:szCs w:val="21"/>
              </w:rPr>
            </w:pPr>
            <w:r>
              <w:rPr>
                <w:rFonts w:hint="eastAsia"/>
                <w:sz w:val="21"/>
                <w:szCs w:val="21"/>
              </w:rPr>
              <w:t>▲</w:t>
            </w:r>
            <w:r>
              <w:rPr>
                <w:sz w:val="21"/>
                <w:szCs w:val="21"/>
              </w:rPr>
              <w:t>能量400-430kcal</w:t>
            </w:r>
          </w:p>
        </w:tc>
        <w:tc>
          <w:tcPr>
            <w:tcW w:w="1440" w:type="dxa"/>
            <w:noWrap/>
            <w:vAlign w:val="center"/>
          </w:tcPr>
          <w:p w14:paraId="5B1EC665">
            <w:pPr>
              <w:rPr>
                <w:sz w:val="21"/>
                <w:szCs w:val="21"/>
              </w:rPr>
            </w:pPr>
            <w:r>
              <w:rPr>
                <w:rFonts w:hint="eastAsia"/>
                <w:sz w:val="21"/>
                <w:szCs w:val="21"/>
              </w:rPr>
              <w:t>▲</w:t>
            </w:r>
            <w:r>
              <w:rPr>
                <w:sz w:val="21"/>
                <w:szCs w:val="21"/>
              </w:rPr>
              <w:t>碳水化合物20-25g</w:t>
            </w:r>
          </w:p>
        </w:tc>
        <w:tc>
          <w:tcPr>
            <w:tcW w:w="1470" w:type="dxa"/>
            <w:noWrap/>
            <w:vAlign w:val="center"/>
          </w:tcPr>
          <w:p w14:paraId="1C350A8C">
            <w:pPr>
              <w:rPr>
                <w:sz w:val="21"/>
                <w:szCs w:val="21"/>
              </w:rPr>
            </w:pPr>
            <w:r>
              <w:rPr>
                <w:rFonts w:hint="eastAsia"/>
                <w:sz w:val="21"/>
                <w:szCs w:val="21"/>
              </w:rPr>
              <w:t>▲</w:t>
            </w:r>
            <w:r>
              <w:rPr>
                <w:sz w:val="21"/>
                <w:szCs w:val="21"/>
              </w:rPr>
              <w:t>蛋白质15-20g</w:t>
            </w:r>
          </w:p>
        </w:tc>
        <w:tc>
          <w:tcPr>
            <w:tcW w:w="1342" w:type="dxa"/>
            <w:noWrap/>
            <w:vAlign w:val="center"/>
          </w:tcPr>
          <w:p w14:paraId="7EB033AF">
            <w:pPr>
              <w:rPr>
                <w:sz w:val="21"/>
                <w:szCs w:val="21"/>
              </w:rPr>
            </w:pPr>
            <w:r>
              <w:rPr>
                <w:sz w:val="21"/>
                <w:szCs w:val="21"/>
              </w:rPr>
              <w:t>脂肪15-25g</w:t>
            </w:r>
          </w:p>
        </w:tc>
        <w:tc>
          <w:tcPr>
            <w:tcW w:w="1274" w:type="dxa"/>
            <w:noWrap/>
            <w:vAlign w:val="center"/>
          </w:tcPr>
          <w:p w14:paraId="52032223">
            <w:pPr>
              <w:rPr>
                <w:sz w:val="21"/>
                <w:szCs w:val="21"/>
              </w:rPr>
            </w:pPr>
            <w:r>
              <w:rPr>
                <w:sz w:val="21"/>
                <w:szCs w:val="21"/>
              </w:rPr>
              <w:t>膳食纤维≥30g</w:t>
            </w:r>
          </w:p>
        </w:tc>
        <w:tc>
          <w:tcPr>
            <w:tcW w:w="1413" w:type="dxa"/>
            <w:noWrap/>
            <w:vAlign w:val="center"/>
          </w:tcPr>
          <w:p w14:paraId="62CA723E">
            <w:pPr>
              <w:rPr>
                <w:sz w:val="21"/>
                <w:szCs w:val="21"/>
              </w:rPr>
            </w:pPr>
            <w:r>
              <w:rPr>
                <w:rFonts w:hint="eastAsia"/>
                <w:sz w:val="21"/>
                <w:szCs w:val="21"/>
              </w:rPr>
              <w:t>▲</w:t>
            </w:r>
            <w:r>
              <w:rPr>
                <w:sz w:val="21"/>
                <w:szCs w:val="21"/>
              </w:rPr>
              <w:t>w-3≥</w:t>
            </w:r>
            <w:r>
              <w:rPr>
                <w:rFonts w:hint="eastAsia"/>
                <w:sz w:val="21"/>
                <w:szCs w:val="21"/>
              </w:rPr>
              <w:t>1</w:t>
            </w:r>
            <w:r>
              <w:rPr>
                <w:sz w:val="21"/>
                <w:szCs w:val="21"/>
              </w:rPr>
              <w:t>0g</w:t>
            </w:r>
          </w:p>
        </w:tc>
        <w:tc>
          <w:tcPr>
            <w:tcW w:w="1407" w:type="dxa"/>
            <w:noWrap/>
            <w:vAlign w:val="center"/>
          </w:tcPr>
          <w:p w14:paraId="53BB120D">
            <w:pPr>
              <w:rPr>
                <w:sz w:val="21"/>
                <w:szCs w:val="21"/>
              </w:rPr>
            </w:pPr>
            <w:r>
              <w:rPr>
                <w:sz w:val="21"/>
                <w:szCs w:val="21"/>
              </w:rPr>
              <w:t>20-30g/包</w:t>
            </w:r>
          </w:p>
        </w:tc>
        <w:tc>
          <w:tcPr>
            <w:tcW w:w="1413" w:type="dxa"/>
            <w:gridSpan w:val="2"/>
            <w:noWrap/>
            <w:vAlign w:val="center"/>
          </w:tcPr>
          <w:p w14:paraId="3CFCA368">
            <w:pPr>
              <w:rPr>
                <w:sz w:val="21"/>
                <w:szCs w:val="21"/>
              </w:rPr>
            </w:pPr>
          </w:p>
        </w:tc>
      </w:tr>
      <w:tr w14:paraId="24D3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02F325A5">
            <w:pPr>
              <w:jc w:val="center"/>
              <w:rPr>
                <w:sz w:val="21"/>
                <w:szCs w:val="21"/>
              </w:rPr>
            </w:pPr>
            <w:r>
              <w:rPr>
                <w:sz w:val="21"/>
                <w:szCs w:val="21"/>
              </w:rPr>
              <w:t>9</w:t>
            </w:r>
          </w:p>
        </w:tc>
        <w:tc>
          <w:tcPr>
            <w:tcW w:w="2070" w:type="dxa"/>
            <w:noWrap/>
            <w:vAlign w:val="center"/>
          </w:tcPr>
          <w:p w14:paraId="47AA07CE">
            <w:pPr>
              <w:rPr>
                <w:sz w:val="21"/>
                <w:szCs w:val="21"/>
              </w:rPr>
            </w:pPr>
            <w:r>
              <w:rPr>
                <w:sz w:val="21"/>
                <w:szCs w:val="21"/>
              </w:rPr>
              <w:t>减重辅助食品</w:t>
            </w:r>
          </w:p>
        </w:tc>
        <w:tc>
          <w:tcPr>
            <w:tcW w:w="2361" w:type="dxa"/>
            <w:noWrap/>
            <w:vAlign w:val="center"/>
          </w:tcPr>
          <w:p w14:paraId="68CBCFD1">
            <w:pPr>
              <w:rPr>
                <w:sz w:val="21"/>
                <w:szCs w:val="21"/>
              </w:rPr>
            </w:pPr>
          </w:p>
        </w:tc>
        <w:tc>
          <w:tcPr>
            <w:tcW w:w="1440" w:type="dxa"/>
            <w:noWrap/>
            <w:vAlign w:val="center"/>
          </w:tcPr>
          <w:p w14:paraId="04D47249">
            <w:pPr>
              <w:rPr>
                <w:sz w:val="21"/>
                <w:szCs w:val="21"/>
              </w:rPr>
            </w:pPr>
          </w:p>
        </w:tc>
        <w:tc>
          <w:tcPr>
            <w:tcW w:w="1470" w:type="dxa"/>
            <w:noWrap/>
            <w:vAlign w:val="center"/>
          </w:tcPr>
          <w:p w14:paraId="31CA2913">
            <w:pPr>
              <w:rPr>
                <w:sz w:val="21"/>
                <w:szCs w:val="21"/>
              </w:rPr>
            </w:pPr>
          </w:p>
        </w:tc>
        <w:tc>
          <w:tcPr>
            <w:tcW w:w="1342" w:type="dxa"/>
            <w:noWrap/>
            <w:vAlign w:val="center"/>
          </w:tcPr>
          <w:p w14:paraId="178C3B6D">
            <w:pPr>
              <w:rPr>
                <w:sz w:val="21"/>
                <w:szCs w:val="21"/>
              </w:rPr>
            </w:pPr>
          </w:p>
        </w:tc>
        <w:tc>
          <w:tcPr>
            <w:tcW w:w="1274" w:type="dxa"/>
            <w:noWrap/>
            <w:vAlign w:val="center"/>
          </w:tcPr>
          <w:p w14:paraId="50640A3A">
            <w:pPr>
              <w:rPr>
                <w:sz w:val="21"/>
                <w:szCs w:val="21"/>
              </w:rPr>
            </w:pPr>
          </w:p>
        </w:tc>
        <w:tc>
          <w:tcPr>
            <w:tcW w:w="1413" w:type="dxa"/>
            <w:noWrap/>
            <w:vAlign w:val="center"/>
          </w:tcPr>
          <w:p w14:paraId="63BC9B9A">
            <w:pPr>
              <w:rPr>
                <w:sz w:val="21"/>
                <w:szCs w:val="21"/>
              </w:rPr>
            </w:pPr>
          </w:p>
        </w:tc>
        <w:tc>
          <w:tcPr>
            <w:tcW w:w="1407" w:type="dxa"/>
            <w:noWrap/>
            <w:vAlign w:val="center"/>
          </w:tcPr>
          <w:p w14:paraId="6796C19C">
            <w:pPr>
              <w:rPr>
                <w:sz w:val="21"/>
                <w:szCs w:val="21"/>
              </w:rPr>
            </w:pPr>
          </w:p>
        </w:tc>
        <w:tc>
          <w:tcPr>
            <w:tcW w:w="1413" w:type="dxa"/>
            <w:gridSpan w:val="2"/>
            <w:noWrap/>
            <w:vAlign w:val="center"/>
          </w:tcPr>
          <w:p w14:paraId="319756B3">
            <w:pPr>
              <w:rPr>
                <w:sz w:val="21"/>
                <w:szCs w:val="21"/>
              </w:rPr>
            </w:pPr>
          </w:p>
        </w:tc>
      </w:tr>
      <w:tr w14:paraId="2750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0" w:hRule="atLeast"/>
        </w:trPr>
        <w:tc>
          <w:tcPr>
            <w:tcW w:w="760" w:type="dxa"/>
            <w:noWrap/>
            <w:vAlign w:val="center"/>
          </w:tcPr>
          <w:p w14:paraId="46BEDAC0">
            <w:pPr>
              <w:jc w:val="center"/>
              <w:rPr>
                <w:sz w:val="21"/>
                <w:szCs w:val="21"/>
              </w:rPr>
            </w:pPr>
            <w:r>
              <w:rPr>
                <w:rFonts w:hint="eastAsia"/>
                <w:sz w:val="21"/>
                <w:szCs w:val="21"/>
              </w:rPr>
              <w:t>9.1</w:t>
            </w:r>
          </w:p>
        </w:tc>
        <w:tc>
          <w:tcPr>
            <w:tcW w:w="2070" w:type="dxa"/>
            <w:noWrap/>
            <w:vAlign w:val="center"/>
          </w:tcPr>
          <w:p w14:paraId="444C008F">
            <w:pPr>
              <w:rPr>
                <w:sz w:val="21"/>
                <w:szCs w:val="21"/>
              </w:rPr>
            </w:pPr>
            <w:r>
              <w:rPr>
                <w:sz w:val="21"/>
                <w:szCs w:val="21"/>
              </w:rPr>
              <w:t>饼干</w:t>
            </w:r>
          </w:p>
        </w:tc>
        <w:tc>
          <w:tcPr>
            <w:tcW w:w="2361" w:type="dxa"/>
            <w:noWrap/>
            <w:vAlign w:val="center"/>
          </w:tcPr>
          <w:p w14:paraId="026653BA">
            <w:pPr>
              <w:rPr>
                <w:sz w:val="21"/>
                <w:szCs w:val="21"/>
              </w:rPr>
            </w:pPr>
            <w:r>
              <w:rPr>
                <w:rFonts w:hint="eastAsia"/>
                <w:sz w:val="21"/>
                <w:szCs w:val="21"/>
              </w:rPr>
              <w:t>▲</w:t>
            </w:r>
            <w:r>
              <w:rPr>
                <w:sz w:val="21"/>
                <w:szCs w:val="21"/>
              </w:rPr>
              <w:t>GI值≤55</w:t>
            </w:r>
          </w:p>
        </w:tc>
        <w:tc>
          <w:tcPr>
            <w:tcW w:w="1440" w:type="dxa"/>
            <w:noWrap/>
            <w:vAlign w:val="center"/>
          </w:tcPr>
          <w:p w14:paraId="22273483">
            <w:pPr>
              <w:rPr>
                <w:sz w:val="21"/>
                <w:szCs w:val="21"/>
              </w:rPr>
            </w:pPr>
          </w:p>
        </w:tc>
        <w:tc>
          <w:tcPr>
            <w:tcW w:w="1470" w:type="dxa"/>
            <w:noWrap/>
            <w:vAlign w:val="center"/>
          </w:tcPr>
          <w:p w14:paraId="40D4FFA7">
            <w:pPr>
              <w:rPr>
                <w:sz w:val="21"/>
                <w:szCs w:val="21"/>
              </w:rPr>
            </w:pPr>
          </w:p>
        </w:tc>
        <w:tc>
          <w:tcPr>
            <w:tcW w:w="1342" w:type="dxa"/>
            <w:noWrap/>
            <w:vAlign w:val="center"/>
          </w:tcPr>
          <w:p w14:paraId="063157D7">
            <w:pPr>
              <w:rPr>
                <w:sz w:val="21"/>
                <w:szCs w:val="21"/>
              </w:rPr>
            </w:pPr>
          </w:p>
        </w:tc>
        <w:tc>
          <w:tcPr>
            <w:tcW w:w="1274" w:type="dxa"/>
            <w:noWrap/>
            <w:vAlign w:val="center"/>
          </w:tcPr>
          <w:p w14:paraId="0BF78B31">
            <w:pPr>
              <w:rPr>
                <w:sz w:val="21"/>
                <w:szCs w:val="21"/>
              </w:rPr>
            </w:pPr>
          </w:p>
        </w:tc>
        <w:tc>
          <w:tcPr>
            <w:tcW w:w="1413" w:type="dxa"/>
            <w:noWrap/>
            <w:vAlign w:val="center"/>
          </w:tcPr>
          <w:p w14:paraId="2965B53C">
            <w:pPr>
              <w:rPr>
                <w:sz w:val="21"/>
                <w:szCs w:val="21"/>
              </w:rPr>
            </w:pPr>
          </w:p>
        </w:tc>
        <w:tc>
          <w:tcPr>
            <w:tcW w:w="1407" w:type="dxa"/>
            <w:noWrap/>
            <w:vAlign w:val="center"/>
          </w:tcPr>
          <w:p w14:paraId="371AC5E4">
            <w:pPr>
              <w:rPr>
                <w:sz w:val="21"/>
                <w:szCs w:val="21"/>
              </w:rPr>
            </w:pPr>
          </w:p>
        </w:tc>
        <w:tc>
          <w:tcPr>
            <w:tcW w:w="1413" w:type="dxa"/>
            <w:gridSpan w:val="2"/>
            <w:noWrap/>
            <w:vAlign w:val="center"/>
          </w:tcPr>
          <w:p w14:paraId="6B672972">
            <w:pPr>
              <w:rPr>
                <w:sz w:val="21"/>
                <w:szCs w:val="21"/>
              </w:rPr>
            </w:pPr>
          </w:p>
        </w:tc>
      </w:tr>
    </w:tbl>
    <w:p w14:paraId="6A838316">
      <w:pPr>
        <w:pStyle w:val="2"/>
        <w:ind w:left="480" w:firstLine="480"/>
        <w:sectPr>
          <w:pgSz w:w="16838" w:h="11906" w:orient="landscape"/>
          <w:pgMar w:top="1622" w:right="1259" w:bottom="1287" w:left="1361" w:header="709" w:footer="971" w:gutter="0"/>
          <w:cols w:space="720" w:num="1"/>
          <w:docGrid w:linePitch="360" w:charSpace="0"/>
        </w:sectPr>
      </w:pPr>
    </w:p>
    <w:p w14:paraId="5C8CB592">
      <w:pPr>
        <w:pStyle w:val="2"/>
        <w:ind w:left="480" w:firstLine="480"/>
      </w:pPr>
      <w:bookmarkStart w:id="50" w:name="_Hlk201312665"/>
    </w:p>
    <w:p w14:paraId="384136A9">
      <w:pPr>
        <w:spacing w:line="360" w:lineRule="auto"/>
        <w:rPr>
          <w:b/>
          <w:bCs/>
        </w:rPr>
      </w:pPr>
      <w:bookmarkStart w:id="51" w:name="_Hlk194576307"/>
      <w:r>
        <w:rPr>
          <w:rFonts w:hint="eastAsia"/>
          <w:b/>
          <w:bCs/>
        </w:rPr>
        <w:t>三、服务期限</w:t>
      </w:r>
    </w:p>
    <w:p w14:paraId="5907289F">
      <w:pPr>
        <w:widowControl w:val="0"/>
        <w:spacing w:line="360" w:lineRule="auto"/>
        <w:ind w:firstLine="480" w:firstLineChars="200"/>
      </w:pPr>
      <w:r>
        <w:rPr>
          <w:rFonts w:hint="eastAsia"/>
        </w:rPr>
        <w:t>服务期一年或实际发生金额达到各院区项目预算金额，合同终止，以先到者为准。</w:t>
      </w:r>
      <w:bookmarkStart w:id="52" w:name="OLE_LINK1"/>
      <w:r>
        <w:rPr>
          <w:rFonts w:hint="eastAsia"/>
        </w:rPr>
        <w:t>如履约情况良好，经双方同意，合同可以续签，一年一签，最多可续签2次。</w:t>
      </w:r>
      <w:bookmarkEnd w:id="52"/>
    </w:p>
    <w:p w14:paraId="2C00E875">
      <w:pPr>
        <w:widowControl w:val="0"/>
        <w:spacing w:line="360" w:lineRule="auto"/>
        <w:rPr>
          <w:b/>
          <w:bCs/>
        </w:rPr>
      </w:pPr>
      <w:r>
        <w:rPr>
          <w:rFonts w:hint="eastAsia"/>
          <w:b/>
          <w:bCs/>
        </w:rPr>
        <w:t>四、履约保证金</w:t>
      </w:r>
    </w:p>
    <w:p w14:paraId="53E41259">
      <w:pPr>
        <w:widowControl w:val="0"/>
        <w:spacing w:line="360" w:lineRule="auto"/>
        <w:ind w:firstLine="480" w:firstLineChars="200"/>
      </w:pPr>
      <w:r>
        <w:t>中标人必须在</w:t>
      </w:r>
      <w:r>
        <w:rPr>
          <w:rFonts w:hint="eastAsia"/>
        </w:rPr>
        <w:t>合同签订后七日内分别</w:t>
      </w:r>
      <w:r>
        <w:t>向</w:t>
      </w:r>
      <w:r>
        <w:rPr>
          <w:rFonts w:hint="eastAsia"/>
        </w:rPr>
        <w:t>各院区</w:t>
      </w:r>
      <w:r>
        <w:t>采购人提供</w:t>
      </w:r>
      <w:r>
        <w:rPr>
          <w:rFonts w:hint="eastAsia"/>
        </w:rPr>
        <w:t>预算</w:t>
      </w:r>
      <w:r>
        <w:t>1%的履约保证金</w:t>
      </w:r>
      <w:r>
        <w:rPr>
          <w:rFonts w:hint="eastAsia"/>
        </w:rPr>
        <w:t>（可在政采云平台购买）</w:t>
      </w:r>
      <w:r>
        <w:t>，可以支票、汇票、本票或者金融机构、保险公司、担保机构出具的保函/保险（可在政采云平台购买，咨询热线4009039583）等非现金形式提交。履约保证金（或保函/保险）在</w:t>
      </w:r>
      <w:r>
        <w:rPr>
          <w:rFonts w:hint="eastAsia"/>
        </w:rPr>
        <w:t>合同履约完毕后</w:t>
      </w:r>
      <w:r>
        <w:t>退还</w:t>
      </w:r>
      <w:r>
        <w:rPr>
          <w:rFonts w:hint="eastAsia"/>
        </w:rPr>
        <w:t>。鼓励和支持供应商以履约保函形式提供履约保证金。中标人没有履行合同项中约定的责任和义务所承担的违约金、赔偿金及其他费用，采购人有权直接从履约保证金中扣除，履约保证金中不足以扣除的，采购人有权从任何一笔货款中扣除。</w:t>
      </w:r>
    </w:p>
    <w:bookmarkEnd w:id="49"/>
    <w:bookmarkEnd w:id="51"/>
    <w:p w14:paraId="4430C3FF">
      <w:pPr>
        <w:widowControl w:val="0"/>
        <w:spacing w:line="360" w:lineRule="auto"/>
        <w:rPr>
          <w:b/>
          <w:bCs/>
        </w:rPr>
      </w:pPr>
      <w:r>
        <w:rPr>
          <w:rFonts w:hint="eastAsia"/>
          <w:b/>
          <w:bCs/>
        </w:rPr>
        <w:t>五、供货要求</w:t>
      </w:r>
    </w:p>
    <w:p w14:paraId="594F8E70">
      <w:pPr>
        <w:widowControl w:val="0"/>
        <w:spacing w:line="360" w:lineRule="auto"/>
        <w:ind w:firstLine="480" w:firstLineChars="200"/>
      </w:pPr>
      <w:r>
        <w:rPr>
          <w:rFonts w:hint="eastAsia"/>
        </w:rPr>
        <w:t>（一）配送要求：按采购人需要的种类和数量送到指定地点，并按采购人要求做好配送产品的预处理工作，不得延迟。对采购人的紧急供货要求，需随订随送，中标人按采购人要求供货。中标人接到采购人下达订单后3个工作日内供货完毕。</w:t>
      </w:r>
    </w:p>
    <w:p w14:paraId="73F6833C">
      <w:pPr>
        <w:widowControl w:val="0"/>
        <w:spacing w:line="360" w:lineRule="auto"/>
        <w:ind w:firstLine="480" w:firstLineChars="200"/>
      </w:pPr>
      <w:r>
        <w:rPr>
          <w:rFonts w:hint="eastAsia"/>
        </w:rPr>
        <w:t>（二）</w:t>
      </w:r>
      <w:r>
        <w:t>运输</w:t>
      </w:r>
      <w:r>
        <w:rPr>
          <w:rFonts w:hint="eastAsia"/>
        </w:rPr>
        <w:t>要求：要求具备运输本次采购物资所必须的运输车辆。</w:t>
      </w:r>
      <w:r>
        <w:t>运输工具应清洁卫生无污染</w:t>
      </w:r>
      <w:r>
        <w:rPr>
          <w:rFonts w:hint="eastAsia"/>
        </w:rPr>
        <w:t>，食品运输必须采用符合卫生标准的外包装和运载工具，并且要保持清洁和定期消毒。特殊产品须冷藏要求的运输必须由冷链车进行运送。运输车厢的内仓，包括地面、墙面和顶，应使用抗腐蚀、防潮，易清洁消毒的材料。车厢内无不良气味、异味</w:t>
      </w:r>
      <w:r>
        <w:t>；运输途中严防日晒、雨淋，注意通风散热。</w:t>
      </w:r>
      <w:r>
        <w:rPr>
          <w:rFonts w:hint="eastAsia"/>
        </w:rPr>
        <w:t>食品堆放科学合理，避免造成食品的交叉污染；如对温度有要求的食品应确定食品的温度，记录送货车辆温度，并记录存档。</w:t>
      </w:r>
    </w:p>
    <w:p w14:paraId="252BE9AF">
      <w:pPr>
        <w:widowControl w:val="0"/>
        <w:spacing w:line="360" w:lineRule="auto"/>
        <w:ind w:firstLine="480" w:firstLineChars="200"/>
      </w:pPr>
      <w:r>
        <w:rPr>
          <w:rFonts w:hint="eastAsia"/>
        </w:rPr>
        <w:t>（三）运送人员要求：中标人需具备固定配送服务人员。</w:t>
      </w:r>
    </w:p>
    <w:p w14:paraId="1EF0C741">
      <w:pPr>
        <w:spacing w:line="360" w:lineRule="auto"/>
        <w:ind w:firstLine="480" w:firstLineChars="200"/>
        <w:rPr>
          <w:rFonts w:hint="eastAsia" w:ascii="宋体" w:hAnsi="宋体"/>
        </w:rPr>
      </w:pPr>
      <w:r>
        <w:rPr>
          <w:rFonts w:hint="eastAsia"/>
        </w:rPr>
        <w:t>（四）</w:t>
      </w:r>
      <w:r>
        <w:t>数量要求</w:t>
      </w:r>
      <w:r>
        <w:rPr>
          <w:rFonts w:hint="eastAsia"/>
        </w:rPr>
        <w:t>：</w:t>
      </w:r>
      <w:r>
        <w:t>保证配送</w:t>
      </w:r>
      <w:r>
        <w:rPr>
          <w:rFonts w:hint="eastAsia"/>
        </w:rPr>
        <w:t>产品</w:t>
      </w:r>
      <w:r>
        <w:t>数量的准确性</w:t>
      </w:r>
      <w:r>
        <w:rPr>
          <w:rFonts w:hint="eastAsia"/>
        </w:rPr>
        <w:t>，</w:t>
      </w:r>
      <w:r>
        <w:t>以</w:t>
      </w:r>
      <w:r>
        <w:rPr>
          <w:rFonts w:hint="eastAsia"/>
        </w:rPr>
        <w:t>采购人</w:t>
      </w:r>
      <w:r>
        <w:t>的验货数量为准</w:t>
      </w:r>
      <w:r>
        <w:rPr>
          <w:rFonts w:hint="eastAsia"/>
        </w:rPr>
        <w:t>，中标人</w:t>
      </w:r>
      <w:r>
        <w:t>每次随货送上一式两份的送货清单</w:t>
      </w:r>
      <w:r>
        <w:rPr>
          <w:rFonts w:hint="eastAsia"/>
        </w:rPr>
        <w:t>，</w:t>
      </w:r>
      <w:r>
        <w:t>供双方验货后签字确认</w:t>
      </w:r>
      <w:r>
        <w:rPr>
          <w:rFonts w:hint="eastAsia"/>
        </w:rPr>
        <w:t>，</w:t>
      </w:r>
      <w:r>
        <w:t>双方各持一份</w:t>
      </w:r>
      <w:r>
        <w:rPr>
          <w:rFonts w:hint="eastAsia"/>
        </w:rPr>
        <w:t>，</w:t>
      </w:r>
      <w:r>
        <w:t>作为送、收货的凭证</w:t>
      </w:r>
      <w:r>
        <w:rPr>
          <w:rFonts w:hint="eastAsia"/>
        </w:rPr>
        <w:t>。</w:t>
      </w:r>
    </w:p>
    <w:p w14:paraId="6B628DA4">
      <w:pPr>
        <w:widowControl w:val="0"/>
        <w:spacing w:line="360" w:lineRule="auto"/>
        <w:ind w:firstLine="480" w:firstLineChars="200"/>
      </w:pPr>
      <w:r>
        <w:rPr>
          <w:rFonts w:hint="eastAsia"/>
        </w:rPr>
        <w:t>（五）中标人每次根据采购人的通知订购品种和数量后，具体送货时间由采购人通知时确定。采购人食品具体需求量以实际供应前一天通知为准。</w:t>
      </w:r>
    </w:p>
    <w:p w14:paraId="5C5EB644">
      <w:pPr>
        <w:widowControl w:val="0"/>
        <w:spacing w:line="360" w:lineRule="auto"/>
        <w:ind w:firstLine="480" w:firstLineChars="200"/>
      </w:pPr>
      <w:r>
        <w:rPr>
          <w:rFonts w:hint="eastAsia"/>
        </w:rPr>
        <w:t>（六）包装与标志要求：容器(框、箱、袋)要求清洁、干燥、牢固、透气，无污染、无异味、无霉变现象。产品包装符合现行国家预包装食品营养标签通则（GB28050）。</w:t>
      </w:r>
    </w:p>
    <w:p w14:paraId="06425B68">
      <w:pPr>
        <w:widowControl w:val="0"/>
        <w:spacing w:line="360" w:lineRule="auto"/>
        <w:ind w:firstLine="480" w:firstLineChars="200"/>
      </w:pPr>
      <w:r>
        <w:rPr>
          <w:rFonts w:hint="eastAsia"/>
        </w:rPr>
        <w:t>（七）产品有效期：所供产品的剩余有效期不得少于生产厂商标注效期的三分之二时间。</w:t>
      </w:r>
    </w:p>
    <w:p w14:paraId="6CB85D70">
      <w:pPr>
        <w:widowControl w:val="0"/>
        <w:spacing w:line="360" w:lineRule="auto"/>
        <w:ind w:firstLine="480" w:firstLineChars="200"/>
      </w:pPr>
      <w:r>
        <w:rPr>
          <w:rFonts w:hint="eastAsia"/>
        </w:rPr>
        <w:t>（八）存储要求：要求具有独立且符合要求的场所，各类设备、环境布局以及卫生应符合相关要求，卫生状况良好、布局合理及具备配套的设施。</w:t>
      </w:r>
    </w:p>
    <w:p w14:paraId="66017D1F">
      <w:pPr>
        <w:widowControl w:val="0"/>
        <w:spacing w:line="360" w:lineRule="auto"/>
        <w:ind w:firstLine="480" w:firstLineChars="200"/>
      </w:pPr>
      <w:r>
        <w:rPr>
          <w:rFonts w:hint="eastAsia"/>
        </w:rPr>
        <w:t>（九）中标人需提供突发事件（天气、交通、重大事件等因素）时的应急预案。</w:t>
      </w:r>
    </w:p>
    <w:p w14:paraId="6F218900">
      <w:pPr>
        <w:spacing w:line="360" w:lineRule="auto"/>
        <w:rPr>
          <w:rFonts w:hint="eastAsia"/>
        </w:rPr>
      </w:pPr>
      <w:r>
        <w:rPr>
          <w:rFonts w:hint="eastAsia"/>
        </w:rPr>
        <w:t>（九）中标人除不可抗力，不得因其他任何理由延迟送货；采购人如遇特殊情况需推迟送货，应提前通知中标人。每次供货因中标人原因延误交货日期的（采购人要求推迟的除外），按400元/次从待付货款中扣除。</w:t>
      </w:r>
    </w:p>
    <w:p w14:paraId="6BE8DFCF">
      <w:pPr>
        <w:widowControl w:val="0"/>
        <w:spacing w:line="360" w:lineRule="auto"/>
        <w:ind w:firstLine="480" w:firstLineChars="200"/>
      </w:pPr>
      <w:r>
        <w:rPr>
          <w:rFonts w:hint="eastAsia"/>
        </w:rPr>
        <w:t>（十）中标人不得变更供应产品，应严格按采购要求（含商标、名称、产地、规格和重量等）供应，否则，采购人有权拒收；如因市场流通问题确实需要变更的，应书面向采购人申请。</w:t>
      </w:r>
    </w:p>
    <w:p w14:paraId="4E334379">
      <w:pPr>
        <w:widowControl w:val="0"/>
        <w:spacing w:line="360" w:lineRule="auto"/>
        <w:ind w:firstLine="480" w:firstLineChars="200"/>
      </w:pPr>
      <w:r>
        <w:rPr>
          <w:rFonts w:hint="eastAsia"/>
        </w:rPr>
        <w:t>（十一）中标人对采购人常用产品应有一定的储备。</w:t>
      </w:r>
    </w:p>
    <w:p w14:paraId="57B58A22">
      <w:pPr>
        <w:widowControl w:val="0"/>
        <w:spacing w:line="360" w:lineRule="auto"/>
        <w:rPr>
          <w:b/>
          <w:bCs/>
        </w:rPr>
      </w:pPr>
      <w:r>
        <w:rPr>
          <w:rFonts w:hint="eastAsia"/>
          <w:b/>
          <w:bCs/>
        </w:rPr>
        <w:t>六、质量要求</w:t>
      </w:r>
    </w:p>
    <w:p w14:paraId="5EE2D906">
      <w:pPr>
        <w:widowControl w:val="0"/>
        <w:spacing w:line="360" w:lineRule="auto"/>
        <w:ind w:firstLine="480" w:firstLineChars="200"/>
        <w:rPr>
          <w:strike/>
          <w:highlight w:val="lightGray"/>
        </w:rPr>
      </w:pPr>
      <w:r>
        <w:rPr>
          <w:rFonts w:hint="eastAsia"/>
        </w:rPr>
        <w:t>（一）中标人需承诺所供的产品必须符合《中华人民共和国食品安全法》等国家有关法律法规及相关标准，提供相应批次的合格检验证明,保证无异味、无霉烂变质等</w:t>
      </w:r>
      <w:bookmarkStart w:id="53" w:name="OLE_LINK2"/>
      <w:r>
        <w:rPr>
          <w:rFonts w:hint="eastAsia"/>
        </w:rPr>
        <w:t>。</w:t>
      </w:r>
    </w:p>
    <w:bookmarkEnd w:id="53"/>
    <w:p w14:paraId="41D4991E">
      <w:pPr>
        <w:widowControl w:val="0"/>
        <w:spacing w:line="360" w:lineRule="auto"/>
        <w:ind w:firstLine="480" w:firstLineChars="200"/>
      </w:pPr>
      <w:r>
        <w:rPr>
          <w:rFonts w:hint="eastAsia"/>
        </w:rPr>
        <w:t>（二）中标人负责货物的运输、质量检测等工作，所产生的费用由中标人负责。</w:t>
      </w:r>
    </w:p>
    <w:p w14:paraId="6AA31055">
      <w:pPr>
        <w:widowControl w:val="0"/>
        <w:spacing w:line="360" w:lineRule="auto"/>
        <w:ind w:firstLine="480" w:firstLineChars="200"/>
      </w:pPr>
      <w:r>
        <w:rPr>
          <w:rFonts w:hint="eastAsia"/>
        </w:rPr>
        <w:t>（三）</w:t>
      </w:r>
      <w:r>
        <w:rPr>
          <w:rFonts w:hint="eastAsia"/>
          <w:b/>
          <w:bCs/>
        </w:rPr>
        <w:t xml:space="preserve">售后要求： </w:t>
      </w:r>
    </w:p>
    <w:p w14:paraId="501CEB5A">
      <w:pPr>
        <w:widowControl w:val="0"/>
        <w:spacing w:line="360" w:lineRule="auto"/>
        <w:ind w:firstLine="480" w:firstLineChars="200"/>
        <w:rPr>
          <w:strike/>
          <w:highlight w:val="none"/>
        </w:rPr>
      </w:pPr>
      <w:r>
        <w:rPr>
          <w:rFonts w:hint="eastAsia"/>
        </w:rPr>
        <w:t>1.售后</w:t>
      </w:r>
      <w:r>
        <w:rPr>
          <w:rFonts w:hint="eastAsia"/>
          <w:highlight w:val="none"/>
        </w:rPr>
        <w:t xml:space="preserve">服务严格按照国家消费者权益保护法、三包规定执行。 </w:t>
      </w:r>
      <w:r>
        <w:rPr>
          <w:rFonts w:hint="eastAsia"/>
          <w:b/>
          <w:bCs/>
          <w:strike/>
          <w:highlight w:val="none"/>
        </w:rPr>
        <w:t xml:space="preserve"> </w:t>
      </w:r>
    </w:p>
    <w:p w14:paraId="04537CF7">
      <w:pPr>
        <w:widowControl w:val="0"/>
        <w:spacing w:line="360" w:lineRule="auto"/>
        <w:ind w:firstLine="480" w:firstLineChars="200"/>
        <w:rPr>
          <w:rFonts w:hint="eastAsia" w:ascii="宋体" w:hAnsi="宋体"/>
          <w:bCs/>
          <w:highlight w:val="none"/>
        </w:rPr>
      </w:pPr>
      <w:r>
        <w:rPr>
          <w:rFonts w:hint="eastAsia"/>
          <w:highlight w:val="none"/>
        </w:rPr>
        <w:t>2.对不符合要求的货品，中标人应无条件退换货；中标人未能履行招标文件和合同条款, 或提供的产品质量及服务与投标文件所承诺的不符，</w:t>
      </w:r>
      <w:r>
        <w:rPr>
          <w:rFonts w:hint="eastAsia" w:ascii="宋体" w:hAnsi="宋体"/>
          <w:bCs/>
          <w:highlight w:val="none"/>
        </w:rPr>
        <w:t>采购人可对中标人进行1000元/次的经济处罚，</w:t>
      </w:r>
      <w:r>
        <w:rPr>
          <w:rFonts w:hint="eastAsia"/>
          <w:highlight w:val="none"/>
        </w:rPr>
        <w:t>产生的扣款从合同待支付货款里扣除</w:t>
      </w:r>
      <w:r>
        <w:rPr>
          <w:rFonts w:hint="eastAsia" w:ascii="宋体" w:hAnsi="宋体"/>
          <w:bCs/>
          <w:highlight w:val="none"/>
        </w:rPr>
        <w:t>。</w:t>
      </w:r>
    </w:p>
    <w:p w14:paraId="384B9A37">
      <w:pPr>
        <w:widowControl w:val="0"/>
        <w:spacing w:line="360" w:lineRule="auto"/>
        <w:ind w:firstLine="480" w:firstLineChars="200"/>
        <w:rPr>
          <w:highlight w:val="none"/>
        </w:rPr>
      </w:pPr>
      <w:r>
        <w:rPr>
          <w:rFonts w:hint="eastAsia"/>
          <w:highlight w:val="none"/>
        </w:rPr>
        <w:t xml:space="preserve">3.如发现中标人提供的产品存在质量问题的，中标人应无条件负责更换，由此产生的一切责任和经济损失均由中标人承担。质量问题包括但不限于： </w:t>
      </w:r>
    </w:p>
    <w:p w14:paraId="4ACF3613">
      <w:pPr>
        <w:widowControl w:val="0"/>
        <w:spacing w:line="360" w:lineRule="auto"/>
        <w:ind w:firstLine="480" w:firstLineChars="200"/>
        <w:rPr>
          <w:highlight w:val="none"/>
        </w:rPr>
      </w:pPr>
      <w:r>
        <w:rPr>
          <w:rFonts w:hint="eastAsia"/>
          <w:highlight w:val="none"/>
        </w:rPr>
        <w:t xml:space="preserve">a、采购人如发现货物出现如结块、颜色不正常、有可疑物品或杂物的； </w:t>
      </w:r>
    </w:p>
    <w:p w14:paraId="00DB9AA5">
      <w:pPr>
        <w:widowControl w:val="0"/>
        <w:spacing w:line="360" w:lineRule="auto"/>
        <w:ind w:firstLine="480" w:firstLineChars="200"/>
        <w:rPr>
          <w:highlight w:val="none"/>
        </w:rPr>
      </w:pPr>
      <w:r>
        <w:rPr>
          <w:rFonts w:hint="eastAsia"/>
          <w:highlight w:val="none"/>
        </w:rPr>
        <w:t xml:space="preserve">b、质监部门发出该品牌货物质量警示的； </w:t>
      </w:r>
    </w:p>
    <w:p w14:paraId="098931A9">
      <w:pPr>
        <w:widowControl w:val="0"/>
        <w:spacing w:line="360" w:lineRule="auto"/>
        <w:ind w:firstLine="480" w:firstLineChars="200"/>
      </w:pPr>
      <w:r>
        <w:rPr>
          <w:rFonts w:hint="eastAsia"/>
        </w:rPr>
        <w:t xml:space="preserve">c、出现有媒体曝光该品牌货物质量警示的。 </w:t>
      </w:r>
    </w:p>
    <w:p w14:paraId="4AAB6FD0">
      <w:pPr>
        <w:widowControl w:val="0"/>
        <w:spacing w:line="360" w:lineRule="auto"/>
        <w:ind w:firstLine="480" w:firstLineChars="200"/>
      </w:pPr>
      <w:r>
        <w:rPr>
          <w:rFonts w:hint="eastAsia"/>
        </w:rPr>
        <w:t>4.若因质量和售后服务原因引起的有投诉的，中标人须立即派专人到现场妥善处理，做好安抚工作和善后事宜，并承担所产生的一切费用。8小时内未处理 投诉的，进行2000元/次经济处罚，产生的扣款从合同待支付货款里扣除。情节严重的，被上级部门通报或者媒体曝光对采购人造成严重负面影响的，除追究中标人的赔偿责任，采购人有权单方终止合同，没收全部履约保证金。</w:t>
      </w:r>
    </w:p>
    <w:p w14:paraId="5F19ABB9">
      <w:pPr>
        <w:widowControl w:val="0"/>
        <w:spacing w:line="360" w:lineRule="auto"/>
        <w:ind w:firstLine="480" w:firstLineChars="200"/>
        <w:rPr>
          <w:rFonts w:hint="eastAsia"/>
        </w:rPr>
      </w:pPr>
      <w:r>
        <w:rPr>
          <w:rFonts w:hint="eastAsia"/>
        </w:rPr>
        <w:t>5.如因所供产品本身问题造成人员身体不适、身体伤害、食物中毒或肠道病等不良后果及经济损失的，中标人应立即响应，并在4小时内指派专人到现场妥善处理，做好安抚工作和善后事宜，并承担所产生的一切治疗费、赔偿由此发生的一切经济损失，如未及时给予处理的，采购人有权单方终止合同，没收全部履约保证金。</w:t>
      </w:r>
    </w:p>
    <w:p w14:paraId="458202C7">
      <w:pPr>
        <w:widowControl w:val="0"/>
        <w:spacing w:line="360" w:lineRule="auto"/>
        <w:rPr>
          <w:b/>
          <w:bCs/>
        </w:rPr>
      </w:pPr>
      <w:r>
        <w:rPr>
          <w:rFonts w:hint="eastAsia"/>
          <w:b/>
          <w:bCs/>
        </w:rPr>
        <w:t>七、服务要求</w:t>
      </w:r>
    </w:p>
    <w:p w14:paraId="30D47F9F">
      <w:pPr>
        <w:widowControl w:val="0"/>
        <w:spacing w:line="360" w:lineRule="auto"/>
        <w:ind w:firstLine="480" w:firstLineChars="200"/>
      </w:pPr>
      <w:r>
        <w:rPr>
          <w:rFonts w:hint="eastAsia"/>
        </w:rPr>
        <w:t>（一）中标人不得将中标项目转包、分包。否则，采购人有权单方终止合同，由此产生的一切经济损失由中标人自行承担。</w:t>
      </w:r>
    </w:p>
    <w:p w14:paraId="15472184">
      <w:pPr>
        <w:widowControl w:val="0"/>
        <w:spacing w:line="360" w:lineRule="auto"/>
        <w:ind w:firstLine="480" w:firstLineChars="200"/>
      </w:pPr>
      <w:r>
        <w:rPr>
          <w:rFonts w:hint="eastAsia"/>
        </w:rPr>
        <w:t>（二）由于采购人工作的特殊性，中标人应做好本单位工作人员的教育工作，遵守采购人各项规定。</w:t>
      </w:r>
    </w:p>
    <w:p w14:paraId="5B78A6CC">
      <w:pPr>
        <w:widowControl w:val="0"/>
        <w:spacing w:line="360" w:lineRule="auto"/>
        <w:ind w:firstLine="480" w:firstLineChars="200"/>
      </w:pPr>
      <w:r>
        <w:rPr>
          <w:rFonts w:hint="eastAsia"/>
        </w:rPr>
        <w:t>（三）要求中标人具有采购管理制度、仓库管理制度以及发货配送制度等完善的管理制度。</w:t>
      </w:r>
    </w:p>
    <w:p w14:paraId="1DE9F20F">
      <w:pPr>
        <w:widowControl w:val="0"/>
        <w:spacing w:line="360" w:lineRule="auto"/>
        <w:ind w:firstLine="480" w:firstLineChars="200"/>
      </w:pPr>
      <w:r>
        <w:rPr>
          <w:rFonts w:hint="eastAsia"/>
        </w:rPr>
        <w:t>（四）中标人应指定专职项目管理人员，与采购人具体工作需求进行对接。管理人员应有一定的管理经验，具备一定沟通能力，能确保本项目工作的顺利开展。</w:t>
      </w:r>
    </w:p>
    <w:p w14:paraId="793D87F3">
      <w:pPr>
        <w:widowControl w:val="0"/>
        <w:spacing w:line="360" w:lineRule="auto"/>
        <w:rPr>
          <w:b/>
          <w:bCs/>
        </w:rPr>
      </w:pPr>
      <w:r>
        <w:rPr>
          <w:rFonts w:hint="eastAsia"/>
          <w:b/>
          <w:bCs/>
        </w:rPr>
        <w:t>八、验收要求</w:t>
      </w:r>
    </w:p>
    <w:p w14:paraId="23EC0E6A">
      <w:pPr>
        <w:widowControl w:val="0"/>
        <w:spacing w:line="360" w:lineRule="auto"/>
        <w:ind w:firstLine="480" w:firstLineChars="200"/>
        <w:rPr>
          <w:rFonts w:hint="eastAsia"/>
        </w:rPr>
      </w:pPr>
      <w:r>
        <w:rPr>
          <w:rFonts w:hint="eastAsia"/>
        </w:rPr>
        <w:t>采购人</w:t>
      </w:r>
      <w:r>
        <w:t>对</w:t>
      </w:r>
      <w:r>
        <w:rPr>
          <w:rFonts w:hint="eastAsia"/>
        </w:rPr>
        <w:t>中标人</w:t>
      </w:r>
      <w:r>
        <w:t>提交的货物依据</w:t>
      </w:r>
      <w:r>
        <w:rPr>
          <w:rFonts w:hint="eastAsia"/>
        </w:rPr>
        <w:t>招标</w:t>
      </w:r>
      <w:r>
        <w:t>文件上的技术规格要求和国家有关质量标准进行现场初步验收，外观、说明书</w:t>
      </w:r>
      <w:r>
        <w:rPr>
          <w:rFonts w:hint="eastAsia"/>
        </w:rPr>
        <w:t>、各项检测报告等，</w:t>
      </w:r>
      <w:r>
        <w:t>符合</w:t>
      </w:r>
      <w:r>
        <w:rPr>
          <w:rFonts w:hint="eastAsia"/>
        </w:rPr>
        <w:t>招标</w:t>
      </w:r>
      <w:r>
        <w:t>文件技术要求的，给予签收，初步验收不合格的不予签收。货到后，</w:t>
      </w:r>
      <w:r>
        <w:rPr>
          <w:rFonts w:hint="eastAsia"/>
        </w:rPr>
        <w:t>采购人</w:t>
      </w:r>
      <w:r>
        <w:t>需在</w:t>
      </w:r>
      <w:r>
        <w:rPr>
          <w:rFonts w:hint="eastAsia"/>
        </w:rPr>
        <w:t xml:space="preserve"> 2</w:t>
      </w:r>
      <w:r>
        <w:t>个工作日内验收。</w:t>
      </w:r>
    </w:p>
    <w:p w14:paraId="0D6B01FA">
      <w:pPr>
        <w:spacing w:line="360" w:lineRule="auto"/>
      </w:pPr>
      <w:r>
        <w:rPr>
          <w:rFonts w:ascii="Segoe UI Symbol" w:hAnsi="Segoe UI Symbol" w:cs="Segoe UI Symbol"/>
        </w:rPr>
        <w:t>★</w:t>
      </w:r>
      <w:r>
        <w:rPr>
          <w:rFonts w:hint="eastAsia"/>
          <w:b/>
          <w:bCs/>
        </w:rPr>
        <w:t>九</w:t>
      </w:r>
      <w:r>
        <w:rPr>
          <w:b/>
          <w:bCs/>
        </w:rPr>
        <w:t>、付款方式</w:t>
      </w:r>
    </w:p>
    <w:bookmarkEnd w:id="47"/>
    <w:p w14:paraId="7F6002D8">
      <w:pPr>
        <w:widowControl w:val="0"/>
        <w:spacing w:line="360" w:lineRule="auto"/>
        <w:ind w:firstLine="480" w:firstLineChars="200"/>
      </w:pPr>
      <w:bookmarkStart w:id="54" w:name="_Toc39239706"/>
      <w:r>
        <w:rPr>
          <w:rFonts w:hint="eastAsia"/>
        </w:rPr>
        <w:t>按月支付，</w:t>
      </w:r>
      <w:r>
        <w:t>批次供货并结算，</w:t>
      </w:r>
      <w:r>
        <w:rPr>
          <w:rFonts w:hint="eastAsia"/>
        </w:rPr>
        <w:t>每批次货物验收合格后，于第二个月月底之前结算前月费用。</w:t>
      </w:r>
      <w:r>
        <w:t>结算价＝实际供货数量*中标单价。中标人在结算合同价款时需提供正式的税务发票。</w:t>
      </w:r>
      <w:bookmarkStart w:id="55" w:name="_Toc93668162"/>
    </w:p>
    <w:p w14:paraId="6232C2F2">
      <w:pPr>
        <w:spacing w:line="360" w:lineRule="auto"/>
        <w:rPr>
          <w:rFonts w:hint="eastAsia"/>
          <w:b/>
          <w:bCs/>
        </w:rPr>
      </w:pPr>
      <w:r>
        <w:rPr>
          <w:rFonts w:hint="eastAsia"/>
          <w:b/>
          <w:bCs/>
        </w:rPr>
        <w:t>十、考核条款</w:t>
      </w:r>
    </w:p>
    <w:p w14:paraId="68382E7B">
      <w:pPr>
        <w:widowControl w:val="0"/>
        <w:spacing w:line="360" w:lineRule="auto"/>
        <w:ind w:firstLine="480" w:firstLineChars="200"/>
        <w:rPr>
          <w:rFonts w:hint="eastAsia"/>
        </w:rPr>
      </w:pPr>
      <w:r>
        <w:rPr>
          <w:rFonts w:hint="eastAsia"/>
        </w:rPr>
        <w:t>考核分100分，每季度考核一次，若有出现考核分低于80分采购人有权终止合同。年度平均考核分≥90分为合同续签前提条件。一个季度内如无送货，则该季度分数取其他季度的平均分。若因产品质量问题(非人为因素)导致意外伤害事件，或造成医院重大损失，作为一票否决项，采购人有权终止合同。</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52"/>
        <w:gridCol w:w="3468"/>
        <w:gridCol w:w="1257"/>
        <w:gridCol w:w="1653"/>
      </w:tblGrid>
      <w:tr w14:paraId="6105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6" w:type="pct"/>
            <w:vAlign w:val="center"/>
          </w:tcPr>
          <w:p w14:paraId="362F693F">
            <w:pPr>
              <w:pStyle w:val="142"/>
              <w:widowControl w:val="0"/>
              <w:spacing w:line="240" w:lineRule="auto"/>
              <w:rPr>
                <w:rFonts w:ascii="宋体" w:hAnsi="宋体" w:eastAsia="宋体" w:cs="宋体"/>
                <w:b/>
                <w:bCs/>
                <w:sz w:val="22"/>
                <w:szCs w:val="22"/>
              </w:rPr>
            </w:pPr>
            <w:r>
              <w:rPr>
                <w:rFonts w:ascii="宋体" w:hAnsi="宋体" w:eastAsia="宋体" w:cs="宋体"/>
                <w:b/>
                <w:bCs/>
                <w:sz w:val="22"/>
                <w:szCs w:val="22"/>
              </w:rPr>
              <w:t>考核内容</w:t>
            </w:r>
          </w:p>
        </w:tc>
        <w:tc>
          <w:tcPr>
            <w:tcW w:w="571" w:type="pct"/>
            <w:vAlign w:val="center"/>
          </w:tcPr>
          <w:p w14:paraId="640AC99C">
            <w:pPr>
              <w:pStyle w:val="142"/>
              <w:widowControl w:val="0"/>
              <w:spacing w:line="240" w:lineRule="auto"/>
              <w:rPr>
                <w:rFonts w:ascii="宋体" w:hAnsi="宋体" w:eastAsia="宋体" w:cs="宋体"/>
                <w:b/>
                <w:bCs/>
                <w:sz w:val="22"/>
                <w:szCs w:val="22"/>
              </w:rPr>
            </w:pPr>
            <w:r>
              <w:rPr>
                <w:rFonts w:ascii="宋体" w:hAnsi="宋体" w:eastAsia="宋体" w:cs="宋体"/>
                <w:b/>
                <w:bCs/>
                <w:sz w:val="22"/>
                <w:szCs w:val="22"/>
              </w:rPr>
              <w:t>分值</w:t>
            </w:r>
          </w:p>
        </w:tc>
        <w:tc>
          <w:tcPr>
            <w:tcW w:w="1882" w:type="pct"/>
            <w:vAlign w:val="center"/>
          </w:tcPr>
          <w:p w14:paraId="43E291B2">
            <w:pPr>
              <w:pStyle w:val="142"/>
              <w:widowControl w:val="0"/>
              <w:spacing w:line="240" w:lineRule="auto"/>
              <w:rPr>
                <w:rFonts w:ascii="宋体" w:hAnsi="宋体" w:eastAsia="宋体" w:cs="宋体"/>
                <w:b/>
                <w:bCs/>
                <w:sz w:val="22"/>
                <w:szCs w:val="22"/>
              </w:rPr>
            </w:pPr>
            <w:r>
              <w:rPr>
                <w:rFonts w:ascii="宋体" w:hAnsi="宋体" w:eastAsia="宋体" w:cs="宋体"/>
                <w:b/>
                <w:bCs/>
                <w:sz w:val="22"/>
                <w:szCs w:val="22"/>
              </w:rPr>
              <w:t>扣分标准</w:t>
            </w:r>
          </w:p>
        </w:tc>
        <w:tc>
          <w:tcPr>
            <w:tcW w:w="682" w:type="pct"/>
            <w:vAlign w:val="center"/>
          </w:tcPr>
          <w:p w14:paraId="5468DC49">
            <w:pPr>
              <w:pStyle w:val="142"/>
              <w:widowControl w:val="0"/>
              <w:spacing w:line="240" w:lineRule="auto"/>
              <w:rPr>
                <w:rFonts w:ascii="宋体" w:hAnsi="宋体" w:eastAsia="宋体" w:cs="宋体"/>
                <w:b/>
                <w:bCs/>
                <w:sz w:val="22"/>
                <w:szCs w:val="22"/>
              </w:rPr>
            </w:pPr>
            <w:r>
              <w:rPr>
                <w:rFonts w:ascii="宋体" w:hAnsi="宋体" w:eastAsia="宋体" w:cs="宋体"/>
                <w:b/>
                <w:bCs/>
                <w:sz w:val="22"/>
                <w:szCs w:val="22"/>
              </w:rPr>
              <w:t>扣分情况</w:t>
            </w:r>
          </w:p>
        </w:tc>
        <w:tc>
          <w:tcPr>
            <w:tcW w:w="897" w:type="pct"/>
            <w:vAlign w:val="center"/>
          </w:tcPr>
          <w:p w14:paraId="1DA910C5">
            <w:pPr>
              <w:pStyle w:val="142"/>
              <w:widowControl w:val="0"/>
              <w:spacing w:line="240" w:lineRule="auto"/>
              <w:rPr>
                <w:rFonts w:ascii="宋体" w:hAnsi="宋体" w:eastAsia="宋体" w:cs="宋体"/>
                <w:b/>
                <w:bCs/>
                <w:sz w:val="22"/>
                <w:szCs w:val="22"/>
              </w:rPr>
            </w:pPr>
            <w:r>
              <w:rPr>
                <w:rFonts w:ascii="宋体" w:hAnsi="宋体" w:eastAsia="宋体" w:cs="宋体"/>
                <w:b/>
                <w:bCs/>
                <w:sz w:val="22"/>
                <w:szCs w:val="22"/>
              </w:rPr>
              <w:t>备注</w:t>
            </w:r>
          </w:p>
        </w:tc>
      </w:tr>
      <w:tr w14:paraId="739A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6" w:type="pct"/>
            <w:vAlign w:val="center"/>
          </w:tcPr>
          <w:p w14:paraId="5C9E7D1B">
            <w:pPr>
              <w:pStyle w:val="142"/>
              <w:widowControl w:val="0"/>
              <w:spacing w:line="240" w:lineRule="auto"/>
              <w:rPr>
                <w:rFonts w:ascii="宋体" w:hAnsi="宋体" w:eastAsia="宋体" w:cs="宋体"/>
                <w:sz w:val="22"/>
                <w:szCs w:val="22"/>
              </w:rPr>
            </w:pPr>
            <w:r>
              <w:rPr>
                <w:rFonts w:ascii="宋体" w:hAnsi="宋体" w:eastAsia="宋体" w:cs="宋体"/>
                <w:sz w:val="22"/>
                <w:szCs w:val="22"/>
              </w:rPr>
              <w:t>送货及时性</w:t>
            </w:r>
          </w:p>
        </w:tc>
        <w:tc>
          <w:tcPr>
            <w:tcW w:w="571" w:type="pct"/>
            <w:vAlign w:val="center"/>
          </w:tcPr>
          <w:p w14:paraId="5021F167">
            <w:pPr>
              <w:pStyle w:val="142"/>
              <w:widowControl w:val="0"/>
              <w:spacing w:line="240" w:lineRule="auto"/>
              <w:rPr>
                <w:rFonts w:ascii="宋体" w:hAnsi="宋体" w:eastAsia="宋体" w:cs="宋体"/>
                <w:sz w:val="22"/>
                <w:szCs w:val="22"/>
              </w:rPr>
            </w:pPr>
            <w:r>
              <w:rPr>
                <w:rFonts w:ascii="宋体" w:hAnsi="宋体" w:eastAsia="宋体" w:cs="宋体"/>
                <w:sz w:val="22"/>
                <w:szCs w:val="22"/>
              </w:rPr>
              <w:t>20</w:t>
            </w:r>
          </w:p>
        </w:tc>
        <w:tc>
          <w:tcPr>
            <w:tcW w:w="1882" w:type="pct"/>
            <w:vAlign w:val="center"/>
          </w:tcPr>
          <w:p w14:paraId="5E2BCFD7">
            <w:pPr>
              <w:pStyle w:val="142"/>
              <w:widowControl w:val="0"/>
              <w:spacing w:line="240" w:lineRule="auto"/>
              <w:rPr>
                <w:rFonts w:ascii="宋体" w:hAnsi="宋体" w:eastAsia="宋体" w:cs="宋体"/>
                <w:sz w:val="22"/>
                <w:szCs w:val="22"/>
              </w:rPr>
            </w:pPr>
            <w:r>
              <w:rPr>
                <w:rFonts w:ascii="宋体" w:hAnsi="宋体" w:eastAsia="宋体" w:cs="宋体"/>
                <w:sz w:val="22"/>
                <w:szCs w:val="22"/>
              </w:rPr>
              <w:t>逾期5-10天(含10天),扣10分；逾期10天以上，扣20分</w:t>
            </w:r>
          </w:p>
        </w:tc>
        <w:tc>
          <w:tcPr>
            <w:tcW w:w="682" w:type="pct"/>
            <w:vAlign w:val="center"/>
          </w:tcPr>
          <w:p w14:paraId="01EE8C96">
            <w:pPr>
              <w:pStyle w:val="142"/>
              <w:widowControl w:val="0"/>
              <w:spacing w:line="240" w:lineRule="auto"/>
              <w:rPr>
                <w:rFonts w:ascii="宋体" w:hAnsi="宋体" w:eastAsia="宋体" w:cs="宋体"/>
                <w:sz w:val="22"/>
                <w:szCs w:val="22"/>
              </w:rPr>
            </w:pPr>
          </w:p>
        </w:tc>
        <w:tc>
          <w:tcPr>
            <w:tcW w:w="897" w:type="pct"/>
            <w:vAlign w:val="center"/>
          </w:tcPr>
          <w:p w14:paraId="25042401">
            <w:pPr>
              <w:pStyle w:val="142"/>
              <w:widowControl w:val="0"/>
              <w:spacing w:line="240" w:lineRule="auto"/>
              <w:rPr>
                <w:rFonts w:ascii="宋体" w:hAnsi="宋体" w:eastAsia="宋体" w:cs="宋体"/>
                <w:sz w:val="22"/>
                <w:szCs w:val="22"/>
              </w:rPr>
            </w:pPr>
          </w:p>
        </w:tc>
      </w:tr>
      <w:tr w14:paraId="1815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66" w:type="pct"/>
            <w:vAlign w:val="center"/>
          </w:tcPr>
          <w:p w14:paraId="3B7B7CE8">
            <w:pPr>
              <w:pStyle w:val="142"/>
              <w:widowControl w:val="0"/>
              <w:spacing w:line="240" w:lineRule="auto"/>
              <w:rPr>
                <w:rFonts w:ascii="宋体" w:hAnsi="宋体" w:eastAsia="宋体" w:cs="宋体"/>
                <w:sz w:val="22"/>
                <w:szCs w:val="22"/>
              </w:rPr>
            </w:pPr>
            <w:r>
              <w:rPr>
                <w:rFonts w:ascii="宋体" w:hAnsi="宋体" w:eastAsia="宋体" w:cs="宋体"/>
                <w:sz w:val="22"/>
                <w:szCs w:val="22"/>
              </w:rPr>
              <w:t>问题处理及时性</w:t>
            </w:r>
          </w:p>
        </w:tc>
        <w:tc>
          <w:tcPr>
            <w:tcW w:w="571" w:type="pct"/>
            <w:vAlign w:val="center"/>
          </w:tcPr>
          <w:p w14:paraId="6AAD7B64">
            <w:pPr>
              <w:pStyle w:val="142"/>
              <w:widowControl w:val="0"/>
              <w:spacing w:line="240" w:lineRule="auto"/>
              <w:rPr>
                <w:rFonts w:ascii="宋体" w:hAnsi="宋体" w:eastAsia="宋体" w:cs="宋体"/>
                <w:sz w:val="22"/>
                <w:szCs w:val="22"/>
              </w:rPr>
            </w:pPr>
            <w:r>
              <w:rPr>
                <w:rFonts w:ascii="宋体" w:hAnsi="宋体" w:eastAsia="宋体" w:cs="宋体"/>
                <w:sz w:val="22"/>
                <w:szCs w:val="22"/>
              </w:rPr>
              <w:t>20</w:t>
            </w:r>
          </w:p>
        </w:tc>
        <w:tc>
          <w:tcPr>
            <w:tcW w:w="1882" w:type="pct"/>
            <w:vAlign w:val="center"/>
          </w:tcPr>
          <w:p w14:paraId="0E025441">
            <w:pPr>
              <w:pStyle w:val="142"/>
              <w:widowControl w:val="0"/>
              <w:spacing w:line="240" w:lineRule="auto"/>
              <w:rPr>
                <w:rFonts w:ascii="宋体" w:hAnsi="宋体" w:eastAsia="宋体" w:cs="宋体"/>
                <w:sz w:val="22"/>
                <w:szCs w:val="22"/>
              </w:rPr>
            </w:pPr>
            <w:r>
              <w:rPr>
                <w:rFonts w:ascii="宋体" w:hAnsi="宋体" w:eastAsia="宋体" w:cs="宋体"/>
                <w:sz w:val="22"/>
                <w:szCs w:val="22"/>
              </w:rPr>
              <w:t>按照合同质保期内容约定，不符合一次扣10分</w:t>
            </w:r>
          </w:p>
        </w:tc>
        <w:tc>
          <w:tcPr>
            <w:tcW w:w="682" w:type="pct"/>
            <w:vAlign w:val="center"/>
          </w:tcPr>
          <w:p w14:paraId="6848FFC9">
            <w:pPr>
              <w:pStyle w:val="142"/>
              <w:widowControl w:val="0"/>
              <w:spacing w:line="240" w:lineRule="auto"/>
              <w:rPr>
                <w:rFonts w:ascii="宋体" w:hAnsi="宋体" w:eastAsia="宋体" w:cs="宋体"/>
                <w:sz w:val="22"/>
                <w:szCs w:val="22"/>
              </w:rPr>
            </w:pPr>
          </w:p>
        </w:tc>
        <w:tc>
          <w:tcPr>
            <w:tcW w:w="897" w:type="pct"/>
            <w:vAlign w:val="center"/>
          </w:tcPr>
          <w:p w14:paraId="3469EA95">
            <w:pPr>
              <w:pStyle w:val="142"/>
              <w:widowControl w:val="0"/>
              <w:spacing w:line="240" w:lineRule="auto"/>
              <w:rPr>
                <w:rFonts w:ascii="宋体" w:hAnsi="宋体" w:eastAsia="宋体" w:cs="宋体"/>
                <w:sz w:val="22"/>
                <w:szCs w:val="22"/>
              </w:rPr>
            </w:pPr>
          </w:p>
        </w:tc>
      </w:tr>
      <w:tr w14:paraId="3BFC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6" w:type="pct"/>
            <w:vAlign w:val="center"/>
          </w:tcPr>
          <w:p w14:paraId="2806000C">
            <w:pPr>
              <w:pStyle w:val="142"/>
              <w:widowControl w:val="0"/>
              <w:spacing w:line="240" w:lineRule="auto"/>
              <w:rPr>
                <w:rFonts w:ascii="宋体" w:hAnsi="宋体" w:eastAsia="宋体" w:cs="宋体"/>
                <w:sz w:val="22"/>
                <w:szCs w:val="22"/>
              </w:rPr>
            </w:pPr>
            <w:r>
              <w:rPr>
                <w:rFonts w:ascii="宋体" w:hAnsi="宋体" w:eastAsia="宋体" w:cs="宋体"/>
                <w:sz w:val="22"/>
                <w:szCs w:val="22"/>
              </w:rPr>
              <w:t>服务水平</w:t>
            </w:r>
          </w:p>
        </w:tc>
        <w:tc>
          <w:tcPr>
            <w:tcW w:w="571" w:type="pct"/>
            <w:vAlign w:val="center"/>
          </w:tcPr>
          <w:p w14:paraId="680F2F20">
            <w:pPr>
              <w:pStyle w:val="142"/>
              <w:widowControl w:val="0"/>
              <w:spacing w:line="240" w:lineRule="auto"/>
              <w:rPr>
                <w:rFonts w:ascii="宋体" w:hAnsi="宋体" w:eastAsia="宋体" w:cs="宋体"/>
                <w:sz w:val="22"/>
                <w:szCs w:val="22"/>
              </w:rPr>
            </w:pPr>
            <w:r>
              <w:rPr>
                <w:rFonts w:ascii="宋体" w:hAnsi="宋体" w:eastAsia="宋体" w:cs="宋体"/>
                <w:sz w:val="22"/>
                <w:szCs w:val="22"/>
              </w:rPr>
              <w:t>20</w:t>
            </w:r>
          </w:p>
        </w:tc>
        <w:tc>
          <w:tcPr>
            <w:tcW w:w="1882" w:type="pct"/>
            <w:vAlign w:val="center"/>
          </w:tcPr>
          <w:p w14:paraId="1A58ED7C">
            <w:pPr>
              <w:pStyle w:val="142"/>
              <w:widowControl w:val="0"/>
              <w:spacing w:line="240" w:lineRule="auto"/>
              <w:rPr>
                <w:rFonts w:ascii="宋体" w:hAnsi="宋体" w:eastAsia="宋体" w:cs="宋体"/>
                <w:sz w:val="22"/>
                <w:szCs w:val="22"/>
              </w:rPr>
            </w:pPr>
            <w:r>
              <w:rPr>
                <w:rFonts w:ascii="宋体" w:hAnsi="宋体" w:eastAsia="宋体" w:cs="宋体"/>
                <w:sz w:val="22"/>
                <w:szCs w:val="22"/>
              </w:rPr>
              <w:t>问题反复出现而未解决，达到3次及以上，一次扣10分</w:t>
            </w:r>
          </w:p>
        </w:tc>
        <w:tc>
          <w:tcPr>
            <w:tcW w:w="682" w:type="pct"/>
            <w:vAlign w:val="center"/>
          </w:tcPr>
          <w:p w14:paraId="4F98B5C2">
            <w:pPr>
              <w:pStyle w:val="142"/>
              <w:widowControl w:val="0"/>
              <w:spacing w:line="240" w:lineRule="auto"/>
              <w:rPr>
                <w:rFonts w:ascii="宋体" w:hAnsi="宋体" w:eastAsia="宋体" w:cs="宋体"/>
                <w:sz w:val="22"/>
                <w:szCs w:val="22"/>
              </w:rPr>
            </w:pPr>
          </w:p>
        </w:tc>
        <w:tc>
          <w:tcPr>
            <w:tcW w:w="897" w:type="pct"/>
            <w:vAlign w:val="center"/>
          </w:tcPr>
          <w:p w14:paraId="06490F47">
            <w:pPr>
              <w:pStyle w:val="142"/>
              <w:widowControl w:val="0"/>
              <w:spacing w:line="240" w:lineRule="auto"/>
              <w:rPr>
                <w:rFonts w:ascii="宋体" w:hAnsi="宋体" w:eastAsia="宋体" w:cs="宋体"/>
                <w:sz w:val="22"/>
                <w:szCs w:val="22"/>
              </w:rPr>
            </w:pPr>
          </w:p>
        </w:tc>
      </w:tr>
      <w:tr w14:paraId="6E97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6" w:type="pct"/>
            <w:vAlign w:val="center"/>
          </w:tcPr>
          <w:p w14:paraId="2D96A378">
            <w:pPr>
              <w:pStyle w:val="142"/>
              <w:widowControl w:val="0"/>
              <w:spacing w:line="240" w:lineRule="auto"/>
              <w:rPr>
                <w:rFonts w:ascii="宋体" w:hAnsi="宋体" w:eastAsia="宋体" w:cs="宋体"/>
                <w:sz w:val="22"/>
                <w:szCs w:val="22"/>
              </w:rPr>
            </w:pPr>
            <w:r>
              <w:rPr>
                <w:rFonts w:ascii="宋体" w:hAnsi="宋体" w:eastAsia="宋体" w:cs="宋体"/>
                <w:sz w:val="22"/>
                <w:szCs w:val="22"/>
              </w:rPr>
              <w:t>服务态度</w:t>
            </w:r>
          </w:p>
        </w:tc>
        <w:tc>
          <w:tcPr>
            <w:tcW w:w="571" w:type="pct"/>
            <w:vAlign w:val="center"/>
          </w:tcPr>
          <w:p w14:paraId="58AE4769">
            <w:pPr>
              <w:pStyle w:val="142"/>
              <w:widowControl w:val="0"/>
              <w:spacing w:line="240" w:lineRule="auto"/>
              <w:rPr>
                <w:rFonts w:ascii="宋体" w:hAnsi="宋体" w:eastAsia="宋体" w:cs="宋体"/>
                <w:sz w:val="22"/>
                <w:szCs w:val="22"/>
              </w:rPr>
            </w:pPr>
            <w:r>
              <w:rPr>
                <w:rFonts w:ascii="宋体" w:hAnsi="宋体" w:eastAsia="宋体" w:cs="宋体"/>
                <w:sz w:val="22"/>
                <w:szCs w:val="22"/>
              </w:rPr>
              <w:t>20</w:t>
            </w:r>
          </w:p>
        </w:tc>
        <w:tc>
          <w:tcPr>
            <w:tcW w:w="1882" w:type="pct"/>
            <w:vAlign w:val="center"/>
          </w:tcPr>
          <w:p w14:paraId="0129C952">
            <w:pPr>
              <w:pStyle w:val="142"/>
              <w:widowControl w:val="0"/>
              <w:spacing w:line="240" w:lineRule="auto"/>
              <w:rPr>
                <w:rFonts w:ascii="宋体" w:hAnsi="宋体" w:eastAsia="宋体" w:cs="宋体"/>
                <w:sz w:val="22"/>
                <w:szCs w:val="22"/>
              </w:rPr>
            </w:pPr>
            <w:r>
              <w:rPr>
                <w:rFonts w:ascii="宋体" w:hAnsi="宋体" w:eastAsia="宋体" w:cs="宋体"/>
                <w:sz w:val="22"/>
                <w:szCs w:val="22"/>
              </w:rPr>
              <w:t>与他人发生争吵、造成恶劣影响的，一经查实每次扣10分</w:t>
            </w:r>
          </w:p>
        </w:tc>
        <w:tc>
          <w:tcPr>
            <w:tcW w:w="682" w:type="pct"/>
            <w:vAlign w:val="center"/>
          </w:tcPr>
          <w:p w14:paraId="6F73D4E5">
            <w:pPr>
              <w:pStyle w:val="142"/>
              <w:widowControl w:val="0"/>
              <w:spacing w:line="240" w:lineRule="auto"/>
              <w:rPr>
                <w:rFonts w:ascii="宋体" w:hAnsi="宋体" w:eastAsia="宋体" w:cs="宋体"/>
                <w:sz w:val="22"/>
                <w:szCs w:val="22"/>
              </w:rPr>
            </w:pPr>
          </w:p>
        </w:tc>
        <w:tc>
          <w:tcPr>
            <w:tcW w:w="897" w:type="pct"/>
            <w:vAlign w:val="center"/>
          </w:tcPr>
          <w:p w14:paraId="4C2ADABC">
            <w:pPr>
              <w:pStyle w:val="142"/>
              <w:widowControl w:val="0"/>
              <w:spacing w:line="240" w:lineRule="auto"/>
              <w:rPr>
                <w:rFonts w:ascii="宋体" w:hAnsi="宋体" w:eastAsia="宋体" w:cs="宋体"/>
                <w:sz w:val="22"/>
                <w:szCs w:val="22"/>
              </w:rPr>
            </w:pPr>
          </w:p>
        </w:tc>
      </w:tr>
      <w:tr w14:paraId="787D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6" w:type="pct"/>
            <w:vAlign w:val="center"/>
          </w:tcPr>
          <w:p w14:paraId="504C4931">
            <w:pPr>
              <w:pStyle w:val="142"/>
              <w:widowControl w:val="0"/>
              <w:spacing w:line="240" w:lineRule="auto"/>
              <w:rPr>
                <w:rFonts w:ascii="宋体" w:hAnsi="宋体" w:eastAsia="宋体" w:cs="宋体"/>
                <w:sz w:val="22"/>
                <w:szCs w:val="22"/>
              </w:rPr>
            </w:pPr>
            <w:r>
              <w:rPr>
                <w:rFonts w:ascii="宋体" w:hAnsi="宋体" w:eastAsia="宋体" w:cs="宋体"/>
                <w:sz w:val="22"/>
                <w:szCs w:val="22"/>
              </w:rPr>
              <w:t>开票准确性</w:t>
            </w:r>
          </w:p>
        </w:tc>
        <w:tc>
          <w:tcPr>
            <w:tcW w:w="571" w:type="pct"/>
            <w:vAlign w:val="center"/>
          </w:tcPr>
          <w:p w14:paraId="6EC0FCDD">
            <w:pPr>
              <w:pStyle w:val="142"/>
              <w:widowControl w:val="0"/>
              <w:spacing w:line="240" w:lineRule="auto"/>
              <w:rPr>
                <w:rFonts w:ascii="宋体" w:hAnsi="宋体" w:eastAsia="宋体" w:cs="宋体"/>
                <w:sz w:val="22"/>
                <w:szCs w:val="22"/>
              </w:rPr>
            </w:pPr>
            <w:r>
              <w:rPr>
                <w:rFonts w:ascii="宋体" w:hAnsi="宋体" w:eastAsia="宋体" w:cs="宋体"/>
                <w:sz w:val="22"/>
                <w:szCs w:val="22"/>
              </w:rPr>
              <w:t>20</w:t>
            </w:r>
          </w:p>
        </w:tc>
        <w:tc>
          <w:tcPr>
            <w:tcW w:w="1882" w:type="pct"/>
            <w:vAlign w:val="center"/>
          </w:tcPr>
          <w:p w14:paraId="0AB09E4B">
            <w:pPr>
              <w:pStyle w:val="142"/>
              <w:widowControl w:val="0"/>
              <w:spacing w:line="240" w:lineRule="auto"/>
              <w:rPr>
                <w:rFonts w:ascii="宋体" w:hAnsi="宋体" w:eastAsia="宋体" w:cs="宋体"/>
                <w:sz w:val="22"/>
                <w:szCs w:val="22"/>
              </w:rPr>
            </w:pPr>
            <w:r>
              <w:rPr>
                <w:rFonts w:ascii="宋体" w:hAnsi="宋体" w:eastAsia="宋体" w:cs="宋体"/>
                <w:sz w:val="22"/>
                <w:szCs w:val="22"/>
              </w:rPr>
              <w:t>发票出现一处错误，扣5分</w:t>
            </w:r>
          </w:p>
        </w:tc>
        <w:tc>
          <w:tcPr>
            <w:tcW w:w="682" w:type="pct"/>
            <w:vAlign w:val="center"/>
          </w:tcPr>
          <w:p w14:paraId="4389E06C">
            <w:pPr>
              <w:pStyle w:val="142"/>
              <w:widowControl w:val="0"/>
              <w:spacing w:line="240" w:lineRule="auto"/>
              <w:rPr>
                <w:rFonts w:ascii="宋体" w:hAnsi="宋体" w:eastAsia="宋体" w:cs="宋体"/>
                <w:sz w:val="22"/>
                <w:szCs w:val="22"/>
              </w:rPr>
            </w:pPr>
          </w:p>
        </w:tc>
        <w:tc>
          <w:tcPr>
            <w:tcW w:w="897" w:type="pct"/>
            <w:vAlign w:val="center"/>
          </w:tcPr>
          <w:p w14:paraId="1257C5F0">
            <w:pPr>
              <w:pStyle w:val="142"/>
              <w:widowControl w:val="0"/>
              <w:spacing w:line="240" w:lineRule="auto"/>
              <w:rPr>
                <w:rFonts w:ascii="宋体" w:hAnsi="宋体" w:eastAsia="宋体" w:cs="宋体"/>
                <w:sz w:val="22"/>
                <w:szCs w:val="22"/>
              </w:rPr>
            </w:pPr>
          </w:p>
        </w:tc>
      </w:tr>
      <w:bookmarkEnd w:id="50"/>
    </w:tbl>
    <w:p w14:paraId="073D50F7">
      <w:pPr>
        <w:pStyle w:val="2"/>
        <w:ind w:left="0" w:leftChars="0" w:firstLine="0" w:firstLineChars="0"/>
        <w:sectPr>
          <w:pgSz w:w="11906" w:h="16838"/>
          <w:pgMar w:top="1259" w:right="1287" w:bottom="1361" w:left="1622" w:header="709" w:footer="971" w:gutter="0"/>
          <w:cols w:space="720" w:num="1"/>
          <w:docGrid w:linePitch="360" w:charSpace="0"/>
        </w:sectPr>
      </w:pPr>
    </w:p>
    <w:p w14:paraId="13BA7DE7">
      <w:pPr>
        <w:pStyle w:val="6"/>
        <w:spacing w:before="120" w:after="240" w:line="240" w:lineRule="auto"/>
        <w:jc w:val="center"/>
        <w:rPr>
          <w:rFonts w:hint="eastAsia" w:ascii="宋体" w:hAnsi="宋体"/>
        </w:rPr>
      </w:pPr>
      <w:r>
        <w:rPr>
          <w:rFonts w:ascii="宋体" w:hAnsi="宋体"/>
        </w:rPr>
        <w:t>第四章  投标人须知</w:t>
      </w:r>
      <w:bookmarkEnd w:id="54"/>
      <w:bookmarkEnd w:id="55"/>
    </w:p>
    <w:p w14:paraId="2391B9E0">
      <w:pPr>
        <w:pStyle w:val="26"/>
        <w:widowControl w:val="0"/>
        <w:adjustRightInd w:val="0"/>
        <w:snapToGrid w:val="0"/>
        <w:spacing w:before="0" w:beforeAutospacing="0" w:after="0" w:afterAutospacing="0" w:line="360" w:lineRule="auto"/>
        <w:ind w:firstLine="540" w:firstLineChars="224"/>
        <w:jc w:val="both"/>
        <w:rPr>
          <w:rFonts w:ascii="Times New Roman" w:hAnsi="Times New Roman"/>
          <w:b/>
          <w:bCs/>
        </w:rPr>
      </w:pPr>
      <w:bookmarkStart w:id="56" w:name="_Toc198712702"/>
      <w:r>
        <w:rPr>
          <w:rFonts w:ascii="Times New Roman" w:hAnsi="Times New Roman"/>
          <w:b/>
          <w:bCs/>
        </w:rPr>
        <w:t>一、总则</w:t>
      </w:r>
    </w:p>
    <w:p w14:paraId="35A5CBD8">
      <w:pPr>
        <w:widowControl w:val="0"/>
        <w:adjustRightInd w:val="0"/>
        <w:snapToGrid w:val="0"/>
        <w:spacing w:line="360" w:lineRule="auto"/>
        <w:ind w:firstLine="537" w:firstLineChars="224"/>
      </w:pPr>
      <w:r>
        <w:t>（一）适用范围</w:t>
      </w:r>
    </w:p>
    <w:p w14:paraId="0F261E87">
      <w:pPr>
        <w:widowControl w:val="0"/>
        <w:adjustRightInd w:val="0"/>
        <w:snapToGrid w:val="0"/>
        <w:spacing w:line="360" w:lineRule="auto"/>
        <w:ind w:firstLine="537" w:firstLineChars="224"/>
      </w:pPr>
      <w:r>
        <w:t>本招标文件适用于该项目的招标、投标、开标、资格审查及信用信息查询、评标、定标、合同、验收等行为（法律、法规另有规定的，从其规定）。</w:t>
      </w:r>
    </w:p>
    <w:p w14:paraId="61FDB314">
      <w:pPr>
        <w:widowControl w:val="0"/>
        <w:adjustRightInd w:val="0"/>
        <w:snapToGrid w:val="0"/>
        <w:spacing w:line="360" w:lineRule="auto"/>
        <w:ind w:firstLine="537" w:firstLineChars="224"/>
      </w:pPr>
      <w:r>
        <w:t>（二）定义</w:t>
      </w:r>
    </w:p>
    <w:p w14:paraId="417F6B0E">
      <w:pPr>
        <w:widowControl w:val="0"/>
        <w:adjustRightInd w:val="0"/>
        <w:snapToGrid w:val="0"/>
        <w:spacing w:line="360" w:lineRule="auto"/>
        <w:ind w:firstLine="537" w:firstLineChars="224"/>
      </w:pPr>
      <w:r>
        <w:t>1.“采购人”系指金华市中心医院、金华市妇幼保健院。</w:t>
      </w:r>
    </w:p>
    <w:p w14:paraId="34BFC497">
      <w:pPr>
        <w:widowControl w:val="0"/>
        <w:adjustRightInd w:val="0"/>
        <w:snapToGrid w:val="0"/>
        <w:spacing w:line="360" w:lineRule="auto"/>
        <w:ind w:firstLine="537" w:firstLineChars="224"/>
      </w:pPr>
      <w:r>
        <w:t>2.“投标人”系指是指响应招标、参加投标竞争的法人、其他组织或者自然人。</w:t>
      </w:r>
    </w:p>
    <w:p w14:paraId="69B306F8">
      <w:pPr>
        <w:widowControl w:val="0"/>
        <w:adjustRightInd w:val="0"/>
        <w:snapToGrid w:val="0"/>
        <w:spacing w:line="360" w:lineRule="auto"/>
        <w:ind w:firstLine="537" w:firstLineChars="224"/>
      </w:pPr>
      <w:r>
        <w:t>3.“代理机构”系指组织招标活动的浙江金华阳光招标代理有限公司。</w:t>
      </w:r>
    </w:p>
    <w:p w14:paraId="7A2354AE">
      <w:pPr>
        <w:widowControl w:val="0"/>
        <w:adjustRightInd w:val="0"/>
        <w:snapToGrid w:val="0"/>
        <w:spacing w:line="360" w:lineRule="auto"/>
        <w:ind w:firstLine="537" w:firstLineChars="224"/>
      </w:pPr>
      <w:r>
        <w:t>4.“负责人”系指法人企业的法定负责人，或其他组织为法律、行政法规规定代表单位行使职权的主要负责人，或自然人本人。</w:t>
      </w:r>
    </w:p>
    <w:p w14:paraId="1AB5AEAC">
      <w:pPr>
        <w:widowControl w:val="0"/>
        <w:adjustRightInd w:val="0"/>
        <w:snapToGrid w:val="0"/>
        <w:spacing w:line="360" w:lineRule="auto"/>
        <w:ind w:firstLine="537" w:firstLineChars="224"/>
      </w:pPr>
      <w:r>
        <w:t>5.“货物”系指招标文件规定投标人须向采购人提供的</w:t>
      </w:r>
      <w:r>
        <w:rPr>
          <w:rFonts w:hint="eastAsia"/>
        </w:rPr>
        <w:t>减重医用食品</w:t>
      </w:r>
      <w:r>
        <w:t>，详见数量及技术需求明细清单。</w:t>
      </w:r>
    </w:p>
    <w:p w14:paraId="6F786E42">
      <w:pPr>
        <w:widowControl w:val="0"/>
        <w:adjustRightInd w:val="0"/>
        <w:snapToGrid w:val="0"/>
        <w:spacing w:line="360" w:lineRule="auto"/>
        <w:ind w:firstLine="537" w:firstLineChars="224"/>
      </w:pPr>
      <w:r>
        <w:t>6.“服务”系指招标文件规定投标人须承担的运输、送货、培训、质保以及其他与本项目有关的辅助服务。</w:t>
      </w:r>
    </w:p>
    <w:p w14:paraId="3847D672">
      <w:pPr>
        <w:widowControl w:val="0"/>
        <w:adjustRightInd w:val="0"/>
        <w:snapToGrid w:val="0"/>
        <w:spacing w:line="360" w:lineRule="auto"/>
        <w:ind w:firstLine="537" w:firstLineChars="224"/>
      </w:pPr>
      <w:r>
        <w:t>7. “电子签章”系指数据电文中以电子形式所含、所附用于识别签名人身份并表明签名人认可其中内容的数据</w:t>
      </w:r>
      <w:r>
        <w:rPr>
          <w:rFonts w:hint="eastAsia"/>
        </w:rPr>
        <w:t>。投标人在投标文件中的公章均为C</w:t>
      </w:r>
      <w:r>
        <w:t>A</w:t>
      </w:r>
      <w:r>
        <w:rPr>
          <w:rFonts w:hint="eastAsia"/>
        </w:rPr>
        <w:t>“电子签章”。本招标文件所涉及的法定代表人或其授权代表签字或盖章的容，如果投标单位没有法定代表人电子签章，涉及到法定代表或其授权代表签字或盖章的内容，投标单位可以线下签字或盖章后扫描上传。</w:t>
      </w:r>
    </w:p>
    <w:p w14:paraId="45727F05">
      <w:pPr>
        <w:widowControl w:val="0"/>
        <w:adjustRightInd w:val="0"/>
        <w:snapToGrid w:val="0"/>
        <w:spacing w:line="360" w:lineRule="auto"/>
        <w:ind w:firstLine="537" w:firstLineChars="224"/>
      </w:pPr>
      <w:r>
        <w:t>8.“电子交易平台”是指本项目政府采购活动所依托的政府采购云平台（https://www.zcygov.cn/）。</w:t>
      </w:r>
    </w:p>
    <w:p w14:paraId="17953B33">
      <w:pPr>
        <w:widowControl w:val="0"/>
        <w:adjustRightInd w:val="0"/>
        <w:snapToGrid w:val="0"/>
        <w:spacing w:line="360" w:lineRule="auto"/>
        <w:ind w:firstLine="537" w:firstLineChars="224"/>
      </w:pPr>
      <w:r>
        <w:t>9.“</w:t>
      </w:r>
      <w:r>
        <w:rPr>
          <w:rFonts w:ascii="Segoe UI Symbol" w:hAnsi="Segoe UI Symbol" w:cs="Segoe UI Symbol"/>
        </w:rPr>
        <w:t>★</w:t>
      </w:r>
      <w:r>
        <w:t>”系指实质性要求条款，“▲” 系指重要条款，“</w:t>
      </w:r>
      <w:r>
        <w:rPr>
          <w:rFonts w:ascii="Segoe UI Symbol" w:hAnsi="Segoe UI Symbol" w:eastAsia="仿宋_GB2312" w:cs="Segoe UI Symbol"/>
        </w:rPr>
        <w:t>☑</w:t>
      </w:r>
      <w:r>
        <w:t>” 系指适用本项目的要求，“</w:t>
      </w:r>
      <w:r>
        <w:rPr>
          <w:rFonts w:ascii="Segoe UI Symbol" w:hAnsi="Segoe UI Symbol" w:cs="Segoe UI Symbol"/>
        </w:rPr>
        <w:t>☐</w:t>
      </w:r>
      <w:r>
        <w:t>” 系指不适用本项目的要求。</w:t>
      </w:r>
    </w:p>
    <w:p w14:paraId="26B5193A">
      <w:pPr>
        <w:widowControl w:val="0"/>
        <w:adjustRightInd w:val="0"/>
        <w:snapToGrid w:val="0"/>
        <w:spacing w:line="360" w:lineRule="auto"/>
        <w:ind w:firstLine="540" w:firstLineChars="224"/>
        <w:rPr>
          <w:b/>
          <w:bCs/>
        </w:rPr>
      </w:pPr>
      <w:r>
        <w:rPr>
          <w:b/>
          <w:bCs/>
        </w:rPr>
        <w:t>（三）采购项目需要落实的政府采购政策</w:t>
      </w:r>
    </w:p>
    <w:p w14:paraId="70ED1362">
      <w:pPr>
        <w:widowControl w:val="0"/>
        <w:adjustRightInd w:val="0"/>
        <w:snapToGrid w:val="0"/>
        <w:spacing w:line="360" w:lineRule="auto"/>
        <w:ind w:firstLine="537" w:firstLineChars="224"/>
      </w:pPr>
      <w:r>
        <w:t>1.支持中小企业发展</w:t>
      </w:r>
    </w:p>
    <w:p w14:paraId="0860C289">
      <w:pPr>
        <w:widowControl w:val="0"/>
        <w:adjustRightInd w:val="0"/>
        <w:snapToGrid w:val="0"/>
        <w:spacing w:line="360" w:lineRule="auto"/>
        <w:ind w:firstLine="537" w:firstLineChars="224"/>
      </w:pPr>
      <w:r>
        <w:t>1.1中小企业，是指在中华人民共和国境内依法设立，依据国务院批准的中小企业划分标准确定的中型企业、小型企业和微型企业，但与大企业的负责人为同一人，或者与大企业存在直接控股、管理关系的除外。</w:t>
      </w:r>
    </w:p>
    <w:p w14:paraId="034EEA5F">
      <w:pPr>
        <w:widowControl w:val="0"/>
        <w:adjustRightInd w:val="0"/>
        <w:snapToGrid w:val="0"/>
        <w:spacing w:line="360" w:lineRule="auto"/>
        <w:ind w:firstLine="537" w:firstLineChars="224"/>
      </w:pPr>
      <w:r>
        <w:t>符合中小企业划分标准的个体工商户，在政府采购活动中视同中小企业。</w:t>
      </w:r>
    </w:p>
    <w:p w14:paraId="0606A63A">
      <w:pPr>
        <w:widowControl w:val="0"/>
        <w:adjustRightInd w:val="0"/>
        <w:snapToGrid w:val="0"/>
        <w:spacing w:line="360" w:lineRule="auto"/>
        <w:ind w:firstLine="537" w:firstLineChars="224"/>
      </w:pPr>
      <w:r>
        <w:t>1.2在政府采购活动中，投标人提供的货物、工程或者服务符合下列情形的，享受中小企业扶持政策：</w:t>
      </w:r>
    </w:p>
    <w:p w14:paraId="7A56A460">
      <w:pPr>
        <w:widowControl w:val="0"/>
        <w:adjustRightInd w:val="0"/>
        <w:snapToGrid w:val="0"/>
        <w:spacing w:line="360" w:lineRule="auto"/>
        <w:ind w:firstLine="537" w:firstLineChars="224"/>
      </w:pPr>
      <w:r>
        <w:t>在服务采购项目中，服务由中小企业承接，即提供服务的人员为中小企业依照《中华人民共和国劳动合同法》订立劳动合同的从业人员。</w:t>
      </w:r>
    </w:p>
    <w:p w14:paraId="262DDD17">
      <w:pPr>
        <w:widowControl w:val="0"/>
        <w:adjustRightInd w:val="0"/>
        <w:snapToGrid w:val="0"/>
        <w:spacing w:line="360" w:lineRule="auto"/>
        <w:ind w:firstLine="537" w:firstLineChars="224"/>
      </w:pPr>
      <w:r>
        <w:t>以联合体形式参加政府采购活动，联合体各方均为中小企业的，联合体视同中小企业。其中，联合体各方均为小微企业的，联合体视同小微企业。</w:t>
      </w:r>
    </w:p>
    <w:p w14:paraId="344AD083">
      <w:pPr>
        <w:widowControl w:val="0"/>
        <w:adjustRightInd w:val="0"/>
        <w:snapToGrid w:val="0"/>
        <w:spacing w:line="360" w:lineRule="auto"/>
        <w:ind w:firstLine="537" w:firstLineChars="224"/>
      </w:pPr>
      <w:r>
        <w:t>1.3符合《关于促进残疾人就业政府采购政策的通知》（财库〔2017〕141号）规定的条件并提供《残疾人福利性单位声明函》的残疾人福利性单位视同小型、微型企业；</w:t>
      </w:r>
    </w:p>
    <w:p w14:paraId="14AE6DB3">
      <w:pPr>
        <w:widowControl w:val="0"/>
        <w:adjustRightInd w:val="0"/>
        <w:snapToGrid w:val="0"/>
        <w:spacing w:line="360" w:lineRule="auto"/>
        <w:ind w:firstLine="537" w:firstLineChars="224"/>
      </w:pPr>
      <w: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42BDA407">
      <w:pPr>
        <w:widowControl w:val="0"/>
        <w:adjustRightInd w:val="0"/>
        <w:snapToGrid w:val="0"/>
        <w:spacing w:line="360" w:lineRule="auto"/>
        <w:ind w:firstLine="537" w:firstLineChars="224"/>
      </w:pPr>
      <w:r>
        <w:t>1.5可享受中小企业扶持政策的投标人应按照采购文件格式要求提供《中小企业声明函》，投标人提供的《中小企业声明函》与实际情况不符的，不享受中小企业扶持政策。声明内容不实的，属于提供虚假材料谋取成交、成交的，依法承担法律责任。</w:t>
      </w:r>
    </w:p>
    <w:p w14:paraId="0B2B4D4B">
      <w:pPr>
        <w:widowControl w:val="0"/>
        <w:adjustRightInd w:val="0"/>
        <w:snapToGrid w:val="0"/>
        <w:spacing w:line="360" w:lineRule="auto"/>
        <w:ind w:firstLine="537" w:firstLineChars="224"/>
      </w:pPr>
      <w:r>
        <w:t>1.6中小企业享受扶持政策获得政府采购合同的，小微企业不得将合同分包给大中型企业，中型企业不得将合同分包给大型企业。</w:t>
      </w:r>
    </w:p>
    <w:p w14:paraId="4DD4BC7C">
      <w:pPr>
        <w:widowControl w:val="0"/>
        <w:adjustRightInd w:val="0"/>
        <w:snapToGrid w:val="0"/>
        <w:spacing w:line="360" w:lineRule="auto"/>
        <w:ind w:firstLine="537" w:firstLineChars="224"/>
      </w:pPr>
      <w:r>
        <w:t>1.7</w:t>
      </w:r>
      <w:r>
        <w:rPr>
          <w:bCs/>
        </w:rPr>
        <w:t>根据财库[2020]46 号文件《政府采购促进中小企业发展管理办法》和财库[2022]19号文件《关于进一步加大政府采购支持中小企业力度的通知》的要求，对小型和微型企业服务的价格给予</w:t>
      </w:r>
      <w:r>
        <w:rPr>
          <w:rFonts w:hint="eastAsia"/>
          <w:bCs/>
        </w:rPr>
        <w:t>1</w:t>
      </w:r>
      <w:r>
        <w:rPr>
          <w:bCs/>
        </w:rPr>
        <w:t>0%扣除，用扣除后的价格参与评审（需主动提供小微企业声明函，否则不予扣），</w:t>
      </w:r>
      <w:r>
        <w:t>对于联合协议或者分包意向协议约定小微企业的合同份额占到合同总金额30%以上的，评审优惠幅度为6%</w:t>
      </w:r>
      <w:r>
        <w:rPr>
          <w:bCs/>
        </w:rPr>
        <w:t>。监狱企业提供由省级以上监狱管理局、戒毒管理局（含新疆生产建设兵团）出具的监狱企业的证明文件视同小微企业，残疾人福利性企业提供《残疾人福利性单位声明函》的视同小微企业，同样享受上述优惠扣除。</w:t>
      </w:r>
      <w:r>
        <w:t>政府采购工程的价格评审优惠按照财库〔2020〕46号文件的规定执行。</w:t>
      </w:r>
    </w:p>
    <w:p w14:paraId="4BB5D477">
      <w:pPr>
        <w:widowControl w:val="0"/>
        <w:adjustRightInd w:val="0"/>
        <w:snapToGrid w:val="0"/>
        <w:spacing w:line="360" w:lineRule="auto"/>
        <w:ind w:firstLine="537" w:firstLineChars="224"/>
      </w:pPr>
      <w:r>
        <w:t>（</w:t>
      </w:r>
      <w:r>
        <w:rPr>
          <w:rFonts w:hint="eastAsia"/>
        </w:rPr>
        <w:t>四</w:t>
      </w:r>
      <w:r>
        <w:t>）投标费用</w:t>
      </w:r>
    </w:p>
    <w:p w14:paraId="35D1703E">
      <w:pPr>
        <w:spacing w:line="360" w:lineRule="auto"/>
        <w:ind w:firstLine="482" w:firstLineChars="200"/>
        <w:jc w:val="both"/>
        <w:rPr>
          <w:b/>
          <w:bCs/>
        </w:rPr>
      </w:pPr>
      <w:r>
        <w:rPr>
          <w:rFonts w:hint="eastAsia"/>
          <w:b/>
          <w:bCs/>
        </w:rPr>
        <w:t>无论投标过程中的做法和结果如何，投标人自行承担所有与参加投标有关的费用，投标人取得中标资格后，须向招标代理机构支付成交服务费（详见前附表）。因中标人原因放弃中标资格的，须正常向代理机构支付服务费，并由代理机构上报财政，作相应处理。招标代理机构和中标人之间发生的任何争议，双方均可通过和解或者调解解决；不愿和解、调解或者和解、调解不成的，可以向招标代理机构所在地人民法院起诉。</w:t>
      </w:r>
    </w:p>
    <w:p w14:paraId="50A2A2B4">
      <w:pPr>
        <w:spacing w:line="360" w:lineRule="auto"/>
        <w:ind w:firstLine="480" w:firstLineChars="200"/>
        <w:jc w:val="both"/>
      </w:pPr>
      <w:r>
        <w:t>（</w:t>
      </w:r>
      <w:r>
        <w:rPr>
          <w:rFonts w:hint="eastAsia"/>
        </w:rPr>
        <w:t>五</w:t>
      </w:r>
      <w:r>
        <w:t>）特别说明：</w:t>
      </w:r>
    </w:p>
    <w:p w14:paraId="3019208E">
      <w:pPr>
        <w:spacing w:line="360" w:lineRule="auto"/>
        <w:ind w:firstLine="480" w:firstLineChars="200"/>
        <w:jc w:val="both"/>
      </w:pPr>
      <w:r>
        <w:t>1.投标人投标所使用的资格、信誉、荣誉、业绩与企业认证必须为本法人所拥有。</w:t>
      </w:r>
    </w:p>
    <w:p w14:paraId="118EE911">
      <w:pPr>
        <w:spacing w:line="360" w:lineRule="auto"/>
        <w:ind w:firstLine="480" w:firstLineChars="200"/>
        <w:jc w:val="both"/>
      </w:pPr>
      <w:r>
        <w:rPr>
          <w:rFonts w:hint="eastAsia"/>
        </w:rPr>
        <w:t>2</w:t>
      </w:r>
      <w:r>
        <w:t>.投标人应仔细阅读</w:t>
      </w:r>
      <w:r>
        <w:rPr>
          <w:u w:val="thick" w:color="FFFFFF"/>
        </w:rPr>
        <w:t>招标文件</w:t>
      </w:r>
      <w:r>
        <w:t>的所有内容，按</w:t>
      </w:r>
      <w:r>
        <w:rPr>
          <w:u w:val="thick" w:color="FFFFFF"/>
        </w:rPr>
        <w:t>招标文件</w:t>
      </w:r>
      <w:r>
        <w:t>的要求提供投标文件，并保证所提供的全部资料的真实性，以使其投标对</w:t>
      </w:r>
      <w:r>
        <w:rPr>
          <w:u w:val="thick" w:color="FFFFFF"/>
        </w:rPr>
        <w:t>招标文件</w:t>
      </w:r>
      <w:r>
        <w:t>的实质性要求做出完全响应，否则其投标将被拒绝。</w:t>
      </w:r>
    </w:p>
    <w:p w14:paraId="0D0C7CAE">
      <w:pPr>
        <w:spacing w:line="360" w:lineRule="auto"/>
        <w:ind w:firstLine="480" w:firstLineChars="200"/>
        <w:jc w:val="both"/>
      </w:pPr>
      <w:r>
        <w:rPr>
          <w:rFonts w:hint="eastAsia"/>
        </w:rPr>
        <w:t>3</w:t>
      </w:r>
      <w:r>
        <w:t>.投标人应按照招标文件要求及有关资料编制投标文件，并保证投标文件的正确性和真实性，所有文件资料必须是针对本次招标。</w:t>
      </w:r>
    </w:p>
    <w:p w14:paraId="196FE1C8">
      <w:pPr>
        <w:widowControl w:val="0"/>
        <w:adjustRightInd w:val="0"/>
        <w:snapToGrid w:val="0"/>
        <w:spacing w:line="360" w:lineRule="auto"/>
        <w:ind w:firstLine="537" w:firstLineChars="224"/>
      </w:pPr>
      <w:r>
        <w:t>（</w:t>
      </w:r>
      <w:r>
        <w:rPr>
          <w:rFonts w:hint="eastAsia"/>
        </w:rPr>
        <w:t>六</w:t>
      </w:r>
      <w:r>
        <w:t>）现场踏勘</w:t>
      </w:r>
    </w:p>
    <w:p w14:paraId="76CEE31F">
      <w:pPr>
        <w:widowControl w:val="0"/>
        <w:adjustRightInd w:val="0"/>
        <w:snapToGrid w:val="0"/>
        <w:spacing w:line="360" w:lineRule="auto"/>
        <w:ind w:firstLine="537" w:firstLineChars="224"/>
      </w:pPr>
      <w:r>
        <w:t>1.不组织集中踏勘，由各投标人自行安排。投标人在踏勘过程中发生的各类事件和所发生的各项费用，均由投标人自行承担，采购人和代理机构概不负责。</w:t>
      </w:r>
    </w:p>
    <w:p w14:paraId="3481E895">
      <w:pPr>
        <w:spacing w:line="360" w:lineRule="auto"/>
        <w:ind w:firstLine="480" w:firstLineChars="200"/>
        <w:jc w:val="both"/>
      </w:pPr>
      <w:r>
        <w:t>2.采购人向投标人提供的有关现场的数据和资料，是采购人现有的能被投标人利用的资料，采购人对投标人据此做出的任何推论、理解和结论不负责任。</w:t>
      </w:r>
    </w:p>
    <w:p w14:paraId="091C2B22">
      <w:pPr>
        <w:spacing w:line="360" w:lineRule="auto"/>
        <w:ind w:firstLine="480" w:firstLineChars="200"/>
        <w:jc w:val="both"/>
      </w:pPr>
      <w:r>
        <w:t>（</w:t>
      </w:r>
      <w:r>
        <w:rPr>
          <w:rFonts w:hint="eastAsia"/>
        </w:rPr>
        <w:t>七</w:t>
      </w:r>
      <w:r>
        <w:t>）质疑</w:t>
      </w:r>
      <w:r>
        <w:rPr>
          <w:rFonts w:hint="eastAsia"/>
        </w:rPr>
        <w:t>与</w:t>
      </w:r>
      <w:r>
        <w:t>投诉</w:t>
      </w:r>
    </w:p>
    <w:p w14:paraId="22EB2776">
      <w:pPr>
        <w:spacing w:line="360" w:lineRule="auto"/>
        <w:ind w:firstLine="480" w:firstLineChars="200"/>
        <w:jc w:val="both"/>
      </w:pPr>
      <w:r>
        <w:t>1.质疑</w:t>
      </w:r>
    </w:p>
    <w:p w14:paraId="0E30DAC8">
      <w:pPr>
        <w:spacing w:line="360" w:lineRule="auto"/>
        <w:ind w:firstLine="480" w:firstLineChars="200"/>
        <w:jc w:val="both"/>
      </w:pPr>
      <w:r>
        <w:t>1.1提出质疑的供应商应当是参与所质疑项目采购活动的供应商。潜在供应商已依法获取其可质疑的磋商文件的，可以对该文件提出质疑。</w:t>
      </w:r>
    </w:p>
    <w:p w14:paraId="35C7CEE0">
      <w:pPr>
        <w:spacing w:line="360" w:lineRule="auto"/>
        <w:ind w:firstLine="480" w:firstLineChars="200"/>
        <w:jc w:val="both"/>
      </w:pPr>
      <w:r>
        <w:rPr>
          <w:lang w:val="zh-CN"/>
        </w:rPr>
        <w:t>1</w:t>
      </w:r>
      <w:r>
        <w:t>.2供应商认为磋商文件、采购过程和成交结果使自己的权益受到损害的，可以在知道或者应知其权益受到损害之日起</w:t>
      </w:r>
      <w:r>
        <w:rPr>
          <w:rFonts w:hint="eastAsia"/>
        </w:rPr>
        <w:t>7</w:t>
      </w:r>
      <w:r>
        <w:t>个工作日内，以书面形式向采购人或者采购代理机构提出质疑，否则，采购人或者采购代理机构不予受理：</w:t>
      </w:r>
    </w:p>
    <w:p w14:paraId="1E1138E3">
      <w:pPr>
        <w:spacing w:line="360" w:lineRule="auto"/>
        <w:ind w:firstLine="480" w:firstLineChars="200"/>
        <w:jc w:val="both"/>
        <w:rPr>
          <w:kern w:val="2"/>
        </w:rPr>
      </w:pPr>
      <w:r>
        <w:t>（1）</w:t>
      </w:r>
      <w:r>
        <w:rPr>
          <w:kern w:val="2"/>
        </w:rPr>
        <w:t>对磋商文件提出质疑的，质疑期限为供应商获得磋商文件之日或者磋商文件公告期限届满之日起计算。</w:t>
      </w:r>
    </w:p>
    <w:p w14:paraId="0E69C724">
      <w:pPr>
        <w:spacing w:line="360" w:lineRule="auto"/>
        <w:ind w:firstLine="480" w:firstLineChars="200"/>
        <w:jc w:val="both"/>
      </w:pPr>
      <w:r>
        <w:t>（2）对采购过程提出质疑的，质疑期限为各采购程序环节结束之日起计算。对同一采购程序环节的质疑，供应商须一次性提出。</w:t>
      </w:r>
    </w:p>
    <w:p w14:paraId="3D08868B">
      <w:pPr>
        <w:spacing w:line="360" w:lineRule="auto"/>
        <w:ind w:firstLine="480" w:firstLineChars="200"/>
        <w:jc w:val="both"/>
      </w:pPr>
      <w:r>
        <w:t>（3）对采购结果提出质疑的，质疑期限自采购结果公告期限届满之日起计算。</w:t>
      </w:r>
    </w:p>
    <w:p w14:paraId="1D3EC789">
      <w:pPr>
        <w:spacing w:line="360" w:lineRule="auto"/>
        <w:ind w:firstLine="480" w:firstLineChars="200"/>
        <w:jc w:val="both"/>
      </w:pPr>
      <w:r>
        <w:t>1.3供应商提出质疑应当提交质疑函和必要的证明材料。</w:t>
      </w:r>
    </w:p>
    <w:p w14:paraId="59202F04">
      <w:pPr>
        <w:spacing w:line="360" w:lineRule="auto"/>
        <w:ind w:firstLine="480" w:firstLineChars="200"/>
        <w:jc w:val="both"/>
      </w:pPr>
      <w:r>
        <w:t>1.4采购人或者采购代理机构应当在收到供应商的书面质疑后</w:t>
      </w:r>
      <w:r>
        <w:rPr>
          <w:rFonts w:hint="eastAsia"/>
        </w:rPr>
        <w:t>7</w:t>
      </w:r>
      <w:r>
        <w:t>个工作日内作出答复，并以书面形式通知质疑供应商和其他与质疑处理结果有利害关系的政府采购当事人，但答复的内容不得涉及商业秘密。</w:t>
      </w:r>
    </w:p>
    <w:p w14:paraId="1E05793B">
      <w:pPr>
        <w:spacing w:line="360" w:lineRule="auto"/>
        <w:ind w:firstLine="480" w:firstLineChars="200"/>
        <w:jc w:val="both"/>
      </w:pPr>
      <w:r>
        <w:t>1.5供应商须在法定质疑期内一次性提出针对同一采购程序环节的质疑。未按上述要求提供的质疑函，采购代理机构不予受理。</w:t>
      </w:r>
    </w:p>
    <w:p w14:paraId="6D1889A0">
      <w:pPr>
        <w:spacing w:line="360" w:lineRule="auto"/>
        <w:ind w:firstLine="480" w:firstLineChars="200"/>
        <w:jc w:val="both"/>
      </w:pPr>
      <w:r>
        <w:t>2.投诉</w:t>
      </w:r>
    </w:p>
    <w:p w14:paraId="618D09B5">
      <w:pPr>
        <w:spacing w:line="360" w:lineRule="auto"/>
        <w:ind w:firstLine="480" w:firstLineChars="200"/>
        <w:jc w:val="both"/>
      </w:pPr>
      <w:r>
        <w:t>2.1质疑供应商对采购人、采购代理机构的答复不满意或者采购人、采购代理机构未在规定的时间内作出答复的，可以在答复期满后</w:t>
      </w:r>
      <w:r>
        <w:rPr>
          <w:rFonts w:hint="eastAsia"/>
        </w:rPr>
        <w:t>1</w:t>
      </w:r>
      <w:r>
        <w:t>5个工作日内向同级政府采购监督管理部门提出投诉。</w:t>
      </w:r>
    </w:p>
    <w:p w14:paraId="01E2484A">
      <w:pPr>
        <w:spacing w:line="360" w:lineRule="auto"/>
        <w:ind w:firstLine="480" w:firstLineChars="200"/>
        <w:jc w:val="both"/>
      </w:pPr>
      <w:r>
        <w:t>2.2供应商投诉的事项不得超出已质疑事项的范围，基于质疑答复内容提出的投诉事项除外。</w:t>
      </w:r>
    </w:p>
    <w:p w14:paraId="3A2C98AF">
      <w:pPr>
        <w:spacing w:line="360" w:lineRule="auto"/>
        <w:ind w:firstLine="480" w:firstLineChars="200"/>
        <w:jc w:val="both"/>
      </w:pPr>
      <w:r>
        <w:t>2.3供应商投诉应当有明确的请求和必要的证明材料。</w:t>
      </w:r>
    </w:p>
    <w:p w14:paraId="2A0C0ECC">
      <w:pPr>
        <w:spacing w:line="360" w:lineRule="auto"/>
        <w:ind w:firstLine="480" w:firstLineChars="200"/>
        <w:jc w:val="both"/>
      </w:pPr>
      <w:r>
        <w:rPr>
          <w:rFonts w:hint="eastAsia"/>
        </w:rPr>
        <w:t>2</w:t>
      </w:r>
      <w:r>
        <w:t>.4</w:t>
      </w:r>
      <w:r>
        <w:rPr>
          <w:rFonts w:hint="eastAsia"/>
        </w:rPr>
        <w:t>根据《政府采购质疑和投诉办法》第三十七条的规定，投诉人在全国范围12个月内三次以上投诉查无实据的，由财政部门列入不良行为记录名单。</w:t>
      </w:r>
    </w:p>
    <w:p w14:paraId="70F8B6AC">
      <w:pPr>
        <w:spacing w:line="360" w:lineRule="auto"/>
        <w:ind w:firstLine="480" w:firstLineChars="200"/>
        <w:jc w:val="both"/>
      </w:pPr>
      <w:r>
        <w:rPr>
          <w:rFonts w:hint="eastAsia"/>
        </w:rPr>
        <w:t>投诉人有下列行为之一的，属于虚假、恶意投诉，由财政部门列入不良行为记录名单，禁止其1至3年内参加政府采购活动：</w:t>
      </w:r>
    </w:p>
    <w:p w14:paraId="6FF024D4">
      <w:pPr>
        <w:spacing w:line="360" w:lineRule="auto"/>
        <w:ind w:firstLine="480" w:firstLineChars="200"/>
        <w:jc w:val="both"/>
      </w:pPr>
      <w:r>
        <w:rPr>
          <w:rFonts w:hint="eastAsia"/>
        </w:rPr>
        <w:t>（1）捏造事实；</w:t>
      </w:r>
    </w:p>
    <w:p w14:paraId="51270AE0">
      <w:pPr>
        <w:spacing w:line="360" w:lineRule="auto"/>
        <w:ind w:firstLine="480" w:firstLineChars="200"/>
        <w:jc w:val="both"/>
      </w:pPr>
      <w:r>
        <w:rPr>
          <w:rFonts w:hint="eastAsia"/>
        </w:rPr>
        <w:t>（2）提供虚假材料；</w:t>
      </w:r>
    </w:p>
    <w:p w14:paraId="6FEEC4C1">
      <w:pPr>
        <w:spacing w:line="360" w:lineRule="auto"/>
        <w:ind w:firstLine="480" w:firstLineChars="200"/>
        <w:jc w:val="both"/>
      </w:pPr>
      <w:r>
        <w:rPr>
          <w:rFonts w:hint="eastAsia"/>
        </w:rPr>
        <w:t>（3）以非法手段取得证明材料。证据来源的合法性存在明显疑问，投诉人无法证明其取得方式合法的，视为以非法手段取得证明材料。</w:t>
      </w:r>
    </w:p>
    <w:p w14:paraId="36939331">
      <w:pPr>
        <w:spacing w:line="360" w:lineRule="auto"/>
        <w:ind w:firstLine="482" w:firstLineChars="200"/>
        <w:jc w:val="both"/>
      </w:pPr>
      <w:r>
        <w:rPr>
          <w:b/>
          <w:bCs/>
        </w:rPr>
        <w:t>质疑函范本、投诉书范本请到浙江政府采购网下载专区下载</w:t>
      </w:r>
      <w:r>
        <w:t>。</w:t>
      </w:r>
    </w:p>
    <w:p w14:paraId="4DC267B7">
      <w:pPr>
        <w:spacing w:line="360" w:lineRule="auto"/>
        <w:ind w:firstLine="482" w:firstLineChars="200"/>
        <w:jc w:val="both"/>
        <w:rPr>
          <w:b/>
        </w:rPr>
      </w:pPr>
      <w:r>
        <w:rPr>
          <w:b/>
        </w:rPr>
        <w:t>二、招标文件构成、澄清、 修改</w:t>
      </w:r>
    </w:p>
    <w:p w14:paraId="045AE846">
      <w:pPr>
        <w:widowControl w:val="0"/>
        <w:adjustRightInd w:val="0"/>
        <w:snapToGrid w:val="0"/>
        <w:spacing w:line="360" w:lineRule="auto"/>
        <w:ind w:firstLine="537" w:firstLineChars="224"/>
      </w:pPr>
      <w:r>
        <w:t>（一）招标文件的构成：</w:t>
      </w:r>
    </w:p>
    <w:p w14:paraId="576DA836">
      <w:pPr>
        <w:widowControl w:val="0"/>
        <w:adjustRightInd w:val="0"/>
        <w:snapToGrid w:val="0"/>
        <w:spacing w:line="360" w:lineRule="auto"/>
        <w:ind w:firstLine="537" w:firstLineChars="224"/>
      </w:pPr>
      <w:r>
        <w:t>1.招标公告</w:t>
      </w:r>
    </w:p>
    <w:p w14:paraId="42F2A5F7">
      <w:pPr>
        <w:widowControl w:val="0"/>
        <w:adjustRightInd w:val="0"/>
        <w:snapToGrid w:val="0"/>
        <w:spacing w:line="360" w:lineRule="auto"/>
        <w:ind w:firstLine="537" w:firstLineChars="224"/>
      </w:pPr>
      <w:r>
        <w:t>2.前附表</w:t>
      </w:r>
    </w:p>
    <w:p w14:paraId="011D03EA">
      <w:pPr>
        <w:widowControl w:val="0"/>
        <w:adjustRightInd w:val="0"/>
        <w:snapToGrid w:val="0"/>
        <w:spacing w:line="360" w:lineRule="auto"/>
        <w:ind w:firstLine="537" w:firstLineChars="224"/>
      </w:pPr>
      <w:r>
        <w:t>3.项目技术规范和要求</w:t>
      </w:r>
    </w:p>
    <w:p w14:paraId="70FA542B">
      <w:pPr>
        <w:widowControl w:val="0"/>
        <w:adjustRightInd w:val="0"/>
        <w:snapToGrid w:val="0"/>
        <w:spacing w:line="360" w:lineRule="auto"/>
        <w:ind w:firstLine="537" w:firstLineChars="224"/>
      </w:pPr>
      <w:r>
        <w:t>4.投标人须知</w:t>
      </w:r>
    </w:p>
    <w:p w14:paraId="3C9D9048">
      <w:pPr>
        <w:widowControl w:val="0"/>
        <w:adjustRightInd w:val="0"/>
        <w:snapToGrid w:val="0"/>
        <w:spacing w:line="360" w:lineRule="auto"/>
        <w:ind w:firstLine="537" w:firstLineChars="224"/>
      </w:pPr>
      <w:r>
        <w:t>5.评标办法</w:t>
      </w:r>
    </w:p>
    <w:p w14:paraId="5B48EB43">
      <w:pPr>
        <w:widowControl w:val="0"/>
        <w:adjustRightInd w:val="0"/>
        <w:snapToGrid w:val="0"/>
        <w:spacing w:line="360" w:lineRule="auto"/>
        <w:ind w:firstLine="537" w:firstLineChars="224"/>
      </w:pPr>
      <w:r>
        <w:t>6.合同范本</w:t>
      </w:r>
    </w:p>
    <w:p w14:paraId="51E679AC">
      <w:pPr>
        <w:widowControl w:val="0"/>
        <w:adjustRightInd w:val="0"/>
        <w:snapToGrid w:val="0"/>
        <w:spacing w:line="360" w:lineRule="auto"/>
        <w:ind w:firstLine="537" w:firstLineChars="224"/>
      </w:pPr>
      <w:r>
        <w:t>7.投标文件格式</w:t>
      </w:r>
    </w:p>
    <w:p w14:paraId="34876B18">
      <w:pPr>
        <w:widowControl w:val="0"/>
        <w:adjustRightInd w:val="0"/>
        <w:snapToGrid w:val="0"/>
        <w:spacing w:line="360" w:lineRule="auto"/>
        <w:ind w:firstLine="537" w:firstLineChars="224"/>
      </w:pPr>
      <w:r>
        <w:t>8.本项目招标文件的澄清、答复、修改、补充的内容</w:t>
      </w:r>
    </w:p>
    <w:p w14:paraId="71ECD345">
      <w:pPr>
        <w:widowControl w:val="0"/>
        <w:adjustRightInd w:val="0"/>
        <w:snapToGrid w:val="0"/>
        <w:spacing w:line="360" w:lineRule="auto"/>
        <w:ind w:firstLine="537" w:firstLineChars="224"/>
      </w:pPr>
      <w:r>
        <w:t xml:space="preserve">（二）招标文件的澄清与修改 </w:t>
      </w:r>
    </w:p>
    <w:p w14:paraId="50AD1521">
      <w:pPr>
        <w:widowControl w:val="0"/>
        <w:adjustRightInd w:val="0"/>
        <w:snapToGrid w:val="0"/>
        <w:spacing w:line="360" w:lineRule="auto"/>
        <w:ind w:firstLine="537" w:firstLineChars="224"/>
      </w:pPr>
      <w:r>
        <w:t>1.已获取招标文件的潜在投标人，若有问题需要澄清，应于投标截止时间前，以书面形式向采购代理机构提出。</w:t>
      </w:r>
    </w:p>
    <w:p w14:paraId="40B919F1">
      <w:pPr>
        <w:widowControl w:val="0"/>
        <w:adjustRightInd w:val="0"/>
        <w:snapToGrid w:val="0"/>
        <w:spacing w:line="360" w:lineRule="auto"/>
        <w:ind w:firstLine="537" w:firstLineChars="224"/>
      </w:pPr>
      <w: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E4B070">
      <w:pPr>
        <w:pStyle w:val="26"/>
        <w:widowControl w:val="0"/>
        <w:adjustRightInd w:val="0"/>
        <w:snapToGrid w:val="0"/>
        <w:spacing w:before="0" w:beforeAutospacing="0" w:after="0" w:afterAutospacing="0" w:line="360" w:lineRule="auto"/>
        <w:ind w:firstLine="540" w:firstLineChars="224"/>
        <w:rPr>
          <w:rFonts w:ascii="Times New Roman" w:hAnsi="Times New Roman"/>
          <w:b/>
        </w:rPr>
      </w:pPr>
      <w:r>
        <w:rPr>
          <w:rFonts w:ascii="Times New Roman" w:hAnsi="Times New Roman"/>
          <w:b/>
        </w:rPr>
        <w:t>三、投标</w:t>
      </w:r>
    </w:p>
    <w:p w14:paraId="541E9743">
      <w:pPr>
        <w:widowControl w:val="0"/>
        <w:adjustRightInd w:val="0"/>
        <w:snapToGrid w:val="0"/>
        <w:spacing w:line="360" w:lineRule="auto"/>
        <w:ind w:firstLine="537" w:firstLineChars="224"/>
      </w:pPr>
      <w:r>
        <w:t>（一）投标保证金</w:t>
      </w:r>
    </w:p>
    <w:p w14:paraId="308660C1">
      <w:pPr>
        <w:widowControl w:val="0"/>
        <w:adjustRightInd w:val="0"/>
        <w:snapToGrid w:val="0"/>
        <w:spacing w:line="360" w:lineRule="auto"/>
        <w:ind w:firstLine="537" w:firstLineChars="224"/>
      </w:pPr>
      <w:r>
        <w:t>本项目不需缴纳投标保证金。</w:t>
      </w:r>
    </w:p>
    <w:p w14:paraId="7A391B13">
      <w:pPr>
        <w:widowControl w:val="0"/>
        <w:adjustRightInd w:val="0"/>
        <w:snapToGrid w:val="0"/>
        <w:spacing w:line="360" w:lineRule="auto"/>
        <w:ind w:firstLine="537" w:firstLineChars="224"/>
      </w:pPr>
      <w:r>
        <w:t>（二）投标文件的语言</w:t>
      </w:r>
    </w:p>
    <w:p w14:paraId="490293A1">
      <w:pPr>
        <w:widowControl w:val="0"/>
        <w:adjustRightInd w:val="0"/>
        <w:snapToGrid w:val="0"/>
        <w:spacing w:line="360" w:lineRule="auto"/>
        <w:ind w:firstLine="537" w:firstLineChars="224"/>
      </w:pPr>
      <w:r>
        <w:t>投标文件及投标人与采购有关的来往通知、函件和文件均应使用中文。</w:t>
      </w:r>
    </w:p>
    <w:p w14:paraId="11315AFA">
      <w:pPr>
        <w:widowControl w:val="0"/>
        <w:adjustRightInd w:val="0"/>
        <w:snapToGrid w:val="0"/>
        <w:spacing w:line="360" w:lineRule="auto"/>
        <w:ind w:firstLine="537" w:firstLineChars="224"/>
      </w:pPr>
      <w:r>
        <w:t>（三）计量单位</w:t>
      </w:r>
    </w:p>
    <w:p w14:paraId="7FA4C7A9">
      <w:pPr>
        <w:widowControl w:val="0"/>
        <w:adjustRightInd w:val="0"/>
        <w:snapToGrid w:val="0"/>
        <w:spacing w:line="360" w:lineRule="auto"/>
        <w:ind w:firstLine="537" w:firstLineChars="224"/>
      </w:pPr>
      <w:r>
        <w:t>除在招标文件中另有规定外，计量单位应使用中华人民共和国法定计量单位（国际单位制和国家选定的其他计量单位）。</w:t>
      </w:r>
    </w:p>
    <w:p w14:paraId="56535E8A">
      <w:pPr>
        <w:widowControl w:val="0"/>
        <w:adjustRightInd w:val="0"/>
        <w:snapToGrid w:val="0"/>
        <w:spacing w:line="360" w:lineRule="auto"/>
        <w:ind w:firstLine="537" w:firstLineChars="224"/>
      </w:pPr>
      <w:r>
        <w:t>（四）投标文件的组成</w:t>
      </w:r>
    </w:p>
    <w:p w14:paraId="3D1FE956">
      <w:pPr>
        <w:widowControl w:val="0"/>
        <w:adjustRightInd w:val="0"/>
        <w:snapToGrid w:val="0"/>
        <w:spacing w:line="360" w:lineRule="auto"/>
        <w:ind w:firstLine="540" w:firstLineChars="224"/>
        <w:rPr>
          <w:b/>
          <w:bCs/>
        </w:rPr>
      </w:pPr>
      <w:bookmarkStart w:id="57" w:name="_Hlk94089038"/>
      <w:r>
        <w:rPr>
          <w:b/>
          <w:bCs/>
        </w:rPr>
        <w:t>1.资格文件</w:t>
      </w:r>
      <w:r>
        <w:t>（</w:t>
      </w:r>
      <w:r>
        <w:rPr>
          <w:b/>
          <w:u w:val="single"/>
        </w:rPr>
        <w:t>未提供齐全将导致资格审查不通过，投标文件无效</w:t>
      </w:r>
      <w:r>
        <w:t>）</w:t>
      </w:r>
    </w:p>
    <w:p w14:paraId="24713B4D">
      <w:pPr>
        <w:widowControl w:val="0"/>
        <w:adjustRightInd w:val="0"/>
        <w:snapToGrid w:val="0"/>
        <w:spacing w:line="360" w:lineRule="auto"/>
        <w:ind w:firstLine="537" w:firstLineChars="224"/>
      </w:pPr>
      <w:bookmarkStart w:id="58" w:name="_Hlk114148040"/>
      <w:r>
        <w:t>1.1</w:t>
      </w:r>
      <w:r>
        <w:rPr>
          <w:rFonts w:hint="eastAsia"/>
        </w:rPr>
        <w:t>投标人</w:t>
      </w:r>
      <w:r>
        <w:t>法人营业执照（副本）或事业单位法人证书（副本）或个体工商户营业执照或有效的自然人身份证明或社会团体法人登记证书（提供复印件</w:t>
      </w:r>
      <w:r>
        <w:rPr>
          <w:rFonts w:hint="eastAsia"/>
        </w:rPr>
        <w:t>上传</w:t>
      </w:r>
      <w:r>
        <w:t>）</w:t>
      </w:r>
    </w:p>
    <w:p w14:paraId="0A74D171">
      <w:pPr>
        <w:widowControl w:val="0"/>
        <w:adjustRightInd w:val="0"/>
        <w:snapToGrid w:val="0"/>
        <w:spacing w:line="360" w:lineRule="auto"/>
        <w:ind w:firstLine="537" w:firstLineChars="224"/>
      </w:pPr>
      <w:r>
        <w:t>1.2符合参加政府采购活动应当具备的一般条件的承诺函</w:t>
      </w:r>
      <w:r>
        <w:rPr>
          <w:rFonts w:hint="eastAsia"/>
        </w:rPr>
        <w:t>（格式详见第七章）；</w:t>
      </w:r>
    </w:p>
    <w:p w14:paraId="7212ADF8">
      <w:pPr>
        <w:spacing w:line="360" w:lineRule="auto"/>
        <w:ind w:firstLine="540" w:firstLineChars="225"/>
      </w:pPr>
      <w:r>
        <w:rPr>
          <w:rFonts w:hint="eastAsia"/>
        </w:rPr>
        <w:t>1</w:t>
      </w:r>
      <w:r>
        <w:t>.3落实政府采购政策需满足的资格要求：</w:t>
      </w:r>
      <w:r>
        <w:rPr>
          <w:rFonts w:hint="eastAsia" w:ascii="Segoe UI Symbol" w:hAnsi="Segoe UI Symbol" w:cs="Segoe UI Symbol"/>
        </w:rPr>
        <w:t>详见公告</w:t>
      </w:r>
    </w:p>
    <w:p w14:paraId="40C88AD9">
      <w:pPr>
        <w:widowControl w:val="0"/>
        <w:adjustRightInd w:val="0"/>
        <w:snapToGrid w:val="0"/>
        <w:spacing w:line="360" w:lineRule="auto"/>
        <w:ind w:firstLine="537" w:firstLineChars="224"/>
        <w:rPr>
          <w:rFonts w:ascii="Segoe UI Symbol" w:hAnsi="Segoe UI Symbol" w:cs="Segoe UI Symbol"/>
        </w:rPr>
      </w:pPr>
      <w:r>
        <w:t>1.4“本项目的特定资格要求”中规定的相关证书复印件</w:t>
      </w:r>
      <w:r>
        <w:rPr>
          <w:rFonts w:hint="eastAsia"/>
        </w:rPr>
        <w:t>：</w:t>
      </w:r>
      <w:r>
        <w:rPr>
          <w:rFonts w:hint="eastAsia" w:ascii="Segoe UI Symbol" w:hAnsi="Segoe UI Symbol" w:cs="Segoe UI Symbol"/>
        </w:rPr>
        <w:t>详见公告</w:t>
      </w:r>
    </w:p>
    <w:bookmarkEnd w:id="58"/>
    <w:p w14:paraId="0AC3D67E">
      <w:pPr>
        <w:widowControl w:val="0"/>
        <w:adjustRightInd w:val="0"/>
        <w:snapToGrid w:val="0"/>
        <w:spacing w:line="360" w:lineRule="auto"/>
        <w:ind w:firstLine="540" w:firstLineChars="224"/>
        <w:rPr>
          <w:b/>
        </w:rPr>
      </w:pPr>
      <w:r>
        <w:rPr>
          <w:b/>
        </w:rPr>
        <w:t>2.技术资信文件</w:t>
      </w:r>
    </w:p>
    <w:p w14:paraId="5DDEB38C">
      <w:pPr>
        <w:widowControl w:val="0"/>
        <w:adjustRightInd w:val="0"/>
        <w:snapToGrid w:val="0"/>
        <w:spacing w:line="360" w:lineRule="auto"/>
        <w:ind w:firstLine="537" w:firstLineChars="224"/>
      </w:pPr>
      <w:r>
        <w:t>2.1投标函。</w:t>
      </w:r>
    </w:p>
    <w:p w14:paraId="13FC0111">
      <w:pPr>
        <w:widowControl w:val="0"/>
        <w:adjustRightInd w:val="0"/>
        <w:snapToGrid w:val="0"/>
        <w:spacing w:line="360" w:lineRule="auto"/>
        <w:ind w:firstLine="537" w:firstLineChars="224"/>
      </w:pPr>
      <w:r>
        <w:rPr>
          <w:rFonts w:hint="eastAsia"/>
        </w:rPr>
        <w:t>2</w:t>
      </w:r>
      <w:r>
        <w:t>.2法定代表人（负责人）授权委托书（法定代表人或负责人亲自参加的仅须提供身份证复印件）；</w:t>
      </w:r>
    </w:p>
    <w:p w14:paraId="36F015A4">
      <w:pPr>
        <w:widowControl w:val="0"/>
        <w:adjustRightInd w:val="0"/>
        <w:snapToGrid w:val="0"/>
        <w:spacing w:line="360" w:lineRule="auto"/>
        <w:ind w:firstLine="537" w:firstLineChars="224"/>
      </w:pPr>
      <w:r>
        <w:t>2.3投标货物技术参数明细表。</w:t>
      </w:r>
    </w:p>
    <w:p w14:paraId="2DF6AF9D">
      <w:pPr>
        <w:widowControl w:val="0"/>
        <w:adjustRightInd w:val="0"/>
        <w:snapToGrid w:val="0"/>
        <w:spacing w:line="360" w:lineRule="auto"/>
        <w:ind w:firstLine="537" w:firstLineChars="224"/>
      </w:pPr>
      <w:r>
        <w:t>2.4技术要求偏离表。（投标人拟提供的技术要求与招标文件中的要求不一致时，则必须在《技术要求偏离表》中予以明确，否则将视为投标人完全响应招标文件的要求，并以招标文件作为合同条件。）</w:t>
      </w:r>
    </w:p>
    <w:p w14:paraId="7AF1955F">
      <w:pPr>
        <w:widowControl w:val="0"/>
        <w:adjustRightInd w:val="0"/>
        <w:snapToGrid w:val="0"/>
        <w:spacing w:line="360" w:lineRule="auto"/>
        <w:ind w:firstLine="537" w:firstLineChars="224"/>
      </w:pPr>
      <w:r>
        <w:t>2.5服务要求偏离表。（投标人拟提供的服务要求与</w:t>
      </w:r>
      <w:r>
        <w:rPr>
          <w:u w:val="thick" w:color="FFFFFF"/>
        </w:rPr>
        <w:t>招标文件</w:t>
      </w:r>
      <w:r>
        <w:t>中的要求不一致时，则必须在《服务要求偏离表》中予以明确，否则将视为投标人完全响应</w:t>
      </w:r>
      <w:r>
        <w:rPr>
          <w:u w:val="thick" w:color="FFFFFF"/>
        </w:rPr>
        <w:t>招标文件</w:t>
      </w:r>
      <w:r>
        <w:t>的要求，并以</w:t>
      </w:r>
      <w:r>
        <w:rPr>
          <w:u w:val="thick" w:color="FFFFFF"/>
        </w:rPr>
        <w:t>招标文件</w:t>
      </w:r>
      <w:r>
        <w:t>作为合同条件。）</w:t>
      </w:r>
    </w:p>
    <w:p w14:paraId="313D540A">
      <w:pPr>
        <w:widowControl w:val="0"/>
        <w:adjustRightInd w:val="0"/>
        <w:snapToGrid w:val="0"/>
        <w:spacing w:line="360" w:lineRule="auto"/>
        <w:ind w:firstLine="537" w:firstLineChars="224"/>
      </w:pPr>
      <w:r>
        <w:t>2.6项目实施人员一览表。</w:t>
      </w:r>
    </w:p>
    <w:p w14:paraId="0F2CADE2">
      <w:pPr>
        <w:widowControl w:val="0"/>
        <w:adjustRightInd w:val="0"/>
        <w:snapToGrid w:val="0"/>
        <w:spacing w:line="360" w:lineRule="auto"/>
        <w:ind w:firstLine="537" w:firstLineChars="224"/>
      </w:pPr>
      <w:r>
        <w:t>2.7服务计划书（例：质量保证措施及承诺，服务措施及承诺，售后服务措施及承诺，其他服务措施及承诺）。</w:t>
      </w:r>
    </w:p>
    <w:p w14:paraId="656825CF">
      <w:pPr>
        <w:widowControl w:val="0"/>
        <w:adjustRightInd w:val="0"/>
        <w:snapToGrid w:val="0"/>
        <w:spacing w:line="360" w:lineRule="auto"/>
        <w:ind w:firstLine="537" w:firstLineChars="224"/>
      </w:pPr>
      <w:r>
        <w:t>2.8投标人情况：</w:t>
      </w:r>
    </w:p>
    <w:p w14:paraId="3AE9A6F7">
      <w:pPr>
        <w:widowControl w:val="0"/>
        <w:adjustRightInd w:val="0"/>
        <w:snapToGrid w:val="0"/>
        <w:spacing w:line="360" w:lineRule="auto"/>
        <w:ind w:firstLine="537" w:firstLineChars="224"/>
      </w:pPr>
      <w:r>
        <w:t>（1）单位简介；</w:t>
      </w:r>
    </w:p>
    <w:p w14:paraId="1B250358">
      <w:pPr>
        <w:widowControl w:val="0"/>
        <w:adjustRightInd w:val="0"/>
        <w:snapToGrid w:val="0"/>
        <w:spacing w:line="360" w:lineRule="auto"/>
        <w:ind w:firstLine="537" w:firstLineChars="224"/>
      </w:pPr>
      <w:r>
        <w:t>（2）投标人的信誉、荣誉证书；（如有）</w:t>
      </w:r>
    </w:p>
    <w:p w14:paraId="6DA3D766">
      <w:pPr>
        <w:widowControl w:val="0"/>
        <w:adjustRightInd w:val="0"/>
        <w:snapToGrid w:val="0"/>
        <w:spacing w:line="360" w:lineRule="auto"/>
        <w:ind w:firstLine="537" w:firstLineChars="224"/>
      </w:pPr>
      <w:r>
        <w:t>（3）投标人质量管理和质量保证体系等方面的认证证书。（如有）</w:t>
      </w:r>
    </w:p>
    <w:p w14:paraId="0C5407E5">
      <w:pPr>
        <w:widowControl w:val="0"/>
        <w:adjustRightInd w:val="0"/>
        <w:snapToGrid w:val="0"/>
        <w:spacing w:line="360" w:lineRule="auto"/>
        <w:ind w:firstLine="537" w:firstLineChars="224"/>
      </w:pPr>
      <w:r>
        <w:t>（4）同类业绩证明（如有，需提供合同复印件）；</w:t>
      </w:r>
    </w:p>
    <w:p w14:paraId="65892C7C">
      <w:pPr>
        <w:widowControl w:val="0"/>
        <w:adjustRightInd w:val="0"/>
        <w:snapToGrid w:val="0"/>
        <w:spacing w:line="360" w:lineRule="auto"/>
        <w:ind w:firstLine="537" w:firstLineChars="224"/>
      </w:pPr>
      <w:r>
        <w:t>2.9评标标准相应的技术资信资料。</w:t>
      </w:r>
    </w:p>
    <w:p w14:paraId="017AEEEA">
      <w:pPr>
        <w:widowControl w:val="0"/>
        <w:adjustRightInd w:val="0"/>
        <w:snapToGrid w:val="0"/>
        <w:spacing w:line="360" w:lineRule="auto"/>
        <w:ind w:firstLine="540" w:firstLineChars="224"/>
        <w:rPr>
          <w:b/>
        </w:rPr>
      </w:pPr>
      <w:r>
        <w:rPr>
          <w:b/>
        </w:rPr>
        <w:t>3.报价文件</w:t>
      </w:r>
    </w:p>
    <w:p w14:paraId="71308EB8">
      <w:pPr>
        <w:widowControl w:val="0"/>
        <w:adjustRightInd w:val="0"/>
        <w:snapToGrid w:val="0"/>
        <w:spacing w:line="360" w:lineRule="auto"/>
        <w:ind w:firstLine="537" w:firstLineChars="224"/>
      </w:pPr>
      <w:r>
        <w:t xml:space="preserve">3.1开标一览表。 </w:t>
      </w:r>
    </w:p>
    <w:p w14:paraId="1F47ABF5">
      <w:pPr>
        <w:widowControl w:val="0"/>
        <w:adjustRightInd w:val="0"/>
        <w:snapToGrid w:val="0"/>
        <w:spacing w:line="360" w:lineRule="auto"/>
        <w:ind w:firstLine="540" w:firstLineChars="224"/>
      </w:pPr>
      <w:r>
        <w:rPr>
          <w:b/>
        </w:rPr>
        <w:t>资格文件和技术资信文件不得出现报价，否则作无效标处理。</w:t>
      </w:r>
    </w:p>
    <w:bookmarkEnd w:id="57"/>
    <w:p w14:paraId="562A8E45">
      <w:pPr>
        <w:widowControl w:val="0"/>
        <w:adjustRightInd w:val="0"/>
        <w:snapToGrid w:val="0"/>
        <w:spacing w:line="360" w:lineRule="auto"/>
        <w:ind w:firstLine="537" w:firstLineChars="224"/>
      </w:pPr>
      <w:r>
        <w:rPr>
          <w:rFonts w:ascii="Segoe UI Symbol" w:hAnsi="Segoe UI Symbol" w:cs="Segoe UI Symbol"/>
        </w:rPr>
        <w:t>★</w:t>
      </w:r>
      <w:r>
        <w:t>（五）投标报价</w:t>
      </w:r>
    </w:p>
    <w:p w14:paraId="4E6AE029">
      <w:pPr>
        <w:widowControl w:val="0"/>
        <w:adjustRightInd w:val="0"/>
        <w:snapToGrid w:val="0"/>
        <w:spacing w:line="360" w:lineRule="auto"/>
        <w:ind w:firstLine="537" w:firstLineChars="224"/>
      </w:pPr>
      <w:r>
        <w:t>1.有关本项目实施所需的所有费用（含税费）均计入报价。招标文件未列明，而投标人认为必需的费用也需列入报价。</w:t>
      </w:r>
    </w:p>
    <w:p w14:paraId="6F174090">
      <w:pPr>
        <w:widowControl w:val="0"/>
        <w:adjustRightInd w:val="0"/>
        <w:snapToGrid w:val="0"/>
        <w:spacing w:line="360" w:lineRule="auto"/>
        <w:ind w:firstLine="537" w:firstLineChars="224"/>
      </w:pPr>
      <w:r>
        <w:t>2.</w:t>
      </w:r>
      <w:r>
        <w:rPr>
          <w:rFonts w:hint="eastAsia"/>
        </w:rPr>
        <w:t>报价口径详见前附表</w:t>
      </w:r>
      <w:r>
        <w:t>。</w:t>
      </w:r>
    </w:p>
    <w:p w14:paraId="094C77D9">
      <w:pPr>
        <w:widowControl w:val="0"/>
        <w:adjustRightInd w:val="0"/>
        <w:snapToGrid w:val="0"/>
        <w:spacing w:line="360" w:lineRule="auto"/>
        <w:ind w:firstLine="537" w:firstLineChars="224"/>
      </w:pPr>
      <w:r>
        <w:t>3.投标人根据企业内部的管理水平，结合市场综合分析后自主确定。投标人报价时需考虑以下因素：</w:t>
      </w:r>
    </w:p>
    <w:p w14:paraId="1403C945">
      <w:pPr>
        <w:widowControl w:val="0"/>
        <w:adjustRightInd w:val="0"/>
        <w:snapToGrid w:val="0"/>
        <w:spacing w:line="360" w:lineRule="auto"/>
        <w:ind w:firstLine="537" w:firstLineChars="224"/>
      </w:pPr>
      <w:r>
        <w:t>3.1因国家政策性调整或市场供求关系引起的各种材料、货物的价格调整。</w:t>
      </w:r>
    </w:p>
    <w:p w14:paraId="1EA71848">
      <w:pPr>
        <w:widowControl w:val="0"/>
        <w:adjustRightInd w:val="0"/>
        <w:snapToGrid w:val="0"/>
        <w:spacing w:line="360" w:lineRule="auto"/>
        <w:ind w:firstLine="537" w:firstLineChars="224"/>
      </w:pPr>
      <w:r>
        <w:t>3.2其它各种风险和费用。</w:t>
      </w:r>
    </w:p>
    <w:p w14:paraId="68E73FAC">
      <w:pPr>
        <w:widowControl w:val="0"/>
        <w:adjustRightInd w:val="0"/>
        <w:snapToGrid w:val="0"/>
        <w:spacing w:line="360" w:lineRule="auto"/>
        <w:ind w:firstLine="540" w:firstLineChars="224"/>
        <w:rPr>
          <w:b/>
        </w:rPr>
      </w:pPr>
      <w:r>
        <w:rPr>
          <w:b/>
        </w:rPr>
        <w:t>4.本次招标项目设有最高限价</w:t>
      </w:r>
      <w:r>
        <w:rPr>
          <w:rFonts w:hint="eastAsia"/>
          <w:b/>
        </w:rPr>
        <w:t>和单价限价（如有）</w:t>
      </w:r>
      <w:r>
        <w:rPr>
          <w:b/>
        </w:rPr>
        <w:t>，超过最高限价的投标作无效标处理。</w:t>
      </w:r>
    </w:p>
    <w:p w14:paraId="1D4A07DF">
      <w:pPr>
        <w:widowControl w:val="0"/>
        <w:adjustRightInd w:val="0"/>
        <w:snapToGrid w:val="0"/>
        <w:spacing w:line="360" w:lineRule="auto"/>
        <w:ind w:firstLine="540" w:firstLineChars="224"/>
        <w:rPr>
          <w:b/>
          <w:bCs/>
        </w:rPr>
      </w:pPr>
      <w:r>
        <w:rPr>
          <w:b/>
          <w:bCs/>
        </w:rPr>
        <w:t>5.投标文件只允许有一个报价，有选择的或有条件的报价作无效标处理。</w:t>
      </w:r>
    </w:p>
    <w:p w14:paraId="162633E8">
      <w:pPr>
        <w:adjustRightInd w:val="0"/>
        <w:snapToGrid w:val="0"/>
        <w:spacing w:line="360" w:lineRule="auto"/>
        <w:ind w:firstLine="537" w:firstLineChars="224"/>
      </w:pPr>
      <w:r>
        <w:t>（六）投标文件的编制</w:t>
      </w:r>
    </w:p>
    <w:p w14:paraId="146684ED">
      <w:pPr>
        <w:widowControl w:val="0"/>
        <w:adjustRightInd w:val="0"/>
        <w:snapToGrid w:val="0"/>
        <w:spacing w:line="360" w:lineRule="auto"/>
        <w:ind w:firstLine="537" w:firstLineChars="224"/>
      </w:pPr>
      <w:r>
        <w:t>1.投标文件分为资格文件、技术资信文件、报价文件三部分。各投标人在编制投标文件时请参照招标文件第七</w:t>
      </w:r>
      <w:r>
        <w:rPr>
          <w:rFonts w:hint="eastAsia"/>
        </w:rPr>
        <w:t>章</w:t>
      </w:r>
      <w:r>
        <w:t>的格式进行，混乱的编排导致投标文件被误读或评标委员会查找不到有效文件是投标人的风险。</w:t>
      </w:r>
    </w:p>
    <w:p w14:paraId="54F22816">
      <w:pPr>
        <w:widowControl w:val="0"/>
        <w:adjustRightInd w:val="0"/>
        <w:snapToGrid w:val="0"/>
        <w:spacing w:line="360" w:lineRule="auto"/>
        <w:ind w:firstLine="537" w:firstLineChars="224"/>
      </w:pPr>
      <w:r>
        <w:t>2.投标人进行电子投标应安装客户端软件—“政采云电子交易客户端”，并按照招标文件和电子交易平台的要求编制并加密投标文件。投标人未按规定加密的投标文件，电子交易平台将拒收并提示。</w:t>
      </w:r>
    </w:p>
    <w:p w14:paraId="3A597E51">
      <w:pPr>
        <w:widowControl w:val="0"/>
        <w:adjustRightInd w:val="0"/>
        <w:snapToGrid w:val="0"/>
        <w:spacing w:line="360" w:lineRule="auto"/>
        <w:ind w:firstLine="537" w:firstLineChars="224"/>
      </w:pPr>
      <w:r>
        <w:t>3.使用“政采云电子交易客户端”需要提前申领CA数字证书，申领流程请自行前往“浙江政府采购网-下载专区-电子交易客户端-CA驱动和申领流程”进行查阅。</w:t>
      </w:r>
    </w:p>
    <w:p w14:paraId="43031992">
      <w:pPr>
        <w:widowControl w:val="0"/>
        <w:adjustRightInd w:val="0"/>
        <w:snapToGrid w:val="0"/>
        <w:spacing w:line="360" w:lineRule="auto"/>
        <w:ind w:firstLine="537" w:firstLineChars="224"/>
      </w:pPr>
      <w:r>
        <w:t>（七）投标文件的签署、盖章</w:t>
      </w:r>
    </w:p>
    <w:p w14:paraId="02E26D90">
      <w:pPr>
        <w:widowControl w:val="0"/>
        <w:adjustRightInd w:val="0"/>
        <w:snapToGrid w:val="0"/>
        <w:spacing w:line="360" w:lineRule="auto"/>
        <w:ind w:firstLine="537" w:firstLineChars="224"/>
      </w:pPr>
      <w:r>
        <w:t>1.投标文件按照招标文件第</w:t>
      </w:r>
      <w:r>
        <w:rPr>
          <w:rFonts w:hint="eastAsia"/>
        </w:rPr>
        <w:t>七章</w:t>
      </w:r>
      <w:r>
        <w:t>格式要求进行签署、盖章。</w:t>
      </w:r>
      <w:r>
        <w:rPr>
          <w:rFonts w:ascii="Segoe UI Symbol" w:hAnsi="Segoe UI Symbol" w:cs="Segoe UI Symbol"/>
          <w:b/>
          <w:bCs/>
        </w:rPr>
        <w:t>★</w:t>
      </w:r>
      <w:r>
        <w:rPr>
          <w:b/>
          <w:bCs/>
        </w:rPr>
        <w:t>投标人的投标文件未按照招标文件要求签署、盖章的，其投标无效。</w:t>
      </w:r>
    </w:p>
    <w:p w14:paraId="386AA4BF">
      <w:pPr>
        <w:widowControl w:val="0"/>
        <w:adjustRightInd w:val="0"/>
        <w:snapToGrid w:val="0"/>
        <w:spacing w:line="360" w:lineRule="auto"/>
        <w:ind w:firstLine="537" w:firstLineChars="224"/>
      </w:pPr>
      <w:r>
        <w:t>2.为确保网上操作合法、有效和安全，投标人应当在投标截止时间前完成在“政府采购云平台”的身份认证，确保在电子投标过程中能够对相关数据电文进行加密和使用电子签章。</w:t>
      </w:r>
    </w:p>
    <w:p w14:paraId="2037A4DC">
      <w:pPr>
        <w:widowControl w:val="0"/>
        <w:adjustRightInd w:val="0"/>
        <w:snapToGrid w:val="0"/>
        <w:spacing w:line="360" w:lineRule="auto"/>
        <w:ind w:firstLine="537" w:firstLineChars="224"/>
      </w:pPr>
      <w:r>
        <w:t>3.招标文件对投标文件签署、盖章的要求适用于电子签章。</w:t>
      </w:r>
    </w:p>
    <w:p w14:paraId="61436612">
      <w:pPr>
        <w:widowControl w:val="0"/>
        <w:adjustRightInd w:val="0"/>
        <w:snapToGrid w:val="0"/>
        <w:spacing w:line="360" w:lineRule="auto"/>
        <w:ind w:firstLine="537" w:firstLineChars="224"/>
      </w:pPr>
      <w:bookmarkStart w:id="59" w:name="_Hlk93998502"/>
      <w:r>
        <w:t>（八） 投标文件的提交、补充、修改、撤回</w:t>
      </w:r>
    </w:p>
    <w:p w14:paraId="02FCA43B">
      <w:pPr>
        <w:widowControl w:val="0"/>
        <w:adjustRightInd w:val="0"/>
        <w:snapToGrid w:val="0"/>
        <w:spacing w:line="360" w:lineRule="auto"/>
        <w:ind w:firstLine="537" w:firstLineChars="224"/>
      </w:pPr>
      <w: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BA9A47">
      <w:pPr>
        <w:widowControl w:val="0"/>
        <w:adjustRightInd w:val="0"/>
        <w:snapToGrid w:val="0"/>
        <w:spacing w:line="360" w:lineRule="auto"/>
        <w:ind w:firstLine="537" w:firstLineChars="224"/>
      </w:pPr>
      <w:r>
        <w:t>2.电子交易平台收到投标文件，将妥善保存并即时向供应商发出确认回执通知。在投标截止时间前，除供应商补充、修改或者撤回投标文件外，任何单位和个人不得解密或提取投标文件。</w:t>
      </w:r>
    </w:p>
    <w:p w14:paraId="5D942DEB">
      <w:pPr>
        <w:widowControl w:val="0"/>
        <w:adjustRightInd w:val="0"/>
        <w:snapToGrid w:val="0"/>
        <w:spacing w:line="360" w:lineRule="auto"/>
        <w:ind w:firstLine="537" w:firstLineChars="224"/>
      </w:pPr>
      <w:r>
        <w:t>3.采购人、采购代理机构可以视情况延长投标文件提交的截止时间。</w:t>
      </w:r>
    </w:p>
    <w:bookmarkEnd w:id="59"/>
    <w:p w14:paraId="7848C29F">
      <w:pPr>
        <w:widowControl w:val="0"/>
        <w:adjustRightInd w:val="0"/>
        <w:snapToGrid w:val="0"/>
        <w:spacing w:line="360" w:lineRule="auto"/>
        <w:ind w:firstLine="537" w:firstLineChars="224"/>
      </w:pPr>
      <w:r>
        <w:t>（九）备份投标文件</w:t>
      </w:r>
    </w:p>
    <w:p w14:paraId="185A6752">
      <w:pPr>
        <w:widowControl w:val="0"/>
        <w:adjustRightInd w:val="0"/>
        <w:snapToGrid w:val="0"/>
        <w:spacing w:line="360" w:lineRule="auto"/>
        <w:ind w:firstLine="537" w:firstLineChars="224"/>
        <w:rPr>
          <w:b/>
          <w:bCs/>
        </w:rPr>
      </w:pPr>
      <w:r>
        <w:t>1.投标人在电子交易平台传输递交投标文件后，可自行选择</w:t>
      </w:r>
      <w:r>
        <w:rPr>
          <w:rFonts w:hint="eastAsia"/>
        </w:rPr>
        <w:t>是否递交备份电子投标文件，递交事项详见前附表</w:t>
      </w:r>
      <w:r>
        <w:t>。</w:t>
      </w:r>
      <w:r>
        <w:rPr>
          <w:b/>
          <w:bCs/>
          <w:kern w:val="2"/>
        </w:rPr>
        <w:t>“电子备份投标文件”为非强制性要求，但如遇投标人未按时解密成功且未提供“电子备份投标文件”的，作投标无效处理，后果由投标人自负。</w:t>
      </w:r>
    </w:p>
    <w:p w14:paraId="732AD621">
      <w:pPr>
        <w:widowControl w:val="0"/>
        <w:adjustRightInd w:val="0"/>
        <w:snapToGrid w:val="0"/>
        <w:spacing w:line="360" w:lineRule="auto"/>
        <w:ind w:firstLine="540" w:firstLineChars="224"/>
      </w:pPr>
      <w:r>
        <w:rPr>
          <w:b/>
        </w:rPr>
        <w:t>2.投标人仅提交</w:t>
      </w:r>
      <w:r>
        <w:rPr>
          <w:rFonts w:hint="eastAsia"/>
          <w:b/>
        </w:rPr>
        <w:t>电子</w:t>
      </w:r>
      <w:r>
        <w:rPr>
          <w:b/>
        </w:rPr>
        <w:t>备份投标文件，没有在电子交易平台传输递交投标文件的，投标无效。</w:t>
      </w:r>
    </w:p>
    <w:p w14:paraId="05A54FF9">
      <w:pPr>
        <w:widowControl w:val="0"/>
        <w:adjustRightInd w:val="0"/>
        <w:snapToGrid w:val="0"/>
        <w:spacing w:line="360" w:lineRule="auto"/>
        <w:ind w:firstLine="537" w:firstLineChars="224"/>
      </w:pPr>
      <w:r>
        <w:t>（十）投标有效期</w:t>
      </w:r>
    </w:p>
    <w:p w14:paraId="6C288C50">
      <w:pPr>
        <w:widowControl w:val="0"/>
        <w:adjustRightInd w:val="0"/>
        <w:snapToGrid w:val="0"/>
        <w:spacing w:line="360" w:lineRule="auto"/>
        <w:ind w:firstLine="537" w:firstLineChars="224"/>
      </w:pPr>
      <w:r>
        <w:t>1.自投标截止日起90天投标文件应保持有效。</w:t>
      </w:r>
      <w:r>
        <w:rPr>
          <w:b/>
        </w:rPr>
        <w:t>投标人的投标文件中承诺的投标有效期少于招标文件中载明的投标有效期的，投标无效。</w:t>
      </w:r>
    </w:p>
    <w:p w14:paraId="755063B1">
      <w:pPr>
        <w:snapToGrid w:val="0"/>
        <w:spacing w:line="360" w:lineRule="auto"/>
        <w:ind w:firstLine="480" w:firstLineChars="200"/>
      </w:pPr>
      <w:r>
        <w:t>2.投标文件合格投递后，自投标截止日期起，在投标有效期内有效。</w:t>
      </w:r>
    </w:p>
    <w:p w14:paraId="713201E0">
      <w:pPr>
        <w:snapToGrid w:val="0"/>
        <w:spacing w:line="360" w:lineRule="auto"/>
        <w:ind w:firstLine="480" w:firstLineChars="200"/>
      </w:pPr>
      <w:r>
        <w:t>3.在原定投标有效期满之前，如果出现特殊情况，采购代理机构可以以书面形式通知投标人延长投标有效期。投标人同意延长的，不得要求或被允许修改其投标文件，投标人拒绝延长的，其投标无效。</w:t>
      </w:r>
    </w:p>
    <w:p w14:paraId="13992C24">
      <w:pPr>
        <w:widowControl w:val="0"/>
        <w:adjustRightInd w:val="0"/>
        <w:snapToGrid w:val="0"/>
        <w:spacing w:line="360" w:lineRule="auto"/>
        <w:ind w:firstLine="540" w:firstLineChars="224"/>
        <w:rPr>
          <w:b/>
          <w:bCs/>
        </w:rPr>
      </w:pPr>
      <w:r>
        <w:rPr>
          <w:b/>
          <w:bCs/>
        </w:rPr>
        <w:t>（十一）投标无效的情形</w:t>
      </w:r>
    </w:p>
    <w:p w14:paraId="31A42099">
      <w:pPr>
        <w:pStyle w:val="3"/>
        <w:snapToGrid w:val="0"/>
        <w:spacing w:line="360" w:lineRule="auto"/>
        <w:ind w:firstLine="470" w:firstLineChars="196"/>
        <w:rPr>
          <w:rFonts w:eastAsia="宋体"/>
        </w:rPr>
      </w:pPr>
      <w:r>
        <w:rPr>
          <w:rFonts w:eastAsia="宋体"/>
        </w:rPr>
        <w:t>1.投标人不具备招标文件中规定的资格要求的（投标人未提供有效的资格文件的，视为投标人不具备招标文件中规定的资格要求）；</w:t>
      </w:r>
    </w:p>
    <w:p w14:paraId="1C5BC20A">
      <w:pPr>
        <w:pStyle w:val="3"/>
        <w:snapToGrid w:val="0"/>
        <w:spacing w:line="360" w:lineRule="auto"/>
        <w:ind w:firstLine="470" w:firstLineChars="196"/>
        <w:rPr>
          <w:rFonts w:eastAsia="宋体"/>
        </w:rPr>
      </w:pPr>
      <w:r>
        <w:rPr>
          <w:rFonts w:eastAsia="宋体"/>
        </w:rPr>
        <w:t>2.投标人仅提交备份投标文件，没有在电子交易平台传输递交投标文件的；</w:t>
      </w:r>
    </w:p>
    <w:p w14:paraId="7BB46A4C">
      <w:pPr>
        <w:pStyle w:val="3"/>
        <w:snapToGrid w:val="0"/>
        <w:spacing w:line="360" w:lineRule="auto"/>
        <w:ind w:firstLine="470" w:firstLineChars="196"/>
        <w:rPr>
          <w:rFonts w:eastAsia="宋体"/>
        </w:rPr>
      </w:pPr>
      <w:r>
        <w:rPr>
          <w:rFonts w:eastAsia="宋体"/>
        </w:rPr>
        <w:t>3.投标文件未按照招标文件要求签署、盖章的；</w:t>
      </w:r>
    </w:p>
    <w:p w14:paraId="360413D3">
      <w:pPr>
        <w:pStyle w:val="3"/>
        <w:snapToGrid w:val="0"/>
        <w:spacing w:line="360" w:lineRule="auto"/>
        <w:ind w:firstLine="470" w:firstLineChars="196"/>
        <w:rPr>
          <w:rFonts w:eastAsia="宋体"/>
        </w:rPr>
      </w:pPr>
      <w:r>
        <w:rPr>
          <w:rFonts w:eastAsia="宋体"/>
        </w:rPr>
        <w:t>4.投标文件不满足招标文件的实质性要求的；</w:t>
      </w:r>
    </w:p>
    <w:p w14:paraId="5C87DBF9">
      <w:pPr>
        <w:pStyle w:val="3"/>
        <w:snapToGrid w:val="0"/>
        <w:spacing w:line="360" w:lineRule="auto"/>
        <w:ind w:firstLine="470" w:firstLineChars="196"/>
        <w:rPr>
          <w:rFonts w:eastAsia="宋体"/>
        </w:rPr>
      </w:pPr>
      <w:r>
        <w:rPr>
          <w:rFonts w:eastAsia="宋体"/>
        </w:rPr>
        <w:t>5.允许偏离的技术、性能指标或者辅助功能项目发生负偏离与招标文件的要求存在差异并严重影响项目实施的，经评标委员会集体（少数服从多数原则）认定确属的；</w:t>
      </w:r>
    </w:p>
    <w:p w14:paraId="1A9A828F">
      <w:pPr>
        <w:pStyle w:val="3"/>
        <w:snapToGrid w:val="0"/>
        <w:spacing w:line="360" w:lineRule="auto"/>
        <w:ind w:firstLine="470" w:firstLineChars="196"/>
        <w:rPr>
          <w:rFonts w:eastAsia="宋体"/>
        </w:rPr>
      </w:pPr>
      <w:r>
        <w:rPr>
          <w:rFonts w:eastAsia="宋体"/>
        </w:rPr>
        <w:t>6.投标方案不明确，存在一个或一个以上备选（替代）投标方案的；</w:t>
      </w:r>
    </w:p>
    <w:p w14:paraId="7C0D51D5">
      <w:pPr>
        <w:pStyle w:val="3"/>
        <w:snapToGrid w:val="0"/>
        <w:spacing w:line="360" w:lineRule="auto"/>
        <w:ind w:firstLine="470" w:firstLineChars="196"/>
        <w:rPr>
          <w:rFonts w:eastAsia="宋体"/>
        </w:rPr>
      </w:pPr>
      <w:r>
        <w:rPr>
          <w:rFonts w:eastAsia="宋体"/>
        </w:rPr>
        <w:t>7.投标人提供虚假材料投标的；（包括中标后发现的）</w:t>
      </w:r>
    </w:p>
    <w:p w14:paraId="2E4A89B7">
      <w:pPr>
        <w:pStyle w:val="3"/>
        <w:snapToGrid w:val="0"/>
        <w:spacing w:line="360" w:lineRule="auto"/>
        <w:ind w:firstLine="470" w:firstLineChars="196"/>
        <w:rPr>
          <w:rFonts w:eastAsia="宋体"/>
        </w:rPr>
      </w:pPr>
      <w:r>
        <w:rPr>
          <w:rFonts w:eastAsia="宋体"/>
        </w:rPr>
        <w:t>8.投标文件有采购人不能接受的附加条件的；</w:t>
      </w:r>
    </w:p>
    <w:p w14:paraId="3BC71D54">
      <w:pPr>
        <w:pStyle w:val="3"/>
        <w:snapToGrid w:val="0"/>
        <w:spacing w:line="360" w:lineRule="auto"/>
        <w:ind w:firstLine="470" w:firstLineChars="196"/>
        <w:rPr>
          <w:rFonts w:eastAsia="宋体"/>
        </w:rPr>
      </w:pPr>
      <w:r>
        <w:rPr>
          <w:rFonts w:eastAsia="宋体"/>
        </w:rPr>
        <w:t>9.资格文件或技术资信文件中包含有本次投标报价内容的；</w:t>
      </w:r>
    </w:p>
    <w:p w14:paraId="4F96B6CE">
      <w:pPr>
        <w:pStyle w:val="3"/>
        <w:snapToGrid w:val="0"/>
        <w:spacing w:line="360" w:lineRule="auto"/>
        <w:ind w:firstLine="470" w:firstLineChars="196"/>
        <w:rPr>
          <w:rFonts w:eastAsia="宋体"/>
        </w:rPr>
      </w:pPr>
      <w:r>
        <w:rPr>
          <w:rFonts w:eastAsia="宋体"/>
        </w:rPr>
        <w:t>10.投标报价未按照招标文件标明报价口径进行报价的；</w:t>
      </w:r>
    </w:p>
    <w:p w14:paraId="497A0313">
      <w:pPr>
        <w:pStyle w:val="3"/>
        <w:snapToGrid w:val="0"/>
        <w:spacing w:line="360" w:lineRule="auto"/>
        <w:ind w:firstLine="470" w:firstLineChars="196"/>
        <w:rPr>
          <w:rFonts w:eastAsia="宋体"/>
        </w:rPr>
      </w:pPr>
      <w:r>
        <w:rPr>
          <w:rFonts w:eastAsia="宋体"/>
        </w:rPr>
        <w:t>11.投标报价超出最高限价</w:t>
      </w:r>
      <w:r>
        <w:rPr>
          <w:rFonts w:hint="eastAsia"/>
        </w:rPr>
        <w:t>和单价限价（如有）</w:t>
      </w:r>
      <w:r>
        <w:rPr>
          <w:rFonts w:eastAsia="宋体"/>
        </w:rPr>
        <w:t>，或者超出采购预算金额，采购人不能支付的；</w:t>
      </w:r>
    </w:p>
    <w:p w14:paraId="0D1C999E">
      <w:pPr>
        <w:pStyle w:val="3"/>
        <w:snapToGrid w:val="0"/>
        <w:spacing w:line="360" w:lineRule="auto"/>
        <w:rPr>
          <w:rFonts w:eastAsia="宋体"/>
        </w:rPr>
      </w:pPr>
      <w:r>
        <w:rPr>
          <w:rFonts w:eastAsia="宋体"/>
        </w:rPr>
        <w:t>12.投标报价具有选择性，投标人在一套投标文件中对同一项目有二个或多个报价，且未声明哪个有效的；</w:t>
      </w:r>
    </w:p>
    <w:p w14:paraId="6FC013EB">
      <w:pPr>
        <w:pStyle w:val="3"/>
        <w:snapToGrid w:val="0"/>
        <w:spacing w:line="360" w:lineRule="auto"/>
        <w:rPr>
          <w:rFonts w:eastAsia="宋体"/>
        </w:rPr>
      </w:pPr>
      <w:r>
        <w:rPr>
          <w:rFonts w:eastAsia="宋体"/>
        </w:rPr>
        <w:t>13.投标报价出现计算或表达上的错误，投标人拒绝修正的；</w:t>
      </w:r>
    </w:p>
    <w:p w14:paraId="51A50450">
      <w:pPr>
        <w:pStyle w:val="3"/>
        <w:snapToGrid w:val="0"/>
        <w:spacing w:line="360" w:lineRule="auto"/>
        <w:rPr>
          <w:rFonts w:eastAsia="宋体"/>
        </w:rPr>
      </w:pPr>
      <w:r>
        <w:rPr>
          <w:rFonts w:eastAsia="宋体"/>
        </w:rPr>
        <w:t>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42A3EA8A">
      <w:pPr>
        <w:pStyle w:val="3"/>
        <w:snapToGrid w:val="0"/>
        <w:spacing w:line="360" w:lineRule="auto"/>
        <w:rPr>
          <w:rFonts w:eastAsia="宋体"/>
        </w:rPr>
      </w:pPr>
      <w:r>
        <w:rPr>
          <w:rFonts w:eastAsia="宋体"/>
        </w:rPr>
        <w:t>1</w:t>
      </w:r>
      <w:r>
        <w:rPr>
          <w:rFonts w:hint="eastAsia" w:eastAsia="宋体"/>
        </w:rPr>
        <w:t>5</w:t>
      </w:r>
      <w:r>
        <w:rPr>
          <w:rFonts w:eastAsia="宋体"/>
        </w:rPr>
        <w:t>.</w:t>
      </w:r>
      <w:r>
        <w:rPr>
          <w:rFonts w:hint="eastAsia" w:eastAsia="宋体"/>
        </w:rPr>
        <w:t>除政府采购法律法规规定的恶意串通、视同串通投标情形外，在不影响公平竞争的前提下，参与同一个标段</w:t>
      </w:r>
      <w:r>
        <w:rPr>
          <w:rFonts w:eastAsia="宋体"/>
        </w:rPr>
        <w:t>(</w:t>
      </w:r>
      <w:r>
        <w:rPr>
          <w:rFonts w:hint="eastAsia" w:eastAsia="宋体"/>
        </w:rPr>
        <w:t>包</w:t>
      </w:r>
      <w:r>
        <w:rPr>
          <w:rFonts w:eastAsia="宋体"/>
        </w:rPr>
        <w:t>)</w:t>
      </w:r>
      <w:r>
        <w:rPr>
          <w:rFonts w:hint="eastAsia" w:eastAsia="宋体"/>
        </w:rPr>
        <w:t>的供应商存在下列情形之一的，其投标</w:t>
      </w:r>
      <w:r>
        <w:rPr>
          <w:rFonts w:eastAsia="宋体"/>
        </w:rPr>
        <w:t>(</w:t>
      </w:r>
      <w:r>
        <w:rPr>
          <w:rFonts w:hint="eastAsia" w:eastAsia="宋体"/>
        </w:rPr>
        <w:t>响应</w:t>
      </w:r>
      <w:r>
        <w:rPr>
          <w:rFonts w:eastAsia="宋体"/>
        </w:rPr>
        <w:t>)</w:t>
      </w:r>
      <w:r>
        <w:rPr>
          <w:rFonts w:hint="eastAsia" w:eastAsia="宋体"/>
        </w:rPr>
        <w:t>文件无效：（</w:t>
      </w:r>
      <w:r>
        <w:rPr>
          <w:rFonts w:eastAsia="宋体"/>
        </w:rPr>
        <w:t>1</w:t>
      </w:r>
      <w:r>
        <w:rPr>
          <w:rFonts w:hint="eastAsia" w:eastAsia="宋体"/>
        </w:rPr>
        <w:t>）不同供应商制作电子投标</w:t>
      </w:r>
      <w:r>
        <w:rPr>
          <w:rFonts w:eastAsia="宋体"/>
        </w:rPr>
        <w:t>(</w:t>
      </w:r>
      <w:r>
        <w:rPr>
          <w:rFonts w:hint="eastAsia" w:eastAsia="宋体"/>
        </w:rPr>
        <w:t>响应</w:t>
      </w:r>
      <w:r>
        <w:rPr>
          <w:rFonts w:eastAsia="宋体"/>
        </w:rPr>
        <w:t>)</w:t>
      </w:r>
      <w:r>
        <w:rPr>
          <w:rFonts w:hint="eastAsia" w:eastAsia="宋体"/>
        </w:rPr>
        <w:t>文件的计算机网卡</w:t>
      </w:r>
      <w:r>
        <w:rPr>
          <w:rFonts w:eastAsia="宋体"/>
        </w:rPr>
        <w:t>MAC</w:t>
      </w:r>
      <w:r>
        <w:rPr>
          <w:rFonts w:hint="eastAsia" w:eastAsia="宋体"/>
        </w:rPr>
        <w:t>地址相同的；（</w:t>
      </w:r>
      <w:r>
        <w:rPr>
          <w:rFonts w:eastAsia="宋体"/>
        </w:rPr>
        <w:t>2</w:t>
      </w:r>
      <w:r>
        <w:rPr>
          <w:rFonts w:hint="eastAsia" w:eastAsia="宋体"/>
        </w:rPr>
        <w:t>）不同供应商制作电子投标</w:t>
      </w:r>
      <w:r>
        <w:rPr>
          <w:rFonts w:eastAsia="宋体"/>
        </w:rPr>
        <w:t>(</w:t>
      </w:r>
      <w:r>
        <w:rPr>
          <w:rFonts w:hint="eastAsia" w:eastAsia="宋体"/>
        </w:rPr>
        <w:t>响应</w:t>
      </w:r>
      <w:r>
        <w:rPr>
          <w:rFonts w:eastAsia="宋体"/>
        </w:rPr>
        <w:t>)</w:t>
      </w:r>
      <w:r>
        <w:rPr>
          <w:rFonts w:hint="eastAsia" w:eastAsia="宋体"/>
        </w:rPr>
        <w:t>文件的计算机硬盘序列号相同的；（</w:t>
      </w:r>
      <w:r>
        <w:rPr>
          <w:rFonts w:eastAsia="宋体"/>
        </w:rPr>
        <w:t>3</w:t>
      </w:r>
      <w:r>
        <w:rPr>
          <w:rFonts w:hint="eastAsia" w:eastAsia="宋体"/>
        </w:rPr>
        <w:t>）不同供应商的投标</w:t>
      </w:r>
      <w:r>
        <w:rPr>
          <w:rFonts w:eastAsia="宋体"/>
        </w:rPr>
        <w:t>(</w:t>
      </w:r>
      <w:r>
        <w:rPr>
          <w:rFonts w:hint="eastAsia" w:eastAsia="宋体"/>
        </w:rPr>
        <w:t>响应</w:t>
      </w:r>
      <w:r>
        <w:rPr>
          <w:rFonts w:eastAsia="宋体"/>
        </w:rPr>
        <w:t>)</w:t>
      </w:r>
      <w:r>
        <w:rPr>
          <w:rFonts w:hint="eastAsia" w:eastAsia="宋体"/>
        </w:rPr>
        <w:t>文件的内容存在两处以上细节错误一致，且无法合理解释的。</w:t>
      </w:r>
    </w:p>
    <w:p w14:paraId="504A0880">
      <w:pPr>
        <w:pStyle w:val="3"/>
        <w:snapToGrid w:val="0"/>
        <w:spacing w:line="360" w:lineRule="auto"/>
        <w:ind w:firstLine="470" w:firstLineChars="196"/>
        <w:rPr>
          <w:rFonts w:eastAsia="宋体"/>
        </w:rPr>
      </w:pPr>
      <w:r>
        <w:rPr>
          <w:rFonts w:eastAsia="宋体"/>
        </w:rPr>
        <w:t>1</w:t>
      </w:r>
      <w:r>
        <w:rPr>
          <w:rFonts w:hint="eastAsia" w:eastAsia="宋体"/>
        </w:rPr>
        <w:t>6</w:t>
      </w:r>
      <w:r>
        <w:rPr>
          <w:rFonts w:eastAsia="宋体"/>
        </w:rPr>
        <w:t>.不符合法律、法规规定的其他要求的。</w:t>
      </w:r>
    </w:p>
    <w:p w14:paraId="7EFD27DF">
      <w:pPr>
        <w:pStyle w:val="3"/>
        <w:snapToGrid w:val="0"/>
        <w:spacing w:line="360" w:lineRule="auto"/>
        <w:ind w:firstLine="472" w:firstLineChars="196"/>
        <w:rPr>
          <w:rFonts w:eastAsia="宋体"/>
          <w:b/>
          <w:bCs/>
        </w:rPr>
      </w:pPr>
      <w:r>
        <w:rPr>
          <w:rFonts w:eastAsia="宋体"/>
          <w:b/>
          <w:bCs/>
        </w:rPr>
        <w:t>（十二）废标</w:t>
      </w:r>
    </w:p>
    <w:p w14:paraId="1B8007B9">
      <w:pPr>
        <w:pStyle w:val="3"/>
        <w:snapToGrid w:val="0"/>
        <w:spacing w:line="360" w:lineRule="auto"/>
        <w:rPr>
          <w:rFonts w:eastAsia="宋体"/>
        </w:rPr>
      </w:pPr>
      <w:r>
        <w:rPr>
          <w:rFonts w:hint="eastAsia" w:eastAsia="宋体"/>
        </w:rPr>
        <w:t>1</w:t>
      </w:r>
      <w:r>
        <w:rPr>
          <w:rFonts w:eastAsia="宋体"/>
        </w:rPr>
        <w:t>.根据《中华人民共和国政府采购法》第三十六条之规定，在采购中，出现下列情形之一的，应予废标：</w:t>
      </w:r>
    </w:p>
    <w:p w14:paraId="3A0F7F31">
      <w:pPr>
        <w:pStyle w:val="3"/>
        <w:snapToGrid w:val="0"/>
        <w:spacing w:line="360" w:lineRule="auto"/>
        <w:rPr>
          <w:rFonts w:eastAsia="宋体"/>
        </w:rPr>
      </w:pPr>
      <w:r>
        <w:rPr>
          <w:rFonts w:eastAsia="宋体"/>
        </w:rPr>
        <w:t>1.1符合专业条件的供应商或者对招标文件作实质响应的供应商不足3家的；</w:t>
      </w:r>
    </w:p>
    <w:p w14:paraId="35D66A00">
      <w:pPr>
        <w:pStyle w:val="3"/>
        <w:snapToGrid w:val="0"/>
        <w:spacing w:line="360" w:lineRule="auto"/>
        <w:rPr>
          <w:rFonts w:eastAsia="宋体"/>
        </w:rPr>
      </w:pPr>
      <w:r>
        <w:rPr>
          <w:rFonts w:eastAsia="宋体"/>
        </w:rPr>
        <w:t>1.2出现影响采购公正的违法、违规行为的；</w:t>
      </w:r>
    </w:p>
    <w:p w14:paraId="0FAA6BDB">
      <w:pPr>
        <w:pStyle w:val="3"/>
        <w:snapToGrid w:val="0"/>
        <w:spacing w:line="360" w:lineRule="auto"/>
        <w:rPr>
          <w:rFonts w:eastAsia="宋体"/>
        </w:rPr>
      </w:pPr>
      <w:r>
        <w:rPr>
          <w:rFonts w:eastAsia="宋体"/>
        </w:rPr>
        <w:t>1.3投标人的报价均超过了采购预算，采购人不能支付的；</w:t>
      </w:r>
    </w:p>
    <w:p w14:paraId="7E9DC919">
      <w:pPr>
        <w:pStyle w:val="3"/>
        <w:snapToGrid w:val="0"/>
        <w:spacing w:line="360" w:lineRule="auto"/>
        <w:rPr>
          <w:rFonts w:eastAsia="宋体"/>
        </w:rPr>
      </w:pPr>
      <w:r>
        <w:rPr>
          <w:rFonts w:eastAsia="宋体"/>
        </w:rPr>
        <w:t>1.4因重大变故，采购任务取消的。</w:t>
      </w:r>
    </w:p>
    <w:p w14:paraId="6B6CA38E">
      <w:pPr>
        <w:pStyle w:val="3"/>
        <w:snapToGrid w:val="0"/>
        <w:spacing w:line="360" w:lineRule="auto"/>
        <w:rPr>
          <w:rFonts w:eastAsia="宋体"/>
        </w:rPr>
      </w:pPr>
      <w:r>
        <w:rPr>
          <w:rFonts w:eastAsia="宋体"/>
        </w:rPr>
        <w:t>废标后，采购代理机构应当将废标理由通知所有投标人。</w:t>
      </w:r>
    </w:p>
    <w:p w14:paraId="38108057">
      <w:pPr>
        <w:pStyle w:val="26"/>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2.除采购任务取消情形外，按照以下方式处理：</w:t>
      </w:r>
    </w:p>
    <w:p w14:paraId="7DDD0279">
      <w:pPr>
        <w:pStyle w:val="26"/>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2.1招标文件存在不合理条款或者招标程序不符合规定的，改正后依法重新招标；</w:t>
      </w:r>
    </w:p>
    <w:p w14:paraId="675FADF2">
      <w:pPr>
        <w:pStyle w:val="26"/>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2.2招标文件没有不合理条款、招标程序符合规定，需要采用其他采购方式采购的，采购人应当依法报财政部门批准。</w:t>
      </w:r>
    </w:p>
    <w:p w14:paraId="1923E91B">
      <w:pPr>
        <w:pStyle w:val="3"/>
        <w:snapToGrid w:val="0"/>
        <w:spacing w:line="360" w:lineRule="auto"/>
        <w:ind w:firstLine="482"/>
        <w:rPr>
          <w:rFonts w:eastAsia="宋体"/>
          <w:b/>
          <w:bCs/>
        </w:rPr>
      </w:pPr>
      <w:r>
        <w:rPr>
          <w:rFonts w:eastAsia="宋体"/>
          <w:b/>
          <w:bCs/>
        </w:rPr>
        <w:t>（十三）修改招标文件，重新组织采购活动</w:t>
      </w:r>
    </w:p>
    <w:p w14:paraId="1DA04C1D">
      <w:pPr>
        <w:pStyle w:val="3"/>
        <w:snapToGrid w:val="0"/>
        <w:spacing w:line="360" w:lineRule="auto"/>
        <w:rPr>
          <w:rFonts w:eastAsia="宋体"/>
        </w:rPr>
      </w:pPr>
      <w:r>
        <w:rPr>
          <w:rFonts w:eastAsia="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EFC960">
      <w:pPr>
        <w:pStyle w:val="3"/>
        <w:snapToGrid w:val="0"/>
        <w:spacing w:line="360" w:lineRule="auto"/>
        <w:ind w:firstLine="590" w:firstLineChars="245"/>
        <w:rPr>
          <w:rFonts w:eastAsia="宋体"/>
          <w:b/>
        </w:rPr>
      </w:pPr>
      <w:r>
        <w:rPr>
          <w:rFonts w:eastAsia="宋体"/>
          <w:b/>
          <w:bCs/>
        </w:rPr>
        <w:t>（十四）重新开展采购</w:t>
      </w:r>
    </w:p>
    <w:p w14:paraId="33AD7999">
      <w:pPr>
        <w:pStyle w:val="3"/>
        <w:snapToGrid w:val="0"/>
        <w:spacing w:line="360" w:lineRule="auto"/>
        <w:rPr>
          <w:rFonts w:eastAsia="宋体"/>
        </w:rPr>
      </w:pPr>
      <w:r>
        <w:rPr>
          <w:rFonts w:eastAsia="宋体"/>
        </w:rPr>
        <w:t>有政府采购法第七十一条、第七十二条规定的违法行为之一，影响或者可能影响中标、成交结果的，依照下列规定处理：</w:t>
      </w:r>
    </w:p>
    <w:p w14:paraId="3BC8C532">
      <w:pPr>
        <w:pStyle w:val="3"/>
        <w:snapToGrid w:val="0"/>
        <w:spacing w:line="360" w:lineRule="auto"/>
        <w:rPr>
          <w:rFonts w:eastAsia="宋体"/>
        </w:rPr>
      </w:pPr>
      <w:r>
        <w:rPr>
          <w:rFonts w:eastAsia="宋体"/>
        </w:rPr>
        <w:t>1.未确定中标或者中标人的，终止本次政府采购活动，重新开展政府采购活动。</w:t>
      </w:r>
    </w:p>
    <w:p w14:paraId="202981E5">
      <w:pPr>
        <w:pStyle w:val="3"/>
        <w:snapToGrid w:val="0"/>
        <w:spacing w:line="360" w:lineRule="auto"/>
        <w:rPr>
          <w:rFonts w:eastAsia="宋体"/>
        </w:rPr>
      </w:pPr>
      <w:r>
        <w:rPr>
          <w:rFonts w:eastAsia="宋体"/>
        </w:rPr>
        <w:t>2.已确定中标或者中标人但尚未签订政府采购合同的，中标或者成交结果无效，从合格的中标或者成交候选人中另行确定中标或者中标人；没有合格的中标或者成交候选人的，重新开展政府采购活动。</w:t>
      </w:r>
    </w:p>
    <w:p w14:paraId="35373738">
      <w:pPr>
        <w:pStyle w:val="3"/>
        <w:snapToGrid w:val="0"/>
        <w:spacing w:line="360" w:lineRule="auto"/>
        <w:rPr>
          <w:rFonts w:eastAsia="宋体"/>
        </w:rPr>
      </w:pPr>
      <w:r>
        <w:rPr>
          <w:rFonts w:eastAsia="宋体"/>
        </w:rPr>
        <w:t>3.政府采购合同已签订但尚未履行的，撤销合同，从合格的中标或者成交候选人中另行确定中标或者中标人；没有合格的中标或者成交候选人的，重新开展政府采购活动。</w:t>
      </w:r>
    </w:p>
    <w:p w14:paraId="51EAE993">
      <w:pPr>
        <w:pStyle w:val="3"/>
        <w:snapToGrid w:val="0"/>
        <w:spacing w:line="360" w:lineRule="auto"/>
        <w:rPr>
          <w:rFonts w:eastAsia="宋体"/>
        </w:rPr>
      </w:pPr>
      <w:r>
        <w:rPr>
          <w:rFonts w:eastAsia="宋体"/>
        </w:rPr>
        <w:t>4.政府采购合同已经履行，给采购人、供应商造成损失的，由责任人承担赔偿责任。</w:t>
      </w:r>
    </w:p>
    <w:p w14:paraId="534338F6">
      <w:pPr>
        <w:pStyle w:val="3"/>
        <w:snapToGrid w:val="0"/>
        <w:spacing w:line="360" w:lineRule="auto"/>
        <w:rPr>
          <w:rFonts w:eastAsia="宋体"/>
        </w:rPr>
      </w:pPr>
      <w:r>
        <w:rPr>
          <w:rFonts w:eastAsia="宋体"/>
        </w:rPr>
        <w:t>5.政府采购当事人有其他违反政府采购法或者政府采购法实施条例等法律法规规定的行为，经改正后仍然影响或者可能影响中标、成交结果或者依法被认定为中标、成交无效的，依照1-4规定处理。</w:t>
      </w:r>
    </w:p>
    <w:p w14:paraId="17BBE587">
      <w:pPr>
        <w:pStyle w:val="3"/>
        <w:snapToGrid w:val="0"/>
        <w:spacing w:line="360" w:lineRule="auto"/>
        <w:ind w:firstLine="482"/>
        <w:rPr>
          <w:rFonts w:eastAsia="宋体"/>
          <w:b/>
          <w:bCs/>
        </w:rPr>
      </w:pPr>
      <w:r>
        <w:rPr>
          <w:rFonts w:eastAsia="宋体"/>
          <w:b/>
          <w:bCs/>
        </w:rPr>
        <w:t>四、开标、资格审查与信用信息查询</w:t>
      </w:r>
    </w:p>
    <w:p w14:paraId="23FA0EF9">
      <w:pPr>
        <w:pStyle w:val="3"/>
        <w:snapToGrid w:val="0"/>
        <w:spacing w:line="360" w:lineRule="auto"/>
        <w:rPr>
          <w:rFonts w:eastAsia="宋体"/>
        </w:rPr>
      </w:pPr>
      <w:r>
        <w:rPr>
          <w:rFonts w:eastAsia="宋体"/>
        </w:rPr>
        <w:t>（一）开标</w:t>
      </w:r>
    </w:p>
    <w:p w14:paraId="45C16270">
      <w:pPr>
        <w:pStyle w:val="3"/>
        <w:snapToGrid w:val="0"/>
        <w:spacing w:line="360" w:lineRule="auto"/>
        <w:rPr>
          <w:rFonts w:eastAsia="宋体"/>
        </w:rPr>
      </w:pPr>
      <w:r>
        <w:rPr>
          <w:rFonts w:eastAsia="宋体"/>
        </w:rPr>
        <w:t>1.采购代理机构按照招标文件规定的时间通过电子交易平台组织开标，所有投标人均应当准时在线参加。投标人不足3家的，不得开标。</w:t>
      </w:r>
    </w:p>
    <w:p w14:paraId="2A465E41">
      <w:pPr>
        <w:pStyle w:val="3"/>
        <w:snapToGrid w:val="0"/>
        <w:spacing w:line="360" w:lineRule="auto"/>
        <w:rPr>
          <w:rFonts w:eastAsia="宋体"/>
        </w:rPr>
      </w:pPr>
      <w:r>
        <w:rPr>
          <w:rFonts w:eastAsia="宋体"/>
        </w:rPr>
        <w:t>2.开标时，电子交易平台按开标时间自动提取所有投标文件。采购代理机构依托电子交易平台发起开始解密指令，投标人按照平台提示和招标文件的规定在半小时内完成在线解密。</w:t>
      </w:r>
    </w:p>
    <w:p w14:paraId="3EEE4E9B">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3.投标文件未按时解密，投标人提供了备份投标文件的，以备份投标文件作为依据，否则视为投标文件撤回。投标文件已按时解密的，备份投标文件自动失效。</w:t>
      </w:r>
    </w:p>
    <w:p w14:paraId="32B78E56">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（二）资格审查</w:t>
      </w:r>
    </w:p>
    <w:p w14:paraId="724E028F">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1.开标后，采购人或采购代理机构将依据法律法规和招标文件的规定，对投标人的基本资格条件、特定资格条件进行审查。</w:t>
      </w:r>
    </w:p>
    <w:p w14:paraId="2EDA8F01">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2.投标人未按照招标文件要求提供与基本资格条件、特定资格条件相应的有效资格证明材料的，视为投标人不具备招标文件中规定的资格要求，其投标无效。</w:t>
      </w:r>
    </w:p>
    <w:p w14:paraId="1316A303">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3.对未通过资格审查的投标人，采购人或采购代理机构告知其未通过的原因。</w:t>
      </w:r>
    </w:p>
    <w:p w14:paraId="1629BD32">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4.合格投标人不足3家的，不再评标，项目作流标处理。</w:t>
      </w:r>
    </w:p>
    <w:p w14:paraId="4540F876">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（三）信用信息查询</w:t>
      </w:r>
    </w:p>
    <w:p w14:paraId="7EC5D87D">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1.信用信息查询渠道及截止时间：截至投标截止时间前1个工作日17:00（北京时间），采购代理机构将通过“信用中国”网站(www.creditchina.gov.cn)、中国政府采购网(www.ccgp.gov.cn)渠道查询投标人的信用记录。</w:t>
      </w:r>
    </w:p>
    <w:p w14:paraId="4BD61F25">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2.信用信息查询记录和证据留存的具体方式：投标人的信用记录、查询结果经确认后将与采购文件一起存档。</w:t>
      </w:r>
    </w:p>
    <w:p w14:paraId="783C970F">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3.信用信息的使用规则：经查询列入失信被执行人名单、重大税收违法案件当事人名单、政府采购严重违法失信行为记录名单的投标人将被拒绝参与政府采购活动。</w:t>
      </w:r>
    </w:p>
    <w:p w14:paraId="0EADDCC4">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1205A5">
      <w:pPr>
        <w:pStyle w:val="26"/>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五、评标</w:t>
      </w:r>
    </w:p>
    <w:p w14:paraId="7121E6A7">
      <w:pPr>
        <w:pStyle w:val="26"/>
        <w:widowControl w:val="0"/>
        <w:snapToGrid w:val="0"/>
        <w:spacing w:before="0" w:beforeAutospacing="0" w:after="0" w:afterAutospacing="0" w:line="360" w:lineRule="auto"/>
        <w:ind w:firstLine="477" w:firstLineChars="199"/>
        <w:rPr>
          <w:rFonts w:ascii="Times New Roman" w:hAnsi="Times New Roman"/>
          <w:b/>
          <w:bCs/>
        </w:rPr>
      </w:pPr>
      <w:r>
        <w:rPr>
          <w:rFonts w:ascii="Times New Roman" w:hAnsi="Times New Roma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rPr>
        <w:t>详见招标文件第</w:t>
      </w:r>
      <w:r>
        <w:rPr>
          <w:rFonts w:hint="eastAsia" w:ascii="Times New Roman" w:hAnsi="Times New Roman"/>
          <w:b/>
          <w:bCs/>
        </w:rPr>
        <w:t>五章</w:t>
      </w:r>
      <w:r>
        <w:rPr>
          <w:rFonts w:ascii="Times New Roman" w:hAnsi="Times New Roman"/>
          <w:b/>
          <w:bCs/>
        </w:rPr>
        <w:t>评标办法。</w:t>
      </w:r>
    </w:p>
    <w:p w14:paraId="48278B69">
      <w:pPr>
        <w:pStyle w:val="26"/>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六、定标</w:t>
      </w:r>
    </w:p>
    <w:p w14:paraId="290FB4DC">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1.确定中标人</w:t>
      </w:r>
    </w:p>
    <w:p w14:paraId="3051BB3F">
      <w:pPr>
        <w:widowControl w:val="0"/>
        <w:adjustRightInd w:val="0"/>
        <w:snapToGrid w:val="0"/>
        <w:spacing w:line="360" w:lineRule="auto"/>
        <w:ind w:firstLine="435"/>
        <w:jc w:val="both"/>
        <w:rPr>
          <w:kern w:val="2"/>
        </w:rPr>
      </w:pPr>
      <w:r>
        <w:rPr>
          <w:kern w:val="2"/>
        </w:rPr>
        <w:t>1.1评标委员会将根据综合得分由高到低排序推荐中标候选人。</w:t>
      </w:r>
    </w:p>
    <w:p w14:paraId="2190AF7F">
      <w:pPr>
        <w:widowControl w:val="0"/>
        <w:adjustRightInd w:val="0"/>
        <w:snapToGrid w:val="0"/>
        <w:spacing w:line="360" w:lineRule="auto"/>
        <w:ind w:firstLine="435"/>
        <w:jc w:val="both"/>
        <w:rPr>
          <w:kern w:val="2"/>
        </w:rPr>
      </w:pPr>
      <w:r>
        <w:t>1.2采购人自收到评审报告之日起5个工作日内通过电子交易平台在评审报告推荐的中标候选人中按顺序确定中标人。</w:t>
      </w:r>
    </w:p>
    <w:p w14:paraId="76BE1959">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2.中标通知书与中标结果公告</w:t>
      </w:r>
    </w:p>
    <w:p w14:paraId="6513DD73">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2.1自中标人确定之日起2个工作日内，采购代理机构在省级及以上财政部门指定媒体上发布采购结果公告。同时，采购代理机构也以书面形式发出中标通知书。</w:t>
      </w:r>
    </w:p>
    <w:p w14:paraId="127C761E">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2.2公告期限为1个工作日。</w:t>
      </w:r>
    </w:p>
    <w:p w14:paraId="26405D3D">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2.3《中标通知书》一经发出即产生法律效力，采购人改变中标结果或中标人放弃中标的，应当依法承担法律责任。</w:t>
      </w:r>
    </w:p>
    <w:p w14:paraId="2890A6FE">
      <w:pPr>
        <w:pStyle w:val="26"/>
        <w:widowControl w:val="0"/>
        <w:snapToGrid w:val="0"/>
        <w:spacing w:before="0" w:beforeAutospacing="0" w:after="0" w:afterAutospacing="0" w:line="360" w:lineRule="auto"/>
        <w:ind w:firstLine="479" w:firstLineChars="199"/>
        <w:rPr>
          <w:rFonts w:ascii="Times New Roman" w:hAnsi="Times New Roman"/>
          <w:b/>
          <w:bCs/>
        </w:rPr>
      </w:pPr>
      <w:r>
        <w:rPr>
          <w:rFonts w:ascii="Times New Roman" w:hAnsi="Times New Roman"/>
          <w:b/>
          <w:bCs/>
        </w:rPr>
        <w:t>七、合同授予</w:t>
      </w:r>
    </w:p>
    <w:p w14:paraId="581B5C10">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1.合同的签订</w:t>
      </w:r>
    </w:p>
    <w:p w14:paraId="698851F4">
      <w:pPr>
        <w:pStyle w:val="26"/>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5C74FE7F">
      <w:pPr>
        <w:pStyle w:val="26"/>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1.2中标人按规定的日期、时间、地点，由法定代表人或其授权代表与采购人代表签订合同。如成交人为联合体的，由联合体成员各方法定代表人或其授权代表与采购人代表签订合同。</w:t>
      </w:r>
    </w:p>
    <w:p w14:paraId="73EA8860">
      <w:pPr>
        <w:pStyle w:val="26"/>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1.3如签订合同并生效后，供应商无故拒绝或延期，除按照合同条款处理外，列入不良行为记录一次，并给予通报。</w:t>
      </w:r>
    </w:p>
    <w:p w14:paraId="236D27B6">
      <w:pPr>
        <w:pStyle w:val="26"/>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1.4中标人拒绝与采购人签订合同的，采购人可以按照评审报告推荐的中标或者成交候选人名单排序，确定下一候选人为中标人，也可以重新开展政府采购活动。</w:t>
      </w:r>
    </w:p>
    <w:p w14:paraId="7D0EF754">
      <w:pPr>
        <w:pStyle w:val="26"/>
        <w:widowControl w:val="0"/>
        <w:snapToGrid w:val="0"/>
        <w:spacing w:before="0" w:beforeAutospacing="0" w:after="0" w:afterAutospacing="0" w:line="360" w:lineRule="auto"/>
        <w:ind w:firstLine="477" w:firstLineChars="199"/>
        <w:rPr>
          <w:rFonts w:ascii="Times New Roman" w:hAnsi="Times New Roman"/>
        </w:rPr>
      </w:pPr>
      <w:r>
        <w:rPr>
          <w:rFonts w:hint="eastAsia" w:ascii="Times New Roman" w:hAnsi="Times New Roman"/>
        </w:rPr>
        <w:t>1.</w:t>
      </w:r>
      <w:r>
        <w:rPr>
          <w:rFonts w:ascii="Times New Roman" w:hAnsi="Times New Roman"/>
        </w:rPr>
        <w:t>5</w:t>
      </w:r>
      <w:r>
        <w:rPr>
          <w:rFonts w:hint="eastAsia" w:ascii="Times New Roman" w:hAnsi="Times New Roman"/>
        </w:rPr>
        <w:t>政府采购货物和服务项目不得收取质量保证金。政府采购工程以及与工程建设有关的货物、服务，采用招标方式采购的，按国家和省有关规定执行。</w:t>
      </w:r>
    </w:p>
    <w:p w14:paraId="558116E8">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1.6招标文件、投标文件、投标人作出的承诺及其澄清文件、中标通知书等，均为合同的组成部分。</w:t>
      </w:r>
    </w:p>
    <w:p w14:paraId="262E0524">
      <w:pPr>
        <w:pStyle w:val="26"/>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2.履约保证金</w:t>
      </w:r>
    </w:p>
    <w:p w14:paraId="3E64E006">
      <w:pPr>
        <w:pStyle w:val="26"/>
        <w:widowControl w:val="0"/>
        <w:adjustRightInd w:val="0"/>
        <w:snapToGrid w:val="0"/>
        <w:spacing w:before="0" w:beforeAutospacing="0" w:after="0" w:afterAutospacing="0" w:line="360" w:lineRule="auto"/>
        <w:ind w:firstLine="537" w:firstLineChars="224"/>
        <w:rPr>
          <w:rFonts w:ascii="Times New Roman" w:hAnsi="Times New Roman"/>
        </w:rPr>
      </w:pPr>
      <w:r>
        <w:rPr>
          <w:rFonts w:ascii="Times New Roman" w:hAnsi="Times New Roman"/>
        </w:rPr>
        <w:t>2.1</w:t>
      </w:r>
      <w:r>
        <w:rPr>
          <w:rFonts w:hint="eastAsia" w:ascii="Times New Roman" w:hAnsi="Times New Roman"/>
        </w:rPr>
        <w:t>缴纳规则详见前附表。</w:t>
      </w:r>
    </w:p>
    <w:p w14:paraId="22FA72FA">
      <w:pPr>
        <w:widowControl w:val="0"/>
        <w:adjustRightInd w:val="0"/>
        <w:snapToGrid w:val="0"/>
        <w:spacing w:line="360" w:lineRule="auto"/>
        <w:ind w:firstLine="537" w:firstLineChars="224"/>
      </w:pPr>
      <w:r>
        <w:t>2.2签订合同后，如中标人不按双方合同约定履约，违反有关法律法规的规定及合同约定的条款，损害了采购人利益的，采购人将没收全部履约保证金。履约保证金不足以赔偿损失的，按实际损失赔偿。</w:t>
      </w:r>
    </w:p>
    <w:p w14:paraId="2D4F5842">
      <w:pPr>
        <w:widowControl w:val="0"/>
        <w:adjustRightInd w:val="0"/>
        <w:snapToGrid w:val="0"/>
        <w:spacing w:line="360" w:lineRule="auto"/>
        <w:ind w:firstLine="537" w:firstLineChars="224"/>
      </w:pPr>
      <w:r>
        <w:rPr>
          <w:rFonts w:hint="eastAsia"/>
        </w:rPr>
        <w:t>2</w:t>
      </w:r>
      <w:r>
        <w:t>.3</w:t>
      </w: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F98864">
      <w:pPr>
        <w:widowControl w:val="0"/>
        <w:adjustRightInd w:val="0"/>
        <w:snapToGrid w:val="0"/>
        <w:spacing w:line="360" w:lineRule="auto"/>
        <w:ind w:firstLine="537" w:firstLineChars="224"/>
      </w:pPr>
      <w:r>
        <w:rPr>
          <w:rFonts w:hint="eastAsia"/>
        </w:rPr>
        <w:t>3</w:t>
      </w:r>
      <w:r>
        <w:t>.</w:t>
      </w:r>
      <w:r>
        <w:rPr>
          <w:rFonts w:hint="eastAsia"/>
        </w:rPr>
        <w:t>预付款</w:t>
      </w:r>
    </w:p>
    <w:p w14:paraId="02469FA5">
      <w:pPr>
        <w:widowControl w:val="0"/>
        <w:adjustRightInd w:val="0"/>
        <w:snapToGrid w:val="0"/>
        <w:spacing w:line="360" w:lineRule="auto"/>
        <w:ind w:firstLine="537" w:firstLineChars="224"/>
      </w:pPr>
      <w:r>
        <w:rPr>
          <w:rFonts w:hint="eastAsia"/>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7104F93">
      <w:pPr>
        <w:widowControl w:val="0"/>
        <w:adjustRightInd w:val="0"/>
        <w:snapToGrid w:val="0"/>
        <w:spacing w:line="360" w:lineRule="auto"/>
        <w:ind w:firstLine="537" w:firstLineChars="224"/>
      </w:pPr>
      <w:r>
        <w:rPr>
          <w:rFonts w:hint="eastAsia"/>
        </w:rPr>
        <w:t>4</w:t>
      </w:r>
      <w:r>
        <w:t>.</w:t>
      </w:r>
      <w:r>
        <w:rPr>
          <w:rFonts w:hint="eastAsia"/>
        </w:rPr>
        <w:t>资金支付</w:t>
      </w:r>
    </w:p>
    <w:p w14:paraId="060CF797">
      <w:pPr>
        <w:widowControl w:val="0"/>
        <w:adjustRightInd w:val="0"/>
        <w:snapToGrid w:val="0"/>
        <w:spacing w:line="360" w:lineRule="auto"/>
        <w:ind w:firstLine="537" w:firstLineChars="224"/>
      </w:pPr>
      <w:r>
        <w:rPr>
          <w:rFonts w:hint="eastAsia"/>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253D33A4">
      <w:pPr>
        <w:widowControl w:val="0"/>
        <w:adjustRightInd w:val="0"/>
        <w:snapToGrid w:val="0"/>
        <w:spacing w:line="360" w:lineRule="auto"/>
        <w:ind w:firstLine="540" w:firstLineChars="224"/>
        <w:rPr>
          <w:b/>
          <w:bCs/>
        </w:rPr>
      </w:pPr>
      <w:r>
        <w:rPr>
          <w:rFonts w:hint="eastAsia"/>
          <w:b/>
          <w:bCs/>
        </w:rPr>
        <w:t>八</w:t>
      </w:r>
      <w:r>
        <w:rPr>
          <w:b/>
          <w:bCs/>
        </w:rPr>
        <w:t>、电子交易活动的中止</w:t>
      </w:r>
    </w:p>
    <w:p w14:paraId="55CF29BB">
      <w:pPr>
        <w:widowControl w:val="0"/>
        <w:adjustRightInd w:val="0"/>
        <w:snapToGrid w:val="0"/>
        <w:spacing w:line="360" w:lineRule="auto"/>
        <w:ind w:firstLine="537" w:firstLineChars="224"/>
      </w:pPr>
      <w:r>
        <w:t>1.采购过程中出现以下情形，导致电子交易平台无法正常运行，或者无法保证电子交易的公平、公正和安全时，采购代理机构可中止电子交易活动：</w:t>
      </w:r>
    </w:p>
    <w:p w14:paraId="4A9C1A87">
      <w:pPr>
        <w:widowControl w:val="0"/>
        <w:adjustRightInd w:val="0"/>
        <w:snapToGrid w:val="0"/>
        <w:spacing w:line="360" w:lineRule="auto"/>
        <w:ind w:firstLine="537" w:firstLineChars="224"/>
      </w:pPr>
      <w:r>
        <w:t xml:space="preserve">1.1电子交易平台发生故障而无法登录访问的； </w:t>
      </w:r>
    </w:p>
    <w:p w14:paraId="1083DDE4">
      <w:pPr>
        <w:widowControl w:val="0"/>
        <w:adjustRightInd w:val="0"/>
        <w:snapToGrid w:val="0"/>
        <w:spacing w:line="360" w:lineRule="auto"/>
        <w:ind w:firstLine="537" w:firstLineChars="224"/>
      </w:pPr>
      <w:r>
        <w:t>1.2电子交易平台应用或数据库出现错误，不能进行正常操作的；</w:t>
      </w:r>
    </w:p>
    <w:p w14:paraId="5CD2196E">
      <w:pPr>
        <w:widowControl w:val="0"/>
        <w:adjustRightInd w:val="0"/>
        <w:snapToGrid w:val="0"/>
        <w:spacing w:line="360" w:lineRule="auto"/>
        <w:ind w:firstLine="537" w:firstLineChars="224"/>
      </w:pPr>
      <w:r>
        <w:t>1.3电子交易平台发现严重安全漏洞，有潜在泄密危险的；</w:t>
      </w:r>
    </w:p>
    <w:p w14:paraId="4DFCCE3A">
      <w:pPr>
        <w:widowControl w:val="0"/>
        <w:adjustRightInd w:val="0"/>
        <w:snapToGrid w:val="0"/>
        <w:spacing w:line="360" w:lineRule="auto"/>
        <w:ind w:firstLine="537" w:firstLineChars="224"/>
      </w:pPr>
      <w:r>
        <w:t xml:space="preserve">1.4病毒发作导致不能进行正常操作的； </w:t>
      </w:r>
    </w:p>
    <w:p w14:paraId="2CF73C17">
      <w:pPr>
        <w:widowControl w:val="0"/>
        <w:adjustRightInd w:val="0"/>
        <w:snapToGrid w:val="0"/>
        <w:spacing w:line="360" w:lineRule="auto"/>
        <w:ind w:firstLine="537" w:firstLineChars="224"/>
      </w:pPr>
      <w:r>
        <w:t>1.5其他无法保证电子交易的公平、公正和安全的情况。</w:t>
      </w:r>
    </w:p>
    <w:p w14:paraId="26DD14A6">
      <w:pPr>
        <w:widowControl w:val="0"/>
        <w:adjustRightInd w:val="0"/>
        <w:snapToGrid w:val="0"/>
        <w:spacing w:line="360" w:lineRule="auto"/>
        <w:ind w:firstLine="537" w:firstLineChars="224"/>
      </w:pPr>
      <w:r>
        <w:t>2.出现以上情形，不影响采购公平、公正性的，采购组织机构可以待上述情形消除后继续组织电子交易活动；影响或可能影响采购公平、公正性的，应当重新采购。</w:t>
      </w:r>
    </w:p>
    <w:p w14:paraId="223D853A">
      <w:pPr>
        <w:widowControl w:val="0"/>
        <w:adjustRightInd w:val="0"/>
        <w:snapToGrid w:val="0"/>
        <w:spacing w:line="360" w:lineRule="auto"/>
        <w:ind w:firstLine="537" w:firstLineChars="224"/>
      </w:pPr>
    </w:p>
    <w:p w14:paraId="5AE95351">
      <w:pPr>
        <w:pStyle w:val="26"/>
        <w:widowControl w:val="0"/>
        <w:snapToGrid w:val="0"/>
        <w:spacing w:before="0" w:beforeAutospacing="0" w:after="0" w:afterAutospacing="0" w:line="360" w:lineRule="auto"/>
        <w:ind w:firstLine="477" w:firstLineChars="199"/>
        <w:rPr>
          <w:rFonts w:ascii="Times New Roman" w:hAnsi="Times New Roman"/>
        </w:rPr>
        <w:sectPr>
          <w:pgSz w:w="11906" w:h="16838"/>
          <w:pgMar w:top="1259" w:right="1287" w:bottom="1361" w:left="1622" w:header="709" w:footer="971" w:gutter="0"/>
          <w:cols w:space="720" w:num="1"/>
          <w:docGrid w:linePitch="360" w:charSpace="0"/>
        </w:sectPr>
      </w:pPr>
    </w:p>
    <w:bookmarkEnd w:id="56"/>
    <w:p w14:paraId="4F575257">
      <w:pPr>
        <w:pStyle w:val="6"/>
        <w:spacing w:before="120" w:after="240" w:line="240" w:lineRule="auto"/>
        <w:jc w:val="center"/>
        <w:rPr>
          <w:rFonts w:hint="eastAsia" w:ascii="宋体" w:hAnsi="宋体"/>
          <w:b w:val="0"/>
          <w:sz w:val="48"/>
          <w:szCs w:val="48"/>
        </w:rPr>
      </w:pPr>
      <w:bookmarkStart w:id="60" w:name="_Toc39239707"/>
      <w:bookmarkStart w:id="61" w:name="_Toc93668163"/>
      <w:r>
        <w:rPr>
          <w:rFonts w:ascii="宋体" w:hAnsi="宋体"/>
        </w:rPr>
        <w:t xml:space="preserve">第五章  </w:t>
      </w:r>
      <w:bookmarkEnd w:id="60"/>
      <w:r>
        <w:rPr>
          <w:rFonts w:hint="eastAsia" w:ascii="宋体" w:hAnsi="宋体"/>
        </w:rPr>
        <w:t>评标办法</w:t>
      </w:r>
      <w:bookmarkEnd w:id="61"/>
    </w:p>
    <w:p w14:paraId="0CA54516">
      <w:pPr>
        <w:widowControl w:val="0"/>
        <w:adjustRightInd w:val="0"/>
        <w:snapToGrid w:val="0"/>
        <w:spacing w:line="360" w:lineRule="auto"/>
        <w:ind w:firstLine="435"/>
        <w:jc w:val="both"/>
        <w:rPr>
          <w:b/>
          <w:bCs/>
        </w:rPr>
      </w:pPr>
      <w:r>
        <w:rPr>
          <w:b/>
          <w:bCs/>
        </w:rPr>
        <w:t>一、评标</w:t>
      </w:r>
    </w:p>
    <w:p w14:paraId="30F81A8E">
      <w:pPr>
        <w:pStyle w:val="26"/>
        <w:widowControl w:val="0"/>
        <w:adjustRightInd w:val="0"/>
        <w:snapToGrid w:val="0"/>
        <w:spacing w:before="0" w:beforeAutospacing="0" w:after="0" w:afterAutospacing="0" w:line="360" w:lineRule="auto"/>
        <w:ind w:firstLine="480" w:firstLineChars="200"/>
        <w:rPr>
          <w:rFonts w:ascii="Times New Roman" w:hAnsi="Times New Roman"/>
        </w:rPr>
      </w:pPr>
      <w:r>
        <w:rPr>
          <w:rFonts w:ascii="Times New Roman" w:hAnsi="Times New Roman"/>
        </w:rPr>
        <w:t>1.评标办法</w:t>
      </w:r>
    </w:p>
    <w:p w14:paraId="70D4E8B3">
      <w:pPr>
        <w:pStyle w:val="26"/>
        <w:widowControl w:val="0"/>
        <w:adjustRightInd w:val="0"/>
        <w:snapToGrid w:val="0"/>
        <w:spacing w:before="0" w:beforeAutospacing="0" w:after="0" w:afterAutospacing="0" w:line="360" w:lineRule="auto"/>
        <w:ind w:firstLine="482" w:firstLineChars="200"/>
        <w:rPr>
          <w:rFonts w:ascii="Times New Roman" w:hAnsi="Times New Roman"/>
        </w:rPr>
      </w:pPr>
      <w:r>
        <w:rPr>
          <w:rFonts w:ascii="Times New Roman" w:hAnsi="Times New Roman"/>
          <w:b/>
          <w:bCs/>
        </w:rPr>
        <w:t>本项目采用综合评分法</w:t>
      </w:r>
      <w:r>
        <w:rPr>
          <w:rFonts w:ascii="Times New Roman" w:hAnsi="Times New Roman"/>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rPr>
        <w:t>技术资信</w:t>
      </w:r>
      <w:r>
        <w:rPr>
          <w:rFonts w:ascii="Times New Roman" w:hAnsi="Times New Roman"/>
        </w:rPr>
        <w:t>评审，评定计算</w:t>
      </w:r>
      <w:r>
        <w:rPr>
          <w:rFonts w:hint="eastAsia" w:ascii="Times New Roman" w:hAnsi="Times New Roman"/>
        </w:rPr>
        <w:t>技术资信</w:t>
      </w:r>
      <w:r>
        <w:rPr>
          <w:rFonts w:ascii="Times New Roman" w:hAnsi="Times New Roman"/>
        </w:rPr>
        <w:t>分后再进行价格评审。</w:t>
      </w:r>
    </w:p>
    <w:p w14:paraId="62489ECA">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2.评标组织</w:t>
      </w:r>
    </w:p>
    <w:p w14:paraId="1CA4C136">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14:paraId="7E578EDE">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3.评标方式</w:t>
      </w:r>
    </w:p>
    <w:p w14:paraId="144AB939">
      <w:pPr>
        <w:pStyle w:val="26"/>
        <w:widowControl w:val="0"/>
        <w:snapToGrid w:val="0"/>
        <w:spacing w:before="0" w:beforeAutospacing="0" w:after="0" w:afterAutospacing="0" w:line="360" w:lineRule="auto"/>
        <w:ind w:firstLine="477" w:firstLineChars="199"/>
        <w:rPr>
          <w:rFonts w:ascii="Times New Roman" w:hAnsi="Times New Roman"/>
        </w:rPr>
      </w:pPr>
      <w:r>
        <w:rPr>
          <w:rFonts w:ascii="Times New Roman" w:hAnsi="Times New Roman"/>
        </w:rPr>
        <w:t>3.1本项目采用电子评标，评标的依据为招标文件和投标文件。投标人在投标截止以后提供的资料不得作为评标依据，但应评标委员会要求提供的证明、说明不在此列。</w:t>
      </w:r>
    </w:p>
    <w:p w14:paraId="2882E0DB">
      <w:pPr>
        <w:widowControl w:val="0"/>
        <w:adjustRightInd w:val="0"/>
        <w:snapToGrid w:val="0"/>
        <w:spacing w:line="360" w:lineRule="auto"/>
        <w:ind w:firstLine="435"/>
        <w:jc w:val="both"/>
      </w:pPr>
      <w:r>
        <w:t>3.2评标是招标过程中的重要环节，评标工作在评标委员会成员内独立进行。评标委员会将遵照评标原则，公正、公平、客观地对待所有投标人。</w:t>
      </w:r>
    </w:p>
    <w:p w14:paraId="59A63E1D">
      <w:pPr>
        <w:widowControl w:val="0"/>
        <w:adjustRightInd w:val="0"/>
        <w:snapToGrid w:val="0"/>
        <w:spacing w:line="360" w:lineRule="auto"/>
        <w:ind w:firstLine="435"/>
      </w:pPr>
      <w:r>
        <w:t>3.3采购人、代理机构及评标委员会不向落标方解释落标原因。</w:t>
      </w:r>
    </w:p>
    <w:p w14:paraId="1AD0FD94">
      <w:pPr>
        <w:widowControl w:val="0"/>
        <w:adjustRightInd w:val="0"/>
        <w:snapToGrid w:val="0"/>
        <w:spacing w:line="360" w:lineRule="auto"/>
        <w:ind w:firstLine="435"/>
      </w:pPr>
      <w:r>
        <w:t>3.4本项目评标过程实行全程录音、录像监控。</w:t>
      </w:r>
    </w:p>
    <w:p w14:paraId="2B985DE2">
      <w:pPr>
        <w:widowControl w:val="0"/>
        <w:adjustRightInd w:val="0"/>
        <w:snapToGrid w:val="0"/>
        <w:spacing w:line="360" w:lineRule="auto"/>
        <w:ind w:firstLine="435"/>
        <w:jc w:val="both"/>
        <w:rPr>
          <w:b/>
          <w:bCs/>
        </w:rPr>
      </w:pPr>
      <w:r>
        <w:rPr>
          <w:b/>
          <w:bCs/>
        </w:rPr>
        <w:t>二、评标办法</w:t>
      </w:r>
    </w:p>
    <w:p w14:paraId="57186EFC">
      <w:pPr>
        <w:widowControl w:val="0"/>
        <w:adjustRightInd w:val="0"/>
        <w:snapToGrid w:val="0"/>
        <w:spacing w:line="360" w:lineRule="auto"/>
        <w:ind w:firstLine="480" w:firstLineChars="200"/>
        <w:jc w:val="both"/>
      </w:pPr>
      <w:r>
        <w:t>1.</w:t>
      </w:r>
      <w:r>
        <w:rPr>
          <w:rFonts w:hint="eastAsia"/>
        </w:rPr>
        <w:t>技术资信</w:t>
      </w:r>
      <w:r>
        <w:t>评审：由评标委员会采用记名方式独立进行评审，此项评分计算方法为：</w:t>
      </w:r>
      <w:r>
        <w:rPr>
          <w:rFonts w:hint="eastAsia"/>
        </w:rPr>
        <w:t>技术资信</w:t>
      </w:r>
      <w:r>
        <w:t>得分=（评标委员会所有成员评分之和）÷（评标委员会组成人数）。</w:t>
      </w:r>
    </w:p>
    <w:p w14:paraId="1D1AFBE6">
      <w:pPr>
        <w:pStyle w:val="41"/>
        <w:widowControl w:val="0"/>
        <w:adjustRightInd w:val="0"/>
        <w:snapToGrid w:val="0"/>
        <w:spacing w:before="0" w:beforeAutospacing="0" w:after="0" w:afterAutospacing="0"/>
        <w:jc w:val="center"/>
        <w:rPr>
          <w:rFonts w:hint="default" w:ascii="Times New Roman" w:hAnsi="Times New Roman"/>
          <w:b/>
          <w:sz w:val="36"/>
          <w:szCs w:val="36"/>
        </w:rPr>
      </w:pPr>
      <w:r>
        <w:rPr>
          <w:rFonts w:ascii="Times New Roman" w:hAnsi="Times New Roman"/>
          <w:b/>
          <w:sz w:val="36"/>
          <w:szCs w:val="36"/>
        </w:rPr>
        <w:t>技术资信</w:t>
      </w:r>
      <w:r>
        <w:rPr>
          <w:rFonts w:hint="default" w:ascii="Times New Roman" w:hAnsi="Times New Roman"/>
          <w:b/>
          <w:sz w:val="36"/>
          <w:szCs w:val="36"/>
        </w:rPr>
        <w:t>评分明细表</w:t>
      </w:r>
    </w:p>
    <w:tbl>
      <w:tblPr>
        <w:tblStyle w:val="44"/>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70"/>
        <w:gridCol w:w="6348"/>
        <w:gridCol w:w="750"/>
      </w:tblGrid>
      <w:tr w14:paraId="4D6B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686" w:type="dxa"/>
            <w:vAlign w:val="center"/>
          </w:tcPr>
          <w:p w14:paraId="05C7E364">
            <w:pPr>
              <w:jc w:val="center"/>
              <w:rPr>
                <w:sz w:val="21"/>
                <w:szCs w:val="21"/>
              </w:rPr>
            </w:pPr>
            <w:r>
              <w:rPr>
                <w:sz w:val="21"/>
                <w:szCs w:val="21"/>
              </w:rPr>
              <w:t>序号</w:t>
            </w:r>
          </w:p>
        </w:tc>
        <w:tc>
          <w:tcPr>
            <w:tcW w:w="1470" w:type="dxa"/>
            <w:vAlign w:val="center"/>
          </w:tcPr>
          <w:p w14:paraId="539C6F8F">
            <w:pPr>
              <w:jc w:val="center"/>
              <w:rPr>
                <w:sz w:val="21"/>
                <w:szCs w:val="21"/>
              </w:rPr>
            </w:pPr>
            <w:r>
              <w:rPr>
                <w:sz w:val="21"/>
                <w:szCs w:val="21"/>
              </w:rPr>
              <w:t>评审内容</w:t>
            </w:r>
          </w:p>
        </w:tc>
        <w:tc>
          <w:tcPr>
            <w:tcW w:w="6348" w:type="dxa"/>
            <w:vAlign w:val="center"/>
          </w:tcPr>
          <w:p w14:paraId="0024793A">
            <w:pPr>
              <w:jc w:val="center"/>
              <w:rPr>
                <w:sz w:val="21"/>
                <w:szCs w:val="21"/>
              </w:rPr>
            </w:pPr>
            <w:r>
              <w:rPr>
                <w:sz w:val="21"/>
                <w:szCs w:val="21"/>
              </w:rPr>
              <w:t>评分标准及分数</w:t>
            </w:r>
          </w:p>
        </w:tc>
        <w:tc>
          <w:tcPr>
            <w:tcW w:w="750" w:type="dxa"/>
            <w:vAlign w:val="center"/>
          </w:tcPr>
          <w:p w14:paraId="14B547CD">
            <w:pPr>
              <w:jc w:val="center"/>
              <w:rPr>
                <w:sz w:val="21"/>
                <w:szCs w:val="21"/>
              </w:rPr>
            </w:pPr>
            <w:r>
              <w:rPr>
                <w:sz w:val="21"/>
                <w:szCs w:val="21"/>
              </w:rPr>
              <w:t>分值</w:t>
            </w:r>
          </w:p>
        </w:tc>
      </w:tr>
      <w:tr w14:paraId="6075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86" w:type="dxa"/>
            <w:vAlign w:val="center"/>
          </w:tcPr>
          <w:p w14:paraId="7943E4A8">
            <w:pPr>
              <w:jc w:val="center"/>
              <w:rPr>
                <w:sz w:val="21"/>
                <w:szCs w:val="21"/>
              </w:rPr>
            </w:pPr>
            <w:r>
              <w:rPr>
                <w:rFonts w:hint="eastAsia"/>
                <w:sz w:val="21"/>
                <w:szCs w:val="21"/>
              </w:rPr>
              <w:t>1</w:t>
            </w:r>
          </w:p>
        </w:tc>
        <w:tc>
          <w:tcPr>
            <w:tcW w:w="1470" w:type="dxa"/>
            <w:vAlign w:val="center"/>
          </w:tcPr>
          <w:p w14:paraId="791FBFE9">
            <w:pPr>
              <w:jc w:val="center"/>
              <w:rPr>
                <w:sz w:val="21"/>
                <w:szCs w:val="21"/>
              </w:rPr>
            </w:pPr>
            <w:r>
              <w:rPr>
                <w:sz w:val="21"/>
                <w:szCs w:val="21"/>
              </w:rPr>
              <w:t>技术响应</w:t>
            </w:r>
          </w:p>
        </w:tc>
        <w:tc>
          <w:tcPr>
            <w:tcW w:w="6348" w:type="dxa"/>
            <w:vAlign w:val="center"/>
          </w:tcPr>
          <w:p w14:paraId="53F5290D">
            <w:pPr>
              <w:pStyle w:val="2"/>
              <w:kinsoku w:val="0"/>
              <w:ind w:left="0" w:leftChars="0" w:right="-22" w:rightChars="-9" w:firstLine="0" w:firstLineChars="0"/>
              <w:rPr>
                <w:sz w:val="21"/>
                <w:szCs w:val="21"/>
              </w:rPr>
            </w:pPr>
            <w:r>
              <w:rPr>
                <w:rFonts w:hint="eastAsia"/>
                <w:sz w:val="21"/>
                <w:szCs w:val="21"/>
              </w:rPr>
              <w:t>投标人所提供产品响应情况：符合招标文件采购清单中所有产品规格，得28分；重要参数（▲）每偏离一项的扣1.5分，其他参数</w:t>
            </w:r>
            <w:r>
              <w:rPr>
                <w:rFonts w:hint="eastAsia"/>
                <w:sz w:val="21"/>
                <w:szCs w:val="21"/>
                <w:lang w:val="en-US" w:eastAsia="zh-CN"/>
              </w:rPr>
              <w:t>或规格</w:t>
            </w:r>
            <w:r>
              <w:rPr>
                <w:rFonts w:hint="eastAsia"/>
                <w:sz w:val="21"/>
                <w:szCs w:val="21"/>
              </w:rPr>
              <w:t>每偏离一项的扣0.25分，扣完为止；每项正偏离得1分，最高加1分。</w:t>
            </w:r>
          </w:p>
          <w:p w14:paraId="319F47B9">
            <w:pPr>
              <w:pStyle w:val="2"/>
              <w:kinsoku w:val="0"/>
              <w:ind w:left="0" w:leftChars="0" w:right="-22" w:rightChars="-9" w:firstLine="0" w:firstLineChars="0"/>
              <w:rPr>
                <w:rFonts w:hint="eastAsia"/>
                <w:highlight w:val="yellow"/>
              </w:rPr>
            </w:pPr>
            <w:r>
              <w:rPr>
                <w:rFonts w:hint="eastAsia"/>
                <w:sz w:val="21"/>
                <w:szCs w:val="21"/>
              </w:rPr>
              <w:t>备注：以样品实际标注为依据。</w:t>
            </w:r>
          </w:p>
        </w:tc>
        <w:tc>
          <w:tcPr>
            <w:tcW w:w="750" w:type="dxa"/>
            <w:vAlign w:val="center"/>
          </w:tcPr>
          <w:p w14:paraId="5B94720F">
            <w:pPr>
              <w:jc w:val="center"/>
              <w:rPr>
                <w:sz w:val="21"/>
                <w:szCs w:val="21"/>
              </w:rPr>
            </w:pPr>
            <w:r>
              <w:rPr>
                <w:rFonts w:hint="eastAsia"/>
                <w:sz w:val="21"/>
                <w:szCs w:val="21"/>
              </w:rPr>
              <w:t>29</w:t>
            </w:r>
          </w:p>
        </w:tc>
      </w:tr>
      <w:tr w14:paraId="47AD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6" w:type="dxa"/>
            <w:vAlign w:val="center"/>
          </w:tcPr>
          <w:p w14:paraId="09266518">
            <w:pPr>
              <w:jc w:val="center"/>
              <w:rPr>
                <w:sz w:val="21"/>
                <w:szCs w:val="21"/>
              </w:rPr>
            </w:pPr>
            <w:r>
              <w:rPr>
                <w:rFonts w:hint="eastAsia"/>
                <w:sz w:val="21"/>
                <w:szCs w:val="21"/>
              </w:rPr>
              <w:t>2</w:t>
            </w:r>
          </w:p>
        </w:tc>
        <w:tc>
          <w:tcPr>
            <w:tcW w:w="1470" w:type="dxa"/>
            <w:vAlign w:val="center"/>
          </w:tcPr>
          <w:p w14:paraId="5116F210">
            <w:pPr>
              <w:jc w:val="center"/>
              <w:rPr>
                <w:sz w:val="21"/>
                <w:szCs w:val="21"/>
              </w:rPr>
            </w:pPr>
            <w:r>
              <w:rPr>
                <w:rFonts w:hint="eastAsia"/>
                <w:sz w:val="21"/>
                <w:szCs w:val="21"/>
              </w:rPr>
              <w:t>样品</w:t>
            </w:r>
          </w:p>
        </w:tc>
        <w:tc>
          <w:tcPr>
            <w:tcW w:w="6348" w:type="dxa"/>
            <w:vAlign w:val="center"/>
          </w:tcPr>
          <w:p w14:paraId="59F421F6">
            <w:pPr>
              <w:pStyle w:val="2"/>
              <w:kinsoku w:val="0"/>
              <w:ind w:left="0" w:leftChars="0" w:right="-22" w:rightChars="-9" w:firstLine="0" w:firstLineChars="0"/>
              <w:rPr>
                <w:sz w:val="21"/>
                <w:szCs w:val="21"/>
              </w:rPr>
            </w:pPr>
            <w:r>
              <w:rPr>
                <w:rFonts w:hint="eastAsia"/>
                <w:sz w:val="21"/>
                <w:szCs w:val="21"/>
              </w:rPr>
              <w:t xml:space="preserve">1.外包装及标识（1分）： </w:t>
            </w:r>
          </w:p>
          <w:p w14:paraId="689F495A">
            <w:pPr>
              <w:pStyle w:val="2"/>
              <w:kinsoku w:val="0"/>
              <w:ind w:left="0" w:leftChars="0" w:right="-22" w:rightChars="-9" w:firstLine="0" w:firstLineChars="0"/>
              <w:rPr>
                <w:sz w:val="21"/>
                <w:szCs w:val="21"/>
              </w:rPr>
            </w:pPr>
            <w:r>
              <w:rPr>
                <w:rFonts w:hint="eastAsia"/>
                <w:sz w:val="21"/>
                <w:szCs w:val="21"/>
              </w:rPr>
              <w:t>外包装材质厚实，包装设计合理，方便开启、使用和储存，标识字体清晰明显，在正常光线下易于辨认，内容涵盖产品名称、厂名和地址、产品规格、生产日期和保质期、各营养素含量、产品的配方特点或营养学特征描述、产品的类别和适用人群得 1分；包装简单、标识不清晰的得0.5分；包装简陋，不易开启，缺少内容的不得分</w:t>
            </w:r>
          </w:p>
          <w:p w14:paraId="0FD74A31">
            <w:pPr>
              <w:pStyle w:val="2"/>
              <w:numPr>
                <w:ilvl w:val="255"/>
                <w:numId w:val="0"/>
              </w:numPr>
              <w:rPr>
                <w:sz w:val="21"/>
                <w:szCs w:val="21"/>
              </w:rPr>
            </w:pPr>
            <w:r>
              <w:rPr>
                <w:rFonts w:hint="eastAsia"/>
                <w:sz w:val="21"/>
                <w:szCs w:val="21"/>
              </w:rPr>
              <w:t>2.样品特性（11分）</w:t>
            </w:r>
          </w:p>
          <w:p w14:paraId="27F654EE">
            <w:pPr>
              <w:pStyle w:val="2"/>
              <w:ind w:left="0" w:leftChars="0" w:firstLine="0" w:firstLineChars="0"/>
              <w:rPr>
                <w:sz w:val="21"/>
                <w:szCs w:val="21"/>
              </w:rPr>
            </w:pPr>
            <w:r>
              <w:rPr>
                <w:rFonts w:hint="eastAsia"/>
                <w:sz w:val="21"/>
                <w:szCs w:val="21"/>
              </w:rPr>
              <w:t>（1）气味：具有产品应有的自然气味，无异味、刺鼻味，</w:t>
            </w:r>
            <w:bookmarkStart w:id="62" w:name="OLE_LINK4"/>
            <w:r>
              <w:rPr>
                <w:rFonts w:hint="eastAsia"/>
                <w:sz w:val="21"/>
                <w:szCs w:val="21"/>
              </w:rPr>
              <w:t>由评委自行打分。</w:t>
            </w:r>
            <w:bookmarkEnd w:id="62"/>
            <w:r>
              <w:rPr>
                <w:rFonts w:hint="eastAsia"/>
                <w:sz w:val="21"/>
                <w:szCs w:val="21"/>
              </w:rPr>
              <w:t>（0-4分）</w:t>
            </w:r>
          </w:p>
          <w:p w14:paraId="7AC10618">
            <w:pPr>
              <w:pStyle w:val="2"/>
              <w:ind w:left="0" w:leftChars="0" w:firstLine="0" w:firstLineChars="0"/>
              <w:rPr>
                <w:sz w:val="21"/>
                <w:szCs w:val="21"/>
              </w:rPr>
            </w:pPr>
            <w:r>
              <w:rPr>
                <w:rFonts w:hint="eastAsia"/>
                <w:sz w:val="21"/>
                <w:szCs w:val="21"/>
              </w:rPr>
              <w:t>（2）口感：口感纯正、细腻，符合产品特性，无不良口感，由评委自行打分。（0-5分）</w:t>
            </w:r>
          </w:p>
          <w:p w14:paraId="67E8DC43">
            <w:pPr>
              <w:pStyle w:val="2"/>
              <w:ind w:left="0" w:leftChars="0" w:firstLine="0" w:firstLineChars="0"/>
              <w:rPr>
                <w:rFonts w:hint="eastAsia"/>
                <w:sz w:val="21"/>
                <w:szCs w:val="21"/>
              </w:rPr>
            </w:pPr>
            <w:r>
              <w:rPr>
                <w:rFonts w:hint="eastAsia"/>
                <w:sz w:val="21"/>
                <w:szCs w:val="21"/>
              </w:rPr>
              <w:t>（3）溶解度：对粉剂产品</w:t>
            </w:r>
            <w:r>
              <w:rPr>
                <w:rFonts w:hint="eastAsia"/>
                <w:sz w:val="21"/>
                <w:szCs w:val="21"/>
                <w:lang w:val="en-US" w:eastAsia="zh-CN"/>
              </w:rPr>
              <w:t>在合适温度下</w:t>
            </w:r>
            <w:r>
              <w:rPr>
                <w:rFonts w:hint="eastAsia"/>
                <w:sz w:val="21"/>
                <w:szCs w:val="21"/>
              </w:rPr>
              <w:t>进行溶解，由评委自行打分。（0-2分）</w:t>
            </w:r>
          </w:p>
        </w:tc>
        <w:tc>
          <w:tcPr>
            <w:tcW w:w="750" w:type="dxa"/>
            <w:vAlign w:val="center"/>
          </w:tcPr>
          <w:p w14:paraId="4C74AF51">
            <w:pPr>
              <w:jc w:val="center"/>
              <w:rPr>
                <w:sz w:val="21"/>
                <w:szCs w:val="21"/>
              </w:rPr>
            </w:pPr>
            <w:r>
              <w:rPr>
                <w:rFonts w:hint="eastAsia"/>
                <w:sz w:val="21"/>
                <w:szCs w:val="21"/>
              </w:rPr>
              <w:t>12</w:t>
            </w:r>
          </w:p>
        </w:tc>
      </w:tr>
      <w:tr w14:paraId="00C0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vAlign w:val="center"/>
          </w:tcPr>
          <w:p w14:paraId="495856DD">
            <w:pPr>
              <w:jc w:val="center"/>
              <w:rPr>
                <w:sz w:val="21"/>
                <w:szCs w:val="21"/>
              </w:rPr>
            </w:pPr>
            <w:r>
              <w:rPr>
                <w:rFonts w:hint="eastAsia"/>
                <w:sz w:val="21"/>
                <w:szCs w:val="21"/>
              </w:rPr>
              <w:t>3</w:t>
            </w:r>
          </w:p>
        </w:tc>
        <w:tc>
          <w:tcPr>
            <w:tcW w:w="1470" w:type="dxa"/>
            <w:vAlign w:val="center"/>
          </w:tcPr>
          <w:p w14:paraId="6BE20D22">
            <w:pPr>
              <w:jc w:val="center"/>
              <w:rPr>
                <w:sz w:val="21"/>
                <w:szCs w:val="21"/>
              </w:rPr>
            </w:pPr>
            <w:r>
              <w:rPr>
                <w:sz w:val="21"/>
                <w:szCs w:val="21"/>
              </w:rPr>
              <w:t>同类业绩</w:t>
            </w:r>
          </w:p>
        </w:tc>
        <w:tc>
          <w:tcPr>
            <w:tcW w:w="6348" w:type="dxa"/>
            <w:vAlign w:val="center"/>
          </w:tcPr>
          <w:p w14:paraId="4575019D">
            <w:pPr>
              <w:ind w:right="-70" w:rightChars="-29"/>
              <w:rPr>
                <w:sz w:val="21"/>
                <w:szCs w:val="21"/>
              </w:rPr>
            </w:pPr>
            <w:r>
              <w:rPr>
                <w:sz w:val="21"/>
                <w:szCs w:val="21"/>
              </w:rPr>
              <w:t>投标人20</w:t>
            </w:r>
            <w:r>
              <w:rPr>
                <w:rFonts w:hint="eastAsia"/>
                <w:sz w:val="21"/>
                <w:szCs w:val="21"/>
              </w:rPr>
              <w:t>22</w:t>
            </w:r>
            <w:r>
              <w:rPr>
                <w:sz w:val="21"/>
                <w:szCs w:val="21"/>
              </w:rPr>
              <w:t>年1月1日以来同类业绩，每份合同得</w:t>
            </w:r>
            <w:r>
              <w:rPr>
                <w:rFonts w:hint="eastAsia"/>
                <w:sz w:val="21"/>
                <w:szCs w:val="21"/>
              </w:rPr>
              <w:t>0.5</w:t>
            </w:r>
            <w:r>
              <w:rPr>
                <w:sz w:val="21"/>
                <w:szCs w:val="21"/>
              </w:rPr>
              <w:t>分， 最高得</w:t>
            </w:r>
            <w:r>
              <w:rPr>
                <w:rFonts w:hint="eastAsia"/>
                <w:sz w:val="21"/>
                <w:szCs w:val="21"/>
              </w:rPr>
              <w:t>2</w:t>
            </w:r>
            <w:r>
              <w:rPr>
                <w:sz w:val="21"/>
                <w:szCs w:val="21"/>
              </w:rPr>
              <w:t>分。</w:t>
            </w:r>
          </w:p>
          <w:p w14:paraId="34247FEF">
            <w:pPr>
              <w:kinsoku w:val="0"/>
              <w:ind w:right="-22" w:rightChars="-9"/>
              <w:rPr>
                <w:sz w:val="21"/>
                <w:szCs w:val="21"/>
              </w:rPr>
            </w:pPr>
            <w:r>
              <w:rPr>
                <w:rFonts w:hint="eastAsia"/>
                <w:sz w:val="21"/>
                <w:szCs w:val="21"/>
              </w:rPr>
              <w:t>备注：1</w:t>
            </w:r>
            <w:r>
              <w:rPr>
                <w:sz w:val="21"/>
                <w:szCs w:val="21"/>
              </w:rPr>
              <w:t>.投标人未按要求提供合同复印件、或提供的合同复印件字迹模糊无法辨识的，该笔业绩均不予计分。有效业绩以评标委员会集体判定为准。</w:t>
            </w:r>
          </w:p>
        </w:tc>
        <w:tc>
          <w:tcPr>
            <w:tcW w:w="750" w:type="dxa"/>
            <w:vAlign w:val="center"/>
          </w:tcPr>
          <w:p w14:paraId="721FC013">
            <w:pPr>
              <w:ind w:right="-70" w:rightChars="-29"/>
              <w:jc w:val="center"/>
              <w:rPr>
                <w:sz w:val="21"/>
                <w:szCs w:val="21"/>
              </w:rPr>
            </w:pPr>
            <w:r>
              <w:rPr>
                <w:rFonts w:hint="eastAsia"/>
                <w:sz w:val="21"/>
                <w:szCs w:val="21"/>
              </w:rPr>
              <w:t>2</w:t>
            </w:r>
          </w:p>
        </w:tc>
      </w:tr>
      <w:tr w14:paraId="3788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6" w:type="dxa"/>
            <w:vAlign w:val="center"/>
          </w:tcPr>
          <w:p w14:paraId="59818F27">
            <w:pPr>
              <w:ind w:right="-70" w:rightChars="-29"/>
              <w:jc w:val="center"/>
              <w:rPr>
                <w:sz w:val="21"/>
                <w:szCs w:val="21"/>
              </w:rPr>
            </w:pPr>
            <w:r>
              <w:rPr>
                <w:sz w:val="21"/>
                <w:szCs w:val="21"/>
              </w:rPr>
              <w:t>4</w:t>
            </w:r>
          </w:p>
        </w:tc>
        <w:tc>
          <w:tcPr>
            <w:tcW w:w="1470" w:type="dxa"/>
            <w:vAlign w:val="center"/>
          </w:tcPr>
          <w:p w14:paraId="386A0C05">
            <w:pPr>
              <w:ind w:right="-70" w:rightChars="-29"/>
              <w:jc w:val="center"/>
              <w:rPr>
                <w:sz w:val="21"/>
                <w:szCs w:val="21"/>
              </w:rPr>
            </w:pPr>
            <w:r>
              <w:rPr>
                <w:sz w:val="21"/>
                <w:szCs w:val="21"/>
              </w:rPr>
              <w:t>检测报告</w:t>
            </w:r>
          </w:p>
        </w:tc>
        <w:tc>
          <w:tcPr>
            <w:tcW w:w="6348" w:type="dxa"/>
            <w:vAlign w:val="center"/>
          </w:tcPr>
          <w:p w14:paraId="02FE035A">
            <w:pPr>
              <w:ind w:right="-70" w:rightChars="-29"/>
              <w:rPr>
                <w:sz w:val="21"/>
                <w:szCs w:val="21"/>
              </w:rPr>
            </w:pPr>
            <w:r>
              <w:rPr>
                <w:sz w:val="21"/>
                <w:szCs w:val="21"/>
              </w:rPr>
              <w:t>投标人产品技术指标的优劣情况，需提供第三方检测机构出具的</w:t>
            </w:r>
            <w:r>
              <w:rPr>
                <w:rFonts w:hint="eastAsia"/>
                <w:sz w:val="21"/>
                <w:szCs w:val="21"/>
              </w:rPr>
              <w:t>带有CMA标识的</w:t>
            </w:r>
            <w:r>
              <w:rPr>
                <w:sz w:val="21"/>
                <w:szCs w:val="21"/>
              </w:rPr>
              <w:t>产品检测报告，每提供1份得</w:t>
            </w:r>
            <w:r>
              <w:rPr>
                <w:rFonts w:hint="eastAsia"/>
                <w:sz w:val="21"/>
                <w:szCs w:val="21"/>
              </w:rPr>
              <w:t>0.5</w:t>
            </w:r>
            <w:r>
              <w:rPr>
                <w:sz w:val="21"/>
                <w:szCs w:val="21"/>
              </w:rPr>
              <w:t>分，最高得</w:t>
            </w:r>
            <w:r>
              <w:rPr>
                <w:rFonts w:hint="eastAsia"/>
                <w:sz w:val="21"/>
                <w:szCs w:val="21"/>
              </w:rPr>
              <w:t>1</w:t>
            </w:r>
            <w:r>
              <w:rPr>
                <w:sz w:val="21"/>
                <w:szCs w:val="21"/>
              </w:rPr>
              <w:t>分。</w:t>
            </w:r>
          </w:p>
        </w:tc>
        <w:tc>
          <w:tcPr>
            <w:tcW w:w="750" w:type="dxa"/>
            <w:vAlign w:val="center"/>
          </w:tcPr>
          <w:p w14:paraId="61BE77F5">
            <w:pPr>
              <w:ind w:right="-70" w:rightChars="-29"/>
              <w:jc w:val="center"/>
              <w:rPr>
                <w:sz w:val="21"/>
                <w:szCs w:val="21"/>
              </w:rPr>
            </w:pPr>
            <w:r>
              <w:rPr>
                <w:rFonts w:hint="eastAsia"/>
                <w:sz w:val="21"/>
                <w:szCs w:val="21"/>
              </w:rPr>
              <w:t>1</w:t>
            </w:r>
          </w:p>
        </w:tc>
      </w:tr>
      <w:tr w14:paraId="18CD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86" w:type="dxa"/>
            <w:vAlign w:val="center"/>
          </w:tcPr>
          <w:p w14:paraId="28CBF0D4">
            <w:pPr>
              <w:ind w:right="-70" w:rightChars="-29"/>
              <w:jc w:val="center"/>
              <w:rPr>
                <w:sz w:val="21"/>
                <w:szCs w:val="21"/>
              </w:rPr>
            </w:pPr>
            <w:r>
              <w:rPr>
                <w:rFonts w:hint="eastAsia"/>
                <w:sz w:val="21"/>
                <w:szCs w:val="21"/>
              </w:rPr>
              <w:t>5</w:t>
            </w:r>
          </w:p>
        </w:tc>
        <w:tc>
          <w:tcPr>
            <w:tcW w:w="1470" w:type="dxa"/>
            <w:vAlign w:val="center"/>
          </w:tcPr>
          <w:p w14:paraId="59A79AF7">
            <w:pPr>
              <w:ind w:right="-70" w:rightChars="-29"/>
              <w:jc w:val="center"/>
              <w:rPr>
                <w:sz w:val="21"/>
                <w:szCs w:val="21"/>
              </w:rPr>
            </w:pPr>
            <w:r>
              <w:rPr>
                <w:sz w:val="21"/>
                <w:szCs w:val="21"/>
              </w:rPr>
              <w:t>质量保证措施</w:t>
            </w:r>
          </w:p>
        </w:tc>
        <w:tc>
          <w:tcPr>
            <w:tcW w:w="6348" w:type="dxa"/>
            <w:vAlign w:val="center"/>
          </w:tcPr>
          <w:p w14:paraId="0CB0EC46">
            <w:pPr>
              <w:ind w:right="-70" w:rightChars="-29"/>
              <w:rPr>
                <w:sz w:val="21"/>
                <w:szCs w:val="21"/>
              </w:rPr>
            </w:pPr>
            <w:r>
              <w:rPr>
                <w:sz w:val="21"/>
                <w:szCs w:val="21"/>
              </w:rPr>
              <w:t>投标人承诺所提供的产品品质担保情况。承诺产品出现质量问题按换一赔一的得</w:t>
            </w:r>
            <w:r>
              <w:rPr>
                <w:rFonts w:hint="eastAsia"/>
                <w:sz w:val="21"/>
                <w:szCs w:val="21"/>
              </w:rPr>
              <w:t>1</w:t>
            </w:r>
            <w:r>
              <w:rPr>
                <w:sz w:val="21"/>
                <w:szCs w:val="21"/>
              </w:rPr>
              <w:t>分，承诺产品出现质量问题免费更换的得</w:t>
            </w:r>
            <w:r>
              <w:rPr>
                <w:rFonts w:hint="eastAsia"/>
                <w:sz w:val="21"/>
                <w:szCs w:val="21"/>
              </w:rPr>
              <w:t>0.5</w:t>
            </w:r>
            <w:r>
              <w:rPr>
                <w:sz w:val="21"/>
                <w:szCs w:val="21"/>
              </w:rPr>
              <w:t>分，投标人未明确承诺的不得分。</w:t>
            </w:r>
          </w:p>
        </w:tc>
        <w:tc>
          <w:tcPr>
            <w:tcW w:w="750" w:type="dxa"/>
            <w:vAlign w:val="center"/>
          </w:tcPr>
          <w:p w14:paraId="38235D29">
            <w:pPr>
              <w:ind w:right="-70" w:rightChars="-29"/>
              <w:jc w:val="center"/>
              <w:rPr>
                <w:sz w:val="21"/>
                <w:szCs w:val="21"/>
              </w:rPr>
            </w:pPr>
            <w:r>
              <w:rPr>
                <w:rFonts w:hint="eastAsia"/>
                <w:sz w:val="21"/>
                <w:szCs w:val="21"/>
              </w:rPr>
              <w:t>1</w:t>
            </w:r>
          </w:p>
        </w:tc>
      </w:tr>
      <w:tr w14:paraId="231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86" w:type="dxa"/>
            <w:vMerge w:val="restart"/>
            <w:vAlign w:val="center"/>
          </w:tcPr>
          <w:p w14:paraId="1B479165">
            <w:pPr>
              <w:jc w:val="center"/>
              <w:rPr>
                <w:sz w:val="21"/>
                <w:szCs w:val="21"/>
              </w:rPr>
            </w:pPr>
            <w:r>
              <w:rPr>
                <w:rFonts w:hint="eastAsia"/>
                <w:sz w:val="21"/>
                <w:szCs w:val="21"/>
              </w:rPr>
              <w:t>6</w:t>
            </w:r>
          </w:p>
        </w:tc>
        <w:tc>
          <w:tcPr>
            <w:tcW w:w="1470" w:type="dxa"/>
            <w:vMerge w:val="restart"/>
            <w:vAlign w:val="center"/>
          </w:tcPr>
          <w:p w14:paraId="33FA80E4">
            <w:pPr>
              <w:jc w:val="center"/>
              <w:rPr>
                <w:sz w:val="21"/>
                <w:szCs w:val="21"/>
              </w:rPr>
            </w:pPr>
            <w:r>
              <w:rPr>
                <w:rFonts w:hint="eastAsia"/>
                <w:sz w:val="21"/>
                <w:szCs w:val="21"/>
              </w:rPr>
              <w:t>服务计划</w:t>
            </w:r>
          </w:p>
        </w:tc>
        <w:tc>
          <w:tcPr>
            <w:tcW w:w="6348" w:type="dxa"/>
            <w:vAlign w:val="center"/>
          </w:tcPr>
          <w:p w14:paraId="1F839EB8">
            <w:pPr>
              <w:ind w:right="-70" w:rightChars="-29"/>
              <w:rPr>
                <w:sz w:val="21"/>
                <w:szCs w:val="21"/>
              </w:rPr>
            </w:pPr>
            <w:r>
              <w:rPr>
                <w:sz w:val="21"/>
                <w:szCs w:val="21"/>
              </w:rPr>
              <w:t>供货的总体方案的合理性、服务的及时性等保证措施（投标人针对服务分期分批次供货的时间不确定性、采购内容分散、杂乱等复杂情况，如何快速响应，按时按需完成供货及相关服务等要求，提出可行的解决方案。由评委自行判定打分。</w:t>
            </w:r>
            <w:r>
              <w:rPr>
                <w:rFonts w:hint="eastAsia"/>
                <w:sz w:val="21"/>
                <w:szCs w:val="21"/>
              </w:rPr>
              <w:t>（5/4/3/2/1/0分）</w:t>
            </w:r>
          </w:p>
        </w:tc>
        <w:tc>
          <w:tcPr>
            <w:tcW w:w="750" w:type="dxa"/>
            <w:vAlign w:val="center"/>
          </w:tcPr>
          <w:p w14:paraId="6E323D1C">
            <w:pPr>
              <w:ind w:right="-70" w:rightChars="-29"/>
              <w:jc w:val="center"/>
              <w:rPr>
                <w:sz w:val="21"/>
                <w:szCs w:val="21"/>
              </w:rPr>
            </w:pPr>
            <w:r>
              <w:rPr>
                <w:rFonts w:hint="eastAsia"/>
                <w:sz w:val="21"/>
                <w:szCs w:val="21"/>
              </w:rPr>
              <w:t>5</w:t>
            </w:r>
          </w:p>
        </w:tc>
      </w:tr>
      <w:tr w14:paraId="7EF0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86" w:type="dxa"/>
            <w:vMerge w:val="continue"/>
            <w:vAlign w:val="center"/>
          </w:tcPr>
          <w:p w14:paraId="32231788">
            <w:pPr>
              <w:jc w:val="center"/>
              <w:rPr>
                <w:sz w:val="21"/>
                <w:szCs w:val="21"/>
              </w:rPr>
            </w:pPr>
          </w:p>
        </w:tc>
        <w:tc>
          <w:tcPr>
            <w:tcW w:w="1470" w:type="dxa"/>
            <w:vMerge w:val="continue"/>
            <w:vAlign w:val="center"/>
          </w:tcPr>
          <w:p w14:paraId="7E6A4ACC">
            <w:pPr>
              <w:jc w:val="center"/>
              <w:rPr>
                <w:sz w:val="21"/>
                <w:szCs w:val="21"/>
              </w:rPr>
            </w:pPr>
          </w:p>
        </w:tc>
        <w:tc>
          <w:tcPr>
            <w:tcW w:w="6348" w:type="dxa"/>
            <w:vAlign w:val="center"/>
          </w:tcPr>
          <w:p w14:paraId="02AB9762">
            <w:pPr>
              <w:ind w:right="-70" w:rightChars="-29"/>
              <w:rPr>
                <w:sz w:val="21"/>
                <w:szCs w:val="21"/>
              </w:rPr>
            </w:pPr>
            <w:r>
              <w:rPr>
                <w:sz w:val="21"/>
                <w:szCs w:val="21"/>
              </w:rPr>
              <w:t>应急保障及危机处置预案，有合理应急保障物品清单、适宜组织实施的</w:t>
            </w:r>
            <w:r>
              <w:rPr>
                <w:rFonts w:hint="eastAsia"/>
                <w:sz w:val="21"/>
                <w:szCs w:val="21"/>
              </w:rPr>
              <w:t>，</w:t>
            </w:r>
            <w:r>
              <w:rPr>
                <w:sz w:val="21"/>
                <w:szCs w:val="21"/>
              </w:rPr>
              <w:t>由评委自行判定打分。</w:t>
            </w:r>
            <w:r>
              <w:rPr>
                <w:rFonts w:hint="eastAsia"/>
                <w:sz w:val="21"/>
                <w:szCs w:val="21"/>
              </w:rPr>
              <w:t>（2/1.5/1/0.5/0分）</w:t>
            </w:r>
          </w:p>
        </w:tc>
        <w:tc>
          <w:tcPr>
            <w:tcW w:w="750" w:type="dxa"/>
            <w:vAlign w:val="center"/>
          </w:tcPr>
          <w:p w14:paraId="39301AC9">
            <w:pPr>
              <w:ind w:right="-70" w:rightChars="-29"/>
              <w:jc w:val="center"/>
              <w:rPr>
                <w:sz w:val="21"/>
                <w:szCs w:val="21"/>
                <w:lang w:bidi="ar"/>
              </w:rPr>
            </w:pPr>
            <w:r>
              <w:rPr>
                <w:rFonts w:hint="eastAsia"/>
                <w:sz w:val="21"/>
                <w:szCs w:val="21"/>
              </w:rPr>
              <w:t>2</w:t>
            </w:r>
          </w:p>
        </w:tc>
      </w:tr>
      <w:tr w14:paraId="4AC6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6" w:type="dxa"/>
            <w:vMerge w:val="continue"/>
            <w:vAlign w:val="center"/>
          </w:tcPr>
          <w:p w14:paraId="2F6336D2">
            <w:pPr>
              <w:jc w:val="center"/>
              <w:rPr>
                <w:sz w:val="21"/>
                <w:szCs w:val="21"/>
              </w:rPr>
            </w:pPr>
          </w:p>
        </w:tc>
        <w:tc>
          <w:tcPr>
            <w:tcW w:w="1470" w:type="dxa"/>
            <w:vMerge w:val="continue"/>
            <w:vAlign w:val="center"/>
          </w:tcPr>
          <w:p w14:paraId="741FFB86">
            <w:pPr>
              <w:jc w:val="center"/>
              <w:rPr>
                <w:sz w:val="21"/>
                <w:szCs w:val="21"/>
              </w:rPr>
            </w:pPr>
          </w:p>
        </w:tc>
        <w:tc>
          <w:tcPr>
            <w:tcW w:w="6348" w:type="dxa"/>
            <w:vAlign w:val="center"/>
          </w:tcPr>
          <w:p w14:paraId="2117FB72">
            <w:pPr>
              <w:ind w:right="-70" w:rightChars="-29"/>
              <w:rPr>
                <w:sz w:val="21"/>
                <w:szCs w:val="21"/>
              </w:rPr>
            </w:pPr>
            <w:r>
              <w:rPr>
                <w:sz w:val="21"/>
                <w:szCs w:val="21"/>
              </w:rPr>
              <w:t>根据投标人承诺给予采购人的各种实际优惠条件，</w:t>
            </w:r>
            <w:r>
              <w:rPr>
                <w:rFonts w:hint="eastAsia"/>
                <w:sz w:val="21"/>
                <w:szCs w:val="21"/>
              </w:rPr>
              <w:t>每项得0.5分，最高得2分。（具体是否为有效优惠条件由评委自行判定打分。）</w:t>
            </w:r>
          </w:p>
        </w:tc>
        <w:tc>
          <w:tcPr>
            <w:tcW w:w="750" w:type="dxa"/>
            <w:vAlign w:val="center"/>
          </w:tcPr>
          <w:p w14:paraId="7A46AE44">
            <w:pPr>
              <w:ind w:right="-70" w:rightChars="-29"/>
              <w:jc w:val="center"/>
              <w:rPr>
                <w:sz w:val="21"/>
                <w:szCs w:val="21"/>
                <w:highlight w:val="lightGray"/>
                <w:lang w:bidi="ar"/>
              </w:rPr>
            </w:pPr>
            <w:r>
              <w:rPr>
                <w:rFonts w:hint="eastAsia"/>
                <w:sz w:val="21"/>
                <w:szCs w:val="21"/>
                <w:highlight w:val="lightGray"/>
              </w:rPr>
              <w:t>2</w:t>
            </w:r>
          </w:p>
        </w:tc>
      </w:tr>
      <w:tr w14:paraId="106F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6" w:type="dxa"/>
            <w:vAlign w:val="center"/>
          </w:tcPr>
          <w:p w14:paraId="73A6081E">
            <w:pPr>
              <w:ind w:right="-70" w:rightChars="-29"/>
              <w:jc w:val="center"/>
              <w:rPr>
                <w:sz w:val="21"/>
                <w:szCs w:val="21"/>
              </w:rPr>
            </w:pPr>
            <w:r>
              <w:rPr>
                <w:rFonts w:hint="eastAsia"/>
                <w:sz w:val="21"/>
                <w:szCs w:val="21"/>
                <w:lang w:bidi="ar"/>
              </w:rPr>
              <w:t>7</w:t>
            </w:r>
          </w:p>
        </w:tc>
        <w:tc>
          <w:tcPr>
            <w:tcW w:w="1470" w:type="dxa"/>
            <w:vAlign w:val="center"/>
          </w:tcPr>
          <w:p w14:paraId="442B31A9">
            <w:pPr>
              <w:ind w:right="-70" w:rightChars="-29"/>
              <w:jc w:val="center"/>
              <w:rPr>
                <w:sz w:val="21"/>
                <w:szCs w:val="21"/>
              </w:rPr>
            </w:pPr>
            <w:r>
              <w:rPr>
                <w:sz w:val="21"/>
                <w:szCs w:val="21"/>
                <w:lang w:bidi="ar"/>
              </w:rPr>
              <w:t>交货期的承诺情况</w:t>
            </w:r>
          </w:p>
        </w:tc>
        <w:tc>
          <w:tcPr>
            <w:tcW w:w="6348" w:type="dxa"/>
            <w:vAlign w:val="center"/>
          </w:tcPr>
          <w:p w14:paraId="28B9E187">
            <w:pPr>
              <w:ind w:right="-70" w:rightChars="-29"/>
              <w:rPr>
                <w:sz w:val="21"/>
                <w:szCs w:val="21"/>
              </w:rPr>
            </w:pPr>
            <w:r>
              <w:rPr>
                <w:sz w:val="21"/>
                <w:szCs w:val="21"/>
                <w:lang w:bidi="ar"/>
              </w:rPr>
              <w:t>承诺交货期的比较，是否符合招标文件的要求完成送货、验收，确保按时交付使用的措施情况；</w:t>
            </w:r>
            <w:r>
              <w:rPr>
                <w:sz w:val="21"/>
                <w:szCs w:val="21"/>
              </w:rPr>
              <w:t>由评委自行判定打分。</w:t>
            </w:r>
            <w:r>
              <w:rPr>
                <w:rFonts w:hint="eastAsia"/>
                <w:sz w:val="21"/>
                <w:szCs w:val="21"/>
              </w:rPr>
              <w:t>（1/0.5/0分）</w:t>
            </w:r>
          </w:p>
        </w:tc>
        <w:tc>
          <w:tcPr>
            <w:tcW w:w="750" w:type="dxa"/>
            <w:vAlign w:val="center"/>
          </w:tcPr>
          <w:p w14:paraId="2BA6E291">
            <w:pPr>
              <w:ind w:right="-70" w:rightChars="-29"/>
              <w:jc w:val="center"/>
              <w:rPr>
                <w:sz w:val="21"/>
                <w:szCs w:val="21"/>
                <w:lang w:bidi="ar"/>
              </w:rPr>
            </w:pPr>
            <w:r>
              <w:rPr>
                <w:rFonts w:hint="eastAsia"/>
                <w:sz w:val="21"/>
                <w:szCs w:val="21"/>
                <w:lang w:bidi="ar"/>
              </w:rPr>
              <w:t>1</w:t>
            </w:r>
          </w:p>
        </w:tc>
      </w:tr>
      <w:tr w14:paraId="32F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6" w:type="dxa"/>
            <w:vAlign w:val="center"/>
          </w:tcPr>
          <w:p w14:paraId="7512306D">
            <w:pPr>
              <w:ind w:right="-70" w:rightChars="-29"/>
              <w:jc w:val="center"/>
              <w:rPr>
                <w:sz w:val="21"/>
                <w:szCs w:val="21"/>
                <w:lang w:bidi="ar"/>
              </w:rPr>
            </w:pPr>
            <w:r>
              <w:rPr>
                <w:rFonts w:hint="eastAsia"/>
                <w:sz w:val="21"/>
                <w:szCs w:val="21"/>
                <w:lang w:bidi="ar"/>
              </w:rPr>
              <w:t>8</w:t>
            </w:r>
          </w:p>
        </w:tc>
        <w:tc>
          <w:tcPr>
            <w:tcW w:w="1470" w:type="dxa"/>
            <w:vAlign w:val="center"/>
          </w:tcPr>
          <w:p w14:paraId="4DE71395">
            <w:pPr>
              <w:ind w:right="-70" w:rightChars="-29"/>
              <w:jc w:val="center"/>
              <w:rPr>
                <w:sz w:val="21"/>
                <w:szCs w:val="21"/>
                <w:lang w:bidi="ar"/>
              </w:rPr>
            </w:pPr>
            <w:r>
              <w:rPr>
                <w:sz w:val="21"/>
                <w:szCs w:val="21"/>
                <w:lang w:bidi="ar"/>
              </w:rPr>
              <w:t>售后服务</w:t>
            </w:r>
          </w:p>
        </w:tc>
        <w:tc>
          <w:tcPr>
            <w:tcW w:w="6348" w:type="dxa"/>
            <w:vAlign w:val="center"/>
          </w:tcPr>
          <w:p w14:paraId="4CB24AC3">
            <w:pPr>
              <w:ind w:right="-70" w:rightChars="-29"/>
              <w:rPr>
                <w:sz w:val="21"/>
                <w:szCs w:val="21"/>
                <w:lang w:bidi="ar"/>
              </w:rPr>
            </w:pPr>
            <w:r>
              <w:rPr>
                <w:sz w:val="21"/>
                <w:szCs w:val="21"/>
              </w:rPr>
              <w:t>投标人提供</w:t>
            </w:r>
            <w:r>
              <w:rPr>
                <w:rFonts w:hint="eastAsia"/>
                <w:sz w:val="21"/>
                <w:szCs w:val="21"/>
              </w:rPr>
              <w:t>售后</w:t>
            </w:r>
            <w:r>
              <w:rPr>
                <w:sz w:val="21"/>
                <w:szCs w:val="21"/>
              </w:rPr>
              <w:t>服务承诺的保障措施、维护人员和机构等情况，维护人员的安排是否合理，对服务承诺的保障措施</w:t>
            </w:r>
            <w:r>
              <w:rPr>
                <w:rFonts w:hint="eastAsia"/>
                <w:sz w:val="21"/>
                <w:szCs w:val="21"/>
              </w:rPr>
              <w:t>，</w:t>
            </w:r>
            <w:r>
              <w:rPr>
                <w:sz w:val="21"/>
                <w:szCs w:val="21"/>
              </w:rPr>
              <w:t>由评委自行判定打分。</w:t>
            </w:r>
            <w:r>
              <w:rPr>
                <w:rFonts w:hint="eastAsia"/>
                <w:sz w:val="21"/>
                <w:szCs w:val="21"/>
              </w:rPr>
              <w:t>（4/3/2/1/0分）</w:t>
            </w:r>
          </w:p>
        </w:tc>
        <w:tc>
          <w:tcPr>
            <w:tcW w:w="750" w:type="dxa"/>
            <w:vAlign w:val="center"/>
          </w:tcPr>
          <w:p w14:paraId="0CB37288">
            <w:pPr>
              <w:ind w:right="-70" w:rightChars="-29"/>
              <w:jc w:val="center"/>
              <w:rPr>
                <w:sz w:val="21"/>
                <w:szCs w:val="21"/>
                <w:lang w:bidi="ar"/>
              </w:rPr>
            </w:pPr>
            <w:r>
              <w:rPr>
                <w:rFonts w:hint="eastAsia"/>
                <w:sz w:val="21"/>
                <w:szCs w:val="21"/>
              </w:rPr>
              <w:t>4</w:t>
            </w:r>
          </w:p>
        </w:tc>
      </w:tr>
      <w:tr w14:paraId="7676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Align w:val="center"/>
          </w:tcPr>
          <w:p w14:paraId="158F71D9">
            <w:pPr>
              <w:ind w:right="-70" w:rightChars="-29"/>
              <w:jc w:val="center"/>
              <w:rPr>
                <w:sz w:val="21"/>
                <w:szCs w:val="21"/>
                <w:lang w:bidi="ar"/>
              </w:rPr>
            </w:pPr>
            <w:bookmarkStart w:id="82" w:name="_GoBack" w:colFirst="2" w:colLast="2"/>
            <w:r>
              <w:rPr>
                <w:rFonts w:hint="eastAsia"/>
                <w:sz w:val="21"/>
                <w:szCs w:val="21"/>
                <w:lang w:bidi="ar"/>
              </w:rPr>
              <w:t>9</w:t>
            </w:r>
          </w:p>
        </w:tc>
        <w:tc>
          <w:tcPr>
            <w:tcW w:w="1470" w:type="dxa"/>
            <w:vAlign w:val="center"/>
          </w:tcPr>
          <w:p w14:paraId="7A9B2F35">
            <w:pPr>
              <w:jc w:val="center"/>
              <w:rPr>
                <w:sz w:val="21"/>
                <w:szCs w:val="21"/>
              </w:rPr>
            </w:pPr>
            <w:r>
              <w:rPr>
                <w:sz w:val="21"/>
                <w:szCs w:val="21"/>
              </w:rPr>
              <w:t>政策分</w:t>
            </w:r>
          </w:p>
        </w:tc>
        <w:tc>
          <w:tcPr>
            <w:tcW w:w="6348" w:type="dxa"/>
            <w:vAlign w:val="center"/>
          </w:tcPr>
          <w:p w14:paraId="1C9F5C9B">
            <w:pPr>
              <w:keepNext/>
              <w:tabs>
                <w:tab w:val="left" w:pos="3808"/>
              </w:tabs>
              <w:adjustRightInd w:val="0"/>
              <w:snapToGrid w:val="0"/>
              <w:spacing w:before="60" w:after="60"/>
              <w:jc w:val="both"/>
              <w:rPr>
                <w:sz w:val="21"/>
                <w:szCs w:val="21"/>
              </w:rPr>
            </w:pPr>
            <w:r>
              <w:rPr>
                <w:sz w:val="21"/>
                <w:szCs w:val="21"/>
              </w:rPr>
              <w:t>1.投标产品列入财政部、发展改革委、生态环境部等部门发布的节能产品品目清单（财库〔2019〕19号）且提供国家确定的认证机构出具的、处于有效期之内的节能产品认证证书的，每项证书得0.</w:t>
            </w:r>
            <w:r>
              <w:rPr>
                <w:rFonts w:hint="eastAsia"/>
                <w:sz w:val="21"/>
                <w:szCs w:val="21"/>
              </w:rPr>
              <w:t>2</w:t>
            </w:r>
            <w:r>
              <w:rPr>
                <w:sz w:val="21"/>
                <w:szCs w:val="21"/>
              </w:rPr>
              <w:t>5分，最高得</w:t>
            </w:r>
            <w:r>
              <w:rPr>
                <w:rFonts w:hint="eastAsia"/>
                <w:sz w:val="21"/>
                <w:szCs w:val="21"/>
              </w:rPr>
              <w:t>0.5</w:t>
            </w:r>
            <w:r>
              <w:rPr>
                <w:sz w:val="21"/>
                <w:szCs w:val="21"/>
              </w:rPr>
              <w:t>分。</w:t>
            </w:r>
          </w:p>
          <w:p w14:paraId="3F17E5AE">
            <w:pPr>
              <w:keepNext/>
              <w:tabs>
                <w:tab w:val="left" w:pos="3808"/>
              </w:tabs>
              <w:adjustRightInd w:val="0"/>
              <w:snapToGrid w:val="0"/>
              <w:spacing w:before="60" w:after="60"/>
              <w:jc w:val="both"/>
              <w:rPr>
                <w:sz w:val="21"/>
                <w:szCs w:val="21"/>
              </w:rPr>
            </w:pPr>
            <w:r>
              <w:rPr>
                <w:sz w:val="21"/>
                <w:szCs w:val="21"/>
              </w:rPr>
              <w:t>2.投标产品列入财政部、发展改革委、生态环境部等部门发布的环境标志产品品目清单（财库〔2019〕18号）且提供国家确定的认证机构出具的、处于有效期之内的环境标志产品认证证书的，每项证书得0.</w:t>
            </w:r>
            <w:r>
              <w:rPr>
                <w:rFonts w:hint="eastAsia"/>
                <w:sz w:val="21"/>
                <w:szCs w:val="21"/>
              </w:rPr>
              <w:t>2</w:t>
            </w:r>
            <w:r>
              <w:rPr>
                <w:sz w:val="21"/>
                <w:szCs w:val="21"/>
              </w:rPr>
              <w:t>5分，最高得</w:t>
            </w:r>
            <w:r>
              <w:rPr>
                <w:rFonts w:hint="eastAsia"/>
                <w:sz w:val="21"/>
                <w:szCs w:val="21"/>
              </w:rPr>
              <w:t>0.5</w:t>
            </w:r>
            <w:r>
              <w:rPr>
                <w:sz w:val="21"/>
                <w:szCs w:val="21"/>
              </w:rPr>
              <w:t>分。</w:t>
            </w:r>
          </w:p>
          <w:p w14:paraId="24C4127A">
            <w:pPr>
              <w:widowControl w:val="0"/>
              <w:kinsoku w:val="0"/>
              <w:ind w:right="-22" w:rightChars="-9"/>
              <w:jc w:val="both"/>
              <w:rPr>
                <w:sz w:val="21"/>
                <w:szCs w:val="21"/>
              </w:rPr>
            </w:pPr>
            <w:r>
              <w:rPr>
                <w:sz w:val="21"/>
                <w:szCs w:val="21"/>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750" w:type="dxa"/>
            <w:vAlign w:val="center"/>
          </w:tcPr>
          <w:p w14:paraId="47E979F3">
            <w:pPr>
              <w:ind w:right="-70" w:rightChars="-29"/>
              <w:jc w:val="center"/>
              <w:rPr>
                <w:sz w:val="21"/>
                <w:szCs w:val="21"/>
                <w:lang w:bidi="ar"/>
              </w:rPr>
            </w:pPr>
            <w:r>
              <w:rPr>
                <w:rFonts w:hint="eastAsia"/>
                <w:sz w:val="21"/>
                <w:szCs w:val="21"/>
                <w:lang w:bidi="ar"/>
              </w:rPr>
              <w:t>1</w:t>
            </w:r>
          </w:p>
        </w:tc>
      </w:tr>
      <w:bookmarkEnd w:id="82"/>
      <w:tr w14:paraId="2316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04" w:type="dxa"/>
            <w:gridSpan w:val="3"/>
            <w:vAlign w:val="center"/>
          </w:tcPr>
          <w:p w14:paraId="664299E2">
            <w:pPr>
              <w:widowControl w:val="0"/>
              <w:kinsoku w:val="0"/>
              <w:ind w:right="-22" w:rightChars="-9"/>
              <w:jc w:val="center"/>
              <w:rPr>
                <w:sz w:val="21"/>
                <w:szCs w:val="21"/>
              </w:rPr>
            </w:pPr>
            <w:r>
              <w:rPr>
                <w:sz w:val="21"/>
                <w:szCs w:val="21"/>
              </w:rPr>
              <w:t>合计</w:t>
            </w:r>
          </w:p>
        </w:tc>
        <w:tc>
          <w:tcPr>
            <w:tcW w:w="750" w:type="dxa"/>
            <w:vAlign w:val="center"/>
          </w:tcPr>
          <w:p w14:paraId="6B9F4CE2">
            <w:pPr>
              <w:ind w:right="-70" w:rightChars="-29"/>
              <w:jc w:val="center"/>
              <w:rPr>
                <w:sz w:val="21"/>
                <w:szCs w:val="21"/>
              </w:rPr>
            </w:pPr>
            <w:r>
              <w:rPr>
                <w:sz w:val="21"/>
                <w:szCs w:val="21"/>
              </w:rPr>
              <w:t>60分</w:t>
            </w:r>
          </w:p>
        </w:tc>
      </w:tr>
      <w:tr w14:paraId="0EAD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54" w:type="dxa"/>
            <w:gridSpan w:val="4"/>
            <w:vAlign w:val="center"/>
          </w:tcPr>
          <w:p w14:paraId="43D3FD3F">
            <w:pPr>
              <w:keepNext w:val="0"/>
              <w:keepLines w:val="0"/>
              <w:widowControl/>
              <w:suppressLineNumbers w:val="0"/>
              <w:spacing w:before="0" w:beforeAutospacing="0" w:after="0" w:afterAutospacing="0"/>
              <w:ind w:left="0" w:right="0"/>
              <w:jc w:val="left"/>
              <w:rPr>
                <w:b/>
                <w:bCs/>
                <w:bdr w:val="none" w:color="auto" w:sz="0" w:space="0"/>
                <w:lang w:val="en-US"/>
              </w:rPr>
            </w:pPr>
            <w:r>
              <w:rPr>
                <w:rFonts w:hint="eastAsia" w:ascii="Times New Roman" w:hAnsi="Times New Roman" w:eastAsia="宋体" w:cs="宋体"/>
                <w:b/>
                <w:bCs/>
                <w:kern w:val="0"/>
                <w:sz w:val="24"/>
                <w:szCs w:val="24"/>
                <w:bdr w:val="none" w:color="auto" w:sz="0" w:space="0"/>
                <w:lang w:val="en-US" w:eastAsia="zh-CN" w:bidi="ar"/>
              </w:rPr>
              <w:t>备注</w:t>
            </w:r>
            <w:r>
              <w:rPr>
                <w:rFonts w:hint="default" w:ascii="Times New Roman" w:hAnsi="Times New Roman" w:eastAsia="宋体" w:cs="Times New Roman"/>
                <w:b/>
                <w:bCs/>
                <w:kern w:val="0"/>
                <w:sz w:val="24"/>
                <w:szCs w:val="24"/>
                <w:bdr w:val="none" w:color="auto" w:sz="0" w:space="0"/>
                <w:lang w:val="en-US" w:eastAsia="zh-CN" w:bidi="ar"/>
              </w:rPr>
              <w:t>:1.</w:t>
            </w:r>
            <w:r>
              <w:rPr>
                <w:rFonts w:hint="eastAsia" w:ascii="Times New Roman" w:hAnsi="Times New Roman" w:eastAsia="宋体" w:cs="宋体"/>
                <w:b/>
                <w:bCs/>
                <w:kern w:val="0"/>
                <w:sz w:val="24"/>
                <w:szCs w:val="24"/>
                <w:bdr w:val="none" w:color="auto" w:sz="0" w:space="0"/>
                <w:lang w:val="en-US" w:eastAsia="zh-CN" w:bidi="ar"/>
              </w:rPr>
              <w:t>投标人提供的检测报告、认证证书等客观分须同时附完整网址或二维码等查询途径，否则不予计分。</w:t>
            </w:r>
          </w:p>
          <w:p w14:paraId="570135CE">
            <w:pPr>
              <w:keepNext w:val="0"/>
              <w:keepLines w:val="0"/>
              <w:widowControl/>
              <w:suppressLineNumbers w:val="0"/>
              <w:spacing w:before="0" w:beforeAutospacing="0" w:after="0" w:afterAutospacing="0"/>
              <w:ind w:left="0" w:right="0"/>
              <w:jc w:val="left"/>
              <w:rPr>
                <w:b/>
                <w:bCs/>
                <w:bdr w:val="none" w:color="auto" w:sz="0" w:space="0"/>
                <w:lang w:val="en-US"/>
              </w:rPr>
            </w:pPr>
            <w:r>
              <w:rPr>
                <w:rFonts w:hint="default" w:ascii="Times New Roman" w:hAnsi="Times New Roman" w:eastAsia="宋体" w:cs="Times New Roman"/>
                <w:b/>
                <w:bCs/>
                <w:kern w:val="0"/>
                <w:sz w:val="24"/>
                <w:szCs w:val="24"/>
                <w:bdr w:val="none" w:color="auto" w:sz="0" w:space="0"/>
                <w:lang w:val="en-US" w:eastAsia="zh-CN" w:bidi="ar"/>
              </w:rPr>
              <w:t>2.</w:t>
            </w:r>
            <w:r>
              <w:rPr>
                <w:rFonts w:hint="eastAsia" w:ascii="Times New Roman" w:hAnsi="Times New Roman" w:eastAsia="宋体" w:cs="宋体"/>
                <w:b/>
                <w:bCs/>
                <w:kern w:val="0"/>
                <w:sz w:val="24"/>
                <w:szCs w:val="24"/>
                <w:bdr w:val="none" w:color="auto" w:sz="0" w:space="0"/>
                <w:lang w:val="en-US" w:eastAsia="zh-CN" w:bidi="ar"/>
              </w:rPr>
              <w:t>根据《浙江省财政厅关于进一步规范政府采购秩序促进公平竞争的通知》</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浙财采监</w:t>
            </w:r>
            <w:r>
              <w:rPr>
                <w:rFonts w:hint="default" w:ascii="Times New Roman" w:hAnsi="Times New Roman" w:eastAsia="宋体" w:cs="Times New Roman"/>
                <w:b/>
                <w:bCs/>
                <w:kern w:val="0"/>
                <w:sz w:val="24"/>
                <w:szCs w:val="24"/>
                <w:bdr w:val="none" w:color="auto" w:sz="0" w:space="0"/>
                <w:lang w:val="en-US" w:eastAsia="zh-CN" w:bidi="ar"/>
              </w:rPr>
              <w:t>(2025)2</w:t>
            </w:r>
            <w:r>
              <w:rPr>
                <w:rFonts w:hint="eastAsia" w:ascii="Times New Roman" w:hAnsi="Times New Roman" w:eastAsia="宋体" w:cs="宋体"/>
                <w:b/>
                <w:bCs/>
                <w:kern w:val="0"/>
                <w:sz w:val="24"/>
                <w:szCs w:val="24"/>
                <w:bdr w:val="none" w:color="auto" w:sz="0" w:space="0"/>
                <w:lang w:val="en-US" w:eastAsia="zh-CN" w:bidi="ar"/>
              </w:rPr>
              <w:t>号</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的要求，在评审结束后、合同签订前，中标人须将投标</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响应</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文件中涉及客观分评审内容的检测报告、认证证书等资料原件递交至采购代理机构进行复核，复核情况详细记录，并纳入采购档案。发现供应商提供虚假材料的，将及时书面报告同级财政部门。</w:t>
            </w:r>
          </w:p>
          <w:p w14:paraId="412DB2C6">
            <w:pPr>
              <w:pStyle w:val="41"/>
              <w:keepNext w:val="0"/>
              <w:keepLines w:val="0"/>
              <w:widowControl/>
              <w:suppressLineNumbers w:val="0"/>
              <w:spacing w:before="0" w:beforeAutospacing="0" w:after="120" w:afterAutospacing="0"/>
              <w:ind w:left="0" w:leftChars="0" w:right="0" w:firstLine="0" w:firstLineChars="0"/>
              <w:jc w:val="left"/>
              <w:rPr>
                <w:sz w:val="21"/>
                <w:szCs w:val="21"/>
              </w:rPr>
            </w:pPr>
            <w:r>
              <w:rPr>
                <w:rFonts w:hint="default" w:ascii="Times New Roman" w:hAnsi="Times New Roman" w:eastAsia="宋体" w:cs="Times New Roman"/>
                <w:b/>
                <w:bCs/>
                <w:kern w:val="0"/>
                <w:sz w:val="24"/>
                <w:szCs w:val="24"/>
                <w:bdr w:val="none" w:color="auto" w:sz="0" w:space="0"/>
                <w:lang w:val="en-US" w:eastAsia="zh-CN" w:bidi="ar"/>
              </w:rPr>
              <w:t>3.</w:t>
            </w:r>
            <w:r>
              <w:rPr>
                <w:rFonts w:hint="eastAsia" w:ascii="Times New Roman" w:hAnsi="Times New Roman" w:eastAsia="宋体" w:cs="宋体"/>
                <w:b/>
                <w:bCs/>
                <w:kern w:val="0"/>
                <w:sz w:val="24"/>
                <w:szCs w:val="24"/>
                <w:bdr w:val="none" w:color="auto" w:sz="0" w:space="0"/>
                <w:lang w:val="en-US" w:eastAsia="zh-CN" w:bidi="ar"/>
              </w:rPr>
              <w:t>复核方式：（</w:t>
            </w:r>
            <w:r>
              <w:rPr>
                <w:rFonts w:hint="default" w:ascii="Times New Roman" w:hAnsi="Times New Roman" w:eastAsia="宋体" w:cs="Times New Roman"/>
                <w:b/>
                <w:bCs/>
                <w:kern w:val="0"/>
                <w:sz w:val="24"/>
                <w:szCs w:val="24"/>
                <w:bdr w:val="none" w:color="auto" w:sz="0" w:space="0"/>
                <w:lang w:val="en-US" w:eastAsia="zh-CN" w:bidi="ar"/>
              </w:rPr>
              <w:t>1</w:t>
            </w:r>
            <w:r>
              <w:rPr>
                <w:rFonts w:hint="eastAsia" w:ascii="Times New Roman" w:hAnsi="Times New Roman" w:eastAsia="宋体" w:cs="宋体"/>
                <w:b/>
                <w:bCs/>
                <w:kern w:val="0"/>
                <w:sz w:val="24"/>
                <w:szCs w:val="24"/>
                <w:bdr w:val="none" w:color="auto" w:sz="0" w:space="0"/>
                <w:lang w:val="en-US" w:eastAsia="zh-CN" w:bidi="ar"/>
              </w:rPr>
              <w:t>）</w:t>
            </w:r>
            <w:r>
              <w:rPr>
                <w:rFonts w:hint="default" w:ascii="Times New Roman" w:hAnsi="Times New Roman" w:eastAsia="宋体" w:cs="Times New Roman"/>
                <w:b/>
                <w:bCs/>
                <w:kern w:val="0"/>
                <w:sz w:val="24"/>
                <w:szCs w:val="24"/>
                <w:bdr w:val="none" w:color="auto" w:sz="0" w:space="0"/>
                <w:lang w:val="en-US" w:eastAsia="zh-CN" w:bidi="ar"/>
              </w:rPr>
              <w:t xml:space="preserve"> </w:t>
            </w:r>
            <w:r>
              <w:rPr>
                <w:rFonts w:hint="eastAsia" w:ascii="Times New Roman" w:hAnsi="Times New Roman" w:eastAsia="宋体" w:cs="宋体"/>
                <w:b/>
                <w:bCs/>
                <w:kern w:val="0"/>
                <w:sz w:val="24"/>
                <w:szCs w:val="24"/>
                <w:bdr w:val="none" w:color="auto" w:sz="0" w:space="0"/>
                <w:lang w:val="en-US" w:eastAsia="zh-CN" w:bidi="ar"/>
              </w:rPr>
              <w:t>网站、二维码查询复核，打印网页截图</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包含打印时间、网址链接</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w:t>
            </w:r>
            <w:r>
              <w:rPr>
                <w:rFonts w:hint="default" w:ascii="Times New Roman" w:hAnsi="Times New Roman" w:eastAsia="宋体" w:cs="Times New Roman"/>
                <w:b/>
                <w:bCs/>
                <w:kern w:val="0"/>
                <w:sz w:val="24"/>
                <w:szCs w:val="24"/>
                <w:bdr w:val="none" w:color="auto" w:sz="0" w:space="0"/>
                <w:lang w:val="en-US" w:eastAsia="zh-CN" w:bidi="ar"/>
              </w:rPr>
              <w:t>2</w:t>
            </w:r>
            <w:r>
              <w:rPr>
                <w:rFonts w:hint="eastAsia" w:ascii="Times New Roman" w:hAnsi="Times New Roman" w:eastAsia="宋体" w:cs="宋体"/>
                <w:b/>
                <w:bCs/>
                <w:kern w:val="0"/>
                <w:sz w:val="24"/>
                <w:szCs w:val="24"/>
                <w:bdr w:val="none" w:color="auto" w:sz="0" w:space="0"/>
                <w:lang w:val="en-US" w:eastAsia="zh-CN" w:bidi="ar"/>
              </w:rPr>
              <w:t>）无网站、二维码查询途径的，应核对原件；由代理机构复印原件</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评分的关键页</w:t>
            </w:r>
            <w:r>
              <w:rPr>
                <w:rFonts w:hint="default" w:ascii="Times New Roman" w:hAnsi="Times New Roman" w:eastAsia="宋体" w:cs="Times New Roman"/>
                <w:b/>
                <w:bCs/>
                <w:kern w:val="0"/>
                <w:sz w:val="24"/>
                <w:szCs w:val="24"/>
                <w:bdr w:val="none" w:color="auto" w:sz="0" w:space="0"/>
                <w:lang w:val="en-US" w:eastAsia="zh-CN" w:bidi="ar"/>
              </w:rPr>
              <w:t>)</w:t>
            </w:r>
            <w:r>
              <w:rPr>
                <w:rFonts w:hint="eastAsia" w:ascii="Times New Roman" w:hAnsi="Times New Roman" w:eastAsia="宋体" w:cs="宋体"/>
                <w:b/>
                <w:bCs/>
                <w:kern w:val="0"/>
                <w:sz w:val="24"/>
                <w:szCs w:val="24"/>
                <w:bdr w:val="none" w:color="auto" w:sz="0" w:space="0"/>
                <w:lang w:val="en-US" w:eastAsia="zh-CN" w:bidi="ar"/>
              </w:rPr>
              <w:t>并加盖“复印件与原件一致章”；未提供原件或发现供应商提供虚假材料的，将及时书面报告同级财政部门。</w:t>
            </w:r>
          </w:p>
        </w:tc>
      </w:tr>
    </w:tbl>
    <w:p w14:paraId="60FEC442">
      <w:pPr>
        <w:pStyle w:val="2"/>
        <w:ind w:left="480" w:firstLine="480"/>
      </w:pPr>
    </w:p>
    <w:p w14:paraId="195A9520">
      <w:pPr>
        <w:pStyle w:val="41"/>
        <w:widowControl w:val="0"/>
        <w:adjustRightInd w:val="0"/>
        <w:snapToGrid w:val="0"/>
        <w:spacing w:before="0" w:beforeAutospacing="0" w:after="0" w:afterAutospacing="0" w:line="360" w:lineRule="auto"/>
        <w:ind w:firstLine="470" w:firstLineChars="196"/>
        <w:rPr>
          <w:rFonts w:hint="default" w:ascii="Times New Roman" w:hAnsi="Times New Roman"/>
        </w:rPr>
      </w:pPr>
      <w:r>
        <w:rPr>
          <w:rFonts w:hint="default" w:ascii="Times New Roman" w:hAnsi="Times New Roman"/>
        </w:rPr>
        <w:t>2.价格评审：有效投标报价的最低价作为评标基准价，其最低报价为满分，其余各投标人价格得分的计算公式为：（评标基准价÷各投标人的有效报价）×</w:t>
      </w:r>
      <w:r>
        <w:rPr>
          <w:rFonts w:ascii="Times New Roman" w:hAnsi="Times New Roman"/>
        </w:rPr>
        <w:t>40</w:t>
      </w:r>
      <w:r>
        <w:rPr>
          <w:rFonts w:hint="default" w:ascii="Times New Roman" w:hAnsi="Times New Roman"/>
        </w:rPr>
        <w:t xml:space="preserve">分。 </w:t>
      </w:r>
    </w:p>
    <w:tbl>
      <w:tblPr>
        <w:tblStyle w:val="44"/>
        <w:tblW w:w="9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127"/>
        <w:gridCol w:w="714"/>
        <w:gridCol w:w="5245"/>
      </w:tblGrid>
      <w:tr w14:paraId="6C83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505043B">
            <w:pPr>
              <w:jc w:val="center"/>
              <w:rPr>
                <w:sz w:val="21"/>
                <w:szCs w:val="21"/>
              </w:rPr>
            </w:pPr>
            <w:r>
              <w:rPr>
                <w:sz w:val="21"/>
                <w:szCs w:val="21"/>
              </w:rPr>
              <w:t>编号</w:t>
            </w:r>
          </w:p>
        </w:tc>
        <w:tc>
          <w:tcPr>
            <w:tcW w:w="2127" w:type="dxa"/>
            <w:noWrap/>
            <w:vAlign w:val="center"/>
          </w:tcPr>
          <w:p w14:paraId="232417F2">
            <w:pPr>
              <w:jc w:val="center"/>
              <w:rPr>
                <w:sz w:val="21"/>
                <w:szCs w:val="21"/>
              </w:rPr>
            </w:pPr>
            <w:r>
              <w:rPr>
                <w:sz w:val="21"/>
                <w:szCs w:val="21"/>
              </w:rPr>
              <w:t>名称</w:t>
            </w:r>
          </w:p>
        </w:tc>
        <w:tc>
          <w:tcPr>
            <w:tcW w:w="714" w:type="dxa"/>
            <w:vAlign w:val="center"/>
          </w:tcPr>
          <w:p w14:paraId="5AB3C576">
            <w:pPr>
              <w:jc w:val="center"/>
              <w:rPr>
                <w:color w:val="000000"/>
                <w:sz w:val="21"/>
                <w:szCs w:val="21"/>
              </w:rPr>
            </w:pPr>
            <w:r>
              <w:rPr>
                <w:sz w:val="21"/>
                <w:szCs w:val="21"/>
              </w:rPr>
              <w:t>权重分值</w:t>
            </w:r>
          </w:p>
        </w:tc>
        <w:tc>
          <w:tcPr>
            <w:tcW w:w="5245" w:type="dxa"/>
            <w:vAlign w:val="center"/>
          </w:tcPr>
          <w:p w14:paraId="7D84A8EF">
            <w:pPr>
              <w:jc w:val="center"/>
              <w:rPr>
                <w:color w:val="000000"/>
                <w:sz w:val="21"/>
                <w:szCs w:val="21"/>
              </w:rPr>
            </w:pPr>
            <w:r>
              <w:rPr>
                <w:sz w:val="21"/>
                <w:szCs w:val="21"/>
              </w:rPr>
              <w:t>计算公式</w:t>
            </w:r>
          </w:p>
        </w:tc>
      </w:tr>
      <w:tr w14:paraId="56F2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3A10B2D1">
            <w:pPr>
              <w:jc w:val="center"/>
              <w:rPr>
                <w:sz w:val="21"/>
                <w:szCs w:val="21"/>
              </w:rPr>
            </w:pPr>
            <w:r>
              <w:rPr>
                <w:sz w:val="21"/>
                <w:szCs w:val="21"/>
              </w:rPr>
              <w:t>1</w:t>
            </w:r>
          </w:p>
        </w:tc>
        <w:tc>
          <w:tcPr>
            <w:tcW w:w="2127" w:type="dxa"/>
            <w:noWrap/>
            <w:vAlign w:val="center"/>
          </w:tcPr>
          <w:p w14:paraId="2EE8B9C9">
            <w:pPr>
              <w:rPr>
                <w:sz w:val="21"/>
                <w:szCs w:val="21"/>
              </w:rPr>
            </w:pPr>
            <w:r>
              <w:rPr>
                <w:sz w:val="21"/>
                <w:szCs w:val="21"/>
              </w:rPr>
              <w:t>替餐营养棒系列</w:t>
            </w:r>
          </w:p>
        </w:tc>
        <w:tc>
          <w:tcPr>
            <w:tcW w:w="714" w:type="dxa"/>
            <w:vAlign w:val="center"/>
          </w:tcPr>
          <w:p w14:paraId="6D3F1D0C">
            <w:pPr>
              <w:rPr>
                <w:color w:val="000000"/>
                <w:sz w:val="21"/>
                <w:szCs w:val="21"/>
              </w:rPr>
            </w:pPr>
            <w:r>
              <w:rPr>
                <w:rFonts w:hint="eastAsia"/>
                <w:color w:val="000000"/>
                <w:sz w:val="21"/>
                <w:szCs w:val="21"/>
              </w:rPr>
              <w:t>/</w:t>
            </w:r>
          </w:p>
        </w:tc>
        <w:tc>
          <w:tcPr>
            <w:tcW w:w="5245" w:type="dxa"/>
          </w:tcPr>
          <w:p w14:paraId="6815E920">
            <w:pPr>
              <w:rPr>
                <w:color w:val="000000"/>
                <w:sz w:val="21"/>
                <w:szCs w:val="21"/>
              </w:rPr>
            </w:pPr>
            <w:r>
              <w:rPr>
                <w:rFonts w:hint="eastAsia"/>
                <w:color w:val="000000"/>
                <w:sz w:val="21"/>
                <w:szCs w:val="21"/>
              </w:rPr>
              <w:t>/</w:t>
            </w:r>
          </w:p>
        </w:tc>
      </w:tr>
      <w:tr w14:paraId="062C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7C68581C">
            <w:pPr>
              <w:jc w:val="center"/>
              <w:rPr>
                <w:sz w:val="21"/>
                <w:szCs w:val="21"/>
              </w:rPr>
            </w:pPr>
            <w:r>
              <w:rPr>
                <w:rFonts w:hint="eastAsia"/>
                <w:sz w:val="21"/>
                <w:szCs w:val="21"/>
              </w:rPr>
              <w:t>1.1</w:t>
            </w:r>
          </w:p>
        </w:tc>
        <w:tc>
          <w:tcPr>
            <w:tcW w:w="2127" w:type="dxa"/>
            <w:noWrap/>
            <w:vAlign w:val="center"/>
          </w:tcPr>
          <w:p w14:paraId="71BBFC4A">
            <w:pPr>
              <w:rPr>
                <w:sz w:val="21"/>
                <w:szCs w:val="21"/>
              </w:rPr>
            </w:pPr>
            <w:r>
              <w:rPr>
                <w:sz w:val="21"/>
                <w:szCs w:val="21"/>
              </w:rPr>
              <w:t>营养棒系列I（高蛋白型）</w:t>
            </w:r>
          </w:p>
        </w:tc>
        <w:tc>
          <w:tcPr>
            <w:tcW w:w="714" w:type="dxa"/>
            <w:vAlign w:val="center"/>
          </w:tcPr>
          <w:p w14:paraId="093DB705">
            <w:pPr>
              <w:jc w:val="center"/>
              <w:rPr>
                <w:sz w:val="21"/>
                <w:szCs w:val="21"/>
              </w:rPr>
            </w:pPr>
            <w:r>
              <w:rPr>
                <w:rFonts w:hint="eastAsia" w:eastAsia="等线"/>
                <w:sz w:val="22"/>
                <w:szCs w:val="22"/>
              </w:rPr>
              <w:t>6.5</w:t>
            </w:r>
          </w:p>
        </w:tc>
        <w:tc>
          <w:tcPr>
            <w:tcW w:w="5245" w:type="dxa"/>
            <w:vAlign w:val="center"/>
          </w:tcPr>
          <w:p w14:paraId="468E8B2D">
            <w:pPr>
              <w:rPr>
                <w:color w:val="000000"/>
                <w:sz w:val="21"/>
                <w:szCs w:val="21"/>
              </w:rPr>
            </w:pPr>
            <w:r>
              <w:rPr>
                <w:sz w:val="22"/>
                <w:szCs w:val="22"/>
              </w:rPr>
              <w:t>（基准报价÷各投标人的最终有效报价）×权重分值</w:t>
            </w:r>
          </w:p>
        </w:tc>
      </w:tr>
      <w:tr w14:paraId="2998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602DD872">
            <w:pPr>
              <w:jc w:val="center"/>
              <w:rPr>
                <w:sz w:val="21"/>
                <w:szCs w:val="21"/>
              </w:rPr>
            </w:pPr>
            <w:r>
              <w:rPr>
                <w:rFonts w:hint="eastAsia"/>
                <w:sz w:val="21"/>
                <w:szCs w:val="21"/>
              </w:rPr>
              <w:t>1.2</w:t>
            </w:r>
          </w:p>
        </w:tc>
        <w:tc>
          <w:tcPr>
            <w:tcW w:w="2127" w:type="dxa"/>
            <w:noWrap/>
            <w:vAlign w:val="center"/>
          </w:tcPr>
          <w:p w14:paraId="5BE36B05">
            <w:pPr>
              <w:rPr>
                <w:sz w:val="21"/>
                <w:szCs w:val="21"/>
              </w:rPr>
            </w:pPr>
            <w:r>
              <w:rPr>
                <w:sz w:val="21"/>
                <w:szCs w:val="21"/>
              </w:rPr>
              <w:t>营养棒系列II（均衡型）</w:t>
            </w:r>
          </w:p>
        </w:tc>
        <w:tc>
          <w:tcPr>
            <w:tcW w:w="714" w:type="dxa"/>
            <w:vAlign w:val="center"/>
          </w:tcPr>
          <w:p w14:paraId="0A89FE03">
            <w:pPr>
              <w:jc w:val="center"/>
              <w:rPr>
                <w:sz w:val="21"/>
                <w:szCs w:val="21"/>
              </w:rPr>
            </w:pPr>
            <w:r>
              <w:rPr>
                <w:rFonts w:hint="eastAsia" w:eastAsia="等线"/>
                <w:sz w:val="22"/>
                <w:szCs w:val="22"/>
              </w:rPr>
              <w:t>6.5</w:t>
            </w:r>
          </w:p>
        </w:tc>
        <w:tc>
          <w:tcPr>
            <w:tcW w:w="5245" w:type="dxa"/>
            <w:vAlign w:val="center"/>
          </w:tcPr>
          <w:p w14:paraId="3632C57C">
            <w:pPr>
              <w:rPr>
                <w:color w:val="000000"/>
                <w:sz w:val="21"/>
                <w:szCs w:val="21"/>
              </w:rPr>
            </w:pPr>
            <w:r>
              <w:rPr>
                <w:sz w:val="22"/>
                <w:szCs w:val="22"/>
              </w:rPr>
              <w:t>（基准报价÷各投标人的最终有效报价）×权重分值</w:t>
            </w:r>
          </w:p>
        </w:tc>
      </w:tr>
      <w:tr w14:paraId="76E8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6297B6F7">
            <w:pPr>
              <w:jc w:val="center"/>
              <w:rPr>
                <w:sz w:val="21"/>
                <w:szCs w:val="21"/>
              </w:rPr>
            </w:pPr>
            <w:r>
              <w:rPr>
                <w:sz w:val="21"/>
                <w:szCs w:val="21"/>
              </w:rPr>
              <w:t>2</w:t>
            </w:r>
          </w:p>
        </w:tc>
        <w:tc>
          <w:tcPr>
            <w:tcW w:w="2127" w:type="dxa"/>
            <w:noWrap/>
            <w:vAlign w:val="center"/>
          </w:tcPr>
          <w:p w14:paraId="199FE19A">
            <w:pPr>
              <w:rPr>
                <w:sz w:val="21"/>
                <w:szCs w:val="21"/>
              </w:rPr>
            </w:pPr>
            <w:r>
              <w:rPr>
                <w:sz w:val="21"/>
                <w:szCs w:val="21"/>
              </w:rPr>
              <w:t>蛋白奶昔</w:t>
            </w:r>
          </w:p>
        </w:tc>
        <w:tc>
          <w:tcPr>
            <w:tcW w:w="714" w:type="dxa"/>
            <w:vAlign w:val="center"/>
          </w:tcPr>
          <w:p w14:paraId="5950C175">
            <w:pPr>
              <w:jc w:val="center"/>
              <w:rPr>
                <w:sz w:val="21"/>
                <w:szCs w:val="21"/>
              </w:rPr>
            </w:pPr>
            <w:r>
              <w:rPr>
                <w:rFonts w:hint="eastAsia" w:eastAsia="等线"/>
                <w:sz w:val="22"/>
                <w:szCs w:val="22"/>
              </w:rPr>
              <w:t>4</w:t>
            </w:r>
          </w:p>
        </w:tc>
        <w:tc>
          <w:tcPr>
            <w:tcW w:w="5245" w:type="dxa"/>
            <w:vAlign w:val="center"/>
          </w:tcPr>
          <w:p w14:paraId="455B38C4">
            <w:pPr>
              <w:rPr>
                <w:color w:val="000000"/>
                <w:sz w:val="21"/>
                <w:szCs w:val="21"/>
              </w:rPr>
            </w:pPr>
            <w:r>
              <w:rPr>
                <w:sz w:val="22"/>
                <w:szCs w:val="22"/>
              </w:rPr>
              <w:t>（基准报价÷各投标人的最终有效报价）×权重分值</w:t>
            </w:r>
          </w:p>
        </w:tc>
      </w:tr>
      <w:tr w14:paraId="50FA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74EC40A">
            <w:pPr>
              <w:jc w:val="center"/>
              <w:rPr>
                <w:sz w:val="21"/>
                <w:szCs w:val="21"/>
              </w:rPr>
            </w:pPr>
            <w:r>
              <w:rPr>
                <w:sz w:val="21"/>
                <w:szCs w:val="21"/>
              </w:rPr>
              <w:t>3</w:t>
            </w:r>
          </w:p>
        </w:tc>
        <w:tc>
          <w:tcPr>
            <w:tcW w:w="2127" w:type="dxa"/>
            <w:noWrap/>
            <w:vAlign w:val="center"/>
          </w:tcPr>
          <w:p w14:paraId="23D30B07">
            <w:pPr>
              <w:rPr>
                <w:sz w:val="21"/>
                <w:szCs w:val="21"/>
              </w:rPr>
            </w:pPr>
            <w:r>
              <w:rPr>
                <w:sz w:val="21"/>
                <w:szCs w:val="21"/>
              </w:rPr>
              <w:t>能量阻断剂系列</w:t>
            </w:r>
          </w:p>
        </w:tc>
        <w:tc>
          <w:tcPr>
            <w:tcW w:w="714" w:type="dxa"/>
            <w:vAlign w:val="center"/>
          </w:tcPr>
          <w:p w14:paraId="3A248EE9">
            <w:pPr>
              <w:jc w:val="center"/>
              <w:rPr>
                <w:sz w:val="21"/>
                <w:szCs w:val="21"/>
              </w:rPr>
            </w:pPr>
            <w:r>
              <w:rPr>
                <w:sz w:val="21"/>
                <w:szCs w:val="21"/>
              </w:rPr>
              <w:t>/</w:t>
            </w:r>
          </w:p>
        </w:tc>
        <w:tc>
          <w:tcPr>
            <w:tcW w:w="5245" w:type="dxa"/>
            <w:vAlign w:val="center"/>
          </w:tcPr>
          <w:p w14:paraId="0863A5A9">
            <w:pPr>
              <w:rPr>
                <w:color w:val="000000"/>
                <w:sz w:val="21"/>
                <w:szCs w:val="21"/>
              </w:rPr>
            </w:pPr>
            <w:r>
              <w:rPr>
                <w:rFonts w:hint="eastAsia"/>
                <w:color w:val="000000"/>
                <w:sz w:val="21"/>
                <w:szCs w:val="21"/>
              </w:rPr>
              <w:t>/</w:t>
            </w:r>
          </w:p>
        </w:tc>
      </w:tr>
      <w:tr w14:paraId="6AA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45406AF">
            <w:pPr>
              <w:jc w:val="center"/>
              <w:rPr>
                <w:sz w:val="21"/>
                <w:szCs w:val="21"/>
              </w:rPr>
            </w:pPr>
            <w:r>
              <w:rPr>
                <w:rFonts w:hint="eastAsia"/>
                <w:sz w:val="21"/>
                <w:szCs w:val="21"/>
              </w:rPr>
              <w:t>3.1</w:t>
            </w:r>
          </w:p>
        </w:tc>
        <w:tc>
          <w:tcPr>
            <w:tcW w:w="2127" w:type="dxa"/>
            <w:noWrap/>
            <w:vAlign w:val="center"/>
          </w:tcPr>
          <w:p w14:paraId="73E20751">
            <w:pPr>
              <w:rPr>
                <w:sz w:val="21"/>
                <w:szCs w:val="21"/>
              </w:rPr>
            </w:pPr>
            <w:r>
              <w:rPr>
                <w:sz w:val="21"/>
                <w:szCs w:val="21"/>
              </w:rPr>
              <w:t>阻断剂系列I</w:t>
            </w:r>
          </w:p>
        </w:tc>
        <w:tc>
          <w:tcPr>
            <w:tcW w:w="714" w:type="dxa"/>
            <w:vAlign w:val="center"/>
          </w:tcPr>
          <w:p w14:paraId="58F6E810">
            <w:pPr>
              <w:jc w:val="center"/>
              <w:rPr>
                <w:sz w:val="21"/>
                <w:szCs w:val="21"/>
              </w:rPr>
            </w:pPr>
            <w:r>
              <w:rPr>
                <w:rFonts w:hint="eastAsia"/>
                <w:sz w:val="21"/>
                <w:szCs w:val="21"/>
              </w:rPr>
              <w:t>4</w:t>
            </w:r>
          </w:p>
        </w:tc>
        <w:tc>
          <w:tcPr>
            <w:tcW w:w="5245" w:type="dxa"/>
            <w:vAlign w:val="center"/>
          </w:tcPr>
          <w:p w14:paraId="1BD377E4">
            <w:pPr>
              <w:rPr>
                <w:color w:val="FF0000"/>
                <w:sz w:val="21"/>
                <w:szCs w:val="21"/>
              </w:rPr>
            </w:pPr>
            <w:r>
              <w:rPr>
                <w:sz w:val="22"/>
                <w:szCs w:val="22"/>
              </w:rPr>
              <w:t>（基准报价÷各投标人的最终有效报价）×权重分值</w:t>
            </w:r>
          </w:p>
        </w:tc>
      </w:tr>
      <w:tr w14:paraId="73E9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1DD76B6">
            <w:pPr>
              <w:jc w:val="center"/>
              <w:rPr>
                <w:sz w:val="21"/>
                <w:szCs w:val="21"/>
              </w:rPr>
            </w:pPr>
            <w:r>
              <w:rPr>
                <w:rFonts w:hint="eastAsia"/>
                <w:sz w:val="21"/>
                <w:szCs w:val="21"/>
              </w:rPr>
              <w:t>3.2</w:t>
            </w:r>
          </w:p>
        </w:tc>
        <w:tc>
          <w:tcPr>
            <w:tcW w:w="2127" w:type="dxa"/>
            <w:noWrap/>
            <w:vAlign w:val="center"/>
          </w:tcPr>
          <w:p w14:paraId="3CCED5D8">
            <w:pPr>
              <w:rPr>
                <w:sz w:val="21"/>
                <w:szCs w:val="21"/>
              </w:rPr>
            </w:pPr>
            <w:r>
              <w:rPr>
                <w:sz w:val="21"/>
                <w:szCs w:val="21"/>
              </w:rPr>
              <w:t>阻断剂系列II</w:t>
            </w:r>
          </w:p>
        </w:tc>
        <w:tc>
          <w:tcPr>
            <w:tcW w:w="714" w:type="dxa"/>
            <w:vAlign w:val="center"/>
          </w:tcPr>
          <w:p w14:paraId="77A20013">
            <w:pPr>
              <w:jc w:val="center"/>
              <w:rPr>
                <w:sz w:val="21"/>
                <w:szCs w:val="21"/>
              </w:rPr>
            </w:pPr>
            <w:r>
              <w:rPr>
                <w:rFonts w:hint="eastAsia" w:eastAsia="等线"/>
                <w:sz w:val="22"/>
                <w:szCs w:val="22"/>
              </w:rPr>
              <w:t>4</w:t>
            </w:r>
          </w:p>
        </w:tc>
        <w:tc>
          <w:tcPr>
            <w:tcW w:w="5245" w:type="dxa"/>
            <w:vAlign w:val="center"/>
          </w:tcPr>
          <w:p w14:paraId="376D19FD">
            <w:pPr>
              <w:rPr>
                <w:color w:val="FF0000"/>
                <w:sz w:val="21"/>
                <w:szCs w:val="21"/>
              </w:rPr>
            </w:pPr>
            <w:r>
              <w:rPr>
                <w:sz w:val="22"/>
                <w:szCs w:val="22"/>
              </w:rPr>
              <w:t>（基准报价÷各投标人的最终有效报价）×权重分值</w:t>
            </w:r>
          </w:p>
        </w:tc>
      </w:tr>
      <w:tr w14:paraId="3BAB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650BAC48">
            <w:pPr>
              <w:jc w:val="center"/>
              <w:rPr>
                <w:sz w:val="21"/>
                <w:szCs w:val="21"/>
              </w:rPr>
            </w:pPr>
            <w:r>
              <w:rPr>
                <w:sz w:val="21"/>
                <w:szCs w:val="21"/>
              </w:rPr>
              <w:t>4</w:t>
            </w:r>
          </w:p>
        </w:tc>
        <w:tc>
          <w:tcPr>
            <w:tcW w:w="2127" w:type="dxa"/>
            <w:noWrap/>
            <w:vAlign w:val="center"/>
          </w:tcPr>
          <w:p w14:paraId="0726B644">
            <w:pPr>
              <w:rPr>
                <w:sz w:val="21"/>
                <w:szCs w:val="21"/>
              </w:rPr>
            </w:pPr>
            <w:r>
              <w:rPr>
                <w:sz w:val="21"/>
                <w:szCs w:val="21"/>
              </w:rPr>
              <w:t>减重益生菌</w:t>
            </w:r>
          </w:p>
        </w:tc>
        <w:tc>
          <w:tcPr>
            <w:tcW w:w="714" w:type="dxa"/>
            <w:vAlign w:val="center"/>
          </w:tcPr>
          <w:p w14:paraId="6831C128">
            <w:pPr>
              <w:jc w:val="center"/>
              <w:rPr>
                <w:rFonts w:eastAsia="等线"/>
                <w:sz w:val="21"/>
                <w:szCs w:val="21"/>
              </w:rPr>
            </w:pPr>
            <w:r>
              <w:rPr>
                <w:rFonts w:hint="eastAsia" w:eastAsia="等线"/>
                <w:sz w:val="22"/>
                <w:szCs w:val="22"/>
              </w:rPr>
              <w:t>3</w:t>
            </w:r>
          </w:p>
        </w:tc>
        <w:tc>
          <w:tcPr>
            <w:tcW w:w="5245" w:type="dxa"/>
            <w:vAlign w:val="center"/>
          </w:tcPr>
          <w:p w14:paraId="62171F29">
            <w:pPr>
              <w:rPr>
                <w:color w:val="000000"/>
                <w:sz w:val="21"/>
                <w:szCs w:val="21"/>
              </w:rPr>
            </w:pPr>
            <w:r>
              <w:rPr>
                <w:sz w:val="22"/>
                <w:szCs w:val="22"/>
              </w:rPr>
              <w:t>（基准报价÷各投标人的最终有效报价）×权重分值</w:t>
            </w:r>
          </w:p>
        </w:tc>
      </w:tr>
      <w:tr w14:paraId="3D44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489B289A">
            <w:pPr>
              <w:jc w:val="center"/>
              <w:rPr>
                <w:sz w:val="21"/>
                <w:szCs w:val="21"/>
              </w:rPr>
            </w:pPr>
            <w:r>
              <w:rPr>
                <w:sz w:val="21"/>
                <w:szCs w:val="21"/>
              </w:rPr>
              <w:t>5</w:t>
            </w:r>
          </w:p>
        </w:tc>
        <w:tc>
          <w:tcPr>
            <w:tcW w:w="2127" w:type="dxa"/>
            <w:noWrap/>
            <w:vAlign w:val="center"/>
          </w:tcPr>
          <w:p w14:paraId="51766D58">
            <w:pPr>
              <w:rPr>
                <w:sz w:val="21"/>
                <w:szCs w:val="21"/>
              </w:rPr>
            </w:pPr>
            <w:r>
              <w:rPr>
                <w:sz w:val="21"/>
                <w:szCs w:val="21"/>
              </w:rPr>
              <w:t>HMB复合粉</w:t>
            </w:r>
          </w:p>
        </w:tc>
        <w:tc>
          <w:tcPr>
            <w:tcW w:w="714" w:type="dxa"/>
            <w:vAlign w:val="center"/>
          </w:tcPr>
          <w:p w14:paraId="3F79C812">
            <w:pPr>
              <w:jc w:val="center"/>
              <w:rPr>
                <w:rFonts w:eastAsia="等线"/>
                <w:sz w:val="21"/>
                <w:szCs w:val="21"/>
              </w:rPr>
            </w:pPr>
            <w:r>
              <w:rPr>
                <w:rFonts w:hint="eastAsia" w:eastAsia="等线"/>
                <w:sz w:val="22"/>
                <w:szCs w:val="22"/>
              </w:rPr>
              <w:t>3</w:t>
            </w:r>
          </w:p>
        </w:tc>
        <w:tc>
          <w:tcPr>
            <w:tcW w:w="5245" w:type="dxa"/>
            <w:vAlign w:val="center"/>
          </w:tcPr>
          <w:p w14:paraId="2409A052">
            <w:pPr>
              <w:rPr>
                <w:color w:val="FF0000"/>
                <w:sz w:val="21"/>
                <w:szCs w:val="21"/>
              </w:rPr>
            </w:pPr>
            <w:r>
              <w:rPr>
                <w:sz w:val="22"/>
                <w:szCs w:val="22"/>
              </w:rPr>
              <w:t>（基准报价÷各投标人的最终有效报价）×权重分值</w:t>
            </w:r>
          </w:p>
        </w:tc>
      </w:tr>
      <w:tr w14:paraId="162F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4FD175E">
            <w:pPr>
              <w:jc w:val="center"/>
              <w:rPr>
                <w:sz w:val="21"/>
                <w:szCs w:val="21"/>
              </w:rPr>
            </w:pPr>
            <w:r>
              <w:rPr>
                <w:sz w:val="21"/>
                <w:szCs w:val="21"/>
              </w:rPr>
              <w:t>6</w:t>
            </w:r>
          </w:p>
        </w:tc>
        <w:tc>
          <w:tcPr>
            <w:tcW w:w="2127" w:type="dxa"/>
            <w:noWrap/>
            <w:vAlign w:val="center"/>
          </w:tcPr>
          <w:p w14:paraId="6C6D9A59">
            <w:pPr>
              <w:rPr>
                <w:sz w:val="21"/>
                <w:szCs w:val="21"/>
              </w:rPr>
            </w:pPr>
            <w:r>
              <w:rPr>
                <w:sz w:val="21"/>
                <w:szCs w:val="21"/>
              </w:rPr>
              <w:t>膳食纤维复合粉</w:t>
            </w:r>
          </w:p>
        </w:tc>
        <w:tc>
          <w:tcPr>
            <w:tcW w:w="714" w:type="dxa"/>
            <w:vAlign w:val="center"/>
          </w:tcPr>
          <w:p w14:paraId="0143D67E">
            <w:pPr>
              <w:jc w:val="center"/>
              <w:rPr>
                <w:rFonts w:eastAsia="等线"/>
                <w:sz w:val="21"/>
                <w:szCs w:val="21"/>
              </w:rPr>
            </w:pPr>
            <w:r>
              <w:rPr>
                <w:rFonts w:hint="eastAsia" w:eastAsia="等线"/>
                <w:sz w:val="22"/>
                <w:szCs w:val="22"/>
              </w:rPr>
              <w:t>3</w:t>
            </w:r>
          </w:p>
        </w:tc>
        <w:tc>
          <w:tcPr>
            <w:tcW w:w="5245" w:type="dxa"/>
            <w:vAlign w:val="center"/>
          </w:tcPr>
          <w:p w14:paraId="5E2ABEFB">
            <w:pPr>
              <w:rPr>
                <w:color w:val="000000"/>
                <w:sz w:val="21"/>
                <w:szCs w:val="21"/>
              </w:rPr>
            </w:pPr>
            <w:r>
              <w:rPr>
                <w:sz w:val="22"/>
                <w:szCs w:val="22"/>
              </w:rPr>
              <w:t>（基准报价÷各投标人的最终有效报价）×权重分值</w:t>
            </w:r>
          </w:p>
        </w:tc>
      </w:tr>
      <w:tr w14:paraId="05F5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7661F863">
            <w:pPr>
              <w:jc w:val="center"/>
              <w:rPr>
                <w:sz w:val="21"/>
                <w:szCs w:val="21"/>
              </w:rPr>
            </w:pPr>
            <w:r>
              <w:rPr>
                <w:sz w:val="21"/>
                <w:szCs w:val="21"/>
              </w:rPr>
              <w:t>7</w:t>
            </w:r>
          </w:p>
        </w:tc>
        <w:tc>
          <w:tcPr>
            <w:tcW w:w="2127" w:type="dxa"/>
            <w:noWrap/>
            <w:vAlign w:val="center"/>
          </w:tcPr>
          <w:p w14:paraId="41C43A06">
            <w:pPr>
              <w:rPr>
                <w:sz w:val="21"/>
                <w:szCs w:val="21"/>
              </w:rPr>
            </w:pPr>
            <w:r>
              <w:rPr>
                <w:sz w:val="21"/>
                <w:szCs w:val="21"/>
              </w:rPr>
              <w:t>多种维生素</w:t>
            </w:r>
          </w:p>
        </w:tc>
        <w:tc>
          <w:tcPr>
            <w:tcW w:w="714" w:type="dxa"/>
            <w:vAlign w:val="center"/>
          </w:tcPr>
          <w:p w14:paraId="511E32F6">
            <w:pPr>
              <w:jc w:val="center"/>
              <w:rPr>
                <w:sz w:val="21"/>
                <w:szCs w:val="21"/>
              </w:rPr>
            </w:pPr>
            <w:r>
              <w:rPr>
                <w:rFonts w:hint="eastAsia" w:eastAsia="等线"/>
                <w:sz w:val="22"/>
                <w:szCs w:val="22"/>
              </w:rPr>
              <w:t>2</w:t>
            </w:r>
          </w:p>
        </w:tc>
        <w:tc>
          <w:tcPr>
            <w:tcW w:w="5245" w:type="dxa"/>
            <w:vAlign w:val="center"/>
          </w:tcPr>
          <w:p w14:paraId="78BDEEA1">
            <w:pPr>
              <w:rPr>
                <w:color w:val="000000"/>
                <w:sz w:val="21"/>
                <w:szCs w:val="21"/>
              </w:rPr>
            </w:pPr>
            <w:r>
              <w:rPr>
                <w:sz w:val="22"/>
                <w:szCs w:val="22"/>
              </w:rPr>
              <w:t>（基准报价÷各投标人的最终有效报价）×权重分值</w:t>
            </w:r>
          </w:p>
        </w:tc>
      </w:tr>
      <w:tr w14:paraId="6E5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220EE7A">
            <w:pPr>
              <w:jc w:val="center"/>
              <w:rPr>
                <w:sz w:val="21"/>
                <w:szCs w:val="21"/>
              </w:rPr>
            </w:pPr>
            <w:r>
              <w:rPr>
                <w:sz w:val="21"/>
                <w:szCs w:val="21"/>
              </w:rPr>
              <w:t>8</w:t>
            </w:r>
          </w:p>
        </w:tc>
        <w:tc>
          <w:tcPr>
            <w:tcW w:w="2127" w:type="dxa"/>
            <w:noWrap/>
            <w:vAlign w:val="center"/>
          </w:tcPr>
          <w:p w14:paraId="104CB902">
            <w:pPr>
              <w:rPr>
                <w:sz w:val="21"/>
                <w:szCs w:val="21"/>
              </w:rPr>
            </w:pPr>
            <w:r>
              <w:rPr>
                <w:sz w:val="21"/>
                <w:szCs w:val="21"/>
              </w:rPr>
              <w:t>W-3系列</w:t>
            </w:r>
          </w:p>
        </w:tc>
        <w:tc>
          <w:tcPr>
            <w:tcW w:w="714" w:type="dxa"/>
            <w:vAlign w:val="center"/>
          </w:tcPr>
          <w:p w14:paraId="210E4096">
            <w:pPr>
              <w:jc w:val="center"/>
              <w:rPr>
                <w:sz w:val="21"/>
                <w:szCs w:val="21"/>
              </w:rPr>
            </w:pPr>
            <w:r>
              <w:rPr>
                <w:rFonts w:eastAsia="等线"/>
                <w:sz w:val="22"/>
                <w:szCs w:val="22"/>
              </w:rPr>
              <w:t>/</w:t>
            </w:r>
          </w:p>
        </w:tc>
        <w:tc>
          <w:tcPr>
            <w:tcW w:w="5245" w:type="dxa"/>
          </w:tcPr>
          <w:p w14:paraId="40DF2048">
            <w:pPr>
              <w:rPr>
                <w:color w:val="000000"/>
                <w:sz w:val="21"/>
                <w:szCs w:val="21"/>
              </w:rPr>
            </w:pPr>
            <w:r>
              <w:rPr>
                <w:rFonts w:hint="eastAsia"/>
                <w:color w:val="000000"/>
                <w:sz w:val="21"/>
                <w:szCs w:val="21"/>
              </w:rPr>
              <w:t>/</w:t>
            </w:r>
          </w:p>
        </w:tc>
      </w:tr>
      <w:tr w14:paraId="4B9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4AFD219">
            <w:pPr>
              <w:jc w:val="center"/>
              <w:rPr>
                <w:sz w:val="21"/>
                <w:szCs w:val="21"/>
              </w:rPr>
            </w:pPr>
            <w:r>
              <w:rPr>
                <w:rFonts w:hint="eastAsia"/>
                <w:sz w:val="21"/>
                <w:szCs w:val="21"/>
              </w:rPr>
              <w:t>8.1</w:t>
            </w:r>
          </w:p>
        </w:tc>
        <w:tc>
          <w:tcPr>
            <w:tcW w:w="2127" w:type="dxa"/>
            <w:noWrap/>
            <w:vAlign w:val="center"/>
          </w:tcPr>
          <w:p w14:paraId="512959A3">
            <w:pPr>
              <w:rPr>
                <w:sz w:val="21"/>
                <w:szCs w:val="21"/>
              </w:rPr>
            </w:pPr>
            <w:r>
              <w:rPr>
                <w:sz w:val="21"/>
                <w:szCs w:val="21"/>
              </w:rPr>
              <w:t>w-3（高蛋白型）</w:t>
            </w:r>
          </w:p>
        </w:tc>
        <w:tc>
          <w:tcPr>
            <w:tcW w:w="714" w:type="dxa"/>
            <w:vAlign w:val="center"/>
          </w:tcPr>
          <w:p w14:paraId="7AC4788F">
            <w:pPr>
              <w:jc w:val="center"/>
              <w:rPr>
                <w:sz w:val="21"/>
                <w:szCs w:val="21"/>
              </w:rPr>
            </w:pPr>
            <w:r>
              <w:rPr>
                <w:rFonts w:hint="eastAsia" w:eastAsia="等线"/>
                <w:sz w:val="22"/>
                <w:szCs w:val="22"/>
              </w:rPr>
              <w:t>1</w:t>
            </w:r>
          </w:p>
        </w:tc>
        <w:tc>
          <w:tcPr>
            <w:tcW w:w="5245" w:type="dxa"/>
            <w:vAlign w:val="center"/>
          </w:tcPr>
          <w:p w14:paraId="0A8F12CF">
            <w:pPr>
              <w:rPr>
                <w:color w:val="000000"/>
                <w:sz w:val="21"/>
                <w:szCs w:val="21"/>
              </w:rPr>
            </w:pPr>
            <w:r>
              <w:rPr>
                <w:sz w:val="22"/>
                <w:szCs w:val="22"/>
              </w:rPr>
              <w:t>（基准报价÷各投标人的最终有效报价）×权重分值</w:t>
            </w:r>
          </w:p>
        </w:tc>
      </w:tr>
      <w:tr w14:paraId="1347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375400FD">
            <w:pPr>
              <w:jc w:val="center"/>
              <w:rPr>
                <w:sz w:val="21"/>
                <w:szCs w:val="21"/>
              </w:rPr>
            </w:pPr>
            <w:r>
              <w:rPr>
                <w:rFonts w:hint="eastAsia"/>
                <w:sz w:val="21"/>
                <w:szCs w:val="21"/>
              </w:rPr>
              <w:t>8.2</w:t>
            </w:r>
          </w:p>
        </w:tc>
        <w:tc>
          <w:tcPr>
            <w:tcW w:w="2127" w:type="dxa"/>
            <w:noWrap/>
            <w:vAlign w:val="center"/>
          </w:tcPr>
          <w:p w14:paraId="61290027">
            <w:pPr>
              <w:rPr>
                <w:sz w:val="21"/>
                <w:szCs w:val="21"/>
              </w:rPr>
            </w:pPr>
            <w:r>
              <w:rPr>
                <w:sz w:val="21"/>
                <w:szCs w:val="21"/>
              </w:rPr>
              <w:t>w-3（低碳型）</w:t>
            </w:r>
          </w:p>
        </w:tc>
        <w:tc>
          <w:tcPr>
            <w:tcW w:w="714" w:type="dxa"/>
            <w:vAlign w:val="center"/>
          </w:tcPr>
          <w:p w14:paraId="528BF201">
            <w:pPr>
              <w:jc w:val="center"/>
              <w:rPr>
                <w:sz w:val="21"/>
                <w:szCs w:val="21"/>
              </w:rPr>
            </w:pPr>
            <w:r>
              <w:rPr>
                <w:rFonts w:hint="eastAsia" w:eastAsia="等线"/>
                <w:sz w:val="22"/>
                <w:szCs w:val="22"/>
              </w:rPr>
              <w:t>1</w:t>
            </w:r>
          </w:p>
        </w:tc>
        <w:tc>
          <w:tcPr>
            <w:tcW w:w="5245" w:type="dxa"/>
            <w:vAlign w:val="center"/>
          </w:tcPr>
          <w:p w14:paraId="14229EFE">
            <w:pPr>
              <w:rPr>
                <w:color w:val="000000"/>
                <w:sz w:val="21"/>
                <w:szCs w:val="21"/>
              </w:rPr>
            </w:pPr>
            <w:r>
              <w:rPr>
                <w:sz w:val="22"/>
                <w:szCs w:val="22"/>
              </w:rPr>
              <w:t>（基准报价÷各投标人的最终有效报价）×权重分值</w:t>
            </w:r>
          </w:p>
        </w:tc>
      </w:tr>
      <w:tr w14:paraId="7BF9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F478FB5">
            <w:pPr>
              <w:jc w:val="center"/>
              <w:rPr>
                <w:sz w:val="21"/>
                <w:szCs w:val="21"/>
              </w:rPr>
            </w:pPr>
            <w:r>
              <w:rPr>
                <w:rFonts w:hint="eastAsia"/>
                <w:sz w:val="21"/>
                <w:szCs w:val="21"/>
              </w:rPr>
              <w:t>8.3</w:t>
            </w:r>
          </w:p>
        </w:tc>
        <w:tc>
          <w:tcPr>
            <w:tcW w:w="2127" w:type="dxa"/>
            <w:noWrap/>
            <w:vAlign w:val="center"/>
          </w:tcPr>
          <w:p w14:paraId="70991DB5">
            <w:pPr>
              <w:rPr>
                <w:sz w:val="21"/>
                <w:szCs w:val="21"/>
              </w:rPr>
            </w:pPr>
            <w:r>
              <w:rPr>
                <w:sz w:val="21"/>
                <w:szCs w:val="21"/>
              </w:rPr>
              <w:t>w-3（均衡型）</w:t>
            </w:r>
          </w:p>
        </w:tc>
        <w:tc>
          <w:tcPr>
            <w:tcW w:w="714" w:type="dxa"/>
            <w:vAlign w:val="center"/>
          </w:tcPr>
          <w:p w14:paraId="7A77B771">
            <w:pPr>
              <w:jc w:val="center"/>
              <w:rPr>
                <w:sz w:val="21"/>
                <w:szCs w:val="21"/>
              </w:rPr>
            </w:pPr>
            <w:r>
              <w:rPr>
                <w:rFonts w:hint="eastAsia" w:eastAsia="等线"/>
                <w:sz w:val="22"/>
                <w:szCs w:val="22"/>
              </w:rPr>
              <w:t>1</w:t>
            </w:r>
          </w:p>
        </w:tc>
        <w:tc>
          <w:tcPr>
            <w:tcW w:w="5245" w:type="dxa"/>
            <w:vAlign w:val="center"/>
          </w:tcPr>
          <w:p w14:paraId="6AD0BD55">
            <w:pPr>
              <w:rPr>
                <w:color w:val="000000"/>
                <w:sz w:val="21"/>
                <w:szCs w:val="21"/>
              </w:rPr>
            </w:pPr>
            <w:r>
              <w:rPr>
                <w:sz w:val="22"/>
                <w:szCs w:val="22"/>
              </w:rPr>
              <w:t>（基准报价÷各投标人的最终有效报价）×权重分值</w:t>
            </w:r>
          </w:p>
        </w:tc>
      </w:tr>
      <w:tr w14:paraId="43CA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7D84A2CD">
            <w:pPr>
              <w:jc w:val="center"/>
              <w:rPr>
                <w:sz w:val="21"/>
                <w:szCs w:val="21"/>
              </w:rPr>
            </w:pPr>
            <w:r>
              <w:rPr>
                <w:sz w:val="21"/>
                <w:szCs w:val="21"/>
              </w:rPr>
              <w:t>9</w:t>
            </w:r>
          </w:p>
        </w:tc>
        <w:tc>
          <w:tcPr>
            <w:tcW w:w="2127" w:type="dxa"/>
            <w:noWrap/>
            <w:vAlign w:val="center"/>
          </w:tcPr>
          <w:p w14:paraId="2A3689C5">
            <w:pPr>
              <w:rPr>
                <w:sz w:val="21"/>
                <w:szCs w:val="21"/>
              </w:rPr>
            </w:pPr>
            <w:r>
              <w:rPr>
                <w:sz w:val="21"/>
                <w:szCs w:val="21"/>
              </w:rPr>
              <w:t>减重辅助食品</w:t>
            </w:r>
          </w:p>
        </w:tc>
        <w:tc>
          <w:tcPr>
            <w:tcW w:w="714" w:type="dxa"/>
            <w:vAlign w:val="center"/>
          </w:tcPr>
          <w:p w14:paraId="1FE3CA85">
            <w:pPr>
              <w:jc w:val="center"/>
              <w:rPr>
                <w:sz w:val="21"/>
                <w:szCs w:val="21"/>
              </w:rPr>
            </w:pPr>
            <w:r>
              <w:rPr>
                <w:sz w:val="21"/>
                <w:szCs w:val="21"/>
              </w:rPr>
              <w:t>/</w:t>
            </w:r>
          </w:p>
        </w:tc>
        <w:tc>
          <w:tcPr>
            <w:tcW w:w="5245" w:type="dxa"/>
          </w:tcPr>
          <w:p w14:paraId="287ACA7D">
            <w:pPr>
              <w:rPr>
                <w:color w:val="000000"/>
                <w:sz w:val="21"/>
                <w:szCs w:val="21"/>
              </w:rPr>
            </w:pPr>
            <w:r>
              <w:rPr>
                <w:rFonts w:hint="eastAsia"/>
                <w:color w:val="000000"/>
                <w:sz w:val="21"/>
                <w:szCs w:val="21"/>
              </w:rPr>
              <w:t>/</w:t>
            </w:r>
          </w:p>
        </w:tc>
      </w:tr>
      <w:tr w14:paraId="3C07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4224A0C5">
            <w:pPr>
              <w:jc w:val="center"/>
              <w:rPr>
                <w:sz w:val="21"/>
                <w:szCs w:val="21"/>
              </w:rPr>
            </w:pPr>
            <w:r>
              <w:rPr>
                <w:rFonts w:hint="eastAsia"/>
                <w:sz w:val="21"/>
                <w:szCs w:val="21"/>
              </w:rPr>
              <w:t>9.1</w:t>
            </w:r>
          </w:p>
        </w:tc>
        <w:tc>
          <w:tcPr>
            <w:tcW w:w="2127" w:type="dxa"/>
            <w:noWrap/>
            <w:vAlign w:val="center"/>
          </w:tcPr>
          <w:p w14:paraId="42A7CDBD">
            <w:pPr>
              <w:rPr>
                <w:sz w:val="21"/>
                <w:szCs w:val="21"/>
              </w:rPr>
            </w:pPr>
            <w:r>
              <w:rPr>
                <w:sz w:val="21"/>
                <w:szCs w:val="21"/>
              </w:rPr>
              <w:t>饼干</w:t>
            </w:r>
          </w:p>
        </w:tc>
        <w:tc>
          <w:tcPr>
            <w:tcW w:w="714" w:type="dxa"/>
            <w:vAlign w:val="center"/>
          </w:tcPr>
          <w:p w14:paraId="244157A8">
            <w:pPr>
              <w:jc w:val="center"/>
              <w:rPr>
                <w:sz w:val="21"/>
                <w:szCs w:val="21"/>
              </w:rPr>
            </w:pPr>
            <w:r>
              <w:rPr>
                <w:rFonts w:hint="eastAsia" w:eastAsia="等线"/>
                <w:sz w:val="22"/>
                <w:szCs w:val="22"/>
              </w:rPr>
              <w:t>1</w:t>
            </w:r>
          </w:p>
        </w:tc>
        <w:tc>
          <w:tcPr>
            <w:tcW w:w="5245" w:type="dxa"/>
            <w:vAlign w:val="center"/>
          </w:tcPr>
          <w:p w14:paraId="36E839DB">
            <w:pPr>
              <w:rPr>
                <w:color w:val="000000"/>
                <w:sz w:val="21"/>
                <w:szCs w:val="21"/>
              </w:rPr>
            </w:pPr>
            <w:r>
              <w:rPr>
                <w:sz w:val="22"/>
                <w:szCs w:val="22"/>
              </w:rPr>
              <w:t>（基准报价÷各投标人的最终有效报价）×权重分值</w:t>
            </w:r>
          </w:p>
        </w:tc>
      </w:tr>
    </w:tbl>
    <w:p w14:paraId="14C401C0">
      <w:pPr>
        <w:pStyle w:val="41"/>
        <w:widowControl w:val="0"/>
        <w:adjustRightInd w:val="0"/>
        <w:snapToGrid w:val="0"/>
        <w:spacing w:before="0" w:beforeAutospacing="0" w:after="0" w:afterAutospacing="0" w:line="360" w:lineRule="auto"/>
        <w:ind w:firstLine="470" w:firstLineChars="196"/>
        <w:rPr>
          <w:rFonts w:hint="default" w:ascii="Times New Roman" w:hAnsi="Times New Roman"/>
        </w:rPr>
      </w:pPr>
    </w:p>
    <w:p w14:paraId="1D90F0E0">
      <w:pPr>
        <w:widowControl w:val="0"/>
        <w:adjustRightInd w:val="0"/>
        <w:snapToGrid w:val="0"/>
        <w:spacing w:line="360" w:lineRule="auto"/>
        <w:ind w:firstLine="480" w:firstLineChars="200"/>
      </w:pPr>
      <w:r>
        <w:t>3.总分计算（满分为100分）</w:t>
      </w:r>
    </w:p>
    <w:p w14:paraId="03EE0EE2">
      <w:pPr>
        <w:widowControl w:val="0"/>
        <w:adjustRightInd w:val="0"/>
        <w:snapToGrid w:val="0"/>
        <w:spacing w:line="360" w:lineRule="auto"/>
        <w:ind w:firstLine="480" w:firstLineChars="200"/>
      </w:pPr>
      <w:r>
        <w:t>投标人的最终得分=</w:t>
      </w:r>
      <w:r>
        <w:rPr>
          <w:rFonts w:hint="eastAsia"/>
        </w:rPr>
        <w:t>技术资信</w:t>
      </w:r>
      <w:r>
        <w:t>得分+价格得分</w:t>
      </w:r>
    </w:p>
    <w:p w14:paraId="740977FC">
      <w:pPr>
        <w:widowControl w:val="0"/>
        <w:adjustRightInd w:val="0"/>
        <w:snapToGrid w:val="0"/>
        <w:spacing w:line="360" w:lineRule="auto"/>
        <w:ind w:firstLine="435"/>
        <w:jc w:val="both"/>
        <w:rPr>
          <w:b/>
          <w:bCs/>
        </w:rPr>
      </w:pPr>
      <w:r>
        <w:rPr>
          <w:b/>
          <w:bCs/>
        </w:rPr>
        <w:t>三、评标程序</w:t>
      </w:r>
    </w:p>
    <w:p w14:paraId="05C714AB">
      <w:pPr>
        <w:pStyle w:val="26"/>
        <w:widowControl w:val="0"/>
        <w:snapToGrid w:val="0"/>
        <w:spacing w:before="0" w:beforeAutospacing="0" w:after="0" w:afterAutospacing="0" w:line="360" w:lineRule="auto"/>
        <w:ind w:firstLine="479" w:firstLineChars="199"/>
        <w:rPr>
          <w:rFonts w:ascii="Times New Roman" w:hAnsi="Times New Roman"/>
          <w:b/>
        </w:rPr>
      </w:pPr>
      <w:bookmarkStart w:id="63" w:name="_Toc39239708"/>
      <w:r>
        <w:rPr>
          <w:rFonts w:ascii="Times New Roman" w:hAnsi="Times New Roman"/>
          <w:b/>
        </w:rPr>
        <w:t>1.资格</w:t>
      </w:r>
      <w:r>
        <w:rPr>
          <w:rFonts w:hint="eastAsia" w:ascii="Times New Roman" w:hAnsi="Times New Roman"/>
          <w:b/>
        </w:rPr>
        <w:t>性</w:t>
      </w:r>
      <w:r>
        <w:rPr>
          <w:rFonts w:ascii="Times New Roman" w:hAnsi="Times New Roman"/>
          <w:b/>
        </w:rPr>
        <w:t>审查</w:t>
      </w:r>
      <w:r>
        <w:rPr>
          <w:rFonts w:hint="eastAsia" w:ascii="Times New Roman" w:hAnsi="Times New Roman"/>
          <w:b/>
        </w:rPr>
        <w:t>。</w:t>
      </w:r>
      <w:r>
        <w:rPr>
          <w:rFonts w:hint="eastAsia" w:cs="宋体"/>
          <w:color w:val="000000"/>
        </w:rPr>
        <w:t>采购人或者</w:t>
      </w:r>
      <w:r>
        <w:rPr>
          <w:rFonts w:ascii="Times New Roman" w:hAnsi="Times New Roman"/>
        </w:rPr>
        <w:t>代理机构</w:t>
      </w:r>
      <w:r>
        <w:rPr>
          <w:rFonts w:hint="eastAsia" w:cs="宋体"/>
          <w:color w:val="000000"/>
        </w:rPr>
        <w:t>对各投标人的资格进行审查，投标人资格条件不符合招标文件要求的投标无效，</w:t>
      </w:r>
      <w:r>
        <w:rPr>
          <w:rFonts w:hint="eastAsia" w:cs="宋体"/>
          <w:bCs/>
          <w:color w:val="000000"/>
        </w:rPr>
        <w:t>不再进入符合性审查。</w:t>
      </w:r>
      <w:r>
        <w:rPr>
          <w:rFonts w:ascii="Times New Roman" w:hAnsi="Times New Roman"/>
        </w:rPr>
        <w:t>合格供应商不足3家的，不再评审，项目作流标处理。</w:t>
      </w:r>
    </w:p>
    <w:p w14:paraId="65524F66">
      <w:pPr>
        <w:spacing w:line="360" w:lineRule="auto"/>
        <w:ind w:firstLine="472" w:firstLineChars="196"/>
      </w:pPr>
      <w:r>
        <w:rPr>
          <w:rFonts w:hint="eastAsia"/>
          <w:b/>
        </w:rPr>
        <w:t>2</w:t>
      </w:r>
      <w:r>
        <w:rPr>
          <w:b/>
        </w:rPr>
        <w:t>.符合性审查。</w:t>
      </w:r>
      <w:r>
        <w:t>评标委员会应当对符合资格的投标人的投标文件进行符合性审查，以确定其是否满足招标文件的实质性要求。不满足招标文件的实质性要求的，投标无效。</w:t>
      </w:r>
    </w:p>
    <w:p w14:paraId="692F7864">
      <w:pPr>
        <w:spacing w:line="360" w:lineRule="auto"/>
        <w:ind w:firstLine="472" w:firstLineChars="196"/>
      </w:pPr>
      <w:r>
        <w:rPr>
          <w:rFonts w:hint="eastAsia"/>
          <w:b/>
        </w:rPr>
        <w:t>3</w:t>
      </w:r>
      <w:r>
        <w:rPr>
          <w:b/>
        </w:rPr>
        <w:t>.比较与评价。</w:t>
      </w:r>
      <w:r>
        <w:t>评标委员会应当按照招标文件中规定的评标方法和标准，对符合性审查合格的投标文件进行技术资信评估，综合比较与评价。</w:t>
      </w:r>
    </w:p>
    <w:p w14:paraId="4A1B6183">
      <w:pPr>
        <w:widowControl w:val="0"/>
        <w:adjustRightInd w:val="0"/>
        <w:snapToGrid w:val="0"/>
        <w:spacing w:line="360" w:lineRule="auto"/>
        <w:ind w:firstLine="435"/>
        <w:jc w:val="both"/>
      </w:pPr>
      <w:r>
        <w:rPr>
          <w:rFonts w:hint="eastAsia"/>
          <w:b/>
          <w:bCs/>
        </w:rPr>
        <w:t>4</w:t>
      </w:r>
      <w:r>
        <w:rPr>
          <w:b/>
          <w:bCs/>
        </w:rPr>
        <w:t>.投标人澄清、说明或者补正。</w:t>
      </w:r>
      <w: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14:paraId="422D530D">
      <w:pPr>
        <w:spacing w:line="360" w:lineRule="auto"/>
        <w:ind w:firstLine="472" w:firstLineChars="196"/>
      </w:pPr>
      <w:r>
        <w:rPr>
          <w:rFonts w:hint="eastAsia"/>
          <w:b/>
        </w:rPr>
        <w:t>5</w:t>
      </w:r>
      <w:r>
        <w:rPr>
          <w:b/>
        </w:rPr>
        <w:t>.汇总技术资信得分。</w:t>
      </w:r>
      <w:r>
        <w:t>评标委员会各成员应当独立对每个投标人的技术资信文件进行评价，并汇总技术资信得分情况。</w:t>
      </w:r>
    </w:p>
    <w:p w14:paraId="14F99508">
      <w:pPr>
        <w:widowControl w:val="0"/>
        <w:adjustRightInd w:val="0"/>
        <w:snapToGrid w:val="0"/>
        <w:spacing w:line="360" w:lineRule="auto"/>
        <w:ind w:firstLine="435"/>
        <w:jc w:val="both"/>
        <w:rPr>
          <w:b/>
          <w:bCs/>
        </w:rPr>
      </w:pPr>
      <w:r>
        <w:rPr>
          <w:rFonts w:hint="eastAsia"/>
          <w:b/>
          <w:bCs/>
        </w:rPr>
        <w:t>6</w:t>
      </w:r>
      <w:r>
        <w:rPr>
          <w:b/>
          <w:bCs/>
        </w:rPr>
        <w:t>.错误修正</w:t>
      </w:r>
    </w:p>
    <w:p w14:paraId="6B5D734D">
      <w:pPr>
        <w:widowControl w:val="0"/>
        <w:adjustRightInd w:val="0"/>
        <w:snapToGrid w:val="0"/>
        <w:spacing w:line="360" w:lineRule="auto"/>
        <w:ind w:firstLine="435"/>
        <w:jc w:val="both"/>
      </w:pPr>
      <w:r>
        <w:t>报价文件如果出现计算或表达上的错误，修正错误的原则如下：</w:t>
      </w:r>
    </w:p>
    <w:p w14:paraId="2362CDD7">
      <w:pPr>
        <w:widowControl w:val="0"/>
        <w:adjustRightInd w:val="0"/>
        <w:snapToGrid w:val="0"/>
        <w:spacing w:line="360" w:lineRule="auto"/>
        <w:ind w:firstLine="435"/>
        <w:jc w:val="both"/>
      </w:pPr>
      <w:bookmarkStart w:id="64" w:name="_Hlk92876645"/>
      <w:r>
        <w:rPr>
          <w:rFonts w:hint="eastAsia"/>
        </w:rPr>
        <w:t>6</w:t>
      </w:r>
      <w:r>
        <w:t>.1电子交易平台中“开标一览表”与投标人上传报价文件中“开标一览表”不一致的，以投标人上传报价文件的“开标一览表”为准。</w:t>
      </w:r>
    </w:p>
    <w:p w14:paraId="09A5AD5F">
      <w:pPr>
        <w:widowControl w:val="0"/>
        <w:adjustRightInd w:val="0"/>
        <w:snapToGrid w:val="0"/>
        <w:spacing w:line="360" w:lineRule="auto"/>
        <w:ind w:firstLine="435"/>
        <w:jc w:val="both"/>
      </w:pPr>
      <w:r>
        <w:rPr>
          <w:rFonts w:hint="eastAsia"/>
        </w:rPr>
        <w:t>6</w:t>
      </w:r>
      <w:r>
        <w:t>.2投标文件中开标一览表（报价表）内容与投标文件中相应内容不一致的，以开标一览表（报价表）为准；</w:t>
      </w:r>
    </w:p>
    <w:p w14:paraId="243AB45B">
      <w:pPr>
        <w:widowControl w:val="0"/>
        <w:adjustRightInd w:val="0"/>
        <w:snapToGrid w:val="0"/>
        <w:spacing w:line="360" w:lineRule="auto"/>
        <w:ind w:firstLine="435"/>
        <w:jc w:val="both"/>
      </w:pPr>
      <w:r>
        <w:rPr>
          <w:rFonts w:hint="eastAsia"/>
        </w:rPr>
        <w:t>6</w:t>
      </w:r>
      <w:r>
        <w:t>.3大写金额和小写金额不一致的，以大写金额为准；</w:t>
      </w:r>
    </w:p>
    <w:p w14:paraId="26736E70">
      <w:pPr>
        <w:widowControl w:val="0"/>
        <w:adjustRightInd w:val="0"/>
        <w:snapToGrid w:val="0"/>
        <w:spacing w:line="360" w:lineRule="auto"/>
        <w:ind w:firstLine="435"/>
        <w:jc w:val="both"/>
      </w:pPr>
      <w:r>
        <w:rPr>
          <w:rFonts w:hint="eastAsia"/>
        </w:rPr>
        <w:t>6</w:t>
      </w:r>
      <w:r>
        <w:t>.4单价金额小数点或者百分比有明显错位的，以报价一览表的总价为准，并修改单价；</w:t>
      </w:r>
    </w:p>
    <w:p w14:paraId="7D05B832">
      <w:pPr>
        <w:widowControl w:val="0"/>
        <w:adjustRightInd w:val="0"/>
        <w:snapToGrid w:val="0"/>
        <w:spacing w:line="360" w:lineRule="auto"/>
        <w:ind w:firstLine="435"/>
        <w:jc w:val="both"/>
      </w:pPr>
      <w:r>
        <w:rPr>
          <w:rFonts w:hint="eastAsia"/>
        </w:rPr>
        <w:t>6</w:t>
      </w:r>
      <w:r>
        <w:t>.5总价金额与按单价汇总金额不一致的，以单价金额计算结果为准。</w:t>
      </w:r>
    </w:p>
    <w:bookmarkEnd w:id="64"/>
    <w:p w14:paraId="64158C56">
      <w:pPr>
        <w:pStyle w:val="93"/>
        <w:spacing w:before="0"/>
        <w:ind w:firstLine="482"/>
        <w:rPr>
          <w:b/>
          <w:bCs/>
        </w:rPr>
      </w:pPr>
      <w:r>
        <w:rPr>
          <w:b/>
          <w:bCs/>
        </w:rPr>
        <w:t>同时出现两种以上不一致的，按照顺序修正，修正后的报价按照财政部第87号令 《政府采购货物和服务招标投标管理办法》第五十一条第二款的规定经投标人确认后产生约束力。</w:t>
      </w:r>
    </w:p>
    <w:p w14:paraId="22D87141">
      <w:pPr>
        <w:widowControl w:val="0"/>
        <w:adjustRightInd w:val="0"/>
        <w:snapToGrid w:val="0"/>
        <w:spacing w:line="360" w:lineRule="auto"/>
        <w:ind w:firstLine="435"/>
        <w:jc w:val="both"/>
        <w:rPr>
          <w:kern w:val="2"/>
        </w:rPr>
      </w:pPr>
      <w:r>
        <w:rPr>
          <w:rFonts w:hint="eastAsia"/>
          <w:b/>
          <w:bCs/>
        </w:rPr>
        <w:t>7</w:t>
      </w:r>
      <w:r>
        <w:rPr>
          <w:b/>
          <w:bCs/>
        </w:rPr>
        <w:t>.</w:t>
      </w:r>
      <w:r>
        <w:rPr>
          <w:b/>
        </w:rPr>
        <w:t>排序与推荐。</w:t>
      </w:r>
      <w:r>
        <w:t>采用综合评分法的，评标结果按评审后得分由高到低顺序排列。如出现得分相同的，则按投标报价由低到高顺序排列；得分且投标报价相同的并列，</w:t>
      </w:r>
      <w:r>
        <w:rPr>
          <w:rFonts w:hint="eastAsia"/>
        </w:rPr>
        <w:t>由</w:t>
      </w:r>
      <w:r>
        <w:t>评标委员会采取抽签方式确定排序。</w:t>
      </w:r>
    </w:p>
    <w:p w14:paraId="5246A404">
      <w:pPr>
        <w:spacing w:line="360" w:lineRule="auto"/>
        <w:ind w:firstLine="472" w:firstLineChars="196"/>
      </w:pPr>
      <w:r>
        <w:rPr>
          <w:rFonts w:hint="eastAsia"/>
          <w:b/>
        </w:rPr>
        <w:t>8</w:t>
      </w:r>
      <w:r>
        <w:rPr>
          <w:b/>
        </w:rPr>
        <w:t>.编写评标报告。</w:t>
      </w:r>
      <w: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0E8FD5">
      <w:pPr>
        <w:widowControl w:val="0"/>
        <w:adjustRightInd w:val="0"/>
        <w:snapToGrid w:val="0"/>
        <w:spacing w:line="360" w:lineRule="auto"/>
        <w:ind w:firstLine="435"/>
        <w:jc w:val="both"/>
        <w:rPr>
          <w:b/>
          <w:bCs/>
        </w:rPr>
      </w:pPr>
      <w:r>
        <w:rPr>
          <w:rFonts w:hint="eastAsia"/>
          <w:b/>
          <w:bCs/>
        </w:rPr>
        <w:t>四、评审纪律和要求</w:t>
      </w:r>
    </w:p>
    <w:p w14:paraId="480C3C27">
      <w:pPr>
        <w:spacing w:line="360" w:lineRule="auto"/>
        <w:ind w:firstLine="480" w:firstLineChars="200"/>
      </w:pPr>
      <w:r>
        <w:t>1.评审专家必须公平、公正评审，遵纪守法，客观、廉洁地履行职责。</w:t>
      </w:r>
    </w:p>
    <w:p w14:paraId="46907734">
      <w:pPr>
        <w:spacing w:line="360" w:lineRule="auto"/>
        <w:ind w:firstLine="480" w:firstLineChars="200"/>
      </w:pPr>
      <w:r>
        <w:t>2.评审专家在评审开始前，应关闭并上交随身携带的各种通信工具。</w:t>
      </w:r>
    </w:p>
    <w:p w14:paraId="5A8B07F9">
      <w:pPr>
        <w:spacing w:line="360" w:lineRule="auto"/>
        <w:ind w:firstLine="480" w:firstLineChars="200"/>
      </w:pPr>
      <w:r>
        <w:t>3.评审专家在评审过程中，未经许可不得中途离开评审现场，不得迟到早退。</w:t>
      </w:r>
    </w:p>
    <w:p w14:paraId="0CD6BFF1">
      <w:pPr>
        <w:spacing w:line="360" w:lineRule="auto"/>
        <w:ind w:firstLine="480" w:firstLineChars="200"/>
      </w:pPr>
      <w:r>
        <w:t>4.评审专家和工作人员不得透露评审过程中的讨论情况和评审结果。</w:t>
      </w:r>
    </w:p>
    <w:p w14:paraId="5397D234">
      <w:pPr>
        <w:spacing w:line="360" w:lineRule="auto"/>
        <w:ind w:firstLine="480" w:firstLineChars="200"/>
      </w:pPr>
      <w: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D0A5AAC">
      <w:pPr>
        <w:spacing w:line="360" w:lineRule="auto"/>
        <w:ind w:firstLine="480" w:firstLineChars="200"/>
      </w:pPr>
      <w:r>
        <w:t>6.采购人、采购代理机构不得向评审委员会的评审专家作倾向性、误导性的解释或者说明。</w:t>
      </w:r>
    </w:p>
    <w:p w14:paraId="5069715A">
      <w:pPr>
        <w:spacing w:line="360" w:lineRule="auto"/>
        <w:ind w:firstLine="480" w:firstLineChars="200"/>
      </w:pPr>
      <w: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A852B60">
      <w:pPr>
        <w:spacing w:line="360" w:lineRule="auto"/>
        <w:ind w:firstLine="480" w:firstLineChars="200"/>
      </w:pPr>
      <w:r>
        <w:t>8.评审专家在评审过程中不得将自己的观点强加给其他评审专家，评审专家应自主发表见解，对评审意见承担个人责任。</w:t>
      </w:r>
    </w:p>
    <w:p w14:paraId="141C2E61">
      <w:pPr>
        <w:spacing w:line="360" w:lineRule="auto"/>
        <w:ind w:firstLine="480" w:firstLineChars="200"/>
      </w:pPr>
      <w: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7692A27">
      <w:pPr>
        <w:spacing w:line="360" w:lineRule="auto"/>
        <w:ind w:firstLine="480" w:firstLineChars="200"/>
      </w:pPr>
      <w:r>
        <w:t>10.评审专家应当独立、客观、公正地提出评审意见，不得带有倾向性，不得影响其他评审专家评审，并在评审报告上签字；如对评审报告有异议的，可在报告上签署不同意见，并说明理由，否则将视为同意。</w:t>
      </w:r>
    </w:p>
    <w:p w14:paraId="735DAACA">
      <w:pPr>
        <w:spacing w:line="360" w:lineRule="auto"/>
        <w:ind w:firstLine="480" w:firstLineChars="200"/>
      </w:pPr>
      <w:r>
        <w:t>11.评审专家应当遵守评审工作纪律，不得泄露评审文件、评审情况和评审中获悉的商业秘密。</w:t>
      </w:r>
    </w:p>
    <w:p w14:paraId="7122E4AD">
      <w:pPr>
        <w:spacing w:line="360" w:lineRule="auto"/>
        <w:ind w:firstLine="480" w:firstLineChars="200"/>
      </w:pPr>
      <w:r>
        <w:t>评审委员会在评审过程中发现投标人有行贿、提供虚假材料或者串通等违法行为的，应当及时向财政部门报告。</w:t>
      </w:r>
    </w:p>
    <w:p w14:paraId="3CFD4116">
      <w:pPr>
        <w:spacing w:line="360" w:lineRule="auto"/>
        <w:ind w:firstLine="480" w:firstLineChars="200"/>
      </w:pPr>
      <w:r>
        <w:t>12.招标文件内容违反国家有关强制性规定的，评审委员会应当停止评审并向采购代理机构说明情况。</w:t>
      </w:r>
    </w:p>
    <w:p w14:paraId="5C41605C">
      <w:pPr>
        <w:spacing w:line="360" w:lineRule="auto"/>
        <w:ind w:firstLine="480" w:firstLineChars="200"/>
      </w:pPr>
      <w:r>
        <w:t>13.评审专家应当配合采购代理机构答复投标人提出的质疑。</w:t>
      </w:r>
    </w:p>
    <w:p w14:paraId="24357917">
      <w:pPr>
        <w:spacing w:line="360" w:lineRule="auto"/>
        <w:ind w:firstLine="480" w:firstLineChars="200"/>
      </w:pPr>
      <w:r>
        <w:t>14.评审专家应当配合财政部门的投诉处理工作。</w:t>
      </w:r>
    </w:p>
    <w:p w14:paraId="764825DF">
      <w:pPr>
        <w:spacing w:line="360" w:lineRule="auto"/>
        <w:ind w:firstLine="480" w:firstLineChars="200"/>
      </w:pPr>
      <w:r>
        <w:t>15.评审专家有如下行为之一的，责令改正，给予警告，可以并处一千元以下的罚款：</w:t>
      </w:r>
    </w:p>
    <w:p w14:paraId="78A189F9">
      <w:pPr>
        <w:spacing w:line="360" w:lineRule="auto"/>
        <w:ind w:firstLine="480" w:firstLineChars="200"/>
      </w:pPr>
      <w:r>
        <w:rPr>
          <w:rFonts w:hint="eastAsia" w:ascii="宋体" w:hAnsi="宋体" w:cs="宋体"/>
        </w:rPr>
        <w:t>①</w:t>
      </w:r>
      <w:r>
        <w:t>明知应当回避而未主动回避的；</w:t>
      </w:r>
    </w:p>
    <w:p w14:paraId="3D1F7399">
      <w:pPr>
        <w:spacing w:line="360" w:lineRule="auto"/>
        <w:ind w:firstLine="480" w:firstLineChars="200"/>
      </w:pPr>
      <w:r>
        <w:rPr>
          <w:rFonts w:hint="eastAsia" w:ascii="宋体" w:hAnsi="宋体" w:cs="宋体"/>
        </w:rPr>
        <w:t>②</w:t>
      </w:r>
      <w:r>
        <w:t>在得知自己为评审专家身份后至评审结束前时段内私下接触投标人的；</w:t>
      </w:r>
    </w:p>
    <w:p w14:paraId="656DFAF3">
      <w:pPr>
        <w:spacing w:line="360" w:lineRule="auto"/>
        <w:ind w:firstLine="480" w:firstLineChars="200"/>
      </w:pPr>
      <w:r>
        <w:rPr>
          <w:rFonts w:hint="eastAsia" w:ascii="宋体" w:hAnsi="宋体" w:cs="宋体"/>
        </w:rPr>
        <w:t>③</w:t>
      </w:r>
      <w:r>
        <w:t>在评审过程中擅离职守，影响评审程序正常进行的；</w:t>
      </w:r>
    </w:p>
    <w:p w14:paraId="269AB78B">
      <w:pPr>
        <w:spacing w:line="360" w:lineRule="auto"/>
        <w:ind w:firstLine="480" w:firstLineChars="200"/>
      </w:pPr>
      <w:r>
        <w:rPr>
          <w:rFonts w:hint="eastAsia" w:ascii="宋体" w:hAnsi="宋体" w:cs="宋体"/>
        </w:rPr>
        <w:t>④</w:t>
      </w:r>
      <w:r>
        <w:t>在评审过程有明显不合理或者不正当倾向性的；</w:t>
      </w:r>
    </w:p>
    <w:p w14:paraId="5778010D">
      <w:pPr>
        <w:spacing w:line="360" w:lineRule="auto"/>
        <w:ind w:firstLine="480" w:firstLineChars="200"/>
      </w:pPr>
      <w:r>
        <w:rPr>
          <w:rFonts w:hint="eastAsia" w:ascii="宋体" w:hAnsi="宋体" w:cs="宋体"/>
        </w:rPr>
        <w:t>⑤</w:t>
      </w:r>
      <w:r>
        <w:t>未按招标文件规定的评审方法和标准进行评审的。</w:t>
      </w:r>
    </w:p>
    <w:p w14:paraId="5CF9D8D1">
      <w:pPr>
        <w:spacing w:line="360" w:lineRule="auto"/>
        <w:ind w:firstLine="480" w:firstLineChars="200"/>
      </w:pPr>
      <w:r>
        <w:rPr>
          <w:rFonts w:hint="eastAsia" w:ascii="宋体" w:hAnsi="宋体" w:cs="宋体"/>
        </w:rPr>
        <w:t>⑥</w:t>
      </w:r>
      <w:r>
        <w:t>上述</w:t>
      </w:r>
      <w:r>
        <w:rPr>
          <w:rFonts w:hint="eastAsia" w:ascii="宋体" w:hAnsi="宋体" w:cs="宋体"/>
        </w:rPr>
        <w:t>①</w:t>
      </w:r>
      <w:r>
        <w:t>至</w:t>
      </w:r>
      <w:r>
        <w:rPr>
          <w:rFonts w:hint="eastAsia" w:ascii="宋体" w:hAnsi="宋体" w:cs="宋体"/>
        </w:rPr>
        <w:t>⑤</w:t>
      </w:r>
      <w:r>
        <w:t>行为影响中标结果的，中标结果无效。</w:t>
      </w:r>
    </w:p>
    <w:p w14:paraId="7FA0BCD7">
      <w:pPr>
        <w:spacing w:line="360" w:lineRule="auto"/>
        <w:ind w:firstLine="480" w:firstLineChars="200"/>
      </w:pPr>
      <w: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F5A4464">
      <w:pPr>
        <w:spacing w:line="360" w:lineRule="auto"/>
        <w:ind w:firstLine="480" w:firstLineChars="200"/>
      </w:pPr>
      <w:r>
        <w:t>政府采购评审专家与投标人存在利害关系未回避的，处2万元以上5万元以下的罚款，禁止其参加政府采购评审活动。</w:t>
      </w:r>
    </w:p>
    <w:p w14:paraId="3B95B14F">
      <w:pPr>
        <w:spacing w:line="360" w:lineRule="auto"/>
        <w:ind w:firstLine="480" w:firstLineChars="200"/>
      </w:pPr>
      <w:r>
        <w:t>政府采购评审专家收受采购人、采购代理机构、投标人贿赂或者获取其他不正当利益，构成犯罪的，依法追究刑事责任；尚不构成犯罪的，处2万元以上5万元以下的罚款，禁止其参加政府采购评审活动。</w:t>
      </w:r>
    </w:p>
    <w:p w14:paraId="205A44FC">
      <w:pPr>
        <w:spacing w:line="360" w:lineRule="auto"/>
        <w:ind w:firstLine="480" w:firstLineChars="200"/>
      </w:pPr>
      <w:r>
        <w:t>政府采购评审专家有上述违法行为的，其评审意见无效，不得获取评审费；有违法所得的，没收违法所得；给他人造成损失的，依法承担民事责任。</w:t>
      </w:r>
    </w:p>
    <w:p w14:paraId="3624E318">
      <w:pPr>
        <w:spacing w:line="360" w:lineRule="auto"/>
        <w:ind w:firstLine="480" w:firstLineChars="200"/>
      </w:pPr>
    </w:p>
    <w:p w14:paraId="79427A6F">
      <w:pPr>
        <w:spacing w:line="360" w:lineRule="auto"/>
        <w:ind w:firstLine="480" w:firstLineChars="200"/>
        <w:sectPr>
          <w:pgSz w:w="11906" w:h="16838"/>
          <w:pgMar w:top="1259" w:right="1287" w:bottom="1361" w:left="1622" w:header="709" w:footer="971" w:gutter="0"/>
          <w:cols w:space="720" w:num="1"/>
          <w:docGrid w:linePitch="360" w:charSpace="0"/>
        </w:sectPr>
      </w:pPr>
    </w:p>
    <w:p w14:paraId="40BE755B">
      <w:pPr>
        <w:pStyle w:val="6"/>
        <w:spacing w:before="120" w:after="240" w:line="240" w:lineRule="auto"/>
        <w:jc w:val="center"/>
        <w:rPr>
          <w:rFonts w:hint="eastAsia" w:ascii="宋体" w:hAnsi="宋体"/>
        </w:rPr>
      </w:pPr>
      <w:bookmarkStart w:id="65" w:name="_Toc93668164"/>
      <w:r>
        <w:rPr>
          <w:rFonts w:ascii="宋体" w:hAnsi="宋体"/>
        </w:rPr>
        <w:t xml:space="preserve">第六章  </w:t>
      </w:r>
      <w:bookmarkEnd w:id="63"/>
      <w:bookmarkStart w:id="66" w:name="_Toc39239709"/>
      <w:r>
        <w:rPr>
          <w:rFonts w:ascii="宋体" w:hAnsi="宋体"/>
        </w:rPr>
        <w:t>合同</w:t>
      </w:r>
      <w:r>
        <w:rPr>
          <w:rFonts w:hint="eastAsia" w:ascii="宋体" w:hAnsi="宋体"/>
        </w:rPr>
        <w:t>范本</w:t>
      </w:r>
      <w:bookmarkEnd w:id="65"/>
    </w:p>
    <w:p w14:paraId="2B704718">
      <w:pPr>
        <w:widowControl w:val="0"/>
        <w:adjustRightInd w:val="0"/>
        <w:snapToGrid w:val="0"/>
        <w:spacing w:after="60" w:line="360" w:lineRule="auto"/>
        <w:rPr>
          <w:rFonts w:hint="eastAsia" w:ascii="宋体" w:hAnsi="宋体"/>
          <w:b/>
          <w:color w:val="000000"/>
          <w:szCs w:val="22"/>
        </w:rPr>
      </w:pPr>
      <w:r>
        <w:rPr>
          <w:rFonts w:hint="eastAsia" w:ascii="宋体" w:hAnsi="宋体"/>
          <w:b/>
          <w:color w:val="000000"/>
          <w:szCs w:val="22"/>
        </w:rPr>
        <w:t>本合同为样稿，最终稿由甲乙双方协商后确定，但不允许偏离招投标文件。中标人须将合同电子版交由采购代理机构审核（邮件发送至j</w:t>
      </w:r>
      <w:r>
        <w:rPr>
          <w:rFonts w:ascii="宋体" w:hAnsi="宋体"/>
          <w:b/>
          <w:color w:val="000000"/>
          <w:szCs w:val="22"/>
        </w:rPr>
        <w:t>hygzbht@qq.com</w:t>
      </w:r>
      <w:r>
        <w:rPr>
          <w:rFonts w:hint="eastAsia" w:ascii="宋体" w:hAnsi="宋体"/>
          <w:b/>
          <w:color w:val="000000"/>
          <w:szCs w:val="22"/>
        </w:rPr>
        <w:t>），审核后的合同经甲乙双方盖章签字后送至采购代理机构盖章备案。</w:t>
      </w:r>
    </w:p>
    <w:p w14:paraId="0B912E15">
      <w:pPr>
        <w:widowControl w:val="0"/>
        <w:adjustRightInd w:val="0"/>
        <w:snapToGrid w:val="0"/>
        <w:spacing w:after="60" w:line="360" w:lineRule="auto"/>
        <w:jc w:val="center"/>
        <w:rPr>
          <w:rFonts w:hint="eastAsia" w:ascii="宋体" w:hAnsi="宋体"/>
          <w:b/>
          <w:sz w:val="36"/>
        </w:rPr>
      </w:pPr>
      <w:bookmarkStart w:id="67" w:name="_Hlk194577128"/>
      <w:r>
        <w:rPr>
          <w:rFonts w:hint="eastAsia" w:ascii="宋体" w:hAnsi="宋体"/>
          <w:b/>
          <w:sz w:val="36"/>
        </w:rPr>
        <w:t>XXX项目服务合同</w:t>
      </w:r>
    </w:p>
    <w:p w14:paraId="3254155C">
      <w:pPr>
        <w:widowControl w:val="0"/>
        <w:adjustRightInd w:val="0"/>
        <w:snapToGrid w:val="0"/>
        <w:spacing w:line="360" w:lineRule="auto"/>
        <w:rPr>
          <w:color w:val="000000"/>
        </w:rPr>
      </w:pPr>
    </w:p>
    <w:p w14:paraId="1E0C37C5">
      <w:pPr>
        <w:widowControl w:val="0"/>
        <w:adjustRightInd w:val="0"/>
        <w:snapToGrid w:val="0"/>
        <w:spacing w:after="60" w:line="360" w:lineRule="auto"/>
        <w:ind w:firstLine="480" w:firstLineChars="200"/>
        <w:rPr>
          <w:color w:val="000000"/>
        </w:rPr>
      </w:pPr>
      <w:r>
        <w:rPr>
          <w:color w:val="000000"/>
        </w:rPr>
        <w:t xml:space="preserve">项目名称： </w:t>
      </w:r>
      <w:r>
        <w:rPr>
          <w:rFonts w:hint="eastAsia"/>
        </w:rPr>
        <w:t>金华市中心医院、金华市妇幼保健院减重医用食品配送项目</w:t>
      </w:r>
      <w:r>
        <w:rPr>
          <w:color w:val="000000"/>
        </w:rPr>
        <w:t xml:space="preserve">                                     </w:t>
      </w:r>
    </w:p>
    <w:p w14:paraId="6F035B68">
      <w:pPr>
        <w:widowControl w:val="0"/>
        <w:adjustRightInd w:val="0"/>
        <w:snapToGrid w:val="0"/>
        <w:spacing w:after="60" w:line="360" w:lineRule="auto"/>
        <w:ind w:firstLine="480" w:firstLineChars="200"/>
        <w:rPr>
          <w:color w:val="000000"/>
        </w:rPr>
      </w:pPr>
      <w:r>
        <w:rPr>
          <w:color w:val="000000"/>
        </w:rPr>
        <w:t>项目编号：</w:t>
      </w:r>
    </w:p>
    <w:p w14:paraId="54310BA2">
      <w:pPr>
        <w:widowControl w:val="0"/>
        <w:adjustRightInd w:val="0"/>
        <w:snapToGrid w:val="0"/>
        <w:spacing w:after="60" w:line="360" w:lineRule="auto"/>
        <w:ind w:firstLine="480" w:firstLineChars="200"/>
        <w:rPr>
          <w:color w:val="000000"/>
        </w:rPr>
      </w:pPr>
      <w:r>
        <w:rPr>
          <w:color w:val="000000"/>
        </w:rPr>
        <w:t>甲方：（采购人）</w:t>
      </w:r>
    </w:p>
    <w:p w14:paraId="51F47BDD">
      <w:pPr>
        <w:widowControl w:val="0"/>
        <w:adjustRightInd w:val="0"/>
        <w:snapToGrid w:val="0"/>
        <w:spacing w:after="60" w:line="360" w:lineRule="auto"/>
        <w:ind w:firstLine="480" w:firstLineChars="200"/>
        <w:rPr>
          <w:color w:val="000000"/>
        </w:rPr>
      </w:pPr>
      <w:r>
        <w:rPr>
          <w:color w:val="000000"/>
        </w:rPr>
        <w:t>乙方：（中标人）</w:t>
      </w:r>
    </w:p>
    <w:p w14:paraId="2E9AD6E9">
      <w:pPr>
        <w:widowControl w:val="0"/>
        <w:adjustRightInd w:val="0"/>
        <w:snapToGrid w:val="0"/>
        <w:spacing w:line="360" w:lineRule="auto"/>
        <w:ind w:firstLine="480" w:firstLineChars="200"/>
      </w:pPr>
      <w:r>
        <w:t>甲方以</w:t>
      </w:r>
      <w:r>
        <w:rPr>
          <w:u w:val="single"/>
        </w:rPr>
        <w:t xml:space="preserve">         </w:t>
      </w:r>
      <w:r>
        <w:t>的方式确定乙方为</w:t>
      </w:r>
      <w:r>
        <w:rPr>
          <w:u w:val="single"/>
        </w:rPr>
        <w:t xml:space="preserve">                                  </w:t>
      </w:r>
      <w:r>
        <w:t>项目的中标人，</w:t>
      </w:r>
      <w:r>
        <w:rPr>
          <w:lang w:val="zh-CN"/>
        </w:rPr>
        <w:t>根据《中华人民共和国民法典》《中华人民共和国政府采购法》等相关法律法规之规定，按照平等、自愿、公平和诚实信用的原则，经</w:t>
      </w:r>
      <w:r>
        <w:rPr>
          <w:u w:val="single"/>
        </w:rPr>
        <w:t xml:space="preserve">   </w:t>
      </w:r>
      <w:r>
        <w:rPr>
          <w:color w:val="0000FF"/>
          <w:u w:val="single"/>
        </w:rPr>
        <w:t xml:space="preserve">（采购人） </w:t>
      </w:r>
      <w:r>
        <w:rPr>
          <w:u w:val="single"/>
        </w:rPr>
        <w:t xml:space="preserve">  </w:t>
      </w:r>
      <w:r>
        <w:rPr>
          <w:lang w:val="zh-CN"/>
        </w:rPr>
        <w:t>(以下简称：甲方)和</w:t>
      </w:r>
      <w:r>
        <w:rPr>
          <w:u w:val="single"/>
        </w:rPr>
        <w:t xml:space="preserve">   （中或者成交标供应商名称）   </w:t>
      </w:r>
      <w:r>
        <w:rPr>
          <w:lang w:val="zh-CN"/>
        </w:rPr>
        <w:t>(以下简称：乙方)协商一致，约定以下合同</w:t>
      </w:r>
      <w:r>
        <w:t>条款，以兹共同遵守、全面履行。</w:t>
      </w:r>
    </w:p>
    <w:p w14:paraId="16280311">
      <w:pPr>
        <w:widowControl w:val="0"/>
        <w:spacing w:line="360" w:lineRule="auto"/>
        <w:ind w:firstLine="537" w:firstLineChars="224"/>
        <w:jc w:val="both"/>
        <w:rPr>
          <w:bCs/>
        </w:rPr>
      </w:pPr>
      <w:r>
        <w:t>一、</w:t>
      </w:r>
      <w:r>
        <w:rPr>
          <w:rFonts w:hint="eastAsia"/>
        </w:rPr>
        <w:t>配送内容</w:t>
      </w:r>
      <w:r>
        <w:t>：</w:t>
      </w:r>
      <w:r>
        <w:rPr>
          <w:rFonts w:hint="eastAsia"/>
        </w:rPr>
        <w:t>（附清单）</w:t>
      </w:r>
    </w:p>
    <w:p w14:paraId="4F6B6763">
      <w:pPr>
        <w:spacing w:line="360" w:lineRule="auto"/>
        <w:ind w:firstLine="480" w:firstLineChars="200"/>
      </w:pPr>
      <w:r>
        <w:rPr>
          <w:rFonts w:hint="eastAsia"/>
        </w:rPr>
        <w:t>二</w:t>
      </w:r>
      <w:r>
        <w:t>、合同金额：</w:t>
      </w:r>
    </w:p>
    <w:p w14:paraId="4C028DC4">
      <w:pPr>
        <w:spacing w:line="360" w:lineRule="auto"/>
        <w:ind w:firstLine="480" w:firstLineChars="200"/>
        <w:outlineLvl w:val="0"/>
      </w:pPr>
      <w:r>
        <w:rPr>
          <w:rFonts w:hint="eastAsia"/>
        </w:rPr>
        <w:t>三</w:t>
      </w:r>
      <w:r>
        <w:t>、</w:t>
      </w:r>
      <w:r>
        <w:rPr>
          <w:rFonts w:hint="eastAsia"/>
        </w:rPr>
        <w:t>服务时间与地点</w:t>
      </w:r>
    </w:p>
    <w:p w14:paraId="2124CB88">
      <w:pPr>
        <w:widowControl w:val="0"/>
        <w:spacing w:line="360" w:lineRule="auto"/>
        <w:ind w:firstLine="480" w:firstLineChars="200"/>
        <w:rPr>
          <w:rFonts w:hint="eastAsia"/>
        </w:rPr>
      </w:pPr>
      <w:r>
        <w:t>1.</w:t>
      </w:r>
      <w:r>
        <w:rPr>
          <w:rFonts w:hint="eastAsia"/>
        </w:rPr>
        <w:t>服务时间：服务期一年或实际发生金额达到各院区项目预算金额，合同终止，以先到者为准。如履约情况良好，经双方同意，合同可以续签，一年一签，最多可续签2次。</w:t>
      </w:r>
    </w:p>
    <w:p w14:paraId="19FBF295">
      <w:pPr>
        <w:spacing w:line="360" w:lineRule="auto"/>
        <w:ind w:firstLine="480" w:firstLineChars="200"/>
        <w:rPr>
          <w:rFonts w:hint="eastAsia" w:ascii="宋体" w:hAnsi="宋体"/>
        </w:rPr>
      </w:pPr>
      <w:r>
        <w:rPr>
          <w:rFonts w:ascii="宋体" w:hAnsi="宋体"/>
        </w:rPr>
        <w:t>2.服务</w:t>
      </w:r>
      <w:r>
        <w:rPr>
          <w:rFonts w:hint="eastAsia" w:ascii="宋体" w:hAnsi="宋体"/>
        </w:rPr>
        <w:t>地点</w:t>
      </w:r>
      <w:r>
        <w:rPr>
          <w:rFonts w:ascii="宋体" w:hAnsi="宋体"/>
        </w:rPr>
        <w:t>：</w:t>
      </w:r>
      <w:r>
        <w:rPr>
          <w:rFonts w:hint="eastAsia" w:ascii="宋体" w:hAnsi="宋体"/>
        </w:rPr>
        <w:t>甲方指定地点</w:t>
      </w:r>
    </w:p>
    <w:p w14:paraId="397139D8">
      <w:pPr>
        <w:spacing w:line="360" w:lineRule="auto"/>
        <w:ind w:firstLine="480" w:firstLineChars="200"/>
        <w:rPr>
          <w:rFonts w:hint="eastAsia" w:ascii="宋体" w:hAnsi="宋体"/>
        </w:rPr>
      </w:pPr>
      <w:r>
        <w:rPr>
          <w:rFonts w:hint="eastAsia" w:ascii="宋体" w:hAnsi="宋体"/>
        </w:rPr>
        <w:t>四、供货要求</w:t>
      </w:r>
    </w:p>
    <w:p w14:paraId="0BAD9D5F">
      <w:pPr>
        <w:widowControl w:val="0"/>
        <w:spacing w:line="360" w:lineRule="auto"/>
        <w:ind w:firstLine="480" w:firstLineChars="200"/>
      </w:pPr>
      <w:r>
        <w:rPr>
          <w:rFonts w:hint="eastAsia"/>
        </w:rPr>
        <w:t>（一）配送要求：按甲方需要的种类和数量送到指定地点，并按甲方要求做好配送产品的预处理工作，不得延迟。对甲方的紧急供货要求，需随订随送，乙方按甲方要求供货。乙方接到甲方下达订单后3个工作日内供货完毕。</w:t>
      </w:r>
    </w:p>
    <w:p w14:paraId="652DFEFA">
      <w:pPr>
        <w:widowControl w:val="0"/>
        <w:spacing w:line="360" w:lineRule="auto"/>
        <w:ind w:firstLine="480" w:firstLineChars="200"/>
      </w:pPr>
      <w:r>
        <w:rPr>
          <w:rFonts w:hint="eastAsia"/>
        </w:rPr>
        <w:t>（二）</w:t>
      </w:r>
      <w:r>
        <w:t>运输</w:t>
      </w:r>
      <w:r>
        <w:rPr>
          <w:rFonts w:hint="eastAsia"/>
        </w:rPr>
        <w:t>要求：要求具备运输本次采购物资所必须的运输车辆。</w:t>
      </w:r>
      <w:r>
        <w:t>运输工具应清洁卫生无污染</w:t>
      </w:r>
      <w:r>
        <w:rPr>
          <w:rFonts w:hint="eastAsia"/>
        </w:rPr>
        <w:t>，食品运输必须采用符合卫生标准的外包装和运载工具，并且要保持清洁和定期消毒。特殊产品须冷藏要求的运输必须由冷链车进行运送。运输车厢的内仓，包括地面、墙面和顶，应使用抗腐蚀、防潮，易清洁消毒的材料。车厢内无不良气味、异味</w:t>
      </w:r>
      <w:r>
        <w:t>；运输途中严防日晒、雨淋，注意通风散热。</w:t>
      </w:r>
      <w:r>
        <w:rPr>
          <w:rFonts w:hint="eastAsia"/>
        </w:rPr>
        <w:t>食品堆放科学合理，避免造成食品的交叉污染；如对温度有要求的食品应确定食品的温度，记录送货车辆温度，并记录存档。</w:t>
      </w:r>
    </w:p>
    <w:p w14:paraId="5AFE1F6E">
      <w:pPr>
        <w:widowControl w:val="0"/>
        <w:spacing w:line="360" w:lineRule="auto"/>
        <w:ind w:firstLine="480" w:firstLineChars="200"/>
      </w:pPr>
      <w:r>
        <w:rPr>
          <w:rFonts w:hint="eastAsia"/>
        </w:rPr>
        <w:t>（三）运送人员要求：乙方需具备固定配送服务人员。</w:t>
      </w:r>
    </w:p>
    <w:p w14:paraId="65B7F9EE">
      <w:pPr>
        <w:spacing w:line="360" w:lineRule="auto"/>
        <w:ind w:firstLine="480" w:firstLineChars="200"/>
        <w:rPr>
          <w:rFonts w:hint="eastAsia" w:ascii="宋体" w:hAnsi="宋体"/>
        </w:rPr>
      </w:pPr>
      <w:r>
        <w:rPr>
          <w:rFonts w:hint="eastAsia"/>
        </w:rPr>
        <w:t>（四）</w:t>
      </w:r>
      <w:r>
        <w:t>数量要求</w:t>
      </w:r>
      <w:r>
        <w:rPr>
          <w:rFonts w:hint="eastAsia"/>
        </w:rPr>
        <w:t>：</w:t>
      </w:r>
      <w:r>
        <w:t>保证配送</w:t>
      </w:r>
      <w:r>
        <w:rPr>
          <w:rFonts w:hint="eastAsia"/>
        </w:rPr>
        <w:t>产品</w:t>
      </w:r>
      <w:r>
        <w:t>数量的准确性</w:t>
      </w:r>
      <w:r>
        <w:rPr>
          <w:rFonts w:hint="eastAsia"/>
        </w:rPr>
        <w:t>，</w:t>
      </w:r>
      <w:r>
        <w:t>以</w:t>
      </w:r>
      <w:r>
        <w:rPr>
          <w:rFonts w:hint="eastAsia"/>
        </w:rPr>
        <w:t>甲方</w:t>
      </w:r>
      <w:r>
        <w:t>的验货数量为准</w:t>
      </w:r>
      <w:r>
        <w:rPr>
          <w:rFonts w:hint="eastAsia"/>
        </w:rPr>
        <w:t>，乙方</w:t>
      </w:r>
      <w:r>
        <w:t>每次随货送上一式两份的送货清单</w:t>
      </w:r>
      <w:r>
        <w:rPr>
          <w:rFonts w:hint="eastAsia"/>
        </w:rPr>
        <w:t>，</w:t>
      </w:r>
      <w:r>
        <w:t>供双方验货后签字确认</w:t>
      </w:r>
      <w:r>
        <w:rPr>
          <w:rFonts w:hint="eastAsia"/>
        </w:rPr>
        <w:t>，</w:t>
      </w:r>
      <w:r>
        <w:t>双方各持一份</w:t>
      </w:r>
      <w:r>
        <w:rPr>
          <w:rFonts w:hint="eastAsia"/>
        </w:rPr>
        <w:t>，</w:t>
      </w:r>
      <w:r>
        <w:t>作为送、收货的凭证</w:t>
      </w:r>
      <w:r>
        <w:rPr>
          <w:rFonts w:hint="eastAsia"/>
        </w:rPr>
        <w:t>。</w:t>
      </w:r>
    </w:p>
    <w:p w14:paraId="4A2A6652">
      <w:pPr>
        <w:widowControl w:val="0"/>
        <w:spacing w:line="360" w:lineRule="auto"/>
        <w:ind w:firstLine="480" w:firstLineChars="200"/>
      </w:pPr>
      <w:r>
        <w:rPr>
          <w:rFonts w:hint="eastAsia"/>
        </w:rPr>
        <w:t>（五）乙方每次根据甲方的通知订购品种和数量后，具体送货时间由甲方通知时确定。甲方食品具体需求量以实际供应前一天通知为准。</w:t>
      </w:r>
    </w:p>
    <w:p w14:paraId="18DE7050">
      <w:pPr>
        <w:widowControl w:val="0"/>
        <w:spacing w:line="360" w:lineRule="auto"/>
        <w:ind w:firstLine="480" w:firstLineChars="200"/>
      </w:pPr>
      <w:r>
        <w:rPr>
          <w:rFonts w:hint="eastAsia"/>
        </w:rPr>
        <w:t>（六）包装与标志要求：容器(框、箱、袋)要求清洁、干燥、牢固、透气，无污染、无异味、无霉变现象。产品包装符合现行国家预包装食品营养标签通则（GB28050）。</w:t>
      </w:r>
    </w:p>
    <w:p w14:paraId="31A1D397">
      <w:pPr>
        <w:widowControl w:val="0"/>
        <w:spacing w:line="360" w:lineRule="auto"/>
        <w:ind w:firstLine="480" w:firstLineChars="200"/>
      </w:pPr>
      <w:r>
        <w:rPr>
          <w:rFonts w:hint="eastAsia"/>
        </w:rPr>
        <w:t>（七）产品有效期：所供产品的剩余有效期不得少于生产厂商标注效期的三分之二时间。</w:t>
      </w:r>
    </w:p>
    <w:p w14:paraId="69EFEEF8">
      <w:pPr>
        <w:widowControl w:val="0"/>
        <w:spacing w:line="360" w:lineRule="auto"/>
        <w:ind w:firstLine="480" w:firstLineChars="200"/>
      </w:pPr>
      <w:r>
        <w:rPr>
          <w:rFonts w:hint="eastAsia"/>
        </w:rPr>
        <w:t>（八）存储要求：要求具有独立且符合要求的场所，各类设备、环境布局以及卫生应符合相关要求，卫生状况良好、布局合理及具备配套的设施。</w:t>
      </w:r>
    </w:p>
    <w:p w14:paraId="2DB32314">
      <w:pPr>
        <w:widowControl w:val="0"/>
        <w:spacing w:line="360" w:lineRule="auto"/>
        <w:ind w:firstLine="480" w:firstLineChars="200"/>
      </w:pPr>
      <w:r>
        <w:rPr>
          <w:rFonts w:hint="eastAsia"/>
        </w:rPr>
        <w:t>（九）乙方需提供突发事件（天气、交通、重大事件等因素）时的应急预案。</w:t>
      </w:r>
    </w:p>
    <w:p w14:paraId="2C5A716F">
      <w:pPr>
        <w:spacing w:line="360" w:lineRule="auto"/>
        <w:rPr>
          <w:rFonts w:hint="eastAsia"/>
        </w:rPr>
      </w:pPr>
      <w:r>
        <w:rPr>
          <w:rFonts w:hint="eastAsia"/>
        </w:rPr>
        <w:t>（九）乙方除不可抗力，不得因其他任何理由延迟送货；甲方如遇特殊情况需推迟送货，应提前通知乙方。每次供货因乙方原因延误交货日期的（甲方要求推迟的除外），按400元/次从待付货款中扣除。</w:t>
      </w:r>
    </w:p>
    <w:p w14:paraId="0DCD4266">
      <w:pPr>
        <w:widowControl w:val="0"/>
        <w:spacing w:line="360" w:lineRule="auto"/>
        <w:ind w:firstLine="480" w:firstLineChars="200"/>
      </w:pPr>
      <w:r>
        <w:rPr>
          <w:rFonts w:hint="eastAsia"/>
        </w:rPr>
        <w:t>（十）乙方不得变更供应产品，应严格按采购要求（含商标、名称、产地、规格和重量等）供应，否则，甲方有权拒收；如因市场流通问题确实需要变更的，应书面向甲方申请。</w:t>
      </w:r>
    </w:p>
    <w:p w14:paraId="1E87A953">
      <w:pPr>
        <w:widowControl w:val="0"/>
        <w:spacing w:line="360" w:lineRule="auto"/>
        <w:ind w:firstLine="480" w:firstLineChars="200"/>
      </w:pPr>
      <w:r>
        <w:rPr>
          <w:rFonts w:hint="eastAsia"/>
        </w:rPr>
        <w:t>（十一）乙方对甲方常用产品应有一定的储备。</w:t>
      </w:r>
    </w:p>
    <w:p w14:paraId="23A50CFC">
      <w:pPr>
        <w:widowControl w:val="0"/>
        <w:spacing w:line="360" w:lineRule="auto"/>
        <w:ind w:firstLine="480" w:firstLineChars="200"/>
        <w:rPr>
          <w:rFonts w:hint="eastAsia" w:ascii="宋体" w:hAnsi="宋体"/>
        </w:rPr>
      </w:pPr>
      <w:r>
        <w:rPr>
          <w:rFonts w:hint="eastAsia" w:ascii="宋体" w:hAnsi="宋体"/>
        </w:rPr>
        <w:t>五、质量要求</w:t>
      </w:r>
    </w:p>
    <w:p w14:paraId="1F5B61F2">
      <w:pPr>
        <w:widowControl w:val="0"/>
        <w:spacing w:line="360" w:lineRule="auto"/>
        <w:ind w:firstLine="480" w:firstLineChars="200"/>
        <w:rPr>
          <w:strike/>
          <w:highlight w:val="lightGray"/>
        </w:rPr>
      </w:pPr>
      <w:r>
        <w:rPr>
          <w:rFonts w:hint="eastAsia"/>
        </w:rPr>
        <w:t>（一）乙方需承诺所供的产品必须符合《中华人民共和国食品安全法》等国家有关法律法规及相关标准，提供相应批次的合格检验证明,保证无异味、无霉烂变质等。</w:t>
      </w:r>
    </w:p>
    <w:p w14:paraId="4E668C74">
      <w:pPr>
        <w:widowControl w:val="0"/>
        <w:spacing w:line="360" w:lineRule="auto"/>
        <w:ind w:firstLine="480" w:firstLineChars="200"/>
      </w:pPr>
      <w:r>
        <w:rPr>
          <w:rFonts w:hint="eastAsia"/>
        </w:rPr>
        <w:t>（二）乙方负责货物的运输、质量检测等工作，所产生的费用由乙方负责。</w:t>
      </w:r>
    </w:p>
    <w:p w14:paraId="4C42DB50">
      <w:pPr>
        <w:widowControl w:val="0"/>
        <w:spacing w:line="360" w:lineRule="auto"/>
        <w:ind w:firstLine="480" w:firstLineChars="200"/>
      </w:pPr>
      <w:r>
        <w:rPr>
          <w:rFonts w:hint="eastAsia"/>
        </w:rPr>
        <w:t xml:space="preserve">（三）售后要求： </w:t>
      </w:r>
    </w:p>
    <w:p w14:paraId="51998382">
      <w:pPr>
        <w:widowControl w:val="0"/>
        <w:spacing w:line="360" w:lineRule="auto"/>
        <w:ind w:firstLine="480" w:firstLineChars="200"/>
      </w:pPr>
      <w:r>
        <w:rPr>
          <w:rFonts w:hint="eastAsia"/>
        </w:rPr>
        <w:t xml:space="preserve">1.售后服务严格按照国家消费者权益保护法、三包规定执行。  </w:t>
      </w:r>
    </w:p>
    <w:p w14:paraId="2D87F94F">
      <w:pPr>
        <w:widowControl w:val="0"/>
        <w:spacing w:line="360" w:lineRule="auto"/>
        <w:ind w:firstLine="480" w:firstLineChars="200"/>
        <w:rPr>
          <w:rFonts w:hint="eastAsia"/>
        </w:rPr>
      </w:pPr>
      <w:r>
        <w:rPr>
          <w:rFonts w:hint="eastAsia"/>
        </w:rPr>
        <w:t>2.对不符合要求的货品，乙方应无条件退换货；乙方未能履行招标文件和合同条款, 或提供的产品质量及服务与投标文件所承诺的不符，甲方可对乙方进行1000元/次的经济处罚，产生的扣款从合同待支付货款里扣除。</w:t>
      </w:r>
    </w:p>
    <w:p w14:paraId="017DE95D">
      <w:pPr>
        <w:widowControl w:val="0"/>
        <w:spacing w:line="360" w:lineRule="auto"/>
        <w:ind w:firstLine="480" w:firstLineChars="200"/>
      </w:pPr>
      <w:r>
        <w:rPr>
          <w:rFonts w:hint="eastAsia"/>
        </w:rPr>
        <w:t xml:space="preserve">3.如发现乙方提供的产品存在质量问题的，乙方应无条件负责更换，由此产生的一切责任和经济损失均由乙方承担。质量问题包括但不限于： </w:t>
      </w:r>
    </w:p>
    <w:p w14:paraId="37C06203">
      <w:pPr>
        <w:widowControl w:val="0"/>
        <w:spacing w:line="360" w:lineRule="auto"/>
        <w:ind w:firstLine="480" w:firstLineChars="200"/>
      </w:pPr>
      <w:r>
        <w:rPr>
          <w:rFonts w:hint="eastAsia"/>
        </w:rPr>
        <w:t xml:space="preserve">a、甲方如发现货物出现如结块、颜色不正常、有可疑物品或杂物的； </w:t>
      </w:r>
    </w:p>
    <w:p w14:paraId="12523B7C">
      <w:pPr>
        <w:widowControl w:val="0"/>
        <w:spacing w:line="360" w:lineRule="auto"/>
        <w:ind w:firstLine="480" w:firstLineChars="200"/>
      </w:pPr>
      <w:r>
        <w:rPr>
          <w:rFonts w:hint="eastAsia"/>
        </w:rPr>
        <w:t xml:space="preserve">b、质监部门发出该品牌货物质量警示的； </w:t>
      </w:r>
    </w:p>
    <w:p w14:paraId="22F44E5E">
      <w:pPr>
        <w:widowControl w:val="0"/>
        <w:spacing w:line="360" w:lineRule="auto"/>
        <w:ind w:firstLine="480" w:firstLineChars="200"/>
      </w:pPr>
      <w:r>
        <w:rPr>
          <w:rFonts w:hint="eastAsia"/>
        </w:rPr>
        <w:t xml:space="preserve">c、出现有媒体曝光该品牌货物质量警示的。 </w:t>
      </w:r>
    </w:p>
    <w:p w14:paraId="6DDCEE90">
      <w:pPr>
        <w:widowControl w:val="0"/>
        <w:spacing w:line="360" w:lineRule="auto"/>
        <w:ind w:firstLine="480" w:firstLineChars="200"/>
      </w:pPr>
      <w:r>
        <w:rPr>
          <w:rFonts w:hint="eastAsia"/>
        </w:rPr>
        <w:t>4.若因质量和售后服务原因引起的有投诉的，乙方须立即派专人到现场妥善处理，做好安抚工作和善后事宜，并承担所产生的一切费用。8小时内未处理 投诉的，进行2000元/次经济处罚，产生的扣款从合同待支付货款里扣除。情节严重的，被上级部门通报或者媒体曝光对甲方造成严重负面影响的，除追究乙方的赔偿责任，甲方有权单方终止合同，没收全部履约保证金。</w:t>
      </w:r>
    </w:p>
    <w:p w14:paraId="0CCACAA0">
      <w:pPr>
        <w:widowControl w:val="0"/>
        <w:spacing w:line="360" w:lineRule="auto"/>
        <w:ind w:firstLine="480" w:firstLineChars="200"/>
        <w:rPr>
          <w:rFonts w:hint="eastAsia"/>
        </w:rPr>
      </w:pPr>
      <w:r>
        <w:rPr>
          <w:rFonts w:hint="eastAsia"/>
        </w:rPr>
        <w:t>5.如因所供产品本身问题造成人员身体不适、身体伤害、食物中毒或肠道病等不良后果及经济损失的，乙方应立即响应，并在4小时内指派专人到现场妥善处理，做好安抚工作和善后事宜，并承担所产生的一切治疗费、赔偿由此发生的一切经济损失，如未及时给予处理的，甲方有权单方终止合同，没收全部履约保证金。</w:t>
      </w:r>
    </w:p>
    <w:p w14:paraId="6CB59B05">
      <w:pPr>
        <w:widowControl w:val="0"/>
        <w:spacing w:line="360" w:lineRule="auto"/>
        <w:ind w:firstLine="537" w:firstLineChars="224"/>
        <w:jc w:val="both"/>
        <w:rPr>
          <w:rFonts w:hint="eastAsia" w:ascii="宋体" w:hAnsi="宋体"/>
        </w:rPr>
      </w:pPr>
      <w:r>
        <w:rPr>
          <w:rFonts w:hint="eastAsia" w:ascii="宋体" w:hAnsi="宋体"/>
        </w:rPr>
        <w:t>六</w:t>
      </w:r>
      <w:r>
        <w:rPr>
          <w:rFonts w:ascii="宋体" w:hAnsi="宋体"/>
        </w:rPr>
        <w:t>、履约保证金：</w:t>
      </w:r>
    </w:p>
    <w:p w14:paraId="66AFE461">
      <w:pPr>
        <w:pStyle w:val="26"/>
        <w:widowControl w:val="0"/>
        <w:adjustRightInd w:val="0"/>
        <w:snapToGrid w:val="0"/>
        <w:spacing w:before="0" w:beforeAutospacing="0" w:after="0" w:afterAutospacing="0" w:line="360" w:lineRule="auto"/>
        <w:ind w:firstLine="537" w:firstLineChars="224"/>
        <w:rPr>
          <w:rFonts w:hint="eastAsia" w:cs="Segoe UI Symbol"/>
        </w:rPr>
      </w:pPr>
      <w:r>
        <w:rPr>
          <w:rFonts w:hint="eastAsia"/>
        </w:rPr>
        <w:t>1</w:t>
      </w:r>
      <w:r>
        <w:t>.</w:t>
      </w:r>
      <w:r>
        <w:rPr>
          <w:rFonts w:hint="eastAsia"/>
        </w:rPr>
        <w:t>乙方</w:t>
      </w:r>
      <w:r>
        <w:t>必须在</w:t>
      </w:r>
      <w:r>
        <w:rPr>
          <w:rFonts w:hint="eastAsia"/>
        </w:rPr>
        <w:t>合同签订后七日内</w:t>
      </w:r>
      <w:r>
        <w:t>向</w:t>
      </w:r>
      <w:r>
        <w:rPr>
          <w:rFonts w:hint="eastAsia"/>
        </w:rPr>
        <w:t>甲方</w:t>
      </w:r>
      <w:r>
        <w:t>提供合同</w:t>
      </w:r>
      <w:r>
        <w:rPr>
          <w:rFonts w:hint="eastAsia"/>
        </w:rPr>
        <w:t>预算</w:t>
      </w:r>
      <w:r>
        <w:t>总价1%的履约保证金</w:t>
      </w:r>
      <w:r>
        <w:rPr>
          <w:rFonts w:hint="eastAsia"/>
        </w:rPr>
        <w:t>（可在政采云平台购买）</w:t>
      </w:r>
      <w:r>
        <w:t>，可以支票、汇票、本票或者金融机构、保险公司、担保机构出具的保函/保险（可在政采云平台购买，咨询热线4009039583）等非现金形式</w:t>
      </w:r>
      <w:r>
        <w:rPr>
          <w:rFonts w:cs="Segoe UI Symbol"/>
        </w:rPr>
        <w:t>提交。</w:t>
      </w:r>
      <w:r>
        <w:t>履约保证金（或保函/保险）在</w:t>
      </w:r>
      <w:r>
        <w:rPr>
          <w:rFonts w:hint="eastAsia"/>
        </w:rPr>
        <w:t>合同履约完毕后</w:t>
      </w:r>
      <w:r>
        <w:t>退还</w:t>
      </w:r>
      <w:r>
        <w:rPr>
          <w:rFonts w:hint="eastAsia"/>
        </w:rPr>
        <w:t>。</w:t>
      </w:r>
      <w:r>
        <w:rPr>
          <w:rFonts w:hint="eastAsia" w:cs="Segoe UI Symbol"/>
        </w:rPr>
        <w:t>鼓励和支持供应商以履约保函形式提供履约保证金。</w:t>
      </w:r>
    </w:p>
    <w:p w14:paraId="3931CE8A">
      <w:pPr>
        <w:pStyle w:val="26"/>
        <w:widowControl w:val="0"/>
        <w:adjustRightInd w:val="0"/>
        <w:snapToGrid w:val="0"/>
        <w:spacing w:before="0" w:beforeAutospacing="0" w:after="0" w:afterAutospacing="0" w:line="360" w:lineRule="auto"/>
        <w:ind w:firstLine="537" w:firstLineChars="224"/>
        <w:rPr>
          <w:rFonts w:hint="eastAsia"/>
        </w:rPr>
      </w:pPr>
      <w:r>
        <w:t>2.签订合同后，如</w:t>
      </w:r>
      <w:r>
        <w:rPr>
          <w:rFonts w:hint="eastAsia"/>
        </w:rPr>
        <w:t>乙方</w:t>
      </w:r>
      <w:r>
        <w:t>不按双方合同约定履约，违反有关法律法规的规定及合同约定的条款，损害了采购人利益的，采购人将没收全部履约保证金。履约保证金不足以赔偿损失的，甲方可要求乙方承担合同约定的超过履约保证金的违约责任的权利。</w:t>
      </w:r>
    </w:p>
    <w:p w14:paraId="495CEC63">
      <w:pPr>
        <w:widowControl w:val="0"/>
        <w:adjustRightInd w:val="0"/>
        <w:snapToGrid w:val="0"/>
        <w:spacing w:line="360" w:lineRule="auto"/>
        <w:ind w:firstLine="537" w:firstLineChars="224"/>
      </w:pPr>
      <w:r>
        <w:rPr>
          <w:rFonts w:hint="eastAsia" w:ascii="宋体" w:hAnsi="宋体"/>
        </w:rPr>
        <w:t>3.</w:t>
      </w:r>
      <w:r>
        <w:rPr>
          <w:rFonts w:ascii="宋体" w:hAnsi="宋体"/>
        </w:rPr>
        <w:t>中标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w:t>
      </w:r>
      <w:r>
        <w:t>认信息—等待保险/保函受理—确认保单—支付保费—成功出单。政采云金融专线400-903-9583。</w:t>
      </w:r>
    </w:p>
    <w:p w14:paraId="7865FD10">
      <w:pPr>
        <w:widowControl w:val="0"/>
        <w:spacing w:line="360" w:lineRule="auto"/>
        <w:ind w:firstLine="537" w:firstLineChars="224"/>
        <w:jc w:val="both"/>
      </w:pPr>
      <w:r>
        <w:rPr>
          <w:rFonts w:hint="eastAsia"/>
        </w:rPr>
        <w:t>七</w:t>
      </w:r>
      <w:r>
        <w:t>、转包或分包</w:t>
      </w:r>
    </w:p>
    <w:p w14:paraId="3D7C4CF1">
      <w:pPr>
        <w:widowControl w:val="0"/>
        <w:spacing w:line="360" w:lineRule="auto"/>
        <w:ind w:firstLine="537" w:firstLineChars="224"/>
        <w:jc w:val="both"/>
      </w:pPr>
      <w:r>
        <w:rPr>
          <w:rFonts w:hint="eastAsia"/>
        </w:rPr>
        <w:t>本项目不得转包与分包，如有出现以上行为</w:t>
      </w:r>
      <w:r>
        <w:t>，甲方有权解除合同，没收履约保证金并追究乙方的违约责任。</w:t>
      </w:r>
    </w:p>
    <w:p w14:paraId="1880FC1A">
      <w:pPr>
        <w:widowControl w:val="0"/>
        <w:spacing w:line="360" w:lineRule="auto"/>
        <w:ind w:firstLine="537" w:firstLineChars="224"/>
        <w:jc w:val="both"/>
      </w:pPr>
      <w:r>
        <w:rPr>
          <w:rFonts w:hint="eastAsia"/>
        </w:rPr>
        <w:t>八</w:t>
      </w:r>
      <w:r>
        <w:t>、付款方式：</w:t>
      </w:r>
    </w:p>
    <w:p w14:paraId="62BA8435">
      <w:pPr>
        <w:widowControl w:val="0"/>
        <w:spacing w:line="360" w:lineRule="auto"/>
        <w:ind w:firstLine="480" w:firstLineChars="200"/>
      </w:pPr>
      <w:r>
        <w:rPr>
          <w:rFonts w:hint="eastAsia"/>
        </w:rPr>
        <w:t>按月支付，</w:t>
      </w:r>
      <w:r>
        <w:t>批次供货并结算，</w:t>
      </w:r>
      <w:r>
        <w:rPr>
          <w:rFonts w:hint="eastAsia"/>
        </w:rPr>
        <w:t>每批次货物验收合格后，于第二个月月底之前结算前月费用。</w:t>
      </w:r>
      <w:r>
        <w:t>结算价＝实际供货数量*中标单价。乙方在结算合同价款时需提供正式的税务发票。</w:t>
      </w:r>
    </w:p>
    <w:p w14:paraId="0FD35379">
      <w:pPr>
        <w:widowControl w:val="0"/>
        <w:spacing w:line="360" w:lineRule="auto"/>
        <w:ind w:firstLine="537" w:firstLineChars="224"/>
        <w:jc w:val="both"/>
      </w:pPr>
      <w:r>
        <w:rPr>
          <w:rFonts w:hint="eastAsia"/>
        </w:rPr>
        <w:t>九</w:t>
      </w:r>
      <w:r>
        <w:t>、税费：本合同执行中相关的一切税费均由乙方负担。</w:t>
      </w:r>
    </w:p>
    <w:p w14:paraId="00775509">
      <w:pPr>
        <w:widowControl w:val="0"/>
        <w:spacing w:line="360" w:lineRule="auto"/>
        <w:ind w:firstLine="537" w:firstLineChars="224"/>
        <w:jc w:val="both"/>
      </w:pPr>
      <w:r>
        <w:rPr>
          <w:rFonts w:hint="eastAsia"/>
        </w:rPr>
        <w:t>十</w:t>
      </w:r>
      <w:r>
        <w:t>、交付验收</w:t>
      </w:r>
    </w:p>
    <w:p w14:paraId="25EB8E8E">
      <w:pPr>
        <w:widowControl w:val="0"/>
        <w:spacing w:line="360" w:lineRule="auto"/>
        <w:ind w:firstLine="480" w:firstLineChars="200"/>
      </w:pPr>
      <w:r>
        <w:t>1.验收时间：</w:t>
      </w:r>
      <w:r>
        <w:rPr>
          <w:rFonts w:hint="eastAsia"/>
        </w:rPr>
        <w:t>按批次验收。</w:t>
      </w:r>
    </w:p>
    <w:p w14:paraId="39C2CA6E">
      <w:pPr>
        <w:widowControl w:val="0"/>
        <w:spacing w:line="360" w:lineRule="auto"/>
        <w:ind w:firstLine="480" w:firstLineChars="200"/>
        <w:rPr>
          <w:rFonts w:hint="eastAsia"/>
        </w:rPr>
      </w:pPr>
      <w:r>
        <w:t>2. 验收方式</w:t>
      </w:r>
      <w:r>
        <w:rPr>
          <w:rFonts w:hint="eastAsia"/>
        </w:rPr>
        <w:t>：甲方</w:t>
      </w:r>
      <w:r>
        <w:t>对</w:t>
      </w:r>
      <w:r>
        <w:rPr>
          <w:rFonts w:hint="eastAsia"/>
        </w:rPr>
        <w:t>乙方</w:t>
      </w:r>
      <w:r>
        <w:t>提交的货物依据</w:t>
      </w:r>
      <w:r>
        <w:rPr>
          <w:rFonts w:hint="eastAsia"/>
        </w:rPr>
        <w:t>招标</w:t>
      </w:r>
      <w:r>
        <w:t>文件上的技术规格要求和国家有关质量标准进行现场初步验收，外观、说明书</w:t>
      </w:r>
      <w:r>
        <w:rPr>
          <w:rFonts w:hint="eastAsia"/>
        </w:rPr>
        <w:t>、各项检测报告等，</w:t>
      </w:r>
      <w:r>
        <w:t>符合</w:t>
      </w:r>
      <w:r>
        <w:rPr>
          <w:rFonts w:hint="eastAsia"/>
        </w:rPr>
        <w:t>招标</w:t>
      </w:r>
      <w:r>
        <w:t>文件技术要求的，给予签收，初步验收不合格的不予签收。货到后，</w:t>
      </w:r>
      <w:r>
        <w:rPr>
          <w:rFonts w:hint="eastAsia"/>
        </w:rPr>
        <w:t>甲方</w:t>
      </w:r>
      <w:r>
        <w:t>需在</w:t>
      </w:r>
      <w:r>
        <w:rPr>
          <w:rFonts w:hint="eastAsia"/>
        </w:rPr>
        <w:t xml:space="preserve"> 2</w:t>
      </w:r>
      <w:r>
        <w:t>个工作日内验收。</w:t>
      </w:r>
      <w:r>
        <w:rPr>
          <w:rFonts w:hint="eastAsia"/>
        </w:rPr>
        <w:t>本项目履约验收费用由采购人承担，但因首次验收不合格需再次重新验收的，重新验收费用则由中标人承担。验收过程中如需进行检测的，检测费用由中标人承担。</w:t>
      </w:r>
    </w:p>
    <w:p w14:paraId="7FB58233">
      <w:pPr>
        <w:widowControl w:val="0"/>
        <w:spacing w:line="360" w:lineRule="auto"/>
        <w:ind w:firstLine="537" w:firstLineChars="224"/>
        <w:jc w:val="both"/>
      </w:pPr>
      <w:r>
        <w:t>十</w:t>
      </w:r>
      <w:r>
        <w:rPr>
          <w:rFonts w:hint="eastAsia"/>
        </w:rPr>
        <w:t>一</w:t>
      </w:r>
      <w:r>
        <w:t>、违约责任</w:t>
      </w:r>
    </w:p>
    <w:p w14:paraId="001BE8DF">
      <w:pPr>
        <w:widowControl w:val="0"/>
        <w:adjustRightInd w:val="0"/>
        <w:snapToGrid w:val="0"/>
        <w:spacing w:after="60" w:line="360" w:lineRule="auto"/>
        <w:ind w:firstLine="480" w:firstLineChars="200"/>
        <w:rPr>
          <w:color w:val="000000"/>
        </w:rPr>
      </w:pPr>
      <w:r>
        <w:rPr>
          <w:color w:val="000000"/>
        </w:rPr>
        <w:t>1.甲方无正当理由拒收货物的，甲方向乙方偿付拒收货款总值的</w:t>
      </w:r>
      <w:r>
        <w:rPr>
          <w:color w:val="000000"/>
          <w:u w:val="single"/>
        </w:rPr>
        <w:t>百分之五</w:t>
      </w:r>
      <w:r>
        <w:rPr>
          <w:color w:val="000000"/>
        </w:rPr>
        <w:t>违约金。</w:t>
      </w:r>
    </w:p>
    <w:p w14:paraId="4C3F40CC">
      <w:pPr>
        <w:adjustRightInd w:val="0"/>
        <w:spacing w:after="60" w:line="360" w:lineRule="auto"/>
        <w:ind w:firstLine="480" w:firstLineChars="200"/>
        <w:rPr>
          <w:color w:val="000000"/>
        </w:rPr>
      </w:pPr>
      <w:r>
        <w:rPr>
          <w:color w:val="000000"/>
        </w:rPr>
        <w:t>2.甲方无故逾期验收和办理货款支付手续的</w:t>
      </w:r>
      <w:r>
        <w:rPr>
          <w:rFonts w:hint="eastAsia"/>
          <w:color w:val="000000"/>
        </w:rPr>
        <w:t>，</w:t>
      </w:r>
      <w:r>
        <w:rPr>
          <w:color w:val="000000"/>
        </w:rPr>
        <w:t>甲方应按逾期付款总额每日</w:t>
      </w:r>
      <w:r>
        <w:rPr>
          <w:color w:val="000000"/>
          <w:u w:val="single"/>
        </w:rPr>
        <w:t>万分之五</w:t>
      </w:r>
      <w:r>
        <w:rPr>
          <w:color w:val="000000"/>
        </w:rPr>
        <w:t>向乙方支付违约金。</w:t>
      </w:r>
    </w:p>
    <w:p w14:paraId="2397FBA1">
      <w:pPr>
        <w:adjustRightInd w:val="0"/>
        <w:spacing w:after="60" w:line="360" w:lineRule="auto"/>
        <w:ind w:firstLine="480" w:firstLineChars="200"/>
        <w:rPr>
          <w:color w:val="000000"/>
        </w:rPr>
      </w:pPr>
      <w:r>
        <w:rPr>
          <w:color w:val="000000"/>
        </w:rPr>
        <w:t>3.乙方逾期交付货物的，乙方应按逾期交货总额每日</w:t>
      </w:r>
      <w:r>
        <w:rPr>
          <w:color w:val="000000"/>
          <w:u w:val="single"/>
        </w:rPr>
        <w:t>千分之六</w:t>
      </w:r>
      <w:r>
        <w:rPr>
          <w:color w:val="000000"/>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E791042">
      <w:pPr>
        <w:adjustRightInd w:val="0"/>
        <w:spacing w:after="60" w:line="360" w:lineRule="auto"/>
        <w:ind w:firstLine="480" w:firstLineChars="200"/>
        <w:rPr>
          <w:color w:val="000000"/>
        </w:rPr>
      </w:pPr>
      <w:r>
        <w:rPr>
          <w:color w:val="00000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6B36914">
      <w:pPr>
        <w:spacing w:line="360" w:lineRule="auto"/>
        <w:ind w:firstLine="480" w:firstLineChars="200"/>
        <w:outlineLvl w:val="0"/>
        <w:rPr>
          <w:color w:val="000000"/>
        </w:rPr>
      </w:pPr>
      <w:bookmarkStart w:id="68" w:name="_Toc14055"/>
      <w:r>
        <w:rPr>
          <w:color w:val="000000"/>
        </w:rPr>
        <w:t>十</w:t>
      </w:r>
      <w:r>
        <w:rPr>
          <w:rFonts w:hint="eastAsia"/>
          <w:color w:val="000000"/>
        </w:rPr>
        <w:t>二</w:t>
      </w:r>
      <w:r>
        <w:rPr>
          <w:color w:val="000000"/>
        </w:rPr>
        <w:t>、 延迟交货</w:t>
      </w:r>
      <w:bookmarkEnd w:id="68"/>
    </w:p>
    <w:p w14:paraId="63A577FA">
      <w:pPr>
        <w:spacing w:line="360" w:lineRule="auto"/>
        <w:ind w:firstLine="480" w:firstLineChars="200"/>
        <w:outlineLvl w:val="0"/>
        <w:rPr>
          <w:color w:val="000000"/>
        </w:rPr>
      </w:pPr>
      <w:r>
        <w:rPr>
          <w:color w:val="000000"/>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A42EF50">
      <w:pPr>
        <w:spacing w:line="360" w:lineRule="auto"/>
        <w:ind w:firstLine="480" w:firstLineChars="200"/>
      </w:pPr>
      <w:r>
        <w:t>十</w:t>
      </w:r>
      <w:r>
        <w:rPr>
          <w:rFonts w:hint="eastAsia"/>
        </w:rPr>
        <w:t>三</w:t>
      </w:r>
      <w:r>
        <w:t>、不可抗力事件处理</w:t>
      </w:r>
    </w:p>
    <w:p w14:paraId="3E2EAD02">
      <w:pPr>
        <w:spacing w:line="360" w:lineRule="auto"/>
        <w:ind w:firstLine="480" w:firstLineChars="200"/>
      </w:pPr>
      <w:r>
        <w:t>1.如果任何一方遭遇法律规定的不可抗力，致使合同履行受阻时，履行合同的期限应予延长，延长的期限应相当于不可抗力所影响的时间；</w:t>
      </w:r>
    </w:p>
    <w:p w14:paraId="36856194">
      <w:pPr>
        <w:spacing w:line="360" w:lineRule="auto"/>
        <w:ind w:firstLine="480" w:firstLineChars="200"/>
      </w:pPr>
      <w:r>
        <w:t>2.因不可抗力致使不能实现合同目的的，当事人可以解除合同；</w:t>
      </w:r>
    </w:p>
    <w:p w14:paraId="66EEE3BB">
      <w:pPr>
        <w:spacing w:line="360" w:lineRule="auto"/>
        <w:ind w:firstLine="480" w:firstLineChars="200"/>
      </w:pPr>
      <w:r>
        <w:t>3.因不可抗力致使合同有变更必要的，双方当事人应以书面形式变更合同；</w:t>
      </w:r>
    </w:p>
    <w:p w14:paraId="5DFE7EEF">
      <w:pPr>
        <w:spacing w:line="360" w:lineRule="auto"/>
        <w:ind w:firstLine="480" w:firstLineChars="200"/>
      </w:pPr>
      <w:r>
        <w:t>4.受不可抗力影响的一方在不可抗力发生后，应以书面形式通知对方当事人，并在约定时间内，将有关部门出具的证明文件送达对方当事人。</w:t>
      </w:r>
    </w:p>
    <w:p w14:paraId="597711E7">
      <w:pPr>
        <w:spacing w:line="360" w:lineRule="auto"/>
        <w:ind w:firstLine="480" w:firstLineChars="200"/>
      </w:pPr>
      <w:bookmarkStart w:id="69" w:name="_Toc7102"/>
      <w:bookmarkStart w:id="70" w:name="_Toc279701258"/>
      <w:bookmarkStart w:id="71" w:name="_Toc8298"/>
      <w:bookmarkStart w:id="72" w:name="_Toc487900368"/>
      <w:bookmarkStart w:id="73" w:name="_Toc259093687"/>
      <w:bookmarkStart w:id="74" w:name="_Toc16959"/>
      <w:r>
        <w:t>十</w:t>
      </w:r>
      <w:r>
        <w:rPr>
          <w:rFonts w:hint="eastAsia"/>
        </w:rPr>
        <w:t>四</w:t>
      </w:r>
      <w:r>
        <w:t>、</w:t>
      </w:r>
      <w:bookmarkEnd w:id="69"/>
      <w:bookmarkEnd w:id="70"/>
      <w:bookmarkEnd w:id="71"/>
      <w:bookmarkEnd w:id="72"/>
      <w:bookmarkEnd w:id="73"/>
      <w:bookmarkEnd w:id="74"/>
      <w:bookmarkStart w:id="75" w:name="_Toc29333"/>
      <w:bookmarkStart w:id="76" w:name="_Toc6134"/>
      <w:bookmarkStart w:id="77" w:name="_Toc15387"/>
      <w:r>
        <w:t>合同中止、终止</w:t>
      </w:r>
      <w:bookmarkEnd w:id="75"/>
      <w:bookmarkEnd w:id="76"/>
      <w:bookmarkEnd w:id="77"/>
    </w:p>
    <w:p w14:paraId="55C0F989">
      <w:pPr>
        <w:spacing w:line="360" w:lineRule="auto"/>
        <w:ind w:firstLine="480" w:firstLineChars="200"/>
      </w:pPr>
      <w:r>
        <w:t>1.双方当事人不得擅自中止或者终止合同；</w:t>
      </w:r>
    </w:p>
    <w:p w14:paraId="2EA8B04A">
      <w:pPr>
        <w:spacing w:line="360" w:lineRule="auto"/>
        <w:ind w:firstLine="480" w:firstLineChars="200"/>
      </w:pPr>
      <w:r>
        <w:t>2.合同继续履行将损害国家利益和社会公共利益的，双方当事人应当中止或者终止合同。有过错的一方应当承担赔偿责任，双方当事人都有过错的，各自承担相应的责任。</w:t>
      </w:r>
    </w:p>
    <w:p w14:paraId="6EDAC4AB">
      <w:pPr>
        <w:spacing w:line="360" w:lineRule="auto"/>
        <w:ind w:firstLine="480" w:firstLineChars="200"/>
      </w:pPr>
      <w:r>
        <w:t>十</w:t>
      </w:r>
      <w:r>
        <w:rPr>
          <w:rFonts w:hint="eastAsia"/>
        </w:rPr>
        <w:t>五</w:t>
      </w:r>
      <w:r>
        <w:t>、合同争议的解决</w:t>
      </w:r>
    </w:p>
    <w:p w14:paraId="111245E1">
      <w:pPr>
        <w:spacing w:line="360" w:lineRule="auto"/>
        <w:ind w:firstLine="480" w:firstLineChars="200"/>
      </w:pPr>
      <w:r>
        <w:rPr>
          <w:rFonts w:hint="eastAsia"/>
        </w:rPr>
        <w:t>1.</w:t>
      </w:r>
      <w:r>
        <w:t>本合同履行过程中发生的任何争议，双方当事人均可通过和解或者调解解决；不愿和解、调解或者和解、调解不成的，可以向甲方所在地人民法院起诉。</w:t>
      </w:r>
    </w:p>
    <w:p w14:paraId="1F87B2A2">
      <w:pPr>
        <w:spacing w:line="360" w:lineRule="auto"/>
        <w:ind w:firstLine="480" w:firstLineChars="200"/>
      </w:pPr>
      <w:r>
        <w:rPr>
          <w:rFonts w:hint="eastAsia"/>
        </w:rPr>
        <w:t>2.因任何一方违约致使对方采取诉讼方式解决纠纷的，违约方须承担另一方为此而发生的一切费用（包括但不限于诉讼费、律师费、保全费、调查费、差旅费、任何一方已支付的成交服务费等）。</w:t>
      </w:r>
    </w:p>
    <w:p w14:paraId="45966692">
      <w:pPr>
        <w:spacing w:line="360" w:lineRule="auto"/>
        <w:ind w:firstLine="480" w:firstLineChars="200"/>
      </w:pPr>
      <w:r>
        <w:t>十</w:t>
      </w:r>
      <w:r>
        <w:rPr>
          <w:rFonts w:hint="eastAsia"/>
        </w:rPr>
        <w:t>六</w:t>
      </w:r>
      <w:r>
        <w:t>、合同构成</w:t>
      </w:r>
    </w:p>
    <w:p w14:paraId="7229ABE9">
      <w:pPr>
        <w:spacing w:line="360" w:lineRule="auto"/>
        <w:ind w:firstLine="480" w:firstLineChars="200"/>
      </w:pPr>
      <w:r>
        <w:t>下列文件为本合同的组成部分，并构成一个整体，需综合解释、相互补充。如果下列文件内容出现不一致的情形，那么在保证按照采购文件确定的事项的前提下，组成本合同的多个文件的优先适用顺序如下：</w:t>
      </w:r>
    </w:p>
    <w:p w14:paraId="4BE5D539">
      <w:pPr>
        <w:spacing w:line="360" w:lineRule="auto"/>
        <w:ind w:firstLine="480" w:firstLineChars="200"/>
      </w:pPr>
      <w:r>
        <w:t>1.本合同及其补充合同、变更协议；</w:t>
      </w:r>
    </w:p>
    <w:p w14:paraId="488834EF">
      <w:pPr>
        <w:spacing w:line="360" w:lineRule="auto"/>
        <w:ind w:firstLine="480" w:firstLineChars="200"/>
      </w:pPr>
      <w:r>
        <w:t>2.中标或者成交通知书；</w:t>
      </w:r>
    </w:p>
    <w:p w14:paraId="13F127DB">
      <w:pPr>
        <w:spacing w:line="360" w:lineRule="auto"/>
        <w:ind w:firstLine="480" w:firstLineChars="200"/>
      </w:pPr>
      <w:r>
        <w:t>3.投标或者响应文件（含澄清或者说明文件）；</w:t>
      </w:r>
    </w:p>
    <w:p w14:paraId="19B5C26C">
      <w:pPr>
        <w:spacing w:line="360" w:lineRule="auto"/>
        <w:ind w:firstLine="480" w:firstLineChars="200"/>
      </w:pPr>
      <w:r>
        <w:t>4.采购文件（含澄清或者修改文件）；</w:t>
      </w:r>
    </w:p>
    <w:p w14:paraId="005D6FFD">
      <w:pPr>
        <w:spacing w:line="360" w:lineRule="auto"/>
        <w:ind w:firstLine="480" w:firstLineChars="200"/>
      </w:pPr>
      <w:r>
        <w:t>5.其他相关采购文件。</w:t>
      </w:r>
    </w:p>
    <w:p w14:paraId="6FD0266E">
      <w:pPr>
        <w:spacing w:line="360" w:lineRule="auto"/>
        <w:ind w:firstLine="480" w:firstLineChars="200"/>
      </w:pPr>
      <w:r>
        <w:rPr>
          <w:rFonts w:hint="eastAsia"/>
        </w:rPr>
        <w:t>十七</w:t>
      </w:r>
      <w:r>
        <w:t>、合同生效及其它</w:t>
      </w:r>
    </w:p>
    <w:p w14:paraId="770CB4ED">
      <w:pPr>
        <w:spacing w:line="360" w:lineRule="auto"/>
        <w:ind w:firstLine="480" w:firstLineChars="200"/>
      </w:pPr>
      <w:r>
        <w:t>1.本合同自双方当事人盖章或者签字时生效。</w:t>
      </w:r>
    </w:p>
    <w:p w14:paraId="4D1D2A04">
      <w:pPr>
        <w:spacing w:line="360" w:lineRule="auto"/>
        <w:ind w:firstLine="480" w:firstLineChars="200"/>
      </w:pPr>
      <w:r>
        <w:t>2.合同执行中涉及采购资金和采购内容修改或补充的，须经财政部门审批，并签书面补充协议报政府采购监督管理部门备案，方可作为主合同不可分割的一部分。</w:t>
      </w:r>
    </w:p>
    <w:p w14:paraId="78FAD341">
      <w:pPr>
        <w:spacing w:line="360" w:lineRule="auto"/>
        <w:ind w:firstLine="480" w:firstLineChars="200"/>
      </w:pPr>
      <w:r>
        <w:t>3.本合同未尽事宜，遵照《中华人民共和国民法典》有关条文执行。</w:t>
      </w:r>
    </w:p>
    <w:p w14:paraId="102E45CF">
      <w:pPr>
        <w:spacing w:line="360" w:lineRule="auto"/>
        <w:ind w:firstLine="480" w:firstLineChars="200"/>
      </w:pPr>
      <w:r>
        <w:t>4.本合同壹式陆份，甲乙双方各执贰份，招标代理机构贰份（备案及资料归集）。</w:t>
      </w:r>
    </w:p>
    <w:p w14:paraId="4604C935">
      <w:pPr>
        <w:widowControl w:val="0"/>
        <w:adjustRightInd w:val="0"/>
        <w:snapToGrid w:val="0"/>
        <w:spacing w:after="60" w:line="360" w:lineRule="auto"/>
        <w:ind w:firstLine="480" w:firstLineChars="200"/>
        <w:rPr>
          <w:u w:val="single"/>
        </w:rPr>
      </w:pPr>
      <w:r>
        <w:rPr>
          <w:rFonts w:hint="eastAsia"/>
        </w:rPr>
        <w:t>十八</w:t>
      </w:r>
      <w:r>
        <w:t>、其他补充条款：</w:t>
      </w:r>
      <w:r>
        <w:rPr>
          <w:u w:val="single"/>
        </w:rPr>
        <w:t xml:space="preserve"> （如有）                           。</w:t>
      </w:r>
    </w:p>
    <w:p w14:paraId="352FBCB6">
      <w:pPr>
        <w:spacing w:line="360" w:lineRule="auto"/>
        <w:ind w:firstLine="480" w:firstLineChars="200"/>
      </w:pPr>
    </w:p>
    <w:p w14:paraId="06BA6F26">
      <w:pPr>
        <w:spacing w:line="360" w:lineRule="auto"/>
        <w:ind w:firstLine="480" w:firstLineChars="200"/>
        <w:rPr>
          <w:rFonts w:hint="eastAsia" w:ascii="宋体" w:hAnsi="宋体" w:cs="宋体"/>
          <w:color w:val="000000"/>
        </w:rPr>
      </w:pPr>
    </w:p>
    <w:p w14:paraId="3077CF48">
      <w:pPr>
        <w:spacing w:line="360" w:lineRule="auto"/>
        <w:ind w:firstLine="480" w:firstLineChars="200"/>
        <w:rPr>
          <w:rFonts w:hint="eastAsia" w:ascii="宋体" w:hAnsi="宋体" w:cs="宋体"/>
          <w:color w:val="000000"/>
        </w:rPr>
      </w:pPr>
      <w:r>
        <w:rPr>
          <w:rFonts w:hint="eastAsia" w:ascii="宋体" w:hAnsi="宋体" w:cs="宋体"/>
          <w:color w:val="000000"/>
        </w:rPr>
        <w:t xml:space="preserve">甲方（盖章）：                              乙方（盖章）：                            </w:t>
      </w:r>
    </w:p>
    <w:p w14:paraId="7B489E9F">
      <w:pPr>
        <w:spacing w:line="360" w:lineRule="auto"/>
        <w:ind w:firstLine="480" w:firstLineChars="200"/>
        <w:rPr>
          <w:rFonts w:hint="eastAsia" w:ascii="宋体" w:hAnsi="宋体" w:cs="宋体"/>
          <w:color w:val="000000"/>
        </w:rPr>
      </w:pPr>
      <w:r>
        <w:rPr>
          <w:rFonts w:hint="eastAsia" w:ascii="宋体" w:hAnsi="宋体" w:cs="宋体"/>
          <w:color w:val="000000"/>
        </w:rPr>
        <w:t xml:space="preserve">法定代表人：                                法定代表人： </w:t>
      </w:r>
    </w:p>
    <w:p w14:paraId="3E2C9398">
      <w:pPr>
        <w:spacing w:line="360" w:lineRule="auto"/>
        <w:ind w:firstLine="480" w:firstLineChars="200"/>
        <w:rPr>
          <w:rFonts w:hint="eastAsia" w:ascii="宋体" w:hAnsi="宋体" w:cs="宋体"/>
          <w:color w:val="000000"/>
        </w:rPr>
      </w:pPr>
      <w:r>
        <w:rPr>
          <w:rFonts w:hint="eastAsia" w:ascii="宋体" w:hAnsi="宋体" w:cs="宋体"/>
          <w:color w:val="000000"/>
        </w:rPr>
        <w:t xml:space="preserve">委托代理人：                                委托代理人：   </w:t>
      </w:r>
    </w:p>
    <w:p w14:paraId="22BF18E4">
      <w:pPr>
        <w:spacing w:line="360" w:lineRule="auto"/>
        <w:ind w:firstLine="480" w:firstLineChars="200"/>
        <w:rPr>
          <w:rFonts w:hint="eastAsia" w:ascii="宋体" w:hAnsi="宋体" w:cs="宋体"/>
          <w:color w:val="000000"/>
        </w:rPr>
      </w:pPr>
      <w:r>
        <w:rPr>
          <w:rFonts w:hint="eastAsia" w:ascii="宋体" w:hAnsi="宋体" w:cs="宋体"/>
          <w:color w:val="000000"/>
        </w:rPr>
        <w:t>电话：                                      电话：</w:t>
      </w:r>
    </w:p>
    <w:p w14:paraId="31AA4365">
      <w:pPr>
        <w:spacing w:line="360" w:lineRule="auto"/>
        <w:ind w:firstLine="480" w:firstLineChars="200"/>
        <w:rPr>
          <w:rFonts w:hint="eastAsia" w:ascii="宋体" w:hAnsi="宋体" w:cs="宋体"/>
          <w:color w:val="000000"/>
        </w:rPr>
      </w:pPr>
      <w:r>
        <w:rPr>
          <w:rFonts w:hint="eastAsia" w:ascii="宋体" w:hAnsi="宋体" w:cs="宋体"/>
          <w:color w:val="000000"/>
        </w:rPr>
        <w:t>开户银行：                                  开户银行：</w:t>
      </w:r>
    </w:p>
    <w:p w14:paraId="42D1846B">
      <w:pPr>
        <w:spacing w:line="360" w:lineRule="auto"/>
        <w:ind w:firstLine="480" w:firstLineChars="200"/>
        <w:rPr>
          <w:rFonts w:hint="eastAsia" w:ascii="宋体" w:hAnsi="宋体" w:cs="宋体"/>
          <w:color w:val="000000"/>
        </w:rPr>
      </w:pPr>
      <w:r>
        <w:rPr>
          <w:rFonts w:hint="eastAsia" w:ascii="宋体" w:hAnsi="宋体" w:cs="宋体"/>
          <w:color w:val="000000"/>
        </w:rPr>
        <w:t>银行账号：                                  银行账号：</w:t>
      </w:r>
    </w:p>
    <w:p w14:paraId="5BD67418">
      <w:pPr>
        <w:widowControl w:val="0"/>
        <w:adjustRightInd w:val="0"/>
        <w:snapToGrid w:val="0"/>
        <w:spacing w:after="60" w:line="360" w:lineRule="auto"/>
        <w:ind w:firstLine="480" w:firstLineChars="200"/>
        <w:rPr>
          <w:rFonts w:hint="eastAsia" w:ascii="宋体" w:hAnsi="宋体" w:cs="宋体"/>
          <w:color w:val="000000"/>
        </w:rPr>
      </w:pPr>
      <w:r>
        <w:rPr>
          <w:rFonts w:hint="eastAsia" w:ascii="宋体" w:hAnsi="宋体" w:cs="宋体"/>
          <w:bCs/>
          <w:color w:val="000000"/>
        </w:rPr>
        <w:t>签订日期：  年  月  日                       签订日期：  年  月  日</w:t>
      </w:r>
    </w:p>
    <w:p w14:paraId="7904B8C7">
      <w:pPr>
        <w:widowControl w:val="0"/>
        <w:adjustRightInd w:val="0"/>
        <w:snapToGrid w:val="0"/>
        <w:spacing w:after="60" w:line="360" w:lineRule="auto"/>
        <w:ind w:firstLine="480" w:firstLineChars="200"/>
        <w:rPr>
          <w:rFonts w:hint="eastAsia" w:ascii="宋体" w:hAnsi="宋体" w:cs="宋体"/>
          <w:bCs/>
          <w:color w:val="000000"/>
        </w:rPr>
      </w:pPr>
      <w:r>
        <w:rPr>
          <w:rFonts w:hint="eastAsia" w:ascii="宋体" w:hAnsi="宋体" w:cs="宋体"/>
          <w:bCs/>
          <w:color w:val="000000"/>
        </w:rPr>
        <w:t xml:space="preserve">   </w:t>
      </w:r>
    </w:p>
    <w:p w14:paraId="47611158">
      <w:pPr>
        <w:widowControl w:val="0"/>
        <w:spacing w:line="360" w:lineRule="auto"/>
        <w:ind w:right="-120" w:rightChars="-50" w:firstLine="480" w:firstLineChars="200"/>
        <w:rPr>
          <w:rFonts w:hint="eastAsia" w:ascii="宋体" w:hAnsi="宋体" w:cs="宋体"/>
          <w:bCs/>
          <w:color w:val="000000"/>
        </w:rPr>
      </w:pPr>
    </w:p>
    <w:p w14:paraId="126F2BC8">
      <w:pPr>
        <w:widowControl w:val="0"/>
        <w:spacing w:line="360" w:lineRule="auto"/>
        <w:ind w:right="-120" w:rightChars="-50" w:firstLine="480" w:firstLineChars="200"/>
        <w:rPr>
          <w:rFonts w:hint="eastAsia" w:ascii="宋体" w:hAnsi="宋体" w:cs="宋体"/>
          <w:bCs/>
          <w:color w:val="000000"/>
        </w:rPr>
      </w:pPr>
      <w:r>
        <w:rPr>
          <w:rFonts w:hint="eastAsia" w:ascii="宋体" w:hAnsi="宋体" w:cs="宋体"/>
          <w:bCs/>
          <w:color w:val="000000"/>
        </w:rPr>
        <w:t>采购代理机构意见：</w:t>
      </w:r>
    </w:p>
    <w:p w14:paraId="3D5E0D37">
      <w:pPr>
        <w:ind w:firstLine="480" w:firstLineChars="200"/>
        <w:rPr>
          <w:rFonts w:hint="eastAsia" w:ascii="宋体" w:hAnsi="宋体" w:cs="宋体"/>
          <w:color w:val="000000"/>
        </w:rPr>
      </w:pPr>
      <w:r>
        <w:rPr>
          <w:rFonts w:hint="eastAsia" w:ascii="宋体" w:hAnsi="宋体" w:cs="宋体"/>
          <w:bCs/>
          <w:color w:val="000000"/>
        </w:rPr>
        <w:t>年  月  日</w:t>
      </w:r>
    </w:p>
    <w:bookmarkEnd w:id="67"/>
    <w:p w14:paraId="6951B610">
      <w:pPr>
        <w:spacing w:line="360" w:lineRule="auto"/>
        <w:jc w:val="center"/>
        <w:rPr>
          <w:rFonts w:hint="eastAsia" w:ascii="宋体" w:hAnsi="宋体"/>
          <w:b/>
          <w:sz w:val="48"/>
          <w:szCs w:val="48"/>
        </w:rPr>
        <w:sectPr>
          <w:pgSz w:w="11906" w:h="16838"/>
          <w:pgMar w:top="1259" w:right="1287" w:bottom="1361" w:left="1622" w:header="709" w:footer="971" w:gutter="0"/>
          <w:cols w:space="720" w:num="1"/>
          <w:docGrid w:linePitch="360" w:charSpace="0"/>
        </w:sectPr>
      </w:pPr>
    </w:p>
    <w:p w14:paraId="6E6CAEDC">
      <w:pPr>
        <w:pStyle w:val="6"/>
        <w:spacing w:before="120" w:after="240" w:line="240" w:lineRule="auto"/>
        <w:jc w:val="center"/>
        <w:rPr>
          <w:rFonts w:hint="eastAsia" w:ascii="宋体" w:hAnsi="宋体"/>
        </w:rPr>
      </w:pPr>
      <w:bookmarkStart w:id="78" w:name="_Toc93668165"/>
      <w:r>
        <w:rPr>
          <w:rFonts w:ascii="宋体" w:hAnsi="宋体"/>
        </w:rPr>
        <w:t>第七章  投标文件格式</w:t>
      </w:r>
      <w:bookmarkEnd w:id="66"/>
      <w:bookmarkEnd w:id="78"/>
    </w:p>
    <w:p w14:paraId="6E84C45A">
      <w:pPr>
        <w:pStyle w:val="41"/>
        <w:widowControl w:val="0"/>
        <w:adjustRightInd w:val="0"/>
        <w:snapToGrid w:val="0"/>
        <w:spacing w:line="390" w:lineRule="atLeast"/>
        <w:rPr>
          <w:b/>
          <w:sz w:val="32"/>
          <w:szCs w:val="32"/>
        </w:rPr>
      </w:pPr>
      <w:bookmarkStart w:id="79" w:name="_Hlk94088670"/>
      <w:r>
        <w:rPr>
          <w:b/>
          <w:sz w:val="32"/>
          <w:szCs w:val="32"/>
        </w:rPr>
        <w:t>资格文件：</w:t>
      </w:r>
      <w:r>
        <w:rPr>
          <w:color w:val="000000"/>
        </w:rPr>
        <w:t>（</w:t>
      </w:r>
      <w:r>
        <w:rPr>
          <w:b/>
          <w:u w:val="single"/>
        </w:rPr>
        <w:t>未提供齐全将导致资格审查不通过，投标文件无效</w:t>
      </w:r>
      <w:r>
        <w:rPr>
          <w:color w:val="000000"/>
        </w:rPr>
        <w:t>）</w:t>
      </w:r>
    </w:p>
    <w:p w14:paraId="71B39330">
      <w:pPr>
        <w:widowControl w:val="0"/>
        <w:adjustRightInd w:val="0"/>
        <w:snapToGrid w:val="0"/>
        <w:spacing w:line="360" w:lineRule="auto"/>
        <w:ind w:firstLine="537" w:firstLineChars="224"/>
        <w:rPr>
          <w:color w:val="000000"/>
        </w:rPr>
      </w:pPr>
      <w:r>
        <w:rPr>
          <w:color w:val="000000"/>
        </w:rPr>
        <w:t>1.</w:t>
      </w:r>
      <w:r>
        <w:rPr>
          <w:rFonts w:hint="eastAsia"/>
          <w:color w:val="000000"/>
        </w:rPr>
        <w:t>投标人</w:t>
      </w:r>
      <w:r>
        <w:rPr>
          <w:color w:val="000000"/>
        </w:rPr>
        <w:t>法人营业执照（副本）或事业单位法人证书（副本）或个体工商户营业执照或有效的自然人身份证明或社会团体法人登记证书（提供复印件</w:t>
      </w:r>
      <w:r>
        <w:rPr>
          <w:rFonts w:hint="eastAsia"/>
          <w:color w:val="000000"/>
        </w:rPr>
        <w:t>上传</w:t>
      </w:r>
      <w:r>
        <w:rPr>
          <w:color w:val="000000"/>
        </w:rPr>
        <w:t>）</w:t>
      </w:r>
    </w:p>
    <w:p w14:paraId="16713893">
      <w:pPr>
        <w:widowControl w:val="0"/>
        <w:adjustRightInd w:val="0"/>
        <w:snapToGrid w:val="0"/>
        <w:spacing w:line="360" w:lineRule="auto"/>
        <w:ind w:firstLine="537" w:firstLineChars="224"/>
        <w:rPr>
          <w:color w:val="000000"/>
        </w:rPr>
      </w:pPr>
      <w:r>
        <w:rPr>
          <w:color w:val="000000"/>
        </w:rPr>
        <w:t>2.符合参加政府采购活动应当具备的一般条件的承诺函</w:t>
      </w:r>
      <w:r>
        <w:rPr>
          <w:rFonts w:hint="eastAsia"/>
          <w:color w:val="000000"/>
        </w:rPr>
        <w:t>（格式详见第七章）；</w:t>
      </w:r>
    </w:p>
    <w:p w14:paraId="7A14DB70">
      <w:pPr>
        <w:spacing w:line="360" w:lineRule="auto"/>
        <w:ind w:firstLine="540" w:firstLineChars="225"/>
      </w:pPr>
      <w:r>
        <w:t>3.落实政府采购政策需满足的资格要求：</w:t>
      </w:r>
      <w:r>
        <w:rPr>
          <w:rFonts w:hint="eastAsia" w:ascii="Segoe UI Symbol" w:hAnsi="Segoe UI Symbol" w:cs="Segoe UI Symbol"/>
        </w:rPr>
        <w:t>详见公告</w:t>
      </w:r>
    </w:p>
    <w:p w14:paraId="6A51E88B">
      <w:pPr>
        <w:widowControl w:val="0"/>
        <w:adjustRightInd w:val="0"/>
        <w:snapToGrid w:val="0"/>
        <w:spacing w:line="360" w:lineRule="auto"/>
        <w:ind w:firstLine="537" w:firstLineChars="224"/>
        <w:rPr>
          <w:rFonts w:ascii="Segoe UI Symbol" w:hAnsi="Segoe UI Symbol" w:cs="Segoe UI Symbol"/>
        </w:rPr>
      </w:pPr>
      <w:r>
        <w:t>4.“本项目的特定资格要求”中规定的相关证书复印件</w:t>
      </w:r>
      <w:r>
        <w:rPr>
          <w:rFonts w:hint="eastAsia"/>
        </w:rPr>
        <w:t>：</w:t>
      </w:r>
      <w:r>
        <w:rPr>
          <w:rFonts w:hint="eastAsia" w:ascii="Segoe UI Symbol" w:hAnsi="Segoe UI Symbol" w:cs="Segoe UI Symbol"/>
        </w:rPr>
        <w:t>详见公告</w:t>
      </w:r>
    </w:p>
    <w:p w14:paraId="1817AAE5">
      <w:pPr>
        <w:pStyle w:val="41"/>
        <w:widowControl w:val="0"/>
        <w:adjustRightInd w:val="0"/>
        <w:snapToGrid w:val="0"/>
        <w:spacing w:line="390" w:lineRule="atLeast"/>
        <w:rPr>
          <w:b/>
          <w:sz w:val="32"/>
          <w:szCs w:val="32"/>
        </w:rPr>
        <w:sectPr>
          <w:pgSz w:w="11906" w:h="16838"/>
          <w:pgMar w:top="1259" w:right="1287" w:bottom="1361" w:left="1622" w:header="709" w:footer="975" w:gutter="0"/>
          <w:cols w:space="720" w:num="1"/>
          <w:docGrid w:linePitch="360" w:charSpace="0"/>
        </w:sectPr>
      </w:pPr>
    </w:p>
    <w:p w14:paraId="5900C100">
      <w:pPr>
        <w:snapToGrid w:val="0"/>
        <w:spacing w:line="360" w:lineRule="auto"/>
        <w:ind w:right="480"/>
        <w:rPr>
          <w:b/>
          <w:sz w:val="32"/>
          <w:szCs w:val="32"/>
        </w:rPr>
        <w:sectPr>
          <w:pgSz w:w="11906" w:h="16838"/>
          <w:pgMar w:top="1259" w:right="1287" w:bottom="1361" w:left="1622" w:header="709" w:footer="975" w:gutter="0"/>
          <w:cols w:space="720" w:num="1"/>
          <w:docGrid w:linePitch="360" w:charSpace="0"/>
        </w:sectPr>
      </w:pPr>
      <w:r>
        <w:rPr>
          <w:b/>
          <w:sz w:val="32"/>
          <w:szCs w:val="32"/>
        </w:rPr>
        <w:t>一、</w:t>
      </w:r>
      <w:r>
        <w:rPr>
          <w:rFonts w:hint="eastAsia"/>
          <w:b/>
          <w:sz w:val="32"/>
          <w:szCs w:val="32"/>
        </w:rPr>
        <w:t>投标人</w:t>
      </w:r>
      <w:r>
        <w:rPr>
          <w:b/>
          <w:sz w:val="32"/>
          <w:szCs w:val="32"/>
        </w:rPr>
        <w:t>法人营业执照（副本）或事业单位法人证书（副本）或个体工商户营业执照或有效的自然人身份证明或社会团体法人登记证书（提供复印件</w:t>
      </w:r>
      <w:r>
        <w:rPr>
          <w:rFonts w:hint="eastAsia"/>
          <w:b/>
          <w:sz w:val="32"/>
          <w:szCs w:val="32"/>
        </w:rPr>
        <w:t>上传</w:t>
      </w:r>
      <w:r>
        <w:rPr>
          <w:b/>
          <w:sz w:val="32"/>
          <w:szCs w:val="32"/>
        </w:rPr>
        <w:t>）</w:t>
      </w:r>
    </w:p>
    <w:p w14:paraId="28BA3900">
      <w:pPr>
        <w:snapToGrid w:val="0"/>
        <w:spacing w:line="360" w:lineRule="auto"/>
        <w:ind w:right="480"/>
        <w:rPr>
          <w:b/>
          <w:sz w:val="32"/>
          <w:szCs w:val="32"/>
        </w:rPr>
      </w:pPr>
      <w:r>
        <w:rPr>
          <w:rFonts w:hint="eastAsia"/>
          <w:b/>
          <w:sz w:val="32"/>
          <w:szCs w:val="32"/>
        </w:rPr>
        <w:t>二</w:t>
      </w:r>
      <w:r>
        <w:rPr>
          <w:b/>
          <w:sz w:val="32"/>
          <w:szCs w:val="32"/>
        </w:rPr>
        <w:t>、 符合参加政府采购活动应当具备的一般条件的承诺函</w:t>
      </w:r>
    </w:p>
    <w:p w14:paraId="74E0C94C">
      <w:pPr>
        <w:snapToGrid w:val="0"/>
        <w:spacing w:line="360" w:lineRule="auto"/>
      </w:pPr>
      <w:r>
        <w:t>（采购人）、（采购代理机构）：</w:t>
      </w:r>
    </w:p>
    <w:p w14:paraId="70999B9C">
      <w:pPr>
        <w:snapToGrid w:val="0"/>
        <w:spacing w:line="360" w:lineRule="auto"/>
        <w:ind w:firstLine="480" w:firstLineChars="200"/>
      </w:pPr>
      <w:r>
        <w:t>我方参与</w:t>
      </w:r>
      <w:r>
        <w:rPr>
          <w:u w:val="single"/>
        </w:rPr>
        <w:t>（项目名称）             【项目编号：    】</w:t>
      </w:r>
      <w:r>
        <w:t>政府采购活动，郑重承诺：</w:t>
      </w:r>
    </w:p>
    <w:p w14:paraId="7D8B4624">
      <w:pPr>
        <w:snapToGrid w:val="0"/>
        <w:spacing w:line="360" w:lineRule="auto"/>
        <w:ind w:firstLine="360" w:firstLineChars="150"/>
      </w:pPr>
      <w:r>
        <w:t>（一）具备《中华人民共和国政府采购法》第二十二条第一款规定的条件：</w:t>
      </w:r>
    </w:p>
    <w:p w14:paraId="2192380C">
      <w:pPr>
        <w:snapToGrid w:val="0"/>
        <w:spacing w:line="360" w:lineRule="auto"/>
        <w:ind w:firstLine="480" w:firstLineChars="200"/>
      </w:pPr>
      <w:r>
        <w:t>1.具有独立承担民事责任的能力；</w:t>
      </w:r>
    </w:p>
    <w:p w14:paraId="44F0F1EA">
      <w:pPr>
        <w:snapToGrid w:val="0"/>
        <w:spacing w:line="360" w:lineRule="auto"/>
        <w:ind w:firstLine="480" w:firstLineChars="200"/>
      </w:pPr>
      <w:r>
        <w:t xml:space="preserve">2.具有良好的商业信誉和健全的财务会计制度； </w:t>
      </w:r>
    </w:p>
    <w:p w14:paraId="4625FC4F">
      <w:pPr>
        <w:snapToGrid w:val="0"/>
        <w:spacing w:line="360" w:lineRule="auto"/>
        <w:ind w:firstLine="480" w:firstLineChars="200"/>
      </w:pPr>
      <w:r>
        <w:t>3.具有履行合同所必需的设备和专业技术能力；</w:t>
      </w:r>
    </w:p>
    <w:p w14:paraId="36903D17">
      <w:pPr>
        <w:snapToGrid w:val="0"/>
        <w:spacing w:line="360" w:lineRule="auto"/>
        <w:ind w:firstLine="480" w:firstLineChars="200"/>
      </w:pPr>
      <w:r>
        <w:t>4.有依法缴纳税收和社会保障资金的良好记录；</w:t>
      </w:r>
    </w:p>
    <w:p w14:paraId="14D7568B">
      <w:pPr>
        <w:snapToGrid w:val="0"/>
        <w:spacing w:line="360" w:lineRule="auto"/>
        <w:ind w:firstLine="480" w:firstLineChars="200"/>
      </w:pPr>
      <w:r>
        <w:t>5.参加政府采购活动前三年内，在经营活动中没有重大违法记录；</w:t>
      </w:r>
    </w:p>
    <w:p w14:paraId="7BE2379D">
      <w:pPr>
        <w:snapToGrid w:val="0"/>
        <w:spacing w:line="360" w:lineRule="auto"/>
        <w:ind w:firstLine="480" w:firstLineChars="200"/>
      </w:pPr>
      <w:r>
        <w:t>6.具有法律、行政法规规定的其他条件。</w:t>
      </w:r>
    </w:p>
    <w:p w14:paraId="40FFFCF3">
      <w:pPr>
        <w:snapToGrid w:val="0"/>
        <w:spacing w:line="360" w:lineRule="auto"/>
        <w:ind w:firstLine="480" w:firstLineChars="200"/>
      </w:pPr>
      <w:r>
        <w:t>（二）未被信用中国（www.creditchina.gov.cn)、中国政府采购网（www.ccgp.gov.cn）列入失信被执行人、重大税收违法案件当事人名单、政府采购严重违法失信行为记录名单。</w:t>
      </w:r>
    </w:p>
    <w:p w14:paraId="38696AC6">
      <w:pPr>
        <w:snapToGrid w:val="0"/>
        <w:spacing w:line="360" w:lineRule="auto"/>
        <w:ind w:firstLine="480" w:firstLineChars="200"/>
      </w:pPr>
      <w:r>
        <w:t>（三）不存在以下情况：</w:t>
      </w:r>
    </w:p>
    <w:p w14:paraId="1A80025E">
      <w:pPr>
        <w:snapToGrid w:val="0"/>
        <w:spacing w:line="360" w:lineRule="auto"/>
        <w:ind w:firstLine="480" w:firstLineChars="200"/>
      </w:pPr>
      <w:r>
        <w:t>1.单位负责人为同一人或者存在直接控股、管理关系的不同供应商参加同一合同项下的政府采购活动的；</w:t>
      </w:r>
    </w:p>
    <w:p w14:paraId="1E620C49">
      <w:pPr>
        <w:snapToGrid w:val="0"/>
        <w:spacing w:line="360" w:lineRule="auto"/>
        <w:ind w:firstLine="480" w:firstLineChars="200"/>
      </w:pPr>
      <w:r>
        <w:t>2.为采购项目提供整体设计、规范编制或者项目管理、监理、检测等服务后再参加该采购项目的其他采购活动的。</w:t>
      </w:r>
    </w:p>
    <w:p w14:paraId="2DB370CD">
      <w:pPr>
        <w:pStyle w:val="2"/>
        <w:ind w:left="480" w:firstLine="480"/>
      </w:pPr>
    </w:p>
    <w:p w14:paraId="0BDA8F0D">
      <w:pPr>
        <w:pStyle w:val="2"/>
        <w:ind w:left="480" w:firstLine="480"/>
      </w:pPr>
    </w:p>
    <w:p w14:paraId="272C9BF0">
      <w:pPr>
        <w:pStyle w:val="26"/>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投标人（电子签章）：__________________________</w:t>
      </w:r>
    </w:p>
    <w:p w14:paraId="0BAA8CC8">
      <w:pPr>
        <w:pStyle w:val="26"/>
        <w:widowControl w:val="0"/>
        <w:adjustRightInd w:val="0"/>
        <w:snapToGrid w:val="0"/>
        <w:spacing w:before="0" w:beforeAutospacing="0" w:after="0" w:afterAutospacing="0"/>
        <w:ind w:firstLine="900" w:firstLineChars="375"/>
        <w:jc w:val="right"/>
        <w:rPr>
          <w:rFonts w:ascii="Times New Roman" w:hAnsi="Times New Roman"/>
        </w:rPr>
      </w:pPr>
      <w:r>
        <w:rPr>
          <w:rFonts w:ascii="Times New Roman" w:hAnsi="Times New Roman"/>
        </w:rPr>
        <w:t>日期：____年____月____日</w:t>
      </w:r>
    </w:p>
    <w:p w14:paraId="073FAB0A">
      <w:pPr>
        <w:snapToGrid w:val="0"/>
        <w:spacing w:line="360" w:lineRule="auto"/>
        <w:ind w:right="480"/>
        <w:jc w:val="center"/>
        <w:rPr>
          <w:rFonts w:eastAsia="仿宋_GB2312"/>
          <w:b/>
          <w:sz w:val="32"/>
          <w:szCs w:val="32"/>
        </w:rPr>
      </w:pPr>
    </w:p>
    <w:p w14:paraId="0C4E49D3">
      <w:pPr>
        <w:snapToGrid w:val="0"/>
        <w:spacing w:line="360" w:lineRule="auto"/>
        <w:ind w:right="480"/>
        <w:rPr>
          <w:rFonts w:hint="eastAsia" w:ascii="仿宋_GB2312" w:hAnsi="仿宋" w:eastAsia="仿宋_GB2312" w:cs="仿宋_GB2312"/>
          <w:b/>
          <w:sz w:val="32"/>
          <w:szCs w:val="32"/>
        </w:rPr>
      </w:pPr>
      <w:r>
        <w:rPr>
          <w:rFonts w:hint="eastAsia" w:ascii="仿宋_GB2312" w:hAnsi="仿宋" w:eastAsia="仿宋_GB2312" w:cs="仿宋_GB2312"/>
          <w:b/>
          <w:sz w:val="32"/>
          <w:szCs w:val="32"/>
        </w:rPr>
        <w:t>----------------------------------------------------</w:t>
      </w:r>
    </w:p>
    <w:p w14:paraId="4CFA569E">
      <w:pPr>
        <w:pStyle w:val="2"/>
        <w:ind w:left="0" w:leftChars="0" w:firstLine="0" w:firstLineChars="0"/>
        <w:sectPr>
          <w:pgSz w:w="11906" w:h="16838"/>
          <w:pgMar w:top="1259" w:right="1287" w:bottom="1361" w:left="1622" w:header="709" w:footer="975" w:gutter="0"/>
          <w:cols w:space="720" w:num="1"/>
          <w:docGrid w:linePitch="360" w:charSpace="0"/>
        </w:sectPr>
      </w:pPr>
      <w:r>
        <w:rPr>
          <w:rFonts w:hint="eastAsia"/>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6D7A7B16">
      <w:pPr>
        <w:snapToGrid w:val="0"/>
        <w:spacing w:line="360" w:lineRule="auto"/>
        <w:ind w:right="480"/>
        <w:jc w:val="center"/>
        <w:rPr>
          <w:rFonts w:hint="eastAsia" w:ascii="宋体" w:hAnsi="宋体" w:cs="仿宋_GB2312"/>
          <w:b/>
          <w:sz w:val="32"/>
          <w:szCs w:val="32"/>
        </w:rPr>
      </w:pPr>
      <w:r>
        <w:rPr>
          <w:rFonts w:hint="eastAsia" w:ascii="宋体" w:hAnsi="宋体" w:cs="仿宋_GB2312"/>
          <w:b/>
          <w:sz w:val="32"/>
          <w:szCs w:val="32"/>
        </w:rPr>
        <w:t>三</w:t>
      </w:r>
      <w:r>
        <w:rPr>
          <w:rFonts w:ascii="宋体" w:hAnsi="宋体" w:cs="仿宋_GB2312"/>
          <w:b/>
          <w:sz w:val="32"/>
          <w:szCs w:val="32"/>
        </w:rPr>
        <w:t>、落实政府采购政策需满足的资格要求</w:t>
      </w:r>
    </w:p>
    <w:p w14:paraId="60DF84C3">
      <w:pPr>
        <w:spacing w:line="360" w:lineRule="auto"/>
        <w:rPr>
          <w:rFonts w:hint="eastAsia" w:ascii="宋体" w:hAnsi="宋体"/>
          <w:b/>
        </w:rPr>
      </w:pPr>
      <w:r>
        <w:rPr>
          <w:rFonts w:ascii="宋体" w:hAnsi="宋体"/>
          <w:b/>
        </w:rPr>
        <w:t>（根据公告</w:t>
      </w:r>
      <w:r>
        <w:rPr>
          <w:rFonts w:hint="eastAsia" w:ascii="宋体" w:hAnsi="宋体"/>
          <w:b/>
        </w:rPr>
        <w:t>中</w:t>
      </w:r>
      <w:r>
        <w:rPr>
          <w:rFonts w:ascii="宋体" w:hAnsi="宋体"/>
          <w:b/>
        </w:rPr>
        <w:t>落实政府采购政策需满足的资格要求选择提供相应的材料；未要求的，无需提供）</w:t>
      </w:r>
    </w:p>
    <w:p w14:paraId="7B026DA8">
      <w:pPr>
        <w:pStyle w:val="26"/>
        <w:widowControl w:val="0"/>
        <w:adjustRightInd w:val="0"/>
        <w:snapToGrid w:val="0"/>
        <w:ind w:firstLine="643"/>
        <w:jc w:val="center"/>
        <w:rPr>
          <w:rFonts w:ascii="Times New Roman" w:hAnsi="Times New Roman"/>
          <w:b/>
          <w:color w:val="000000"/>
          <w:sz w:val="32"/>
          <w:szCs w:val="32"/>
        </w:rPr>
      </w:pPr>
      <w:r>
        <w:rPr>
          <w:rFonts w:hint="eastAsia" w:ascii="Times New Roman" w:hAnsi="Times New Roman"/>
          <w:b/>
          <w:color w:val="000000"/>
          <w:sz w:val="32"/>
          <w:szCs w:val="32"/>
        </w:rPr>
        <w:t>中小企业声明函（服务、工程）</w:t>
      </w:r>
    </w:p>
    <w:p w14:paraId="3A582B45">
      <w:pPr>
        <w:shd w:val="clear" w:color="auto" w:fill="FFFFFF"/>
        <w:spacing w:before="100" w:beforeAutospacing="1" w:after="100" w:afterAutospacing="1" w:line="360" w:lineRule="auto"/>
        <w:ind w:firstLine="480" w:firstLineChars="200"/>
        <w:rPr>
          <w:rFonts w:ascii="宋体" w:hAnsi="宋体"/>
        </w:rPr>
      </w:pPr>
      <w:r>
        <w:rPr>
          <w:rFonts w:hint="eastAsia" w:ascii="宋体" w:hAnsi="宋体"/>
        </w:rPr>
        <w:t>本公司郑重声明，根据《政府采购促进中小企业发展管理办法》（财库[2020]46号）的规定，本公司 （联合体）参加</w:t>
      </w:r>
      <w:r>
        <w:rPr>
          <w:rFonts w:hint="eastAsia" w:ascii="宋体" w:hAnsi="宋体"/>
          <w:u w:val="single"/>
        </w:rPr>
        <w:t xml:space="preserve">       </w:t>
      </w:r>
      <w:r>
        <w:rPr>
          <w:rFonts w:hint="eastAsia" w:ascii="宋体" w:hAnsi="宋体"/>
        </w:rPr>
        <w:t>（单位名称）的</w:t>
      </w:r>
      <w:r>
        <w:rPr>
          <w:rFonts w:hint="eastAsia" w:ascii="宋体" w:hAnsi="宋体"/>
          <w:u w:val="single"/>
        </w:rPr>
        <w:t xml:space="preserve">            </w:t>
      </w:r>
      <w:r>
        <w:rPr>
          <w:rFonts w:hint="eastAsia" w:ascii="宋体" w:hAnsi="宋体"/>
        </w:rPr>
        <w:t>（项目名称）采购活动，服务全部由符合政策要求的中小企业承接（或者：工程的施工单位全部为符合政策要求的中小企业）。相关企业（含联合体中的中小企业、签订分包意向协议的中小企业）的具体情况如下：</w:t>
      </w:r>
    </w:p>
    <w:p w14:paraId="5F74D903">
      <w:pPr>
        <w:shd w:val="clear" w:color="auto" w:fill="FFFFFF"/>
        <w:spacing w:before="100" w:beforeAutospacing="1" w:after="100" w:afterAutospacing="1" w:line="360" w:lineRule="auto"/>
        <w:ind w:firstLine="480" w:firstLineChars="200"/>
        <w:rPr>
          <w:rFonts w:hint="eastAsia" w:ascii="宋体" w:hAnsi="宋体"/>
        </w:rPr>
      </w:pPr>
      <w:r>
        <w:rPr>
          <w:rFonts w:hint="eastAsia" w:ascii="宋体" w:hAnsi="宋体"/>
        </w:rPr>
        <w:t>1._____（标的名称），属于（采购文件中明确的所属行业）行业；承接企业为（企业名称），从业人员_____人，营业收入为_____万元，资产总额为_____万元</w:t>
      </w:r>
      <w:r>
        <w:rPr>
          <w:rFonts w:hint="eastAsia" w:ascii="宋体" w:hAnsi="宋体" w:cs="宋体"/>
        </w:rPr>
        <w:t>¹</w:t>
      </w:r>
      <w:r>
        <w:rPr>
          <w:rFonts w:hint="eastAsia" w:ascii="宋体" w:hAnsi="宋体" w:cs="仿宋_GB2312"/>
        </w:rPr>
        <w:t>，属于（中型企业、小型企业、微型企业）</w:t>
      </w:r>
    </w:p>
    <w:p w14:paraId="51FC629A">
      <w:pPr>
        <w:shd w:val="clear" w:color="auto" w:fill="FFFFFF"/>
        <w:spacing w:before="100" w:beforeAutospacing="1" w:after="100" w:afterAutospacing="1" w:line="360" w:lineRule="auto"/>
        <w:ind w:firstLine="482" w:firstLineChars="200"/>
        <w:rPr>
          <w:rFonts w:hint="eastAsia" w:ascii="宋体" w:hAnsi="宋体"/>
          <w:b/>
          <w:bCs/>
        </w:rPr>
      </w:pPr>
      <w:r>
        <w:rPr>
          <w:rFonts w:hint="eastAsia" w:ascii="宋体" w:hAnsi="宋体"/>
          <w:b/>
          <w:bCs/>
        </w:rPr>
        <w:t>以上企业，不属于大型企业的分支机构，不存在控股股东为大型企业的情形，也不存在与大企业的负责人为同一人的情形。</w:t>
      </w:r>
    </w:p>
    <w:p w14:paraId="129B820E">
      <w:pPr>
        <w:shd w:val="clear" w:color="auto" w:fill="FFFFFF"/>
        <w:spacing w:before="100" w:beforeAutospacing="1" w:after="100" w:afterAutospacing="1" w:line="360" w:lineRule="auto"/>
        <w:ind w:firstLine="480" w:firstLineChars="200"/>
        <w:rPr>
          <w:rFonts w:hint="eastAsia" w:ascii="宋体" w:hAnsi="宋体"/>
        </w:rPr>
      </w:pPr>
      <w:r>
        <w:rPr>
          <w:rFonts w:hint="eastAsia" w:ascii="宋体" w:hAnsi="宋体"/>
        </w:rPr>
        <w:t>本企业对上述声明内容的真实性负责。如有虚假，将依法承担相应责任。</w:t>
      </w:r>
    </w:p>
    <w:p w14:paraId="1628AF88">
      <w:pPr>
        <w:shd w:val="clear" w:color="auto" w:fill="FFFFFF"/>
        <w:spacing w:before="100" w:beforeAutospacing="1" w:after="100" w:afterAutospacing="1" w:line="360" w:lineRule="auto"/>
        <w:rPr>
          <w:rFonts w:hint="eastAsia" w:ascii="宋体" w:hAnsi="宋体"/>
        </w:rPr>
      </w:pPr>
      <w:r>
        <w:rPr>
          <w:rFonts w:hint="eastAsia" w:ascii="宋体" w:hAnsi="宋体"/>
        </w:rPr>
        <w:t>　　　　　　  　　　　　　　　　　　　　　　　　　　企业名称（盖章）：</w:t>
      </w:r>
    </w:p>
    <w:p w14:paraId="18818D86">
      <w:pPr>
        <w:shd w:val="clear" w:color="auto" w:fill="FFFFFF"/>
        <w:spacing w:before="100" w:beforeAutospacing="1" w:after="100" w:afterAutospacing="1" w:line="360" w:lineRule="auto"/>
        <w:rPr>
          <w:rFonts w:hint="eastAsia" w:ascii="宋体" w:hAnsi="宋体"/>
        </w:rPr>
      </w:pPr>
      <w:r>
        <w:rPr>
          <w:rFonts w:hint="eastAsia" w:ascii="宋体" w:hAnsi="宋体"/>
        </w:rPr>
        <w:t>　　　　　　　　　　　　　　　　　　　　　　　　　　　日  期：</w:t>
      </w:r>
    </w:p>
    <w:p w14:paraId="37ACD075">
      <w:pPr>
        <w:spacing w:after="120"/>
        <w:ind w:left="200" w:firstLine="200"/>
        <w:rPr>
          <w:rFonts w:ascii="宋体" w:hAnsi="宋体"/>
          <w:color w:val="000000"/>
        </w:rPr>
      </w:pPr>
      <w:r>
        <w:rPr>
          <w:rFonts w:ascii="宋体" w:hAnsi="宋体"/>
          <w:color w:val="000000"/>
        </w:rPr>
        <w:t>-----------------------------------------------------------------------</w:t>
      </w:r>
    </w:p>
    <w:p w14:paraId="78CB51F2">
      <w:pPr>
        <w:pStyle w:val="26"/>
        <w:widowControl w:val="0"/>
        <w:adjustRightInd w:val="0"/>
        <w:snapToGrid w:val="0"/>
        <w:rPr>
          <w:color w:val="000000"/>
        </w:rPr>
      </w:pPr>
      <w:r>
        <w:rPr>
          <w:color w:val="000000"/>
        </w:rPr>
        <w:t>¹从业人员、营业收入、资产总额填报上一年度的数据，无上一年度数据的新成立企业可不填报。</w:t>
      </w:r>
    </w:p>
    <w:p w14:paraId="41779BED">
      <w:pPr>
        <w:tabs>
          <w:tab w:val="left" w:pos="6300"/>
        </w:tabs>
        <w:snapToGrid w:val="0"/>
        <w:spacing w:line="500" w:lineRule="exact"/>
        <w:rPr>
          <w:rFonts w:ascii="宋体" w:hAnsi="宋体"/>
          <w:sz w:val="22"/>
          <w:szCs w:val="22"/>
        </w:rPr>
      </w:pPr>
    </w:p>
    <w:p w14:paraId="5285F5F7">
      <w:pPr>
        <w:tabs>
          <w:tab w:val="left" w:pos="6300"/>
        </w:tabs>
        <w:snapToGrid w:val="0"/>
        <w:spacing w:line="500" w:lineRule="exact"/>
        <w:rPr>
          <w:rFonts w:ascii="宋体" w:hAnsi="宋体"/>
          <w:sz w:val="22"/>
          <w:szCs w:val="22"/>
        </w:rPr>
      </w:pPr>
    </w:p>
    <w:p w14:paraId="2F900081">
      <w:pPr>
        <w:tabs>
          <w:tab w:val="left" w:pos="6300"/>
        </w:tabs>
        <w:snapToGrid w:val="0"/>
        <w:spacing w:line="500" w:lineRule="exact"/>
        <w:rPr>
          <w:rFonts w:ascii="宋体" w:hAnsi="宋体"/>
          <w:sz w:val="22"/>
          <w:szCs w:val="22"/>
        </w:rPr>
      </w:pPr>
    </w:p>
    <w:p w14:paraId="7A6B813E">
      <w:pPr>
        <w:tabs>
          <w:tab w:val="left" w:pos="6300"/>
        </w:tabs>
        <w:snapToGrid w:val="0"/>
        <w:spacing w:line="500" w:lineRule="exact"/>
        <w:rPr>
          <w:rFonts w:ascii="宋体" w:hAnsi="宋体"/>
          <w:sz w:val="22"/>
          <w:szCs w:val="22"/>
        </w:rPr>
      </w:pPr>
    </w:p>
    <w:p w14:paraId="2421905A">
      <w:pPr>
        <w:tabs>
          <w:tab w:val="left" w:pos="6300"/>
        </w:tabs>
        <w:snapToGrid w:val="0"/>
        <w:spacing w:line="500" w:lineRule="exact"/>
        <w:rPr>
          <w:rFonts w:hint="eastAsia" w:ascii="宋体" w:hAnsi="宋体"/>
          <w:sz w:val="22"/>
          <w:szCs w:val="22"/>
        </w:rPr>
      </w:pPr>
      <w:r>
        <w:rPr>
          <w:rFonts w:hint="eastAsia" w:ascii="宋体" w:hAnsi="宋体"/>
          <w:sz w:val="22"/>
          <w:szCs w:val="22"/>
        </w:rPr>
        <w:t>注：各行业划型标准：</w:t>
      </w:r>
    </w:p>
    <w:p w14:paraId="7E3B2281">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（一）农、林、牧、渔业。营业收入20000万元以下的为中小微型企业。其中，营业收入500万元及以上的为中型企业，营业收入50万元及以上的为小型企业，营业收入50万元以下的为微型企业。</w:t>
      </w:r>
    </w:p>
    <w:p w14:paraId="52670B20">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C1F6B1">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EB7EAA">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6670D">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7116B3">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F0E78B">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BC4611">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90DEB2D">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6339DA">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CEB79A">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0771CE">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02EC3F">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AACA78">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BA78AD">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CC61E6">
      <w:pPr>
        <w:tabs>
          <w:tab w:val="left" w:pos="6300"/>
        </w:tabs>
        <w:snapToGrid w:val="0"/>
        <w:spacing w:line="400" w:lineRule="exact"/>
        <w:ind w:firstLine="440" w:firstLineChars="200"/>
        <w:rPr>
          <w:rFonts w:hint="eastAsia" w:ascii="宋体" w:hAnsi="宋体"/>
          <w:sz w:val="22"/>
          <w:szCs w:val="22"/>
        </w:rPr>
      </w:pPr>
      <w:r>
        <w:rPr>
          <w:rFonts w:hint="eastAsia" w:ascii="宋体" w:hAnsi="宋体"/>
          <w:sz w:val="22"/>
          <w:szCs w:val="22"/>
        </w:rPr>
        <w:t>（十六）其他未列明行业。从业人员300人以下的为中小微型企业。其中，从业人员100人及以上的为中型企业；从业人员10人及以上的为小型企业；从业人员10人以下的为微型企业。</w:t>
      </w:r>
    </w:p>
    <w:p w14:paraId="5937D1F9">
      <w:pPr>
        <w:pStyle w:val="26"/>
        <w:widowControl w:val="0"/>
        <w:adjustRightInd w:val="0"/>
        <w:snapToGrid w:val="0"/>
        <w:spacing w:line="300" w:lineRule="exact"/>
        <w:rPr>
          <w:rFonts w:hint="eastAsia"/>
          <w:color w:val="FF0000"/>
        </w:rPr>
        <w:sectPr>
          <w:pgSz w:w="11906" w:h="16838"/>
          <w:pgMar w:top="1259" w:right="1287" w:bottom="1361" w:left="1622" w:header="709" w:footer="975" w:gutter="0"/>
          <w:cols w:space="720" w:num="1"/>
          <w:docGrid w:linePitch="360" w:charSpace="0"/>
        </w:sectPr>
      </w:pPr>
    </w:p>
    <w:p w14:paraId="087E474B">
      <w:pPr>
        <w:widowControl w:val="0"/>
        <w:autoSpaceDE w:val="0"/>
        <w:autoSpaceDN w:val="0"/>
        <w:adjustRightInd w:val="0"/>
        <w:jc w:val="center"/>
        <w:rPr>
          <w:b/>
          <w:sz w:val="32"/>
          <w:szCs w:val="32"/>
        </w:rPr>
      </w:pPr>
      <w:r>
        <w:rPr>
          <w:b/>
          <w:sz w:val="32"/>
          <w:szCs w:val="32"/>
        </w:rPr>
        <w:t>残疾人福利性单位声明函</w:t>
      </w:r>
    </w:p>
    <w:p w14:paraId="6F02FEF6">
      <w:pPr>
        <w:shd w:val="clear" w:color="auto" w:fill="FFFFFF"/>
        <w:spacing w:before="100" w:beforeAutospacing="1" w:after="100" w:afterAutospacing="1" w:line="360" w:lineRule="auto"/>
        <w:ind w:firstLine="480" w:firstLineChars="200"/>
        <w:rPr>
          <w:color w:val="000000"/>
        </w:rPr>
      </w:pPr>
      <w:r>
        <w:rPr>
          <w:color w:val="00000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79B46F">
      <w:pPr>
        <w:shd w:val="clear" w:color="auto" w:fill="FFFFFF"/>
        <w:spacing w:before="100" w:beforeAutospacing="1" w:after="100" w:afterAutospacing="1" w:line="360" w:lineRule="auto"/>
        <w:rPr>
          <w:color w:val="000000"/>
        </w:rPr>
      </w:pPr>
      <w:r>
        <w:rPr>
          <w:color w:val="000000"/>
        </w:rPr>
        <w:t>本单位对上述声明的真实性负责。如有虚假，将依法承担相应责任。</w:t>
      </w:r>
    </w:p>
    <w:p w14:paraId="38CDAE3E">
      <w:pPr>
        <w:shd w:val="clear" w:color="auto" w:fill="FFFFFF"/>
        <w:spacing w:before="100" w:beforeAutospacing="1" w:after="100" w:afterAutospacing="1" w:line="360" w:lineRule="auto"/>
        <w:rPr>
          <w:color w:val="000000"/>
        </w:rPr>
      </w:pPr>
    </w:p>
    <w:p w14:paraId="33B70230">
      <w:pPr>
        <w:shd w:val="clear" w:color="auto" w:fill="FFFFFF"/>
        <w:spacing w:before="100" w:beforeAutospacing="1" w:after="100" w:afterAutospacing="1" w:line="360" w:lineRule="auto"/>
        <w:ind w:firstLine="6360" w:firstLineChars="2650"/>
        <w:rPr>
          <w:color w:val="000000"/>
        </w:rPr>
      </w:pPr>
      <w:r>
        <w:t>投标人</w:t>
      </w:r>
      <w:r>
        <w:rPr>
          <w:rFonts w:ascii="宋体" w:hAnsi="宋体"/>
          <w:color w:val="000000"/>
        </w:rPr>
        <w:t>（电子签章）</w:t>
      </w:r>
      <w:r>
        <w:t>：</w:t>
      </w:r>
    </w:p>
    <w:p w14:paraId="74805C56">
      <w:pPr>
        <w:shd w:val="clear" w:color="auto" w:fill="FFFFFF"/>
        <w:spacing w:before="100" w:beforeAutospacing="1" w:after="100" w:afterAutospacing="1" w:line="360" w:lineRule="auto"/>
        <w:rPr>
          <w:color w:val="000000"/>
        </w:rPr>
      </w:pPr>
      <w:r>
        <w:rPr>
          <w:color w:val="000000"/>
        </w:rPr>
        <w:t>　　　　　　　　　　　　　　　　　　　　　　　　　　　日  期：</w:t>
      </w:r>
    </w:p>
    <w:p w14:paraId="4FAA0BAA">
      <w:pPr>
        <w:shd w:val="clear" w:color="auto" w:fill="FFFFFF"/>
        <w:spacing w:before="100" w:beforeAutospacing="1" w:after="100" w:afterAutospacing="1" w:line="360" w:lineRule="auto"/>
        <w:rPr>
          <w:color w:val="000000"/>
        </w:rPr>
      </w:pPr>
    </w:p>
    <w:p w14:paraId="2AEFE2E2">
      <w:pPr>
        <w:widowControl w:val="0"/>
        <w:autoSpaceDE w:val="0"/>
        <w:autoSpaceDN w:val="0"/>
        <w:adjustRightInd w:val="0"/>
        <w:jc w:val="center"/>
        <w:rPr>
          <w:b/>
          <w:sz w:val="32"/>
          <w:szCs w:val="32"/>
        </w:rPr>
      </w:pPr>
      <w:r>
        <w:rPr>
          <w:b/>
          <w:sz w:val="32"/>
          <w:szCs w:val="32"/>
        </w:rPr>
        <w:t>监狱企业证明文件</w:t>
      </w:r>
    </w:p>
    <w:p w14:paraId="47733684">
      <w:pPr>
        <w:pStyle w:val="26"/>
        <w:widowControl w:val="0"/>
        <w:adjustRightInd w:val="0"/>
        <w:snapToGrid w:val="0"/>
        <w:spacing w:before="0" w:beforeAutospacing="0" w:after="0" w:afterAutospacing="0"/>
        <w:rPr>
          <w:rFonts w:ascii="Times New Roman" w:hAnsi="Times New Roman"/>
          <w:color w:val="000000"/>
        </w:rPr>
      </w:pPr>
      <w:r>
        <w:rPr>
          <w:rFonts w:ascii="Times New Roman" w:hAnsi="Times New Roman"/>
          <w:color w:val="000000"/>
        </w:rPr>
        <w:t>注：监狱企业参加政府采购活动时，应当提供由省级以上监狱管理局、戒毒管理局（含新疆生产建设兵团）出具的属于监狱企业的证明文件</w:t>
      </w:r>
      <w:r>
        <w:rPr>
          <w:rFonts w:hint="eastAsia" w:ascii="Times New Roman" w:hAnsi="Times New Roman"/>
          <w:color w:val="000000"/>
        </w:rPr>
        <w:t>。</w:t>
      </w:r>
    </w:p>
    <w:p w14:paraId="3EF17C3A">
      <w:pPr>
        <w:pStyle w:val="26"/>
        <w:widowControl w:val="0"/>
        <w:adjustRightInd w:val="0"/>
        <w:snapToGrid w:val="0"/>
        <w:spacing w:line="300" w:lineRule="exact"/>
        <w:rPr>
          <w:rFonts w:hint="eastAsia"/>
          <w:color w:val="FF0000"/>
        </w:rPr>
        <w:sectPr>
          <w:pgSz w:w="11906" w:h="16838"/>
          <w:pgMar w:top="1259" w:right="1287" w:bottom="1361" w:left="1622" w:header="709" w:footer="975" w:gutter="0"/>
          <w:cols w:space="720" w:num="1"/>
          <w:docGrid w:linePitch="360" w:charSpace="0"/>
        </w:sectPr>
      </w:pPr>
    </w:p>
    <w:p w14:paraId="3796F968">
      <w:pPr>
        <w:spacing w:line="360" w:lineRule="auto"/>
        <w:ind w:left="150"/>
        <w:jc w:val="center"/>
        <w:rPr>
          <w:rFonts w:hint="eastAsia" w:ascii="宋体" w:hAnsi="宋体" w:cs="仿宋_GB2312"/>
          <w:b/>
          <w:sz w:val="32"/>
          <w:szCs w:val="32"/>
        </w:rPr>
      </w:pPr>
      <w:r>
        <w:rPr>
          <w:rFonts w:hint="eastAsia" w:ascii="宋体" w:hAnsi="宋体" w:cs="仿宋_GB2312"/>
          <w:b/>
          <w:sz w:val="32"/>
          <w:szCs w:val="32"/>
        </w:rPr>
        <w:t>四、本项目的特定资格要求</w:t>
      </w:r>
    </w:p>
    <w:p w14:paraId="786CBAA4">
      <w:pPr>
        <w:spacing w:line="360" w:lineRule="auto"/>
        <w:jc w:val="center"/>
        <w:rPr>
          <w:rFonts w:hint="eastAsia" w:ascii="宋体" w:hAnsi="宋体" w:cs="仿宋_GB2312"/>
        </w:rPr>
        <w:sectPr>
          <w:pgSz w:w="11906" w:h="16838"/>
          <w:pgMar w:top="1259" w:right="1287" w:bottom="1361" w:left="1622" w:header="709" w:footer="975" w:gutter="0"/>
          <w:cols w:space="720" w:num="1"/>
          <w:docGrid w:linePitch="360" w:charSpace="0"/>
        </w:sectPr>
      </w:pPr>
      <w:r>
        <w:rPr>
          <w:rFonts w:hint="eastAsia" w:ascii="宋体" w:hAnsi="宋体" w:cs="仿宋_GB2312"/>
        </w:rPr>
        <w:t>（根据公告中本项目的特定资格要求</w:t>
      </w:r>
      <w:r>
        <w:rPr>
          <w:rFonts w:hint="eastAsia" w:ascii="宋体" w:hAnsi="宋体"/>
        </w:rPr>
        <w:t>提供相应的材料；未要求的，无需提供</w:t>
      </w:r>
      <w:r>
        <w:rPr>
          <w:rFonts w:hint="eastAsia" w:ascii="宋体" w:hAnsi="宋体" w:cs="仿宋_GB2312"/>
        </w:rPr>
        <w:t>）</w:t>
      </w:r>
    </w:p>
    <w:p w14:paraId="1B7D7DE4">
      <w:pPr>
        <w:pStyle w:val="41"/>
        <w:widowControl w:val="0"/>
        <w:adjustRightInd w:val="0"/>
        <w:snapToGrid w:val="0"/>
        <w:spacing w:line="276" w:lineRule="auto"/>
        <w:rPr>
          <w:rFonts w:hint="default" w:ascii="Times New Roman" w:hAnsi="Times New Roman"/>
          <w:b/>
          <w:sz w:val="32"/>
          <w:szCs w:val="32"/>
        </w:rPr>
      </w:pPr>
      <w:r>
        <w:rPr>
          <w:rFonts w:hint="default" w:ascii="Times New Roman" w:hAnsi="Times New Roman"/>
          <w:b/>
          <w:sz w:val="32"/>
          <w:szCs w:val="32"/>
        </w:rPr>
        <w:t>技术资信文件：</w:t>
      </w:r>
    </w:p>
    <w:p w14:paraId="37BFB7DD">
      <w:pPr>
        <w:pStyle w:val="41"/>
        <w:widowControl w:val="0"/>
        <w:adjustRightInd w:val="0"/>
        <w:snapToGrid w:val="0"/>
        <w:spacing w:line="276" w:lineRule="auto"/>
        <w:jc w:val="center"/>
        <w:rPr>
          <w:rFonts w:hint="default" w:ascii="Times New Roman" w:hAnsi="Times New Roman"/>
          <w:b/>
          <w:sz w:val="32"/>
          <w:szCs w:val="32"/>
        </w:rPr>
      </w:pPr>
      <w:r>
        <w:rPr>
          <w:rFonts w:hint="default" w:ascii="Times New Roman" w:hAnsi="Times New Roman"/>
          <w:b/>
          <w:sz w:val="32"/>
          <w:szCs w:val="32"/>
        </w:rPr>
        <w:t>目录</w:t>
      </w:r>
    </w:p>
    <w:p w14:paraId="18CFEBE3">
      <w:pPr>
        <w:widowControl w:val="0"/>
        <w:adjustRightInd w:val="0"/>
        <w:snapToGrid w:val="0"/>
        <w:spacing w:line="360" w:lineRule="auto"/>
        <w:ind w:firstLine="537" w:firstLineChars="224"/>
      </w:pPr>
      <w:r>
        <w:t>1.投标函。</w:t>
      </w:r>
    </w:p>
    <w:p w14:paraId="7871A6D6">
      <w:pPr>
        <w:widowControl w:val="0"/>
        <w:adjustRightInd w:val="0"/>
        <w:snapToGrid w:val="0"/>
        <w:spacing w:line="360" w:lineRule="auto"/>
        <w:ind w:firstLine="537" w:firstLineChars="224"/>
      </w:pPr>
      <w:r>
        <w:rPr>
          <w:color w:val="000000"/>
        </w:rPr>
        <w:t>2.法定代表人（负责人）授权委托书（法定代表人或负责人亲自参加的仅须提供</w:t>
      </w:r>
      <w:r>
        <w:t>身份证复印件）；</w:t>
      </w:r>
    </w:p>
    <w:p w14:paraId="5FEFC40C">
      <w:pPr>
        <w:widowControl w:val="0"/>
        <w:adjustRightInd w:val="0"/>
        <w:snapToGrid w:val="0"/>
        <w:spacing w:line="360" w:lineRule="auto"/>
        <w:ind w:firstLine="537" w:firstLineChars="224"/>
      </w:pPr>
      <w:r>
        <w:t>3.投标货物技术参数明细表。</w:t>
      </w:r>
    </w:p>
    <w:p w14:paraId="63367DCE">
      <w:pPr>
        <w:widowControl w:val="0"/>
        <w:adjustRightInd w:val="0"/>
        <w:snapToGrid w:val="0"/>
        <w:spacing w:line="360" w:lineRule="auto"/>
        <w:ind w:firstLine="537" w:firstLineChars="224"/>
      </w:pPr>
      <w:r>
        <w:t>4.技术要求偏离表。（投标人拟提供的技术要求与招标文件中的要求不一致时，则必须在《技术要求偏离表》中予以明确，否则将视为投标人完全响应招标文件的要求，并以招标文件作为合同条件。）</w:t>
      </w:r>
    </w:p>
    <w:p w14:paraId="55879FCC">
      <w:pPr>
        <w:widowControl w:val="0"/>
        <w:adjustRightInd w:val="0"/>
        <w:snapToGrid w:val="0"/>
        <w:spacing w:line="360" w:lineRule="auto"/>
        <w:ind w:firstLine="537" w:firstLineChars="224"/>
      </w:pPr>
      <w:r>
        <w:t>5.服务要求偏离表。（投标人拟提供的服务要求与</w:t>
      </w:r>
      <w:r>
        <w:rPr>
          <w:u w:val="thick" w:color="FFFFFF"/>
        </w:rPr>
        <w:t>招标文件</w:t>
      </w:r>
      <w:r>
        <w:t>中的要求不一致时，则必须在《服务要求偏离表》中予以明确，否则将视为投标人完全响应</w:t>
      </w:r>
      <w:r>
        <w:rPr>
          <w:u w:val="thick" w:color="FFFFFF"/>
        </w:rPr>
        <w:t>招标文件</w:t>
      </w:r>
      <w:r>
        <w:t>的要求，并以</w:t>
      </w:r>
      <w:r>
        <w:rPr>
          <w:u w:val="thick" w:color="FFFFFF"/>
        </w:rPr>
        <w:t>招标文件</w:t>
      </w:r>
      <w:r>
        <w:t>作为合同条件。）</w:t>
      </w:r>
    </w:p>
    <w:p w14:paraId="75E8182B">
      <w:pPr>
        <w:widowControl w:val="0"/>
        <w:adjustRightInd w:val="0"/>
        <w:snapToGrid w:val="0"/>
        <w:spacing w:line="360" w:lineRule="auto"/>
        <w:ind w:firstLine="537" w:firstLineChars="224"/>
      </w:pPr>
      <w:r>
        <w:t>6.项目实施人员一览表。</w:t>
      </w:r>
    </w:p>
    <w:p w14:paraId="128D49C7">
      <w:pPr>
        <w:widowControl w:val="0"/>
        <w:adjustRightInd w:val="0"/>
        <w:snapToGrid w:val="0"/>
        <w:spacing w:line="360" w:lineRule="auto"/>
        <w:ind w:firstLine="537" w:firstLineChars="224"/>
      </w:pPr>
      <w:r>
        <w:t>7.服务计划书（例：质量保证措施及承诺，服务措施及承诺，售后服务措施及承诺，其他服务措施及承诺）。</w:t>
      </w:r>
    </w:p>
    <w:p w14:paraId="44735617">
      <w:pPr>
        <w:widowControl w:val="0"/>
        <w:adjustRightInd w:val="0"/>
        <w:snapToGrid w:val="0"/>
        <w:spacing w:line="360" w:lineRule="auto"/>
        <w:ind w:firstLine="537" w:firstLineChars="224"/>
      </w:pPr>
      <w:r>
        <w:t>8.投标人情况：</w:t>
      </w:r>
    </w:p>
    <w:p w14:paraId="58E53AFA">
      <w:pPr>
        <w:widowControl w:val="0"/>
        <w:adjustRightInd w:val="0"/>
        <w:snapToGrid w:val="0"/>
        <w:spacing w:line="360" w:lineRule="auto"/>
        <w:ind w:firstLine="537" w:firstLineChars="224"/>
      </w:pPr>
      <w:r>
        <w:t>（1）单位简介；</w:t>
      </w:r>
    </w:p>
    <w:p w14:paraId="48DC79F4">
      <w:pPr>
        <w:widowControl w:val="0"/>
        <w:adjustRightInd w:val="0"/>
        <w:snapToGrid w:val="0"/>
        <w:spacing w:line="360" w:lineRule="auto"/>
        <w:ind w:firstLine="537" w:firstLineChars="224"/>
      </w:pPr>
      <w:r>
        <w:t>（2）投标人的信誉、荣誉证书；（如有）</w:t>
      </w:r>
    </w:p>
    <w:p w14:paraId="59026A59">
      <w:pPr>
        <w:widowControl w:val="0"/>
        <w:adjustRightInd w:val="0"/>
        <w:snapToGrid w:val="0"/>
        <w:spacing w:line="360" w:lineRule="auto"/>
        <w:ind w:firstLine="537" w:firstLineChars="224"/>
      </w:pPr>
      <w:r>
        <w:t>（3）投标人质量管理和质量保证体系等方面的认证证书。（如有）</w:t>
      </w:r>
    </w:p>
    <w:p w14:paraId="00A75B0C">
      <w:pPr>
        <w:widowControl w:val="0"/>
        <w:adjustRightInd w:val="0"/>
        <w:snapToGrid w:val="0"/>
        <w:spacing w:line="360" w:lineRule="auto"/>
        <w:ind w:firstLine="537" w:firstLineChars="224"/>
      </w:pPr>
      <w:r>
        <w:t>（4）同类业绩证明（如有，需提供合同复印件）；</w:t>
      </w:r>
    </w:p>
    <w:p w14:paraId="6E188310">
      <w:pPr>
        <w:widowControl w:val="0"/>
        <w:adjustRightInd w:val="0"/>
        <w:snapToGrid w:val="0"/>
        <w:spacing w:line="360" w:lineRule="auto"/>
        <w:ind w:firstLine="537" w:firstLineChars="224"/>
      </w:pPr>
      <w:r>
        <w:t>9.评标标准相应的技术资信资料。</w:t>
      </w:r>
    </w:p>
    <w:p w14:paraId="15CD4477">
      <w:pPr>
        <w:shd w:val="clear" w:color="auto" w:fill="FFFFFF"/>
        <w:snapToGrid w:val="0"/>
        <w:spacing w:after="50"/>
        <w:jc w:val="center"/>
        <w:rPr>
          <w:rFonts w:hint="eastAsia" w:ascii="宋体" w:hAnsi="宋体"/>
          <w:b/>
        </w:rPr>
      </w:pPr>
      <w:r>
        <w:rPr>
          <w:rFonts w:ascii="宋体" w:hAnsi="宋体"/>
          <w:b/>
          <w:sz w:val="32"/>
        </w:rPr>
        <w:t>评分索引表</w:t>
      </w:r>
    </w:p>
    <w:tbl>
      <w:tblPr>
        <w:tblStyle w:val="44"/>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14:paraId="415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4860FAF3">
            <w:pPr>
              <w:jc w:val="center"/>
              <w:rPr>
                <w:rFonts w:hint="eastAsia" w:ascii="宋体" w:hAnsi="宋体"/>
                <w:bCs/>
                <w:color w:val="000000"/>
                <w:kern w:val="2"/>
                <w:sz w:val="21"/>
                <w:szCs w:val="21"/>
              </w:rPr>
            </w:pPr>
            <w:r>
              <w:rPr>
                <w:rFonts w:ascii="宋体" w:hAnsi="宋体"/>
                <w:bCs/>
                <w:color w:val="000000"/>
                <w:kern w:val="2"/>
                <w:sz w:val="21"/>
                <w:szCs w:val="21"/>
              </w:rPr>
              <w:t>序号</w:t>
            </w:r>
          </w:p>
        </w:tc>
        <w:tc>
          <w:tcPr>
            <w:tcW w:w="645" w:type="dxa"/>
            <w:vAlign w:val="center"/>
          </w:tcPr>
          <w:p w14:paraId="4F3FDB6A">
            <w:pPr>
              <w:jc w:val="center"/>
              <w:rPr>
                <w:rFonts w:hint="eastAsia" w:ascii="宋体" w:hAnsi="宋体"/>
                <w:bCs/>
                <w:color w:val="000000"/>
                <w:kern w:val="2"/>
                <w:sz w:val="21"/>
                <w:szCs w:val="21"/>
              </w:rPr>
            </w:pPr>
            <w:r>
              <w:rPr>
                <w:rFonts w:ascii="宋体" w:hAnsi="宋体"/>
                <w:bCs/>
                <w:color w:val="000000"/>
                <w:kern w:val="2"/>
                <w:sz w:val="21"/>
                <w:szCs w:val="21"/>
              </w:rPr>
              <w:t>项目</w:t>
            </w:r>
          </w:p>
        </w:tc>
        <w:tc>
          <w:tcPr>
            <w:tcW w:w="4821" w:type="dxa"/>
            <w:vAlign w:val="center"/>
          </w:tcPr>
          <w:p w14:paraId="3DAC4E92">
            <w:pPr>
              <w:jc w:val="center"/>
              <w:rPr>
                <w:rFonts w:hint="eastAsia" w:ascii="宋体" w:hAnsi="宋体"/>
                <w:bCs/>
                <w:color w:val="000000"/>
                <w:kern w:val="2"/>
                <w:sz w:val="21"/>
                <w:szCs w:val="21"/>
              </w:rPr>
            </w:pPr>
            <w:r>
              <w:rPr>
                <w:rFonts w:ascii="宋体" w:hAnsi="宋体"/>
                <w:bCs/>
                <w:color w:val="000000"/>
                <w:kern w:val="2"/>
                <w:sz w:val="21"/>
                <w:szCs w:val="21"/>
              </w:rPr>
              <w:t>评分标准</w:t>
            </w:r>
          </w:p>
        </w:tc>
        <w:tc>
          <w:tcPr>
            <w:tcW w:w="1270" w:type="dxa"/>
            <w:vAlign w:val="center"/>
          </w:tcPr>
          <w:p w14:paraId="259FC92A">
            <w:pPr>
              <w:jc w:val="center"/>
              <w:rPr>
                <w:rFonts w:hint="eastAsia" w:ascii="宋体" w:hAnsi="宋体"/>
                <w:bCs/>
                <w:color w:val="000000"/>
                <w:kern w:val="2"/>
                <w:sz w:val="21"/>
                <w:szCs w:val="21"/>
              </w:rPr>
            </w:pPr>
            <w:r>
              <w:rPr>
                <w:rFonts w:ascii="宋体" w:hAnsi="宋体"/>
                <w:bCs/>
                <w:color w:val="000000"/>
                <w:kern w:val="2"/>
                <w:sz w:val="21"/>
                <w:szCs w:val="21"/>
              </w:rPr>
              <w:t>分值</w:t>
            </w:r>
          </w:p>
        </w:tc>
        <w:tc>
          <w:tcPr>
            <w:tcW w:w="1858" w:type="dxa"/>
            <w:vAlign w:val="center"/>
          </w:tcPr>
          <w:p w14:paraId="339E56DF">
            <w:pPr>
              <w:jc w:val="center"/>
              <w:rPr>
                <w:rFonts w:hint="eastAsia" w:ascii="宋体" w:hAnsi="宋体"/>
                <w:bCs/>
                <w:color w:val="000000"/>
                <w:kern w:val="2"/>
                <w:sz w:val="21"/>
                <w:szCs w:val="21"/>
              </w:rPr>
            </w:pPr>
            <w:r>
              <w:rPr>
                <w:rFonts w:ascii="宋体" w:hAnsi="宋体"/>
                <w:bCs/>
                <w:color w:val="000000"/>
                <w:kern w:val="2"/>
                <w:sz w:val="21"/>
                <w:szCs w:val="21"/>
              </w:rPr>
              <w:t>自评分</w:t>
            </w:r>
          </w:p>
        </w:tc>
        <w:tc>
          <w:tcPr>
            <w:tcW w:w="721" w:type="dxa"/>
            <w:vAlign w:val="center"/>
          </w:tcPr>
          <w:p w14:paraId="3FB7D8F5">
            <w:pPr>
              <w:jc w:val="center"/>
              <w:rPr>
                <w:rFonts w:hint="eastAsia" w:ascii="宋体" w:hAnsi="宋体"/>
                <w:bCs/>
                <w:color w:val="000000"/>
                <w:kern w:val="2"/>
                <w:sz w:val="21"/>
                <w:szCs w:val="21"/>
              </w:rPr>
            </w:pPr>
            <w:r>
              <w:rPr>
                <w:rFonts w:ascii="宋体" w:hAnsi="宋体"/>
                <w:bCs/>
                <w:color w:val="000000"/>
                <w:kern w:val="2"/>
                <w:sz w:val="21"/>
                <w:szCs w:val="21"/>
              </w:rPr>
              <w:t>页码</w:t>
            </w:r>
          </w:p>
        </w:tc>
      </w:tr>
      <w:tr w14:paraId="086D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4BBBA0E2">
            <w:pPr>
              <w:jc w:val="center"/>
              <w:rPr>
                <w:rFonts w:hint="eastAsia" w:ascii="宋体" w:hAnsi="宋体"/>
                <w:bCs/>
                <w:color w:val="000000"/>
                <w:kern w:val="2"/>
                <w:sz w:val="21"/>
                <w:szCs w:val="21"/>
              </w:rPr>
            </w:pPr>
            <w:r>
              <w:rPr>
                <w:rFonts w:ascii="宋体" w:hAnsi="宋体"/>
                <w:bCs/>
                <w:color w:val="000000"/>
                <w:kern w:val="2"/>
                <w:sz w:val="21"/>
                <w:szCs w:val="21"/>
              </w:rPr>
              <w:t>1</w:t>
            </w:r>
          </w:p>
        </w:tc>
        <w:tc>
          <w:tcPr>
            <w:tcW w:w="645" w:type="dxa"/>
            <w:vAlign w:val="center"/>
          </w:tcPr>
          <w:p w14:paraId="1E062D32">
            <w:pPr>
              <w:keepNext/>
              <w:tabs>
                <w:tab w:val="left" w:pos="3808"/>
              </w:tabs>
              <w:adjustRightInd w:val="0"/>
              <w:snapToGrid w:val="0"/>
              <w:spacing w:before="60" w:after="60"/>
              <w:jc w:val="center"/>
              <w:rPr>
                <w:rFonts w:hint="eastAsia" w:ascii="宋体" w:hAnsi="宋体"/>
                <w:bCs/>
                <w:color w:val="000000"/>
                <w:kern w:val="2"/>
                <w:sz w:val="21"/>
                <w:szCs w:val="21"/>
              </w:rPr>
            </w:pPr>
            <w:r>
              <w:rPr>
                <w:rFonts w:ascii="宋体" w:hAnsi="宋体"/>
                <w:bCs/>
                <w:color w:val="000000"/>
                <w:kern w:val="2"/>
                <w:sz w:val="21"/>
                <w:szCs w:val="21"/>
              </w:rPr>
              <w:t>…</w:t>
            </w:r>
          </w:p>
        </w:tc>
        <w:tc>
          <w:tcPr>
            <w:tcW w:w="4821" w:type="dxa"/>
            <w:vAlign w:val="center"/>
          </w:tcPr>
          <w:p w14:paraId="5689C00C">
            <w:pPr>
              <w:keepNext/>
              <w:tabs>
                <w:tab w:val="left" w:pos="3808"/>
              </w:tabs>
              <w:adjustRightInd w:val="0"/>
              <w:snapToGrid w:val="0"/>
              <w:spacing w:before="60" w:after="60"/>
              <w:rPr>
                <w:rFonts w:hint="eastAsia" w:ascii="宋体" w:hAnsi="宋体"/>
                <w:bCs/>
                <w:color w:val="000000"/>
                <w:kern w:val="2"/>
                <w:sz w:val="21"/>
                <w:szCs w:val="21"/>
              </w:rPr>
            </w:pPr>
            <w:r>
              <w:rPr>
                <w:rFonts w:ascii="宋体" w:hAnsi="宋体"/>
                <w:bCs/>
                <w:color w:val="000000"/>
                <w:kern w:val="2"/>
                <w:sz w:val="21"/>
                <w:szCs w:val="21"/>
              </w:rPr>
              <w:t>…（请按</w:t>
            </w:r>
            <w:r>
              <w:rPr>
                <w:rFonts w:hint="eastAsia" w:ascii="宋体" w:hAnsi="宋体"/>
                <w:bCs/>
                <w:color w:val="000000"/>
                <w:kern w:val="2"/>
                <w:sz w:val="21"/>
                <w:szCs w:val="21"/>
              </w:rPr>
              <w:t>技术资信</w:t>
            </w:r>
            <w:r>
              <w:rPr>
                <w:rFonts w:ascii="宋体" w:hAnsi="宋体"/>
                <w:bCs/>
                <w:color w:val="000000"/>
                <w:kern w:val="2"/>
                <w:sz w:val="21"/>
                <w:szCs w:val="21"/>
              </w:rPr>
              <w:t>评分标准填写）</w:t>
            </w:r>
          </w:p>
        </w:tc>
        <w:tc>
          <w:tcPr>
            <w:tcW w:w="1270" w:type="dxa"/>
            <w:vAlign w:val="center"/>
          </w:tcPr>
          <w:p w14:paraId="7DF102ED">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c>
          <w:tcPr>
            <w:tcW w:w="1858" w:type="dxa"/>
            <w:vAlign w:val="center"/>
          </w:tcPr>
          <w:p w14:paraId="7EA2FD1A">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c>
          <w:tcPr>
            <w:tcW w:w="721" w:type="dxa"/>
            <w:vAlign w:val="center"/>
          </w:tcPr>
          <w:p w14:paraId="24A37840">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r>
      <w:tr w14:paraId="2A15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660D315E">
            <w:pPr>
              <w:jc w:val="center"/>
              <w:rPr>
                <w:rFonts w:hint="eastAsia" w:ascii="宋体" w:hAnsi="宋体"/>
                <w:bCs/>
                <w:color w:val="000000"/>
                <w:kern w:val="2"/>
                <w:sz w:val="21"/>
                <w:szCs w:val="21"/>
              </w:rPr>
            </w:pPr>
            <w:r>
              <w:rPr>
                <w:rFonts w:ascii="宋体" w:hAnsi="宋体"/>
                <w:bCs/>
                <w:color w:val="000000"/>
                <w:kern w:val="2"/>
                <w:sz w:val="21"/>
                <w:szCs w:val="21"/>
              </w:rPr>
              <w:t>2</w:t>
            </w:r>
          </w:p>
        </w:tc>
        <w:tc>
          <w:tcPr>
            <w:tcW w:w="645" w:type="dxa"/>
            <w:vAlign w:val="center"/>
          </w:tcPr>
          <w:p w14:paraId="318F6552">
            <w:pPr>
              <w:keepNext/>
              <w:tabs>
                <w:tab w:val="left" w:pos="3808"/>
              </w:tabs>
              <w:adjustRightInd w:val="0"/>
              <w:snapToGrid w:val="0"/>
              <w:spacing w:before="60" w:after="60"/>
              <w:jc w:val="center"/>
              <w:rPr>
                <w:rFonts w:hint="eastAsia" w:ascii="宋体" w:hAnsi="宋体"/>
                <w:bCs/>
                <w:color w:val="000000"/>
                <w:kern w:val="2"/>
                <w:sz w:val="21"/>
                <w:szCs w:val="21"/>
              </w:rPr>
            </w:pPr>
            <w:r>
              <w:rPr>
                <w:rFonts w:ascii="宋体" w:hAnsi="宋体"/>
                <w:bCs/>
                <w:color w:val="000000"/>
                <w:kern w:val="2"/>
                <w:sz w:val="21"/>
                <w:szCs w:val="21"/>
              </w:rPr>
              <w:t>…</w:t>
            </w:r>
          </w:p>
        </w:tc>
        <w:tc>
          <w:tcPr>
            <w:tcW w:w="4821" w:type="dxa"/>
            <w:vAlign w:val="center"/>
          </w:tcPr>
          <w:p w14:paraId="648B9C5E">
            <w:pPr>
              <w:keepNext/>
              <w:tabs>
                <w:tab w:val="left" w:pos="3808"/>
              </w:tabs>
              <w:adjustRightInd w:val="0"/>
              <w:snapToGrid w:val="0"/>
              <w:spacing w:before="60" w:after="60"/>
              <w:rPr>
                <w:rFonts w:hint="eastAsia" w:ascii="宋体" w:hAnsi="宋体"/>
                <w:bCs/>
                <w:color w:val="000000"/>
                <w:kern w:val="2"/>
                <w:sz w:val="21"/>
                <w:szCs w:val="21"/>
              </w:rPr>
            </w:pPr>
            <w:r>
              <w:rPr>
                <w:rFonts w:ascii="宋体" w:hAnsi="宋体"/>
                <w:bCs/>
                <w:color w:val="000000"/>
                <w:kern w:val="2"/>
                <w:sz w:val="21"/>
                <w:szCs w:val="21"/>
              </w:rPr>
              <w:t>…</w:t>
            </w:r>
          </w:p>
        </w:tc>
        <w:tc>
          <w:tcPr>
            <w:tcW w:w="1270" w:type="dxa"/>
            <w:vAlign w:val="center"/>
          </w:tcPr>
          <w:p w14:paraId="433928E6">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c>
          <w:tcPr>
            <w:tcW w:w="1858" w:type="dxa"/>
            <w:vAlign w:val="center"/>
          </w:tcPr>
          <w:p w14:paraId="20269FD7">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c>
          <w:tcPr>
            <w:tcW w:w="721" w:type="dxa"/>
            <w:vAlign w:val="center"/>
          </w:tcPr>
          <w:p w14:paraId="2B5CE404">
            <w:pPr>
              <w:keepNext/>
              <w:tabs>
                <w:tab w:val="left" w:pos="3808"/>
              </w:tabs>
              <w:adjustRightInd w:val="0"/>
              <w:snapToGrid w:val="0"/>
              <w:spacing w:before="60" w:after="60"/>
              <w:jc w:val="center"/>
              <w:rPr>
                <w:rFonts w:hint="eastAsia" w:ascii="宋体" w:hAnsi="宋体"/>
                <w:bCs/>
                <w:color w:val="000000"/>
                <w:spacing w:val="20"/>
                <w:kern w:val="2"/>
                <w:sz w:val="21"/>
                <w:szCs w:val="21"/>
              </w:rPr>
            </w:pPr>
          </w:p>
        </w:tc>
      </w:tr>
    </w:tbl>
    <w:p w14:paraId="44659355">
      <w:pPr>
        <w:shd w:val="clear" w:color="auto" w:fill="FFFFFF"/>
        <w:snapToGrid w:val="0"/>
        <w:spacing w:after="50"/>
        <w:rPr>
          <w:rFonts w:hint="eastAsia" w:ascii="宋体" w:hAnsi="宋体"/>
          <w:szCs w:val="20"/>
        </w:rPr>
      </w:pPr>
      <w:r>
        <w:rPr>
          <w:rFonts w:ascii="宋体" w:hAnsi="宋体"/>
          <w:b/>
          <w:spacing w:val="-4"/>
          <w:sz w:val="21"/>
          <w:szCs w:val="21"/>
        </w:rPr>
        <w:t>备注：该表格仅为方便评标之用，表格放置在</w:t>
      </w:r>
      <w:r>
        <w:rPr>
          <w:rFonts w:hint="eastAsia" w:ascii="宋体" w:hAnsi="宋体"/>
          <w:b/>
          <w:spacing w:val="-4"/>
          <w:sz w:val="21"/>
          <w:szCs w:val="21"/>
        </w:rPr>
        <w:t>技术资信</w:t>
      </w:r>
      <w:r>
        <w:rPr>
          <w:rFonts w:ascii="宋体" w:hAnsi="宋体"/>
          <w:b/>
          <w:spacing w:val="-4"/>
          <w:sz w:val="21"/>
          <w:szCs w:val="21"/>
        </w:rPr>
        <w:t>文件目录的前页，以方便评标委员会进行评审。</w:t>
      </w:r>
    </w:p>
    <w:p w14:paraId="1FA2176C">
      <w:pPr>
        <w:shd w:val="clear" w:color="auto" w:fill="FFFFFF"/>
        <w:spacing w:before="100" w:beforeAutospacing="1" w:after="100" w:afterAutospacing="1" w:line="500" w:lineRule="atLeast"/>
        <w:jc w:val="center"/>
        <w:rPr>
          <w:b/>
          <w:sz w:val="32"/>
          <w:szCs w:val="32"/>
        </w:rPr>
        <w:sectPr>
          <w:pgSz w:w="11906" w:h="16838"/>
          <w:pgMar w:top="1259" w:right="1287" w:bottom="1361" w:left="1622" w:header="709" w:footer="975" w:gutter="0"/>
          <w:cols w:space="720" w:num="1"/>
          <w:docGrid w:linePitch="360" w:charSpace="0"/>
        </w:sectPr>
      </w:pPr>
    </w:p>
    <w:p w14:paraId="6C503370">
      <w:pPr>
        <w:shd w:val="clear" w:color="auto" w:fill="FFFFFF"/>
        <w:spacing w:before="100" w:beforeAutospacing="1" w:after="100" w:afterAutospacing="1" w:line="500" w:lineRule="atLeast"/>
        <w:jc w:val="center"/>
        <w:rPr>
          <w:b/>
          <w:sz w:val="32"/>
          <w:szCs w:val="32"/>
        </w:rPr>
      </w:pPr>
      <w:r>
        <w:rPr>
          <w:b/>
          <w:sz w:val="32"/>
          <w:szCs w:val="32"/>
        </w:rPr>
        <w:t>一、投标函</w:t>
      </w:r>
    </w:p>
    <w:p w14:paraId="39EE982B">
      <w:pPr>
        <w:snapToGrid w:val="0"/>
        <w:spacing w:line="360" w:lineRule="auto"/>
      </w:pPr>
      <w:r>
        <w:t>（采购人）、（采购代理机构）：</w:t>
      </w:r>
    </w:p>
    <w:p w14:paraId="2C91443C">
      <w:pPr>
        <w:snapToGrid w:val="0"/>
        <w:spacing w:line="360" w:lineRule="auto"/>
        <w:ind w:firstLine="480" w:firstLineChars="200"/>
      </w:pPr>
      <w:r>
        <w:t>我方参加你方组织的</w:t>
      </w:r>
      <w:r>
        <w:rPr>
          <w:u w:val="single"/>
        </w:rPr>
        <w:t>（项目名称）        （项目编号：      ）</w:t>
      </w:r>
      <w:r>
        <w:t>招标的有关活动，并对此项目进行投标。为此：</w:t>
      </w:r>
    </w:p>
    <w:p w14:paraId="77AB069F">
      <w:pPr>
        <w:snapToGrid w:val="0"/>
        <w:spacing w:line="360" w:lineRule="auto"/>
        <w:ind w:firstLine="480" w:firstLineChars="200"/>
      </w:pPr>
      <w:r>
        <w:t>1.我方承诺投标有效期从提交投标文件的截止之日起</w:t>
      </w:r>
      <w:r>
        <w:rPr>
          <w:u w:val="single"/>
        </w:rPr>
        <w:t xml:space="preserve">     </w:t>
      </w:r>
      <w:r>
        <w:t>天（不少于90天），本投标文件在投标有效期满之前均具有约束力。</w:t>
      </w:r>
    </w:p>
    <w:p w14:paraId="1D88A04B">
      <w:pPr>
        <w:snapToGrid w:val="0"/>
        <w:spacing w:line="360" w:lineRule="auto"/>
        <w:ind w:firstLine="480" w:firstLineChars="200"/>
      </w:pPr>
      <w:r>
        <w:t>2.我方的投标文件包括以下内容：</w:t>
      </w:r>
    </w:p>
    <w:p w14:paraId="71899426">
      <w:pPr>
        <w:snapToGrid w:val="0"/>
        <w:spacing w:line="360" w:lineRule="auto"/>
        <w:ind w:firstLine="480" w:firstLineChars="200"/>
      </w:pPr>
      <w:r>
        <w:t>2.1资格文件</w:t>
      </w:r>
    </w:p>
    <w:p w14:paraId="0A7F768E">
      <w:pPr>
        <w:snapToGrid w:val="0"/>
        <w:spacing w:line="360" w:lineRule="auto"/>
        <w:ind w:firstLine="480" w:firstLineChars="200"/>
      </w:pPr>
      <w:r>
        <w:t>2</w:t>
      </w:r>
      <w:r>
        <w:rPr>
          <w:lang w:val="zh-CN"/>
        </w:rPr>
        <w:t>.</w:t>
      </w:r>
      <w:r>
        <w:t>2</w:t>
      </w:r>
      <w:r>
        <w:rPr>
          <w:lang w:val="zh-CN"/>
        </w:rPr>
        <w:t xml:space="preserve"> </w:t>
      </w:r>
      <w:r>
        <w:t>技术资信</w:t>
      </w:r>
      <w:r>
        <w:rPr>
          <w:lang w:val="zh-CN"/>
        </w:rPr>
        <w:t>文件</w:t>
      </w:r>
    </w:p>
    <w:p w14:paraId="0150F962">
      <w:pPr>
        <w:snapToGrid w:val="0"/>
        <w:spacing w:line="360" w:lineRule="auto"/>
        <w:ind w:firstLine="480" w:firstLineChars="200"/>
      </w:pPr>
      <w:r>
        <w:t>2</w:t>
      </w:r>
      <w:r>
        <w:rPr>
          <w:lang w:val="zh-CN"/>
        </w:rPr>
        <w:t>.</w:t>
      </w:r>
      <w:r>
        <w:t>3报价文件</w:t>
      </w:r>
    </w:p>
    <w:p w14:paraId="22BDE88D">
      <w:pPr>
        <w:snapToGrid w:val="0"/>
        <w:spacing w:line="360" w:lineRule="auto"/>
        <w:ind w:firstLine="480" w:firstLineChars="200"/>
      </w:pPr>
      <w:r>
        <w:t>3.我方承诺除偏离表列出的负偏离外，我方响应招标文件的全部要求。</w:t>
      </w:r>
    </w:p>
    <w:p w14:paraId="26E87222">
      <w:pPr>
        <w:snapToGrid w:val="0"/>
        <w:spacing w:line="360" w:lineRule="auto"/>
        <w:ind w:firstLine="480" w:firstLineChars="200"/>
      </w:pPr>
      <w:r>
        <w:t>4.如我方中标，我方承诺：</w:t>
      </w:r>
    </w:p>
    <w:p w14:paraId="38C46987">
      <w:pPr>
        <w:snapToGrid w:val="0"/>
        <w:spacing w:line="360" w:lineRule="auto"/>
        <w:ind w:firstLine="480" w:firstLineChars="200"/>
      </w:pPr>
      <w:r>
        <w:t xml:space="preserve">4.1在收到中标通知书后，在中标通知书规定的期限内与你方签订合同； </w:t>
      </w:r>
    </w:p>
    <w:p w14:paraId="6BE6458F">
      <w:pPr>
        <w:snapToGrid w:val="0"/>
        <w:spacing w:line="360" w:lineRule="auto"/>
        <w:ind w:firstLine="480" w:firstLineChars="200"/>
      </w:pPr>
      <w:r>
        <w:t xml:space="preserve">4.2在签订合同时不向你方提出附加条件； </w:t>
      </w:r>
    </w:p>
    <w:p w14:paraId="530E4790">
      <w:pPr>
        <w:snapToGrid w:val="0"/>
        <w:spacing w:line="360" w:lineRule="auto"/>
        <w:ind w:firstLine="480" w:firstLineChars="200"/>
      </w:pPr>
      <w:r>
        <w:t xml:space="preserve">4.3按照招标文件要求提交履约保证金； </w:t>
      </w:r>
    </w:p>
    <w:p w14:paraId="5020DAFE">
      <w:pPr>
        <w:snapToGrid w:val="0"/>
        <w:spacing w:line="360" w:lineRule="auto"/>
        <w:ind w:firstLine="480" w:firstLineChars="200"/>
      </w:pPr>
      <w:r>
        <w:t xml:space="preserve">4.4在合同约定的期限内完成合同规定的全部义务。 </w:t>
      </w:r>
    </w:p>
    <w:p w14:paraId="4918A25A">
      <w:pPr>
        <w:snapToGrid w:val="0"/>
        <w:spacing w:line="360" w:lineRule="auto"/>
        <w:ind w:firstLine="480" w:firstLineChars="200"/>
      </w:pPr>
      <w:r>
        <w:t>5.其他补充说明:</w:t>
      </w:r>
      <w:r>
        <w:rPr>
          <w:u w:val="single"/>
        </w:rPr>
        <w:t xml:space="preserve">                                        </w:t>
      </w:r>
      <w:r>
        <w:t>。</w:t>
      </w:r>
    </w:p>
    <w:p w14:paraId="312C0300">
      <w:pPr>
        <w:snapToGrid w:val="0"/>
        <w:spacing w:line="360" w:lineRule="auto"/>
        <w:ind w:firstLine="480" w:firstLineChars="200"/>
      </w:pPr>
    </w:p>
    <w:p w14:paraId="5E82BE3E">
      <w:pPr>
        <w:pStyle w:val="26"/>
        <w:widowControl w:val="0"/>
        <w:adjustRightInd w:val="0"/>
        <w:snapToGrid w:val="0"/>
        <w:spacing w:before="0" w:beforeAutospacing="0" w:after="0" w:afterAutospacing="0"/>
        <w:ind w:firstLine="900" w:firstLineChars="375"/>
        <w:jc w:val="right"/>
        <w:rPr>
          <w:rFonts w:ascii="Times New Roman" w:hAnsi="Times New Roman"/>
        </w:rPr>
      </w:pPr>
    </w:p>
    <w:p w14:paraId="160EDB55">
      <w:pPr>
        <w:pStyle w:val="26"/>
        <w:widowControl w:val="0"/>
        <w:adjustRightInd w:val="0"/>
        <w:snapToGrid w:val="0"/>
        <w:spacing w:before="0" w:beforeAutospacing="0" w:after="0" w:afterAutospacing="0"/>
        <w:ind w:firstLine="900" w:firstLineChars="375"/>
        <w:jc w:val="right"/>
        <w:rPr>
          <w:rFonts w:ascii="Times New Roman" w:hAnsi="Times New Roman"/>
        </w:rPr>
      </w:pPr>
    </w:p>
    <w:p w14:paraId="4ADD834C">
      <w:pPr>
        <w:pStyle w:val="26"/>
        <w:widowControl w:val="0"/>
        <w:adjustRightInd w:val="0"/>
        <w:snapToGrid w:val="0"/>
        <w:spacing w:before="0" w:beforeAutospacing="0" w:after="0" w:afterAutospacing="0"/>
        <w:ind w:firstLine="900" w:firstLineChars="375"/>
        <w:jc w:val="right"/>
        <w:rPr>
          <w:rFonts w:ascii="Times New Roman" w:hAnsi="Times New Roman"/>
        </w:rPr>
      </w:pPr>
    </w:p>
    <w:p w14:paraId="0868DF47">
      <w:pPr>
        <w:pStyle w:val="26"/>
        <w:widowControl w:val="0"/>
        <w:adjustRightInd w:val="0"/>
        <w:snapToGrid w:val="0"/>
        <w:spacing w:before="0" w:beforeAutospacing="0" w:after="0" w:afterAutospacing="0" w:line="360" w:lineRule="auto"/>
        <w:ind w:firstLine="900" w:firstLineChars="375"/>
        <w:jc w:val="right"/>
        <w:rPr>
          <w:rFonts w:ascii="Times New Roman" w:hAnsi="Times New Roman"/>
        </w:rPr>
      </w:pPr>
      <w:r>
        <w:rPr>
          <w:rFonts w:ascii="Times New Roman" w:hAnsi="Times New Roman"/>
        </w:rPr>
        <w:t>投标人</w:t>
      </w:r>
      <w:r>
        <w:rPr>
          <w:color w:val="000000"/>
        </w:rPr>
        <w:t>（</w:t>
      </w:r>
      <w:r>
        <w:rPr>
          <w:rFonts w:hint="eastAsia"/>
          <w:color w:val="000000"/>
        </w:rPr>
        <w:t>电子签章</w:t>
      </w:r>
      <w:r>
        <w:rPr>
          <w:color w:val="000000"/>
        </w:rPr>
        <w:t>）</w:t>
      </w:r>
      <w:r>
        <w:rPr>
          <w:rFonts w:ascii="Times New Roman" w:hAnsi="Times New Roman"/>
        </w:rPr>
        <w:t>：__________________________</w:t>
      </w:r>
    </w:p>
    <w:p w14:paraId="1E061BCC">
      <w:pPr>
        <w:spacing w:line="360" w:lineRule="auto"/>
        <w:jc w:val="center"/>
        <w:sectPr>
          <w:pgSz w:w="11906" w:h="16838"/>
          <w:pgMar w:top="1259" w:right="1287" w:bottom="1361" w:left="1622" w:header="709" w:footer="975" w:gutter="0"/>
          <w:cols w:space="720" w:num="1"/>
          <w:docGrid w:linePitch="360" w:charSpace="0"/>
        </w:sectPr>
      </w:pPr>
      <w:r>
        <w:rPr>
          <w:rFonts w:hint="eastAsia"/>
        </w:rPr>
        <w:t xml:space="preserve"> </w:t>
      </w:r>
      <w:r>
        <w:t xml:space="preserve">            日期：____年____月____日</w:t>
      </w:r>
    </w:p>
    <w:p w14:paraId="6D399B14">
      <w:pPr>
        <w:pStyle w:val="41"/>
        <w:widowControl w:val="0"/>
        <w:adjustRightInd w:val="0"/>
        <w:snapToGrid w:val="0"/>
        <w:spacing w:line="390" w:lineRule="atLeast"/>
        <w:jc w:val="center"/>
        <w:rPr>
          <w:b/>
          <w:sz w:val="32"/>
          <w:szCs w:val="32"/>
        </w:rPr>
      </w:pPr>
      <w:r>
        <w:rPr>
          <w:b/>
          <w:sz w:val="32"/>
          <w:szCs w:val="32"/>
        </w:rPr>
        <w:t>二、</w:t>
      </w:r>
      <w:r>
        <w:rPr>
          <w:rFonts w:hint="default"/>
          <w:b/>
          <w:sz w:val="32"/>
          <w:szCs w:val="32"/>
        </w:rPr>
        <w:t>授权委托书或法定代表人（单位负责人、自然人本人）身份证明</w:t>
      </w:r>
    </w:p>
    <w:p w14:paraId="47EA6F02">
      <w:pPr>
        <w:pStyle w:val="41"/>
        <w:widowControl w:val="0"/>
        <w:adjustRightInd w:val="0"/>
        <w:snapToGrid w:val="0"/>
        <w:spacing w:line="390" w:lineRule="atLeast"/>
        <w:jc w:val="center"/>
        <w:rPr>
          <w:b/>
          <w:sz w:val="32"/>
          <w:szCs w:val="32"/>
        </w:rPr>
      </w:pPr>
      <w:r>
        <w:rPr>
          <w:b/>
          <w:sz w:val="32"/>
          <w:szCs w:val="32"/>
        </w:rPr>
        <w:t>授权委托书（适用于非联合体投标）</w:t>
      </w:r>
    </w:p>
    <w:p w14:paraId="51D169C8">
      <w:pPr>
        <w:snapToGrid w:val="0"/>
        <w:spacing w:line="360" w:lineRule="auto"/>
      </w:pPr>
      <w:r>
        <w:t>（采购人）、（采购代理机构）</w:t>
      </w:r>
      <w:r>
        <w:rPr>
          <w:lang w:val="zh-CN"/>
        </w:rPr>
        <w:t>：</w:t>
      </w:r>
    </w:p>
    <w:p w14:paraId="3158C198">
      <w:pPr>
        <w:snapToGrid w:val="0"/>
        <w:spacing w:line="360" w:lineRule="auto"/>
        <w:ind w:firstLine="480" w:firstLineChars="200"/>
      </w:pPr>
      <w:r>
        <w:t>现</w:t>
      </w:r>
      <w:r>
        <w:rPr>
          <w:lang w:val="zh-CN"/>
        </w:rPr>
        <w:t>委托</w:t>
      </w:r>
      <w:r>
        <w:rPr>
          <w:u w:val="single"/>
          <w:lang w:val="zh-CN"/>
        </w:rPr>
        <w:t xml:space="preserve">          </w:t>
      </w:r>
      <w:r>
        <w:rPr>
          <w:lang w:val="zh-CN"/>
        </w:rPr>
        <w:t>（姓名）为我方代理人（身份证号码：</w:t>
      </w:r>
      <w:r>
        <w:rPr>
          <w:u w:val="single"/>
          <w:lang w:val="zh-CN"/>
        </w:rPr>
        <w:t xml:space="preserve">          </w:t>
      </w:r>
      <w:r>
        <w:rPr>
          <w:lang w:val="zh-CN"/>
        </w:rPr>
        <w:t>，手机：</w:t>
      </w:r>
      <w:r>
        <w:rPr>
          <w:u w:val="single"/>
          <w:lang w:val="zh-CN"/>
        </w:rPr>
        <w:t xml:space="preserve">          </w:t>
      </w:r>
      <w:r>
        <w:rPr>
          <w:lang w:val="zh-CN"/>
        </w:rPr>
        <w:t>），以我方名义处理</w:t>
      </w:r>
      <w:r>
        <w:rPr>
          <w:u w:val="single"/>
        </w:rPr>
        <w:t>（项目名称）</w:t>
      </w:r>
      <w:r>
        <w:rPr>
          <w:rFonts w:hint="eastAsia"/>
          <w:u w:val="single"/>
        </w:rPr>
        <w:t xml:space="preserve"> </w:t>
      </w:r>
      <w:r>
        <w:rPr>
          <w:u w:val="single"/>
        </w:rPr>
        <w:t xml:space="preserve">    （</w:t>
      </w:r>
      <w:r>
        <w:rPr>
          <w:rFonts w:hint="eastAsia"/>
          <w:u w:val="single"/>
        </w:rPr>
        <w:t>项目</w:t>
      </w:r>
      <w:r>
        <w:rPr>
          <w:u w:val="single"/>
        </w:rPr>
        <w:t>编号：</w:t>
      </w:r>
      <w:r>
        <w:rPr>
          <w:lang w:val="zh-CN"/>
        </w:rPr>
        <w:t>）政府采购投标的一切事项，其法律后果由我方承担。</w:t>
      </w:r>
    </w:p>
    <w:p w14:paraId="639A5DC5">
      <w:pPr>
        <w:snapToGrid w:val="0"/>
        <w:spacing w:line="360" w:lineRule="auto"/>
        <w:ind w:firstLine="480" w:firstLineChars="200"/>
      </w:pPr>
      <w:r>
        <w:t>委托期限：自   年 月  日起至  年  月  日止。</w:t>
      </w:r>
    </w:p>
    <w:p w14:paraId="79607AFA">
      <w:pPr>
        <w:snapToGrid w:val="0"/>
        <w:spacing w:line="360" w:lineRule="auto"/>
      </w:pPr>
      <w:r>
        <w:t xml:space="preserve">        特此告知。</w:t>
      </w:r>
    </w:p>
    <w:p w14:paraId="097B04D5">
      <w:pPr>
        <w:pStyle w:val="2"/>
        <w:ind w:left="480" w:firstLine="480"/>
      </w:pPr>
    </w:p>
    <w:p w14:paraId="6E4D0FA9">
      <w:pPr>
        <w:pStyle w:val="2"/>
        <w:ind w:left="480" w:firstLine="480"/>
      </w:pPr>
    </w:p>
    <w:p w14:paraId="332A0E62">
      <w:pPr>
        <w:snapToGrid w:val="0"/>
        <w:spacing w:line="360" w:lineRule="auto"/>
      </w:pPr>
      <w:r>
        <w:t>附：授权代表身份证复印件（正反面）</w:t>
      </w:r>
    </w:p>
    <w:p w14:paraId="711CA950">
      <w:pPr>
        <w:pStyle w:val="2"/>
        <w:ind w:left="480" w:firstLine="480"/>
      </w:pPr>
    </w:p>
    <w:p w14:paraId="5834B2DD">
      <w:pPr>
        <w:snapToGrid w:val="0"/>
        <w:spacing w:line="360" w:lineRule="auto"/>
        <w:ind w:firstLine="480" w:firstLineChars="200"/>
      </w:pPr>
      <w:r>
        <w:t>法定代表人身份证复印件（正反面）</w:t>
      </w:r>
    </w:p>
    <w:p w14:paraId="4F40C40D">
      <w:pPr>
        <w:pStyle w:val="41"/>
        <w:widowControl w:val="0"/>
        <w:adjustRightInd w:val="0"/>
        <w:snapToGrid w:val="0"/>
        <w:spacing w:line="480" w:lineRule="auto"/>
      </w:pPr>
    </w:p>
    <w:p w14:paraId="04284C7A">
      <w:pPr>
        <w:pStyle w:val="41"/>
        <w:widowControl w:val="0"/>
        <w:tabs>
          <w:tab w:val="left" w:pos="2144"/>
        </w:tabs>
        <w:adjustRightInd w:val="0"/>
        <w:snapToGrid w:val="0"/>
        <w:spacing w:line="480" w:lineRule="auto"/>
      </w:pPr>
      <w:r>
        <w:rPr>
          <w:rFonts w:hint="default"/>
        </w:rPr>
        <w:tab/>
      </w:r>
    </w:p>
    <w:p w14:paraId="19CA51A6">
      <w:pPr>
        <w:snapToGrid w:val="0"/>
        <w:spacing w:line="360" w:lineRule="auto"/>
        <w:ind w:left="4819" w:leftChars="2008"/>
      </w:pPr>
      <w:r>
        <w:t>单位名称</w:t>
      </w:r>
      <w:r>
        <w:rPr>
          <w:rFonts w:ascii="宋体" w:hAnsi="宋体"/>
          <w:color w:val="000000"/>
        </w:rPr>
        <w:t>（</w:t>
      </w:r>
      <w:r>
        <w:rPr>
          <w:rFonts w:hint="eastAsia" w:ascii="宋体" w:hAnsi="宋体"/>
          <w:color w:val="000000"/>
        </w:rPr>
        <w:t>电子签章</w:t>
      </w:r>
      <w:r>
        <w:rPr>
          <w:rFonts w:ascii="宋体" w:hAnsi="宋体"/>
          <w:color w:val="000000"/>
        </w:rPr>
        <w:t>）</w:t>
      </w:r>
      <w:r>
        <w:t>：         </w:t>
      </w:r>
    </w:p>
    <w:p w14:paraId="6FDDF302">
      <w:pPr>
        <w:snapToGrid w:val="0"/>
        <w:spacing w:line="360" w:lineRule="auto"/>
        <w:ind w:left="4819" w:leftChars="2008"/>
      </w:pPr>
      <w:r>
        <w:t>法定代表人签字（或</w:t>
      </w:r>
      <w:r>
        <w:rPr>
          <w:rFonts w:hint="eastAsia"/>
        </w:rPr>
        <w:t>盖章或电子签章</w:t>
      </w:r>
      <w:r>
        <w:t>）：</w:t>
      </w:r>
    </w:p>
    <w:p w14:paraId="5C9503A2">
      <w:pPr>
        <w:pStyle w:val="2"/>
        <w:ind w:left="4819" w:leftChars="2008" w:firstLine="0" w:firstLineChars="0"/>
      </w:pPr>
      <w:r>
        <w:rPr>
          <w:rFonts w:hint="eastAsia"/>
        </w:rPr>
        <w:t>授权代表</w:t>
      </w:r>
      <w:r>
        <w:t>签字（或</w:t>
      </w:r>
      <w:r>
        <w:rPr>
          <w:rFonts w:hint="eastAsia"/>
        </w:rPr>
        <w:t>盖章或电子签章</w:t>
      </w:r>
      <w:r>
        <w:t>）</w:t>
      </w:r>
      <w:r>
        <w:rPr>
          <w:rFonts w:hint="eastAsia"/>
        </w:rPr>
        <w:t>：</w:t>
      </w:r>
    </w:p>
    <w:p w14:paraId="1A441B60">
      <w:pPr>
        <w:snapToGrid w:val="0"/>
        <w:spacing w:line="360" w:lineRule="auto"/>
        <w:ind w:left="4819" w:leftChars="2008"/>
      </w:pPr>
      <w:r>
        <w:t> 年         月        日</w:t>
      </w:r>
    </w:p>
    <w:p w14:paraId="289B5F2E">
      <w:pPr>
        <w:snapToGrid w:val="0"/>
        <w:spacing w:line="360" w:lineRule="auto"/>
      </w:pPr>
    </w:p>
    <w:p w14:paraId="3AC4B89C">
      <w:pPr>
        <w:snapToGrid w:val="0"/>
        <w:spacing w:line="360" w:lineRule="auto"/>
        <w:rPr>
          <w:rFonts w:hint="eastAsia" w:ascii="仿宋_GB2312" w:hAnsi="仿宋" w:eastAsia="仿宋_GB2312" w:cs="仿宋_GB2312"/>
        </w:rPr>
      </w:pPr>
    </w:p>
    <w:p w14:paraId="5E34EC99">
      <w:pPr>
        <w:snapToGrid w:val="0"/>
        <w:spacing w:line="360" w:lineRule="auto"/>
        <w:rPr>
          <w:rFonts w:hint="eastAsia" w:ascii="仿宋_GB2312" w:hAnsi="仿宋" w:eastAsia="仿宋_GB2312" w:cs="仿宋_GB2312"/>
        </w:rPr>
      </w:pPr>
    </w:p>
    <w:p w14:paraId="2F0E4B48">
      <w:pPr>
        <w:pStyle w:val="2"/>
        <w:ind w:left="480" w:firstLine="480"/>
      </w:pPr>
    </w:p>
    <w:p w14:paraId="7458F451">
      <w:pPr>
        <w:pStyle w:val="2"/>
        <w:ind w:left="480" w:firstLine="480"/>
      </w:pPr>
    </w:p>
    <w:p w14:paraId="6FA75283">
      <w:pPr>
        <w:pStyle w:val="2"/>
        <w:ind w:left="480" w:firstLine="480"/>
      </w:pPr>
    </w:p>
    <w:p w14:paraId="45581AF8">
      <w:pPr>
        <w:shd w:val="clear" w:color="auto" w:fill="FFFFFF"/>
        <w:spacing w:before="100" w:beforeAutospacing="1" w:after="100" w:afterAutospacing="1"/>
        <w:jc w:val="center"/>
        <w:rPr>
          <w:rFonts w:hint="eastAsia" w:ascii="宋体" w:hAnsi="宋体"/>
          <w:b/>
          <w:sz w:val="32"/>
          <w:szCs w:val="32"/>
        </w:rPr>
      </w:pPr>
      <w:r>
        <w:rPr>
          <w:rFonts w:hint="eastAsia" w:ascii="宋体" w:hAnsi="宋体"/>
          <w:b/>
          <w:sz w:val="32"/>
          <w:szCs w:val="32"/>
        </w:rPr>
        <w:t>法定代表人、单位负责人或自然人本人的身份证明（适用于法定代表人、单位负责人或者自然人本人代表投标人参加投标）</w:t>
      </w:r>
    </w:p>
    <w:p w14:paraId="35814518">
      <w:pPr>
        <w:shd w:val="clear" w:color="auto" w:fill="FFFFFF"/>
        <w:spacing w:before="100" w:beforeAutospacing="1" w:after="100" w:afterAutospacing="1" w:line="500" w:lineRule="atLeast"/>
        <w:ind w:firstLine="358"/>
        <w:jc w:val="center"/>
        <w:rPr>
          <w:rFonts w:hint="eastAsia" w:ascii="宋体" w:hAnsi="宋体"/>
          <w:szCs w:val="28"/>
        </w:rPr>
        <w:sectPr>
          <w:pgSz w:w="11906" w:h="16838"/>
          <w:pgMar w:top="1259" w:right="1287" w:bottom="1361" w:left="1622" w:header="709" w:footer="975" w:gutter="0"/>
          <w:cols w:space="720" w:num="1"/>
          <w:docGrid w:linePitch="360" w:charSpace="0"/>
        </w:sectPr>
      </w:pPr>
      <w:r>
        <w:rPr>
          <w:rFonts w:hint="eastAsia" w:ascii="宋体" w:hAnsi="宋体"/>
          <w:szCs w:val="28"/>
        </w:rPr>
        <w:t>仅提供身份证正反面即可</w:t>
      </w:r>
    </w:p>
    <w:p w14:paraId="614A048A">
      <w:pPr>
        <w:pStyle w:val="41"/>
        <w:widowControl w:val="0"/>
        <w:adjustRightInd w:val="0"/>
        <w:snapToGrid w:val="0"/>
        <w:jc w:val="center"/>
        <w:rPr>
          <w:b/>
          <w:sz w:val="32"/>
          <w:szCs w:val="32"/>
        </w:rPr>
      </w:pPr>
      <w:r>
        <w:rPr>
          <w:b/>
          <w:sz w:val="32"/>
          <w:szCs w:val="32"/>
        </w:rPr>
        <w:t>三</w:t>
      </w:r>
      <w:r>
        <w:rPr>
          <w:rFonts w:hint="default"/>
          <w:b/>
          <w:sz w:val="32"/>
          <w:szCs w:val="32"/>
        </w:rPr>
        <w:t>、投标货物技术参数明细表</w:t>
      </w:r>
    </w:p>
    <w:tbl>
      <w:tblPr>
        <w:tblStyle w:val="44"/>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14:paraId="1D9A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2141A0D">
            <w:pPr>
              <w:pStyle w:val="41"/>
              <w:widowControl w:val="0"/>
              <w:adjustRightInd w:val="0"/>
              <w:snapToGrid w:val="0"/>
              <w:jc w:val="center"/>
              <w:rPr>
                <w:b/>
                <w:sz w:val="21"/>
                <w:szCs w:val="44"/>
              </w:rPr>
            </w:pPr>
            <w:r>
              <w:rPr>
                <w:rFonts w:hint="default"/>
                <w:b/>
                <w:sz w:val="21"/>
                <w:szCs w:val="44"/>
              </w:rPr>
              <w:t>序号</w:t>
            </w:r>
          </w:p>
        </w:tc>
        <w:tc>
          <w:tcPr>
            <w:tcW w:w="3135" w:type="dxa"/>
            <w:vAlign w:val="center"/>
          </w:tcPr>
          <w:p w14:paraId="38D8447E">
            <w:pPr>
              <w:pStyle w:val="41"/>
              <w:widowControl w:val="0"/>
              <w:adjustRightInd w:val="0"/>
              <w:snapToGrid w:val="0"/>
              <w:jc w:val="center"/>
              <w:rPr>
                <w:b/>
                <w:sz w:val="21"/>
                <w:szCs w:val="44"/>
              </w:rPr>
            </w:pPr>
            <w:r>
              <w:rPr>
                <w:b/>
                <w:sz w:val="21"/>
                <w:szCs w:val="44"/>
              </w:rPr>
              <w:t>标的</w:t>
            </w:r>
            <w:r>
              <w:rPr>
                <w:rFonts w:hint="default"/>
                <w:b/>
                <w:sz w:val="21"/>
                <w:szCs w:val="44"/>
              </w:rPr>
              <w:t>名称</w:t>
            </w:r>
          </w:p>
        </w:tc>
        <w:tc>
          <w:tcPr>
            <w:tcW w:w="1196" w:type="dxa"/>
            <w:vAlign w:val="center"/>
          </w:tcPr>
          <w:p w14:paraId="1B93F54A">
            <w:pPr>
              <w:pStyle w:val="41"/>
              <w:widowControl w:val="0"/>
              <w:adjustRightInd w:val="0"/>
              <w:snapToGrid w:val="0"/>
              <w:jc w:val="center"/>
              <w:rPr>
                <w:b/>
                <w:sz w:val="21"/>
                <w:szCs w:val="44"/>
              </w:rPr>
            </w:pPr>
            <w:r>
              <w:rPr>
                <w:rFonts w:hint="default"/>
                <w:b/>
                <w:sz w:val="21"/>
                <w:szCs w:val="44"/>
              </w:rPr>
              <w:t>品牌</w:t>
            </w:r>
          </w:p>
        </w:tc>
        <w:tc>
          <w:tcPr>
            <w:tcW w:w="1879" w:type="dxa"/>
            <w:vAlign w:val="center"/>
          </w:tcPr>
          <w:p w14:paraId="760992E8">
            <w:pPr>
              <w:pStyle w:val="41"/>
              <w:widowControl w:val="0"/>
              <w:adjustRightInd w:val="0"/>
              <w:snapToGrid w:val="0"/>
              <w:jc w:val="center"/>
              <w:rPr>
                <w:b/>
                <w:sz w:val="21"/>
                <w:szCs w:val="44"/>
              </w:rPr>
            </w:pPr>
            <w:r>
              <w:rPr>
                <w:b/>
                <w:sz w:val="21"/>
                <w:szCs w:val="44"/>
              </w:rPr>
              <w:t>制造商全称</w:t>
            </w:r>
          </w:p>
        </w:tc>
        <w:tc>
          <w:tcPr>
            <w:tcW w:w="1879" w:type="dxa"/>
            <w:vAlign w:val="center"/>
          </w:tcPr>
          <w:p w14:paraId="3F445CDB">
            <w:pPr>
              <w:pStyle w:val="41"/>
              <w:widowControl w:val="0"/>
              <w:adjustRightInd w:val="0"/>
              <w:snapToGrid w:val="0"/>
              <w:jc w:val="center"/>
              <w:rPr>
                <w:b/>
                <w:sz w:val="21"/>
                <w:szCs w:val="44"/>
              </w:rPr>
            </w:pPr>
            <w:r>
              <w:rPr>
                <w:rFonts w:hint="default"/>
                <w:b/>
                <w:sz w:val="21"/>
                <w:szCs w:val="44"/>
              </w:rPr>
              <w:t>型号规格</w:t>
            </w:r>
          </w:p>
        </w:tc>
        <w:tc>
          <w:tcPr>
            <w:tcW w:w="1560" w:type="dxa"/>
            <w:vAlign w:val="center"/>
          </w:tcPr>
          <w:p w14:paraId="6C38F192">
            <w:pPr>
              <w:pStyle w:val="41"/>
              <w:widowControl w:val="0"/>
              <w:adjustRightInd w:val="0"/>
              <w:snapToGrid w:val="0"/>
              <w:jc w:val="center"/>
              <w:rPr>
                <w:b/>
                <w:sz w:val="21"/>
                <w:szCs w:val="44"/>
              </w:rPr>
            </w:pPr>
            <w:r>
              <w:rPr>
                <w:rFonts w:hint="default"/>
                <w:b/>
                <w:sz w:val="21"/>
                <w:szCs w:val="44"/>
              </w:rPr>
              <w:t>数量（单位）</w:t>
            </w:r>
          </w:p>
        </w:tc>
        <w:tc>
          <w:tcPr>
            <w:tcW w:w="4988" w:type="dxa"/>
            <w:vAlign w:val="center"/>
          </w:tcPr>
          <w:p w14:paraId="13A969A9">
            <w:pPr>
              <w:pStyle w:val="41"/>
              <w:widowControl w:val="0"/>
              <w:adjustRightInd w:val="0"/>
              <w:snapToGrid w:val="0"/>
              <w:jc w:val="center"/>
              <w:rPr>
                <w:b/>
                <w:sz w:val="21"/>
                <w:szCs w:val="44"/>
              </w:rPr>
            </w:pPr>
            <w:r>
              <w:rPr>
                <w:b/>
                <w:sz w:val="21"/>
                <w:szCs w:val="44"/>
              </w:rPr>
              <w:t>详细</w:t>
            </w:r>
            <w:r>
              <w:rPr>
                <w:rFonts w:hint="default"/>
                <w:b/>
                <w:sz w:val="21"/>
                <w:szCs w:val="44"/>
              </w:rPr>
              <w:t>技术参数</w:t>
            </w:r>
          </w:p>
        </w:tc>
      </w:tr>
      <w:tr w14:paraId="6FBD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9159211">
            <w:pPr>
              <w:pStyle w:val="41"/>
              <w:widowControl w:val="0"/>
              <w:adjustRightInd w:val="0"/>
              <w:snapToGrid w:val="0"/>
              <w:jc w:val="center"/>
              <w:rPr>
                <w:b/>
                <w:sz w:val="21"/>
                <w:szCs w:val="44"/>
              </w:rPr>
            </w:pPr>
            <w:r>
              <w:rPr>
                <w:rFonts w:hint="default"/>
                <w:b/>
                <w:sz w:val="21"/>
                <w:szCs w:val="44"/>
              </w:rPr>
              <w:t>1</w:t>
            </w:r>
          </w:p>
        </w:tc>
        <w:tc>
          <w:tcPr>
            <w:tcW w:w="3135" w:type="dxa"/>
            <w:vAlign w:val="center"/>
          </w:tcPr>
          <w:p w14:paraId="3B7DCB2F">
            <w:pPr>
              <w:pStyle w:val="41"/>
              <w:widowControl w:val="0"/>
              <w:adjustRightInd w:val="0"/>
              <w:snapToGrid w:val="0"/>
              <w:rPr>
                <w:sz w:val="21"/>
                <w:szCs w:val="44"/>
              </w:rPr>
            </w:pPr>
            <w:r>
              <w:rPr>
                <w:sz w:val="21"/>
                <w:szCs w:val="44"/>
              </w:rPr>
              <w:t xml:space="preserve"> </w:t>
            </w:r>
          </w:p>
        </w:tc>
        <w:tc>
          <w:tcPr>
            <w:tcW w:w="1196" w:type="dxa"/>
            <w:vAlign w:val="center"/>
          </w:tcPr>
          <w:p w14:paraId="0E6B75BF">
            <w:pPr>
              <w:pStyle w:val="41"/>
              <w:widowControl w:val="0"/>
              <w:adjustRightInd w:val="0"/>
              <w:snapToGrid w:val="0"/>
              <w:jc w:val="center"/>
              <w:rPr>
                <w:sz w:val="21"/>
                <w:szCs w:val="44"/>
              </w:rPr>
            </w:pPr>
          </w:p>
        </w:tc>
        <w:tc>
          <w:tcPr>
            <w:tcW w:w="1879" w:type="dxa"/>
            <w:vAlign w:val="center"/>
          </w:tcPr>
          <w:p w14:paraId="398D61AB">
            <w:pPr>
              <w:pStyle w:val="41"/>
              <w:widowControl w:val="0"/>
              <w:adjustRightInd w:val="0"/>
              <w:snapToGrid w:val="0"/>
              <w:jc w:val="center"/>
              <w:rPr>
                <w:b/>
                <w:sz w:val="21"/>
                <w:szCs w:val="44"/>
              </w:rPr>
            </w:pPr>
          </w:p>
        </w:tc>
        <w:tc>
          <w:tcPr>
            <w:tcW w:w="1879" w:type="dxa"/>
            <w:vAlign w:val="center"/>
          </w:tcPr>
          <w:p w14:paraId="3C37D3A8">
            <w:pPr>
              <w:pStyle w:val="41"/>
              <w:widowControl w:val="0"/>
              <w:adjustRightInd w:val="0"/>
              <w:snapToGrid w:val="0"/>
              <w:jc w:val="center"/>
              <w:rPr>
                <w:b/>
                <w:sz w:val="21"/>
                <w:szCs w:val="44"/>
              </w:rPr>
            </w:pPr>
          </w:p>
        </w:tc>
        <w:tc>
          <w:tcPr>
            <w:tcW w:w="1560" w:type="dxa"/>
            <w:vAlign w:val="center"/>
          </w:tcPr>
          <w:p w14:paraId="1144DE99">
            <w:pPr>
              <w:pStyle w:val="41"/>
              <w:widowControl w:val="0"/>
              <w:adjustRightInd w:val="0"/>
              <w:snapToGrid w:val="0"/>
              <w:jc w:val="center"/>
              <w:rPr>
                <w:b/>
                <w:sz w:val="21"/>
                <w:szCs w:val="44"/>
              </w:rPr>
            </w:pPr>
          </w:p>
        </w:tc>
        <w:tc>
          <w:tcPr>
            <w:tcW w:w="4988" w:type="dxa"/>
            <w:vAlign w:val="center"/>
          </w:tcPr>
          <w:p w14:paraId="302801CB">
            <w:pPr>
              <w:pStyle w:val="41"/>
              <w:widowControl w:val="0"/>
              <w:adjustRightInd w:val="0"/>
              <w:snapToGrid w:val="0"/>
              <w:jc w:val="center"/>
              <w:rPr>
                <w:b/>
                <w:sz w:val="21"/>
                <w:szCs w:val="44"/>
              </w:rPr>
            </w:pPr>
          </w:p>
        </w:tc>
      </w:tr>
      <w:tr w14:paraId="59DC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2F0D6BA8">
            <w:pPr>
              <w:pStyle w:val="41"/>
              <w:widowControl w:val="0"/>
              <w:adjustRightInd w:val="0"/>
              <w:snapToGrid w:val="0"/>
              <w:jc w:val="center"/>
              <w:rPr>
                <w:b/>
                <w:sz w:val="21"/>
                <w:szCs w:val="44"/>
              </w:rPr>
            </w:pPr>
            <w:r>
              <w:rPr>
                <w:rFonts w:hint="default"/>
                <w:b/>
                <w:sz w:val="21"/>
                <w:szCs w:val="44"/>
              </w:rPr>
              <w:t>2</w:t>
            </w:r>
          </w:p>
        </w:tc>
        <w:tc>
          <w:tcPr>
            <w:tcW w:w="3135" w:type="dxa"/>
            <w:vAlign w:val="center"/>
          </w:tcPr>
          <w:p w14:paraId="67918E39">
            <w:pPr>
              <w:pStyle w:val="41"/>
              <w:widowControl w:val="0"/>
              <w:adjustRightInd w:val="0"/>
              <w:snapToGrid w:val="0"/>
              <w:jc w:val="both"/>
              <w:rPr>
                <w:sz w:val="21"/>
                <w:szCs w:val="44"/>
              </w:rPr>
            </w:pPr>
            <w:r>
              <w:rPr>
                <w:rFonts w:hint="default"/>
                <w:sz w:val="21"/>
                <w:szCs w:val="44"/>
              </w:rPr>
              <w:t xml:space="preserve"> </w:t>
            </w:r>
          </w:p>
        </w:tc>
        <w:tc>
          <w:tcPr>
            <w:tcW w:w="1196" w:type="dxa"/>
            <w:vAlign w:val="center"/>
          </w:tcPr>
          <w:p w14:paraId="29201CCE">
            <w:pPr>
              <w:pStyle w:val="41"/>
              <w:widowControl w:val="0"/>
              <w:adjustRightInd w:val="0"/>
              <w:snapToGrid w:val="0"/>
              <w:jc w:val="center"/>
              <w:rPr>
                <w:sz w:val="21"/>
                <w:szCs w:val="44"/>
              </w:rPr>
            </w:pPr>
          </w:p>
        </w:tc>
        <w:tc>
          <w:tcPr>
            <w:tcW w:w="1879" w:type="dxa"/>
            <w:vAlign w:val="center"/>
          </w:tcPr>
          <w:p w14:paraId="39376D0C">
            <w:pPr>
              <w:pStyle w:val="41"/>
              <w:widowControl w:val="0"/>
              <w:adjustRightInd w:val="0"/>
              <w:snapToGrid w:val="0"/>
              <w:jc w:val="center"/>
              <w:rPr>
                <w:b/>
                <w:sz w:val="21"/>
                <w:szCs w:val="44"/>
              </w:rPr>
            </w:pPr>
          </w:p>
        </w:tc>
        <w:tc>
          <w:tcPr>
            <w:tcW w:w="1879" w:type="dxa"/>
            <w:vAlign w:val="center"/>
          </w:tcPr>
          <w:p w14:paraId="1A095E94">
            <w:pPr>
              <w:pStyle w:val="41"/>
              <w:widowControl w:val="0"/>
              <w:adjustRightInd w:val="0"/>
              <w:snapToGrid w:val="0"/>
              <w:jc w:val="center"/>
              <w:rPr>
                <w:b/>
                <w:sz w:val="21"/>
                <w:szCs w:val="44"/>
              </w:rPr>
            </w:pPr>
          </w:p>
        </w:tc>
        <w:tc>
          <w:tcPr>
            <w:tcW w:w="1560" w:type="dxa"/>
            <w:vAlign w:val="center"/>
          </w:tcPr>
          <w:p w14:paraId="6E06FC6D">
            <w:pPr>
              <w:pStyle w:val="41"/>
              <w:widowControl w:val="0"/>
              <w:adjustRightInd w:val="0"/>
              <w:snapToGrid w:val="0"/>
              <w:jc w:val="center"/>
              <w:rPr>
                <w:b/>
                <w:sz w:val="21"/>
                <w:szCs w:val="44"/>
              </w:rPr>
            </w:pPr>
          </w:p>
        </w:tc>
        <w:tc>
          <w:tcPr>
            <w:tcW w:w="4988" w:type="dxa"/>
            <w:vAlign w:val="center"/>
          </w:tcPr>
          <w:p w14:paraId="6BDCE0DE">
            <w:pPr>
              <w:widowControl w:val="0"/>
              <w:adjustRightInd w:val="0"/>
              <w:snapToGrid w:val="0"/>
              <w:jc w:val="center"/>
              <w:rPr>
                <w:rFonts w:hint="eastAsia" w:ascii="宋体" w:hAnsi="宋体"/>
                <w:b/>
                <w:sz w:val="21"/>
                <w:szCs w:val="44"/>
              </w:rPr>
            </w:pPr>
          </w:p>
        </w:tc>
      </w:tr>
      <w:tr w14:paraId="296F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7D491BB7">
            <w:pPr>
              <w:pStyle w:val="41"/>
              <w:widowControl w:val="0"/>
              <w:adjustRightInd w:val="0"/>
              <w:snapToGrid w:val="0"/>
              <w:jc w:val="center"/>
              <w:rPr>
                <w:b/>
                <w:sz w:val="21"/>
                <w:szCs w:val="44"/>
              </w:rPr>
            </w:pPr>
            <w:r>
              <w:rPr>
                <w:b/>
                <w:sz w:val="21"/>
                <w:szCs w:val="44"/>
              </w:rPr>
              <w:t>3</w:t>
            </w:r>
          </w:p>
        </w:tc>
        <w:tc>
          <w:tcPr>
            <w:tcW w:w="3135" w:type="dxa"/>
            <w:vAlign w:val="center"/>
          </w:tcPr>
          <w:p w14:paraId="531FA7D4">
            <w:pPr>
              <w:pStyle w:val="41"/>
              <w:widowControl w:val="0"/>
              <w:adjustRightInd w:val="0"/>
              <w:snapToGrid w:val="0"/>
              <w:jc w:val="both"/>
              <w:rPr>
                <w:sz w:val="21"/>
                <w:szCs w:val="44"/>
              </w:rPr>
            </w:pPr>
          </w:p>
        </w:tc>
        <w:tc>
          <w:tcPr>
            <w:tcW w:w="1196" w:type="dxa"/>
            <w:vAlign w:val="center"/>
          </w:tcPr>
          <w:p w14:paraId="0E96AB6C">
            <w:pPr>
              <w:pStyle w:val="41"/>
              <w:widowControl w:val="0"/>
              <w:adjustRightInd w:val="0"/>
              <w:snapToGrid w:val="0"/>
              <w:jc w:val="center"/>
              <w:rPr>
                <w:sz w:val="21"/>
                <w:szCs w:val="44"/>
              </w:rPr>
            </w:pPr>
          </w:p>
        </w:tc>
        <w:tc>
          <w:tcPr>
            <w:tcW w:w="1879" w:type="dxa"/>
            <w:vAlign w:val="center"/>
          </w:tcPr>
          <w:p w14:paraId="7FFC5163">
            <w:pPr>
              <w:pStyle w:val="41"/>
              <w:widowControl w:val="0"/>
              <w:adjustRightInd w:val="0"/>
              <w:snapToGrid w:val="0"/>
              <w:jc w:val="center"/>
              <w:rPr>
                <w:b/>
                <w:sz w:val="21"/>
                <w:szCs w:val="44"/>
              </w:rPr>
            </w:pPr>
          </w:p>
        </w:tc>
        <w:tc>
          <w:tcPr>
            <w:tcW w:w="1879" w:type="dxa"/>
            <w:vAlign w:val="center"/>
          </w:tcPr>
          <w:p w14:paraId="00F832FA">
            <w:pPr>
              <w:pStyle w:val="41"/>
              <w:widowControl w:val="0"/>
              <w:adjustRightInd w:val="0"/>
              <w:snapToGrid w:val="0"/>
              <w:jc w:val="center"/>
              <w:rPr>
                <w:b/>
                <w:sz w:val="21"/>
                <w:szCs w:val="44"/>
              </w:rPr>
            </w:pPr>
          </w:p>
        </w:tc>
        <w:tc>
          <w:tcPr>
            <w:tcW w:w="1560" w:type="dxa"/>
            <w:vAlign w:val="center"/>
          </w:tcPr>
          <w:p w14:paraId="77C7ED8C">
            <w:pPr>
              <w:pStyle w:val="41"/>
              <w:widowControl w:val="0"/>
              <w:adjustRightInd w:val="0"/>
              <w:snapToGrid w:val="0"/>
              <w:jc w:val="center"/>
              <w:rPr>
                <w:b/>
                <w:sz w:val="21"/>
                <w:szCs w:val="44"/>
              </w:rPr>
            </w:pPr>
          </w:p>
        </w:tc>
        <w:tc>
          <w:tcPr>
            <w:tcW w:w="4988" w:type="dxa"/>
            <w:vAlign w:val="center"/>
          </w:tcPr>
          <w:p w14:paraId="595CB3D5">
            <w:pPr>
              <w:widowControl w:val="0"/>
              <w:adjustRightInd w:val="0"/>
              <w:snapToGrid w:val="0"/>
              <w:jc w:val="center"/>
              <w:rPr>
                <w:rFonts w:hint="eastAsia" w:ascii="宋体" w:hAnsi="宋体"/>
                <w:b/>
                <w:sz w:val="21"/>
                <w:szCs w:val="44"/>
              </w:rPr>
            </w:pPr>
          </w:p>
        </w:tc>
      </w:tr>
      <w:tr w14:paraId="1C34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69E234AB">
            <w:pPr>
              <w:pStyle w:val="41"/>
              <w:widowControl w:val="0"/>
              <w:adjustRightInd w:val="0"/>
              <w:snapToGrid w:val="0"/>
              <w:jc w:val="center"/>
              <w:rPr>
                <w:b/>
                <w:sz w:val="21"/>
                <w:szCs w:val="44"/>
              </w:rPr>
            </w:pPr>
            <w:r>
              <w:rPr>
                <w:b/>
                <w:sz w:val="21"/>
                <w:szCs w:val="44"/>
              </w:rPr>
              <w:t>4</w:t>
            </w:r>
          </w:p>
        </w:tc>
        <w:tc>
          <w:tcPr>
            <w:tcW w:w="3135" w:type="dxa"/>
            <w:vAlign w:val="center"/>
          </w:tcPr>
          <w:p w14:paraId="2CAB2692">
            <w:pPr>
              <w:pStyle w:val="41"/>
              <w:widowControl w:val="0"/>
              <w:adjustRightInd w:val="0"/>
              <w:snapToGrid w:val="0"/>
              <w:jc w:val="both"/>
              <w:rPr>
                <w:sz w:val="21"/>
                <w:szCs w:val="44"/>
              </w:rPr>
            </w:pPr>
          </w:p>
        </w:tc>
        <w:tc>
          <w:tcPr>
            <w:tcW w:w="1196" w:type="dxa"/>
            <w:vAlign w:val="center"/>
          </w:tcPr>
          <w:p w14:paraId="01BD1059">
            <w:pPr>
              <w:pStyle w:val="41"/>
              <w:widowControl w:val="0"/>
              <w:adjustRightInd w:val="0"/>
              <w:snapToGrid w:val="0"/>
              <w:jc w:val="center"/>
              <w:rPr>
                <w:sz w:val="21"/>
                <w:szCs w:val="44"/>
              </w:rPr>
            </w:pPr>
          </w:p>
        </w:tc>
        <w:tc>
          <w:tcPr>
            <w:tcW w:w="1879" w:type="dxa"/>
            <w:vAlign w:val="center"/>
          </w:tcPr>
          <w:p w14:paraId="34074E4F">
            <w:pPr>
              <w:pStyle w:val="41"/>
              <w:widowControl w:val="0"/>
              <w:adjustRightInd w:val="0"/>
              <w:snapToGrid w:val="0"/>
              <w:jc w:val="center"/>
              <w:rPr>
                <w:b/>
                <w:sz w:val="21"/>
                <w:szCs w:val="44"/>
              </w:rPr>
            </w:pPr>
          </w:p>
        </w:tc>
        <w:tc>
          <w:tcPr>
            <w:tcW w:w="1879" w:type="dxa"/>
            <w:vAlign w:val="center"/>
          </w:tcPr>
          <w:p w14:paraId="22C90FB1">
            <w:pPr>
              <w:pStyle w:val="41"/>
              <w:widowControl w:val="0"/>
              <w:adjustRightInd w:val="0"/>
              <w:snapToGrid w:val="0"/>
              <w:jc w:val="center"/>
              <w:rPr>
                <w:b/>
                <w:sz w:val="21"/>
                <w:szCs w:val="44"/>
              </w:rPr>
            </w:pPr>
          </w:p>
        </w:tc>
        <w:tc>
          <w:tcPr>
            <w:tcW w:w="1560" w:type="dxa"/>
            <w:vAlign w:val="center"/>
          </w:tcPr>
          <w:p w14:paraId="6FCDBADB">
            <w:pPr>
              <w:pStyle w:val="41"/>
              <w:widowControl w:val="0"/>
              <w:adjustRightInd w:val="0"/>
              <w:snapToGrid w:val="0"/>
              <w:jc w:val="center"/>
              <w:rPr>
                <w:b/>
                <w:sz w:val="21"/>
                <w:szCs w:val="44"/>
              </w:rPr>
            </w:pPr>
          </w:p>
        </w:tc>
        <w:tc>
          <w:tcPr>
            <w:tcW w:w="4988" w:type="dxa"/>
            <w:vAlign w:val="center"/>
          </w:tcPr>
          <w:p w14:paraId="4BF30DE4">
            <w:pPr>
              <w:widowControl w:val="0"/>
              <w:adjustRightInd w:val="0"/>
              <w:snapToGrid w:val="0"/>
              <w:jc w:val="center"/>
              <w:rPr>
                <w:rFonts w:hint="eastAsia" w:ascii="宋体" w:hAnsi="宋体"/>
                <w:b/>
                <w:sz w:val="21"/>
                <w:szCs w:val="44"/>
              </w:rPr>
            </w:pPr>
          </w:p>
        </w:tc>
      </w:tr>
      <w:tr w14:paraId="4DC2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D9913B5">
            <w:pPr>
              <w:pStyle w:val="41"/>
              <w:widowControl w:val="0"/>
              <w:adjustRightInd w:val="0"/>
              <w:snapToGrid w:val="0"/>
              <w:jc w:val="center"/>
              <w:rPr>
                <w:b/>
                <w:sz w:val="21"/>
                <w:szCs w:val="44"/>
              </w:rPr>
            </w:pPr>
            <w:r>
              <w:rPr>
                <w:b/>
                <w:sz w:val="21"/>
                <w:szCs w:val="44"/>
              </w:rPr>
              <w:t>5</w:t>
            </w:r>
          </w:p>
        </w:tc>
        <w:tc>
          <w:tcPr>
            <w:tcW w:w="3135" w:type="dxa"/>
            <w:vAlign w:val="center"/>
          </w:tcPr>
          <w:p w14:paraId="1D70C135">
            <w:pPr>
              <w:pStyle w:val="41"/>
              <w:widowControl w:val="0"/>
              <w:adjustRightInd w:val="0"/>
              <w:snapToGrid w:val="0"/>
              <w:jc w:val="both"/>
              <w:rPr>
                <w:sz w:val="21"/>
                <w:szCs w:val="44"/>
              </w:rPr>
            </w:pPr>
            <w:r>
              <w:rPr>
                <w:sz w:val="21"/>
                <w:szCs w:val="44"/>
              </w:rPr>
              <w:t>……</w:t>
            </w:r>
          </w:p>
        </w:tc>
        <w:tc>
          <w:tcPr>
            <w:tcW w:w="1196" w:type="dxa"/>
            <w:vAlign w:val="center"/>
          </w:tcPr>
          <w:p w14:paraId="19BE288C">
            <w:pPr>
              <w:pStyle w:val="41"/>
              <w:widowControl w:val="0"/>
              <w:adjustRightInd w:val="0"/>
              <w:snapToGrid w:val="0"/>
              <w:jc w:val="center"/>
              <w:rPr>
                <w:sz w:val="21"/>
                <w:szCs w:val="44"/>
              </w:rPr>
            </w:pPr>
          </w:p>
        </w:tc>
        <w:tc>
          <w:tcPr>
            <w:tcW w:w="1879" w:type="dxa"/>
            <w:vAlign w:val="center"/>
          </w:tcPr>
          <w:p w14:paraId="7D21F467">
            <w:pPr>
              <w:pStyle w:val="41"/>
              <w:widowControl w:val="0"/>
              <w:adjustRightInd w:val="0"/>
              <w:snapToGrid w:val="0"/>
              <w:jc w:val="center"/>
              <w:rPr>
                <w:b/>
                <w:sz w:val="21"/>
                <w:szCs w:val="44"/>
              </w:rPr>
            </w:pPr>
          </w:p>
        </w:tc>
        <w:tc>
          <w:tcPr>
            <w:tcW w:w="1879" w:type="dxa"/>
            <w:vAlign w:val="center"/>
          </w:tcPr>
          <w:p w14:paraId="60A48318">
            <w:pPr>
              <w:pStyle w:val="41"/>
              <w:widowControl w:val="0"/>
              <w:adjustRightInd w:val="0"/>
              <w:snapToGrid w:val="0"/>
              <w:jc w:val="center"/>
              <w:rPr>
                <w:b/>
                <w:sz w:val="21"/>
                <w:szCs w:val="44"/>
              </w:rPr>
            </w:pPr>
          </w:p>
        </w:tc>
        <w:tc>
          <w:tcPr>
            <w:tcW w:w="1560" w:type="dxa"/>
            <w:vAlign w:val="center"/>
          </w:tcPr>
          <w:p w14:paraId="46E4683B">
            <w:pPr>
              <w:pStyle w:val="41"/>
              <w:widowControl w:val="0"/>
              <w:adjustRightInd w:val="0"/>
              <w:snapToGrid w:val="0"/>
              <w:jc w:val="center"/>
              <w:rPr>
                <w:b/>
                <w:sz w:val="21"/>
                <w:szCs w:val="44"/>
              </w:rPr>
            </w:pPr>
          </w:p>
        </w:tc>
        <w:tc>
          <w:tcPr>
            <w:tcW w:w="4988" w:type="dxa"/>
            <w:vAlign w:val="center"/>
          </w:tcPr>
          <w:p w14:paraId="6F68CC38">
            <w:pPr>
              <w:widowControl w:val="0"/>
              <w:adjustRightInd w:val="0"/>
              <w:snapToGrid w:val="0"/>
              <w:jc w:val="center"/>
              <w:rPr>
                <w:rFonts w:hint="eastAsia" w:ascii="宋体" w:hAnsi="宋体"/>
                <w:b/>
                <w:sz w:val="21"/>
                <w:szCs w:val="44"/>
              </w:rPr>
            </w:pPr>
          </w:p>
        </w:tc>
      </w:tr>
      <w:tr w14:paraId="4042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71DD3DE6">
            <w:pPr>
              <w:pStyle w:val="41"/>
              <w:widowControl w:val="0"/>
              <w:adjustRightInd w:val="0"/>
              <w:snapToGrid w:val="0"/>
              <w:jc w:val="center"/>
              <w:rPr>
                <w:b/>
                <w:sz w:val="21"/>
                <w:szCs w:val="44"/>
              </w:rPr>
            </w:pPr>
          </w:p>
        </w:tc>
        <w:tc>
          <w:tcPr>
            <w:tcW w:w="3135" w:type="dxa"/>
            <w:vAlign w:val="center"/>
          </w:tcPr>
          <w:p w14:paraId="3FE270A2">
            <w:pPr>
              <w:pStyle w:val="41"/>
              <w:widowControl w:val="0"/>
              <w:adjustRightInd w:val="0"/>
              <w:snapToGrid w:val="0"/>
              <w:jc w:val="both"/>
              <w:rPr>
                <w:sz w:val="21"/>
                <w:szCs w:val="44"/>
              </w:rPr>
            </w:pPr>
            <w:r>
              <w:rPr>
                <w:rFonts w:hint="default"/>
                <w:sz w:val="21"/>
                <w:szCs w:val="44"/>
              </w:rPr>
              <w:t>（按照</w:t>
            </w:r>
            <w:r>
              <w:rPr>
                <w:sz w:val="21"/>
                <w:szCs w:val="44"/>
              </w:rPr>
              <w:t>采购</w:t>
            </w:r>
            <w:r>
              <w:rPr>
                <w:rFonts w:hint="default"/>
                <w:sz w:val="21"/>
                <w:szCs w:val="44"/>
              </w:rPr>
              <w:t>清单填写）</w:t>
            </w:r>
          </w:p>
        </w:tc>
        <w:tc>
          <w:tcPr>
            <w:tcW w:w="1196" w:type="dxa"/>
            <w:vAlign w:val="center"/>
          </w:tcPr>
          <w:p w14:paraId="3E3AA114">
            <w:pPr>
              <w:pStyle w:val="41"/>
              <w:widowControl w:val="0"/>
              <w:adjustRightInd w:val="0"/>
              <w:snapToGrid w:val="0"/>
              <w:jc w:val="center"/>
              <w:rPr>
                <w:sz w:val="21"/>
                <w:szCs w:val="44"/>
              </w:rPr>
            </w:pPr>
          </w:p>
        </w:tc>
        <w:tc>
          <w:tcPr>
            <w:tcW w:w="1879" w:type="dxa"/>
            <w:vAlign w:val="center"/>
          </w:tcPr>
          <w:p w14:paraId="0B0B55C4">
            <w:pPr>
              <w:pStyle w:val="41"/>
              <w:widowControl w:val="0"/>
              <w:adjustRightInd w:val="0"/>
              <w:snapToGrid w:val="0"/>
              <w:jc w:val="center"/>
              <w:rPr>
                <w:b/>
                <w:sz w:val="21"/>
                <w:szCs w:val="44"/>
              </w:rPr>
            </w:pPr>
          </w:p>
        </w:tc>
        <w:tc>
          <w:tcPr>
            <w:tcW w:w="1879" w:type="dxa"/>
            <w:vAlign w:val="center"/>
          </w:tcPr>
          <w:p w14:paraId="27D3D30C">
            <w:pPr>
              <w:pStyle w:val="41"/>
              <w:widowControl w:val="0"/>
              <w:adjustRightInd w:val="0"/>
              <w:snapToGrid w:val="0"/>
              <w:jc w:val="center"/>
              <w:rPr>
                <w:b/>
                <w:sz w:val="21"/>
                <w:szCs w:val="44"/>
              </w:rPr>
            </w:pPr>
          </w:p>
        </w:tc>
        <w:tc>
          <w:tcPr>
            <w:tcW w:w="1560" w:type="dxa"/>
            <w:vAlign w:val="center"/>
          </w:tcPr>
          <w:p w14:paraId="3B6D695B">
            <w:pPr>
              <w:pStyle w:val="41"/>
              <w:widowControl w:val="0"/>
              <w:adjustRightInd w:val="0"/>
              <w:snapToGrid w:val="0"/>
              <w:jc w:val="center"/>
              <w:rPr>
                <w:b/>
                <w:sz w:val="21"/>
                <w:szCs w:val="44"/>
              </w:rPr>
            </w:pPr>
          </w:p>
        </w:tc>
        <w:tc>
          <w:tcPr>
            <w:tcW w:w="4988" w:type="dxa"/>
            <w:vAlign w:val="center"/>
          </w:tcPr>
          <w:p w14:paraId="65174649">
            <w:pPr>
              <w:widowControl w:val="0"/>
              <w:adjustRightInd w:val="0"/>
              <w:snapToGrid w:val="0"/>
              <w:jc w:val="center"/>
              <w:rPr>
                <w:rFonts w:hint="eastAsia" w:ascii="宋体" w:hAnsi="宋体"/>
                <w:b/>
                <w:sz w:val="21"/>
                <w:szCs w:val="44"/>
              </w:rPr>
            </w:pPr>
          </w:p>
        </w:tc>
      </w:tr>
    </w:tbl>
    <w:p w14:paraId="56A942A1">
      <w:pPr>
        <w:pStyle w:val="26"/>
        <w:widowControl w:val="0"/>
        <w:adjustRightInd w:val="0"/>
        <w:snapToGrid w:val="0"/>
        <w:spacing w:before="0" w:beforeAutospacing="0" w:after="0" w:afterAutospacing="0"/>
        <w:ind w:firstLine="978" w:firstLineChars="466"/>
        <w:rPr>
          <w:rFonts w:hint="eastAsia"/>
          <w:sz w:val="21"/>
          <w:szCs w:val="21"/>
        </w:rPr>
      </w:pPr>
    </w:p>
    <w:p w14:paraId="77E1D6DF">
      <w:pPr>
        <w:widowControl w:val="0"/>
        <w:tabs>
          <w:tab w:val="left" w:pos="3435"/>
        </w:tabs>
        <w:adjustRightInd w:val="0"/>
        <w:snapToGrid w:val="0"/>
        <w:ind w:firstLine="435"/>
        <w:rPr>
          <w:rFonts w:hint="eastAsia" w:ascii="宋体" w:hAnsi="宋体"/>
          <w:b/>
          <w:sz w:val="21"/>
          <w:szCs w:val="21"/>
        </w:rPr>
      </w:pPr>
      <w:r>
        <w:rPr>
          <w:rFonts w:ascii="宋体" w:hAnsi="宋体"/>
          <w:b/>
          <w:sz w:val="21"/>
          <w:szCs w:val="21"/>
        </w:rPr>
        <w:t>注：1.投标人须根据拟提供的货物参数详细填写此表，凡与《招标文件》要求不一致的内容，均详细在《技术要求偏离表》中填写。</w:t>
      </w:r>
    </w:p>
    <w:p w14:paraId="13219B9C">
      <w:pPr>
        <w:widowControl w:val="0"/>
        <w:tabs>
          <w:tab w:val="left" w:pos="3435"/>
        </w:tabs>
        <w:adjustRightInd w:val="0"/>
        <w:snapToGrid w:val="0"/>
        <w:ind w:firstLine="435"/>
        <w:rPr>
          <w:rFonts w:hint="eastAsia" w:ascii="宋体" w:hAnsi="宋体"/>
          <w:b/>
          <w:sz w:val="21"/>
          <w:szCs w:val="21"/>
        </w:rPr>
      </w:pPr>
      <w:r>
        <w:rPr>
          <w:rFonts w:ascii="宋体" w:hAnsi="宋体"/>
          <w:b/>
          <w:sz w:val="21"/>
          <w:szCs w:val="21"/>
        </w:rPr>
        <w:t xml:space="preserve">    2.此表中的货物必须与《</w:t>
      </w:r>
      <w:r>
        <w:rPr>
          <w:rFonts w:hint="eastAsia" w:ascii="宋体" w:hAnsi="宋体"/>
          <w:b/>
          <w:sz w:val="21"/>
          <w:szCs w:val="21"/>
        </w:rPr>
        <w:t>开标一览表（报价</w:t>
      </w:r>
      <w:r>
        <w:rPr>
          <w:rFonts w:ascii="宋体" w:hAnsi="宋体"/>
          <w:b/>
          <w:sz w:val="21"/>
          <w:szCs w:val="21"/>
        </w:rPr>
        <w:t>表</w:t>
      </w:r>
      <w:r>
        <w:rPr>
          <w:rFonts w:hint="eastAsia" w:ascii="宋体" w:hAnsi="宋体"/>
          <w:b/>
          <w:sz w:val="21"/>
          <w:szCs w:val="21"/>
        </w:rPr>
        <w:t>）</w:t>
      </w:r>
      <w:r>
        <w:rPr>
          <w:rFonts w:ascii="宋体" w:hAnsi="宋体"/>
          <w:b/>
          <w:sz w:val="21"/>
          <w:szCs w:val="21"/>
        </w:rPr>
        <w:t>》中填报的内容相一致。</w:t>
      </w:r>
    </w:p>
    <w:p w14:paraId="678627E0">
      <w:pPr>
        <w:widowControl w:val="0"/>
        <w:tabs>
          <w:tab w:val="left" w:pos="3435"/>
        </w:tabs>
        <w:adjustRightInd w:val="0"/>
        <w:snapToGrid w:val="0"/>
        <w:spacing w:line="420" w:lineRule="exact"/>
        <w:ind w:firstLine="435"/>
        <w:rPr>
          <w:rFonts w:hint="eastAsia" w:ascii="宋体" w:hAnsi="宋体"/>
          <w:b/>
          <w:sz w:val="21"/>
          <w:szCs w:val="21"/>
        </w:rPr>
      </w:pPr>
    </w:p>
    <w:p w14:paraId="2206A328">
      <w:pPr>
        <w:pStyle w:val="26"/>
        <w:widowControl w:val="0"/>
        <w:adjustRightInd w:val="0"/>
        <w:snapToGrid w:val="0"/>
        <w:spacing w:before="0" w:beforeAutospacing="0" w:after="0" w:afterAutospacing="0" w:line="360" w:lineRule="auto"/>
        <w:ind w:firstLine="7200" w:firstLineChars="3000"/>
        <w:rPr>
          <w:rFonts w:hint="eastAsia"/>
        </w:rPr>
      </w:pPr>
      <w:r>
        <w:t>投标人</w:t>
      </w:r>
      <w:r>
        <w:rPr>
          <w:color w:val="000000"/>
        </w:rPr>
        <w:t>（电子签章）</w:t>
      </w:r>
      <w:r>
        <w:t>：__________________________</w:t>
      </w:r>
    </w:p>
    <w:p w14:paraId="5AB28DFA">
      <w:pPr>
        <w:spacing w:line="360" w:lineRule="auto"/>
        <w:jc w:val="center"/>
        <w:sectPr>
          <w:pgSz w:w="16838" w:h="11906" w:orient="landscape"/>
          <w:pgMar w:top="1622" w:right="1259" w:bottom="1287" w:left="1361" w:header="709" w:footer="975" w:gutter="0"/>
          <w:cols w:space="720" w:num="1"/>
          <w:docGrid w:linePitch="360" w:charSpace="0"/>
        </w:sectPr>
      </w:pPr>
      <w:r>
        <w:rPr>
          <w:rFonts w:hint="eastAsia"/>
        </w:rPr>
        <w:t xml:space="preserve"> </w:t>
      </w:r>
      <w:r>
        <w:t xml:space="preserve">                                                    日期：____年____月____日</w:t>
      </w:r>
    </w:p>
    <w:p w14:paraId="7427F1B1">
      <w:pPr>
        <w:pStyle w:val="41"/>
        <w:widowControl w:val="0"/>
        <w:adjustRightInd w:val="0"/>
        <w:snapToGrid w:val="0"/>
        <w:spacing w:line="390" w:lineRule="atLeast"/>
        <w:jc w:val="center"/>
        <w:rPr>
          <w:b/>
          <w:sz w:val="32"/>
          <w:szCs w:val="32"/>
        </w:rPr>
      </w:pPr>
      <w:r>
        <w:rPr>
          <w:b/>
          <w:sz w:val="32"/>
          <w:szCs w:val="32"/>
        </w:rPr>
        <w:t>四</w:t>
      </w:r>
      <w:r>
        <w:rPr>
          <w:rFonts w:hint="default"/>
          <w:b/>
          <w:sz w:val="32"/>
          <w:szCs w:val="32"/>
        </w:rPr>
        <w:t>、</w:t>
      </w:r>
      <w:bookmarkStart w:id="80" w:name="_Hlk93401427"/>
      <w:r>
        <w:rPr>
          <w:rFonts w:hint="default"/>
          <w:b/>
          <w:sz w:val="32"/>
          <w:szCs w:val="32"/>
        </w:rPr>
        <w:t>技术要求偏离表</w:t>
      </w:r>
    </w:p>
    <w:p w14:paraId="20F39E16">
      <w:pPr>
        <w:pStyle w:val="41"/>
        <w:widowControl w:val="0"/>
        <w:adjustRightInd w:val="0"/>
        <w:snapToGrid w:val="0"/>
      </w:pPr>
      <w:r>
        <w:rPr>
          <w:rFonts w:hint="default"/>
        </w:rPr>
        <w:t xml:space="preserve"> </w:t>
      </w:r>
    </w:p>
    <w:tbl>
      <w:tblPr>
        <w:tblStyle w:val="44"/>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14:paraId="2354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4BA07F6">
            <w:pPr>
              <w:pStyle w:val="41"/>
              <w:widowControl w:val="0"/>
              <w:adjustRightInd w:val="0"/>
              <w:snapToGrid w:val="0"/>
              <w:jc w:val="center"/>
              <w:rPr>
                <w:rFonts w:hint="default" w:ascii="Times New Roman" w:hAnsi="Times New Roman"/>
              </w:rPr>
            </w:pPr>
            <w:r>
              <w:rPr>
                <w:rFonts w:hint="default" w:ascii="Times New Roman" w:hAnsi="Times New Roman"/>
              </w:rPr>
              <w:t>序号</w:t>
            </w:r>
          </w:p>
        </w:tc>
        <w:tc>
          <w:tcPr>
            <w:tcW w:w="2754" w:type="dxa"/>
            <w:vAlign w:val="center"/>
          </w:tcPr>
          <w:p w14:paraId="00791040">
            <w:pPr>
              <w:pStyle w:val="41"/>
              <w:widowControl w:val="0"/>
              <w:adjustRightInd w:val="0"/>
              <w:snapToGrid w:val="0"/>
              <w:jc w:val="center"/>
              <w:rPr>
                <w:rFonts w:hint="default" w:ascii="Times New Roman" w:hAnsi="Times New Roman"/>
              </w:rPr>
            </w:pPr>
            <w:r>
              <w:rPr>
                <w:rFonts w:hint="default" w:ascii="Times New Roman" w:hAnsi="Times New Roman"/>
                <w:u w:val="thick" w:color="FFFFFF"/>
              </w:rPr>
              <w:t>招标文件</w:t>
            </w:r>
            <w:r>
              <w:rPr>
                <w:rFonts w:hint="default" w:ascii="Times New Roman" w:hAnsi="Times New Roman"/>
              </w:rPr>
              <w:t>要求</w:t>
            </w:r>
          </w:p>
        </w:tc>
        <w:tc>
          <w:tcPr>
            <w:tcW w:w="2812" w:type="dxa"/>
            <w:vAlign w:val="center"/>
          </w:tcPr>
          <w:p w14:paraId="436B7B60">
            <w:pPr>
              <w:pStyle w:val="41"/>
              <w:widowControl w:val="0"/>
              <w:adjustRightInd w:val="0"/>
              <w:snapToGrid w:val="0"/>
              <w:jc w:val="center"/>
              <w:rPr>
                <w:rFonts w:hint="default" w:ascii="Times New Roman" w:hAnsi="Times New Roman"/>
              </w:rPr>
            </w:pPr>
            <w:r>
              <w:rPr>
                <w:rFonts w:hint="default" w:ascii="Times New Roman" w:hAnsi="Times New Roman"/>
              </w:rPr>
              <w:t>投标响应参数</w:t>
            </w:r>
          </w:p>
        </w:tc>
        <w:tc>
          <w:tcPr>
            <w:tcW w:w="1522" w:type="dxa"/>
            <w:vAlign w:val="center"/>
          </w:tcPr>
          <w:p w14:paraId="33D03B1B">
            <w:pPr>
              <w:pStyle w:val="41"/>
              <w:widowControl w:val="0"/>
              <w:adjustRightInd w:val="0"/>
              <w:snapToGrid w:val="0"/>
              <w:jc w:val="center"/>
              <w:rPr>
                <w:rFonts w:hint="default" w:ascii="Times New Roman" w:hAnsi="Times New Roman"/>
              </w:rPr>
            </w:pPr>
            <w:r>
              <w:rPr>
                <w:rFonts w:hint="default" w:ascii="Times New Roman" w:hAnsi="Times New Roman"/>
              </w:rPr>
              <w:t>偏离情况</w:t>
            </w:r>
          </w:p>
        </w:tc>
        <w:tc>
          <w:tcPr>
            <w:tcW w:w="1572" w:type="dxa"/>
            <w:vAlign w:val="center"/>
          </w:tcPr>
          <w:p w14:paraId="2C3113A6">
            <w:pPr>
              <w:pStyle w:val="41"/>
              <w:widowControl w:val="0"/>
              <w:adjustRightInd w:val="0"/>
              <w:snapToGrid w:val="0"/>
              <w:jc w:val="center"/>
              <w:rPr>
                <w:rFonts w:hint="default" w:ascii="Times New Roman" w:hAnsi="Times New Roman"/>
              </w:rPr>
            </w:pPr>
            <w:r>
              <w:rPr>
                <w:rFonts w:hint="default" w:ascii="Times New Roman" w:hAnsi="Times New Roman"/>
              </w:rPr>
              <w:t>备注</w:t>
            </w:r>
          </w:p>
        </w:tc>
      </w:tr>
      <w:tr w14:paraId="5672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E7642F3">
            <w:pPr>
              <w:pStyle w:val="41"/>
              <w:widowControl w:val="0"/>
              <w:adjustRightInd w:val="0"/>
              <w:snapToGrid w:val="0"/>
              <w:jc w:val="center"/>
              <w:rPr>
                <w:rFonts w:hint="default" w:ascii="Times New Roman" w:hAnsi="Times New Roman"/>
              </w:rPr>
            </w:pPr>
            <w:r>
              <w:rPr>
                <w:rFonts w:hint="default" w:ascii="Times New Roman" w:hAnsi="Times New Roman"/>
              </w:rPr>
              <w:t>1</w:t>
            </w:r>
          </w:p>
        </w:tc>
        <w:tc>
          <w:tcPr>
            <w:tcW w:w="2754" w:type="dxa"/>
            <w:vAlign w:val="center"/>
          </w:tcPr>
          <w:p w14:paraId="1AF58200">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2812" w:type="dxa"/>
            <w:vAlign w:val="center"/>
          </w:tcPr>
          <w:p w14:paraId="5B27BC95">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1522" w:type="dxa"/>
            <w:vAlign w:val="center"/>
          </w:tcPr>
          <w:p w14:paraId="2B07EA82">
            <w:pPr>
              <w:pStyle w:val="41"/>
              <w:widowControl w:val="0"/>
              <w:adjustRightInd w:val="0"/>
              <w:snapToGrid w:val="0"/>
              <w:jc w:val="center"/>
              <w:rPr>
                <w:rFonts w:hint="default" w:ascii="Times New Roman" w:hAnsi="Times New Roman"/>
              </w:rPr>
            </w:pPr>
          </w:p>
        </w:tc>
        <w:tc>
          <w:tcPr>
            <w:tcW w:w="1572" w:type="dxa"/>
            <w:vAlign w:val="center"/>
          </w:tcPr>
          <w:p w14:paraId="0EF5DB02">
            <w:pPr>
              <w:pStyle w:val="41"/>
              <w:widowControl w:val="0"/>
              <w:adjustRightInd w:val="0"/>
              <w:snapToGrid w:val="0"/>
              <w:jc w:val="both"/>
              <w:rPr>
                <w:rFonts w:hint="default" w:ascii="Times New Roman" w:hAnsi="Times New Roman"/>
              </w:rPr>
            </w:pPr>
          </w:p>
        </w:tc>
      </w:tr>
      <w:tr w14:paraId="7395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1F688E6">
            <w:pPr>
              <w:pStyle w:val="41"/>
              <w:widowControl w:val="0"/>
              <w:adjustRightInd w:val="0"/>
              <w:snapToGrid w:val="0"/>
              <w:jc w:val="center"/>
              <w:rPr>
                <w:rFonts w:hint="default" w:ascii="Times New Roman" w:hAnsi="Times New Roman"/>
              </w:rPr>
            </w:pPr>
            <w:r>
              <w:rPr>
                <w:rFonts w:hint="default" w:ascii="Times New Roman" w:hAnsi="Times New Roman"/>
              </w:rPr>
              <w:t>2</w:t>
            </w:r>
          </w:p>
        </w:tc>
        <w:tc>
          <w:tcPr>
            <w:tcW w:w="2754" w:type="dxa"/>
            <w:vAlign w:val="center"/>
          </w:tcPr>
          <w:p w14:paraId="45D05C51">
            <w:pPr>
              <w:widowControl w:val="0"/>
              <w:adjustRightInd w:val="0"/>
              <w:snapToGrid w:val="0"/>
              <w:jc w:val="both"/>
              <w:rPr>
                <w:sz w:val="21"/>
                <w:szCs w:val="21"/>
              </w:rPr>
            </w:pPr>
          </w:p>
        </w:tc>
        <w:tc>
          <w:tcPr>
            <w:tcW w:w="2812" w:type="dxa"/>
            <w:vAlign w:val="center"/>
          </w:tcPr>
          <w:p w14:paraId="39AA71D1">
            <w:pPr>
              <w:widowControl w:val="0"/>
              <w:adjustRightInd w:val="0"/>
              <w:snapToGrid w:val="0"/>
              <w:ind w:left="360" w:hanging="360" w:hangingChars="150"/>
              <w:jc w:val="both"/>
            </w:pPr>
          </w:p>
        </w:tc>
        <w:tc>
          <w:tcPr>
            <w:tcW w:w="1522" w:type="dxa"/>
            <w:vAlign w:val="center"/>
          </w:tcPr>
          <w:p w14:paraId="100254B1">
            <w:pPr>
              <w:pStyle w:val="41"/>
              <w:widowControl w:val="0"/>
              <w:adjustRightInd w:val="0"/>
              <w:snapToGrid w:val="0"/>
              <w:jc w:val="center"/>
              <w:rPr>
                <w:rFonts w:hint="default" w:ascii="Times New Roman" w:hAnsi="Times New Roman"/>
              </w:rPr>
            </w:pPr>
          </w:p>
        </w:tc>
        <w:tc>
          <w:tcPr>
            <w:tcW w:w="1572" w:type="dxa"/>
            <w:vAlign w:val="center"/>
          </w:tcPr>
          <w:p w14:paraId="352B3A60">
            <w:pPr>
              <w:pStyle w:val="41"/>
              <w:widowControl w:val="0"/>
              <w:adjustRightInd w:val="0"/>
              <w:snapToGrid w:val="0"/>
              <w:jc w:val="both"/>
              <w:rPr>
                <w:rFonts w:hint="default" w:ascii="Times New Roman" w:hAnsi="Times New Roman"/>
              </w:rPr>
            </w:pPr>
          </w:p>
        </w:tc>
      </w:tr>
      <w:tr w14:paraId="029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7FFD715">
            <w:pPr>
              <w:pStyle w:val="41"/>
              <w:widowControl w:val="0"/>
              <w:adjustRightInd w:val="0"/>
              <w:snapToGrid w:val="0"/>
              <w:jc w:val="center"/>
              <w:rPr>
                <w:rFonts w:hint="default" w:ascii="Times New Roman" w:hAnsi="Times New Roman"/>
              </w:rPr>
            </w:pPr>
            <w:r>
              <w:rPr>
                <w:rFonts w:hint="default" w:ascii="Times New Roman" w:hAnsi="Times New Roman"/>
              </w:rPr>
              <w:t>3</w:t>
            </w:r>
          </w:p>
        </w:tc>
        <w:tc>
          <w:tcPr>
            <w:tcW w:w="2754" w:type="dxa"/>
            <w:vAlign w:val="center"/>
          </w:tcPr>
          <w:p w14:paraId="335410C7">
            <w:pPr>
              <w:pStyle w:val="41"/>
              <w:widowControl w:val="0"/>
              <w:adjustRightInd w:val="0"/>
              <w:snapToGrid w:val="0"/>
              <w:ind w:firstLine="840" w:firstLineChars="350"/>
              <w:jc w:val="both"/>
              <w:rPr>
                <w:rFonts w:hint="default" w:ascii="Times New Roman" w:hAnsi="Times New Roman"/>
              </w:rPr>
            </w:pPr>
          </w:p>
        </w:tc>
        <w:tc>
          <w:tcPr>
            <w:tcW w:w="2812" w:type="dxa"/>
            <w:vAlign w:val="center"/>
          </w:tcPr>
          <w:p w14:paraId="0733FB91">
            <w:pPr>
              <w:widowControl w:val="0"/>
              <w:adjustRightInd w:val="0"/>
              <w:snapToGrid w:val="0"/>
              <w:jc w:val="both"/>
            </w:pPr>
          </w:p>
        </w:tc>
        <w:tc>
          <w:tcPr>
            <w:tcW w:w="1522" w:type="dxa"/>
            <w:vAlign w:val="center"/>
          </w:tcPr>
          <w:p w14:paraId="0F6682F2">
            <w:pPr>
              <w:pStyle w:val="41"/>
              <w:widowControl w:val="0"/>
              <w:adjustRightInd w:val="0"/>
              <w:snapToGrid w:val="0"/>
              <w:jc w:val="center"/>
              <w:rPr>
                <w:rFonts w:hint="default" w:ascii="Times New Roman" w:hAnsi="Times New Roman"/>
              </w:rPr>
            </w:pPr>
          </w:p>
        </w:tc>
        <w:tc>
          <w:tcPr>
            <w:tcW w:w="1572" w:type="dxa"/>
            <w:vAlign w:val="center"/>
          </w:tcPr>
          <w:p w14:paraId="4F010DFF">
            <w:pPr>
              <w:pStyle w:val="41"/>
              <w:widowControl w:val="0"/>
              <w:adjustRightInd w:val="0"/>
              <w:snapToGrid w:val="0"/>
              <w:jc w:val="both"/>
              <w:rPr>
                <w:rFonts w:hint="default" w:ascii="Times New Roman" w:hAnsi="Times New Roman"/>
              </w:rPr>
            </w:pPr>
          </w:p>
        </w:tc>
      </w:tr>
      <w:tr w14:paraId="326D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D61D826">
            <w:pPr>
              <w:pStyle w:val="41"/>
              <w:widowControl w:val="0"/>
              <w:adjustRightInd w:val="0"/>
              <w:snapToGrid w:val="0"/>
              <w:jc w:val="center"/>
              <w:rPr>
                <w:rFonts w:hint="default" w:ascii="Times New Roman" w:hAnsi="Times New Roman"/>
              </w:rPr>
            </w:pPr>
            <w:r>
              <w:rPr>
                <w:rFonts w:hint="default" w:ascii="Times New Roman" w:hAnsi="Times New Roman"/>
              </w:rPr>
              <w:t>4</w:t>
            </w:r>
          </w:p>
        </w:tc>
        <w:tc>
          <w:tcPr>
            <w:tcW w:w="2754" w:type="dxa"/>
            <w:vAlign w:val="center"/>
          </w:tcPr>
          <w:p w14:paraId="52A13A24">
            <w:pPr>
              <w:pStyle w:val="41"/>
              <w:widowControl w:val="0"/>
              <w:adjustRightInd w:val="0"/>
              <w:snapToGrid w:val="0"/>
              <w:jc w:val="both"/>
              <w:rPr>
                <w:rFonts w:hint="default" w:ascii="Times New Roman" w:hAnsi="Times New Roman"/>
              </w:rPr>
            </w:pPr>
          </w:p>
        </w:tc>
        <w:tc>
          <w:tcPr>
            <w:tcW w:w="2812" w:type="dxa"/>
            <w:vAlign w:val="center"/>
          </w:tcPr>
          <w:p w14:paraId="441D023A">
            <w:pPr>
              <w:pStyle w:val="41"/>
              <w:widowControl w:val="0"/>
              <w:adjustRightInd w:val="0"/>
              <w:snapToGrid w:val="0"/>
              <w:jc w:val="both"/>
              <w:rPr>
                <w:rFonts w:hint="default" w:ascii="Times New Roman" w:hAnsi="Times New Roman"/>
              </w:rPr>
            </w:pPr>
          </w:p>
        </w:tc>
        <w:tc>
          <w:tcPr>
            <w:tcW w:w="1522" w:type="dxa"/>
            <w:vAlign w:val="center"/>
          </w:tcPr>
          <w:p w14:paraId="65EE1E80">
            <w:pPr>
              <w:pStyle w:val="41"/>
              <w:widowControl w:val="0"/>
              <w:adjustRightInd w:val="0"/>
              <w:snapToGrid w:val="0"/>
              <w:jc w:val="center"/>
              <w:rPr>
                <w:rFonts w:hint="default" w:ascii="Times New Roman" w:hAnsi="Times New Roman"/>
              </w:rPr>
            </w:pPr>
          </w:p>
        </w:tc>
        <w:tc>
          <w:tcPr>
            <w:tcW w:w="1572" w:type="dxa"/>
            <w:vAlign w:val="center"/>
          </w:tcPr>
          <w:p w14:paraId="40FE1527">
            <w:pPr>
              <w:pStyle w:val="41"/>
              <w:widowControl w:val="0"/>
              <w:adjustRightInd w:val="0"/>
              <w:snapToGrid w:val="0"/>
              <w:jc w:val="both"/>
              <w:rPr>
                <w:rFonts w:hint="default" w:ascii="Times New Roman" w:hAnsi="Times New Roman"/>
              </w:rPr>
            </w:pPr>
          </w:p>
        </w:tc>
      </w:tr>
      <w:tr w14:paraId="0C26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83A4AD8">
            <w:pPr>
              <w:pStyle w:val="41"/>
              <w:widowControl w:val="0"/>
              <w:adjustRightInd w:val="0"/>
              <w:snapToGrid w:val="0"/>
              <w:jc w:val="center"/>
              <w:rPr>
                <w:rFonts w:hint="default" w:ascii="Times New Roman" w:hAnsi="Times New Roman"/>
              </w:rPr>
            </w:pPr>
            <w:r>
              <w:rPr>
                <w:rFonts w:hint="default" w:ascii="Times New Roman" w:hAnsi="Times New Roman"/>
              </w:rPr>
              <w:t>5</w:t>
            </w:r>
          </w:p>
        </w:tc>
        <w:tc>
          <w:tcPr>
            <w:tcW w:w="2754" w:type="dxa"/>
            <w:vAlign w:val="center"/>
          </w:tcPr>
          <w:p w14:paraId="7A7F4EE5">
            <w:pPr>
              <w:pStyle w:val="41"/>
              <w:widowControl w:val="0"/>
              <w:adjustRightInd w:val="0"/>
              <w:snapToGrid w:val="0"/>
              <w:jc w:val="both"/>
              <w:rPr>
                <w:rFonts w:hint="default" w:ascii="Times New Roman" w:hAnsi="Times New Roman"/>
              </w:rPr>
            </w:pPr>
          </w:p>
        </w:tc>
        <w:tc>
          <w:tcPr>
            <w:tcW w:w="2812" w:type="dxa"/>
            <w:vAlign w:val="center"/>
          </w:tcPr>
          <w:p w14:paraId="5424799F">
            <w:pPr>
              <w:pStyle w:val="41"/>
              <w:widowControl w:val="0"/>
              <w:adjustRightInd w:val="0"/>
              <w:snapToGrid w:val="0"/>
              <w:jc w:val="both"/>
              <w:rPr>
                <w:rFonts w:hint="default" w:ascii="Times New Roman" w:hAnsi="Times New Roman"/>
              </w:rPr>
            </w:pPr>
          </w:p>
        </w:tc>
        <w:tc>
          <w:tcPr>
            <w:tcW w:w="1522" w:type="dxa"/>
            <w:vAlign w:val="center"/>
          </w:tcPr>
          <w:p w14:paraId="5FA933F5">
            <w:pPr>
              <w:pStyle w:val="41"/>
              <w:widowControl w:val="0"/>
              <w:adjustRightInd w:val="0"/>
              <w:snapToGrid w:val="0"/>
              <w:jc w:val="both"/>
              <w:rPr>
                <w:rFonts w:hint="default" w:ascii="Times New Roman" w:hAnsi="Times New Roman"/>
              </w:rPr>
            </w:pPr>
          </w:p>
        </w:tc>
        <w:tc>
          <w:tcPr>
            <w:tcW w:w="1572" w:type="dxa"/>
            <w:vAlign w:val="center"/>
          </w:tcPr>
          <w:p w14:paraId="7FD5C026">
            <w:pPr>
              <w:pStyle w:val="41"/>
              <w:widowControl w:val="0"/>
              <w:adjustRightInd w:val="0"/>
              <w:snapToGrid w:val="0"/>
              <w:jc w:val="both"/>
              <w:rPr>
                <w:rFonts w:hint="default" w:ascii="Times New Roman" w:hAnsi="Times New Roman"/>
              </w:rPr>
            </w:pPr>
          </w:p>
        </w:tc>
      </w:tr>
      <w:tr w14:paraId="443B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E23CFD9">
            <w:pPr>
              <w:pStyle w:val="41"/>
              <w:widowControl w:val="0"/>
              <w:adjustRightInd w:val="0"/>
              <w:snapToGrid w:val="0"/>
              <w:jc w:val="center"/>
              <w:rPr>
                <w:rFonts w:hint="default" w:ascii="Times New Roman" w:hAnsi="Times New Roman"/>
              </w:rPr>
            </w:pPr>
          </w:p>
        </w:tc>
        <w:tc>
          <w:tcPr>
            <w:tcW w:w="2754" w:type="dxa"/>
            <w:vAlign w:val="center"/>
          </w:tcPr>
          <w:p w14:paraId="7C3FD6FD">
            <w:pPr>
              <w:pStyle w:val="41"/>
              <w:widowControl w:val="0"/>
              <w:adjustRightInd w:val="0"/>
              <w:snapToGrid w:val="0"/>
              <w:jc w:val="both"/>
              <w:rPr>
                <w:rFonts w:hint="default" w:ascii="Times New Roman" w:hAnsi="Times New Roman"/>
              </w:rPr>
            </w:pPr>
          </w:p>
        </w:tc>
        <w:tc>
          <w:tcPr>
            <w:tcW w:w="2812" w:type="dxa"/>
            <w:vAlign w:val="center"/>
          </w:tcPr>
          <w:p w14:paraId="69201F15">
            <w:pPr>
              <w:pStyle w:val="41"/>
              <w:widowControl w:val="0"/>
              <w:adjustRightInd w:val="0"/>
              <w:snapToGrid w:val="0"/>
              <w:jc w:val="both"/>
              <w:rPr>
                <w:rFonts w:hint="default" w:ascii="Times New Roman" w:hAnsi="Times New Roman"/>
              </w:rPr>
            </w:pPr>
          </w:p>
        </w:tc>
        <w:tc>
          <w:tcPr>
            <w:tcW w:w="1522" w:type="dxa"/>
            <w:vAlign w:val="center"/>
          </w:tcPr>
          <w:p w14:paraId="6D1ED203">
            <w:pPr>
              <w:pStyle w:val="41"/>
              <w:widowControl w:val="0"/>
              <w:adjustRightInd w:val="0"/>
              <w:snapToGrid w:val="0"/>
              <w:jc w:val="both"/>
              <w:rPr>
                <w:rFonts w:hint="default" w:ascii="Times New Roman" w:hAnsi="Times New Roman"/>
              </w:rPr>
            </w:pPr>
          </w:p>
        </w:tc>
        <w:tc>
          <w:tcPr>
            <w:tcW w:w="1572" w:type="dxa"/>
            <w:vAlign w:val="center"/>
          </w:tcPr>
          <w:p w14:paraId="3E43D98E">
            <w:pPr>
              <w:pStyle w:val="41"/>
              <w:widowControl w:val="0"/>
              <w:adjustRightInd w:val="0"/>
              <w:snapToGrid w:val="0"/>
              <w:jc w:val="both"/>
              <w:rPr>
                <w:rFonts w:hint="default" w:ascii="Times New Roman" w:hAnsi="Times New Roman"/>
              </w:rPr>
            </w:pPr>
          </w:p>
        </w:tc>
      </w:tr>
      <w:tr w14:paraId="5AA1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916C90E">
            <w:pPr>
              <w:pStyle w:val="41"/>
              <w:widowControl w:val="0"/>
              <w:adjustRightInd w:val="0"/>
              <w:snapToGrid w:val="0"/>
              <w:jc w:val="center"/>
              <w:rPr>
                <w:rFonts w:hint="default" w:ascii="Times New Roman" w:hAnsi="Times New Roman"/>
              </w:rPr>
            </w:pPr>
          </w:p>
        </w:tc>
        <w:tc>
          <w:tcPr>
            <w:tcW w:w="2754" w:type="dxa"/>
            <w:vAlign w:val="center"/>
          </w:tcPr>
          <w:p w14:paraId="6060A6D1">
            <w:pPr>
              <w:pStyle w:val="41"/>
              <w:widowControl w:val="0"/>
              <w:adjustRightInd w:val="0"/>
              <w:snapToGrid w:val="0"/>
              <w:jc w:val="both"/>
              <w:rPr>
                <w:rFonts w:hint="default" w:ascii="Times New Roman" w:hAnsi="Times New Roman"/>
              </w:rPr>
            </w:pPr>
          </w:p>
        </w:tc>
        <w:tc>
          <w:tcPr>
            <w:tcW w:w="2812" w:type="dxa"/>
            <w:vAlign w:val="center"/>
          </w:tcPr>
          <w:p w14:paraId="54AFF23F">
            <w:pPr>
              <w:pStyle w:val="41"/>
              <w:widowControl w:val="0"/>
              <w:adjustRightInd w:val="0"/>
              <w:snapToGrid w:val="0"/>
              <w:jc w:val="both"/>
              <w:rPr>
                <w:rFonts w:hint="default" w:ascii="Times New Roman" w:hAnsi="Times New Roman"/>
              </w:rPr>
            </w:pPr>
          </w:p>
        </w:tc>
        <w:tc>
          <w:tcPr>
            <w:tcW w:w="1522" w:type="dxa"/>
            <w:vAlign w:val="center"/>
          </w:tcPr>
          <w:p w14:paraId="7E8DDD5D">
            <w:pPr>
              <w:pStyle w:val="41"/>
              <w:widowControl w:val="0"/>
              <w:adjustRightInd w:val="0"/>
              <w:snapToGrid w:val="0"/>
              <w:jc w:val="both"/>
              <w:rPr>
                <w:rFonts w:hint="default" w:ascii="Times New Roman" w:hAnsi="Times New Roman"/>
              </w:rPr>
            </w:pPr>
          </w:p>
        </w:tc>
        <w:tc>
          <w:tcPr>
            <w:tcW w:w="1572" w:type="dxa"/>
            <w:vAlign w:val="center"/>
          </w:tcPr>
          <w:p w14:paraId="69F10B4C">
            <w:pPr>
              <w:pStyle w:val="41"/>
              <w:widowControl w:val="0"/>
              <w:adjustRightInd w:val="0"/>
              <w:snapToGrid w:val="0"/>
              <w:jc w:val="both"/>
              <w:rPr>
                <w:rFonts w:hint="default" w:ascii="Times New Roman" w:hAnsi="Times New Roman"/>
              </w:rPr>
            </w:pPr>
          </w:p>
        </w:tc>
      </w:tr>
      <w:tr w14:paraId="4DC2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17" w:type="dxa"/>
            <w:vAlign w:val="center"/>
          </w:tcPr>
          <w:p w14:paraId="32968C32">
            <w:pPr>
              <w:pStyle w:val="41"/>
              <w:widowControl w:val="0"/>
              <w:adjustRightInd w:val="0"/>
              <w:snapToGrid w:val="0"/>
              <w:jc w:val="center"/>
              <w:rPr>
                <w:rFonts w:hint="default" w:ascii="Times New Roman" w:hAnsi="Times New Roman"/>
              </w:rPr>
            </w:pPr>
          </w:p>
        </w:tc>
        <w:tc>
          <w:tcPr>
            <w:tcW w:w="2754" w:type="dxa"/>
            <w:vAlign w:val="center"/>
          </w:tcPr>
          <w:p w14:paraId="4CFA0A97">
            <w:pPr>
              <w:pStyle w:val="41"/>
              <w:widowControl w:val="0"/>
              <w:adjustRightInd w:val="0"/>
              <w:snapToGrid w:val="0"/>
              <w:jc w:val="both"/>
              <w:rPr>
                <w:rFonts w:hint="default" w:ascii="Times New Roman" w:hAnsi="Times New Roman"/>
              </w:rPr>
            </w:pPr>
          </w:p>
        </w:tc>
        <w:tc>
          <w:tcPr>
            <w:tcW w:w="2812" w:type="dxa"/>
            <w:vAlign w:val="center"/>
          </w:tcPr>
          <w:p w14:paraId="617567F0">
            <w:pPr>
              <w:pStyle w:val="41"/>
              <w:widowControl w:val="0"/>
              <w:adjustRightInd w:val="0"/>
              <w:snapToGrid w:val="0"/>
              <w:jc w:val="both"/>
              <w:rPr>
                <w:rFonts w:hint="default" w:ascii="Times New Roman" w:hAnsi="Times New Roman"/>
              </w:rPr>
            </w:pPr>
          </w:p>
        </w:tc>
        <w:tc>
          <w:tcPr>
            <w:tcW w:w="1522" w:type="dxa"/>
            <w:vAlign w:val="center"/>
          </w:tcPr>
          <w:p w14:paraId="245A82BC">
            <w:pPr>
              <w:pStyle w:val="41"/>
              <w:widowControl w:val="0"/>
              <w:adjustRightInd w:val="0"/>
              <w:snapToGrid w:val="0"/>
              <w:jc w:val="both"/>
              <w:rPr>
                <w:rFonts w:hint="default" w:ascii="Times New Roman" w:hAnsi="Times New Roman"/>
              </w:rPr>
            </w:pPr>
          </w:p>
        </w:tc>
        <w:tc>
          <w:tcPr>
            <w:tcW w:w="1572" w:type="dxa"/>
            <w:vAlign w:val="center"/>
          </w:tcPr>
          <w:p w14:paraId="52309641">
            <w:pPr>
              <w:pStyle w:val="41"/>
              <w:widowControl w:val="0"/>
              <w:adjustRightInd w:val="0"/>
              <w:snapToGrid w:val="0"/>
              <w:jc w:val="both"/>
              <w:rPr>
                <w:rFonts w:hint="default" w:ascii="Times New Roman" w:hAnsi="Times New Roman"/>
              </w:rPr>
            </w:pPr>
          </w:p>
        </w:tc>
      </w:tr>
      <w:tr w14:paraId="557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2DB6444">
            <w:pPr>
              <w:pStyle w:val="41"/>
              <w:widowControl w:val="0"/>
              <w:adjustRightInd w:val="0"/>
              <w:snapToGrid w:val="0"/>
              <w:jc w:val="center"/>
              <w:rPr>
                <w:rFonts w:hint="default" w:ascii="Times New Roman" w:hAnsi="Times New Roman"/>
              </w:rPr>
            </w:pPr>
          </w:p>
        </w:tc>
        <w:tc>
          <w:tcPr>
            <w:tcW w:w="2754" w:type="dxa"/>
            <w:vAlign w:val="center"/>
          </w:tcPr>
          <w:p w14:paraId="1D5D3F7B">
            <w:pPr>
              <w:pStyle w:val="41"/>
              <w:widowControl w:val="0"/>
              <w:adjustRightInd w:val="0"/>
              <w:snapToGrid w:val="0"/>
              <w:jc w:val="both"/>
              <w:rPr>
                <w:rFonts w:hint="default" w:ascii="Times New Roman" w:hAnsi="Times New Roman"/>
              </w:rPr>
            </w:pPr>
          </w:p>
        </w:tc>
        <w:tc>
          <w:tcPr>
            <w:tcW w:w="2812" w:type="dxa"/>
            <w:vAlign w:val="center"/>
          </w:tcPr>
          <w:p w14:paraId="5E2AD3EF">
            <w:pPr>
              <w:pStyle w:val="41"/>
              <w:widowControl w:val="0"/>
              <w:adjustRightInd w:val="0"/>
              <w:snapToGrid w:val="0"/>
              <w:jc w:val="both"/>
              <w:rPr>
                <w:rFonts w:hint="default" w:ascii="Times New Roman" w:hAnsi="Times New Roman"/>
              </w:rPr>
            </w:pPr>
          </w:p>
        </w:tc>
        <w:tc>
          <w:tcPr>
            <w:tcW w:w="1522" w:type="dxa"/>
            <w:vAlign w:val="center"/>
          </w:tcPr>
          <w:p w14:paraId="3467B3DA">
            <w:pPr>
              <w:pStyle w:val="41"/>
              <w:widowControl w:val="0"/>
              <w:adjustRightInd w:val="0"/>
              <w:snapToGrid w:val="0"/>
              <w:jc w:val="both"/>
              <w:rPr>
                <w:rFonts w:hint="default" w:ascii="Times New Roman" w:hAnsi="Times New Roman"/>
              </w:rPr>
            </w:pPr>
          </w:p>
        </w:tc>
        <w:tc>
          <w:tcPr>
            <w:tcW w:w="1572" w:type="dxa"/>
            <w:vAlign w:val="center"/>
          </w:tcPr>
          <w:p w14:paraId="45D254DB">
            <w:pPr>
              <w:pStyle w:val="41"/>
              <w:widowControl w:val="0"/>
              <w:adjustRightInd w:val="0"/>
              <w:snapToGrid w:val="0"/>
              <w:jc w:val="both"/>
              <w:rPr>
                <w:rFonts w:hint="default" w:ascii="Times New Roman" w:hAnsi="Times New Roman"/>
              </w:rPr>
            </w:pPr>
          </w:p>
        </w:tc>
      </w:tr>
      <w:bookmarkEnd w:id="80"/>
    </w:tbl>
    <w:p w14:paraId="4A48A082">
      <w:pPr>
        <w:widowControl w:val="0"/>
        <w:tabs>
          <w:tab w:val="left" w:pos="3435"/>
        </w:tabs>
        <w:adjustRightInd w:val="0"/>
        <w:snapToGrid w:val="0"/>
        <w:rPr>
          <w:rFonts w:hint="eastAsia" w:ascii="宋体" w:hAnsi="宋体"/>
          <w:b/>
          <w:sz w:val="21"/>
          <w:szCs w:val="21"/>
        </w:rPr>
      </w:pPr>
    </w:p>
    <w:p w14:paraId="6235559D">
      <w:pPr>
        <w:widowControl w:val="0"/>
        <w:tabs>
          <w:tab w:val="left" w:pos="3435"/>
        </w:tabs>
        <w:adjustRightInd w:val="0"/>
        <w:snapToGrid w:val="0"/>
        <w:rPr>
          <w:rFonts w:hint="eastAsia" w:ascii="宋体" w:hAnsi="宋体"/>
          <w:b/>
          <w:sz w:val="21"/>
          <w:szCs w:val="21"/>
        </w:rPr>
      </w:pPr>
      <w:r>
        <w:rPr>
          <w:rFonts w:ascii="宋体" w:hAnsi="宋体"/>
          <w:b/>
          <w:sz w:val="21"/>
          <w:szCs w:val="21"/>
        </w:rPr>
        <w:t>说明：1.投标人拟投的货物与招标文件中设置的技术参数不一致时，则必须在</w:t>
      </w:r>
      <w:r>
        <w:rPr>
          <w:rFonts w:hint="eastAsia" w:ascii="宋体" w:hAnsi="宋体"/>
          <w:b/>
          <w:sz w:val="21"/>
          <w:szCs w:val="21"/>
        </w:rPr>
        <w:t>此表</w:t>
      </w:r>
      <w:r>
        <w:rPr>
          <w:rFonts w:ascii="宋体" w:hAnsi="宋体"/>
          <w:b/>
          <w:sz w:val="21"/>
          <w:szCs w:val="21"/>
        </w:rPr>
        <w:t>中予以明确。否则将视为投标人完全响应招标文件的要求，并以招标文件作为验收条件。</w:t>
      </w:r>
    </w:p>
    <w:p w14:paraId="02468154">
      <w:pPr>
        <w:widowControl w:val="0"/>
        <w:tabs>
          <w:tab w:val="left" w:pos="3435"/>
        </w:tabs>
        <w:adjustRightInd w:val="0"/>
        <w:snapToGrid w:val="0"/>
        <w:ind w:firstLine="620" w:firstLineChars="294"/>
        <w:rPr>
          <w:rFonts w:hint="eastAsia" w:ascii="宋体" w:hAnsi="宋体"/>
          <w:b/>
          <w:sz w:val="21"/>
          <w:szCs w:val="21"/>
        </w:rPr>
      </w:pPr>
      <w:r>
        <w:rPr>
          <w:rFonts w:ascii="宋体" w:hAnsi="宋体"/>
          <w:b/>
          <w:sz w:val="21"/>
          <w:szCs w:val="21"/>
        </w:rPr>
        <w:t>2.</w:t>
      </w:r>
      <w:r>
        <w:rPr>
          <w:rFonts w:hint="eastAsia" w:ascii="宋体" w:hAnsi="宋体"/>
          <w:b/>
          <w:sz w:val="21"/>
          <w:szCs w:val="21"/>
        </w:rPr>
        <w:t>偏离</w:t>
      </w:r>
      <w:r>
        <w:rPr>
          <w:rFonts w:ascii="宋体" w:hAnsi="宋体"/>
          <w:b/>
          <w:sz w:val="21"/>
          <w:szCs w:val="21"/>
        </w:rPr>
        <w:t>情况分别为：正偏离、</w:t>
      </w:r>
      <w:r>
        <w:rPr>
          <w:rFonts w:hint="eastAsia" w:ascii="宋体" w:hAnsi="宋体"/>
          <w:b/>
          <w:sz w:val="21"/>
          <w:szCs w:val="21"/>
        </w:rPr>
        <w:t>无偏离</w:t>
      </w:r>
      <w:r>
        <w:rPr>
          <w:rFonts w:ascii="宋体" w:hAnsi="宋体"/>
          <w:b/>
          <w:sz w:val="21"/>
          <w:szCs w:val="21"/>
        </w:rPr>
        <w:t>或负偏离。投标人可在备注栏内就偏离原因进行简要说明。</w:t>
      </w:r>
    </w:p>
    <w:p w14:paraId="4CBD8DBE">
      <w:pPr>
        <w:pStyle w:val="26"/>
        <w:widowControl w:val="0"/>
        <w:adjustRightInd w:val="0"/>
        <w:snapToGrid w:val="0"/>
        <w:spacing w:before="0" w:beforeAutospacing="0" w:after="0" w:afterAutospacing="0" w:line="360" w:lineRule="auto"/>
        <w:ind w:firstLine="720" w:firstLineChars="300"/>
        <w:rPr>
          <w:rFonts w:hint="eastAsia"/>
        </w:rPr>
      </w:pPr>
    </w:p>
    <w:p w14:paraId="1531842C">
      <w:pPr>
        <w:pStyle w:val="26"/>
        <w:widowControl w:val="0"/>
        <w:adjustRightInd w:val="0"/>
        <w:snapToGrid w:val="0"/>
        <w:spacing w:before="0" w:beforeAutospacing="0" w:after="0" w:afterAutospacing="0" w:line="360" w:lineRule="auto"/>
        <w:ind w:firstLine="720" w:firstLineChars="300"/>
        <w:rPr>
          <w:rFonts w:hint="eastAsia"/>
        </w:rPr>
      </w:pPr>
    </w:p>
    <w:p w14:paraId="7C454FB1">
      <w:pPr>
        <w:pStyle w:val="26"/>
        <w:widowControl w:val="0"/>
        <w:adjustRightInd w:val="0"/>
        <w:snapToGrid w:val="0"/>
        <w:spacing w:before="0" w:beforeAutospacing="0" w:after="0" w:afterAutospacing="0" w:line="360" w:lineRule="auto"/>
        <w:ind w:firstLine="720" w:firstLineChars="300"/>
        <w:rPr>
          <w:rFonts w:hint="eastAsia"/>
        </w:rPr>
      </w:pPr>
      <w:r>
        <w:t>投标人</w:t>
      </w:r>
      <w:r>
        <w:rPr>
          <w:color w:val="000000"/>
        </w:rPr>
        <w:t>（电子签章）</w:t>
      </w:r>
      <w:r>
        <w:t xml:space="preserve">：__________________________ </w:t>
      </w:r>
    </w:p>
    <w:p w14:paraId="7C141E87">
      <w:pPr>
        <w:spacing w:line="360" w:lineRule="auto"/>
        <w:jc w:val="center"/>
        <w:sectPr>
          <w:pgSz w:w="11906" w:h="16838"/>
          <w:pgMar w:top="1259" w:right="1287" w:bottom="1361" w:left="1622" w:header="709" w:footer="975" w:gutter="0"/>
          <w:cols w:space="720" w:num="1"/>
          <w:docGrid w:linePitch="360" w:charSpace="0"/>
        </w:sectPr>
      </w:pPr>
      <w:r>
        <w:t>日期：_</w:t>
      </w:r>
      <w:r>
        <w:rPr>
          <w:u w:val="single"/>
        </w:rPr>
        <w:t xml:space="preserve">      </w:t>
      </w:r>
      <w:r>
        <w:t>年____月____日</w:t>
      </w:r>
    </w:p>
    <w:p w14:paraId="688A08D6">
      <w:pPr>
        <w:pStyle w:val="41"/>
        <w:widowControl w:val="0"/>
        <w:adjustRightInd w:val="0"/>
        <w:snapToGrid w:val="0"/>
        <w:spacing w:line="390" w:lineRule="atLeast"/>
        <w:jc w:val="center"/>
        <w:rPr>
          <w:b/>
          <w:sz w:val="32"/>
          <w:szCs w:val="32"/>
        </w:rPr>
      </w:pPr>
      <w:r>
        <w:rPr>
          <w:b/>
          <w:sz w:val="32"/>
          <w:szCs w:val="32"/>
        </w:rPr>
        <w:t>五</w:t>
      </w:r>
      <w:r>
        <w:rPr>
          <w:rFonts w:hint="default"/>
          <w:b/>
          <w:sz w:val="32"/>
          <w:szCs w:val="32"/>
        </w:rPr>
        <w:t>、服务条款</w:t>
      </w:r>
      <w:r>
        <w:rPr>
          <w:b/>
          <w:sz w:val="32"/>
          <w:szCs w:val="32"/>
        </w:rPr>
        <w:t>偏离</w:t>
      </w:r>
      <w:r>
        <w:rPr>
          <w:rFonts w:hint="default"/>
          <w:b/>
          <w:sz w:val="32"/>
          <w:szCs w:val="32"/>
        </w:rPr>
        <w:t>表</w:t>
      </w:r>
    </w:p>
    <w:p w14:paraId="4E4B6584">
      <w:pPr>
        <w:pStyle w:val="41"/>
        <w:widowControl w:val="0"/>
        <w:adjustRightInd w:val="0"/>
        <w:snapToGrid w:val="0"/>
      </w:pPr>
      <w:r>
        <w:rPr>
          <w:rFonts w:hint="default"/>
        </w:rPr>
        <w:t xml:space="preserve"> </w:t>
      </w:r>
    </w:p>
    <w:tbl>
      <w:tblPr>
        <w:tblStyle w:val="4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14:paraId="075D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0E80F8C1">
            <w:pPr>
              <w:pStyle w:val="41"/>
              <w:widowControl w:val="0"/>
              <w:adjustRightInd w:val="0"/>
              <w:snapToGrid w:val="0"/>
              <w:jc w:val="center"/>
              <w:rPr>
                <w:rFonts w:hint="default" w:ascii="Times New Roman" w:hAnsi="Times New Roman"/>
              </w:rPr>
            </w:pPr>
            <w:r>
              <w:rPr>
                <w:rFonts w:hint="default" w:ascii="Times New Roman" w:hAnsi="Times New Roman"/>
              </w:rPr>
              <w:t>序号</w:t>
            </w:r>
          </w:p>
        </w:tc>
        <w:tc>
          <w:tcPr>
            <w:tcW w:w="3180" w:type="dxa"/>
            <w:vAlign w:val="center"/>
          </w:tcPr>
          <w:p w14:paraId="3BB68C67">
            <w:pPr>
              <w:pStyle w:val="41"/>
              <w:widowControl w:val="0"/>
              <w:adjustRightInd w:val="0"/>
              <w:snapToGrid w:val="0"/>
              <w:jc w:val="center"/>
              <w:rPr>
                <w:rFonts w:hint="default" w:ascii="Times New Roman" w:hAnsi="Times New Roman"/>
              </w:rPr>
            </w:pPr>
            <w:r>
              <w:rPr>
                <w:rFonts w:hint="default" w:ascii="Times New Roman" w:hAnsi="Times New Roman"/>
                <w:u w:val="thick" w:color="FFFFFF"/>
              </w:rPr>
              <w:t>招标文件</w:t>
            </w:r>
            <w:r>
              <w:rPr>
                <w:rFonts w:hint="default" w:ascii="Times New Roman" w:hAnsi="Times New Roman"/>
              </w:rPr>
              <w:t>要求</w:t>
            </w:r>
          </w:p>
        </w:tc>
        <w:tc>
          <w:tcPr>
            <w:tcW w:w="2773" w:type="dxa"/>
            <w:vAlign w:val="center"/>
          </w:tcPr>
          <w:p w14:paraId="6B204F38">
            <w:pPr>
              <w:pStyle w:val="41"/>
              <w:widowControl w:val="0"/>
              <w:adjustRightInd w:val="0"/>
              <w:snapToGrid w:val="0"/>
              <w:jc w:val="center"/>
              <w:rPr>
                <w:rFonts w:hint="default" w:ascii="Times New Roman" w:hAnsi="Times New Roman"/>
              </w:rPr>
            </w:pPr>
            <w:r>
              <w:rPr>
                <w:rFonts w:hint="default" w:ascii="Times New Roman" w:hAnsi="Times New Roman"/>
              </w:rPr>
              <w:t>投标响应内容</w:t>
            </w:r>
          </w:p>
        </w:tc>
        <w:tc>
          <w:tcPr>
            <w:tcW w:w="1452" w:type="dxa"/>
            <w:vAlign w:val="center"/>
          </w:tcPr>
          <w:p w14:paraId="05A2221B">
            <w:pPr>
              <w:pStyle w:val="41"/>
              <w:widowControl w:val="0"/>
              <w:adjustRightInd w:val="0"/>
              <w:snapToGrid w:val="0"/>
              <w:jc w:val="center"/>
              <w:rPr>
                <w:rFonts w:hint="default" w:ascii="Times New Roman" w:hAnsi="Times New Roman"/>
              </w:rPr>
            </w:pPr>
            <w:r>
              <w:rPr>
                <w:rFonts w:hint="default" w:ascii="Times New Roman" w:hAnsi="Times New Roman"/>
              </w:rPr>
              <w:t>偏离情况</w:t>
            </w:r>
          </w:p>
        </w:tc>
        <w:tc>
          <w:tcPr>
            <w:tcW w:w="1134" w:type="dxa"/>
            <w:vAlign w:val="center"/>
          </w:tcPr>
          <w:p w14:paraId="714757DC">
            <w:pPr>
              <w:pStyle w:val="41"/>
              <w:widowControl w:val="0"/>
              <w:adjustRightInd w:val="0"/>
              <w:snapToGrid w:val="0"/>
              <w:jc w:val="center"/>
              <w:rPr>
                <w:rFonts w:hint="default" w:ascii="Times New Roman" w:hAnsi="Times New Roman"/>
              </w:rPr>
            </w:pPr>
            <w:r>
              <w:rPr>
                <w:rFonts w:hint="default" w:ascii="Times New Roman" w:hAnsi="Times New Roman"/>
              </w:rPr>
              <w:t>备注</w:t>
            </w:r>
          </w:p>
        </w:tc>
      </w:tr>
      <w:tr w14:paraId="2B94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32011D61">
            <w:pPr>
              <w:pStyle w:val="41"/>
              <w:widowControl w:val="0"/>
              <w:adjustRightInd w:val="0"/>
              <w:snapToGrid w:val="0"/>
              <w:jc w:val="center"/>
              <w:rPr>
                <w:rFonts w:hint="default" w:ascii="Times New Roman" w:hAnsi="Times New Roman"/>
              </w:rPr>
            </w:pPr>
            <w:r>
              <w:rPr>
                <w:rFonts w:hint="default" w:ascii="Times New Roman" w:hAnsi="Times New Roman"/>
              </w:rPr>
              <w:t>1</w:t>
            </w:r>
          </w:p>
        </w:tc>
        <w:tc>
          <w:tcPr>
            <w:tcW w:w="3180" w:type="dxa"/>
            <w:vAlign w:val="center"/>
          </w:tcPr>
          <w:p w14:paraId="36627A44">
            <w:pPr>
              <w:pStyle w:val="41"/>
              <w:widowControl w:val="0"/>
              <w:adjustRightInd w:val="0"/>
              <w:snapToGrid w:val="0"/>
              <w:jc w:val="center"/>
              <w:rPr>
                <w:rFonts w:hint="default" w:ascii="Times New Roman" w:hAnsi="Times New Roman"/>
              </w:rPr>
            </w:pPr>
            <w:r>
              <w:rPr>
                <w:rFonts w:hint="default" w:ascii="Times New Roman" w:hAnsi="Times New Roman"/>
              </w:rPr>
              <w:t>（工期/交货时间）</w:t>
            </w:r>
          </w:p>
        </w:tc>
        <w:tc>
          <w:tcPr>
            <w:tcW w:w="2773" w:type="dxa"/>
            <w:vAlign w:val="center"/>
          </w:tcPr>
          <w:p w14:paraId="05A255D9">
            <w:pPr>
              <w:pStyle w:val="41"/>
              <w:widowControl w:val="0"/>
              <w:adjustRightInd w:val="0"/>
              <w:snapToGrid w:val="0"/>
              <w:jc w:val="both"/>
              <w:rPr>
                <w:rFonts w:hint="default" w:ascii="Times New Roman" w:hAnsi="Times New Roman"/>
              </w:rPr>
            </w:pPr>
          </w:p>
        </w:tc>
        <w:tc>
          <w:tcPr>
            <w:tcW w:w="1452" w:type="dxa"/>
            <w:vAlign w:val="center"/>
          </w:tcPr>
          <w:p w14:paraId="1B399D31">
            <w:pPr>
              <w:pStyle w:val="41"/>
              <w:widowControl w:val="0"/>
              <w:adjustRightInd w:val="0"/>
              <w:snapToGrid w:val="0"/>
              <w:jc w:val="center"/>
              <w:rPr>
                <w:rFonts w:hint="default" w:ascii="Times New Roman" w:hAnsi="Times New Roman"/>
              </w:rPr>
            </w:pPr>
          </w:p>
        </w:tc>
        <w:tc>
          <w:tcPr>
            <w:tcW w:w="1134" w:type="dxa"/>
            <w:vAlign w:val="center"/>
          </w:tcPr>
          <w:p w14:paraId="37CDC143">
            <w:pPr>
              <w:pStyle w:val="41"/>
              <w:widowControl w:val="0"/>
              <w:adjustRightInd w:val="0"/>
              <w:snapToGrid w:val="0"/>
              <w:jc w:val="both"/>
              <w:rPr>
                <w:rFonts w:hint="default" w:ascii="Times New Roman" w:hAnsi="Times New Roman"/>
              </w:rPr>
            </w:pPr>
          </w:p>
        </w:tc>
      </w:tr>
      <w:tr w14:paraId="7AD2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28E2124A">
            <w:pPr>
              <w:pStyle w:val="41"/>
              <w:widowControl w:val="0"/>
              <w:adjustRightInd w:val="0"/>
              <w:snapToGrid w:val="0"/>
              <w:jc w:val="center"/>
              <w:rPr>
                <w:rFonts w:hint="default" w:ascii="Times New Roman" w:hAnsi="Times New Roman"/>
              </w:rPr>
            </w:pPr>
            <w:r>
              <w:rPr>
                <w:rFonts w:hint="default" w:ascii="Times New Roman" w:hAnsi="Times New Roman"/>
              </w:rPr>
              <w:t>2</w:t>
            </w:r>
          </w:p>
        </w:tc>
        <w:tc>
          <w:tcPr>
            <w:tcW w:w="3180" w:type="dxa"/>
            <w:vAlign w:val="center"/>
          </w:tcPr>
          <w:p w14:paraId="70BB60F0">
            <w:pPr>
              <w:pStyle w:val="41"/>
              <w:widowControl w:val="0"/>
              <w:adjustRightInd w:val="0"/>
              <w:snapToGrid w:val="0"/>
              <w:jc w:val="center"/>
              <w:rPr>
                <w:rFonts w:hint="default" w:ascii="Times New Roman" w:hAnsi="Times New Roman"/>
              </w:rPr>
            </w:pPr>
            <w:r>
              <w:rPr>
                <w:rFonts w:hint="default" w:ascii="Times New Roman" w:hAnsi="Times New Roman"/>
              </w:rPr>
              <w:t>（质保期）</w:t>
            </w:r>
          </w:p>
        </w:tc>
        <w:tc>
          <w:tcPr>
            <w:tcW w:w="2773" w:type="dxa"/>
            <w:vAlign w:val="center"/>
          </w:tcPr>
          <w:p w14:paraId="5C2A5F1A">
            <w:pPr>
              <w:pStyle w:val="41"/>
              <w:widowControl w:val="0"/>
              <w:adjustRightInd w:val="0"/>
              <w:snapToGrid w:val="0"/>
              <w:jc w:val="both"/>
              <w:rPr>
                <w:rFonts w:hint="default" w:ascii="Times New Roman" w:hAnsi="Times New Roman"/>
              </w:rPr>
            </w:pPr>
          </w:p>
        </w:tc>
        <w:tc>
          <w:tcPr>
            <w:tcW w:w="1452" w:type="dxa"/>
            <w:vAlign w:val="center"/>
          </w:tcPr>
          <w:p w14:paraId="46DB6BAA">
            <w:pPr>
              <w:pStyle w:val="41"/>
              <w:widowControl w:val="0"/>
              <w:adjustRightInd w:val="0"/>
              <w:snapToGrid w:val="0"/>
              <w:jc w:val="center"/>
              <w:rPr>
                <w:rFonts w:hint="default" w:ascii="Times New Roman" w:hAnsi="Times New Roman"/>
              </w:rPr>
            </w:pPr>
          </w:p>
        </w:tc>
        <w:tc>
          <w:tcPr>
            <w:tcW w:w="1134" w:type="dxa"/>
            <w:vAlign w:val="center"/>
          </w:tcPr>
          <w:p w14:paraId="2D17AC84">
            <w:pPr>
              <w:pStyle w:val="41"/>
              <w:widowControl w:val="0"/>
              <w:adjustRightInd w:val="0"/>
              <w:snapToGrid w:val="0"/>
              <w:jc w:val="both"/>
              <w:rPr>
                <w:rFonts w:hint="default" w:ascii="Times New Roman" w:hAnsi="Times New Roman"/>
              </w:rPr>
            </w:pPr>
          </w:p>
        </w:tc>
      </w:tr>
      <w:tr w14:paraId="5579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1CB70880">
            <w:pPr>
              <w:pStyle w:val="41"/>
              <w:widowControl w:val="0"/>
              <w:adjustRightInd w:val="0"/>
              <w:snapToGrid w:val="0"/>
              <w:jc w:val="center"/>
              <w:rPr>
                <w:rFonts w:hint="default" w:ascii="Times New Roman" w:hAnsi="Times New Roman"/>
              </w:rPr>
            </w:pPr>
            <w:r>
              <w:rPr>
                <w:rFonts w:hint="default" w:ascii="Times New Roman" w:hAnsi="Times New Roman"/>
              </w:rPr>
              <w:t>3</w:t>
            </w:r>
          </w:p>
        </w:tc>
        <w:tc>
          <w:tcPr>
            <w:tcW w:w="3180" w:type="dxa"/>
            <w:vAlign w:val="center"/>
          </w:tcPr>
          <w:p w14:paraId="1F87BA5B">
            <w:pPr>
              <w:pStyle w:val="41"/>
              <w:widowControl w:val="0"/>
              <w:adjustRightInd w:val="0"/>
              <w:snapToGrid w:val="0"/>
              <w:jc w:val="center"/>
              <w:rPr>
                <w:rFonts w:hint="default" w:ascii="Times New Roman" w:hAnsi="Times New Roman"/>
              </w:rPr>
            </w:pPr>
            <w:r>
              <w:rPr>
                <w:rFonts w:hint="default" w:ascii="Times New Roman" w:hAnsi="Times New Roman"/>
              </w:rPr>
              <w:t>（售后要求）</w:t>
            </w:r>
          </w:p>
        </w:tc>
        <w:tc>
          <w:tcPr>
            <w:tcW w:w="2773" w:type="dxa"/>
            <w:vAlign w:val="center"/>
          </w:tcPr>
          <w:p w14:paraId="1F9186B9">
            <w:pPr>
              <w:pStyle w:val="41"/>
              <w:widowControl w:val="0"/>
              <w:adjustRightInd w:val="0"/>
              <w:snapToGrid w:val="0"/>
              <w:jc w:val="both"/>
              <w:rPr>
                <w:rFonts w:hint="default" w:ascii="Times New Roman" w:hAnsi="Times New Roman"/>
              </w:rPr>
            </w:pPr>
          </w:p>
        </w:tc>
        <w:tc>
          <w:tcPr>
            <w:tcW w:w="1452" w:type="dxa"/>
            <w:vAlign w:val="center"/>
          </w:tcPr>
          <w:p w14:paraId="255F1A9F">
            <w:pPr>
              <w:pStyle w:val="41"/>
              <w:widowControl w:val="0"/>
              <w:adjustRightInd w:val="0"/>
              <w:snapToGrid w:val="0"/>
              <w:jc w:val="both"/>
              <w:rPr>
                <w:rFonts w:hint="default" w:ascii="Times New Roman" w:hAnsi="Times New Roman"/>
              </w:rPr>
            </w:pPr>
          </w:p>
        </w:tc>
        <w:tc>
          <w:tcPr>
            <w:tcW w:w="1134" w:type="dxa"/>
            <w:vAlign w:val="center"/>
          </w:tcPr>
          <w:p w14:paraId="69B9A018">
            <w:pPr>
              <w:pStyle w:val="41"/>
              <w:widowControl w:val="0"/>
              <w:adjustRightInd w:val="0"/>
              <w:snapToGrid w:val="0"/>
              <w:jc w:val="both"/>
              <w:rPr>
                <w:rFonts w:hint="default" w:ascii="Times New Roman" w:hAnsi="Times New Roman"/>
              </w:rPr>
            </w:pPr>
          </w:p>
        </w:tc>
      </w:tr>
      <w:tr w14:paraId="2C2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136CB380">
            <w:pPr>
              <w:pStyle w:val="41"/>
              <w:widowControl w:val="0"/>
              <w:adjustRightInd w:val="0"/>
              <w:snapToGrid w:val="0"/>
              <w:jc w:val="center"/>
              <w:rPr>
                <w:rFonts w:hint="default" w:ascii="Times New Roman" w:hAnsi="Times New Roman"/>
              </w:rPr>
            </w:pPr>
            <w:r>
              <w:rPr>
                <w:rFonts w:hint="default" w:ascii="Times New Roman" w:hAnsi="Times New Roman"/>
              </w:rPr>
              <w:t>4</w:t>
            </w:r>
          </w:p>
        </w:tc>
        <w:tc>
          <w:tcPr>
            <w:tcW w:w="3180" w:type="dxa"/>
            <w:vAlign w:val="center"/>
          </w:tcPr>
          <w:p w14:paraId="16ED2C50">
            <w:pPr>
              <w:pStyle w:val="41"/>
              <w:widowControl w:val="0"/>
              <w:adjustRightInd w:val="0"/>
              <w:snapToGrid w:val="0"/>
              <w:jc w:val="center"/>
              <w:rPr>
                <w:rFonts w:hint="default" w:ascii="Times New Roman" w:hAnsi="Times New Roman"/>
              </w:rPr>
            </w:pPr>
            <w:r>
              <w:rPr>
                <w:rFonts w:hint="default" w:ascii="Times New Roman" w:hAnsi="Times New Roman"/>
              </w:rPr>
              <w:t>（付款方式）</w:t>
            </w:r>
          </w:p>
        </w:tc>
        <w:tc>
          <w:tcPr>
            <w:tcW w:w="2773" w:type="dxa"/>
            <w:vAlign w:val="center"/>
          </w:tcPr>
          <w:p w14:paraId="060F57DB">
            <w:pPr>
              <w:pStyle w:val="41"/>
              <w:widowControl w:val="0"/>
              <w:adjustRightInd w:val="0"/>
              <w:snapToGrid w:val="0"/>
              <w:jc w:val="both"/>
              <w:rPr>
                <w:rFonts w:hint="default" w:ascii="Times New Roman" w:hAnsi="Times New Roman"/>
              </w:rPr>
            </w:pPr>
          </w:p>
        </w:tc>
        <w:tc>
          <w:tcPr>
            <w:tcW w:w="1452" w:type="dxa"/>
            <w:vAlign w:val="center"/>
          </w:tcPr>
          <w:p w14:paraId="46566C3B">
            <w:pPr>
              <w:pStyle w:val="41"/>
              <w:widowControl w:val="0"/>
              <w:adjustRightInd w:val="0"/>
              <w:snapToGrid w:val="0"/>
              <w:jc w:val="both"/>
              <w:rPr>
                <w:rFonts w:hint="default" w:ascii="Times New Roman" w:hAnsi="Times New Roman"/>
              </w:rPr>
            </w:pPr>
          </w:p>
        </w:tc>
        <w:tc>
          <w:tcPr>
            <w:tcW w:w="1134" w:type="dxa"/>
            <w:vAlign w:val="center"/>
          </w:tcPr>
          <w:p w14:paraId="6593AD69">
            <w:pPr>
              <w:pStyle w:val="41"/>
              <w:widowControl w:val="0"/>
              <w:adjustRightInd w:val="0"/>
              <w:snapToGrid w:val="0"/>
              <w:jc w:val="both"/>
              <w:rPr>
                <w:rFonts w:hint="default" w:ascii="Times New Roman" w:hAnsi="Times New Roman"/>
              </w:rPr>
            </w:pPr>
          </w:p>
        </w:tc>
      </w:tr>
      <w:tr w14:paraId="4369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20BC6AB2">
            <w:pPr>
              <w:pStyle w:val="41"/>
              <w:widowControl w:val="0"/>
              <w:adjustRightInd w:val="0"/>
              <w:snapToGrid w:val="0"/>
              <w:jc w:val="center"/>
              <w:rPr>
                <w:rFonts w:hint="default" w:ascii="Times New Roman" w:hAnsi="Times New Roman"/>
              </w:rPr>
            </w:pPr>
          </w:p>
        </w:tc>
        <w:tc>
          <w:tcPr>
            <w:tcW w:w="3180" w:type="dxa"/>
            <w:vAlign w:val="center"/>
          </w:tcPr>
          <w:p w14:paraId="7B7EB51C">
            <w:pPr>
              <w:pStyle w:val="41"/>
              <w:widowControl w:val="0"/>
              <w:adjustRightInd w:val="0"/>
              <w:snapToGrid w:val="0"/>
              <w:jc w:val="both"/>
              <w:rPr>
                <w:rFonts w:hint="default" w:ascii="Times New Roman" w:hAnsi="Times New Roman"/>
              </w:rPr>
            </w:pPr>
            <w:r>
              <w:rPr>
                <w:rFonts w:hint="default" w:ascii="Times New Roman" w:hAnsi="Times New Roman"/>
              </w:rPr>
              <w:t>……</w:t>
            </w:r>
          </w:p>
        </w:tc>
        <w:tc>
          <w:tcPr>
            <w:tcW w:w="2773" w:type="dxa"/>
            <w:vAlign w:val="center"/>
          </w:tcPr>
          <w:p w14:paraId="28E91812">
            <w:pPr>
              <w:pStyle w:val="41"/>
              <w:widowControl w:val="0"/>
              <w:adjustRightInd w:val="0"/>
              <w:snapToGrid w:val="0"/>
              <w:jc w:val="both"/>
              <w:rPr>
                <w:rFonts w:hint="default" w:ascii="Times New Roman" w:hAnsi="Times New Roman"/>
              </w:rPr>
            </w:pPr>
          </w:p>
        </w:tc>
        <w:tc>
          <w:tcPr>
            <w:tcW w:w="1452" w:type="dxa"/>
            <w:vAlign w:val="center"/>
          </w:tcPr>
          <w:p w14:paraId="72D85B47">
            <w:pPr>
              <w:pStyle w:val="41"/>
              <w:widowControl w:val="0"/>
              <w:adjustRightInd w:val="0"/>
              <w:snapToGrid w:val="0"/>
              <w:jc w:val="both"/>
              <w:rPr>
                <w:rFonts w:hint="default" w:ascii="Times New Roman" w:hAnsi="Times New Roman"/>
              </w:rPr>
            </w:pPr>
          </w:p>
        </w:tc>
        <w:tc>
          <w:tcPr>
            <w:tcW w:w="1134" w:type="dxa"/>
            <w:vAlign w:val="center"/>
          </w:tcPr>
          <w:p w14:paraId="2FEBF9D2">
            <w:pPr>
              <w:pStyle w:val="41"/>
              <w:widowControl w:val="0"/>
              <w:adjustRightInd w:val="0"/>
              <w:snapToGrid w:val="0"/>
              <w:jc w:val="both"/>
              <w:rPr>
                <w:rFonts w:hint="default" w:ascii="Times New Roman" w:hAnsi="Times New Roman"/>
              </w:rPr>
            </w:pPr>
          </w:p>
        </w:tc>
      </w:tr>
    </w:tbl>
    <w:p w14:paraId="1EC574AB">
      <w:pPr>
        <w:pStyle w:val="26"/>
        <w:widowControl w:val="0"/>
        <w:adjustRightInd w:val="0"/>
        <w:snapToGrid w:val="0"/>
        <w:spacing w:before="0" w:beforeAutospacing="0" w:after="0" w:afterAutospacing="0" w:line="360" w:lineRule="auto"/>
        <w:rPr>
          <w:rFonts w:hint="eastAsia"/>
        </w:rPr>
      </w:pPr>
    </w:p>
    <w:p w14:paraId="1C1BDE5E">
      <w:pPr>
        <w:pStyle w:val="26"/>
        <w:widowControl w:val="0"/>
        <w:adjustRightInd w:val="0"/>
        <w:snapToGrid w:val="0"/>
        <w:spacing w:before="0" w:beforeAutospacing="0" w:after="0" w:afterAutospacing="0"/>
        <w:rPr>
          <w:rFonts w:hint="eastAsia"/>
          <w:b/>
          <w:sz w:val="21"/>
          <w:szCs w:val="21"/>
        </w:rPr>
      </w:pPr>
      <w:r>
        <w:rPr>
          <w:b/>
          <w:sz w:val="21"/>
          <w:szCs w:val="21"/>
        </w:rPr>
        <w:t>说明：1.投标人拟提供的服务承诺与招标文件中的要求不一致时，则必须在</w:t>
      </w:r>
      <w:r>
        <w:rPr>
          <w:rFonts w:hint="eastAsia"/>
          <w:b/>
          <w:sz w:val="21"/>
          <w:szCs w:val="21"/>
        </w:rPr>
        <w:t>此表</w:t>
      </w:r>
      <w:r>
        <w:rPr>
          <w:b/>
          <w:sz w:val="21"/>
          <w:szCs w:val="21"/>
        </w:rPr>
        <w:t>中予以明确。否则将视为投标人完全响应招标文件的要求，并以招标文件作为合同条件。</w:t>
      </w:r>
      <w:r>
        <w:rPr>
          <w:b/>
          <w:sz w:val="21"/>
          <w:szCs w:val="21"/>
        </w:rPr>
        <w:br w:type="textWrapping"/>
      </w:r>
      <w:r>
        <w:rPr>
          <w:b/>
          <w:sz w:val="21"/>
          <w:szCs w:val="21"/>
        </w:rPr>
        <w:t>    2.</w:t>
      </w:r>
      <w:r>
        <w:rPr>
          <w:rFonts w:hint="eastAsia"/>
          <w:b/>
          <w:sz w:val="21"/>
          <w:szCs w:val="21"/>
        </w:rPr>
        <w:t>偏离</w:t>
      </w:r>
      <w:r>
        <w:rPr>
          <w:b/>
          <w:sz w:val="21"/>
          <w:szCs w:val="21"/>
        </w:rPr>
        <w:t>情况分别为：正偏离、</w:t>
      </w:r>
      <w:r>
        <w:rPr>
          <w:rFonts w:hint="eastAsia"/>
          <w:b/>
          <w:sz w:val="21"/>
          <w:szCs w:val="21"/>
        </w:rPr>
        <w:t>无偏离</w:t>
      </w:r>
      <w:r>
        <w:rPr>
          <w:b/>
          <w:sz w:val="21"/>
          <w:szCs w:val="21"/>
        </w:rPr>
        <w:t>或负偏离。投标人可在备注栏内就偏离原因进行简要说明。</w:t>
      </w:r>
    </w:p>
    <w:p w14:paraId="690CB5C1">
      <w:pPr>
        <w:pStyle w:val="26"/>
        <w:widowControl w:val="0"/>
        <w:adjustRightInd w:val="0"/>
        <w:snapToGrid w:val="0"/>
        <w:spacing w:before="0" w:beforeAutospacing="0" w:after="0" w:afterAutospacing="0"/>
        <w:rPr>
          <w:rFonts w:hint="eastAsia"/>
        </w:rPr>
      </w:pPr>
    </w:p>
    <w:p w14:paraId="10562801">
      <w:pPr>
        <w:pStyle w:val="26"/>
        <w:widowControl w:val="0"/>
        <w:adjustRightInd w:val="0"/>
        <w:snapToGrid w:val="0"/>
        <w:spacing w:before="0" w:beforeAutospacing="0" w:after="0" w:afterAutospacing="0"/>
        <w:rPr>
          <w:rFonts w:hint="eastAsia"/>
        </w:rPr>
      </w:pPr>
    </w:p>
    <w:p w14:paraId="4B73543A">
      <w:pPr>
        <w:pStyle w:val="26"/>
        <w:widowControl w:val="0"/>
        <w:adjustRightInd w:val="0"/>
        <w:snapToGrid w:val="0"/>
        <w:spacing w:before="0" w:beforeAutospacing="0" w:after="0" w:afterAutospacing="0"/>
        <w:rPr>
          <w:rFonts w:hint="eastAsia"/>
        </w:rPr>
      </w:pPr>
    </w:p>
    <w:p w14:paraId="0A45695C">
      <w:pPr>
        <w:pStyle w:val="26"/>
        <w:widowControl w:val="0"/>
        <w:adjustRightInd w:val="0"/>
        <w:snapToGrid w:val="0"/>
        <w:spacing w:before="0" w:beforeAutospacing="0" w:after="0" w:afterAutospacing="0" w:line="360" w:lineRule="auto"/>
        <w:ind w:firstLine="720" w:firstLineChars="300"/>
        <w:rPr>
          <w:rFonts w:hint="eastAsia"/>
        </w:rPr>
      </w:pPr>
      <w:r>
        <w:t>投标人</w:t>
      </w:r>
      <w:r>
        <w:rPr>
          <w:color w:val="000000"/>
        </w:rPr>
        <w:t>（电子签章）</w:t>
      </w:r>
      <w:r>
        <w:t>：__________________________</w:t>
      </w:r>
    </w:p>
    <w:p w14:paraId="56628955">
      <w:pPr>
        <w:pStyle w:val="26"/>
        <w:widowControl w:val="0"/>
        <w:adjustRightInd w:val="0"/>
        <w:snapToGrid w:val="0"/>
        <w:spacing w:before="0" w:beforeAutospacing="0" w:after="0" w:afterAutospacing="0"/>
        <w:ind w:firstLine="720" w:firstLineChars="300"/>
        <w:rPr>
          <w:rFonts w:hint="eastAsia"/>
          <w:u w:val="single"/>
        </w:rPr>
      </w:pPr>
      <w:r>
        <w:t>日期：____年____月____日</w:t>
      </w:r>
    </w:p>
    <w:p w14:paraId="68F67FC0">
      <w:pPr>
        <w:spacing w:line="360" w:lineRule="auto"/>
        <w:jc w:val="center"/>
        <w:rPr>
          <w:lang w:val="zh-CN"/>
        </w:rPr>
        <w:sectPr>
          <w:pgSz w:w="11906" w:h="16838"/>
          <w:pgMar w:top="1259" w:right="1287" w:bottom="1361" w:left="1622" w:header="709" w:footer="975" w:gutter="0"/>
          <w:cols w:space="720" w:num="1"/>
          <w:docGrid w:linePitch="360" w:charSpace="0"/>
        </w:sectPr>
      </w:pPr>
    </w:p>
    <w:p w14:paraId="696836E1">
      <w:pPr>
        <w:pStyle w:val="26"/>
        <w:widowControl w:val="0"/>
        <w:adjustRightInd w:val="0"/>
        <w:snapToGrid w:val="0"/>
        <w:jc w:val="center"/>
        <w:rPr>
          <w:rFonts w:hint="eastAsia"/>
          <w:spacing w:val="60"/>
          <w:sz w:val="32"/>
          <w:szCs w:val="32"/>
        </w:rPr>
      </w:pPr>
      <w:r>
        <w:rPr>
          <w:rFonts w:hint="eastAsia"/>
          <w:b/>
          <w:sz w:val="32"/>
          <w:szCs w:val="32"/>
        </w:rPr>
        <w:t>六</w:t>
      </w:r>
      <w:r>
        <w:rPr>
          <w:b/>
          <w:sz w:val="32"/>
          <w:szCs w:val="32"/>
        </w:rPr>
        <w:t>、项目实施人员一览表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5C3F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52E0E257">
            <w:pPr>
              <w:pStyle w:val="26"/>
              <w:widowControl w:val="0"/>
              <w:snapToGrid w:val="0"/>
              <w:jc w:val="center"/>
              <w:rPr>
                <w:rFonts w:hint="eastAsia"/>
              </w:rPr>
            </w:pPr>
            <w:r>
              <w:t>序号</w:t>
            </w:r>
          </w:p>
        </w:tc>
        <w:tc>
          <w:tcPr>
            <w:tcW w:w="1740" w:type="dxa"/>
            <w:vAlign w:val="center"/>
          </w:tcPr>
          <w:p w14:paraId="5FEEEABF">
            <w:pPr>
              <w:pStyle w:val="26"/>
              <w:widowControl w:val="0"/>
              <w:snapToGrid w:val="0"/>
              <w:jc w:val="center"/>
              <w:rPr>
                <w:rFonts w:hint="eastAsia"/>
              </w:rPr>
            </w:pPr>
            <w:r>
              <w:t>姓名</w:t>
            </w:r>
          </w:p>
        </w:tc>
        <w:tc>
          <w:tcPr>
            <w:tcW w:w="2118" w:type="dxa"/>
            <w:vAlign w:val="center"/>
          </w:tcPr>
          <w:p w14:paraId="55523B2A">
            <w:pPr>
              <w:pStyle w:val="26"/>
              <w:widowControl w:val="0"/>
              <w:snapToGrid w:val="0"/>
              <w:jc w:val="center"/>
              <w:rPr>
                <w:rFonts w:hint="eastAsia"/>
              </w:rPr>
            </w:pPr>
            <w:r>
              <w:t>职务/职称</w:t>
            </w:r>
          </w:p>
        </w:tc>
        <w:tc>
          <w:tcPr>
            <w:tcW w:w="2880" w:type="dxa"/>
            <w:vAlign w:val="center"/>
          </w:tcPr>
          <w:p w14:paraId="2D425E7C">
            <w:pPr>
              <w:pStyle w:val="26"/>
              <w:widowControl w:val="0"/>
              <w:snapToGrid w:val="0"/>
              <w:jc w:val="center"/>
              <w:rPr>
                <w:rFonts w:hint="eastAsia"/>
              </w:rPr>
            </w:pPr>
            <w:r>
              <w:t>拟负责岗位</w:t>
            </w:r>
          </w:p>
        </w:tc>
        <w:tc>
          <w:tcPr>
            <w:tcW w:w="1482" w:type="dxa"/>
            <w:vAlign w:val="center"/>
          </w:tcPr>
          <w:p w14:paraId="7961F61C">
            <w:pPr>
              <w:pStyle w:val="26"/>
              <w:widowControl w:val="0"/>
              <w:snapToGrid w:val="0"/>
              <w:jc w:val="center"/>
              <w:rPr>
                <w:rFonts w:hint="eastAsia"/>
              </w:rPr>
            </w:pPr>
            <w:r>
              <w:t>联系电话</w:t>
            </w:r>
          </w:p>
        </w:tc>
      </w:tr>
      <w:tr w14:paraId="0B99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1562856E">
            <w:pPr>
              <w:pStyle w:val="26"/>
              <w:widowControl w:val="0"/>
              <w:snapToGrid w:val="0"/>
              <w:ind w:left="480" w:firstLine="480"/>
              <w:jc w:val="center"/>
              <w:rPr>
                <w:rFonts w:hint="eastAsia"/>
              </w:rPr>
            </w:pPr>
          </w:p>
        </w:tc>
        <w:tc>
          <w:tcPr>
            <w:tcW w:w="1740" w:type="dxa"/>
            <w:vAlign w:val="center"/>
          </w:tcPr>
          <w:p w14:paraId="7B8D8E41">
            <w:pPr>
              <w:pStyle w:val="26"/>
              <w:widowControl w:val="0"/>
              <w:snapToGrid w:val="0"/>
              <w:rPr>
                <w:rFonts w:hint="eastAsia"/>
              </w:rPr>
            </w:pPr>
            <w:r>
              <w:t>……</w:t>
            </w:r>
          </w:p>
        </w:tc>
        <w:tc>
          <w:tcPr>
            <w:tcW w:w="2118" w:type="dxa"/>
            <w:vAlign w:val="center"/>
          </w:tcPr>
          <w:p w14:paraId="4EF8E75D">
            <w:pPr>
              <w:pStyle w:val="26"/>
              <w:widowControl w:val="0"/>
              <w:snapToGrid w:val="0"/>
              <w:ind w:left="480" w:firstLine="480"/>
              <w:jc w:val="center"/>
              <w:rPr>
                <w:rFonts w:hint="eastAsia"/>
              </w:rPr>
            </w:pPr>
          </w:p>
        </w:tc>
        <w:tc>
          <w:tcPr>
            <w:tcW w:w="2880" w:type="dxa"/>
            <w:vAlign w:val="center"/>
          </w:tcPr>
          <w:p w14:paraId="019689BC">
            <w:pPr>
              <w:pStyle w:val="26"/>
              <w:widowControl w:val="0"/>
              <w:snapToGrid w:val="0"/>
              <w:ind w:left="480" w:firstLine="480"/>
              <w:jc w:val="center"/>
              <w:rPr>
                <w:rFonts w:hint="eastAsia"/>
              </w:rPr>
            </w:pPr>
          </w:p>
        </w:tc>
        <w:tc>
          <w:tcPr>
            <w:tcW w:w="1482" w:type="dxa"/>
            <w:vAlign w:val="center"/>
          </w:tcPr>
          <w:p w14:paraId="6ED02BD5">
            <w:pPr>
              <w:pStyle w:val="26"/>
              <w:widowControl w:val="0"/>
              <w:snapToGrid w:val="0"/>
              <w:ind w:left="480" w:firstLine="480"/>
              <w:jc w:val="center"/>
              <w:rPr>
                <w:rFonts w:hint="eastAsia"/>
              </w:rPr>
            </w:pPr>
          </w:p>
        </w:tc>
      </w:tr>
      <w:tr w14:paraId="78BA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20052BFC">
            <w:pPr>
              <w:pStyle w:val="26"/>
              <w:widowControl w:val="0"/>
              <w:snapToGrid w:val="0"/>
              <w:ind w:left="480" w:firstLine="480"/>
              <w:jc w:val="center"/>
              <w:rPr>
                <w:rFonts w:hint="eastAsia"/>
              </w:rPr>
            </w:pPr>
          </w:p>
        </w:tc>
        <w:tc>
          <w:tcPr>
            <w:tcW w:w="1740" w:type="dxa"/>
            <w:vAlign w:val="center"/>
          </w:tcPr>
          <w:p w14:paraId="597DE6E7">
            <w:pPr>
              <w:pStyle w:val="26"/>
              <w:widowControl w:val="0"/>
              <w:snapToGrid w:val="0"/>
              <w:ind w:left="480" w:firstLine="480"/>
              <w:jc w:val="center"/>
              <w:rPr>
                <w:rFonts w:hint="eastAsia"/>
              </w:rPr>
            </w:pPr>
          </w:p>
        </w:tc>
        <w:tc>
          <w:tcPr>
            <w:tcW w:w="2118" w:type="dxa"/>
            <w:vAlign w:val="center"/>
          </w:tcPr>
          <w:p w14:paraId="680315A7">
            <w:pPr>
              <w:pStyle w:val="26"/>
              <w:widowControl w:val="0"/>
              <w:snapToGrid w:val="0"/>
              <w:ind w:left="480" w:firstLine="480"/>
              <w:jc w:val="center"/>
              <w:rPr>
                <w:rFonts w:hint="eastAsia"/>
              </w:rPr>
            </w:pPr>
          </w:p>
        </w:tc>
        <w:tc>
          <w:tcPr>
            <w:tcW w:w="2880" w:type="dxa"/>
            <w:vAlign w:val="center"/>
          </w:tcPr>
          <w:p w14:paraId="79E84313">
            <w:pPr>
              <w:pStyle w:val="26"/>
              <w:widowControl w:val="0"/>
              <w:snapToGrid w:val="0"/>
              <w:ind w:left="480" w:firstLine="480"/>
              <w:jc w:val="center"/>
              <w:rPr>
                <w:rFonts w:hint="eastAsia"/>
              </w:rPr>
            </w:pPr>
          </w:p>
        </w:tc>
        <w:tc>
          <w:tcPr>
            <w:tcW w:w="1482" w:type="dxa"/>
            <w:vAlign w:val="center"/>
          </w:tcPr>
          <w:p w14:paraId="0312BFEB">
            <w:pPr>
              <w:pStyle w:val="26"/>
              <w:widowControl w:val="0"/>
              <w:snapToGrid w:val="0"/>
              <w:ind w:left="480" w:firstLine="480"/>
              <w:jc w:val="center"/>
              <w:rPr>
                <w:rFonts w:hint="eastAsia"/>
              </w:rPr>
            </w:pPr>
          </w:p>
        </w:tc>
      </w:tr>
      <w:tr w14:paraId="7563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Align w:val="center"/>
          </w:tcPr>
          <w:p w14:paraId="07C142F9">
            <w:pPr>
              <w:pStyle w:val="26"/>
              <w:widowControl w:val="0"/>
              <w:snapToGrid w:val="0"/>
              <w:ind w:left="480" w:firstLine="480"/>
              <w:jc w:val="center"/>
              <w:rPr>
                <w:rFonts w:hint="eastAsia"/>
              </w:rPr>
            </w:pPr>
          </w:p>
        </w:tc>
        <w:tc>
          <w:tcPr>
            <w:tcW w:w="1740" w:type="dxa"/>
            <w:vAlign w:val="center"/>
          </w:tcPr>
          <w:p w14:paraId="2F717681">
            <w:pPr>
              <w:pStyle w:val="26"/>
              <w:widowControl w:val="0"/>
              <w:snapToGrid w:val="0"/>
              <w:ind w:left="480" w:firstLine="480"/>
              <w:jc w:val="center"/>
              <w:rPr>
                <w:rFonts w:hint="eastAsia"/>
              </w:rPr>
            </w:pPr>
          </w:p>
        </w:tc>
        <w:tc>
          <w:tcPr>
            <w:tcW w:w="2118" w:type="dxa"/>
            <w:vAlign w:val="center"/>
          </w:tcPr>
          <w:p w14:paraId="4F21170B">
            <w:pPr>
              <w:pStyle w:val="26"/>
              <w:widowControl w:val="0"/>
              <w:snapToGrid w:val="0"/>
              <w:ind w:left="480" w:firstLine="480"/>
              <w:jc w:val="center"/>
              <w:rPr>
                <w:rFonts w:hint="eastAsia"/>
              </w:rPr>
            </w:pPr>
          </w:p>
        </w:tc>
        <w:tc>
          <w:tcPr>
            <w:tcW w:w="2880" w:type="dxa"/>
            <w:vAlign w:val="center"/>
          </w:tcPr>
          <w:p w14:paraId="62AA6ADA">
            <w:pPr>
              <w:pStyle w:val="26"/>
              <w:widowControl w:val="0"/>
              <w:snapToGrid w:val="0"/>
              <w:ind w:left="480" w:firstLine="480"/>
              <w:jc w:val="center"/>
              <w:rPr>
                <w:rFonts w:hint="eastAsia"/>
              </w:rPr>
            </w:pPr>
          </w:p>
        </w:tc>
        <w:tc>
          <w:tcPr>
            <w:tcW w:w="1482" w:type="dxa"/>
            <w:vAlign w:val="center"/>
          </w:tcPr>
          <w:p w14:paraId="789C978A">
            <w:pPr>
              <w:pStyle w:val="26"/>
              <w:widowControl w:val="0"/>
              <w:snapToGrid w:val="0"/>
              <w:ind w:left="480" w:firstLine="480"/>
              <w:jc w:val="center"/>
              <w:rPr>
                <w:rFonts w:hint="eastAsia"/>
              </w:rPr>
            </w:pPr>
          </w:p>
        </w:tc>
      </w:tr>
      <w:tr w14:paraId="5E9A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Align w:val="center"/>
          </w:tcPr>
          <w:p w14:paraId="79CB680E">
            <w:pPr>
              <w:pStyle w:val="26"/>
              <w:widowControl w:val="0"/>
              <w:snapToGrid w:val="0"/>
              <w:ind w:left="480" w:firstLine="480"/>
              <w:jc w:val="center"/>
              <w:rPr>
                <w:rFonts w:hint="eastAsia"/>
              </w:rPr>
            </w:pPr>
          </w:p>
        </w:tc>
        <w:tc>
          <w:tcPr>
            <w:tcW w:w="1740" w:type="dxa"/>
            <w:vAlign w:val="center"/>
          </w:tcPr>
          <w:p w14:paraId="5172FF04">
            <w:pPr>
              <w:pStyle w:val="26"/>
              <w:widowControl w:val="0"/>
              <w:snapToGrid w:val="0"/>
              <w:ind w:left="480" w:firstLine="480"/>
              <w:jc w:val="center"/>
              <w:rPr>
                <w:rFonts w:hint="eastAsia"/>
              </w:rPr>
            </w:pPr>
          </w:p>
        </w:tc>
        <w:tc>
          <w:tcPr>
            <w:tcW w:w="2118" w:type="dxa"/>
            <w:vAlign w:val="center"/>
          </w:tcPr>
          <w:p w14:paraId="2DC54A72">
            <w:pPr>
              <w:pStyle w:val="26"/>
              <w:widowControl w:val="0"/>
              <w:snapToGrid w:val="0"/>
              <w:ind w:left="480" w:firstLine="480"/>
              <w:jc w:val="center"/>
              <w:rPr>
                <w:rFonts w:hint="eastAsia"/>
              </w:rPr>
            </w:pPr>
          </w:p>
        </w:tc>
        <w:tc>
          <w:tcPr>
            <w:tcW w:w="2880" w:type="dxa"/>
            <w:vAlign w:val="center"/>
          </w:tcPr>
          <w:p w14:paraId="57F965C5">
            <w:pPr>
              <w:pStyle w:val="26"/>
              <w:widowControl w:val="0"/>
              <w:snapToGrid w:val="0"/>
              <w:ind w:left="480" w:firstLine="480"/>
              <w:jc w:val="center"/>
              <w:rPr>
                <w:rFonts w:hint="eastAsia"/>
              </w:rPr>
            </w:pPr>
          </w:p>
        </w:tc>
        <w:tc>
          <w:tcPr>
            <w:tcW w:w="1482" w:type="dxa"/>
            <w:vAlign w:val="center"/>
          </w:tcPr>
          <w:p w14:paraId="303E9C55">
            <w:pPr>
              <w:pStyle w:val="26"/>
              <w:widowControl w:val="0"/>
              <w:snapToGrid w:val="0"/>
              <w:ind w:left="480" w:firstLine="480"/>
              <w:jc w:val="center"/>
              <w:rPr>
                <w:rFonts w:hint="eastAsia"/>
              </w:rPr>
            </w:pPr>
          </w:p>
        </w:tc>
      </w:tr>
      <w:tr w14:paraId="13BA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Align w:val="center"/>
          </w:tcPr>
          <w:p w14:paraId="260207F3">
            <w:pPr>
              <w:pStyle w:val="26"/>
              <w:widowControl w:val="0"/>
              <w:snapToGrid w:val="0"/>
              <w:ind w:left="480" w:firstLine="480"/>
              <w:jc w:val="center"/>
              <w:rPr>
                <w:rFonts w:hint="eastAsia"/>
              </w:rPr>
            </w:pPr>
          </w:p>
        </w:tc>
        <w:tc>
          <w:tcPr>
            <w:tcW w:w="1740" w:type="dxa"/>
            <w:vAlign w:val="center"/>
          </w:tcPr>
          <w:p w14:paraId="7DDFF931">
            <w:pPr>
              <w:pStyle w:val="26"/>
              <w:widowControl w:val="0"/>
              <w:snapToGrid w:val="0"/>
              <w:ind w:left="480" w:firstLine="480"/>
              <w:jc w:val="center"/>
              <w:rPr>
                <w:rFonts w:hint="eastAsia"/>
              </w:rPr>
            </w:pPr>
          </w:p>
        </w:tc>
        <w:tc>
          <w:tcPr>
            <w:tcW w:w="2118" w:type="dxa"/>
            <w:vAlign w:val="center"/>
          </w:tcPr>
          <w:p w14:paraId="3D48A715">
            <w:pPr>
              <w:pStyle w:val="26"/>
              <w:widowControl w:val="0"/>
              <w:snapToGrid w:val="0"/>
              <w:ind w:left="480" w:firstLine="480"/>
              <w:jc w:val="center"/>
              <w:rPr>
                <w:rFonts w:hint="eastAsia"/>
              </w:rPr>
            </w:pPr>
          </w:p>
        </w:tc>
        <w:tc>
          <w:tcPr>
            <w:tcW w:w="2880" w:type="dxa"/>
            <w:vAlign w:val="center"/>
          </w:tcPr>
          <w:p w14:paraId="627CF1BD">
            <w:pPr>
              <w:pStyle w:val="26"/>
              <w:widowControl w:val="0"/>
              <w:snapToGrid w:val="0"/>
              <w:ind w:left="480" w:firstLine="480"/>
              <w:jc w:val="center"/>
              <w:rPr>
                <w:rFonts w:hint="eastAsia"/>
              </w:rPr>
            </w:pPr>
          </w:p>
        </w:tc>
        <w:tc>
          <w:tcPr>
            <w:tcW w:w="1482" w:type="dxa"/>
            <w:vAlign w:val="center"/>
          </w:tcPr>
          <w:p w14:paraId="345BB8E3">
            <w:pPr>
              <w:pStyle w:val="26"/>
              <w:widowControl w:val="0"/>
              <w:snapToGrid w:val="0"/>
              <w:ind w:left="480" w:firstLine="480"/>
              <w:jc w:val="center"/>
              <w:rPr>
                <w:rFonts w:hint="eastAsia"/>
              </w:rPr>
            </w:pPr>
          </w:p>
        </w:tc>
      </w:tr>
      <w:tr w14:paraId="3295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7B21336E">
            <w:pPr>
              <w:pStyle w:val="26"/>
              <w:widowControl w:val="0"/>
              <w:snapToGrid w:val="0"/>
              <w:ind w:left="480" w:firstLine="480"/>
              <w:jc w:val="center"/>
              <w:rPr>
                <w:rFonts w:hint="eastAsia"/>
              </w:rPr>
            </w:pPr>
          </w:p>
        </w:tc>
        <w:tc>
          <w:tcPr>
            <w:tcW w:w="1740" w:type="dxa"/>
            <w:vAlign w:val="center"/>
          </w:tcPr>
          <w:p w14:paraId="63C1942F">
            <w:pPr>
              <w:pStyle w:val="26"/>
              <w:widowControl w:val="0"/>
              <w:snapToGrid w:val="0"/>
              <w:ind w:left="480" w:firstLine="480"/>
              <w:jc w:val="center"/>
              <w:rPr>
                <w:rFonts w:hint="eastAsia"/>
              </w:rPr>
            </w:pPr>
          </w:p>
        </w:tc>
        <w:tc>
          <w:tcPr>
            <w:tcW w:w="2118" w:type="dxa"/>
            <w:vAlign w:val="center"/>
          </w:tcPr>
          <w:p w14:paraId="77F81750">
            <w:pPr>
              <w:pStyle w:val="26"/>
              <w:widowControl w:val="0"/>
              <w:snapToGrid w:val="0"/>
              <w:ind w:left="480" w:firstLine="480"/>
              <w:jc w:val="center"/>
              <w:rPr>
                <w:rFonts w:hint="eastAsia"/>
              </w:rPr>
            </w:pPr>
          </w:p>
        </w:tc>
        <w:tc>
          <w:tcPr>
            <w:tcW w:w="2880" w:type="dxa"/>
            <w:vAlign w:val="center"/>
          </w:tcPr>
          <w:p w14:paraId="1A04A33C">
            <w:pPr>
              <w:pStyle w:val="26"/>
              <w:widowControl w:val="0"/>
              <w:snapToGrid w:val="0"/>
              <w:ind w:left="480" w:firstLine="480"/>
              <w:jc w:val="center"/>
              <w:rPr>
                <w:rFonts w:hint="eastAsia"/>
              </w:rPr>
            </w:pPr>
          </w:p>
        </w:tc>
        <w:tc>
          <w:tcPr>
            <w:tcW w:w="1482" w:type="dxa"/>
            <w:vAlign w:val="center"/>
          </w:tcPr>
          <w:p w14:paraId="1650171F">
            <w:pPr>
              <w:pStyle w:val="26"/>
              <w:widowControl w:val="0"/>
              <w:snapToGrid w:val="0"/>
              <w:ind w:left="480" w:firstLine="480"/>
              <w:jc w:val="center"/>
              <w:rPr>
                <w:rFonts w:hint="eastAsia"/>
              </w:rPr>
            </w:pPr>
          </w:p>
        </w:tc>
      </w:tr>
      <w:tr w14:paraId="1587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Align w:val="center"/>
          </w:tcPr>
          <w:p w14:paraId="22888AE6">
            <w:pPr>
              <w:pStyle w:val="26"/>
              <w:widowControl w:val="0"/>
              <w:snapToGrid w:val="0"/>
              <w:ind w:left="480" w:firstLine="480"/>
              <w:jc w:val="center"/>
              <w:rPr>
                <w:rFonts w:hint="eastAsia"/>
              </w:rPr>
            </w:pPr>
          </w:p>
        </w:tc>
        <w:tc>
          <w:tcPr>
            <w:tcW w:w="1740" w:type="dxa"/>
            <w:vAlign w:val="center"/>
          </w:tcPr>
          <w:p w14:paraId="1023B931">
            <w:pPr>
              <w:pStyle w:val="26"/>
              <w:widowControl w:val="0"/>
              <w:snapToGrid w:val="0"/>
              <w:ind w:left="480" w:firstLine="480"/>
              <w:jc w:val="center"/>
              <w:rPr>
                <w:rFonts w:hint="eastAsia"/>
              </w:rPr>
            </w:pPr>
          </w:p>
        </w:tc>
        <w:tc>
          <w:tcPr>
            <w:tcW w:w="2118" w:type="dxa"/>
            <w:vAlign w:val="center"/>
          </w:tcPr>
          <w:p w14:paraId="1B270198">
            <w:pPr>
              <w:pStyle w:val="26"/>
              <w:widowControl w:val="0"/>
              <w:snapToGrid w:val="0"/>
              <w:ind w:left="480" w:firstLine="480"/>
              <w:jc w:val="center"/>
              <w:rPr>
                <w:rFonts w:hint="eastAsia"/>
              </w:rPr>
            </w:pPr>
          </w:p>
        </w:tc>
        <w:tc>
          <w:tcPr>
            <w:tcW w:w="2880" w:type="dxa"/>
            <w:vAlign w:val="center"/>
          </w:tcPr>
          <w:p w14:paraId="3C8F978D">
            <w:pPr>
              <w:pStyle w:val="26"/>
              <w:widowControl w:val="0"/>
              <w:snapToGrid w:val="0"/>
              <w:ind w:left="480" w:firstLine="480"/>
              <w:jc w:val="center"/>
              <w:rPr>
                <w:rFonts w:hint="eastAsia"/>
              </w:rPr>
            </w:pPr>
          </w:p>
        </w:tc>
        <w:tc>
          <w:tcPr>
            <w:tcW w:w="1482" w:type="dxa"/>
            <w:vAlign w:val="center"/>
          </w:tcPr>
          <w:p w14:paraId="2CD8151A">
            <w:pPr>
              <w:pStyle w:val="26"/>
              <w:widowControl w:val="0"/>
              <w:snapToGrid w:val="0"/>
              <w:ind w:left="480" w:firstLine="480"/>
              <w:jc w:val="center"/>
              <w:rPr>
                <w:rFonts w:hint="eastAsia"/>
              </w:rPr>
            </w:pPr>
          </w:p>
        </w:tc>
      </w:tr>
    </w:tbl>
    <w:p w14:paraId="4AA4D176">
      <w:pPr>
        <w:pStyle w:val="26"/>
        <w:widowControl w:val="0"/>
        <w:snapToGrid w:val="0"/>
        <w:rPr>
          <w:rFonts w:hint="eastAsia"/>
        </w:rPr>
      </w:pPr>
    </w:p>
    <w:p w14:paraId="04AEDBFD">
      <w:pPr>
        <w:pStyle w:val="26"/>
        <w:widowControl w:val="0"/>
        <w:snapToGrid w:val="0"/>
        <w:rPr>
          <w:rFonts w:hint="eastAsia"/>
        </w:rPr>
      </w:pPr>
    </w:p>
    <w:p w14:paraId="2A93A283">
      <w:pPr>
        <w:pStyle w:val="26"/>
        <w:widowControl w:val="0"/>
        <w:adjustRightInd w:val="0"/>
        <w:snapToGrid w:val="0"/>
        <w:spacing w:before="0" w:beforeAutospacing="0" w:after="0" w:afterAutospacing="0" w:line="360" w:lineRule="auto"/>
        <w:rPr>
          <w:rFonts w:hint="eastAsia"/>
        </w:rPr>
      </w:pPr>
      <w:r>
        <w:t>投标人</w:t>
      </w:r>
      <w:r>
        <w:rPr>
          <w:color w:val="000000"/>
        </w:rPr>
        <w:t>（电子签章）</w:t>
      </w:r>
      <w:r>
        <w:t>：__________________________</w:t>
      </w:r>
    </w:p>
    <w:p w14:paraId="421C8785">
      <w:pPr>
        <w:pStyle w:val="26"/>
        <w:widowControl w:val="0"/>
        <w:adjustRightInd w:val="0"/>
        <w:snapToGrid w:val="0"/>
        <w:spacing w:before="0" w:beforeAutospacing="0" w:after="0" w:afterAutospacing="0" w:line="360" w:lineRule="auto"/>
        <w:rPr>
          <w:rFonts w:hint="eastAsia"/>
        </w:rPr>
      </w:pPr>
      <w:r>
        <w:t>日期：____年____月____日</w:t>
      </w:r>
    </w:p>
    <w:p w14:paraId="01B1A245">
      <w:pPr>
        <w:pStyle w:val="26"/>
        <w:widowControl w:val="0"/>
        <w:adjustRightInd w:val="0"/>
        <w:snapToGrid w:val="0"/>
        <w:jc w:val="center"/>
        <w:rPr>
          <w:rFonts w:hint="eastAsia"/>
          <w:b/>
          <w:sz w:val="32"/>
          <w:szCs w:val="32"/>
        </w:rPr>
      </w:pPr>
    </w:p>
    <w:p w14:paraId="30210F1F">
      <w:pPr>
        <w:pStyle w:val="26"/>
        <w:widowControl w:val="0"/>
        <w:adjustRightInd w:val="0"/>
        <w:snapToGrid w:val="0"/>
        <w:jc w:val="center"/>
        <w:rPr>
          <w:rFonts w:hint="eastAsia"/>
          <w:b/>
          <w:sz w:val="32"/>
          <w:szCs w:val="32"/>
        </w:rPr>
      </w:pPr>
      <w:r>
        <w:rPr>
          <w:rFonts w:hint="eastAsia"/>
          <w:b/>
          <w:sz w:val="32"/>
          <w:szCs w:val="32"/>
        </w:rPr>
        <w:t>七</w:t>
      </w:r>
      <w:r>
        <w:rPr>
          <w:b/>
          <w:sz w:val="32"/>
          <w:szCs w:val="32"/>
        </w:rPr>
        <w:t>、同类业绩</w:t>
      </w:r>
    </w:p>
    <w:tbl>
      <w:tblPr>
        <w:tblStyle w:val="4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14:paraId="6CEE7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tcMar>
              <w:top w:w="0" w:type="dxa"/>
              <w:left w:w="108" w:type="dxa"/>
              <w:bottom w:w="0" w:type="dxa"/>
              <w:right w:w="108" w:type="dxa"/>
            </w:tcMar>
            <w:vAlign w:val="center"/>
          </w:tcPr>
          <w:p w14:paraId="24D3A1F8">
            <w:pPr>
              <w:spacing w:before="100" w:beforeAutospacing="1" w:after="100" w:afterAutospacing="1" w:line="360" w:lineRule="atLeast"/>
              <w:jc w:val="center"/>
              <w:rPr>
                <w:rFonts w:hint="eastAsia" w:ascii="宋体" w:hAnsi="宋体"/>
              </w:rPr>
            </w:pPr>
            <w:r>
              <w:rPr>
                <w:rFonts w:ascii="宋体" w:hAnsi="宋体"/>
                <w:sz w:val="27"/>
                <w:szCs w:val="27"/>
              </w:rPr>
              <w:t> </w:t>
            </w:r>
            <w:r>
              <w:rPr>
                <w:rFonts w:ascii="宋体" w:hAnsi="宋体"/>
              </w:rPr>
              <w:t>项目名称</w:t>
            </w:r>
          </w:p>
        </w:tc>
        <w:tc>
          <w:tcPr>
            <w:tcW w:w="1456" w:type="dxa"/>
            <w:tcMar>
              <w:top w:w="0" w:type="dxa"/>
              <w:left w:w="108" w:type="dxa"/>
              <w:bottom w:w="0" w:type="dxa"/>
              <w:right w:w="108" w:type="dxa"/>
            </w:tcMar>
            <w:vAlign w:val="center"/>
          </w:tcPr>
          <w:p w14:paraId="7E1799FA">
            <w:pPr>
              <w:spacing w:before="100" w:beforeAutospacing="1" w:after="100" w:afterAutospacing="1" w:line="360" w:lineRule="atLeast"/>
              <w:jc w:val="center"/>
              <w:rPr>
                <w:rFonts w:hint="eastAsia" w:ascii="宋体" w:hAnsi="宋体"/>
              </w:rPr>
            </w:pPr>
            <w:r>
              <w:rPr>
                <w:rFonts w:ascii="宋体" w:hAnsi="宋体"/>
              </w:rPr>
              <w:t>合同金额</w:t>
            </w:r>
          </w:p>
        </w:tc>
        <w:tc>
          <w:tcPr>
            <w:tcW w:w="1757" w:type="dxa"/>
            <w:tcMar>
              <w:top w:w="0" w:type="dxa"/>
              <w:left w:w="108" w:type="dxa"/>
              <w:bottom w:w="0" w:type="dxa"/>
              <w:right w:w="108" w:type="dxa"/>
            </w:tcMar>
            <w:vAlign w:val="center"/>
          </w:tcPr>
          <w:p w14:paraId="23D535D3">
            <w:pPr>
              <w:spacing w:before="100" w:beforeAutospacing="1" w:after="100" w:afterAutospacing="1" w:line="360" w:lineRule="atLeast"/>
              <w:jc w:val="center"/>
              <w:rPr>
                <w:rFonts w:hint="eastAsia" w:ascii="宋体" w:hAnsi="宋体"/>
              </w:rPr>
            </w:pPr>
            <w:r>
              <w:rPr>
                <w:rFonts w:ascii="宋体" w:hAnsi="宋体"/>
              </w:rPr>
              <w:t>签订时间</w:t>
            </w:r>
          </w:p>
        </w:tc>
        <w:tc>
          <w:tcPr>
            <w:tcW w:w="1531" w:type="dxa"/>
            <w:tcMar>
              <w:top w:w="0" w:type="dxa"/>
              <w:left w:w="108" w:type="dxa"/>
              <w:bottom w:w="0" w:type="dxa"/>
              <w:right w:w="108" w:type="dxa"/>
            </w:tcMar>
            <w:vAlign w:val="center"/>
          </w:tcPr>
          <w:p w14:paraId="21F90C90">
            <w:pPr>
              <w:spacing w:before="100" w:beforeAutospacing="1" w:after="100" w:afterAutospacing="1" w:line="360" w:lineRule="atLeast"/>
              <w:jc w:val="center"/>
              <w:rPr>
                <w:rFonts w:hint="eastAsia" w:ascii="宋体" w:hAnsi="宋体"/>
              </w:rPr>
            </w:pPr>
            <w:r>
              <w:rPr>
                <w:rFonts w:ascii="宋体" w:hAnsi="宋体"/>
              </w:rPr>
              <w:t>业主名称及联系方式</w:t>
            </w:r>
          </w:p>
        </w:tc>
        <w:tc>
          <w:tcPr>
            <w:tcW w:w="1132" w:type="dxa"/>
            <w:tcMar>
              <w:top w:w="0" w:type="dxa"/>
              <w:left w:w="108" w:type="dxa"/>
              <w:bottom w:w="0" w:type="dxa"/>
              <w:right w:w="108" w:type="dxa"/>
            </w:tcMar>
            <w:vAlign w:val="center"/>
          </w:tcPr>
          <w:p w14:paraId="38C04951">
            <w:pPr>
              <w:spacing w:before="100" w:beforeAutospacing="1" w:after="100" w:afterAutospacing="1" w:line="360" w:lineRule="atLeast"/>
              <w:jc w:val="center"/>
              <w:rPr>
                <w:rFonts w:hint="eastAsia" w:ascii="宋体" w:hAnsi="宋体"/>
              </w:rPr>
            </w:pPr>
            <w:r>
              <w:rPr>
                <w:rFonts w:ascii="宋体" w:hAnsi="宋体"/>
              </w:rPr>
              <w:t>备注</w:t>
            </w:r>
          </w:p>
        </w:tc>
      </w:tr>
      <w:tr w14:paraId="7DB6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4C14C3BE">
            <w:pPr>
              <w:spacing w:before="100" w:beforeAutospacing="1" w:after="100" w:afterAutospacing="1" w:line="360" w:lineRule="atLeast"/>
              <w:jc w:val="center"/>
              <w:rPr>
                <w:rFonts w:hint="eastAsia" w:ascii="宋体" w:hAnsi="宋体"/>
              </w:rPr>
            </w:pPr>
            <w:r>
              <w:rPr>
                <w:rFonts w:ascii="宋体" w:hAnsi="宋体"/>
              </w:rPr>
              <w:t> </w:t>
            </w:r>
          </w:p>
        </w:tc>
        <w:tc>
          <w:tcPr>
            <w:tcW w:w="1456" w:type="dxa"/>
            <w:tcMar>
              <w:top w:w="0" w:type="dxa"/>
              <w:left w:w="108" w:type="dxa"/>
              <w:bottom w:w="0" w:type="dxa"/>
              <w:right w:w="108" w:type="dxa"/>
            </w:tcMar>
            <w:vAlign w:val="center"/>
          </w:tcPr>
          <w:p w14:paraId="298AB568">
            <w:pPr>
              <w:spacing w:before="100" w:beforeAutospacing="1" w:after="100" w:afterAutospacing="1" w:line="360" w:lineRule="atLeast"/>
              <w:jc w:val="center"/>
              <w:rPr>
                <w:rFonts w:hint="eastAsia" w:ascii="宋体" w:hAnsi="宋体"/>
              </w:rPr>
            </w:pPr>
            <w:r>
              <w:rPr>
                <w:rFonts w:ascii="宋体" w:hAnsi="宋体"/>
              </w:rPr>
              <w:t> </w:t>
            </w:r>
          </w:p>
        </w:tc>
        <w:tc>
          <w:tcPr>
            <w:tcW w:w="1757" w:type="dxa"/>
            <w:tcMar>
              <w:top w:w="0" w:type="dxa"/>
              <w:left w:w="108" w:type="dxa"/>
              <w:bottom w:w="0" w:type="dxa"/>
              <w:right w:w="108" w:type="dxa"/>
            </w:tcMar>
            <w:vAlign w:val="center"/>
          </w:tcPr>
          <w:p w14:paraId="3B259412">
            <w:pPr>
              <w:spacing w:before="100" w:beforeAutospacing="1" w:after="100" w:afterAutospacing="1" w:line="360" w:lineRule="atLeast"/>
              <w:jc w:val="center"/>
              <w:rPr>
                <w:rFonts w:hint="eastAsia" w:ascii="宋体" w:hAnsi="宋体"/>
              </w:rPr>
            </w:pPr>
            <w:r>
              <w:rPr>
                <w:rFonts w:ascii="宋体" w:hAnsi="宋体"/>
              </w:rPr>
              <w:t> </w:t>
            </w:r>
          </w:p>
        </w:tc>
        <w:tc>
          <w:tcPr>
            <w:tcW w:w="1531" w:type="dxa"/>
            <w:tcMar>
              <w:top w:w="0" w:type="dxa"/>
              <w:left w:w="108" w:type="dxa"/>
              <w:bottom w:w="0" w:type="dxa"/>
              <w:right w:w="108" w:type="dxa"/>
            </w:tcMar>
            <w:vAlign w:val="center"/>
          </w:tcPr>
          <w:p w14:paraId="36FB0451">
            <w:pPr>
              <w:spacing w:before="100" w:beforeAutospacing="1" w:after="100" w:afterAutospacing="1" w:line="360" w:lineRule="atLeast"/>
              <w:jc w:val="center"/>
              <w:rPr>
                <w:rFonts w:hint="eastAsia" w:ascii="宋体" w:hAnsi="宋体"/>
              </w:rPr>
            </w:pPr>
          </w:p>
        </w:tc>
        <w:tc>
          <w:tcPr>
            <w:tcW w:w="1132" w:type="dxa"/>
            <w:tcMar>
              <w:top w:w="0" w:type="dxa"/>
              <w:left w:w="108" w:type="dxa"/>
              <w:bottom w:w="0" w:type="dxa"/>
              <w:right w:w="108" w:type="dxa"/>
            </w:tcMar>
            <w:vAlign w:val="center"/>
          </w:tcPr>
          <w:p w14:paraId="23FEC86C">
            <w:pPr>
              <w:spacing w:before="100" w:beforeAutospacing="1" w:after="100" w:afterAutospacing="1" w:line="360" w:lineRule="atLeast"/>
              <w:jc w:val="center"/>
              <w:rPr>
                <w:rFonts w:hint="eastAsia" w:ascii="宋体" w:hAnsi="宋体"/>
              </w:rPr>
            </w:pPr>
            <w:r>
              <w:rPr>
                <w:rFonts w:ascii="宋体" w:hAnsi="宋体"/>
              </w:rPr>
              <w:t> </w:t>
            </w:r>
          </w:p>
        </w:tc>
      </w:tr>
      <w:tr w14:paraId="4EE2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734973DF">
            <w:pPr>
              <w:spacing w:before="100" w:beforeAutospacing="1" w:after="100" w:afterAutospacing="1" w:line="360" w:lineRule="atLeast"/>
              <w:jc w:val="center"/>
              <w:rPr>
                <w:rFonts w:hint="eastAsia" w:ascii="宋体" w:hAnsi="宋体"/>
              </w:rPr>
            </w:pPr>
            <w:r>
              <w:rPr>
                <w:rFonts w:ascii="宋体" w:hAnsi="宋体"/>
              </w:rPr>
              <w:t> </w:t>
            </w:r>
          </w:p>
        </w:tc>
        <w:tc>
          <w:tcPr>
            <w:tcW w:w="1456" w:type="dxa"/>
            <w:tcMar>
              <w:top w:w="0" w:type="dxa"/>
              <w:left w:w="108" w:type="dxa"/>
              <w:bottom w:w="0" w:type="dxa"/>
              <w:right w:w="108" w:type="dxa"/>
            </w:tcMar>
            <w:vAlign w:val="center"/>
          </w:tcPr>
          <w:p w14:paraId="35910A0B">
            <w:pPr>
              <w:spacing w:before="100" w:beforeAutospacing="1" w:after="100" w:afterAutospacing="1" w:line="360" w:lineRule="atLeast"/>
              <w:jc w:val="center"/>
              <w:rPr>
                <w:rFonts w:hint="eastAsia" w:ascii="宋体" w:hAnsi="宋体"/>
              </w:rPr>
            </w:pPr>
            <w:r>
              <w:rPr>
                <w:rFonts w:ascii="宋体" w:hAnsi="宋体"/>
              </w:rPr>
              <w:t> </w:t>
            </w:r>
          </w:p>
        </w:tc>
        <w:tc>
          <w:tcPr>
            <w:tcW w:w="1757" w:type="dxa"/>
            <w:tcMar>
              <w:top w:w="0" w:type="dxa"/>
              <w:left w:w="108" w:type="dxa"/>
              <w:bottom w:w="0" w:type="dxa"/>
              <w:right w:w="108" w:type="dxa"/>
            </w:tcMar>
            <w:vAlign w:val="center"/>
          </w:tcPr>
          <w:p w14:paraId="5924F3B7">
            <w:pPr>
              <w:spacing w:before="100" w:beforeAutospacing="1" w:after="100" w:afterAutospacing="1" w:line="360" w:lineRule="atLeast"/>
              <w:jc w:val="center"/>
              <w:rPr>
                <w:rFonts w:hint="eastAsia" w:ascii="宋体" w:hAnsi="宋体"/>
              </w:rPr>
            </w:pPr>
            <w:r>
              <w:rPr>
                <w:rFonts w:ascii="宋体" w:hAnsi="宋体"/>
              </w:rPr>
              <w:t> </w:t>
            </w:r>
          </w:p>
        </w:tc>
        <w:tc>
          <w:tcPr>
            <w:tcW w:w="1531" w:type="dxa"/>
            <w:tcMar>
              <w:top w:w="0" w:type="dxa"/>
              <w:left w:w="108" w:type="dxa"/>
              <w:bottom w:w="0" w:type="dxa"/>
              <w:right w:w="108" w:type="dxa"/>
            </w:tcMar>
            <w:vAlign w:val="center"/>
          </w:tcPr>
          <w:p w14:paraId="04066D8B">
            <w:pPr>
              <w:spacing w:before="100" w:beforeAutospacing="1" w:after="100" w:afterAutospacing="1" w:line="360" w:lineRule="atLeast"/>
              <w:jc w:val="center"/>
              <w:rPr>
                <w:rFonts w:hint="eastAsia" w:ascii="宋体" w:hAnsi="宋体"/>
              </w:rPr>
            </w:pPr>
          </w:p>
        </w:tc>
        <w:tc>
          <w:tcPr>
            <w:tcW w:w="1132" w:type="dxa"/>
            <w:tcMar>
              <w:top w:w="0" w:type="dxa"/>
              <w:left w:w="108" w:type="dxa"/>
              <w:bottom w:w="0" w:type="dxa"/>
              <w:right w:w="108" w:type="dxa"/>
            </w:tcMar>
            <w:vAlign w:val="center"/>
          </w:tcPr>
          <w:p w14:paraId="4171936D">
            <w:pPr>
              <w:spacing w:before="100" w:beforeAutospacing="1" w:after="100" w:afterAutospacing="1" w:line="360" w:lineRule="atLeast"/>
              <w:jc w:val="center"/>
              <w:rPr>
                <w:rFonts w:hint="eastAsia" w:ascii="宋体" w:hAnsi="宋体"/>
              </w:rPr>
            </w:pPr>
            <w:r>
              <w:rPr>
                <w:rFonts w:ascii="宋体" w:hAnsi="宋体"/>
              </w:rPr>
              <w:t> </w:t>
            </w:r>
          </w:p>
        </w:tc>
      </w:tr>
      <w:tr w14:paraId="14B66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6B7E5A0A">
            <w:pPr>
              <w:spacing w:before="100" w:beforeAutospacing="1" w:after="100" w:afterAutospacing="1" w:line="360" w:lineRule="atLeast"/>
              <w:jc w:val="center"/>
              <w:rPr>
                <w:rFonts w:hint="eastAsia" w:ascii="宋体" w:hAnsi="宋体"/>
              </w:rPr>
            </w:pPr>
            <w:r>
              <w:rPr>
                <w:rFonts w:ascii="宋体" w:hAnsi="宋体"/>
              </w:rPr>
              <w:t> </w:t>
            </w:r>
          </w:p>
        </w:tc>
        <w:tc>
          <w:tcPr>
            <w:tcW w:w="1456" w:type="dxa"/>
            <w:tcMar>
              <w:top w:w="0" w:type="dxa"/>
              <w:left w:w="108" w:type="dxa"/>
              <w:bottom w:w="0" w:type="dxa"/>
              <w:right w:w="108" w:type="dxa"/>
            </w:tcMar>
            <w:vAlign w:val="center"/>
          </w:tcPr>
          <w:p w14:paraId="652DEBF6">
            <w:pPr>
              <w:spacing w:before="100" w:beforeAutospacing="1" w:after="100" w:afterAutospacing="1" w:line="360" w:lineRule="atLeast"/>
              <w:jc w:val="center"/>
              <w:rPr>
                <w:rFonts w:hint="eastAsia" w:ascii="宋体" w:hAnsi="宋体"/>
              </w:rPr>
            </w:pPr>
            <w:r>
              <w:rPr>
                <w:rFonts w:ascii="宋体" w:hAnsi="宋体"/>
              </w:rPr>
              <w:t> </w:t>
            </w:r>
          </w:p>
        </w:tc>
        <w:tc>
          <w:tcPr>
            <w:tcW w:w="1757" w:type="dxa"/>
            <w:tcMar>
              <w:top w:w="0" w:type="dxa"/>
              <w:left w:w="108" w:type="dxa"/>
              <w:bottom w:w="0" w:type="dxa"/>
              <w:right w:w="108" w:type="dxa"/>
            </w:tcMar>
            <w:vAlign w:val="center"/>
          </w:tcPr>
          <w:p w14:paraId="3DF88FA6">
            <w:pPr>
              <w:spacing w:before="100" w:beforeAutospacing="1" w:after="100" w:afterAutospacing="1" w:line="360" w:lineRule="atLeast"/>
              <w:jc w:val="center"/>
              <w:rPr>
                <w:rFonts w:hint="eastAsia" w:ascii="宋体" w:hAnsi="宋体"/>
              </w:rPr>
            </w:pPr>
            <w:r>
              <w:rPr>
                <w:rFonts w:ascii="宋体" w:hAnsi="宋体"/>
              </w:rPr>
              <w:t> </w:t>
            </w:r>
          </w:p>
        </w:tc>
        <w:tc>
          <w:tcPr>
            <w:tcW w:w="1531" w:type="dxa"/>
            <w:tcMar>
              <w:top w:w="0" w:type="dxa"/>
              <w:left w:w="108" w:type="dxa"/>
              <w:bottom w:w="0" w:type="dxa"/>
              <w:right w:w="108" w:type="dxa"/>
            </w:tcMar>
            <w:vAlign w:val="center"/>
          </w:tcPr>
          <w:p w14:paraId="5FA23C87">
            <w:pPr>
              <w:spacing w:before="100" w:beforeAutospacing="1" w:after="100" w:afterAutospacing="1" w:line="360" w:lineRule="atLeast"/>
              <w:jc w:val="center"/>
              <w:rPr>
                <w:rFonts w:hint="eastAsia" w:ascii="宋体" w:hAnsi="宋体"/>
              </w:rPr>
            </w:pPr>
          </w:p>
        </w:tc>
        <w:tc>
          <w:tcPr>
            <w:tcW w:w="1132" w:type="dxa"/>
            <w:tcMar>
              <w:top w:w="0" w:type="dxa"/>
              <w:left w:w="108" w:type="dxa"/>
              <w:bottom w:w="0" w:type="dxa"/>
              <w:right w:w="108" w:type="dxa"/>
            </w:tcMar>
            <w:vAlign w:val="center"/>
          </w:tcPr>
          <w:p w14:paraId="0CFFA217">
            <w:pPr>
              <w:spacing w:before="100" w:beforeAutospacing="1" w:after="100" w:afterAutospacing="1" w:line="360" w:lineRule="atLeast"/>
              <w:jc w:val="center"/>
              <w:rPr>
                <w:rFonts w:hint="eastAsia" w:ascii="宋体" w:hAnsi="宋体"/>
              </w:rPr>
            </w:pPr>
            <w:r>
              <w:rPr>
                <w:rFonts w:ascii="宋体" w:hAnsi="宋体"/>
              </w:rPr>
              <w:t> </w:t>
            </w:r>
          </w:p>
        </w:tc>
      </w:tr>
      <w:tr w14:paraId="69C4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7AE1B715">
            <w:pPr>
              <w:spacing w:before="100" w:beforeAutospacing="1" w:after="100" w:afterAutospacing="1" w:line="360" w:lineRule="atLeast"/>
              <w:jc w:val="center"/>
              <w:rPr>
                <w:rFonts w:hint="eastAsia" w:ascii="宋体" w:hAnsi="宋体"/>
              </w:rPr>
            </w:pPr>
            <w:r>
              <w:rPr>
                <w:rFonts w:ascii="宋体" w:hAnsi="宋体"/>
              </w:rPr>
              <w:t> </w:t>
            </w:r>
          </w:p>
        </w:tc>
        <w:tc>
          <w:tcPr>
            <w:tcW w:w="1456" w:type="dxa"/>
            <w:tcMar>
              <w:top w:w="0" w:type="dxa"/>
              <w:left w:w="108" w:type="dxa"/>
              <w:bottom w:w="0" w:type="dxa"/>
              <w:right w:w="108" w:type="dxa"/>
            </w:tcMar>
            <w:vAlign w:val="center"/>
          </w:tcPr>
          <w:p w14:paraId="6DA16309">
            <w:pPr>
              <w:spacing w:before="100" w:beforeAutospacing="1" w:after="100" w:afterAutospacing="1" w:line="360" w:lineRule="atLeast"/>
              <w:jc w:val="center"/>
              <w:rPr>
                <w:rFonts w:hint="eastAsia" w:ascii="宋体" w:hAnsi="宋体"/>
              </w:rPr>
            </w:pPr>
            <w:r>
              <w:rPr>
                <w:rFonts w:ascii="宋体" w:hAnsi="宋体"/>
              </w:rPr>
              <w:t> </w:t>
            </w:r>
          </w:p>
        </w:tc>
        <w:tc>
          <w:tcPr>
            <w:tcW w:w="1757" w:type="dxa"/>
            <w:tcMar>
              <w:top w:w="0" w:type="dxa"/>
              <w:left w:w="108" w:type="dxa"/>
              <w:bottom w:w="0" w:type="dxa"/>
              <w:right w:w="108" w:type="dxa"/>
            </w:tcMar>
            <w:vAlign w:val="center"/>
          </w:tcPr>
          <w:p w14:paraId="7996285C">
            <w:pPr>
              <w:spacing w:before="100" w:beforeAutospacing="1" w:after="100" w:afterAutospacing="1" w:line="360" w:lineRule="atLeast"/>
              <w:jc w:val="center"/>
              <w:rPr>
                <w:rFonts w:hint="eastAsia" w:ascii="宋体" w:hAnsi="宋体"/>
              </w:rPr>
            </w:pPr>
            <w:r>
              <w:rPr>
                <w:rFonts w:ascii="宋体" w:hAnsi="宋体"/>
              </w:rPr>
              <w:t> </w:t>
            </w:r>
          </w:p>
        </w:tc>
        <w:tc>
          <w:tcPr>
            <w:tcW w:w="1531" w:type="dxa"/>
            <w:tcMar>
              <w:top w:w="0" w:type="dxa"/>
              <w:left w:w="108" w:type="dxa"/>
              <w:bottom w:w="0" w:type="dxa"/>
              <w:right w:w="108" w:type="dxa"/>
            </w:tcMar>
            <w:vAlign w:val="center"/>
          </w:tcPr>
          <w:p w14:paraId="51C5040B">
            <w:pPr>
              <w:spacing w:before="100" w:beforeAutospacing="1" w:after="100" w:afterAutospacing="1" w:line="360" w:lineRule="atLeast"/>
              <w:jc w:val="center"/>
              <w:rPr>
                <w:rFonts w:hint="eastAsia" w:ascii="宋体" w:hAnsi="宋体"/>
              </w:rPr>
            </w:pPr>
          </w:p>
        </w:tc>
        <w:tc>
          <w:tcPr>
            <w:tcW w:w="1132" w:type="dxa"/>
            <w:tcMar>
              <w:top w:w="0" w:type="dxa"/>
              <w:left w:w="108" w:type="dxa"/>
              <w:bottom w:w="0" w:type="dxa"/>
              <w:right w:w="108" w:type="dxa"/>
            </w:tcMar>
            <w:vAlign w:val="center"/>
          </w:tcPr>
          <w:p w14:paraId="0892170D">
            <w:pPr>
              <w:spacing w:before="100" w:beforeAutospacing="1" w:after="100" w:afterAutospacing="1" w:line="360" w:lineRule="atLeast"/>
              <w:jc w:val="center"/>
              <w:rPr>
                <w:rFonts w:hint="eastAsia" w:ascii="宋体" w:hAnsi="宋体"/>
              </w:rPr>
            </w:pPr>
            <w:r>
              <w:rPr>
                <w:rFonts w:ascii="宋体" w:hAnsi="宋体"/>
              </w:rPr>
              <w:t> </w:t>
            </w:r>
          </w:p>
        </w:tc>
      </w:tr>
    </w:tbl>
    <w:p w14:paraId="7285D809">
      <w:pPr>
        <w:spacing w:line="360" w:lineRule="auto"/>
        <w:rPr>
          <w:rFonts w:hint="eastAsia" w:ascii="宋体" w:hAnsi="宋体"/>
        </w:rPr>
        <w:sectPr>
          <w:pgSz w:w="11906" w:h="16838"/>
          <w:pgMar w:top="1259" w:right="1287" w:bottom="1361" w:left="1622" w:header="709" w:footer="975" w:gutter="0"/>
          <w:cols w:space="720" w:num="1"/>
          <w:docGrid w:linePitch="360" w:charSpace="0"/>
        </w:sectPr>
      </w:pPr>
      <w:r>
        <w:rPr>
          <w:rFonts w:ascii="宋体" w:hAnsi="宋体"/>
        </w:rPr>
        <w:t>注：</w:t>
      </w:r>
      <w:r>
        <w:rPr>
          <w:rFonts w:hint="eastAsia" w:ascii="宋体" w:hAnsi="宋体"/>
        </w:rPr>
        <w:t>须附</w:t>
      </w:r>
      <w:r>
        <w:rPr>
          <w:rFonts w:ascii="宋体" w:hAnsi="宋体"/>
        </w:rPr>
        <w:t>合同复印件</w:t>
      </w:r>
      <w:r>
        <w:rPr>
          <w:rFonts w:hint="eastAsia" w:ascii="宋体" w:hAnsi="宋体"/>
        </w:rPr>
        <w:t>。</w:t>
      </w:r>
    </w:p>
    <w:p w14:paraId="1C3FBD36">
      <w:pPr>
        <w:pStyle w:val="41"/>
        <w:widowControl w:val="0"/>
        <w:tabs>
          <w:tab w:val="left" w:pos="3277"/>
          <w:tab w:val="center" w:pos="4411"/>
        </w:tabs>
        <w:adjustRightInd w:val="0"/>
        <w:snapToGrid w:val="0"/>
        <w:spacing w:line="276" w:lineRule="auto"/>
        <w:rPr>
          <w:b/>
          <w:sz w:val="32"/>
          <w:szCs w:val="32"/>
        </w:rPr>
      </w:pPr>
      <w:bookmarkStart w:id="81" w:name="_Hlk94088800"/>
      <w:r>
        <w:rPr>
          <w:b/>
          <w:sz w:val="32"/>
          <w:szCs w:val="32"/>
        </w:rPr>
        <w:t>报价文件</w:t>
      </w:r>
      <w:r>
        <w:rPr>
          <w:rFonts w:hint="default"/>
          <w:b/>
          <w:sz w:val="32"/>
          <w:szCs w:val="32"/>
        </w:rPr>
        <w:t>：</w:t>
      </w:r>
      <w:r>
        <w:rPr>
          <w:rFonts w:hint="default"/>
        </w:rPr>
        <w:tab/>
      </w:r>
      <w:r>
        <w:rPr>
          <w:rFonts w:hint="default"/>
          <w:b/>
          <w:sz w:val="32"/>
          <w:szCs w:val="32"/>
        </w:rPr>
        <w:t xml:space="preserve">    </w:t>
      </w:r>
    </w:p>
    <w:p w14:paraId="140BB26D">
      <w:pPr>
        <w:pStyle w:val="26"/>
        <w:widowControl w:val="0"/>
        <w:adjustRightInd w:val="0"/>
        <w:snapToGrid w:val="0"/>
        <w:spacing w:before="0" w:beforeAutospacing="0" w:after="0" w:afterAutospacing="0" w:line="276" w:lineRule="auto"/>
        <w:jc w:val="center"/>
        <w:rPr>
          <w:rFonts w:hint="eastAsia"/>
          <w:b/>
          <w:sz w:val="32"/>
          <w:szCs w:val="32"/>
        </w:rPr>
      </w:pPr>
      <w:r>
        <w:rPr>
          <w:rFonts w:hint="eastAsia"/>
          <w:b/>
          <w:sz w:val="32"/>
          <w:szCs w:val="32"/>
        </w:rPr>
        <w:t>一</w:t>
      </w:r>
      <w:r>
        <w:rPr>
          <w:b/>
          <w:sz w:val="32"/>
          <w:szCs w:val="32"/>
        </w:rPr>
        <w:t>、开标一览表</w:t>
      </w:r>
    </w:p>
    <w:p w14:paraId="714DB619">
      <w:pPr>
        <w:snapToGrid w:val="0"/>
        <w:spacing w:line="276" w:lineRule="auto"/>
      </w:pPr>
      <w:r>
        <w:t>（采购人）、（采购代理机构）</w:t>
      </w:r>
      <w:r>
        <w:rPr>
          <w:lang w:val="zh-CN"/>
        </w:rPr>
        <w:t>：</w:t>
      </w:r>
    </w:p>
    <w:p w14:paraId="3AA57C34">
      <w:pPr>
        <w:snapToGrid w:val="0"/>
        <w:spacing w:line="276" w:lineRule="auto"/>
        <w:ind w:firstLine="482"/>
        <w:rPr>
          <w:lang w:val="zh-CN"/>
        </w:rPr>
      </w:pPr>
      <w:r>
        <w:rPr>
          <w:lang w:val="zh-CN"/>
        </w:rPr>
        <w:t>按你方招标文件要求，</w:t>
      </w:r>
      <w:r>
        <w:rPr>
          <w:rFonts w:hint="eastAsia"/>
          <w:lang w:val="zh-CN"/>
        </w:rPr>
        <w:t>我方承诺按照如下开标一览表（报价表）的报价完成</w:t>
      </w:r>
      <w:r>
        <w:rPr>
          <w:rFonts w:hint="eastAsia"/>
          <w:u w:val="single"/>
          <w:lang w:val="zh-CN"/>
        </w:rPr>
        <w:t xml:space="preserve">（项目名称） </w:t>
      </w:r>
      <w:r>
        <w:rPr>
          <w:u w:val="single"/>
          <w:lang w:val="zh-CN"/>
        </w:rPr>
        <w:t xml:space="preserve">         </w:t>
      </w:r>
      <w:r>
        <w:rPr>
          <w:rFonts w:hint="eastAsia"/>
          <w:u w:val="single"/>
          <w:lang w:val="zh-CN"/>
        </w:rPr>
        <w:t xml:space="preserve">（项目编号： </w:t>
      </w:r>
      <w:r>
        <w:rPr>
          <w:u w:val="single"/>
          <w:lang w:val="zh-CN"/>
        </w:rPr>
        <w:t xml:space="preserve">   </w:t>
      </w:r>
      <w:r>
        <w:rPr>
          <w:rFonts w:hint="eastAsia"/>
          <w:u w:val="single"/>
          <w:lang w:val="zh-CN"/>
        </w:rPr>
        <w:t>）</w:t>
      </w:r>
      <w:r>
        <w:rPr>
          <w:rFonts w:hint="eastAsia"/>
          <w:lang w:val="zh-CN"/>
        </w:rPr>
        <w:t>的实施。</w:t>
      </w:r>
    </w:p>
    <w:p w14:paraId="34446C4C">
      <w:pPr>
        <w:snapToGrid w:val="0"/>
        <w:spacing w:line="276" w:lineRule="auto"/>
        <w:ind w:firstLine="482"/>
        <w:rPr>
          <w:lang w:val="zh-CN"/>
        </w:rPr>
      </w:pPr>
    </w:p>
    <w:tbl>
      <w:tblPr>
        <w:tblStyle w:val="44"/>
        <w:tblW w:w="97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4589"/>
        <w:gridCol w:w="2753"/>
      </w:tblGrid>
      <w:tr w14:paraId="7AB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AAE8184">
            <w:pPr>
              <w:jc w:val="center"/>
              <w:rPr>
                <w:sz w:val="21"/>
                <w:szCs w:val="21"/>
              </w:rPr>
            </w:pPr>
            <w:r>
              <w:rPr>
                <w:sz w:val="21"/>
                <w:szCs w:val="21"/>
              </w:rPr>
              <w:t>编号</w:t>
            </w:r>
          </w:p>
        </w:tc>
        <w:tc>
          <w:tcPr>
            <w:tcW w:w="2127" w:type="dxa"/>
            <w:noWrap/>
            <w:vAlign w:val="center"/>
          </w:tcPr>
          <w:p w14:paraId="3934DE88">
            <w:pPr>
              <w:jc w:val="center"/>
              <w:rPr>
                <w:sz w:val="21"/>
                <w:szCs w:val="21"/>
              </w:rPr>
            </w:pPr>
            <w:r>
              <w:rPr>
                <w:sz w:val="21"/>
                <w:szCs w:val="21"/>
              </w:rPr>
              <w:t>名称</w:t>
            </w:r>
          </w:p>
        </w:tc>
        <w:tc>
          <w:tcPr>
            <w:tcW w:w="1276" w:type="dxa"/>
            <w:vAlign w:val="center"/>
          </w:tcPr>
          <w:p w14:paraId="18492ED3">
            <w:pPr>
              <w:jc w:val="center"/>
              <w:rPr>
                <w:color w:val="000000"/>
                <w:sz w:val="21"/>
                <w:szCs w:val="21"/>
              </w:rPr>
            </w:pPr>
            <w:r>
              <w:rPr>
                <w:rFonts w:hint="eastAsia"/>
                <w:sz w:val="21"/>
                <w:szCs w:val="21"/>
              </w:rPr>
              <w:t>投标报价（元/g）</w:t>
            </w:r>
          </w:p>
        </w:tc>
      </w:tr>
      <w:tr w14:paraId="7E67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01D2720">
            <w:pPr>
              <w:jc w:val="center"/>
              <w:rPr>
                <w:sz w:val="21"/>
                <w:szCs w:val="21"/>
              </w:rPr>
            </w:pPr>
            <w:r>
              <w:rPr>
                <w:sz w:val="21"/>
                <w:szCs w:val="21"/>
              </w:rPr>
              <w:t>1</w:t>
            </w:r>
          </w:p>
        </w:tc>
        <w:tc>
          <w:tcPr>
            <w:tcW w:w="2127" w:type="dxa"/>
            <w:noWrap/>
            <w:vAlign w:val="center"/>
          </w:tcPr>
          <w:p w14:paraId="662B3033">
            <w:pPr>
              <w:rPr>
                <w:sz w:val="21"/>
                <w:szCs w:val="21"/>
              </w:rPr>
            </w:pPr>
            <w:r>
              <w:rPr>
                <w:sz w:val="21"/>
                <w:szCs w:val="21"/>
              </w:rPr>
              <w:t>替餐营养棒系列</w:t>
            </w:r>
          </w:p>
        </w:tc>
        <w:tc>
          <w:tcPr>
            <w:tcW w:w="1276" w:type="dxa"/>
            <w:vAlign w:val="center"/>
          </w:tcPr>
          <w:p w14:paraId="49F53B21">
            <w:pPr>
              <w:rPr>
                <w:color w:val="000000"/>
                <w:sz w:val="21"/>
                <w:szCs w:val="21"/>
              </w:rPr>
            </w:pPr>
            <w:r>
              <w:rPr>
                <w:rFonts w:hint="eastAsia"/>
                <w:color w:val="000000"/>
                <w:sz w:val="21"/>
                <w:szCs w:val="21"/>
              </w:rPr>
              <w:t>/</w:t>
            </w:r>
          </w:p>
        </w:tc>
      </w:tr>
      <w:tr w14:paraId="33DC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42F5AA96">
            <w:pPr>
              <w:jc w:val="center"/>
              <w:rPr>
                <w:sz w:val="21"/>
                <w:szCs w:val="21"/>
              </w:rPr>
            </w:pPr>
            <w:r>
              <w:rPr>
                <w:rFonts w:hint="eastAsia"/>
                <w:sz w:val="21"/>
                <w:szCs w:val="21"/>
              </w:rPr>
              <w:t>1.1</w:t>
            </w:r>
          </w:p>
        </w:tc>
        <w:tc>
          <w:tcPr>
            <w:tcW w:w="2127" w:type="dxa"/>
            <w:noWrap/>
            <w:vAlign w:val="center"/>
          </w:tcPr>
          <w:p w14:paraId="7BB87CE3">
            <w:pPr>
              <w:rPr>
                <w:sz w:val="21"/>
                <w:szCs w:val="21"/>
              </w:rPr>
            </w:pPr>
            <w:r>
              <w:rPr>
                <w:sz w:val="21"/>
                <w:szCs w:val="21"/>
              </w:rPr>
              <w:t>营养棒系列I（高蛋白型）</w:t>
            </w:r>
          </w:p>
        </w:tc>
        <w:tc>
          <w:tcPr>
            <w:tcW w:w="1276" w:type="dxa"/>
            <w:vAlign w:val="center"/>
          </w:tcPr>
          <w:p w14:paraId="04BE3CDA">
            <w:pPr>
              <w:rPr>
                <w:color w:val="000000"/>
                <w:sz w:val="21"/>
                <w:szCs w:val="21"/>
              </w:rPr>
            </w:pPr>
          </w:p>
        </w:tc>
      </w:tr>
      <w:tr w14:paraId="44C9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7002EEEE">
            <w:pPr>
              <w:jc w:val="center"/>
              <w:rPr>
                <w:sz w:val="21"/>
                <w:szCs w:val="21"/>
              </w:rPr>
            </w:pPr>
            <w:r>
              <w:rPr>
                <w:rFonts w:hint="eastAsia"/>
                <w:sz w:val="21"/>
                <w:szCs w:val="21"/>
              </w:rPr>
              <w:t>1.2</w:t>
            </w:r>
          </w:p>
        </w:tc>
        <w:tc>
          <w:tcPr>
            <w:tcW w:w="2127" w:type="dxa"/>
            <w:noWrap/>
            <w:vAlign w:val="center"/>
          </w:tcPr>
          <w:p w14:paraId="24F11C71">
            <w:pPr>
              <w:rPr>
                <w:sz w:val="21"/>
                <w:szCs w:val="21"/>
              </w:rPr>
            </w:pPr>
            <w:r>
              <w:rPr>
                <w:sz w:val="21"/>
                <w:szCs w:val="21"/>
              </w:rPr>
              <w:t>营养棒系列II（均衡型）</w:t>
            </w:r>
          </w:p>
        </w:tc>
        <w:tc>
          <w:tcPr>
            <w:tcW w:w="1276" w:type="dxa"/>
            <w:vAlign w:val="center"/>
          </w:tcPr>
          <w:p w14:paraId="3A604EEB">
            <w:pPr>
              <w:rPr>
                <w:color w:val="000000"/>
                <w:sz w:val="21"/>
                <w:szCs w:val="21"/>
              </w:rPr>
            </w:pPr>
          </w:p>
        </w:tc>
      </w:tr>
      <w:tr w14:paraId="31B3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100C11F">
            <w:pPr>
              <w:jc w:val="center"/>
              <w:rPr>
                <w:sz w:val="21"/>
                <w:szCs w:val="21"/>
              </w:rPr>
            </w:pPr>
            <w:r>
              <w:rPr>
                <w:sz w:val="21"/>
                <w:szCs w:val="21"/>
              </w:rPr>
              <w:t>2</w:t>
            </w:r>
          </w:p>
        </w:tc>
        <w:tc>
          <w:tcPr>
            <w:tcW w:w="2127" w:type="dxa"/>
            <w:noWrap/>
            <w:vAlign w:val="center"/>
          </w:tcPr>
          <w:p w14:paraId="5434B93F">
            <w:pPr>
              <w:rPr>
                <w:sz w:val="21"/>
                <w:szCs w:val="21"/>
              </w:rPr>
            </w:pPr>
            <w:r>
              <w:rPr>
                <w:sz w:val="21"/>
                <w:szCs w:val="21"/>
              </w:rPr>
              <w:t>蛋白奶昔</w:t>
            </w:r>
          </w:p>
        </w:tc>
        <w:tc>
          <w:tcPr>
            <w:tcW w:w="1276" w:type="dxa"/>
            <w:vAlign w:val="center"/>
          </w:tcPr>
          <w:p w14:paraId="2B1B6AFF">
            <w:pPr>
              <w:rPr>
                <w:color w:val="000000"/>
                <w:sz w:val="21"/>
                <w:szCs w:val="21"/>
              </w:rPr>
            </w:pPr>
            <w:r>
              <w:rPr>
                <w:rFonts w:hint="eastAsia"/>
                <w:color w:val="000000"/>
                <w:sz w:val="21"/>
                <w:szCs w:val="21"/>
              </w:rPr>
              <w:t>/</w:t>
            </w:r>
          </w:p>
        </w:tc>
      </w:tr>
      <w:tr w14:paraId="4B2F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47558F0D">
            <w:pPr>
              <w:jc w:val="center"/>
              <w:rPr>
                <w:sz w:val="21"/>
                <w:szCs w:val="21"/>
              </w:rPr>
            </w:pPr>
            <w:r>
              <w:rPr>
                <w:sz w:val="21"/>
                <w:szCs w:val="21"/>
              </w:rPr>
              <w:t>3</w:t>
            </w:r>
          </w:p>
        </w:tc>
        <w:tc>
          <w:tcPr>
            <w:tcW w:w="2127" w:type="dxa"/>
            <w:noWrap/>
            <w:vAlign w:val="center"/>
          </w:tcPr>
          <w:p w14:paraId="7C5F995E">
            <w:pPr>
              <w:rPr>
                <w:sz w:val="21"/>
                <w:szCs w:val="21"/>
              </w:rPr>
            </w:pPr>
            <w:r>
              <w:rPr>
                <w:sz w:val="21"/>
                <w:szCs w:val="21"/>
              </w:rPr>
              <w:t>能量阻断剂系列</w:t>
            </w:r>
          </w:p>
        </w:tc>
        <w:tc>
          <w:tcPr>
            <w:tcW w:w="1276" w:type="dxa"/>
            <w:vAlign w:val="center"/>
          </w:tcPr>
          <w:p w14:paraId="5FEFD999">
            <w:pPr>
              <w:rPr>
                <w:color w:val="000000"/>
                <w:sz w:val="21"/>
                <w:szCs w:val="21"/>
              </w:rPr>
            </w:pPr>
          </w:p>
        </w:tc>
      </w:tr>
      <w:tr w14:paraId="080F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512D0387">
            <w:pPr>
              <w:jc w:val="center"/>
              <w:rPr>
                <w:sz w:val="21"/>
                <w:szCs w:val="21"/>
              </w:rPr>
            </w:pPr>
            <w:r>
              <w:rPr>
                <w:rFonts w:hint="eastAsia"/>
                <w:sz w:val="21"/>
                <w:szCs w:val="21"/>
              </w:rPr>
              <w:t>3.1</w:t>
            </w:r>
          </w:p>
        </w:tc>
        <w:tc>
          <w:tcPr>
            <w:tcW w:w="2127" w:type="dxa"/>
            <w:noWrap/>
            <w:vAlign w:val="center"/>
          </w:tcPr>
          <w:p w14:paraId="378433E9">
            <w:pPr>
              <w:rPr>
                <w:sz w:val="21"/>
                <w:szCs w:val="21"/>
              </w:rPr>
            </w:pPr>
            <w:r>
              <w:rPr>
                <w:sz w:val="21"/>
                <w:szCs w:val="21"/>
              </w:rPr>
              <w:t>阻断剂系列I</w:t>
            </w:r>
          </w:p>
        </w:tc>
        <w:tc>
          <w:tcPr>
            <w:tcW w:w="1276" w:type="dxa"/>
            <w:vAlign w:val="center"/>
          </w:tcPr>
          <w:p w14:paraId="607E2DB9">
            <w:pPr>
              <w:rPr>
                <w:color w:val="FF0000"/>
                <w:sz w:val="21"/>
                <w:szCs w:val="21"/>
              </w:rPr>
            </w:pPr>
          </w:p>
        </w:tc>
      </w:tr>
      <w:tr w14:paraId="08AA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B5F51F2">
            <w:pPr>
              <w:jc w:val="center"/>
              <w:rPr>
                <w:sz w:val="21"/>
                <w:szCs w:val="21"/>
              </w:rPr>
            </w:pPr>
            <w:r>
              <w:rPr>
                <w:rFonts w:hint="eastAsia"/>
                <w:sz w:val="21"/>
                <w:szCs w:val="21"/>
              </w:rPr>
              <w:t>3.2</w:t>
            </w:r>
          </w:p>
        </w:tc>
        <w:tc>
          <w:tcPr>
            <w:tcW w:w="2127" w:type="dxa"/>
            <w:noWrap/>
            <w:vAlign w:val="center"/>
          </w:tcPr>
          <w:p w14:paraId="2851F841">
            <w:pPr>
              <w:rPr>
                <w:sz w:val="21"/>
                <w:szCs w:val="21"/>
              </w:rPr>
            </w:pPr>
            <w:r>
              <w:rPr>
                <w:sz w:val="21"/>
                <w:szCs w:val="21"/>
              </w:rPr>
              <w:t>阻断剂系列II</w:t>
            </w:r>
          </w:p>
        </w:tc>
        <w:tc>
          <w:tcPr>
            <w:tcW w:w="1276" w:type="dxa"/>
            <w:vAlign w:val="center"/>
          </w:tcPr>
          <w:p w14:paraId="57BC9320">
            <w:pPr>
              <w:rPr>
                <w:color w:val="FF0000"/>
                <w:sz w:val="21"/>
                <w:szCs w:val="21"/>
              </w:rPr>
            </w:pPr>
          </w:p>
        </w:tc>
      </w:tr>
      <w:tr w14:paraId="7F96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29" w:type="dxa"/>
            <w:noWrap/>
            <w:vAlign w:val="center"/>
          </w:tcPr>
          <w:p w14:paraId="6452D4AB">
            <w:pPr>
              <w:jc w:val="center"/>
              <w:rPr>
                <w:sz w:val="21"/>
                <w:szCs w:val="21"/>
              </w:rPr>
            </w:pPr>
            <w:r>
              <w:rPr>
                <w:sz w:val="21"/>
                <w:szCs w:val="21"/>
              </w:rPr>
              <w:t>4</w:t>
            </w:r>
          </w:p>
        </w:tc>
        <w:tc>
          <w:tcPr>
            <w:tcW w:w="2127" w:type="dxa"/>
            <w:noWrap/>
            <w:vAlign w:val="center"/>
          </w:tcPr>
          <w:p w14:paraId="0EBC3466">
            <w:pPr>
              <w:rPr>
                <w:sz w:val="21"/>
                <w:szCs w:val="21"/>
              </w:rPr>
            </w:pPr>
            <w:r>
              <w:rPr>
                <w:sz w:val="21"/>
                <w:szCs w:val="21"/>
              </w:rPr>
              <w:t>减重益生菌</w:t>
            </w:r>
          </w:p>
        </w:tc>
        <w:tc>
          <w:tcPr>
            <w:tcW w:w="1276" w:type="dxa"/>
            <w:vAlign w:val="center"/>
          </w:tcPr>
          <w:p w14:paraId="42519C66">
            <w:pPr>
              <w:rPr>
                <w:color w:val="000000"/>
                <w:sz w:val="21"/>
                <w:szCs w:val="21"/>
              </w:rPr>
            </w:pPr>
          </w:p>
        </w:tc>
      </w:tr>
      <w:tr w14:paraId="0D2B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D5FDF4A">
            <w:pPr>
              <w:jc w:val="center"/>
              <w:rPr>
                <w:sz w:val="21"/>
                <w:szCs w:val="21"/>
              </w:rPr>
            </w:pPr>
            <w:r>
              <w:rPr>
                <w:sz w:val="21"/>
                <w:szCs w:val="21"/>
              </w:rPr>
              <w:t>5</w:t>
            </w:r>
          </w:p>
        </w:tc>
        <w:tc>
          <w:tcPr>
            <w:tcW w:w="2127" w:type="dxa"/>
            <w:noWrap/>
            <w:vAlign w:val="center"/>
          </w:tcPr>
          <w:p w14:paraId="3A1D159C">
            <w:pPr>
              <w:rPr>
                <w:sz w:val="21"/>
                <w:szCs w:val="21"/>
              </w:rPr>
            </w:pPr>
            <w:r>
              <w:rPr>
                <w:sz w:val="21"/>
                <w:szCs w:val="21"/>
              </w:rPr>
              <w:t>HMB复合粉</w:t>
            </w:r>
          </w:p>
        </w:tc>
        <w:tc>
          <w:tcPr>
            <w:tcW w:w="1276" w:type="dxa"/>
            <w:vAlign w:val="center"/>
          </w:tcPr>
          <w:p w14:paraId="44DE1294">
            <w:pPr>
              <w:rPr>
                <w:color w:val="FF0000"/>
                <w:sz w:val="21"/>
                <w:szCs w:val="21"/>
              </w:rPr>
            </w:pPr>
          </w:p>
        </w:tc>
      </w:tr>
      <w:tr w14:paraId="2AC6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6C763D49">
            <w:pPr>
              <w:jc w:val="center"/>
              <w:rPr>
                <w:sz w:val="21"/>
                <w:szCs w:val="21"/>
              </w:rPr>
            </w:pPr>
            <w:r>
              <w:rPr>
                <w:sz w:val="21"/>
                <w:szCs w:val="21"/>
              </w:rPr>
              <w:t>6</w:t>
            </w:r>
          </w:p>
        </w:tc>
        <w:tc>
          <w:tcPr>
            <w:tcW w:w="2127" w:type="dxa"/>
            <w:noWrap/>
            <w:vAlign w:val="center"/>
          </w:tcPr>
          <w:p w14:paraId="55FA63D7">
            <w:pPr>
              <w:rPr>
                <w:sz w:val="21"/>
                <w:szCs w:val="21"/>
              </w:rPr>
            </w:pPr>
            <w:r>
              <w:rPr>
                <w:sz w:val="21"/>
                <w:szCs w:val="21"/>
              </w:rPr>
              <w:t>膳食纤维复合粉</w:t>
            </w:r>
          </w:p>
        </w:tc>
        <w:tc>
          <w:tcPr>
            <w:tcW w:w="1276" w:type="dxa"/>
            <w:vAlign w:val="center"/>
          </w:tcPr>
          <w:p w14:paraId="03B08726">
            <w:pPr>
              <w:rPr>
                <w:color w:val="000000"/>
                <w:sz w:val="21"/>
                <w:szCs w:val="21"/>
              </w:rPr>
            </w:pPr>
          </w:p>
        </w:tc>
      </w:tr>
      <w:tr w14:paraId="722E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131A8DDA">
            <w:pPr>
              <w:jc w:val="center"/>
              <w:rPr>
                <w:sz w:val="21"/>
                <w:szCs w:val="21"/>
              </w:rPr>
            </w:pPr>
            <w:r>
              <w:rPr>
                <w:sz w:val="21"/>
                <w:szCs w:val="21"/>
              </w:rPr>
              <w:t>7</w:t>
            </w:r>
          </w:p>
        </w:tc>
        <w:tc>
          <w:tcPr>
            <w:tcW w:w="2127" w:type="dxa"/>
            <w:noWrap/>
            <w:vAlign w:val="center"/>
          </w:tcPr>
          <w:p w14:paraId="21A7100C">
            <w:pPr>
              <w:rPr>
                <w:sz w:val="21"/>
                <w:szCs w:val="21"/>
              </w:rPr>
            </w:pPr>
            <w:r>
              <w:rPr>
                <w:sz w:val="21"/>
                <w:szCs w:val="21"/>
              </w:rPr>
              <w:t>多种维生素</w:t>
            </w:r>
          </w:p>
        </w:tc>
        <w:tc>
          <w:tcPr>
            <w:tcW w:w="1276" w:type="dxa"/>
            <w:vAlign w:val="center"/>
          </w:tcPr>
          <w:p w14:paraId="5FDEC1D4">
            <w:pPr>
              <w:rPr>
                <w:color w:val="000000"/>
                <w:sz w:val="21"/>
                <w:szCs w:val="21"/>
              </w:rPr>
            </w:pPr>
          </w:p>
        </w:tc>
      </w:tr>
      <w:tr w14:paraId="6376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129" w:type="dxa"/>
            <w:noWrap/>
            <w:vAlign w:val="center"/>
          </w:tcPr>
          <w:p w14:paraId="524F15A1">
            <w:pPr>
              <w:jc w:val="center"/>
              <w:rPr>
                <w:sz w:val="21"/>
                <w:szCs w:val="21"/>
              </w:rPr>
            </w:pPr>
            <w:r>
              <w:rPr>
                <w:sz w:val="21"/>
                <w:szCs w:val="21"/>
              </w:rPr>
              <w:t>8</w:t>
            </w:r>
          </w:p>
        </w:tc>
        <w:tc>
          <w:tcPr>
            <w:tcW w:w="2127" w:type="dxa"/>
            <w:noWrap/>
            <w:vAlign w:val="center"/>
          </w:tcPr>
          <w:p w14:paraId="6E69D3D6">
            <w:pPr>
              <w:rPr>
                <w:sz w:val="21"/>
                <w:szCs w:val="21"/>
              </w:rPr>
            </w:pPr>
            <w:r>
              <w:rPr>
                <w:sz w:val="21"/>
                <w:szCs w:val="21"/>
              </w:rPr>
              <w:t>W-3系列</w:t>
            </w:r>
          </w:p>
        </w:tc>
        <w:tc>
          <w:tcPr>
            <w:tcW w:w="1276" w:type="dxa"/>
            <w:vAlign w:val="center"/>
          </w:tcPr>
          <w:p w14:paraId="1FE73181">
            <w:pPr>
              <w:rPr>
                <w:color w:val="000000"/>
                <w:sz w:val="21"/>
                <w:szCs w:val="21"/>
              </w:rPr>
            </w:pPr>
            <w:r>
              <w:rPr>
                <w:rFonts w:hint="eastAsia"/>
                <w:color w:val="000000"/>
                <w:sz w:val="21"/>
                <w:szCs w:val="21"/>
              </w:rPr>
              <w:t>/</w:t>
            </w:r>
          </w:p>
        </w:tc>
      </w:tr>
      <w:tr w14:paraId="332C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0AFF27FB">
            <w:pPr>
              <w:jc w:val="center"/>
              <w:rPr>
                <w:sz w:val="21"/>
                <w:szCs w:val="21"/>
              </w:rPr>
            </w:pPr>
            <w:r>
              <w:rPr>
                <w:rFonts w:hint="eastAsia"/>
                <w:sz w:val="21"/>
                <w:szCs w:val="21"/>
              </w:rPr>
              <w:t>8.1</w:t>
            </w:r>
          </w:p>
        </w:tc>
        <w:tc>
          <w:tcPr>
            <w:tcW w:w="2127" w:type="dxa"/>
            <w:noWrap/>
            <w:vAlign w:val="center"/>
          </w:tcPr>
          <w:p w14:paraId="204D7390">
            <w:pPr>
              <w:rPr>
                <w:sz w:val="21"/>
                <w:szCs w:val="21"/>
              </w:rPr>
            </w:pPr>
            <w:r>
              <w:rPr>
                <w:sz w:val="21"/>
                <w:szCs w:val="21"/>
              </w:rPr>
              <w:t>w-3（高蛋白型）</w:t>
            </w:r>
          </w:p>
        </w:tc>
        <w:tc>
          <w:tcPr>
            <w:tcW w:w="1276" w:type="dxa"/>
            <w:vAlign w:val="center"/>
          </w:tcPr>
          <w:p w14:paraId="5BBD8C56">
            <w:pPr>
              <w:rPr>
                <w:color w:val="000000"/>
                <w:sz w:val="21"/>
                <w:szCs w:val="21"/>
              </w:rPr>
            </w:pPr>
          </w:p>
        </w:tc>
      </w:tr>
      <w:tr w14:paraId="23FF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723FFB47">
            <w:pPr>
              <w:jc w:val="center"/>
              <w:rPr>
                <w:sz w:val="21"/>
                <w:szCs w:val="21"/>
              </w:rPr>
            </w:pPr>
            <w:r>
              <w:rPr>
                <w:rFonts w:hint="eastAsia"/>
                <w:sz w:val="21"/>
                <w:szCs w:val="21"/>
              </w:rPr>
              <w:t>8.2</w:t>
            </w:r>
          </w:p>
        </w:tc>
        <w:tc>
          <w:tcPr>
            <w:tcW w:w="2127" w:type="dxa"/>
            <w:noWrap/>
            <w:vAlign w:val="center"/>
          </w:tcPr>
          <w:p w14:paraId="3FE72B85">
            <w:pPr>
              <w:rPr>
                <w:sz w:val="21"/>
                <w:szCs w:val="21"/>
              </w:rPr>
            </w:pPr>
            <w:r>
              <w:rPr>
                <w:sz w:val="21"/>
                <w:szCs w:val="21"/>
              </w:rPr>
              <w:t>w-3（低碳型）</w:t>
            </w:r>
          </w:p>
        </w:tc>
        <w:tc>
          <w:tcPr>
            <w:tcW w:w="1276" w:type="dxa"/>
            <w:vAlign w:val="center"/>
          </w:tcPr>
          <w:p w14:paraId="1A6C62FF">
            <w:pPr>
              <w:rPr>
                <w:color w:val="000000"/>
                <w:sz w:val="21"/>
                <w:szCs w:val="21"/>
              </w:rPr>
            </w:pPr>
          </w:p>
        </w:tc>
      </w:tr>
      <w:tr w14:paraId="0FD4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55B5AA65">
            <w:pPr>
              <w:jc w:val="center"/>
              <w:rPr>
                <w:sz w:val="21"/>
                <w:szCs w:val="21"/>
              </w:rPr>
            </w:pPr>
            <w:r>
              <w:rPr>
                <w:rFonts w:hint="eastAsia"/>
                <w:sz w:val="21"/>
                <w:szCs w:val="21"/>
              </w:rPr>
              <w:t>8.3</w:t>
            </w:r>
          </w:p>
        </w:tc>
        <w:tc>
          <w:tcPr>
            <w:tcW w:w="2127" w:type="dxa"/>
            <w:noWrap/>
            <w:vAlign w:val="center"/>
          </w:tcPr>
          <w:p w14:paraId="0ADDA1E0">
            <w:pPr>
              <w:rPr>
                <w:sz w:val="21"/>
                <w:szCs w:val="21"/>
              </w:rPr>
            </w:pPr>
            <w:r>
              <w:rPr>
                <w:sz w:val="21"/>
                <w:szCs w:val="21"/>
              </w:rPr>
              <w:t>w-3（均衡型）</w:t>
            </w:r>
          </w:p>
        </w:tc>
        <w:tc>
          <w:tcPr>
            <w:tcW w:w="1276" w:type="dxa"/>
            <w:vAlign w:val="center"/>
          </w:tcPr>
          <w:p w14:paraId="126A9C9B">
            <w:pPr>
              <w:rPr>
                <w:color w:val="000000"/>
                <w:sz w:val="21"/>
                <w:szCs w:val="21"/>
              </w:rPr>
            </w:pPr>
          </w:p>
        </w:tc>
      </w:tr>
      <w:tr w14:paraId="0627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2F493206">
            <w:pPr>
              <w:jc w:val="center"/>
              <w:rPr>
                <w:sz w:val="21"/>
                <w:szCs w:val="21"/>
              </w:rPr>
            </w:pPr>
            <w:r>
              <w:rPr>
                <w:sz w:val="21"/>
                <w:szCs w:val="21"/>
              </w:rPr>
              <w:t>9</w:t>
            </w:r>
          </w:p>
        </w:tc>
        <w:tc>
          <w:tcPr>
            <w:tcW w:w="2127" w:type="dxa"/>
            <w:noWrap/>
            <w:vAlign w:val="center"/>
          </w:tcPr>
          <w:p w14:paraId="4612D704">
            <w:pPr>
              <w:rPr>
                <w:sz w:val="21"/>
                <w:szCs w:val="21"/>
              </w:rPr>
            </w:pPr>
            <w:r>
              <w:rPr>
                <w:sz w:val="21"/>
                <w:szCs w:val="21"/>
              </w:rPr>
              <w:t>减重辅助食品</w:t>
            </w:r>
          </w:p>
        </w:tc>
        <w:tc>
          <w:tcPr>
            <w:tcW w:w="1276" w:type="dxa"/>
            <w:vAlign w:val="center"/>
          </w:tcPr>
          <w:p w14:paraId="03BF4632">
            <w:pPr>
              <w:rPr>
                <w:color w:val="000000"/>
                <w:sz w:val="21"/>
                <w:szCs w:val="21"/>
              </w:rPr>
            </w:pPr>
            <w:r>
              <w:rPr>
                <w:rFonts w:hint="eastAsia"/>
                <w:color w:val="000000"/>
                <w:sz w:val="21"/>
                <w:szCs w:val="21"/>
              </w:rPr>
              <w:t>/</w:t>
            </w:r>
          </w:p>
        </w:tc>
      </w:tr>
      <w:tr w14:paraId="1559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noWrap/>
            <w:vAlign w:val="center"/>
          </w:tcPr>
          <w:p w14:paraId="611C20AD">
            <w:pPr>
              <w:jc w:val="center"/>
              <w:rPr>
                <w:sz w:val="21"/>
                <w:szCs w:val="21"/>
              </w:rPr>
            </w:pPr>
            <w:r>
              <w:rPr>
                <w:rFonts w:hint="eastAsia"/>
                <w:sz w:val="21"/>
                <w:szCs w:val="21"/>
              </w:rPr>
              <w:t>9.1</w:t>
            </w:r>
          </w:p>
        </w:tc>
        <w:tc>
          <w:tcPr>
            <w:tcW w:w="2127" w:type="dxa"/>
            <w:noWrap/>
            <w:vAlign w:val="center"/>
          </w:tcPr>
          <w:p w14:paraId="536EE083">
            <w:pPr>
              <w:rPr>
                <w:sz w:val="21"/>
                <w:szCs w:val="21"/>
              </w:rPr>
            </w:pPr>
            <w:r>
              <w:rPr>
                <w:sz w:val="21"/>
                <w:szCs w:val="21"/>
              </w:rPr>
              <w:t>饼干</w:t>
            </w:r>
          </w:p>
        </w:tc>
        <w:tc>
          <w:tcPr>
            <w:tcW w:w="1276" w:type="dxa"/>
            <w:vAlign w:val="center"/>
          </w:tcPr>
          <w:p w14:paraId="11F8C048">
            <w:pPr>
              <w:rPr>
                <w:color w:val="000000"/>
                <w:sz w:val="21"/>
                <w:szCs w:val="21"/>
              </w:rPr>
            </w:pPr>
          </w:p>
        </w:tc>
      </w:tr>
    </w:tbl>
    <w:p w14:paraId="640DE3F1">
      <w:pPr>
        <w:snapToGrid w:val="0"/>
        <w:ind w:firstLine="482"/>
        <w:rPr>
          <w:lang w:val="zh-CN"/>
        </w:rPr>
      </w:pPr>
    </w:p>
    <w:p w14:paraId="2524EAA8">
      <w:pPr>
        <w:snapToGrid w:val="0"/>
        <w:ind w:left="480"/>
        <w:rPr>
          <w:b/>
          <w:lang w:val="zh-CN"/>
        </w:rPr>
      </w:pPr>
      <w:r>
        <w:rPr>
          <w:b/>
          <w:lang w:val="zh-CN"/>
        </w:rPr>
        <w:t>注：</w:t>
      </w:r>
    </w:p>
    <w:p w14:paraId="144FF8D0">
      <w:pPr>
        <w:ind w:left="-2" w:leftChars="-1" w:firstLine="480" w:firstLineChars="200"/>
        <w:rPr>
          <w:lang w:val="zh-CN"/>
        </w:rPr>
      </w:pPr>
      <w:r>
        <w:rPr>
          <w:lang w:val="zh-CN"/>
        </w:rPr>
        <w:t>1.投标人需按本表格式填写，不得自行更改。</w:t>
      </w:r>
      <w:r>
        <w:rPr>
          <w:b/>
          <w:lang w:val="zh-CN"/>
        </w:rPr>
        <w:t>此表中的货物必须与《货物技术参数明细表》中填报的内容相一致。</w:t>
      </w:r>
    </w:p>
    <w:p w14:paraId="72261A8B">
      <w:pPr>
        <w:ind w:firstLine="480" w:firstLineChars="200"/>
        <w:rPr>
          <w:lang w:val="zh-CN"/>
        </w:rPr>
      </w:pPr>
      <w:r>
        <w:rPr>
          <w:lang w:val="zh-CN"/>
        </w:rPr>
        <w:t>2.</w:t>
      </w:r>
      <w:r>
        <w:rPr>
          <w:rFonts w:hint="eastAsia"/>
          <w:lang w:val="zh-CN"/>
        </w:rPr>
        <w:t>有关本项目实施所涉及的一切费用均计入报价。</w:t>
      </w:r>
      <w:r>
        <w:rPr>
          <w:rFonts w:hint="eastAsia"/>
          <w:b/>
          <w:lang w:val="zh-CN"/>
        </w:rPr>
        <w:t>采购人将以合同形式有偿取得采购清单中货物或服务，报价表中不得出现</w:t>
      </w:r>
      <w:r>
        <w:rPr>
          <w:b/>
          <w:lang w:val="zh-CN"/>
        </w:rPr>
        <w:t>“0</w:t>
      </w:r>
      <w:r>
        <w:rPr>
          <w:rFonts w:hint="eastAsia"/>
          <w:b/>
          <w:lang w:val="zh-CN"/>
        </w:rPr>
        <w:t>元</w:t>
      </w:r>
      <w:r>
        <w:rPr>
          <w:b/>
          <w:lang w:val="zh-CN"/>
        </w:rPr>
        <w:t>”“</w:t>
      </w:r>
      <w:r>
        <w:rPr>
          <w:rFonts w:hint="eastAsia"/>
          <w:b/>
          <w:lang w:val="zh-CN"/>
        </w:rPr>
        <w:t>免费赠送</w:t>
      </w:r>
      <w:r>
        <w:rPr>
          <w:b/>
          <w:lang w:val="zh-CN"/>
        </w:rPr>
        <w:t>”</w:t>
      </w:r>
      <w:r>
        <w:rPr>
          <w:rFonts w:hint="eastAsia"/>
          <w:b/>
          <w:lang w:val="zh-CN"/>
        </w:rPr>
        <w:t>等形式的无偿报价，</w:t>
      </w:r>
      <w:r>
        <w:rPr>
          <w:rFonts w:hint="eastAsia"/>
          <w:b/>
        </w:rPr>
        <w:t>否则视为响应文件含有采购人不能接受的附加条件的，响应无效</w:t>
      </w:r>
      <w:r>
        <w:rPr>
          <w:rFonts w:hint="eastAsia"/>
          <w:b/>
          <w:lang w:val="zh-CN"/>
        </w:rPr>
        <w:t>。</w:t>
      </w:r>
    </w:p>
    <w:p w14:paraId="4197E7E7">
      <w:pPr>
        <w:snapToGrid w:val="0"/>
        <w:ind w:firstLine="480" w:firstLineChars="200"/>
        <w:rPr>
          <w:lang w:val="zh-CN"/>
        </w:rPr>
      </w:pPr>
      <w:r>
        <w:rPr>
          <w:lang w:val="zh-CN"/>
        </w:rPr>
        <w:t>3.特别提示：采购代理机构将对项目名称和项目编号，中标供应商名称、地址和中标金额，主要中标标的的名称、规格型号、数量、单价、服务要求等予以公示。</w:t>
      </w:r>
    </w:p>
    <w:p w14:paraId="1EB07A98">
      <w:pPr>
        <w:pStyle w:val="26"/>
        <w:widowControl w:val="0"/>
        <w:adjustRightInd w:val="0"/>
        <w:snapToGrid w:val="0"/>
        <w:spacing w:before="0" w:beforeAutospacing="0" w:after="0" w:afterAutospacing="0"/>
        <w:ind w:firstLine="480" w:firstLineChars="200"/>
        <w:rPr>
          <w:rFonts w:hint="eastAsia"/>
        </w:rPr>
      </w:pPr>
      <w:r>
        <w:rPr>
          <w:szCs w:val="22"/>
          <w:lang w:val="zh-CN"/>
        </w:rPr>
        <w:t>4.</w:t>
      </w:r>
      <w:r>
        <w:rPr>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A6204A">
      <w:pPr>
        <w:pStyle w:val="26"/>
        <w:widowControl w:val="0"/>
        <w:adjustRightInd w:val="0"/>
        <w:snapToGrid w:val="0"/>
        <w:spacing w:before="0" w:beforeAutospacing="0" w:after="0" w:afterAutospacing="0" w:line="360" w:lineRule="auto"/>
        <w:ind w:firstLine="480" w:firstLineChars="200"/>
        <w:rPr>
          <w:rFonts w:hint="eastAsia"/>
        </w:rPr>
      </w:pPr>
    </w:p>
    <w:p w14:paraId="355F0609">
      <w:pPr>
        <w:pStyle w:val="26"/>
        <w:widowControl w:val="0"/>
        <w:adjustRightInd w:val="0"/>
        <w:snapToGrid w:val="0"/>
        <w:spacing w:before="0" w:beforeAutospacing="0" w:after="0" w:afterAutospacing="0" w:line="360" w:lineRule="auto"/>
        <w:ind w:firstLine="900" w:firstLineChars="375"/>
        <w:jc w:val="right"/>
        <w:rPr>
          <w:rFonts w:hint="eastAsia" w:ascii="Times New Roman"/>
        </w:rPr>
      </w:pPr>
      <w:r>
        <w:rPr>
          <w:rFonts w:ascii="Times New Roman"/>
        </w:rPr>
        <w:t>投标人</w:t>
      </w:r>
      <w:r>
        <w:rPr>
          <w:color w:val="000000"/>
        </w:rPr>
        <w:t>（电子签章）</w:t>
      </w:r>
      <w:r>
        <w:rPr>
          <w:rFonts w:ascii="Times New Roman"/>
        </w:rPr>
        <w:t>：__________________________</w:t>
      </w:r>
    </w:p>
    <w:p w14:paraId="39039A13">
      <w:pPr>
        <w:pStyle w:val="26"/>
        <w:widowControl w:val="0"/>
        <w:adjustRightInd w:val="0"/>
        <w:snapToGrid w:val="0"/>
        <w:spacing w:before="0" w:beforeAutospacing="0" w:after="0" w:afterAutospacing="0"/>
        <w:ind w:firstLine="900" w:firstLineChars="375"/>
        <w:jc w:val="right"/>
        <w:rPr>
          <w:rFonts w:hint="eastAsia" w:ascii="Times New Roman"/>
        </w:rPr>
      </w:pPr>
      <w:r>
        <w:rPr>
          <w:rFonts w:ascii="Times New Roman"/>
        </w:rPr>
        <w:t>日期：____年____月____日</w:t>
      </w:r>
    </w:p>
    <w:bookmarkEnd w:id="79"/>
    <w:bookmarkEnd w:id="81"/>
    <w:p w14:paraId="1BAEDA8B">
      <w:pPr>
        <w:pStyle w:val="26"/>
        <w:widowControl w:val="0"/>
        <w:adjustRightInd w:val="0"/>
        <w:snapToGrid w:val="0"/>
        <w:spacing w:line="276" w:lineRule="auto"/>
        <w:ind w:firstLine="643"/>
        <w:rPr>
          <w:rFonts w:hint="eastAsia"/>
          <w:u w:val="single"/>
        </w:rPr>
      </w:pPr>
    </w:p>
    <w:sectPr>
      <w:headerReference r:id="rId9" w:type="first"/>
      <w:footerReference r:id="rId10"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Univers LT Std 45 Light">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89F6">
    <w:pPr>
      <w:pStyle w:val="31"/>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fldChar w:fldCharType="begin"/>
    </w:r>
    <w:r>
      <w:instrText xml:space="preserve"> HYPERLINK "mailto:jhygzb@qq.com" </w:instrText>
    </w:r>
    <w:r>
      <w:fldChar w:fldCharType="separate"/>
    </w:r>
    <w:r>
      <w:rPr>
        <w:rStyle w:val="51"/>
        <w:rFonts w:hint="eastAsia" w:ascii="宋体" w:hAnsi="宋体" w:cs="宋体"/>
        <w:color w:val="auto"/>
        <w:szCs w:val="21"/>
        <w:u w:val="none"/>
      </w:rPr>
      <w:t>jhygzb@qq.com</w:t>
    </w:r>
    <w:r>
      <w:rPr>
        <w:rStyle w:val="51"/>
        <w:rFonts w:hint="eastAsia" w:ascii="宋体" w:hAnsi="宋体" w:cs="宋体"/>
        <w:color w:val="auto"/>
        <w:szCs w:val="21"/>
        <w:u w:val="none"/>
      </w:rPr>
      <w:fldChar w:fldCharType="end"/>
    </w:r>
  </w:p>
  <w:p w14:paraId="3982A2A5">
    <w:pPr>
      <w:pStyle w:val="31"/>
      <w:framePr w:wrap="around" w:vAnchor="text" w:hAnchor="page" w:x="5792" w:y="66"/>
      <w:jc w:val="center"/>
      <w:rPr>
        <w:rStyle w:val="48"/>
        <w:rFonts w:hint="eastAsia" w:ascii="宋体" w:hAnsi="宋体"/>
      </w:rPr>
    </w:pPr>
    <w:r>
      <w:rPr>
        <w:rStyle w:val="48"/>
        <w:rFonts w:hint="eastAsia" w:ascii="宋体" w:hAnsi="宋体"/>
        <w:szCs w:val="21"/>
      </w:rPr>
      <w:t xml:space="preserve">第 </w:t>
    </w:r>
    <w:r>
      <w:rPr>
        <w:rFonts w:ascii="宋体" w:hAnsi="宋体"/>
        <w:szCs w:val="21"/>
      </w:rPr>
      <w:fldChar w:fldCharType="begin"/>
    </w:r>
    <w:r>
      <w:rPr>
        <w:rStyle w:val="48"/>
        <w:rFonts w:ascii="宋体" w:hAnsi="宋体"/>
        <w:szCs w:val="21"/>
      </w:rPr>
      <w:instrText xml:space="preserve"> PAGE </w:instrText>
    </w:r>
    <w:r>
      <w:rPr>
        <w:rFonts w:ascii="宋体" w:hAnsi="宋体"/>
        <w:szCs w:val="21"/>
      </w:rPr>
      <w:fldChar w:fldCharType="separate"/>
    </w:r>
    <w:r>
      <w:rPr>
        <w:rStyle w:val="48"/>
        <w:rFonts w:ascii="宋体" w:hAnsi="宋体"/>
        <w:szCs w:val="21"/>
      </w:rPr>
      <w:t>14</w:t>
    </w:r>
    <w:r>
      <w:rPr>
        <w:rFonts w:ascii="宋体" w:hAnsi="宋体"/>
        <w:szCs w:val="21"/>
      </w:rPr>
      <w:fldChar w:fldCharType="end"/>
    </w:r>
    <w:r>
      <w:rPr>
        <w:rStyle w:val="48"/>
        <w:rFonts w:hint="eastAsia" w:ascii="宋体" w:hAnsi="宋体"/>
        <w:szCs w:val="21"/>
      </w:rPr>
      <w:t xml:space="preserve"> 页 共 </w:t>
    </w:r>
    <w:r>
      <w:rPr>
        <w:rFonts w:ascii="宋体" w:hAnsi="宋体"/>
        <w:szCs w:val="21"/>
      </w:rPr>
      <w:fldChar w:fldCharType="begin"/>
    </w:r>
    <w:r>
      <w:rPr>
        <w:rStyle w:val="48"/>
        <w:rFonts w:ascii="宋体" w:hAnsi="宋体"/>
        <w:szCs w:val="21"/>
      </w:rPr>
      <w:instrText xml:space="preserve"> NUMPAGES </w:instrText>
    </w:r>
    <w:r>
      <w:rPr>
        <w:rFonts w:ascii="宋体" w:hAnsi="宋体"/>
        <w:szCs w:val="21"/>
      </w:rPr>
      <w:fldChar w:fldCharType="separate"/>
    </w:r>
    <w:r>
      <w:rPr>
        <w:rStyle w:val="48"/>
        <w:rFonts w:ascii="宋体" w:hAnsi="宋体"/>
        <w:szCs w:val="21"/>
      </w:rPr>
      <w:t>58</w:t>
    </w:r>
    <w:r>
      <w:rPr>
        <w:rFonts w:ascii="宋体" w:hAnsi="宋体"/>
        <w:szCs w:val="21"/>
      </w:rPr>
      <w:fldChar w:fldCharType="end"/>
    </w:r>
    <w:r>
      <w:rPr>
        <w:rStyle w:val="48"/>
        <w:rFonts w:hint="eastAsia" w:ascii="宋体" w:hAnsi="宋体"/>
        <w:szCs w:val="21"/>
      </w:rPr>
      <w:t xml:space="preserve"> 页</w:t>
    </w:r>
  </w:p>
  <w:p w14:paraId="7BFC3EA0">
    <w:pPr>
      <w:pStyle w:val="31"/>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F3D6">
    <w:pPr>
      <w:pStyle w:val="31"/>
      <w:framePr w:wrap="around" w:vAnchor="text" w:hAnchor="margin" w:xAlign="right" w:y="1"/>
      <w:rPr>
        <w:rStyle w:val="48"/>
      </w:rPr>
    </w:pPr>
    <w:r>
      <w:fldChar w:fldCharType="begin"/>
    </w:r>
    <w:r>
      <w:rPr>
        <w:rStyle w:val="48"/>
      </w:rPr>
      <w:instrText xml:space="preserve">PAGE  </w:instrText>
    </w:r>
    <w:r>
      <w:fldChar w:fldCharType="end"/>
    </w:r>
  </w:p>
  <w:p w14:paraId="62A43F47">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3AC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0745">
    <w:pPr>
      <w:pStyle w:val="3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14:paraId="3840E70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CB786">
    <w:pPr>
      <w:pStyle w:val="32"/>
      <w:pBdr>
        <w:bottom w:val="single" w:color="auto" w:sz="6" w:space="0"/>
      </w:pBdr>
      <w:jc w:val="left"/>
    </w:pPr>
    <w:r>
      <w:t>金华市中心医院、金华市妇幼保健院减重医用食品配送项目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5AE8">
    <w:pPr>
      <w:pStyle w:val="32"/>
    </w:pPr>
    <w:r>
      <w:pict>
        <v:shape id="_x0000_s1025" o:spid="_x0000_s1025"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2FD2">
    <w:pPr>
      <w:pStyle w:val="32"/>
    </w:pPr>
    <w:r>
      <w:pict>
        <v:shape id="_x0000_s1026" o:spid="_x0000_s1026"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9D53">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2"/>
  <w:doNotShadeFormData w:val="1"/>
  <w:characterSpacingControl w:val="doNotCompress"/>
  <w:doNotValidateAgainstSchema/>
  <w:doNotDemarcateInvalidXml/>
  <w:hdrShapeDefaults>
    <o:shapelayout v:ext="edit">
      <o:idmap v:ext="edit" data="1"/>
    </o:shapelayout>
  </w:hdrShapeDefault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00476"/>
    <w:rsid w:val="000008B3"/>
    <w:rsid w:val="000010BD"/>
    <w:rsid w:val="00001BD1"/>
    <w:rsid w:val="00002E41"/>
    <w:rsid w:val="00004F9E"/>
    <w:rsid w:val="000052AE"/>
    <w:rsid w:val="00005A6A"/>
    <w:rsid w:val="0000637E"/>
    <w:rsid w:val="000072B2"/>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17926"/>
    <w:rsid w:val="00017FDE"/>
    <w:rsid w:val="00020298"/>
    <w:rsid w:val="000205E0"/>
    <w:rsid w:val="00020AE9"/>
    <w:rsid w:val="0002187D"/>
    <w:rsid w:val="0002202D"/>
    <w:rsid w:val="000221EF"/>
    <w:rsid w:val="00022AB6"/>
    <w:rsid w:val="000230D4"/>
    <w:rsid w:val="00023D91"/>
    <w:rsid w:val="000242CA"/>
    <w:rsid w:val="000262C6"/>
    <w:rsid w:val="00026CC4"/>
    <w:rsid w:val="000302AC"/>
    <w:rsid w:val="0003056F"/>
    <w:rsid w:val="00032A00"/>
    <w:rsid w:val="000330C9"/>
    <w:rsid w:val="000332F6"/>
    <w:rsid w:val="000335B0"/>
    <w:rsid w:val="00033B73"/>
    <w:rsid w:val="0003457A"/>
    <w:rsid w:val="00034978"/>
    <w:rsid w:val="00034CDF"/>
    <w:rsid w:val="00035518"/>
    <w:rsid w:val="000356A7"/>
    <w:rsid w:val="00036698"/>
    <w:rsid w:val="00040056"/>
    <w:rsid w:val="000403F8"/>
    <w:rsid w:val="00042F2A"/>
    <w:rsid w:val="000446D0"/>
    <w:rsid w:val="00044D31"/>
    <w:rsid w:val="00046B09"/>
    <w:rsid w:val="000470EA"/>
    <w:rsid w:val="000518BA"/>
    <w:rsid w:val="00052686"/>
    <w:rsid w:val="00052E3E"/>
    <w:rsid w:val="00054BA5"/>
    <w:rsid w:val="00055EA0"/>
    <w:rsid w:val="00055F7C"/>
    <w:rsid w:val="000567A4"/>
    <w:rsid w:val="00057367"/>
    <w:rsid w:val="0006016F"/>
    <w:rsid w:val="000603B1"/>
    <w:rsid w:val="000608C6"/>
    <w:rsid w:val="00061562"/>
    <w:rsid w:val="0006264B"/>
    <w:rsid w:val="00062A62"/>
    <w:rsid w:val="000630DA"/>
    <w:rsid w:val="000647B7"/>
    <w:rsid w:val="0006664E"/>
    <w:rsid w:val="00066D2C"/>
    <w:rsid w:val="00066DE7"/>
    <w:rsid w:val="00070293"/>
    <w:rsid w:val="00070E59"/>
    <w:rsid w:val="00071EFA"/>
    <w:rsid w:val="000731F4"/>
    <w:rsid w:val="000733B0"/>
    <w:rsid w:val="00074121"/>
    <w:rsid w:val="000756CE"/>
    <w:rsid w:val="00076C9E"/>
    <w:rsid w:val="00077297"/>
    <w:rsid w:val="0007739C"/>
    <w:rsid w:val="00077E19"/>
    <w:rsid w:val="00077E89"/>
    <w:rsid w:val="0008062F"/>
    <w:rsid w:val="0008101D"/>
    <w:rsid w:val="00081379"/>
    <w:rsid w:val="00081F25"/>
    <w:rsid w:val="00082B77"/>
    <w:rsid w:val="00082EBE"/>
    <w:rsid w:val="00083647"/>
    <w:rsid w:val="00083704"/>
    <w:rsid w:val="0008387B"/>
    <w:rsid w:val="0008392B"/>
    <w:rsid w:val="00083F36"/>
    <w:rsid w:val="00084AEB"/>
    <w:rsid w:val="00084ECA"/>
    <w:rsid w:val="00085A77"/>
    <w:rsid w:val="000864AB"/>
    <w:rsid w:val="0008694F"/>
    <w:rsid w:val="00087CFC"/>
    <w:rsid w:val="0009086B"/>
    <w:rsid w:val="00091035"/>
    <w:rsid w:val="00091BD4"/>
    <w:rsid w:val="00092275"/>
    <w:rsid w:val="00092D80"/>
    <w:rsid w:val="00093557"/>
    <w:rsid w:val="00095C59"/>
    <w:rsid w:val="00096570"/>
    <w:rsid w:val="00097B92"/>
    <w:rsid w:val="000A0277"/>
    <w:rsid w:val="000A0662"/>
    <w:rsid w:val="000A1693"/>
    <w:rsid w:val="000A1760"/>
    <w:rsid w:val="000A2BE1"/>
    <w:rsid w:val="000A3413"/>
    <w:rsid w:val="000A3D42"/>
    <w:rsid w:val="000A3F43"/>
    <w:rsid w:val="000A5BF5"/>
    <w:rsid w:val="000A70D5"/>
    <w:rsid w:val="000A76AE"/>
    <w:rsid w:val="000B0195"/>
    <w:rsid w:val="000B0BC4"/>
    <w:rsid w:val="000B121E"/>
    <w:rsid w:val="000B23DE"/>
    <w:rsid w:val="000B42AC"/>
    <w:rsid w:val="000B4370"/>
    <w:rsid w:val="000B4C35"/>
    <w:rsid w:val="000B4E0C"/>
    <w:rsid w:val="000B5323"/>
    <w:rsid w:val="000B6FC7"/>
    <w:rsid w:val="000C06F5"/>
    <w:rsid w:val="000C0BE0"/>
    <w:rsid w:val="000C0F6F"/>
    <w:rsid w:val="000C1898"/>
    <w:rsid w:val="000C2987"/>
    <w:rsid w:val="000C2E29"/>
    <w:rsid w:val="000C3935"/>
    <w:rsid w:val="000C3961"/>
    <w:rsid w:val="000C4AB2"/>
    <w:rsid w:val="000C548D"/>
    <w:rsid w:val="000C604B"/>
    <w:rsid w:val="000C768A"/>
    <w:rsid w:val="000C7E5D"/>
    <w:rsid w:val="000C7F71"/>
    <w:rsid w:val="000D017D"/>
    <w:rsid w:val="000D062C"/>
    <w:rsid w:val="000D1FFB"/>
    <w:rsid w:val="000D218E"/>
    <w:rsid w:val="000D29B3"/>
    <w:rsid w:val="000D387A"/>
    <w:rsid w:val="000D3F3D"/>
    <w:rsid w:val="000D48B7"/>
    <w:rsid w:val="000D4970"/>
    <w:rsid w:val="000D4A1A"/>
    <w:rsid w:val="000D50D8"/>
    <w:rsid w:val="000D52F5"/>
    <w:rsid w:val="000D6BF2"/>
    <w:rsid w:val="000D6F0B"/>
    <w:rsid w:val="000D70D8"/>
    <w:rsid w:val="000E031D"/>
    <w:rsid w:val="000E0B27"/>
    <w:rsid w:val="000E21A4"/>
    <w:rsid w:val="000E22E2"/>
    <w:rsid w:val="000E2610"/>
    <w:rsid w:val="000E2D92"/>
    <w:rsid w:val="000E2FCA"/>
    <w:rsid w:val="000E36A8"/>
    <w:rsid w:val="000E469F"/>
    <w:rsid w:val="000E4D1F"/>
    <w:rsid w:val="000E50B5"/>
    <w:rsid w:val="000E5592"/>
    <w:rsid w:val="000E5E0F"/>
    <w:rsid w:val="000E6B91"/>
    <w:rsid w:val="000E6BB7"/>
    <w:rsid w:val="000E6BDD"/>
    <w:rsid w:val="000E7218"/>
    <w:rsid w:val="000E7567"/>
    <w:rsid w:val="000E79E0"/>
    <w:rsid w:val="000E7B76"/>
    <w:rsid w:val="000E7CB9"/>
    <w:rsid w:val="000F0758"/>
    <w:rsid w:val="000F0B8A"/>
    <w:rsid w:val="000F126A"/>
    <w:rsid w:val="000F16FA"/>
    <w:rsid w:val="000F27B8"/>
    <w:rsid w:val="000F2E93"/>
    <w:rsid w:val="000F3A53"/>
    <w:rsid w:val="000F4023"/>
    <w:rsid w:val="000F424B"/>
    <w:rsid w:val="000F43DF"/>
    <w:rsid w:val="000F4597"/>
    <w:rsid w:val="000F47AA"/>
    <w:rsid w:val="000F5204"/>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9BD"/>
    <w:rsid w:val="00104EDF"/>
    <w:rsid w:val="00105323"/>
    <w:rsid w:val="00105370"/>
    <w:rsid w:val="00106078"/>
    <w:rsid w:val="001074A9"/>
    <w:rsid w:val="00107F48"/>
    <w:rsid w:val="00110A10"/>
    <w:rsid w:val="00110B3C"/>
    <w:rsid w:val="00111D0B"/>
    <w:rsid w:val="00113023"/>
    <w:rsid w:val="0011318B"/>
    <w:rsid w:val="00113E4E"/>
    <w:rsid w:val="0011406E"/>
    <w:rsid w:val="00114281"/>
    <w:rsid w:val="001144F4"/>
    <w:rsid w:val="00116EC5"/>
    <w:rsid w:val="001200C1"/>
    <w:rsid w:val="001232B5"/>
    <w:rsid w:val="00123E2D"/>
    <w:rsid w:val="00124315"/>
    <w:rsid w:val="001245E9"/>
    <w:rsid w:val="001246FC"/>
    <w:rsid w:val="00125F8C"/>
    <w:rsid w:val="001270C2"/>
    <w:rsid w:val="001273C8"/>
    <w:rsid w:val="001309AB"/>
    <w:rsid w:val="00130AC8"/>
    <w:rsid w:val="00130EA5"/>
    <w:rsid w:val="0013142A"/>
    <w:rsid w:val="00131EBE"/>
    <w:rsid w:val="001323AC"/>
    <w:rsid w:val="001328CE"/>
    <w:rsid w:val="00132E8D"/>
    <w:rsid w:val="00133DC1"/>
    <w:rsid w:val="00133FB0"/>
    <w:rsid w:val="0013482F"/>
    <w:rsid w:val="00135325"/>
    <w:rsid w:val="00136C02"/>
    <w:rsid w:val="001378A5"/>
    <w:rsid w:val="00137A8F"/>
    <w:rsid w:val="001400D1"/>
    <w:rsid w:val="00140F5D"/>
    <w:rsid w:val="00141FB3"/>
    <w:rsid w:val="0014304A"/>
    <w:rsid w:val="0014403C"/>
    <w:rsid w:val="00144A44"/>
    <w:rsid w:val="00144FC6"/>
    <w:rsid w:val="0014513E"/>
    <w:rsid w:val="001455EA"/>
    <w:rsid w:val="00145CEC"/>
    <w:rsid w:val="00145D0C"/>
    <w:rsid w:val="001472D7"/>
    <w:rsid w:val="001474F8"/>
    <w:rsid w:val="0014754E"/>
    <w:rsid w:val="001477E2"/>
    <w:rsid w:val="00150470"/>
    <w:rsid w:val="00150A2B"/>
    <w:rsid w:val="0015121D"/>
    <w:rsid w:val="001513EC"/>
    <w:rsid w:val="0015165C"/>
    <w:rsid w:val="00151696"/>
    <w:rsid w:val="00151D6D"/>
    <w:rsid w:val="00151E47"/>
    <w:rsid w:val="00152713"/>
    <w:rsid w:val="00153914"/>
    <w:rsid w:val="00153C1D"/>
    <w:rsid w:val="00154453"/>
    <w:rsid w:val="00154D46"/>
    <w:rsid w:val="00155650"/>
    <w:rsid w:val="00156FD2"/>
    <w:rsid w:val="00157349"/>
    <w:rsid w:val="00157F9F"/>
    <w:rsid w:val="0016096D"/>
    <w:rsid w:val="00161371"/>
    <w:rsid w:val="00161FA7"/>
    <w:rsid w:val="001625A3"/>
    <w:rsid w:val="00162CA9"/>
    <w:rsid w:val="00165514"/>
    <w:rsid w:val="00166964"/>
    <w:rsid w:val="00166B53"/>
    <w:rsid w:val="00166DAB"/>
    <w:rsid w:val="00167ADF"/>
    <w:rsid w:val="00170BBA"/>
    <w:rsid w:val="00171A6E"/>
    <w:rsid w:val="001722C9"/>
    <w:rsid w:val="001725F5"/>
    <w:rsid w:val="00172789"/>
    <w:rsid w:val="00172A27"/>
    <w:rsid w:val="00174C76"/>
    <w:rsid w:val="0017758B"/>
    <w:rsid w:val="00177A0C"/>
    <w:rsid w:val="001812B1"/>
    <w:rsid w:val="00182D83"/>
    <w:rsid w:val="001832DB"/>
    <w:rsid w:val="00183460"/>
    <w:rsid w:val="00183E97"/>
    <w:rsid w:val="001841AF"/>
    <w:rsid w:val="001858E2"/>
    <w:rsid w:val="00185A16"/>
    <w:rsid w:val="00186AF9"/>
    <w:rsid w:val="00187019"/>
    <w:rsid w:val="0018752A"/>
    <w:rsid w:val="00190154"/>
    <w:rsid w:val="00190CB5"/>
    <w:rsid w:val="00190E0A"/>
    <w:rsid w:val="00191546"/>
    <w:rsid w:val="0019193B"/>
    <w:rsid w:val="00192F4D"/>
    <w:rsid w:val="001934A7"/>
    <w:rsid w:val="00193C0C"/>
    <w:rsid w:val="00194985"/>
    <w:rsid w:val="00194B56"/>
    <w:rsid w:val="0019556A"/>
    <w:rsid w:val="00195A7B"/>
    <w:rsid w:val="00195FFF"/>
    <w:rsid w:val="00196244"/>
    <w:rsid w:val="00196451"/>
    <w:rsid w:val="00196DFB"/>
    <w:rsid w:val="00197552"/>
    <w:rsid w:val="001979F0"/>
    <w:rsid w:val="00197D65"/>
    <w:rsid w:val="001A0487"/>
    <w:rsid w:val="001A1962"/>
    <w:rsid w:val="001A2967"/>
    <w:rsid w:val="001A3C44"/>
    <w:rsid w:val="001A4C59"/>
    <w:rsid w:val="001A6146"/>
    <w:rsid w:val="001A6896"/>
    <w:rsid w:val="001A7EC6"/>
    <w:rsid w:val="001B115B"/>
    <w:rsid w:val="001B13BC"/>
    <w:rsid w:val="001B1415"/>
    <w:rsid w:val="001B1F0E"/>
    <w:rsid w:val="001B22FE"/>
    <w:rsid w:val="001B33CD"/>
    <w:rsid w:val="001B39A8"/>
    <w:rsid w:val="001B4514"/>
    <w:rsid w:val="001B4573"/>
    <w:rsid w:val="001B4D15"/>
    <w:rsid w:val="001B55A2"/>
    <w:rsid w:val="001B5852"/>
    <w:rsid w:val="001B653F"/>
    <w:rsid w:val="001B7D11"/>
    <w:rsid w:val="001C002D"/>
    <w:rsid w:val="001C0A4D"/>
    <w:rsid w:val="001C1825"/>
    <w:rsid w:val="001C24AC"/>
    <w:rsid w:val="001C2CC4"/>
    <w:rsid w:val="001C3A80"/>
    <w:rsid w:val="001C3CA3"/>
    <w:rsid w:val="001C3E69"/>
    <w:rsid w:val="001C485D"/>
    <w:rsid w:val="001C49B0"/>
    <w:rsid w:val="001C4D69"/>
    <w:rsid w:val="001C5484"/>
    <w:rsid w:val="001C5EC5"/>
    <w:rsid w:val="001C7BF5"/>
    <w:rsid w:val="001C7FA3"/>
    <w:rsid w:val="001D2882"/>
    <w:rsid w:val="001D4FB2"/>
    <w:rsid w:val="001D506D"/>
    <w:rsid w:val="001D54D8"/>
    <w:rsid w:val="001D5A51"/>
    <w:rsid w:val="001D5C1E"/>
    <w:rsid w:val="001D6D34"/>
    <w:rsid w:val="001D6D39"/>
    <w:rsid w:val="001D775A"/>
    <w:rsid w:val="001D79A6"/>
    <w:rsid w:val="001E089E"/>
    <w:rsid w:val="001E14C5"/>
    <w:rsid w:val="001E1AFF"/>
    <w:rsid w:val="001E217C"/>
    <w:rsid w:val="001E28F1"/>
    <w:rsid w:val="001E2BE3"/>
    <w:rsid w:val="001E2EB2"/>
    <w:rsid w:val="001E2FAE"/>
    <w:rsid w:val="001E352C"/>
    <w:rsid w:val="001E3BC9"/>
    <w:rsid w:val="001E3EEC"/>
    <w:rsid w:val="001E519D"/>
    <w:rsid w:val="001E6414"/>
    <w:rsid w:val="001F0A82"/>
    <w:rsid w:val="001F0B26"/>
    <w:rsid w:val="001F369D"/>
    <w:rsid w:val="001F3ACE"/>
    <w:rsid w:val="001F4931"/>
    <w:rsid w:val="001F4B48"/>
    <w:rsid w:val="001F5F8B"/>
    <w:rsid w:val="001F7E58"/>
    <w:rsid w:val="002002FF"/>
    <w:rsid w:val="0020082E"/>
    <w:rsid w:val="00200950"/>
    <w:rsid w:val="002021A5"/>
    <w:rsid w:val="00202D9C"/>
    <w:rsid w:val="0020322C"/>
    <w:rsid w:val="00203682"/>
    <w:rsid w:val="00203BAC"/>
    <w:rsid w:val="00203D91"/>
    <w:rsid w:val="00204F4B"/>
    <w:rsid w:val="00205DFA"/>
    <w:rsid w:val="00205E3A"/>
    <w:rsid w:val="00206337"/>
    <w:rsid w:val="0020653C"/>
    <w:rsid w:val="002068C9"/>
    <w:rsid w:val="00207AD3"/>
    <w:rsid w:val="00211EF3"/>
    <w:rsid w:val="0021273A"/>
    <w:rsid w:val="00212B6E"/>
    <w:rsid w:val="00212F0D"/>
    <w:rsid w:val="0021301E"/>
    <w:rsid w:val="00214EDB"/>
    <w:rsid w:val="00214F9D"/>
    <w:rsid w:val="00215096"/>
    <w:rsid w:val="00215E1D"/>
    <w:rsid w:val="0022020F"/>
    <w:rsid w:val="00220915"/>
    <w:rsid w:val="00220AAF"/>
    <w:rsid w:val="00220F14"/>
    <w:rsid w:val="00221380"/>
    <w:rsid w:val="00221769"/>
    <w:rsid w:val="002218B2"/>
    <w:rsid w:val="00222069"/>
    <w:rsid w:val="002235A3"/>
    <w:rsid w:val="00224782"/>
    <w:rsid w:val="002252B5"/>
    <w:rsid w:val="002253D2"/>
    <w:rsid w:val="002311D5"/>
    <w:rsid w:val="00232DEE"/>
    <w:rsid w:val="00232E5C"/>
    <w:rsid w:val="00233E2D"/>
    <w:rsid w:val="002347E8"/>
    <w:rsid w:val="00234A0E"/>
    <w:rsid w:val="00235957"/>
    <w:rsid w:val="0023674F"/>
    <w:rsid w:val="0023689F"/>
    <w:rsid w:val="00236B9C"/>
    <w:rsid w:val="00236C6D"/>
    <w:rsid w:val="0023782F"/>
    <w:rsid w:val="002406ED"/>
    <w:rsid w:val="0024199F"/>
    <w:rsid w:val="00242F80"/>
    <w:rsid w:val="00243C29"/>
    <w:rsid w:val="00243DA5"/>
    <w:rsid w:val="00244217"/>
    <w:rsid w:val="002460EA"/>
    <w:rsid w:val="00246BFF"/>
    <w:rsid w:val="00251397"/>
    <w:rsid w:val="0025251B"/>
    <w:rsid w:val="00252B3B"/>
    <w:rsid w:val="002548A2"/>
    <w:rsid w:val="00254EED"/>
    <w:rsid w:val="00254F08"/>
    <w:rsid w:val="00255451"/>
    <w:rsid w:val="0025551C"/>
    <w:rsid w:val="00255C42"/>
    <w:rsid w:val="00256417"/>
    <w:rsid w:val="00256CB0"/>
    <w:rsid w:val="002605DD"/>
    <w:rsid w:val="0026154A"/>
    <w:rsid w:val="00262220"/>
    <w:rsid w:val="002623FA"/>
    <w:rsid w:val="00262BC3"/>
    <w:rsid w:val="0026616C"/>
    <w:rsid w:val="002664A4"/>
    <w:rsid w:val="00266A18"/>
    <w:rsid w:val="00266A99"/>
    <w:rsid w:val="00266D87"/>
    <w:rsid w:val="00266F02"/>
    <w:rsid w:val="002673DC"/>
    <w:rsid w:val="00267CF1"/>
    <w:rsid w:val="00267D95"/>
    <w:rsid w:val="00267ECC"/>
    <w:rsid w:val="00270545"/>
    <w:rsid w:val="00270BD7"/>
    <w:rsid w:val="00271505"/>
    <w:rsid w:val="002718C7"/>
    <w:rsid w:val="00271987"/>
    <w:rsid w:val="00273B96"/>
    <w:rsid w:val="00274221"/>
    <w:rsid w:val="00275383"/>
    <w:rsid w:val="002765F4"/>
    <w:rsid w:val="002774A2"/>
    <w:rsid w:val="002777DE"/>
    <w:rsid w:val="00277D30"/>
    <w:rsid w:val="002809F1"/>
    <w:rsid w:val="002810C0"/>
    <w:rsid w:val="00282B8C"/>
    <w:rsid w:val="00282DA3"/>
    <w:rsid w:val="00283A7F"/>
    <w:rsid w:val="0028401C"/>
    <w:rsid w:val="0028408C"/>
    <w:rsid w:val="002841A8"/>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274"/>
    <w:rsid w:val="002A158E"/>
    <w:rsid w:val="002A1E2C"/>
    <w:rsid w:val="002A23AA"/>
    <w:rsid w:val="002A2B29"/>
    <w:rsid w:val="002A2EA0"/>
    <w:rsid w:val="002A3E9E"/>
    <w:rsid w:val="002A48BC"/>
    <w:rsid w:val="002A59D0"/>
    <w:rsid w:val="002A5D5E"/>
    <w:rsid w:val="002A5DF1"/>
    <w:rsid w:val="002A79A2"/>
    <w:rsid w:val="002B0123"/>
    <w:rsid w:val="002B10EF"/>
    <w:rsid w:val="002B14B5"/>
    <w:rsid w:val="002B1E66"/>
    <w:rsid w:val="002B1EB1"/>
    <w:rsid w:val="002B2894"/>
    <w:rsid w:val="002B2B57"/>
    <w:rsid w:val="002B2E8D"/>
    <w:rsid w:val="002B3737"/>
    <w:rsid w:val="002B3E63"/>
    <w:rsid w:val="002B5AA9"/>
    <w:rsid w:val="002B622C"/>
    <w:rsid w:val="002B72CC"/>
    <w:rsid w:val="002B74FC"/>
    <w:rsid w:val="002C0C68"/>
    <w:rsid w:val="002C0C91"/>
    <w:rsid w:val="002C0FFE"/>
    <w:rsid w:val="002C24E3"/>
    <w:rsid w:val="002C2BEB"/>
    <w:rsid w:val="002C3114"/>
    <w:rsid w:val="002C42EA"/>
    <w:rsid w:val="002C4961"/>
    <w:rsid w:val="002C5EE8"/>
    <w:rsid w:val="002C755D"/>
    <w:rsid w:val="002C7821"/>
    <w:rsid w:val="002D0F4F"/>
    <w:rsid w:val="002D18D3"/>
    <w:rsid w:val="002D1AE8"/>
    <w:rsid w:val="002D27DB"/>
    <w:rsid w:val="002D3072"/>
    <w:rsid w:val="002D4630"/>
    <w:rsid w:val="002D48BA"/>
    <w:rsid w:val="002D51CD"/>
    <w:rsid w:val="002D52C3"/>
    <w:rsid w:val="002D5302"/>
    <w:rsid w:val="002D6A2D"/>
    <w:rsid w:val="002D716D"/>
    <w:rsid w:val="002D7589"/>
    <w:rsid w:val="002D7926"/>
    <w:rsid w:val="002D792C"/>
    <w:rsid w:val="002E02D8"/>
    <w:rsid w:val="002E0B05"/>
    <w:rsid w:val="002E0B81"/>
    <w:rsid w:val="002E1114"/>
    <w:rsid w:val="002E157D"/>
    <w:rsid w:val="002E4154"/>
    <w:rsid w:val="002E4717"/>
    <w:rsid w:val="002E4DDE"/>
    <w:rsid w:val="002E794D"/>
    <w:rsid w:val="002F0A57"/>
    <w:rsid w:val="002F19C2"/>
    <w:rsid w:val="002F2D60"/>
    <w:rsid w:val="002F34E3"/>
    <w:rsid w:val="002F353C"/>
    <w:rsid w:val="002F4C04"/>
    <w:rsid w:val="002F4DE4"/>
    <w:rsid w:val="002F6AC1"/>
    <w:rsid w:val="002F708C"/>
    <w:rsid w:val="002F7462"/>
    <w:rsid w:val="002F74D0"/>
    <w:rsid w:val="002F75FD"/>
    <w:rsid w:val="003003B3"/>
    <w:rsid w:val="00300AB5"/>
    <w:rsid w:val="0030125C"/>
    <w:rsid w:val="00301FA9"/>
    <w:rsid w:val="003023B6"/>
    <w:rsid w:val="00302618"/>
    <w:rsid w:val="00302F52"/>
    <w:rsid w:val="00304B09"/>
    <w:rsid w:val="00304B66"/>
    <w:rsid w:val="00304C2A"/>
    <w:rsid w:val="00305883"/>
    <w:rsid w:val="00305A9F"/>
    <w:rsid w:val="003063B1"/>
    <w:rsid w:val="0030689C"/>
    <w:rsid w:val="00306B6D"/>
    <w:rsid w:val="00306EC1"/>
    <w:rsid w:val="00307B4D"/>
    <w:rsid w:val="0031104A"/>
    <w:rsid w:val="0031192E"/>
    <w:rsid w:val="00311F72"/>
    <w:rsid w:val="0031271F"/>
    <w:rsid w:val="00312A6F"/>
    <w:rsid w:val="00312E4B"/>
    <w:rsid w:val="0031354E"/>
    <w:rsid w:val="00313F6E"/>
    <w:rsid w:val="00314AB6"/>
    <w:rsid w:val="003155BA"/>
    <w:rsid w:val="00315853"/>
    <w:rsid w:val="00316732"/>
    <w:rsid w:val="00316822"/>
    <w:rsid w:val="003228AA"/>
    <w:rsid w:val="00324FED"/>
    <w:rsid w:val="00325979"/>
    <w:rsid w:val="00326DDC"/>
    <w:rsid w:val="0032793F"/>
    <w:rsid w:val="0032798E"/>
    <w:rsid w:val="00327EFF"/>
    <w:rsid w:val="00330E62"/>
    <w:rsid w:val="0033176A"/>
    <w:rsid w:val="00331EEA"/>
    <w:rsid w:val="0033276B"/>
    <w:rsid w:val="00333806"/>
    <w:rsid w:val="00333A2C"/>
    <w:rsid w:val="00333BC4"/>
    <w:rsid w:val="003348B7"/>
    <w:rsid w:val="00334997"/>
    <w:rsid w:val="00334A38"/>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673"/>
    <w:rsid w:val="00347A4C"/>
    <w:rsid w:val="00350F51"/>
    <w:rsid w:val="00351B45"/>
    <w:rsid w:val="003524A4"/>
    <w:rsid w:val="0035253D"/>
    <w:rsid w:val="00352A3F"/>
    <w:rsid w:val="00352F45"/>
    <w:rsid w:val="003535A7"/>
    <w:rsid w:val="003539C6"/>
    <w:rsid w:val="0035471C"/>
    <w:rsid w:val="00355E67"/>
    <w:rsid w:val="00355EC9"/>
    <w:rsid w:val="0035714A"/>
    <w:rsid w:val="003579A4"/>
    <w:rsid w:val="00357C19"/>
    <w:rsid w:val="00357C71"/>
    <w:rsid w:val="00357C82"/>
    <w:rsid w:val="00357D06"/>
    <w:rsid w:val="00357F75"/>
    <w:rsid w:val="00357FBD"/>
    <w:rsid w:val="0036002A"/>
    <w:rsid w:val="0036030C"/>
    <w:rsid w:val="0036261C"/>
    <w:rsid w:val="003628B8"/>
    <w:rsid w:val="00362B5A"/>
    <w:rsid w:val="00362F03"/>
    <w:rsid w:val="00362F08"/>
    <w:rsid w:val="00362FF2"/>
    <w:rsid w:val="00363C22"/>
    <w:rsid w:val="0036425D"/>
    <w:rsid w:val="0036453D"/>
    <w:rsid w:val="00364C5A"/>
    <w:rsid w:val="00367D12"/>
    <w:rsid w:val="00370F70"/>
    <w:rsid w:val="0037111A"/>
    <w:rsid w:val="0037294E"/>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0FBC"/>
    <w:rsid w:val="00391172"/>
    <w:rsid w:val="00391539"/>
    <w:rsid w:val="00391C08"/>
    <w:rsid w:val="003920F7"/>
    <w:rsid w:val="00393D40"/>
    <w:rsid w:val="00396364"/>
    <w:rsid w:val="0039695F"/>
    <w:rsid w:val="0039706A"/>
    <w:rsid w:val="003973CA"/>
    <w:rsid w:val="003A0C8A"/>
    <w:rsid w:val="003A12F9"/>
    <w:rsid w:val="003A1DF4"/>
    <w:rsid w:val="003A1FBF"/>
    <w:rsid w:val="003A20AB"/>
    <w:rsid w:val="003A22BF"/>
    <w:rsid w:val="003A3761"/>
    <w:rsid w:val="003A3F3E"/>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4F84"/>
    <w:rsid w:val="003B545A"/>
    <w:rsid w:val="003B5F94"/>
    <w:rsid w:val="003B658D"/>
    <w:rsid w:val="003B6670"/>
    <w:rsid w:val="003B7B82"/>
    <w:rsid w:val="003B7D0F"/>
    <w:rsid w:val="003C1C1E"/>
    <w:rsid w:val="003C1DD2"/>
    <w:rsid w:val="003C2BB6"/>
    <w:rsid w:val="003C2D06"/>
    <w:rsid w:val="003C3A18"/>
    <w:rsid w:val="003C44B4"/>
    <w:rsid w:val="003C6BB4"/>
    <w:rsid w:val="003C73C7"/>
    <w:rsid w:val="003C782D"/>
    <w:rsid w:val="003C78E4"/>
    <w:rsid w:val="003C7F2E"/>
    <w:rsid w:val="003D01A2"/>
    <w:rsid w:val="003D0297"/>
    <w:rsid w:val="003D03B4"/>
    <w:rsid w:val="003D1239"/>
    <w:rsid w:val="003D13A3"/>
    <w:rsid w:val="003D1A83"/>
    <w:rsid w:val="003D3FFE"/>
    <w:rsid w:val="003D4D30"/>
    <w:rsid w:val="003D4DF8"/>
    <w:rsid w:val="003D617D"/>
    <w:rsid w:val="003D65C3"/>
    <w:rsid w:val="003E0B9D"/>
    <w:rsid w:val="003E1079"/>
    <w:rsid w:val="003E1A7D"/>
    <w:rsid w:val="003E1E60"/>
    <w:rsid w:val="003E21EB"/>
    <w:rsid w:val="003E586C"/>
    <w:rsid w:val="003E5E16"/>
    <w:rsid w:val="003E6C67"/>
    <w:rsid w:val="003E76A2"/>
    <w:rsid w:val="003E7D0C"/>
    <w:rsid w:val="003F0E8F"/>
    <w:rsid w:val="003F0FF5"/>
    <w:rsid w:val="003F1068"/>
    <w:rsid w:val="003F1713"/>
    <w:rsid w:val="003F1FFB"/>
    <w:rsid w:val="003F20C9"/>
    <w:rsid w:val="003F239A"/>
    <w:rsid w:val="003F2829"/>
    <w:rsid w:val="003F3BBB"/>
    <w:rsid w:val="003F6013"/>
    <w:rsid w:val="003F6347"/>
    <w:rsid w:val="003F6EF2"/>
    <w:rsid w:val="003F78C9"/>
    <w:rsid w:val="004003DC"/>
    <w:rsid w:val="00400856"/>
    <w:rsid w:val="0040106C"/>
    <w:rsid w:val="00401FB1"/>
    <w:rsid w:val="0040254D"/>
    <w:rsid w:val="00402A3A"/>
    <w:rsid w:val="004042BC"/>
    <w:rsid w:val="00404C53"/>
    <w:rsid w:val="0040501C"/>
    <w:rsid w:val="00405576"/>
    <w:rsid w:val="00405CD0"/>
    <w:rsid w:val="00405DCD"/>
    <w:rsid w:val="004070D9"/>
    <w:rsid w:val="00407DEF"/>
    <w:rsid w:val="00410B82"/>
    <w:rsid w:val="00410CA0"/>
    <w:rsid w:val="0041105F"/>
    <w:rsid w:val="00411463"/>
    <w:rsid w:val="004128EE"/>
    <w:rsid w:val="004139BE"/>
    <w:rsid w:val="00414614"/>
    <w:rsid w:val="004146D0"/>
    <w:rsid w:val="0041550D"/>
    <w:rsid w:val="00415A7D"/>
    <w:rsid w:val="004161ED"/>
    <w:rsid w:val="004200CE"/>
    <w:rsid w:val="0042013D"/>
    <w:rsid w:val="0042050A"/>
    <w:rsid w:val="004219BE"/>
    <w:rsid w:val="00423F8A"/>
    <w:rsid w:val="0042420E"/>
    <w:rsid w:val="004243FF"/>
    <w:rsid w:val="0042515B"/>
    <w:rsid w:val="004253AD"/>
    <w:rsid w:val="00426557"/>
    <w:rsid w:val="00426A40"/>
    <w:rsid w:val="0043060F"/>
    <w:rsid w:val="00430754"/>
    <w:rsid w:val="0043137A"/>
    <w:rsid w:val="00431D66"/>
    <w:rsid w:val="00431E13"/>
    <w:rsid w:val="004324E4"/>
    <w:rsid w:val="00432620"/>
    <w:rsid w:val="00433E24"/>
    <w:rsid w:val="0043506C"/>
    <w:rsid w:val="00435692"/>
    <w:rsid w:val="00435B88"/>
    <w:rsid w:val="004374A5"/>
    <w:rsid w:val="00437D37"/>
    <w:rsid w:val="00437F00"/>
    <w:rsid w:val="0044018F"/>
    <w:rsid w:val="004403E6"/>
    <w:rsid w:val="00440956"/>
    <w:rsid w:val="0044200B"/>
    <w:rsid w:val="00442681"/>
    <w:rsid w:val="00443148"/>
    <w:rsid w:val="004434BA"/>
    <w:rsid w:val="0044401A"/>
    <w:rsid w:val="00445EBB"/>
    <w:rsid w:val="004460E3"/>
    <w:rsid w:val="00446362"/>
    <w:rsid w:val="00446705"/>
    <w:rsid w:val="00446A8D"/>
    <w:rsid w:val="004478C6"/>
    <w:rsid w:val="004509E7"/>
    <w:rsid w:val="00450CE9"/>
    <w:rsid w:val="004513EE"/>
    <w:rsid w:val="00451BEE"/>
    <w:rsid w:val="00453E16"/>
    <w:rsid w:val="00454130"/>
    <w:rsid w:val="00454D62"/>
    <w:rsid w:val="004550C9"/>
    <w:rsid w:val="004552BD"/>
    <w:rsid w:val="00455354"/>
    <w:rsid w:val="004555DC"/>
    <w:rsid w:val="00455682"/>
    <w:rsid w:val="00455BC5"/>
    <w:rsid w:val="00456A72"/>
    <w:rsid w:val="0045735E"/>
    <w:rsid w:val="00460F45"/>
    <w:rsid w:val="00461368"/>
    <w:rsid w:val="00461BA7"/>
    <w:rsid w:val="004620FF"/>
    <w:rsid w:val="00462EF2"/>
    <w:rsid w:val="00463EB4"/>
    <w:rsid w:val="00465188"/>
    <w:rsid w:val="0046520E"/>
    <w:rsid w:val="00465E7D"/>
    <w:rsid w:val="004661EC"/>
    <w:rsid w:val="0046724D"/>
    <w:rsid w:val="004672DC"/>
    <w:rsid w:val="00467336"/>
    <w:rsid w:val="004677C5"/>
    <w:rsid w:val="00467E59"/>
    <w:rsid w:val="00470306"/>
    <w:rsid w:val="004703E3"/>
    <w:rsid w:val="00470605"/>
    <w:rsid w:val="004715BE"/>
    <w:rsid w:val="00471FDD"/>
    <w:rsid w:val="00472917"/>
    <w:rsid w:val="00472B73"/>
    <w:rsid w:val="00474296"/>
    <w:rsid w:val="0047494A"/>
    <w:rsid w:val="0047597E"/>
    <w:rsid w:val="00475F30"/>
    <w:rsid w:val="00476AE7"/>
    <w:rsid w:val="00476C78"/>
    <w:rsid w:val="00477115"/>
    <w:rsid w:val="00480337"/>
    <w:rsid w:val="004809A3"/>
    <w:rsid w:val="0048192A"/>
    <w:rsid w:val="00481C09"/>
    <w:rsid w:val="00482660"/>
    <w:rsid w:val="00485BCF"/>
    <w:rsid w:val="004869AA"/>
    <w:rsid w:val="00486E45"/>
    <w:rsid w:val="00487687"/>
    <w:rsid w:val="00490010"/>
    <w:rsid w:val="004900F7"/>
    <w:rsid w:val="00490E53"/>
    <w:rsid w:val="0049108A"/>
    <w:rsid w:val="00492125"/>
    <w:rsid w:val="004921E7"/>
    <w:rsid w:val="00492D47"/>
    <w:rsid w:val="00493301"/>
    <w:rsid w:val="004937DF"/>
    <w:rsid w:val="00493918"/>
    <w:rsid w:val="00493D69"/>
    <w:rsid w:val="0049400E"/>
    <w:rsid w:val="00494598"/>
    <w:rsid w:val="00496584"/>
    <w:rsid w:val="00497790"/>
    <w:rsid w:val="004A06A5"/>
    <w:rsid w:val="004A1829"/>
    <w:rsid w:val="004A35D1"/>
    <w:rsid w:val="004A367A"/>
    <w:rsid w:val="004A37FA"/>
    <w:rsid w:val="004A3E52"/>
    <w:rsid w:val="004A462B"/>
    <w:rsid w:val="004A4DD5"/>
    <w:rsid w:val="004A4F44"/>
    <w:rsid w:val="004A5006"/>
    <w:rsid w:val="004A55FB"/>
    <w:rsid w:val="004A589C"/>
    <w:rsid w:val="004A6B30"/>
    <w:rsid w:val="004A6D0C"/>
    <w:rsid w:val="004A7A0E"/>
    <w:rsid w:val="004B0027"/>
    <w:rsid w:val="004B133B"/>
    <w:rsid w:val="004B1BA0"/>
    <w:rsid w:val="004B20B0"/>
    <w:rsid w:val="004B2DA8"/>
    <w:rsid w:val="004B3132"/>
    <w:rsid w:val="004B346B"/>
    <w:rsid w:val="004B3934"/>
    <w:rsid w:val="004B39CE"/>
    <w:rsid w:val="004B45B5"/>
    <w:rsid w:val="004B4721"/>
    <w:rsid w:val="004B4A19"/>
    <w:rsid w:val="004B4A3D"/>
    <w:rsid w:val="004B55A3"/>
    <w:rsid w:val="004B64F6"/>
    <w:rsid w:val="004B6EB2"/>
    <w:rsid w:val="004B7A23"/>
    <w:rsid w:val="004C0DAA"/>
    <w:rsid w:val="004C1591"/>
    <w:rsid w:val="004C3E23"/>
    <w:rsid w:val="004C4952"/>
    <w:rsid w:val="004C584F"/>
    <w:rsid w:val="004C602C"/>
    <w:rsid w:val="004C795F"/>
    <w:rsid w:val="004D0712"/>
    <w:rsid w:val="004D0AC6"/>
    <w:rsid w:val="004D0EB9"/>
    <w:rsid w:val="004D17AE"/>
    <w:rsid w:val="004D2B0C"/>
    <w:rsid w:val="004D3DDD"/>
    <w:rsid w:val="004D3F8D"/>
    <w:rsid w:val="004D466E"/>
    <w:rsid w:val="004D6BF7"/>
    <w:rsid w:val="004D7AA6"/>
    <w:rsid w:val="004E1275"/>
    <w:rsid w:val="004E1A9B"/>
    <w:rsid w:val="004E2185"/>
    <w:rsid w:val="004E2FC2"/>
    <w:rsid w:val="004E3D61"/>
    <w:rsid w:val="004E4BB3"/>
    <w:rsid w:val="004E4D7A"/>
    <w:rsid w:val="004E6EFA"/>
    <w:rsid w:val="004E747A"/>
    <w:rsid w:val="004F04A4"/>
    <w:rsid w:val="004F0EAF"/>
    <w:rsid w:val="004F0FEF"/>
    <w:rsid w:val="004F1019"/>
    <w:rsid w:val="004F10CB"/>
    <w:rsid w:val="004F2075"/>
    <w:rsid w:val="004F2C29"/>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32E5"/>
    <w:rsid w:val="00513416"/>
    <w:rsid w:val="005137CB"/>
    <w:rsid w:val="00514537"/>
    <w:rsid w:val="00514D56"/>
    <w:rsid w:val="00515754"/>
    <w:rsid w:val="00515ECD"/>
    <w:rsid w:val="00515F71"/>
    <w:rsid w:val="00515FA7"/>
    <w:rsid w:val="0051641B"/>
    <w:rsid w:val="0051646D"/>
    <w:rsid w:val="00517CFF"/>
    <w:rsid w:val="00517F59"/>
    <w:rsid w:val="00520180"/>
    <w:rsid w:val="00520736"/>
    <w:rsid w:val="00521194"/>
    <w:rsid w:val="00521782"/>
    <w:rsid w:val="0052199A"/>
    <w:rsid w:val="00521F4D"/>
    <w:rsid w:val="005238FB"/>
    <w:rsid w:val="00523C06"/>
    <w:rsid w:val="0052620D"/>
    <w:rsid w:val="0052768D"/>
    <w:rsid w:val="005300CC"/>
    <w:rsid w:val="005305F7"/>
    <w:rsid w:val="005308FE"/>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6EEC"/>
    <w:rsid w:val="00537E57"/>
    <w:rsid w:val="00537E62"/>
    <w:rsid w:val="005409E4"/>
    <w:rsid w:val="00541A79"/>
    <w:rsid w:val="00542F1B"/>
    <w:rsid w:val="00543150"/>
    <w:rsid w:val="005449D1"/>
    <w:rsid w:val="005450E8"/>
    <w:rsid w:val="0054671A"/>
    <w:rsid w:val="00546759"/>
    <w:rsid w:val="005509A7"/>
    <w:rsid w:val="00550D81"/>
    <w:rsid w:val="0055160A"/>
    <w:rsid w:val="00551B01"/>
    <w:rsid w:val="0055298A"/>
    <w:rsid w:val="00552F16"/>
    <w:rsid w:val="005530A1"/>
    <w:rsid w:val="00554062"/>
    <w:rsid w:val="0055438F"/>
    <w:rsid w:val="00554F93"/>
    <w:rsid w:val="00555B09"/>
    <w:rsid w:val="005577C9"/>
    <w:rsid w:val="0056093A"/>
    <w:rsid w:val="00560A3D"/>
    <w:rsid w:val="00560E36"/>
    <w:rsid w:val="00563CCF"/>
    <w:rsid w:val="00566555"/>
    <w:rsid w:val="0056691F"/>
    <w:rsid w:val="00567701"/>
    <w:rsid w:val="00572C56"/>
    <w:rsid w:val="0057390B"/>
    <w:rsid w:val="00573DF9"/>
    <w:rsid w:val="0057401C"/>
    <w:rsid w:val="00574219"/>
    <w:rsid w:val="005745C9"/>
    <w:rsid w:val="00574909"/>
    <w:rsid w:val="00575470"/>
    <w:rsid w:val="00575637"/>
    <w:rsid w:val="005757F2"/>
    <w:rsid w:val="005758B0"/>
    <w:rsid w:val="00575A0D"/>
    <w:rsid w:val="00575FBE"/>
    <w:rsid w:val="00576B41"/>
    <w:rsid w:val="005773AC"/>
    <w:rsid w:val="00577E29"/>
    <w:rsid w:val="005804CC"/>
    <w:rsid w:val="005805F9"/>
    <w:rsid w:val="00581D30"/>
    <w:rsid w:val="00583424"/>
    <w:rsid w:val="00583F69"/>
    <w:rsid w:val="0058406A"/>
    <w:rsid w:val="0058415D"/>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77"/>
    <w:rsid w:val="005911EB"/>
    <w:rsid w:val="00591808"/>
    <w:rsid w:val="0059202B"/>
    <w:rsid w:val="00592850"/>
    <w:rsid w:val="00592E14"/>
    <w:rsid w:val="00593CE0"/>
    <w:rsid w:val="00593D48"/>
    <w:rsid w:val="005941F4"/>
    <w:rsid w:val="00594463"/>
    <w:rsid w:val="00594EC3"/>
    <w:rsid w:val="00595E56"/>
    <w:rsid w:val="005960AF"/>
    <w:rsid w:val="005961EE"/>
    <w:rsid w:val="005972B7"/>
    <w:rsid w:val="0059771F"/>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4B18"/>
    <w:rsid w:val="005A5314"/>
    <w:rsid w:val="005A5DC5"/>
    <w:rsid w:val="005A73AE"/>
    <w:rsid w:val="005B13C2"/>
    <w:rsid w:val="005B1489"/>
    <w:rsid w:val="005B1B2C"/>
    <w:rsid w:val="005B3592"/>
    <w:rsid w:val="005B4AB2"/>
    <w:rsid w:val="005B4C3A"/>
    <w:rsid w:val="005B4CBC"/>
    <w:rsid w:val="005B5836"/>
    <w:rsid w:val="005B5EB3"/>
    <w:rsid w:val="005B6002"/>
    <w:rsid w:val="005B6779"/>
    <w:rsid w:val="005B6974"/>
    <w:rsid w:val="005B7117"/>
    <w:rsid w:val="005B79C0"/>
    <w:rsid w:val="005B7B5C"/>
    <w:rsid w:val="005B7C30"/>
    <w:rsid w:val="005B7F7A"/>
    <w:rsid w:val="005C047B"/>
    <w:rsid w:val="005C0790"/>
    <w:rsid w:val="005C134B"/>
    <w:rsid w:val="005C1851"/>
    <w:rsid w:val="005C2807"/>
    <w:rsid w:val="005C2BCE"/>
    <w:rsid w:val="005C4B43"/>
    <w:rsid w:val="005C56E9"/>
    <w:rsid w:val="005C7FEA"/>
    <w:rsid w:val="005D04AD"/>
    <w:rsid w:val="005D067D"/>
    <w:rsid w:val="005D124D"/>
    <w:rsid w:val="005D23EB"/>
    <w:rsid w:val="005D31F2"/>
    <w:rsid w:val="005D326F"/>
    <w:rsid w:val="005D3420"/>
    <w:rsid w:val="005D49B9"/>
    <w:rsid w:val="005D55DA"/>
    <w:rsid w:val="005D60A7"/>
    <w:rsid w:val="005D66D0"/>
    <w:rsid w:val="005D6C3C"/>
    <w:rsid w:val="005D7139"/>
    <w:rsid w:val="005D719A"/>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166D"/>
    <w:rsid w:val="006018B0"/>
    <w:rsid w:val="00604F70"/>
    <w:rsid w:val="00605026"/>
    <w:rsid w:val="0060545C"/>
    <w:rsid w:val="00605876"/>
    <w:rsid w:val="00606D42"/>
    <w:rsid w:val="00607540"/>
    <w:rsid w:val="0060799D"/>
    <w:rsid w:val="0061018C"/>
    <w:rsid w:val="0061038E"/>
    <w:rsid w:val="00610CD4"/>
    <w:rsid w:val="006119D5"/>
    <w:rsid w:val="00611F30"/>
    <w:rsid w:val="00612A34"/>
    <w:rsid w:val="006133EE"/>
    <w:rsid w:val="006135AC"/>
    <w:rsid w:val="0061380C"/>
    <w:rsid w:val="0061418F"/>
    <w:rsid w:val="006145F6"/>
    <w:rsid w:val="006149FD"/>
    <w:rsid w:val="00614D74"/>
    <w:rsid w:val="0061595E"/>
    <w:rsid w:val="00615AD3"/>
    <w:rsid w:val="0061614C"/>
    <w:rsid w:val="006165ED"/>
    <w:rsid w:val="00616EAF"/>
    <w:rsid w:val="006171D1"/>
    <w:rsid w:val="00617B36"/>
    <w:rsid w:val="00617DAC"/>
    <w:rsid w:val="006213BC"/>
    <w:rsid w:val="00621584"/>
    <w:rsid w:val="00621BD8"/>
    <w:rsid w:val="00622242"/>
    <w:rsid w:val="00623719"/>
    <w:rsid w:val="00623CA7"/>
    <w:rsid w:val="00624C13"/>
    <w:rsid w:val="00625639"/>
    <w:rsid w:val="00626684"/>
    <w:rsid w:val="00626F28"/>
    <w:rsid w:val="00627F05"/>
    <w:rsid w:val="006304C4"/>
    <w:rsid w:val="006307EA"/>
    <w:rsid w:val="00632458"/>
    <w:rsid w:val="00633162"/>
    <w:rsid w:val="006331AF"/>
    <w:rsid w:val="00634C1E"/>
    <w:rsid w:val="006354A7"/>
    <w:rsid w:val="00635EBD"/>
    <w:rsid w:val="00635ECA"/>
    <w:rsid w:val="006404BD"/>
    <w:rsid w:val="006418D4"/>
    <w:rsid w:val="006419C6"/>
    <w:rsid w:val="00642363"/>
    <w:rsid w:val="0064273C"/>
    <w:rsid w:val="00642CBA"/>
    <w:rsid w:val="00643B09"/>
    <w:rsid w:val="00643E55"/>
    <w:rsid w:val="006445E9"/>
    <w:rsid w:val="006456A8"/>
    <w:rsid w:val="00645922"/>
    <w:rsid w:val="006459A4"/>
    <w:rsid w:val="006479D4"/>
    <w:rsid w:val="006501E1"/>
    <w:rsid w:val="00651E8E"/>
    <w:rsid w:val="0065259E"/>
    <w:rsid w:val="00653F0D"/>
    <w:rsid w:val="00653FE2"/>
    <w:rsid w:val="00654906"/>
    <w:rsid w:val="006549CF"/>
    <w:rsid w:val="0065577C"/>
    <w:rsid w:val="00656097"/>
    <w:rsid w:val="00656378"/>
    <w:rsid w:val="0065673C"/>
    <w:rsid w:val="006571AE"/>
    <w:rsid w:val="006578BC"/>
    <w:rsid w:val="00660009"/>
    <w:rsid w:val="006601F8"/>
    <w:rsid w:val="00661E77"/>
    <w:rsid w:val="00662239"/>
    <w:rsid w:val="00662F6E"/>
    <w:rsid w:val="00663E1D"/>
    <w:rsid w:val="006641E3"/>
    <w:rsid w:val="00664312"/>
    <w:rsid w:val="00664DEF"/>
    <w:rsid w:val="00664E34"/>
    <w:rsid w:val="00666FCD"/>
    <w:rsid w:val="00667ABD"/>
    <w:rsid w:val="00670503"/>
    <w:rsid w:val="0067215D"/>
    <w:rsid w:val="00672E44"/>
    <w:rsid w:val="006732D3"/>
    <w:rsid w:val="00673775"/>
    <w:rsid w:val="00673B3A"/>
    <w:rsid w:val="00673FFD"/>
    <w:rsid w:val="00676B78"/>
    <w:rsid w:val="0067737E"/>
    <w:rsid w:val="0068165E"/>
    <w:rsid w:val="00682BA7"/>
    <w:rsid w:val="00682E57"/>
    <w:rsid w:val="00683CF6"/>
    <w:rsid w:val="00683F65"/>
    <w:rsid w:val="0068444E"/>
    <w:rsid w:val="00685070"/>
    <w:rsid w:val="00685B61"/>
    <w:rsid w:val="006869CB"/>
    <w:rsid w:val="00687680"/>
    <w:rsid w:val="006878EE"/>
    <w:rsid w:val="00690971"/>
    <w:rsid w:val="00691535"/>
    <w:rsid w:val="006917DC"/>
    <w:rsid w:val="0069191B"/>
    <w:rsid w:val="0069227C"/>
    <w:rsid w:val="00692702"/>
    <w:rsid w:val="006929A1"/>
    <w:rsid w:val="00694D9D"/>
    <w:rsid w:val="00694E86"/>
    <w:rsid w:val="00696C8A"/>
    <w:rsid w:val="00697431"/>
    <w:rsid w:val="006A0652"/>
    <w:rsid w:val="006A156C"/>
    <w:rsid w:val="006A2EAC"/>
    <w:rsid w:val="006A2EE6"/>
    <w:rsid w:val="006A4835"/>
    <w:rsid w:val="006A4D47"/>
    <w:rsid w:val="006A4FB8"/>
    <w:rsid w:val="006A703A"/>
    <w:rsid w:val="006A78B5"/>
    <w:rsid w:val="006A7C95"/>
    <w:rsid w:val="006A7EFA"/>
    <w:rsid w:val="006B044B"/>
    <w:rsid w:val="006B1DB7"/>
    <w:rsid w:val="006B2223"/>
    <w:rsid w:val="006B29D8"/>
    <w:rsid w:val="006B3739"/>
    <w:rsid w:val="006B40D3"/>
    <w:rsid w:val="006B6860"/>
    <w:rsid w:val="006B6C07"/>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5597"/>
    <w:rsid w:val="006C620D"/>
    <w:rsid w:val="006C7D5B"/>
    <w:rsid w:val="006D01DE"/>
    <w:rsid w:val="006D0C93"/>
    <w:rsid w:val="006D1A89"/>
    <w:rsid w:val="006D2492"/>
    <w:rsid w:val="006D273F"/>
    <w:rsid w:val="006D299E"/>
    <w:rsid w:val="006D2AAE"/>
    <w:rsid w:val="006D2D24"/>
    <w:rsid w:val="006D2E37"/>
    <w:rsid w:val="006D43CB"/>
    <w:rsid w:val="006D54D8"/>
    <w:rsid w:val="006D58C9"/>
    <w:rsid w:val="006D5E7D"/>
    <w:rsid w:val="006D61FA"/>
    <w:rsid w:val="006D6E00"/>
    <w:rsid w:val="006D7ADE"/>
    <w:rsid w:val="006D7F31"/>
    <w:rsid w:val="006E08DF"/>
    <w:rsid w:val="006E0C42"/>
    <w:rsid w:val="006E179C"/>
    <w:rsid w:val="006E27E2"/>
    <w:rsid w:val="006E4362"/>
    <w:rsid w:val="006E5D4E"/>
    <w:rsid w:val="006E681C"/>
    <w:rsid w:val="006E699A"/>
    <w:rsid w:val="006E7AA3"/>
    <w:rsid w:val="006F0270"/>
    <w:rsid w:val="006F0691"/>
    <w:rsid w:val="006F0AC2"/>
    <w:rsid w:val="006F0B6C"/>
    <w:rsid w:val="006F0E12"/>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9F9"/>
    <w:rsid w:val="00702452"/>
    <w:rsid w:val="00702E4D"/>
    <w:rsid w:val="00702FE0"/>
    <w:rsid w:val="00703100"/>
    <w:rsid w:val="007047BE"/>
    <w:rsid w:val="00704AAA"/>
    <w:rsid w:val="00705413"/>
    <w:rsid w:val="00705C20"/>
    <w:rsid w:val="00706592"/>
    <w:rsid w:val="00707383"/>
    <w:rsid w:val="007112FE"/>
    <w:rsid w:val="00711339"/>
    <w:rsid w:val="00713963"/>
    <w:rsid w:val="00713C2A"/>
    <w:rsid w:val="00714298"/>
    <w:rsid w:val="0071456C"/>
    <w:rsid w:val="007160FE"/>
    <w:rsid w:val="0071624F"/>
    <w:rsid w:val="00716A86"/>
    <w:rsid w:val="00716D5D"/>
    <w:rsid w:val="00717B00"/>
    <w:rsid w:val="0072124F"/>
    <w:rsid w:val="00721F2D"/>
    <w:rsid w:val="00722884"/>
    <w:rsid w:val="00722CB1"/>
    <w:rsid w:val="00723E75"/>
    <w:rsid w:val="0072423B"/>
    <w:rsid w:val="007248B2"/>
    <w:rsid w:val="00724A6F"/>
    <w:rsid w:val="00724BAD"/>
    <w:rsid w:val="0072520C"/>
    <w:rsid w:val="007258EB"/>
    <w:rsid w:val="00725F0F"/>
    <w:rsid w:val="007273EE"/>
    <w:rsid w:val="00727D2E"/>
    <w:rsid w:val="00730FB0"/>
    <w:rsid w:val="0073133D"/>
    <w:rsid w:val="007338A6"/>
    <w:rsid w:val="00733BDC"/>
    <w:rsid w:val="00733DA6"/>
    <w:rsid w:val="007340A6"/>
    <w:rsid w:val="00735154"/>
    <w:rsid w:val="0073551D"/>
    <w:rsid w:val="0074129E"/>
    <w:rsid w:val="00741421"/>
    <w:rsid w:val="00741F41"/>
    <w:rsid w:val="00741FCD"/>
    <w:rsid w:val="0074261F"/>
    <w:rsid w:val="0074281E"/>
    <w:rsid w:val="0074413A"/>
    <w:rsid w:val="00744C04"/>
    <w:rsid w:val="00744E84"/>
    <w:rsid w:val="00745231"/>
    <w:rsid w:val="00745FE9"/>
    <w:rsid w:val="00747CD1"/>
    <w:rsid w:val="0075071F"/>
    <w:rsid w:val="0075074B"/>
    <w:rsid w:val="007513AF"/>
    <w:rsid w:val="007518C6"/>
    <w:rsid w:val="00751AC3"/>
    <w:rsid w:val="00751C60"/>
    <w:rsid w:val="00751E45"/>
    <w:rsid w:val="00752D95"/>
    <w:rsid w:val="0075318A"/>
    <w:rsid w:val="00753F57"/>
    <w:rsid w:val="00754294"/>
    <w:rsid w:val="00754DFF"/>
    <w:rsid w:val="007558B8"/>
    <w:rsid w:val="007568E2"/>
    <w:rsid w:val="00756C43"/>
    <w:rsid w:val="00757144"/>
    <w:rsid w:val="0075751D"/>
    <w:rsid w:val="007577E0"/>
    <w:rsid w:val="007604A5"/>
    <w:rsid w:val="00760935"/>
    <w:rsid w:val="00760BA1"/>
    <w:rsid w:val="00761336"/>
    <w:rsid w:val="00762D28"/>
    <w:rsid w:val="007639AD"/>
    <w:rsid w:val="00763BAE"/>
    <w:rsid w:val="00763FDF"/>
    <w:rsid w:val="007641A3"/>
    <w:rsid w:val="00764CBF"/>
    <w:rsid w:val="007679FE"/>
    <w:rsid w:val="007707EA"/>
    <w:rsid w:val="00771DC8"/>
    <w:rsid w:val="00772085"/>
    <w:rsid w:val="00773F38"/>
    <w:rsid w:val="00774764"/>
    <w:rsid w:val="007755E4"/>
    <w:rsid w:val="007770CF"/>
    <w:rsid w:val="00780386"/>
    <w:rsid w:val="007804F4"/>
    <w:rsid w:val="00780EC6"/>
    <w:rsid w:val="00781805"/>
    <w:rsid w:val="00781BB1"/>
    <w:rsid w:val="007823E0"/>
    <w:rsid w:val="0078286C"/>
    <w:rsid w:val="0078361A"/>
    <w:rsid w:val="00783BB2"/>
    <w:rsid w:val="00783EFC"/>
    <w:rsid w:val="0078525F"/>
    <w:rsid w:val="00785B48"/>
    <w:rsid w:val="00785E01"/>
    <w:rsid w:val="007862A4"/>
    <w:rsid w:val="00786ACE"/>
    <w:rsid w:val="0078753C"/>
    <w:rsid w:val="007916C7"/>
    <w:rsid w:val="00791FC5"/>
    <w:rsid w:val="00792E9A"/>
    <w:rsid w:val="00793BEA"/>
    <w:rsid w:val="00793C60"/>
    <w:rsid w:val="0079433A"/>
    <w:rsid w:val="00794DEE"/>
    <w:rsid w:val="00795A25"/>
    <w:rsid w:val="00795B8E"/>
    <w:rsid w:val="007A0470"/>
    <w:rsid w:val="007A1DD8"/>
    <w:rsid w:val="007A2788"/>
    <w:rsid w:val="007A2E43"/>
    <w:rsid w:val="007A3961"/>
    <w:rsid w:val="007A41E4"/>
    <w:rsid w:val="007A4847"/>
    <w:rsid w:val="007A4A5D"/>
    <w:rsid w:val="007A502A"/>
    <w:rsid w:val="007A51D1"/>
    <w:rsid w:val="007A5B16"/>
    <w:rsid w:val="007A60D4"/>
    <w:rsid w:val="007A78D0"/>
    <w:rsid w:val="007A792E"/>
    <w:rsid w:val="007B291E"/>
    <w:rsid w:val="007B3238"/>
    <w:rsid w:val="007B3442"/>
    <w:rsid w:val="007B3950"/>
    <w:rsid w:val="007B3B0F"/>
    <w:rsid w:val="007B3D4A"/>
    <w:rsid w:val="007B3E8E"/>
    <w:rsid w:val="007B43D2"/>
    <w:rsid w:val="007B537D"/>
    <w:rsid w:val="007B585B"/>
    <w:rsid w:val="007B7730"/>
    <w:rsid w:val="007C070C"/>
    <w:rsid w:val="007C09A3"/>
    <w:rsid w:val="007C0B35"/>
    <w:rsid w:val="007C1584"/>
    <w:rsid w:val="007C198A"/>
    <w:rsid w:val="007C1BB4"/>
    <w:rsid w:val="007C1CED"/>
    <w:rsid w:val="007C2AE3"/>
    <w:rsid w:val="007C3AF8"/>
    <w:rsid w:val="007C46AB"/>
    <w:rsid w:val="007C53E2"/>
    <w:rsid w:val="007C6E7D"/>
    <w:rsid w:val="007D01D5"/>
    <w:rsid w:val="007D099A"/>
    <w:rsid w:val="007D125D"/>
    <w:rsid w:val="007D18EA"/>
    <w:rsid w:val="007D1D40"/>
    <w:rsid w:val="007D4491"/>
    <w:rsid w:val="007D5BE4"/>
    <w:rsid w:val="007D7723"/>
    <w:rsid w:val="007D7B72"/>
    <w:rsid w:val="007E0736"/>
    <w:rsid w:val="007E163C"/>
    <w:rsid w:val="007E260E"/>
    <w:rsid w:val="007E264B"/>
    <w:rsid w:val="007E28A1"/>
    <w:rsid w:val="007E29C6"/>
    <w:rsid w:val="007E2CB7"/>
    <w:rsid w:val="007E3580"/>
    <w:rsid w:val="007E3F2A"/>
    <w:rsid w:val="007E4FCA"/>
    <w:rsid w:val="007E5C07"/>
    <w:rsid w:val="007E5D77"/>
    <w:rsid w:val="007E5F30"/>
    <w:rsid w:val="007E6842"/>
    <w:rsid w:val="007E79DA"/>
    <w:rsid w:val="007F0216"/>
    <w:rsid w:val="007F037D"/>
    <w:rsid w:val="007F17D2"/>
    <w:rsid w:val="007F186F"/>
    <w:rsid w:val="007F2653"/>
    <w:rsid w:val="007F265A"/>
    <w:rsid w:val="007F2AC5"/>
    <w:rsid w:val="007F4D1F"/>
    <w:rsid w:val="007F5A0E"/>
    <w:rsid w:val="007F6199"/>
    <w:rsid w:val="007F61D3"/>
    <w:rsid w:val="007F696B"/>
    <w:rsid w:val="007F707D"/>
    <w:rsid w:val="007F7131"/>
    <w:rsid w:val="007F7E1D"/>
    <w:rsid w:val="007F7EDA"/>
    <w:rsid w:val="008005CF"/>
    <w:rsid w:val="00800715"/>
    <w:rsid w:val="008018ED"/>
    <w:rsid w:val="00802ECD"/>
    <w:rsid w:val="00803B51"/>
    <w:rsid w:val="00803ED1"/>
    <w:rsid w:val="0080538D"/>
    <w:rsid w:val="00805A1D"/>
    <w:rsid w:val="008069BB"/>
    <w:rsid w:val="00806F0D"/>
    <w:rsid w:val="00807B72"/>
    <w:rsid w:val="00810040"/>
    <w:rsid w:val="008102A4"/>
    <w:rsid w:val="008119F1"/>
    <w:rsid w:val="00812A75"/>
    <w:rsid w:val="00812C95"/>
    <w:rsid w:val="00812D0F"/>
    <w:rsid w:val="00812FC5"/>
    <w:rsid w:val="00813EC7"/>
    <w:rsid w:val="0081496C"/>
    <w:rsid w:val="00814B5C"/>
    <w:rsid w:val="008150F5"/>
    <w:rsid w:val="00815823"/>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259D3"/>
    <w:rsid w:val="008279A0"/>
    <w:rsid w:val="008306CA"/>
    <w:rsid w:val="00831655"/>
    <w:rsid w:val="0083174C"/>
    <w:rsid w:val="00832C6D"/>
    <w:rsid w:val="008334D7"/>
    <w:rsid w:val="00833629"/>
    <w:rsid w:val="00833A13"/>
    <w:rsid w:val="00833ADF"/>
    <w:rsid w:val="0083413E"/>
    <w:rsid w:val="008341E1"/>
    <w:rsid w:val="008342BC"/>
    <w:rsid w:val="00836B1E"/>
    <w:rsid w:val="00840242"/>
    <w:rsid w:val="00841540"/>
    <w:rsid w:val="008428B4"/>
    <w:rsid w:val="00843193"/>
    <w:rsid w:val="008439F7"/>
    <w:rsid w:val="00843FF7"/>
    <w:rsid w:val="00845917"/>
    <w:rsid w:val="00845F2F"/>
    <w:rsid w:val="008465E6"/>
    <w:rsid w:val="00846642"/>
    <w:rsid w:val="00846783"/>
    <w:rsid w:val="00846FC5"/>
    <w:rsid w:val="00847391"/>
    <w:rsid w:val="00847667"/>
    <w:rsid w:val="00850A9C"/>
    <w:rsid w:val="0085103C"/>
    <w:rsid w:val="0085118A"/>
    <w:rsid w:val="0085247A"/>
    <w:rsid w:val="0085247C"/>
    <w:rsid w:val="00852C8A"/>
    <w:rsid w:val="008531CA"/>
    <w:rsid w:val="00853A9A"/>
    <w:rsid w:val="008540E7"/>
    <w:rsid w:val="0085493D"/>
    <w:rsid w:val="00854E78"/>
    <w:rsid w:val="0085504B"/>
    <w:rsid w:val="00856436"/>
    <w:rsid w:val="00856A00"/>
    <w:rsid w:val="00856BB2"/>
    <w:rsid w:val="00857292"/>
    <w:rsid w:val="00857763"/>
    <w:rsid w:val="008602EF"/>
    <w:rsid w:val="00861AE4"/>
    <w:rsid w:val="008620CC"/>
    <w:rsid w:val="0086260A"/>
    <w:rsid w:val="0086394C"/>
    <w:rsid w:val="00863987"/>
    <w:rsid w:val="00863BA1"/>
    <w:rsid w:val="00863CDE"/>
    <w:rsid w:val="00864142"/>
    <w:rsid w:val="0086473F"/>
    <w:rsid w:val="00864D13"/>
    <w:rsid w:val="00864EDE"/>
    <w:rsid w:val="00865846"/>
    <w:rsid w:val="00865D6F"/>
    <w:rsid w:val="00866427"/>
    <w:rsid w:val="00870B73"/>
    <w:rsid w:val="00871D37"/>
    <w:rsid w:val="00873A2B"/>
    <w:rsid w:val="00873DC8"/>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3D6D"/>
    <w:rsid w:val="00894187"/>
    <w:rsid w:val="008943C4"/>
    <w:rsid w:val="008944E9"/>
    <w:rsid w:val="008951D8"/>
    <w:rsid w:val="00895471"/>
    <w:rsid w:val="00895504"/>
    <w:rsid w:val="008956F3"/>
    <w:rsid w:val="00897D46"/>
    <w:rsid w:val="008A17D3"/>
    <w:rsid w:val="008A26EF"/>
    <w:rsid w:val="008A3A86"/>
    <w:rsid w:val="008A4070"/>
    <w:rsid w:val="008A412B"/>
    <w:rsid w:val="008A4522"/>
    <w:rsid w:val="008A58F5"/>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933"/>
    <w:rsid w:val="008B5B4F"/>
    <w:rsid w:val="008B6DD6"/>
    <w:rsid w:val="008B6FBD"/>
    <w:rsid w:val="008B70A5"/>
    <w:rsid w:val="008B7456"/>
    <w:rsid w:val="008B7D05"/>
    <w:rsid w:val="008C018E"/>
    <w:rsid w:val="008C03D9"/>
    <w:rsid w:val="008C04E0"/>
    <w:rsid w:val="008C075D"/>
    <w:rsid w:val="008C0BB3"/>
    <w:rsid w:val="008C0C31"/>
    <w:rsid w:val="008C2009"/>
    <w:rsid w:val="008C29E3"/>
    <w:rsid w:val="008C3390"/>
    <w:rsid w:val="008C3EDE"/>
    <w:rsid w:val="008C4402"/>
    <w:rsid w:val="008C4935"/>
    <w:rsid w:val="008C4E61"/>
    <w:rsid w:val="008C5257"/>
    <w:rsid w:val="008C5947"/>
    <w:rsid w:val="008C67E3"/>
    <w:rsid w:val="008C72AA"/>
    <w:rsid w:val="008C7B8C"/>
    <w:rsid w:val="008C7EE3"/>
    <w:rsid w:val="008D0850"/>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6385"/>
    <w:rsid w:val="008E75EF"/>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3232"/>
    <w:rsid w:val="009134C5"/>
    <w:rsid w:val="00913971"/>
    <w:rsid w:val="0091397B"/>
    <w:rsid w:val="0091586E"/>
    <w:rsid w:val="00915C93"/>
    <w:rsid w:val="00916152"/>
    <w:rsid w:val="0091679B"/>
    <w:rsid w:val="00917503"/>
    <w:rsid w:val="0091765D"/>
    <w:rsid w:val="009216B0"/>
    <w:rsid w:val="00921D1E"/>
    <w:rsid w:val="009220FE"/>
    <w:rsid w:val="009237F1"/>
    <w:rsid w:val="00923B13"/>
    <w:rsid w:val="00923E8D"/>
    <w:rsid w:val="009258B4"/>
    <w:rsid w:val="00925C45"/>
    <w:rsid w:val="00926170"/>
    <w:rsid w:val="00926A89"/>
    <w:rsid w:val="00926D7A"/>
    <w:rsid w:val="0092742A"/>
    <w:rsid w:val="00930447"/>
    <w:rsid w:val="009337AD"/>
    <w:rsid w:val="00933B40"/>
    <w:rsid w:val="00933BC1"/>
    <w:rsid w:val="00934BB3"/>
    <w:rsid w:val="00935839"/>
    <w:rsid w:val="009365C0"/>
    <w:rsid w:val="00936995"/>
    <w:rsid w:val="00936A50"/>
    <w:rsid w:val="00937C26"/>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2334"/>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95E"/>
    <w:rsid w:val="00966C1A"/>
    <w:rsid w:val="009707CB"/>
    <w:rsid w:val="009708BB"/>
    <w:rsid w:val="00970BAD"/>
    <w:rsid w:val="00971D6E"/>
    <w:rsid w:val="00973138"/>
    <w:rsid w:val="0097373F"/>
    <w:rsid w:val="009748A2"/>
    <w:rsid w:val="00975463"/>
    <w:rsid w:val="00976299"/>
    <w:rsid w:val="00976FCC"/>
    <w:rsid w:val="009775D9"/>
    <w:rsid w:val="00981058"/>
    <w:rsid w:val="00981718"/>
    <w:rsid w:val="00982CD8"/>
    <w:rsid w:val="00982E9D"/>
    <w:rsid w:val="009833B3"/>
    <w:rsid w:val="00983DB7"/>
    <w:rsid w:val="00984364"/>
    <w:rsid w:val="00984B7A"/>
    <w:rsid w:val="00984FC9"/>
    <w:rsid w:val="00985C11"/>
    <w:rsid w:val="0098624F"/>
    <w:rsid w:val="00986D21"/>
    <w:rsid w:val="009878DE"/>
    <w:rsid w:val="00987BA4"/>
    <w:rsid w:val="00990020"/>
    <w:rsid w:val="00990BD3"/>
    <w:rsid w:val="009912D0"/>
    <w:rsid w:val="00991441"/>
    <w:rsid w:val="00991840"/>
    <w:rsid w:val="00991EF9"/>
    <w:rsid w:val="009923C8"/>
    <w:rsid w:val="009926F5"/>
    <w:rsid w:val="00992919"/>
    <w:rsid w:val="00993D02"/>
    <w:rsid w:val="00994328"/>
    <w:rsid w:val="009949A0"/>
    <w:rsid w:val="009965AA"/>
    <w:rsid w:val="009968C2"/>
    <w:rsid w:val="00996C96"/>
    <w:rsid w:val="00996F2A"/>
    <w:rsid w:val="00997361"/>
    <w:rsid w:val="0099778E"/>
    <w:rsid w:val="00997933"/>
    <w:rsid w:val="009A28C7"/>
    <w:rsid w:val="009A2D1D"/>
    <w:rsid w:val="009A2EDF"/>
    <w:rsid w:val="009A329F"/>
    <w:rsid w:val="009A34E4"/>
    <w:rsid w:val="009A37F9"/>
    <w:rsid w:val="009A3DB6"/>
    <w:rsid w:val="009A3F25"/>
    <w:rsid w:val="009A4BD6"/>
    <w:rsid w:val="009A4F3B"/>
    <w:rsid w:val="009A5527"/>
    <w:rsid w:val="009A60EC"/>
    <w:rsid w:val="009A634A"/>
    <w:rsid w:val="009A68CA"/>
    <w:rsid w:val="009A6D00"/>
    <w:rsid w:val="009A7318"/>
    <w:rsid w:val="009B024C"/>
    <w:rsid w:val="009B0645"/>
    <w:rsid w:val="009B0ADC"/>
    <w:rsid w:val="009B0CBC"/>
    <w:rsid w:val="009B12CE"/>
    <w:rsid w:val="009B1CC0"/>
    <w:rsid w:val="009B2049"/>
    <w:rsid w:val="009B28C5"/>
    <w:rsid w:val="009B353D"/>
    <w:rsid w:val="009B3B3B"/>
    <w:rsid w:val="009B5D78"/>
    <w:rsid w:val="009B64B6"/>
    <w:rsid w:val="009B6D16"/>
    <w:rsid w:val="009B7222"/>
    <w:rsid w:val="009C035F"/>
    <w:rsid w:val="009C0C06"/>
    <w:rsid w:val="009C2B86"/>
    <w:rsid w:val="009C4C34"/>
    <w:rsid w:val="009C5150"/>
    <w:rsid w:val="009C5B8B"/>
    <w:rsid w:val="009C5EA9"/>
    <w:rsid w:val="009C7A3A"/>
    <w:rsid w:val="009D02BF"/>
    <w:rsid w:val="009D08A0"/>
    <w:rsid w:val="009D1728"/>
    <w:rsid w:val="009D1C9D"/>
    <w:rsid w:val="009D1F7E"/>
    <w:rsid w:val="009D3902"/>
    <w:rsid w:val="009D40AC"/>
    <w:rsid w:val="009D4718"/>
    <w:rsid w:val="009D4C31"/>
    <w:rsid w:val="009D7B69"/>
    <w:rsid w:val="009E0612"/>
    <w:rsid w:val="009E18D7"/>
    <w:rsid w:val="009E1B79"/>
    <w:rsid w:val="009E2931"/>
    <w:rsid w:val="009E2C1F"/>
    <w:rsid w:val="009E343F"/>
    <w:rsid w:val="009E3CDD"/>
    <w:rsid w:val="009E41A5"/>
    <w:rsid w:val="009E5151"/>
    <w:rsid w:val="009E65F5"/>
    <w:rsid w:val="009E6B9D"/>
    <w:rsid w:val="009E758D"/>
    <w:rsid w:val="009F0074"/>
    <w:rsid w:val="009F06B9"/>
    <w:rsid w:val="009F2DD6"/>
    <w:rsid w:val="009F4941"/>
    <w:rsid w:val="009F4F39"/>
    <w:rsid w:val="009F608A"/>
    <w:rsid w:val="009F61BC"/>
    <w:rsid w:val="009F6D66"/>
    <w:rsid w:val="009F719F"/>
    <w:rsid w:val="009F7F59"/>
    <w:rsid w:val="00A0025D"/>
    <w:rsid w:val="00A006E8"/>
    <w:rsid w:val="00A00DA7"/>
    <w:rsid w:val="00A01278"/>
    <w:rsid w:val="00A0154C"/>
    <w:rsid w:val="00A01913"/>
    <w:rsid w:val="00A01C48"/>
    <w:rsid w:val="00A01C6B"/>
    <w:rsid w:val="00A02AD5"/>
    <w:rsid w:val="00A03DFA"/>
    <w:rsid w:val="00A03E89"/>
    <w:rsid w:val="00A055DB"/>
    <w:rsid w:val="00A07D2B"/>
    <w:rsid w:val="00A1008C"/>
    <w:rsid w:val="00A10508"/>
    <w:rsid w:val="00A109AF"/>
    <w:rsid w:val="00A12157"/>
    <w:rsid w:val="00A131BA"/>
    <w:rsid w:val="00A137BF"/>
    <w:rsid w:val="00A139EF"/>
    <w:rsid w:val="00A14FB2"/>
    <w:rsid w:val="00A16521"/>
    <w:rsid w:val="00A168F0"/>
    <w:rsid w:val="00A17033"/>
    <w:rsid w:val="00A17A25"/>
    <w:rsid w:val="00A204A8"/>
    <w:rsid w:val="00A20D74"/>
    <w:rsid w:val="00A23634"/>
    <w:rsid w:val="00A24AF6"/>
    <w:rsid w:val="00A2586E"/>
    <w:rsid w:val="00A262BA"/>
    <w:rsid w:val="00A264E6"/>
    <w:rsid w:val="00A264EC"/>
    <w:rsid w:val="00A266C7"/>
    <w:rsid w:val="00A26913"/>
    <w:rsid w:val="00A305C8"/>
    <w:rsid w:val="00A30677"/>
    <w:rsid w:val="00A308AD"/>
    <w:rsid w:val="00A30F68"/>
    <w:rsid w:val="00A3144A"/>
    <w:rsid w:val="00A32DFC"/>
    <w:rsid w:val="00A3306E"/>
    <w:rsid w:val="00A33994"/>
    <w:rsid w:val="00A3476B"/>
    <w:rsid w:val="00A35A94"/>
    <w:rsid w:val="00A36A69"/>
    <w:rsid w:val="00A371BE"/>
    <w:rsid w:val="00A400C2"/>
    <w:rsid w:val="00A40D32"/>
    <w:rsid w:val="00A410B9"/>
    <w:rsid w:val="00A41491"/>
    <w:rsid w:val="00A42E37"/>
    <w:rsid w:val="00A43685"/>
    <w:rsid w:val="00A4392F"/>
    <w:rsid w:val="00A43DCE"/>
    <w:rsid w:val="00A45199"/>
    <w:rsid w:val="00A45BEF"/>
    <w:rsid w:val="00A45E6C"/>
    <w:rsid w:val="00A4705E"/>
    <w:rsid w:val="00A4709C"/>
    <w:rsid w:val="00A50140"/>
    <w:rsid w:val="00A50C26"/>
    <w:rsid w:val="00A515B3"/>
    <w:rsid w:val="00A520AC"/>
    <w:rsid w:val="00A52A2C"/>
    <w:rsid w:val="00A5336F"/>
    <w:rsid w:val="00A5458B"/>
    <w:rsid w:val="00A5618B"/>
    <w:rsid w:val="00A56966"/>
    <w:rsid w:val="00A56BA6"/>
    <w:rsid w:val="00A61582"/>
    <w:rsid w:val="00A6167D"/>
    <w:rsid w:val="00A61AD0"/>
    <w:rsid w:val="00A61D73"/>
    <w:rsid w:val="00A62174"/>
    <w:rsid w:val="00A6217F"/>
    <w:rsid w:val="00A625E3"/>
    <w:rsid w:val="00A62B65"/>
    <w:rsid w:val="00A63A8D"/>
    <w:rsid w:val="00A63C1C"/>
    <w:rsid w:val="00A64F62"/>
    <w:rsid w:val="00A65A64"/>
    <w:rsid w:val="00A660CC"/>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BDB"/>
    <w:rsid w:val="00A90E56"/>
    <w:rsid w:val="00A9106E"/>
    <w:rsid w:val="00A910E4"/>
    <w:rsid w:val="00A91207"/>
    <w:rsid w:val="00A9298E"/>
    <w:rsid w:val="00A94273"/>
    <w:rsid w:val="00A94350"/>
    <w:rsid w:val="00A9488B"/>
    <w:rsid w:val="00A94FCF"/>
    <w:rsid w:val="00A94FF6"/>
    <w:rsid w:val="00A9553B"/>
    <w:rsid w:val="00A955EB"/>
    <w:rsid w:val="00A959F1"/>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0B70"/>
    <w:rsid w:val="00AB1721"/>
    <w:rsid w:val="00AB1738"/>
    <w:rsid w:val="00AB19A5"/>
    <w:rsid w:val="00AB1C27"/>
    <w:rsid w:val="00AB2534"/>
    <w:rsid w:val="00AB3218"/>
    <w:rsid w:val="00AB38C1"/>
    <w:rsid w:val="00AB69C0"/>
    <w:rsid w:val="00AB7356"/>
    <w:rsid w:val="00AC25A0"/>
    <w:rsid w:val="00AC38B7"/>
    <w:rsid w:val="00AC3978"/>
    <w:rsid w:val="00AC3AE6"/>
    <w:rsid w:val="00AC3F2E"/>
    <w:rsid w:val="00AC761F"/>
    <w:rsid w:val="00AC7909"/>
    <w:rsid w:val="00AC7EBD"/>
    <w:rsid w:val="00AD1CB6"/>
    <w:rsid w:val="00AD2568"/>
    <w:rsid w:val="00AD2ABB"/>
    <w:rsid w:val="00AD33B2"/>
    <w:rsid w:val="00AD4873"/>
    <w:rsid w:val="00AD5909"/>
    <w:rsid w:val="00AD7048"/>
    <w:rsid w:val="00AD7C77"/>
    <w:rsid w:val="00AE0B03"/>
    <w:rsid w:val="00AE1252"/>
    <w:rsid w:val="00AE14BC"/>
    <w:rsid w:val="00AE15A3"/>
    <w:rsid w:val="00AE1D1D"/>
    <w:rsid w:val="00AE229A"/>
    <w:rsid w:val="00AE23E1"/>
    <w:rsid w:val="00AE2725"/>
    <w:rsid w:val="00AE2979"/>
    <w:rsid w:val="00AE33DB"/>
    <w:rsid w:val="00AE3B72"/>
    <w:rsid w:val="00AE4ADE"/>
    <w:rsid w:val="00AE4C2D"/>
    <w:rsid w:val="00AE55B5"/>
    <w:rsid w:val="00AE5CE8"/>
    <w:rsid w:val="00AE637A"/>
    <w:rsid w:val="00AE734B"/>
    <w:rsid w:val="00AF066C"/>
    <w:rsid w:val="00AF1B70"/>
    <w:rsid w:val="00AF1B71"/>
    <w:rsid w:val="00AF26E1"/>
    <w:rsid w:val="00AF3D20"/>
    <w:rsid w:val="00AF406D"/>
    <w:rsid w:val="00AF4170"/>
    <w:rsid w:val="00AF4C36"/>
    <w:rsid w:val="00AF5074"/>
    <w:rsid w:val="00AF7416"/>
    <w:rsid w:val="00AF775E"/>
    <w:rsid w:val="00AF7FA9"/>
    <w:rsid w:val="00B018E8"/>
    <w:rsid w:val="00B01CAF"/>
    <w:rsid w:val="00B02073"/>
    <w:rsid w:val="00B025BE"/>
    <w:rsid w:val="00B02DAF"/>
    <w:rsid w:val="00B030D2"/>
    <w:rsid w:val="00B0397C"/>
    <w:rsid w:val="00B04045"/>
    <w:rsid w:val="00B04A50"/>
    <w:rsid w:val="00B06178"/>
    <w:rsid w:val="00B07373"/>
    <w:rsid w:val="00B07901"/>
    <w:rsid w:val="00B07A7C"/>
    <w:rsid w:val="00B07D05"/>
    <w:rsid w:val="00B10FDC"/>
    <w:rsid w:val="00B1245D"/>
    <w:rsid w:val="00B12911"/>
    <w:rsid w:val="00B138AB"/>
    <w:rsid w:val="00B150DF"/>
    <w:rsid w:val="00B15226"/>
    <w:rsid w:val="00B1539D"/>
    <w:rsid w:val="00B15E25"/>
    <w:rsid w:val="00B17764"/>
    <w:rsid w:val="00B2068D"/>
    <w:rsid w:val="00B20B66"/>
    <w:rsid w:val="00B22134"/>
    <w:rsid w:val="00B225CB"/>
    <w:rsid w:val="00B23735"/>
    <w:rsid w:val="00B23857"/>
    <w:rsid w:val="00B23DBB"/>
    <w:rsid w:val="00B2411B"/>
    <w:rsid w:val="00B2452E"/>
    <w:rsid w:val="00B2461F"/>
    <w:rsid w:val="00B2476F"/>
    <w:rsid w:val="00B26A59"/>
    <w:rsid w:val="00B27040"/>
    <w:rsid w:val="00B271B1"/>
    <w:rsid w:val="00B27723"/>
    <w:rsid w:val="00B27A81"/>
    <w:rsid w:val="00B30580"/>
    <w:rsid w:val="00B31119"/>
    <w:rsid w:val="00B311F4"/>
    <w:rsid w:val="00B325F9"/>
    <w:rsid w:val="00B326AD"/>
    <w:rsid w:val="00B328CE"/>
    <w:rsid w:val="00B3341E"/>
    <w:rsid w:val="00B33B25"/>
    <w:rsid w:val="00B33DAE"/>
    <w:rsid w:val="00B34176"/>
    <w:rsid w:val="00B346FB"/>
    <w:rsid w:val="00B34E65"/>
    <w:rsid w:val="00B34FF6"/>
    <w:rsid w:val="00B35934"/>
    <w:rsid w:val="00B36EDB"/>
    <w:rsid w:val="00B37295"/>
    <w:rsid w:val="00B373C9"/>
    <w:rsid w:val="00B37798"/>
    <w:rsid w:val="00B377E5"/>
    <w:rsid w:val="00B41C8A"/>
    <w:rsid w:val="00B42B74"/>
    <w:rsid w:val="00B42D6B"/>
    <w:rsid w:val="00B4301F"/>
    <w:rsid w:val="00B43328"/>
    <w:rsid w:val="00B438B5"/>
    <w:rsid w:val="00B43C3F"/>
    <w:rsid w:val="00B43F53"/>
    <w:rsid w:val="00B44A68"/>
    <w:rsid w:val="00B451C4"/>
    <w:rsid w:val="00B451FA"/>
    <w:rsid w:val="00B47946"/>
    <w:rsid w:val="00B5088B"/>
    <w:rsid w:val="00B51B04"/>
    <w:rsid w:val="00B51EA7"/>
    <w:rsid w:val="00B5266A"/>
    <w:rsid w:val="00B55B65"/>
    <w:rsid w:val="00B56CD0"/>
    <w:rsid w:val="00B56D72"/>
    <w:rsid w:val="00B5704F"/>
    <w:rsid w:val="00B5775E"/>
    <w:rsid w:val="00B607B5"/>
    <w:rsid w:val="00B6085D"/>
    <w:rsid w:val="00B614AC"/>
    <w:rsid w:val="00B62BFA"/>
    <w:rsid w:val="00B6421F"/>
    <w:rsid w:val="00B65CF8"/>
    <w:rsid w:val="00B66858"/>
    <w:rsid w:val="00B669E5"/>
    <w:rsid w:val="00B67B0B"/>
    <w:rsid w:val="00B67CAB"/>
    <w:rsid w:val="00B71DBD"/>
    <w:rsid w:val="00B72937"/>
    <w:rsid w:val="00B74598"/>
    <w:rsid w:val="00B74793"/>
    <w:rsid w:val="00B74B53"/>
    <w:rsid w:val="00B75557"/>
    <w:rsid w:val="00B75A36"/>
    <w:rsid w:val="00B76D23"/>
    <w:rsid w:val="00B77002"/>
    <w:rsid w:val="00B77C5C"/>
    <w:rsid w:val="00B77DDD"/>
    <w:rsid w:val="00B8047B"/>
    <w:rsid w:val="00B81886"/>
    <w:rsid w:val="00B81D39"/>
    <w:rsid w:val="00B81DA7"/>
    <w:rsid w:val="00B8329D"/>
    <w:rsid w:val="00B832A5"/>
    <w:rsid w:val="00B835D6"/>
    <w:rsid w:val="00B83E7F"/>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2FCC"/>
    <w:rsid w:val="00B9342A"/>
    <w:rsid w:val="00B93985"/>
    <w:rsid w:val="00B94124"/>
    <w:rsid w:val="00B94427"/>
    <w:rsid w:val="00B9459C"/>
    <w:rsid w:val="00B94E59"/>
    <w:rsid w:val="00B95893"/>
    <w:rsid w:val="00B965B1"/>
    <w:rsid w:val="00B97703"/>
    <w:rsid w:val="00B97BE8"/>
    <w:rsid w:val="00B97E37"/>
    <w:rsid w:val="00BA02F3"/>
    <w:rsid w:val="00BA0D73"/>
    <w:rsid w:val="00BA1404"/>
    <w:rsid w:val="00BA218A"/>
    <w:rsid w:val="00BA2C07"/>
    <w:rsid w:val="00BA34FF"/>
    <w:rsid w:val="00BA3947"/>
    <w:rsid w:val="00BA44F3"/>
    <w:rsid w:val="00BA56D8"/>
    <w:rsid w:val="00BA5A83"/>
    <w:rsid w:val="00BA5BA7"/>
    <w:rsid w:val="00BA600A"/>
    <w:rsid w:val="00BA685C"/>
    <w:rsid w:val="00BA6A69"/>
    <w:rsid w:val="00BA6E56"/>
    <w:rsid w:val="00BA7027"/>
    <w:rsid w:val="00BB1EDE"/>
    <w:rsid w:val="00BB2057"/>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2293"/>
    <w:rsid w:val="00BC2527"/>
    <w:rsid w:val="00BC2603"/>
    <w:rsid w:val="00BC3882"/>
    <w:rsid w:val="00BC4704"/>
    <w:rsid w:val="00BC528D"/>
    <w:rsid w:val="00BC57C6"/>
    <w:rsid w:val="00BC62BF"/>
    <w:rsid w:val="00BC6BB5"/>
    <w:rsid w:val="00BC766E"/>
    <w:rsid w:val="00BC7AA7"/>
    <w:rsid w:val="00BD0A65"/>
    <w:rsid w:val="00BD0FD5"/>
    <w:rsid w:val="00BD1B34"/>
    <w:rsid w:val="00BD1BAD"/>
    <w:rsid w:val="00BD2FEB"/>
    <w:rsid w:val="00BD325F"/>
    <w:rsid w:val="00BD37EC"/>
    <w:rsid w:val="00BD3A31"/>
    <w:rsid w:val="00BD4270"/>
    <w:rsid w:val="00BD4B12"/>
    <w:rsid w:val="00BD4F47"/>
    <w:rsid w:val="00BD5261"/>
    <w:rsid w:val="00BD6D6D"/>
    <w:rsid w:val="00BD6FB8"/>
    <w:rsid w:val="00BD73F3"/>
    <w:rsid w:val="00BD746D"/>
    <w:rsid w:val="00BE0806"/>
    <w:rsid w:val="00BE0BAB"/>
    <w:rsid w:val="00BE21C5"/>
    <w:rsid w:val="00BE45EE"/>
    <w:rsid w:val="00BE4763"/>
    <w:rsid w:val="00BE5211"/>
    <w:rsid w:val="00BE6A1B"/>
    <w:rsid w:val="00BE6D5C"/>
    <w:rsid w:val="00BE77F2"/>
    <w:rsid w:val="00BF0024"/>
    <w:rsid w:val="00BF1519"/>
    <w:rsid w:val="00BF16E1"/>
    <w:rsid w:val="00BF2389"/>
    <w:rsid w:val="00BF2E5D"/>
    <w:rsid w:val="00BF4100"/>
    <w:rsid w:val="00BF4BA8"/>
    <w:rsid w:val="00BF5C37"/>
    <w:rsid w:val="00BF7D9E"/>
    <w:rsid w:val="00C001A4"/>
    <w:rsid w:val="00C00366"/>
    <w:rsid w:val="00C003E2"/>
    <w:rsid w:val="00C0063B"/>
    <w:rsid w:val="00C012AA"/>
    <w:rsid w:val="00C012D1"/>
    <w:rsid w:val="00C01432"/>
    <w:rsid w:val="00C019CF"/>
    <w:rsid w:val="00C025DB"/>
    <w:rsid w:val="00C02AC7"/>
    <w:rsid w:val="00C03B1E"/>
    <w:rsid w:val="00C056DA"/>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4E0F"/>
    <w:rsid w:val="00C157E9"/>
    <w:rsid w:val="00C15B41"/>
    <w:rsid w:val="00C170CE"/>
    <w:rsid w:val="00C17132"/>
    <w:rsid w:val="00C171CA"/>
    <w:rsid w:val="00C1734A"/>
    <w:rsid w:val="00C1753D"/>
    <w:rsid w:val="00C17AD0"/>
    <w:rsid w:val="00C21CB4"/>
    <w:rsid w:val="00C22253"/>
    <w:rsid w:val="00C22B8D"/>
    <w:rsid w:val="00C242DE"/>
    <w:rsid w:val="00C2433E"/>
    <w:rsid w:val="00C24A5A"/>
    <w:rsid w:val="00C24C2B"/>
    <w:rsid w:val="00C24EAD"/>
    <w:rsid w:val="00C25284"/>
    <w:rsid w:val="00C257CF"/>
    <w:rsid w:val="00C25E56"/>
    <w:rsid w:val="00C26213"/>
    <w:rsid w:val="00C2670D"/>
    <w:rsid w:val="00C26E83"/>
    <w:rsid w:val="00C27478"/>
    <w:rsid w:val="00C3004D"/>
    <w:rsid w:val="00C3054E"/>
    <w:rsid w:val="00C31C7E"/>
    <w:rsid w:val="00C32177"/>
    <w:rsid w:val="00C32AB1"/>
    <w:rsid w:val="00C3329B"/>
    <w:rsid w:val="00C34E75"/>
    <w:rsid w:val="00C35721"/>
    <w:rsid w:val="00C35B1D"/>
    <w:rsid w:val="00C35B69"/>
    <w:rsid w:val="00C35EDF"/>
    <w:rsid w:val="00C36416"/>
    <w:rsid w:val="00C41078"/>
    <w:rsid w:val="00C41208"/>
    <w:rsid w:val="00C42622"/>
    <w:rsid w:val="00C428DA"/>
    <w:rsid w:val="00C428F9"/>
    <w:rsid w:val="00C44202"/>
    <w:rsid w:val="00C45782"/>
    <w:rsid w:val="00C45927"/>
    <w:rsid w:val="00C45DCC"/>
    <w:rsid w:val="00C526B6"/>
    <w:rsid w:val="00C52763"/>
    <w:rsid w:val="00C5280C"/>
    <w:rsid w:val="00C5298F"/>
    <w:rsid w:val="00C533DC"/>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5D68"/>
    <w:rsid w:val="00C6641F"/>
    <w:rsid w:val="00C66CD5"/>
    <w:rsid w:val="00C676C5"/>
    <w:rsid w:val="00C6771D"/>
    <w:rsid w:val="00C70E30"/>
    <w:rsid w:val="00C70F8C"/>
    <w:rsid w:val="00C71770"/>
    <w:rsid w:val="00C723D3"/>
    <w:rsid w:val="00C72806"/>
    <w:rsid w:val="00C72C99"/>
    <w:rsid w:val="00C72F94"/>
    <w:rsid w:val="00C74258"/>
    <w:rsid w:val="00C743B1"/>
    <w:rsid w:val="00C74DFB"/>
    <w:rsid w:val="00C754B8"/>
    <w:rsid w:val="00C75708"/>
    <w:rsid w:val="00C763FE"/>
    <w:rsid w:val="00C76460"/>
    <w:rsid w:val="00C76648"/>
    <w:rsid w:val="00C76BE2"/>
    <w:rsid w:val="00C77870"/>
    <w:rsid w:val="00C7788D"/>
    <w:rsid w:val="00C8002E"/>
    <w:rsid w:val="00C8024B"/>
    <w:rsid w:val="00C80278"/>
    <w:rsid w:val="00C80A04"/>
    <w:rsid w:val="00C81735"/>
    <w:rsid w:val="00C81EFE"/>
    <w:rsid w:val="00C823EA"/>
    <w:rsid w:val="00C82F31"/>
    <w:rsid w:val="00C82F96"/>
    <w:rsid w:val="00C84A78"/>
    <w:rsid w:val="00C84BDE"/>
    <w:rsid w:val="00C84CBD"/>
    <w:rsid w:val="00C84D21"/>
    <w:rsid w:val="00C8593C"/>
    <w:rsid w:val="00C8675A"/>
    <w:rsid w:val="00C8756E"/>
    <w:rsid w:val="00C87955"/>
    <w:rsid w:val="00C87A5A"/>
    <w:rsid w:val="00C87AA3"/>
    <w:rsid w:val="00C87F2B"/>
    <w:rsid w:val="00C90E16"/>
    <w:rsid w:val="00C9255B"/>
    <w:rsid w:val="00C93D98"/>
    <w:rsid w:val="00C94422"/>
    <w:rsid w:val="00C945D1"/>
    <w:rsid w:val="00C94C73"/>
    <w:rsid w:val="00C94CB5"/>
    <w:rsid w:val="00C95EFC"/>
    <w:rsid w:val="00C96990"/>
    <w:rsid w:val="00C96A1B"/>
    <w:rsid w:val="00C96ECA"/>
    <w:rsid w:val="00C97629"/>
    <w:rsid w:val="00C976F9"/>
    <w:rsid w:val="00C97807"/>
    <w:rsid w:val="00C97B90"/>
    <w:rsid w:val="00C97CD4"/>
    <w:rsid w:val="00CA0087"/>
    <w:rsid w:val="00CA0AA6"/>
    <w:rsid w:val="00CA1B49"/>
    <w:rsid w:val="00CA2F81"/>
    <w:rsid w:val="00CA3362"/>
    <w:rsid w:val="00CA3483"/>
    <w:rsid w:val="00CA3851"/>
    <w:rsid w:val="00CA40A9"/>
    <w:rsid w:val="00CA4227"/>
    <w:rsid w:val="00CA4831"/>
    <w:rsid w:val="00CA503B"/>
    <w:rsid w:val="00CA5B9F"/>
    <w:rsid w:val="00CA601A"/>
    <w:rsid w:val="00CA693C"/>
    <w:rsid w:val="00CA7C41"/>
    <w:rsid w:val="00CA7F7D"/>
    <w:rsid w:val="00CB006C"/>
    <w:rsid w:val="00CB115B"/>
    <w:rsid w:val="00CB1CE1"/>
    <w:rsid w:val="00CB1D89"/>
    <w:rsid w:val="00CB25FF"/>
    <w:rsid w:val="00CB2AA6"/>
    <w:rsid w:val="00CB3636"/>
    <w:rsid w:val="00CB3A95"/>
    <w:rsid w:val="00CB3B3C"/>
    <w:rsid w:val="00CB41C8"/>
    <w:rsid w:val="00CB489C"/>
    <w:rsid w:val="00CB4923"/>
    <w:rsid w:val="00CB5C25"/>
    <w:rsid w:val="00CB6052"/>
    <w:rsid w:val="00CB64B8"/>
    <w:rsid w:val="00CB6C92"/>
    <w:rsid w:val="00CB733C"/>
    <w:rsid w:val="00CB7DCF"/>
    <w:rsid w:val="00CC0749"/>
    <w:rsid w:val="00CC1742"/>
    <w:rsid w:val="00CC20DD"/>
    <w:rsid w:val="00CC3219"/>
    <w:rsid w:val="00CC32E2"/>
    <w:rsid w:val="00CC3E21"/>
    <w:rsid w:val="00CC40B1"/>
    <w:rsid w:val="00CC4428"/>
    <w:rsid w:val="00CC44FC"/>
    <w:rsid w:val="00CC520F"/>
    <w:rsid w:val="00CC547D"/>
    <w:rsid w:val="00CC5A67"/>
    <w:rsid w:val="00CC728E"/>
    <w:rsid w:val="00CC72EF"/>
    <w:rsid w:val="00CC79F2"/>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5FA4"/>
    <w:rsid w:val="00CE6414"/>
    <w:rsid w:val="00CE69B1"/>
    <w:rsid w:val="00CE6ACB"/>
    <w:rsid w:val="00CE6E5B"/>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6013"/>
    <w:rsid w:val="00D06F9D"/>
    <w:rsid w:val="00D07198"/>
    <w:rsid w:val="00D07378"/>
    <w:rsid w:val="00D1183F"/>
    <w:rsid w:val="00D1248B"/>
    <w:rsid w:val="00D13601"/>
    <w:rsid w:val="00D13B57"/>
    <w:rsid w:val="00D13E5D"/>
    <w:rsid w:val="00D1474A"/>
    <w:rsid w:val="00D14E11"/>
    <w:rsid w:val="00D16608"/>
    <w:rsid w:val="00D16A78"/>
    <w:rsid w:val="00D17B01"/>
    <w:rsid w:val="00D20A6F"/>
    <w:rsid w:val="00D21B3B"/>
    <w:rsid w:val="00D21ED2"/>
    <w:rsid w:val="00D221AF"/>
    <w:rsid w:val="00D22203"/>
    <w:rsid w:val="00D2290B"/>
    <w:rsid w:val="00D22B96"/>
    <w:rsid w:val="00D22C1E"/>
    <w:rsid w:val="00D24CFF"/>
    <w:rsid w:val="00D25C09"/>
    <w:rsid w:val="00D25C48"/>
    <w:rsid w:val="00D262A4"/>
    <w:rsid w:val="00D26759"/>
    <w:rsid w:val="00D26798"/>
    <w:rsid w:val="00D274E8"/>
    <w:rsid w:val="00D30593"/>
    <w:rsid w:val="00D30D40"/>
    <w:rsid w:val="00D31413"/>
    <w:rsid w:val="00D31C34"/>
    <w:rsid w:val="00D31EDD"/>
    <w:rsid w:val="00D32765"/>
    <w:rsid w:val="00D3398B"/>
    <w:rsid w:val="00D358F8"/>
    <w:rsid w:val="00D35D8D"/>
    <w:rsid w:val="00D367C7"/>
    <w:rsid w:val="00D37B93"/>
    <w:rsid w:val="00D405A0"/>
    <w:rsid w:val="00D40F32"/>
    <w:rsid w:val="00D41469"/>
    <w:rsid w:val="00D423D8"/>
    <w:rsid w:val="00D42AFB"/>
    <w:rsid w:val="00D43EEC"/>
    <w:rsid w:val="00D44064"/>
    <w:rsid w:val="00D443F5"/>
    <w:rsid w:val="00D444CA"/>
    <w:rsid w:val="00D450B3"/>
    <w:rsid w:val="00D451B2"/>
    <w:rsid w:val="00D460C1"/>
    <w:rsid w:val="00D461A0"/>
    <w:rsid w:val="00D471D2"/>
    <w:rsid w:val="00D4784C"/>
    <w:rsid w:val="00D47897"/>
    <w:rsid w:val="00D50966"/>
    <w:rsid w:val="00D50A31"/>
    <w:rsid w:val="00D511F3"/>
    <w:rsid w:val="00D51925"/>
    <w:rsid w:val="00D5194F"/>
    <w:rsid w:val="00D51D67"/>
    <w:rsid w:val="00D521A3"/>
    <w:rsid w:val="00D53C48"/>
    <w:rsid w:val="00D53D1B"/>
    <w:rsid w:val="00D54883"/>
    <w:rsid w:val="00D54C6F"/>
    <w:rsid w:val="00D55AED"/>
    <w:rsid w:val="00D563FD"/>
    <w:rsid w:val="00D564C7"/>
    <w:rsid w:val="00D56B8D"/>
    <w:rsid w:val="00D60C26"/>
    <w:rsid w:val="00D611EE"/>
    <w:rsid w:val="00D6146F"/>
    <w:rsid w:val="00D629CA"/>
    <w:rsid w:val="00D63162"/>
    <w:rsid w:val="00D63E5B"/>
    <w:rsid w:val="00D642F8"/>
    <w:rsid w:val="00D64970"/>
    <w:rsid w:val="00D64B13"/>
    <w:rsid w:val="00D654B8"/>
    <w:rsid w:val="00D6610C"/>
    <w:rsid w:val="00D67151"/>
    <w:rsid w:val="00D6745F"/>
    <w:rsid w:val="00D677AA"/>
    <w:rsid w:val="00D7250B"/>
    <w:rsid w:val="00D72F33"/>
    <w:rsid w:val="00D730FA"/>
    <w:rsid w:val="00D7319F"/>
    <w:rsid w:val="00D735CC"/>
    <w:rsid w:val="00D736F6"/>
    <w:rsid w:val="00D74361"/>
    <w:rsid w:val="00D7524E"/>
    <w:rsid w:val="00D754BB"/>
    <w:rsid w:val="00D75DAB"/>
    <w:rsid w:val="00D76104"/>
    <w:rsid w:val="00D77027"/>
    <w:rsid w:val="00D803BB"/>
    <w:rsid w:val="00D80E81"/>
    <w:rsid w:val="00D81D01"/>
    <w:rsid w:val="00D81E45"/>
    <w:rsid w:val="00D82B07"/>
    <w:rsid w:val="00D82E8D"/>
    <w:rsid w:val="00D83FD1"/>
    <w:rsid w:val="00D845DD"/>
    <w:rsid w:val="00D852DD"/>
    <w:rsid w:val="00D8578E"/>
    <w:rsid w:val="00D85C45"/>
    <w:rsid w:val="00D85DFA"/>
    <w:rsid w:val="00D85E02"/>
    <w:rsid w:val="00D868B1"/>
    <w:rsid w:val="00D87172"/>
    <w:rsid w:val="00D878C8"/>
    <w:rsid w:val="00D87ABE"/>
    <w:rsid w:val="00D90169"/>
    <w:rsid w:val="00D9052F"/>
    <w:rsid w:val="00D90CA4"/>
    <w:rsid w:val="00D90F8A"/>
    <w:rsid w:val="00D91647"/>
    <w:rsid w:val="00D9176E"/>
    <w:rsid w:val="00D91F25"/>
    <w:rsid w:val="00D923D1"/>
    <w:rsid w:val="00D9257B"/>
    <w:rsid w:val="00D93437"/>
    <w:rsid w:val="00D934A6"/>
    <w:rsid w:val="00D93A0B"/>
    <w:rsid w:val="00D93A72"/>
    <w:rsid w:val="00D94C03"/>
    <w:rsid w:val="00D950D2"/>
    <w:rsid w:val="00D950DC"/>
    <w:rsid w:val="00D95266"/>
    <w:rsid w:val="00D958B9"/>
    <w:rsid w:val="00D95BA2"/>
    <w:rsid w:val="00D95F7C"/>
    <w:rsid w:val="00D97A78"/>
    <w:rsid w:val="00DA0388"/>
    <w:rsid w:val="00DA0CC6"/>
    <w:rsid w:val="00DA26C0"/>
    <w:rsid w:val="00DA2753"/>
    <w:rsid w:val="00DA3CC5"/>
    <w:rsid w:val="00DA3EE5"/>
    <w:rsid w:val="00DA4059"/>
    <w:rsid w:val="00DA491F"/>
    <w:rsid w:val="00DA4E72"/>
    <w:rsid w:val="00DA4FAC"/>
    <w:rsid w:val="00DA4FEF"/>
    <w:rsid w:val="00DA5550"/>
    <w:rsid w:val="00DA5CF9"/>
    <w:rsid w:val="00DA60E3"/>
    <w:rsid w:val="00DA72B4"/>
    <w:rsid w:val="00DA7CE6"/>
    <w:rsid w:val="00DB006E"/>
    <w:rsid w:val="00DB033D"/>
    <w:rsid w:val="00DB041F"/>
    <w:rsid w:val="00DB15F7"/>
    <w:rsid w:val="00DB20E6"/>
    <w:rsid w:val="00DB2A27"/>
    <w:rsid w:val="00DB2C28"/>
    <w:rsid w:val="00DB338F"/>
    <w:rsid w:val="00DB41A0"/>
    <w:rsid w:val="00DB4E81"/>
    <w:rsid w:val="00DB4F33"/>
    <w:rsid w:val="00DB551B"/>
    <w:rsid w:val="00DB55E5"/>
    <w:rsid w:val="00DB64A0"/>
    <w:rsid w:val="00DB7D60"/>
    <w:rsid w:val="00DC047B"/>
    <w:rsid w:val="00DC05B5"/>
    <w:rsid w:val="00DC0B4E"/>
    <w:rsid w:val="00DC2748"/>
    <w:rsid w:val="00DC35CB"/>
    <w:rsid w:val="00DC3BE1"/>
    <w:rsid w:val="00DC3D69"/>
    <w:rsid w:val="00DC40A6"/>
    <w:rsid w:val="00DC4112"/>
    <w:rsid w:val="00DC5045"/>
    <w:rsid w:val="00DC532D"/>
    <w:rsid w:val="00DC5D51"/>
    <w:rsid w:val="00DC65EB"/>
    <w:rsid w:val="00DC6813"/>
    <w:rsid w:val="00DC684D"/>
    <w:rsid w:val="00DC6ED9"/>
    <w:rsid w:val="00DC6F89"/>
    <w:rsid w:val="00DD0133"/>
    <w:rsid w:val="00DD019E"/>
    <w:rsid w:val="00DD0AC7"/>
    <w:rsid w:val="00DD0E05"/>
    <w:rsid w:val="00DD262E"/>
    <w:rsid w:val="00DD2918"/>
    <w:rsid w:val="00DD2DD9"/>
    <w:rsid w:val="00DD2E21"/>
    <w:rsid w:val="00DD6391"/>
    <w:rsid w:val="00DD697E"/>
    <w:rsid w:val="00DD69EF"/>
    <w:rsid w:val="00DD6A64"/>
    <w:rsid w:val="00DD6AC6"/>
    <w:rsid w:val="00DD6B93"/>
    <w:rsid w:val="00DD6E3D"/>
    <w:rsid w:val="00DD6ECC"/>
    <w:rsid w:val="00DD74BE"/>
    <w:rsid w:val="00DD7608"/>
    <w:rsid w:val="00DD768B"/>
    <w:rsid w:val="00DE025D"/>
    <w:rsid w:val="00DE135D"/>
    <w:rsid w:val="00DE1930"/>
    <w:rsid w:val="00DE198E"/>
    <w:rsid w:val="00DE5282"/>
    <w:rsid w:val="00DE60CF"/>
    <w:rsid w:val="00DE64EE"/>
    <w:rsid w:val="00DF033B"/>
    <w:rsid w:val="00DF06E2"/>
    <w:rsid w:val="00DF0F07"/>
    <w:rsid w:val="00DF1546"/>
    <w:rsid w:val="00DF24C0"/>
    <w:rsid w:val="00DF2B87"/>
    <w:rsid w:val="00DF37C4"/>
    <w:rsid w:val="00DF3ACC"/>
    <w:rsid w:val="00DF6B25"/>
    <w:rsid w:val="00DF6BC6"/>
    <w:rsid w:val="00DF6BF7"/>
    <w:rsid w:val="00DF6F85"/>
    <w:rsid w:val="00DF7B81"/>
    <w:rsid w:val="00DF7BDE"/>
    <w:rsid w:val="00E00D33"/>
    <w:rsid w:val="00E0141C"/>
    <w:rsid w:val="00E01599"/>
    <w:rsid w:val="00E02902"/>
    <w:rsid w:val="00E0354F"/>
    <w:rsid w:val="00E03C83"/>
    <w:rsid w:val="00E04106"/>
    <w:rsid w:val="00E04522"/>
    <w:rsid w:val="00E04D77"/>
    <w:rsid w:val="00E052D9"/>
    <w:rsid w:val="00E053A8"/>
    <w:rsid w:val="00E0645F"/>
    <w:rsid w:val="00E07C46"/>
    <w:rsid w:val="00E07EB4"/>
    <w:rsid w:val="00E10776"/>
    <w:rsid w:val="00E10C34"/>
    <w:rsid w:val="00E1137F"/>
    <w:rsid w:val="00E115FD"/>
    <w:rsid w:val="00E11AC1"/>
    <w:rsid w:val="00E13628"/>
    <w:rsid w:val="00E13B34"/>
    <w:rsid w:val="00E13E6F"/>
    <w:rsid w:val="00E14054"/>
    <w:rsid w:val="00E14440"/>
    <w:rsid w:val="00E1522C"/>
    <w:rsid w:val="00E15975"/>
    <w:rsid w:val="00E15B18"/>
    <w:rsid w:val="00E16443"/>
    <w:rsid w:val="00E167E3"/>
    <w:rsid w:val="00E168AD"/>
    <w:rsid w:val="00E168DE"/>
    <w:rsid w:val="00E20582"/>
    <w:rsid w:val="00E20913"/>
    <w:rsid w:val="00E22150"/>
    <w:rsid w:val="00E22238"/>
    <w:rsid w:val="00E22EB0"/>
    <w:rsid w:val="00E22F7C"/>
    <w:rsid w:val="00E2308A"/>
    <w:rsid w:val="00E23546"/>
    <w:rsid w:val="00E241F4"/>
    <w:rsid w:val="00E24C0A"/>
    <w:rsid w:val="00E24EA6"/>
    <w:rsid w:val="00E25922"/>
    <w:rsid w:val="00E26417"/>
    <w:rsid w:val="00E2641D"/>
    <w:rsid w:val="00E2652E"/>
    <w:rsid w:val="00E2695B"/>
    <w:rsid w:val="00E26C2B"/>
    <w:rsid w:val="00E26F7E"/>
    <w:rsid w:val="00E270F9"/>
    <w:rsid w:val="00E27545"/>
    <w:rsid w:val="00E27E07"/>
    <w:rsid w:val="00E32E83"/>
    <w:rsid w:val="00E32E98"/>
    <w:rsid w:val="00E331CA"/>
    <w:rsid w:val="00E34213"/>
    <w:rsid w:val="00E34F57"/>
    <w:rsid w:val="00E35139"/>
    <w:rsid w:val="00E351F9"/>
    <w:rsid w:val="00E35F98"/>
    <w:rsid w:val="00E37FC0"/>
    <w:rsid w:val="00E409FB"/>
    <w:rsid w:val="00E4179E"/>
    <w:rsid w:val="00E429CD"/>
    <w:rsid w:val="00E43CEA"/>
    <w:rsid w:val="00E442B4"/>
    <w:rsid w:val="00E45726"/>
    <w:rsid w:val="00E466B8"/>
    <w:rsid w:val="00E4688C"/>
    <w:rsid w:val="00E472DD"/>
    <w:rsid w:val="00E477F8"/>
    <w:rsid w:val="00E51CE1"/>
    <w:rsid w:val="00E52653"/>
    <w:rsid w:val="00E546B8"/>
    <w:rsid w:val="00E55A1A"/>
    <w:rsid w:val="00E55B98"/>
    <w:rsid w:val="00E57C5C"/>
    <w:rsid w:val="00E57DEB"/>
    <w:rsid w:val="00E60B8E"/>
    <w:rsid w:val="00E613FA"/>
    <w:rsid w:val="00E6286C"/>
    <w:rsid w:val="00E62F83"/>
    <w:rsid w:val="00E647F5"/>
    <w:rsid w:val="00E66006"/>
    <w:rsid w:val="00E67D8F"/>
    <w:rsid w:val="00E701A7"/>
    <w:rsid w:val="00E70D8E"/>
    <w:rsid w:val="00E73617"/>
    <w:rsid w:val="00E73E72"/>
    <w:rsid w:val="00E73FA4"/>
    <w:rsid w:val="00E73FB0"/>
    <w:rsid w:val="00E746F8"/>
    <w:rsid w:val="00E762F8"/>
    <w:rsid w:val="00E76397"/>
    <w:rsid w:val="00E76FCF"/>
    <w:rsid w:val="00E77303"/>
    <w:rsid w:val="00E77C54"/>
    <w:rsid w:val="00E77F5B"/>
    <w:rsid w:val="00E80886"/>
    <w:rsid w:val="00E8152F"/>
    <w:rsid w:val="00E81A80"/>
    <w:rsid w:val="00E82281"/>
    <w:rsid w:val="00E83D04"/>
    <w:rsid w:val="00E83E63"/>
    <w:rsid w:val="00E84A08"/>
    <w:rsid w:val="00E858F3"/>
    <w:rsid w:val="00E85BB5"/>
    <w:rsid w:val="00E86439"/>
    <w:rsid w:val="00E87555"/>
    <w:rsid w:val="00E87839"/>
    <w:rsid w:val="00E900F8"/>
    <w:rsid w:val="00E9056F"/>
    <w:rsid w:val="00E905C4"/>
    <w:rsid w:val="00E905D8"/>
    <w:rsid w:val="00E915CE"/>
    <w:rsid w:val="00E91B52"/>
    <w:rsid w:val="00E91DE3"/>
    <w:rsid w:val="00E92118"/>
    <w:rsid w:val="00E93F1A"/>
    <w:rsid w:val="00E941D7"/>
    <w:rsid w:val="00E96FF0"/>
    <w:rsid w:val="00E972FA"/>
    <w:rsid w:val="00E97551"/>
    <w:rsid w:val="00E97C8B"/>
    <w:rsid w:val="00E97F64"/>
    <w:rsid w:val="00EA17D4"/>
    <w:rsid w:val="00EA1B87"/>
    <w:rsid w:val="00EA3B44"/>
    <w:rsid w:val="00EA43B7"/>
    <w:rsid w:val="00EA6A2B"/>
    <w:rsid w:val="00EA7D41"/>
    <w:rsid w:val="00EA7FBE"/>
    <w:rsid w:val="00EB08F2"/>
    <w:rsid w:val="00EB2D48"/>
    <w:rsid w:val="00EB43F9"/>
    <w:rsid w:val="00EB55F8"/>
    <w:rsid w:val="00EB59B4"/>
    <w:rsid w:val="00EB5E86"/>
    <w:rsid w:val="00EB5F9F"/>
    <w:rsid w:val="00EB644F"/>
    <w:rsid w:val="00EB70FC"/>
    <w:rsid w:val="00EB7284"/>
    <w:rsid w:val="00EC0A95"/>
    <w:rsid w:val="00EC11DA"/>
    <w:rsid w:val="00EC1931"/>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6898"/>
    <w:rsid w:val="00ED701D"/>
    <w:rsid w:val="00ED72D7"/>
    <w:rsid w:val="00ED7A4A"/>
    <w:rsid w:val="00EE018C"/>
    <w:rsid w:val="00EE0845"/>
    <w:rsid w:val="00EE1927"/>
    <w:rsid w:val="00EE2B1B"/>
    <w:rsid w:val="00EE2DD4"/>
    <w:rsid w:val="00EE3319"/>
    <w:rsid w:val="00EE371C"/>
    <w:rsid w:val="00EE5CFE"/>
    <w:rsid w:val="00EE5FF9"/>
    <w:rsid w:val="00EE650C"/>
    <w:rsid w:val="00EE6D79"/>
    <w:rsid w:val="00EE7141"/>
    <w:rsid w:val="00EF02B2"/>
    <w:rsid w:val="00EF0FF3"/>
    <w:rsid w:val="00EF10E0"/>
    <w:rsid w:val="00EF188C"/>
    <w:rsid w:val="00EF2068"/>
    <w:rsid w:val="00EF436F"/>
    <w:rsid w:val="00EF4903"/>
    <w:rsid w:val="00EF6784"/>
    <w:rsid w:val="00EF7D17"/>
    <w:rsid w:val="00EF7E21"/>
    <w:rsid w:val="00F00CDC"/>
    <w:rsid w:val="00F00F1D"/>
    <w:rsid w:val="00F00F94"/>
    <w:rsid w:val="00F0143E"/>
    <w:rsid w:val="00F0237C"/>
    <w:rsid w:val="00F027B3"/>
    <w:rsid w:val="00F02A85"/>
    <w:rsid w:val="00F03703"/>
    <w:rsid w:val="00F03C7C"/>
    <w:rsid w:val="00F0516F"/>
    <w:rsid w:val="00F074AD"/>
    <w:rsid w:val="00F10535"/>
    <w:rsid w:val="00F11356"/>
    <w:rsid w:val="00F11A64"/>
    <w:rsid w:val="00F121C5"/>
    <w:rsid w:val="00F12DB9"/>
    <w:rsid w:val="00F131DB"/>
    <w:rsid w:val="00F13594"/>
    <w:rsid w:val="00F13645"/>
    <w:rsid w:val="00F141E6"/>
    <w:rsid w:val="00F14671"/>
    <w:rsid w:val="00F149E1"/>
    <w:rsid w:val="00F15316"/>
    <w:rsid w:val="00F158D1"/>
    <w:rsid w:val="00F15B32"/>
    <w:rsid w:val="00F15E03"/>
    <w:rsid w:val="00F171BA"/>
    <w:rsid w:val="00F178A4"/>
    <w:rsid w:val="00F17F1D"/>
    <w:rsid w:val="00F20586"/>
    <w:rsid w:val="00F206D4"/>
    <w:rsid w:val="00F222DF"/>
    <w:rsid w:val="00F22467"/>
    <w:rsid w:val="00F231BD"/>
    <w:rsid w:val="00F23DD9"/>
    <w:rsid w:val="00F25619"/>
    <w:rsid w:val="00F260A3"/>
    <w:rsid w:val="00F261EC"/>
    <w:rsid w:val="00F262BA"/>
    <w:rsid w:val="00F2641A"/>
    <w:rsid w:val="00F2664C"/>
    <w:rsid w:val="00F3048A"/>
    <w:rsid w:val="00F31089"/>
    <w:rsid w:val="00F31206"/>
    <w:rsid w:val="00F32BBD"/>
    <w:rsid w:val="00F3325F"/>
    <w:rsid w:val="00F33484"/>
    <w:rsid w:val="00F33BD8"/>
    <w:rsid w:val="00F34707"/>
    <w:rsid w:val="00F35E1B"/>
    <w:rsid w:val="00F37EFF"/>
    <w:rsid w:val="00F40F9D"/>
    <w:rsid w:val="00F4187B"/>
    <w:rsid w:val="00F41EA7"/>
    <w:rsid w:val="00F42113"/>
    <w:rsid w:val="00F430B4"/>
    <w:rsid w:val="00F43638"/>
    <w:rsid w:val="00F4366A"/>
    <w:rsid w:val="00F442C0"/>
    <w:rsid w:val="00F44397"/>
    <w:rsid w:val="00F44F7E"/>
    <w:rsid w:val="00F46C43"/>
    <w:rsid w:val="00F46FCC"/>
    <w:rsid w:val="00F47E91"/>
    <w:rsid w:val="00F50B4E"/>
    <w:rsid w:val="00F51BC3"/>
    <w:rsid w:val="00F52112"/>
    <w:rsid w:val="00F52155"/>
    <w:rsid w:val="00F532F2"/>
    <w:rsid w:val="00F53325"/>
    <w:rsid w:val="00F54167"/>
    <w:rsid w:val="00F54CB0"/>
    <w:rsid w:val="00F561BD"/>
    <w:rsid w:val="00F57003"/>
    <w:rsid w:val="00F57531"/>
    <w:rsid w:val="00F576B8"/>
    <w:rsid w:val="00F57B07"/>
    <w:rsid w:val="00F60D3C"/>
    <w:rsid w:val="00F6133D"/>
    <w:rsid w:val="00F62591"/>
    <w:rsid w:val="00F62F00"/>
    <w:rsid w:val="00F62F2D"/>
    <w:rsid w:val="00F64E48"/>
    <w:rsid w:val="00F6536D"/>
    <w:rsid w:val="00F65922"/>
    <w:rsid w:val="00F65DF2"/>
    <w:rsid w:val="00F6626A"/>
    <w:rsid w:val="00F66B1D"/>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220"/>
    <w:rsid w:val="00F835BB"/>
    <w:rsid w:val="00F83CA0"/>
    <w:rsid w:val="00F84852"/>
    <w:rsid w:val="00F84C46"/>
    <w:rsid w:val="00F84E83"/>
    <w:rsid w:val="00F84EF8"/>
    <w:rsid w:val="00F91359"/>
    <w:rsid w:val="00F91D4D"/>
    <w:rsid w:val="00F9374A"/>
    <w:rsid w:val="00F93E4C"/>
    <w:rsid w:val="00F94037"/>
    <w:rsid w:val="00F94286"/>
    <w:rsid w:val="00F95DA2"/>
    <w:rsid w:val="00F96069"/>
    <w:rsid w:val="00F96344"/>
    <w:rsid w:val="00F96B3D"/>
    <w:rsid w:val="00F96D7B"/>
    <w:rsid w:val="00FA0053"/>
    <w:rsid w:val="00FA0279"/>
    <w:rsid w:val="00FA0855"/>
    <w:rsid w:val="00FA0C89"/>
    <w:rsid w:val="00FA1409"/>
    <w:rsid w:val="00FA14DA"/>
    <w:rsid w:val="00FA1FD0"/>
    <w:rsid w:val="00FA2429"/>
    <w:rsid w:val="00FA26EF"/>
    <w:rsid w:val="00FA28C0"/>
    <w:rsid w:val="00FA333C"/>
    <w:rsid w:val="00FA38B7"/>
    <w:rsid w:val="00FA3AEA"/>
    <w:rsid w:val="00FA41F4"/>
    <w:rsid w:val="00FA4217"/>
    <w:rsid w:val="00FA44A3"/>
    <w:rsid w:val="00FA7741"/>
    <w:rsid w:val="00FB08E2"/>
    <w:rsid w:val="00FB0CF5"/>
    <w:rsid w:val="00FB11AA"/>
    <w:rsid w:val="00FB12EE"/>
    <w:rsid w:val="00FB13D7"/>
    <w:rsid w:val="00FB1A78"/>
    <w:rsid w:val="00FB2496"/>
    <w:rsid w:val="00FB2F6D"/>
    <w:rsid w:val="00FB3E76"/>
    <w:rsid w:val="00FB433F"/>
    <w:rsid w:val="00FB4437"/>
    <w:rsid w:val="00FB5C48"/>
    <w:rsid w:val="00FB6616"/>
    <w:rsid w:val="00FB7254"/>
    <w:rsid w:val="00FC0EE5"/>
    <w:rsid w:val="00FC302C"/>
    <w:rsid w:val="00FC46F0"/>
    <w:rsid w:val="00FC4948"/>
    <w:rsid w:val="00FC52B3"/>
    <w:rsid w:val="00FC53C5"/>
    <w:rsid w:val="00FC5AC1"/>
    <w:rsid w:val="00FC5C52"/>
    <w:rsid w:val="00FC64AE"/>
    <w:rsid w:val="00FC7950"/>
    <w:rsid w:val="00FC7ECC"/>
    <w:rsid w:val="00FD0579"/>
    <w:rsid w:val="00FD24BD"/>
    <w:rsid w:val="00FD2A55"/>
    <w:rsid w:val="00FD2AF9"/>
    <w:rsid w:val="00FD325E"/>
    <w:rsid w:val="00FD3925"/>
    <w:rsid w:val="00FD4EBE"/>
    <w:rsid w:val="00FD6777"/>
    <w:rsid w:val="00FD78A5"/>
    <w:rsid w:val="00FD7973"/>
    <w:rsid w:val="00FE11FB"/>
    <w:rsid w:val="00FE183C"/>
    <w:rsid w:val="00FE19EC"/>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988"/>
    <w:rsid w:val="023E4112"/>
    <w:rsid w:val="031A3D31"/>
    <w:rsid w:val="047A70C5"/>
    <w:rsid w:val="0A5A1F7D"/>
    <w:rsid w:val="0ACC70D7"/>
    <w:rsid w:val="11907227"/>
    <w:rsid w:val="1485151A"/>
    <w:rsid w:val="160F5857"/>
    <w:rsid w:val="16E925CC"/>
    <w:rsid w:val="1A885114"/>
    <w:rsid w:val="1B81318F"/>
    <w:rsid w:val="1C471455"/>
    <w:rsid w:val="1E0E09B3"/>
    <w:rsid w:val="1E31574F"/>
    <w:rsid w:val="1E4362F3"/>
    <w:rsid w:val="1E5616A1"/>
    <w:rsid w:val="290C261D"/>
    <w:rsid w:val="29775CE3"/>
    <w:rsid w:val="2CE43660"/>
    <w:rsid w:val="2D473C16"/>
    <w:rsid w:val="322560A9"/>
    <w:rsid w:val="349E4F68"/>
    <w:rsid w:val="3B357927"/>
    <w:rsid w:val="40291CE7"/>
    <w:rsid w:val="41035F24"/>
    <w:rsid w:val="41D4571E"/>
    <w:rsid w:val="460F004B"/>
    <w:rsid w:val="47975850"/>
    <w:rsid w:val="482B06C4"/>
    <w:rsid w:val="498C34BA"/>
    <w:rsid w:val="49A61989"/>
    <w:rsid w:val="4A0871BF"/>
    <w:rsid w:val="4AF352B2"/>
    <w:rsid w:val="4AFD4565"/>
    <w:rsid w:val="4D106B8B"/>
    <w:rsid w:val="4DE62ABF"/>
    <w:rsid w:val="4E5A17D3"/>
    <w:rsid w:val="4E715161"/>
    <w:rsid w:val="50CC7B47"/>
    <w:rsid w:val="556E16E1"/>
    <w:rsid w:val="576A030D"/>
    <w:rsid w:val="5A56482E"/>
    <w:rsid w:val="5BE26BD7"/>
    <w:rsid w:val="5C7E1502"/>
    <w:rsid w:val="5F7A1677"/>
    <w:rsid w:val="5FB46FD8"/>
    <w:rsid w:val="6705245B"/>
    <w:rsid w:val="749E2EDC"/>
    <w:rsid w:val="7B3213D5"/>
    <w:rsid w:val="7E7D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6">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widowControl w:val="0"/>
      <w:spacing w:before="260" w:after="260" w:line="416" w:lineRule="auto"/>
      <w:ind w:left="992" w:hanging="141"/>
      <w:jc w:val="both"/>
      <w:outlineLvl w:val="2"/>
    </w:pPr>
    <w:rPr>
      <w:b/>
      <w:bCs/>
      <w:kern w:val="2"/>
      <w:sz w:val="32"/>
      <w:szCs w:val="32"/>
    </w:rPr>
  </w:style>
  <w:style w:type="paragraph" w:styleId="9">
    <w:name w:val="heading 4"/>
    <w:basedOn w:val="1"/>
    <w:next w:val="1"/>
    <w:qFormat/>
    <w:uiPriority w:val="0"/>
    <w:pPr>
      <w:keepNext/>
      <w:keepLines/>
      <w:widowControl w:val="0"/>
      <w:spacing w:before="280" w:after="290" w:line="376" w:lineRule="auto"/>
      <w:ind w:left="1276"/>
      <w:jc w:val="both"/>
      <w:outlineLvl w:val="3"/>
    </w:pPr>
    <w:rPr>
      <w:rFonts w:ascii="Arial" w:hAnsi="Arial" w:eastAsia="黑体"/>
      <w:b/>
      <w:bCs/>
      <w:kern w:val="2"/>
      <w:sz w:val="28"/>
      <w:szCs w:val="28"/>
    </w:rPr>
  </w:style>
  <w:style w:type="paragraph" w:styleId="10">
    <w:name w:val="heading 5"/>
    <w:basedOn w:val="1"/>
    <w:next w:val="4"/>
    <w:qFormat/>
    <w:uiPriority w:val="0"/>
    <w:pPr>
      <w:keepNext/>
      <w:keepLines/>
      <w:widowControl w:val="0"/>
      <w:tabs>
        <w:tab w:val="left" w:pos="2580"/>
      </w:tabs>
      <w:spacing w:before="280" w:after="290" w:line="376" w:lineRule="auto"/>
      <w:ind w:left="2580" w:hanging="420"/>
      <w:jc w:val="both"/>
      <w:outlineLvl w:val="4"/>
    </w:pPr>
    <w:rPr>
      <w:b/>
      <w:kern w:val="2"/>
      <w:sz w:val="28"/>
      <w:szCs w:val="20"/>
    </w:rPr>
  </w:style>
  <w:style w:type="paragraph" w:styleId="11">
    <w:name w:val="heading 6"/>
    <w:basedOn w:val="1"/>
    <w:next w:val="4"/>
    <w:qFormat/>
    <w:uiPriority w:val="0"/>
    <w:pPr>
      <w:keepNext/>
      <w:widowControl w:val="0"/>
      <w:tabs>
        <w:tab w:val="left" w:pos="2157"/>
      </w:tabs>
      <w:spacing w:line="440" w:lineRule="exact"/>
      <w:ind w:left="1437" w:hanging="720"/>
      <w:jc w:val="both"/>
      <w:outlineLvl w:val="5"/>
    </w:pPr>
    <w:rPr>
      <w:kern w:val="2"/>
      <w:sz w:val="28"/>
      <w:szCs w:val="20"/>
    </w:rPr>
  </w:style>
  <w:style w:type="paragraph" w:styleId="12">
    <w:name w:val="heading 7"/>
    <w:basedOn w:val="1"/>
    <w:next w:val="1"/>
    <w:qFormat/>
    <w:uiPriority w:val="0"/>
    <w:pPr>
      <w:keepNext/>
      <w:keepLines/>
      <w:widowControl w:val="0"/>
      <w:spacing w:before="240" w:after="64" w:line="320" w:lineRule="auto"/>
      <w:jc w:val="both"/>
      <w:outlineLvl w:val="6"/>
    </w:pPr>
    <w:rPr>
      <w:b/>
      <w:bCs/>
      <w:kern w:val="2"/>
    </w:rPr>
  </w:style>
  <w:style w:type="paragraph" w:styleId="13">
    <w:name w:val="heading 8"/>
    <w:basedOn w:val="1"/>
    <w:next w:val="4"/>
    <w:qFormat/>
    <w:uiPriority w:val="0"/>
    <w:pPr>
      <w:keepNext/>
      <w:keepLines/>
      <w:widowControl w:val="0"/>
      <w:tabs>
        <w:tab w:val="left" w:pos="3840"/>
      </w:tabs>
      <w:spacing w:before="240" w:after="64" w:line="320" w:lineRule="auto"/>
      <w:ind w:left="3840" w:hanging="420"/>
      <w:jc w:val="both"/>
      <w:outlineLvl w:val="7"/>
    </w:pPr>
    <w:rPr>
      <w:rFonts w:ascii="Arial" w:hAnsi="Arial" w:eastAsia="黑体"/>
      <w:kern w:val="2"/>
      <w:szCs w:val="20"/>
    </w:rPr>
  </w:style>
  <w:style w:type="paragraph" w:styleId="14">
    <w:name w:val="heading 9"/>
    <w:basedOn w:val="1"/>
    <w:next w:val="4"/>
    <w:qFormat/>
    <w:uiPriority w:val="0"/>
    <w:pPr>
      <w:keepNext/>
      <w:keepLines/>
      <w:widowControl w:val="0"/>
      <w:tabs>
        <w:tab w:val="left" w:pos="4260"/>
      </w:tabs>
      <w:spacing w:before="240" w:after="64" w:line="320" w:lineRule="auto"/>
      <w:ind w:left="4260" w:hanging="420"/>
      <w:jc w:val="both"/>
      <w:outlineLvl w:val="8"/>
    </w:pPr>
    <w:rPr>
      <w:rFonts w:ascii="Arial" w:hAnsi="Arial" w:eastAsia="黑体"/>
      <w:kern w:val="2"/>
      <w:sz w:val="21"/>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link w:val="56"/>
    <w:qFormat/>
    <w:uiPriority w:val="0"/>
    <w:pPr>
      <w:spacing w:after="120" w:line="240" w:lineRule="auto"/>
      <w:ind w:left="420" w:leftChars="200" w:firstLine="420"/>
      <w:jc w:val="left"/>
    </w:pPr>
    <w:rPr>
      <w:rFonts w:eastAsia="宋体"/>
    </w:rPr>
  </w:style>
  <w:style w:type="paragraph" w:styleId="3">
    <w:name w:val="Body Text Indent"/>
    <w:basedOn w:val="1"/>
    <w:next w:val="4"/>
    <w:link w:val="84"/>
    <w:qFormat/>
    <w:uiPriority w:val="0"/>
    <w:pPr>
      <w:spacing w:line="440" w:lineRule="exact"/>
      <w:ind w:firstLine="480" w:firstLineChars="200"/>
      <w:jc w:val="both"/>
    </w:pPr>
    <w:rPr>
      <w:rFonts w:eastAsia="仿宋_GB2312"/>
    </w:rPr>
  </w:style>
  <w:style w:type="paragraph" w:styleId="4">
    <w:name w:val="Normal Indent"/>
    <w:basedOn w:val="1"/>
    <w:next w:val="3"/>
    <w:link w:val="76"/>
    <w:qFormat/>
    <w:uiPriority w:val="0"/>
    <w:pPr>
      <w:widowControl w:val="0"/>
      <w:spacing w:line="360" w:lineRule="auto"/>
      <w:ind w:firstLine="200" w:firstLineChars="200"/>
    </w:pPr>
    <w:rPr>
      <w:kern w:val="2"/>
      <w:sz w:val="21"/>
      <w:szCs w:val="20"/>
    </w:rPr>
  </w:style>
  <w:style w:type="paragraph" w:customStyle="1" w:styleId="5">
    <w:name w:val="xl53"/>
    <w:basedOn w:val="1"/>
    <w:next w:val="1"/>
    <w:qFormat/>
    <w:uiPriority w:val="0"/>
    <w:pPr>
      <w:spacing w:before="280" w:after="280" w:line="100" w:lineRule="exact"/>
      <w:jc w:val="center"/>
    </w:pPr>
    <w:rPr>
      <w:b/>
      <w:sz w:val="20"/>
    </w:rPr>
  </w:style>
  <w:style w:type="paragraph" w:styleId="15">
    <w:name w:val="toc 7"/>
    <w:basedOn w:val="1"/>
    <w:next w:val="1"/>
    <w:unhideWhenUsed/>
    <w:qFormat/>
    <w:uiPriority w:val="39"/>
    <w:pPr>
      <w:ind w:left="1440"/>
    </w:pPr>
    <w:rPr>
      <w:rFonts w:ascii="等线" w:eastAsia="等线"/>
      <w:sz w:val="18"/>
      <w:szCs w:val="18"/>
    </w:rPr>
  </w:style>
  <w:style w:type="paragraph" w:styleId="16">
    <w:name w:val="List Number"/>
    <w:basedOn w:val="1"/>
    <w:qFormat/>
    <w:uiPriority w:val="0"/>
    <w:pPr>
      <w:numPr>
        <w:ilvl w:val="0"/>
        <w:numId w:val="1"/>
      </w:numPr>
      <w:contextualSpacing/>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qFormat/>
    <w:uiPriority w:val="0"/>
    <w:pPr>
      <w:shd w:val="clear" w:color="auto" w:fill="000080"/>
    </w:pPr>
  </w:style>
  <w:style w:type="paragraph" w:styleId="19">
    <w:name w:val="annotation text"/>
    <w:basedOn w:val="1"/>
    <w:link w:val="86"/>
    <w:qFormat/>
    <w:uiPriority w:val="0"/>
    <w:pPr>
      <w:widowControl w:val="0"/>
    </w:pPr>
    <w:rPr>
      <w:kern w:val="2"/>
      <w:sz w:val="21"/>
    </w:rPr>
  </w:style>
  <w:style w:type="paragraph" w:styleId="20">
    <w:name w:val="index 6"/>
    <w:next w:val="1"/>
    <w:qFormat/>
    <w:uiPriority w:val="0"/>
    <w:pPr>
      <w:jc w:val="both"/>
    </w:pPr>
    <w:rPr>
      <w:rFonts w:ascii="Times New Roman" w:hAnsi="Times New Roman" w:eastAsia="宋体" w:cs="Times New Roman"/>
      <w:sz w:val="21"/>
      <w:szCs w:val="24"/>
      <w:lang w:val="en-US" w:eastAsia="zh-CN" w:bidi="ar-SA"/>
    </w:rPr>
  </w:style>
  <w:style w:type="paragraph" w:styleId="21">
    <w:name w:val="Body Text 3"/>
    <w:basedOn w:val="1"/>
    <w:qFormat/>
    <w:uiPriority w:val="0"/>
    <w:pPr>
      <w:widowControl w:val="0"/>
      <w:tabs>
        <w:tab w:val="left" w:pos="6480"/>
      </w:tabs>
      <w:spacing w:line="360" w:lineRule="auto"/>
      <w:ind w:right="-512" w:rightChars="-244"/>
      <w:jc w:val="both"/>
    </w:pPr>
    <w:rPr>
      <w:rFonts w:ascii="宋体" w:hAnsi="宋体"/>
      <w:kern w:val="2"/>
    </w:rPr>
  </w:style>
  <w:style w:type="paragraph" w:styleId="22">
    <w:name w:val="Body Text"/>
    <w:basedOn w:val="1"/>
    <w:qFormat/>
    <w:uiPriority w:val="0"/>
    <w:pPr>
      <w:widowControl w:val="0"/>
      <w:jc w:val="both"/>
    </w:pPr>
    <w:rPr>
      <w:kern w:val="2"/>
      <w:sz w:val="28"/>
    </w:rPr>
  </w:style>
  <w:style w:type="paragraph" w:styleId="23">
    <w:name w:val="List 2"/>
    <w:basedOn w:val="1"/>
    <w:qFormat/>
    <w:uiPriority w:val="0"/>
    <w:pPr>
      <w:ind w:left="100" w:leftChars="200" w:hanging="200" w:hangingChars="200"/>
    </w:pPr>
  </w:style>
  <w:style w:type="paragraph" w:styleId="24">
    <w:name w:val="toc 5"/>
    <w:basedOn w:val="1"/>
    <w:next w:val="1"/>
    <w:unhideWhenUsed/>
    <w:qFormat/>
    <w:uiPriority w:val="39"/>
    <w:pPr>
      <w:ind w:left="960"/>
    </w:pPr>
    <w:rPr>
      <w:rFonts w:ascii="等线" w:eastAsia="等线"/>
      <w:sz w:val="18"/>
      <w:szCs w:val="18"/>
    </w:rPr>
  </w:style>
  <w:style w:type="paragraph" w:styleId="25">
    <w:name w:val="toc 3"/>
    <w:basedOn w:val="1"/>
    <w:next w:val="1"/>
    <w:qFormat/>
    <w:uiPriority w:val="0"/>
    <w:pPr>
      <w:ind w:left="480"/>
    </w:pPr>
    <w:rPr>
      <w:rFonts w:ascii="等线" w:eastAsia="等线"/>
      <w:i/>
      <w:iCs/>
      <w:sz w:val="20"/>
      <w:szCs w:val="20"/>
    </w:rPr>
  </w:style>
  <w:style w:type="paragraph" w:styleId="26">
    <w:name w:val="Plain Text"/>
    <w:basedOn w:val="1"/>
    <w:link w:val="87"/>
    <w:qFormat/>
    <w:uiPriority w:val="99"/>
    <w:pPr>
      <w:spacing w:before="100" w:beforeAutospacing="1" w:after="100" w:afterAutospacing="1"/>
    </w:pPr>
    <w:rPr>
      <w:rFonts w:ascii="宋体" w:hAnsi="宋体"/>
    </w:rPr>
  </w:style>
  <w:style w:type="paragraph" w:styleId="27">
    <w:name w:val="toc 8"/>
    <w:basedOn w:val="1"/>
    <w:next w:val="1"/>
    <w:unhideWhenUsed/>
    <w:qFormat/>
    <w:uiPriority w:val="39"/>
    <w:pPr>
      <w:ind w:left="1680"/>
    </w:pPr>
    <w:rPr>
      <w:rFonts w:ascii="等线" w:eastAsia="等线"/>
      <w:sz w:val="18"/>
      <w:szCs w:val="18"/>
    </w:rPr>
  </w:style>
  <w:style w:type="paragraph" w:styleId="28">
    <w:name w:val="Date"/>
    <w:basedOn w:val="1"/>
    <w:next w:val="1"/>
    <w:qFormat/>
    <w:uiPriority w:val="0"/>
    <w:pPr>
      <w:widowControl w:val="0"/>
      <w:ind w:left="100" w:leftChars="2500"/>
      <w:jc w:val="both"/>
    </w:pPr>
    <w:rPr>
      <w:kern w:val="2"/>
      <w:sz w:val="21"/>
    </w:rPr>
  </w:style>
  <w:style w:type="paragraph" w:styleId="29">
    <w:name w:val="Body Text Indent 2"/>
    <w:basedOn w:val="1"/>
    <w:qFormat/>
    <w:uiPriority w:val="0"/>
    <w:pPr>
      <w:ind w:firstLine="435"/>
    </w:pPr>
    <w:rPr>
      <w:rFonts w:ascii="仿宋_GB2312" w:eastAsia="仿宋_GB2312"/>
    </w:rPr>
  </w:style>
  <w:style w:type="paragraph" w:styleId="30">
    <w:name w:val="Balloon Text"/>
    <w:basedOn w:val="1"/>
    <w:qFormat/>
    <w:uiPriority w:val="0"/>
    <w:rPr>
      <w:sz w:val="18"/>
      <w:szCs w:val="18"/>
    </w:rPr>
  </w:style>
  <w:style w:type="paragraph" w:styleId="31">
    <w:name w:val="footer"/>
    <w:basedOn w:val="1"/>
    <w:link w:val="88"/>
    <w:qFormat/>
    <w:uiPriority w:val="99"/>
    <w:pPr>
      <w:tabs>
        <w:tab w:val="center" w:pos="4153"/>
        <w:tab w:val="right" w:pos="8306"/>
      </w:tabs>
      <w:snapToGrid w:val="0"/>
    </w:pPr>
    <w:rPr>
      <w:sz w:val="18"/>
      <w:szCs w:val="18"/>
    </w:rPr>
  </w:style>
  <w:style w:type="paragraph" w:styleId="3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pPr>
    <w:rPr>
      <w:rFonts w:ascii="等线" w:eastAsia="等线"/>
      <w:b/>
      <w:bCs/>
      <w:caps/>
      <w:sz w:val="20"/>
      <w:szCs w:val="20"/>
    </w:rPr>
  </w:style>
  <w:style w:type="paragraph" w:styleId="34">
    <w:name w:val="toc 4"/>
    <w:basedOn w:val="1"/>
    <w:next w:val="1"/>
    <w:unhideWhenUsed/>
    <w:qFormat/>
    <w:uiPriority w:val="39"/>
    <w:pPr>
      <w:ind w:left="720"/>
    </w:pPr>
    <w:rPr>
      <w:rFonts w:ascii="等线" w:eastAsia="等线"/>
      <w:sz w:val="18"/>
      <w:szCs w:val="18"/>
    </w:rPr>
  </w:style>
  <w:style w:type="paragraph" w:styleId="35">
    <w:name w:val="List"/>
    <w:basedOn w:val="1"/>
    <w:qFormat/>
    <w:uiPriority w:val="0"/>
    <w:pPr>
      <w:ind w:left="200" w:hanging="200" w:hangingChars="200"/>
    </w:pPr>
  </w:style>
  <w:style w:type="paragraph" w:styleId="36">
    <w:name w:val="toc 6"/>
    <w:basedOn w:val="1"/>
    <w:next w:val="1"/>
    <w:unhideWhenUsed/>
    <w:qFormat/>
    <w:uiPriority w:val="39"/>
    <w:pPr>
      <w:ind w:left="1200"/>
    </w:pPr>
    <w:rPr>
      <w:rFonts w:ascii="等线" w:eastAsia="等线"/>
      <w:sz w:val="18"/>
      <w:szCs w:val="18"/>
    </w:rPr>
  </w:style>
  <w:style w:type="paragraph" w:styleId="37">
    <w:name w:val="Body Text Indent 3"/>
    <w:basedOn w:val="1"/>
    <w:qFormat/>
    <w:uiPriority w:val="0"/>
    <w:pPr>
      <w:ind w:firstLine="540" w:firstLineChars="225"/>
      <w:jc w:val="both"/>
    </w:pPr>
    <w:rPr>
      <w:rFonts w:ascii="仿宋_GB2312" w:eastAsia="仿宋_GB2312"/>
      <w:szCs w:val="14"/>
    </w:rPr>
  </w:style>
  <w:style w:type="paragraph" w:styleId="38">
    <w:name w:val="toc 2"/>
    <w:basedOn w:val="1"/>
    <w:next w:val="1"/>
    <w:qFormat/>
    <w:uiPriority w:val="39"/>
    <w:pPr>
      <w:ind w:left="240"/>
    </w:pPr>
    <w:rPr>
      <w:rFonts w:ascii="等线" w:eastAsia="等线"/>
      <w:smallCaps/>
      <w:sz w:val="20"/>
      <w:szCs w:val="20"/>
    </w:rPr>
  </w:style>
  <w:style w:type="paragraph" w:styleId="39">
    <w:name w:val="toc 9"/>
    <w:basedOn w:val="1"/>
    <w:next w:val="1"/>
    <w:unhideWhenUsed/>
    <w:qFormat/>
    <w:uiPriority w:val="39"/>
    <w:pPr>
      <w:ind w:left="1920"/>
    </w:pPr>
    <w:rPr>
      <w:rFonts w:ascii="等线" w:eastAsia="等线"/>
      <w:sz w:val="18"/>
      <w:szCs w:val="18"/>
    </w:rPr>
  </w:style>
  <w:style w:type="paragraph" w:styleId="40">
    <w:name w:val="Body Text 2"/>
    <w:basedOn w:val="1"/>
    <w:qFormat/>
    <w:uiPriority w:val="0"/>
    <w:pPr>
      <w:spacing w:line="360" w:lineRule="exact"/>
      <w:jc w:val="both"/>
    </w:pPr>
    <w:rPr>
      <w:rFonts w:ascii="仿宋_GB2312" w:eastAsia="仿宋_GB2312"/>
    </w:rPr>
  </w:style>
  <w:style w:type="paragraph" w:styleId="41">
    <w:name w:val="Normal (Web)"/>
    <w:basedOn w:val="1"/>
    <w:qFormat/>
    <w:uiPriority w:val="0"/>
    <w:pPr>
      <w:spacing w:before="100" w:beforeAutospacing="1" w:after="100" w:afterAutospacing="1"/>
    </w:pPr>
    <w:rPr>
      <w:rFonts w:hint="eastAsia" w:ascii="宋体" w:hAnsi="宋体"/>
    </w:rPr>
  </w:style>
  <w:style w:type="paragraph" w:styleId="42">
    <w:name w:val="annotation subject"/>
    <w:basedOn w:val="19"/>
    <w:next w:val="19"/>
    <w:qFormat/>
    <w:uiPriority w:val="0"/>
    <w:rPr>
      <w:b/>
      <w:bCs/>
    </w:rPr>
  </w:style>
  <w:style w:type="paragraph" w:styleId="43">
    <w:name w:val="Body Text First Indent"/>
    <w:basedOn w:val="22"/>
    <w:link w:val="55"/>
    <w:qFormat/>
    <w:uiPriority w:val="0"/>
    <w:pPr>
      <w:widowControl/>
      <w:spacing w:after="120"/>
      <w:ind w:firstLine="420" w:firstLineChars="100"/>
      <w:jc w:val="left"/>
    </w:pPr>
    <w:rPr>
      <w:kern w:val="0"/>
      <w:sz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rFonts w:ascii="Times New Roman" w:hAnsi="Times New Roman" w:eastAsia="宋体" w:cs="Times New Roman"/>
      <w:b/>
      <w:bCs/>
    </w:rPr>
  </w:style>
  <w:style w:type="character" w:styleId="48">
    <w:name w:val="page number"/>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line number"/>
    <w:unhideWhenUsed/>
    <w:qFormat/>
    <w:uiPriority w:val="99"/>
  </w:style>
  <w:style w:type="character" w:styleId="51">
    <w:name w:val="Hyperlink"/>
    <w:qFormat/>
    <w:uiPriority w:val="99"/>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character" w:customStyle="1" w:styleId="53">
    <w:name w:val="Char Char Char Char Char"/>
    <w:qFormat/>
    <w:uiPriority w:val="0"/>
    <w:rPr>
      <w:rFonts w:ascii="宋体" w:hAnsi="宋体" w:eastAsia="宋体" w:cs="Times New Roman"/>
      <w:sz w:val="24"/>
      <w:szCs w:val="24"/>
      <w:lang w:val="en-US" w:eastAsia="zh-CN" w:bidi="ar-SA"/>
    </w:rPr>
  </w:style>
  <w:style w:type="character" w:customStyle="1" w:styleId="54">
    <w:name w:val="font41"/>
    <w:qFormat/>
    <w:uiPriority w:val="0"/>
    <w:rPr>
      <w:rFonts w:hint="eastAsia" w:ascii="宋体" w:hAnsi="宋体" w:eastAsia="宋体" w:cs="宋体"/>
      <w:color w:val="000000"/>
      <w:sz w:val="24"/>
      <w:szCs w:val="24"/>
      <w:u w:val="none"/>
    </w:rPr>
  </w:style>
  <w:style w:type="character" w:customStyle="1" w:styleId="55">
    <w:name w:val="正文文本首行缩进 字符"/>
    <w:link w:val="43"/>
    <w:qFormat/>
    <w:uiPriority w:val="0"/>
    <w:rPr>
      <w:sz w:val="24"/>
      <w:szCs w:val="24"/>
    </w:rPr>
  </w:style>
  <w:style w:type="character" w:customStyle="1" w:styleId="56">
    <w:name w:val="正文文本首行缩进 2 字符"/>
    <w:link w:val="2"/>
    <w:qFormat/>
    <w:uiPriority w:val="0"/>
    <w:rPr>
      <w:sz w:val="24"/>
      <w:szCs w:val="24"/>
    </w:rPr>
  </w:style>
  <w:style w:type="character" w:customStyle="1" w:styleId="57">
    <w:name w:val="标题 2 字符1"/>
    <w:link w:val="7"/>
    <w:qFormat/>
    <w:uiPriority w:val="0"/>
    <w:rPr>
      <w:rFonts w:ascii="Arial" w:hAnsi="Arial" w:eastAsia="黑体" w:cs="Times New Roman"/>
      <w:b/>
      <w:bCs/>
      <w:sz w:val="32"/>
      <w:szCs w:val="32"/>
      <w:lang w:val="en-US" w:eastAsia="zh-CN" w:bidi="ar-SA"/>
    </w:rPr>
  </w:style>
  <w:style w:type="character" w:customStyle="1" w:styleId="58">
    <w:name w:val="标题 1 字符1"/>
    <w:link w:val="6"/>
    <w:qFormat/>
    <w:uiPriority w:val="0"/>
    <w:rPr>
      <w:rFonts w:ascii="Times New Roman" w:hAnsi="Times New Roman" w:eastAsia="宋体" w:cs="Times New Roman"/>
      <w:b/>
      <w:bCs/>
      <w:kern w:val="44"/>
      <w:sz w:val="44"/>
      <w:szCs w:val="44"/>
      <w:lang w:val="en-US" w:eastAsia="zh-CN" w:bidi="ar-SA"/>
    </w:rPr>
  </w:style>
  <w:style w:type="character" w:customStyle="1" w:styleId="59">
    <w:name w:val="标题 3 Char"/>
    <w:qFormat/>
    <w:uiPriority w:val="0"/>
    <w:rPr>
      <w:rFonts w:ascii="黑体" w:hAnsi="Trebuchet MS" w:eastAsia="黑体" w:cs="Times New Roman"/>
      <w:b/>
      <w:bCs/>
      <w:snapToGrid w:val="0"/>
      <w:sz w:val="28"/>
      <w:szCs w:val="28"/>
      <w:lang w:val="en-US" w:eastAsia="zh-CN" w:bidi="ar-SA"/>
    </w:rPr>
  </w:style>
  <w:style w:type="character" w:customStyle="1" w:styleId="60">
    <w:name w:val="txt1"/>
    <w:qFormat/>
    <w:uiPriority w:val="0"/>
    <w:rPr>
      <w:rFonts w:hint="default" w:ascii="ˎ̥" w:hAnsi="ˎ̥" w:eastAsia="宋体" w:cs="Times New Roman"/>
      <w:sz w:val="18"/>
      <w:szCs w:val="18"/>
    </w:rPr>
  </w:style>
  <w:style w:type="character" w:customStyle="1" w:styleId="61">
    <w:name w:val="font11"/>
    <w:qFormat/>
    <w:uiPriority w:val="0"/>
    <w:rPr>
      <w:rFonts w:hint="default" w:ascii="Times New Roman" w:hAnsi="Times New Roman" w:eastAsia="宋体" w:cs="Times New Roman"/>
      <w:color w:val="000000"/>
      <w:sz w:val="18"/>
      <w:szCs w:val="18"/>
      <w:u w:val="none"/>
    </w:rPr>
  </w:style>
  <w:style w:type="character" w:customStyle="1" w:styleId="62">
    <w:name w:val="Char Char1"/>
    <w:qFormat/>
    <w:uiPriority w:val="0"/>
    <w:rPr>
      <w:rFonts w:ascii="Times New Roman" w:hAnsi="Times New Roman" w:eastAsia="宋体" w:cs="Times New Roman"/>
      <w:sz w:val="18"/>
      <w:szCs w:val="18"/>
      <w:lang w:val="en-US" w:eastAsia="zh-CN" w:bidi="ar-SA"/>
    </w:rPr>
  </w:style>
  <w:style w:type="character" w:customStyle="1" w:styleId="63">
    <w:name w:val="font21"/>
    <w:qFormat/>
    <w:uiPriority w:val="0"/>
    <w:rPr>
      <w:rFonts w:hint="default" w:ascii="Times New Roman" w:hAnsi="Times New Roman" w:eastAsia="宋体" w:cs="Times New Roman"/>
      <w:color w:val="000000"/>
      <w:sz w:val="21"/>
      <w:szCs w:val="21"/>
      <w:u w:val="none"/>
    </w:rPr>
  </w:style>
  <w:style w:type="character" w:customStyle="1" w:styleId="64">
    <w:name w:val="value"/>
    <w:qFormat/>
    <w:uiPriority w:val="0"/>
    <w:rPr>
      <w:rFonts w:ascii="Times New Roman" w:hAnsi="Times New Roman" w:eastAsia="宋体" w:cs="Times New Roman"/>
    </w:rPr>
  </w:style>
  <w:style w:type="character" w:customStyle="1" w:styleId="65">
    <w:name w:val="普通文字 Char Char1"/>
    <w:qFormat/>
    <w:uiPriority w:val="0"/>
    <w:rPr>
      <w:rFonts w:ascii="宋体" w:hAnsi="宋体" w:eastAsia="宋体" w:cs="Times New Roman"/>
      <w:sz w:val="24"/>
      <w:szCs w:val="24"/>
      <w:lang w:val="en-US" w:eastAsia="zh-CN" w:bidi="ar-SA"/>
    </w:rPr>
  </w:style>
  <w:style w:type="character" w:customStyle="1" w:styleId="66">
    <w:name w:val="zyp-正文 Char Char"/>
    <w:qFormat/>
    <w:uiPriority w:val="0"/>
    <w:rPr>
      <w:rFonts w:ascii="宋体" w:hAnsi="宋体" w:eastAsia="宋体" w:cs="Times New Roman"/>
      <w:color w:val="000000"/>
      <w:kern w:val="2"/>
      <w:sz w:val="28"/>
      <w:szCs w:val="18"/>
      <w:lang w:val="en-US" w:eastAsia="zh-CN" w:bidi="ar-SA"/>
    </w:rPr>
  </w:style>
  <w:style w:type="character" w:customStyle="1" w:styleId="67">
    <w:name w:val="纯文本 字符1"/>
    <w:qFormat/>
    <w:uiPriority w:val="0"/>
    <w:rPr>
      <w:rFonts w:ascii="宋体" w:hAnsi="Courier New" w:eastAsia="宋体" w:cs="Arial"/>
      <w:snapToGrid/>
      <w:kern w:val="2"/>
      <w:sz w:val="21"/>
      <w:szCs w:val="21"/>
      <w:lang w:val="en-US" w:eastAsia="zh-CN" w:bidi="ar-SA"/>
    </w:rPr>
  </w:style>
  <w:style w:type="character" w:customStyle="1" w:styleId="68">
    <w:name w:val="页眉 字符"/>
    <w:link w:val="32"/>
    <w:qFormat/>
    <w:uiPriority w:val="99"/>
    <w:rPr>
      <w:rFonts w:ascii="Times New Roman" w:hAnsi="Times New Roman" w:eastAsia="宋体" w:cs="Times New Roman"/>
      <w:sz w:val="18"/>
      <w:szCs w:val="18"/>
      <w:lang w:val="en-US" w:eastAsia="zh-CN" w:bidi="ar-SA"/>
    </w:rPr>
  </w:style>
  <w:style w:type="character" w:customStyle="1" w:styleId="69">
    <w:name w:val="font01"/>
    <w:qFormat/>
    <w:uiPriority w:val="0"/>
    <w:rPr>
      <w:rFonts w:hint="default" w:ascii="Times New Roman" w:hAnsi="Times New Roman" w:eastAsia="宋体" w:cs="Times New Roman"/>
      <w:color w:val="000000"/>
      <w:sz w:val="18"/>
      <w:szCs w:val="18"/>
      <w:u w:val="none"/>
      <w:vertAlign w:val="superscript"/>
    </w:rPr>
  </w:style>
  <w:style w:type="character" w:customStyle="1" w:styleId="70">
    <w:name w:val="font61"/>
    <w:qFormat/>
    <w:uiPriority w:val="0"/>
    <w:rPr>
      <w:rFonts w:hint="default" w:ascii="Times New Roman" w:hAnsi="Times New Roman" w:eastAsia="宋体" w:cs="Times New Roman"/>
      <w:color w:val="000000"/>
      <w:sz w:val="21"/>
      <w:szCs w:val="21"/>
      <w:u w:val="none"/>
    </w:rPr>
  </w:style>
  <w:style w:type="character" w:customStyle="1" w:styleId="71">
    <w:name w:val="页眉 字符2"/>
    <w:qFormat/>
    <w:uiPriority w:val="99"/>
    <w:rPr>
      <w:kern w:val="2"/>
      <w:sz w:val="18"/>
      <w:szCs w:val="18"/>
    </w:rPr>
  </w:style>
  <w:style w:type="character" w:customStyle="1" w:styleId="72">
    <w:name w:val="Char Char Char Char"/>
    <w:qFormat/>
    <w:uiPriority w:val="0"/>
    <w:rPr>
      <w:rFonts w:ascii="Times New Roman" w:hAnsi="Times New Roman" w:eastAsia="宋体" w:cs="Times New Roman"/>
      <w:kern w:val="2"/>
      <w:sz w:val="21"/>
      <w:szCs w:val="24"/>
      <w:lang w:val="en-US" w:eastAsia="zh-CN" w:bidi="ar-SA"/>
    </w:rPr>
  </w:style>
  <w:style w:type="character" w:customStyle="1" w:styleId="73">
    <w:name w:val="NormalCharacter"/>
    <w:qFormat/>
    <w:uiPriority w:val="0"/>
  </w:style>
  <w:style w:type="character" w:customStyle="1" w:styleId="74">
    <w:name w:val="样式1 Char Char"/>
    <w:link w:val="75"/>
    <w:qFormat/>
    <w:uiPriority w:val="0"/>
    <w:rPr>
      <w:rFonts w:ascii="Arial" w:hAnsi="Arial"/>
      <w:kern w:val="2"/>
      <w:sz w:val="21"/>
      <w:szCs w:val="24"/>
    </w:rPr>
  </w:style>
  <w:style w:type="paragraph" w:customStyle="1" w:styleId="75">
    <w:name w:val="样式1"/>
    <w:basedOn w:val="1"/>
    <w:link w:val="74"/>
    <w:qFormat/>
    <w:uiPriority w:val="0"/>
    <w:pPr>
      <w:widowControl w:val="0"/>
      <w:spacing w:line="360" w:lineRule="exact"/>
      <w:ind w:firstLine="200" w:firstLineChars="200"/>
      <w:jc w:val="both"/>
    </w:pPr>
    <w:rPr>
      <w:rFonts w:ascii="Arial" w:hAnsi="Arial"/>
      <w:kern w:val="2"/>
      <w:sz w:val="21"/>
    </w:rPr>
  </w:style>
  <w:style w:type="character" w:customStyle="1" w:styleId="76">
    <w:name w:val="正文缩进 字符"/>
    <w:link w:val="4"/>
    <w:qFormat/>
    <w:uiPriority w:val="0"/>
    <w:rPr>
      <w:kern w:val="2"/>
      <w:sz w:val="21"/>
    </w:rPr>
  </w:style>
  <w:style w:type="character" w:customStyle="1" w:styleId="77">
    <w:name w:val="zyp-正文 Char"/>
    <w:link w:val="78"/>
    <w:qFormat/>
    <w:uiPriority w:val="0"/>
    <w:rPr>
      <w:rFonts w:ascii="宋体" w:hAnsi="宋体" w:eastAsia="宋体" w:cs="Times New Roman"/>
      <w:color w:val="000000"/>
      <w:kern w:val="2"/>
      <w:sz w:val="28"/>
      <w:szCs w:val="18"/>
      <w:lang w:val="en-US" w:eastAsia="zh-CN" w:bidi="ar-SA"/>
    </w:rPr>
  </w:style>
  <w:style w:type="paragraph" w:customStyle="1" w:styleId="78">
    <w:name w:val="zyp-正文"/>
    <w:basedOn w:val="41"/>
    <w:link w:val="77"/>
    <w:qFormat/>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79">
    <w:name w:val="para"/>
    <w:qFormat/>
    <w:uiPriority w:val="0"/>
    <w:rPr>
      <w:rFonts w:ascii="Times New Roman" w:hAnsi="Times New Roman" w:eastAsia="宋体" w:cs="Times New Roman"/>
    </w:rPr>
  </w:style>
  <w:style w:type="character" w:customStyle="1" w:styleId="80">
    <w:name w:val="标题 2 字符"/>
    <w:qFormat/>
    <w:uiPriority w:val="0"/>
    <w:rPr>
      <w:rFonts w:ascii="Arial" w:hAnsi="Arial" w:eastAsia="黑体" w:cs="Arial"/>
      <w:b/>
      <w:color w:val="000000"/>
      <w:sz w:val="32"/>
      <w:szCs w:val="32"/>
    </w:rPr>
  </w:style>
  <w:style w:type="character" w:customStyle="1" w:styleId="81">
    <w:name w:val="A1"/>
    <w:qFormat/>
    <w:uiPriority w:val="0"/>
    <w:rPr>
      <w:rFonts w:ascii="Univers LT Std 45 Light" w:hAnsi="Times New Roman" w:eastAsia="Univers LT Std 45 Light" w:cs="Univers LT Std 45 Light"/>
      <w:color w:val="221E1F"/>
      <w:sz w:val="10"/>
      <w:szCs w:val="10"/>
    </w:rPr>
  </w:style>
  <w:style w:type="character" w:customStyle="1" w:styleId="82">
    <w:name w:val="页脚 字符2"/>
    <w:qFormat/>
    <w:locked/>
    <w:uiPriority w:val="99"/>
    <w:rPr>
      <w:kern w:val="2"/>
      <w:sz w:val="18"/>
      <w:szCs w:val="18"/>
    </w:rPr>
  </w:style>
  <w:style w:type="character" w:customStyle="1" w:styleId="83">
    <w:name w:val="纯文本 Char"/>
    <w:qFormat/>
    <w:uiPriority w:val="0"/>
    <w:rPr>
      <w:rFonts w:ascii="宋体" w:hAnsi="Courier New" w:eastAsia="宋体"/>
      <w:sz w:val="24"/>
      <w:szCs w:val="24"/>
    </w:rPr>
  </w:style>
  <w:style w:type="character" w:customStyle="1" w:styleId="84">
    <w:name w:val="正文文本缩进 字符"/>
    <w:link w:val="3"/>
    <w:qFormat/>
    <w:uiPriority w:val="0"/>
    <w:rPr>
      <w:rFonts w:eastAsia="仿宋_GB2312"/>
      <w:sz w:val="24"/>
      <w:szCs w:val="24"/>
    </w:rPr>
  </w:style>
  <w:style w:type="character" w:customStyle="1" w:styleId="85">
    <w:name w:val="apple-style-span"/>
    <w:qFormat/>
    <w:uiPriority w:val="0"/>
    <w:rPr>
      <w:rFonts w:ascii="Times New Roman" w:hAnsi="Times New Roman" w:eastAsia="宋体" w:cs="Times New Roman"/>
    </w:rPr>
  </w:style>
  <w:style w:type="character" w:customStyle="1" w:styleId="86">
    <w:name w:val="批注文字 字符"/>
    <w:link w:val="19"/>
    <w:qFormat/>
    <w:uiPriority w:val="0"/>
    <w:rPr>
      <w:rFonts w:ascii="Times New Roman" w:hAnsi="Times New Roman" w:eastAsia="宋体" w:cs="Times New Roman"/>
      <w:kern w:val="2"/>
      <w:sz w:val="21"/>
      <w:szCs w:val="24"/>
      <w:lang w:val="en-US" w:eastAsia="zh-CN" w:bidi="ar-SA"/>
    </w:rPr>
  </w:style>
  <w:style w:type="character" w:customStyle="1" w:styleId="87">
    <w:name w:val="纯文本 字符"/>
    <w:link w:val="26"/>
    <w:qFormat/>
    <w:uiPriority w:val="99"/>
    <w:rPr>
      <w:rFonts w:ascii="宋体" w:hAnsi="宋体" w:eastAsia="宋体" w:cs="Times New Roman"/>
      <w:sz w:val="24"/>
      <w:szCs w:val="24"/>
      <w:lang w:val="en-US" w:eastAsia="zh-CN" w:bidi="ar-SA"/>
    </w:rPr>
  </w:style>
  <w:style w:type="character" w:customStyle="1" w:styleId="88">
    <w:name w:val="页脚 字符"/>
    <w:link w:val="31"/>
    <w:qFormat/>
    <w:uiPriority w:val="99"/>
    <w:rPr>
      <w:rFonts w:ascii="Times New Roman" w:hAnsi="Times New Roman" w:eastAsia="宋体" w:cs="Times New Roman"/>
      <w:sz w:val="18"/>
      <w:szCs w:val="18"/>
      <w:lang w:val="en-US" w:eastAsia="zh-CN" w:bidi="ar-SA"/>
    </w:rPr>
  </w:style>
  <w:style w:type="character" w:customStyle="1" w:styleId="89">
    <w:name w:val="font51"/>
    <w:qFormat/>
    <w:uiPriority w:val="0"/>
    <w:rPr>
      <w:rFonts w:hint="eastAsia" w:ascii="宋体" w:hAnsi="宋体" w:eastAsia="宋体" w:cs="宋体"/>
      <w:color w:val="000000"/>
      <w:sz w:val="22"/>
      <w:szCs w:val="22"/>
      <w:u w:val="none"/>
    </w:rPr>
  </w:style>
  <w:style w:type="character" w:customStyle="1" w:styleId="90">
    <w:name w:val="font31"/>
    <w:qFormat/>
    <w:uiPriority w:val="0"/>
    <w:rPr>
      <w:rFonts w:hint="eastAsia" w:ascii="宋体" w:hAnsi="宋体" w:eastAsia="宋体" w:cs="宋体"/>
      <w:color w:val="000000"/>
      <w:sz w:val="18"/>
      <w:szCs w:val="18"/>
      <w:u w:val="none"/>
    </w:rPr>
  </w:style>
  <w:style w:type="character" w:customStyle="1" w:styleId="91">
    <w:name w:val="Char Char4"/>
    <w:qFormat/>
    <w:uiPriority w:val="0"/>
    <w:rPr>
      <w:rFonts w:ascii="宋体" w:hAnsi="Courier New" w:eastAsia="宋体" w:cs="Courier New"/>
      <w:kern w:val="2"/>
      <w:sz w:val="21"/>
      <w:szCs w:val="21"/>
      <w:lang w:val="en-US" w:eastAsia="zh-CN" w:bidi="ar-SA"/>
    </w:rPr>
  </w:style>
  <w:style w:type="character" w:customStyle="1" w:styleId="92">
    <w:name w:val="正文2 Char Char"/>
    <w:link w:val="93"/>
    <w:qFormat/>
    <w:uiPriority w:val="0"/>
    <w:rPr>
      <w:kern w:val="2"/>
      <w:sz w:val="24"/>
    </w:rPr>
  </w:style>
  <w:style w:type="paragraph" w:customStyle="1" w:styleId="93">
    <w:name w:val="正文2"/>
    <w:basedOn w:val="1"/>
    <w:link w:val="92"/>
    <w:qFormat/>
    <w:uiPriority w:val="0"/>
    <w:pPr>
      <w:widowControl w:val="0"/>
      <w:spacing w:before="156" w:line="360" w:lineRule="auto"/>
      <w:ind w:firstLine="510" w:firstLineChars="200"/>
      <w:jc w:val="both"/>
    </w:pPr>
    <w:rPr>
      <w:kern w:val="2"/>
      <w:szCs w:val="20"/>
    </w:rPr>
  </w:style>
  <w:style w:type="character" w:customStyle="1" w:styleId="94">
    <w:name w:val="标题 1 字符"/>
    <w:qFormat/>
    <w:uiPriority w:val="9"/>
    <w:rPr>
      <w:rFonts w:hint="default" w:ascii="Calibri" w:hAnsi="Calibri" w:eastAsia="宋体" w:cs="Times New Roman"/>
      <w:b/>
      <w:kern w:val="44"/>
      <w:sz w:val="44"/>
      <w:szCs w:val="44"/>
    </w:rPr>
  </w:style>
  <w:style w:type="character" w:customStyle="1" w:styleId="95">
    <w:name w:val="纯文本 Char_0"/>
    <w:link w:val="96"/>
    <w:qFormat/>
    <w:uiPriority w:val="0"/>
    <w:rPr>
      <w:rFonts w:ascii="宋体" w:hAnsi="Courier New"/>
      <w:kern w:val="2"/>
      <w:sz w:val="21"/>
      <w:szCs w:val="21"/>
    </w:rPr>
  </w:style>
  <w:style w:type="paragraph" w:customStyle="1" w:styleId="96">
    <w:name w:val="纯文本_0_0"/>
    <w:basedOn w:val="1"/>
    <w:link w:val="95"/>
    <w:qFormat/>
    <w:uiPriority w:val="0"/>
    <w:pPr>
      <w:widowControl w:val="0"/>
      <w:jc w:val="both"/>
    </w:pPr>
    <w:rPr>
      <w:rFonts w:ascii="宋体" w:hAnsi="Courier New"/>
      <w:kern w:val="2"/>
      <w:sz w:val="21"/>
      <w:szCs w:val="21"/>
    </w:rPr>
  </w:style>
  <w:style w:type="character" w:customStyle="1" w:styleId="97">
    <w:name w:val="font71"/>
    <w:qFormat/>
    <w:uiPriority w:val="0"/>
    <w:rPr>
      <w:rFonts w:hint="eastAsia" w:ascii="宋体" w:hAnsi="宋体" w:eastAsia="宋体" w:cs="宋体"/>
      <w:color w:val="FF0000"/>
      <w:sz w:val="21"/>
      <w:szCs w:val="21"/>
      <w:u w:val="none"/>
    </w:rPr>
  </w:style>
  <w:style w:type="character" w:customStyle="1" w:styleId="98">
    <w:name w:val="Z2 Char Char"/>
    <w:qFormat/>
    <w:uiPriority w:val="0"/>
    <w:rPr>
      <w:rFonts w:ascii="Arial" w:hAnsi="Arial" w:eastAsia="黑体" w:cs="Times New Roman"/>
      <w:b/>
      <w:bCs/>
      <w:sz w:val="32"/>
      <w:szCs w:val="32"/>
      <w:lang w:val="en-US" w:eastAsia="zh-CN" w:bidi="ar-SA"/>
    </w:rPr>
  </w:style>
  <w:style w:type="character" w:customStyle="1" w:styleId="99">
    <w:name w:val="Char Char3"/>
    <w:qFormat/>
    <w:uiPriority w:val="0"/>
    <w:rPr>
      <w:rFonts w:ascii="Times New Roman" w:hAnsi="Times New Roman" w:eastAsia="宋体" w:cs="Times New Roman"/>
      <w:kern w:val="2"/>
      <w:sz w:val="18"/>
    </w:rPr>
  </w:style>
  <w:style w:type="character" w:customStyle="1" w:styleId="100">
    <w:name w:val="A10"/>
    <w:qFormat/>
    <w:uiPriority w:val="0"/>
    <w:rPr>
      <w:rFonts w:ascii="Univers LT Std 45 Light" w:hAnsi="Times New Roman" w:eastAsia="Univers LT Std 45 Light" w:cs="Univers LT Std 45 Light"/>
      <w:color w:val="221E1F"/>
      <w:sz w:val="8"/>
      <w:szCs w:val="8"/>
    </w:rPr>
  </w:style>
  <w:style w:type="character" w:customStyle="1" w:styleId="101">
    <w:name w:val="Char Char Char Char Char Char"/>
    <w:qFormat/>
    <w:uiPriority w:val="0"/>
    <w:rPr>
      <w:rFonts w:ascii="Times New Roman" w:hAnsi="Times New Roman" w:eastAsia="宋体" w:cs="Times New Roman"/>
      <w:kern w:val="2"/>
      <w:sz w:val="21"/>
      <w:szCs w:val="24"/>
      <w:lang w:val="en-US" w:eastAsia="zh-CN" w:bidi="ar-SA"/>
    </w:rPr>
  </w:style>
  <w:style w:type="paragraph" w:customStyle="1" w:styleId="102">
    <w:name w:val="xl65"/>
    <w:basedOn w:val="1"/>
    <w:qFormat/>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03">
    <w:name w:val="font1"/>
    <w:basedOn w:val="1"/>
    <w:qFormat/>
    <w:uiPriority w:val="0"/>
    <w:pPr>
      <w:spacing w:before="100" w:beforeAutospacing="1" w:after="100" w:afterAutospacing="1"/>
    </w:pPr>
    <w:rPr>
      <w:rFonts w:hint="eastAsia" w:ascii="宋体" w:hAnsi="宋体"/>
    </w:rPr>
  </w:style>
  <w:style w:type="paragraph" w:customStyle="1" w:styleId="104">
    <w:name w:val="1"/>
    <w:basedOn w:val="1"/>
    <w:next w:val="21"/>
    <w:qFormat/>
    <w:uiPriority w:val="0"/>
    <w:pPr>
      <w:widowControl w:val="0"/>
      <w:tabs>
        <w:tab w:val="left" w:pos="6480"/>
      </w:tabs>
      <w:spacing w:line="360" w:lineRule="auto"/>
      <w:ind w:right="-512" w:rightChars="-244"/>
      <w:jc w:val="both"/>
    </w:pPr>
    <w:rPr>
      <w:rFonts w:ascii="宋体" w:hAnsi="宋体"/>
      <w:kern w:val="2"/>
    </w:rPr>
  </w:style>
  <w:style w:type="paragraph" w:customStyle="1" w:styleId="10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6">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0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08">
    <w:name w:val="二级条标题"/>
    <w:basedOn w:val="109"/>
    <w:next w:val="110"/>
    <w:qFormat/>
    <w:uiPriority w:val="0"/>
    <w:pPr>
      <w:tabs>
        <w:tab w:val="left" w:pos="360"/>
      </w:tabs>
      <w:outlineLvl w:val="3"/>
    </w:pPr>
    <w:rPr>
      <w:rFonts w:eastAsia="宋体"/>
    </w:rPr>
  </w:style>
  <w:style w:type="paragraph" w:customStyle="1" w:styleId="109">
    <w:name w:val="一级条标题"/>
    <w:next w:val="110"/>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1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112">
    <w:name w:val="font7"/>
    <w:basedOn w:val="1"/>
    <w:qFormat/>
    <w:uiPriority w:val="0"/>
    <w:pPr>
      <w:spacing w:before="100" w:beforeAutospacing="1" w:after="100" w:afterAutospacing="1"/>
    </w:pPr>
    <w:rPr>
      <w:sz w:val="26"/>
      <w:szCs w:val="26"/>
    </w:rPr>
  </w:style>
  <w:style w:type="paragraph" w:customStyle="1" w:styleId="113">
    <w:name w:val="Char"/>
    <w:basedOn w:val="1"/>
    <w:qFormat/>
    <w:uiPriority w:val="0"/>
    <w:pPr>
      <w:widowControl w:val="0"/>
      <w:jc w:val="both"/>
    </w:pPr>
    <w:rPr>
      <w:rFonts w:ascii="仿宋_GB2312" w:eastAsia="仿宋_GB2312"/>
      <w:b/>
      <w:kern w:val="2"/>
      <w:sz w:val="32"/>
      <w:szCs w:val="32"/>
    </w:rPr>
  </w:style>
  <w:style w:type="paragraph" w:customStyle="1" w:styleId="114">
    <w:name w:val="章标题"/>
    <w:next w:val="110"/>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115">
    <w:name w:val="Char Char Char Char1"/>
    <w:basedOn w:val="1"/>
    <w:qFormat/>
    <w:uiPriority w:val="0"/>
    <w:pPr>
      <w:spacing w:after="160" w:line="240" w:lineRule="exact"/>
    </w:pPr>
    <w:rPr>
      <w:kern w:val="2"/>
      <w:sz w:val="21"/>
      <w:szCs w:val="20"/>
    </w:rPr>
  </w:style>
  <w:style w:type="paragraph" w:customStyle="1" w:styleId="116">
    <w:name w:val="font8"/>
    <w:basedOn w:val="1"/>
    <w:qFormat/>
    <w:uiPriority w:val="0"/>
    <w:pPr>
      <w:spacing w:before="100" w:beforeAutospacing="1" w:after="100" w:afterAutospacing="1"/>
    </w:pPr>
    <w:rPr>
      <w:sz w:val="26"/>
      <w:szCs w:val="26"/>
    </w:rPr>
  </w:style>
  <w:style w:type="paragraph" w:customStyle="1" w:styleId="117">
    <w:name w:val="Char Char6 Char Char Char Char Char Char"/>
    <w:basedOn w:val="1"/>
    <w:qFormat/>
    <w:uiPriority w:val="0"/>
    <w:pPr>
      <w:widowControl w:val="0"/>
      <w:jc w:val="both"/>
    </w:pPr>
    <w:rPr>
      <w:rFonts w:ascii="Tahoma" w:hAnsi="Tahoma"/>
      <w:kern w:val="2"/>
      <w:szCs w:val="20"/>
    </w:rPr>
  </w:style>
  <w:style w:type="paragraph" w:customStyle="1" w:styleId="118">
    <w:name w:val="xl32"/>
    <w:basedOn w:val="1"/>
    <w:qFormat/>
    <w:uiPriority w:val="0"/>
    <w:pPr>
      <w:spacing w:before="100" w:beforeAutospacing="1" w:after="100" w:afterAutospacing="1"/>
      <w:jc w:val="center"/>
      <w:textAlignment w:val="center"/>
    </w:pPr>
    <w:rPr>
      <w:sz w:val="28"/>
      <w:szCs w:val="28"/>
    </w:rPr>
  </w:style>
  <w:style w:type="paragraph" w:customStyle="1" w:styleId="119">
    <w:name w:val="四级条标题"/>
    <w:basedOn w:val="120"/>
    <w:next w:val="110"/>
    <w:qFormat/>
    <w:uiPriority w:val="0"/>
    <w:pPr>
      <w:tabs>
        <w:tab w:val="left" w:pos="2100"/>
        <w:tab w:val="left" w:pos="2905"/>
      </w:tabs>
      <w:ind w:left="2905" w:hanging="720"/>
      <w:outlineLvl w:val="5"/>
    </w:pPr>
  </w:style>
  <w:style w:type="paragraph" w:customStyle="1" w:styleId="120">
    <w:name w:val="三级条标题"/>
    <w:basedOn w:val="108"/>
    <w:next w:val="110"/>
    <w:qFormat/>
    <w:uiPriority w:val="0"/>
    <w:pPr>
      <w:tabs>
        <w:tab w:val="left" w:pos="2100"/>
        <w:tab w:val="clear" w:pos="360"/>
      </w:tabs>
      <w:ind w:left="2100" w:hanging="420"/>
      <w:outlineLvl w:val="4"/>
    </w:pPr>
  </w:style>
  <w:style w:type="paragraph" w:customStyle="1" w:styleId="121">
    <w:name w:val="Char2"/>
    <w:basedOn w:val="18"/>
    <w:next w:val="1"/>
    <w:qFormat/>
    <w:uiPriority w:val="0"/>
    <w:pPr>
      <w:widowControl w:val="0"/>
      <w:jc w:val="both"/>
    </w:pPr>
    <w:rPr>
      <w:kern w:val="2"/>
      <w:sz w:val="21"/>
      <w:szCs w:val="20"/>
    </w:rPr>
  </w:style>
  <w:style w:type="paragraph" w:customStyle="1" w:styleId="122">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26"/>
      <w:szCs w:val="26"/>
    </w:rPr>
  </w:style>
  <w:style w:type="paragraph" w:customStyle="1" w:styleId="123">
    <w:name w:val="trs_editor"/>
    <w:basedOn w:val="1"/>
    <w:qFormat/>
    <w:uiPriority w:val="0"/>
    <w:pPr>
      <w:spacing w:before="100" w:beforeAutospacing="1" w:after="100" w:afterAutospacing="1"/>
    </w:pPr>
    <w:rPr>
      <w:rFonts w:ascii="宋体" w:hAnsi="宋体" w:cs="宋体"/>
    </w:rPr>
  </w:style>
  <w:style w:type="paragraph" w:customStyle="1" w:styleId="124">
    <w:name w:val="标准小四"/>
    <w:basedOn w:val="1"/>
    <w:qFormat/>
    <w:uiPriority w:val="0"/>
    <w:pPr>
      <w:widowControl w:val="0"/>
      <w:spacing w:line="360" w:lineRule="auto"/>
      <w:ind w:firstLine="480" w:firstLineChars="200"/>
      <w:jc w:val="both"/>
    </w:pPr>
    <w:rPr>
      <w:rFonts w:ascii="Arial" w:hAnsi="Arial"/>
      <w:kern w:val="2"/>
      <w:szCs w:val="21"/>
    </w:rPr>
  </w:style>
  <w:style w:type="paragraph" w:customStyle="1" w:styleId="125">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26">
    <w:name w:val="Char Char2 Char Char"/>
    <w:basedOn w:val="1"/>
    <w:qFormat/>
    <w:uiPriority w:val="0"/>
    <w:pPr>
      <w:widowControl w:val="0"/>
      <w:jc w:val="both"/>
    </w:pPr>
    <w:rPr>
      <w:rFonts w:ascii="Tahoma" w:hAnsi="Tahoma"/>
      <w:kern w:val="2"/>
      <w:szCs w:val="20"/>
    </w:rPr>
  </w:style>
  <w:style w:type="paragraph" w:customStyle="1" w:styleId="127">
    <w:name w:val="默认段落字体 Para Char Char Char Char"/>
    <w:basedOn w:val="1"/>
    <w:qFormat/>
    <w:uiPriority w:val="0"/>
    <w:pPr>
      <w:widowControl w:val="0"/>
      <w:jc w:val="both"/>
    </w:pPr>
    <w:rPr>
      <w:kern w:val="2"/>
      <w:sz w:val="21"/>
    </w:rPr>
  </w:style>
  <w:style w:type="paragraph" w:customStyle="1" w:styleId="128">
    <w:name w:val="五级条标题"/>
    <w:basedOn w:val="119"/>
    <w:next w:val="110"/>
    <w:qFormat/>
    <w:uiPriority w:val="0"/>
    <w:pPr>
      <w:tabs>
        <w:tab w:val="left" w:pos="2940"/>
        <w:tab w:val="clear" w:pos="2905"/>
      </w:tabs>
      <w:ind w:left="2940" w:hanging="420"/>
      <w:outlineLvl w:val="6"/>
    </w:pPr>
  </w:style>
  <w:style w:type="paragraph" w:customStyle="1" w:styleId="129">
    <w:name w:val="xl4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6"/>
      <w:szCs w:val="26"/>
    </w:rPr>
  </w:style>
  <w:style w:type="paragraph" w:customStyle="1" w:styleId="131">
    <w:name w:val="Char Char Char Char Char Char Char"/>
    <w:basedOn w:val="1"/>
    <w:qFormat/>
    <w:uiPriority w:val="0"/>
    <w:pPr>
      <w:widowControl w:val="0"/>
      <w:jc w:val="both"/>
    </w:pPr>
    <w:rPr>
      <w:rFonts w:ascii="Tahoma" w:hAnsi="Tahoma"/>
      <w:kern w:val="2"/>
      <w:szCs w:val="20"/>
    </w:rPr>
  </w:style>
  <w:style w:type="paragraph" w:customStyle="1" w:styleId="132">
    <w:name w:val="xl4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3">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4">
    <w:name w:val="3"/>
    <w:basedOn w:val="1"/>
    <w:qFormat/>
    <w:uiPriority w:val="0"/>
    <w:pPr>
      <w:widowControl w:val="0"/>
      <w:jc w:val="both"/>
    </w:pPr>
    <w:rPr>
      <w:rFonts w:ascii="Tahoma" w:hAnsi="Tahoma"/>
      <w:kern w:val="2"/>
      <w:szCs w:val="20"/>
    </w:rPr>
  </w:style>
  <w:style w:type="paragraph" w:styleId="135">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36">
    <w:name w:val="List Paragraph1"/>
    <w:basedOn w:val="1"/>
    <w:qFormat/>
    <w:uiPriority w:val="0"/>
    <w:pPr>
      <w:ind w:firstLine="420" w:firstLineChars="200"/>
    </w:pPr>
  </w:style>
  <w:style w:type="paragraph" w:customStyle="1" w:styleId="137">
    <w:name w:val="def正文"/>
    <w:basedOn w:val="22"/>
    <w:qFormat/>
    <w:uiPriority w:val="0"/>
    <w:pPr>
      <w:widowControl/>
      <w:spacing w:line="360" w:lineRule="auto"/>
      <w:ind w:firstLine="510"/>
      <w:jc w:val="left"/>
    </w:pPr>
    <w:rPr>
      <w:kern w:val="0"/>
      <w:sz w:val="24"/>
    </w:rPr>
  </w:style>
  <w:style w:type="paragraph" w:customStyle="1" w:styleId="13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40">
    <w:name w:val="正文－恩普"/>
    <w:basedOn w:val="4"/>
    <w:qFormat/>
    <w:uiPriority w:val="0"/>
    <w:pPr>
      <w:widowControl/>
      <w:spacing w:afterLines="50"/>
      <w:ind w:firstLine="480"/>
    </w:pPr>
    <w:rPr>
      <w:kern w:val="0"/>
      <w:sz w:val="24"/>
    </w:rPr>
  </w:style>
  <w:style w:type="paragraph" w:customStyle="1" w:styleId="141">
    <w:name w:val="paragraph"/>
    <w:basedOn w:val="1"/>
    <w:qFormat/>
    <w:uiPriority w:val="0"/>
    <w:pPr>
      <w:spacing w:before="100" w:beforeAutospacing="1" w:after="100" w:afterAutospacing="1"/>
    </w:pPr>
    <w:rPr>
      <w:rFonts w:ascii="宋体" w:hAnsi="宋体" w:cs="宋体"/>
    </w:rPr>
  </w:style>
  <w:style w:type="paragraph" w:customStyle="1" w:styleId="142">
    <w:name w:val="表格内容"/>
    <w:basedOn w:val="1"/>
    <w:qFormat/>
    <w:uiPriority w:val="0"/>
    <w:pPr>
      <w:kinsoku w:val="0"/>
      <w:overflowPunct w:val="0"/>
      <w:autoSpaceDE w:val="0"/>
      <w:autoSpaceDN w:val="0"/>
      <w:adjustRightInd w:val="0"/>
      <w:snapToGrid w:val="0"/>
      <w:spacing w:line="300" w:lineRule="auto"/>
      <w:jc w:val="center"/>
    </w:pPr>
    <w:rPr>
      <w:rFonts w:hint="eastAsia" w:eastAsia="仿宋"/>
      <w:color w:val="000000"/>
      <w:sz w:val="21"/>
    </w:rPr>
  </w:style>
  <w:style w:type="paragraph" w:customStyle="1" w:styleId="143">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44">
    <w:name w:val="p0"/>
    <w:basedOn w:val="1"/>
    <w:qFormat/>
    <w:uiPriority w:val="0"/>
    <w:pPr>
      <w:widowControl w:val="0"/>
      <w:autoSpaceDE w:val="0"/>
      <w:autoSpaceDN w:val="0"/>
      <w:adjustRightInd w:val="0"/>
      <w:spacing w:before="100" w:beforeAutospacing="1" w:after="100" w:afterAutospacing="1"/>
      <w:textAlignment w:val="baseline"/>
    </w:pPr>
    <w:rPr>
      <w:rFonts w:ascii="宋体" w:hAnsi="宋体" w:cs="宋体"/>
    </w:rPr>
  </w:style>
  <w:style w:type="paragraph" w:customStyle="1" w:styleId="145">
    <w:name w:val="Char Char Char Char Char Char Char Char Char Char"/>
    <w:basedOn w:val="1"/>
    <w:qFormat/>
    <w:uiPriority w:val="0"/>
    <w:pPr>
      <w:widowControl w:val="0"/>
      <w:jc w:val="both"/>
    </w:pPr>
    <w:rPr>
      <w:rFonts w:ascii="Tahoma" w:hAnsi="Tahoma"/>
      <w:kern w:val="2"/>
      <w:szCs w:val="20"/>
    </w:rPr>
  </w:style>
  <w:style w:type="paragraph" w:customStyle="1" w:styleId="146">
    <w:name w:val="2"/>
    <w:basedOn w:val="1"/>
    <w:next w:val="22"/>
    <w:qFormat/>
    <w:uiPriority w:val="0"/>
    <w:pPr>
      <w:widowControl w:val="0"/>
      <w:adjustRightInd w:val="0"/>
      <w:spacing w:line="360" w:lineRule="auto"/>
      <w:jc w:val="both"/>
      <w:textAlignment w:val="baseline"/>
    </w:pPr>
    <w:rPr>
      <w:rFonts w:ascii="宋体"/>
      <w:sz w:val="30"/>
      <w:szCs w:val="20"/>
    </w:rPr>
  </w:style>
  <w:style w:type="paragraph" w:customStyle="1" w:styleId="147">
    <w:name w:val="p23"/>
    <w:basedOn w:val="1"/>
    <w:qFormat/>
    <w:uiPriority w:val="0"/>
    <w:pPr>
      <w:spacing w:before="100" w:beforeAutospacing="1" w:after="100" w:afterAutospacing="1"/>
    </w:pPr>
    <w:rPr>
      <w:rFonts w:ascii="宋体" w:hAnsi="宋体" w:cs="宋体"/>
    </w:rPr>
  </w:style>
  <w:style w:type="paragraph" w:customStyle="1" w:styleId="14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9">
    <w:name w:val="Char21"/>
    <w:basedOn w:val="18"/>
    <w:next w:val="1"/>
    <w:qFormat/>
    <w:uiPriority w:val="0"/>
    <w:pPr>
      <w:widowControl w:val="0"/>
      <w:jc w:val="both"/>
    </w:pPr>
    <w:rPr>
      <w:kern w:val="2"/>
      <w:sz w:val="21"/>
      <w:szCs w:val="20"/>
    </w:rPr>
  </w:style>
  <w:style w:type="paragraph" w:customStyle="1" w:styleId="150">
    <w:name w:val="font6"/>
    <w:basedOn w:val="1"/>
    <w:qFormat/>
    <w:uiPriority w:val="0"/>
    <w:pPr>
      <w:spacing w:before="100" w:beforeAutospacing="1" w:after="100" w:afterAutospacing="1"/>
    </w:pPr>
    <w:rPr>
      <w:rFonts w:hint="eastAsia" w:ascii="宋体" w:hAnsi="宋体"/>
      <w:sz w:val="26"/>
      <w:szCs w:val="26"/>
    </w:rPr>
  </w:style>
  <w:style w:type="paragraph" w:customStyle="1" w:styleId="151">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52">
    <w:name w:val="xl27"/>
    <w:basedOn w:val="1"/>
    <w:qFormat/>
    <w:uiPriority w:val="0"/>
    <w:pPr>
      <w:pBdr>
        <w:left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53">
    <w:name w:val="xl44"/>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sz w:val="26"/>
      <w:szCs w:val="26"/>
    </w:rPr>
  </w:style>
  <w:style w:type="paragraph" w:customStyle="1" w:styleId="154">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55">
    <w:name w:val="样式 标题 2节标题 1.1 + 段前: 1 行 段后: 0.5 行"/>
    <w:basedOn w:val="7"/>
    <w:qFormat/>
    <w:uiPriority w:val="0"/>
    <w:pPr>
      <w:widowControl w:val="0"/>
      <w:spacing w:before="240" w:after="120" w:line="360" w:lineRule="auto"/>
      <w:jc w:val="center"/>
    </w:pPr>
    <w:rPr>
      <w:rFonts w:ascii="宋体" w:hAnsi="宋体" w:eastAsia="宋体"/>
      <w:bCs w:val="0"/>
      <w:kern w:val="2"/>
      <w:sz w:val="24"/>
      <w:szCs w:val="20"/>
    </w:rPr>
  </w:style>
  <w:style w:type="paragraph" w:customStyle="1" w:styleId="156">
    <w:name w:val="Char Char1 Char Char Char Char Char Char Char Char"/>
    <w:basedOn w:val="1"/>
    <w:qFormat/>
    <w:uiPriority w:val="0"/>
    <w:pPr>
      <w:spacing w:after="160" w:line="240" w:lineRule="exact"/>
    </w:pPr>
    <w:rPr>
      <w:kern w:val="2"/>
      <w:sz w:val="21"/>
    </w:rPr>
  </w:style>
  <w:style w:type="paragraph" w:customStyle="1" w:styleId="157">
    <w:name w:val="表内文字"/>
    <w:basedOn w:val="1"/>
    <w:qFormat/>
    <w:uiPriority w:val="0"/>
    <w:pPr>
      <w:widowControl w:val="0"/>
      <w:spacing w:line="500" w:lineRule="atLeast"/>
      <w:jc w:val="center"/>
    </w:pPr>
    <w:rPr>
      <w:rFonts w:ascii="楷体_GB2312" w:eastAsia="楷体_GB2312"/>
      <w:kern w:val="2"/>
      <w:sz w:val="28"/>
    </w:rPr>
  </w:style>
  <w:style w:type="paragraph" w:customStyle="1" w:styleId="158">
    <w:name w:val="Char Char Char"/>
    <w:basedOn w:val="1"/>
    <w:qFormat/>
    <w:uiPriority w:val="0"/>
    <w:pPr>
      <w:widowControl w:val="0"/>
      <w:jc w:val="both"/>
    </w:pPr>
    <w:rPr>
      <w:kern w:val="2"/>
      <w:sz w:val="21"/>
    </w:rPr>
  </w:style>
  <w:style w:type="paragraph" w:customStyle="1" w:styleId="159">
    <w:name w:val="默认段落字体 Para Char Char Char Char Char Char Char Char Char Char"/>
    <w:basedOn w:val="1"/>
    <w:qFormat/>
    <w:uiPriority w:val="0"/>
    <w:pPr>
      <w:widowControl w:val="0"/>
      <w:jc w:val="both"/>
    </w:pPr>
    <w:rPr>
      <w:rFonts w:ascii="Tahoma" w:hAnsi="Tahoma"/>
      <w:kern w:val="2"/>
      <w:szCs w:val="20"/>
    </w:rPr>
  </w:style>
  <w:style w:type="paragraph" w:customStyle="1" w:styleId="160">
    <w:name w:val="Table Paragraph"/>
    <w:basedOn w:val="1"/>
    <w:qFormat/>
    <w:uiPriority w:val="1"/>
    <w:pPr>
      <w:widowControl w:val="0"/>
      <w:autoSpaceDE w:val="0"/>
      <w:autoSpaceDN w:val="0"/>
    </w:pPr>
    <w:rPr>
      <w:rFonts w:ascii="宋体" w:hAnsi="宋体" w:cs="宋体"/>
      <w:sz w:val="22"/>
      <w:szCs w:val="22"/>
      <w:lang w:val="zh-CN" w:bidi="zh-CN"/>
    </w:rPr>
  </w:style>
  <w:style w:type="paragraph" w:customStyle="1" w:styleId="161">
    <w:name w:val="font5"/>
    <w:basedOn w:val="1"/>
    <w:qFormat/>
    <w:uiPriority w:val="0"/>
    <w:pPr>
      <w:spacing w:before="100" w:beforeAutospacing="1" w:after="100" w:afterAutospacing="1"/>
    </w:pPr>
    <w:rPr>
      <w:rFonts w:hint="eastAsia" w:ascii="宋体" w:hAnsi="宋体"/>
      <w:sz w:val="18"/>
      <w:szCs w:val="18"/>
    </w:rPr>
  </w:style>
  <w:style w:type="paragraph" w:customStyle="1" w:styleId="162">
    <w:name w:val="表格"/>
    <w:basedOn w:val="1"/>
    <w:next w:val="1"/>
    <w:qFormat/>
    <w:uiPriority w:val="0"/>
    <w:pPr>
      <w:keepNext/>
      <w:keepLines/>
      <w:widowControl w:val="0"/>
      <w:autoSpaceDE w:val="0"/>
      <w:autoSpaceDN w:val="0"/>
      <w:adjustRightInd w:val="0"/>
      <w:spacing w:before="120" w:after="120" w:line="240" w:lineRule="atLeast"/>
      <w:jc w:val="center"/>
      <w:textAlignment w:val="bottom"/>
    </w:pPr>
    <w:rPr>
      <w:rFonts w:ascii="黑体"/>
    </w:rPr>
  </w:style>
  <w:style w:type="paragraph" w:customStyle="1" w:styleId="163">
    <w:name w:val="xl31"/>
    <w:basedOn w:val="1"/>
    <w:qFormat/>
    <w:uiPriority w:val="0"/>
    <w:pPr>
      <w:spacing w:before="100" w:beforeAutospacing="1" w:after="100" w:afterAutospacing="1"/>
      <w:jc w:val="center"/>
      <w:textAlignment w:val="center"/>
    </w:pPr>
    <w:rPr>
      <w:rFonts w:hint="eastAsia" w:ascii="黑体" w:hAnsi="宋体" w:eastAsia="黑体"/>
      <w:sz w:val="40"/>
      <w:szCs w:val="40"/>
    </w:rPr>
  </w:style>
  <w:style w:type="paragraph" w:customStyle="1" w:styleId="164">
    <w:name w:val="Char Char7 Char Char Char Char Char Char Char Char"/>
    <w:basedOn w:val="1"/>
    <w:qFormat/>
    <w:uiPriority w:val="0"/>
    <w:pPr>
      <w:widowControl w:val="0"/>
      <w:jc w:val="both"/>
    </w:pPr>
    <w:rPr>
      <w:rFonts w:ascii="Tahoma" w:hAnsi="Tahoma"/>
      <w:kern w:val="2"/>
      <w:szCs w:val="20"/>
    </w:rPr>
  </w:style>
  <w:style w:type="paragraph" w:customStyle="1" w:styleId="1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66">
    <w:name w:val="xl41"/>
    <w:basedOn w:val="1"/>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sz w:val="26"/>
      <w:szCs w:val="26"/>
    </w:rPr>
  </w:style>
  <w:style w:type="paragraph" w:customStyle="1" w:styleId="167">
    <w:name w:val="纯文本1"/>
    <w:basedOn w:val="1"/>
    <w:qFormat/>
    <w:uiPriority w:val="0"/>
    <w:rPr>
      <w:rFonts w:hint="eastAsia" w:ascii="宋体" w:hAnsi="Courier New"/>
      <w:kern w:val="2"/>
      <w:sz w:val="21"/>
      <w:szCs w:val="20"/>
    </w:rPr>
  </w:style>
  <w:style w:type="paragraph" w:customStyle="1" w:styleId="168">
    <w:name w:val="Char1"/>
    <w:basedOn w:val="1"/>
    <w:qFormat/>
    <w:uiPriority w:val="0"/>
    <w:pPr>
      <w:widowControl w:val="0"/>
      <w:jc w:val="both"/>
    </w:pPr>
    <w:rPr>
      <w:rFonts w:ascii="仿宋_GB2312" w:eastAsia="仿宋_GB2312"/>
      <w:b/>
      <w:kern w:val="2"/>
      <w:sz w:val="32"/>
      <w:szCs w:val="32"/>
    </w:rPr>
  </w:style>
  <w:style w:type="paragraph" w:customStyle="1" w:styleId="169">
    <w:name w:val="_Style 168"/>
    <w:unhideWhenUsed/>
    <w:qFormat/>
    <w:uiPriority w:val="99"/>
    <w:rPr>
      <w:rFonts w:ascii="Times New Roman" w:hAnsi="Times New Roman" w:eastAsia="宋体" w:cs="Times New Roman"/>
      <w:sz w:val="24"/>
      <w:szCs w:val="24"/>
      <w:lang w:val="en-US" w:eastAsia="zh-CN" w:bidi="ar-SA"/>
    </w:rPr>
  </w:style>
  <w:style w:type="paragraph" w:customStyle="1" w:styleId="170">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6108</Words>
  <Characters>6995</Characters>
  <Lines>1058</Lines>
  <Paragraphs>948</Paragraphs>
  <TotalTime>48</TotalTime>
  <ScaleCrop>false</ScaleCrop>
  <LinksUpToDate>false</LinksUpToDate>
  <CharactersWithSpaces>7326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2022-09-14T06:27:00Z</dcterms:created>
  <dc:creator>刘</dc:creator>
  <cp:lastModifiedBy>阳光招标</cp:lastModifiedBy>
  <cp:lastPrinted>2021-04-09T04:02:00Z</cp:lastPrinted>
  <dcterms:modified xsi:type="dcterms:W3CDTF">2025-06-20T08:54:14Z</dcterms:modified>
  <dc:subject>金华监狱生活电器采购</dc:subject>
  <dc:title>公开招标文件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2052-12.1.0.21541</vt:lpwstr>
  </property>
  <property fmtid="{D5CDD505-2E9C-101B-9397-08002B2CF9AE}" pid="4" name="ICV">
    <vt:lpwstr>04BA91C8F9434D12AAADE967AF36CEA6_13</vt:lpwstr>
  </property>
  <property fmtid="{D5CDD505-2E9C-101B-9397-08002B2CF9AE}" pid="5" name="KSOTemplateDocerSaveRecord">
    <vt:lpwstr>eyJoZGlkIjoiODViY2JkMjU3NGYzZTEwMzZmMGFkZWViYmNkYWU3NDIiLCJ1c2VySWQiOiI5OTc4NjE2NjkifQ==</vt:lpwstr>
  </property>
</Properties>
</file>