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0F069">
      <w:pPr>
        <w:jc w:val="both"/>
        <w:rPr>
          <w:rFonts w:hAnsi="宋体" w:cs="宋体"/>
          <w:color w:val="auto"/>
          <w:highlight w:val="none"/>
        </w:rPr>
      </w:pPr>
      <w:r>
        <w:rPr>
          <w:rFonts w:hint="eastAsia" w:hAnsi="宋体" w:cs="宋体"/>
          <w:b/>
          <w:color w:val="auto"/>
          <w:sz w:val="52"/>
          <w:szCs w:val="52"/>
          <w:highlight w:val="none"/>
        </w:rPr>
        <w:tab/>
      </w:r>
      <w:r>
        <w:rPr>
          <w:rFonts w:hint="eastAsia" w:hAnsi="宋体" w:cs="宋体"/>
          <w:b/>
          <w:color w:val="auto"/>
          <w:sz w:val="52"/>
          <w:szCs w:val="52"/>
          <w:highlight w:val="none"/>
        </w:rPr>
        <w:tab/>
      </w:r>
      <w:r>
        <w:rPr>
          <w:rFonts w:hint="eastAsia" w:hAnsi="宋体" w:cs="宋体"/>
          <w:b/>
          <w:color w:val="auto"/>
          <w:sz w:val="52"/>
          <w:szCs w:val="52"/>
          <w:highlight w:val="none"/>
        </w:rPr>
        <w:tab/>
      </w:r>
    </w:p>
    <w:p w14:paraId="1546B143">
      <w:pPr>
        <w:spacing w:before="317" w:beforeLines="50"/>
        <w:jc w:val="center"/>
        <w:rPr>
          <w:rFonts w:hAnsi="宋体" w:cs="宋体"/>
          <w:b/>
          <w:color w:val="auto"/>
          <w:sz w:val="48"/>
          <w:szCs w:val="48"/>
          <w:highlight w:val="none"/>
        </w:rPr>
      </w:pPr>
      <w:r>
        <w:rPr>
          <w:rFonts w:hint="eastAsia" w:hAnsi="宋体" w:cs="宋体"/>
          <w:b/>
          <w:color w:val="auto"/>
          <w:sz w:val="48"/>
          <w:szCs w:val="48"/>
          <w:highlight w:val="none"/>
          <w:lang w:eastAsia="zh-CN"/>
        </w:rPr>
        <w:t>2025年婺城区单村供水物业化管理项目</w:t>
      </w:r>
    </w:p>
    <w:p w14:paraId="7C2AB991">
      <w:pPr>
        <w:spacing w:before="317" w:beforeLines="50"/>
        <w:jc w:val="center"/>
        <w:rPr>
          <w:rFonts w:hAnsi="宋体" w:cs="宋体"/>
          <w:b/>
          <w:color w:val="auto"/>
          <w:sz w:val="48"/>
          <w:szCs w:val="48"/>
          <w:highlight w:val="none"/>
        </w:rPr>
      </w:pPr>
    </w:p>
    <w:p w14:paraId="0716E89C">
      <w:pPr>
        <w:pStyle w:val="46"/>
        <w:rPr>
          <w:rFonts w:hAnsi="宋体" w:cs="宋体"/>
          <w:b/>
          <w:color w:val="auto"/>
          <w:sz w:val="48"/>
          <w:szCs w:val="48"/>
          <w:highlight w:val="none"/>
        </w:rPr>
      </w:pPr>
    </w:p>
    <w:p w14:paraId="46F65D09">
      <w:pPr>
        <w:pStyle w:val="56"/>
        <w:rPr>
          <w:rFonts w:hAnsi="宋体" w:cs="宋体"/>
          <w:b/>
          <w:color w:val="auto"/>
          <w:sz w:val="48"/>
          <w:szCs w:val="48"/>
          <w:highlight w:val="none"/>
        </w:rPr>
      </w:pPr>
    </w:p>
    <w:p w14:paraId="50A39E01">
      <w:pPr>
        <w:rPr>
          <w:color w:val="auto"/>
          <w:highlight w:val="none"/>
        </w:rPr>
      </w:pPr>
    </w:p>
    <w:p w14:paraId="39968D00">
      <w:pPr>
        <w:rPr>
          <w:color w:val="auto"/>
          <w:highlight w:val="none"/>
        </w:rPr>
      </w:pPr>
    </w:p>
    <w:p w14:paraId="64933B60">
      <w:pPr>
        <w:spacing w:before="317" w:beforeLines="50"/>
        <w:jc w:val="center"/>
        <w:rPr>
          <w:rFonts w:hAnsi="宋体" w:cs="宋体"/>
          <w:b/>
          <w:color w:val="auto"/>
          <w:sz w:val="52"/>
          <w:szCs w:val="52"/>
          <w:highlight w:val="none"/>
        </w:rPr>
      </w:pPr>
      <w:r>
        <w:rPr>
          <w:rFonts w:hint="eastAsia" w:hAnsi="宋体" w:cs="宋体"/>
          <w:b/>
          <w:color w:val="auto"/>
          <w:sz w:val="52"/>
          <w:szCs w:val="52"/>
          <w:highlight w:val="none"/>
        </w:rPr>
        <w:t>公开招标采购文件</w:t>
      </w:r>
    </w:p>
    <w:p w14:paraId="122BF820">
      <w:pPr>
        <w:snapToGrid w:val="0"/>
        <w:spacing w:before="317" w:beforeLines="50" w:line="360" w:lineRule="auto"/>
        <w:rPr>
          <w:rFonts w:hAnsi="宋体" w:cs="宋体"/>
          <w:color w:val="auto"/>
          <w:sz w:val="30"/>
          <w:szCs w:val="72"/>
          <w:highlight w:val="none"/>
        </w:rPr>
      </w:pPr>
    </w:p>
    <w:p w14:paraId="7450D89B">
      <w:pPr>
        <w:snapToGrid w:val="0"/>
        <w:spacing w:before="317" w:beforeLines="50" w:line="360" w:lineRule="auto"/>
        <w:rPr>
          <w:rFonts w:hAnsi="宋体" w:cs="宋体"/>
          <w:color w:val="auto"/>
          <w:sz w:val="30"/>
          <w:szCs w:val="72"/>
          <w:highlight w:val="none"/>
        </w:rPr>
      </w:pPr>
    </w:p>
    <w:p w14:paraId="7E9424FC">
      <w:pPr>
        <w:pStyle w:val="46"/>
        <w:ind w:left="680"/>
        <w:rPr>
          <w:rFonts w:ascii="宋体" w:hAnsi="宋体" w:cs="宋体"/>
          <w:color w:val="auto"/>
          <w:sz w:val="30"/>
          <w:szCs w:val="72"/>
          <w:highlight w:val="none"/>
        </w:rPr>
      </w:pPr>
    </w:p>
    <w:p w14:paraId="43236BEB">
      <w:pPr>
        <w:snapToGrid w:val="0"/>
        <w:spacing w:line="480" w:lineRule="auto"/>
        <w:rPr>
          <w:rFonts w:hAnsi="宋体" w:cs="宋体"/>
          <w:b/>
          <w:bCs/>
          <w:color w:val="auto"/>
          <w:w w:val="95"/>
          <w:sz w:val="30"/>
          <w:szCs w:val="30"/>
          <w:highlight w:val="none"/>
        </w:rPr>
      </w:pPr>
    </w:p>
    <w:p w14:paraId="40B1919C">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 xml:space="preserve">TY2025-FW131-ZFCG131   </w:t>
      </w:r>
    </w:p>
    <w:p w14:paraId="7819DAB1">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金华市婺城区水务局</w:t>
      </w:r>
    </w:p>
    <w:p w14:paraId="76C0E5FD">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代理机构：金华市天盈招标代理有限公司</w:t>
      </w:r>
    </w:p>
    <w:p w14:paraId="65E41572">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监管单位：金华市婺城区财政局政府采购监督管理办公室</w:t>
      </w:r>
    </w:p>
    <w:p w14:paraId="528C31C4">
      <w:pPr>
        <w:snapToGrid w:val="0"/>
        <w:spacing w:line="48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2 0 2 </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 xml:space="preserve"> 年 </w:t>
      </w:r>
      <w:r>
        <w:rPr>
          <w:rFonts w:hint="eastAsia" w:hAnsi="宋体" w:cs="宋体"/>
          <w:b/>
          <w:bCs/>
          <w:color w:val="auto"/>
          <w:w w:val="95"/>
          <w:sz w:val="30"/>
          <w:szCs w:val="30"/>
          <w:highlight w:val="none"/>
          <w:lang w:val="en-US" w:eastAsia="zh-CN"/>
        </w:rPr>
        <w:t>0 7</w:t>
      </w:r>
      <w:r>
        <w:rPr>
          <w:rFonts w:hint="eastAsia" w:hAnsi="宋体" w:cs="宋体"/>
          <w:b/>
          <w:bCs/>
          <w:color w:val="auto"/>
          <w:w w:val="95"/>
          <w:sz w:val="30"/>
          <w:szCs w:val="30"/>
          <w:highlight w:val="none"/>
        </w:rPr>
        <w:t xml:space="preserve"> 月  </w:t>
      </w:r>
    </w:p>
    <w:p w14:paraId="6EBA1739">
      <w:pPr>
        <w:jc w:val="center"/>
        <w:rPr>
          <w:rFonts w:hAnsi="宋体" w:cs="宋体"/>
          <w:color w:val="auto"/>
          <w:highlight w:val="none"/>
        </w:rPr>
        <w:sectPr>
          <w:headerReference r:id="rId4" w:type="first"/>
          <w:headerReference r:id="rId3" w:type="default"/>
          <w:footerReference r:id="rId5" w:type="default"/>
          <w:footerReference r:id="rId6" w:type="even"/>
          <w:pgSz w:w="11906" w:h="16838"/>
          <w:pgMar w:top="1440" w:right="1080" w:bottom="1440" w:left="1080" w:header="850" w:footer="567" w:gutter="0"/>
          <w:pgNumType w:start="0"/>
          <w:cols w:space="720" w:num="1"/>
          <w:titlePg/>
          <w:docGrid w:type="lines" w:linePitch="634" w:charSpace="0"/>
        </w:sectPr>
      </w:pPr>
    </w:p>
    <w:p w14:paraId="409F3BE1">
      <w:pPr>
        <w:jc w:val="center"/>
        <w:rPr>
          <w:rFonts w:hAnsi="宋体" w:cs="宋体"/>
          <w:b/>
          <w:bCs/>
          <w:color w:val="auto"/>
          <w:highlight w:val="none"/>
        </w:rPr>
      </w:pPr>
    </w:p>
    <w:p w14:paraId="1D9D313D">
      <w:pPr>
        <w:jc w:val="center"/>
        <w:rPr>
          <w:rFonts w:hAnsi="宋体" w:cs="宋体"/>
          <w:b/>
          <w:bCs/>
          <w:color w:val="auto"/>
          <w:sz w:val="36"/>
          <w:szCs w:val="36"/>
          <w:highlight w:val="none"/>
        </w:rPr>
      </w:pPr>
      <w:r>
        <w:rPr>
          <w:rFonts w:hint="eastAsia" w:hAnsi="宋体" w:cs="宋体"/>
          <w:b/>
          <w:bCs/>
          <w:color w:val="auto"/>
          <w:highlight w:val="none"/>
        </w:rPr>
        <w:t>目        录</w:t>
      </w:r>
      <w:bookmarkStart w:id="0" w:name="_Toc237182500"/>
    </w:p>
    <w:p w14:paraId="628507C8">
      <w:pPr>
        <w:pStyle w:val="33"/>
        <w:tabs>
          <w:tab w:val="right" w:leader="dot" w:pos="9452"/>
        </w:tabs>
        <w:snapToGrid w:val="0"/>
        <w:spacing w:before="0" w:after="0" w:line="500" w:lineRule="exact"/>
        <w:rPr>
          <w:rFonts w:ascii="宋体" w:hAnsi="宋体" w:cs="宋体"/>
          <w:b w:val="0"/>
          <w:bCs w:val="0"/>
          <w:caps w:val="0"/>
          <w:color w:val="auto"/>
          <w:kern w:val="2"/>
          <w:sz w:val="21"/>
          <w:szCs w:val="21"/>
          <w:highlight w:val="none"/>
        </w:rPr>
      </w:pPr>
      <w:r>
        <w:rPr>
          <w:rFonts w:hint="eastAsia" w:ascii="宋体" w:hAnsi="宋体" w:cs="宋体"/>
          <w:b w:val="0"/>
          <w:bCs w:val="0"/>
          <w:color w:val="auto"/>
          <w:sz w:val="21"/>
          <w:szCs w:val="21"/>
          <w:highlight w:val="none"/>
        </w:rPr>
        <w:fldChar w:fldCharType="begin" w:fldLock="1"/>
      </w:r>
      <w:r>
        <w:rPr>
          <w:rFonts w:hint="eastAsia" w:ascii="宋体" w:hAnsi="宋体" w:cs="宋体"/>
          <w:b w:val="0"/>
          <w:bCs w:val="0"/>
          <w:color w:val="auto"/>
          <w:sz w:val="21"/>
          <w:szCs w:val="21"/>
          <w:highlight w:val="none"/>
        </w:rPr>
        <w:instrText xml:space="preserve"> TOC \o "1-3" \h \z \u </w:instrText>
      </w:r>
      <w:r>
        <w:rPr>
          <w:rFonts w:hint="eastAsia" w:ascii="宋体" w:hAnsi="宋体" w:cs="宋体"/>
          <w:b w:val="0"/>
          <w:bCs w:val="0"/>
          <w:color w:val="auto"/>
          <w:sz w:val="21"/>
          <w:szCs w:val="21"/>
          <w:highlight w:val="none"/>
        </w:rPr>
        <w:fldChar w:fldCharType="separate"/>
      </w:r>
      <w:r>
        <w:rPr>
          <w:color w:val="auto"/>
          <w:highlight w:val="none"/>
        </w:rPr>
        <w:fldChar w:fldCharType="begin" w:fldLock="1"/>
      </w:r>
      <w:r>
        <w:rPr>
          <w:color w:val="auto"/>
          <w:highlight w:val="none"/>
        </w:rPr>
        <w:instrText xml:space="preserve"> HYPERLINK \l "_Toc351559940" </w:instrText>
      </w:r>
      <w:r>
        <w:rPr>
          <w:color w:val="auto"/>
          <w:highlight w:val="none"/>
        </w:rPr>
        <w:fldChar w:fldCharType="separate"/>
      </w:r>
      <w:r>
        <w:rPr>
          <w:rFonts w:hint="eastAsia" w:ascii="宋体" w:hAnsi="宋体" w:cs="宋体"/>
          <w:color w:val="auto"/>
          <w:sz w:val="21"/>
          <w:szCs w:val="21"/>
          <w:highlight w:val="none"/>
        </w:rPr>
        <w:t>第一章  公开招标采购公告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043CB16">
      <w:pPr>
        <w:pStyle w:val="33"/>
        <w:tabs>
          <w:tab w:val="right" w:leader="dot" w:pos="9452"/>
        </w:tabs>
        <w:snapToGrid w:val="0"/>
        <w:spacing w:before="0" w:after="0" w:line="500" w:lineRule="exact"/>
        <w:rPr>
          <w:rFonts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"_Toc351559941" </w:instrText>
      </w:r>
      <w:r>
        <w:rPr>
          <w:color w:val="auto"/>
          <w:highlight w:val="none"/>
        </w:rPr>
        <w:fldChar w:fldCharType="separate"/>
      </w:r>
      <w:r>
        <w:rPr>
          <w:rFonts w:hint="eastAsia" w:ascii="宋体" w:hAnsi="宋体" w:cs="宋体"/>
          <w:color w:val="auto"/>
          <w:sz w:val="21"/>
          <w:szCs w:val="21"/>
          <w:highlight w:val="none"/>
        </w:rPr>
        <w:t>第二章  招标需求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1A21E84">
      <w:pPr>
        <w:pStyle w:val="33"/>
        <w:tabs>
          <w:tab w:val="right" w:leader="dot" w:pos="9452"/>
        </w:tabs>
        <w:snapToGrid w:val="0"/>
        <w:spacing w:before="0" w:after="0" w:line="500" w:lineRule="exact"/>
        <w:rPr>
          <w:rFonts w:hint="default" w:ascii="宋体" w:hAnsi="宋体" w:eastAsia="宋体" w:cs="宋体"/>
          <w:b w:val="0"/>
          <w:bCs w:val="0"/>
          <w:caps w:val="0"/>
          <w:color w:val="auto"/>
          <w:kern w:val="2"/>
          <w:sz w:val="21"/>
          <w:szCs w:val="21"/>
          <w:highlight w:val="none"/>
          <w:lang w:val="en-US" w:eastAsia="zh-CN"/>
        </w:rPr>
      </w:pPr>
      <w:r>
        <w:rPr>
          <w:color w:val="auto"/>
          <w:highlight w:val="none"/>
        </w:rPr>
        <w:fldChar w:fldCharType="begin"/>
      </w:r>
      <w:r>
        <w:rPr>
          <w:color w:val="auto"/>
          <w:highlight w:val="none"/>
        </w:rPr>
        <w:instrText xml:space="preserve"> HYPERLINK \l "_Toc351559942" </w:instrText>
      </w:r>
      <w:r>
        <w:rPr>
          <w:color w:val="auto"/>
          <w:highlight w:val="none"/>
        </w:rPr>
        <w:fldChar w:fldCharType="separate"/>
      </w:r>
      <w:r>
        <w:rPr>
          <w:rFonts w:hint="eastAsia" w:ascii="宋体" w:hAnsi="宋体" w:cs="宋体"/>
          <w:color w:val="auto"/>
          <w:sz w:val="21"/>
          <w:szCs w:val="21"/>
          <w:highlight w:val="none"/>
        </w:rPr>
        <w:t>第三章  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10</w:t>
      </w:r>
    </w:p>
    <w:p w14:paraId="453D8695">
      <w:pPr>
        <w:pStyle w:val="40"/>
        <w:snapToGrid w:val="0"/>
        <w:spacing w:line="500" w:lineRule="exact"/>
        <w:rPr>
          <w:rFonts w:hint="default" w:ascii="宋体" w:hAnsi="宋体" w:eastAsia="宋体" w:cs="宋体"/>
          <w:smallCaps w:val="0"/>
          <w:color w:val="auto"/>
          <w:kern w:val="2"/>
          <w:highlight w:val="none"/>
          <w:lang w:val="en-US" w:eastAsia="zh-CN"/>
        </w:rPr>
      </w:pPr>
      <w:r>
        <w:rPr>
          <w:color w:val="auto"/>
          <w:highlight w:val="none"/>
        </w:rPr>
        <w:fldChar w:fldCharType="begin"/>
      </w:r>
      <w:r>
        <w:rPr>
          <w:color w:val="auto"/>
          <w:highlight w:val="none"/>
        </w:rPr>
        <w:instrText xml:space="preserve"> HYPERLINK \l "_Toc351559943" </w:instrText>
      </w:r>
      <w:r>
        <w:rPr>
          <w:color w:val="auto"/>
          <w:highlight w:val="none"/>
        </w:rPr>
        <w:fldChar w:fldCharType="separate"/>
      </w:r>
      <w:r>
        <w:rPr>
          <w:rFonts w:hint="eastAsia" w:ascii="宋体" w:hAnsi="宋体" w:cs="宋体"/>
          <w:b/>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b/>
          <w:color w:val="auto"/>
          <w:highlight w:val="none"/>
          <w:lang w:val="en-US" w:eastAsia="zh-CN"/>
        </w:rPr>
        <w:t>10</w:t>
      </w:r>
    </w:p>
    <w:p w14:paraId="0CC19AEB">
      <w:pPr>
        <w:pStyle w:val="33"/>
        <w:tabs>
          <w:tab w:val="right" w:leader="dot" w:pos="9452"/>
        </w:tabs>
        <w:snapToGrid w:val="0"/>
        <w:spacing w:before="0" w:after="0" w:line="500" w:lineRule="exact"/>
        <w:rPr>
          <w:rFonts w:hint="default" w:ascii="宋体" w:hAnsi="宋体" w:eastAsia="宋体" w:cs="宋体"/>
          <w:b w:val="0"/>
          <w:bCs w:val="0"/>
          <w:caps w:val="0"/>
          <w:color w:val="auto"/>
          <w:kern w:val="2"/>
          <w:sz w:val="21"/>
          <w:szCs w:val="21"/>
          <w:highlight w:val="none"/>
          <w:lang w:val="en-US" w:eastAsia="zh-CN"/>
        </w:rPr>
      </w:pPr>
      <w:r>
        <w:rPr>
          <w:color w:val="auto"/>
          <w:highlight w:val="none"/>
        </w:rPr>
        <w:fldChar w:fldCharType="begin"/>
      </w:r>
      <w:r>
        <w:rPr>
          <w:color w:val="auto"/>
          <w:highlight w:val="none"/>
        </w:rPr>
        <w:instrText xml:space="preserve"> HYPERLINK \l "_Toc351559944" </w:instrText>
      </w:r>
      <w:r>
        <w:rPr>
          <w:color w:val="auto"/>
          <w:highlight w:val="none"/>
        </w:rPr>
        <w:fldChar w:fldCharType="separate"/>
      </w:r>
      <w:r>
        <w:rPr>
          <w:rFonts w:hint="eastAsia" w:ascii="宋体" w:hAnsi="宋体" w:cs="宋体"/>
          <w:color w:val="auto"/>
          <w:sz w:val="21"/>
          <w:szCs w:val="21"/>
          <w:highlight w:val="none"/>
        </w:rPr>
        <w:t>第四章 评标</w:t>
      </w:r>
      <w:bookmarkStart w:id="1" w:name="_Hlt23505457"/>
      <w:bookmarkStart w:id="2" w:name="_Hlt23505456"/>
      <w:r>
        <w:rPr>
          <w:rFonts w:hint="eastAsia" w:ascii="宋体" w:hAnsi="宋体" w:cs="宋体"/>
          <w:color w:val="auto"/>
          <w:sz w:val="21"/>
          <w:szCs w:val="21"/>
          <w:highlight w:val="none"/>
        </w:rPr>
        <w:t>办</w:t>
      </w:r>
      <w:bookmarkEnd w:id="1"/>
      <w:bookmarkEnd w:id="2"/>
      <w:bookmarkStart w:id="3" w:name="_Hlt479276105"/>
      <w:bookmarkStart w:id="4" w:name="_Hlt479276106"/>
      <w:r>
        <w:rPr>
          <w:rFonts w:hint="eastAsia" w:ascii="宋体" w:hAnsi="宋体" w:cs="宋体"/>
          <w:color w:val="auto"/>
          <w:sz w:val="21"/>
          <w:szCs w:val="21"/>
          <w:highlight w:val="none"/>
        </w:rPr>
        <w:t>法</w:t>
      </w:r>
      <w:bookmarkEnd w:id="3"/>
      <w:bookmarkEnd w:id="4"/>
      <w:r>
        <w:rPr>
          <w:rFonts w:hint="eastAsia" w:ascii="宋体" w:hAnsi="宋体" w:cs="宋体"/>
          <w:color w:val="auto"/>
          <w:sz w:val="21"/>
          <w:szCs w:val="21"/>
          <w:highlight w:val="none"/>
        </w:rPr>
        <w:t>及</w:t>
      </w:r>
      <w:bookmarkStart w:id="5" w:name="_Hlt75430652"/>
      <w:bookmarkStart w:id="6" w:name="_Hlt75430653"/>
      <w:r>
        <w:rPr>
          <w:rFonts w:hint="eastAsia" w:ascii="宋体" w:hAnsi="宋体" w:cs="宋体"/>
          <w:color w:val="auto"/>
          <w:sz w:val="21"/>
          <w:szCs w:val="21"/>
          <w:highlight w:val="none"/>
        </w:rPr>
        <w:t>评</w:t>
      </w:r>
      <w:bookmarkEnd w:id="5"/>
      <w:bookmarkEnd w:id="6"/>
      <w:r>
        <w:rPr>
          <w:rFonts w:hint="eastAsia" w:ascii="宋体" w:hAnsi="宋体" w:cs="宋体"/>
          <w:color w:val="auto"/>
          <w:sz w:val="21"/>
          <w:szCs w:val="21"/>
          <w:highlight w:val="none"/>
        </w:rPr>
        <w:t>分标准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28</w:t>
      </w:r>
    </w:p>
    <w:p w14:paraId="1D940BAD">
      <w:pPr>
        <w:pStyle w:val="33"/>
        <w:tabs>
          <w:tab w:val="right" w:leader="dot" w:pos="9452"/>
        </w:tabs>
        <w:snapToGrid w:val="0"/>
        <w:spacing w:before="0" w:after="0" w:line="500" w:lineRule="exact"/>
        <w:rPr>
          <w:rFonts w:hint="default" w:ascii="宋体" w:hAnsi="宋体" w:eastAsia="宋体" w:cs="宋体"/>
          <w:b w:val="0"/>
          <w:bCs w:val="0"/>
          <w:caps w:val="0"/>
          <w:color w:val="auto"/>
          <w:kern w:val="2"/>
          <w:sz w:val="21"/>
          <w:szCs w:val="21"/>
          <w:highlight w:val="none"/>
          <w:lang w:val="en-US" w:eastAsia="zh-CN"/>
        </w:rPr>
      </w:pPr>
      <w:r>
        <w:rPr>
          <w:color w:val="auto"/>
          <w:highlight w:val="none"/>
        </w:rPr>
        <w:fldChar w:fldCharType="begin"/>
      </w:r>
      <w:r>
        <w:rPr>
          <w:color w:val="auto"/>
          <w:highlight w:val="none"/>
        </w:rPr>
        <w:instrText xml:space="preserve"> HYPERLINK \l "_Toc351559945" </w:instrText>
      </w:r>
      <w:r>
        <w:rPr>
          <w:color w:val="auto"/>
          <w:highlight w:val="none"/>
        </w:rPr>
        <w:fldChar w:fldCharType="separate"/>
      </w:r>
      <w:r>
        <w:rPr>
          <w:rFonts w:hint="eastAsia" w:ascii="宋体" w:hAnsi="宋体" w:cs="宋体"/>
          <w:color w:val="auto"/>
          <w:sz w:val="21"/>
          <w:szCs w:val="21"/>
          <w:highlight w:val="none"/>
        </w:rPr>
        <w:t>第五章  合同文本</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37</w:t>
      </w:r>
    </w:p>
    <w:p w14:paraId="594E6992">
      <w:pPr>
        <w:pStyle w:val="33"/>
        <w:tabs>
          <w:tab w:val="right" w:leader="dot" w:pos="9452"/>
        </w:tabs>
        <w:snapToGrid w:val="0"/>
        <w:spacing w:before="0" w:after="0" w:line="500" w:lineRule="exact"/>
        <w:rPr>
          <w:rFonts w:hint="eastAsia" w:ascii="宋体" w:hAnsi="宋体" w:eastAsia="宋体" w:cs="宋体"/>
          <w:color w:val="auto"/>
          <w:sz w:val="21"/>
          <w:szCs w:val="21"/>
          <w:highlight w:val="none"/>
          <w:lang w:eastAsia="zh-CN"/>
        </w:rPr>
      </w:pPr>
      <w:r>
        <w:rPr>
          <w:color w:val="auto"/>
          <w:highlight w:val="none"/>
        </w:rPr>
        <w:fldChar w:fldCharType="begin"/>
      </w:r>
      <w:r>
        <w:rPr>
          <w:color w:val="auto"/>
          <w:highlight w:val="none"/>
        </w:rPr>
        <w:instrText xml:space="preserve"> HYPERLINK \l "_Toc351559946" </w:instrText>
      </w:r>
      <w:r>
        <w:rPr>
          <w:color w:val="auto"/>
          <w:highlight w:val="none"/>
        </w:rPr>
        <w:fldChar w:fldCharType="separate"/>
      </w:r>
      <w:r>
        <w:rPr>
          <w:rFonts w:hint="eastAsia" w:ascii="宋体" w:hAnsi="宋体" w:cs="宋体"/>
          <w:color w:val="auto"/>
          <w:sz w:val="21"/>
          <w:szCs w:val="21"/>
          <w:highlight w:val="none"/>
        </w:rPr>
        <w:t>第六章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2</w:t>
      </w:r>
    </w:p>
    <w:p w14:paraId="18FFB4FE">
      <w:pPr>
        <w:rPr>
          <w:rFonts w:hAnsi="宋体" w:cs="宋体"/>
          <w:color w:val="auto"/>
          <w:sz w:val="21"/>
          <w:szCs w:val="21"/>
          <w:highlight w:val="none"/>
        </w:rPr>
      </w:pPr>
    </w:p>
    <w:p w14:paraId="61517115">
      <w:pPr>
        <w:rPr>
          <w:rFonts w:hAnsi="宋体" w:cs="宋体"/>
          <w:color w:val="auto"/>
          <w:sz w:val="21"/>
          <w:szCs w:val="21"/>
          <w:highlight w:val="none"/>
        </w:rPr>
      </w:pPr>
    </w:p>
    <w:p w14:paraId="62868A6E">
      <w:pPr>
        <w:spacing w:line="380" w:lineRule="exact"/>
        <w:ind w:firstLine="211" w:firstLineChars="100"/>
        <w:jc w:val="both"/>
        <w:rPr>
          <w:rFonts w:hAnsi="宋体" w:cs="宋体"/>
          <w:b/>
          <w:bCs/>
          <w:color w:val="auto"/>
          <w:sz w:val="21"/>
          <w:szCs w:val="21"/>
          <w:highlight w:val="none"/>
        </w:rPr>
      </w:pPr>
      <w:r>
        <w:rPr>
          <w:rFonts w:hint="eastAsia" w:hAnsi="宋体" w:cs="宋体"/>
          <w:b/>
          <w:bCs/>
          <w:color w:val="auto"/>
          <w:sz w:val="21"/>
          <w:szCs w:val="21"/>
          <w:highlight w:val="none"/>
        </w:rPr>
        <w:fldChar w:fldCharType="end"/>
      </w:r>
    </w:p>
    <w:p w14:paraId="12AFEDFC">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7CA03AB8">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举报电话：</w:t>
      </w:r>
    </w:p>
    <w:p w14:paraId="1CC4CF34">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lang w:eastAsia="zh-CN"/>
        </w:rPr>
      </w:pPr>
      <w:r>
        <w:rPr>
          <w:rFonts w:hint="eastAsia" w:ascii="宋体" w:hAnsi="宋体" w:cs="宋体"/>
          <w:b/>
          <w:color w:val="auto"/>
          <w:sz w:val="21"/>
          <w:highlight w:val="none"/>
        </w:rPr>
        <w:t>市扫黑办  0579-82495227</w:t>
      </w:r>
    </w:p>
    <w:p w14:paraId="2F5E3F1E">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市公安局  110、0579-82512110</w:t>
      </w:r>
    </w:p>
    <w:p w14:paraId="54CB6BD0">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市检察院  0579-82537082</w:t>
      </w:r>
    </w:p>
    <w:p w14:paraId="1D3CDBD9">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 法 院  0579-82688725</w:t>
      </w:r>
    </w:p>
    <w:p w14:paraId="5F83B3A1">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市公共资源交易管理办公室  0579-82469285</w:t>
      </w:r>
    </w:p>
    <w:p w14:paraId="7FB1C136">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bCs/>
          <w:color w:val="auto"/>
          <w:sz w:val="21"/>
          <w:highlight w:val="none"/>
        </w:rPr>
      </w:pPr>
      <w:r>
        <w:rPr>
          <w:rFonts w:hint="eastAsia" w:ascii="宋体" w:hAnsi="宋体" w:cs="宋体"/>
          <w:b/>
          <w:color w:val="auto"/>
          <w:sz w:val="21"/>
          <w:highlight w:val="none"/>
        </w:rPr>
        <w:t>市公共资源交易中心  0579-83187211</w:t>
      </w:r>
    </w:p>
    <w:p w14:paraId="7FC86FE0">
      <w:pPr>
        <w:spacing w:line="380" w:lineRule="exact"/>
        <w:ind w:firstLine="211" w:firstLineChars="100"/>
        <w:jc w:val="both"/>
        <w:rPr>
          <w:rFonts w:hAnsi="宋体" w:cs="宋体"/>
          <w:b/>
          <w:color w:val="auto"/>
          <w:sz w:val="21"/>
          <w:szCs w:val="21"/>
          <w:highlight w:val="none"/>
        </w:rPr>
      </w:pPr>
    </w:p>
    <w:p w14:paraId="156E27A2">
      <w:pPr>
        <w:spacing w:line="380" w:lineRule="exact"/>
        <w:ind w:firstLine="211" w:firstLineChars="100"/>
        <w:jc w:val="both"/>
        <w:rPr>
          <w:rFonts w:hAnsi="宋体" w:cs="宋体"/>
          <w:b/>
          <w:color w:val="auto"/>
          <w:sz w:val="21"/>
          <w:szCs w:val="21"/>
          <w:highlight w:val="none"/>
        </w:rPr>
      </w:pPr>
      <w:r>
        <w:rPr>
          <w:rFonts w:hint="eastAsia" w:hAnsi="宋体" w:cs="宋体"/>
          <w:b/>
          <w:color w:val="auto"/>
          <w:sz w:val="21"/>
          <w:szCs w:val="21"/>
          <w:highlight w:val="none"/>
        </w:rPr>
        <w:t>投标人不得向采购人、政府采购工作人员、评标专家行贿，违者一经查实，将列入政府采购黑名单！</w:t>
      </w:r>
    </w:p>
    <w:p w14:paraId="747D3072">
      <w:pPr>
        <w:numPr>
          <w:ilvl w:val="0"/>
          <w:numId w:val="1"/>
        </w:numPr>
        <w:spacing w:line="380" w:lineRule="exact"/>
        <w:jc w:val="both"/>
        <w:textAlignment w:val="baseline"/>
        <w:rPr>
          <w:rFonts w:hAnsi="宋体" w:cs="宋体"/>
          <w:b/>
          <w:color w:val="auto"/>
          <w:sz w:val="21"/>
          <w:szCs w:val="21"/>
          <w:highlight w:val="none"/>
        </w:rPr>
      </w:pPr>
      <w:r>
        <w:rPr>
          <w:rFonts w:hint="eastAsia" w:hAnsi="宋体" w:cs="宋体"/>
          <w:b/>
          <w:color w:val="auto"/>
          <w:sz w:val="21"/>
          <w:szCs w:val="21"/>
          <w:highlight w:val="none"/>
          <w:lang w:bidi="ar"/>
        </w:rPr>
        <w:t>投标人须在政采云平台（http://zfcg.czt.zj.gov.cn/）进行免费注册，具体详见网站投标人注册要求，否则将可能无法上传投标文件。</w:t>
      </w:r>
    </w:p>
    <w:p w14:paraId="6420419F">
      <w:pPr>
        <w:spacing w:line="380" w:lineRule="exact"/>
        <w:ind w:firstLine="211" w:firstLineChars="100"/>
        <w:jc w:val="both"/>
        <w:rPr>
          <w:rFonts w:hAnsi="宋体" w:cs="宋体"/>
          <w:b/>
          <w:bCs/>
          <w:color w:val="auto"/>
          <w:sz w:val="18"/>
          <w:szCs w:val="18"/>
          <w:highlight w:val="none"/>
        </w:rPr>
      </w:pPr>
      <w:r>
        <w:rPr>
          <w:rFonts w:hint="eastAsia" w:hAnsi="宋体" w:cs="宋体"/>
          <w:b/>
          <w:color w:val="auto"/>
          <w:sz w:val="21"/>
          <w:szCs w:val="21"/>
          <w:highlight w:val="none"/>
        </w:rPr>
        <w:t>（注：各投标人请认真阅读此招标文件，并按规定制作投标文件，否则大家的努力将是徒劳。）</w:t>
      </w:r>
    </w:p>
    <w:bookmarkEnd w:id="0"/>
    <w:p w14:paraId="7079501B">
      <w:pPr>
        <w:pStyle w:val="2"/>
        <w:keepNext w:val="0"/>
        <w:spacing w:line="360" w:lineRule="auto"/>
        <w:jc w:val="center"/>
        <w:rPr>
          <w:rFonts w:ascii="宋体" w:hAnsi="宋体" w:cs="宋体"/>
          <w:color w:val="auto"/>
          <w:sz w:val="30"/>
          <w:szCs w:val="30"/>
          <w:highlight w:val="none"/>
        </w:rPr>
        <w:sectPr>
          <w:footerReference r:id="rId8" w:type="first"/>
          <w:footerReference r:id="rId7" w:type="default"/>
          <w:pgSz w:w="11906" w:h="16838"/>
          <w:pgMar w:top="1440" w:right="1080" w:bottom="1440" w:left="1080" w:header="850" w:footer="567" w:gutter="0"/>
          <w:pgNumType w:start="0"/>
          <w:cols w:space="720" w:num="1"/>
          <w:titlePg/>
          <w:docGrid w:type="lines" w:linePitch="634" w:charSpace="0"/>
        </w:sectPr>
      </w:pPr>
      <w:bookmarkStart w:id="7" w:name="_Toc351559940"/>
      <w:bookmarkStart w:id="8" w:name="_Toc237176505"/>
      <w:bookmarkStart w:id="9" w:name="_Toc184785918"/>
      <w:bookmarkStart w:id="10" w:name="_Toc205638623"/>
      <w:bookmarkStart w:id="11" w:name="_Toc217289129"/>
    </w:p>
    <w:p w14:paraId="749A0FEE">
      <w:pPr>
        <w:pStyle w:val="2"/>
        <w:keepNext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第一章  公开招标采购公告</w:t>
      </w:r>
      <w:bookmarkEnd w:id="7"/>
    </w:p>
    <w:p w14:paraId="11481C4C">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14:paraId="091CA26A">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2025年婺城区单村供水物业化管理项目</w:t>
      </w:r>
      <w:r>
        <w:rPr>
          <w:rFonts w:hint="eastAsia" w:hAnsi="宋体" w:cs="宋体"/>
          <w:color w:val="auto"/>
          <w:sz w:val="21"/>
          <w:szCs w:val="21"/>
          <w:highlight w:val="none"/>
        </w:rPr>
        <w:t>的潜在投标人应在浙江省“政采云”平台</w:t>
      </w:r>
      <w:r>
        <w:rPr>
          <w:rFonts w:hint="eastAsia" w:hAnsi="宋体" w:cs="宋体"/>
          <w:b/>
          <w:bCs/>
          <w:color w:val="auto"/>
          <w:sz w:val="21"/>
          <w:szCs w:val="21"/>
          <w:highlight w:val="none"/>
        </w:rPr>
        <w:t>获取招标文件</w:t>
      </w:r>
      <w:r>
        <w:rPr>
          <w:rFonts w:hint="eastAsia" w:hAnsi="宋体" w:cs="宋体"/>
          <w:color w:val="auto"/>
          <w:sz w:val="21"/>
          <w:szCs w:val="21"/>
          <w:highlight w:val="none"/>
        </w:rPr>
        <w:t xml:space="preserve">，并于 </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 xml:space="preserve"> 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点30分（北京时间）</w:t>
      </w:r>
      <w:r>
        <w:rPr>
          <w:rFonts w:hint="eastAsia" w:hAnsi="宋体" w:cs="宋体"/>
          <w:bCs/>
          <w:color w:val="auto"/>
          <w:sz w:val="21"/>
          <w:szCs w:val="21"/>
          <w:highlight w:val="none"/>
        </w:rPr>
        <w:t>前上传投标文件</w:t>
      </w:r>
      <w:r>
        <w:rPr>
          <w:rFonts w:hint="eastAsia" w:hAnsi="宋体" w:cs="宋体"/>
          <w:color w:val="auto"/>
          <w:sz w:val="21"/>
          <w:szCs w:val="21"/>
          <w:highlight w:val="none"/>
        </w:rPr>
        <w:t>。</w:t>
      </w:r>
    </w:p>
    <w:p w14:paraId="13A5A7A1">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bookmarkStart w:id="12" w:name="_Toc35393790"/>
      <w:bookmarkStart w:id="13" w:name="_Toc28359079"/>
      <w:bookmarkStart w:id="14" w:name="_Toc35393621"/>
      <w:bookmarkStart w:id="15" w:name="_Toc28359002"/>
      <w:bookmarkStart w:id="16" w:name="_Hlk24379207"/>
      <w:r>
        <w:rPr>
          <w:rFonts w:hint="eastAsia" w:hAnsi="宋体" w:cs="宋体"/>
          <w:b/>
          <w:color w:val="auto"/>
          <w:sz w:val="21"/>
          <w:szCs w:val="21"/>
          <w:highlight w:val="none"/>
        </w:rPr>
        <w:t>一、项目基本情况</w:t>
      </w:r>
      <w:bookmarkEnd w:id="12"/>
      <w:bookmarkEnd w:id="13"/>
      <w:bookmarkEnd w:id="14"/>
      <w:bookmarkEnd w:id="15"/>
    </w:p>
    <w:p w14:paraId="772F1EE4">
      <w:pPr>
        <w:tabs>
          <w:tab w:val="left" w:pos="1260"/>
        </w:tabs>
        <w:autoSpaceDE/>
        <w:autoSpaceDN/>
        <w:adjustRightInd/>
        <w:snapToGrid w:val="0"/>
        <w:spacing w:line="500" w:lineRule="exact"/>
        <w:ind w:firstLine="316" w:firstLineChars="150"/>
        <w:jc w:val="both"/>
        <w:rPr>
          <w:rFonts w:hint="eastAsia" w:hAnsi="宋体" w:eastAsia="宋体" w:cs="宋体"/>
          <w:b w:val="0"/>
          <w:bCs/>
          <w:color w:val="auto"/>
          <w:sz w:val="21"/>
          <w:szCs w:val="21"/>
          <w:highlight w:val="none"/>
          <w:lang w:eastAsia="zh-CN"/>
        </w:rPr>
      </w:pPr>
      <w:r>
        <w:rPr>
          <w:rFonts w:hint="eastAsia" w:hAnsi="宋体" w:cs="宋体"/>
          <w:b/>
          <w:color w:val="auto"/>
          <w:sz w:val="21"/>
          <w:szCs w:val="21"/>
          <w:highlight w:val="none"/>
        </w:rPr>
        <w:t>项目编号：</w:t>
      </w:r>
      <w:r>
        <w:rPr>
          <w:rFonts w:hint="eastAsia" w:hAnsi="宋体" w:cs="宋体"/>
          <w:b w:val="0"/>
          <w:bCs/>
          <w:color w:val="auto"/>
          <w:sz w:val="21"/>
          <w:szCs w:val="21"/>
          <w:highlight w:val="none"/>
          <w:lang w:eastAsia="zh-CN"/>
        </w:rPr>
        <w:t xml:space="preserve">TY2025-FW131-ZFCG131   </w:t>
      </w:r>
    </w:p>
    <w:p w14:paraId="773D4319">
      <w:pPr>
        <w:tabs>
          <w:tab w:val="left" w:pos="1260"/>
        </w:tabs>
        <w:autoSpaceDE/>
        <w:autoSpaceDN/>
        <w:adjustRightInd/>
        <w:snapToGrid w:val="0"/>
        <w:spacing w:line="500" w:lineRule="exact"/>
        <w:ind w:firstLine="316" w:firstLineChars="150"/>
        <w:jc w:val="both"/>
        <w:rPr>
          <w:rFonts w:hint="eastAsia" w:hAnsi="宋体" w:eastAsia="宋体" w:cs="宋体"/>
          <w:b/>
          <w:bCs w:val="0"/>
          <w:color w:val="auto"/>
          <w:sz w:val="21"/>
          <w:szCs w:val="21"/>
          <w:highlight w:val="none"/>
          <w:lang w:eastAsia="zh-CN"/>
        </w:rPr>
      </w:pPr>
      <w:r>
        <w:rPr>
          <w:rFonts w:hint="eastAsia" w:hAnsi="宋体" w:cs="宋体"/>
          <w:b/>
          <w:color w:val="auto"/>
          <w:sz w:val="21"/>
          <w:szCs w:val="21"/>
          <w:highlight w:val="none"/>
        </w:rPr>
        <w:t>政府采购计划文号：</w:t>
      </w:r>
      <w:r>
        <w:rPr>
          <w:rFonts w:hint="eastAsia" w:ascii="宋体" w:hAnsi="宋体" w:eastAsia="宋体" w:cs="宋体"/>
          <w:b w:val="0"/>
          <w:bCs/>
          <w:i w:val="0"/>
          <w:iCs w:val="0"/>
          <w:caps w:val="0"/>
          <w:color w:val="auto"/>
          <w:spacing w:val="0"/>
          <w:sz w:val="21"/>
          <w:szCs w:val="21"/>
          <w:highlight w:val="none"/>
          <w:u w:val="none"/>
          <w:shd w:val="clear"/>
        </w:rPr>
        <w:fldChar w:fldCharType="begin"/>
      </w:r>
      <w:r>
        <w:rPr>
          <w:rFonts w:hint="eastAsia" w:ascii="宋体" w:hAnsi="宋体" w:eastAsia="宋体" w:cs="宋体"/>
          <w:b w:val="0"/>
          <w:bCs/>
          <w:i w:val="0"/>
          <w:iCs w:val="0"/>
          <w:caps w:val="0"/>
          <w:color w:val="auto"/>
          <w:spacing w:val="0"/>
          <w:sz w:val="21"/>
          <w:szCs w:val="21"/>
          <w:highlight w:val="none"/>
          <w:u w:val="none"/>
          <w:shd w:val="clear"/>
        </w:rPr>
        <w:instrText xml:space="preserve"> HYPERLINK "https://pay.zcygov.cn/purchaseplan_front/" \l "/plan/list/view?id=1000000000016120109&amp;_app_=zcy.procurement" \t "https://www.zcygov.cn/delegation-order/_procurement_/order/orderInfo/detail/_blank" </w:instrText>
      </w:r>
      <w:r>
        <w:rPr>
          <w:rFonts w:hint="eastAsia" w:ascii="宋体" w:hAnsi="宋体" w:eastAsia="宋体" w:cs="宋体"/>
          <w:b w:val="0"/>
          <w:bCs/>
          <w:i w:val="0"/>
          <w:iCs w:val="0"/>
          <w:caps w:val="0"/>
          <w:color w:val="auto"/>
          <w:spacing w:val="0"/>
          <w:sz w:val="21"/>
          <w:szCs w:val="21"/>
          <w:highlight w:val="none"/>
          <w:u w:val="none"/>
          <w:shd w:val="clear"/>
        </w:rPr>
        <w:fldChar w:fldCharType="separate"/>
      </w:r>
      <w:r>
        <w:rPr>
          <w:rFonts w:hint="eastAsia" w:ascii="宋体" w:hAnsi="宋体" w:eastAsia="宋体" w:cs="宋体"/>
          <w:b w:val="0"/>
          <w:bCs/>
          <w:i w:val="0"/>
          <w:iCs w:val="0"/>
          <w:caps w:val="0"/>
          <w:color w:val="auto"/>
          <w:spacing w:val="0"/>
          <w:sz w:val="21"/>
          <w:szCs w:val="21"/>
          <w:highlight w:val="none"/>
          <w:u w:val="none"/>
          <w:shd w:val="clear"/>
        </w:rPr>
        <w:t>[2025]554号</w:t>
      </w:r>
      <w:r>
        <w:rPr>
          <w:rFonts w:hint="eastAsia" w:ascii="宋体" w:hAnsi="宋体" w:eastAsia="宋体" w:cs="宋体"/>
          <w:b w:val="0"/>
          <w:bCs/>
          <w:i w:val="0"/>
          <w:iCs w:val="0"/>
          <w:caps w:val="0"/>
          <w:color w:val="auto"/>
          <w:spacing w:val="0"/>
          <w:sz w:val="21"/>
          <w:szCs w:val="21"/>
          <w:highlight w:val="none"/>
          <w:u w:val="none"/>
          <w:shd w:val="clear"/>
        </w:rPr>
        <w:fldChar w:fldCharType="end"/>
      </w:r>
      <w:r>
        <w:rPr>
          <w:rFonts w:hint="eastAsia" w:ascii="宋体" w:hAnsi="宋体" w:eastAsia="宋体" w:cs="宋体"/>
          <w:b w:val="0"/>
          <w:bCs/>
          <w:i w:val="0"/>
          <w:iCs w:val="0"/>
          <w:caps w:val="0"/>
          <w:color w:val="auto"/>
          <w:spacing w:val="0"/>
          <w:sz w:val="21"/>
          <w:szCs w:val="21"/>
          <w:highlight w:val="none"/>
          <w:u w:val="none"/>
          <w:shd w:val="clear"/>
          <w:lang w:eastAsia="zh-CN"/>
        </w:rPr>
        <w:t>、临[2025]555号</w:t>
      </w:r>
      <w:r>
        <w:rPr>
          <w:rFonts w:hint="eastAsia" w:hAnsi="宋体" w:cs="宋体"/>
          <w:b/>
          <w:i w:val="0"/>
          <w:iCs w:val="0"/>
          <w:caps w:val="0"/>
          <w:color w:val="auto"/>
          <w:spacing w:val="0"/>
          <w:sz w:val="21"/>
          <w:szCs w:val="21"/>
          <w:highlight w:val="none"/>
          <w:u w:val="none"/>
          <w:shd w:val="clear"/>
          <w:lang w:val="en-US" w:eastAsia="zh-CN"/>
        </w:rPr>
        <w:t xml:space="preserve"> </w:t>
      </w:r>
    </w:p>
    <w:p w14:paraId="6317B831">
      <w:pPr>
        <w:tabs>
          <w:tab w:val="left" w:pos="1260"/>
        </w:tabs>
        <w:autoSpaceDE/>
        <w:autoSpaceDN/>
        <w:adjustRightInd/>
        <w:snapToGrid w:val="0"/>
        <w:spacing w:line="500" w:lineRule="exact"/>
        <w:ind w:firstLine="316" w:firstLineChars="150"/>
        <w:jc w:val="both"/>
        <w:rPr>
          <w:rFonts w:hAnsi="宋体" w:cs="宋体"/>
          <w:b w:val="0"/>
          <w:bCs/>
          <w:color w:val="auto"/>
          <w:sz w:val="21"/>
          <w:szCs w:val="21"/>
          <w:highlight w:val="none"/>
        </w:rPr>
      </w:pPr>
      <w:r>
        <w:rPr>
          <w:rFonts w:hint="eastAsia" w:hAnsi="宋体" w:cs="宋体"/>
          <w:b/>
          <w:color w:val="auto"/>
          <w:sz w:val="21"/>
          <w:szCs w:val="21"/>
          <w:highlight w:val="none"/>
        </w:rPr>
        <w:t>采购组织类型：</w:t>
      </w:r>
      <w:r>
        <w:rPr>
          <w:rFonts w:hint="eastAsia" w:hAnsi="宋体" w:cs="宋体"/>
          <w:b w:val="0"/>
          <w:bCs/>
          <w:color w:val="auto"/>
          <w:sz w:val="21"/>
          <w:szCs w:val="21"/>
          <w:highlight w:val="none"/>
        </w:rPr>
        <w:t>分散采购委托代理</w:t>
      </w:r>
      <w:r>
        <w:rPr>
          <w:rFonts w:hint="eastAsia" w:hAnsi="宋体" w:cs="宋体"/>
          <w:b w:val="0"/>
          <w:bCs/>
          <w:color w:val="auto"/>
          <w:sz w:val="21"/>
          <w:szCs w:val="21"/>
          <w:highlight w:val="none"/>
        </w:rPr>
        <w:tab/>
      </w:r>
    </w:p>
    <w:p w14:paraId="7631477B">
      <w:pPr>
        <w:tabs>
          <w:tab w:val="left" w:pos="1260"/>
        </w:tabs>
        <w:autoSpaceDE/>
        <w:autoSpaceDN/>
        <w:adjustRightInd/>
        <w:snapToGrid w:val="0"/>
        <w:spacing w:line="500" w:lineRule="exact"/>
        <w:ind w:firstLine="316" w:firstLineChars="150"/>
        <w:jc w:val="both"/>
        <w:rPr>
          <w:rFonts w:hAnsi="宋体" w:cs="宋体"/>
          <w:b w:val="0"/>
          <w:bCs/>
          <w:color w:val="auto"/>
          <w:sz w:val="21"/>
          <w:szCs w:val="21"/>
          <w:highlight w:val="none"/>
        </w:rPr>
      </w:pPr>
      <w:r>
        <w:rPr>
          <w:rFonts w:hint="eastAsia" w:hAnsi="宋体" w:cs="宋体"/>
          <w:b/>
          <w:color w:val="auto"/>
          <w:sz w:val="21"/>
          <w:szCs w:val="21"/>
          <w:highlight w:val="none"/>
        </w:rPr>
        <w:t>招标方式：</w:t>
      </w:r>
      <w:r>
        <w:rPr>
          <w:rFonts w:hint="eastAsia" w:hAnsi="宋体" w:cs="宋体"/>
          <w:b w:val="0"/>
          <w:bCs/>
          <w:color w:val="auto"/>
          <w:sz w:val="21"/>
          <w:szCs w:val="21"/>
          <w:highlight w:val="none"/>
        </w:rPr>
        <w:t>公开招标</w:t>
      </w:r>
    </w:p>
    <w:p w14:paraId="73524994">
      <w:pPr>
        <w:tabs>
          <w:tab w:val="left" w:pos="1260"/>
        </w:tabs>
        <w:autoSpaceDE/>
        <w:autoSpaceDN/>
        <w:adjustRightInd/>
        <w:snapToGrid w:val="0"/>
        <w:spacing w:line="500" w:lineRule="exact"/>
        <w:ind w:firstLine="316" w:firstLineChars="150"/>
        <w:jc w:val="both"/>
        <w:rPr>
          <w:rFonts w:hint="eastAsia" w:hAnsi="宋体" w:eastAsia="宋体" w:cs="宋体"/>
          <w:color w:val="auto"/>
          <w:sz w:val="21"/>
          <w:szCs w:val="21"/>
          <w:highlight w:val="none"/>
          <w:lang w:eastAsia="zh-CN"/>
        </w:rPr>
      </w:pPr>
      <w:r>
        <w:rPr>
          <w:rFonts w:hint="eastAsia" w:hAnsi="宋体" w:cs="宋体"/>
          <w:b/>
          <w:color w:val="auto"/>
          <w:sz w:val="21"/>
          <w:szCs w:val="21"/>
          <w:highlight w:val="none"/>
        </w:rPr>
        <w:t>项目名称：</w:t>
      </w:r>
      <w:r>
        <w:rPr>
          <w:rFonts w:hint="eastAsia" w:hAnsi="宋体" w:cs="宋体"/>
          <w:b w:val="0"/>
          <w:bCs w:val="0"/>
          <w:color w:val="auto"/>
          <w:sz w:val="21"/>
          <w:szCs w:val="21"/>
          <w:highlight w:val="none"/>
          <w:lang w:eastAsia="zh-CN"/>
        </w:rPr>
        <w:t>2025年婺城区单村供水物业化管理项目</w:t>
      </w:r>
    </w:p>
    <w:bookmarkEnd w:id="16"/>
    <w:p w14:paraId="4A658A25">
      <w:pPr>
        <w:tabs>
          <w:tab w:val="left" w:pos="1260"/>
        </w:tabs>
        <w:autoSpaceDE/>
        <w:autoSpaceDN/>
        <w:adjustRightInd/>
        <w:snapToGrid w:val="0"/>
        <w:spacing w:line="500" w:lineRule="exact"/>
        <w:ind w:firstLine="316" w:firstLineChars="150"/>
        <w:jc w:val="both"/>
        <w:rPr>
          <w:rFonts w:hint="eastAsia" w:hAnsi="宋体" w:cs="宋体"/>
          <w:b w:val="0"/>
          <w:bCs/>
          <w:color w:val="auto"/>
          <w:sz w:val="21"/>
          <w:szCs w:val="21"/>
          <w:highlight w:val="none"/>
        </w:rPr>
      </w:pPr>
      <w:r>
        <w:rPr>
          <w:rFonts w:hint="eastAsia" w:hAnsi="宋体" w:cs="宋体"/>
          <w:b/>
          <w:color w:val="auto"/>
          <w:sz w:val="21"/>
          <w:szCs w:val="21"/>
          <w:highlight w:val="none"/>
        </w:rPr>
        <w:t>预算金额（人民币）：</w:t>
      </w:r>
      <w:r>
        <w:rPr>
          <w:rFonts w:hint="eastAsia" w:ascii="宋体" w:hAnsi="宋体" w:eastAsia="宋体" w:cs="宋体"/>
          <w:b w:val="0"/>
          <w:bCs/>
          <w:i w:val="0"/>
          <w:iCs w:val="0"/>
          <w:caps w:val="0"/>
          <w:color w:val="auto"/>
          <w:spacing w:val="0"/>
          <w:sz w:val="21"/>
          <w:szCs w:val="21"/>
          <w:highlight w:val="none"/>
          <w:shd w:val="clear"/>
        </w:rPr>
        <w:t>406.82</w:t>
      </w:r>
      <w:r>
        <w:rPr>
          <w:rFonts w:hint="eastAsia" w:hAnsi="宋体" w:cs="宋体"/>
          <w:b w:val="0"/>
          <w:bCs/>
          <w:color w:val="auto"/>
          <w:sz w:val="21"/>
          <w:szCs w:val="21"/>
          <w:highlight w:val="none"/>
        </w:rPr>
        <w:t>万元</w:t>
      </w:r>
    </w:p>
    <w:p w14:paraId="59C80787">
      <w:pPr>
        <w:tabs>
          <w:tab w:val="left" w:pos="1260"/>
        </w:tabs>
        <w:autoSpaceDE/>
        <w:autoSpaceDN/>
        <w:adjustRightInd/>
        <w:snapToGrid w:val="0"/>
        <w:spacing w:line="500" w:lineRule="exact"/>
        <w:ind w:firstLine="316" w:firstLineChars="150"/>
        <w:jc w:val="both"/>
        <w:rPr>
          <w:rFonts w:hint="eastAsia" w:hAnsi="宋体" w:cs="宋体"/>
          <w:b w:val="0"/>
          <w:bCs/>
          <w:color w:val="auto"/>
          <w:sz w:val="21"/>
          <w:szCs w:val="21"/>
          <w:highlight w:val="none"/>
        </w:rPr>
      </w:pPr>
      <w:r>
        <w:rPr>
          <w:rFonts w:hint="eastAsia" w:hAnsi="宋体" w:cs="宋体"/>
          <w:b/>
          <w:color w:val="auto"/>
          <w:sz w:val="21"/>
          <w:szCs w:val="21"/>
          <w:highlight w:val="none"/>
        </w:rPr>
        <w:t>最高限价（人民币）：</w:t>
      </w:r>
      <w:r>
        <w:rPr>
          <w:rFonts w:hint="eastAsia" w:ascii="宋体" w:hAnsi="宋体" w:eastAsia="宋体" w:cs="宋体"/>
          <w:b w:val="0"/>
          <w:bCs/>
          <w:i w:val="0"/>
          <w:iCs w:val="0"/>
          <w:caps w:val="0"/>
          <w:color w:val="auto"/>
          <w:spacing w:val="0"/>
          <w:sz w:val="21"/>
          <w:szCs w:val="21"/>
          <w:highlight w:val="none"/>
          <w:shd w:val="clear"/>
        </w:rPr>
        <w:t>406.82</w:t>
      </w:r>
      <w:r>
        <w:rPr>
          <w:rFonts w:hint="eastAsia" w:hAnsi="宋体" w:cs="宋体"/>
          <w:b w:val="0"/>
          <w:bCs/>
          <w:color w:val="auto"/>
          <w:sz w:val="21"/>
          <w:szCs w:val="21"/>
          <w:highlight w:val="none"/>
        </w:rPr>
        <w:t>万元</w:t>
      </w:r>
    </w:p>
    <w:p w14:paraId="3E516755">
      <w:pPr>
        <w:tabs>
          <w:tab w:val="left" w:pos="1260"/>
        </w:tabs>
        <w:autoSpaceDE/>
        <w:autoSpaceDN/>
        <w:adjustRightInd/>
        <w:snapToGrid w:val="0"/>
        <w:spacing w:line="500" w:lineRule="exact"/>
        <w:ind w:firstLine="316" w:firstLineChars="150"/>
        <w:jc w:val="both"/>
        <w:rPr>
          <w:rFonts w:hAnsi="宋体" w:cs="宋体"/>
          <w:color w:val="auto"/>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 xml:space="preserve">： </w:t>
      </w:r>
    </w:p>
    <w:tbl>
      <w:tblPr>
        <w:tblStyle w:val="47"/>
        <w:tblW w:w="9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38"/>
        <w:gridCol w:w="5085"/>
        <w:gridCol w:w="855"/>
        <w:gridCol w:w="1426"/>
      </w:tblGrid>
      <w:tr w14:paraId="1047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32" w:type="dxa"/>
            <w:vAlign w:val="center"/>
          </w:tcPr>
          <w:p w14:paraId="0D31D635">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738" w:type="dxa"/>
            <w:vAlign w:val="center"/>
          </w:tcPr>
          <w:p w14:paraId="74D142AD">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采购内容</w:t>
            </w:r>
          </w:p>
        </w:tc>
        <w:tc>
          <w:tcPr>
            <w:tcW w:w="5085" w:type="dxa"/>
            <w:vAlign w:val="center"/>
          </w:tcPr>
          <w:p w14:paraId="7BE062ED">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项目要求</w:t>
            </w:r>
          </w:p>
        </w:tc>
        <w:tc>
          <w:tcPr>
            <w:tcW w:w="855" w:type="dxa"/>
            <w:vAlign w:val="center"/>
          </w:tcPr>
          <w:p w14:paraId="202CF312">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数量</w:t>
            </w:r>
          </w:p>
        </w:tc>
        <w:tc>
          <w:tcPr>
            <w:tcW w:w="1426" w:type="dxa"/>
            <w:vAlign w:val="center"/>
          </w:tcPr>
          <w:p w14:paraId="32F8F20B">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预算金额</w:t>
            </w:r>
          </w:p>
          <w:p w14:paraId="291E5884">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（人民币）</w:t>
            </w:r>
          </w:p>
        </w:tc>
      </w:tr>
      <w:tr w14:paraId="10FA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32" w:type="dxa"/>
            <w:vAlign w:val="center"/>
          </w:tcPr>
          <w:p w14:paraId="38BD8B60">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1738" w:type="dxa"/>
            <w:vAlign w:val="center"/>
          </w:tcPr>
          <w:p w14:paraId="4E352742">
            <w:pPr>
              <w:tabs>
                <w:tab w:val="left" w:pos="1260"/>
              </w:tabs>
              <w:autoSpaceDE/>
              <w:autoSpaceDN/>
              <w:adjustRightInd/>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2025年婺城区单村供水物业化管理项目</w:t>
            </w:r>
          </w:p>
        </w:tc>
        <w:tc>
          <w:tcPr>
            <w:tcW w:w="5085" w:type="dxa"/>
            <w:vAlign w:val="center"/>
          </w:tcPr>
          <w:p w14:paraId="75D0D98D">
            <w:pPr>
              <w:widowControl/>
              <w:tabs>
                <w:tab w:val="left" w:pos="1260"/>
              </w:tabs>
              <w:autoSpaceDE/>
              <w:autoSpaceDN/>
              <w:adjustRightInd/>
              <w:spacing w:line="460" w:lineRule="exact"/>
              <w:rPr>
                <w:rFonts w:hAnsi="宋体" w:cs="宋体"/>
                <w:color w:val="auto"/>
                <w:sz w:val="21"/>
                <w:szCs w:val="21"/>
                <w:highlight w:val="none"/>
              </w:rPr>
            </w:pPr>
            <w:r>
              <w:rPr>
                <w:rFonts w:hint="eastAsia" w:hAnsi="宋体" w:cs="宋体"/>
                <w:bCs/>
                <w:color w:val="auto"/>
                <w:sz w:val="21"/>
                <w:szCs w:val="21"/>
                <w:highlight w:val="none"/>
                <w:lang w:eastAsia="zh-CN"/>
              </w:rPr>
              <w:t>2025年</w:t>
            </w:r>
            <w:r>
              <w:rPr>
                <w:rFonts w:hint="eastAsia" w:hAnsi="宋体" w:cs="宋体"/>
                <w:bCs/>
                <w:color w:val="auto"/>
                <w:sz w:val="21"/>
                <w:szCs w:val="21"/>
                <w:highlight w:val="none"/>
              </w:rPr>
              <w:t>婺城区单村供水物业化管理项目共包含婺城区8个乡镇</w:t>
            </w:r>
            <w:r>
              <w:rPr>
                <w:rFonts w:hint="eastAsia" w:hAnsi="宋体" w:cs="宋体"/>
                <w:bCs/>
                <w:color w:val="auto"/>
                <w:sz w:val="21"/>
                <w:szCs w:val="21"/>
                <w:highlight w:val="none"/>
                <w:lang w:val="en-US" w:eastAsia="zh-CN"/>
              </w:rPr>
              <w:t>64</w:t>
            </w:r>
            <w:r>
              <w:rPr>
                <w:rFonts w:hint="eastAsia" w:hAnsi="宋体" w:cs="宋体"/>
                <w:bCs/>
                <w:color w:val="auto"/>
                <w:sz w:val="21"/>
                <w:szCs w:val="21"/>
                <w:highlight w:val="none"/>
              </w:rPr>
              <w:t>个行政村</w:t>
            </w:r>
            <w:r>
              <w:rPr>
                <w:rFonts w:hint="eastAsia" w:hAnsi="宋体" w:cs="宋体"/>
                <w:bCs/>
                <w:color w:val="auto"/>
                <w:sz w:val="21"/>
                <w:szCs w:val="21"/>
                <w:highlight w:val="none"/>
                <w:lang w:val="en-US" w:eastAsia="zh-CN"/>
              </w:rPr>
              <w:t>115</w:t>
            </w:r>
            <w:r>
              <w:rPr>
                <w:rFonts w:hint="eastAsia" w:hAnsi="宋体" w:cs="宋体"/>
                <w:bCs/>
                <w:color w:val="auto"/>
                <w:sz w:val="21"/>
                <w:szCs w:val="21"/>
                <w:highlight w:val="none"/>
              </w:rPr>
              <w:t>个单村（联村）水站的运行维护，分布在婺城区各个乡镇。服务期限</w:t>
            </w:r>
            <w:r>
              <w:rPr>
                <w:rFonts w:hint="eastAsia" w:hAnsi="宋体" w:cs="宋体"/>
                <w:bCs/>
                <w:color w:val="auto"/>
                <w:sz w:val="21"/>
                <w:szCs w:val="21"/>
                <w:highlight w:val="none"/>
                <w:lang w:val="en-US" w:eastAsia="zh-CN"/>
              </w:rPr>
              <w:t>壹</w:t>
            </w:r>
            <w:r>
              <w:rPr>
                <w:rFonts w:hint="eastAsia" w:hAnsi="宋体" w:cs="宋体"/>
                <w:bCs/>
                <w:color w:val="auto"/>
                <w:sz w:val="21"/>
                <w:szCs w:val="21"/>
                <w:highlight w:val="none"/>
              </w:rPr>
              <w:t>年</w:t>
            </w:r>
            <w:r>
              <w:rPr>
                <w:rFonts w:hint="eastAsia" w:hAnsi="宋体" w:cs="宋体"/>
                <w:color w:val="auto"/>
                <w:sz w:val="21"/>
                <w:szCs w:val="21"/>
                <w:highlight w:val="none"/>
                <w:lang w:eastAsia="zh-CN"/>
              </w:rPr>
              <w:t>。</w:t>
            </w:r>
            <w:r>
              <w:rPr>
                <w:rFonts w:hint="eastAsia" w:hAnsi="宋体" w:cs="宋体"/>
                <w:color w:val="auto"/>
                <w:sz w:val="21"/>
                <w:szCs w:val="21"/>
                <w:highlight w:val="none"/>
              </w:rPr>
              <w:t>具体要求详见“第二章 招标需求”。</w:t>
            </w:r>
          </w:p>
        </w:tc>
        <w:tc>
          <w:tcPr>
            <w:tcW w:w="855" w:type="dxa"/>
            <w:vAlign w:val="center"/>
          </w:tcPr>
          <w:p w14:paraId="4A95C71B">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1项</w:t>
            </w:r>
          </w:p>
        </w:tc>
        <w:tc>
          <w:tcPr>
            <w:tcW w:w="1426" w:type="dxa"/>
            <w:vAlign w:val="center"/>
          </w:tcPr>
          <w:p w14:paraId="07CCD6F0">
            <w:pPr>
              <w:widowControl/>
              <w:tabs>
                <w:tab w:val="left" w:pos="1260"/>
              </w:tabs>
              <w:autoSpaceDE/>
              <w:autoSpaceDN/>
              <w:adjustRightInd/>
              <w:snapToGrid w:val="0"/>
              <w:spacing w:line="460" w:lineRule="exact"/>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lang w:val="en-US" w:eastAsia="zh-CN"/>
              </w:rPr>
              <w:t xml:space="preserve">    </w:t>
            </w:r>
            <w:r>
              <w:rPr>
                <w:rFonts w:hint="eastAsia" w:hAnsi="宋体" w:cs="宋体"/>
                <w:bCs/>
                <w:color w:val="auto"/>
                <w:sz w:val="21"/>
                <w:szCs w:val="21"/>
                <w:highlight w:val="none"/>
                <w:lang w:eastAsia="zh-CN"/>
              </w:rPr>
              <w:t>406.82万元</w:t>
            </w:r>
          </w:p>
        </w:tc>
      </w:tr>
    </w:tbl>
    <w:p w14:paraId="02EA4709">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本项目接受联合体投标。</w:t>
      </w:r>
    </w:p>
    <w:p w14:paraId="00779A98">
      <w:pPr>
        <w:tabs>
          <w:tab w:val="left" w:pos="1260"/>
        </w:tabs>
        <w:autoSpaceDE/>
        <w:autoSpaceDN/>
        <w:snapToGrid w:val="0"/>
        <w:spacing w:line="500" w:lineRule="exact"/>
        <w:ind w:firstLine="422" w:firstLineChars="200"/>
        <w:rPr>
          <w:rFonts w:hAnsi="宋体" w:cs="宋体"/>
          <w:b/>
          <w:color w:val="auto"/>
          <w:sz w:val="21"/>
          <w:szCs w:val="21"/>
          <w:highlight w:val="none"/>
        </w:rPr>
      </w:pPr>
      <w:bookmarkStart w:id="17" w:name="_Toc28359003"/>
      <w:bookmarkStart w:id="18" w:name="_Toc35393622"/>
      <w:bookmarkStart w:id="19" w:name="_Toc28359080"/>
      <w:bookmarkStart w:id="20" w:name="_Toc35393791"/>
      <w:r>
        <w:rPr>
          <w:rFonts w:hint="eastAsia" w:hAnsi="宋体" w:cs="宋体"/>
          <w:b/>
          <w:color w:val="auto"/>
          <w:sz w:val="21"/>
          <w:szCs w:val="21"/>
          <w:highlight w:val="none"/>
        </w:rPr>
        <w:t>二、申请人的资格要求：</w:t>
      </w:r>
      <w:bookmarkEnd w:id="17"/>
      <w:bookmarkEnd w:id="18"/>
      <w:bookmarkEnd w:id="19"/>
      <w:bookmarkEnd w:id="20"/>
    </w:p>
    <w:p w14:paraId="60C78E89">
      <w:pPr>
        <w:tabs>
          <w:tab w:val="left" w:pos="1260"/>
        </w:tabs>
        <w:autoSpaceDE/>
        <w:autoSpaceDN/>
        <w:snapToGrid w:val="0"/>
        <w:spacing w:line="500" w:lineRule="exact"/>
        <w:ind w:firstLine="420" w:firstLineChars="200"/>
        <w:rPr>
          <w:rFonts w:hAnsi="宋体" w:cs="宋体"/>
          <w:color w:val="auto"/>
          <w:sz w:val="21"/>
          <w:szCs w:val="21"/>
          <w:highlight w:val="none"/>
        </w:rPr>
      </w:pPr>
      <w:bookmarkStart w:id="21" w:name="_Toc28359081"/>
      <w:bookmarkStart w:id="22" w:name="_Toc28359004"/>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5A3D23B3">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2.落实政策：</w:t>
      </w:r>
    </w:p>
    <w:p w14:paraId="24E4638F">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（1）落实政府采购政策需满足的资格要求：</w:t>
      </w:r>
    </w:p>
    <w:p w14:paraId="7D644DB5">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无；</w:t>
      </w:r>
    </w:p>
    <w:p w14:paraId="6E036CE3">
      <w:pPr>
        <w:pStyle w:val="43"/>
        <w:adjustRightInd w:val="0"/>
        <w:snapToGrid w:val="0"/>
        <w:spacing w:before="0" w:beforeAutospacing="0" w:after="0" w:afterAutospacing="0" w:line="500" w:lineRule="exact"/>
        <w:ind w:firstLine="420" w:firstLineChars="200"/>
        <w:rPr>
          <w:rStyle w:val="50"/>
          <w:rFonts w:ascii="宋体" w:hAnsi="宋体" w:cs="宋体"/>
          <w:color w:val="auto"/>
          <w:sz w:val="21"/>
          <w:szCs w:val="21"/>
          <w:highlight w:val="none"/>
          <w:shd w:val="clear" w:color="auto" w:fill="FFFFFF"/>
        </w:rPr>
      </w:pPr>
      <w:r>
        <w:rPr>
          <w:rFonts w:hint="eastAsia" w:ascii="宋体" w:cs="宋体"/>
          <w:color w:val="auto"/>
          <w:sz w:val="21"/>
          <w:szCs w:val="21"/>
          <w:highlight w:val="none"/>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D5979AF">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3.本项目的特定资格要求：</w:t>
      </w:r>
      <w:bookmarkEnd w:id="21"/>
      <w:bookmarkEnd w:id="22"/>
      <w:bookmarkStart w:id="23" w:name="_Toc28359008"/>
      <w:bookmarkStart w:id="24" w:name="_Toc35393627"/>
      <w:bookmarkStart w:id="25" w:name="_Toc28359085"/>
      <w:bookmarkStart w:id="26" w:name="_Toc35393796"/>
      <w:r>
        <w:rPr>
          <w:rFonts w:hint="eastAsia" w:ascii="宋体" w:cs="宋体"/>
          <w:color w:val="auto"/>
          <w:sz w:val="21"/>
          <w:szCs w:val="21"/>
          <w:highlight w:val="none"/>
          <w:shd w:val="clear" w:color="auto" w:fill="FFFFFF"/>
          <w:lang w:val="en-US" w:eastAsia="zh-CN"/>
        </w:rPr>
        <w:t>无</w:t>
      </w:r>
      <w:r>
        <w:rPr>
          <w:rFonts w:hint="eastAsia" w:ascii="宋体" w:cs="宋体"/>
          <w:color w:val="auto"/>
          <w:sz w:val="21"/>
          <w:szCs w:val="21"/>
          <w:highlight w:val="none"/>
          <w:shd w:val="clear" w:color="auto" w:fill="FFFFFF"/>
        </w:rPr>
        <w:t>。</w:t>
      </w:r>
    </w:p>
    <w:p w14:paraId="3B6AC1FD">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4.公益一类事业单位不属于政府购买服务的承接主体，不得参与本项目投标。</w:t>
      </w:r>
    </w:p>
    <w:p w14:paraId="6BDBB2F5">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5.联合体投标或分包：为了支持中小企业发展，本项目允许大中型企业与小微企业组成联合体参与投标，也允许大中型企业向小微企业合理分包，确保中小企业参与政府采购公平竞争机会。</w:t>
      </w:r>
      <w:r>
        <w:rPr>
          <w:rFonts w:hint="eastAsia" w:hAnsi="宋体" w:cs="宋体"/>
          <w:color w:val="auto"/>
          <w:sz w:val="21"/>
          <w:szCs w:val="21"/>
          <w:highlight w:val="none"/>
          <w:lang w:bidi="ar"/>
        </w:rPr>
        <w:t>组成联合体或者接受分包合同的小微企业与联合体内其他企业、分包企业之间不得存在直接控股、管理关系。</w:t>
      </w:r>
      <w:r>
        <w:rPr>
          <w:rFonts w:hint="eastAsia" w:hAnsi="宋体" w:cs="宋体"/>
          <w:color w:val="auto"/>
          <w:sz w:val="21"/>
          <w:szCs w:val="21"/>
          <w:highlight w:val="none"/>
        </w:rPr>
        <w:t xml:space="preserve"> （联合体投标或分包时适用）</w:t>
      </w:r>
    </w:p>
    <w:p w14:paraId="6DED2D6F">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三、获取招标文件</w:t>
      </w:r>
    </w:p>
    <w:p w14:paraId="660ABACD">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1.时间：本项目公告发布之日起至</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日止</w:t>
      </w:r>
      <w:r>
        <w:rPr>
          <w:rFonts w:hint="eastAsia" w:hAnsi="宋体" w:cs="宋体"/>
          <w:color w:val="auto"/>
          <w:sz w:val="21"/>
          <w:szCs w:val="21"/>
          <w:highlight w:val="none"/>
        </w:rPr>
        <w:t>，每天上午00:00至12:00，下午12:00至23:59（北京时间）</w:t>
      </w:r>
    </w:p>
    <w:p w14:paraId="751742B6">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2.招标文件获取地址：登录政采云平台－后台项目采购板块点击申请获取采购文件。</w:t>
      </w:r>
    </w:p>
    <w:p w14:paraId="3DA60EC5">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获取采购文件方式：投标人自行登录浙江省“政采云”平台（网址https://www.zcygov.cn）获取采购文件（投标人线上获取采购文件的流程：投标人登录浙江省“政采云”平台并进入【项目采购】应用模块，点击左侧菜单的【获取采购文件】，点击对应项目的【申请获取采购文件】按钮，填写获取采购文件申请信息后，点右下角【确定】按钮提交）。 </w:t>
      </w:r>
    </w:p>
    <w:p w14:paraId="22E37AB2">
      <w:pPr>
        <w:autoSpaceDE/>
        <w:autoSpaceDN/>
        <w:snapToGrid w:val="0"/>
        <w:spacing w:line="500" w:lineRule="exact"/>
        <w:ind w:firstLine="422" w:firstLineChars="200"/>
        <w:rPr>
          <w:rStyle w:val="50"/>
          <w:rFonts w:ascii="宋体" w:hAnsi="宋体" w:cs="宋体"/>
          <w:color w:val="auto"/>
          <w:sz w:val="21"/>
          <w:szCs w:val="21"/>
          <w:highlight w:val="none"/>
        </w:rPr>
      </w:pPr>
      <w:r>
        <w:rPr>
          <w:rStyle w:val="50"/>
          <w:rFonts w:hint="eastAsia" w:ascii="宋体" w:hAnsi="宋体" w:cs="宋体"/>
          <w:color w:val="auto"/>
          <w:sz w:val="21"/>
          <w:szCs w:val="21"/>
          <w:highlight w:val="none"/>
        </w:rPr>
        <w:t>注：</w:t>
      </w:r>
    </w:p>
    <w:p w14:paraId="02962E2A">
      <w:pPr>
        <w:pStyle w:val="46"/>
        <w:autoSpaceDE/>
        <w:autoSpaceDN/>
        <w:adjustRightInd w:val="0"/>
        <w:snapToGrid w:val="0"/>
        <w:spacing w:after="0" w:line="500" w:lineRule="exact"/>
        <w:ind w:left="0" w:leftChars="0"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浙江政府采购网上随公告发布的采购文件仅供阅览；投标人应按上述方式获取采购文件；未按上述方式完成获取采购文件流程的，不得对采购文件提起质疑投诉。同时请投标人在参加投标前随时关注项目的可能更正公告情况。</w:t>
      </w:r>
    </w:p>
    <w:p w14:paraId="20E36091">
      <w:pPr>
        <w:autoSpaceDE/>
        <w:autoSpaceDN/>
        <w:snapToGrid w:val="0"/>
        <w:spacing w:line="500" w:lineRule="exact"/>
        <w:ind w:firstLine="422" w:firstLineChars="200"/>
        <w:rPr>
          <w:rFonts w:hAnsi="宋体" w:cs="宋体"/>
          <w:color w:val="auto"/>
          <w:highlight w:val="none"/>
        </w:rPr>
      </w:pPr>
      <w:r>
        <w:rPr>
          <w:rFonts w:hint="eastAsia" w:hAnsi="宋体" w:cs="宋体"/>
          <w:b/>
          <w:bCs/>
          <w:color w:val="auto"/>
          <w:sz w:val="21"/>
          <w:szCs w:val="21"/>
          <w:highlight w:val="none"/>
        </w:rPr>
        <w:t>（2）采购代理机构将拒绝接</w:t>
      </w:r>
      <w:r>
        <w:rPr>
          <w:rStyle w:val="50"/>
          <w:rFonts w:hint="eastAsia" w:ascii="宋体" w:hAnsi="宋体" w:cs="宋体"/>
          <w:color w:val="auto"/>
          <w:sz w:val="21"/>
          <w:szCs w:val="21"/>
          <w:highlight w:val="none"/>
        </w:rPr>
        <w:t>受非报名人的投标文件。</w:t>
      </w:r>
    </w:p>
    <w:p w14:paraId="2E3A8DA5">
      <w:pPr>
        <w:tabs>
          <w:tab w:val="left" w:pos="1260"/>
        </w:tabs>
        <w:autoSpaceDE/>
        <w:autoSpaceDN/>
        <w:snapToGrid w:val="0"/>
        <w:spacing w:line="500" w:lineRule="exact"/>
        <w:ind w:firstLine="422" w:firstLineChars="200"/>
        <w:rPr>
          <w:rFonts w:hAnsi="宋体" w:cs="宋体"/>
          <w:b/>
          <w:color w:val="auto"/>
          <w:sz w:val="21"/>
          <w:szCs w:val="21"/>
          <w:highlight w:val="none"/>
        </w:rPr>
      </w:pPr>
      <w:bookmarkStart w:id="27" w:name="_Toc28359005"/>
      <w:bookmarkStart w:id="28" w:name="_Toc28359082"/>
      <w:bookmarkStart w:id="29" w:name="_Toc35393793"/>
      <w:bookmarkStart w:id="30" w:name="_Toc35393624"/>
      <w:r>
        <w:rPr>
          <w:rFonts w:hint="eastAsia" w:hAnsi="宋体" w:cs="宋体"/>
          <w:b/>
          <w:color w:val="auto"/>
          <w:sz w:val="21"/>
          <w:szCs w:val="21"/>
          <w:highlight w:val="none"/>
        </w:rPr>
        <w:t>四、提交投标文件</w:t>
      </w:r>
      <w:bookmarkEnd w:id="27"/>
      <w:bookmarkEnd w:id="28"/>
      <w:r>
        <w:rPr>
          <w:rFonts w:hint="eastAsia" w:hAnsi="宋体" w:cs="宋体"/>
          <w:b/>
          <w:color w:val="auto"/>
          <w:sz w:val="21"/>
          <w:szCs w:val="21"/>
          <w:highlight w:val="none"/>
        </w:rPr>
        <w:t>截止时间、开标时间和地点</w:t>
      </w:r>
      <w:bookmarkEnd w:id="29"/>
      <w:bookmarkEnd w:id="30"/>
    </w:p>
    <w:p w14:paraId="5BE12EBF">
      <w:pPr>
        <w:tabs>
          <w:tab w:val="left" w:pos="1260"/>
        </w:tabs>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1.提交投标文件截止时间</w:t>
      </w:r>
      <w:r>
        <w:rPr>
          <w:rFonts w:hint="eastAsia" w:hAnsi="宋体" w:cs="宋体"/>
          <w:color w:val="auto"/>
          <w:sz w:val="21"/>
          <w:szCs w:val="21"/>
          <w:highlight w:val="none"/>
        </w:rPr>
        <w:t>：</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点30分</w:t>
      </w:r>
      <w:r>
        <w:rPr>
          <w:rFonts w:hint="eastAsia" w:hAnsi="宋体" w:cs="宋体"/>
          <w:color w:val="auto"/>
          <w:sz w:val="21"/>
          <w:szCs w:val="21"/>
          <w:highlight w:val="none"/>
        </w:rPr>
        <w:t>（北京时间</w:t>
      </w:r>
      <w:r>
        <w:rPr>
          <w:rFonts w:hint="eastAsia" w:hAnsi="宋体" w:cs="宋体"/>
          <w:color w:val="auto"/>
          <w:sz w:val="21"/>
          <w:szCs w:val="21"/>
          <w:highlight w:val="none"/>
        </w:rPr>
        <w:t>）</w:t>
      </w:r>
    </w:p>
    <w:p w14:paraId="2A78B3B4">
      <w:pPr>
        <w:tabs>
          <w:tab w:val="left" w:pos="1260"/>
        </w:tabs>
        <w:spacing w:line="500" w:lineRule="exact"/>
        <w:ind w:firstLine="630" w:firstLineChars="300"/>
        <w:rPr>
          <w:rFonts w:hAnsi="宋体" w:cs="宋体"/>
          <w:color w:val="auto"/>
          <w:sz w:val="21"/>
          <w:szCs w:val="21"/>
          <w:highlight w:val="none"/>
        </w:rPr>
      </w:pPr>
      <w:r>
        <w:rPr>
          <w:rFonts w:hint="eastAsia" w:hAnsi="宋体" w:cs="宋体"/>
          <w:color w:val="auto"/>
          <w:sz w:val="21"/>
          <w:szCs w:val="21"/>
          <w:highlight w:val="none"/>
        </w:rPr>
        <w:t>投标地点（网址）：通过浙江政府采购网政府采购云平台实行在线投标响应。</w:t>
      </w:r>
    </w:p>
    <w:p w14:paraId="5EE5F183">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 xml:space="preserve">  开标时间：</w:t>
      </w:r>
      <w:r>
        <w:rPr>
          <w:rFonts w:hint="eastAsia" w:ascii="宋体" w:cs="宋体"/>
          <w:color w:val="auto"/>
          <w:sz w:val="21"/>
          <w:szCs w:val="21"/>
          <w:highlight w:val="none"/>
          <w:lang w:eastAsia="zh-CN"/>
        </w:rPr>
        <w:t>2025年</w:t>
      </w:r>
      <w:r>
        <w:rPr>
          <w:rFonts w:hint="eastAsia" w:ascii="宋体" w:cs="宋体"/>
          <w:color w:val="auto"/>
          <w:sz w:val="21"/>
          <w:szCs w:val="21"/>
          <w:highlight w:val="none"/>
          <w:lang w:val="en-US" w:eastAsia="zh-CN"/>
        </w:rPr>
        <w:t>7</w:t>
      </w:r>
      <w:r>
        <w:rPr>
          <w:rFonts w:hint="eastAsia" w:ascii="宋体" w:cs="宋体"/>
          <w:color w:val="auto"/>
          <w:sz w:val="21"/>
          <w:szCs w:val="21"/>
          <w:highlight w:val="none"/>
        </w:rPr>
        <w:t>月</w:t>
      </w:r>
      <w:r>
        <w:rPr>
          <w:rFonts w:hint="eastAsia" w:cs="宋体"/>
          <w:color w:val="auto"/>
          <w:sz w:val="21"/>
          <w:szCs w:val="21"/>
          <w:highlight w:val="none"/>
          <w:lang w:val="en-US" w:eastAsia="zh-CN"/>
        </w:rPr>
        <w:t>22</w:t>
      </w:r>
      <w:r>
        <w:rPr>
          <w:rFonts w:hint="eastAsia" w:ascii="宋体" w:cs="宋体"/>
          <w:color w:val="auto"/>
          <w:sz w:val="21"/>
          <w:szCs w:val="21"/>
          <w:highlight w:val="none"/>
        </w:rPr>
        <w:t>日</w:t>
      </w:r>
      <w:r>
        <w:rPr>
          <w:rFonts w:hint="eastAsia" w:ascii="宋体" w:cs="宋体"/>
          <w:bCs/>
          <w:color w:val="auto"/>
          <w:sz w:val="21"/>
          <w:szCs w:val="21"/>
          <w:highlight w:val="none"/>
          <w:lang w:val="en-US" w:eastAsia="zh-CN"/>
        </w:rPr>
        <w:t>14</w:t>
      </w:r>
      <w:r>
        <w:rPr>
          <w:rFonts w:hint="eastAsia" w:ascii="宋体" w:cs="宋体"/>
          <w:bCs/>
          <w:color w:val="auto"/>
          <w:sz w:val="21"/>
          <w:szCs w:val="21"/>
          <w:highlight w:val="none"/>
        </w:rPr>
        <w:t>点30分</w:t>
      </w:r>
      <w:r>
        <w:rPr>
          <w:rFonts w:hint="eastAsia" w:ascii="宋体" w:cs="宋体"/>
          <w:color w:val="auto"/>
          <w:sz w:val="21"/>
          <w:szCs w:val="21"/>
          <w:highlight w:val="none"/>
        </w:rPr>
        <w:t>（北京时间）</w:t>
      </w:r>
    </w:p>
    <w:p w14:paraId="6AF74C1D">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 xml:space="preserve">  开标地点（网址）：</w:t>
      </w:r>
      <w:r>
        <w:rPr>
          <w:rFonts w:hint="eastAsia" w:ascii="宋体" w:cs="宋体"/>
          <w:color w:val="auto"/>
          <w:sz w:val="21"/>
          <w:szCs w:val="21"/>
          <w:highlight w:val="none"/>
        </w:rPr>
        <w:t>金华市双龙南街858号金华财富大厦（金华市行政服务中心新办事大厅4楼开标</w:t>
      </w:r>
      <w:r>
        <w:rPr>
          <w:rFonts w:hint="eastAsia" w:ascii="宋体" w:cs="宋体"/>
          <w:color w:val="auto"/>
          <w:sz w:val="21"/>
          <w:szCs w:val="21"/>
          <w:highlight w:val="none"/>
          <w:lang w:val="en-US" w:eastAsia="zh-CN"/>
        </w:rPr>
        <w:t>1</w:t>
      </w:r>
      <w:r>
        <w:rPr>
          <w:rFonts w:hint="eastAsia" w:ascii="宋体" w:cs="宋体"/>
          <w:color w:val="auto"/>
          <w:sz w:val="21"/>
          <w:szCs w:val="21"/>
          <w:highlight w:val="none"/>
        </w:rPr>
        <w:t>室），本项目</w:t>
      </w:r>
      <w:r>
        <w:rPr>
          <w:rFonts w:hint="eastAsia" w:ascii="宋体" w:cs="宋体"/>
          <w:color w:val="auto"/>
          <w:sz w:val="21"/>
          <w:szCs w:val="21"/>
          <w:highlight w:val="none"/>
          <w:shd w:val="clear" w:color="auto" w:fill="FFFFFF"/>
        </w:rPr>
        <w:t>通过浙江政府采购网政府采</w:t>
      </w:r>
      <w:r>
        <w:rPr>
          <w:rFonts w:hint="eastAsia" w:ascii="宋体" w:cs="宋体"/>
          <w:color w:val="auto"/>
          <w:sz w:val="21"/>
          <w:szCs w:val="21"/>
          <w:highlight w:val="none"/>
        </w:rPr>
        <w:t>购云平台在线开标，</w:t>
      </w:r>
      <w:r>
        <w:rPr>
          <w:rStyle w:val="50"/>
          <w:rFonts w:hint="eastAsia" w:ascii="宋体" w:hAnsi="宋体" w:cs="宋体"/>
          <w:b w:val="0"/>
          <w:color w:val="auto"/>
          <w:sz w:val="21"/>
          <w:szCs w:val="21"/>
          <w:highlight w:val="none"/>
        </w:rPr>
        <w:t>投标人无须到开标现场，但须准时在线参加，</w:t>
      </w:r>
      <w:r>
        <w:rPr>
          <w:rStyle w:val="50"/>
          <w:rFonts w:hint="eastAsia" w:ascii="宋体" w:hAnsi="宋体" w:cs="宋体"/>
          <w:b w:val="0"/>
          <w:bCs w:val="0"/>
          <w:color w:val="auto"/>
          <w:sz w:val="21"/>
          <w:szCs w:val="21"/>
          <w:highlight w:val="none"/>
        </w:rPr>
        <w:t>直至评审结束。</w:t>
      </w:r>
      <w:r>
        <w:rPr>
          <w:rFonts w:hint="eastAsia" w:ascii="宋体" w:cs="宋体"/>
          <w:color w:val="auto"/>
          <w:sz w:val="21"/>
          <w:szCs w:val="21"/>
          <w:highlight w:val="none"/>
        </w:rPr>
        <w:t>开标截止时间后30分钟以内投标人登录“政采云”平台，用“项目采购－开标评标”功能进行解密投标文件。若投标人在规定时间内投标文件无法解密或解密失败（含未提交），则投标无效。</w:t>
      </w:r>
    </w:p>
    <w:p w14:paraId="29BB761B">
      <w:pPr>
        <w:pStyle w:val="43"/>
        <w:numPr>
          <w:ilvl w:val="0"/>
          <w:numId w:val="2"/>
        </w:numPr>
        <w:adjustRightInd w:val="0"/>
        <w:snapToGrid w:val="0"/>
        <w:spacing w:before="0" w:beforeAutospacing="0" w:after="0" w:afterAutospacing="0" w:line="500" w:lineRule="exact"/>
        <w:ind w:firstLine="422" w:firstLineChars="200"/>
        <w:rPr>
          <w:rStyle w:val="50"/>
          <w:rFonts w:ascii="宋体" w:hAnsi="宋体" w:cs="宋体"/>
          <w:color w:val="auto"/>
          <w:sz w:val="21"/>
          <w:szCs w:val="21"/>
          <w:highlight w:val="none"/>
          <w:shd w:val="clear" w:color="auto" w:fill="FFFFFF"/>
        </w:rPr>
      </w:pPr>
      <w:bookmarkStart w:id="31" w:name="_Toc28359084"/>
      <w:bookmarkStart w:id="32" w:name="_Toc35393625"/>
      <w:bookmarkStart w:id="33" w:name="_Toc35393794"/>
      <w:bookmarkStart w:id="34" w:name="_Toc28359007"/>
      <w:r>
        <w:rPr>
          <w:rStyle w:val="50"/>
          <w:rFonts w:hint="eastAsia" w:ascii="宋体" w:hAnsi="宋体" w:cs="宋体"/>
          <w:color w:val="auto"/>
          <w:sz w:val="21"/>
          <w:szCs w:val="21"/>
          <w:highlight w:val="none"/>
          <w:shd w:val="clear" w:color="auto" w:fill="FFFFFF"/>
        </w:rPr>
        <w:t>公告期限</w:t>
      </w:r>
    </w:p>
    <w:p w14:paraId="7455F2CF">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自本公告发布之日起5个工作日。</w:t>
      </w:r>
    </w:p>
    <w:p w14:paraId="2A45088F">
      <w:pPr>
        <w:tabs>
          <w:tab w:val="left" w:pos="1260"/>
        </w:tabs>
        <w:autoSpaceDE/>
        <w:autoSpaceDN/>
        <w:snapToGrid w:val="0"/>
        <w:spacing w:line="500" w:lineRule="exact"/>
        <w:ind w:firstLine="422" w:firstLineChars="200"/>
        <w:rPr>
          <w:rFonts w:hAnsi="宋体" w:cs="宋体"/>
          <w:color w:val="auto"/>
          <w:highlight w:val="none"/>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bookmarkEnd w:id="8"/>
    <w:bookmarkEnd w:id="9"/>
    <w:bookmarkEnd w:id="10"/>
    <w:bookmarkEnd w:id="11"/>
    <w:bookmarkEnd w:id="23"/>
    <w:bookmarkEnd w:id="24"/>
    <w:bookmarkEnd w:id="25"/>
    <w:bookmarkEnd w:id="26"/>
    <w:bookmarkEnd w:id="31"/>
    <w:bookmarkEnd w:id="32"/>
    <w:bookmarkEnd w:id="33"/>
    <w:bookmarkEnd w:id="34"/>
    <w:p w14:paraId="6E3D07A7">
      <w:pPr>
        <w:tabs>
          <w:tab w:val="left" w:pos="1260"/>
        </w:tabs>
        <w:autoSpaceDE/>
        <w:autoSpaceDN/>
        <w:snapToGrid w:val="0"/>
        <w:spacing w:line="50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七、其他补充事宜</w:t>
      </w:r>
    </w:p>
    <w:p w14:paraId="2F0275C8">
      <w:pPr>
        <w:tabs>
          <w:tab w:val="left" w:pos="1260"/>
        </w:tabs>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33CF197">
      <w:pPr>
        <w:widowControl/>
        <w:tabs>
          <w:tab w:val="left" w:pos="1260"/>
        </w:tabs>
        <w:autoSpaceDE/>
        <w:autoSpaceDN/>
        <w:adjustRightInd/>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本项目未预留份额专门面向中小企业采购。采购单位、采购代理机构结合本项目实际，将对符合规定的小微企业报价给予10%的扣除，用扣除后的价格参加评审。 </w:t>
      </w:r>
    </w:p>
    <w:p w14:paraId="2AE9066E">
      <w:pPr>
        <w:tabs>
          <w:tab w:val="left" w:pos="1260"/>
        </w:tabs>
        <w:autoSpaceDE/>
        <w:autoSpaceDN/>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A8E40">
      <w:pPr>
        <w:pStyle w:val="43"/>
        <w:snapToGrid w:val="0"/>
        <w:spacing w:before="0" w:beforeAutospacing="0" w:after="0" w:afterAutospacing="0" w:line="500" w:lineRule="exact"/>
        <w:ind w:firstLine="420" w:firstLineChars="200"/>
        <w:rPr>
          <w:rStyle w:val="50"/>
          <w:rFonts w:ascii="宋体" w:hAnsi="宋体" w:cs="宋体"/>
          <w:b w:val="0"/>
          <w:bCs w:val="0"/>
          <w:color w:val="auto"/>
          <w:sz w:val="21"/>
          <w:szCs w:val="21"/>
          <w:highlight w:val="none"/>
          <w:shd w:val="clear" w:color="auto" w:fill="FFFFFF"/>
        </w:rPr>
      </w:pPr>
      <w:r>
        <w:rPr>
          <w:rFonts w:hint="eastAsia" w:ascii="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ascii="宋体" w:cs="宋体"/>
          <w:b/>
          <w:color w:val="auto"/>
          <w:sz w:val="21"/>
          <w:szCs w:val="21"/>
          <w:highlight w:val="none"/>
        </w:rPr>
        <w:t>需求</w:t>
      </w:r>
      <w:r>
        <w:rPr>
          <w:rFonts w:hint="eastAsia" w:ascii="宋体" w:cs="宋体"/>
          <w:bCs/>
          <w:color w:val="auto"/>
          <w:sz w:val="21"/>
          <w:szCs w:val="21"/>
          <w:highlight w:val="none"/>
        </w:rPr>
        <w:t>的以书面形式向采购人提出质疑，对</w:t>
      </w:r>
      <w:r>
        <w:rPr>
          <w:rFonts w:hint="eastAsia" w:ascii="宋体" w:cs="宋体"/>
          <w:b/>
          <w:color w:val="auto"/>
          <w:sz w:val="21"/>
          <w:szCs w:val="21"/>
          <w:highlight w:val="none"/>
        </w:rPr>
        <w:t>其他内容</w:t>
      </w:r>
      <w:r>
        <w:rPr>
          <w:rFonts w:hint="eastAsia" w:ascii="宋体"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572D2C0D">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4.其他事项：见招标文件。 </w:t>
      </w:r>
    </w:p>
    <w:p w14:paraId="151B87EE">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14:paraId="5507EF09">
      <w:pPr>
        <w:widowControl/>
        <w:tabs>
          <w:tab w:val="left" w:pos="1260"/>
        </w:tabs>
        <w:autoSpaceDE/>
        <w:autoSpaceDN/>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6712845">
      <w:pPr>
        <w:widowControl/>
        <w:tabs>
          <w:tab w:val="left" w:pos="1260"/>
        </w:tabs>
        <w:autoSpaceDE/>
        <w:autoSpaceDN/>
        <w:adjustRightInd/>
        <w:spacing w:line="500" w:lineRule="exact"/>
        <w:ind w:firstLine="420"/>
        <w:jc w:val="both"/>
        <w:rPr>
          <w:rFonts w:hAnsi="宋体" w:cs="宋体"/>
          <w:b/>
          <w:color w:val="auto"/>
          <w:sz w:val="21"/>
          <w:szCs w:val="21"/>
          <w:highlight w:val="none"/>
        </w:rPr>
      </w:pPr>
      <w:r>
        <w:rPr>
          <w:rFonts w:hint="eastAsia" w:hAnsi="宋体" w:cs="宋体"/>
          <w:b/>
          <w:color w:val="auto"/>
          <w:sz w:val="21"/>
          <w:szCs w:val="21"/>
          <w:highlight w:val="none"/>
        </w:rPr>
        <w:t>政府采购金融服务提示：</w:t>
      </w:r>
    </w:p>
    <w:p w14:paraId="5F407213">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为扩大政府采购金融服务面，除政采云网上金融服务合作银行外，金华市范围增加线下合作银行两家，具体信息如下：</w:t>
      </w:r>
    </w:p>
    <w:p w14:paraId="50ADBBA5">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金华银行文创支行    联系人：  姜峰       联系电话：13905792828      0579-82479020</w:t>
      </w:r>
    </w:p>
    <w:p w14:paraId="13495017">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浙商银行金华分行    联系人：  朱晨祥     联系电话： 15857978811     0579-82999581</w:t>
      </w:r>
    </w:p>
    <w:p w14:paraId="322917CA">
      <w:pPr>
        <w:pStyle w:val="43"/>
        <w:adjustRightInd w:val="0"/>
        <w:snapToGrid w:val="0"/>
        <w:spacing w:before="0" w:beforeAutospacing="0" w:after="0" w:afterAutospacing="0" w:line="500" w:lineRule="exact"/>
        <w:ind w:firstLine="422" w:firstLineChars="200"/>
        <w:rPr>
          <w:rFonts w:ascii="宋体" w:cs="宋体"/>
          <w:color w:val="auto"/>
          <w:sz w:val="21"/>
          <w:szCs w:val="21"/>
          <w:highlight w:val="none"/>
        </w:rPr>
      </w:pPr>
      <w:r>
        <w:rPr>
          <w:rStyle w:val="50"/>
          <w:rFonts w:hint="eastAsia" w:ascii="宋体" w:hAnsi="宋体" w:cs="宋体"/>
          <w:color w:val="auto"/>
          <w:sz w:val="21"/>
          <w:szCs w:val="21"/>
          <w:highlight w:val="none"/>
          <w:shd w:val="clear" w:color="auto" w:fill="FFFFFF"/>
        </w:rPr>
        <w:t>八、电子投标事项特别说明</w:t>
      </w:r>
    </w:p>
    <w:p w14:paraId="0DFAB11A">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1.本项目实行电子投标，投标人应按照本项目采购文件和政采云平台的要求编制、加密并递交响应文件。投标人在使用系统进行投标的过程中遇到涉及平台使用的任何问题，可致电政采云平台技术支持热线咨询，联系方式：95763。</w:t>
      </w:r>
    </w:p>
    <w:p w14:paraId="2832A354">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2.投标人应在开标前完成 CA 数字证书办理。完成 CA 数字证书办理预计一周左右，建议各投标人抓紧时间办理。</w:t>
      </w:r>
    </w:p>
    <w:p w14:paraId="2A9E423E">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3.投标人通过政采云平台“电子交易客户端”制作响应文件，电子投标工具请投标人自行前往浙江省政府采购网下载并安装。</w:t>
      </w:r>
    </w:p>
    <w:p w14:paraId="45819714">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4.投标人将加密的电子版响应文件于投标截止时间前上传到政采云系统中。</w:t>
      </w:r>
    </w:p>
    <w:p w14:paraId="407CE73A">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2F0ACB42">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注：建议使用谷歌浏览器，使用其他浏览器可能发生无法解密等未知情况。</w:t>
      </w:r>
    </w:p>
    <w:p w14:paraId="29F0F11A">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14F7969F">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九、对本次招标提出询问，请按以下方式联系。</w:t>
      </w:r>
    </w:p>
    <w:p w14:paraId="48B4FF2B">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1.采购人信息</w:t>
      </w:r>
    </w:p>
    <w:p w14:paraId="6D89216D">
      <w:pPr>
        <w:widowControl/>
        <w:autoSpaceDE/>
        <w:autoSpaceDN/>
        <w:adjustRightIn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名称：金华市婺城区水务局</w:t>
      </w:r>
    </w:p>
    <w:p w14:paraId="0DA21EC7">
      <w:pPr>
        <w:widowControl/>
        <w:autoSpaceDE/>
        <w:autoSpaceDN/>
        <w:adjustRightIn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地址：金华市宾虹西路2666号婺城区政府北楼四楼</w:t>
      </w:r>
    </w:p>
    <w:p w14:paraId="44CD814C">
      <w:pPr>
        <w:widowControl/>
        <w:autoSpaceDE/>
        <w:autoSpaceDN/>
        <w:adjustRightIn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hAnsi="宋体" w:cs="宋体"/>
          <w:color w:val="auto"/>
          <w:sz w:val="21"/>
          <w:szCs w:val="21"/>
          <w:highlight w:val="none"/>
          <w:lang w:val="en-US" w:eastAsia="zh-CN"/>
        </w:rPr>
        <w:t xml:space="preserve">王广元  </w:t>
      </w:r>
      <w:r>
        <w:rPr>
          <w:rFonts w:hint="eastAsia" w:ascii="宋体" w:hAnsi="宋体" w:eastAsia="宋体" w:cs="宋体"/>
          <w:color w:val="auto"/>
          <w:sz w:val="21"/>
          <w:szCs w:val="21"/>
          <w:highlight w:val="none"/>
        </w:rPr>
        <w:t xml:space="preserve"> </w:t>
      </w:r>
    </w:p>
    <w:p w14:paraId="578654E4">
      <w:pPr>
        <w:widowControl/>
        <w:autoSpaceDE/>
        <w:autoSpaceDN/>
        <w:adjustRightInd/>
        <w:spacing w:line="480" w:lineRule="exact"/>
        <w:ind w:firstLine="420"/>
        <w:jc w:val="both"/>
        <w:textAlignment w:val="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项目联系方式（询问）：0579-82467280</w:t>
      </w:r>
      <w:r>
        <w:rPr>
          <w:rFonts w:hint="eastAsia" w:hAnsi="宋体" w:cs="宋体"/>
          <w:color w:val="auto"/>
          <w:sz w:val="21"/>
          <w:szCs w:val="21"/>
          <w:highlight w:val="none"/>
          <w:lang w:val="en-US" w:eastAsia="zh-CN"/>
        </w:rPr>
        <w:t xml:space="preserve">  </w:t>
      </w:r>
    </w:p>
    <w:p w14:paraId="31075EFC">
      <w:pPr>
        <w:widowControl/>
        <w:autoSpaceDE/>
        <w:autoSpaceDN/>
        <w:adjustRightIn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项目联系人（质疑）：</w:t>
      </w:r>
      <w:r>
        <w:rPr>
          <w:rFonts w:hint="eastAsia" w:hAnsi="宋体" w:cs="宋体"/>
          <w:color w:val="auto"/>
          <w:sz w:val="21"/>
          <w:szCs w:val="21"/>
          <w:highlight w:val="none"/>
          <w:lang w:val="en-US" w:eastAsia="zh-CN"/>
        </w:rPr>
        <w:t>邵伟华</w:t>
      </w:r>
      <w:r>
        <w:rPr>
          <w:rFonts w:hint="eastAsia" w:ascii="宋体" w:hAnsi="宋体" w:eastAsia="宋体" w:cs="宋体"/>
          <w:color w:val="auto"/>
          <w:sz w:val="21"/>
          <w:szCs w:val="21"/>
          <w:highlight w:val="none"/>
        </w:rPr>
        <w:t>　　　　　</w:t>
      </w:r>
    </w:p>
    <w:p w14:paraId="06D5B70E">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ascii="宋体" w:hAnsi="宋体" w:eastAsia="宋体" w:cs="宋体"/>
          <w:color w:val="auto"/>
          <w:sz w:val="21"/>
          <w:szCs w:val="21"/>
          <w:highlight w:val="none"/>
        </w:rPr>
        <w:t>项目联系方式（质疑）：0579-82466350</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w:t>
      </w:r>
    </w:p>
    <w:p w14:paraId="13056CB7">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2.采购代理机构信息</w:t>
      </w:r>
    </w:p>
    <w:p w14:paraId="0251DB0C">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名称：金华市天盈招标代理有限公司 　　　　　　　　　　　</w:t>
      </w:r>
    </w:p>
    <w:p w14:paraId="5B08C336">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地址：金华市婺城区建业东路168号 　   </w:t>
      </w:r>
    </w:p>
    <w:p w14:paraId="067932A3">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传真：0579-82460882   　</w:t>
      </w:r>
    </w:p>
    <w:p w14:paraId="162E29C7">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项目联系人（询问）：</w:t>
      </w:r>
      <w:r>
        <w:rPr>
          <w:rFonts w:hint="eastAsia" w:hAnsi="宋体" w:cs="宋体"/>
          <w:color w:val="auto"/>
          <w:sz w:val="21"/>
          <w:szCs w:val="21"/>
          <w:highlight w:val="none"/>
          <w:lang w:val="en-US" w:eastAsia="zh-CN"/>
        </w:rPr>
        <w:t>俞卉</w:t>
      </w:r>
      <w:r>
        <w:rPr>
          <w:rFonts w:hint="eastAsia" w:hAnsi="宋体" w:cs="宋体"/>
          <w:color w:val="auto"/>
          <w:sz w:val="21"/>
          <w:szCs w:val="21"/>
          <w:highlight w:val="none"/>
        </w:rPr>
        <w:t>　   　　　　　　　　　　　</w:t>
      </w:r>
    </w:p>
    <w:p w14:paraId="45701AB8">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项目联系方式（询问）：0579-81338925、82162067　</w:t>
      </w:r>
    </w:p>
    <w:p w14:paraId="5667DBB1">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outlineLvl w:val="1"/>
        <w:rPr>
          <w:rFonts w:hint="eastAsia" w:hAnsi="宋体" w:cs="宋体"/>
          <w:color w:val="auto"/>
          <w:sz w:val="21"/>
          <w:szCs w:val="21"/>
          <w:highlight w:val="none"/>
        </w:rPr>
      </w:pPr>
      <w:r>
        <w:rPr>
          <w:rFonts w:hint="eastAsia" w:hAnsi="宋体" w:cs="宋体"/>
          <w:color w:val="auto"/>
          <w:sz w:val="21"/>
          <w:szCs w:val="21"/>
          <w:highlight w:val="none"/>
        </w:rPr>
        <w:t>项目质疑联系人：夏翰宇</w:t>
      </w:r>
      <w:r>
        <w:rPr>
          <w:rFonts w:hint="eastAsia" w:hAnsi="宋体" w:cs="宋体"/>
          <w:bCs/>
          <w:color w:val="auto"/>
          <w:sz w:val="21"/>
          <w:szCs w:val="21"/>
          <w:highlight w:val="none"/>
        </w:rPr>
        <w:t xml:space="preserve"> </w:t>
      </w:r>
      <w:r>
        <w:rPr>
          <w:rFonts w:hint="eastAsia" w:hAnsi="宋体" w:cs="宋体"/>
          <w:color w:val="auto"/>
          <w:sz w:val="21"/>
          <w:szCs w:val="21"/>
          <w:highlight w:val="none"/>
        </w:rPr>
        <w:t>  　　　　　　　　　　</w:t>
      </w:r>
    </w:p>
    <w:p w14:paraId="62689B30">
      <w:pPr>
        <w:keepNext w:val="0"/>
        <w:keepLines w:val="0"/>
        <w:pageBreakBefore w:val="0"/>
        <w:tabs>
          <w:tab w:val="left" w:pos="1260"/>
        </w:tabs>
        <w:kinsoku/>
        <w:wordWrap/>
        <w:overflowPunct/>
        <w:topLinePunct w:val="0"/>
        <w:autoSpaceDE/>
        <w:autoSpaceDN/>
        <w:bidi w:val="0"/>
        <w:snapToGrid w:val="0"/>
        <w:spacing w:line="500" w:lineRule="exact"/>
        <w:ind w:firstLine="420" w:firstLineChars="200"/>
        <w:textAlignment w:val="auto"/>
        <w:outlineLvl w:val="1"/>
        <w:rPr>
          <w:rFonts w:hint="eastAsia" w:hAnsi="宋体" w:cs="宋体"/>
          <w:color w:val="auto"/>
          <w:sz w:val="21"/>
          <w:szCs w:val="21"/>
          <w:highlight w:val="none"/>
        </w:rPr>
      </w:pPr>
      <w:r>
        <w:rPr>
          <w:rFonts w:hint="eastAsia" w:hAnsi="宋体" w:cs="宋体"/>
          <w:color w:val="auto"/>
          <w:sz w:val="21"/>
          <w:szCs w:val="21"/>
          <w:highlight w:val="none"/>
        </w:rPr>
        <w:t>项目质疑联系方式：0579-82474058</w:t>
      </w:r>
    </w:p>
    <w:p w14:paraId="4DBCD9DF">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3.同级政府采购监督管理部门</w:t>
      </w:r>
    </w:p>
    <w:p w14:paraId="6582A6EF">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名称：金华市婺城区财政局政府采购监督管理办公室　　　　　　　　　　　</w:t>
      </w:r>
    </w:p>
    <w:p w14:paraId="32EAA729">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地址：金华市宾虹西路2666号 　　　　　　　　　　　 　   </w:t>
      </w:r>
    </w:p>
    <w:p w14:paraId="242773F8">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联系人 ：李老师　　　　　　　　　　　</w:t>
      </w:r>
    </w:p>
    <w:p w14:paraId="03F558F1">
      <w:pPr>
        <w:pStyle w:val="43"/>
        <w:adjustRightInd w:val="0"/>
        <w:snapToGrid w:val="0"/>
        <w:spacing w:before="0" w:beforeAutospacing="0" w:after="0" w:afterAutospacing="0" w:line="500" w:lineRule="exact"/>
        <w:ind w:firstLine="420" w:firstLineChars="200"/>
        <w:rPr>
          <w:rStyle w:val="50"/>
          <w:rFonts w:ascii="宋体" w:hAnsi="宋体" w:cs="宋体"/>
          <w:color w:val="auto"/>
          <w:sz w:val="21"/>
          <w:szCs w:val="21"/>
          <w:highlight w:val="none"/>
          <w:shd w:val="clear" w:color="auto" w:fill="FFFFFF"/>
        </w:rPr>
      </w:pPr>
      <w:r>
        <w:rPr>
          <w:rFonts w:hint="eastAsia" w:ascii="宋体" w:cs="宋体"/>
          <w:color w:val="auto"/>
          <w:sz w:val="21"/>
          <w:szCs w:val="21"/>
          <w:highlight w:val="none"/>
        </w:rPr>
        <w:t>监督投诉电话：0579-82487292　　</w:t>
      </w:r>
    </w:p>
    <w:p w14:paraId="10CBEEC9">
      <w:pPr>
        <w:rPr>
          <w:rStyle w:val="50"/>
          <w:rFonts w:ascii="宋体" w:hAnsi="宋体" w:cs="宋体"/>
          <w:color w:val="auto"/>
          <w:sz w:val="21"/>
          <w:szCs w:val="21"/>
          <w:highlight w:val="none"/>
          <w:shd w:val="clear" w:color="auto" w:fill="FFFFFF"/>
        </w:rPr>
      </w:pPr>
      <w:bookmarkStart w:id="35" w:name="_Toc351559941"/>
      <w:r>
        <w:rPr>
          <w:rStyle w:val="50"/>
          <w:rFonts w:hint="eastAsia" w:ascii="宋体" w:hAnsi="宋体" w:cs="宋体"/>
          <w:color w:val="auto"/>
          <w:sz w:val="21"/>
          <w:szCs w:val="21"/>
          <w:highlight w:val="none"/>
          <w:shd w:val="clear" w:color="auto" w:fill="FFFFFF"/>
        </w:rPr>
        <w:br w:type="page"/>
      </w:r>
    </w:p>
    <w:p w14:paraId="5FD5D5B7">
      <w:pPr>
        <w:pStyle w:val="2"/>
        <w:keepNext w:val="0"/>
        <w:snapToGrid w:val="0"/>
        <w:spacing w:line="50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35"/>
    </w:p>
    <w:p w14:paraId="05A5907E">
      <w:pPr>
        <w:keepNext w:val="0"/>
        <w:keepLines w:val="0"/>
        <w:pageBreakBefore w:val="0"/>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bookmarkStart w:id="36" w:name="_Toc16467"/>
      <w:bookmarkStart w:id="37" w:name="_Toc487792301"/>
      <w:bookmarkStart w:id="38" w:name="_Toc25588"/>
      <w:bookmarkStart w:id="39" w:name="_Toc32525"/>
      <w:bookmarkStart w:id="40" w:name="_Toc487792261"/>
      <w:bookmarkStart w:id="41" w:name="_Toc351559942"/>
      <w:r>
        <w:rPr>
          <w:rFonts w:hint="eastAsia" w:ascii="宋体" w:hAnsi="宋体" w:eastAsia="宋体" w:cs="宋体"/>
          <w:b/>
          <w:color w:val="auto"/>
          <w:sz w:val="21"/>
          <w:szCs w:val="21"/>
          <w:highlight w:val="none"/>
        </w:rPr>
        <w:t>一、采购内容</w:t>
      </w:r>
      <w:r>
        <w:rPr>
          <w:rFonts w:hint="eastAsia" w:ascii="宋体" w:hAnsi="宋体" w:eastAsia="宋体" w:cs="宋体"/>
          <w:b/>
          <w:color w:val="auto"/>
          <w:sz w:val="21"/>
          <w:szCs w:val="21"/>
          <w:highlight w:val="none"/>
          <w:lang w:val="en-US" w:eastAsia="zh-CN"/>
        </w:rPr>
        <w:t>简介</w:t>
      </w:r>
      <w:r>
        <w:rPr>
          <w:rFonts w:hint="eastAsia" w:ascii="宋体" w:hAnsi="宋体" w:eastAsia="宋体" w:cs="宋体"/>
          <w:b/>
          <w:color w:val="auto"/>
          <w:sz w:val="21"/>
          <w:szCs w:val="21"/>
          <w:highlight w:val="none"/>
        </w:rPr>
        <w:t>及</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预算</w:t>
      </w:r>
    </w:p>
    <w:tbl>
      <w:tblPr>
        <w:tblStyle w:val="47"/>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69"/>
        <w:gridCol w:w="4835"/>
        <w:gridCol w:w="1060"/>
        <w:gridCol w:w="1611"/>
      </w:tblGrid>
      <w:tr w14:paraId="4C01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97" w:type="dxa"/>
            <w:noWrap w:val="0"/>
            <w:vAlign w:val="center"/>
          </w:tcPr>
          <w:p w14:paraId="050454A8">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1569" w:type="dxa"/>
            <w:noWrap w:val="0"/>
            <w:vAlign w:val="center"/>
          </w:tcPr>
          <w:p w14:paraId="5F142AB4">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采购内容</w:t>
            </w:r>
          </w:p>
        </w:tc>
        <w:tc>
          <w:tcPr>
            <w:tcW w:w="4835" w:type="dxa"/>
            <w:noWrap w:val="0"/>
            <w:vAlign w:val="center"/>
          </w:tcPr>
          <w:p w14:paraId="5C8DD211">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服务要求</w:t>
            </w:r>
          </w:p>
        </w:tc>
        <w:tc>
          <w:tcPr>
            <w:tcW w:w="1060" w:type="dxa"/>
            <w:noWrap w:val="0"/>
            <w:vAlign w:val="center"/>
          </w:tcPr>
          <w:p w14:paraId="72E42276">
            <w:pPr>
              <w:snapToGrid w:val="0"/>
              <w:spacing w:line="360" w:lineRule="exact"/>
              <w:jc w:val="center"/>
              <w:rPr>
                <w:rFonts w:hint="eastAsia" w:hAnsi="宋体" w:cs="宋体"/>
                <w:color w:val="auto"/>
                <w:sz w:val="21"/>
                <w:szCs w:val="21"/>
                <w:highlight w:val="none"/>
              </w:rPr>
            </w:pPr>
            <w:r>
              <w:rPr>
                <w:rFonts w:hint="eastAsia" w:hAnsi="宋体"/>
                <w:color w:val="auto"/>
                <w:sz w:val="21"/>
                <w:szCs w:val="21"/>
                <w:highlight w:val="none"/>
                <w:lang w:val="en-US" w:eastAsia="zh-CN"/>
              </w:rPr>
              <w:t>数量</w:t>
            </w:r>
          </w:p>
        </w:tc>
        <w:tc>
          <w:tcPr>
            <w:tcW w:w="1611" w:type="dxa"/>
            <w:noWrap w:val="0"/>
            <w:vAlign w:val="center"/>
          </w:tcPr>
          <w:p w14:paraId="60F76953">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预算金额</w:t>
            </w:r>
          </w:p>
          <w:p w14:paraId="4C80D814">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（人民币）</w:t>
            </w:r>
          </w:p>
        </w:tc>
      </w:tr>
      <w:tr w14:paraId="1DCB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97" w:type="dxa"/>
            <w:noWrap w:val="0"/>
            <w:vAlign w:val="center"/>
          </w:tcPr>
          <w:p w14:paraId="579B561D">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569" w:type="dxa"/>
            <w:noWrap w:val="0"/>
            <w:vAlign w:val="center"/>
          </w:tcPr>
          <w:p w14:paraId="283720D5">
            <w:pPr>
              <w:tabs>
                <w:tab w:val="left" w:pos="1260"/>
              </w:tabs>
              <w:autoSpaceDE/>
              <w:autoSpaceDN/>
              <w:adjustRightInd/>
              <w:snapToGrid w:val="0"/>
              <w:spacing w:line="50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2025年婺城区单村供水物业化管理项目</w:t>
            </w:r>
          </w:p>
        </w:tc>
        <w:tc>
          <w:tcPr>
            <w:tcW w:w="4835" w:type="dxa"/>
            <w:noWrap w:val="0"/>
            <w:vAlign w:val="center"/>
          </w:tcPr>
          <w:p w14:paraId="29FDF389">
            <w:pPr>
              <w:tabs>
                <w:tab w:val="left" w:pos="1260"/>
              </w:tabs>
              <w:autoSpaceDE/>
              <w:autoSpaceDN/>
              <w:adjustRightInd/>
              <w:spacing w:line="460" w:lineRule="exact"/>
              <w:rPr>
                <w:rFonts w:hint="eastAsia"/>
                <w:color w:val="auto"/>
                <w:highlight w:val="none"/>
              </w:rPr>
            </w:pPr>
            <w:r>
              <w:rPr>
                <w:rFonts w:hint="eastAsia" w:hAnsi="宋体" w:cs="宋体"/>
                <w:bCs/>
                <w:color w:val="auto"/>
                <w:sz w:val="21"/>
                <w:szCs w:val="21"/>
                <w:highlight w:val="none"/>
                <w:lang w:eastAsia="zh-CN"/>
              </w:rPr>
              <w:t>2025年</w:t>
            </w:r>
            <w:r>
              <w:rPr>
                <w:rFonts w:hint="eastAsia" w:hAnsi="宋体" w:cs="宋体"/>
                <w:bCs/>
                <w:color w:val="auto"/>
                <w:sz w:val="21"/>
                <w:szCs w:val="21"/>
                <w:highlight w:val="none"/>
              </w:rPr>
              <w:t>婺城区单村供水物业化管理项目共包含婺城区8个乡镇</w:t>
            </w:r>
            <w:r>
              <w:rPr>
                <w:rFonts w:hint="eastAsia" w:hAnsi="宋体" w:cs="宋体"/>
                <w:bCs/>
                <w:color w:val="auto"/>
                <w:sz w:val="21"/>
                <w:szCs w:val="21"/>
                <w:highlight w:val="none"/>
                <w:lang w:val="en-US" w:eastAsia="zh-CN"/>
              </w:rPr>
              <w:t>64</w:t>
            </w:r>
            <w:r>
              <w:rPr>
                <w:rFonts w:hint="eastAsia" w:hAnsi="宋体" w:cs="宋体"/>
                <w:bCs/>
                <w:color w:val="auto"/>
                <w:sz w:val="21"/>
                <w:szCs w:val="21"/>
                <w:highlight w:val="none"/>
              </w:rPr>
              <w:t>个行政村</w:t>
            </w:r>
            <w:r>
              <w:rPr>
                <w:rFonts w:hint="eastAsia" w:hAnsi="宋体" w:cs="宋体"/>
                <w:bCs/>
                <w:color w:val="auto"/>
                <w:sz w:val="21"/>
                <w:szCs w:val="21"/>
                <w:highlight w:val="none"/>
                <w:lang w:val="en-US" w:eastAsia="zh-CN"/>
              </w:rPr>
              <w:t>115</w:t>
            </w:r>
            <w:r>
              <w:rPr>
                <w:rFonts w:hint="eastAsia" w:hAnsi="宋体" w:cs="宋体"/>
                <w:bCs/>
                <w:color w:val="auto"/>
                <w:sz w:val="21"/>
                <w:szCs w:val="21"/>
                <w:highlight w:val="none"/>
              </w:rPr>
              <w:t>个单村</w:t>
            </w:r>
            <w:r>
              <w:rPr>
                <w:rFonts w:hint="eastAsia" w:hAnsi="宋体" w:cs="宋体"/>
                <w:bCs/>
                <w:color w:val="auto"/>
                <w:sz w:val="21"/>
                <w:szCs w:val="21"/>
                <w:highlight w:val="none"/>
              </w:rPr>
              <w:t>（联村）水站的运行维护，分布在婺城区各个乡镇。服务期限</w:t>
            </w:r>
            <w:r>
              <w:rPr>
                <w:rFonts w:hint="eastAsia" w:hAnsi="宋体" w:cs="宋体"/>
                <w:bCs/>
                <w:color w:val="auto"/>
                <w:sz w:val="21"/>
                <w:szCs w:val="21"/>
                <w:highlight w:val="none"/>
                <w:lang w:val="en-US" w:eastAsia="zh-CN"/>
              </w:rPr>
              <w:t>壹</w:t>
            </w:r>
            <w:r>
              <w:rPr>
                <w:rFonts w:hint="eastAsia" w:hAnsi="宋体" w:cs="宋体"/>
                <w:bCs/>
                <w:color w:val="auto"/>
                <w:sz w:val="21"/>
                <w:szCs w:val="21"/>
                <w:highlight w:val="none"/>
              </w:rPr>
              <w:t>年</w:t>
            </w:r>
            <w:r>
              <w:rPr>
                <w:rFonts w:hint="eastAsia" w:hAnsi="宋体" w:cs="宋体"/>
                <w:color w:val="auto"/>
                <w:sz w:val="21"/>
                <w:szCs w:val="21"/>
                <w:highlight w:val="none"/>
                <w:lang w:eastAsia="zh-CN"/>
              </w:rPr>
              <w:t>。</w:t>
            </w:r>
            <w:r>
              <w:rPr>
                <w:rFonts w:hint="eastAsia" w:hAnsi="宋体"/>
                <w:color w:val="auto"/>
                <w:sz w:val="21"/>
                <w:szCs w:val="21"/>
                <w:highlight w:val="none"/>
              </w:rPr>
              <w:t>具体要求详见“第二</w:t>
            </w:r>
            <w:r>
              <w:rPr>
                <w:rFonts w:hint="eastAsia" w:hAnsi="宋体"/>
                <w:color w:val="auto"/>
                <w:sz w:val="21"/>
                <w:szCs w:val="21"/>
                <w:highlight w:val="none"/>
                <w:lang w:val="en-US" w:eastAsia="zh-CN"/>
              </w:rPr>
              <w:t>章</w:t>
            </w:r>
            <w:r>
              <w:rPr>
                <w:rFonts w:hint="eastAsia" w:hAnsi="宋体"/>
                <w:color w:val="auto"/>
                <w:sz w:val="21"/>
                <w:szCs w:val="21"/>
                <w:highlight w:val="none"/>
              </w:rPr>
              <w:t xml:space="preserve">  采购需求”。</w:t>
            </w:r>
          </w:p>
        </w:tc>
        <w:tc>
          <w:tcPr>
            <w:tcW w:w="1060" w:type="dxa"/>
            <w:noWrap w:val="0"/>
            <w:vAlign w:val="center"/>
          </w:tcPr>
          <w:p w14:paraId="0B7EE92D">
            <w:pPr>
              <w:tabs>
                <w:tab w:val="left" w:pos="1260"/>
              </w:tabs>
              <w:autoSpaceDE/>
              <w:autoSpaceDN/>
              <w:adjustRightInd/>
              <w:snapToGrid w:val="0"/>
              <w:spacing w:line="500" w:lineRule="exact"/>
              <w:jc w:val="center"/>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1项</w:t>
            </w:r>
          </w:p>
        </w:tc>
        <w:tc>
          <w:tcPr>
            <w:tcW w:w="1611" w:type="dxa"/>
            <w:noWrap w:val="0"/>
            <w:vAlign w:val="center"/>
          </w:tcPr>
          <w:p w14:paraId="0D864A7A">
            <w:pPr>
              <w:tabs>
                <w:tab w:val="left" w:pos="1260"/>
              </w:tabs>
              <w:autoSpaceDE/>
              <w:autoSpaceDN/>
              <w:adjustRightInd/>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lang w:eastAsia="zh-CN"/>
              </w:rPr>
              <w:t>406.82万元</w:t>
            </w:r>
          </w:p>
        </w:tc>
      </w:tr>
    </w:tbl>
    <w:p w14:paraId="6301B82A">
      <w:pPr>
        <w:keepNext w:val="0"/>
        <w:keepLines w:val="0"/>
        <w:pageBreakBefore w:val="0"/>
        <w:numPr>
          <w:ilvl w:val="0"/>
          <w:numId w:val="0"/>
        </w:numPr>
        <w:kinsoku/>
        <w:wordWrap/>
        <w:overflowPunct/>
        <w:topLinePunct w:val="0"/>
        <w:bidi w:val="0"/>
        <w:snapToGrid w:val="0"/>
        <w:spacing w:line="500" w:lineRule="exact"/>
        <w:ind w:left="0" w:leftChars="0" w:firstLine="422" w:firstLineChars="200"/>
        <w:outlineLvl w:val="9"/>
        <w:rPr>
          <w:rFonts w:hint="eastAsia" w:ascii="宋体" w:hAnsi="宋体" w:eastAsia="宋体" w:cs="宋体"/>
          <w:b w:val="0"/>
          <w:bCs w:val="0"/>
          <w:color w:val="auto"/>
          <w:sz w:val="21"/>
          <w:szCs w:val="21"/>
          <w:highlight w:val="none"/>
          <w:lang w:val="en-US" w:eastAsia="zh-CN"/>
        </w:rPr>
      </w:pPr>
      <w:bookmarkStart w:id="42" w:name="_Toc120115114"/>
      <w:r>
        <w:rPr>
          <w:rFonts w:hint="eastAsia" w:ascii="宋体" w:hAnsi="宋体" w:eastAsia="宋体" w:cs="宋体"/>
          <w:b/>
          <w:bCs/>
          <w:color w:val="auto"/>
          <w:sz w:val="21"/>
          <w:szCs w:val="21"/>
          <w:highlight w:val="none"/>
          <w:lang w:val="en-US" w:eastAsia="zh-CN"/>
        </w:rPr>
        <w:t>二、项目概况</w:t>
      </w:r>
    </w:p>
    <w:p w14:paraId="57A56F5D">
      <w:pPr>
        <w:keepNext w:val="0"/>
        <w:keepLines w:val="0"/>
        <w:pageBreakBefore w:val="0"/>
        <w:numPr>
          <w:ilvl w:val="0"/>
          <w:numId w:val="0"/>
        </w:numPr>
        <w:kinsoku/>
        <w:wordWrap/>
        <w:overflowPunct/>
        <w:topLinePunct w:val="0"/>
        <w:bidi w:val="0"/>
        <w:snapToGrid w:val="0"/>
        <w:spacing w:line="500" w:lineRule="exact"/>
        <w:ind w:left="0"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根据浙江省水利厅关于印发《浙江省农村供水县级统管实施细则（试行）》的通知（浙农水电〔2022〕28号）和</w:t>
      </w:r>
      <w:r>
        <w:rPr>
          <w:rFonts w:hint="eastAsia" w:hAnsi="宋体" w:cs="宋体"/>
          <w:b w:val="0"/>
          <w:bCs w:val="0"/>
          <w:color w:val="auto"/>
          <w:sz w:val="21"/>
          <w:szCs w:val="21"/>
          <w:highlight w:val="none"/>
          <w:lang w:val="en-US" w:eastAsia="zh-CN"/>
        </w:rPr>
        <w:t>《浙江省人民政府办公厅关于加快推进单村水站改造提升保障农村饮水安全的实施意见》浙政办发【2023】51号文件</w:t>
      </w:r>
      <w:r>
        <w:rPr>
          <w:rFonts w:hint="eastAsia" w:ascii="宋体" w:hAnsi="宋体" w:eastAsia="宋体" w:cs="宋体"/>
          <w:b w:val="0"/>
          <w:bCs w:val="0"/>
          <w:color w:val="auto"/>
          <w:sz w:val="21"/>
          <w:szCs w:val="21"/>
          <w:highlight w:val="none"/>
          <w:lang w:val="en-US" w:eastAsia="zh-CN"/>
        </w:rPr>
        <w:t>要求，婺城区水务局拟通过政府采购的方式确定一家供应商承接“婺城区单村供水物业化管理服务项目”。</w:t>
      </w:r>
    </w:p>
    <w:p w14:paraId="67EF485F">
      <w:pPr>
        <w:keepNext w:val="0"/>
        <w:keepLines w:val="0"/>
        <w:pageBreakBefore w:val="0"/>
        <w:numPr>
          <w:ilvl w:val="0"/>
          <w:numId w:val="0"/>
        </w:numPr>
        <w:kinsoku/>
        <w:wordWrap/>
        <w:overflowPunct/>
        <w:topLinePunct w:val="0"/>
        <w:bidi w:val="0"/>
        <w:snapToGrid w:val="0"/>
        <w:spacing w:line="500" w:lineRule="exact"/>
        <w:ind w:left="0" w:leftChars="0" w:firstLine="422" w:firstLineChars="20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bookmarkEnd w:id="42"/>
      <w:r>
        <w:rPr>
          <w:rFonts w:hint="eastAsia" w:ascii="宋体" w:hAnsi="宋体" w:eastAsia="宋体" w:cs="宋体"/>
          <w:b/>
          <w:bCs/>
          <w:color w:val="auto"/>
          <w:sz w:val="21"/>
          <w:szCs w:val="21"/>
          <w:highlight w:val="none"/>
          <w:lang w:val="en-US" w:eastAsia="zh-CN"/>
        </w:rPr>
        <w:t>服务范围</w:t>
      </w:r>
    </w:p>
    <w:p w14:paraId="0B26F5F5">
      <w:pPr>
        <w:tabs>
          <w:tab w:val="left" w:pos="270"/>
        </w:tabs>
        <w:spacing w:afterLines="0" w:line="500" w:lineRule="exact"/>
        <w:ind w:firstLine="420" w:firstLineChars="200"/>
        <w:jc w:val="both"/>
        <w:textAlignment w:val="auto"/>
        <w:rPr>
          <w:rFonts w:hint="eastAsia" w:ascii="宋体" w:hAnsi="宋体" w:eastAsia="宋体" w:cs="宋体"/>
          <w:b/>
          <w:color w:val="auto"/>
          <w:sz w:val="21"/>
          <w:szCs w:val="21"/>
          <w:highlight w:val="none"/>
          <w:lang w:val="en-US" w:eastAsia="zh-CN"/>
        </w:rPr>
      </w:pPr>
      <w:r>
        <w:rPr>
          <w:rFonts w:hint="eastAsia" w:hAnsi="宋体" w:cs="宋体"/>
          <w:color w:val="auto"/>
          <w:sz w:val="21"/>
          <w:szCs w:val="21"/>
          <w:highlight w:val="none"/>
        </w:rPr>
        <w:t>婺城区8个乡镇</w:t>
      </w:r>
      <w:r>
        <w:rPr>
          <w:rFonts w:hint="eastAsia" w:hAnsi="宋体" w:cs="宋体"/>
          <w:color w:val="auto"/>
          <w:sz w:val="21"/>
          <w:szCs w:val="21"/>
          <w:highlight w:val="none"/>
          <w:lang w:val="en-US" w:eastAsia="zh-CN"/>
        </w:rPr>
        <w:t>64</w:t>
      </w:r>
      <w:r>
        <w:rPr>
          <w:rFonts w:hint="eastAsia" w:hAnsi="宋体" w:cs="宋体"/>
          <w:color w:val="auto"/>
          <w:sz w:val="21"/>
          <w:szCs w:val="21"/>
          <w:highlight w:val="none"/>
        </w:rPr>
        <w:t>个行政村</w:t>
      </w:r>
      <w:r>
        <w:rPr>
          <w:rFonts w:hint="eastAsia" w:hAnsi="宋体" w:cs="宋体"/>
          <w:color w:val="auto"/>
          <w:sz w:val="21"/>
          <w:szCs w:val="21"/>
          <w:highlight w:val="none"/>
          <w:lang w:val="en-US" w:eastAsia="zh-CN"/>
        </w:rPr>
        <w:t>115</w:t>
      </w:r>
      <w:r>
        <w:rPr>
          <w:rFonts w:hint="eastAsia" w:hAnsi="宋体" w:cs="宋体"/>
          <w:color w:val="auto"/>
          <w:sz w:val="21"/>
          <w:szCs w:val="21"/>
          <w:highlight w:val="none"/>
        </w:rPr>
        <w:t>个单村</w:t>
      </w:r>
      <w:r>
        <w:rPr>
          <w:rFonts w:hint="eastAsia" w:hAnsi="宋体" w:cs="宋体"/>
          <w:color w:val="auto"/>
          <w:sz w:val="21"/>
          <w:szCs w:val="21"/>
          <w:highlight w:val="none"/>
        </w:rPr>
        <w:t>（联村）水站，从取水口到村口供水主管，</w:t>
      </w:r>
      <w:r>
        <w:rPr>
          <w:rFonts w:hint="eastAsia" w:hAnsi="宋体" w:cs="宋体"/>
          <w:color w:val="auto"/>
          <w:sz w:val="21"/>
          <w:szCs w:val="21"/>
          <w:highlight w:val="none"/>
        </w:rPr>
        <w:t>主要包括</w:t>
      </w:r>
      <w:r>
        <w:rPr>
          <w:rFonts w:hint="eastAsia" w:hAnsi="宋体" w:cs="宋体"/>
          <w:color w:val="auto"/>
          <w:sz w:val="21"/>
          <w:szCs w:val="21"/>
          <w:highlight w:val="none"/>
          <w:lang w:eastAsia="zh-CN"/>
        </w:rPr>
        <w:t>①</w:t>
      </w:r>
      <w:r>
        <w:rPr>
          <w:rFonts w:hint="eastAsia" w:hAnsi="宋体" w:cs="宋体"/>
          <w:color w:val="auto"/>
          <w:sz w:val="21"/>
          <w:szCs w:val="21"/>
          <w:highlight w:val="none"/>
        </w:rPr>
        <w:t>取水口、净水设备、水质</w:t>
      </w:r>
      <w:r>
        <w:rPr>
          <w:rFonts w:hint="eastAsia" w:hAnsi="宋体" w:cs="宋体"/>
          <w:color w:val="auto"/>
          <w:sz w:val="21"/>
          <w:szCs w:val="21"/>
          <w:highlight w:val="none"/>
          <w:lang w:eastAsia="zh-CN"/>
        </w:rPr>
        <w:t>检</w:t>
      </w:r>
      <w:r>
        <w:rPr>
          <w:rFonts w:hint="eastAsia" w:hAnsi="宋体" w:cs="宋体"/>
          <w:color w:val="auto"/>
          <w:sz w:val="21"/>
          <w:szCs w:val="21"/>
          <w:highlight w:val="none"/>
        </w:rPr>
        <w:t>测设备、消毒设备、清水池、输水管道及供水站所有附属设施的运行维护管理</w:t>
      </w:r>
      <w:r>
        <w:rPr>
          <w:rFonts w:hint="eastAsia" w:hAnsi="宋体" w:cs="宋体"/>
          <w:color w:val="auto"/>
          <w:sz w:val="21"/>
          <w:szCs w:val="21"/>
          <w:highlight w:val="none"/>
          <w:lang w:val="en-US" w:eastAsia="zh-CN"/>
        </w:rPr>
        <w:t>服务；</w:t>
      </w:r>
      <w:r>
        <w:rPr>
          <w:rFonts w:hint="eastAsia" w:hAnsi="宋体" w:cs="宋体"/>
          <w:color w:val="auto"/>
          <w:sz w:val="21"/>
          <w:szCs w:val="21"/>
          <w:highlight w:val="none"/>
          <w:lang w:eastAsia="zh-CN"/>
        </w:rPr>
        <w:t>②</w:t>
      </w:r>
      <w:r>
        <w:rPr>
          <w:rFonts w:hint="eastAsia" w:hAnsi="宋体" w:cs="宋体"/>
          <w:color w:val="auto"/>
          <w:sz w:val="21"/>
          <w:szCs w:val="21"/>
          <w:highlight w:val="none"/>
        </w:rPr>
        <w:t>和消毒药剂的添加、水质</w:t>
      </w:r>
      <w:r>
        <w:rPr>
          <w:rFonts w:hint="eastAsia" w:hAnsi="宋体" w:cs="宋体"/>
          <w:color w:val="auto"/>
          <w:sz w:val="21"/>
          <w:szCs w:val="21"/>
          <w:highlight w:val="none"/>
          <w:lang w:eastAsia="zh-CN"/>
        </w:rPr>
        <w:t>检</w:t>
      </w:r>
      <w:r>
        <w:rPr>
          <w:rFonts w:hint="eastAsia" w:hAnsi="宋体" w:cs="宋体"/>
          <w:color w:val="auto"/>
          <w:sz w:val="21"/>
          <w:szCs w:val="21"/>
          <w:highlight w:val="none"/>
        </w:rPr>
        <w:t>测设备的药物添加、水质化验等技术服务</w:t>
      </w:r>
      <w:r>
        <w:rPr>
          <w:rFonts w:hint="eastAsia" w:hAnsi="宋体" w:cs="宋体"/>
          <w:color w:val="auto"/>
          <w:sz w:val="21"/>
          <w:szCs w:val="21"/>
          <w:highlight w:val="none"/>
          <w:lang w:eastAsia="zh-CN"/>
        </w:rPr>
        <w:t>；③</w:t>
      </w:r>
      <w:r>
        <w:rPr>
          <w:rFonts w:hint="eastAsia" w:hAnsi="宋体" w:cs="宋体"/>
          <w:color w:val="auto"/>
          <w:sz w:val="21"/>
          <w:szCs w:val="21"/>
          <w:highlight w:val="none"/>
          <w:lang w:val="en-US" w:eastAsia="zh-CN"/>
        </w:rPr>
        <w:t>服务期内单个</w:t>
      </w:r>
      <w:r>
        <w:rPr>
          <w:rFonts w:hint="eastAsia" w:hAnsi="宋体" w:cs="宋体"/>
          <w:color w:val="auto"/>
          <w:sz w:val="21"/>
          <w:szCs w:val="21"/>
          <w:highlight w:val="none"/>
        </w:rPr>
        <w:t>单村（联村）水站</w:t>
      </w:r>
      <w:r>
        <w:rPr>
          <w:rFonts w:hint="eastAsia" w:hAnsi="宋体" w:cs="宋体"/>
          <w:color w:val="auto"/>
          <w:sz w:val="21"/>
          <w:szCs w:val="21"/>
          <w:highlight w:val="none"/>
          <w:lang w:val="en-US" w:eastAsia="zh-CN"/>
        </w:rPr>
        <w:t>设施设备低于伍万元（含）的更换及维修服务</w:t>
      </w:r>
      <w:r>
        <w:rPr>
          <w:rFonts w:hint="eastAsia" w:hAnsi="宋体" w:cs="宋体"/>
          <w:color w:val="auto"/>
          <w:sz w:val="21"/>
          <w:szCs w:val="21"/>
          <w:highlight w:val="none"/>
        </w:rPr>
        <w:t>。</w:t>
      </w:r>
    </w:p>
    <w:p w14:paraId="1E448E34">
      <w:pPr>
        <w:tabs>
          <w:tab w:val="left" w:pos="270"/>
        </w:tabs>
        <w:spacing w:afterLines="0"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服务期限</w:t>
      </w:r>
    </w:p>
    <w:p w14:paraId="3A36882C">
      <w:pPr>
        <w:spacing w:afterLines="0" w:line="50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壹</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lang w:val="en-US" w:eastAsia="zh-CN"/>
        </w:rPr>
        <w:t>具体起止时间以合同签订时间为准</w:t>
      </w:r>
      <w:r>
        <w:rPr>
          <w:rFonts w:hint="eastAsia" w:ascii="宋体" w:hAnsi="宋体" w:eastAsia="宋体" w:cs="宋体"/>
          <w:color w:val="auto"/>
          <w:sz w:val="21"/>
          <w:szCs w:val="22"/>
          <w:highlight w:val="none"/>
        </w:rPr>
        <w:t>。</w:t>
      </w:r>
    </w:p>
    <w:p w14:paraId="7D35EC78">
      <w:pPr>
        <w:keepNext w:val="0"/>
        <w:keepLines w:val="0"/>
        <w:pageBreakBefore w:val="0"/>
        <w:widowControl w:val="0"/>
        <w:kinsoku/>
        <w:wordWrap/>
        <w:overflowPunct/>
        <w:topLinePunct w:val="0"/>
        <w:bidi w:val="0"/>
        <w:snapToGrid/>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服务内容具体要求</w:t>
      </w:r>
    </w:p>
    <w:p w14:paraId="6623711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巡查时间频率要求，要求每个单村水</w:t>
      </w:r>
      <w:r>
        <w:rPr>
          <w:rFonts w:hint="eastAsia" w:hAnsi="宋体" w:cs="宋体"/>
          <w:color w:val="auto"/>
          <w:sz w:val="21"/>
          <w:szCs w:val="21"/>
          <w:highlight w:val="none"/>
          <w:lang w:val="en-US" w:eastAsia="zh-CN"/>
        </w:rPr>
        <w:t>站</w:t>
      </w:r>
      <w:r>
        <w:rPr>
          <w:rFonts w:hint="eastAsia" w:ascii="宋体" w:hAnsi="宋体" w:eastAsia="宋体" w:cs="宋体"/>
          <w:color w:val="auto"/>
          <w:sz w:val="21"/>
          <w:szCs w:val="21"/>
          <w:highlight w:val="none"/>
        </w:rPr>
        <w:t>每周不得少于一次。沙畈</w:t>
      </w:r>
      <w:r>
        <w:rPr>
          <w:rFonts w:hint="eastAsia" w:hAnsi="宋体" w:cs="宋体"/>
          <w:color w:val="auto"/>
          <w:sz w:val="21"/>
          <w:szCs w:val="21"/>
          <w:highlight w:val="none"/>
          <w:lang w:val="en-US" w:eastAsia="zh-CN"/>
        </w:rPr>
        <w:t>乡联村</w:t>
      </w:r>
      <w:r>
        <w:rPr>
          <w:rFonts w:hint="eastAsia" w:ascii="宋体" w:hAnsi="宋体" w:eastAsia="宋体" w:cs="宋体"/>
          <w:color w:val="auto"/>
          <w:sz w:val="21"/>
          <w:szCs w:val="21"/>
          <w:highlight w:val="none"/>
        </w:rPr>
        <w:t>水</w:t>
      </w:r>
      <w:r>
        <w:rPr>
          <w:rFonts w:hint="eastAsia" w:hAnsi="宋体" w:cs="宋体"/>
          <w:color w:val="auto"/>
          <w:sz w:val="21"/>
          <w:szCs w:val="21"/>
          <w:highlight w:val="none"/>
          <w:lang w:val="en-US" w:eastAsia="zh-CN"/>
        </w:rPr>
        <w:t>站站</w:t>
      </w:r>
      <w:r>
        <w:rPr>
          <w:rFonts w:hint="eastAsia" w:ascii="宋体" w:hAnsi="宋体" w:eastAsia="宋体" w:cs="宋体"/>
          <w:color w:val="auto"/>
          <w:sz w:val="21"/>
          <w:szCs w:val="21"/>
          <w:highlight w:val="none"/>
        </w:rPr>
        <w:t>区每周不得少于2次，管网附属的增压泵房每周不得少于2次。</w:t>
      </w:r>
    </w:p>
    <w:p w14:paraId="0C1B3DBE">
      <w:pPr>
        <w:keepNext w:val="0"/>
        <w:keepLines w:val="0"/>
        <w:pageBreakBefore w:val="0"/>
        <w:widowControl w:val="0"/>
        <w:kinsoku/>
        <w:wordWrap/>
        <w:overflowPunct/>
        <w:topLinePunct w:val="0"/>
        <w:bidi w:val="0"/>
        <w:snapToGrid/>
        <w:spacing w:line="500" w:lineRule="exact"/>
        <w:ind w:firstLine="422" w:firstLineChars="200"/>
        <w:rPr>
          <w:rFonts w:hint="default"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2.人员要求，按</w:t>
      </w:r>
      <w:r>
        <w:rPr>
          <w:rFonts w:hint="eastAsia" w:hAnsi="宋体" w:cs="宋体"/>
          <w:b/>
          <w:bCs/>
          <w:color w:val="auto"/>
          <w:sz w:val="21"/>
          <w:szCs w:val="21"/>
          <w:highlight w:val="none"/>
        </w:rPr>
        <w:t>浙政办发</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2023</w:t>
      </w:r>
      <w:r>
        <w:rPr>
          <w:rFonts w:hint="eastAsia" w:hAnsi="宋体" w:cs="宋体"/>
          <w:b/>
          <w:bCs/>
          <w:color w:val="auto"/>
          <w:sz w:val="21"/>
          <w:szCs w:val="21"/>
          <w:highlight w:val="none"/>
          <w:lang w:eastAsia="zh-CN"/>
        </w:rPr>
        <w:t>】5</w:t>
      </w:r>
      <w:r>
        <w:rPr>
          <w:rFonts w:hint="eastAsia" w:hAnsi="宋体" w:cs="宋体"/>
          <w:b/>
          <w:bCs/>
          <w:color w:val="auto"/>
          <w:sz w:val="21"/>
          <w:szCs w:val="21"/>
          <w:highlight w:val="none"/>
          <w:lang w:val="en-US" w:eastAsia="zh-CN"/>
        </w:rPr>
        <w:t>1号文件规定“</w:t>
      </w:r>
      <w:r>
        <w:rPr>
          <w:rFonts w:hint="eastAsia" w:hAnsi="宋体" w:cs="宋体"/>
          <w:b/>
          <w:bCs/>
          <w:color w:val="auto"/>
          <w:sz w:val="21"/>
          <w:szCs w:val="21"/>
          <w:highlight w:val="none"/>
        </w:rPr>
        <w:t>全省单村水站专职管护人员配置不低于0.2人/站</w:t>
      </w:r>
      <w:r>
        <w:rPr>
          <w:rFonts w:hint="eastAsia" w:hAnsi="宋体" w:cs="宋体"/>
          <w:b/>
          <w:bCs/>
          <w:color w:val="auto"/>
          <w:sz w:val="21"/>
          <w:szCs w:val="21"/>
          <w:highlight w:val="none"/>
          <w:lang w:val="en-US" w:eastAsia="zh-CN"/>
        </w:rPr>
        <w:t>”，本项目每5个单村供水站须配备至少一名运维人员。</w:t>
      </w:r>
    </w:p>
    <w:p w14:paraId="72FEA04E">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水源地卫生保洁，取水口（堰坝）上游护栏50m内卫生保洁工作，主要是清理水面漂浮物等垃圾，以免堵塞引水管道，特别是暴雨后，加强清理频次。</w:t>
      </w:r>
    </w:p>
    <w:p w14:paraId="129835CE">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净化设备的运行管理维护，根据每套设备的工艺流程不同特点，制定相应的维护方案，做好排污和反冲洗工作，并做好运行检查记录，对存在隐患的设备立即汇报并及时消除。</w:t>
      </w:r>
    </w:p>
    <w:p w14:paraId="26C9EA2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消毒设备的运行管理维护，要求做好药剂添加、消耗记录，每个单村供水站出水水质（末梢水水质）整年合格率达到上级考核要求；检查次氯酸钠投加设备和食盐电解设备（包括计量泵、管路、阀门、控制柜等）运行状况，是否可自动控制投加；每年进行一次清水池供水高峰期清水池低水位时的消毒接触时间CT值（C为消毒剂浓度，T为消毒反应时间）的技术测定（或推算确定），消毒药剂应充分混合，与水体有效接触时间大于30min。</w:t>
      </w:r>
    </w:p>
    <w:p w14:paraId="3494F5B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水质化验：原水和末梢水须每个供水站一个月（沙畈乡联村水站每周取样化验一次）取样化验一次，如原水水质波动较大或随时可能遭受污染的，应及时采取措施解决并增加检测频率；原水要求完成浑浊度、pH值、色度、臭和味、肉眼可见物、高锰酸盐指数、氨、菌落总数、总大肠菌群、大肠埃希氏菌10个指标检测；末梢水完成浑浊度、余氯、pH值、色度、臭和味、肉眼可见物、菌落总数、总大肠菌群、大肠埃希氏菌、高锰酸盐指数、铁、锰、氨、总碱度14个指标检测。末梢水水质合格率达到上级考核要求。</w:t>
      </w:r>
    </w:p>
    <w:p w14:paraId="6C75AF1A">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清水池的管理维护，定期检查通气孔和人孔防水质污染的防护措施是否到位，检查清水池内外有无杂质和生物滋生；每半年确保清洗一次，并做好记录。</w:t>
      </w:r>
    </w:p>
    <w:p w14:paraId="696FC02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每年每个</w:t>
      </w:r>
      <w:r>
        <w:rPr>
          <w:rFonts w:hint="default" w:hAnsi="宋体" w:cs="宋体"/>
          <w:color w:val="auto"/>
          <w:sz w:val="21"/>
          <w:szCs w:val="21"/>
          <w:highlight w:val="none"/>
        </w:rPr>
        <w:t>水站</w:t>
      </w:r>
      <w:r>
        <w:rPr>
          <w:rFonts w:hint="eastAsia" w:ascii="宋体" w:hAnsi="宋体" w:eastAsia="宋体" w:cs="宋体"/>
          <w:color w:val="auto"/>
          <w:sz w:val="21"/>
          <w:szCs w:val="21"/>
          <w:highlight w:val="none"/>
        </w:rPr>
        <w:t>测定一次滤速、含泥率、反冲洗强度、反冲开始和结束时的浊度，合理设定反冲洗单次分段时间、滤池反冲洗周期，提供建议性报告；并根据报告内容，确定滤料更换以及滤头滤板的更新。</w:t>
      </w:r>
    </w:p>
    <w:p w14:paraId="73B50D7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做好管路（原水管、通村总管）附件检查工作，检查排气阀是否能正常工作，排污阀定期开启排污，减压阀是否满足运行工况，并做好记录。</w:t>
      </w:r>
    </w:p>
    <w:p w14:paraId="5D7AD6FF">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做好附属设施如护栏、管理房、设备外观等维护工作，确保整洁有序及正常使用。</w:t>
      </w:r>
    </w:p>
    <w:p w14:paraId="723232C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11.</w:t>
      </w:r>
      <w:r>
        <w:rPr>
          <w:rFonts w:hint="eastAsia" w:hAnsi="宋体" w:cs="宋体"/>
          <w:color w:val="auto"/>
          <w:sz w:val="21"/>
          <w:szCs w:val="21"/>
          <w:highlight w:val="none"/>
        </w:rPr>
        <w:t>做好水质在线检测设备、视频监控设备等设备设施的运维及包括水质在线检测设备耗材</w:t>
      </w:r>
      <w:r>
        <w:rPr>
          <w:rFonts w:hint="eastAsia" w:hAnsi="宋体" w:cs="宋体"/>
          <w:color w:val="auto"/>
          <w:sz w:val="21"/>
          <w:szCs w:val="21"/>
          <w:highlight w:val="none"/>
          <w:lang w:eastAsia="zh-CN"/>
        </w:rPr>
        <w:t>、</w:t>
      </w:r>
      <w:r>
        <w:rPr>
          <w:rFonts w:hint="eastAsia" w:hAnsi="宋体" w:cs="宋体"/>
          <w:color w:val="auto"/>
          <w:sz w:val="21"/>
          <w:szCs w:val="21"/>
          <w:highlight w:val="none"/>
        </w:rPr>
        <w:t>药剂</w:t>
      </w:r>
      <w:r>
        <w:rPr>
          <w:rFonts w:hint="eastAsia" w:hAnsi="宋体" w:cs="宋体"/>
          <w:color w:val="auto"/>
          <w:sz w:val="21"/>
          <w:szCs w:val="21"/>
          <w:highlight w:val="none"/>
          <w:lang w:val="en-US" w:eastAsia="zh-CN"/>
        </w:rPr>
        <w:t>的</w:t>
      </w:r>
      <w:r>
        <w:rPr>
          <w:rFonts w:hint="eastAsia" w:hAnsi="宋体" w:cs="宋体"/>
          <w:color w:val="auto"/>
          <w:sz w:val="21"/>
          <w:szCs w:val="21"/>
          <w:highlight w:val="none"/>
        </w:rPr>
        <w:t>更换，药剂要与设备品牌保持一致，确保所有设备设施正常运行。</w:t>
      </w:r>
    </w:p>
    <w:p w14:paraId="23C6DF05">
      <w:pPr>
        <w:keepNext w:val="0"/>
        <w:keepLines w:val="0"/>
        <w:pageBreakBefore w:val="0"/>
        <w:widowControl w:val="0"/>
        <w:kinsoku/>
        <w:wordWrap/>
        <w:overflowPunct/>
        <w:topLinePunct w:val="0"/>
        <w:bidi w:val="0"/>
        <w:snapToGrid/>
        <w:spacing w:line="500" w:lineRule="exact"/>
        <w:ind w:firstLine="420" w:firstLineChars="200"/>
        <w:rPr>
          <w:rFonts w:hint="default" w:hAnsi="宋体" w:cs="宋体"/>
          <w:color w:val="auto"/>
          <w:sz w:val="21"/>
          <w:szCs w:val="21"/>
          <w:highlight w:val="none"/>
          <w:lang w:val="en-US" w:eastAsia="zh-CN"/>
        </w:rPr>
      </w:pPr>
      <w:r>
        <w:rPr>
          <w:rFonts w:hint="eastAsia" w:hAnsi="宋体" w:cs="宋体"/>
          <w:bCs/>
          <w:color w:val="auto"/>
          <w:sz w:val="21"/>
          <w:szCs w:val="21"/>
          <w:highlight w:val="none"/>
        </w:rPr>
        <w:t>★</w:t>
      </w:r>
      <w:r>
        <w:rPr>
          <w:rFonts w:hint="eastAsia" w:ascii="宋体" w:hAnsi="宋体" w:cs="宋体"/>
          <w:color w:val="auto"/>
          <w:sz w:val="21"/>
          <w:szCs w:val="21"/>
          <w:highlight w:val="none"/>
          <w:lang w:val="en-US" w:eastAsia="zh-CN"/>
        </w:rPr>
        <w:t>1</w:t>
      </w: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hAnsi="宋体" w:cs="宋体"/>
          <w:color w:val="auto"/>
          <w:sz w:val="21"/>
          <w:szCs w:val="21"/>
          <w:highlight w:val="none"/>
          <w:lang w:val="en-US" w:eastAsia="zh-CN"/>
        </w:rPr>
        <w:t>及时做好</w:t>
      </w:r>
      <w:r>
        <w:rPr>
          <w:rFonts w:hint="eastAsia" w:hAnsi="宋体" w:cs="宋体"/>
          <w:color w:val="auto"/>
          <w:sz w:val="21"/>
          <w:szCs w:val="21"/>
          <w:highlight w:val="none"/>
        </w:rPr>
        <w:t>单村（联村）水站</w:t>
      </w:r>
      <w:r>
        <w:rPr>
          <w:rFonts w:hint="eastAsia" w:hAnsi="宋体" w:cs="宋体"/>
          <w:color w:val="auto"/>
          <w:sz w:val="21"/>
          <w:szCs w:val="21"/>
          <w:highlight w:val="none"/>
          <w:lang w:val="en-US" w:eastAsia="zh-CN"/>
        </w:rPr>
        <w:t>设施设备的维护保养工作，承担服务期间低于伍万元（含）的单个</w:t>
      </w:r>
      <w:r>
        <w:rPr>
          <w:rFonts w:hint="eastAsia" w:hAnsi="宋体" w:cs="宋体"/>
          <w:color w:val="auto"/>
          <w:sz w:val="21"/>
          <w:szCs w:val="21"/>
          <w:highlight w:val="none"/>
        </w:rPr>
        <w:t>单村（联村）水站</w:t>
      </w:r>
      <w:r>
        <w:rPr>
          <w:rFonts w:hint="eastAsia" w:hAnsi="宋体" w:cs="宋体"/>
          <w:color w:val="auto"/>
          <w:sz w:val="21"/>
          <w:szCs w:val="21"/>
          <w:highlight w:val="none"/>
          <w:lang w:val="en-US" w:eastAsia="zh-CN"/>
        </w:rPr>
        <w:t>设施设备更新、更换及维修服务的费用。超出伍万元（含）的单个</w:t>
      </w:r>
      <w:r>
        <w:rPr>
          <w:rFonts w:hint="eastAsia" w:hAnsi="宋体" w:cs="宋体"/>
          <w:color w:val="auto"/>
          <w:sz w:val="21"/>
          <w:szCs w:val="21"/>
          <w:highlight w:val="none"/>
        </w:rPr>
        <w:t>单村（联村）水站</w:t>
      </w:r>
      <w:r>
        <w:rPr>
          <w:rFonts w:hint="eastAsia" w:hAnsi="宋体" w:cs="宋体"/>
          <w:color w:val="auto"/>
          <w:sz w:val="21"/>
          <w:szCs w:val="21"/>
          <w:highlight w:val="none"/>
          <w:lang w:val="en-US" w:eastAsia="zh-CN"/>
        </w:rPr>
        <w:t>设施设备更新、更换及维修服务的具体费用金额需经采购人审核确认，经审核确认后超出伍万元的部分费用，由采购人承担。</w:t>
      </w:r>
    </w:p>
    <w:p w14:paraId="4AAEA28E">
      <w:pPr>
        <w:keepNext w:val="0"/>
        <w:keepLines w:val="0"/>
        <w:widowControl w:val="0"/>
        <w:numPr>
          <w:ilvl w:val="-1"/>
          <w:numId w:val="0"/>
        </w:numPr>
        <w:suppressLineNumbers w:val="0"/>
        <w:pBdr>
          <w:left w:val="none" w:color="auto" w:sz="0" w:space="0"/>
        </w:pBdr>
        <w:spacing w:before="0" w:beforeAutospacing="0" w:after="0" w:afterAutospacing="0" w:line="500" w:lineRule="exact"/>
        <w:ind w:left="0" w:firstLine="420" w:firstLineChars="200"/>
        <w:rPr>
          <w:rFonts w:hint="eastAsia" w:hAnsi="宋体" w:cs="宋体"/>
          <w:color w:val="auto"/>
          <w:sz w:val="21"/>
          <w:szCs w:val="21"/>
          <w:highlight w:val="none"/>
          <w:lang w:val="en-US" w:eastAsia="zh-CN"/>
        </w:rPr>
      </w:pPr>
      <w:r>
        <w:rPr>
          <w:rFonts w:hint="eastAsia" w:hAnsi="宋体" w:cs="宋体"/>
          <w:bCs w:val="0"/>
          <w:color w:val="auto"/>
          <w:sz w:val="21"/>
          <w:szCs w:val="21"/>
          <w:highlight w:val="none"/>
        </w:rPr>
        <w:t>★</w:t>
      </w:r>
      <w:r>
        <w:rPr>
          <w:rFonts w:hint="eastAsia" w:ascii="宋体" w:hAnsi="宋体" w:eastAsia="宋体" w:cs="宋体"/>
          <w:i w:val="0"/>
          <w:iCs w:val="0"/>
          <w:caps w:val="0"/>
          <w:color w:val="auto"/>
          <w:spacing w:val="0"/>
          <w:sz w:val="21"/>
          <w:szCs w:val="21"/>
          <w:highlight w:val="none"/>
          <w:shd w:val="clear"/>
          <w:lang w:val="en-US" w:eastAsia="zh-CN"/>
        </w:rPr>
        <w:t>13.</w:t>
      </w:r>
      <w:r>
        <w:rPr>
          <w:rFonts w:hint="eastAsia" w:ascii="宋体" w:hAnsi="宋体" w:eastAsia="宋体" w:cs="宋体"/>
          <w:i w:val="0"/>
          <w:iCs w:val="0"/>
          <w:caps w:val="0"/>
          <w:color w:val="auto"/>
          <w:spacing w:val="0"/>
          <w:sz w:val="21"/>
          <w:szCs w:val="21"/>
          <w:highlight w:val="none"/>
          <w:shd w:val="clear"/>
        </w:rPr>
        <w:t>建立健全</w:t>
      </w:r>
      <w:r>
        <w:rPr>
          <w:rFonts w:hint="eastAsia" w:ascii="宋体" w:hAnsi="宋体" w:eastAsia="宋体" w:cs="宋体"/>
          <w:b w:val="0"/>
          <w:bCs w:val="0"/>
          <w:i w:val="0"/>
          <w:iCs w:val="0"/>
          <w:caps w:val="0"/>
          <w:color w:val="auto"/>
          <w:spacing w:val="0"/>
          <w:sz w:val="21"/>
          <w:szCs w:val="21"/>
          <w:highlight w:val="none"/>
          <w:shd w:val="clear"/>
        </w:rPr>
        <w:t>安全生产责任制</w:t>
      </w:r>
      <w:r>
        <w:rPr>
          <w:rFonts w:hint="eastAsia" w:ascii="宋体" w:hAnsi="宋体" w:eastAsia="宋体" w:cs="宋体"/>
          <w:i w:val="0"/>
          <w:iCs w:val="0"/>
          <w:caps w:val="0"/>
          <w:color w:val="auto"/>
          <w:spacing w:val="0"/>
          <w:sz w:val="21"/>
          <w:szCs w:val="21"/>
          <w:highlight w:val="none"/>
          <w:shd w:val="clear"/>
        </w:rPr>
        <w:t>，明确各岗位的安全职责及考核机制</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制定野外作业专项</w:t>
      </w:r>
      <w:r>
        <w:rPr>
          <w:rFonts w:hint="eastAsia" w:ascii="宋体" w:hAnsi="宋体" w:eastAsia="宋体" w:cs="宋体"/>
          <w:b w:val="0"/>
          <w:bCs w:val="0"/>
          <w:i w:val="0"/>
          <w:iCs w:val="0"/>
          <w:caps w:val="0"/>
          <w:color w:val="auto"/>
          <w:spacing w:val="0"/>
          <w:sz w:val="21"/>
          <w:szCs w:val="21"/>
          <w:highlight w:val="none"/>
          <w:shd w:val="clear"/>
        </w:rPr>
        <w:t>安全操作规程</w:t>
      </w:r>
      <w:r>
        <w:rPr>
          <w:rFonts w:hint="eastAsia" w:ascii="宋体" w:hAnsi="宋体" w:eastAsia="宋体" w:cs="宋体"/>
          <w:i w:val="0"/>
          <w:iCs w:val="0"/>
          <w:caps w:val="0"/>
          <w:color w:val="auto"/>
          <w:spacing w:val="0"/>
          <w:sz w:val="21"/>
          <w:szCs w:val="21"/>
          <w:highlight w:val="none"/>
          <w:shd w:val="clear"/>
        </w:rPr>
        <w:t>和</w:t>
      </w:r>
      <w:r>
        <w:rPr>
          <w:rFonts w:hint="eastAsia" w:ascii="宋体" w:hAnsi="宋体" w:eastAsia="宋体" w:cs="宋体"/>
          <w:b w:val="0"/>
          <w:bCs w:val="0"/>
          <w:i w:val="0"/>
          <w:iCs w:val="0"/>
          <w:caps w:val="0"/>
          <w:color w:val="auto"/>
          <w:spacing w:val="0"/>
          <w:sz w:val="21"/>
          <w:szCs w:val="21"/>
          <w:highlight w:val="none"/>
          <w:shd w:val="clear"/>
        </w:rPr>
        <w:t>应急预案</w:t>
      </w:r>
      <w:r>
        <w:rPr>
          <w:rFonts w:hint="eastAsia" w:ascii="宋体" w:hAnsi="宋体" w:eastAsia="宋体" w:cs="宋体"/>
          <w:b w:val="0"/>
          <w:bCs w:val="0"/>
          <w:i w:val="0"/>
          <w:iCs w:val="0"/>
          <w:caps w:val="0"/>
          <w:color w:val="auto"/>
          <w:spacing w:val="0"/>
          <w:sz w:val="21"/>
          <w:szCs w:val="21"/>
          <w:highlight w:val="none"/>
          <w:shd w:val="clear"/>
          <w:lang w:eastAsia="zh-CN"/>
        </w:rPr>
        <w:t>，</w:t>
      </w:r>
      <w:r>
        <w:rPr>
          <w:rFonts w:hint="eastAsia" w:ascii="宋体" w:hAnsi="宋体" w:eastAsia="宋体" w:cs="宋体"/>
          <w:i w:val="0"/>
          <w:iCs w:val="0"/>
          <w:caps w:val="0"/>
          <w:color w:val="auto"/>
          <w:spacing w:val="0"/>
          <w:sz w:val="21"/>
          <w:szCs w:val="21"/>
          <w:highlight w:val="none"/>
          <w:shd w:val="clear"/>
        </w:rPr>
        <w:t>落实</w:t>
      </w:r>
      <w:r>
        <w:rPr>
          <w:rFonts w:hint="eastAsia" w:ascii="宋体" w:hAnsi="宋体" w:eastAsia="宋体" w:cs="宋体"/>
          <w:b w:val="0"/>
          <w:bCs w:val="0"/>
          <w:i w:val="0"/>
          <w:iCs w:val="0"/>
          <w:caps w:val="0"/>
          <w:color w:val="auto"/>
          <w:spacing w:val="0"/>
          <w:sz w:val="21"/>
          <w:szCs w:val="21"/>
          <w:highlight w:val="none"/>
          <w:shd w:val="clear"/>
        </w:rPr>
        <w:t>安全投入</w:t>
      </w:r>
      <w:r>
        <w:rPr>
          <w:rFonts w:hint="eastAsia" w:ascii="宋体" w:hAnsi="宋体" w:eastAsia="宋体" w:cs="宋体"/>
          <w:i w:val="0"/>
          <w:iCs w:val="0"/>
          <w:caps w:val="0"/>
          <w:color w:val="auto"/>
          <w:spacing w:val="0"/>
          <w:sz w:val="21"/>
          <w:szCs w:val="21"/>
          <w:highlight w:val="none"/>
          <w:shd w:val="clear"/>
        </w:rPr>
        <w:t>，配备符合标准的防护装备、通信设备及应急救援器材</w:t>
      </w:r>
      <w:r>
        <w:rPr>
          <w:rFonts w:hint="eastAsia" w:ascii="宋体" w:hAnsi="宋体" w:eastAsia="宋体" w:cs="宋体"/>
          <w:i w:val="0"/>
          <w:iCs w:val="0"/>
          <w:caps w:val="0"/>
          <w:color w:val="auto"/>
          <w:spacing w:val="0"/>
          <w:sz w:val="21"/>
          <w:szCs w:val="21"/>
          <w:highlight w:val="none"/>
          <w:shd w:val="clear"/>
          <w:lang w:eastAsia="zh-CN"/>
        </w:rPr>
        <w:t>，</w:t>
      </w:r>
      <w:r>
        <w:rPr>
          <w:rFonts w:hint="eastAsia" w:hAnsi="宋体" w:cs="宋体"/>
          <w:i w:val="0"/>
          <w:iCs w:val="0"/>
          <w:caps w:val="0"/>
          <w:color w:val="auto"/>
          <w:spacing w:val="0"/>
          <w:sz w:val="21"/>
          <w:szCs w:val="21"/>
          <w:highlight w:val="none"/>
          <w:shd w:val="clear"/>
          <w:lang w:val="en-US" w:eastAsia="zh-CN"/>
        </w:rPr>
        <w:t>承担</w:t>
      </w:r>
      <w:r>
        <w:rPr>
          <w:rFonts w:hint="eastAsia" w:hAnsi="宋体" w:cs="宋体"/>
          <w:b w:val="0"/>
          <w:bCs w:val="0"/>
          <w:color w:val="auto"/>
          <w:sz w:val="21"/>
          <w:szCs w:val="21"/>
          <w:highlight w:val="none"/>
          <w:lang w:val="en-US" w:eastAsia="zh-CN"/>
        </w:rPr>
        <w:t>运维人员</w:t>
      </w:r>
      <w:r>
        <w:rPr>
          <w:rFonts w:hint="eastAsia" w:hAnsi="宋体" w:cs="宋体"/>
          <w:color w:val="auto"/>
          <w:sz w:val="21"/>
          <w:szCs w:val="21"/>
          <w:highlight w:val="none"/>
          <w:lang w:val="en-US" w:eastAsia="zh-CN"/>
        </w:rPr>
        <w:t>作业期间的一切安全责任。</w:t>
      </w:r>
    </w:p>
    <w:p w14:paraId="623E6ED4">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每季度安排不少于一次运维培训。</w:t>
      </w:r>
    </w:p>
    <w:p w14:paraId="026931F9">
      <w:pPr>
        <w:pStyle w:val="46"/>
        <w:spacing w:after="0" w:line="500" w:lineRule="exact"/>
        <w:ind w:left="0" w:leftChars="0" w:firstLine="420" w:firstLineChars="200"/>
        <w:rPr>
          <w:rFonts w:hint="eastAsia"/>
          <w:color w:val="auto"/>
          <w:highlight w:val="none"/>
          <w:lang w:val="en-US" w:eastAsia="zh-CN"/>
        </w:rPr>
      </w:pPr>
      <w:r>
        <w:rPr>
          <w:rFonts w:hint="default"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rPr>
        <w:t>.每季度整编运维台账并提交</w:t>
      </w:r>
      <w:r>
        <w:rPr>
          <w:rFonts w:hint="eastAsia" w:ascii="宋体" w:hAnsi="宋体" w:cs="宋体"/>
          <w:color w:val="auto"/>
          <w:sz w:val="21"/>
          <w:szCs w:val="21"/>
          <w:highlight w:val="none"/>
          <w:lang w:val="en-US" w:eastAsia="zh-CN"/>
        </w:rPr>
        <w:t>采购</w:t>
      </w:r>
      <w:r>
        <w:rPr>
          <w:rFonts w:hint="default" w:ascii="宋体" w:hAnsi="宋体" w:cs="宋体"/>
          <w:color w:val="auto"/>
          <w:sz w:val="21"/>
          <w:szCs w:val="21"/>
          <w:highlight w:val="none"/>
        </w:rPr>
        <w:t>单位。</w:t>
      </w:r>
    </w:p>
    <w:p w14:paraId="4683AE53">
      <w:pPr>
        <w:keepNext w:val="0"/>
        <w:keepLines w:val="0"/>
        <w:pageBreakBefore w:val="0"/>
        <w:widowControl w:val="0"/>
        <w:kinsoku/>
        <w:wordWrap/>
        <w:overflowPunct/>
        <w:topLinePunct w:val="0"/>
        <w:bidi w:val="0"/>
        <w:snapToGrid/>
        <w:spacing w:line="500" w:lineRule="exact"/>
        <w:ind w:firstLine="422" w:firstLineChars="200"/>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、其他要求</w:t>
      </w:r>
    </w:p>
    <w:p w14:paraId="4E7EC8F7">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1.如中标单位单方不履行合同或供水质量因中标单位原因达不到技术要求，采购人有权终止与中标单位的合同，中标单位按实际损失赔偿。</w:t>
      </w:r>
    </w:p>
    <w:p w14:paraId="6148C8B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2.项目供水物业化管理服务期间须建立相关运维记录台账，至少包括以下台账：</w:t>
      </w:r>
    </w:p>
    <w:p w14:paraId="281BCEDD">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（1）日常运维记录及水质检测台账；</w:t>
      </w:r>
    </w:p>
    <w:p w14:paraId="11A897F3">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（2）设备运行期间的定期监测台账（包括设备运维）；</w:t>
      </w:r>
    </w:p>
    <w:p w14:paraId="10E15F3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（3）运维服务期内，备品备件使用记录。</w:t>
      </w:r>
    </w:p>
    <w:p w14:paraId="5A9F08B3">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（4）项目履约</w:t>
      </w:r>
      <w:r>
        <w:rPr>
          <w:rFonts w:hint="default" w:hAnsi="宋体" w:cs="宋体"/>
          <w:color w:val="auto"/>
          <w:sz w:val="21"/>
          <w:szCs w:val="21"/>
          <w:highlight w:val="none"/>
        </w:rPr>
        <w:t>的其他</w:t>
      </w:r>
      <w:r>
        <w:rPr>
          <w:rFonts w:hint="eastAsia" w:ascii="宋体" w:hAnsi="宋体" w:eastAsia="宋体" w:cs="宋体"/>
          <w:color w:val="auto"/>
          <w:sz w:val="21"/>
          <w:szCs w:val="21"/>
          <w:highlight w:val="none"/>
        </w:rPr>
        <w:t>材料及佐证资料。</w:t>
      </w:r>
    </w:p>
    <w:p w14:paraId="27B72059">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在服务期内，因</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单位原因导致项目的运维管理出现问题并造成损失的，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单位必须赔偿相应损失，根据损失的数量及性质，采购人有权单方终止合同，并有权另行选择供水物业化管理服务商进行项目的运行维护，并且</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单位必须配合做好项目的移交工作。</w:t>
      </w:r>
    </w:p>
    <w:p w14:paraId="23C9FFB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供水物业化管理服务期结束后的项目移交</w:t>
      </w:r>
    </w:p>
    <w:p w14:paraId="3849C5B4">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（1）在服务期结束移交时，设备必须保存完好，能正常运行，出水水质（含末梢水水质）达标。</w:t>
      </w:r>
    </w:p>
    <w:p w14:paraId="4FBC1E89">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（2）在服务期结束移交时，应同时移交运营所产生的数据和相关管理资料。</w:t>
      </w:r>
    </w:p>
    <w:p w14:paraId="3470CC68">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（3）在服务期结束移交时，应提供对承接运维单位及人员的培训（保障新的承接运维人员能正常上岗操作），并保证参与培训的人员能独立、熟练地进行操作和日常维护保养。</w:t>
      </w:r>
      <w:r>
        <w:rPr>
          <w:rFonts w:hint="eastAsia" w:hAnsi="宋体" w:cs="宋体"/>
          <w:color w:val="auto"/>
          <w:sz w:val="21"/>
          <w:szCs w:val="21"/>
          <w:highlight w:val="none"/>
          <w:lang w:val="en-US" w:eastAsia="zh-CN"/>
        </w:rPr>
        <w:t>投标单位</w:t>
      </w:r>
      <w:r>
        <w:rPr>
          <w:rFonts w:hint="eastAsia" w:ascii="宋体" w:hAnsi="宋体" w:eastAsia="宋体" w:cs="宋体"/>
          <w:color w:val="auto"/>
          <w:sz w:val="21"/>
          <w:szCs w:val="21"/>
          <w:highlight w:val="none"/>
        </w:rPr>
        <w:t>在</w:t>
      </w:r>
      <w:r>
        <w:rPr>
          <w:rFonts w:hint="eastAsia"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文件中应提出具体的培训计划。</w:t>
      </w:r>
    </w:p>
    <w:p w14:paraId="3050E63E">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其他须知：</w:t>
      </w:r>
    </w:p>
    <w:p w14:paraId="33C16ED2">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项目服务期间的设备维修由</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单位自行安排专业人员进行维修；若无法维修的，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单位须及时通知采购人，联系设备厂家进行维修。由于运维服务单位人员操作不当造成的损失由运维单位自行承担。</w:t>
      </w:r>
    </w:p>
    <w:p w14:paraId="1DAC3CDE">
      <w:pPr>
        <w:keepNext w:val="0"/>
        <w:keepLines w:val="0"/>
        <w:pageBreakBefore w:val="0"/>
        <w:widowControl w:val="0"/>
        <w:kinsoku/>
        <w:wordWrap/>
        <w:overflowPunct/>
        <w:topLinePunct w:val="0"/>
        <w:bidi w:val="0"/>
        <w:snapToGrid/>
        <w:spacing w:line="500" w:lineRule="exact"/>
        <w:ind w:firstLine="422" w:firstLineChars="200"/>
        <w:rPr>
          <w:rFonts w:hint="default"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6.本项目运维服务期间若设备损坏须更换设备或配件，中标人确保更换设备及配件的品牌与之前保持一致性。</w:t>
      </w:r>
    </w:p>
    <w:p w14:paraId="4E90DA8F">
      <w:pPr>
        <w:keepNext w:val="0"/>
        <w:keepLines w:val="0"/>
        <w:pageBreakBefore w:val="0"/>
        <w:widowControl w:val="0"/>
        <w:kinsoku/>
        <w:wordWrap/>
        <w:overflowPunct/>
        <w:topLinePunct w:val="0"/>
        <w:bidi w:val="0"/>
        <w:snapToGrid/>
        <w:spacing w:line="500" w:lineRule="exact"/>
        <w:ind w:firstLine="422" w:firstLineChars="200"/>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报价</w:t>
      </w:r>
    </w:p>
    <w:p w14:paraId="3B0003D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14:paraId="38D6B5B3">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报价应包括职工工资、福利、保险费用（包括养老、工伤、失业、医疗、意外）、药剂、电费、物料消耗、水质化验</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额度内的设施设备的更新更换及维修、</w:t>
      </w:r>
      <w:r>
        <w:rPr>
          <w:rFonts w:hint="eastAsia" w:ascii="宋体" w:hAnsi="宋体" w:eastAsia="宋体" w:cs="宋体"/>
          <w:color w:val="auto"/>
          <w:sz w:val="21"/>
          <w:szCs w:val="21"/>
          <w:highlight w:val="none"/>
        </w:rPr>
        <w:t>备品备件更换、运维服务、培训、设备维护、污染物清理及处置费、合理利润、税金及合同实施过程中的应预见和不可预见费用、所有风险、责任等各项应有费用。</w:t>
      </w:r>
    </w:p>
    <w:p w14:paraId="028838DA">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项目运维费按实际工作量和实际服务时间计算。运行维护费用从单村供水站正式移交运维商日开始计费，按中标单价（注：</w:t>
      </w:r>
      <w:r>
        <w:rPr>
          <w:rFonts w:hint="eastAsia" w:ascii="宋体" w:hAnsi="宋体" w:eastAsia="宋体" w:cs="宋体"/>
          <w:color w:val="auto"/>
          <w:sz w:val="21"/>
          <w:szCs w:val="21"/>
          <w:highlight w:val="none"/>
        </w:rPr>
        <w:t>中标单价=中标总价÷1</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）结合单村供水物业化管理实际服务数量进行结算。</w:t>
      </w:r>
    </w:p>
    <w:p w14:paraId="18FA3291">
      <w:pPr>
        <w:keepNext w:val="0"/>
        <w:keepLines w:val="0"/>
        <w:pageBreakBefore w:val="0"/>
        <w:widowControl w:val="0"/>
        <w:tabs>
          <w:tab w:val="left" w:pos="540"/>
        </w:tabs>
        <w:kinsoku/>
        <w:wordWrap/>
        <w:overflowPunct/>
        <w:topLinePunct w:val="0"/>
        <w:bidi w:val="0"/>
        <w:spacing w:afterLines="0"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、付款方式</w:t>
      </w:r>
    </w:p>
    <w:p w14:paraId="04637AFE">
      <w:pPr>
        <w:pStyle w:val="91"/>
        <w:adjustRightInd w:val="0"/>
        <w:snapToGrid w:val="0"/>
        <w:spacing w:line="500" w:lineRule="exact"/>
        <w:ind w:firstLine="420" w:firstLineChars="200"/>
        <w:jc w:val="lef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根据财政预算安排本项目不设置预付款。根据最终</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价平均到服务期各个月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如遇特殊情况可以平均到天）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个月结算一次。</w:t>
      </w:r>
    </w:p>
    <w:p w14:paraId="585C5AE0">
      <w:pPr>
        <w:spacing w:line="46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办理服务费结算时，须提供结算依据、合规发票等相关资料。②若联合体单位中标，联合体各方应当共同与采购人签订采购合同，联合体协议及合同中应明确联合体各方职责、费用，并就采购合同约定的事项对采购人承担连带责任。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之间的经济往来均由采购人和联合体牵头人之间进行，采购人不再与联合体的非牵头人发生任何经济往来。联合体内部的经济往来由联合体各方自行协商解决。③</w:t>
      </w:r>
      <w:r>
        <w:rPr>
          <w:rFonts w:hint="eastAsia" w:ascii="宋体" w:hAnsi="宋体" w:eastAsia="宋体" w:cs="宋体"/>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bookmarkEnd w:id="36"/>
    <w:bookmarkEnd w:id="37"/>
    <w:bookmarkEnd w:id="38"/>
    <w:bookmarkEnd w:id="39"/>
    <w:bookmarkEnd w:id="40"/>
    <w:p w14:paraId="15EDF31F">
      <w:pPr>
        <w:snapToGrid w:val="0"/>
        <w:spacing w:line="500" w:lineRule="exact"/>
        <w:ind w:firstLine="600" w:firstLineChars="200"/>
        <w:rPr>
          <w:rFonts w:hAnsi="宋体" w:cs="宋体"/>
          <w:color w:val="auto"/>
          <w:sz w:val="30"/>
          <w:szCs w:val="30"/>
          <w:highlight w:val="none"/>
        </w:rPr>
      </w:pPr>
    </w:p>
    <w:p w14:paraId="654CC3C4">
      <w:pPr>
        <w:rPr>
          <w:rFonts w:hAnsi="宋体" w:cs="宋体"/>
          <w:color w:val="auto"/>
          <w:sz w:val="30"/>
          <w:szCs w:val="30"/>
          <w:highlight w:val="none"/>
        </w:rPr>
      </w:pPr>
      <w:r>
        <w:rPr>
          <w:rFonts w:hint="eastAsia" w:hAnsi="宋体" w:cs="宋体"/>
          <w:color w:val="auto"/>
          <w:sz w:val="30"/>
          <w:szCs w:val="30"/>
          <w:highlight w:val="none"/>
        </w:rPr>
        <w:br w:type="page"/>
      </w:r>
    </w:p>
    <w:p w14:paraId="18224363">
      <w:pPr>
        <w:pStyle w:val="2"/>
        <w:keepNext w:val="0"/>
        <w:spacing w:line="46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第三章  投标人须知</w:t>
      </w:r>
      <w:bookmarkEnd w:id="41"/>
    </w:p>
    <w:p w14:paraId="1E85CD97">
      <w:pPr>
        <w:pStyle w:val="2"/>
        <w:spacing w:line="460" w:lineRule="exact"/>
        <w:jc w:val="center"/>
        <w:rPr>
          <w:rFonts w:ascii="宋体" w:hAnsi="宋体" w:cs="宋体"/>
          <w:color w:val="auto"/>
          <w:sz w:val="30"/>
          <w:szCs w:val="30"/>
          <w:highlight w:val="none"/>
        </w:rPr>
      </w:pPr>
      <w:bookmarkStart w:id="43" w:name="_Toc351559943"/>
      <w:r>
        <w:rPr>
          <w:rFonts w:hint="eastAsia" w:ascii="宋体" w:hAnsi="宋体" w:cs="宋体"/>
          <w:color w:val="auto"/>
          <w:sz w:val="30"/>
          <w:szCs w:val="30"/>
          <w:highlight w:val="none"/>
        </w:rPr>
        <w:t>前附表</w:t>
      </w:r>
      <w:bookmarkEnd w:id="43"/>
    </w:p>
    <w:tbl>
      <w:tblPr>
        <w:tblStyle w:val="47"/>
        <w:tblW w:w="9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2658"/>
        <w:gridCol w:w="6465"/>
      </w:tblGrid>
      <w:tr w14:paraId="5A7F8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37" w:type="dxa"/>
            <w:tcBorders>
              <w:top w:val="single" w:color="auto" w:sz="4" w:space="0"/>
              <w:left w:val="single" w:color="auto" w:sz="4" w:space="0"/>
              <w:bottom w:val="single" w:color="auto" w:sz="4" w:space="0"/>
              <w:right w:val="single" w:color="auto" w:sz="4" w:space="0"/>
            </w:tcBorders>
            <w:vAlign w:val="center"/>
          </w:tcPr>
          <w:p w14:paraId="33902CD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7F462B6C">
            <w:pPr>
              <w:snapToGrid w:val="0"/>
              <w:spacing w:line="460" w:lineRule="exact"/>
              <w:ind w:firstLine="2940" w:firstLineChars="1400"/>
              <w:rPr>
                <w:rFonts w:hAnsi="宋体" w:cs="宋体"/>
                <w:color w:val="auto"/>
                <w:sz w:val="21"/>
                <w:szCs w:val="21"/>
                <w:highlight w:val="none"/>
              </w:rPr>
            </w:pPr>
            <w:r>
              <w:rPr>
                <w:rFonts w:hint="eastAsia" w:hAnsi="宋体" w:cs="宋体"/>
                <w:color w:val="auto"/>
                <w:sz w:val="21"/>
                <w:szCs w:val="21"/>
                <w:highlight w:val="none"/>
              </w:rPr>
              <w:t>内容、要求</w:t>
            </w:r>
          </w:p>
        </w:tc>
      </w:tr>
      <w:tr w14:paraId="72DC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7" w:type="dxa"/>
            <w:tcBorders>
              <w:top w:val="single" w:color="auto" w:sz="4" w:space="0"/>
              <w:left w:val="single" w:color="auto" w:sz="4" w:space="0"/>
              <w:bottom w:val="single" w:color="auto" w:sz="4" w:space="0"/>
              <w:right w:val="single" w:color="auto" w:sz="4" w:space="0"/>
            </w:tcBorders>
            <w:vAlign w:val="center"/>
          </w:tcPr>
          <w:p w14:paraId="79BFA2C3">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1614B106">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2025年婺城区单村供水物业化管理项目</w:t>
            </w:r>
          </w:p>
        </w:tc>
      </w:tr>
      <w:tr w14:paraId="0EC9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7" w:type="dxa"/>
            <w:tcBorders>
              <w:top w:val="single" w:color="auto" w:sz="4" w:space="0"/>
              <w:left w:val="single" w:color="auto" w:sz="4" w:space="0"/>
              <w:bottom w:val="single" w:color="auto" w:sz="4" w:space="0"/>
              <w:right w:val="single" w:color="auto" w:sz="4" w:space="0"/>
            </w:tcBorders>
            <w:vAlign w:val="center"/>
          </w:tcPr>
          <w:p w14:paraId="2CD1BC3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5D6C20E7">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投标报价及费用：</w:t>
            </w:r>
          </w:p>
          <w:p w14:paraId="1A5429AF">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1.</w:t>
            </w:r>
            <w:r>
              <w:rPr>
                <w:rFonts w:hint="eastAsia" w:hAnsi="宋体" w:cs="宋体"/>
                <w:b/>
                <w:color w:val="auto"/>
                <w:sz w:val="21"/>
                <w:szCs w:val="21"/>
                <w:highlight w:val="none"/>
              </w:rPr>
              <w:t>本项目投标应以人民币报价；</w:t>
            </w:r>
          </w:p>
          <w:p w14:paraId="116F5BBA">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291FD602">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3.投标人取得中标资格后，须参照原国家计委的计价格（2002）1980号《关于招标代理服务收费管理暂行办法的通知》文件规定标准向招标代理机构</w:t>
            </w:r>
            <w:r>
              <w:rPr>
                <w:rFonts w:hint="eastAsia" w:hAnsi="宋体" w:cs="宋体"/>
                <w:b/>
                <w:color w:val="auto"/>
                <w:sz w:val="21"/>
                <w:szCs w:val="21"/>
                <w:highlight w:val="none"/>
                <w:lang w:val="en-US" w:eastAsia="zh-CN"/>
              </w:rPr>
              <w:t>支付</w:t>
            </w:r>
            <w:r>
              <w:rPr>
                <w:rFonts w:hint="eastAsia" w:hAnsi="宋体" w:cs="宋体"/>
                <w:b/>
                <w:color w:val="auto"/>
                <w:sz w:val="21"/>
                <w:szCs w:val="21"/>
                <w:highlight w:val="none"/>
              </w:rPr>
              <w:t>采购代理服务费，服务费按中标金额计算</w:t>
            </w:r>
            <w:r>
              <w:rPr>
                <w:rStyle w:val="67"/>
                <w:rFonts w:hint="eastAsia" w:ascii="宋体" w:hAnsi="宋体" w:cs="宋体"/>
                <w:b/>
                <w:bCs/>
                <w:color w:val="auto"/>
                <w:szCs w:val="21"/>
                <w:highlight w:val="none"/>
              </w:rPr>
              <w:t>(服务费计算费率：100万元以内部分按1.5%，100万元-500万元部分按0.8%，剩余部分按0.45%计算)</w:t>
            </w:r>
            <w:r>
              <w:rPr>
                <w:rFonts w:hint="eastAsia" w:hAnsi="宋体" w:cs="宋体"/>
                <w:b/>
                <w:color w:val="auto"/>
                <w:sz w:val="21"/>
                <w:szCs w:val="21"/>
                <w:highlight w:val="none"/>
              </w:rPr>
              <w:t>，中标人在收到中标通知书的同时向招标代理机构以银行转账等形式支付采购代理服务费：户名：金华市天盈招标代理有限公司</w:t>
            </w:r>
          </w:p>
          <w:p w14:paraId="50F37175">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 xml:space="preserve">开户行：杭州银行股份有限公司金华分行  </w:t>
            </w:r>
          </w:p>
          <w:p w14:paraId="73613257">
            <w:pPr>
              <w:snapToGrid w:val="0"/>
              <w:spacing w:line="460" w:lineRule="exact"/>
              <w:rPr>
                <w:rFonts w:hint="eastAsia" w:hAnsi="宋体" w:cs="宋体"/>
                <w:b/>
                <w:color w:val="auto"/>
                <w:sz w:val="21"/>
                <w:szCs w:val="21"/>
                <w:highlight w:val="none"/>
              </w:rPr>
            </w:pPr>
            <w:r>
              <w:rPr>
                <w:rFonts w:hint="eastAsia" w:hAnsi="宋体" w:cs="宋体"/>
                <w:b/>
                <w:color w:val="auto"/>
                <w:sz w:val="21"/>
                <w:szCs w:val="21"/>
                <w:highlight w:val="none"/>
              </w:rPr>
              <w:t>账  号： 3307041060000093980</w:t>
            </w:r>
          </w:p>
          <w:p w14:paraId="0A7DF7B0">
            <w:pPr>
              <w:snapToGrid w:val="0"/>
              <w:spacing w:line="460" w:lineRule="exact"/>
              <w:rPr>
                <w:rFonts w:hAnsi="宋体" w:cs="宋体"/>
                <w:b/>
                <w:bCs/>
                <w:color w:val="auto"/>
                <w:sz w:val="21"/>
                <w:szCs w:val="21"/>
                <w:highlight w:val="none"/>
              </w:rPr>
            </w:pPr>
            <w:r>
              <w:rPr>
                <w:rFonts w:hint="eastAsia" w:hAnsi="宋体" w:cs="宋体"/>
                <w:b/>
                <w:color w:val="auto"/>
                <w:sz w:val="21"/>
                <w:szCs w:val="21"/>
                <w:highlight w:val="none"/>
              </w:rPr>
              <w:t>行  号： 313338062027。（汇款用途请注明“采购代理服务费”及项目编号）</w:t>
            </w:r>
          </w:p>
        </w:tc>
      </w:tr>
      <w:tr w14:paraId="26D8D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2A2F031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02C8A584">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268DF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005CFF71">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1B9416B2">
            <w:pPr>
              <w:widowControl/>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政策落实：</w:t>
            </w:r>
          </w:p>
          <w:p w14:paraId="5333F038">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55BD0C7C">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8ED16AC">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人民币</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rPr>
              <w:t>406.82</w:t>
            </w:r>
            <w:r>
              <w:rPr>
                <w:rFonts w:hint="eastAsia" w:hAnsi="宋体" w:cs="宋体"/>
                <w:color w:val="auto"/>
                <w:sz w:val="21"/>
                <w:szCs w:val="21"/>
                <w:highlight w:val="none"/>
              </w:rPr>
              <w:t>万元</w:t>
            </w:r>
          </w:p>
          <w:p w14:paraId="4D5E5E66">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14:paraId="01786192">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lang w:eastAsia="zh-CN"/>
              </w:rPr>
              <w:t>其他未列明行业--水利、环境和公共设施管理业</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（具体根据《中小企业划型标准规定》执行）</w:t>
            </w:r>
          </w:p>
          <w:p w14:paraId="5C820D1C">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否  </w:t>
            </w:r>
            <w:r>
              <w:rPr>
                <w:rFonts w:hint="eastAsia" w:hAnsi="宋体" w:cs="宋体"/>
                <w:color w:val="auto"/>
                <w:sz w:val="21"/>
                <w:szCs w:val="21"/>
                <w:highlight w:val="none"/>
              </w:rPr>
              <w:t>（是/否）属于预留份额专门面向中小企业采购的项目。</w:t>
            </w:r>
          </w:p>
          <w:p w14:paraId="79D64470">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（5）对于经主管预算单位统筹后未预留份额专门面向中小企业采购的采购项目，以及预留份额项目中的非预留部分采购包，对小微企业报价给予10%的扣除，用扣除后的价格参加评审。 </w:t>
            </w:r>
          </w:p>
          <w:p w14:paraId="2AD84A07">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color w:val="auto"/>
                <w:sz w:val="21"/>
                <w:szCs w:val="21"/>
                <w:highlight w:val="none"/>
                <w:u w:val="single"/>
              </w:rPr>
              <w:t>6%</w:t>
            </w:r>
            <w:r>
              <w:rPr>
                <w:rFonts w:hint="eastAsia" w:hAnsi="宋体" w:cs="宋体"/>
                <w:color w:val="auto"/>
                <w:sz w:val="21"/>
                <w:szCs w:val="21"/>
                <w:highlight w:val="none"/>
              </w:rPr>
              <w:t>的扣除，用扣除后的价格参加评审。</w:t>
            </w:r>
          </w:p>
          <w:p w14:paraId="3BAEE993">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36515B5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（注：本项目不适用。）</w:t>
            </w:r>
          </w:p>
          <w:p w14:paraId="71AE17FB">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739ABCDC">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（注：本项目不适用。）</w:t>
            </w:r>
          </w:p>
        </w:tc>
      </w:tr>
      <w:tr w14:paraId="484AC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3AE4A5A3">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5</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593BA9E5">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rPr>
              <w:t>信用查询：</w:t>
            </w:r>
          </w:p>
          <w:p w14:paraId="008A3A7F">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358D784D">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54BEB991">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332013B7">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7D6B9484">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4A7AB1B">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p>
        </w:tc>
      </w:tr>
      <w:tr w14:paraId="29D54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594039C5">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2658" w:type="dxa"/>
            <w:tcBorders>
              <w:top w:val="single" w:color="auto" w:sz="4" w:space="0"/>
              <w:left w:val="single" w:color="auto" w:sz="4" w:space="0"/>
              <w:bottom w:val="single" w:color="auto" w:sz="4" w:space="0"/>
              <w:right w:val="single" w:color="auto" w:sz="4" w:space="0"/>
            </w:tcBorders>
            <w:vAlign w:val="center"/>
          </w:tcPr>
          <w:p w14:paraId="0E8D1014">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465" w:type="dxa"/>
            <w:tcBorders>
              <w:top w:val="single" w:color="auto" w:sz="4" w:space="0"/>
              <w:left w:val="single" w:color="auto" w:sz="4" w:space="0"/>
              <w:bottom w:val="single" w:color="auto" w:sz="4" w:space="0"/>
              <w:right w:val="single" w:color="auto" w:sz="4" w:space="0"/>
            </w:tcBorders>
            <w:vAlign w:val="center"/>
          </w:tcPr>
          <w:p w14:paraId="2EB6E1F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lang w:eastAsia="zh-CN"/>
              </w:rPr>
              <w:t>其他未列明行业--水利、环境和公共设施管理业</w:t>
            </w:r>
            <w:r>
              <w:rPr>
                <w:rFonts w:hint="eastAsia" w:hAnsi="宋体" w:cs="宋体"/>
                <w:color w:val="auto"/>
                <w:sz w:val="21"/>
                <w:szCs w:val="21"/>
                <w:highlight w:val="none"/>
              </w:rPr>
              <w:t>”。</w:t>
            </w:r>
          </w:p>
        </w:tc>
      </w:tr>
      <w:tr w14:paraId="1D72C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6AA6CC80">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2658" w:type="dxa"/>
            <w:tcBorders>
              <w:top w:val="single" w:color="auto" w:sz="4" w:space="0"/>
              <w:left w:val="single" w:color="auto" w:sz="4" w:space="0"/>
              <w:bottom w:val="single" w:color="auto" w:sz="4" w:space="0"/>
              <w:right w:val="single" w:color="auto" w:sz="4" w:space="0"/>
            </w:tcBorders>
            <w:vAlign w:val="center"/>
          </w:tcPr>
          <w:p w14:paraId="6AF17B57">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节能产品</w:t>
            </w:r>
          </w:p>
        </w:tc>
        <w:tc>
          <w:tcPr>
            <w:tcW w:w="6465" w:type="dxa"/>
            <w:tcBorders>
              <w:top w:val="single" w:color="auto" w:sz="4" w:space="0"/>
              <w:left w:val="single" w:color="auto" w:sz="4" w:space="0"/>
              <w:bottom w:val="single" w:color="auto" w:sz="4" w:space="0"/>
              <w:right w:val="single" w:color="auto" w:sz="4" w:space="0"/>
            </w:tcBorders>
            <w:vAlign w:val="center"/>
          </w:tcPr>
          <w:p w14:paraId="6C4FA007">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0C3D960E">
            <w:pPr>
              <w:pStyle w:val="111"/>
              <w:adjustRightInd w:val="0"/>
              <w:snapToGrid w:val="0"/>
              <w:spacing w:line="460" w:lineRule="exact"/>
              <w:jc w:val="left"/>
              <w:rPr>
                <w:rFonts w:hAnsi="宋体" w:cs="宋体"/>
                <w:color w:val="auto"/>
                <w:kern w:val="2"/>
                <w:sz w:val="21"/>
                <w:highlight w:val="none"/>
              </w:rPr>
            </w:pPr>
            <w:r>
              <w:rPr>
                <w:rFonts w:hint="eastAsia" w:hAnsi="宋体" w:cs="宋体"/>
                <w:color w:val="auto"/>
                <w:kern w:val="2"/>
                <w:sz w:val="21"/>
                <w:highlight w:val="none"/>
              </w:rPr>
              <w:sym w:font="Wingdings" w:char="00A8"/>
            </w:r>
            <w:r>
              <w:rPr>
                <w:rFonts w:hint="eastAsia" w:hAnsi="宋体" w:cs="宋体"/>
                <w:color w:val="auto"/>
                <w:kern w:val="2"/>
                <w:sz w:val="21"/>
                <w:highlight w:val="none"/>
              </w:rPr>
              <w:t xml:space="preserve"> 优先采购节能产品</w:t>
            </w:r>
          </w:p>
          <w:p w14:paraId="42237C6C">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w:t>
            </w:r>
            <w:r>
              <w:rPr>
                <w:rFonts w:hint="eastAsia" w:hAnsi="宋体" w:cs="宋体"/>
                <w:color w:val="auto"/>
                <w:kern w:val="2"/>
                <w:sz w:val="21"/>
                <w:szCs w:val="21"/>
                <w:highlight w:val="none"/>
              </w:rPr>
              <w:t>不适用</w:t>
            </w:r>
          </w:p>
        </w:tc>
      </w:tr>
      <w:tr w14:paraId="2B0AA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05B0DF60">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2658" w:type="dxa"/>
            <w:tcBorders>
              <w:top w:val="single" w:color="auto" w:sz="4" w:space="0"/>
              <w:left w:val="single" w:color="auto" w:sz="4" w:space="0"/>
              <w:bottom w:val="single" w:color="auto" w:sz="4" w:space="0"/>
              <w:right w:val="single" w:color="auto" w:sz="4" w:space="0"/>
            </w:tcBorders>
            <w:vAlign w:val="center"/>
          </w:tcPr>
          <w:p w14:paraId="1E05F41E">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465" w:type="dxa"/>
            <w:tcBorders>
              <w:top w:val="single" w:color="auto" w:sz="4" w:space="0"/>
              <w:left w:val="single" w:color="auto" w:sz="4" w:space="0"/>
              <w:bottom w:val="single" w:color="auto" w:sz="4" w:space="0"/>
              <w:right w:val="single" w:color="auto" w:sz="4" w:space="0"/>
            </w:tcBorders>
            <w:vAlign w:val="center"/>
          </w:tcPr>
          <w:p w14:paraId="21DEF07B">
            <w:pPr>
              <w:pStyle w:val="111"/>
              <w:adjustRightInd w:val="0"/>
              <w:snapToGrid w:val="0"/>
              <w:spacing w:line="460" w:lineRule="exact"/>
              <w:jc w:val="left"/>
              <w:rPr>
                <w:rFonts w:hAnsi="宋体" w:cs="宋体"/>
                <w:color w:val="auto"/>
                <w:kern w:val="2"/>
                <w:sz w:val="21"/>
                <w:highlight w:val="none"/>
              </w:rPr>
            </w:pPr>
            <w:r>
              <w:rPr>
                <w:rFonts w:hint="eastAsia" w:hAnsi="宋体" w:cs="宋体"/>
                <w:color w:val="auto"/>
                <w:kern w:val="2"/>
                <w:sz w:val="21"/>
                <w:highlight w:val="none"/>
              </w:rPr>
              <w:sym w:font="Wingdings" w:char="00A8"/>
            </w:r>
            <w:r>
              <w:rPr>
                <w:rFonts w:hint="eastAsia" w:hAnsi="宋体" w:cs="宋体"/>
                <w:color w:val="auto"/>
                <w:kern w:val="2"/>
                <w:sz w:val="21"/>
                <w:highlight w:val="none"/>
              </w:rPr>
              <w:t xml:space="preserve"> </w:t>
            </w:r>
            <w:r>
              <w:rPr>
                <w:rFonts w:hint="eastAsia" w:hAnsi="宋体" w:cs="宋体"/>
                <w:color w:val="auto"/>
                <w:sz w:val="21"/>
                <w:highlight w:val="none"/>
              </w:rPr>
              <w:t>强制采购</w:t>
            </w:r>
            <w:r>
              <w:rPr>
                <w:rFonts w:hint="eastAsia" w:hAnsi="宋体" w:cs="宋体"/>
                <w:color w:val="auto"/>
                <w:kern w:val="2"/>
                <w:sz w:val="21"/>
                <w:highlight w:val="none"/>
              </w:rPr>
              <w:t>环境标志产品</w:t>
            </w:r>
          </w:p>
          <w:p w14:paraId="37C1A8AA">
            <w:pPr>
              <w:pStyle w:val="111"/>
              <w:adjustRightInd w:val="0"/>
              <w:snapToGrid w:val="0"/>
              <w:spacing w:line="460" w:lineRule="exact"/>
              <w:jc w:val="left"/>
              <w:rPr>
                <w:rFonts w:hAnsi="宋体" w:cs="宋体"/>
                <w:color w:val="auto"/>
                <w:kern w:val="2"/>
                <w:sz w:val="21"/>
                <w:highlight w:val="none"/>
              </w:rPr>
            </w:pPr>
            <w:r>
              <w:rPr>
                <w:rFonts w:hint="eastAsia" w:hAnsi="宋体" w:cs="宋体"/>
                <w:color w:val="auto"/>
                <w:kern w:val="2"/>
                <w:sz w:val="21"/>
                <w:highlight w:val="none"/>
              </w:rPr>
              <w:sym w:font="Wingdings" w:char="00A8"/>
            </w:r>
            <w:r>
              <w:rPr>
                <w:rFonts w:hint="eastAsia" w:hAnsi="宋体" w:cs="宋体"/>
                <w:color w:val="auto"/>
                <w:kern w:val="2"/>
                <w:sz w:val="21"/>
                <w:highlight w:val="none"/>
              </w:rPr>
              <w:t xml:space="preserve"> 优先采购环境标志产品</w:t>
            </w:r>
          </w:p>
          <w:p w14:paraId="0901BE50">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不适用</w:t>
            </w:r>
          </w:p>
        </w:tc>
      </w:tr>
      <w:tr w14:paraId="11CE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7CF8DBAA">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9</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3580B8B5">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投标文件的递交：</w:t>
            </w:r>
          </w:p>
          <w:p w14:paraId="092A2AD7">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本项目投标文件分</w:t>
            </w:r>
            <w:r>
              <w:rPr>
                <w:rFonts w:hint="eastAsia" w:hAnsi="宋体" w:cs="宋体"/>
                <w:b/>
                <w:bCs/>
                <w:color w:val="auto"/>
                <w:sz w:val="21"/>
                <w:szCs w:val="21"/>
                <w:highlight w:val="none"/>
              </w:rPr>
              <w:t>资格文件、商务技术文件、报价文件</w:t>
            </w:r>
            <w:r>
              <w:rPr>
                <w:rFonts w:hint="eastAsia" w:hAnsi="宋体" w:cs="宋体"/>
                <w:color w:val="auto"/>
                <w:sz w:val="21"/>
                <w:szCs w:val="21"/>
                <w:highlight w:val="none"/>
              </w:rPr>
              <w:t xml:space="preserve"> 三部分。投标人应以以下方式递交投标文件：</w:t>
            </w:r>
          </w:p>
          <w:p w14:paraId="626498D5">
            <w:pPr>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★1.本项目实行“网上电子投标、电子评标”，投标人应于投标截止时间前在“政采云”（ 电子交易客户端）上传输、递交电子版投标文件（包括资格文件、商务技术文件和报价文件）；</w:t>
            </w:r>
          </w:p>
          <w:p w14:paraId="4395AE3F">
            <w:pPr>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2.本招标文件所涉及的法定代表人或其授权代表签字或盖章的内容，如果投标人没有法定代表人电子签章，涉及法定代表人或其授权代表签字或盖章的内容，投标人可以线下签字或盖章后扫描上传。</w:t>
            </w:r>
          </w:p>
          <w:p w14:paraId="093BF2BC">
            <w:pPr>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★联合体投标的，须以联合体投标人的牵头单位的CA进行投标文件制作。</w:t>
            </w:r>
          </w:p>
        </w:tc>
      </w:tr>
      <w:tr w14:paraId="65D25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50317FF3">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7E64529D">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投标截止时间及地点：</w:t>
            </w:r>
          </w:p>
          <w:p w14:paraId="0D84CDA6">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7CC45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174B5964">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45884927">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bCs/>
                <w:color w:val="auto"/>
                <w:sz w:val="21"/>
                <w:szCs w:val="21"/>
                <w:highlight w:val="none"/>
                <w:lang w:val="en-US" w:eastAsia="zh-CN"/>
              </w:rPr>
              <w:t>14</w:t>
            </w:r>
            <w:r>
              <w:rPr>
                <w:rFonts w:hint="eastAsia" w:hAnsi="宋体" w:cs="宋体"/>
                <w:bCs/>
                <w:color w:val="auto"/>
                <w:sz w:val="21"/>
                <w:szCs w:val="21"/>
                <w:highlight w:val="none"/>
              </w:rPr>
              <w:t>点30分</w:t>
            </w:r>
            <w:r>
              <w:rPr>
                <w:rFonts w:hint="eastAsia" w:hAnsi="宋体" w:cs="宋体"/>
                <w:color w:val="auto"/>
                <w:sz w:val="21"/>
                <w:szCs w:val="21"/>
                <w:highlight w:val="none"/>
              </w:rPr>
              <w:t xml:space="preserve">，金华市双龙南街858号金华财富大厦（金华市行政服务中心新办事大厅4楼开标 </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 xml:space="preserve"> 室）</w:t>
            </w:r>
          </w:p>
          <w:p w14:paraId="19A54175">
            <w:pPr>
              <w:snapToGrid w:val="0"/>
              <w:spacing w:line="44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2A3EE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7" w:type="dxa"/>
            <w:tcBorders>
              <w:top w:val="single" w:color="auto" w:sz="4" w:space="0"/>
              <w:left w:val="single" w:color="auto" w:sz="4" w:space="0"/>
              <w:bottom w:val="single" w:color="auto" w:sz="4" w:space="0"/>
              <w:right w:val="single" w:color="auto" w:sz="4" w:space="0"/>
            </w:tcBorders>
            <w:vAlign w:val="center"/>
          </w:tcPr>
          <w:p w14:paraId="2839883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12</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3E7AC7D1">
            <w:pPr>
              <w:snapToGrid w:val="0"/>
              <w:spacing w:line="460" w:lineRule="exact"/>
              <w:textAlignment w:val="bottom"/>
              <w:rPr>
                <w:rFonts w:hAnsi="宋体" w:cs="宋体"/>
                <w:color w:val="auto"/>
                <w:sz w:val="21"/>
                <w:szCs w:val="21"/>
                <w:highlight w:val="none"/>
              </w:rPr>
            </w:pPr>
            <w:r>
              <w:rPr>
                <w:rFonts w:hint="eastAsia" w:hAnsi="宋体" w:cs="宋体"/>
                <w:b/>
                <w:color w:val="auto"/>
                <w:sz w:val="21"/>
                <w:szCs w:val="21"/>
                <w:highlight w:val="none"/>
              </w:rPr>
              <w:t>履约保证金的收取及退还：</w:t>
            </w:r>
            <w:r>
              <w:rPr>
                <w:rFonts w:hint="eastAsia" w:hAnsi="宋体" w:cs="宋体"/>
                <w:color w:val="auto"/>
                <w:sz w:val="21"/>
                <w:szCs w:val="21"/>
                <w:highlight w:val="none"/>
              </w:rPr>
              <w:t>无须缴纳。</w:t>
            </w:r>
          </w:p>
        </w:tc>
      </w:tr>
      <w:tr w14:paraId="19B2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37" w:type="dxa"/>
            <w:tcBorders>
              <w:top w:val="single" w:color="auto" w:sz="4" w:space="0"/>
              <w:left w:val="single" w:color="auto" w:sz="4" w:space="0"/>
              <w:bottom w:val="single" w:color="auto" w:sz="4" w:space="0"/>
              <w:right w:val="single" w:color="auto" w:sz="4" w:space="0"/>
            </w:tcBorders>
            <w:vAlign w:val="center"/>
          </w:tcPr>
          <w:p w14:paraId="257DE36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6C6D321A">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评标办法：综合评分法。</w:t>
            </w:r>
          </w:p>
        </w:tc>
      </w:tr>
      <w:tr w14:paraId="5092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7" w:type="dxa"/>
            <w:tcBorders>
              <w:top w:val="single" w:color="auto" w:sz="4" w:space="0"/>
              <w:left w:val="single" w:color="auto" w:sz="4" w:space="0"/>
              <w:bottom w:val="single" w:color="auto" w:sz="4" w:space="0"/>
              <w:right w:val="single" w:color="auto" w:sz="4" w:space="0"/>
            </w:tcBorders>
            <w:vAlign w:val="center"/>
          </w:tcPr>
          <w:p w14:paraId="5325513C">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6A4A5175">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结果公示：结果公示于浙江政府采购网（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 xml:space="preserve">) </w:t>
            </w:r>
          </w:p>
        </w:tc>
      </w:tr>
      <w:tr w14:paraId="47C5F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37" w:type="dxa"/>
            <w:tcBorders>
              <w:top w:val="single" w:color="auto" w:sz="4" w:space="0"/>
              <w:left w:val="single" w:color="auto" w:sz="4" w:space="0"/>
              <w:bottom w:val="single" w:color="auto" w:sz="4" w:space="0"/>
              <w:right w:val="single" w:color="auto" w:sz="4" w:space="0"/>
            </w:tcBorders>
            <w:vAlign w:val="center"/>
          </w:tcPr>
          <w:p w14:paraId="29F75AD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1C68B4CD">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资料核实及合同签订时间：</w:t>
            </w:r>
          </w:p>
          <w:p w14:paraId="07B37C5C">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1.资料核实：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6B92F0C8">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2.签订合同时间：中标通知书发出后20日内。</w:t>
            </w:r>
          </w:p>
        </w:tc>
      </w:tr>
      <w:tr w14:paraId="7608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37" w:type="dxa"/>
            <w:tcBorders>
              <w:top w:val="single" w:color="auto" w:sz="4" w:space="0"/>
              <w:left w:val="single" w:color="auto" w:sz="4" w:space="0"/>
              <w:bottom w:val="single" w:color="auto" w:sz="4" w:space="0"/>
              <w:right w:val="single" w:color="auto" w:sz="4" w:space="0"/>
            </w:tcBorders>
            <w:vAlign w:val="center"/>
          </w:tcPr>
          <w:p w14:paraId="6EA0737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2A9C85D8">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投标文件有效期：90天。</w:t>
            </w:r>
          </w:p>
        </w:tc>
      </w:tr>
      <w:tr w14:paraId="12E7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37" w:type="dxa"/>
            <w:tcBorders>
              <w:top w:val="single" w:color="auto" w:sz="4" w:space="0"/>
              <w:left w:val="single" w:color="auto" w:sz="4" w:space="0"/>
              <w:bottom w:val="single" w:color="auto" w:sz="4" w:space="0"/>
              <w:right w:val="single" w:color="auto" w:sz="4" w:space="0"/>
            </w:tcBorders>
            <w:vAlign w:val="center"/>
          </w:tcPr>
          <w:p w14:paraId="0E4AA784">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9123" w:type="dxa"/>
            <w:gridSpan w:val="2"/>
            <w:tcBorders>
              <w:top w:val="single" w:color="auto" w:sz="4" w:space="0"/>
              <w:left w:val="single" w:color="auto" w:sz="4" w:space="0"/>
              <w:bottom w:val="single" w:color="auto" w:sz="4" w:space="0"/>
              <w:right w:val="single" w:color="auto" w:sz="4" w:space="0"/>
            </w:tcBorders>
            <w:vAlign w:val="center"/>
          </w:tcPr>
          <w:p w14:paraId="21DBF8B4">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6D583D74">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一、总则</w:t>
      </w:r>
    </w:p>
    <w:p w14:paraId="105C845F">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（一）适用范围</w:t>
      </w:r>
    </w:p>
    <w:p w14:paraId="059D7BA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2025年婺城区单村供水物业化管理项目</w:t>
      </w:r>
      <w:r>
        <w:rPr>
          <w:rFonts w:hint="eastAsia" w:hAnsi="宋体" w:cs="宋体"/>
          <w:color w:val="auto"/>
          <w:sz w:val="21"/>
          <w:szCs w:val="21"/>
          <w:highlight w:val="none"/>
        </w:rPr>
        <w:t>的招标、投标、评标、定标、集体验收、合同履约、付款等行为（法律、法规另有规定的，从其规定）。</w:t>
      </w:r>
    </w:p>
    <w:p w14:paraId="2EB6189E">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（二）定义</w:t>
      </w:r>
    </w:p>
    <w:p w14:paraId="0A0FFD1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1.招标采购单位系指组织本次招标的代理机构和采购人（又称“采购单位”“招标人”）。</w:t>
      </w:r>
    </w:p>
    <w:p w14:paraId="72BB447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2.“投标人”系指向招标采购单位提交投标文件的单位或个人或投标联合体，本次招标对合格投标人的具体要求见招标公告。</w:t>
      </w:r>
    </w:p>
    <w:p w14:paraId="281C5A7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.“服务”</w:t>
      </w:r>
      <w:r>
        <w:rPr>
          <w:rStyle w:val="67"/>
          <w:rFonts w:hint="eastAsia" w:hAnsi="宋体"/>
          <w:color w:val="auto"/>
          <w:highlight w:val="none"/>
        </w:rPr>
        <w:t>系</w:t>
      </w:r>
      <w:r>
        <w:rPr>
          <w:rFonts w:hint="eastAsia" w:hAnsi="宋体" w:cs="宋体"/>
          <w:color w:val="auto"/>
          <w:sz w:val="21"/>
          <w:szCs w:val="21"/>
          <w:highlight w:val="none"/>
        </w:rPr>
        <w:t>中标人受</w:t>
      </w:r>
      <w:r>
        <w:rPr>
          <w:rFonts w:hint="eastAsia" w:hAnsi="宋体" w:cs="宋体"/>
          <w:color w:val="auto"/>
          <w:sz w:val="21"/>
          <w:szCs w:val="21"/>
          <w:highlight w:val="none"/>
          <w:lang w:eastAsia="zh-CN"/>
        </w:rPr>
        <w:t>金华市婺城区水务局</w:t>
      </w:r>
      <w:r>
        <w:rPr>
          <w:rFonts w:hint="eastAsia" w:hAnsi="宋体" w:cs="宋体"/>
          <w:color w:val="auto"/>
          <w:sz w:val="21"/>
          <w:szCs w:val="21"/>
          <w:highlight w:val="none"/>
        </w:rPr>
        <w:t>委托提供的</w:t>
      </w:r>
      <w:r>
        <w:rPr>
          <w:rFonts w:hint="eastAsia" w:hAnsi="宋体" w:cs="宋体"/>
          <w:color w:val="auto"/>
          <w:sz w:val="21"/>
          <w:szCs w:val="21"/>
          <w:highlight w:val="none"/>
          <w:lang w:val="en-US" w:eastAsia="zh-CN"/>
        </w:rPr>
        <w:t>管理</w:t>
      </w:r>
      <w:r>
        <w:rPr>
          <w:rFonts w:hint="eastAsia" w:hAnsi="宋体" w:cs="宋体"/>
          <w:color w:val="auto"/>
          <w:sz w:val="21"/>
          <w:szCs w:val="21"/>
          <w:highlight w:val="none"/>
        </w:rPr>
        <w:t>服务以及其他类似的义务。</w:t>
      </w:r>
    </w:p>
    <w:p w14:paraId="4715059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.“项目”系指供应商按采购文件规定向招标人提供的货物和服务。</w:t>
      </w:r>
    </w:p>
    <w:p w14:paraId="58FE0AD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.“书面形式”包括信函、传真、电报等。</w:t>
      </w:r>
    </w:p>
    <w:p w14:paraId="70F4BDE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w:t>
      </w:r>
    </w:p>
    <w:p w14:paraId="4A41135B">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（三）招标方式</w:t>
      </w:r>
    </w:p>
    <w:p w14:paraId="56325D3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本次招标采用公开招标方式进行。</w:t>
      </w:r>
    </w:p>
    <w:p w14:paraId="0AC81887">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（四）投标委托</w:t>
      </w:r>
    </w:p>
    <w:p w14:paraId="22DCE4A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如投标人代表不是法定代表人，须有法定代表人（或“联合体投标人牵头单位的法定代表人”，下同）出具的授权委托书。</w:t>
      </w:r>
    </w:p>
    <w:p w14:paraId="474AB2CB">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（五）投标费用</w:t>
      </w:r>
    </w:p>
    <w:p w14:paraId="50D95E3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不论投标结果如何，投标人均应自行承担所有与投标有关的全部费用（招标文件有相反规定的除外）。</w:t>
      </w:r>
      <w:r>
        <w:rPr>
          <w:rFonts w:hint="eastAsia" w:hAnsi="宋体" w:cs="宋体"/>
          <w:b/>
          <w:bCs/>
          <w:color w:val="auto"/>
          <w:sz w:val="21"/>
          <w:szCs w:val="21"/>
          <w:highlight w:val="none"/>
        </w:rPr>
        <w:t>中标、成交供应商放弃中标、成交资格导致重新采购的，应当承担支付代理费和专家评审费等费用在内的赔偿责任。</w:t>
      </w:r>
    </w:p>
    <w:p w14:paraId="5798698E">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（六）勘察现场</w:t>
      </w:r>
    </w:p>
    <w:p w14:paraId="3B03F4D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采购单位和代理机构不组织集中考察，由各投标人自行安排，但必须在开标5天前进行。投标人在考察过程中发生的各类事件和所发生的各项费用，均由投标人自行承担，采购人和代理机构概不负责。</w:t>
      </w:r>
    </w:p>
    <w:p w14:paraId="2FCE229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2.采购人向投标人提供的有关现场的数据和资料，是采购人现有的能被投标人利用的资料，采购人对投标人据此做出的任何推论、理解和结论不负责任。</w:t>
      </w:r>
    </w:p>
    <w:p w14:paraId="31744F41">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（七）知识产权</w:t>
      </w:r>
    </w:p>
    <w:p w14:paraId="0F6339A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须保证，采购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50527D47">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2.所有投标文件不论中标与否均不退还。</w:t>
      </w:r>
    </w:p>
    <w:p w14:paraId="57B2520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招标过程中，本项目由采购人提供的所有基础资料（包括文字、图纸、电子数据）的版权均受法律保护，投标人应按国家要求做好所有基础资料的保密工作，除为本项目本身使用外，不做其他用途，任何未经采购人同意的修改、拷贝、传播、公开发布等行为都将承担由此引起的一切经济、法律责任。</w:t>
      </w:r>
    </w:p>
    <w:p w14:paraId="29E46D1F">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（八）联合体投标</w:t>
      </w:r>
    </w:p>
    <w:p w14:paraId="698D247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1.为了支持中小企业发展，本项目允许大中型企业与小微企业组成联合体参与投标。</w:t>
      </w:r>
    </w:p>
    <w:p w14:paraId="74570B15">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2.以联合体形式参加投标的，联合体各方均应当符合《政府采购法》第二十二条规定的条件。</w:t>
      </w:r>
    </w:p>
    <w:p w14:paraId="65CF7577">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3.联合体投标时，联合体各方之间应当签订联合协议，明确联合体投标人的牵头单位，并约定联合体各方应当承担的工作和相应的责任，以及</w:t>
      </w:r>
      <w:r>
        <w:rPr>
          <w:rFonts w:hint="eastAsia" w:hAnsi="宋体" w:cs="宋体"/>
          <w:color w:val="auto"/>
          <w:sz w:val="21"/>
          <w:szCs w:val="21"/>
          <w:highlight w:val="none"/>
          <w:lang w:bidi="ar"/>
        </w:rPr>
        <w:t>联合体中中小企业与小微企业所承担工作的合同份额</w:t>
      </w:r>
      <w:r>
        <w:rPr>
          <w:rFonts w:hint="eastAsia" w:hAnsi="宋体" w:cs="宋体"/>
          <w:color w:val="auto"/>
          <w:sz w:val="21"/>
          <w:szCs w:val="21"/>
          <w:highlight w:val="none"/>
        </w:rPr>
        <w:t>占到合同总金额的百分比，然后，将联合协议连同投标文件一并提交。联合体中有同类资质的投标人按照联合体分工承担相同工作的，应当按照资质等级较低的投标人确定资质等级。联合体各方签订联合协议后，不得再以自己的名义单独在同一项目中投标，也不得组成新的联合体参加同一项目投标。联合体各方在同一招标项目中以自己名义单独投标或者参加其他联合体投标的，相关投标均无效。</w:t>
      </w:r>
    </w:p>
    <w:p w14:paraId="68A8585F">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4.联合体各方应当共同与招标人签订采购合同，就采购合同约定的事项对招标人承担连带责任。</w:t>
      </w:r>
    </w:p>
    <w:p w14:paraId="381F7E99">
      <w:pPr>
        <w:autoSpaceDE/>
        <w:autoSpaceDN/>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5.以联合体形式参加政府采购活动，联合体各方均为中小企业的，联合体视同中小企业。其中，联合体各方均为小微企业的，联合体视同小微企业。</w:t>
      </w:r>
    </w:p>
    <w:p w14:paraId="29AF6416">
      <w:pPr>
        <w:autoSpaceDE/>
        <w:autoSpaceDN/>
        <w:adjustRightInd/>
        <w:spacing w:line="500" w:lineRule="exact"/>
        <w:ind w:left="415" w:leftChars="122"/>
        <w:jc w:val="both"/>
        <w:rPr>
          <w:rFonts w:hAnsi="宋体" w:cs="宋体"/>
          <w:b/>
          <w:color w:val="auto"/>
          <w:sz w:val="21"/>
          <w:szCs w:val="21"/>
          <w:highlight w:val="none"/>
        </w:rPr>
      </w:pPr>
      <w:r>
        <w:rPr>
          <w:rFonts w:hint="eastAsia" w:hAnsi="宋体" w:cs="宋体"/>
          <w:b/>
          <w:color w:val="auto"/>
          <w:sz w:val="21"/>
          <w:szCs w:val="21"/>
          <w:highlight w:val="none"/>
        </w:rPr>
        <w:t>（九）转包与分包</w:t>
      </w:r>
    </w:p>
    <w:p w14:paraId="44DF6EC8">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1.转包：本项目不允许转包。</w:t>
      </w:r>
    </w:p>
    <w:p w14:paraId="57758D67">
      <w:pPr>
        <w:autoSpaceDE/>
        <w:autoSpaceDN/>
        <w:adjustRightInd/>
        <w:snapToGri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 xml:space="preserve">2.分包：为了支持中小企业发展，本项目鼓励大中型企业向小微企业合理分包。接受分包合同的小微企业与分包企业之间不得存在直接控股、管理关系。 </w:t>
      </w:r>
    </w:p>
    <w:p w14:paraId="61BBFB6C">
      <w:pPr>
        <w:autoSpaceDE/>
        <w:autoSpaceDN/>
        <w:adjustRightInd/>
        <w:snapToGri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投标人在工作分包时，应当在投标文件中载明分包承担主体、分包工作内容及分包合同份额占到合同总金额的百分比，分包承担主体应当具备相应资质条件且不得再次分包。</w:t>
      </w:r>
    </w:p>
    <w:p w14:paraId="4F3E579C">
      <w:pPr>
        <w:autoSpaceDE/>
        <w:autoSpaceDN/>
        <w:adjustRightInd/>
        <w:snapToGri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政府采购合同采用分包履行的，中标供应商就采购项目和分包项目向采购人负责，分包供应商就分包项目承担责任。</w:t>
      </w:r>
    </w:p>
    <w:p w14:paraId="54E7F2B1">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（十）特别说明</w:t>
      </w:r>
    </w:p>
    <w:p w14:paraId="4C7413C5">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4CA982C0">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highlight w:val="none"/>
        </w:rPr>
        <w:t>2.</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72BC7125">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投标所使用的资格、信誉、荣誉、业绩与企业认证必须为本法人（或本投标联合体）所拥有。投标人投标所使用的采购项目实施人员必须为本法人（或本投标联合体）员工（或必须为本法人或控股公司正式员工）。</w:t>
      </w:r>
    </w:p>
    <w:p w14:paraId="7FB4B968">
      <w:pPr>
        <w:autoSpaceDE/>
        <w:autoSpaceDN/>
        <w:adjustRightInd/>
        <w:spacing w:line="46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w:t>
      </w:r>
      <w:r>
        <w:rPr>
          <w:rFonts w:hint="eastAsia" w:ascii="宋体" w:hAnsi="宋体" w:eastAsia="宋体" w:cs="宋体"/>
          <w:color w:val="auto"/>
          <w:sz w:val="21"/>
          <w:szCs w:val="21"/>
          <w:highlight w:val="none"/>
        </w:rPr>
        <w:t>投标人应仔细阅读招标文件的所有内容，按照招标文件的要求提交投标文件。投标人必须对投标文件所提供的全部资料的真实性承担法律责任，并无条件接受采购代理机构、招标人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采购人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等对其中任何资料进行核实的要求。需要特别说明的是，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342D8F9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5.投标人在投标活动中提供任何虚假材料，其投标无效，并报监管部门查处；中标后发现的，中标人须依照相关法律法规规定赔偿采购人，且民事赔偿并不免除违法投标人的行政与刑事责任。</w:t>
      </w:r>
    </w:p>
    <w:p w14:paraId="7E043A79">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（十一）质疑和投诉</w:t>
      </w:r>
    </w:p>
    <w:p w14:paraId="54DBF136">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19EFB2F8">
      <w:pPr>
        <w:autoSpaceDE/>
        <w:autoSpaceDN/>
        <w:adjustRightInd/>
        <w:spacing w:line="460" w:lineRule="exact"/>
        <w:ind w:firstLine="420" w:firstLineChars="200"/>
        <w:jc w:val="both"/>
        <w:rPr>
          <w:rFonts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71E8602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1EBA56F4">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二、招标文件</w:t>
      </w:r>
    </w:p>
    <w:p w14:paraId="13AA8066">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6446E3C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公开</w:t>
      </w:r>
      <w:r>
        <w:rPr>
          <w:rFonts w:hint="eastAsia" w:hAnsi="宋体" w:cs="宋体"/>
          <w:color w:val="auto"/>
          <w:sz w:val="21"/>
          <w:szCs w:val="21"/>
          <w:highlight w:val="none"/>
        </w:rPr>
        <w:t>招标</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公告</w:t>
      </w:r>
    </w:p>
    <w:p w14:paraId="76C8271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2.招标需求</w:t>
      </w:r>
    </w:p>
    <w:p w14:paraId="42CF4AD8">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3.投标人须知</w:t>
      </w:r>
    </w:p>
    <w:p w14:paraId="40EF4F1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4.评标办法及</w:t>
      </w:r>
      <w:r>
        <w:rPr>
          <w:rFonts w:hint="eastAsia" w:hAnsi="宋体" w:cs="宋体"/>
          <w:color w:val="auto"/>
          <w:sz w:val="21"/>
          <w:szCs w:val="21"/>
          <w:highlight w:val="none"/>
          <w:lang w:val="en-US" w:eastAsia="zh-CN"/>
        </w:rPr>
        <w:t>评分</w:t>
      </w:r>
      <w:r>
        <w:rPr>
          <w:rFonts w:hint="eastAsia" w:hAnsi="宋体" w:cs="宋体"/>
          <w:color w:val="auto"/>
          <w:sz w:val="21"/>
          <w:szCs w:val="21"/>
          <w:highlight w:val="none"/>
        </w:rPr>
        <w:t>标准</w:t>
      </w:r>
    </w:p>
    <w:p w14:paraId="47EFCA55">
      <w:pPr>
        <w:autoSpaceDE/>
        <w:autoSpaceDN/>
        <w:adjustRightInd/>
        <w:spacing w:line="500" w:lineRule="exact"/>
        <w:ind w:firstLine="420" w:firstLineChars="200"/>
        <w:jc w:val="both"/>
        <w:rPr>
          <w:rFonts w:hint="eastAsia" w:hAnsi="宋体" w:eastAsia="宋体" w:cs="宋体"/>
          <w:color w:val="auto"/>
          <w:sz w:val="21"/>
          <w:szCs w:val="21"/>
          <w:highlight w:val="none"/>
          <w:lang w:eastAsia="zh-CN"/>
        </w:rPr>
      </w:pPr>
      <w:r>
        <w:rPr>
          <w:rFonts w:hint="eastAsia" w:hAnsi="宋体" w:cs="宋体"/>
          <w:color w:val="auto"/>
          <w:sz w:val="21"/>
          <w:szCs w:val="21"/>
          <w:highlight w:val="none"/>
        </w:rPr>
        <w:t>5.合同</w:t>
      </w:r>
      <w:r>
        <w:rPr>
          <w:rFonts w:hint="eastAsia" w:hAnsi="宋体" w:cs="宋体"/>
          <w:color w:val="auto"/>
          <w:sz w:val="21"/>
          <w:szCs w:val="21"/>
          <w:highlight w:val="none"/>
          <w:lang w:val="en-US" w:eastAsia="zh-CN"/>
        </w:rPr>
        <w:t>文本</w:t>
      </w:r>
    </w:p>
    <w:p w14:paraId="4538525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6.投标文件格式</w:t>
      </w:r>
    </w:p>
    <w:p w14:paraId="482C6F37">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6EAE5D0A">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（二）投标人的风险</w:t>
      </w:r>
    </w:p>
    <w:p w14:paraId="5168B28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689CDB3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采购人、采购代理机构不保证所有已完成报名的投标人都符合资格要求。</w:t>
      </w:r>
    </w:p>
    <w:p w14:paraId="06AD1730">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（三）招标文件的澄清与修改</w:t>
      </w:r>
    </w:p>
    <w:p w14:paraId="1BD05AD5">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7059496">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0A12C624">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30349E68">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4.招标文件的澄清、答复、修改或补充都应该通过本代理机构以法定形式发布，采购人非通过本机构，不得擅自澄清、答复、修改或补充招标文件。</w:t>
      </w:r>
    </w:p>
    <w:p w14:paraId="59E43DA0">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三、投标文件的编制</w:t>
      </w:r>
    </w:p>
    <w:p w14:paraId="20AB9AF7">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77864881">
      <w:pPr>
        <w:tabs>
          <w:tab w:val="left" w:pos="6955"/>
        </w:tabs>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43C1F3A0">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投标文件为电子投标文件。</w:t>
      </w:r>
    </w:p>
    <w:p w14:paraId="7DF29006">
      <w:pPr>
        <w:wordWrap w:val="0"/>
        <w:snapToGrid w:val="0"/>
        <w:spacing w:line="460" w:lineRule="exact"/>
        <w:ind w:firstLine="422" w:firstLineChars="200"/>
        <w:outlineLvl w:val="0"/>
        <w:rPr>
          <w:rFonts w:hAnsi="宋体" w:cs="宋体"/>
          <w:b/>
          <w:color w:val="auto"/>
          <w:sz w:val="21"/>
          <w:szCs w:val="21"/>
          <w:highlight w:val="none"/>
        </w:rPr>
      </w:pPr>
      <w:bookmarkStart w:id="44" w:name="_Toc1321"/>
      <w:r>
        <w:rPr>
          <w:rFonts w:hint="eastAsia" w:hAnsi="宋体" w:cs="宋体"/>
          <w:b/>
          <w:color w:val="auto"/>
          <w:sz w:val="21"/>
          <w:szCs w:val="21"/>
          <w:highlight w:val="none"/>
        </w:rPr>
        <w:t>电子投标文件：电子投标文件按政采云平台供应商项目采购－电子交易操作指南（https://edu.zcygov.cn/luban/e-biding?utm=a0004.2ef5001f.0001.0109.da8b35e0da8611e98d8937b7ef8a3544）及本招标文件要求制作、加密并递交</w:t>
      </w:r>
      <w:bookmarkEnd w:id="44"/>
      <w:r>
        <w:rPr>
          <w:rFonts w:hint="eastAsia" w:hAnsi="宋体" w:cs="宋体"/>
          <w:b/>
          <w:color w:val="auto"/>
          <w:sz w:val="21"/>
          <w:szCs w:val="21"/>
          <w:highlight w:val="none"/>
        </w:rPr>
        <w:t>。</w:t>
      </w:r>
    </w:p>
    <w:p w14:paraId="5ACF8C2A">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（二）投标文件的组成</w:t>
      </w:r>
    </w:p>
    <w:p w14:paraId="75BF6348">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投标文件（电子投标文件）由资格文件、商务技术文件和报价文件三部分组成。</w:t>
      </w:r>
    </w:p>
    <w:p w14:paraId="78C95E16">
      <w:pPr>
        <w:snapToGrid w:val="0"/>
        <w:spacing w:line="500" w:lineRule="exact"/>
        <w:ind w:firstLine="422" w:firstLineChars="200"/>
        <w:outlineLvl w:val="0"/>
        <w:rPr>
          <w:rFonts w:hAnsi="宋体" w:cs="宋体"/>
          <w:color w:val="auto"/>
          <w:sz w:val="21"/>
          <w:szCs w:val="21"/>
          <w:highlight w:val="none"/>
        </w:rPr>
      </w:pPr>
      <w:r>
        <w:rPr>
          <w:rFonts w:hint="eastAsia" w:hAnsi="宋体" w:cs="宋体"/>
          <w:b/>
          <w:color w:val="auto"/>
          <w:sz w:val="21"/>
          <w:szCs w:val="21"/>
          <w:highlight w:val="none"/>
        </w:rPr>
        <w:t>注：本项目投标价格的信息只允许出现在“报价文件”中，不得出现在资格文件、商务技术文件中。</w:t>
      </w:r>
    </w:p>
    <w:p w14:paraId="4431A8AB">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2045B91E">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（1）投标人（包括投标联合体各方）有效期内的营业执照副本扫描件或复印件；</w:t>
      </w:r>
    </w:p>
    <w:p w14:paraId="522557B1">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）符合参加政府采购活动应当具备的一般条件的承诺函（格式见附件）；</w:t>
      </w:r>
    </w:p>
    <w:p w14:paraId="532857ED">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）本项目的特定资格要求（格式见附件）；</w:t>
      </w:r>
    </w:p>
    <w:p w14:paraId="333AE7F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）联合协议（联合体投标人须提供，格式见附件）、分包意向协议（项目分包时须提供，格式见附件）。</w:t>
      </w:r>
    </w:p>
    <w:p w14:paraId="6F56D09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138239B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1E0CF6A7">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（2）投标人（或联合体投标人牵头单位）法定代表人身份证明、</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（格式见附件，如法定代表人本人参加的，则仅须提供法定代表人身份证明及法定代表人身份证复印件）；</w:t>
      </w:r>
    </w:p>
    <w:p w14:paraId="1684573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）投标人（包括投标联合体各方）情况表（格式见附件）；</w:t>
      </w:r>
    </w:p>
    <w:p w14:paraId="17BEE63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）投标人（包括投标联合体各方）</w:t>
      </w: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年1月1日以</w:t>
      </w:r>
      <w:r>
        <w:rPr>
          <w:rFonts w:hint="eastAsia" w:hAnsi="宋体" w:cs="宋体"/>
          <w:color w:val="auto"/>
          <w:sz w:val="21"/>
          <w:szCs w:val="21"/>
          <w:highlight w:val="none"/>
        </w:rPr>
        <w:t>来类似案例成功的业绩（须提供对应采购合同复印件等相关资料）（加盖公章）（格式见附件）；</w:t>
      </w:r>
    </w:p>
    <w:p w14:paraId="3A94E309">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）投标人（包括投标联合体各方）拟投入本项目的服务人员配置表（格式见附件）；</w:t>
      </w:r>
    </w:p>
    <w:p w14:paraId="04DBC5F1">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）服务要求响应表（格式见附件）；</w:t>
      </w:r>
    </w:p>
    <w:p w14:paraId="65C9C906">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val="zh-TW"/>
        </w:rPr>
        <w:t>质量保证措施</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rPr>
        <w:t>服务承诺</w:t>
      </w:r>
      <w:r>
        <w:rPr>
          <w:rFonts w:hint="eastAsia" w:ascii="宋体" w:hAnsi="宋体" w:eastAsia="宋体" w:cs="宋体"/>
          <w:color w:val="auto"/>
          <w:sz w:val="21"/>
          <w:szCs w:val="21"/>
          <w:highlight w:val="none"/>
          <w:lang w:val="en-US" w:eastAsia="zh-CN"/>
        </w:rPr>
        <w:t>等</w:t>
      </w:r>
      <w:r>
        <w:rPr>
          <w:rFonts w:hint="eastAsia" w:hAnsi="宋体" w:cs="宋体"/>
          <w:color w:val="auto"/>
          <w:sz w:val="21"/>
          <w:szCs w:val="21"/>
          <w:highlight w:val="none"/>
        </w:rPr>
        <w:t>；</w:t>
      </w:r>
    </w:p>
    <w:p w14:paraId="565AD224">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）投标人（包括投标联合体各方）对本项目的合理化建议和改进措施；</w:t>
      </w:r>
    </w:p>
    <w:p w14:paraId="474487AD">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）评分规则中涉及的</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投标人（包括投标联合体各方）认为需要说明的其他文件和说明（格式略）。</w:t>
      </w:r>
    </w:p>
    <w:p w14:paraId="091BE3BC">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3CDC9895">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3.报价文件</w:t>
      </w:r>
    </w:p>
    <w:p w14:paraId="21E4C1E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（1）投标函（格式见附件）；</w:t>
      </w:r>
    </w:p>
    <w:p w14:paraId="263C4F1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（2）开标（报价）一览表（格式见附件）；</w:t>
      </w:r>
    </w:p>
    <w:p w14:paraId="27ED63A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（3）投标报价明细表（格式自拟）；</w:t>
      </w:r>
    </w:p>
    <w:p w14:paraId="37DDAAC5">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（4）《中小企业声明函》（如有）；（本项目采购标的对应的中小企业划分标准所属行业为“</w:t>
      </w:r>
      <w:r>
        <w:rPr>
          <w:rFonts w:hint="eastAsia" w:hAnsi="宋体" w:cs="宋体"/>
          <w:color w:val="auto"/>
          <w:sz w:val="21"/>
          <w:szCs w:val="21"/>
          <w:highlight w:val="none"/>
          <w:lang w:eastAsia="zh-CN"/>
        </w:rPr>
        <w:t>其他未列明行业--水利、环境和公共设施管理业</w:t>
      </w:r>
      <w:r>
        <w:rPr>
          <w:rFonts w:hint="eastAsia" w:hAnsi="宋体" w:cs="宋体"/>
          <w:color w:val="auto"/>
          <w:sz w:val="21"/>
          <w:szCs w:val="21"/>
          <w:highlight w:val="none"/>
        </w:rPr>
        <w:t>”；格式见附件，如未提供的，评审时不给予政策性价格扣除）；</w:t>
      </w:r>
    </w:p>
    <w:p w14:paraId="4FDA3D75">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（5）投标人（包括投标联合体各方）针对报价需要说明的其他文件和说明（格式自拟）。</w:t>
      </w:r>
    </w:p>
    <w:p w14:paraId="5C186C8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（三）投标文件的语言及计量</w:t>
      </w:r>
    </w:p>
    <w:p w14:paraId="2C50DF0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75FDF6D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7B33D130">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（四）投标报价</w:t>
      </w:r>
    </w:p>
    <w:p w14:paraId="600DEFB8">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1.投标报价应按招标文件中相关附表格式填写。</w:t>
      </w:r>
    </w:p>
    <w:p w14:paraId="25BE1333">
      <w:pPr>
        <w:spacing w:line="50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2.投标报价是履行合同的最终价格，包括</w:t>
      </w:r>
      <w:r>
        <w:rPr>
          <w:rFonts w:hint="eastAsia" w:ascii="宋体" w:hAnsi="宋体" w:eastAsia="宋体" w:cs="宋体"/>
          <w:color w:val="auto"/>
          <w:sz w:val="21"/>
          <w:szCs w:val="21"/>
          <w:highlight w:val="none"/>
        </w:rPr>
        <w:t>职工工资、福利、保险费用（包括养老、工伤、失业、医疗、意外）、药剂、电费、物料消耗、水质化验</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额度内的设施设备的更新更换及维修、</w:t>
      </w:r>
      <w:r>
        <w:rPr>
          <w:rFonts w:hint="eastAsia" w:ascii="宋体" w:hAnsi="宋体" w:eastAsia="宋体" w:cs="宋体"/>
          <w:color w:val="auto"/>
          <w:sz w:val="21"/>
          <w:szCs w:val="21"/>
          <w:highlight w:val="none"/>
        </w:rPr>
        <w:t>备品备件更换、运维服务、培训、设备维护、污染物清理及处置费、合理利润、税金及合同实施过程中的应预见和不可预见费用、所有风险、责任等各项应有费用。</w:t>
      </w:r>
      <w:r>
        <w:rPr>
          <w:rFonts w:hint="eastAsia" w:hAnsi="宋体" w:cs="宋体"/>
          <w:bCs/>
          <w:color w:val="auto"/>
          <w:sz w:val="21"/>
          <w:szCs w:val="21"/>
          <w:highlight w:val="none"/>
        </w:rPr>
        <w:t>投标人应参照国家的相应标准，结合自身综合实力、市场行情、本项目具体特点和技术要求自行报价。除政策性文件规定以外，投标人所报价格在合同实施期间不因市场变化因素而变动。</w:t>
      </w:r>
    </w:p>
    <w:p w14:paraId="5E4DB133">
      <w:pPr>
        <w:autoSpaceDE/>
        <w:autoSpaceDN/>
        <w:adjustRightInd/>
        <w:snapToGrid w:val="0"/>
        <w:spacing w:line="520" w:lineRule="exact"/>
        <w:ind w:firstLine="420" w:firstLineChars="200"/>
        <w:jc w:val="both"/>
        <w:rPr>
          <w:rFonts w:hint="eastAsia" w:hAnsi="宋体" w:cs="宋体"/>
          <w:bCs/>
          <w:color w:val="auto"/>
          <w:sz w:val="21"/>
          <w:szCs w:val="21"/>
          <w:highlight w:val="none"/>
        </w:rPr>
      </w:pPr>
      <w:r>
        <w:rPr>
          <w:rFonts w:hint="eastAsia" w:hAnsi="宋体"/>
          <w:b w:val="0"/>
          <w:bCs w:val="0"/>
          <w:color w:val="auto"/>
          <w:sz w:val="21"/>
          <w:szCs w:val="21"/>
          <w:highlight w:val="none"/>
        </w:rPr>
        <w:t>★3.</w:t>
      </w:r>
      <w:r>
        <w:rPr>
          <w:rFonts w:hint="eastAsia" w:hAnsi="宋体" w:cs="宋体"/>
          <w:bCs/>
          <w:color w:val="auto"/>
          <w:sz w:val="21"/>
          <w:szCs w:val="21"/>
          <w:highlight w:val="none"/>
        </w:rPr>
        <w:t>投标人不得进行影响产品（或服务、工程）质量或者诚信履约的恶意报价。投标人在项目评审前准备好报价核算、报价明细、报价说明等材料，以备评审专家核查。★本项目约定，投标人报价低于项目预算50%的，应当在报价文件中详细阐述不影响产品（或服务、工程）质量或者诚信履约的具体原因。</w:t>
      </w:r>
    </w:p>
    <w:p w14:paraId="5E24DD4F">
      <w:pPr>
        <w:autoSpaceDE/>
        <w:autoSpaceDN/>
        <w:adjustRightInd/>
        <w:snapToGrid w:val="0"/>
        <w:spacing w:line="52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lang w:val="en-US" w:eastAsia="zh-CN"/>
        </w:rPr>
        <w:t>4.</w:t>
      </w:r>
      <w:r>
        <w:rPr>
          <w:rFonts w:hint="eastAsia" w:hAnsi="宋体"/>
          <w:b/>
          <w:bCs/>
          <w:color w:val="auto"/>
          <w:sz w:val="21"/>
          <w:szCs w:val="21"/>
          <w:highlight w:val="none"/>
        </w:rPr>
        <w:t>投标文件的报价只允许有一个报价，有选择的或有条件的报价将不予接受。</w:t>
      </w:r>
    </w:p>
    <w:p w14:paraId="4559E710">
      <w:pPr>
        <w:pStyle w:val="46"/>
        <w:numPr>
          <w:ilvl w:val="255"/>
          <w:numId w:val="0"/>
        </w:numPr>
        <w:snapToGrid w:val="0"/>
        <w:spacing w:after="0" w:line="500" w:lineRule="exact"/>
        <w:ind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rPr>
        <w:t>.</w:t>
      </w:r>
      <w:r>
        <w:rPr>
          <w:rFonts w:hint="eastAsia" w:hAnsi="宋体" w:cs="宋体"/>
          <w:color w:val="auto"/>
          <w:sz w:val="21"/>
          <w:szCs w:val="21"/>
          <w:highlight w:val="none"/>
        </w:rPr>
        <w:t>本项目设有最高限价</w:t>
      </w:r>
      <w:r>
        <w:rPr>
          <w:rFonts w:hint="eastAsia" w:hAnsi="宋体" w:cs="宋体"/>
          <w:color w:val="auto"/>
          <w:sz w:val="21"/>
          <w:szCs w:val="21"/>
          <w:highlight w:val="none"/>
        </w:rPr>
        <w:t>，投标报价不得高于最高限价，否则作为无效标处理</w:t>
      </w:r>
      <w:r>
        <w:rPr>
          <w:rFonts w:hint="eastAsia" w:hAnsi="宋体" w:cs="宋体"/>
          <w:color w:val="auto"/>
          <w:sz w:val="21"/>
          <w:szCs w:val="21"/>
          <w:highlight w:val="none"/>
          <w:lang w:eastAsia="zh-CN"/>
        </w:rPr>
        <w:t>。</w:t>
      </w:r>
    </w:p>
    <w:p w14:paraId="5CD4E61F">
      <w:pPr>
        <w:pStyle w:val="46"/>
        <w:numPr>
          <w:ilvl w:val="255"/>
          <w:numId w:val="0"/>
        </w:numPr>
        <w:snapToGrid w:val="0"/>
        <w:spacing w:after="0" w:line="500" w:lineRule="exact"/>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6</w:t>
      </w:r>
      <w:r>
        <w:rPr>
          <w:rFonts w:hint="eastAsia" w:ascii="宋体" w:hAnsi="宋体" w:cs="宋体"/>
          <w:b w:val="0"/>
          <w:bCs/>
          <w:color w:val="auto"/>
          <w:sz w:val="21"/>
          <w:szCs w:val="21"/>
          <w:highlight w:val="none"/>
        </w:rPr>
        <w:t>.根据《中华人民共和国政府采购法实施条例》第十一条、《政府采购货物和服务招标投标管理办法》（财政部87号令）第六条关于“采购人不得向供应商索要或者接受其给予的赠品、回扣或者与采购无关的其他商品、服务。”的规定，本项目采购人不接受供应商给予的赠品、回扣或者与采购无关的其他商品、服务，也不接受供应商以赠品作为优惠条件。供应商在报价时不能以“赠送、赠予、免费或0元”或“回扣”等形式提供项目部分或全部货物和服务，也不能提供与采购无关的其他商品、服务，否则，供应商提供的响应文件将被作无效投标处理，即使成交也将被取消成交资格。</w:t>
      </w:r>
    </w:p>
    <w:p w14:paraId="45A7CFF0">
      <w:pPr>
        <w:pStyle w:val="46"/>
        <w:snapToGrid w:val="0"/>
        <w:spacing w:after="0" w:line="500" w:lineRule="exact"/>
        <w:ind w:left="0" w:leftChars="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（五）投标文件的有效期</w:t>
      </w:r>
    </w:p>
    <w:p w14:paraId="2A618757">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7879EBD6">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2.在特殊情况下，采购人可与投标人协商延长投标书的有效期，这种要求和答复均以书面形式进行。</w:t>
      </w:r>
    </w:p>
    <w:p w14:paraId="5435A7A0">
      <w:pPr>
        <w:spacing w:line="500" w:lineRule="exact"/>
        <w:ind w:firstLine="420" w:firstLineChars="200"/>
        <w:rPr>
          <w:rFonts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77EAEE8F">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2E6B543C">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（六）投标文件的签署和份数</w:t>
      </w:r>
    </w:p>
    <w:p w14:paraId="56D21B36">
      <w:pPr>
        <w:widowControl/>
        <w:snapToGrid w:val="0"/>
        <w:spacing w:line="46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664C42A9">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6FD81C2B">
      <w:pPr>
        <w:widowControl/>
        <w:autoSpaceDE/>
        <w:autoSpaceDN/>
        <w:adjustRightInd/>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联合体投标的，投标文件须由联合体牵头人在规定位置盖章（除采购文件中有特殊要求的，以具体约定为准）。</w:t>
      </w:r>
    </w:p>
    <w:p w14:paraId="68DEE850">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w:t>
      </w:r>
      <w:r>
        <w:rPr>
          <w:rFonts w:hint="eastAsia" w:hAnsi="宋体" w:cs="宋体"/>
          <w:color w:val="auto"/>
          <w:sz w:val="21"/>
          <w:szCs w:val="21"/>
          <w:highlight w:val="none"/>
        </w:rPr>
        <w:t>或联合体投标人牵头单位</w:t>
      </w:r>
      <w:r>
        <w:rPr>
          <w:rFonts w:hint="eastAsia" w:hAnsi="宋体" w:cs="宋体"/>
          <w:color w:val="auto"/>
          <w:sz w:val="21"/>
          <w:highlight w:val="none"/>
        </w:rPr>
        <w:t>）可采用投标人法定代表人电子签章，也可以线下签字或盖章后扫描上传。</w:t>
      </w:r>
    </w:p>
    <w:p w14:paraId="014706AC">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32AF9E18">
      <w:pPr>
        <w:widowControl/>
        <w:autoSpaceDE/>
        <w:autoSpaceDN/>
        <w:adjustRightInd/>
        <w:snapToGrid w:val="0"/>
        <w:spacing w:line="460" w:lineRule="exact"/>
        <w:ind w:firstLine="420"/>
        <w:jc w:val="both"/>
        <w:rPr>
          <w:rFonts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14:paraId="59217BEA">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2.投标人未在“政采云”（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14:paraId="33166480">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467146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738490BE">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（八）投标无效的情形</w:t>
      </w:r>
    </w:p>
    <w:p w14:paraId="03CD8CF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6FEE26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4238408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7DC8AE4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（2）投标文件无投标人（或联合体投标人的牵头单位）的法定代表人（或其授权代表）签字</w:t>
      </w:r>
      <w:r>
        <w:rPr>
          <w:rFonts w:hint="eastAsia" w:hAnsi="宋体" w:cs="宋体"/>
          <w:color w:val="auto"/>
          <w:sz w:val="21"/>
          <w:szCs w:val="21"/>
          <w:highlight w:val="none"/>
          <w:lang w:val="en-US" w:eastAsia="zh-CN"/>
        </w:rPr>
        <w:t>或盖章</w:t>
      </w:r>
      <w:r>
        <w:rPr>
          <w:rFonts w:hint="eastAsia" w:hAnsi="宋体" w:cs="宋体"/>
          <w:color w:val="auto"/>
          <w:sz w:val="21"/>
          <w:szCs w:val="21"/>
          <w:highlight w:val="none"/>
        </w:rPr>
        <w:t>，或未提供法定代表人授权委托书或者填写项目不齐全的；</w:t>
      </w:r>
    </w:p>
    <w:p w14:paraId="2866B805">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59071EBC">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74C341E0">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27E66905">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（6）投标有效期、服务时间、付款方式等商务条款不能满足招标文件要求的；</w:t>
      </w:r>
    </w:p>
    <w:p w14:paraId="5633AE28">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（7）电子投标文件解密失败的；</w:t>
      </w:r>
    </w:p>
    <w:p w14:paraId="73CE6E70">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（8）联合体投标时，没有提交共同投标协议（联合协议）的；</w:t>
      </w:r>
    </w:p>
    <w:p w14:paraId="06CDFA26">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（9）项目分包时，没有提交分包意向协议的；</w:t>
      </w:r>
    </w:p>
    <w:p w14:paraId="514C877B">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）未实质性响应招标文件要求或者投标文件有采购人不能接受的附加条件的。</w:t>
      </w:r>
    </w:p>
    <w:p w14:paraId="3895CEAC">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1FDFCE9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3A611E15">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33D119FF">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3FCF5F5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2AF382D2">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（5）与其他参加本次投标单位的投标文件（技术文件）的文字表述内容相同连续20行以上或者差错相同2处以上的。</w:t>
      </w:r>
    </w:p>
    <w:p w14:paraId="78FF4C02">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2D544F5F">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1E07EFE5">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（2）投标报价具有选择性，或者开标价格与投标文件承诺的优惠价格不一致的；</w:t>
      </w:r>
    </w:p>
    <w:p w14:paraId="31C943B7">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6FE02960">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（4）投标人的投报报价超过最高限价的；</w:t>
      </w:r>
    </w:p>
    <w:p w14:paraId="0D8BE676">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评标委员会一致认为将获得成交候选资格的投标人报价或某些分项报价明显不合理，有降低质量、不能诚信履约的可能，且该投标人未在规定期限内作出解释，或所作解释不合理，经评标委员会取得一致意见后，确定该投标无效的；</w:t>
      </w:r>
    </w:p>
    <w:p w14:paraId="2FB89DDB">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人拒绝接受此调整的，按无效投标处理。</w:t>
      </w:r>
    </w:p>
    <w:p w14:paraId="72CA0DB4">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highlight w:val="none"/>
        </w:rPr>
        <w:t>有下列情形之一的，视为投标人串通投标，其投标无效：</w:t>
      </w:r>
    </w:p>
    <w:p w14:paraId="3BBD1A1A">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（1）不同投标人的投标文件由同一单位或者个人编制（同一IP地址上传投标、响应文件）；</w:t>
      </w:r>
    </w:p>
    <w:p w14:paraId="77431869">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（2）不同投标人委托同一单位或者个人办理投标事宜；</w:t>
      </w:r>
    </w:p>
    <w:p w14:paraId="72E64D66">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（3）不同投标人的投标文件载明的项目管理成员或者联系人员为同一人；</w:t>
      </w:r>
    </w:p>
    <w:p w14:paraId="4E8070D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（4）不同投标人的投标文件异常一致或者投标报价呈规律性差异；</w:t>
      </w:r>
    </w:p>
    <w:p w14:paraId="6F22A533">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（5）不同投标人的投标文件相互混装；</w:t>
      </w:r>
    </w:p>
    <w:p w14:paraId="5A163326">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（6）不同投标人的投标保证金</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如有</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从同一单位或者个人的账户转出</w:t>
      </w:r>
      <w:r>
        <w:rPr>
          <w:rFonts w:hint="eastAsia" w:hAnsi="宋体" w:cs="宋体"/>
          <w:color w:val="auto"/>
          <w:sz w:val="21"/>
          <w:highlight w:val="none"/>
          <w:lang w:eastAsia="zh-CN"/>
        </w:rPr>
        <w:t>；</w:t>
      </w:r>
    </w:p>
    <w:p w14:paraId="5C5910AB">
      <w:pPr>
        <w:keepNext w:val="0"/>
        <w:keepLines w:val="0"/>
        <w:pageBreakBefore w:val="0"/>
        <w:widowControl w:val="0"/>
        <w:kinsoku/>
        <w:overflowPunct/>
        <w:topLinePunct w:val="0"/>
        <w:autoSpaceDE/>
        <w:autoSpaceDN/>
        <w:bidi w:val="0"/>
        <w:snapToGrid w:val="0"/>
        <w:spacing w:line="500" w:lineRule="exact"/>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（7）其他被依法依规视同</w:t>
      </w:r>
      <w:r>
        <w:rPr>
          <w:rFonts w:hint="eastAsia" w:ascii="宋体" w:hAnsi="宋体" w:eastAsia="宋体" w:cs="宋体"/>
          <w:color w:val="auto"/>
          <w:sz w:val="21"/>
          <w:highlight w:val="none"/>
        </w:rPr>
        <w:t>串通投标</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围标的情形。</w:t>
      </w:r>
    </w:p>
    <w:p w14:paraId="02868548">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参与同一个标段(包)的供应商存在下列情形之一的，其投标(响应)文件无效：</w:t>
      </w:r>
    </w:p>
    <w:p w14:paraId="327FD3D9">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)不同供应商制作电子投标(响应)文件的计算机网卡MAC地址相同的；</w:t>
      </w:r>
    </w:p>
    <w:p w14:paraId="09B50D7E">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)不同供应商制作电子投标(响应)文件的计算机硬盘序列号相同的；</w:t>
      </w:r>
    </w:p>
    <w:p w14:paraId="7457D484">
      <w:pPr>
        <w:keepNext w:val="0"/>
        <w:keepLines w:val="0"/>
        <w:pageBreakBefore w:val="0"/>
        <w:widowControl w:val="0"/>
        <w:kinsoku/>
        <w:overflowPunct/>
        <w:topLinePunct w:val="0"/>
        <w:autoSpaceDE/>
        <w:autoSpaceDN/>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)不同供应商的投标(响应)文件的内容存在两处以上细节错误一致，且无法合理解释的。</w:t>
      </w:r>
    </w:p>
    <w:p w14:paraId="5EA22136">
      <w:pPr>
        <w:keepNext w:val="0"/>
        <w:keepLines w:val="0"/>
        <w:pageBreakBefore w:val="0"/>
        <w:widowControl w:val="0"/>
        <w:kinsoku/>
        <w:overflowPunct/>
        <w:topLinePunct w:val="0"/>
        <w:autoSpaceDE/>
        <w:autoSpaceDN/>
        <w:bidi w:val="0"/>
        <w:adjustRightInd w:val="0"/>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被拒绝的投标文件为无效投标文件。</w:t>
      </w:r>
    </w:p>
    <w:p w14:paraId="52D134E3">
      <w:pPr>
        <w:autoSpaceDE/>
        <w:autoSpaceDN/>
        <w:snapToGrid w:val="0"/>
        <w:spacing w:line="500" w:lineRule="exact"/>
        <w:ind w:firstLine="422" w:firstLineChars="200"/>
        <w:jc w:val="left"/>
        <w:rPr>
          <w:rFonts w:hAnsi="宋体" w:cs="宋体"/>
          <w:b/>
          <w:color w:val="auto"/>
          <w:sz w:val="21"/>
          <w:szCs w:val="21"/>
          <w:highlight w:val="none"/>
        </w:rPr>
      </w:pPr>
      <w:r>
        <w:rPr>
          <w:rFonts w:hint="eastAsia" w:hAnsi="宋体" w:cs="宋体"/>
          <w:b/>
          <w:color w:val="auto"/>
          <w:sz w:val="21"/>
          <w:szCs w:val="21"/>
          <w:highlight w:val="none"/>
        </w:rPr>
        <w:t>四、开标</w:t>
      </w:r>
    </w:p>
    <w:p w14:paraId="72E967BC">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175D93A5">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2.在开标后投标人登录“政采云”平台，用“项目采购－开标评标”功能进行解密投标文件。</w:t>
      </w:r>
    </w:p>
    <w:p w14:paraId="2D4C3967">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若投标人在规定时间内无法解密或解密失败的，视为投标文件撤回。</w:t>
      </w:r>
    </w:p>
    <w:p w14:paraId="07901000">
      <w:pPr>
        <w:autoSpaceDE/>
        <w:autoSpaceDN/>
        <w:snapToGrid w:val="0"/>
        <w:spacing w:line="50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50263159">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6F1B6AFF">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投标人在线制作投标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文件”中填写的金额为准，投标人拒绝接受此规定的，按无效标处理。</w:t>
      </w:r>
    </w:p>
    <w:p w14:paraId="4796170B">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 综合评审结果在线公布各投标人得分汇总，并在线提交（宣布）中标候选人。</w:t>
      </w:r>
    </w:p>
    <w:p w14:paraId="37D0AF83">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70F3B0CE">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48F15F13">
      <w:pPr>
        <w:autoSpaceDE/>
        <w:autoSpaceDN/>
        <w:snapToGrid w:val="0"/>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五、评标</w:t>
      </w:r>
    </w:p>
    <w:p w14:paraId="69B08746">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（一）组建评标委员会</w:t>
      </w:r>
    </w:p>
    <w:p w14:paraId="446859F2">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41375593">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（二）评标的方式</w:t>
      </w:r>
    </w:p>
    <w:p w14:paraId="46B57E0F">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1E48557B">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（三）评标程序</w:t>
      </w:r>
    </w:p>
    <w:p w14:paraId="1004ADA4">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1.形式审查</w:t>
      </w:r>
    </w:p>
    <w:p w14:paraId="6FE5464F">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采购人代表和代理机构工作人员协助评标委员会对投标人的资格和投标文件的完整性、合法性等进行审查。</w:t>
      </w:r>
    </w:p>
    <w:p w14:paraId="2880E78F">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2.实质审查与比较</w:t>
      </w:r>
    </w:p>
    <w:p w14:paraId="4BF67ECE">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1D94E79D">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5B25E0BA">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599AFF59">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0CC89451">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2EEE59EC">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5D747603">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（四）澄清问题的形式</w:t>
      </w:r>
    </w:p>
    <w:p w14:paraId="177044AA">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F23DF6A">
      <w:pPr>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本项目在线开评标进行时，投标人法定代表人或其授权代表需自行关注平台提示信息，期间如有发出“询标/澄清函”等相关线上函件时，因投标人自身原因逾期/错过回复时间，由此造成的后果由投标人自行承担。</w:t>
      </w:r>
    </w:p>
    <w:p w14:paraId="022D8CF8">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（五）错误修正</w:t>
      </w:r>
    </w:p>
    <w:p w14:paraId="1CA4EA80">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1EC0B9A7">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3B039529">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1C8F93D8">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3F490775">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5DDA6544">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B6CB51D">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（六）评标原则和评标办法</w:t>
      </w:r>
    </w:p>
    <w:p w14:paraId="51E49C1A">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D9FF4C">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3581D698">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（七）评标过程的监控</w:t>
      </w:r>
    </w:p>
    <w:p w14:paraId="575A8C07">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128CCD55">
      <w:pPr>
        <w:autoSpaceDE/>
        <w:autoSpaceDN/>
        <w:snapToGrid w:val="0"/>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6EE83259">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442111B9">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656F5D86">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42B7EBFB">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5148CFB1">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70A0FCBD">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036A9DE2">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7CBD0456">
      <w:pPr>
        <w:autoSpaceDE/>
        <w:autoSpaceDN/>
        <w:snapToGrid w:val="0"/>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六、定标</w:t>
      </w:r>
    </w:p>
    <w:p w14:paraId="5171B049">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（一）确定中标人。本项目由采购人（或采购人事先授权评标委员会）确定中标人。</w:t>
      </w:r>
    </w:p>
    <w:p w14:paraId="17F7D52D">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1.采购代理机构在评标结束后2个工作日内将评标报告交采购人确认。</w:t>
      </w:r>
    </w:p>
    <w:p w14:paraId="05E42163">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2.投标人对评标结果无异议的，采购人应在收到评标报告后5个工作日内对评标结果进行确认。如有投标人对评标结果提出质疑的，采购人可在质疑处理完毕后确定中标人。</w:t>
      </w:r>
    </w:p>
    <w:p w14:paraId="3227AB0C">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3.中标结果公示期：1个工作日。</w:t>
      </w:r>
    </w:p>
    <w:p w14:paraId="1B53E12E">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22CF46F6">
      <w:pPr>
        <w:autoSpaceDE/>
        <w:autoSpaceDN/>
        <w:snapToGrid w:val="0"/>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七、合同授予</w:t>
      </w:r>
    </w:p>
    <w:p w14:paraId="61151E86">
      <w:pPr>
        <w:pStyle w:val="7"/>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3C0D1B41">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根据《浙江省财政厅关于进一步规范政府采购秩序促进公平竞争的通知》（浙财采监〔2025〕2号）及政策解读相关要求，在评审结束后、合同签订前，招标人（采购人）、采购代理机构将对中标（成交）供应商在投标（响应）文件中涉及客观分评审内容的检测报告、认证证书等资料的真实性进行复核，中标（成交）供应商应在合同签订前及时提供相关检测报告、认证证书等资料的原件或查询网站（网址）给招标人（采购人）、采购代理机构进行真实性复核。</w:t>
      </w:r>
    </w:p>
    <w:p w14:paraId="15906407">
      <w:pPr>
        <w:pStyle w:val="112"/>
        <w:adjustRightInd w:val="0"/>
        <w:snapToGrid w:val="0"/>
        <w:spacing w:line="50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82F1D57">
      <w:pPr>
        <w:pStyle w:val="112"/>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1.3如签订合同并生效后，供应商</w:t>
      </w:r>
      <w:r>
        <w:rPr>
          <w:rFonts w:hint="eastAsia" w:ascii="宋体" w:hAnsi="宋体" w:eastAsia="宋体" w:cs="宋体"/>
          <w:color w:val="auto"/>
          <w:szCs w:val="21"/>
          <w:highlight w:val="none"/>
        </w:rPr>
        <w:t>拖延、拒绝提供资料进行真实性符合复核，或拖延、拒签合同的，除按照合同条款处理外，列入不良行为记录一次，并给予通报。</w:t>
      </w:r>
    </w:p>
    <w:p w14:paraId="226627B6">
      <w:pPr>
        <w:pStyle w:val="112"/>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1.4中标人拒绝与采购人签订合同的，采购人可以按照评审报告推荐的中标或者成交候选人名单排序，确定下一候选人为中标人，也可以重新开展政府采购活动。</w:t>
      </w:r>
    </w:p>
    <w:p w14:paraId="79A052C2">
      <w:pPr>
        <w:pStyle w:val="112"/>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1.5采购合同由采购人与中标人根据采购文件、</w:t>
      </w:r>
      <w:r>
        <w:rPr>
          <w:rFonts w:hint="eastAsia" w:ascii="宋体" w:hAnsi="宋体" w:cs="宋体"/>
          <w:color w:val="auto"/>
          <w:szCs w:val="21"/>
          <w:highlight w:val="none"/>
          <w:lang w:val="en-US" w:eastAsia="zh-CN"/>
        </w:rPr>
        <w:t>投标</w:t>
      </w:r>
      <w:r>
        <w:rPr>
          <w:rFonts w:ascii="宋体" w:hAnsi="宋体" w:cs="宋体"/>
          <w:color w:val="auto"/>
          <w:szCs w:val="21"/>
          <w:highlight w:val="none"/>
        </w:rPr>
        <w:t>响应文件等内容通过政府采购电子交易平台在线签订，自动备案。</w:t>
      </w:r>
    </w:p>
    <w:p w14:paraId="39E431D6">
      <w:pPr>
        <w:pStyle w:val="112"/>
        <w:adjustRightInd w:val="0"/>
        <w:snapToGrid w:val="0"/>
        <w:spacing w:line="5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1.6政府采购货物和服务项目不得收取质量保证金。政府采购工程以及与工程建设有关的货物、服务，采用招标方式采购的，按国家和省有关规定执行。</w:t>
      </w:r>
    </w:p>
    <w:p w14:paraId="6E918533">
      <w:pPr>
        <w:pStyle w:val="7"/>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 履约保证金（本项目无须缴纳履约保证金）</w:t>
      </w:r>
    </w:p>
    <w:p w14:paraId="0080C447">
      <w:pPr>
        <w:pStyle w:val="43"/>
        <w:adjustRightInd w:val="0"/>
        <w:snapToGrid w:val="0"/>
        <w:spacing w:before="0" w:beforeAutospacing="0" w:after="0" w:afterAutospacing="0" w:line="500" w:lineRule="exact"/>
        <w:ind w:firstLine="422" w:firstLineChars="200"/>
        <w:rPr>
          <w:rFonts w:ascii="宋体" w:cs="宋体"/>
          <w:b/>
          <w:bCs/>
          <w:color w:val="auto"/>
          <w:sz w:val="21"/>
          <w:szCs w:val="21"/>
          <w:highlight w:val="none"/>
        </w:rPr>
      </w:pPr>
      <w:r>
        <w:rPr>
          <w:rFonts w:hint="eastAsia" w:ascii="宋体" w:cs="宋体"/>
          <w:b/>
          <w:color w:val="auto"/>
          <w:sz w:val="21"/>
          <w:szCs w:val="21"/>
          <w:highlight w:val="none"/>
        </w:rPr>
        <w:t>2.1</w:t>
      </w:r>
      <w:r>
        <w:rPr>
          <w:rFonts w:hint="eastAsia" w:ascii="宋体" w:cs="宋体"/>
          <w:b/>
          <w:bCs/>
          <w:color w:val="auto"/>
          <w:sz w:val="21"/>
          <w:szCs w:val="21"/>
          <w:highlight w:val="none"/>
        </w:rPr>
        <w:t>拟签订的合同文本要求中标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43481813">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5D6E3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2.2 签订合同后，如中标人不按双方合同约定履约，则没收其全部履约保证金，履约保证金不足以赔偿损失的，按实际损失赔偿。</w:t>
      </w:r>
    </w:p>
    <w:p w14:paraId="426C7EF6">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2.3履约保证金（或履约保函）如无合同约定或依法认定的扣款情况，在中标人按合同约定最终验收合格于15日内予以无息退还（或撤销到期履约保函）。</w:t>
      </w:r>
    </w:p>
    <w:p w14:paraId="6DA27976">
      <w:pPr>
        <w:pStyle w:val="7"/>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3. 预付款</w:t>
      </w:r>
    </w:p>
    <w:p w14:paraId="259A9312">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42980401">
      <w:pPr>
        <w:tabs>
          <w:tab w:val="left" w:pos="0"/>
        </w:tabs>
        <w:autoSpaceDE/>
        <w:autoSpaceDN/>
        <w:snapToGrid w:val="0"/>
        <w:spacing w:line="50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本项目不约定预付款。每6个月结算一次。</w:t>
      </w:r>
    </w:p>
    <w:p w14:paraId="3041F208">
      <w:pPr>
        <w:pStyle w:val="7"/>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06D30026">
      <w:pPr>
        <w:pStyle w:val="7"/>
        <w:adjustRightInd w:val="0"/>
        <w:snapToGrid w:val="0"/>
        <w:spacing w:line="500" w:lineRule="exact"/>
        <w:ind w:firstLine="422" w:firstLineChars="200"/>
        <w:jc w:val="left"/>
        <w:rPr>
          <w:rFonts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41339774">
      <w:pPr>
        <w:snapToGrid w:val="0"/>
        <w:spacing w:line="500" w:lineRule="exact"/>
        <w:ind w:firstLine="420" w:firstLineChars="200"/>
        <w:rPr>
          <w:rFonts w:hAnsi="宋体" w:cs="宋体"/>
          <w:b/>
          <w:color w:val="auto"/>
          <w:sz w:val="21"/>
          <w:szCs w:val="21"/>
          <w:highlight w:val="none"/>
        </w:rPr>
      </w:pPr>
      <w:bookmarkStart w:id="45" w:name="_Toc97649962"/>
      <w:r>
        <w:rPr>
          <w:rFonts w:hint="eastAsia" w:hAnsi="宋体" w:cs="宋体"/>
          <w:color w:val="auto"/>
          <w:sz w:val="21"/>
          <w:szCs w:val="21"/>
          <w:highlight w:val="none"/>
        </w:rPr>
        <w:t>本项的资金支付按本招标文件“第二章 招标需求”中的“付款方式”执行并在合同中进行约定。</w:t>
      </w:r>
    </w:p>
    <w:p w14:paraId="0018E05D">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八、项目验收</w:t>
      </w:r>
    </w:p>
    <w:p w14:paraId="5E14C097">
      <w:pPr>
        <w:snapToGrid w:val="0"/>
        <w:spacing w:line="500" w:lineRule="exact"/>
        <w:ind w:firstLine="420" w:firstLineChars="200"/>
        <w:rPr>
          <w:rFonts w:hint="eastAsia" w:hAnsi="宋体" w:cs="宋体"/>
          <w:b w:val="0"/>
          <w:bCs/>
          <w:color w:val="auto"/>
          <w:sz w:val="21"/>
          <w:szCs w:val="21"/>
          <w:highlight w:val="none"/>
        </w:rPr>
      </w:pPr>
      <w:r>
        <w:rPr>
          <w:rFonts w:hint="eastAsia" w:hAnsi="宋体" w:cs="宋体"/>
          <w:b w:val="0"/>
          <w:bCs/>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02594E">
      <w:pPr>
        <w:snapToGrid w:val="0"/>
        <w:spacing w:line="500" w:lineRule="exact"/>
        <w:ind w:firstLine="420" w:firstLineChars="200"/>
        <w:rPr>
          <w:rFonts w:hint="eastAsia" w:hAnsi="宋体" w:cs="宋体"/>
          <w:b w:val="0"/>
          <w:bCs/>
          <w:color w:val="auto"/>
          <w:sz w:val="21"/>
          <w:szCs w:val="21"/>
          <w:highlight w:val="none"/>
        </w:rPr>
      </w:pPr>
      <w:r>
        <w:rPr>
          <w:rFonts w:hint="eastAsia" w:hAnsi="宋体" w:cs="宋体"/>
          <w:b w:val="0"/>
          <w:bCs/>
          <w:color w:val="auto"/>
          <w:sz w:val="21"/>
          <w:szCs w:val="21"/>
          <w:highlight w:val="none"/>
        </w:rPr>
        <w:t>2.采购人可以邀请参加本项目的其他供应商或者第三方机构参与验收。参与验收的供应商或者第三方机构的意见作为验收书的参考资料一并存档。</w:t>
      </w:r>
    </w:p>
    <w:p w14:paraId="4AC5FBC3">
      <w:pPr>
        <w:snapToGrid w:val="0"/>
        <w:spacing w:line="500" w:lineRule="exact"/>
        <w:ind w:firstLine="420" w:firstLineChars="200"/>
        <w:rPr>
          <w:rFonts w:hint="eastAsia" w:hAnsi="宋体" w:cs="宋体"/>
          <w:b w:val="0"/>
          <w:bCs/>
          <w:color w:val="auto"/>
          <w:sz w:val="21"/>
          <w:szCs w:val="21"/>
          <w:highlight w:val="none"/>
        </w:rPr>
      </w:pPr>
      <w:r>
        <w:rPr>
          <w:rFonts w:hint="eastAsia" w:hAnsi="宋体" w:cs="宋体"/>
          <w:b w:val="0"/>
          <w:bCs/>
          <w:color w:val="auto"/>
          <w:sz w:val="21"/>
          <w:szCs w:val="21"/>
          <w:highlight w:val="none"/>
        </w:rPr>
        <w:t>3.严格按照采购合同开展履约验收。采购人成立验收小组，按照采购合同的约定对供应商履约情况进行验收。验收时，按照采购合同的约定对履约情况进行确认。验收结束后，应当出具验收书，验收书</w:t>
      </w:r>
      <w:r>
        <w:rPr>
          <w:rFonts w:hint="eastAsia" w:hAnsi="宋体" w:cs="宋体"/>
          <w:b w:val="0"/>
          <w:bCs/>
          <w:color w:val="auto"/>
          <w:sz w:val="21"/>
          <w:szCs w:val="21"/>
          <w:highlight w:val="none"/>
          <w:lang w:val="en-US" w:eastAsia="zh-CN"/>
        </w:rPr>
        <w:t>应</w:t>
      </w:r>
      <w:r>
        <w:rPr>
          <w:rFonts w:hint="eastAsia" w:hAnsi="宋体" w:cs="宋体"/>
          <w:b w:val="0"/>
          <w:bCs/>
          <w:color w:val="auto"/>
          <w:sz w:val="21"/>
          <w:szCs w:val="21"/>
          <w:highlight w:val="none"/>
        </w:rPr>
        <w:t>列明验收情况及项目总体评价，由验收双方共同签署。验收结果与采购合同约定的资金支付条件挂钩。履约验收的各项资料应当存档备查。</w:t>
      </w:r>
    </w:p>
    <w:p w14:paraId="073E94CC">
      <w:pPr>
        <w:snapToGrid w:val="0"/>
        <w:spacing w:line="500" w:lineRule="exact"/>
        <w:ind w:firstLine="420" w:firstLineChars="200"/>
        <w:rPr>
          <w:rFonts w:hint="eastAsia" w:hAnsi="宋体" w:cs="宋体"/>
          <w:b w:val="0"/>
          <w:bCs/>
          <w:color w:val="auto"/>
          <w:sz w:val="21"/>
          <w:szCs w:val="21"/>
          <w:highlight w:val="none"/>
        </w:rPr>
      </w:pPr>
      <w:r>
        <w:rPr>
          <w:rFonts w:hint="eastAsia" w:hAnsi="宋体" w:cs="宋体"/>
          <w:b w:val="0"/>
          <w:bCs/>
          <w:color w:val="auto"/>
          <w:sz w:val="21"/>
          <w:szCs w:val="21"/>
          <w:highlight w:val="none"/>
          <w:lang w:val="en-US" w:eastAsia="zh-CN"/>
        </w:rPr>
        <w:t>4</w:t>
      </w:r>
      <w:r>
        <w:rPr>
          <w:rFonts w:hint="eastAsia" w:hAnsi="宋体" w:cs="宋体"/>
          <w:b w:val="0"/>
          <w:bCs/>
          <w:color w:val="auto"/>
          <w:sz w:val="21"/>
          <w:szCs w:val="21"/>
          <w:highlight w:val="none"/>
        </w:rPr>
        <w:t>.验收合格的项目，采购人将根据采购合同的约定及时向供应商支付采购资金。</w:t>
      </w:r>
    </w:p>
    <w:p w14:paraId="1F87799A">
      <w:pPr>
        <w:autoSpaceDE/>
        <w:autoSpaceDN/>
        <w:snapToGrid w:val="0"/>
        <w:spacing w:line="500" w:lineRule="exact"/>
        <w:ind w:firstLine="420" w:firstLineChars="200"/>
        <w:jc w:val="both"/>
        <w:rPr>
          <w:rFonts w:hint="eastAsia" w:hAnsi="宋体" w:cs="宋体"/>
          <w:b/>
          <w:color w:val="auto"/>
          <w:sz w:val="21"/>
          <w:szCs w:val="21"/>
          <w:highlight w:val="none"/>
        </w:rPr>
      </w:pPr>
      <w:r>
        <w:rPr>
          <w:rFonts w:hint="eastAsia" w:hAnsi="宋体" w:cs="宋体"/>
          <w:b w:val="0"/>
          <w:bCs/>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5"/>
    <w:p w14:paraId="499C0C70">
      <w:pPr>
        <w:autoSpaceDE/>
        <w:autoSpaceDN/>
        <w:snapToGrid w:val="0"/>
        <w:spacing w:line="50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九、本项目招标在金华市婺城区财政局政府采购监督管理办公室监督下进行。</w:t>
      </w:r>
    </w:p>
    <w:p w14:paraId="7C2C71A7">
      <w:pPr>
        <w:autoSpaceDE/>
        <w:autoSpaceDN/>
        <w:snapToGrid w:val="0"/>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十、电子投标特别提醒</w:t>
      </w:r>
    </w:p>
    <w:p w14:paraId="6229E6B2">
      <w:pPr>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1.请所有投标人在政采云系统准时参加线上开标活动，并且要求法定代表人或授权委托人全程在线。</w:t>
      </w:r>
    </w:p>
    <w:p w14:paraId="6803050A">
      <w:pPr>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2.投标截止时间后，代理机构将线上开启解密，投标人需及时用CA锁在线解密，解密时间一般为半小时（</w:t>
      </w:r>
      <w:r>
        <w:rPr>
          <w:rFonts w:hint="eastAsia" w:hAnsi="宋体" w:cs="宋体"/>
          <w:color w:val="auto"/>
          <w:sz w:val="21"/>
          <w:szCs w:val="21"/>
          <w:highlight w:val="none"/>
        </w:rPr>
        <w:t>解密时限由财政部门设置</w:t>
      </w:r>
      <w:r>
        <w:rPr>
          <w:rFonts w:hint="eastAsia" w:hAnsi="宋体" w:cs="宋体"/>
          <w:color w:val="auto"/>
          <w:sz w:val="21"/>
          <w:highlight w:val="none"/>
        </w:rPr>
        <w:t>），逾期解密，投标人自行承担风险。</w:t>
      </w:r>
    </w:p>
    <w:p w14:paraId="0E66387A">
      <w:pPr>
        <w:widowControl/>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14:paraId="251EEFB3">
      <w:pPr>
        <w:snapToGrid w:val="0"/>
        <w:spacing w:line="500" w:lineRule="exact"/>
        <w:ind w:firstLine="420" w:firstLineChars="200"/>
        <w:rPr>
          <w:rFonts w:hAnsi="宋体" w:cs="宋体"/>
          <w:bCs/>
          <w:color w:val="auto"/>
          <w:sz w:val="21"/>
          <w:szCs w:val="22"/>
          <w:highlight w:val="none"/>
        </w:rPr>
      </w:pPr>
      <w:bookmarkStart w:id="46" w:name="_Toc7787"/>
      <w:r>
        <w:rPr>
          <w:rFonts w:hint="eastAsia" w:hAnsi="宋体" w:cs="宋体"/>
          <w:bCs/>
          <w:color w:val="auto"/>
          <w:sz w:val="21"/>
          <w:szCs w:val="22"/>
          <w:highlight w:val="none"/>
        </w:rPr>
        <w:t>4.请务必确保投标文件制作客户端为最新版本，旧版本可能导致投标文件解密失败。</w:t>
      </w:r>
      <w:bookmarkEnd w:id="46"/>
    </w:p>
    <w:p w14:paraId="26182A7B">
      <w:pPr>
        <w:snapToGrid w:val="0"/>
        <w:spacing w:line="500" w:lineRule="exact"/>
        <w:ind w:firstLine="420"/>
        <w:jc w:val="center"/>
        <w:outlineLvl w:val="0"/>
        <w:rPr>
          <w:rFonts w:hAnsi="宋体" w:cs="宋体"/>
          <w:color w:val="auto"/>
          <w:sz w:val="30"/>
          <w:szCs w:val="30"/>
          <w:highlight w:val="none"/>
        </w:rPr>
      </w:pPr>
      <w:r>
        <w:rPr>
          <w:rFonts w:hint="eastAsia" w:hAnsi="宋体" w:cs="宋体"/>
          <w:color w:val="auto"/>
          <w:sz w:val="21"/>
          <w:szCs w:val="21"/>
          <w:highlight w:val="none"/>
        </w:rPr>
        <w:br w:type="page"/>
      </w:r>
      <w:bookmarkStart w:id="47" w:name="_Toc351559944"/>
      <w:bookmarkStart w:id="66" w:name="_GoBack"/>
      <w:bookmarkEnd w:id="66"/>
      <w:r>
        <w:rPr>
          <w:rFonts w:hint="eastAsia" w:hAnsi="宋体" w:cs="宋体"/>
          <w:b/>
          <w:bCs/>
          <w:color w:val="auto"/>
          <w:sz w:val="30"/>
          <w:szCs w:val="30"/>
          <w:highlight w:val="none"/>
        </w:rPr>
        <w:t>第四章 评标办法及评分标准</w:t>
      </w:r>
      <w:bookmarkEnd w:id="47"/>
    </w:p>
    <w:p w14:paraId="7F8EF01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2C48E0C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本办法仅适用本项目的评标。</w:t>
      </w:r>
    </w:p>
    <w:p w14:paraId="1969BF59">
      <w:pPr>
        <w:pStyle w:val="43"/>
        <w:adjustRightInd w:val="0"/>
        <w:snapToGrid w:val="0"/>
        <w:spacing w:before="0" w:beforeAutospacing="0" w:after="0" w:afterAutospacing="0" w:line="500" w:lineRule="exact"/>
        <w:ind w:firstLine="422" w:firstLineChars="200"/>
        <w:rPr>
          <w:rFonts w:ascii="宋体" w:cs="宋体"/>
          <w:b/>
          <w:bCs/>
          <w:color w:val="auto"/>
          <w:highlight w:val="none"/>
          <w:lang w:bidi="ar"/>
        </w:rPr>
      </w:pPr>
      <w:r>
        <w:rPr>
          <w:rFonts w:hint="eastAsia" w:ascii="宋体" w:cs="宋体"/>
          <w:b/>
          <w:color w:val="auto"/>
          <w:sz w:val="21"/>
          <w:szCs w:val="21"/>
          <w:highlight w:val="none"/>
        </w:rPr>
        <w:t>一、评审纪律和要求</w:t>
      </w:r>
    </w:p>
    <w:p w14:paraId="6288E1D6">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36C9C7E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2B884BEA">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31971420">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0239B56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12087028">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3EEE5334">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31E1CEAD">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4098789E">
      <w:pPr>
        <w:autoSpaceDE/>
        <w:autoSpaceDN/>
        <w:snapToGrid w:val="0"/>
        <w:spacing w:line="500" w:lineRule="exact"/>
        <w:ind w:firstLine="422" w:firstLineChars="200"/>
        <w:rPr>
          <w:rFonts w:hAnsi="宋体" w:cs="宋体"/>
          <w:color w:val="auto"/>
          <w:sz w:val="21"/>
          <w:szCs w:val="21"/>
          <w:highlight w:val="none"/>
        </w:rPr>
      </w:pPr>
      <w:r>
        <w:rPr>
          <w:rFonts w:hint="eastAsia" w:hAnsi="宋体" w:cs="宋体"/>
          <w:b/>
          <w:bCs/>
          <w:color w:val="auto"/>
          <w:sz w:val="21"/>
          <w:szCs w:val="21"/>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736EC68E">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B44A5C8">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4B0A0752">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737222AA">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282EC8EE">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049F32D6">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651C452D">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2CDE7C3A">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①明知应当回避而未主动回避的；</w:t>
      </w:r>
    </w:p>
    <w:p w14:paraId="3A06644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6AE43578">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45ED9CBD">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46F4B81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29F14AE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479940F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E3448BA">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6EFC9814">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A7BC0A1">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033212F4">
      <w:pPr>
        <w:pStyle w:val="43"/>
        <w:adjustRightInd w:val="0"/>
        <w:snapToGrid w:val="0"/>
        <w:spacing w:before="0" w:beforeAutospacing="0" w:after="0" w:afterAutospacing="0" w:line="50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二、评标定标时对政府采购政策的落实要求</w:t>
      </w:r>
    </w:p>
    <w:p w14:paraId="3BF61AC6">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453A8F2B">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CA123A7">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642D2ECD">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D5009E4">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0D42991">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176F7D6B">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BC71CB7">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36015CC6">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40B7368B">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41F831EF">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69D48FD2">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0A3EBBF6">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64BDD737">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4EB61BE9">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06CE0E3A">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.3.4符合《关于促进残疾人就业政府采购政策的通知》（财库〔2017〕141号）规定的条件并提供《残疾人福利性单位声明函》（附件1）的残疾人福利性单位视同小型、微型企业；</w:t>
      </w:r>
    </w:p>
    <w:p w14:paraId="6855D736">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6F263D">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77063FB">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1406ABBF">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492A4A4F">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53709E52">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w:t>
      </w:r>
      <w:r>
        <w:rPr>
          <w:rFonts w:hint="eastAsia" w:ascii="宋体" w:cs="宋体"/>
          <w:b/>
          <w:bCs/>
          <w:color w:val="auto"/>
          <w:sz w:val="21"/>
          <w:szCs w:val="21"/>
          <w:highlight w:val="none"/>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lang w:bidi="ar"/>
        </w:rPr>
        <w:t>。</w:t>
      </w:r>
    </w:p>
    <w:p w14:paraId="02A9A7AD">
      <w:pPr>
        <w:pStyle w:val="43"/>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14:paraId="5D9C0011">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三、总则</w:t>
      </w:r>
    </w:p>
    <w:p w14:paraId="31B24920">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auto"/>
          <w:sz w:val="21"/>
          <w:szCs w:val="21"/>
          <w:highlight w:val="none"/>
        </w:rPr>
        <w:t>技术商务分</w:t>
      </w:r>
      <w:r>
        <w:rPr>
          <w:rFonts w:hint="eastAsia" w:hAnsi="宋体" w:cs="宋体"/>
          <w:color w:val="auto"/>
          <w:sz w:val="21"/>
          <w:szCs w:val="21"/>
          <w:highlight w:val="none"/>
          <w:lang w:val="en-US" w:eastAsia="zh-CN"/>
        </w:rPr>
        <w:t>85</w:t>
      </w:r>
      <w:r>
        <w:rPr>
          <w:rFonts w:hint="eastAsia" w:hAnsi="宋体" w:cs="宋体"/>
          <w:color w:val="auto"/>
          <w:sz w:val="21"/>
          <w:szCs w:val="21"/>
          <w:highlight w:val="none"/>
        </w:rPr>
        <w:t>分等二部分。合格投标人的评标得分为各项目汇总得分，中标候选资格按评标得分由高到低顺序排列，汇总得分相同的，按投标报价由低到高顺序排列；汇总得分且投标报价均相同的，按“单村供水物业化管理服务方案”的</w:t>
      </w:r>
      <w:r>
        <w:rPr>
          <w:rFonts w:hint="eastAsia" w:hAnsi="宋体" w:cs="宋体"/>
          <w:color w:val="auto"/>
          <w:sz w:val="21"/>
          <w:szCs w:val="21"/>
          <w:highlight w:val="none"/>
          <w:lang w:val="en-US" w:eastAsia="zh-CN"/>
        </w:rPr>
        <w:t>得分</w:t>
      </w:r>
      <w:r>
        <w:rPr>
          <w:rFonts w:hint="eastAsia" w:hAnsi="宋体" w:cs="宋体"/>
          <w:color w:val="auto"/>
          <w:sz w:val="21"/>
          <w:szCs w:val="21"/>
          <w:highlight w:val="none"/>
        </w:rPr>
        <w:t>高低排序。排名第一的投标人为中标候选人，排名第二的投标人为候补中标候选人……其他投标人中标候选资格依此类推。评分过程中采用四舍五入法，并保留小数2位。</w:t>
      </w:r>
    </w:p>
    <w:p w14:paraId="11775436">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53128A0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3E49E047">
      <w:pPr>
        <w:autoSpaceDE/>
        <w:autoSpaceDN/>
        <w:adjustRightInd/>
        <w:snapToGrid w:val="0"/>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四、评标内容及标准</w:t>
      </w:r>
    </w:p>
    <w:p w14:paraId="1DB0F5BA">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（一）价格分（</w:t>
      </w:r>
      <w:r>
        <w:rPr>
          <w:rFonts w:hint="eastAsia" w:hAnsi="宋体" w:cs="宋体"/>
          <w:b/>
          <w:color w:val="auto"/>
          <w:sz w:val="21"/>
          <w:szCs w:val="21"/>
          <w:highlight w:val="none"/>
          <w:lang w:val="en-US" w:eastAsia="zh-CN"/>
        </w:rPr>
        <w:t>15</w:t>
      </w:r>
      <w:r>
        <w:rPr>
          <w:rFonts w:hint="eastAsia" w:hAnsi="宋体" w:cs="宋体"/>
          <w:b/>
          <w:color w:val="auto"/>
          <w:sz w:val="21"/>
          <w:szCs w:val="21"/>
          <w:highlight w:val="none"/>
        </w:rPr>
        <w:t>分）</w:t>
      </w:r>
    </w:p>
    <w:p w14:paraId="30C09E53">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p w14:paraId="733F2AC2">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其他投标人的价格分=（评标基准价/投标人评审价格）×</w:t>
      </w:r>
      <w:r>
        <w:rPr>
          <w:rFonts w:hint="eastAsia" w:hAnsi="宋体" w:cs="宋体"/>
          <w:b/>
          <w:color w:val="auto"/>
          <w:sz w:val="21"/>
          <w:szCs w:val="21"/>
          <w:highlight w:val="none"/>
          <w:lang w:val="en-US" w:eastAsia="zh-CN"/>
        </w:rPr>
        <w:t>15</w:t>
      </w:r>
      <w:r>
        <w:rPr>
          <w:rFonts w:hint="eastAsia" w:hAnsi="宋体" w:cs="宋体"/>
          <w:b/>
          <w:color w:val="auto"/>
          <w:sz w:val="21"/>
          <w:szCs w:val="21"/>
          <w:highlight w:val="none"/>
        </w:rPr>
        <w:t xml:space="preserve">%×100 </w:t>
      </w:r>
    </w:p>
    <w:p w14:paraId="1B21FD75">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价格评审过程中，评标委员会认为投标人的报价明显低于其他通过符合性审查投标人的报价且报价低于</w:t>
      </w:r>
      <w:r>
        <w:rPr>
          <w:rFonts w:hint="eastAsia" w:hAnsi="宋体" w:cs="宋体"/>
          <w:color w:val="auto"/>
          <w:sz w:val="21"/>
          <w:szCs w:val="21"/>
          <w:highlight w:val="none"/>
          <w:lang w:val="en-US" w:eastAsia="zh-CN"/>
        </w:rPr>
        <w:t>预算金额</w:t>
      </w:r>
      <w:r>
        <w:rPr>
          <w:rFonts w:hint="eastAsia" w:hAnsi="宋体" w:cs="宋体"/>
          <w:color w:val="auto"/>
          <w:sz w:val="21"/>
          <w:szCs w:val="21"/>
          <w:highlight w:val="none"/>
        </w:rPr>
        <w:t>50%时，有可能影响服务质量或者不能诚信履约的，应当要求其在评标现场合理的时间内提供书面说明，以详细阐述不影响服务质量或者诚信履约的具体原因，必要时提交相关证明材料；投标人不能证明其报价合理性的，评标委员会应当将其作为无效投标处理。在有效投标人数满足法定人数的前提下，评标委员会依次确定满足招标文件要求且评审价格最低的有效评审价格为评标基准价。</w:t>
      </w:r>
    </w:p>
    <w:p w14:paraId="460BB02D">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投标人的投标报价超过采购人设定的</w:t>
      </w:r>
      <w:r>
        <w:rPr>
          <w:rFonts w:hint="eastAsia" w:hAnsi="宋体" w:cs="宋体"/>
          <w:b/>
          <w:bCs/>
          <w:color w:val="auto"/>
          <w:sz w:val="21"/>
          <w:szCs w:val="21"/>
          <w:highlight w:val="none"/>
          <w:lang w:val="en-US" w:eastAsia="zh-CN"/>
        </w:rPr>
        <w:t>最高</w:t>
      </w:r>
      <w:r>
        <w:rPr>
          <w:rFonts w:hint="eastAsia" w:hAnsi="宋体" w:cs="宋体"/>
          <w:b/>
          <w:bCs/>
          <w:color w:val="auto"/>
          <w:sz w:val="21"/>
          <w:szCs w:val="21"/>
          <w:highlight w:val="none"/>
        </w:rPr>
        <w:t>限价，按投标无效处理。</w:t>
      </w:r>
    </w:p>
    <w:p w14:paraId="75FF6DD2">
      <w:pPr>
        <w:autoSpaceDE/>
        <w:autoSpaceDN/>
        <w:adjustRightInd/>
        <w:spacing w:line="460" w:lineRule="exact"/>
        <w:ind w:firstLine="422" w:firstLineChars="200"/>
        <w:jc w:val="both"/>
        <w:rPr>
          <w:rFonts w:hAnsi="宋体" w:cs="宋体"/>
          <w:b/>
          <w:bCs/>
          <w:color w:val="auto"/>
          <w:sz w:val="21"/>
          <w:szCs w:val="21"/>
          <w:highlight w:val="none"/>
        </w:rPr>
      </w:pPr>
      <w:r>
        <w:rPr>
          <w:rFonts w:hint="eastAsia" w:hAnsi="宋体" w:cs="宋体"/>
          <w:b/>
          <w:color w:val="auto"/>
          <w:sz w:val="21"/>
          <w:szCs w:val="21"/>
          <w:highlight w:val="none"/>
        </w:rPr>
        <w:t>3.</w:t>
      </w:r>
      <w:r>
        <w:rPr>
          <w:rFonts w:hint="eastAsia" w:hAnsi="宋体" w:cs="宋体"/>
          <w:b/>
          <w:bCs/>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47"/>
        <w:tblW w:w="9165" w:type="dxa"/>
        <w:jc w:val="center"/>
        <w:tblLayout w:type="fixed"/>
        <w:tblCellMar>
          <w:top w:w="0" w:type="dxa"/>
          <w:left w:w="108" w:type="dxa"/>
          <w:bottom w:w="0" w:type="dxa"/>
          <w:right w:w="108" w:type="dxa"/>
        </w:tblCellMar>
      </w:tblPr>
      <w:tblGrid>
        <w:gridCol w:w="728"/>
        <w:gridCol w:w="4615"/>
        <w:gridCol w:w="970"/>
        <w:gridCol w:w="2852"/>
      </w:tblGrid>
      <w:tr w14:paraId="5B06EA53">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14:paraId="1EF84A39">
            <w:pPr>
              <w:snapToGrid w:val="0"/>
              <w:spacing w:line="460" w:lineRule="exact"/>
              <w:ind w:left="149"/>
              <w:jc w:val="both"/>
              <w:rPr>
                <w:rFonts w:hAnsi="宋体" w:cs="宋体"/>
                <w:color w:val="auto"/>
                <w:sz w:val="21"/>
                <w:szCs w:val="21"/>
                <w:highlight w:val="none"/>
              </w:rPr>
            </w:pPr>
            <w:r>
              <w:rPr>
                <w:rFonts w:hint="eastAsia" w:hAnsi="宋体" w:cs="宋体"/>
                <w:color w:val="auto"/>
                <w:spacing w:val="-1"/>
                <w:sz w:val="21"/>
                <w:szCs w:val="21"/>
                <w:highlight w:val="none"/>
              </w:rPr>
              <w:t>序号</w:t>
            </w:r>
          </w:p>
        </w:tc>
        <w:tc>
          <w:tcPr>
            <w:tcW w:w="4615"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5389C6B7">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情形</w:t>
            </w:r>
          </w:p>
        </w:tc>
        <w:tc>
          <w:tcPr>
            <w:tcW w:w="970"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62EBE0C6">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评审价格扣除比例</w:t>
            </w:r>
          </w:p>
        </w:tc>
        <w:tc>
          <w:tcPr>
            <w:tcW w:w="2852"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132E4C12">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计算公式</w:t>
            </w:r>
          </w:p>
        </w:tc>
      </w:tr>
      <w:tr w14:paraId="636535E0">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2C00EE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461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7F66B51">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联合体投标或分包时，《联合协议》或《分包意向协议》中约定小微企业的合同份额占到合同总金额的30%以上。</w:t>
            </w:r>
          </w:p>
        </w:tc>
        <w:tc>
          <w:tcPr>
            <w:tcW w:w="9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791D615">
            <w:pPr>
              <w:snapToGrid w:val="0"/>
              <w:spacing w:line="460" w:lineRule="exact"/>
              <w:jc w:val="center"/>
              <w:rPr>
                <w:rFonts w:hAnsi="宋体" w:cs="宋体"/>
                <w:color w:val="auto"/>
                <w:spacing w:val="-1"/>
                <w:sz w:val="21"/>
                <w:szCs w:val="21"/>
                <w:highlight w:val="none"/>
              </w:rPr>
            </w:pPr>
            <w:r>
              <w:rPr>
                <w:rFonts w:hint="eastAsia" w:hAnsi="宋体" w:cs="宋体"/>
                <w:color w:val="auto"/>
                <w:spacing w:val="-1"/>
                <w:sz w:val="21"/>
                <w:szCs w:val="21"/>
                <w:highlight w:val="none"/>
                <w:lang w:val="en-US" w:eastAsia="zh-CN"/>
              </w:rPr>
              <w:t>4</w:t>
            </w:r>
            <w:r>
              <w:rPr>
                <w:rFonts w:hint="eastAsia" w:hAnsi="宋体" w:cs="宋体"/>
                <w:color w:val="auto"/>
                <w:spacing w:val="-1"/>
                <w:sz w:val="21"/>
                <w:szCs w:val="21"/>
                <w:highlight w:val="none"/>
              </w:rPr>
              <w:t>%</w:t>
            </w:r>
          </w:p>
        </w:tc>
        <w:tc>
          <w:tcPr>
            <w:tcW w:w="285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C50EF30">
            <w:pPr>
              <w:snapToGrid w:val="0"/>
              <w:spacing w:line="460" w:lineRule="exact"/>
              <w:jc w:val="center"/>
              <w:rPr>
                <w:rFonts w:hAnsi="宋体" w:cs="宋体"/>
                <w:color w:val="auto"/>
                <w:spacing w:val="-1"/>
                <w:sz w:val="21"/>
                <w:szCs w:val="21"/>
                <w:highlight w:val="none"/>
              </w:rPr>
            </w:pPr>
            <w:r>
              <w:rPr>
                <w:rFonts w:hint="eastAsia" w:hAnsi="宋体" w:cs="宋体"/>
                <w:color w:val="auto"/>
                <w:spacing w:val="-1"/>
                <w:sz w:val="21"/>
                <w:szCs w:val="21"/>
                <w:highlight w:val="none"/>
              </w:rPr>
              <w:t>评审价格＝投标报价×(1-</w:t>
            </w:r>
            <w:r>
              <w:rPr>
                <w:rFonts w:hint="eastAsia" w:hAnsi="宋体" w:cs="宋体"/>
                <w:color w:val="auto"/>
                <w:spacing w:val="-1"/>
                <w:sz w:val="21"/>
                <w:szCs w:val="21"/>
                <w:highlight w:val="none"/>
                <w:lang w:val="en-US" w:eastAsia="zh-CN"/>
              </w:rPr>
              <w:t>4</w:t>
            </w:r>
            <w:r>
              <w:rPr>
                <w:rFonts w:hint="eastAsia" w:hAnsi="宋体" w:cs="宋体"/>
                <w:color w:val="auto"/>
                <w:spacing w:val="-1"/>
                <w:sz w:val="21"/>
                <w:szCs w:val="21"/>
                <w:highlight w:val="none"/>
              </w:rPr>
              <w:t>%)</w:t>
            </w:r>
          </w:p>
        </w:tc>
      </w:tr>
      <w:tr w14:paraId="10AD4A46">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B3A5F77">
            <w:pPr>
              <w:snapToGrid w:val="0"/>
              <w:spacing w:line="460" w:lineRule="exact"/>
              <w:jc w:val="center"/>
              <w:rPr>
                <w:rFonts w:hAnsi="宋体" w:cs="宋体"/>
                <w:color w:val="auto"/>
                <w:spacing w:val="-1"/>
                <w:sz w:val="21"/>
                <w:szCs w:val="21"/>
                <w:highlight w:val="none"/>
              </w:rPr>
            </w:pPr>
            <w:r>
              <w:rPr>
                <w:rFonts w:hint="eastAsia" w:hAnsi="宋体" w:cs="宋体"/>
                <w:color w:val="auto"/>
                <w:spacing w:val="-1"/>
                <w:sz w:val="21"/>
                <w:szCs w:val="21"/>
                <w:highlight w:val="none"/>
              </w:rPr>
              <w:t>2</w:t>
            </w:r>
          </w:p>
        </w:tc>
        <w:tc>
          <w:tcPr>
            <w:tcW w:w="461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07233F8">
            <w:pPr>
              <w:snapToGrid w:val="0"/>
              <w:spacing w:line="460" w:lineRule="exact"/>
              <w:rPr>
                <w:rFonts w:hAnsi="宋体" w:cs="宋体"/>
                <w:color w:val="auto"/>
                <w:spacing w:val="-1"/>
                <w:kern w:val="2"/>
                <w:sz w:val="21"/>
                <w:szCs w:val="21"/>
                <w:highlight w:val="none"/>
              </w:rPr>
            </w:pPr>
            <w:r>
              <w:rPr>
                <w:rFonts w:hint="eastAsia" w:hAnsi="宋体" w:cs="宋体"/>
                <w:color w:val="auto"/>
                <w:spacing w:val="-1"/>
                <w:sz w:val="21"/>
                <w:szCs w:val="21"/>
                <w:highlight w:val="none"/>
              </w:rPr>
              <w:t>服务全部</w:t>
            </w:r>
            <w:r>
              <w:rPr>
                <w:rFonts w:hint="eastAsia" w:hAnsi="宋体" w:cs="宋体"/>
                <w:color w:val="auto"/>
                <w:sz w:val="21"/>
                <w:szCs w:val="21"/>
                <w:highlight w:val="none"/>
              </w:rPr>
              <w:t>由小微企业（包括投标人自身、联合体投标的各成员、接受分包的各供应商成员）承担</w:t>
            </w:r>
          </w:p>
        </w:tc>
        <w:tc>
          <w:tcPr>
            <w:tcW w:w="9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392508F">
            <w:pPr>
              <w:snapToGrid w:val="0"/>
              <w:spacing w:line="460" w:lineRule="exact"/>
              <w:jc w:val="center"/>
              <w:rPr>
                <w:rFonts w:hAnsi="宋体" w:cs="宋体"/>
                <w:color w:val="auto"/>
                <w:spacing w:val="-1"/>
                <w:sz w:val="21"/>
                <w:szCs w:val="21"/>
                <w:highlight w:val="none"/>
              </w:rPr>
            </w:pPr>
            <w:r>
              <w:rPr>
                <w:rFonts w:hint="eastAsia" w:hAnsi="宋体" w:cs="宋体"/>
                <w:color w:val="auto"/>
                <w:spacing w:val="-1"/>
                <w:sz w:val="21"/>
                <w:szCs w:val="21"/>
                <w:highlight w:val="none"/>
              </w:rPr>
              <w:t>10%</w:t>
            </w:r>
          </w:p>
        </w:tc>
        <w:tc>
          <w:tcPr>
            <w:tcW w:w="285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6BF28EB">
            <w:pPr>
              <w:snapToGrid w:val="0"/>
              <w:spacing w:line="460" w:lineRule="exact"/>
              <w:jc w:val="center"/>
              <w:rPr>
                <w:rFonts w:hAnsi="宋体" w:cs="宋体"/>
                <w:color w:val="auto"/>
                <w:spacing w:val="-1"/>
                <w:sz w:val="21"/>
                <w:szCs w:val="21"/>
                <w:highlight w:val="none"/>
              </w:rPr>
            </w:pPr>
            <w:r>
              <w:rPr>
                <w:rFonts w:hint="eastAsia" w:hAnsi="宋体" w:cs="宋体"/>
                <w:color w:val="auto"/>
                <w:spacing w:val="-1"/>
                <w:sz w:val="21"/>
                <w:szCs w:val="21"/>
                <w:highlight w:val="none"/>
              </w:rPr>
              <w:t>评审价格＝投标报价×(1-10%)</w:t>
            </w:r>
          </w:p>
        </w:tc>
      </w:tr>
    </w:tbl>
    <w:p w14:paraId="1943C4C9">
      <w:pPr>
        <w:widowControl/>
        <w:shd w:val="clear" w:color="auto" w:fill="FFFFFF"/>
        <w:autoSpaceDE/>
        <w:autoSpaceDN/>
        <w:adjustRightInd/>
        <w:spacing w:line="500" w:lineRule="exact"/>
        <w:ind w:firstLine="420" w:firstLineChars="200"/>
        <w:rPr>
          <w:rFonts w:hAnsi="宋体" w:cs="宋体"/>
          <w:b/>
          <w:color w:val="auto"/>
          <w:sz w:val="21"/>
          <w:szCs w:val="21"/>
          <w:highlight w:val="none"/>
        </w:rPr>
      </w:pPr>
      <w:r>
        <w:rPr>
          <w:rFonts w:hint="eastAsia" w:hAnsi="宋体" w:cs="宋体"/>
          <w:color w:val="auto"/>
          <w:sz w:val="21"/>
          <w:szCs w:val="21"/>
          <w:highlight w:val="none"/>
        </w:rPr>
        <w:t>注：①服务全部或部分由大型或中型企业或非企业机构（残疾人福利性单位除外）承接的，不享受以上评审价格扣除优惠；②“中小企业”是指在中华人民共和国境内依法设立，依据国务院批准的中小企业划分标准确定的中型企业、小型企业和微型企业，但与大企业的负责人为同一人，或者与大企业存在直接控股、管理关系的除外；本项目对应的中小企业划分标准所属行业为中小企业划型标准规定（工信部联企业〔2011〕300号）中的“</w:t>
      </w:r>
      <w:r>
        <w:rPr>
          <w:rFonts w:hint="eastAsia" w:hAnsi="宋体" w:cs="宋体"/>
          <w:color w:val="auto"/>
          <w:sz w:val="21"/>
          <w:szCs w:val="21"/>
          <w:highlight w:val="none"/>
          <w:lang w:eastAsia="zh-CN"/>
        </w:rPr>
        <w:t>其他未列明行业--水利、环境和公共设施管理业</w:t>
      </w:r>
      <w:r>
        <w:rPr>
          <w:rFonts w:hint="eastAsia" w:hAnsi="宋体" w:cs="宋体"/>
          <w:color w:val="auto"/>
          <w:sz w:val="21"/>
          <w:szCs w:val="21"/>
          <w:highlight w:val="none"/>
        </w:rPr>
        <w:t>”行业；③符合中小企业划分标准的个体工商户，在本项目采购活动中视同中小企业；④残疾人福利性单位或监狱企业视同小型、微型企业执行。⑤组成联合体的中小企业与联合体内其他企业之间不得存在直接控股、管理关系，否则不享受以上评审价格扣除优惠。</w:t>
      </w:r>
    </w:p>
    <w:p w14:paraId="11488EE9">
      <w:pPr>
        <w:numPr>
          <w:ilvl w:val="0"/>
          <w:numId w:val="3"/>
        </w:num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技术商务分（</w:t>
      </w:r>
      <w:r>
        <w:rPr>
          <w:rFonts w:hint="eastAsia" w:hAnsi="宋体" w:cs="宋体"/>
          <w:b/>
          <w:bCs/>
          <w:color w:val="auto"/>
          <w:sz w:val="21"/>
          <w:szCs w:val="21"/>
          <w:highlight w:val="none"/>
          <w:lang w:val="en-US" w:eastAsia="zh-CN"/>
        </w:rPr>
        <w:t>85</w:t>
      </w:r>
      <w:r>
        <w:rPr>
          <w:rFonts w:hint="eastAsia" w:hAnsi="宋体" w:cs="宋体"/>
          <w:b/>
          <w:bCs/>
          <w:color w:val="auto"/>
          <w:sz w:val="21"/>
          <w:szCs w:val="21"/>
          <w:highlight w:val="none"/>
        </w:rPr>
        <w:t>分）</w:t>
      </w:r>
    </w:p>
    <w:tbl>
      <w:tblPr>
        <w:tblStyle w:val="48"/>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894"/>
        <w:gridCol w:w="6518"/>
        <w:gridCol w:w="903"/>
      </w:tblGrid>
      <w:tr w14:paraId="6633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0863874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94" w:type="dxa"/>
            <w:noWrap w:val="0"/>
            <w:vAlign w:val="center"/>
          </w:tcPr>
          <w:p w14:paraId="51BD228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518" w:type="dxa"/>
            <w:noWrap w:val="0"/>
            <w:vAlign w:val="center"/>
          </w:tcPr>
          <w:p w14:paraId="5437EA2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评分内容及细则</w:t>
            </w:r>
          </w:p>
        </w:tc>
        <w:tc>
          <w:tcPr>
            <w:tcW w:w="903" w:type="dxa"/>
            <w:noWrap w:val="0"/>
            <w:vAlign w:val="center"/>
          </w:tcPr>
          <w:p w14:paraId="019CC17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42E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A9E0AB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94" w:type="dxa"/>
            <w:noWrap w:val="0"/>
            <w:vAlign w:val="center"/>
          </w:tcPr>
          <w:p w14:paraId="220948E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政策分</w:t>
            </w:r>
          </w:p>
        </w:tc>
        <w:tc>
          <w:tcPr>
            <w:tcW w:w="6518" w:type="dxa"/>
            <w:noWrap w:val="0"/>
            <w:vAlign w:val="center"/>
          </w:tcPr>
          <w:p w14:paraId="667DA1C0">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响应供应商符合《政府采购货物和服务招标投标管理办法》第五条规定，属“节约能源、保护环境、扶持不发达地区和少数民族地区等”政府采购政策扶持对象的，提供相关证明材料和政策依据，每符合一项得</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分，最高可得2分；未提供相关证明材料的不得分。（提供相关证明材料和政策依据备查）。</w:t>
            </w:r>
          </w:p>
        </w:tc>
        <w:tc>
          <w:tcPr>
            <w:tcW w:w="903" w:type="dxa"/>
            <w:noWrap w:val="0"/>
            <w:vAlign w:val="center"/>
          </w:tcPr>
          <w:p w14:paraId="5198E4B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30F4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6BEA9A8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94" w:type="dxa"/>
            <w:noWrap w:val="0"/>
            <w:vAlign w:val="center"/>
          </w:tcPr>
          <w:p w14:paraId="065426E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供应商类似项目业绩</w:t>
            </w:r>
          </w:p>
        </w:tc>
        <w:tc>
          <w:tcPr>
            <w:tcW w:w="6518" w:type="dxa"/>
            <w:noWrap w:val="0"/>
            <w:vAlign w:val="center"/>
          </w:tcPr>
          <w:p w14:paraId="142665DF">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响应供应商自</w:t>
            </w: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w:t>
            </w:r>
            <w:r>
              <w:rPr>
                <w:rFonts w:hint="default" w:hAnsi="宋体" w:cs="宋体"/>
                <w:color w:val="auto"/>
                <w:sz w:val="21"/>
                <w:szCs w:val="21"/>
                <w:highlight w:val="none"/>
              </w:rPr>
              <w:t>1</w:t>
            </w:r>
            <w:r>
              <w:rPr>
                <w:rFonts w:hint="eastAsia" w:hAnsi="宋体" w:cs="宋体"/>
                <w:color w:val="auto"/>
                <w:sz w:val="21"/>
                <w:szCs w:val="21"/>
                <w:highlight w:val="none"/>
              </w:rPr>
              <w:t>月1日</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以合同签订时间为准</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以来</w:t>
            </w:r>
            <w:r>
              <w:rPr>
                <w:rFonts w:hint="eastAsia" w:ascii="宋体" w:hAnsi="宋体" w:eastAsia="宋体" w:cs="宋体"/>
                <w:color w:val="auto"/>
                <w:sz w:val="21"/>
                <w:szCs w:val="21"/>
                <w:highlight w:val="none"/>
                <w:lang w:val="en-US" w:eastAsia="zh-CN"/>
              </w:rPr>
              <w:t>独立承接</w:t>
            </w:r>
            <w:r>
              <w:rPr>
                <w:rFonts w:hint="eastAsia" w:ascii="宋体" w:hAnsi="宋体" w:eastAsia="宋体" w:cs="宋体"/>
                <w:color w:val="auto"/>
                <w:sz w:val="21"/>
                <w:szCs w:val="21"/>
                <w:highlight w:val="none"/>
                <w:lang w:eastAsia="zh-CN"/>
              </w:rPr>
              <w:t>的同类项目业绩，每个</w:t>
            </w:r>
            <w:r>
              <w:rPr>
                <w:rFonts w:hint="eastAsia" w:ascii="宋体" w:hAnsi="宋体" w:eastAsia="宋体" w:cs="宋体"/>
                <w:color w:val="auto"/>
                <w:sz w:val="21"/>
                <w:szCs w:val="21"/>
                <w:highlight w:val="none"/>
                <w:lang w:val="en-US" w:eastAsia="zh-CN"/>
              </w:rPr>
              <w:t>合同业绩</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分，最高得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val="en-US" w:eastAsia="zh-CN"/>
              </w:rPr>
              <w:t>清晰可辨的</w:t>
            </w:r>
            <w:r>
              <w:rPr>
                <w:rFonts w:hint="eastAsia" w:ascii="宋体" w:hAnsi="宋体" w:eastAsia="宋体" w:cs="宋体"/>
                <w:color w:val="auto"/>
                <w:sz w:val="21"/>
                <w:szCs w:val="21"/>
                <w:highlight w:val="none"/>
              </w:rPr>
              <w:t>合同复印件</w:t>
            </w:r>
            <w:r>
              <w:rPr>
                <w:rFonts w:hint="eastAsia" w:ascii="宋体" w:hAnsi="宋体" w:eastAsia="宋体" w:cs="宋体"/>
                <w:color w:val="auto"/>
                <w:sz w:val="21"/>
                <w:szCs w:val="21"/>
                <w:highlight w:val="none"/>
                <w:lang w:val="en-US" w:eastAsia="zh-CN"/>
              </w:rPr>
              <w:t>或扫描件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rPr>
              <w:t>未按要求提供的不得分</w:t>
            </w:r>
            <w:r>
              <w:rPr>
                <w:rFonts w:hint="eastAsia" w:ascii="宋体" w:hAnsi="宋体" w:eastAsia="宋体" w:cs="宋体"/>
                <w:color w:val="auto"/>
                <w:sz w:val="21"/>
                <w:szCs w:val="21"/>
                <w:highlight w:val="none"/>
              </w:rPr>
              <w:t>。</w:t>
            </w:r>
          </w:p>
        </w:tc>
        <w:tc>
          <w:tcPr>
            <w:tcW w:w="903" w:type="dxa"/>
            <w:noWrap w:val="0"/>
            <w:vAlign w:val="center"/>
          </w:tcPr>
          <w:p w14:paraId="0891838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1</w:t>
            </w:r>
          </w:p>
        </w:tc>
      </w:tr>
      <w:tr w14:paraId="7D20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72D1818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94" w:type="dxa"/>
            <w:noWrap w:val="0"/>
            <w:vAlign w:val="center"/>
          </w:tcPr>
          <w:p w14:paraId="6457108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团队技术水平与技术力量</w:t>
            </w:r>
          </w:p>
        </w:tc>
        <w:tc>
          <w:tcPr>
            <w:tcW w:w="6518" w:type="dxa"/>
            <w:noWrap w:val="0"/>
            <w:vAlign w:val="center"/>
          </w:tcPr>
          <w:p w14:paraId="30AA8D6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根据拟派项目负责人的学历、从业资格、技术职称、从业年限、工作经验等</w:t>
            </w:r>
            <w:r>
              <w:rPr>
                <w:rFonts w:hint="eastAsia" w:hAnsi="宋体" w:cs="宋体"/>
                <w:color w:val="auto"/>
                <w:kern w:val="0"/>
                <w:sz w:val="21"/>
                <w:szCs w:val="21"/>
                <w:highlight w:val="none"/>
                <w:lang w:val="en-US" w:eastAsia="zh-CN"/>
              </w:rPr>
              <w:t>进行打分，本项最高得2分。</w:t>
            </w:r>
          </w:p>
          <w:p w14:paraId="7AFD47BB">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根据项目</w:t>
            </w:r>
            <w:r>
              <w:rPr>
                <w:rFonts w:hint="eastAsia" w:hAnsi="宋体" w:cs="宋体"/>
                <w:color w:val="auto"/>
                <w:kern w:val="0"/>
                <w:sz w:val="21"/>
                <w:szCs w:val="21"/>
                <w:highlight w:val="none"/>
                <w:lang w:val="en-US" w:eastAsia="zh-CN"/>
              </w:rPr>
              <w:t>团队成员</w:t>
            </w:r>
            <w:r>
              <w:rPr>
                <w:rFonts w:hint="eastAsia" w:ascii="宋体" w:hAnsi="宋体" w:eastAsia="宋体" w:cs="宋体"/>
                <w:color w:val="auto"/>
                <w:kern w:val="0"/>
                <w:sz w:val="21"/>
                <w:szCs w:val="21"/>
                <w:highlight w:val="none"/>
              </w:rPr>
              <w:t>（除项目负责人外）的人员配置、职责分工及整体素质情况等</w:t>
            </w:r>
            <w:r>
              <w:rPr>
                <w:rFonts w:hint="eastAsia" w:hAnsi="宋体" w:cs="宋体"/>
                <w:color w:val="auto"/>
                <w:kern w:val="0"/>
                <w:sz w:val="21"/>
                <w:szCs w:val="21"/>
                <w:highlight w:val="none"/>
                <w:lang w:val="en-US" w:eastAsia="zh-CN"/>
              </w:rPr>
              <w:t>进行打分，本项最高得3分。</w:t>
            </w:r>
          </w:p>
        </w:tc>
        <w:tc>
          <w:tcPr>
            <w:tcW w:w="903" w:type="dxa"/>
            <w:noWrap w:val="0"/>
            <w:vAlign w:val="center"/>
          </w:tcPr>
          <w:p w14:paraId="25B353A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5</w:t>
            </w:r>
          </w:p>
        </w:tc>
      </w:tr>
      <w:tr w14:paraId="5A0A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B346C3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94" w:type="dxa"/>
            <w:noWrap w:val="0"/>
            <w:vAlign w:val="center"/>
          </w:tcPr>
          <w:p w14:paraId="3BD6464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拟投入本项目设备情况</w:t>
            </w:r>
          </w:p>
        </w:tc>
        <w:tc>
          <w:tcPr>
            <w:tcW w:w="6518" w:type="dxa"/>
            <w:noWrap w:val="0"/>
            <w:vAlign w:val="center"/>
          </w:tcPr>
          <w:p w14:paraId="41981412">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根据响应供应商拟投入本项目的水质化验设备、清扫物品、物资装备等</w:t>
            </w:r>
            <w:r>
              <w:rPr>
                <w:rFonts w:hint="eastAsia" w:hAnsi="宋体" w:cs="宋体"/>
                <w:color w:val="auto"/>
                <w:kern w:val="0"/>
                <w:sz w:val="21"/>
                <w:szCs w:val="21"/>
                <w:highlight w:val="none"/>
                <w:lang w:val="en-US" w:eastAsia="zh-CN"/>
              </w:rPr>
              <w:t>方面进行</w:t>
            </w:r>
            <w:r>
              <w:rPr>
                <w:rFonts w:hint="eastAsia" w:ascii="宋体" w:hAnsi="宋体" w:eastAsia="宋体" w:cs="宋体"/>
                <w:color w:val="auto"/>
                <w:kern w:val="0"/>
                <w:sz w:val="21"/>
                <w:szCs w:val="21"/>
                <w:highlight w:val="none"/>
              </w:rPr>
              <w:t>打分</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本项最高得5分，</w:t>
            </w:r>
            <w:r>
              <w:rPr>
                <w:rFonts w:hint="eastAsia" w:ascii="宋体" w:hAnsi="宋体" w:eastAsia="宋体" w:cs="宋体"/>
                <w:color w:val="auto"/>
                <w:sz w:val="21"/>
                <w:szCs w:val="21"/>
                <w:highlight w:val="none"/>
                <w:lang w:val="en-US" w:eastAsia="zh-CN"/>
              </w:rPr>
              <w:t>有欠缺或有不合理的，每处扣1分，扣完为止。</w:t>
            </w:r>
          </w:p>
          <w:p w14:paraId="7D77FA40">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需提供相应</w:t>
            </w:r>
            <w:r>
              <w:rPr>
                <w:rFonts w:hint="eastAsia" w:ascii="宋体" w:hAnsi="宋体" w:eastAsia="宋体" w:cs="宋体"/>
                <w:color w:val="auto"/>
                <w:kern w:val="0"/>
                <w:sz w:val="21"/>
                <w:szCs w:val="21"/>
                <w:highlight w:val="none"/>
              </w:rPr>
              <w:t>设备清单，基础设施应提供图文资料及说明）</w:t>
            </w:r>
          </w:p>
        </w:tc>
        <w:tc>
          <w:tcPr>
            <w:tcW w:w="903" w:type="dxa"/>
            <w:noWrap w:val="0"/>
            <w:vAlign w:val="center"/>
          </w:tcPr>
          <w:p w14:paraId="012FCBE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5</w:t>
            </w:r>
          </w:p>
        </w:tc>
      </w:tr>
      <w:tr w14:paraId="3DC1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5B2E428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5</w:t>
            </w:r>
          </w:p>
        </w:tc>
        <w:tc>
          <w:tcPr>
            <w:tcW w:w="1894" w:type="dxa"/>
            <w:noWrap w:val="0"/>
            <w:vAlign w:val="center"/>
          </w:tcPr>
          <w:p w14:paraId="3C2DAC3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对项目的理解、现状调查与主要问题分析</w:t>
            </w:r>
          </w:p>
        </w:tc>
        <w:tc>
          <w:tcPr>
            <w:tcW w:w="6518" w:type="dxa"/>
            <w:noWrap w:val="0"/>
            <w:vAlign w:val="center"/>
          </w:tcPr>
          <w:p w14:paraId="79F1687E">
            <w:pPr>
              <w:keepNext w:val="0"/>
              <w:keepLines w:val="0"/>
              <w:pageBreakBefore w:val="0"/>
              <w:widowControl w:val="0"/>
              <w:kinsoku/>
              <w:wordWrap/>
              <w:overflowPunct/>
              <w:topLinePunct w:val="0"/>
              <w:autoSpaceDE w:val="0"/>
              <w:autoSpaceDN w:val="0"/>
              <w:bidi w:val="0"/>
              <w:adjustRightInd w:val="0"/>
              <w:spacing w:line="460" w:lineRule="exac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对本项目任务解读（工作内容、工作重点、工作难点）、现状调查</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主要问题剖析是否准确、认识是否深刻透彻，由评审专家</w:t>
            </w:r>
            <w:r>
              <w:rPr>
                <w:rFonts w:hint="eastAsia" w:ascii="宋体" w:hAnsi="宋体" w:eastAsia="宋体" w:cs="宋体"/>
                <w:color w:val="auto"/>
                <w:sz w:val="21"/>
                <w:szCs w:val="21"/>
                <w:highlight w:val="none"/>
                <w:lang w:val="en-US" w:eastAsia="zh-CN"/>
              </w:rPr>
              <w:t>评价打分，其中：①项目</w:t>
            </w:r>
            <w:r>
              <w:rPr>
                <w:rFonts w:hint="eastAsia" w:ascii="宋体" w:hAnsi="宋体" w:eastAsia="宋体" w:cs="宋体"/>
                <w:color w:val="auto"/>
                <w:sz w:val="21"/>
                <w:szCs w:val="21"/>
                <w:highlight w:val="none"/>
              </w:rPr>
              <w:t>任务解读</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现状调查</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主要问题剖析</w:t>
            </w:r>
            <w:r>
              <w:rPr>
                <w:rFonts w:hint="eastAsia" w:hAnsi="宋体" w:cs="宋体"/>
                <w:color w:val="auto"/>
                <w:sz w:val="21"/>
                <w:szCs w:val="21"/>
                <w:highlight w:val="none"/>
                <w:lang w:eastAsia="zh-CN"/>
              </w:rPr>
              <w:t>，</w:t>
            </w:r>
            <w:r>
              <w:rPr>
                <w:rFonts w:hint="eastAsia" w:hAnsi="宋体"/>
                <w:color w:val="auto"/>
                <w:kern w:val="2"/>
                <w:sz w:val="21"/>
                <w:szCs w:val="21"/>
                <w:highlight w:val="none"/>
              </w:rPr>
              <w:t>内容完整、合理、</w:t>
            </w:r>
            <w:r>
              <w:rPr>
                <w:rFonts w:hAnsi="宋体"/>
                <w:color w:val="auto"/>
                <w:kern w:val="2"/>
                <w:sz w:val="21"/>
                <w:szCs w:val="21"/>
                <w:highlight w:val="none"/>
              </w:rPr>
              <w:t>科学有效的</w:t>
            </w:r>
            <w:r>
              <w:rPr>
                <w:rFonts w:hint="eastAsia" w:ascii="宋体" w:hAnsi="宋体" w:eastAsia="宋体" w:cs="宋体"/>
                <w:color w:val="auto"/>
                <w:sz w:val="21"/>
                <w:szCs w:val="21"/>
                <w:highlight w:val="none"/>
                <w:lang w:val="en-US" w:eastAsia="zh-CN"/>
              </w:rPr>
              <w:t>得</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2970450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8</w:t>
            </w:r>
          </w:p>
        </w:tc>
      </w:tr>
      <w:tr w14:paraId="6018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restart"/>
            <w:noWrap w:val="0"/>
            <w:vAlign w:val="center"/>
          </w:tcPr>
          <w:p w14:paraId="0E656AC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6</w:t>
            </w:r>
          </w:p>
        </w:tc>
        <w:tc>
          <w:tcPr>
            <w:tcW w:w="1894" w:type="dxa"/>
            <w:vMerge w:val="restart"/>
            <w:noWrap w:val="0"/>
            <w:vAlign w:val="center"/>
          </w:tcPr>
          <w:p w14:paraId="6F90E92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单村供水物业化管理服务方案</w:t>
            </w:r>
          </w:p>
        </w:tc>
        <w:tc>
          <w:tcPr>
            <w:tcW w:w="6518" w:type="dxa"/>
            <w:noWrap w:val="0"/>
            <w:vAlign w:val="center"/>
          </w:tcPr>
          <w:p w14:paraId="33BCE7D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服务方案及安全保证措施：供应商针对各婺城区单村供水物业化管理服务具体实施方案（包括服务范围，服务工作内容细分及考核、工具配置、安全保证措施等内容，日常运维巡检记录、台账等）的详实性、针对性、完整性等情况</w:t>
            </w:r>
            <w:r>
              <w:rPr>
                <w:rFonts w:hint="eastAsia" w:hAnsi="宋体" w:cs="宋体"/>
                <w:color w:val="auto"/>
                <w:kern w:val="0"/>
                <w:sz w:val="21"/>
                <w:szCs w:val="21"/>
                <w:highlight w:val="none"/>
                <w:lang w:val="en-US" w:eastAsia="zh-CN"/>
              </w:rPr>
              <w:t>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rPr>
              <w:t>方案措施内容完整、合理、可行性强、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得8分，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4353E18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8</w:t>
            </w:r>
          </w:p>
        </w:tc>
      </w:tr>
      <w:tr w14:paraId="4D21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noWrap w:val="0"/>
            <w:vAlign w:val="center"/>
          </w:tcPr>
          <w:p w14:paraId="34B79E0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vMerge w:val="continue"/>
            <w:noWrap w:val="0"/>
            <w:vAlign w:val="center"/>
          </w:tcPr>
          <w:p w14:paraId="5ABA09C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6518" w:type="dxa"/>
            <w:noWrap w:val="0"/>
            <w:vAlign w:val="center"/>
          </w:tcPr>
          <w:p w14:paraId="3BC7952A">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hAnsi="宋体" w:cs="宋体"/>
                <w:color w:val="auto"/>
                <w:kern w:val="0"/>
                <w:sz w:val="21"/>
                <w:szCs w:val="21"/>
                <w:highlight w:val="none"/>
                <w:lang w:val="en-US" w:eastAsia="zh-CN"/>
              </w:rPr>
              <w:t>供应商提供的</w:t>
            </w:r>
            <w:r>
              <w:rPr>
                <w:rFonts w:hint="eastAsia" w:ascii="宋体" w:hAnsi="宋体" w:eastAsia="宋体" w:cs="宋体"/>
                <w:color w:val="auto"/>
                <w:kern w:val="0"/>
                <w:sz w:val="21"/>
                <w:szCs w:val="21"/>
                <w:highlight w:val="none"/>
              </w:rPr>
              <w:t>内部人员管理规章制度、培训制度等情况</w:t>
            </w:r>
            <w:r>
              <w:rPr>
                <w:rFonts w:hint="eastAsia" w:hAnsi="宋体" w:cs="宋体"/>
                <w:color w:val="auto"/>
                <w:kern w:val="0"/>
                <w:sz w:val="21"/>
                <w:szCs w:val="21"/>
                <w:highlight w:val="none"/>
                <w:lang w:val="en-US" w:eastAsia="zh-CN"/>
              </w:rPr>
              <w:t>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lang w:val="en-US" w:eastAsia="zh-CN"/>
              </w:rPr>
              <w:t>制度</w:t>
            </w:r>
            <w:r>
              <w:rPr>
                <w:rFonts w:hint="eastAsia" w:hAnsi="宋体"/>
                <w:color w:val="auto"/>
                <w:kern w:val="2"/>
                <w:sz w:val="21"/>
                <w:szCs w:val="21"/>
                <w:highlight w:val="none"/>
              </w:rPr>
              <w:t>内容完整、合理、</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得4分，</w:t>
            </w:r>
            <w:r>
              <w:rPr>
                <w:rFonts w:hint="eastAsia" w:ascii="宋体" w:hAnsi="宋体" w:eastAsia="宋体" w:cs="宋体"/>
                <w:color w:val="auto"/>
                <w:sz w:val="21"/>
                <w:szCs w:val="21"/>
                <w:highlight w:val="none"/>
                <w:lang w:val="en-US" w:eastAsia="zh-CN"/>
              </w:rPr>
              <w:t>有欠缺或有不合理的，每处扣0.5分，扣完为止。</w:t>
            </w:r>
          </w:p>
        </w:tc>
        <w:tc>
          <w:tcPr>
            <w:tcW w:w="903" w:type="dxa"/>
            <w:noWrap w:val="0"/>
            <w:vAlign w:val="center"/>
          </w:tcPr>
          <w:p w14:paraId="1B2816F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4</w:t>
            </w:r>
          </w:p>
        </w:tc>
      </w:tr>
      <w:tr w14:paraId="3CDD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noWrap w:val="0"/>
            <w:vAlign w:val="center"/>
          </w:tcPr>
          <w:p w14:paraId="7F71C8E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vMerge w:val="continue"/>
            <w:noWrap w:val="0"/>
            <w:vAlign w:val="center"/>
          </w:tcPr>
          <w:p w14:paraId="0899CDA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6518" w:type="dxa"/>
            <w:noWrap w:val="0"/>
            <w:vAlign w:val="center"/>
          </w:tcPr>
          <w:p w14:paraId="3AC84EEE">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对婺城区单村供水的配送、水源地卫生保洁、清水池的管理维护方案</w:t>
            </w:r>
            <w:r>
              <w:rPr>
                <w:rFonts w:hint="eastAsia"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lang w:val="en-US" w:eastAsia="zh-CN"/>
              </w:rPr>
              <w:t>方面</w:t>
            </w:r>
            <w:r>
              <w:rPr>
                <w:rFonts w:hint="eastAsia" w:hAnsi="宋体" w:cs="宋体"/>
                <w:color w:val="auto"/>
                <w:kern w:val="0"/>
                <w:sz w:val="21"/>
                <w:szCs w:val="21"/>
                <w:highlight w:val="none"/>
                <w:lang w:val="en-US" w:eastAsia="zh-CN"/>
              </w:rPr>
              <w:t>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rPr>
              <w:t>方案内容完整、合理、可行性强、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得6分，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33C4FA0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6</w:t>
            </w:r>
          </w:p>
        </w:tc>
      </w:tr>
      <w:tr w14:paraId="6FB2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noWrap w:val="0"/>
            <w:vAlign w:val="center"/>
          </w:tcPr>
          <w:p w14:paraId="05888C1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vMerge w:val="continue"/>
            <w:noWrap w:val="0"/>
            <w:vAlign w:val="center"/>
          </w:tcPr>
          <w:p w14:paraId="58BDBCD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6518" w:type="dxa"/>
            <w:noWrap w:val="0"/>
            <w:vAlign w:val="center"/>
          </w:tcPr>
          <w:p w14:paraId="7540DDC1">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系统运行质量保证措施和方案：根据供应商对设施运行维护服务过程中对技术质量监管的措施、可靠性及技术保障的科学合理性</w:t>
            </w:r>
            <w:r>
              <w:rPr>
                <w:rFonts w:hint="eastAsia" w:hAnsi="宋体" w:cs="宋体"/>
                <w:color w:val="auto"/>
                <w:kern w:val="0"/>
                <w:sz w:val="21"/>
                <w:szCs w:val="21"/>
                <w:highlight w:val="none"/>
                <w:lang w:val="en-US" w:eastAsia="zh-CN"/>
              </w:rPr>
              <w:t>等进行打分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rPr>
              <w:t>方案措施内容完整、合理、可行性强、</w:t>
            </w:r>
            <w:r>
              <w:rPr>
                <w:rFonts w:hAnsi="宋体"/>
                <w:color w:val="auto"/>
                <w:kern w:val="2"/>
                <w:sz w:val="21"/>
                <w:szCs w:val="21"/>
                <w:highlight w:val="none"/>
              </w:rPr>
              <w:t>科学有效的得</w:t>
            </w:r>
            <w:r>
              <w:rPr>
                <w:rFonts w:hint="eastAsia" w:hAnsi="宋体" w:cs="宋体"/>
                <w:color w:val="auto"/>
                <w:kern w:val="0"/>
                <w:sz w:val="21"/>
                <w:szCs w:val="21"/>
                <w:highlight w:val="none"/>
                <w:lang w:val="en-US" w:eastAsia="zh-CN"/>
              </w:rPr>
              <w:t>6分，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58606F1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6</w:t>
            </w:r>
          </w:p>
        </w:tc>
      </w:tr>
      <w:tr w14:paraId="49A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noWrap w:val="0"/>
            <w:vAlign w:val="center"/>
          </w:tcPr>
          <w:p w14:paraId="69B7011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vMerge w:val="continue"/>
            <w:noWrap w:val="0"/>
            <w:vAlign w:val="center"/>
          </w:tcPr>
          <w:p w14:paraId="4666EBF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6518" w:type="dxa"/>
            <w:noWrap w:val="0"/>
            <w:vAlign w:val="center"/>
          </w:tcPr>
          <w:p w14:paraId="2AF71DE7">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设备的维护保养方案：由</w:t>
            </w:r>
            <w:r>
              <w:rPr>
                <w:rFonts w:hint="eastAsia" w:hAnsi="宋体" w:cs="宋体"/>
                <w:color w:val="auto"/>
                <w:kern w:val="0"/>
                <w:sz w:val="21"/>
                <w:szCs w:val="21"/>
                <w:highlight w:val="none"/>
                <w:lang w:val="en-US" w:eastAsia="zh-CN"/>
              </w:rPr>
              <w:t>评标</w:t>
            </w:r>
            <w:r>
              <w:rPr>
                <w:rFonts w:hint="eastAsia" w:ascii="宋体" w:hAnsi="宋体" w:eastAsia="宋体" w:cs="宋体"/>
                <w:color w:val="auto"/>
                <w:kern w:val="0"/>
                <w:sz w:val="21"/>
                <w:szCs w:val="21"/>
                <w:highlight w:val="none"/>
              </w:rPr>
              <w:t>专家根据供应商对设施运行过程中对设备维护保养方案的科学合理性</w:t>
            </w:r>
            <w:r>
              <w:rPr>
                <w:rFonts w:hint="eastAsia" w:hAnsi="宋体" w:cs="宋体"/>
                <w:color w:val="auto"/>
                <w:kern w:val="0"/>
                <w:sz w:val="21"/>
                <w:szCs w:val="21"/>
                <w:highlight w:val="none"/>
                <w:lang w:val="en-US" w:eastAsia="zh-CN"/>
              </w:rPr>
              <w:t>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rPr>
              <w:t>方案内容完整、合理、可行性强、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得7分，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228D0C0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7</w:t>
            </w:r>
          </w:p>
        </w:tc>
      </w:tr>
      <w:tr w14:paraId="2937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vMerge w:val="continue"/>
            <w:noWrap w:val="0"/>
            <w:vAlign w:val="center"/>
          </w:tcPr>
          <w:p w14:paraId="1F31A19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vMerge w:val="continue"/>
            <w:noWrap w:val="0"/>
            <w:vAlign w:val="center"/>
          </w:tcPr>
          <w:p w14:paraId="01F4CB7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6518" w:type="dxa"/>
            <w:noWrap w:val="0"/>
            <w:vAlign w:val="center"/>
          </w:tcPr>
          <w:p w14:paraId="7BC726BF">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设施设备</w:t>
            </w:r>
            <w:r>
              <w:rPr>
                <w:rFonts w:hint="eastAsia" w:ascii="宋体" w:hAnsi="宋体" w:eastAsia="宋体" w:cs="宋体"/>
                <w:color w:val="auto"/>
                <w:kern w:val="0"/>
                <w:sz w:val="21"/>
                <w:szCs w:val="21"/>
                <w:highlight w:val="none"/>
              </w:rPr>
              <w:t>的</w:t>
            </w:r>
            <w:r>
              <w:rPr>
                <w:rFonts w:hint="eastAsia" w:hAnsi="宋体" w:cs="宋体"/>
                <w:color w:val="auto"/>
                <w:kern w:val="0"/>
                <w:sz w:val="21"/>
                <w:szCs w:val="21"/>
                <w:highlight w:val="none"/>
                <w:lang w:val="en-US" w:eastAsia="zh-CN"/>
              </w:rPr>
              <w:t>更新</w:t>
            </w:r>
            <w:r>
              <w:rPr>
                <w:rFonts w:hint="eastAsia" w:ascii="宋体" w:hAnsi="宋体" w:eastAsia="宋体" w:cs="宋体"/>
                <w:color w:val="auto"/>
                <w:kern w:val="0"/>
                <w:sz w:val="21"/>
                <w:szCs w:val="21"/>
                <w:highlight w:val="none"/>
              </w:rPr>
              <w:t>维</w:t>
            </w:r>
            <w:r>
              <w:rPr>
                <w:rFonts w:hint="eastAsia" w:hAnsi="宋体" w:cs="宋体"/>
                <w:color w:val="auto"/>
                <w:kern w:val="0"/>
                <w:sz w:val="21"/>
                <w:szCs w:val="21"/>
                <w:highlight w:val="none"/>
                <w:lang w:val="en-US" w:eastAsia="zh-CN"/>
              </w:rPr>
              <w:t>修</w:t>
            </w:r>
            <w:r>
              <w:rPr>
                <w:rFonts w:hint="eastAsia" w:ascii="宋体" w:hAnsi="宋体" w:eastAsia="宋体" w:cs="宋体"/>
                <w:color w:val="auto"/>
                <w:kern w:val="0"/>
                <w:sz w:val="21"/>
                <w:szCs w:val="21"/>
                <w:highlight w:val="none"/>
              </w:rPr>
              <w:t>方案：由</w:t>
            </w:r>
            <w:r>
              <w:rPr>
                <w:rFonts w:hint="eastAsia" w:hAnsi="宋体" w:cs="宋体"/>
                <w:color w:val="auto"/>
                <w:kern w:val="0"/>
                <w:sz w:val="21"/>
                <w:szCs w:val="21"/>
                <w:highlight w:val="none"/>
                <w:lang w:val="en-US" w:eastAsia="zh-CN"/>
              </w:rPr>
              <w:t>评标</w:t>
            </w:r>
            <w:r>
              <w:rPr>
                <w:rFonts w:hint="eastAsia" w:ascii="宋体" w:hAnsi="宋体" w:eastAsia="宋体" w:cs="宋体"/>
                <w:color w:val="auto"/>
                <w:kern w:val="0"/>
                <w:sz w:val="21"/>
                <w:szCs w:val="21"/>
                <w:highlight w:val="none"/>
              </w:rPr>
              <w:t>专家根据供应商对设施运行过程中</w:t>
            </w:r>
            <w:r>
              <w:rPr>
                <w:rFonts w:hint="eastAsia" w:hAnsi="宋体" w:cs="宋体"/>
                <w:color w:val="auto"/>
                <w:kern w:val="0"/>
                <w:sz w:val="21"/>
                <w:szCs w:val="21"/>
                <w:highlight w:val="none"/>
                <w:lang w:val="en-US" w:eastAsia="zh-CN"/>
              </w:rPr>
              <w:t>可能涉及的</w:t>
            </w:r>
            <w:r>
              <w:rPr>
                <w:rFonts w:hint="eastAsia" w:hAnsi="宋体" w:cs="宋体"/>
                <w:color w:val="auto"/>
                <w:sz w:val="21"/>
                <w:szCs w:val="21"/>
                <w:highlight w:val="none"/>
                <w:lang w:val="en-US" w:eastAsia="zh-CN"/>
              </w:rPr>
              <w:t>单个</w:t>
            </w:r>
            <w:r>
              <w:rPr>
                <w:rFonts w:hint="eastAsia" w:hAnsi="宋体" w:cs="宋体"/>
                <w:color w:val="auto"/>
                <w:sz w:val="21"/>
                <w:szCs w:val="21"/>
                <w:highlight w:val="none"/>
              </w:rPr>
              <w:t>单村（联村）水站</w:t>
            </w:r>
            <w:r>
              <w:rPr>
                <w:rFonts w:hint="eastAsia" w:hAnsi="宋体" w:cs="宋体"/>
                <w:color w:val="auto"/>
                <w:sz w:val="21"/>
                <w:szCs w:val="21"/>
                <w:highlight w:val="none"/>
                <w:lang w:val="en-US" w:eastAsia="zh-CN"/>
              </w:rPr>
              <w:t>设施设备低于伍万元（含）的更换及维修服务要求，承诺承担的费用满足招标文件要求且</w:t>
            </w:r>
            <w:r>
              <w:rPr>
                <w:rFonts w:hint="eastAsia" w:hAnsi="宋体"/>
                <w:color w:val="auto"/>
                <w:kern w:val="2"/>
                <w:sz w:val="21"/>
                <w:szCs w:val="21"/>
                <w:highlight w:val="none"/>
              </w:rPr>
              <w:t>方案内容完整、合理、可行性强、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得5分，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18CC096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hAnsi="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5</w:t>
            </w:r>
          </w:p>
        </w:tc>
      </w:tr>
      <w:tr w14:paraId="36EC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508FFFF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7</w:t>
            </w:r>
          </w:p>
        </w:tc>
        <w:tc>
          <w:tcPr>
            <w:tcW w:w="1894" w:type="dxa"/>
            <w:noWrap w:val="0"/>
            <w:vAlign w:val="center"/>
          </w:tcPr>
          <w:p w14:paraId="06799E0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出水检测与报告制度</w:t>
            </w:r>
          </w:p>
        </w:tc>
        <w:tc>
          <w:tcPr>
            <w:tcW w:w="6518" w:type="dxa"/>
            <w:noWrap w:val="0"/>
            <w:vAlign w:val="center"/>
          </w:tcPr>
          <w:p w14:paraId="6222C949">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评标</w:t>
            </w:r>
            <w:r>
              <w:rPr>
                <w:rFonts w:hint="eastAsia" w:ascii="宋体" w:hAnsi="宋体" w:eastAsia="宋体" w:cs="宋体"/>
                <w:color w:val="auto"/>
                <w:kern w:val="0"/>
                <w:sz w:val="21"/>
                <w:szCs w:val="21"/>
                <w:highlight w:val="none"/>
              </w:rPr>
              <w:t>专家根据供应商对设施运行维护服务过程中对出水检测及报告制度的科学合理性</w:t>
            </w:r>
            <w:r>
              <w:rPr>
                <w:rFonts w:hint="eastAsia" w:hAnsi="宋体" w:cs="宋体"/>
                <w:color w:val="auto"/>
                <w:kern w:val="0"/>
                <w:sz w:val="21"/>
                <w:szCs w:val="21"/>
                <w:highlight w:val="none"/>
                <w:lang w:val="en-US" w:eastAsia="zh-CN"/>
              </w:rPr>
              <w:t>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lang w:val="en-US" w:eastAsia="zh-CN"/>
              </w:rPr>
              <w:t>检测报告</w:t>
            </w:r>
            <w:r>
              <w:rPr>
                <w:rFonts w:hint="eastAsia" w:hAnsi="宋体"/>
                <w:color w:val="auto"/>
                <w:kern w:val="2"/>
                <w:sz w:val="21"/>
                <w:szCs w:val="21"/>
                <w:highlight w:val="none"/>
              </w:rPr>
              <w:t>内容完整、</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得5分，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1529964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5</w:t>
            </w:r>
          </w:p>
        </w:tc>
      </w:tr>
      <w:tr w14:paraId="7FBB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B4F7E7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8</w:t>
            </w:r>
          </w:p>
        </w:tc>
        <w:tc>
          <w:tcPr>
            <w:tcW w:w="1894" w:type="dxa"/>
            <w:noWrap w:val="0"/>
            <w:vAlign w:val="center"/>
          </w:tcPr>
          <w:p w14:paraId="57BC0D9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服务响应与承诺</w:t>
            </w:r>
          </w:p>
        </w:tc>
        <w:tc>
          <w:tcPr>
            <w:tcW w:w="6518" w:type="dxa"/>
            <w:noWrap w:val="0"/>
            <w:vAlign w:val="center"/>
          </w:tcPr>
          <w:p w14:paraId="6B14CE6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default" w:ascii="宋体" w:hAnsi="宋体" w:eastAsia="宋体" w:cs="宋体"/>
                <w:color w:val="auto"/>
                <w:kern w:val="0"/>
                <w:sz w:val="21"/>
                <w:szCs w:val="21"/>
                <w:highlight w:val="none"/>
                <w:lang w:val="en-US"/>
              </w:rPr>
            </w:pPr>
            <w:r>
              <w:rPr>
                <w:rFonts w:hint="eastAsia" w:hAnsi="宋体" w:cs="宋体"/>
                <w:color w:val="auto"/>
                <w:sz w:val="21"/>
                <w:szCs w:val="21"/>
                <w:highlight w:val="none"/>
                <w:lang w:val="en-US" w:eastAsia="zh-CN"/>
              </w:rPr>
              <w:t>根</w:t>
            </w:r>
            <w:r>
              <w:rPr>
                <w:rFonts w:hint="eastAsia" w:ascii="宋体" w:hAnsi="宋体" w:eastAsia="宋体" w:cs="宋体"/>
                <w:color w:val="auto"/>
                <w:sz w:val="21"/>
                <w:szCs w:val="21"/>
                <w:highlight w:val="none"/>
                <w:lang w:val="en-US" w:eastAsia="zh-CN"/>
              </w:rPr>
              <w:t>据“服务</w:t>
            </w:r>
            <w:r>
              <w:rPr>
                <w:rFonts w:hint="eastAsia" w:ascii="宋体" w:hAnsi="宋体" w:eastAsia="宋体" w:cs="宋体"/>
                <w:color w:val="auto"/>
                <w:sz w:val="21"/>
                <w:szCs w:val="21"/>
                <w:highlight w:val="none"/>
              </w:rPr>
              <w:t>条款对比表</w:t>
            </w:r>
            <w:r>
              <w:rPr>
                <w:rFonts w:hint="eastAsia" w:ascii="宋体" w:hAnsi="宋体" w:eastAsia="宋体" w:cs="宋体"/>
                <w:color w:val="auto"/>
                <w:sz w:val="21"/>
                <w:szCs w:val="21"/>
                <w:highlight w:val="none"/>
                <w:lang w:val="en-US" w:eastAsia="zh-CN"/>
              </w:rPr>
              <w:t>”中供应商对采购文件“第二部分  采购需求”之“</w:t>
            </w:r>
            <w:r>
              <w:rPr>
                <w:rFonts w:hint="eastAsia" w:ascii="宋体" w:hAnsi="宋体" w:eastAsia="宋体" w:cs="宋体"/>
                <w:b w:val="0"/>
                <w:color w:val="auto"/>
                <w:sz w:val="21"/>
                <w:szCs w:val="21"/>
                <w:highlight w:val="none"/>
                <w:lang w:val="en-US" w:eastAsia="zh-CN"/>
              </w:rPr>
              <w:t>五</w:t>
            </w:r>
            <w:r>
              <w:rPr>
                <w:rFonts w:hint="eastAsia" w:ascii="宋体" w:hAnsi="宋体" w:eastAsia="宋体" w:cs="宋体"/>
                <w:b w:val="0"/>
                <w:color w:val="auto"/>
                <w:sz w:val="21"/>
                <w:szCs w:val="21"/>
                <w:highlight w:val="none"/>
              </w:rPr>
              <w:t>、</w:t>
            </w:r>
            <w:r>
              <w:rPr>
                <w:rFonts w:hint="eastAsia" w:ascii="宋体" w:hAnsi="宋体" w:eastAsia="宋体" w:cs="宋体"/>
                <w:b w:val="0"/>
                <w:bCs w:val="0"/>
                <w:color w:val="auto"/>
                <w:sz w:val="21"/>
                <w:szCs w:val="21"/>
                <w:highlight w:val="none"/>
              </w:rPr>
              <w:t>服务内容具体要求</w:t>
            </w:r>
            <w:r>
              <w:rPr>
                <w:rFonts w:hint="eastAsia" w:ascii="宋体" w:hAnsi="宋体" w:eastAsia="宋体" w:cs="宋体"/>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rPr>
              <w:t>、其他要求</w:t>
            </w:r>
            <w:r>
              <w:rPr>
                <w:rFonts w:hint="eastAsia" w:ascii="宋体" w:hAnsi="宋体" w:eastAsia="宋体" w:cs="宋体"/>
                <w:color w:val="auto"/>
                <w:sz w:val="21"/>
                <w:szCs w:val="21"/>
                <w:highlight w:val="none"/>
                <w:lang w:val="en-US" w:eastAsia="zh-CN"/>
              </w:rPr>
              <w:t>”的各项服务要求的响应与承诺情况进行评价打分：完全满足采购服务要求或正偏离的得</w:t>
            </w:r>
            <w:r>
              <w:rPr>
                <w:rFonts w:hint="eastAsia"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，负偏离的每项扣1分，扣完为止。</w:t>
            </w:r>
          </w:p>
        </w:tc>
        <w:tc>
          <w:tcPr>
            <w:tcW w:w="903" w:type="dxa"/>
            <w:noWrap w:val="0"/>
            <w:vAlign w:val="center"/>
          </w:tcPr>
          <w:p w14:paraId="0138536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16</w:t>
            </w:r>
          </w:p>
        </w:tc>
      </w:tr>
      <w:tr w14:paraId="4014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68388E7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9</w:t>
            </w:r>
          </w:p>
        </w:tc>
        <w:tc>
          <w:tcPr>
            <w:tcW w:w="1894" w:type="dxa"/>
            <w:noWrap w:val="0"/>
            <w:vAlign w:val="center"/>
          </w:tcPr>
          <w:p w14:paraId="552D1AC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6518" w:type="dxa"/>
            <w:noWrap w:val="0"/>
            <w:vAlign w:val="center"/>
          </w:tcPr>
          <w:p w14:paraId="1FAA9E26">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供应商针对本项目的突发应急事件（突然停电、设备故障应急处理、水质超标紧急处理等）的处理预案是否合理、及时有效</w:t>
            </w:r>
            <w:r>
              <w:rPr>
                <w:rFonts w:hint="eastAsia" w:hAnsi="宋体" w:cs="宋体"/>
                <w:color w:val="auto"/>
                <w:kern w:val="0"/>
                <w:sz w:val="21"/>
                <w:szCs w:val="21"/>
                <w:highlight w:val="none"/>
                <w:lang w:val="en-US" w:eastAsia="zh-CN"/>
              </w:rPr>
              <w:t>性等进行打分</w:t>
            </w:r>
            <w:r>
              <w:rPr>
                <w:rFonts w:hint="eastAsia" w:hAnsi="宋体" w:cs="宋体"/>
                <w:color w:val="auto"/>
                <w:kern w:val="0"/>
                <w:sz w:val="21"/>
                <w:szCs w:val="21"/>
                <w:highlight w:val="none"/>
                <w:lang w:eastAsia="zh-CN"/>
              </w:rPr>
              <w:t>，</w:t>
            </w:r>
            <w:r>
              <w:rPr>
                <w:rFonts w:hint="eastAsia" w:hAnsi="宋体"/>
                <w:color w:val="auto"/>
                <w:kern w:val="2"/>
                <w:sz w:val="21"/>
                <w:szCs w:val="21"/>
                <w:highlight w:val="none"/>
              </w:rPr>
              <w:t>方案措施内容完整、合理、可行性强、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得3分，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5D0D8FE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3</w:t>
            </w:r>
          </w:p>
        </w:tc>
      </w:tr>
      <w:tr w14:paraId="69EB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AE95F3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10</w:t>
            </w:r>
          </w:p>
        </w:tc>
        <w:tc>
          <w:tcPr>
            <w:tcW w:w="1894" w:type="dxa"/>
            <w:noWrap w:val="0"/>
            <w:vAlign w:val="center"/>
          </w:tcPr>
          <w:p w14:paraId="54E6E0C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交接方案</w:t>
            </w:r>
          </w:p>
        </w:tc>
        <w:tc>
          <w:tcPr>
            <w:tcW w:w="6518" w:type="dxa"/>
            <w:noWrap w:val="0"/>
            <w:vAlign w:val="center"/>
          </w:tcPr>
          <w:p w14:paraId="06FBC4D8">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服务期满后，与后任运维单位的交接方案（含培训方案）及咨询服务方案</w:t>
            </w:r>
            <w:r>
              <w:rPr>
                <w:rFonts w:hint="eastAsia" w:hAnsi="宋体" w:cs="宋体"/>
                <w:color w:val="auto"/>
                <w:kern w:val="0"/>
                <w:sz w:val="21"/>
                <w:szCs w:val="21"/>
                <w:highlight w:val="none"/>
                <w:lang w:val="en-US" w:eastAsia="zh-CN"/>
              </w:rPr>
              <w:t>等进行打分</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交接</w:t>
            </w:r>
            <w:r>
              <w:rPr>
                <w:rFonts w:hint="eastAsia" w:hAnsi="宋体"/>
                <w:color w:val="auto"/>
                <w:kern w:val="2"/>
                <w:sz w:val="21"/>
                <w:szCs w:val="21"/>
                <w:highlight w:val="none"/>
              </w:rPr>
              <w:t>方案内容完整、合理、可行性强、</w:t>
            </w:r>
            <w:r>
              <w:rPr>
                <w:rFonts w:hAnsi="宋体"/>
                <w:color w:val="auto"/>
                <w:kern w:val="2"/>
                <w:sz w:val="21"/>
                <w:szCs w:val="21"/>
                <w:highlight w:val="none"/>
              </w:rPr>
              <w:t>科学有效的</w:t>
            </w:r>
            <w:r>
              <w:rPr>
                <w:rFonts w:hint="eastAsia" w:hAnsi="宋体" w:cs="宋体"/>
                <w:color w:val="auto"/>
                <w:kern w:val="0"/>
                <w:sz w:val="21"/>
                <w:szCs w:val="21"/>
                <w:highlight w:val="none"/>
                <w:lang w:val="en-US" w:eastAsia="zh-CN"/>
              </w:rPr>
              <w:t>得3分，</w:t>
            </w:r>
            <w:r>
              <w:rPr>
                <w:rFonts w:hint="eastAsia" w:ascii="宋体" w:hAnsi="宋体" w:eastAsia="宋体" w:cs="宋体"/>
                <w:color w:val="auto"/>
                <w:sz w:val="21"/>
                <w:szCs w:val="21"/>
                <w:highlight w:val="none"/>
                <w:lang w:val="en-US" w:eastAsia="zh-CN"/>
              </w:rPr>
              <w:t>有欠缺或有不合理的，每处扣1分，扣完为止。</w:t>
            </w:r>
          </w:p>
        </w:tc>
        <w:tc>
          <w:tcPr>
            <w:tcW w:w="903" w:type="dxa"/>
            <w:noWrap w:val="0"/>
            <w:vAlign w:val="center"/>
          </w:tcPr>
          <w:p w14:paraId="54B5E72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3</w:t>
            </w:r>
          </w:p>
        </w:tc>
      </w:tr>
      <w:tr w14:paraId="1A6F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0F5E26A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11</w:t>
            </w:r>
          </w:p>
        </w:tc>
        <w:tc>
          <w:tcPr>
            <w:tcW w:w="1894" w:type="dxa"/>
            <w:noWrap w:val="0"/>
            <w:vAlign w:val="center"/>
          </w:tcPr>
          <w:p w14:paraId="4C5740B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合理化建议</w:t>
            </w:r>
          </w:p>
        </w:tc>
        <w:tc>
          <w:tcPr>
            <w:tcW w:w="6518" w:type="dxa"/>
            <w:noWrap w:val="0"/>
            <w:vAlign w:val="center"/>
          </w:tcPr>
          <w:p w14:paraId="5E3069F4">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供应商针对本项目的情况，提出给予采购人的</w:t>
            </w:r>
            <w:r>
              <w:rPr>
                <w:rFonts w:hint="eastAsia" w:hAnsi="宋体" w:cs="宋体"/>
                <w:color w:val="auto"/>
                <w:kern w:val="0"/>
                <w:sz w:val="21"/>
                <w:szCs w:val="21"/>
                <w:highlight w:val="none"/>
                <w:lang w:val="en-US" w:eastAsia="zh-CN"/>
              </w:rPr>
              <w:t>合理化建议</w:t>
            </w:r>
            <w:r>
              <w:rPr>
                <w:rFonts w:hint="eastAsia" w:ascii="宋体" w:hAnsi="宋体" w:eastAsia="宋体" w:cs="宋体"/>
                <w:color w:val="auto"/>
                <w:kern w:val="0"/>
                <w:sz w:val="21"/>
                <w:szCs w:val="21"/>
                <w:highlight w:val="none"/>
              </w:rPr>
              <w:t>。</w:t>
            </w:r>
          </w:p>
        </w:tc>
        <w:tc>
          <w:tcPr>
            <w:tcW w:w="903" w:type="dxa"/>
            <w:noWrap w:val="0"/>
            <w:vAlign w:val="center"/>
          </w:tcPr>
          <w:p w14:paraId="1526599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1</w:t>
            </w:r>
          </w:p>
        </w:tc>
      </w:tr>
      <w:tr w14:paraId="32C5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2D1E0FE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p>
        </w:tc>
        <w:tc>
          <w:tcPr>
            <w:tcW w:w="1894" w:type="dxa"/>
            <w:noWrap w:val="0"/>
            <w:vAlign w:val="center"/>
          </w:tcPr>
          <w:p w14:paraId="480E6B1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6518" w:type="dxa"/>
            <w:noWrap w:val="0"/>
            <w:vAlign w:val="center"/>
          </w:tcPr>
          <w:p w14:paraId="7FB78C3E">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baseline"/>
              <w:rPr>
                <w:rFonts w:hint="eastAsia" w:ascii="宋体" w:hAnsi="宋体" w:eastAsia="宋体" w:cs="宋体"/>
                <w:color w:val="auto"/>
                <w:kern w:val="0"/>
                <w:sz w:val="21"/>
                <w:szCs w:val="21"/>
                <w:highlight w:val="none"/>
              </w:rPr>
            </w:pPr>
          </w:p>
        </w:tc>
        <w:tc>
          <w:tcPr>
            <w:tcW w:w="903" w:type="dxa"/>
            <w:noWrap w:val="0"/>
            <w:vAlign w:val="center"/>
          </w:tcPr>
          <w:p w14:paraId="74192EF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w:t>
            </w:r>
            <w:r>
              <w:rPr>
                <w:rFonts w:hint="eastAsia" w:hAnsi="宋体" w:cs="宋体"/>
                <w:color w:val="auto"/>
                <w:kern w:val="0"/>
                <w:sz w:val="21"/>
                <w:szCs w:val="21"/>
                <w:highlight w:val="none"/>
                <w:lang w:val="en-US" w:eastAsia="zh-CN"/>
              </w:rPr>
              <w:t>5</w:t>
            </w:r>
          </w:p>
        </w:tc>
      </w:tr>
    </w:tbl>
    <w:p w14:paraId="01548FE6">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（三）技术商务分的计算</w:t>
      </w:r>
    </w:p>
    <w:p w14:paraId="7C36420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53AB40C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7319F055">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（四）定标原则</w:t>
      </w:r>
    </w:p>
    <w:p w14:paraId="66758283">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699A1F73">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407AA346">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（五）保密及其他注意事项</w:t>
      </w:r>
    </w:p>
    <w:p w14:paraId="2CB90ECF">
      <w:pPr>
        <w:autoSpaceDE/>
        <w:autoSpaceDN/>
        <w:adjustRightInd/>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6D5BDA36">
      <w:pPr>
        <w:autoSpaceDE/>
        <w:autoSpaceDN/>
        <w:adjustRightInd/>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57685F86">
      <w:pPr>
        <w:autoSpaceDE/>
        <w:autoSpaceDN/>
        <w:adjustRightInd/>
        <w:spacing w:line="500" w:lineRule="exact"/>
        <w:ind w:firstLine="420" w:firstLineChars="200"/>
        <w:jc w:val="both"/>
        <w:rPr>
          <w:rFonts w:hAnsi="宋体" w:cs="宋体"/>
          <w:b/>
          <w:color w:val="auto"/>
          <w:kern w:val="2"/>
          <w:sz w:val="28"/>
          <w:szCs w:val="28"/>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bookmarkStart w:id="48" w:name="_Toc351559945"/>
    </w:p>
    <w:p w14:paraId="556C1E40">
      <w:pPr>
        <w:autoSpaceDE/>
        <w:autoSpaceDN/>
        <w:adjustRightInd/>
        <w:jc w:val="center"/>
        <w:outlineLvl w:val="0"/>
        <w:rPr>
          <w:rFonts w:hAnsi="宋体" w:cs="宋体"/>
          <w:color w:val="auto"/>
          <w:sz w:val="30"/>
          <w:szCs w:val="30"/>
          <w:highlight w:val="none"/>
        </w:rPr>
      </w:pPr>
      <w:r>
        <w:rPr>
          <w:rFonts w:hint="eastAsia" w:hAnsi="宋体" w:cs="宋体"/>
          <w:b/>
          <w:color w:val="auto"/>
          <w:kern w:val="2"/>
          <w:sz w:val="28"/>
          <w:szCs w:val="28"/>
          <w:highlight w:val="none"/>
        </w:rPr>
        <w:br w:type="page"/>
      </w:r>
      <w:r>
        <w:rPr>
          <w:rFonts w:hint="eastAsia" w:hAnsi="宋体" w:cs="宋体"/>
          <w:b/>
          <w:bCs/>
          <w:color w:val="auto"/>
          <w:sz w:val="30"/>
          <w:szCs w:val="30"/>
          <w:highlight w:val="none"/>
        </w:rPr>
        <w:t>第五章  合同文本</w:t>
      </w:r>
    </w:p>
    <w:bookmarkEnd w:id="48"/>
    <w:p w14:paraId="4E431C5D">
      <w:pPr>
        <w:snapToGrid w:val="0"/>
        <w:spacing w:line="500" w:lineRule="exact"/>
        <w:ind w:firstLine="420" w:firstLineChars="200"/>
        <w:rPr>
          <w:rFonts w:hAnsi="宋体" w:cs="宋体"/>
          <w:color w:val="auto"/>
          <w:sz w:val="21"/>
          <w:szCs w:val="21"/>
          <w:highlight w:val="none"/>
        </w:rPr>
      </w:pPr>
      <w:bookmarkStart w:id="49" w:name="_Toc275514502"/>
      <w:bookmarkStart w:id="50" w:name="_Toc351559946"/>
      <w:r>
        <w:rPr>
          <w:rFonts w:hint="eastAsia" w:hAnsi="宋体" w:cs="宋体"/>
          <w:color w:val="auto"/>
          <w:sz w:val="21"/>
          <w:szCs w:val="21"/>
          <w:highlight w:val="none"/>
        </w:rPr>
        <w:t>项目名称：</w:t>
      </w:r>
    </w:p>
    <w:p w14:paraId="640E91C8">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项目编号：</w:t>
      </w:r>
    </w:p>
    <w:p w14:paraId="06ECE707">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甲方（采购人）： </w:t>
      </w:r>
    </w:p>
    <w:p w14:paraId="2042EC7A">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乙方（中标人）：</w:t>
      </w:r>
    </w:p>
    <w:p w14:paraId="61958CB2">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甲、乙双方根据</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 xml:space="preserve"> 项目（项目编号：    ）公开招标采购的结果，签署本合同。</w:t>
      </w:r>
    </w:p>
    <w:p w14:paraId="6FBBB0FD">
      <w:pPr>
        <w:tabs>
          <w:tab w:val="left" w:pos="0"/>
        </w:tabs>
        <w:snapToGrid w:val="0"/>
        <w:spacing w:line="500" w:lineRule="exact"/>
        <w:ind w:firstLine="420"/>
        <w:rPr>
          <w:rFonts w:hint="eastAsia" w:hAnsi="宋体" w:cs="宋体"/>
          <w:bCs/>
          <w:color w:val="auto"/>
          <w:sz w:val="21"/>
          <w:szCs w:val="21"/>
          <w:highlight w:val="none"/>
        </w:rPr>
      </w:pPr>
      <w:bookmarkStart w:id="51" w:name="_Toc5953"/>
      <w:bookmarkStart w:id="52" w:name="_Toc17629"/>
      <w:bookmarkStart w:id="53" w:name="_Toc31765"/>
      <w:bookmarkStart w:id="54" w:name="_Toc12701"/>
      <w:r>
        <w:rPr>
          <w:rFonts w:hint="eastAsia" w:hAnsi="宋体" w:cs="宋体"/>
          <w:b/>
          <w:color w:val="auto"/>
          <w:sz w:val="21"/>
          <w:szCs w:val="21"/>
          <w:highlight w:val="none"/>
        </w:rPr>
        <w:t>一、下列文件为本合同不可分割部分：</w:t>
      </w:r>
      <w:bookmarkEnd w:id="51"/>
      <w:bookmarkEnd w:id="52"/>
      <w:bookmarkEnd w:id="53"/>
      <w:bookmarkEnd w:id="54"/>
    </w:p>
    <w:p w14:paraId="55D1AA88">
      <w:pPr>
        <w:tabs>
          <w:tab w:val="left" w:pos="0"/>
        </w:tabs>
        <w:snapToGrid w:val="0"/>
        <w:spacing w:line="500" w:lineRule="exact"/>
        <w:ind w:firstLine="420"/>
        <w:rPr>
          <w:rFonts w:hint="eastAsia" w:hAnsi="宋体" w:cs="宋体"/>
          <w:bCs/>
          <w:color w:val="auto"/>
          <w:sz w:val="21"/>
          <w:szCs w:val="21"/>
          <w:highlight w:val="none"/>
        </w:rPr>
      </w:pPr>
      <w:bookmarkStart w:id="55" w:name="_Toc8117"/>
      <w:r>
        <w:rPr>
          <w:rFonts w:hint="eastAsia" w:hAnsi="宋体" w:cs="宋体"/>
          <w:bCs/>
          <w:color w:val="auto"/>
          <w:sz w:val="21"/>
          <w:szCs w:val="21"/>
          <w:highlight w:val="none"/>
        </w:rPr>
        <w:t>1.中标通知书；</w:t>
      </w:r>
      <w:bookmarkEnd w:id="55"/>
    </w:p>
    <w:p w14:paraId="1D1663CA">
      <w:pPr>
        <w:tabs>
          <w:tab w:val="left" w:pos="0"/>
        </w:tabs>
        <w:snapToGrid w:val="0"/>
        <w:spacing w:line="500" w:lineRule="exact"/>
        <w:ind w:firstLine="420"/>
        <w:rPr>
          <w:rFonts w:hint="eastAsia" w:hAnsi="宋体" w:cs="宋体"/>
          <w:bCs/>
          <w:color w:val="auto"/>
          <w:sz w:val="21"/>
          <w:szCs w:val="21"/>
          <w:highlight w:val="none"/>
        </w:rPr>
      </w:pPr>
      <w:bookmarkStart w:id="56" w:name="_Toc15046"/>
      <w:r>
        <w:rPr>
          <w:rFonts w:hint="eastAsia" w:hAnsi="宋体" w:cs="宋体"/>
          <w:bCs/>
          <w:color w:val="auto"/>
          <w:sz w:val="21"/>
          <w:szCs w:val="21"/>
          <w:highlight w:val="none"/>
        </w:rPr>
        <w:t>2.乙方的投标文件；</w:t>
      </w:r>
      <w:bookmarkEnd w:id="56"/>
    </w:p>
    <w:p w14:paraId="4B13CAFC">
      <w:pPr>
        <w:tabs>
          <w:tab w:val="left" w:pos="0"/>
        </w:tabs>
        <w:snapToGrid w:val="0"/>
        <w:spacing w:line="500" w:lineRule="exact"/>
        <w:ind w:firstLine="420"/>
        <w:rPr>
          <w:rFonts w:hint="eastAsia" w:hAnsi="宋体" w:cs="宋体"/>
          <w:bCs/>
          <w:color w:val="auto"/>
          <w:sz w:val="21"/>
          <w:szCs w:val="21"/>
          <w:highlight w:val="none"/>
        </w:rPr>
      </w:pPr>
      <w:bookmarkStart w:id="57" w:name="_Toc2427"/>
      <w:r>
        <w:rPr>
          <w:rFonts w:hint="eastAsia" w:hAnsi="宋体" w:cs="宋体"/>
          <w:bCs/>
          <w:color w:val="auto"/>
          <w:sz w:val="21"/>
          <w:szCs w:val="21"/>
          <w:highlight w:val="none"/>
        </w:rPr>
        <w:t>3.公开招标采购文件；</w:t>
      </w:r>
      <w:bookmarkEnd w:id="57"/>
    </w:p>
    <w:p w14:paraId="08E08C9E">
      <w:pPr>
        <w:tabs>
          <w:tab w:val="left" w:pos="0"/>
        </w:tabs>
        <w:snapToGrid w:val="0"/>
        <w:spacing w:line="500" w:lineRule="exact"/>
        <w:ind w:firstLine="420"/>
        <w:rPr>
          <w:rFonts w:hint="eastAsia" w:hAnsi="宋体" w:cs="宋体"/>
          <w:bCs/>
          <w:color w:val="auto"/>
          <w:sz w:val="21"/>
          <w:szCs w:val="21"/>
          <w:highlight w:val="none"/>
        </w:rPr>
      </w:pPr>
      <w:bookmarkStart w:id="58" w:name="_Toc17941"/>
      <w:r>
        <w:rPr>
          <w:rFonts w:hint="eastAsia" w:hAnsi="宋体" w:cs="宋体"/>
          <w:bCs/>
          <w:color w:val="auto"/>
          <w:sz w:val="21"/>
          <w:szCs w:val="21"/>
          <w:highlight w:val="none"/>
        </w:rPr>
        <w:t>4.乙方在招投标过程中所作的其它承诺、声明、书面澄清等。</w:t>
      </w:r>
      <w:bookmarkEnd w:id="58"/>
    </w:p>
    <w:p w14:paraId="002C12D5">
      <w:pPr>
        <w:keepNext w:val="0"/>
        <w:keepLines w:val="0"/>
        <w:pageBreakBefore w:val="0"/>
        <w:widowControl w:val="0"/>
        <w:kinsoku/>
        <w:wordWrap/>
        <w:overflowPunct/>
        <w:topLinePunct w:val="0"/>
        <w:bidi w:val="0"/>
        <w:snapToGrid/>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bCs/>
          <w:color w:val="auto"/>
          <w:sz w:val="21"/>
          <w:szCs w:val="21"/>
          <w:highlight w:val="none"/>
        </w:rPr>
        <w:t>服务内容具体要求</w:t>
      </w:r>
    </w:p>
    <w:p w14:paraId="69D4821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1.巡查时间频率要求，要求每个单村水站每周不得少于一次。沙畈乡联村水站站区每周不得少于2次，管网附属的增压泵房每周不得少于2次。</w:t>
      </w:r>
    </w:p>
    <w:p w14:paraId="5899E5D1">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2.人员要求，按浙政办发【2023】51号文件规定“全省单村水站专职管护人员配置不低于0.2人/站”，本项目每5个单村供水站须配备至少一名运维人员。</w:t>
      </w:r>
    </w:p>
    <w:p w14:paraId="56EB9EDF">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3.水源地卫生保洁，取水口（堰坝）上游护栏50m内卫生保洁工作，主要是清理水面漂浮物等垃圾，以免堵塞引水管道，特别是暴雨后，加强清理频次。</w:t>
      </w:r>
    </w:p>
    <w:p w14:paraId="4A807363">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4.净化设备的运行管理维护，根据每套设备的工艺流程不同特点，制定相应的维护方案，做好排污和反冲洗工作，并做好运行检查记录，对存在隐患的设备立即汇报并及时消除。</w:t>
      </w:r>
    </w:p>
    <w:p w14:paraId="28E71D6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消毒设备的运行管理维护，要求做好药剂添加、消耗记录，每个单村供水站出水水质（末梢水水质）整年合格率达到上级考核要求；检查次氯酸钠投加设备和食盐电解设备（包括计量泵、管路、阀门、控制柜等）运行状况，是否可自动控制投加；每年进行一次清水池供水高峰期清水池低水位时的消毒接触时间CT值（C为消毒剂浓度，T为消毒反应时间）的技术测定（或推算确定），消毒药剂应充分混合，与水体有效接触时间大于30min。</w:t>
      </w:r>
    </w:p>
    <w:p w14:paraId="656DD54F">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质化验：原水和末梢水须每个供水站一个月（沙畈乡联村水站每周取样化验一次）取样化验一次，如原水水质波动较大或随时可能遭受污染的，应及时采取措施解决并增加检测频率；原水要求完成浑浊度、pH值、色度、臭和味、肉眼可见物、高锰酸盐指数、氨、菌落总数、总大肠菌群、大肠埃希氏菌10个指标检测；末梢水完成浑浊度、余氯、pH值、色度、臭和味、肉眼可见物、菌落总数、总大肠菌群、大肠埃希氏菌、高锰酸盐指数、铁、锰、氨、总碱度14个指标检测。末梢水水质合格率达到上级考核要求。</w:t>
      </w:r>
    </w:p>
    <w:p w14:paraId="4D35F410">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7.清水池的管理维护，定期检查通气孔和人孔防水质污染的防护措施是否到位，检查清水池内外有无杂质和生物滋生；每半年确保清洗一次，并做好记录。</w:t>
      </w:r>
    </w:p>
    <w:p w14:paraId="0BF021A5">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8.每年每个水站测定一次滤速、含泥率、反冲洗强度、反冲开始和结束时的浊度，合理设定反冲洗单次分段时间、滤池反冲洗周期，提供建议性报告；并根据报告内容，确定滤料更换以及滤头滤板的更新。</w:t>
      </w:r>
    </w:p>
    <w:p w14:paraId="560A32A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9.做好管路（原水管、通村总管）附件检查工作，检查排气阀是否能正常工作，排污阀定期开启排污，减压阀是否满足运行工况，并做好记录。</w:t>
      </w:r>
    </w:p>
    <w:p w14:paraId="2DE1B9BA">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10.做好附属设施如护栏、管理房、设备外观等维护工作，确保整洁有序及正常使用。</w:t>
      </w:r>
    </w:p>
    <w:p w14:paraId="1503D762">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11.做好水质在线检测设备、视频监控设备等设备设施的运维及包括水质在线检测设备耗材、药剂的更换，药剂要与设备品牌保持一致，确保所有设备设施正常运行。</w:t>
      </w:r>
    </w:p>
    <w:p w14:paraId="1D02E705">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及时做好单村（联村）水站设施设备的维护保养工作，承担服务期间低于伍万元（含）的单个单村（联村）水站设施设备更新、更换及维修服务的费用。超出伍万元（含）的单个单村（联村）水站设施设备更新、更换及维修服务的具体费用金额需经采购人审核确认，经审核确认后超出伍万元的部分费用，由采购人承担。</w:t>
      </w:r>
    </w:p>
    <w:p w14:paraId="3D1AD6FF">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建立健全安全生产责任制，明确各岗位的安全职责及考核机制，制定野外作业专项安全操作规程和应急预案，落实安全投入，配备符合标准的防护装备、通信设备及应急救援器材，承担运维人员作业期间的一切安全责任。</w:t>
      </w:r>
    </w:p>
    <w:p w14:paraId="065CAD1E">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14.每季度安排不少于一次运维培训。</w:t>
      </w:r>
    </w:p>
    <w:p w14:paraId="52CA2C20">
      <w:pPr>
        <w:numPr>
          <w:ilvl w:val="-1"/>
          <w:numId w:val="0"/>
        </w:numPr>
        <w:autoSpaceDE/>
        <w:autoSpaceDN/>
        <w:snapToGrid w:val="0"/>
        <w:spacing w:line="500" w:lineRule="exact"/>
        <w:ind w:firstLine="42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15.每季度整编运维台账并提交</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p>
    <w:p w14:paraId="0D6063B5">
      <w:pPr>
        <w:numPr>
          <w:ilvl w:val="-1"/>
          <w:numId w:val="0"/>
        </w:numPr>
        <w:autoSpaceDE/>
        <w:autoSpaceDN/>
        <w:snapToGrid w:val="0"/>
        <w:spacing w:line="500" w:lineRule="exact"/>
        <w:ind w:firstLine="422" w:firstLineChars="200"/>
        <w:jc w:val="both"/>
        <w:rPr>
          <w:rFonts w:hAnsi="宋体"/>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服务期</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2"/>
          <w:highlight w:val="none"/>
          <w:lang w:val="en-US" w:eastAsia="zh-CN"/>
        </w:rPr>
        <w:t>壹</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lang w:val="en-US" w:eastAsia="zh-CN"/>
        </w:rPr>
        <w:t xml:space="preserve">   年   月   日至   年   月   日</w:t>
      </w:r>
      <w:r>
        <w:rPr>
          <w:rFonts w:hint="eastAsia" w:ascii="宋体" w:hAnsi="宋体" w:eastAsia="宋体" w:cs="宋体"/>
          <w:color w:val="auto"/>
          <w:sz w:val="21"/>
          <w:szCs w:val="22"/>
          <w:highlight w:val="none"/>
        </w:rPr>
        <w:t>。</w:t>
      </w:r>
    </w:p>
    <w:p w14:paraId="2D30DDAC">
      <w:pPr>
        <w:keepNext w:val="0"/>
        <w:keepLines w:val="0"/>
        <w:pageBreakBefore w:val="0"/>
        <w:widowControl w:val="0"/>
        <w:kinsoku/>
        <w:wordWrap/>
        <w:overflowPunct/>
        <w:topLinePunct w:val="0"/>
        <w:bidi w:val="0"/>
        <w:snapToGrid/>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其他要求</w:t>
      </w:r>
    </w:p>
    <w:p w14:paraId="4FCBB83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单方不履行合同或供水质量因</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原因达不到技术要求，</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有权终止与</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的合同，</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按实际损失赔偿。</w:t>
      </w:r>
    </w:p>
    <w:p w14:paraId="2950BC0D">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2.项目供水物业化管理服务期间须建立相关运维记录台账，至少包括以下台账：</w:t>
      </w:r>
    </w:p>
    <w:p w14:paraId="300C3191">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（1）日常运维记录及水质检测台账；</w:t>
      </w:r>
    </w:p>
    <w:p w14:paraId="463C9BF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（2）设备运行期间的定期监测台账（包括设备运维）；</w:t>
      </w:r>
    </w:p>
    <w:p w14:paraId="0B2549AC">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（3）运维服务期内，备品备件使用记录。</w:t>
      </w:r>
    </w:p>
    <w:p w14:paraId="62D4198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（4）项目履约</w:t>
      </w:r>
      <w:r>
        <w:rPr>
          <w:rFonts w:hint="eastAsia" w:hAnsi="宋体" w:cs="宋体"/>
          <w:color w:val="auto"/>
          <w:sz w:val="21"/>
          <w:szCs w:val="21"/>
          <w:highlight w:val="none"/>
          <w:lang w:val="en-US" w:eastAsia="zh-CN"/>
        </w:rPr>
        <w:t>的</w:t>
      </w:r>
      <w:r>
        <w:rPr>
          <w:rFonts w:hint="default" w:hAnsi="宋体" w:cs="宋体"/>
          <w:color w:val="auto"/>
          <w:sz w:val="21"/>
          <w:szCs w:val="21"/>
          <w:highlight w:val="none"/>
        </w:rPr>
        <w:t>其他</w:t>
      </w:r>
      <w:r>
        <w:rPr>
          <w:rFonts w:hint="eastAsia" w:ascii="宋体" w:hAnsi="宋体" w:eastAsia="宋体" w:cs="宋体"/>
          <w:color w:val="auto"/>
          <w:sz w:val="21"/>
          <w:szCs w:val="21"/>
          <w:highlight w:val="none"/>
        </w:rPr>
        <w:t>材料及佐证资料。</w:t>
      </w:r>
    </w:p>
    <w:p w14:paraId="5AFA3AE0">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在服务期内，因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原因导致项目的运维管理出现问题并造成损失的，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必须赔偿相应损失，根据损失的数量及性质，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有权单方终止合同，并有权另行选择供水物业化管理服务商进行项目的运行维护，并且</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必须配合做好项目的移交工作。</w:t>
      </w:r>
    </w:p>
    <w:p w14:paraId="373160A6">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供水物业化管理服务期结束后的项目移交</w:t>
      </w:r>
    </w:p>
    <w:p w14:paraId="594765C9">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（1）在服务期结束移交时，设备必须保存完好，能正常运行，出水水质（含末梢水水质）达标。</w:t>
      </w:r>
    </w:p>
    <w:p w14:paraId="24958E2F">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（2）在服务期结束移交时，应同时移交运营所产生的数据和相关管理资料。</w:t>
      </w:r>
    </w:p>
    <w:p w14:paraId="756D2BBB">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（3）在服务期结束移交时，应提供对承接运维单位及人员的培训（保障新的承接运维人员能正常上岗操作），并保证参与培训的人员能独立、熟练地进行操作和日常维护保养。</w:t>
      </w:r>
    </w:p>
    <w:p w14:paraId="4E273D90">
      <w:pPr>
        <w:keepNext w:val="0"/>
        <w:keepLines w:val="0"/>
        <w:pageBreakBefore w:val="0"/>
        <w:widowControl w:val="0"/>
        <w:kinsoku/>
        <w:wordWrap/>
        <w:overflowPunct/>
        <w:topLinePunct w:val="0"/>
        <w:bidi w:val="0"/>
        <w:snapToGri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其他须知：</w:t>
      </w:r>
    </w:p>
    <w:p w14:paraId="1A66455B">
      <w:pPr>
        <w:tabs>
          <w:tab w:val="left" w:pos="0"/>
        </w:tabs>
        <w:adjustRightInd w:val="0"/>
        <w:snapToGrid w:val="0"/>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项目服务期间的设备维修由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自行安排专业人员进行维修；若无法维修的，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须及时通知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，联系设备厂家进行维修。由于运维服务单位人员操作不当造成的损失由运维单位自行承担。</w:t>
      </w:r>
    </w:p>
    <w:p w14:paraId="657830D1">
      <w:pPr>
        <w:keepNext w:val="0"/>
        <w:keepLines w:val="0"/>
        <w:pageBreakBefore w:val="0"/>
        <w:widowControl w:val="0"/>
        <w:kinsoku/>
        <w:wordWrap/>
        <w:overflowPunct/>
        <w:topLinePunct w:val="0"/>
        <w:bidi w:val="0"/>
        <w:snapToGrid/>
        <w:spacing w:line="500" w:lineRule="exact"/>
        <w:ind w:firstLine="422" w:firstLineChars="200"/>
        <w:rPr>
          <w:rFonts w:hint="default"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6.本项目运维服务期间若设备损坏须更换设备或配件的，乙方确保更换设备及配件的品牌与之前保持一致性。</w:t>
      </w:r>
    </w:p>
    <w:p w14:paraId="6E8A26F0">
      <w:pPr>
        <w:tabs>
          <w:tab w:val="left" w:pos="0"/>
        </w:tabs>
        <w:snapToGrid w:val="0"/>
        <w:spacing w:line="4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合同金额</w:t>
      </w:r>
    </w:p>
    <w:p w14:paraId="71646591">
      <w:pPr>
        <w:adjustRightInd w:val="0"/>
        <w:snapToGrid w:val="0"/>
        <w:spacing w:line="460" w:lineRule="exact"/>
        <w:ind w:firstLine="420" w:firstLineChars="200"/>
        <w:rPr>
          <w:rFonts w:hint="default" w:ascii="宋体" w:hAnsi="宋体" w:eastAsia="宋体" w:cs="宋体"/>
          <w:b/>
          <w:color w:val="auto"/>
          <w:sz w:val="21"/>
          <w:szCs w:val="21"/>
          <w:highlight w:val="none"/>
          <w:lang w:val="en-US" w:eastAsia="zh-CN"/>
        </w:rPr>
      </w:pP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本合同金额为（大写）：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元（</w:t>
      </w:r>
      <w:r>
        <w:rPr>
          <w:rFonts w:hint="eastAsia"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 xml:space="preserve">         元）人民币</w:t>
      </w:r>
      <w:r>
        <w:rPr>
          <w:rFonts w:hint="eastAsia" w:ascii="宋体" w:hAnsi="宋体" w:eastAsia="宋体" w:cs="宋体"/>
          <w:bCs/>
          <w:color w:val="auto"/>
          <w:sz w:val="21"/>
          <w:szCs w:val="21"/>
          <w:highlight w:val="none"/>
          <w:lang w:eastAsia="zh-CN"/>
        </w:rPr>
        <w:t>。</w:t>
      </w:r>
    </w:p>
    <w:p w14:paraId="5B56E282">
      <w:pPr>
        <w:adjustRightInd/>
        <w:snapToGrid/>
        <w:spacing w:line="5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项目运维费按实际工作量和实际服务时间计算。运行维护费用从单村供水站正式移交运维商日开始计费，按中标单价（注：中标单价=中标总价÷1</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）结合单村供水物业化管理实际服务数量进行结算。</w:t>
      </w:r>
    </w:p>
    <w:p w14:paraId="56F9C8A8">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、知识产权</w:t>
      </w:r>
    </w:p>
    <w:p w14:paraId="13E5D081">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乙方应保证提供服务过程中不会侵犯任何第三方的知识产权。如有侵权行为，则由乙方负责解决并承担一切损失赔偿责任。</w:t>
      </w:r>
    </w:p>
    <w:p w14:paraId="2EC8DE01">
      <w:pPr>
        <w:adjustRightInd w:val="0"/>
        <w:snapToGrid w:val="0"/>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、产权担保</w:t>
      </w:r>
    </w:p>
    <w:p w14:paraId="44DCC45D">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乙方保证所交付的货物的所有权完全属于乙方且无任何抵押、查封等产权瑕疵。如因第三方抵押查封主张权利所导致的一切法律后果及损失赔偿责任均由乙方承担。</w:t>
      </w:r>
    </w:p>
    <w:p w14:paraId="3053E1D5">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、转包或分包</w:t>
      </w:r>
    </w:p>
    <w:p w14:paraId="04B05F9A">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本合同范围的货物，应由乙方直接供应，不得转让他人供应；</w:t>
      </w:r>
    </w:p>
    <w:p w14:paraId="206D0F73">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除非得到甲方的书面同意，乙方不得将本合同范围的货物全部或部分分包给他人供应；</w:t>
      </w:r>
    </w:p>
    <w:p w14:paraId="5291133E">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w:t>
      </w:r>
      <w:r>
        <w:rPr>
          <w:rFonts w:hint="eastAsia" w:ascii="宋体" w:hAnsi="宋体" w:eastAsia="宋体" w:cs="宋体"/>
          <w:color w:val="auto"/>
          <w:sz w:val="21"/>
          <w:szCs w:val="21"/>
          <w:highlight w:val="none"/>
          <w:lang w:val="en-US" w:eastAsia="zh-CN"/>
        </w:rPr>
        <w:t>转包或</w:t>
      </w:r>
      <w:r>
        <w:rPr>
          <w:rFonts w:hint="eastAsia" w:ascii="宋体" w:hAnsi="宋体" w:eastAsia="宋体" w:cs="宋体"/>
          <w:color w:val="auto"/>
          <w:sz w:val="21"/>
          <w:szCs w:val="21"/>
          <w:highlight w:val="none"/>
        </w:rPr>
        <w:t>分包行为，甲方有权解除合同，并追究乙方的违约责任。</w:t>
      </w:r>
    </w:p>
    <w:p w14:paraId="530EFB93">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、付款方式</w:t>
      </w:r>
    </w:p>
    <w:p w14:paraId="5328303A">
      <w:pPr>
        <w:keepNext w:val="0"/>
        <w:keepLines w:val="0"/>
        <w:pageBreakBefore w:val="0"/>
        <w:widowControl/>
        <w:numPr>
          <w:ilvl w:val="0"/>
          <w:numId w:val="0"/>
        </w:numPr>
        <w:kinsoku/>
        <w:wordWrap/>
        <w:overflowPunct/>
        <w:topLinePunct w:val="0"/>
        <w:bidi w:val="0"/>
        <w:snapToGrid w:val="0"/>
        <w:spacing w:line="46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根据财政预算安排本项目不设置预付款。根据最终成交价平均到服务期各个月（如遇特殊情况可以平均到天），每6个月结算一次。</w:t>
      </w:r>
    </w:p>
    <w:p w14:paraId="664AD709">
      <w:pPr>
        <w:keepNext w:val="0"/>
        <w:keepLines w:val="0"/>
        <w:pageBreakBefore w:val="0"/>
        <w:widowControl/>
        <w:numPr>
          <w:ilvl w:val="0"/>
          <w:numId w:val="0"/>
        </w:numPr>
        <w:kinsoku/>
        <w:wordWrap/>
        <w:overflowPunct/>
        <w:topLinePunct w:val="0"/>
        <w:bidi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项目运维费按实际工作量和</w:t>
      </w:r>
      <w:r>
        <w:rPr>
          <w:rFonts w:hint="eastAsia" w:hAnsi="宋体" w:cs="宋体"/>
          <w:color w:val="auto"/>
          <w:sz w:val="21"/>
          <w:szCs w:val="21"/>
          <w:highlight w:val="none"/>
          <w:lang w:val="en-US" w:eastAsia="zh-CN"/>
        </w:rPr>
        <w:t>实际</w:t>
      </w:r>
      <w:r>
        <w:rPr>
          <w:rFonts w:hint="eastAsia" w:ascii="宋体" w:hAnsi="宋体" w:eastAsia="宋体" w:cs="宋体"/>
          <w:color w:val="auto"/>
          <w:sz w:val="21"/>
          <w:szCs w:val="21"/>
          <w:highlight w:val="none"/>
        </w:rPr>
        <w:t>服务时间计算</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计算方法详见本合同“</w:t>
      </w:r>
      <w:r>
        <w:rPr>
          <w:rFonts w:hint="eastAsia" w:ascii="宋体" w:hAnsi="宋体" w:eastAsia="宋体" w:cs="宋体"/>
          <w:b w:val="0"/>
          <w:color w:val="auto"/>
          <w:sz w:val="21"/>
          <w:szCs w:val="21"/>
          <w:highlight w:val="none"/>
          <w:lang w:val="en-US" w:eastAsia="zh-CN"/>
        </w:rPr>
        <w:t>五</w:t>
      </w:r>
      <w:r>
        <w:rPr>
          <w:rFonts w:hint="eastAsia" w:ascii="宋体" w:hAnsi="宋体" w:eastAsia="宋体" w:cs="宋体"/>
          <w:b w:val="0"/>
          <w:color w:val="auto"/>
          <w:sz w:val="21"/>
          <w:szCs w:val="21"/>
          <w:highlight w:val="none"/>
        </w:rPr>
        <w:t>、</w:t>
      </w:r>
      <w:r>
        <w:rPr>
          <w:rFonts w:hint="eastAsia" w:ascii="宋体" w:hAnsi="宋体" w:eastAsia="宋体" w:cs="宋体"/>
          <w:b w:val="0"/>
          <w:bCs w:val="0"/>
          <w:color w:val="auto"/>
          <w:sz w:val="21"/>
          <w:szCs w:val="21"/>
          <w:highlight w:val="none"/>
        </w:rPr>
        <w:t>合同金额</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761DE98">
      <w:pPr>
        <w:keepNext w:val="0"/>
        <w:keepLines w:val="0"/>
        <w:pageBreakBefore w:val="0"/>
        <w:widowControl/>
        <w:numPr>
          <w:ilvl w:val="0"/>
          <w:numId w:val="0"/>
        </w:numPr>
        <w:kinsoku/>
        <w:wordWrap/>
        <w:overflowPunct/>
        <w:topLinePunct w:val="0"/>
        <w:bidi w:val="0"/>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①</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办理服务费结算时，须提供结算依据、合规发票等相关资料。②若联合体单位中标，联合体各方应当共同与</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签订采购合同，联合体协议及合同中应明确联合体各方职责、费用，并就采购合同约定的事项对</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承担连带责任。</w:t>
      </w:r>
      <w:r>
        <w:rPr>
          <w:rFonts w:hint="eastAsia" w:hAnsi="宋体" w:cs="宋体"/>
          <w:color w:val="auto"/>
          <w:sz w:val="21"/>
          <w:szCs w:val="21"/>
          <w:highlight w:val="none"/>
          <w:lang w:val="en-US" w:eastAsia="zh-CN"/>
        </w:rPr>
        <w:t>甲方与乙方</w:t>
      </w:r>
      <w:r>
        <w:rPr>
          <w:rFonts w:hint="eastAsia" w:ascii="宋体" w:hAnsi="宋体" w:eastAsia="宋体" w:cs="宋体"/>
          <w:color w:val="auto"/>
          <w:sz w:val="21"/>
          <w:szCs w:val="21"/>
          <w:highlight w:val="none"/>
        </w:rPr>
        <w:t>之间的经济往来均由</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和联合体牵头人之间进行，</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不再与联合体的非牵头人发生任何经济往来。联合体内部的经济往来由联合体各方自行协商解决。③</w:t>
      </w:r>
      <w:r>
        <w:rPr>
          <w:rFonts w:hint="eastAsia" w:ascii="宋体" w:hAnsi="宋体" w:eastAsia="宋体" w:cs="宋体"/>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7078C2C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十、税</w:t>
      </w:r>
    </w:p>
    <w:p w14:paraId="4BB3C0D0">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负担。</w:t>
      </w:r>
    </w:p>
    <w:p w14:paraId="7EB95E0C">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、质量保证及后续服务</w:t>
      </w:r>
    </w:p>
    <w:p w14:paraId="2C511145">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规定向甲方提供服务。</w:t>
      </w:r>
    </w:p>
    <w:p w14:paraId="2FE85627">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乙方提供的服务成果得不到甲方的认可，根据实际情况，经双方协商，可按以下办法处理：</w:t>
      </w:r>
    </w:p>
    <w:p w14:paraId="366D6E91">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①重做：由乙方承担所发生的全部费用。</w:t>
      </w:r>
    </w:p>
    <w:p w14:paraId="467722DF">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②贬值处理：由甲乙双方合议定价。</w:t>
      </w:r>
    </w:p>
    <w:p w14:paraId="5D32697A">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③解除合同。</w:t>
      </w:r>
    </w:p>
    <w:p w14:paraId="0FB6BE89">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p>
    <w:p w14:paraId="7993710F">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hAnsi="宋体" w:cs="宋体"/>
          <w:color w:val="auto"/>
          <w:sz w:val="21"/>
          <w:szCs w:val="21"/>
          <w:highlight w:val="none"/>
        </w:rPr>
      </w:pPr>
      <w:r>
        <w:rPr>
          <w:rFonts w:hint="eastAsia" w:hAnsi="宋体" w:cs="宋体"/>
          <w:color w:val="auto"/>
          <w:sz w:val="21"/>
          <w:szCs w:val="21"/>
          <w:highlight w:val="none"/>
          <w:lang w:eastAsia="zh-CN"/>
        </w:rPr>
        <w:t>1</w:t>
      </w:r>
      <w:r>
        <w:rPr>
          <w:rFonts w:hint="eastAsia" w:hAnsi="宋体" w:cs="宋体"/>
          <w:color w:val="auto"/>
          <w:sz w:val="21"/>
          <w:szCs w:val="21"/>
          <w:highlight w:val="none"/>
        </w:rPr>
        <w:t>.甲方无故逾期验收和办理合同款支付手续的,甲方应按逾期付款总额每日万分之五向乙方支付违约金。</w:t>
      </w:r>
    </w:p>
    <w:p w14:paraId="3F14D4BC">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hAnsi="宋体" w:cs="宋体"/>
          <w:color w:val="auto"/>
          <w:sz w:val="21"/>
          <w:szCs w:val="21"/>
          <w:highlight w:val="none"/>
        </w:rPr>
      </w:pPr>
      <w:r>
        <w:rPr>
          <w:rFonts w:hint="eastAsia" w:hAnsi="宋体" w:cs="宋体"/>
          <w:color w:val="auto"/>
          <w:sz w:val="21"/>
          <w:szCs w:val="21"/>
          <w:highlight w:val="none"/>
          <w:lang w:eastAsia="zh-CN"/>
        </w:rPr>
        <w:t>2</w:t>
      </w:r>
      <w:r>
        <w:rPr>
          <w:rFonts w:hint="eastAsia" w:hAnsi="宋体" w:cs="宋体"/>
          <w:color w:val="auto"/>
          <w:sz w:val="21"/>
          <w:szCs w:val="21"/>
          <w:highlight w:val="none"/>
        </w:rPr>
        <w:t>.乙方逾期15天未完成项目的，乙方应按项目总额每日千分之六向甲方支付违约金，由甲方从待付款项中扣除。逾期超过约定日期30天不能完工的，视实际情况可解除本合同，并保留进一步追究乙方经济赔偿。乙方因逾期完工或因其他违约行为导致甲方解除合同的，乙方应向甲方支付合同总值5%的违约金，如造成甲方损失超过违约金的，超出部分由乙方继续承担赔偿责任。</w:t>
      </w:r>
    </w:p>
    <w:p w14:paraId="4BC59422">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
          <w:color w:val="auto"/>
          <w:sz w:val="21"/>
          <w:szCs w:val="21"/>
          <w:highlight w:val="none"/>
          <w:lang w:eastAsia="zh-CN"/>
        </w:rPr>
      </w:pPr>
      <w:r>
        <w:rPr>
          <w:rFonts w:hint="eastAsia" w:hAnsi="宋体" w:cs="宋体"/>
          <w:color w:val="auto"/>
          <w:sz w:val="21"/>
          <w:szCs w:val="21"/>
          <w:highlight w:val="none"/>
          <w:lang w:eastAsia="zh-CN"/>
        </w:rPr>
        <w:t>3</w:t>
      </w:r>
      <w:r>
        <w:rPr>
          <w:rFonts w:hint="eastAsia" w:hAnsi="宋体" w:cs="宋体"/>
          <w:color w:val="auto"/>
          <w:sz w:val="21"/>
          <w:szCs w:val="21"/>
          <w:highlight w:val="none"/>
        </w:rPr>
        <w:t>.乙方所完成的项目、技术参数、质量不符合合同规定及招标文件规定标准的，甲方有权拒收，乙方愿意更换但逾期完工的，按乙方逾期完工处理。乙方拒绝重做的，甲方可单方面解除合同。</w:t>
      </w:r>
    </w:p>
    <w:p w14:paraId="43F6B5EF">
      <w:pPr>
        <w:tabs>
          <w:tab w:val="left" w:pos="0"/>
        </w:tabs>
        <w:snapToGrid w:val="0"/>
        <w:spacing w:line="460" w:lineRule="exact"/>
        <w:ind w:firstLine="422"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hAnsi="宋体" w:cs="宋体"/>
          <w:b/>
          <w:bCs w:val="0"/>
          <w:color w:val="auto"/>
          <w:sz w:val="21"/>
          <w:szCs w:val="21"/>
          <w:highlight w:val="none"/>
          <w:lang w:eastAsia="zh-CN"/>
        </w:rPr>
        <w:t>合同解除</w:t>
      </w:r>
    </w:p>
    <w:p w14:paraId="42A54046">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lang w:eastAsia="zh-CN"/>
        </w:rPr>
        <w:t>本合同履行过程中，甲、乙双方任有一方违约的，经催告后仍不纠正的，守约方有权解除合同，并有权要求违约方赔偿因此遭受的损失。</w:t>
      </w:r>
    </w:p>
    <w:p w14:paraId="44516A26">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、不可抗力事件处理</w:t>
      </w:r>
    </w:p>
    <w:p w14:paraId="6DBFC2E3">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7A2E4C8A">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不可抗力事件发生后，应立即通知对方，并寄送有关权威机构出具的证明。</w:t>
      </w:r>
    </w:p>
    <w:p w14:paraId="5D7EC373">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不可抗力事件延续120天以上，双方应通过友好协商，确定是否继续履行合同。</w:t>
      </w:r>
    </w:p>
    <w:p w14:paraId="1C2BB931">
      <w:pPr>
        <w:keepNext w:val="0"/>
        <w:keepLines w:val="0"/>
        <w:pageBreakBefore w:val="0"/>
        <w:widowControl w:val="0"/>
        <w:kinsoku/>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争议解决</w:t>
      </w:r>
    </w:p>
    <w:p w14:paraId="323F7F0C">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w:t>
      </w:r>
      <w:r>
        <w:rPr>
          <w:rFonts w:hint="eastAsia" w:ascii="宋体" w:hAnsi="宋体" w:eastAsia="宋体" w:cs="宋体"/>
          <w:color w:val="auto"/>
          <w:sz w:val="21"/>
          <w:szCs w:val="21"/>
          <w:highlight w:val="none"/>
          <w:lang w:val="en-US" w:eastAsia="zh-CN"/>
        </w:rPr>
        <w:t>甲方所在地的人民</w:t>
      </w:r>
      <w:r>
        <w:rPr>
          <w:rFonts w:hint="eastAsia" w:ascii="宋体" w:hAnsi="宋体" w:eastAsia="宋体" w:cs="宋体"/>
          <w:color w:val="auto"/>
          <w:sz w:val="21"/>
          <w:szCs w:val="21"/>
          <w:highlight w:val="none"/>
        </w:rPr>
        <w:t>法院起诉。</w:t>
      </w:r>
    </w:p>
    <w:p w14:paraId="4B0ABC5D">
      <w:pPr>
        <w:tabs>
          <w:tab w:val="left" w:pos="0"/>
        </w:tabs>
        <w:snapToGrid w:val="0"/>
        <w:spacing w:line="4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十</w:t>
      </w: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、合同生效及其它</w:t>
      </w:r>
    </w:p>
    <w:p w14:paraId="125D11A6">
      <w:pPr>
        <w:tabs>
          <w:tab w:val="left" w:pos="0"/>
        </w:tabs>
        <w:snapToGri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合同经双方法定代表人或授权委托代理人签字并加盖单位公章后生效。</w:t>
      </w:r>
    </w:p>
    <w:p w14:paraId="658D4E57">
      <w:pPr>
        <w:tabs>
          <w:tab w:val="left" w:pos="0"/>
        </w:tabs>
        <w:snapToGri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合同执行中涉及采购资金和采购内容修改或补充的，须</w:t>
      </w:r>
      <w:r>
        <w:rPr>
          <w:rFonts w:hint="eastAsia" w:hAnsi="宋体" w:cs="宋体"/>
          <w:bCs/>
          <w:color w:val="auto"/>
          <w:sz w:val="21"/>
          <w:szCs w:val="21"/>
          <w:highlight w:val="none"/>
          <w:lang w:eastAsia="zh-CN"/>
        </w:rPr>
        <w:t>签订</w:t>
      </w:r>
      <w:r>
        <w:rPr>
          <w:rFonts w:hint="eastAsia" w:ascii="宋体" w:hAnsi="宋体" w:eastAsia="宋体" w:cs="宋体"/>
          <w:bCs/>
          <w:color w:val="auto"/>
          <w:sz w:val="21"/>
          <w:szCs w:val="21"/>
          <w:highlight w:val="none"/>
        </w:rPr>
        <w:t>书面补充协议，方可作为主合同不可分割的一部分。</w:t>
      </w:r>
    </w:p>
    <w:p w14:paraId="5092E3FA">
      <w:pPr>
        <w:tabs>
          <w:tab w:val="left" w:pos="0"/>
        </w:tabs>
        <w:snapToGri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本合同未尽事宜，遵照《</w:t>
      </w:r>
      <w:r>
        <w:rPr>
          <w:rFonts w:hint="eastAsia" w:ascii="宋体" w:hAnsi="宋体" w:eastAsia="宋体" w:cs="宋体"/>
          <w:color w:val="auto"/>
          <w:sz w:val="21"/>
          <w:szCs w:val="21"/>
          <w:highlight w:val="none"/>
        </w:rPr>
        <w:t>中华人民共和国民法典</w:t>
      </w:r>
      <w:r>
        <w:rPr>
          <w:rFonts w:hint="eastAsia" w:ascii="宋体" w:hAnsi="宋体" w:eastAsia="宋体" w:cs="宋体"/>
          <w:bCs/>
          <w:color w:val="auto"/>
          <w:sz w:val="21"/>
          <w:szCs w:val="21"/>
          <w:highlight w:val="none"/>
        </w:rPr>
        <w:t>》有关条文执行。</w:t>
      </w:r>
    </w:p>
    <w:p w14:paraId="6F6F7A6A">
      <w:pPr>
        <w:widowControl/>
        <w:snapToGrid w:val="0"/>
        <w:spacing w:line="500" w:lineRule="exact"/>
        <w:ind w:firstLine="420" w:firstLineChars="200"/>
        <w:rPr>
          <w:rFonts w:hint="eastAsia" w:hAnsi="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本合同正本一式六份，具有同等法律效力，甲乙双方各执二份，代理机构二份（备案及存档）</w:t>
      </w:r>
      <w:r>
        <w:rPr>
          <w:rFonts w:hint="eastAsia" w:ascii="宋体" w:hAnsi="宋体" w:eastAsia="宋体" w:cs="宋体"/>
          <w:bCs/>
          <w:color w:val="auto"/>
          <w:sz w:val="21"/>
          <w:szCs w:val="21"/>
          <w:highlight w:val="none"/>
        </w:rPr>
        <w:t>。</w:t>
      </w:r>
    </w:p>
    <w:p w14:paraId="18ECFBBE">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甲方（盖章）：                      乙方（盖章）：</w:t>
      </w:r>
    </w:p>
    <w:p w14:paraId="2055501A">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法定代表人：                         法定代表人： </w:t>
      </w:r>
    </w:p>
    <w:p w14:paraId="21A2FC92">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委托代理人：                         委托代理人：   </w:t>
      </w:r>
    </w:p>
    <w:p w14:paraId="50DA7160">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电    话：                           电    话：</w:t>
      </w:r>
    </w:p>
    <w:p w14:paraId="75D1A74C">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开户银行：                           开户银行：</w:t>
      </w:r>
    </w:p>
    <w:p w14:paraId="279E4E1F">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银行账号：                           银行账号：</w:t>
      </w:r>
    </w:p>
    <w:p w14:paraId="25480166">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签订时间：    年   月   日           签订时间：    年   月   日</w:t>
      </w:r>
    </w:p>
    <w:p w14:paraId="1042C43C">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采购代理机构意见：</w:t>
      </w:r>
    </w:p>
    <w:p w14:paraId="3A2349C1">
      <w:pPr>
        <w:autoSpaceDE/>
        <w:autoSpaceDN/>
        <w:snapToGrid w:val="0"/>
        <w:spacing w:line="500" w:lineRule="exact"/>
        <w:ind w:firstLine="422" w:firstLineChars="200"/>
        <w:jc w:val="center"/>
        <w:rPr>
          <w:rFonts w:hAnsi="宋体" w:cs="宋体"/>
          <w:b/>
          <w:color w:val="auto"/>
          <w:sz w:val="21"/>
          <w:szCs w:val="21"/>
          <w:highlight w:val="none"/>
        </w:rPr>
      </w:pPr>
    </w:p>
    <w:p w14:paraId="4726FE84">
      <w:pPr>
        <w:autoSpaceDE/>
        <w:autoSpaceDN/>
        <w:adjustRightInd/>
        <w:spacing w:line="480" w:lineRule="exact"/>
        <w:jc w:val="center"/>
        <w:rPr>
          <w:rFonts w:hAnsi="宋体" w:cs="宋体"/>
          <w:color w:val="auto"/>
          <w:kern w:val="2"/>
          <w:sz w:val="24"/>
          <w:highlight w:val="none"/>
        </w:rPr>
      </w:pPr>
      <w:r>
        <w:rPr>
          <w:rFonts w:hint="eastAsia" w:hAnsi="宋体" w:cs="宋体"/>
          <w:b/>
          <w:color w:val="auto"/>
          <w:sz w:val="21"/>
          <w:szCs w:val="21"/>
          <w:highlight w:val="none"/>
        </w:rPr>
        <w:t>注：此合同样本仅作参考，招标方、中标方可根据采购项目的实际情况进行修改。</w:t>
      </w:r>
    </w:p>
    <w:p w14:paraId="255FD391">
      <w:pPr>
        <w:snapToGrid w:val="0"/>
        <w:spacing w:line="460" w:lineRule="exact"/>
        <w:ind w:firstLine="420" w:firstLineChars="200"/>
        <w:textAlignment w:val="baseline"/>
        <w:rPr>
          <w:rFonts w:hAnsi="宋体" w:cs="宋体"/>
          <w:color w:val="auto"/>
          <w:sz w:val="21"/>
          <w:szCs w:val="21"/>
          <w:highlight w:val="none"/>
        </w:rPr>
      </w:pPr>
    </w:p>
    <w:p w14:paraId="372DF6FB">
      <w:pPr>
        <w:rPr>
          <w:rFonts w:hAnsi="宋体" w:cs="宋体"/>
          <w:color w:val="auto"/>
          <w:sz w:val="21"/>
          <w:szCs w:val="21"/>
          <w:highlight w:val="none"/>
        </w:rPr>
      </w:pPr>
      <w:r>
        <w:rPr>
          <w:rFonts w:hint="eastAsia" w:hAnsi="宋体" w:cs="宋体"/>
          <w:color w:val="auto"/>
          <w:sz w:val="21"/>
          <w:szCs w:val="21"/>
          <w:highlight w:val="none"/>
        </w:rPr>
        <w:br w:type="page"/>
      </w:r>
    </w:p>
    <w:bookmarkEnd w:id="49"/>
    <w:p w14:paraId="7A93003B">
      <w:pPr>
        <w:pStyle w:val="2"/>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第六章　投标文件格式</w:t>
      </w:r>
    </w:p>
    <w:p w14:paraId="1E737E0F">
      <w:pPr>
        <w:snapToGrid w:val="0"/>
        <w:spacing w:before="317" w:beforeLines="50" w:after="50"/>
        <w:jc w:val="center"/>
        <w:rPr>
          <w:rFonts w:hAnsi="宋体" w:cs="宋体"/>
          <w:color w:val="auto"/>
          <w:sz w:val="24"/>
          <w:highlight w:val="none"/>
        </w:rPr>
      </w:pPr>
      <w:bookmarkStart w:id="59" w:name="_Toc351559947"/>
      <w:r>
        <w:rPr>
          <w:rFonts w:hint="eastAsia" w:hAnsi="宋体" w:cs="宋体"/>
          <w:color w:val="auto"/>
          <w:sz w:val="24"/>
          <w:highlight w:val="none"/>
        </w:rPr>
        <w:t>一、投标文件封面格式</w:t>
      </w:r>
      <w:bookmarkEnd w:id="59"/>
    </w:p>
    <w:p w14:paraId="477B8390">
      <w:pPr>
        <w:snapToGrid w:val="0"/>
        <w:spacing w:before="317" w:beforeLines="50" w:after="50"/>
        <w:ind w:firstLine="600" w:firstLineChars="250"/>
        <w:rPr>
          <w:rFonts w:hAnsi="宋体" w:cs="宋体"/>
          <w:color w:val="auto"/>
          <w:sz w:val="24"/>
          <w:highlight w:val="none"/>
        </w:rPr>
      </w:pPr>
    </w:p>
    <w:p w14:paraId="6FE030B5">
      <w:pPr>
        <w:snapToGrid w:val="0"/>
        <w:spacing w:before="317" w:beforeLines="50" w:after="50"/>
        <w:ind w:firstLine="600" w:firstLineChars="250"/>
        <w:rPr>
          <w:rFonts w:hAnsi="宋体" w:cs="宋体"/>
          <w:color w:val="auto"/>
          <w:sz w:val="24"/>
          <w:highlight w:val="none"/>
        </w:rPr>
      </w:pPr>
    </w:p>
    <w:p w14:paraId="1C6C8F8A">
      <w:pPr>
        <w:snapToGrid w:val="0"/>
        <w:spacing w:before="317" w:beforeLines="50" w:after="50"/>
        <w:ind w:firstLine="600" w:firstLineChars="250"/>
        <w:rPr>
          <w:rFonts w:hAnsi="宋体" w:cs="宋体"/>
          <w:color w:val="auto"/>
          <w:sz w:val="24"/>
          <w:szCs w:val="24"/>
          <w:highlight w:val="none"/>
        </w:rPr>
      </w:pPr>
      <w:r>
        <w:rPr>
          <w:rFonts w:hint="eastAsia" w:hAnsi="宋体" w:cs="宋体"/>
          <w:color w:val="auto"/>
          <w:sz w:val="24"/>
          <w:szCs w:val="24"/>
          <w:highlight w:val="none"/>
        </w:rPr>
        <w:t>所有投标文件的封面格式：（可选用）</w:t>
      </w:r>
    </w:p>
    <w:p w14:paraId="39049D76">
      <w:pPr>
        <w:snapToGrid w:val="0"/>
        <w:spacing w:before="317" w:beforeLines="50" w:after="50"/>
        <w:rPr>
          <w:rFonts w:hAnsi="宋体" w:cs="宋体"/>
          <w:color w:val="auto"/>
          <w:sz w:val="24"/>
          <w:szCs w:val="24"/>
          <w:highlight w:val="none"/>
        </w:rPr>
      </w:pPr>
    </w:p>
    <w:p w14:paraId="3A8852E5">
      <w:pPr>
        <w:snapToGrid w:val="0"/>
        <w:spacing w:before="317" w:beforeLines="50" w:after="50"/>
        <w:jc w:val="center"/>
        <w:rPr>
          <w:rFonts w:hAnsi="宋体" w:cs="宋体"/>
          <w:color w:val="auto"/>
          <w:sz w:val="24"/>
          <w:szCs w:val="24"/>
          <w:highlight w:val="none"/>
        </w:rPr>
      </w:pPr>
    </w:p>
    <w:p w14:paraId="41FC6494">
      <w:pPr>
        <w:snapToGrid w:val="0"/>
        <w:spacing w:before="317" w:beforeLines="50" w:after="50"/>
        <w:jc w:val="center"/>
        <w:rPr>
          <w:rFonts w:hAnsi="宋体" w:cs="宋体"/>
          <w:b/>
          <w:color w:val="auto"/>
          <w:sz w:val="24"/>
          <w:szCs w:val="24"/>
          <w:highlight w:val="none"/>
        </w:rPr>
      </w:pPr>
      <w:r>
        <w:rPr>
          <w:rFonts w:hint="eastAsia" w:hAnsi="宋体" w:cs="宋体"/>
          <w:b/>
          <w:color w:val="auto"/>
          <w:sz w:val="24"/>
          <w:szCs w:val="24"/>
          <w:highlight w:val="none"/>
        </w:rPr>
        <w:t>投标文件</w:t>
      </w:r>
    </w:p>
    <w:p w14:paraId="34361F55">
      <w:pPr>
        <w:snapToGrid w:val="0"/>
        <w:spacing w:before="317" w:beforeLines="50" w:after="50"/>
        <w:rPr>
          <w:rFonts w:hAnsi="宋体" w:cs="宋体"/>
          <w:color w:val="auto"/>
          <w:sz w:val="24"/>
          <w:szCs w:val="24"/>
          <w:highlight w:val="none"/>
        </w:rPr>
      </w:pPr>
    </w:p>
    <w:p w14:paraId="03D00632">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项目名称： </w:t>
      </w:r>
    </w:p>
    <w:p w14:paraId="36FCEAD0">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14:paraId="3C8AEBC6">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42D44B2F">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投标人名称：</w:t>
      </w:r>
    </w:p>
    <w:p w14:paraId="3A695FE3">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投标人地址：</w:t>
      </w:r>
    </w:p>
    <w:p w14:paraId="25CA6806">
      <w:pPr>
        <w:snapToGrid w:val="0"/>
        <w:spacing w:before="317" w:beforeLines="50" w:after="50"/>
        <w:ind w:firstLine="4080" w:firstLineChars="1700"/>
        <w:rPr>
          <w:rFonts w:hAnsi="宋体" w:cs="宋体"/>
          <w:color w:val="auto"/>
          <w:sz w:val="24"/>
          <w:szCs w:val="24"/>
          <w:highlight w:val="none"/>
        </w:rPr>
      </w:pPr>
    </w:p>
    <w:p w14:paraId="38A60BFE">
      <w:pPr>
        <w:snapToGrid w:val="0"/>
        <w:spacing w:before="317" w:beforeLines="50" w:after="50"/>
        <w:ind w:firstLine="645"/>
        <w:jc w:val="center"/>
        <w:rPr>
          <w:rFonts w:hAnsi="宋体" w:cs="宋体"/>
          <w:color w:val="auto"/>
          <w:sz w:val="24"/>
          <w:szCs w:val="24"/>
          <w:highlight w:val="none"/>
        </w:rPr>
      </w:pPr>
      <w:r>
        <w:rPr>
          <w:rFonts w:hint="eastAsia" w:hAnsi="宋体" w:cs="宋体"/>
          <w:color w:val="auto"/>
          <w:sz w:val="24"/>
          <w:szCs w:val="24"/>
          <w:highlight w:val="none"/>
        </w:rPr>
        <w:t>年 月 日</w:t>
      </w:r>
    </w:p>
    <w:p w14:paraId="6F14B7F0">
      <w:pPr>
        <w:widowControl/>
        <w:snapToGrid w:val="0"/>
        <w:spacing w:before="120" w:after="50"/>
        <w:rPr>
          <w:rFonts w:hAnsi="宋体" w:cs="宋体"/>
          <w:b/>
          <w:color w:val="auto"/>
          <w:sz w:val="21"/>
          <w:highlight w:val="none"/>
        </w:rPr>
      </w:pPr>
      <w:r>
        <w:rPr>
          <w:rFonts w:hint="eastAsia" w:hAnsi="宋体" w:cs="宋体"/>
          <w:color w:val="auto"/>
          <w:sz w:val="21"/>
          <w:szCs w:val="21"/>
          <w:highlight w:val="none"/>
        </w:rPr>
        <w:br w:type="page"/>
      </w:r>
      <w:r>
        <w:rPr>
          <w:rFonts w:hint="eastAsia" w:hAnsi="宋体" w:cs="宋体"/>
          <w:b/>
          <w:color w:val="auto"/>
          <w:sz w:val="24"/>
          <w:highlight w:val="none"/>
        </w:rPr>
        <w:t>（一）资格文件</w:t>
      </w:r>
    </w:p>
    <w:p w14:paraId="1AFF5CD5">
      <w:pPr>
        <w:autoSpaceDE/>
        <w:autoSpaceDN/>
        <w:adjustRightInd/>
        <w:spacing w:line="460" w:lineRule="exact"/>
        <w:ind w:firstLine="482" w:firstLineChars="200"/>
        <w:jc w:val="both"/>
        <w:rPr>
          <w:rFonts w:hAnsi="宋体" w:cs="宋体"/>
          <w:color w:val="auto"/>
          <w:sz w:val="21"/>
          <w:szCs w:val="21"/>
          <w:highlight w:val="none"/>
        </w:rPr>
      </w:pPr>
      <w:r>
        <w:rPr>
          <w:rFonts w:hint="eastAsia" w:hAnsi="宋体" w:cs="宋体"/>
          <w:b/>
          <w:color w:val="auto"/>
          <w:sz w:val="24"/>
          <w:highlight w:val="none"/>
        </w:rPr>
        <w:t xml:space="preserve"> 资格文件目录</w:t>
      </w:r>
    </w:p>
    <w:p w14:paraId="2ADBC873">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（1）投标人（包括投标联合体各方）有效期内的营业执照副本扫描件或复印件；</w:t>
      </w:r>
    </w:p>
    <w:p w14:paraId="0EC7E00A">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）符合参加政府采购活动应当具备的一般条件的承诺函（格式见附件）；</w:t>
      </w:r>
    </w:p>
    <w:p w14:paraId="72872D68">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）本项目的特定资格要求（格式见附件）；</w:t>
      </w:r>
    </w:p>
    <w:p w14:paraId="76D83BA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）联合协议（联合体投标人须提供，格式见附件）、分包意向协议（项目分包时须提供，格式见附件）。</w:t>
      </w:r>
    </w:p>
    <w:p w14:paraId="411526AA">
      <w:pPr>
        <w:rPr>
          <w:rFonts w:hAnsi="宋体" w:cs="宋体"/>
          <w:color w:val="auto"/>
          <w:sz w:val="24"/>
          <w:szCs w:val="24"/>
          <w:highlight w:val="none"/>
        </w:rPr>
      </w:pPr>
      <w:r>
        <w:rPr>
          <w:rFonts w:hint="eastAsia" w:hAnsi="宋体" w:cs="宋体"/>
          <w:color w:val="auto"/>
          <w:sz w:val="24"/>
          <w:szCs w:val="24"/>
          <w:highlight w:val="none"/>
        </w:rPr>
        <w:br w:type="page"/>
      </w:r>
    </w:p>
    <w:p w14:paraId="2E133124">
      <w:pPr>
        <w:pStyle w:val="3"/>
        <w:autoSpaceDE/>
        <w:autoSpaceDN/>
        <w:adjustRightInd/>
        <w:spacing w:line="500" w:lineRule="exact"/>
        <w:ind w:firstLine="422" w:firstLineChars="200"/>
        <w:jc w:val="center"/>
        <w:rPr>
          <w:rFonts w:hint="eastAsia" w:ascii="宋体" w:hAnsi="宋体" w:eastAsia="宋体" w:cs="宋体"/>
          <w:bCs w:val="0"/>
          <w:color w:val="auto"/>
          <w:sz w:val="21"/>
          <w:szCs w:val="21"/>
          <w:highlight w:val="none"/>
        </w:rPr>
      </w:pPr>
      <w:bookmarkStart w:id="60" w:name="_Toc31016"/>
      <w:r>
        <w:rPr>
          <w:rFonts w:hint="eastAsia" w:ascii="宋体" w:hAnsi="宋体" w:eastAsia="宋体" w:cs="宋体"/>
          <w:bCs w:val="0"/>
          <w:color w:val="auto"/>
          <w:sz w:val="21"/>
          <w:szCs w:val="21"/>
          <w:highlight w:val="none"/>
          <w:lang w:eastAsia="zh-CN"/>
        </w:rPr>
        <w:t>1</w:t>
      </w:r>
      <w:r>
        <w:rPr>
          <w:rFonts w:hint="eastAsia" w:ascii="宋体" w:hAnsi="宋体" w:eastAsia="宋体" w:cs="宋体"/>
          <w:bCs w:val="0"/>
          <w:color w:val="auto"/>
          <w:sz w:val="21"/>
          <w:szCs w:val="21"/>
          <w:highlight w:val="none"/>
          <w:lang w:val="en-US" w:eastAsia="zh-CN"/>
        </w:rPr>
        <w:t>.投标人（包括投标联合体各方）</w:t>
      </w:r>
      <w:r>
        <w:rPr>
          <w:rFonts w:hint="eastAsia" w:ascii="宋体" w:hAnsi="宋体" w:eastAsia="宋体" w:cs="宋体"/>
          <w:bCs w:val="0"/>
          <w:color w:val="auto"/>
          <w:sz w:val="21"/>
          <w:szCs w:val="21"/>
          <w:highlight w:val="none"/>
        </w:rPr>
        <w:t>有效期内的营业执照副本扫描件或复印件；</w:t>
      </w:r>
      <w:bookmarkEnd w:id="60"/>
    </w:p>
    <w:p w14:paraId="2E00BD9E">
      <w:pPr>
        <w:spacing w:line="500" w:lineRule="exact"/>
        <w:ind w:firstLine="480"/>
        <w:jc w:val="center"/>
        <w:rPr>
          <w:rFonts w:hint="eastAsia" w:hAnsi="宋体" w:cs="宋体"/>
          <w:b/>
          <w:color w:val="auto"/>
          <w:sz w:val="21"/>
          <w:szCs w:val="21"/>
          <w:highlight w:val="none"/>
        </w:rPr>
      </w:pPr>
    </w:p>
    <w:p w14:paraId="2C9EBA2B">
      <w:pPr>
        <w:snapToGrid w:val="0"/>
        <w:spacing w:line="360" w:lineRule="auto"/>
        <w:ind w:right="480"/>
        <w:jc w:val="center"/>
        <w:rPr>
          <w:rFonts w:hint="eastAsia" w:hAnsi="宋体" w:cs="宋体"/>
          <w:b/>
          <w:color w:val="auto"/>
          <w:sz w:val="21"/>
          <w:szCs w:val="21"/>
          <w:highlight w:val="none"/>
        </w:rPr>
      </w:pPr>
      <w:r>
        <w:rPr>
          <w:rFonts w:hint="eastAsia" w:hAnsi="宋体" w:cs="宋体"/>
          <w:b/>
          <w:color w:val="auto"/>
          <w:sz w:val="21"/>
          <w:szCs w:val="21"/>
          <w:highlight w:val="none"/>
          <w:lang w:val="en-US" w:eastAsia="zh-CN"/>
        </w:rPr>
        <w:t>2</w:t>
      </w:r>
      <w:r>
        <w:rPr>
          <w:rFonts w:hint="eastAsia" w:hAnsi="宋体" w:cs="宋体"/>
          <w:b/>
          <w:color w:val="auto"/>
          <w:sz w:val="21"/>
          <w:szCs w:val="21"/>
          <w:highlight w:val="none"/>
        </w:rPr>
        <w:t>.符合参加政府采购活动应当具备的一般条件的承诺函</w:t>
      </w:r>
    </w:p>
    <w:p w14:paraId="0294F8FB">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（招标人）、（采购代理机构）：</w:t>
      </w:r>
    </w:p>
    <w:p w14:paraId="5DE0CDA3">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我方（联合体）参与（项目名称）【招标编号：（采购编号）】政府采购活动，郑重承诺：</w:t>
      </w:r>
    </w:p>
    <w:p w14:paraId="3D7E5D4A">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14:paraId="32277DF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1、具有独立承担民事责任的能力；</w:t>
      </w:r>
    </w:p>
    <w:p w14:paraId="0EFB36B5">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14:paraId="7E908495">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14:paraId="1F22F2E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14:paraId="6047242F">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14:paraId="0101A22A">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6、具有法律、行政法规规定的其他条件。</w:t>
      </w:r>
    </w:p>
    <w:p w14:paraId="00C26494">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5981162D">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（三）不存在以下情况：</w:t>
      </w:r>
    </w:p>
    <w:p w14:paraId="5967B442">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14:paraId="0F5C3ADA">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14:paraId="23291F97">
      <w:pPr>
        <w:snapToGrid w:val="0"/>
        <w:spacing w:line="500" w:lineRule="exact"/>
        <w:ind w:firstLine="2940" w:firstLineChars="1400"/>
        <w:rPr>
          <w:rFonts w:hint="eastAsia" w:hAnsi="宋体" w:cs="宋体"/>
          <w:color w:val="auto"/>
          <w:sz w:val="21"/>
          <w:szCs w:val="21"/>
          <w:highlight w:val="none"/>
          <w:lang w:val="zh-CN"/>
        </w:rPr>
      </w:pPr>
    </w:p>
    <w:p w14:paraId="3CDFC476">
      <w:pPr>
        <w:snapToGrid w:val="0"/>
        <w:spacing w:line="50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lang w:val="zh-CN"/>
        </w:rPr>
        <w:t>投标人（或联合体投标人的牵头单位）名称</w:t>
      </w:r>
      <w:r>
        <w:rPr>
          <w:rFonts w:hint="eastAsia" w:hAnsi="宋体" w:cs="宋体"/>
          <w:color w:val="auto"/>
          <w:sz w:val="21"/>
          <w:szCs w:val="21"/>
          <w:highlight w:val="none"/>
        </w:rPr>
        <w:t>（盖章）</w:t>
      </w:r>
      <w:r>
        <w:rPr>
          <w:rFonts w:hint="eastAsia" w:hAnsi="宋体" w:cs="宋体"/>
          <w:color w:val="auto"/>
          <w:sz w:val="21"/>
          <w:szCs w:val="21"/>
          <w:highlight w:val="none"/>
          <w:lang w:val="zh-CN"/>
        </w:rPr>
        <w:t>：</w:t>
      </w:r>
    </w:p>
    <w:p w14:paraId="315BBEAB">
      <w:pPr>
        <w:snapToGrid w:val="0"/>
        <w:spacing w:line="500" w:lineRule="exact"/>
        <w:rPr>
          <w:rFonts w:hint="eastAsia" w:hAnsi="宋体" w:cs="宋体"/>
          <w:color w:val="auto"/>
          <w:sz w:val="21"/>
          <w:szCs w:val="21"/>
          <w:highlight w:val="none"/>
        </w:rPr>
      </w:pPr>
      <w:r>
        <w:rPr>
          <w:rFonts w:hint="eastAsia" w:hAnsi="宋体" w:cs="宋体"/>
          <w:color w:val="auto"/>
          <w:sz w:val="21"/>
          <w:szCs w:val="21"/>
          <w:highlight w:val="none"/>
          <w:lang w:val="zh-CN"/>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w:t>
      </w:r>
    </w:p>
    <w:p w14:paraId="0CABB3F4">
      <w:pPr>
        <w:rPr>
          <w:rFonts w:hint="eastAsia" w:hAnsi="宋体" w:cs="宋体"/>
          <w:color w:val="auto"/>
          <w:sz w:val="21"/>
          <w:szCs w:val="21"/>
          <w:highlight w:val="none"/>
        </w:rPr>
      </w:pPr>
    </w:p>
    <w:p w14:paraId="447DE7A6">
      <w:pPr>
        <w:spacing w:line="500" w:lineRule="exact"/>
        <w:rPr>
          <w:rFonts w:hint="eastAsia" w:hAnsi="宋体" w:cs="宋体"/>
          <w:b/>
          <w:color w:val="auto"/>
          <w:sz w:val="21"/>
          <w:szCs w:val="21"/>
          <w:highlight w:val="none"/>
        </w:rPr>
      </w:pPr>
    </w:p>
    <w:p w14:paraId="41014BDC">
      <w:pPr>
        <w:snapToGrid w:val="0"/>
        <w:spacing w:line="360" w:lineRule="auto"/>
        <w:ind w:right="480"/>
        <w:jc w:val="center"/>
        <w:rPr>
          <w:rFonts w:hint="eastAsia" w:hAnsi="宋体" w:cs="宋体"/>
          <w:b/>
          <w:color w:val="auto"/>
          <w:sz w:val="21"/>
          <w:szCs w:val="21"/>
          <w:highlight w:val="none"/>
        </w:rPr>
      </w:pPr>
    </w:p>
    <w:p w14:paraId="74389EA5">
      <w:pPr>
        <w:pStyle w:val="81"/>
        <w:spacing w:line="500" w:lineRule="exact"/>
        <w:ind w:firstLine="420" w:firstLineChars="200"/>
        <w:rPr>
          <w:rFonts w:ascii="宋体" w:hAnsi="宋体" w:eastAsia="宋体" w:cs="宋体"/>
          <w:color w:val="auto"/>
          <w:szCs w:val="21"/>
          <w:highlight w:val="none"/>
        </w:rPr>
      </w:pPr>
      <w:r>
        <w:rPr>
          <w:rFonts w:hint="eastAsia" w:hAnsi="宋体" w:cs="宋体"/>
          <w:b/>
          <w:color w:val="auto"/>
          <w:sz w:val="21"/>
          <w:szCs w:val="21"/>
          <w:highlight w:val="none"/>
        </w:rPr>
        <w:br w:type="page"/>
      </w:r>
    </w:p>
    <w:p w14:paraId="0BEA13B4">
      <w:pPr>
        <w:tabs>
          <w:tab w:val="left" w:pos="1485"/>
        </w:tabs>
        <w:spacing w:line="500" w:lineRule="exact"/>
        <w:rPr>
          <w:rFonts w:hint="eastAsia" w:hAnsi="宋体" w:cs="宋体"/>
          <w:color w:val="auto"/>
          <w:sz w:val="21"/>
          <w:szCs w:val="21"/>
          <w:highlight w:val="none"/>
        </w:rPr>
      </w:pPr>
    </w:p>
    <w:p w14:paraId="5D199E06">
      <w:pPr>
        <w:widowControl/>
        <w:spacing w:line="500" w:lineRule="exact"/>
        <w:ind w:firstLine="422" w:firstLineChars="200"/>
        <w:jc w:val="center"/>
        <w:rPr>
          <w:rFonts w:hint="eastAsia"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.本项目的特定资格要求</w:t>
      </w:r>
    </w:p>
    <w:p w14:paraId="1B8A7D6F">
      <w:pPr>
        <w:spacing w:line="500" w:lineRule="exact"/>
        <w:ind w:firstLine="420" w:firstLineChars="200"/>
        <w:jc w:val="center"/>
        <w:rPr>
          <w:rFonts w:hint="eastAsia" w:hAnsi="宋体" w:cs="宋体"/>
          <w:color w:val="auto"/>
          <w:sz w:val="21"/>
          <w:szCs w:val="21"/>
          <w:highlight w:val="none"/>
        </w:rPr>
      </w:pPr>
      <w:r>
        <w:rPr>
          <w:rFonts w:hint="eastAsia" w:hAnsi="宋体" w:cs="宋体"/>
          <w:color w:val="auto"/>
          <w:sz w:val="21"/>
          <w:szCs w:val="21"/>
          <w:highlight w:val="none"/>
        </w:rPr>
        <w:t>（根据招标公告本项目的特定资格要求提供相应的材料）</w:t>
      </w:r>
    </w:p>
    <w:p w14:paraId="7EF1346B">
      <w:pPr>
        <w:snapToGrid w:val="0"/>
        <w:ind w:firstLine="480" w:firstLineChars="200"/>
        <w:rPr>
          <w:rFonts w:hint="eastAsia" w:hAnsi="宋体" w:cs="宋体"/>
          <w:color w:val="auto"/>
          <w:sz w:val="24"/>
          <w:highlight w:val="none"/>
        </w:rPr>
      </w:pPr>
    </w:p>
    <w:p w14:paraId="67D5C9A8">
      <w:pPr>
        <w:snapToGrid w:val="0"/>
        <w:ind w:firstLine="480" w:firstLineChars="200"/>
        <w:rPr>
          <w:rFonts w:hint="eastAsia" w:hAnsi="宋体" w:cs="宋体"/>
          <w:color w:val="auto"/>
          <w:sz w:val="24"/>
          <w:highlight w:val="none"/>
        </w:rPr>
      </w:pPr>
    </w:p>
    <w:p w14:paraId="1AED92F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rPr>
        <w:br w:type="page"/>
      </w:r>
      <w:r>
        <w:rPr>
          <w:rFonts w:hint="eastAsia" w:ascii="宋体" w:hAnsi="宋体" w:eastAsia="宋体" w:cs="宋体"/>
          <w:b/>
          <w:bCs/>
          <w:color w:val="auto"/>
          <w:sz w:val="21"/>
          <w:szCs w:val="21"/>
          <w:highlight w:val="none"/>
        </w:rPr>
        <w:t>4.联合协议（联合体投标人须提供，格式见附件）、分包意向协议（项目实施时投标人将进行分包的须提供，格式见附件）。</w:t>
      </w:r>
    </w:p>
    <w:p w14:paraId="0EE49301">
      <w:pPr>
        <w:snapToGrid w:val="0"/>
        <w:ind w:firstLine="480" w:firstLineChars="200"/>
        <w:rPr>
          <w:rFonts w:hint="eastAsia" w:ascii="宋体" w:hAnsi="宋体" w:eastAsia="宋体" w:cs="宋体"/>
          <w:color w:val="auto"/>
          <w:sz w:val="24"/>
          <w:highlight w:val="none"/>
        </w:rPr>
      </w:pPr>
    </w:p>
    <w:p w14:paraId="4100CA29">
      <w:pPr>
        <w:spacing w:line="500" w:lineRule="exact"/>
        <w:jc w:val="center"/>
        <w:rPr>
          <w:rFonts w:hint="eastAsia" w:ascii="宋体" w:hAnsi="宋体" w:eastAsia="宋体" w:cs="宋体"/>
          <w:b/>
          <w:color w:val="auto"/>
          <w:sz w:val="24"/>
          <w:szCs w:val="24"/>
          <w:highlight w:val="none"/>
          <w:lang w:val="zh-TW"/>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TW"/>
        </w:rPr>
        <w:t>联合协议</w:t>
      </w:r>
    </w:p>
    <w:p w14:paraId="36D9FC3F">
      <w:pPr>
        <w:pStyle w:val="110"/>
        <w:snapToGrid w:val="0"/>
        <w:spacing w:before="0" w:beforeAutospacing="0" w:after="0" w:afterAutospacing="0" w:line="500" w:lineRule="exact"/>
        <w:ind w:firstLine="480" w:firstLineChars="200"/>
        <w:jc w:val="center"/>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（投标人以联合体形式参与投标的适用）</w:t>
      </w:r>
    </w:p>
    <w:p w14:paraId="6691D974">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牵头方公司名称：</w:t>
      </w:r>
    </w:p>
    <w:p w14:paraId="4429902A">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w:t>
      </w:r>
    </w:p>
    <w:p w14:paraId="6C40B31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住所地：</w:t>
      </w:r>
    </w:p>
    <w:p w14:paraId="5CC88DD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成员方公司名称：</w:t>
      </w:r>
    </w:p>
    <w:p w14:paraId="5B0642F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w:t>
      </w:r>
    </w:p>
    <w:p w14:paraId="27C4FA62">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住所地：</w:t>
      </w:r>
    </w:p>
    <w:p w14:paraId="275F9FA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鉴于上述各成员公司经过友好协商，自愿组成</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联合体名称）联合体，共同参加</w:t>
      </w:r>
      <w:r>
        <w:rPr>
          <w:rFonts w:hint="eastAsia" w:ascii="宋体" w:hAnsi="宋体" w:eastAsia="宋体" w:cs="宋体"/>
          <w:color w:val="auto"/>
          <w:kern w:val="1"/>
          <w:sz w:val="21"/>
          <w:szCs w:val="21"/>
          <w:highlight w:val="none"/>
          <w:u w:val="single"/>
        </w:rPr>
        <w:t xml:space="preserve">          （项目名称）</w:t>
      </w:r>
      <w:r>
        <w:rPr>
          <w:rFonts w:hint="eastAsia" w:ascii="宋体" w:hAnsi="宋体" w:eastAsia="宋体" w:cs="宋体"/>
          <w:color w:val="auto"/>
          <w:kern w:val="1"/>
          <w:sz w:val="21"/>
          <w:szCs w:val="21"/>
          <w:highlight w:val="none"/>
        </w:rPr>
        <w:t>及</w:t>
      </w:r>
      <w:r>
        <w:rPr>
          <w:rFonts w:hint="eastAsia" w:ascii="宋体" w:hAnsi="宋体" w:eastAsia="宋体" w:cs="宋体"/>
          <w:color w:val="auto"/>
          <w:kern w:val="1"/>
          <w:sz w:val="21"/>
          <w:szCs w:val="21"/>
          <w:highlight w:val="none"/>
          <w:u w:val="single"/>
        </w:rPr>
        <w:t xml:space="preserve">（采购编号）      </w:t>
      </w:r>
      <w:r>
        <w:rPr>
          <w:rFonts w:hint="eastAsia" w:ascii="宋体" w:hAnsi="宋体" w:eastAsia="宋体" w:cs="宋体"/>
          <w:color w:val="auto"/>
          <w:kern w:val="1"/>
          <w:sz w:val="21"/>
          <w:szCs w:val="21"/>
          <w:highlight w:val="none"/>
        </w:rPr>
        <w:t>的投标活动。现就联合体申请及投标事宜订立如下协议：</w:t>
      </w:r>
    </w:p>
    <w:p w14:paraId="276177CF">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1、由</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作为牵头公司负责联合体在本项目的投标活动。联合体各方及其法定代表人授权委托其授权代表参加本项目的招投标活动。</w:t>
      </w:r>
    </w:p>
    <w:p w14:paraId="65CE48E0">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253ED3F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3、牵头公司做出的关于</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项目名称）相关的行为对联合体全体成员均具有法律效力。联合体成员各方对牵头公司在投标活动中及中标后履约的一切行为承担连带责任。</w:t>
      </w:r>
    </w:p>
    <w:p w14:paraId="61E81100">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4、联合体各方均同意授权联合体牵头方员工</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（姓名、职务）作为联合体参与本项目投标活动的授权代表。</w:t>
      </w:r>
    </w:p>
    <w:p w14:paraId="672A97C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5、联合体成员各方在本项目中的工作职责、权利与义务如下：（需列述）</w:t>
      </w:r>
    </w:p>
    <w:p w14:paraId="7EDEB864">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5.1</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作为联合体牵头方，负责</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b/>
          <w:color w:val="auto"/>
          <w:sz w:val="21"/>
          <w:szCs w:val="21"/>
          <w:highlight w:val="none"/>
        </w:rPr>
        <w:t>。</w:t>
      </w:r>
    </w:p>
    <w:p w14:paraId="70B5771F">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作为联合体成员方，负责</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b/>
          <w:color w:val="auto"/>
          <w:sz w:val="21"/>
          <w:szCs w:val="21"/>
          <w:highlight w:val="none"/>
        </w:rPr>
        <w:t>。</w:t>
      </w:r>
    </w:p>
    <w:p w14:paraId="21637D16">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6、关于</w:t>
      </w:r>
      <w:r>
        <w:rPr>
          <w:rFonts w:hint="eastAsia" w:ascii="宋体" w:hAnsi="宋体" w:eastAsia="宋体" w:cs="宋体"/>
          <w:color w:val="auto"/>
          <w:sz w:val="21"/>
          <w:szCs w:val="21"/>
          <w:highlight w:val="none"/>
          <w:lang w:bidi="ar"/>
        </w:rPr>
        <w:t>联合体内小微企业合同份额</w:t>
      </w:r>
      <w:r>
        <w:rPr>
          <w:rFonts w:hint="eastAsia" w:ascii="宋体" w:hAnsi="宋体" w:eastAsia="宋体" w:cs="宋体"/>
          <w:color w:val="auto"/>
          <w:kern w:val="1"/>
          <w:sz w:val="21"/>
          <w:szCs w:val="21"/>
          <w:highlight w:val="none"/>
        </w:rPr>
        <w:t>的承诺与声明：</w:t>
      </w:r>
    </w:p>
    <w:p w14:paraId="07AB53F5">
      <w:pPr>
        <w:snapToGrid w:val="0"/>
        <w:spacing w:line="460" w:lineRule="atLeast"/>
        <w:ind w:left="207" w:leftChars="61" w:firstLine="210" w:firstLineChars="100"/>
        <w:rPr>
          <w:rFonts w:hint="eastAsia" w:ascii="宋体" w:hAnsi="宋体" w:eastAsia="宋体" w:cs="宋体"/>
          <w:b/>
          <w:bCs/>
          <w:color w:val="auto"/>
          <w:spacing w:val="14"/>
          <w:sz w:val="21"/>
          <w:szCs w:val="21"/>
          <w:highlight w:val="none"/>
        </w:rPr>
      </w:pPr>
      <w:r>
        <w:rPr>
          <w:rFonts w:hint="eastAsia" w:ascii="宋体" w:hAnsi="宋体" w:eastAsia="宋体" w:cs="宋体"/>
          <w:color w:val="auto"/>
          <w:kern w:val="1"/>
          <w:sz w:val="21"/>
          <w:szCs w:val="21"/>
          <w:highlight w:val="none"/>
        </w:rPr>
        <w:t>6.1联合体中的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企业是</w:t>
      </w:r>
      <w:r>
        <w:rPr>
          <w:rFonts w:hint="eastAsia" w:ascii="宋体" w:hAnsi="宋体" w:eastAsia="宋体" w:cs="宋体"/>
          <w:color w:val="auto"/>
          <w:kern w:val="1"/>
          <w:sz w:val="21"/>
          <w:szCs w:val="21"/>
          <w:highlight w:val="none"/>
          <w:u w:val="single"/>
        </w:rPr>
        <w:t xml:space="preserve">（供应商名称）               </w:t>
      </w:r>
      <w:r>
        <w:rPr>
          <w:rFonts w:hint="eastAsia" w:ascii="宋体" w:hAnsi="宋体" w:eastAsia="宋体" w:cs="宋体"/>
          <w:color w:val="auto"/>
          <w:kern w:val="1"/>
          <w:sz w:val="21"/>
          <w:szCs w:val="21"/>
          <w:highlight w:val="none"/>
        </w:rPr>
        <w:t>（请将小微企业的《中小企业声明函》附后），各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企业之间及各</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w:t>
      </w:r>
      <w:r>
        <w:rPr>
          <w:rFonts w:hint="eastAsia" w:ascii="宋体" w:hAnsi="宋体" w:eastAsia="宋体" w:cs="宋体"/>
          <w:color w:val="auto"/>
          <w:sz w:val="21"/>
          <w:szCs w:val="21"/>
          <w:highlight w:val="none"/>
        </w:rPr>
        <w:t>与联合体内其他企业之间均不存在直接控股、管理关系。</w:t>
      </w:r>
    </w:p>
    <w:p w14:paraId="4E4ED2D0">
      <w:pPr>
        <w:snapToGrid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6.2 上述</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企业中：（1）供应商</w:t>
      </w:r>
      <w:r>
        <w:rPr>
          <w:rFonts w:hint="eastAsia" w:ascii="宋体" w:hAnsi="宋体" w:eastAsia="宋体" w:cs="宋体"/>
          <w:color w:val="auto"/>
          <w:kern w:val="1"/>
          <w:sz w:val="21"/>
          <w:szCs w:val="21"/>
          <w:highlight w:val="none"/>
          <w:u w:val="single"/>
        </w:rPr>
        <w:t xml:space="preserve">（供应商名称）               </w:t>
      </w:r>
      <w:r>
        <w:rPr>
          <w:rFonts w:hint="eastAsia" w:ascii="宋体" w:hAnsi="宋体" w:eastAsia="宋体" w:cs="宋体"/>
          <w:color w:val="auto"/>
          <w:sz w:val="21"/>
          <w:szCs w:val="21"/>
          <w:highlight w:val="none"/>
        </w:rPr>
        <w:t>承担的工作和相应的责任是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，其协议合同份额占本项目投标总金额（合同总金额）的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kern w:val="1"/>
          <w:sz w:val="21"/>
          <w:szCs w:val="21"/>
          <w:highlight w:val="none"/>
        </w:rPr>
        <w:t>供应商</w:t>
      </w:r>
      <w:r>
        <w:rPr>
          <w:rFonts w:hint="eastAsia" w:ascii="宋体" w:hAnsi="宋体" w:eastAsia="宋体" w:cs="宋体"/>
          <w:color w:val="auto"/>
          <w:kern w:val="1"/>
          <w:sz w:val="21"/>
          <w:szCs w:val="21"/>
          <w:highlight w:val="none"/>
          <w:u w:val="single"/>
        </w:rPr>
        <w:t xml:space="preserve">（供应商名称）               </w:t>
      </w:r>
      <w:r>
        <w:rPr>
          <w:rFonts w:hint="eastAsia" w:ascii="宋体" w:hAnsi="宋体" w:eastAsia="宋体" w:cs="宋体"/>
          <w:color w:val="auto"/>
          <w:sz w:val="21"/>
          <w:szCs w:val="21"/>
          <w:highlight w:val="none"/>
        </w:rPr>
        <w:t>承担的工作和相应的责任是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，其协议合同份额占本项目投标总金额（合同总金额）的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132644">
      <w:pPr>
        <w:snapToGrid w:val="0"/>
        <w:spacing w:line="500" w:lineRule="exact"/>
        <w:ind w:firstLine="420"/>
        <w:rPr>
          <w:rFonts w:hint="eastAsia" w:ascii="宋体" w:hAnsi="宋体" w:eastAsia="宋体" w:cs="宋体"/>
          <w:color w:val="auto"/>
          <w:kern w:val="1"/>
          <w:sz w:val="21"/>
          <w:szCs w:val="21"/>
          <w:highlight w:val="none"/>
          <w:u w:val="single"/>
        </w:rPr>
      </w:pPr>
      <w:r>
        <w:rPr>
          <w:rFonts w:hint="eastAsia" w:ascii="宋体" w:hAnsi="宋体" w:eastAsia="宋体" w:cs="宋体"/>
          <w:color w:val="auto"/>
          <w:sz w:val="21"/>
          <w:szCs w:val="21"/>
          <w:highlight w:val="none"/>
        </w:rPr>
        <w:t>综上，</w:t>
      </w:r>
      <w:r>
        <w:rPr>
          <w:rFonts w:hint="eastAsia" w:ascii="宋体" w:hAnsi="宋体" w:eastAsia="宋体" w:cs="宋体"/>
          <w:color w:val="auto"/>
          <w:sz w:val="21"/>
          <w:szCs w:val="21"/>
          <w:highlight w:val="none"/>
          <w:lang w:bidi="ar"/>
        </w:rPr>
        <w:t>小微</w:t>
      </w:r>
      <w:r>
        <w:rPr>
          <w:rFonts w:hint="eastAsia" w:ascii="宋体" w:hAnsi="宋体" w:eastAsia="宋体" w:cs="宋体"/>
          <w:color w:val="auto"/>
          <w:kern w:val="1"/>
          <w:sz w:val="21"/>
          <w:szCs w:val="21"/>
          <w:highlight w:val="none"/>
        </w:rPr>
        <w:t>企业</w:t>
      </w:r>
      <w:r>
        <w:rPr>
          <w:rFonts w:hint="eastAsia" w:ascii="宋体" w:hAnsi="宋体" w:eastAsia="宋体" w:cs="宋体"/>
          <w:color w:val="auto"/>
          <w:sz w:val="21"/>
          <w:szCs w:val="21"/>
          <w:highlight w:val="none"/>
          <w:lang w:bidi="ar"/>
        </w:rPr>
        <w:t>承担工作的</w:t>
      </w:r>
      <w:r>
        <w:rPr>
          <w:rFonts w:hint="eastAsia" w:ascii="宋体" w:hAnsi="宋体" w:eastAsia="宋体" w:cs="宋体"/>
          <w:color w:val="auto"/>
          <w:sz w:val="21"/>
          <w:szCs w:val="21"/>
          <w:highlight w:val="none"/>
        </w:rPr>
        <w:t>协议合同份额合计数占本项目投标总金额（合同总金额）的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BCEB0B">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51F20CE3">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8、本协议书一式</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份，联合体各方和招标人各执</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份。</w:t>
      </w:r>
    </w:p>
    <w:p w14:paraId="2812C363">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07A593E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牵头公司名称（盖单位公章）:</w:t>
      </w:r>
    </w:p>
    <w:p w14:paraId="0F152EF0">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法定代表人（签字或盖章）:</w:t>
      </w:r>
    </w:p>
    <w:p w14:paraId="08F2A47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授权代表（签字或盖章）：</w:t>
      </w:r>
    </w:p>
    <w:p w14:paraId="650672CA">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440483E1">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成员公司名称（盖单位公章）:</w:t>
      </w:r>
    </w:p>
    <w:p w14:paraId="3F2AAD6F">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（签字或盖章）:</w:t>
      </w:r>
    </w:p>
    <w:p w14:paraId="6CE8C38D">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授权代表（签字或盖章）：</w:t>
      </w:r>
    </w:p>
    <w:p w14:paraId="439819AE">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19183965">
      <w:pPr>
        <w:ind w:firstLine="723" w:firstLineChars="300"/>
        <w:jc w:val="center"/>
        <w:rPr>
          <w:rFonts w:hint="eastAsia" w:ascii="宋体" w:hAnsi="宋体" w:eastAsia="宋体" w:cs="宋体"/>
          <w:b/>
          <w:color w:val="auto"/>
          <w:sz w:val="24"/>
          <w:szCs w:val="22"/>
          <w:highlight w:val="none"/>
        </w:rPr>
      </w:pPr>
    </w:p>
    <w:p w14:paraId="0E0B3D62">
      <w:pPr>
        <w:ind w:firstLine="723" w:firstLineChars="300"/>
        <w:jc w:val="center"/>
        <w:rPr>
          <w:rFonts w:hint="eastAsia" w:ascii="宋体" w:hAnsi="宋体" w:eastAsia="宋体" w:cs="宋体"/>
          <w:b/>
          <w:color w:val="auto"/>
          <w:sz w:val="24"/>
          <w:szCs w:val="22"/>
          <w:highlight w:val="none"/>
        </w:rPr>
      </w:pPr>
    </w:p>
    <w:p w14:paraId="2C67C8B9">
      <w:pPr>
        <w:ind w:firstLine="723" w:firstLineChars="30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szCs w:val="22"/>
          <w:highlight w:val="none"/>
        </w:rPr>
        <w:t>（2）分包意向协议</w:t>
      </w:r>
    </w:p>
    <w:p w14:paraId="3BBA5484">
      <w:pPr>
        <w:spacing w:line="500" w:lineRule="exact"/>
        <w:ind w:firstLine="420" w:firstLineChars="200"/>
        <w:jc w:val="center"/>
        <w:rPr>
          <w:rFonts w:hint="eastAsia" w:ascii="宋体" w:hAnsi="宋体" w:eastAsia="宋体" w:cs="宋体"/>
          <w:b/>
          <w:color w:val="auto"/>
          <w:sz w:val="24"/>
          <w:szCs w:val="22"/>
          <w:highlight w:val="none"/>
        </w:rPr>
      </w:pPr>
      <w:r>
        <w:rPr>
          <w:rFonts w:hint="eastAsia" w:ascii="宋体" w:hAnsi="宋体" w:eastAsia="宋体" w:cs="宋体"/>
          <w:color w:val="auto"/>
          <w:sz w:val="21"/>
          <w:szCs w:val="21"/>
          <w:highlight w:val="none"/>
        </w:rPr>
        <w:t>（分包适用）</w:t>
      </w:r>
    </w:p>
    <w:p w14:paraId="0047D40F">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立约方：</w:t>
      </w:r>
    </w:p>
    <w:p w14:paraId="1E0A18FF">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（投标人名称）</w:t>
      </w:r>
    </w:p>
    <w:p w14:paraId="4DE73C92">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（所有接受分包供应商名称）</w:t>
      </w:r>
    </w:p>
    <w:p w14:paraId="5CDE6F9B">
      <w:pPr>
        <w:snapToGrid w:val="0"/>
        <w:spacing w:line="500" w:lineRule="exact"/>
        <w:ind w:firstLine="420" w:firstLineChars="200"/>
        <w:rPr>
          <w:rFonts w:hint="eastAsia" w:ascii="宋体" w:hAnsi="宋体" w:eastAsia="宋体" w:cs="宋体"/>
          <w:color w:val="auto"/>
          <w:sz w:val="21"/>
          <w:szCs w:val="21"/>
          <w:highlight w:val="none"/>
          <w:u w:val="single"/>
        </w:rPr>
      </w:pPr>
    </w:p>
    <w:p w14:paraId="5837DD52">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的投标事宜，与</w:t>
      </w:r>
      <w:r>
        <w:rPr>
          <w:rFonts w:hint="eastAsia" w:ascii="宋体" w:hAnsi="宋体" w:eastAsia="宋体" w:cs="宋体"/>
          <w:color w:val="auto"/>
          <w:sz w:val="21"/>
          <w:szCs w:val="21"/>
          <w:highlight w:val="none"/>
          <w:u w:val="single"/>
        </w:rPr>
        <w:t>（所有接受分包供应商名称）</w:t>
      </w:r>
      <w:r>
        <w:rPr>
          <w:rFonts w:hint="eastAsia" w:ascii="宋体" w:hAnsi="宋体" w:eastAsia="宋体" w:cs="宋体"/>
          <w:color w:val="auto"/>
          <w:sz w:val="21"/>
          <w:szCs w:val="21"/>
          <w:highlight w:val="none"/>
        </w:rPr>
        <w:t>通过友好协商达成以下协议：</w:t>
      </w:r>
    </w:p>
    <w:p w14:paraId="1DB5CE31">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zh-CN"/>
        </w:rPr>
        <w:t>一、在本次投标有效期内，</w:t>
      </w:r>
      <w:r>
        <w:rPr>
          <w:rFonts w:hint="eastAsia" w:ascii="宋体" w:hAnsi="宋体" w:eastAsia="宋体" w:cs="宋体"/>
          <w:color w:val="auto"/>
          <w:sz w:val="21"/>
          <w:szCs w:val="21"/>
          <w:highlight w:val="none"/>
          <w:u w:val="single"/>
        </w:rPr>
        <w:t>（所有接受分包供应商名称）</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）代理上述投标事宜。若中标，各方按照本协议中约定的分工事项，完成各方对应的工作。</w:t>
      </w:r>
    </w:p>
    <w:p w14:paraId="3581EB80">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二、各方分工</w:t>
      </w:r>
    </w:p>
    <w:p w14:paraId="31C49C7C">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1.参加本项目政府采购活动工作由</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负责。</w:t>
      </w:r>
    </w:p>
    <w:p w14:paraId="57AFA472">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2.本项目由</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授权人员负责与采购人联系。</w:t>
      </w:r>
    </w:p>
    <w:p w14:paraId="0B29C71E">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为分包方，拟承担的工作和职责：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0246E8">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（接受分包供应商1名称）</w:t>
      </w:r>
      <w:r>
        <w:rPr>
          <w:rFonts w:hint="eastAsia" w:ascii="宋体" w:hAnsi="宋体" w:eastAsia="宋体" w:cs="宋体"/>
          <w:color w:val="auto"/>
          <w:sz w:val="21"/>
          <w:szCs w:val="21"/>
          <w:highlight w:val="none"/>
        </w:rPr>
        <w:t>为接受分包方，系</w:t>
      </w:r>
      <w:r>
        <w:rPr>
          <w:rFonts w:hint="eastAsia" w:ascii="宋体" w:hAnsi="宋体" w:eastAsia="宋体" w:cs="宋体"/>
          <w:b/>
          <w:color w:val="auto"/>
          <w:kern w:val="1"/>
          <w:sz w:val="21"/>
          <w:szCs w:val="21"/>
          <w:highlight w:val="none"/>
        </w:rPr>
        <w:t>小型/微型企业（</w:t>
      </w:r>
      <w:r>
        <w:rPr>
          <w:rFonts w:hint="eastAsia" w:ascii="宋体" w:hAnsi="宋体" w:eastAsia="宋体" w:cs="宋体"/>
          <w:color w:val="auto"/>
          <w:kern w:val="1"/>
          <w:sz w:val="21"/>
          <w:szCs w:val="21"/>
          <w:highlight w:val="none"/>
        </w:rPr>
        <w:t>请将小微企业的《中小企业声明函》附后），</w:t>
      </w:r>
      <w:r>
        <w:rPr>
          <w:rFonts w:hint="eastAsia" w:ascii="宋体" w:hAnsi="宋体" w:eastAsia="宋体" w:cs="宋体"/>
          <w:color w:val="auto"/>
          <w:sz w:val="21"/>
          <w:szCs w:val="21"/>
          <w:highlight w:val="none"/>
        </w:rPr>
        <w:t>拟承担的工作和职责：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641CDB3">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（接受分包供应商2名称）</w:t>
      </w:r>
      <w:r>
        <w:rPr>
          <w:rFonts w:hint="eastAsia" w:ascii="宋体" w:hAnsi="宋体" w:eastAsia="宋体" w:cs="宋体"/>
          <w:color w:val="auto"/>
          <w:sz w:val="21"/>
          <w:szCs w:val="21"/>
          <w:highlight w:val="none"/>
        </w:rPr>
        <w:t>为接受分包方，系</w:t>
      </w:r>
      <w:r>
        <w:rPr>
          <w:rFonts w:hint="eastAsia" w:ascii="宋体" w:hAnsi="宋体" w:eastAsia="宋体" w:cs="宋体"/>
          <w:b/>
          <w:color w:val="auto"/>
          <w:kern w:val="1"/>
          <w:sz w:val="21"/>
          <w:szCs w:val="21"/>
          <w:highlight w:val="none"/>
        </w:rPr>
        <w:t>小型/微型企业（</w:t>
      </w:r>
      <w:r>
        <w:rPr>
          <w:rFonts w:hint="eastAsia" w:ascii="宋体" w:hAnsi="宋体" w:eastAsia="宋体" w:cs="宋体"/>
          <w:color w:val="auto"/>
          <w:kern w:val="1"/>
          <w:sz w:val="21"/>
          <w:szCs w:val="21"/>
          <w:highlight w:val="none"/>
        </w:rPr>
        <w:t>请将小微企业的《中小企业声明函》附后</w:t>
      </w:r>
      <w:r>
        <w:rPr>
          <w:rFonts w:hint="eastAsia" w:ascii="宋体" w:hAnsi="宋体" w:eastAsia="宋体" w:cs="宋体"/>
          <w:b/>
          <w:color w:val="auto"/>
          <w:kern w:val="1"/>
          <w:sz w:val="21"/>
          <w:szCs w:val="21"/>
          <w:highlight w:val="none"/>
        </w:rPr>
        <w:t>）</w:t>
      </w: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拟承担的工作和职责：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C6FA47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2AF4B2D">
      <w:pPr>
        <w:widowControl/>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4.上述接受分包工作的中小企业与分包企业或其他接受分包的中小企业之间不存在直接控股、管理关系。</w:t>
      </w:r>
    </w:p>
    <w:p w14:paraId="76656B9E">
      <w:pPr>
        <w:snapToGrid w:val="0"/>
        <w:spacing w:line="5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5.如中标，由</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与本项目采购人签订《政府采购合同》，同时，由</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与各接受分包供应商签订《分包合同》。</w:t>
      </w:r>
      <w:r>
        <w:rPr>
          <w:rFonts w:hint="eastAsia" w:ascii="宋体" w:hAnsi="宋体" w:eastAsia="宋体" w:cs="宋体"/>
          <w:color w:val="auto"/>
          <w:sz w:val="21"/>
          <w:szCs w:val="21"/>
          <w:highlight w:val="none"/>
          <w:u w:val="single"/>
        </w:rPr>
        <w:t>（投标人名称）</w:t>
      </w:r>
      <w:r>
        <w:rPr>
          <w:rFonts w:hint="eastAsia" w:ascii="宋体" w:hAnsi="宋体" w:eastAsia="宋体" w:cs="宋体"/>
          <w:color w:val="auto"/>
          <w:sz w:val="21"/>
          <w:szCs w:val="21"/>
          <w:highlight w:val="none"/>
        </w:rPr>
        <w:t>就采购项目和分包项目向采购人负责，接受分包供应商就分包项目承担责任。</w:t>
      </w:r>
    </w:p>
    <w:p w14:paraId="3F8AF910">
      <w:pPr>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三、本协议在自签署之日起生效，投标有效期内有效；如获中标资格，本协议有效期延续到《政府采购合同》履行完毕之日。</w:t>
      </w:r>
    </w:p>
    <w:p w14:paraId="5229FAD4">
      <w:pPr>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份，分包意向协议成员</w:t>
      </w:r>
      <w:r>
        <w:rPr>
          <w:rFonts w:hint="eastAsia" w:ascii="宋体" w:hAnsi="宋体" w:eastAsia="宋体" w:cs="宋体"/>
          <w:color w:val="auto"/>
          <w:kern w:val="1"/>
          <w:sz w:val="21"/>
          <w:szCs w:val="21"/>
          <w:highlight w:val="none"/>
        </w:rPr>
        <w:t>和招标人</w:t>
      </w:r>
      <w:r>
        <w:rPr>
          <w:rFonts w:hint="eastAsia" w:ascii="宋体" w:hAnsi="宋体" w:eastAsia="宋体" w:cs="宋体"/>
          <w:color w:val="auto"/>
          <w:sz w:val="21"/>
          <w:szCs w:val="21"/>
          <w:highlight w:val="none"/>
        </w:rPr>
        <w:t>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C8DAED4">
      <w:pPr>
        <w:snapToGrid w:val="0"/>
        <w:spacing w:line="360" w:lineRule="auto"/>
        <w:ind w:firstLine="576"/>
        <w:rPr>
          <w:rFonts w:hint="eastAsia" w:ascii="宋体" w:hAnsi="宋体" w:eastAsia="宋体" w:cs="宋体"/>
          <w:b/>
          <w:color w:val="auto"/>
          <w:sz w:val="21"/>
          <w:szCs w:val="21"/>
          <w:highlight w:val="none"/>
          <w:lang w:val="zh-CN"/>
        </w:rPr>
      </w:pPr>
    </w:p>
    <w:p w14:paraId="1C18CF1D">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投标人全称（盖单位公章）:</w:t>
      </w:r>
    </w:p>
    <w:p w14:paraId="7646FD74">
      <w:pPr>
        <w:snapToGrid w:val="0"/>
        <w:spacing w:line="5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法定代表人（签字或盖章）：</w:t>
      </w:r>
    </w:p>
    <w:p w14:paraId="49414379">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12775FE5">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接受分包供应商1名称（盖单位公章）:</w:t>
      </w:r>
    </w:p>
    <w:p w14:paraId="6A639F28">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（签字或盖章）:</w:t>
      </w:r>
    </w:p>
    <w:p w14:paraId="17BD72A2">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5E88B65D">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接受分包供应商2名称（盖单位公章）:</w:t>
      </w:r>
    </w:p>
    <w:p w14:paraId="613707D2">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（签字或盖章）:</w:t>
      </w:r>
    </w:p>
    <w:p w14:paraId="3B56869C">
      <w:pPr>
        <w:snapToGrid w:val="0"/>
        <w:spacing w:line="5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日期：</w:t>
      </w:r>
    </w:p>
    <w:p w14:paraId="10D04D3D">
      <w:pPr>
        <w:snapToGrid w:val="0"/>
        <w:spacing w:line="500" w:lineRule="exact"/>
        <w:ind w:firstLine="420"/>
        <w:rPr>
          <w:rFonts w:hint="eastAsia" w:hAnsi="宋体" w:cs="宋体"/>
          <w:color w:val="auto"/>
          <w:kern w:val="1"/>
          <w:sz w:val="21"/>
          <w:szCs w:val="21"/>
          <w:highlight w:val="none"/>
        </w:rPr>
      </w:pPr>
    </w:p>
    <w:p w14:paraId="0786A47B">
      <w:pPr>
        <w:snapToGrid w:val="0"/>
        <w:spacing w:line="500" w:lineRule="exact"/>
        <w:ind w:firstLine="420"/>
        <w:rPr>
          <w:rFonts w:hAnsi="宋体" w:cs="宋体"/>
          <w:color w:val="auto"/>
          <w:kern w:val="1"/>
          <w:sz w:val="21"/>
          <w:szCs w:val="21"/>
          <w:highlight w:val="none"/>
        </w:rPr>
      </w:pPr>
    </w:p>
    <w:p w14:paraId="78CC50A6">
      <w:pPr>
        <w:rPr>
          <w:rFonts w:hAnsi="宋体" w:cs="宋体"/>
          <w:b/>
          <w:bCs/>
          <w:color w:val="auto"/>
          <w:sz w:val="24"/>
          <w:highlight w:val="none"/>
        </w:rPr>
      </w:pPr>
      <w:r>
        <w:rPr>
          <w:rFonts w:hint="eastAsia" w:hAnsi="宋体" w:cs="宋体"/>
          <w:color w:val="auto"/>
          <w:sz w:val="24"/>
          <w:highlight w:val="none"/>
        </w:rPr>
        <w:br w:type="page"/>
      </w:r>
      <w:r>
        <w:rPr>
          <w:rFonts w:hint="eastAsia" w:hAnsi="宋体" w:cs="宋体"/>
          <w:b/>
          <w:bCs/>
          <w:color w:val="auto"/>
          <w:sz w:val="24"/>
          <w:highlight w:val="none"/>
        </w:rPr>
        <w:t>（二）商务技术文件</w:t>
      </w:r>
    </w:p>
    <w:p w14:paraId="3984D48D">
      <w:pPr>
        <w:snapToGrid w:val="0"/>
        <w:spacing w:before="50" w:after="50"/>
        <w:rPr>
          <w:rFonts w:hAnsi="宋体" w:cs="宋体"/>
          <w:b/>
          <w:color w:val="auto"/>
          <w:sz w:val="24"/>
          <w:highlight w:val="none"/>
        </w:rPr>
      </w:pPr>
      <w:r>
        <w:rPr>
          <w:rFonts w:hint="eastAsia" w:hAnsi="宋体" w:cs="宋体"/>
          <w:b/>
          <w:bCs/>
          <w:color w:val="auto"/>
          <w:sz w:val="24"/>
          <w:highlight w:val="none"/>
        </w:rPr>
        <w:t>商务技术文件目录</w:t>
      </w:r>
    </w:p>
    <w:p w14:paraId="2C0538F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1C071E6B">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（2）投标人（或联合体投标人牵头单位）法定代表人身份证明、</w:t>
      </w:r>
      <w:r>
        <w:rPr>
          <w:rFonts w:hint="eastAsia" w:hAnsi="宋体" w:cs="宋体"/>
          <w:color w:val="auto"/>
          <w:sz w:val="21"/>
          <w:highlight w:val="none"/>
        </w:rPr>
        <w:t>法定代表人授权委托书</w:t>
      </w:r>
      <w:r>
        <w:rPr>
          <w:rFonts w:hint="eastAsia" w:hAnsi="宋体" w:cs="宋体"/>
          <w:color w:val="auto"/>
          <w:sz w:val="21"/>
          <w:szCs w:val="21"/>
          <w:highlight w:val="none"/>
        </w:rPr>
        <w:t>（格式见附件，如法定代表人本人参加的，则仅须提供法定代表人身份证明及法定代表人身份证复印件）；</w:t>
      </w:r>
    </w:p>
    <w:p w14:paraId="5197611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）投标人（包括投标联合体各方）情况表（格式见附件）；</w:t>
      </w:r>
    </w:p>
    <w:p w14:paraId="324A62A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）投标人（包括投标联合体各方）202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年1月1日以来类似案例成功的业绩（须提供对应采购合同复印件等相关资料）（加盖公章）（格式见附件）；</w:t>
      </w:r>
    </w:p>
    <w:p w14:paraId="72185EAD">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）投标人（包括投标联合体各方）拟投入本项目的服务人员配置表（格式见附件）；</w:t>
      </w:r>
    </w:p>
    <w:p w14:paraId="6A98D662">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）服务要求响应表（格式见附件）；</w:t>
      </w:r>
    </w:p>
    <w:p w14:paraId="2E76288C">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val="zh-TW"/>
        </w:rPr>
        <w:t>质量保证措施</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rPr>
        <w:t>服务承诺</w:t>
      </w:r>
      <w:r>
        <w:rPr>
          <w:rFonts w:hint="eastAsia" w:ascii="宋体" w:hAnsi="宋体" w:eastAsia="宋体" w:cs="宋体"/>
          <w:color w:val="auto"/>
          <w:sz w:val="21"/>
          <w:szCs w:val="21"/>
          <w:highlight w:val="none"/>
          <w:lang w:val="en-US" w:eastAsia="zh-CN"/>
        </w:rPr>
        <w:t>等</w:t>
      </w:r>
      <w:r>
        <w:rPr>
          <w:rFonts w:hint="eastAsia" w:hAnsi="宋体" w:cs="宋体"/>
          <w:color w:val="auto"/>
          <w:sz w:val="21"/>
          <w:szCs w:val="21"/>
          <w:highlight w:val="none"/>
        </w:rPr>
        <w:t>；</w:t>
      </w:r>
    </w:p>
    <w:p w14:paraId="0361523A">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）投标人（包括投标联合体各方）对本项目的合理化建议和改进措施；</w:t>
      </w:r>
    </w:p>
    <w:p w14:paraId="10AD5D26">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）评分规则中涉及的</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投标人（包括投标联合体各方）认为需要说明的其他文件和说明（格式略）。</w:t>
      </w: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617ED51F">
      <w:pPr>
        <w:snapToGrid w:val="0"/>
        <w:spacing w:before="50" w:after="50"/>
        <w:rPr>
          <w:rFonts w:hAnsi="宋体" w:cs="宋体"/>
          <w:b/>
          <w:color w:val="auto"/>
          <w:sz w:val="24"/>
          <w:highlight w:val="none"/>
        </w:rPr>
      </w:pPr>
    </w:p>
    <w:p w14:paraId="7CA50F57">
      <w:pPr>
        <w:snapToGrid w:val="0"/>
        <w:spacing w:before="50" w:after="50"/>
        <w:rPr>
          <w:rFonts w:hAnsi="宋体" w:cs="宋体"/>
          <w:b/>
          <w:color w:val="auto"/>
          <w:sz w:val="24"/>
          <w:highlight w:val="none"/>
        </w:rPr>
      </w:pPr>
    </w:p>
    <w:p w14:paraId="577BE0B3">
      <w:pPr>
        <w:snapToGrid w:val="0"/>
        <w:spacing w:before="50" w:after="50"/>
        <w:rPr>
          <w:rFonts w:hAnsi="宋体" w:cs="宋体"/>
          <w:b/>
          <w:color w:val="auto"/>
          <w:sz w:val="24"/>
          <w:highlight w:val="none"/>
        </w:rPr>
      </w:pPr>
    </w:p>
    <w:p w14:paraId="794032CA">
      <w:pPr>
        <w:snapToGrid w:val="0"/>
        <w:spacing w:before="50" w:after="50"/>
        <w:rPr>
          <w:rFonts w:hint="eastAsia" w:hAnsi="宋体" w:cs="宋体"/>
          <w:b/>
          <w:color w:val="auto"/>
          <w:sz w:val="24"/>
          <w:highlight w:val="none"/>
        </w:rPr>
      </w:pPr>
    </w:p>
    <w:p w14:paraId="32AB9BFF">
      <w:pPr>
        <w:snapToGrid w:val="0"/>
        <w:spacing w:before="50" w:after="50"/>
        <w:rPr>
          <w:rFonts w:hint="eastAsia" w:hAnsi="宋体" w:cs="宋体"/>
          <w:b/>
          <w:color w:val="auto"/>
          <w:sz w:val="24"/>
          <w:highlight w:val="none"/>
        </w:rPr>
      </w:pPr>
    </w:p>
    <w:p w14:paraId="036727C3">
      <w:pPr>
        <w:snapToGrid w:val="0"/>
        <w:spacing w:before="50" w:after="50"/>
        <w:rPr>
          <w:rFonts w:hint="eastAsia" w:hAnsi="宋体" w:cs="宋体"/>
          <w:b/>
          <w:color w:val="auto"/>
          <w:sz w:val="24"/>
          <w:highlight w:val="none"/>
        </w:rPr>
      </w:pPr>
    </w:p>
    <w:p w14:paraId="2C3B8718">
      <w:pPr>
        <w:snapToGrid w:val="0"/>
        <w:spacing w:before="50" w:after="50"/>
        <w:rPr>
          <w:rFonts w:hint="eastAsia" w:hAnsi="宋体" w:cs="宋体"/>
          <w:b/>
          <w:color w:val="auto"/>
          <w:sz w:val="24"/>
          <w:highlight w:val="none"/>
        </w:rPr>
      </w:pPr>
    </w:p>
    <w:p w14:paraId="67C9CC17">
      <w:pPr>
        <w:snapToGrid w:val="0"/>
        <w:spacing w:before="50" w:after="50"/>
        <w:rPr>
          <w:rFonts w:hint="eastAsia" w:hAnsi="宋体" w:cs="宋体"/>
          <w:b/>
          <w:color w:val="auto"/>
          <w:sz w:val="24"/>
          <w:highlight w:val="none"/>
        </w:rPr>
      </w:pPr>
    </w:p>
    <w:p w14:paraId="41089C08">
      <w:pPr>
        <w:snapToGrid w:val="0"/>
        <w:spacing w:before="50" w:after="50"/>
        <w:rPr>
          <w:rFonts w:hint="eastAsia" w:hAnsi="宋体" w:cs="宋体"/>
          <w:b/>
          <w:color w:val="auto"/>
          <w:sz w:val="24"/>
          <w:highlight w:val="none"/>
        </w:rPr>
      </w:pPr>
      <w:r>
        <w:rPr>
          <w:rFonts w:hint="eastAsia" w:hAnsi="宋体" w:cs="宋体"/>
          <w:b/>
          <w:color w:val="auto"/>
          <w:sz w:val="24"/>
          <w:highlight w:val="none"/>
        </w:rPr>
        <w:t>1.</w:t>
      </w:r>
      <w:r>
        <w:rPr>
          <w:rFonts w:hint="eastAsia" w:hAnsi="宋体" w:cs="宋体"/>
          <w:b/>
          <w:color w:val="auto"/>
          <w:sz w:val="24"/>
          <w:highlight w:val="none"/>
          <w:lang w:val="en-US" w:eastAsia="zh-CN"/>
        </w:rPr>
        <w:t>投标人</w:t>
      </w:r>
      <w:r>
        <w:rPr>
          <w:rFonts w:hint="eastAsia" w:hAnsi="宋体" w:cs="宋体"/>
          <w:b/>
          <w:color w:val="auto"/>
          <w:sz w:val="24"/>
          <w:highlight w:val="none"/>
        </w:rPr>
        <w:t>技术商务标自评得分汇总表（格式参照技术商务评分表，需标注对应页码）</w:t>
      </w:r>
    </w:p>
    <w:tbl>
      <w:tblPr>
        <w:tblStyle w:val="47"/>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3E55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noWrap w:val="0"/>
            <w:vAlign w:val="center"/>
          </w:tcPr>
          <w:p w14:paraId="6AC4C29B">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1485" w:type="dxa"/>
            <w:noWrap w:val="0"/>
            <w:vAlign w:val="center"/>
          </w:tcPr>
          <w:p w14:paraId="606F9338">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评分项目</w:t>
            </w:r>
          </w:p>
        </w:tc>
        <w:tc>
          <w:tcPr>
            <w:tcW w:w="2190" w:type="dxa"/>
            <w:noWrap w:val="0"/>
            <w:vAlign w:val="center"/>
          </w:tcPr>
          <w:p w14:paraId="0FA5B1F5">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评标要点及说明</w:t>
            </w:r>
          </w:p>
        </w:tc>
        <w:tc>
          <w:tcPr>
            <w:tcW w:w="766" w:type="dxa"/>
            <w:noWrap w:val="0"/>
            <w:vAlign w:val="center"/>
          </w:tcPr>
          <w:p w14:paraId="037C1A0F">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分值</w:t>
            </w:r>
          </w:p>
        </w:tc>
        <w:tc>
          <w:tcPr>
            <w:tcW w:w="1110" w:type="dxa"/>
            <w:noWrap w:val="0"/>
            <w:vAlign w:val="center"/>
          </w:tcPr>
          <w:p w14:paraId="25C9D39B">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自评分</w:t>
            </w:r>
          </w:p>
        </w:tc>
        <w:tc>
          <w:tcPr>
            <w:tcW w:w="1937" w:type="dxa"/>
            <w:noWrap w:val="0"/>
            <w:vAlign w:val="center"/>
          </w:tcPr>
          <w:p w14:paraId="298C7C1E">
            <w:pPr>
              <w:widowControl/>
              <w:autoSpaceDE/>
              <w:autoSpaceDN/>
              <w:adjustRightInd/>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投标文件响应页码</w:t>
            </w:r>
          </w:p>
        </w:tc>
      </w:tr>
      <w:tr w14:paraId="4EF0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noWrap w:val="0"/>
            <w:vAlign w:val="center"/>
          </w:tcPr>
          <w:p w14:paraId="447B078F">
            <w:pPr>
              <w:widowControl/>
              <w:autoSpaceDE/>
              <w:autoSpaceDN/>
              <w:adjustRightInd/>
              <w:snapToGrid w:val="0"/>
              <w:spacing w:line="460" w:lineRule="exact"/>
              <w:jc w:val="center"/>
              <w:rPr>
                <w:rFonts w:hint="eastAsia" w:hAnsi="宋体" w:cs="宋体"/>
                <w:color w:val="auto"/>
                <w:sz w:val="21"/>
                <w:szCs w:val="21"/>
                <w:highlight w:val="none"/>
              </w:rPr>
            </w:pPr>
          </w:p>
        </w:tc>
        <w:tc>
          <w:tcPr>
            <w:tcW w:w="1485" w:type="dxa"/>
            <w:noWrap w:val="0"/>
            <w:vAlign w:val="center"/>
          </w:tcPr>
          <w:p w14:paraId="73F2752F">
            <w:pPr>
              <w:widowControl/>
              <w:autoSpaceDE/>
              <w:autoSpaceDN/>
              <w:adjustRightInd/>
              <w:snapToGrid w:val="0"/>
              <w:spacing w:line="460" w:lineRule="exact"/>
              <w:jc w:val="center"/>
              <w:rPr>
                <w:rFonts w:hint="eastAsia" w:hAnsi="宋体" w:cs="宋体"/>
                <w:color w:val="auto"/>
                <w:sz w:val="21"/>
                <w:szCs w:val="21"/>
                <w:highlight w:val="none"/>
              </w:rPr>
            </w:pPr>
          </w:p>
        </w:tc>
        <w:tc>
          <w:tcPr>
            <w:tcW w:w="2190" w:type="dxa"/>
            <w:noWrap w:val="0"/>
            <w:vAlign w:val="center"/>
          </w:tcPr>
          <w:p w14:paraId="3E20C2CF">
            <w:pPr>
              <w:widowControl/>
              <w:autoSpaceDE/>
              <w:autoSpaceDN/>
              <w:adjustRightInd/>
              <w:snapToGrid w:val="0"/>
              <w:spacing w:line="460" w:lineRule="exact"/>
              <w:jc w:val="center"/>
              <w:rPr>
                <w:rFonts w:hint="eastAsia" w:hAnsi="宋体" w:cs="宋体"/>
                <w:color w:val="auto"/>
                <w:sz w:val="21"/>
                <w:szCs w:val="21"/>
                <w:highlight w:val="none"/>
              </w:rPr>
            </w:pPr>
          </w:p>
        </w:tc>
        <w:tc>
          <w:tcPr>
            <w:tcW w:w="766" w:type="dxa"/>
            <w:noWrap w:val="0"/>
            <w:vAlign w:val="center"/>
          </w:tcPr>
          <w:p w14:paraId="2C8AA9BF">
            <w:pPr>
              <w:widowControl/>
              <w:autoSpaceDE/>
              <w:autoSpaceDN/>
              <w:adjustRightInd/>
              <w:snapToGrid w:val="0"/>
              <w:spacing w:line="460" w:lineRule="exact"/>
              <w:jc w:val="center"/>
              <w:rPr>
                <w:rFonts w:hint="eastAsia" w:hAnsi="宋体" w:cs="宋体"/>
                <w:color w:val="auto"/>
                <w:sz w:val="21"/>
                <w:szCs w:val="21"/>
                <w:highlight w:val="none"/>
              </w:rPr>
            </w:pPr>
          </w:p>
        </w:tc>
        <w:tc>
          <w:tcPr>
            <w:tcW w:w="1110" w:type="dxa"/>
            <w:noWrap w:val="0"/>
            <w:vAlign w:val="center"/>
          </w:tcPr>
          <w:p w14:paraId="1AE0BDF9">
            <w:pPr>
              <w:widowControl/>
              <w:autoSpaceDE/>
              <w:autoSpaceDN/>
              <w:adjustRightInd/>
              <w:snapToGrid w:val="0"/>
              <w:spacing w:line="460" w:lineRule="exact"/>
              <w:jc w:val="center"/>
              <w:rPr>
                <w:rFonts w:hint="eastAsia" w:hAnsi="宋体" w:cs="宋体"/>
                <w:color w:val="auto"/>
                <w:sz w:val="21"/>
                <w:szCs w:val="21"/>
                <w:highlight w:val="none"/>
              </w:rPr>
            </w:pPr>
          </w:p>
        </w:tc>
        <w:tc>
          <w:tcPr>
            <w:tcW w:w="1937" w:type="dxa"/>
            <w:noWrap w:val="0"/>
            <w:vAlign w:val="center"/>
          </w:tcPr>
          <w:p w14:paraId="691AE6E2">
            <w:pPr>
              <w:widowControl/>
              <w:autoSpaceDE/>
              <w:autoSpaceDN/>
              <w:adjustRightInd/>
              <w:snapToGrid w:val="0"/>
              <w:spacing w:line="460" w:lineRule="exact"/>
              <w:jc w:val="center"/>
              <w:rPr>
                <w:rFonts w:hint="eastAsia" w:hAnsi="宋体" w:cs="宋体"/>
                <w:color w:val="auto"/>
                <w:sz w:val="21"/>
                <w:szCs w:val="21"/>
                <w:highlight w:val="none"/>
              </w:rPr>
            </w:pPr>
          </w:p>
        </w:tc>
      </w:tr>
    </w:tbl>
    <w:p w14:paraId="6AF3B417">
      <w:pPr>
        <w:snapToGrid w:val="0"/>
        <w:spacing w:before="50" w:after="50"/>
        <w:rPr>
          <w:rFonts w:hint="eastAsia" w:hAnsi="宋体" w:cs="宋体"/>
          <w:color w:val="auto"/>
          <w:sz w:val="24"/>
          <w:highlight w:val="none"/>
        </w:rPr>
      </w:pPr>
    </w:p>
    <w:p w14:paraId="2455FAC4">
      <w:pPr>
        <w:spacing w:line="500" w:lineRule="exact"/>
        <w:ind w:firstLine="480"/>
        <w:jc w:val="center"/>
        <w:rPr>
          <w:rFonts w:hint="eastAsia" w:hAnsi="宋体" w:cs="宋体"/>
          <w:b/>
          <w:color w:val="auto"/>
          <w:sz w:val="21"/>
          <w:szCs w:val="21"/>
          <w:highlight w:val="none"/>
        </w:rPr>
      </w:pPr>
      <w:r>
        <w:rPr>
          <w:rFonts w:hint="eastAsia" w:hAnsi="宋体" w:cs="宋体"/>
          <w:b/>
          <w:color w:val="auto"/>
          <w:sz w:val="24"/>
          <w:szCs w:val="22"/>
          <w:highlight w:val="none"/>
        </w:rPr>
        <w:br w:type="page"/>
      </w:r>
      <w:r>
        <w:rPr>
          <w:rFonts w:hint="eastAsia" w:hAnsi="宋体" w:cs="宋体"/>
          <w:b/>
          <w:color w:val="auto"/>
          <w:sz w:val="21"/>
          <w:szCs w:val="21"/>
          <w:highlight w:val="none"/>
        </w:rPr>
        <w:t>2.投标人（或联合体投标人牵头单位）法定代表人身份证明、</w:t>
      </w:r>
      <w:r>
        <w:rPr>
          <w:rFonts w:hint="eastAsia" w:hAnsi="宋体" w:cs="宋体"/>
          <w:b/>
          <w:color w:val="auto"/>
          <w:sz w:val="21"/>
          <w:highlight w:val="none"/>
        </w:rPr>
        <w:t>法定代表人授权委托书</w:t>
      </w:r>
    </w:p>
    <w:p w14:paraId="774147F7">
      <w:pPr>
        <w:spacing w:line="500" w:lineRule="exact"/>
        <w:ind w:firstLine="480"/>
        <w:jc w:val="center"/>
        <w:rPr>
          <w:rFonts w:hint="eastAsia" w:hAnsi="宋体" w:cs="宋体"/>
          <w:b/>
          <w:color w:val="auto"/>
          <w:sz w:val="21"/>
          <w:szCs w:val="21"/>
          <w:highlight w:val="none"/>
        </w:rPr>
      </w:pPr>
      <w:r>
        <w:rPr>
          <w:rFonts w:hint="eastAsia" w:hAnsi="宋体" w:cs="宋体"/>
          <w:b/>
          <w:color w:val="auto"/>
          <w:sz w:val="21"/>
          <w:szCs w:val="21"/>
          <w:highlight w:val="none"/>
        </w:rPr>
        <w:t>法定代表人授权委托书</w:t>
      </w:r>
    </w:p>
    <w:p w14:paraId="774B609B">
      <w:pPr>
        <w:spacing w:line="500" w:lineRule="exact"/>
        <w:ind w:firstLine="480"/>
        <w:jc w:val="both"/>
        <w:rPr>
          <w:rFonts w:hint="eastAsia" w:hAnsi="宋体" w:cs="宋体"/>
          <w:color w:val="auto"/>
          <w:sz w:val="21"/>
          <w:szCs w:val="21"/>
          <w:highlight w:val="none"/>
        </w:rPr>
      </w:pPr>
    </w:p>
    <w:p w14:paraId="71EBFD48">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（招标采购单位名称）：</w:t>
      </w:r>
    </w:p>
    <w:p w14:paraId="43FD2105">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（投标人名称，或联合体投标人牵头单位的名称）的法定代表人，现授权委托本单位在职职工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（姓名）以我方的名义参加</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项目的投标活动，并代表我方全权办理针对上述项目的投标、开标、评标、签约等具体事务和签署相关文件。</w:t>
      </w:r>
    </w:p>
    <w:p w14:paraId="12BD2825">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我方对被授权人的签名事项负全部责任。</w:t>
      </w:r>
    </w:p>
    <w:p w14:paraId="70A999A5">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u w:val="single"/>
        </w:rPr>
        <w:t>在撤销授权的书面通知以前，本授权书一直有效。</w:t>
      </w:r>
      <w:r>
        <w:rPr>
          <w:rFonts w:hint="eastAsia" w:hAnsi="宋体" w:cs="宋体"/>
          <w:color w:val="auto"/>
          <w:sz w:val="21"/>
          <w:szCs w:val="21"/>
          <w:highlight w:val="none"/>
        </w:rPr>
        <w:t>被授权人在授权书有效期内签署的所有文件不因授权的撤销而失效。</w:t>
      </w:r>
    </w:p>
    <w:p w14:paraId="22037ADF">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被授权人无转委托权，特此委托。</w:t>
      </w:r>
    </w:p>
    <w:p w14:paraId="57D02F70">
      <w:pPr>
        <w:spacing w:line="500" w:lineRule="exact"/>
        <w:ind w:firstLine="480"/>
        <w:jc w:val="both"/>
        <w:rPr>
          <w:rFonts w:hint="eastAsia" w:hAnsi="宋体" w:cs="宋体"/>
          <w:color w:val="auto"/>
          <w:sz w:val="21"/>
          <w:szCs w:val="21"/>
          <w:highlight w:val="none"/>
        </w:rPr>
      </w:pPr>
    </w:p>
    <w:p w14:paraId="63F9C5C8">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被授权人（签字或盖章）：                法定代表人（签字或盖章）：          </w:t>
      </w:r>
    </w:p>
    <w:p w14:paraId="0F7D12A9">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职务：                                   职务：           </w:t>
      </w:r>
    </w:p>
    <w:p w14:paraId="7D3D0E9D">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被授权人身份证号码：                              </w:t>
      </w:r>
    </w:p>
    <w:p w14:paraId="095A8C2E">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投标人（或联合体投标人的牵头单位）公章：</w:t>
      </w:r>
    </w:p>
    <w:p w14:paraId="0E3E5832">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年    月    日</w:t>
      </w:r>
    </w:p>
    <w:p w14:paraId="454C019F">
      <w:pPr>
        <w:spacing w:line="500" w:lineRule="exact"/>
        <w:ind w:firstLine="2520" w:firstLineChars="1200"/>
        <w:jc w:val="both"/>
        <w:rPr>
          <w:rFonts w:hint="eastAsia" w:hAnsi="宋体" w:cs="宋体"/>
          <w:color w:val="auto"/>
          <w:sz w:val="21"/>
          <w:szCs w:val="21"/>
          <w:highlight w:val="none"/>
          <w:u w:val="single"/>
        </w:rPr>
      </w:pPr>
    </w:p>
    <w:p w14:paraId="415F9E79">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法定代表人身份证（正反面）复印件：</w:t>
      </w:r>
    </w:p>
    <w:p w14:paraId="4F45CF87">
      <w:pPr>
        <w:spacing w:line="500" w:lineRule="exact"/>
        <w:ind w:firstLine="480"/>
        <w:jc w:val="both"/>
        <w:rPr>
          <w:rFonts w:hint="eastAsia" w:hAnsi="宋体" w:cs="宋体"/>
          <w:color w:val="auto"/>
          <w:sz w:val="21"/>
          <w:szCs w:val="21"/>
          <w:highlight w:val="none"/>
        </w:rPr>
      </w:pPr>
    </w:p>
    <w:p w14:paraId="514EAC1D">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授权代表身份证（正反面）复印件：</w:t>
      </w:r>
    </w:p>
    <w:p w14:paraId="59727D46">
      <w:pPr>
        <w:spacing w:line="500" w:lineRule="exact"/>
        <w:jc w:val="both"/>
        <w:rPr>
          <w:rFonts w:hint="eastAsia" w:hAnsi="宋体" w:cs="宋体"/>
          <w:color w:val="auto"/>
          <w:sz w:val="21"/>
          <w:szCs w:val="21"/>
          <w:highlight w:val="none"/>
          <w:u w:val="single"/>
        </w:rPr>
      </w:pPr>
    </w:p>
    <w:p w14:paraId="28637B9A">
      <w:pPr>
        <w:pStyle w:val="26"/>
        <w:spacing w:line="500" w:lineRule="exact"/>
        <w:rPr>
          <w:rFonts w:hint="eastAsia" w:ascii="宋体" w:hAnsi="宋体" w:cs="宋体"/>
          <w:color w:val="auto"/>
          <w:sz w:val="21"/>
          <w:highlight w:val="none"/>
          <w:u w:val="single"/>
        </w:rPr>
      </w:pPr>
    </w:p>
    <w:p w14:paraId="6CE08A37">
      <w:pPr>
        <w:widowControl/>
        <w:autoSpaceDE/>
        <w:autoSpaceDN/>
        <w:adjustRightInd/>
        <w:jc w:val="center"/>
        <w:rPr>
          <w:rFonts w:hint="eastAsia" w:hAnsi="宋体" w:cs="宋体"/>
          <w:b/>
          <w:bCs/>
          <w:color w:val="auto"/>
          <w:sz w:val="28"/>
          <w:szCs w:val="28"/>
          <w:highlight w:val="none"/>
        </w:rPr>
      </w:pPr>
      <w:r>
        <w:rPr>
          <w:rFonts w:hint="eastAsia" w:hAnsi="宋体" w:cs="宋体"/>
          <w:b/>
          <w:bCs/>
          <w:color w:val="auto"/>
          <w:sz w:val="28"/>
          <w:szCs w:val="28"/>
          <w:highlight w:val="none"/>
        </w:rPr>
        <w:br w:type="page"/>
      </w:r>
      <w:r>
        <w:rPr>
          <w:rFonts w:hint="eastAsia" w:hAnsi="宋体" w:cs="宋体"/>
          <w:b/>
          <w:color w:val="auto"/>
          <w:sz w:val="21"/>
          <w:szCs w:val="21"/>
          <w:highlight w:val="none"/>
        </w:rPr>
        <w:t>法定代表人身份证明</w:t>
      </w:r>
    </w:p>
    <w:p w14:paraId="49472625">
      <w:pPr>
        <w:widowControl/>
        <w:autoSpaceDE/>
        <w:autoSpaceDN/>
        <w:adjustRightInd/>
        <w:snapToGrid w:val="0"/>
        <w:spacing w:line="480" w:lineRule="auto"/>
        <w:rPr>
          <w:rFonts w:hint="eastAsia" w:hAnsi="宋体" w:cs="宋体"/>
          <w:color w:val="auto"/>
          <w:sz w:val="24"/>
          <w:szCs w:val="24"/>
          <w:highlight w:val="none"/>
        </w:rPr>
      </w:pPr>
      <w:r>
        <w:rPr>
          <w:rFonts w:hint="eastAsia" w:hAnsi="宋体" w:cs="宋体"/>
          <w:color w:val="auto"/>
          <w:sz w:val="24"/>
          <w:szCs w:val="24"/>
          <w:highlight w:val="none"/>
        </w:rPr>
        <w:t>（采购单位、代理机构）：</w:t>
      </w:r>
    </w:p>
    <w:p w14:paraId="3A343249">
      <w:pPr>
        <w:widowControl/>
        <w:autoSpaceDE/>
        <w:autoSpaceDN/>
        <w:adjustRightInd/>
        <w:snapToGrid w:val="0"/>
        <w:spacing w:line="480" w:lineRule="auto"/>
        <w:ind w:firstLine="1920" w:firstLineChars="800"/>
        <w:rPr>
          <w:rFonts w:hint="eastAsia" w:hAnsi="宋体" w:cs="宋体"/>
          <w:color w:val="auto"/>
          <w:sz w:val="24"/>
          <w:szCs w:val="24"/>
          <w:highlight w:val="none"/>
        </w:rPr>
      </w:pPr>
    </w:p>
    <w:p w14:paraId="7140A77F">
      <w:pPr>
        <w:widowControl/>
        <w:autoSpaceDE/>
        <w:autoSpaceDN/>
        <w:adjustRightInd/>
        <w:snapToGrid w:val="0"/>
        <w:spacing w:line="480" w:lineRule="auto"/>
        <w:ind w:left="956" w:leftChars="140" w:hanging="480" w:hanging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（投标单位全称，或联合体投标人牵头单位的名称）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的法定代表人。</w:t>
      </w:r>
    </w:p>
    <w:p w14:paraId="019A6C21">
      <w:pPr>
        <w:widowControl/>
        <w:autoSpaceDE/>
        <w:autoSpaceDN/>
        <w:adjustRightInd/>
        <w:snapToGrid w:val="0"/>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791683DD">
      <w:pPr>
        <w:widowControl/>
        <w:autoSpaceDE/>
        <w:autoSpaceDN/>
        <w:adjustRightInd/>
        <w:snapToGrid w:val="0"/>
        <w:spacing w:line="480" w:lineRule="auto"/>
        <w:rPr>
          <w:rFonts w:hint="eastAsia" w:hAnsi="宋体" w:cs="宋体"/>
          <w:color w:val="auto"/>
          <w:sz w:val="24"/>
          <w:szCs w:val="24"/>
          <w:highlight w:val="none"/>
        </w:rPr>
      </w:pPr>
    </w:p>
    <w:p w14:paraId="04551C6E">
      <w:pPr>
        <w:widowControl/>
        <w:autoSpaceDE/>
        <w:autoSpaceDN/>
        <w:adjustRightInd/>
        <w:snapToGrid w:val="0"/>
        <w:spacing w:line="480" w:lineRule="auto"/>
        <w:rPr>
          <w:rFonts w:hint="eastAsia" w:hAnsi="宋体" w:cs="宋体"/>
          <w:color w:val="auto"/>
          <w:sz w:val="24"/>
          <w:szCs w:val="24"/>
          <w:highlight w:val="none"/>
        </w:rPr>
      </w:pPr>
      <w:r>
        <w:rPr>
          <w:rFonts w:hint="eastAsia" w:hAnsi="宋体" w:cs="宋体"/>
          <w:color w:val="auto"/>
          <w:sz w:val="24"/>
          <w:szCs w:val="24"/>
          <w:highlight w:val="none"/>
        </w:rPr>
        <w:t>　　　　　　　　　　</w:t>
      </w:r>
    </w:p>
    <w:p w14:paraId="4D8571BC">
      <w:pPr>
        <w:widowControl/>
        <w:autoSpaceDE/>
        <w:autoSpaceDN/>
        <w:adjustRightInd/>
        <w:snapToGrid w:val="0"/>
        <w:spacing w:line="480" w:lineRule="auto"/>
        <w:ind w:firstLine="240" w:firstLineChars="100"/>
        <w:rPr>
          <w:rFonts w:hint="eastAsia" w:hAnsi="宋体" w:cs="宋体"/>
          <w:color w:val="auto"/>
          <w:sz w:val="24"/>
          <w:szCs w:val="24"/>
          <w:highlight w:val="none"/>
        </w:rPr>
      </w:pPr>
      <w:r>
        <w:rPr>
          <w:rFonts w:hint="eastAsia" w:hAnsi="宋体" w:cs="宋体"/>
          <w:color w:val="auto"/>
          <w:sz w:val="24"/>
          <w:szCs w:val="24"/>
          <w:highlight w:val="none"/>
        </w:rPr>
        <w:t>投标人（或联合体投标人的牵头单位）：</w:t>
      </w:r>
      <w:r>
        <w:rPr>
          <w:rFonts w:hint="eastAsia" w:hAnsi="宋体" w:cs="宋体"/>
          <w:color w:val="auto"/>
          <w:sz w:val="24"/>
          <w:szCs w:val="24"/>
          <w:highlight w:val="none"/>
          <w:vertAlign w:val="subscript"/>
        </w:rPr>
        <w:t>　</w:t>
      </w:r>
      <w:r>
        <w:rPr>
          <w:rFonts w:hint="eastAsia" w:hAnsi="宋体" w:cs="宋体"/>
          <w:color w:val="auto"/>
          <w:sz w:val="24"/>
          <w:szCs w:val="24"/>
          <w:highlight w:val="none"/>
          <w:u w:val="single"/>
        </w:rPr>
        <w:t>　                　</w:t>
      </w:r>
      <w:r>
        <w:rPr>
          <w:rFonts w:hint="eastAsia" w:hAnsi="宋体" w:cs="宋体"/>
          <w:color w:val="auto"/>
          <w:sz w:val="24"/>
          <w:szCs w:val="24"/>
          <w:highlight w:val="none"/>
        </w:rPr>
        <w:t>（单位公章）</w:t>
      </w:r>
    </w:p>
    <w:p w14:paraId="496A2150">
      <w:pPr>
        <w:widowControl/>
        <w:autoSpaceDE/>
        <w:autoSpaceDN/>
        <w:adjustRightInd/>
        <w:snapToGrid w:val="0"/>
        <w:spacing w:line="48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日期：　</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413F7050">
      <w:pPr>
        <w:pStyle w:val="46"/>
        <w:autoSpaceDE/>
        <w:autoSpaceDN/>
        <w:snapToGrid w:val="0"/>
        <w:spacing w:after="0" w:line="480" w:lineRule="auto"/>
        <w:ind w:left="0" w:leftChars="0" w:firstLine="0"/>
        <w:rPr>
          <w:rFonts w:hint="eastAsia"/>
          <w:color w:val="auto"/>
          <w:highlight w:val="none"/>
        </w:rPr>
      </w:pPr>
    </w:p>
    <w:p w14:paraId="154F086F">
      <w:pPr>
        <w:pStyle w:val="46"/>
        <w:ind w:left="0" w:leftChars="0" w:firstLine="0"/>
        <w:rPr>
          <w:rFonts w:hint="eastAsia"/>
          <w:color w:val="auto"/>
          <w:highlight w:val="none"/>
        </w:rPr>
      </w:pPr>
    </w:p>
    <w:p w14:paraId="275C24B4">
      <w:pPr>
        <w:pStyle w:val="46"/>
        <w:ind w:left="0" w:leftChars="0" w:firstLine="0"/>
        <w:rPr>
          <w:rFonts w:hint="eastAsia"/>
          <w:color w:val="auto"/>
          <w:highlight w:val="none"/>
        </w:rPr>
      </w:pPr>
    </w:p>
    <w:p w14:paraId="5F4428E4">
      <w:pPr>
        <w:widowControl/>
        <w:snapToGrid w:val="0"/>
        <w:spacing w:line="400" w:lineRule="exact"/>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法定代表人身份证（正反面）：</w:t>
      </w:r>
    </w:p>
    <w:p w14:paraId="3EC88B06">
      <w:pPr>
        <w:snapToGrid w:val="0"/>
        <w:spacing w:before="50" w:after="50"/>
        <w:jc w:val="center"/>
        <w:rPr>
          <w:rFonts w:hint="eastAsia" w:hAnsi="宋体" w:cs="宋体"/>
          <w:b/>
          <w:color w:val="auto"/>
          <w:sz w:val="24"/>
          <w:szCs w:val="22"/>
          <w:highlight w:val="none"/>
        </w:rPr>
      </w:pPr>
    </w:p>
    <w:p w14:paraId="7828C558">
      <w:pPr>
        <w:snapToGrid w:val="0"/>
        <w:spacing w:before="50" w:after="50"/>
        <w:jc w:val="center"/>
        <w:rPr>
          <w:rFonts w:hint="eastAsia" w:hAnsi="宋体" w:cs="宋体"/>
          <w:b/>
          <w:color w:val="auto"/>
          <w:sz w:val="24"/>
          <w:szCs w:val="22"/>
          <w:highlight w:val="none"/>
        </w:rPr>
      </w:pPr>
      <w:r>
        <w:rPr>
          <w:rFonts w:hint="eastAsia" w:hAnsi="宋体" w:cs="宋体"/>
          <w:b/>
          <w:color w:val="auto"/>
          <w:sz w:val="24"/>
          <w:szCs w:val="22"/>
          <w:highlight w:val="none"/>
        </w:rPr>
        <w:br w:type="page"/>
      </w:r>
      <w:r>
        <w:rPr>
          <w:rFonts w:hint="eastAsia" w:hAnsi="宋体" w:cs="宋体"/>
          <w:b/>
          <w:color w:val="auto"/>
          <w:sz w:val="24"/>
          <w:szCs w:val="22"/>
          <w:highlight w:val="none"/>
          <w:lang w:val="en-US" w:eastAsia="zh-CN"/>
        </w:rPr>
        <w:t>3</w:t>
      </w:r>
      <w:r>
        <w:rPr>
          <w:rFonts w:hint="eastAsia" w:hAnsi="宋体" w:cs="宋体"/>
          <w:b/>
          <w:color w:val="auto"/>
          <w:sz w:val="24"/>
          <w:szCs w:val="22"/>
          <w:highlight w:val="none"/>
        </w:rPr>
        <w:t>.投标人（包括投标联合体各方）情况表</w:t>
      </w:r>
    </w:p>
    <w:tbl>
      <w:tblPr>
        <w:tblStyle w:val="47"/>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7B997CBA">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90F8E49">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0C40DEB5">
            <w:pPr>
              <w:spacing w:line="360" w:lineRule="auto"/>
              <w:rPr>
                <w:rFonts w:hint="eastAsia" w:hAnsi="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4F1762CA">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4A8FA3E2">
            <w:pPr>
              <w:spacing w:line="360" w:lineRule="auto"/>
              <w:rPr>
                <w:rFonts w:hint="eastAsia" w:hAnsi="宋体" w:cs="宋体"/>
                <w:color w:val="auto"/>
                <w:sz w:val="21"/>
                <w:szCs w:val="21"/>
                <w:highlight w:val="none"/>
              </w:rPr>
            </w:pPr>
          </w:p>
        </w:tc>
      </w:tr>
      <w:tr w14:paraId="56FC3244">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AE4D78A">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2389C5B6">
            <w:pPr>
              <w:spacing w:line="360" w:lineRule="auto"/>
              <w:rPr>
                <w:rFonts w:hint="eastAsia" w:hAnsi="宋体" w:cs="宋体"/>
                <w:color w:val="auto"/>
                <w:sz w:val="21"/>
                <w:szCs w:val="21"/>
                <w:highlight w:val="none"/>
              </w:rPr>
            </w:pPr>
          </w:p>
        </w:tc>
      </w:tr>
      <w:tr w14:paraId="31B2E053">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14ADD45">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0D89F0D4">
            <w:pPr>
              <w:spacing w:line="360" w:lineRule="auto"/>
              <w:rPr>
                <w:rFonts w:hint="eastAsia" w:hAnsi="宋体" w:cs="宋体"/>
                <w:color w:val="auto"/>
                <w:sz w:val="21"/>
                <w:szCs w:val="21"/>
                <w:highlight w:val="none"/>
              </w:rPr>
            </w:pPr>
          </w:p>
        </w:tc>
      </w:tr>
      <w:tr w14:paraId="46BE3113">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7208736">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231F8EDA">
            <w:pPr>
              <w:spacing w:line="360" w:lineRule="auto"/>
              <w:rPr>
                <w:rFonts w:hint="eastAsia" w:hAnsi="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5D5E0D80">
            <w:pPr>
              <w:spacing w:line="360" w:lineRule="auto"/>
              <w:rPr>
                <w:rFonts w:hint="eastAsia" w:hAnsi="宋体" w:cs="宋体"/>
                <w:color w:val="auto"/>
                <w:sz w:val="21"/>
                <w:szCs w:val="21"/>
                <w:highlight w:val="none"/>
              </w:rPr>
            </w:pPr>
            <w:r>
              <w:rPr>
                <w:rFonts w:hint="eastAsia" w:hAnsi="宋体" w:cs="宋体"/>
                <w:color w:val="auto"/>
                <w:sz w:val="21"/>
                <w:szCs w:val="21"/>
                <w:highlight w:val="none"/>
              </w:rPr>
              <w:t>固定资产净值：    （万元）</w:t>
            </w:r>
          </w:p>
        </w:tc>
      </w:tr>
      <w:tr w14:paraId="39F99144">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48C7979">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5107DF64">
            <w:pPr>
              <w:spacing w:line="360" w:lineRule="auto"/>
              <w:rPr>
                <w:rFonts w:hint="eastAsia" w:hAnsi="宋体" w:cs="宋体"/>
                <w:color w:val="auto"/>
                <w:sz w:val="21"/>
                <w:szCs w:val="21"/>
                <w:highlight w:val="none"/>
              </w:rPr>
            </w:pPr>
          </w:p>
        </w:tc>
      </w:tr>
      <w:tr w14:paraId="43B80C7C">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39AB098">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4B28BB48">
            <w:pPr>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姓名：          职务：           职称：</w:t>
            </w:r>
          </w:p>
        </w:tc>
      </w:tr>
      <w:tr w14:paraId="37EDE6D7">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BA59923">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1ABA25CB">
            <w:pPr>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  姓名：          职务：           职称： </w:t>
            </w:r>
          </w:p>
        </w:tc>
      </w:tr>
      <w:tr w14:paraId="69D2BD82">
        <w:tblPrEx>
          <w:tblCellMar>
            <w:top w:w="0" w:type="dxa"/>
            <w:left w:w="108" w:type="dxa"/>
            <w:bottom w:w="0" w:type="dxa"/>
            <w:right w:w="108" w:type="dxa"/>
          </w:tblCellMar>
        </w:tblPrEx>
        <w:trPr>
          <w:cantSplit/>
          <w:trHeight w:val="639"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887F185">
            <w:pPr>
              <w:jc w:val="center"/>
              <w:rPr>
                <w:rFonts w:hint="eastAsia" w:hAnsi="宋体" w:cs="宋体"/>
                <w:color w:val="auto"/>
                <w:sz w:val="21"/>
                <w:szCs w:val="21"/>
                <w:highlight w:val="none"/>
              </w:rPr>
            </w:pPr>
            <w:r>
              <w:rPr>
                <w:rFonts w:hint="eastAsia" w:hAnsi="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10C01D20">
            <w:pPr>
              <w:rPr>
                <w:rFonts w:hint="eastAsia" w:hAnsi="宋体" w:cs="宋体"/>
                <w:color w:val="auto"/>
                <w:sz w:val="21"/>
                <w:szCs w:val="21"/>
                <w:highlight w:val="none"/>
              </w:rPr>
            </w:pPr>
          </w:p>
        </w:tc>
      </w:tr>
      <w:tr w14:paraId="1A2124D6">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3047967">
            <w:pPr>
              <w:jc w:val="center"/>
              <w:rPr>
                <w:rFonts w:hint="eastAsia" w:hAnsi="宋体" w:cs="宋体"/>
                <w:color w:val="auto"/>
                <w:sz w:val="21"/>
                <w:szCs w:val="21"/>
                <w:highlight w:val="none"/>
              </w:rPr>
            </w:pPr>
            <w:r>
              <w:rPr>
                <w:rFonts w:hint="eastAsia" w:hAnsi="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64DFC075">
            <w:pPr>
              <w:rPr>
                <w:rFonts w:hint="eastAsia" w:hAnsi="宋体" w:cs="宋体"/>
                <w:color w:val="auto"/>
                <w:sz w:val="21"/>
                <w:szCs w:val="21"/>
                <w:highlight w:val="none"/>
              </w:rPr>
            </w:pPr>
          </w:p>
        </w:tc>
      </w:tr>
      <w:tr w14:paraId="6A5F316C">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E211996">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5FC715BC">
            <w:pPr>
              <w:spacing w:line="360" w:lineRule="auto"/>
              <w:rPr>
                <w:rFonts w:hint="eastAsia" w:hAnsi="宋体" w:cs="宋体"/>
                <w:color w:val="auto"/>
                <w:sz w:val="21"/>
                <w:szCs w:val="21"/>
                <w:highlight w:val="none"/>
              </w:rPr>
            </w:pPr>
            <w:r>
              <w:rPr>
                <w:rFonts w:hint="eastAsia" w:hAnsi="宋体" w:cs="宋体"/>
                <w:color w:val="auto"/>
                <w:sz w:val="21"/>
                <w:szCs w:val="21"/>
                <w:highlight w:val="none"/>
              </w:rPr>
              <w:t>地址：            邮编：           电话：</w:t>
            </w:r>
          </w:p>
          <w:p w14:paraId="6F8203E7">
            <w:pPr>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传真： </w:t>
            </w:r>
          </w:p>
        </w:tc>
      </w:tr>
      <w:tr w14:paraId="4455BA90">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8F6B4A5">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3A6426B1">
            <w:pPr>
              <w:spacing w:line="360" w:lineRule="auto"/>
              <w:rPr>
                <w:rFonts w:hint="eastAsia" w:hAnsi="宋体" w:cs="宋体"/>
                <w:color w:val="auto"/>
                <w:sz w:val="21"/>
                <w:szCs w:val="21"/>
                <w:highlight w:val="none"/>
              </w:rPr>
            </w:pPr>
            <w:r>
              <w:rPr>
                <w:rFonts w:hint="eastAsia" w:hAnsi="宋体" w:cs="宋体"/>
                <w:color w:val="auto"/>
                <w:sz w:val="21"/>
                <w:szCs w:val="21"/>
                <w:highlight w:val="none"/>
              </w:rPr>
              <w:t>名称：</w:t>
            </w:r>
          </w:p>
          <w:p w14:paraId="2AA8C7BC">
            <w:pPr>
              <w:spacing w:line="360" w:lineRule="auto"/>
              <w:rPr>
                <w:rFonts w:hint="eastAsia" w:hAnsi="宋体" w:cs="宋体"/>
                <w:color w:val="auto"/>
                <w:sz w:val="21"/>
                <w:szCs w:val="21"/>
                <w:highlight w:val="none"/>
              </w:rPr>
            </w:pPr>
            <w:r>
              <w:rPr>
                <w:rFonts w:hint="eastAsia" w:hAnsi="宋体" w:cs="宋体"/>
                <w:color w:val="auto"/>
                <w:sz w:val="21"/>
                <w:szCs w:val="21"/>
                <w:highlight w:val="none"/>
              </w:rPr>
              <w:t>账号：</w:t>
            </w:r>
          </w:p>
        </w:tc>
      </w:tr>
      <w:tr w14:paraId="5385B108">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004DBD0">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公  司组  织</w:t>
            </w:r>
          </w:p>
          <w:p w14:paraId="1BB3CA51">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noWrap w:val="0"/>
            <w:vAlign w:val="center"/>
          </w:tcPr>
          <w:p w14:paraId="0274DDB8">
            <w:pPr>
              <w:spacing w:line="360" w:lineRule="auto"/>
              <w:jc w:val="center"/>
              <w:rPr>
                <w:rFonts w:hint="eastAsia" w:hAnsi="宋体" w:cs="宋体"/>
                <w:color w:val="auto"/>
                <w:sz w:val="21"/>
                <w:szCs w:val="21"/>
                <w:highlight w:val="none"/>
              </w:rPr>
            </w:pPr>
          </w:p>
        </w:tc>
      </w:tr>
    </w:tbl>
    <w:p w14:paraId="2B68F3CC">
      <w:pPr>
        <w:spacing w:line="360" w:lineRule="auto"/>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2898D4C2">
      <w:pPr>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投标人（或联合体投标人的牵头单位）全称（加盖公章）：                     </w:t>
      </w:r>
    </w:p>
    <w:p w14:paraId="02B5D22D">
      <w:pPr>
        <w:pStyle w:val="26"/>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4"/>
          <w:szCs w:val="24"/>
          <w:highlight w:val="none"/>
        </w:rPr>
        <w:t>日期：  年  月   日</w:t>
      </w:r>
    </w:p>
    <w:p w14:paraId="611E9484">
      <w:pPr>
        <w:snapToGrid w:val="0"/>
        <w:spacing w:before="50" w:after="50"/>
        <w:jc w:val="center"/>
        <w:rPr>
          <w:rFonts w:hint="eastAsia" w:hAnsi="宋体" w:cs="宋体"/>
          <w:b/>
          <w:color w:val="auto"/>
          <w:sz w:val="24"/>
          <w:highlight w:val="none"/>
        </w:rPr>
      </w:pPr>
      <w:r>
        <w:rPr>
          <w:rFonts w:hint="eastAsia" w:hAnsi="宋体" w:cs="宋体"/>
          <w:b/>
          <w:bCs/>
          <w:color w:val="auto"/>
          <w:sz w:val="24"/>
          <w:highlight w:val="none"/>
        </w:rPr>
        <w:br w:type="page"/>
      </w:r>
      <w:r>
        <w:rPr>
          <w:rFonts w:hint="eastAsia" w:hAnsi="宋体" w:cs="宋体"/>
          <w:b/>
          <w:bCs/>
          <w:color w:val="auto"/>
          <w:sz w:val="24"/>
          <w:szCs w:val="24"/>
          <w:highlight w:val="none"/>
          <w:lang w:val="en-US" w:eastAsia="zh-CN" w:bidi="ar"/>
        </w:rPr>
        <w:t>4</w:t>
      </w:r>
      <w:r>
        <w:rPr>
          <w:rFonts w:hint="eastAsia" w:hAnsi="宋体" w:cs="宋体"/>
          <w:b/>
          <w:bCs/>
          <w:color w:val="auto"/>
          <w:sz w:val="24"/>
          <w:szCs w:val="24"/>
          <w:highlight w:val="none"/>
          <w:lang w:bidi="ar"/>
        </w:rPr>
        <w:t>.投标人（包括投标联合体各方）</w:t>
      </w:r>
      <w:r>
        <w:rPr>
          <w:rFonts w:hint="eastAsia" w:hAnsi="宋体" w:cs="宋体"/>
          <w:b/>
          <w:bCs/>
          <w:color w:val="auto"/>
          <w:sz w:val="24"/>
          <w:szCs w:val="24"/>
          <w:highlight w:val="none"/>
          <w:lang w:val="en-US" w:eastAsia="zh-CN" w:bidi="ar"/>
        </w:rPr>
        <w:t>2021</w:t>
      </w:r>
      <w:r>
        <w:rPr>
          <w:rFonts w:hint="eastAsia" w:hAnsi="宋体" w:cs="宋体"/>
          <w:b/>
          <w:bCs/>
          <w:color w:val="auto"/>
          <w:sz w:val="24"/>
          <w:szCs w:val="24"/>
          <w:highlight w:val="none"/>
          <w:lang w:bidi="ar"/>
        </w:rPr>
        <w:t>年1月1日以来类似案例成功的业绩</w:t>
      </w:r>
    </w:p>
    <w:tbl>
      <w:tblPr>
        <w:tblStyle w:val="4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6BB9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15DFD52">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C19B308">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13DB92F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63A83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65E5A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A55FAC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112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EE57B2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983592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45CA9E0">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7DD8EE6">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55FD34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5C2CF4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B40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64BE9B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DD9B21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3253C8A9">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74575BB">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284E4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D8552F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1337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F414891">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0411ED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2F7ACC34">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4E3020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CCCB61">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6E615B5">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7BB8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531FA43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F867A9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9A0C4C1">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931C6E7">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8FBAA4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4F077B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0134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3DBE3DB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50A6752">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8BC7293">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2F0D2CC">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A9371A">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41E442B">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DC5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13B405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1C19EF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721A7AD9">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4C9DC63">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E8B5B4">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7A4728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1928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68E136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D168712">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D6405E8">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87FFF5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FFD78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CAD679F">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ED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1F8A1B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183BFCD">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45EE8A2E">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FF92771">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1D8D44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C309D40">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94C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D15163B">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34A9ED8">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793110B1">
            <w:pPr>
              <w:widowControl/>
              <w:snapToGrid w:val="0"/>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EE4AD6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A0F529">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4F6949E">
            <w:pPr>
              <w:widowControl/>
              <w:snapToGrid w:val="0"/>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43665A00">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3686AFC4">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投标人（或联合体投标人的牵头单位）全称（加盖公章）：                     </w:t>
      </w:r>
    </w:p>
    <w:p w14:paraId="1058DC9A">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日期：  年  月   日</w:t>
      </w:r>
    </w:p>
    <w:p w14:paraId="23DFBFB0">
      <w:pPr>
        <w:jc w:val="center"/>
        <w:rPr>
          <w:rFonts w:hint="eastAsia" w:hAnsi="宋体" w:cs="宋体"/>
          <w:b/>
          <w:color w:val="auto"/>
          <w:sz w:val="21"/>
          <w:szCs w:val="21"/>
          <w:highlight w:val="none"/>
        </w:rPr>
      </w:pPr>
      <w:bookmarkStart w:id="61" w:name="_Toc295737642"/>
      <w:bookmarkStart w:id="62" w:name="_Toc296074353"/>
      <w:bookmarkStart w:id="63" w:name="_Toc296075064"/>
      <w:bookmarkStart w:id="64" w:name="_Toc354841327"/>
      <w:bookmarkStart w:id="65" w:name="_Toc295910890"/>
    </w:p>
    <w:p w14:paraId="5EB4F9E5">
      <w:pPr>
        <w:jc w:val="center"/>
        <w:rPr>
          <w:rFonts w:hint="eastAsia" w:hAnsi="宋体" w:cs="宋体"/>
          <w:b/>
          <w:color w:val="auto"/>
          <w:sz w:val="21"/>
          <w:szCs w:val="21"/>
          <w:highlight w:val="none"/>
        </w:rPr>
      </w:pPr>
    </w:p>
    <w:p w14:paraId="615017AE">
      <w:pPr>
        <w:jc w:val="center"/>
        <w:rPr>
          <w:rFonts w:hint="eastAsia" w:hAnsi="宋体" w:cs="宋体"/>
          <w:b/>
          <w:color w:val="auto"/>
          <w:sz w:val="21"/>
          <w:szCs w:val="21"/>
          <w:highlight w:val="none"/>
        </w:rPr>
      </w:pPr>
    </w:p>
    <w:p w14:paraId="0C423EBC">
      <w:pPr>
        <w:jc w:val="center"/>
        <w:rPr>
          <w:rFonts w:hint="eastAsia" w:hAnsi="宋体" w:cs="宋体"/>
          <w:b/>
          <w:color w:val="auto"/>
          <w:sz w:val="21"/>
          <w:szCs w:val="21"/>
          <w:highlight w:val="none"/>
        </w:rPr>
      </w:pPr>
    </w:p>
    <w:p w14:paraId="352CDDA0">
      <w:pPr>
        <w:jc w:val="center"/>
        <w:rPr>
          <w:rFonts w:hint="eastAsia" w:hAnsi="宋体" w:cs="宋体"/>
          <w:b/>
          <w:color w:val="auto"/>
          <w:sz w:val="21"/>
          <w:szCs w:val="21"/>
          <w:highlight w:val="none"/>
        </w:rPr>
      </w:pPr>
    </w:p>
    <w:p w14:paraId="59AE258E">
      <w:pPr>
        <w:jc w:val="center"/>
        <w:rPr>
          <w:rFonts w:hint="eastAsia" w:hAnsi="宋体" w:cs="宋体"/>
          <w:b/>
          <w:color w:val="auto"/>
          <w:sz w:val="21"/>
          <w:szCs w:val="21"/>
          <w:highlight w:val="none"/>
        </w:rPr>
      </w:pPr>
    </w:p>
    <w:p w14:paraId="366F882D">
      <w:pPr>
        <w:jc w:val="center"/>
        <w:rPr>
          <w:rFonts w:hint="eastAsia" w:hAnsi="宋体" w:cs="宋体"/>
          <w:b/>
          <w:color w:val="auto"/>
          <w:sz w:val="21"/>
          <w:szCs w:val="21"/>
          <w:highlight w:val="none"/>
        </w:rPr>
      </w:pPr>
    </w:p>
    <w:p w14:paraId="72DB3F05">
      <w:pPr>
        <w:jc w:val="center"/>
        <w:rPr>
          <w:rFonts w:hint="eastAsia" w:hAnsi="宋体" w:cs="宋体"/>
          <w:color w:val="auto"/>
          <w:sz w:val="21"/>
          <w:szCs w:val="21"/>
          <w:highlight w:val="none"/>
        </w:rPr>
      </w:pPr>
      <w:r>
        <w:rPr>
          <w:rFonts w:hint="eastAsia" w:hAnsi="宋体" w:cs="宋体"/>
          <w:b/>
          <w:color w:val="auto"/>
          <w:sz w:val="21"/>
          <w:szCs w:val="21"/>
          <w:highlight w:val="none"/>
        </w:rPr>
        <w:br w:type="page"/>
      </w:r>
      <w:r>
        <w:rPr>
          <w:rFonts w:hint="eastAsia" w:hAnsi="宋体" w:cs="宋体"/>
          <w:b/>
          <w:color w:val="auto"/>
          <w:sz w:val="24"/>
          <w:szCs w:val="22"/>
          <w:highlight w:val="none"/>
          <w:lang w:val="en-US" w:eastAsia="zh-CN"/>
        </w:rPr>
        <w:t>5</w:t>
      </w:r>
      <w:r>
        <w:rPr>
          <w:rFonts w:hint="eastAsia" w:hAnsi="宋体" w:cs="宋体"/>
          <w:b/>
          <w:color w:val="auto"/>
          <w:sz w:val="24"/>
          <w:szCs w:val="22"/>
          <w:highlight w:val="none"/>
        </w:rPr>
        <w:t>.投标人（包括投标联合体各方）拟投入本项目的服务人员配置表</w:t>
      </w:r>
      <w:bookmarkEnd w:id="61"/>
      <w:bookmarkEnd w:id="62"/>
      <w:bookmarkEnd w:id="63"/>
      <w:bookmarkEnd w:id="64"/>
      <w:bookmarkEnd w:id="65"/>
      <w:r>
        <w:rPr>
          <w:rFonts w:hint="eastAsia" w:hAnsi="宋体" w:cs="宋体"/>
          <w:color w:val="auto"/>
          <w:sz w:val="21"/>
          <w:szCs w:val="21"/>
          <w:highlight w:val="none"/>
        </w:rPr>
        <w:t xml:space="preserve">    </w:t>
      </w:r>
    </w:p>
    <w:tbl>
      <w:tblPr>
        <w:tblStyle w:val="47"/>
        <w:tblW w:w="9306"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837"/>
        <w:gridCol w:w="709"/>
        <w:gridCol w:w="709"/>
        <w:gridCol w:w="1417"/>
        <w:gridCol w:w="1276"/>
        <w:gridCol w:w="2218"/>
      </w:tblGrid>
      <w:tr w14:paraId="65FBF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noWrap w:val="0"/>
            <w:vAlign w:val="center"/>
          </w:tcPr>
          <w:p w14:paraId="623D3FB7">
            <w:pPr>
              <w:jc w:val="center"/>
              <w:rPr>
                <w:rFonts w:hint="eastAsia" w:hAnsi="宋体" w:cs="宋体"/>
                <w:bCs/>
                <w:color w:val="auto"/>
                <w:sz w:val="21"/>
                <w:szCs w:val="21"/>
                <w:highlight w:val="none"/>
              </w:rPr>
            </w:pPr>
            <w:r>
              <w:rPr>
                <w:rFonts w:hint="eastAsia" w:hAnsi="宋体" w:cs="宋体"/>
                <w:bCs/>
                <w:color w:val="auto"/>
                <w:sz w:val="21"/>
                <w:szCs w:val="21"/>
                <w:highlight w:val="none"/>
              </w:rPr>
              <w:t>姓名</w:t>
            </w:r>
          </w:p>
        </w:tc>
        <w:tc>
          <w:tcPr>
            <w:tcW w:w="1837" w:type="dxa"/>
            <w:noWrap w:val="0"/>
            <w:vAlign w:val="center"/>
          </w:tcPr>
          <w:p w14:paraId="5D609977">
            <w:pPr>
              <w:jc w:val="center"/>
              <w:rPr>
                <w:rFonts w:hint="eastAsia" w:hAnsi="宋体" w:cs="宋体"/>
                <w:bCs/>
                <w:color w:val="auto"/>
                <w:sz w:val="21"/>
                <w:szCs w:val="21"/>
                <w:highlight w:val="none"/>
              </w:rPr>
            </w:pPr>
            <w:r>
              <w:rPr>
                <w:rFonts w:hint="eastAsia" w:hAnsi="宋体" w:cs="宋体"/>
                <w:bCs/>
                <w:color w:val="auto"/>
                <w:sz w:val="21"/>
                <w:szCs w:val="21"/>
                <w:highlight w:val="none"/>
              </w:rPr>
              <w:t>本项目主要工作</w:t>
            </w:r>
          </w:p>
        </w:tc>
        <w:tc>
          <w:tcPr>
            <w:tcW w:w="709" w:type="dxa"/>
            <w:noWrap w:val="0"/>
            <w:vAlign w:val="center"/>
          </w:tcPr>
          <w:p w14:paraId="092D2D5C">
            <w:pPr>
              <w:jc w:val="center"/>
              <w:rPr>
                <w:rFonts w:hint="eastAsia" w:hAnsi="宋体" w:cs="宋体"/>
                <w:bCs/>
                <w:color w:val="auto"/>
                <w:sz w:val="21"/>
                <w:szCs w:val="21"/>
                <w:highlight w:val="none"/>
              </w:rPr>
            </w:pPr>
            <w:r>
              <w:rPr>
                <w:rFonts w:hint="eastAsia" w:hAnsi="宋体" w:cs="宋体"/>
                <w:bCs/>
                <w:color w:val="auto"/>
                <w:sz w:val="21"/>
                <w:szCs w:val="21"/>
                <w:highlight w:val="none"/>
              </w:rPr>
              <w:t>年龄</w:t>
            </w:r>
          </w:p>
        </w:tc>
        <w:tc>
          <w:tcPr>
            <w:tcW w:w="709" w:type="dxa"/>
            <w:noWrap w:val="0"/>
            <w:vAlign w:val="center"/>
          </w:tcPr>
          <w:p w14:paraId="1111F717">
            <w:pPr>
              <w:jc w:val="center"/>
              <w:rPr>
                <w:rFonts w:hint="eastAsia" w:hAnsi="宋体" w:cs="宋体"/>
                <w:bCs/>
                <w:color w:val="auto"/>
                <w:sz w:val="21"/>
                <w:szCs w:val="21"/>
                <w:highlight w:val="none"/>
              </w:rPr>
            </w:pPr>
            <w:r>
              <w:rPr>
                <w:rFonts w:hint="eastAsia" w:hAnsi="宋体" w:cs="宋体"/>
                <w:bCs/>
                <w:color w:val="auto"/>
                <w:sz w:val="21"/>
                <w:szCs w:val="21"/>
                <w:highlight w:val="none"/>
              </w:rPr>
              <w:t>性别</w:t>
            </w:r>
          </w:p>
        </w:tc>
        <w:tc>
          <w:tcPr>
            <w:tcW w:w="1417" w:type="dxa"/>
            <w:noWrap w:val="0"/>
            <w:vAlign w:val="center"/>
          </w:tcPr>
          <w:p w14:paraId="750C3CA7">
            <w:pPr>
              <w:jc w:val="center"/>
              <w:rPr>
                <w:rFonts w:hint="eastAsia" w:hAnsi="宋体" w:cs="宋体"/>
                <w:bCs/>
                <w:color w:val="auto"/>
                <w:sz w:val="21"/>
                <w:szCs w:val="21"/>
                <w:highlight w:val="none"/>
              </w:rPr>
            </w:pPr>
            <w:r>
              <w:rPr>
                <w:rFonts w:hint="eastAsia" w:hAnsi="宋体" w:cs="宋体"/>
                <w:bCs/>
                <w:color w:val="auto"/>
                <w:sz w:val="21"/>
                <w:szCs w:val="21"/>
                <w:highlight w:val="none"/>
              </w:rPr>
              <w:t>职称/职务</w:t>
            </w:r>
          </w:p>
        </w:tc>
        <w:tc>
          <w:tcPr>
            <w:tcW w:w="1276" w:type="dxa"/>
            <w:noWrap w:val="0"/>
            <w:vAlign w:val="center"/>
          </w:tcPr>
          <w:p w14:paraId="1FE8053A">
            <w:pPr>
              <w:jc w:val="center"/>
              <w:rPr>
                <w:rFonts w:hint="eastAsia" w:hAnsi="宋体" w:cs="宋体"/>
                <w:bCs/>
                <w:color w:val="auto"/>
                <w:sz w:val="21"/>
                <w:szCs w:val="21"/>
                <w:highlight w:val="none"/>
              </w:rPr>
            </w:pPr>
            <w:r>
              <w:rPr>
                <w:rFonts w:hint="eastAsia" w:hAnsi="宋体" w:cs="宋体"/>
                <w:bCs/>
                <w:color w:val="auto"/>
                <w:sz w:val="21"/>
                <w:szCs w:val="21"/>
                <w:highlight w:val="none"/>
              </w:rPr>
              <w:t>专业/年限</w:t>
            </w:r>
          </w:p>
        </w:tc>
        <w:tc>
          <w:tcPr>
            <w:tcW w:w="2218" w:type="dxa"/>
            <w:noWrap w:val="0"/>
            <w:vAlign w:val="center"/>
          </w:tcPr>
          <w:p w14:paraId="31CCD4C1">
            <w:pPr>
              <w:jc w:val="center"/>
              <w:rPr>
                <w:rFonts w:hint="eastAsia" w:hAnsi="宋体" w:cs="宋体"/>
                <w:bCs/>
                <w:color w:val="auto"/>
                <w:sz w:val="21"/>
                <w:szCs w:val="21"/>
                <w:highlight w:val="none"/>
              </w:rPr>
            </w:pPr>
            <w:r>
              <w:rPr>
                <w:rFonts w:hint="eastAsia" w:hAnsi="宋体" w:cs="宋体"/>
                <w:bCs/>
                <w:color w:val="auto"/>
                <w:sz w:val="21"/>
                <w:szCs w:val="21"/>
                <w:highlight w:val="none"/>
              </w:rPr>
              <w:t>联系方式</w:t>
            </w:r>
          </w:p>
        </w:tc>
      </w:tr>
      <w:tr w14:paraId="275646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0709388A">
            <w:pPr>
              <w:spacing w:line="360" w:lineRule="auto"/>
              <w:rPr>
                <w:rFonts w:hint="eastAsia" w:hAnsi="宋体" w:cs="宋体"/>
                <w:color w:val="auto"/>
                <w:sz w:val="21"/>
                <w:szCs w:val="21"/>
                <w:highlight w:val="none"/>
              </w:rPr>
            </w:pPr>
          </w:p>
        </w:tc>
        <w:tc>
          <w:tcPr>
            <w:tcW w:w="1837" w:type="dxa"/>
            <w:noWrap w:val="0"/>
            <w:vAlign w:val="center"/>
          </w:tcPr>
          <w:p w14:paraId="14FAFE4A">
            <w:pPr>
              <w:jc w:val="center"/>
              <w:rPr>
                <w:rFonts w:hint="eastAsia" w:hAnsi="宋体" w:cs="宋体"/>
                <w:bCs/>
                <w:color w:val="auto"/>
                <w:sz w:val="21"/>
                <w:szCs w:val="21"/>
                <w:highlight w:val="none"/>
              </w:rPr>
            </w:pPr>
            <w:r>
              <w:rPr>
                <w:rFonts w:hint="eastAsia" w:hAnsi="宋体" w:cs="宋体"/>
                <w:bCs/>
                <w:color w:val="auto"/>
                <w:sz w:val="21"/>
                <w:szCs w:val="21"/>
                <w:highlight w:val="none"/>
              </w:rPr>
              <w:t>项目负责人</w:t>
            </w:r>
          </w:p>
        </w:tc>
        <w:tc>
          <w:tcPr>
            <w:tcW w:w="709" w:type="dxa"/>
            <w:noWrap w:val="0"/>
            <w:vAlign w:val="center"/>
          </w:tcPr>
          <w:p w14:paraId="46D8193A">
            <w:pPr>
              <w:spacing w:line="360" w:lineRule="auto"/>
              <w:rPr>
                <w:rFonts w:hint="eastAsia" w:hAnsi="宋体" w:cs="宋体"/>
                <w:color w:val="auto"/>
                <w:sz w:val="21"/>
                <w:szCs w:val="21"/>
                <w:highlight w:val="none"/>
              </w:rPr>
            </w:pPr>
          </w:p>
        </w:tc>
        <w:tc>
          <w:tcPr>
            <w:tcW w:w="709" w:type="dxa"/>
            <w:noWrap w:val="0"/>
            <w:vAlign w:val="center"/>
          </w:tcPr>
          <w:p w14:paraId="3753AEDD">
            <w:pPr>
              <w:spacing w:line="360" w:lineRule="auto"/>
              <w:rPr>
                <w:rFonts w:hint="eastAsia" w:hAnsi="宋体" w:cs="宋体"/>
                <w:color w:val="auto"/>
                <w:sz w:val="21"/>
                <w:szCs w:val="21"/>
                <w:highlight w:val="none"/>
              </w:rPr>
            </w:pPr>
          </w:p>
        </w:tc>
        <w:tc>
          <w:tcPr>
            <w:tcW w:w="1417" w:type="dxa"/>
            <w:noWrap w:val="0"/>
            <w:vAlign w:val="center"/>
          </w:tcPr>
          <w:p w14:paraId="4CC61897">
            <w:pPr>
              <w:spacing w:line="360" w:lineRule="auto"/>
              <w:rPr>
                <w:rFonts w:hint="eastAsia" w:hAnsi="宋体" w:cs="宋体"/>
                <w:color w:val="auto"/>
                <w:sz w:val="21"/>
                <w:szCs w:val="21"/>
                <w:highlight w:val="none"/>
              </w:rPr>
            </w:pPr>
          </w:p>
        </w:tc>
        <w:tc>
          <w:tcPr>
            <w:tcW w:w="1276" w:type="dxa"/>
            <w:noWrap w:val="0"/>
            <w:vAlign w:val="center"/>
          </w:tcPr>
          <w:p w14:paraId="4E3AC8AF">
            <w:pPr>
              <w:spacing w:line="360" w:lineRule="auto"/>
              <w:rPr>
                <w:rFonts w:hint="eastAsia" w:hAnsi="宋体" w:cs="宋体"/>
                <w:color w:val="auto"/>
                <w:sz w:val="21"/>
                <w:szCs w:val="21"/>
                <w:highlight w:val="none"/>
              </w:rPr>
            </w:pPr>
          </w:p>
        </w:tc>
        <w:tc>
          <w:tcPr>
            <w:tcW w:w="2218" w:type="dxa"/>
            <w:noWrap w:val="0"/>
            <w:vAlign w:val="center"/>
          </w:tcPr>
          <w:p w14:paraId="5CC34EF0">
            <w:pPr>
              <w:spacing w:line="360" w:lineRule="auto"/>
              <w:rPr>
                <w:rFonts w:hint="eastAsia" w:hAnsi="宋体" w:cs="宋体"/>
                <w:color w:val="auto"/>
                <w:sz w:val="21"/>
                <w:szCs w:val="21"/>
                <w:highlight w:val="none"/>
              </w:rPr>
            </w:pPr>
          </w:p>
        </w:tc>
      </w:tr>
      <w:tr w14:paraId="05B2DC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204CDD54">
            <w:pPr>
              <w:spacing w:line="360" w:lineRule="auto"/>
              <w:rPr>
                <w:rFonts w:hint="eastAsia" w:hAnsi="宋体" w:cs="宋体"/>
                <w:color w:val="auto"/>
                <w:sz w:val="21"/>
                <w:szCs w:val="21"/>
                <w:highlight w:val="none"/>
              </w:rPr>
            </w:pPr>
          </w:p>
        </w:tc>
        <w:tc>
          <w:tcPr>
            <w:tcW w:w="1837" w:type="dxa"/>
            <w:noWrap w:val="0"/>
            <w:vAlign w:val="center"/>
          </w:tcPr>
          <w:p w14:paraId="426FBDB5">
            <w:pPr>
              <w:spacing w:line="360" w:lineRule="auto"/>
              <w:rPr>
                <w:rFonts w:hint="eastAsia" w:hAnsi="宋体" w:cs="宋体"/>
                <w:color w:val="auto"/>
                <w:sz w:val="21"/>
                <w:szCs w:val="21"/>
                <w:highlight w:val="none"/>
              </w:rPr>
            </w:pPr>
          </w:p>
        </w:tc>
        <w:tc>
          <w:tcPr>
            <w:tcW w:w="709" w:type="dxa"/>
            <w:noWrap w:val="0"/>
            <w:vAlign w:val="center"/>
          </w:tcPr>
          <w:p w14:paraId="10ADF4D6">
            <w:pPr>
              <w:spacing w:line="360" w:lineRule="auto"/>
              <w:rPr>
                <w:rFonts w:hint="eastAsia" w:hAnsi="宋体" w:cs="宋体"/>
                <w:color w:val="auto"/>
                <w:sz w:val="21"/>
                <w:szCs w:val="21"/>
                <w:highlight w:val="none"/>
              </w:rPr>
            </w:pPr>
          </w:p>
        </w:tc>
        <w:tc>
          <w:tcPr>
            <w:tcW w:w="709" w:type="dxa"/>
            <w:noWrap w:val="0"/>
            <w:vAlign w:val="center"/>
          </w:tcPr>
          <w:p w14:paraId="721C38E3">
            <w:pPr>
              <w:spacing w:line="360" w:lineRule="auto"/>
              <w:rPr>
                <w:rFonts w:hint="eastAsia" w:hAnsi="宋体" w:cs="宋体"/>
                <w:color w:val="auto"/>
                <w:sz w:val="21"/>
                <w:szCs w:val="21"/>
                <w:highlight w:val="none"/>
              </w:rPr>
            </w:pPr>
          </w:p>
        </w:tc>
        <w:tc>
          <w:tcPr>
            <w:tcW w:w="1417" w:type="dxa"/>
            <w:noWrap w:val="0"/>
            <w:vAlign w:val="center"/>
          </w:tcPr>
          <w:p w14:paraId="60ED8AD4">
            <w:pPr>
              <w:spacing w:line="360" w:lineRule="auto"/>
              <w:rPr>
                <w:rFonts w:hint="eastAsia" w:hAnsi="宋体" w:cs="宋体"/>
                <w:color w:val="auto"/>
                <w:sz w:val="21"/>
                <w:szCs w:val="21"/>
                <w:highlight w:val="none"/>
              </w:rPr>
            </w:pPr>
          </w:p>
        </w:tc>
        <w:tc>
          <w:tcPr>
            <w:tcW w:w="1276" w:type="dxa"/>
            <w:noWrap w:val="0"/>
            <w:vAlign w:val="center"/>
          </w:tcPr>
          <w:p w14:paraId="0FE697BF">
            <w:pPr>
              <w:spacing w:line="360" w:lineRule="auto"/>
              <w:rPr>
                <w:rFonts w:hint="eastAsia" w:hAnsi="宋体" w:cs="宋体"/>
                <w:color w:val="auto"/>
                <w:sz w:val="21"/>
                <w:szCs w:val="21"/>
                <w:highlight w:val="none"/>
              </w:rPr>
            </w:pPr>
          </w:p>
        </w:tc>
        <w:tc>
          <w:tcPr>
            <w:tcW w:w="2218" w:type="dxa"/>
            <w:noWrap w:val="0"/>
            <w:vAlign w:val="center"/>
          </w:tcPr>
          <w:p w14:paraId="252B682D">
            <w:pPr>
              <w:spacing w:line="360" w:lineRule="auto"/>
              <w:rPr>
                <w:rFonts w:hint="eastAsia" w:hAnsi="宋体" w:cs="宋体"/>
                <w:color w:val="auto"/>
                <w:sz w:val="21"/>
                <w:szCs w:val="21"/>
                <w:highlight w:val="none"/>
              </w:rPr>
            </w:pPr>
          </w:p>
        </w:tc>
      </w:tr>
      <w:tr w14:paraId="67054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5A56DC85">
            <w:pPr>
              <w:spacing w:line="360" w:lineRule="auto"/>
              <w:rPr>
                <w:rFonts w:hint="eastAsia" w:hAnsi="宋体" w:cs="宋体"/>
                <w:color w:val="auto"/>
                <w:sz w:val="21"/>
                <w:szCs w:val="21"/>
                <w:highlight w:val="none"/>
              </w:rPr>
            </w:pPr>
          </w:p>
        </w:tc>
        <w:tc>
          <w:tcPr>
            <w:tcW w:w="1837" w:type="dxa"/>
            <w:noWrap w:val="0"/>
            <w:vAlign w:val="center"/>
          </w:tcPr>
          <w:p w14:paraId="34DE3BBE">
            <w:pPr>
              <w:spacing w:line="360" w:lineRule="auto"/>
              <w:rPr>
                <w:rFonts w:hint="eastAsia" w:hAnsi="宋体" w:cs="宋体"/>
                <w:color w:val="auto"/>
                <w:sz w:val="21"/>
                <w:szCs w:val="21"/>
                <w:highlight w:val="none"/>
              </w:rPr>
            </w:pPr>
          </w:p>
        </w:tc>
        <w:tc>
          <w:tcPr>
            <w:tcW w:w="709" w:type="dxa"/>
            <w:noWrap w:val="0"/>
            <w:vAlign w:val="center"/>
          </w:tcPr>
          <w:p w14:paraId="58DDF615">
            <w:pPr>
              <w:spacing w:line="360" w:lineRule="auto"/>
              <w:rPr>
                <w:rFonts w:hint="eastAsia" w:hAnsi="宋体" w:cs="宋体"/>
                <w:color w:val="auto"/>
                <w:sz w:val="21"/>
                <w:szCs w:val="21"/>
                <w:highlight w:val="none"/>
              </w:rPr>
            </w:pPr>
          </w:p>
        </w:tc>
        <w:tc>
          <w:tcPr>
            <w:tcW w:w="709" w:type="dxa"/>
            <w:noWrap w:val="0"/>
            <w:vAlign w:val="center"/>
          </w:tcPr>
          <w:p w14:paraId="404504A1">
            <w:pPr>
              <w:spacing w:line="360" w:lineRule="auto"/>
              <w:rPr>
                <w:rFonts w:hint="eastAsia" w:hAnsi="宋体" w:cs="宋体"/>
                <w:color w:val="auto"/>
                <w:sz w:val="21"/>
                <w:szCs w:val="21"/>
                <w:highlight w:val="none"/>
              </w:rPr>
            </w:pPr>
          </w:p>
        </w:tc>
        <w:tc>
          <w:tcPr>
            <w:tcW w:w="1417" w:type="dxa"/>
            <w:noWrap w:val="0"/>
            <w:vAlign w:val="center"/>
          </w:tcPr>
          <w:p w14:paraId="4E2FA804">
            <w:pPr>
              <w:spacing w:line="360" w:lineRule="auto"/>
              <w:rPr>
                <w:rFonts w:hint="eastAsia" w:hAnsi="宋体" w:cs="宋体"/>
                <w:color w:val="auto"/>
                <w:sz w:val="21"/>
                <w:szCs w:val="21"/>
                <w:highlight w:val="none"/>
              </w:rPr>
            </w:pPr>
          </w:p>
        </w:tc>
        <w:tc>
          <w:tcPr>
            <w:tcW w:w="1276" w:type="dxa"/>
            <w:noWrap w:val="0"/>
            <w:vAlign w:val="center"/>
          </w:tcPr>
          <w:p w14:paraId="046E3080">
            <w:pPr>
              <w:spacing w:line="360" w:lineRule="auto"/>
              <w:rPr>
                <w:rFonts w:hint="eastAsia" w:hAnsi="宋体" w:cs="宋体"/>
                <w:color w:val="auto"/>
                <w:sz w:val="21"/>
                <w:szCs w:val="21"/>
                <w:highlight w:val="none"/>
              </w:rPr>
            </w:pPr>
          </w:p>
        </w:tc>
        <w:tc>
          <w:tcPr>
            <w:tcW w:w="2218" w:type="dxa"/>
            <w:noWrap w:val="0"/>
            <w:vAlign w:val="center"/>
          </w:tcPr>
          <w:p w14:paraId="0B77B2B4">
            <w:pPr>
              <w:spacing w:line="360" w:lineRule="auto"/>
              <w:rPr>
                <w:rFonts w:hint="eastAsia" w:hAnsi="宋体" w:cs="宋体"/>
                <w:color w:val="auto"/>
                <w:sz w:val="21"/>
                <w:szCs w:val="21"/>
                <w:highlight w:val="none"/>
              </w:rPr>
            </w:pPr>
          </w:p>
        </w:tc>
      </w:tr>
      <w:tr w14:paraId="59B97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62A62816">
            <w:pPr>
              <w:spacing w:line="360" w:lineRule="auto"/>
              <w:rPr>
                <w:rFonts w:hint="eastAsia" w:hAnsi="宋体" w:cs="宋体"/>
                <w:color w:val="auto"/>
                <w:sz w:val="21"/>
                <w:szCs w:val="21"/>
                <w:highlight w:val="none"/>
              </w:rPr>
            </w:pPr>
          </w:p>
        </w:tc>
        <w:tc>
          <w:tcPr>
            <w:tcW w:w="1837" w:type="dxa"/>
            <w:noWrap w:val="0"/>
            <w:vAlign w:val="center"/>
          </w:tcPr>
          <w:p w14:paraId="66046683">
            <w:pPr>
              <w:spacing w:line="360" w:lineRule="auto"/>
              <w:rPr>
                <w:rFonts w:hint="eastAsia" w:hAnsi="宋体" w:cs="宋体"/>
                <w:color w:val="auto"/>
                <w:sz w:val="21"/>
                <w:szCs w:val="21"/>
                <w:highlight w:val="none"/>
              </w:rPr>
            </w:pPr>
          </w:p>
        </w:tc>
        <w:tc>
          <w:tcPr>
            <w:tcW w:w="709" w:type="dxa"/>
            <w:noWrap w:val="0"/>
            <w:vAlign w:val="center"/>
          </w:tcPr>
          <w:p w14:paraId="768A9A4A">
            <w:pPr>
              <w:spacing w:line="360" w:lineRule="auto"/>
              <w:rPr>
                <w:rFonts w:hint="eastAsia" w:hAnsi="宋体" w:cs="宋体"/>
                <w:color w:val="auto"/>
                <w:sz w:val="21"/>
                <w:szCs w:val="21"/>
                <w:highlight w:val="none"/>
              </w:rPr>
            </w:pPr>
          </w:p>
        </w:tc>
        <w:tc>
          <w:tcPr>
            <w:tcW w:w="709" w:type="dxa"/>
            <w:noWrap w:val="0"/>
            <w:vAlign w:val="center"/>
          </w:tcPr>
          <w:p w14:paraId="47319DAB">
            <w:pPr>
              <w:spacing w:line="360" w:lineRule="auto"/>
              <w:rPr>
                <w:rFonts w:hint="eastAsia" w:hAnsi="宋体" w:cs="宋体"/>
                <w:color w:val="auto"/>
                <w:sz w:val="21"/>
                <w:szCs w:val="21"/>
                <w:highlight w:val="none"/>
              </w:rPr>
            </w:pPr>
          </w:p>
        </w:tc>
        <w:tc>
          <w:tcPr>
            <w:tcW w:w="1417" w:type="dxa"/>
            <w:noWrap w:val="0"/>
            <w:vAlign w:val="center"/>
          </w:tcPr>
          <w:p w14:paraId="1060B040">
            <w:pPr>
              <w:spacing w:line="360" w:lineRule="auto"/>
              <w:rPr>
                <w:rFonts w:hint="eastAsia" w:hAnsi="宋体" w:cs="宋体"/>
                <w:color w:val="auto"/>
                <w:sz w:val="21"/>
                <w:szCs w:val="21"/>
                <w:highlight w:val="none"/>
              </w:rPr>
            </w:pPr>
          </w:p>
        </w:tc>
        <w:tc>
          <w:tcPr>
            <w:tcW w:w="1276" w:type="dxa"/>
            <w:noWrap w:val="0"/>
            <w:vAlign w:val="center"/>
          </w:tcPr>
          <w:p w14:paraId="0FAAAC08">
            <w:pPr>
              <w:spacing w:line="360" w:lineRule="auto"/>
              <w:rPr>
                <w:rFonts w:hint="eastAsia" w:hAnsi="宋体" w:cs="宋体"/>
                <w:color w:val="auto"/>
                <w:sz w:val="21"/>
                <w:szCs w:val="21"/>
                <w:highlight w:val="none"/>
              </w:rPr>
            </w:pPr>
          </w:p>
        </w:tc>
        <w:tc>
          <w:tcPr>
            <w:tcW w:w="2218" w:type="dxa"/>
            <w:noWrap w:val="0"/>
            <w:vAlign w:val="center"/>
          </w:tcPr>
          <w:p w14:paraId="3436B847">
            <w:pPr>
              <w:spacing w:line="360" w:lineRule="auto"/>
              <w:rPr>
                <w:rFonts w:hint="eastAsia" w:hAnsi="宋体" w:cs="宋体"/>
                <w:color w:val="auto"/>
                <w:sz w:val="21"/>
                <w:szCs w:val="21"/>
                <w:highlight w:val="none"/>
              </w:rPr>
            </w:pPr>
          </w:p>
        </w:tc>
      </w:tr>
      <w:tr w14:paraId="48B9F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0FD93551">
            <w:pPr>
              <w:spacing w:line="360" w:lineRule="auto"/>
              <w:rPr>
                <w:rFonts w:hint="eastAsia" w:hAnsi="宋体" w:cs="宋体"/>
                <w:color w:val="auto"/>
                <w:sz w:val="21"/>
                <w:szCs w:val="21"/>
                <w:highlight w:val="none"/>
              </w:rPr>
            </w:pPr>
          </w:p>
        </w:tc>
        <w:tc>
          <w:tcPr>
            <w:tcW w:w="1837" w:type="dxa"/>
            <w:noWrap w:val="0"/>
            <w:vAlign w:val="center"/>
          </w:tcPr>
          <w:p w14:paraId="29AA15DB">
            <w:pPr>
              <w:spacing w:line="360" w:lineRule="auto"/>
              <w:rPr>
                <w:rFonts w:hint="eastAsia" w:hAnsi="宋体" w:cs="宋体"/>
                <w:color w:val="auto"/>
                <w:sz w:val="21"/>
                <w:szCs w:val="21"/>
                <w:highlight w:val="none"/>
              </w:rPr>
            </w:pPr>
          </w:p>
        </w:tc>
        <w:tc>
          <w:tcPr>
            <w:tcW w:w="709" w:type="dxa"/>
            <w:noWrap w:val="0"/>
            <w:vAlign w:val="center"/>
          </w:tcPr>
          <w:p w14:paraId="6830E3AC">
            <w:pPr>
              <w:spacing w:line="360" w:lineRule="auto"/>
              <w:rPr>
                <w:rFonts w:hint="eastAsia" w:hAnsi="宋体" w:cs="宋体"/>
                <w:color w:val="auto"/>
                <w:sz w:val="21"/>
                <w:szCs w:val="21"/>
                <w:highlight w:val="none"/>
              </w:rPr>
            </w:pPr>
          </w:p>
        </w:tc>
        <w:tc>
          <w:tcPr>
            <w:tcW w:w="709" w:type="dxa"/>
            <w:noWrap w:val="0"/>
            <w:vAlign w:val="center"/>
          </w:tcPr>
          <w:p w14:paraId="586986E7">
            <w:pPr>
              <w:spacing w:line="360" w:lineRule="auto"/>
              <w:rPr>
                <w:rFonts w:hint="eastAsia" w:hAnsi="宋体" w:cs="宋体"/>
                <w:color w:val="auto"/>
                <w:sz w:val="21"/>
                <w:szCs w:val="21"/>
                <w:highlight w:val="none"/>
              </w:rPr>
            </w:pPr>
          </w:p>
        </w:tc>
        <w:tc>
          <w:tcPr>
            <w:tcW w:w="1417" w:type="dxa"/>
            <w:noWrap w:val="0"/>
            <w:vAlign w:val="center"/>
          </w:tcPr>
          <w:p w14:paraId="263525BB">
            <w:pPr>
              <w:spacing w:line="360" w:lineRule="auto"/>
              <w:rPr>
                <w:rFonts w:hint="eastAsia" w:hAnsi="宋体" w:cs="宋体"/>
                <w:color w:val="auto"/>
                <w:sz w:val="21"/>
                <w:szCs w:val="21"/>
                <w:highlight w:val="none"/>
              </w:rPr>
            </w:pPr>
          </w:p>
        </w:tc>
        <w:tc>
          <w:tcPr>
            <w:tcW w:w="1276" w:type="dxa"/>
            <w:noWrap w:val="0"/>
            <w:vAlign w:val="center"/>
          </w:tcPr>
          <w:p w14:paraId="43277836">
            <w:pPr>
              <w:spacing w:line="360" w:lineRule="auto"/>
              <w:rPr>
                <w:rFonts w:hint="eastAsia" w:hAnsi="宋体" w:cs="宋体"/>
                <w:color w:val="auto"/>
                <w:sz w:val="21"/>
                <w:szCs w:val="21"/>
                <w:highlight w:val="none"/>
              </w:rPr>
            </w:pPr>
          </w:p>
        </w:tc>
        <w:tc>
          <w:tcPr>
            <w:tcW w:w="2218" w:type="dxa"/>
            <w:noWrap w:val="0"/>
            <w:vAlign w:val="center"/>
          </w:tcPr>
          <w:p w14:paraId="71F81319">
            <w:pPr>
              <w:spacing w:line="360" w:lineRule="auto"/>
              <w:rPr>
                <w:rFonts w:hint="eastAsia" w:hAnsi="宋体" w:cs="宋体"/>
                <w:color w:val="auto"/>
                <w:sz w:val="21"/>
                <w:szCs w:val="21"/>
                <w:highlight w:val="none"/>
              </w:rPr>
            </w:pPr>
          </w:p>
        </w:tc>
      </w:tr>
      <w:tr w14:paraId="58D58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1C56480A">
            <w:pPr>
              <w:spacing w:line="360" w:lineRule="auto"/>
              <w:rPr>
                <w:rFonts w:hint="eastAsia" w:hAnsi="宋体" w:cs="宋体"/>
                <w:color w:val="auto"/>
                <w:sz w:val="21"/>
                <w:szCs w:val="21"/>
                <w:highlight w:val="none"/>
              </w:rPr>
            </w:pPr>
          </w:p>
        </w:tc>
        <w:tc>
          <w:tcPr>
            <w:tcW w:w="1837" w:type="dxa"/>
            <w:noWrap w:val="0"/>
            <w:vAlign w:val="center"/>
          </w:tcPr>
          <w:p w14:paraId="217D5B2B">
            <w:pPr>
              <w:spacing w:line="360" w:lineRule="auto"/>
              <w:rPr>
                <w:rFonts w:hint="eastAsia" w:hAnsi="宋体" w:cs="宋体"/>
                <w:color w:val="auto"/>
                <w:sz w:val="21"/>
                <w:szCs w:val="21"/>
                <w:highlight w:val="none"/>
              </w:rPr>
            </w:pPr>
          </w:p>
        </w:tc>
        <w:tc>
          <w:tcPr>
            <w:tcW w:w="709" w:type="dxa"/>
            <w:noWrap w:val="0"/>
            <w:vAlign w:val="center"/>
          </w:tcPr>
          <w:p w14:paraId="7D7B79B7">
            <w:pPr>
              <w:spacing w:line="360" w:lineRule="auto"/>
              <w:rPr>
                <w:rFonts w:hint="eastAsia" w:hAnsi="宋体" w:cs="宋体"/>
                <w:color w:val="auto"/>
                <w:sz w:val="21"/>
                <w:szCs w:val="21"/>
                <w:highlight w:val="none"/>
              </w:rPr>
            </w:pPr>
          </w:p>
        </w:tc>
        <w:tc>
          <w:tcPr>
            <w:tcW w:w="709" w:type="dxa"/>
            <w:noWrap w:val="0"/>
            <w:vAlign w:val="center"/>
          </w:tcPr>
          <w:p w14:paraId="6D88A6F2">
            <w:pPr>
              <w:spacing w:line="360" w:lineRule="auto"/>
              <w:rPr>
                <w:rFonts w:hint="eastAsia" w:hAnsi="宋体" w:cs="宋体"/>
                <w:color w:val="auto"/>
                <w:sz w:val="21"/>
                <w:szCs w:val="21"/>
                <w:highlight w:val="none"/>
              </w:rPr>
            </w:pPr>
          </w:p>
        </w:tc>
        <w:tc>
          <w:tcPr>
            <w:tcW w:w="1417" w:type="dxa"/>
            <w:noWrap w:val="0"/>
            <w:vAlign w:val="center"/>
          </w:tcPr>
          <w:p w14:paraId="718570DA">
            <w:pPr>
              <w:spacing w:line="360" w:lineRule="auto"/>
              <w:rPr>
                <w:rFonts w:hint="eastAsia" w:hAnsi="宋体" w:cs="宋体"/>
                <w:color w:val="auto"/>
                <w:sz w:val="21"/>
                <w:szCs w:val="21"/>
                <w:highlight w:val="none"/>
              </w:rPr>
            </w:pPr>
          </w:p>
        </w:tc>
        <w:tc>
          <w:tcPr>
            <w:tcW w:w="1276" w:type="dxa"/>
            <w:noWrap w:val="0"/>
            <w:vAlign w:val="center"/>
          </w:tcPr>
          <w:p w14:paraId="032E65C1">
            <w:pPr>
              <w:spacing w:line="360" w:lineRule="auto"/>
              <w:rPr>
                <w:rFonts w:hint="eastAsia" w:hAnsi="宋体" w:cs="宋体"/>
                <w:color w:val="auto"/>
                <w:sz w:val="21"/>
                <w:szCs w:val="21"/>
                <w:highlight w:val="none"/>
              </w:rPr>
            </w:pPr>
          </w:p>
        </w:tc>
        <w:tc>
          <w:tcPr>
            <w:tcW w:w="2218" w:type="dxa"/>
            <w:noWrap w:val="0"/>
            <w:vAlign w:val="center"/>
          </w:tcPr>
          <w:p w14:paraId="587B732E">
            <w:pPr>
              <w:spacing w:line="360" w:lineRule="auto"/>
              <w:rPr>
                <w:rFonts w:hint="eastAsia" w:hAnsi="宋体" w:cs="宋体"/>
                <w:color w:val="auto"/>
                <w:sz w:val="21"/>
                <w:szCs w:val="21"/>
                <w:highlight w:val="none"/>
              </w:rPr>
            </w:pPr>
          </w:p>
        </w:tc>
      </w:tr>
      <w:tr w14:paraId="4BA1A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0274849D">
            <w:pPr>
              <w:spacing w:line="360" w:lineRule="auto"/>
              <w:rPr>
                <w:rFonts w:hint="eastAsia" w:hAnsi="宋体" w:cs="宋体"/>
                <w:color w:val="auto"/>
                <w:sz w:val="21"/>
                <w:szCs w:val="21"/>
                <w:highlight w:val="none"/>
              </w:rPr>
            </w:pPr>
          </w:p>
        </w:tc>
        <w:tc>
          <w:tcPr>
            <w:tcW w:w="1837" w:type="dxa"/>
            <w:noWrap w:val="0"/>
            <w:vAlign w:val="center"/>
          </w:tcPr>
          <w:p w14:paraId="10BBA098">
            <w:pPr>
              <w:spacing w:line="360" w:lineRule="auto"/>
              <w:rPr>
                <w:rFonts w:hint="eastAsia" w:hAnsi="宋体" w:cs="宋体"/>
                <w:color w:val="auto"/>
                <w:sz w:val="21"/>
                <w:szCs w:val="21"/>
                <w:highlight w:val="none"/>
              </w:rPr>
            </w:pPr>
          </w:p>
        </w:tc>
        <w:tc>
          <w:tcPr>
            <w:tcW w:w="709" w:type="dxa"/>
            <w:noWrap w:val="0"/>
            <w:vAlign w:val="center"/>
          </w:tcPr>
          <w:p w14:paraId="3D0DF67F">
            <w:pPr>
              <w:spacing w:line="360" w:lineRule="auto"/>
              <w:rPr>
                <w:rFonts w:hint="eastAsia" w:hAnsi="宋体" w:cs="宋体"/>
                <w:color w:val="auto"/>
                <w:sz w:val="21"/>
                <w:szCs w:val="21"/>
                <w:highlight w:val="none"/>
              </w:rPr>
            </w:pPr>
          </w:p>
        </w:tc>
        <w:tc>
          <w:tcPr>
            <w:tcW w:w="709" w:type="dxa"/>
            <w:noWrap w:val="0"/>
            <w:vAlign w:val="center"/>
          </w:tcPr>
          <w:p w14:paraId="250E8736">
            <w:pPr>
              <w:spacing w:line="360" w:lineRule="auto"/>
              <w:rPr>
                <w:rFonts w:hint="eastAsia" w:hAnsi="宋体" w:cs="宋体"/>
                <w:color w:val="auto"/>
                <w:sz w:val="21"/>
                <w:szCs w:val="21"/>
                <w:highlight w:val="none"/>
              </w:rPr>
            </w:pPr>
          </w:p>
        </w:tc>
        <w:tc>
          <w:tcPr>
            <w:tcW w:w="1417" w:type="dxa"/>
            <w:noWrap w:val="0"/>
            <w:vAlign w:val="center"/>
          </w:tcPr>
          <w:p w14:paraId="2847593F">
            <w:pPr>
              <w:spacing w:line="360" w:lineRule="auto"/>
              <w:rPr>
                <w:rFonts w:hint="eastAsia" w:hAnsi="宋体" w:cs="宋体"/>
                <w:color w:val="auto"/>
                <w:sz w:val="21"/>
                <w:szCs w:val="21"/>
                <w:highlight w:val="none"/>
              </w:rPr>
            </w:pPr>
          </w:p>
        </w:tc>
        <w:tc>
          <w:tcPr>
            <w:tcW w:w="1276" w:type="dxa"/>
            <w:noWrap w:val="0"/>
            <w:vAlign w:val="center"/>
          </w:tcPr>
          <w:p w14:paraId="02E0F9F9">
            <w:pPr>
              <w:spacing w:line="360" w:lineRule="auto"/>
              <w:rPr>
                <w:rFonts w:hint="eastAsia" w:hAnsi="宋体" w:cs="宋体"/>
                <w:color w:val="auto"/>
                <w:sz w:val="21"/>
                <w:szCs w:val="21"/>
                <w:highlight w:val="none"/>
              </w:rPr>
            </w:pPr>
          </w:p>
        </w:tc>
        <w:tc>
          <w:tcPr>
            <w:tcW w:w="2218" w:type="dxa"/>
            <w:noWrap w:val="0"/>
            <w:vAlign w:val="center"/>
          </w:tcPr>
          <w:p w14:paraId="56E38834">
            <w:pPr>
              <w:spacing w:line="360" w:lineRule="auto"/>
              <w:rPr>
                <w:rFonts w:hint="eastAsia" w:hAnsi="宋体" w:cs="宋体"/>
                <w:color w:val="auto"/>
                <w:sz w:val="21"/>
                <w:szCs w:val="21"/>
                <w:highlight w:val="none"/>
              </w:rPr>
            </w:pPr>
          </w:p>
        </w:tc>
      </w:tr>
      <w:tr w14:paraId="455495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1ABCE1A4">
            <w:pPr>
              <w:spacing w:line="360" w:lineRule="auto"/>
              <w:rPr>
                <w:rFonts w:hint="eastAsia" w:hAnsi="宋体" w:cs="宋体"/>
                <w:color w:val="auto"/>
                <w:sz w:val="21"/>
                <w:szCs w:val="21"/>
                <w:highlight w:val="none"/>
              </w:rPr>
            </w:pPr>
          </w:p>
        </w:tc>
        <w:tc>
          <w:tcPr>
            <w:tcW w:w="1837" w:type="dxa"/>
            <w:noWrap w:val="0"/>
            <w:vAlign w:val="center"/>
          </w:tcPr>
          <w:p w14:paraId="63617FB2">
            <w:pPr>
              <w:spacing w:line="360" w:lineRule="auto"/>
              <w:rPr>
                <w:rFonts w:hint="eastAsia" w:hAnsi="宋体" w:cs="宋体"/>
                <w:color w:val="auto"/>
                <w:sz w:val="21"/>
                <w:szCs w:val="21"/>
                <w:highlight w:val="none"/>
              </w:rPr>
            </w:pPr>
          </w:p>
        </w:tc>
        <w:tc>
          <w:tcPr>
            <w:tcW w:w="709" w:type="dxa"/>
            <w:noWrap w:val="0"/>
            <w:vAlign w:val="center"/>
          </w:tcPr>
          <w:p w14:paraId="0A514A6D">
            <w:pPr>
              <w:spacing w:line="360" w:lineRule="auto"/>
              <w:rPr>
                <w:rFonts w:hint="eastAsia" w:hAnsi="宋体" w:cs="宋体"/>
                <w:color w:val="auto"/>
                <w:sz w:val="21"/>
                <w:szCs w:val="21"/>
                <w:highlight w:val="none"/>
              </w:rPr>
            </w:pPr>
          </w:p>
        </w:tc>
        <w:tc>
          <w:tcPr>
            <w:tcW w:w="709" w:type="dxa"/>
            <w:noWrap w:val="0"/>
            <w:vAlign w:val="center"/>
          </w:tcPr>
          <w:p w14:paraId="781BF9A4">
            <w:pPr>
              <w:spacing w:line="360" w:lineRule="auto"/>
              <w:rPr>
                <w:rFonts w:hint="eastAsia" w:hAnsi="宋体" w:cs="宋体"/>
                <w:color w:val="auto"/>
                <w:sz w:val="21"/>
                <w:szCs w:val="21"/>
                <w:highlight w:val="none"/>
              </w:rPr>
            </w:pPr>
          </w:p>
        </w:tc>
        <w:tc>
          <w:tcPr>
            <w:tcW w:w="1417" w:type="dxa"/>
            <w:noWrap w:val="0"/>
            <w:vAlign w:val="center"/>
          </w:tcPr>
          <w:p w14:paraId="48FD3FD5">
            <w:pPr>
              <w:spacing w:line="360" w:lineRule="auto"/>
              <w:rPr>
                <w:rFonts w:hint="eastAsia" w:hAnsi="宋体" w:cs="宋体"/>
                <w:color w:val="auto"/>
                <w:sz w:val="21"/>
                <w:szCs w:val="21"/>
                <w:highlight w:val="none"/>
              </w:rPr>
            </w:pPr>
          </w:p>
        </w:tc>
        <w:tc>
          <w:tcPr>
            <w:tcW w:w="1276" w:type="dxa"/>
            <w:noWrap w:val="0"/>
            <w:vAlign w:val="center"/>
          </w:tcPr>
          <w:p w14:paraId="1C86DE9A">
            <w:pPr>
              <w:spacing w:line="360" w:lineRule="auto"/>
              <w:rPr>
                <w:rFonts w:hint="eastAsia" w:hAnsi="宋体" w:cs="宋体"/>
                <w:color w:val="auto"/>
                <w:sz w:val="21"/>
                <w:szCs w:val="21"/>
                <w:highlight w:val="none"/>
              </w:rPr>
            </w:pPr>
          </w:p>
        </w:tc>
        <w:tc>
          <w:tcPr>
            <w:tcW w:w="2218" w:type="dxa"/>
            <w:noWrap w:val="0"/>
            <w:vAlign w:val="center"/>
          </w:tcPr>
          <w:p w14:paraId="6E1A0F82">
            <w:pPr>
              <w:spacing w:line="360" w:lineRule="auto"/>
              <w:rPr>
                <w:rFonts w:hint="eastAsia" w:hAnsi="宋体" w:cs="宋体"/>
                <w:color w:val="auto"/>
                <w:sz w:val="21"/>
                <w:szCs w:val="21"/>
                <w:highlight w:val="none"/>
              </w:rPr>
            </w:pPr>
          </w:p>
        </w:tc>
      </w:tr>
      <w:tr w14:paraId="39E2E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200CDE6E">
            <w:pPr>
              <w:spacing w:line="360" w:lineRule="auto"/>
              <w:rPr>
                <w:rFonts w:hint="eastAsia" w:hAnsi="宋体" w:cs="宋体"/>
                <w:color w:val="auto"/>
                <w:sz w:val="21"/>
                <w:szCs w:val="21"/>
                <w:highlight w:val="none"/>
              </w:rPr>
            </w:pPr>
          </w:p>
        </w:tc>
        <w:tc>
          <w:tcPr>
            <w:tcW w:w="1837" w:type="dxa"/>
            <w:noWrap w:val="0"/>
            <w:vAlign w:val="center"/>
          </w:tcPr>
          <w:p w14:paraId="03C1F71B">
            <w:pPr>
              <w:spacing w:line="360" w:lineRule="auto"/>
              <w:rPr>
                <w:rFonts w:hint="eastAsia" w:hAnsi="宋体" w:cs="宋体"/>
                <w:color w:val="auto"/>
                <w:sz w:val="21"/>
                <w:szCs w:val="21"/>
                <w:highlight w:val="none"/>
              </w:rPr>
            </w:pPr>
          </w:p>
        </w:tc>
        <w:tc>
          <w:tcPr>
            <w:tcW w:w="709" w:type="dxa"/>
            <w:noWrap w:val="0"/>
            <w:vAlign w:val="center"/>
          </w:tcPr>
          <w:p w14:paraId="36DF0015">
            <w:pPr>
              <w:spacing w:line="360" w:lineRule="auto"/>
              <w:rPr>
                <w:rFonts w:hint="eastAsia" w:hAnsi="宋体" w:cs="宋体"/>
                <w:color w:val="auto"/>
                <w:sz w:val="21"/>
                <w:szCs w:val="21"/>
                <w:highlight w:val="none"/>
              </w:rPr>
            </w:pPr>
          </w:p>
        </w:tc>
        <w:tc>
          <w:tcPr>
            <w:tcW w:w="709" w:type="dxa"/>
            <w:noWrap w:val="0"/>
            <w:vAlign w:val="center"/>
          </w:tcPr>
          <w:p w14:paraId="0F80A93D">
            <w:pPr>
              <w:spacing w:line="360" w:lineRule="auto"/>
              <w:rPr>
                <w:rFonts w:hint="eastAsia" w:hAnsi="宋体" w:cs="宋体"/>
                <w:color w:val="auto"/>
                <w:sz w:val="21"/>
                <w:szCs w:val="21"/>
                <w:highlight w:val="none"/>
              </w:rPr>
            </w:pPr>
          </w:p>
        </w:tc>
        <w:tc>
          <w:tcPr>
            <w:tcW w:w="1417" w:type="dxa"/>
            <w:noWrap w:val="0"/>
            <w:vAlign w:val="center"/>
          </w:tcPr>
          <w:p w14:paraId="26D1708C">
            <w:pPr>
              <w:spacing w:line="360" w:lineRule="auto"/>
              <w:rPr>
                <w:rFonts w:hint="eastAsia" w:hAnsi="宋体" w:cs="宋体"/>
                <w:color w:val="auto"/>
                <w:sz w:val="21"/>
                <w:szCs w:val="21"/>
                <w:highlight w:val="none"/>
              </w:rPr>
            </w:pPr>
          </w:p>
        </w:tc>
        <w:tc>
          <w:tcPr>
            <w:tcW w:w="1276" w:type="dxa"/>
            <w:noWrap w:val="0"/>
            <w:vAlign w:val="center"/>
          </w:tcPr>
          <w:p w14:paraId="33928FDC">
            <w:pPr>
              <w:spacing w:line="360" w:lineRule="auto"/>
              <w:rPr>
                <w:rFonts w:hint="eastAsia" w:hAnsi="宋体" w:cs="宋体"/>
                <w:color w:val="auto"/>
                <w:sz w:val="21"/>
                <w:szCs w:val="21"/>
                <w:highlight w:val="none"/>
              </w:rPr>
            </w:pPr>
          </w:p>
        </w:tc>
        <w:tc>
          <w:tcPr>
            <w:tcW w:w="2218" w:type="dxa"/>
            <w:noWrap w:val="0"/>
            <w:vAlign w:val="center"/>
          </w:tcPr>
          <w:p w14:paraId="5B4AEB2B">
            <w:pPr>
              <w:spacing w:line="360" w:lineRule="auto"/>
              <w:rPr>
                <w:rFonts w:hint="eastAsia" w:hAnsi="宋体" w:cs="宋体"/>
                <w:color w:val="auto"/>
                <w:sz w:val="21"/>
                <w:szCs w:val="21"/>
                <w:highlight w:val="none"/>
              </w:rPr>
            </w:pPr>
          </w:p>
        </w:tc>
      </w:tr>
      <w:tr w14:paraId="40942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145FFB3F">
            <w:pPr>
              <w:spacing w:line="360" w:lineRule="auto"/>
              <w:rPr>
                <w:rFonts w:hint="eastAsia" w:hAnsi="宋体" w:cs="宋体"/>
                <w:color w:val="auto"/>
                <w:sz w:val="21"/>
                <w:szCs w:val="21"/>
                <w:highlight w:val="none"/>
              </w:rPr>
            </w:pPr>
          </w:p>
        </w:tc>
        <w:tc>
          <w:tcPr>
            <w:tcW w:w="1837" w:type="dxa"/>
            <w:noWrap w:val="0"/>
            <w:vAlign w:val="center"/>
          </w:tcPr>
          <w:p w14:paraId="01BDD116">
            <w:pPr>
              <w:spacing w:line="360" w:lineRule="auto"/>
              <w:rPr>
                <w:rFonts w:hint="eastAsia" w:hAnsi="宋体" w:cs="宋体"/>
                <w:color w:val="auto"/>
                <w:sz w:val="21"/>
                <w:szCs w:val="21"/>
                <w:highlight w:val="none"/>
              </w:rPr>
            </w:pPr>
          </w:p>
        </w:tc>
        <w:tc>
          <w:tcPr>
            <w:tcW w:w="709" w:type="dxa"/>
            <w:noWrap w:val="0"/>
            <w:vAlign w:val="center"/>
          </w:tcPr>
          <w:p w14:paraId="5BACD2E1">
            <w:pPr>
              <w:spacing w:line="360" w:lineRule="auto"/>
              <w:rPr>
                <w:rFonts w:hint="eastAsia" w:hAnsi="宋体" w:cs="宋体"/>
                <w:color w:val="auto"/>
                <w:sz w:val="21"/>
                <w:szCs w:val="21"/>
                <w:highlight w:val="none"/>
              </w:rPr>
            </w:pPr>
          </w:p>
        </w:tc>
        <w:tc>
          <w:tcPr>
            <w:tcW w:w="709" w:type="dxa"/>
            <w:noWrap w:val="0"/>
            <w:vAlign w:val="center"/>
          </w:tcPr>
          <w:p w14:paraId="01E5FC30">
            <w:pPr>
              <w:spacing w:line="360" w:lineRule="auto"/>
              <w:rPr>
                <w:rFonts w:hint="eastAsia" w:hAnsi="宋体" w:cs="宋体"/>
                <w:color w:val="auto"/>
                <w:sz w:val="21"/>
                <w:szCs w:val="21"/>
                <w:highlight w:val="none"/>
              </w:rPr>
            </w:pPr>
          </w:p>
        </w:tc>
        <w:tc>
          <w:tcPr>
            <w:tcW w:w="1417" w:type="dxa"/>
            <w:noWrap w:val="0"/>
            <w:vAlign w:val="center"/>
          </w:tcPr>
          <w:p w14:paraId="4F5319C9">
            <w:pPr>
              <w:spacing w:line="360" w:lineRule="auto"/>
              <w:rPr>
                <w:rFonts w:hint="eastAsia" w:hAnsi="宋体" w:cs="宋体"/>
                <w:color w:val="auto"/>
                <w:sz w:val="21"/>
                <w:szCs w:val="21"/>
                <w:highlight w:val="none"/>
              </w:rPr>
            </w:pPr>
          </w:p>
        </w:tc>
        <w:tc>
          <w:tcPr>
            <w:tcW w:w="1276" w:type="dxa"/>
            <w:noWrap w:val="0"/>
            <w:vAlign w:val="center"/>
          </w:tcPr>
          <w:p w14:paraId="64F26888">
            <w:pPr>
              <w:spacing w:line="360" w:lineRule="auto"/>
              <w:rPr>
                <w:rFonts w:hint="eastAsia" w:hAnsi="宋体" w:cs="宋体"/>
                <w:color w:val="auto"/>
                <w:sz w:val="21"/>
                <w:szCs w:val="21"/>
                <w:highlight w:val="none"/>
              </w:rPr>
            </w:pPr>
          </w:p>
        </w:tc>
        <w:tc>
          <w:tcPr>
            <w:tcW w:w="2218" w:type="dxa"/>
            <w:noWrap w:val="0"/>
            <w:vAlign w:val="center"/>
          </w:tcPr>
          <w:p w14:paraId="1AE37A06">
            <w:pPr>
              <w:spacing w:line="360" w:lineRule="auto"/>
              <w:rPr>
                <w:rFonts w:hint="eastAsia" w:hAnsi="宋体" w:cs="宋体"/>
                <w:color w:val="auto"/>
                <w:sz w:val="21"/>
                <w:szCs w:val="21"/>
                <w:highlight w:val="none"/>
              </w:rPr>
            </w:pPr>
          </w:p>
        </w:tc>
      </w:tr>
      <w:tr w14:paraId="1DE9C1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1F761F22">
            <w:pPr>
              <w:spacing w:line="360" w:lineRule="auto"/>
              <w:rPr>
                <w:rFonts w:hint="eastAsia" w:hAnsi="宋体" w:cs="宋体"/>
                <w:color w:val="auto"/>
                <w:sz w:val="21"/>
                <w:szCs w:val="21"/>
                <w:highlight w:val="none"/>
              </w:rPr>
            </w:pPr>
          </w:p>
        </w:tc>
        <w:tc>
          <w:tcPr>
            <w:tcW w:w="1837" w:type="dxa"/>
            <w:noWrap w:val="0"/>
            <w:vAlign w:val="center"/>
          </w:tcPr>
          <w:p w14:paraId="1D820153">
            <w:pPr>
              <w:spacing w:line="360" w:lineRule="auto"/>
              <w:rPr>
                <w:rFonts w:hint="eastAsia" w:hAnsi="宋体" w:cs="宋体"/>
                <w:color w:val="auto"/>
                <w:sz w:val="21"/>
                <w:szCs w:val="21"/>
                <w:highlight w:val="none"/>
              </w:rPr>
            </w:pPr>
          </w:p>
        </w:tc>
        <w:tc>
          <w:tcPr>
            <w:tcW w:w="709" w:type="dxa"/>
            <w:noWrap w:val="0"/>
            <w:vAlign w:val="center"/>
          </w:tcPr>
          <w:p w14:paraId="2451D48E">
            <w:pPr>
              <w:spacing w:line="360" w:lineRule="auto"/>
              <w:rPr>
                <w:rFonts w:hint="eastAsia" w:hAnsi="宋体" w:cs="宋体"/>
                <w:color w:val="auto"/>
                <w:sz w:val="21"/>
                <w:szCs w:val="21"/>
                <w:highlight w:val="none"/>
              </w:rPr>
            </w:pPr>
          </w:p>
        </w:tc>
        <w:tc>
          <w:tcPr>
            <w:tcW w:w="709" w:type="dxa"/>
            <w:noWrap w:val="0"/>
            <w:vAlign w:val="center"/>
          </w:tcPr>
          <w:p w14:paraId="6AD35F01">
            <w:pPr>
              <w:spacing w:line="360" w:lineRule="auto"/>
              <w:rPr>
                <w:rFonts w:hint="eastAsia" w:hAnsi="宋体" w:cs="宋体"/>
                <w:color w:val="auto"/>
                <w:sz w:val="21"/>
                <w:szCs w:val="21"/>
                <w:highlight w:val="none"/>
              </w:rPr>
            </w:pPr>
          </w:p>
        </w:tc>
        <w:tc>
          <w:tcPr>
            <w:tcW w:w="1417" w:type="dxa"/>
            <w:noWrap w:val="0"/>
            <w:vAlign w:val="center"/>
          </w:tcPr>
          <w:p w14:paraId="755E76AF">
            <w:pPr>
              <w:spacing w:line="360" w:lineRule="auto"/>
              <w:rPr>
                <w:rFonts w:hint="eastAsia" w:hAnsi="宋体" w:cs="宋体"/>
                <w:color w:val="auto"/>
                <w:sz w:val="21"/>
                <w:szCs w:val="21"/>
                <w:highlight w:val="none"/>
              </w:rPr>
            </w:pPr>
          </w:p>
        </w:tc>
        <w:tc>
          <w:tcPr>
            <w:tcW w:w="1276" w:type="dxa"/>
            <w:noWrap w:val="0"/>
            <w:vAlign w:val="center"/>
          </w:tcPr>
          <w:p w14:paraId="335E08B1">
            <w:pPr>
              <w:spacing w:line="360" w:lineRule="auto"/>
              <w:rPr>
                <w:rFonts w:hint="eastAsia" w:hAnsi="宋体" w:cs="宋体"/>
                <w:color w:val="auto"/>
                <w:sz w:val="21"/>
                <w:szCs w:val="21"/>
                <w:highlight w:val="none"/>
              </w:rPr>
            </w:pPr>
          </w:p>
        </w:tc>
        <w:tc>
          <w:tcPr>
            <w:tcW w:w="2218" w:type="dxa"/>
            <w:noWrap w:val="0"/>
            <w:vAlign w:val="center"/>
          </w:tcPr>
          <w:p w14:paraId="762BD097">
            <w:pPr>
              <w:spacing w:line="360" w:lineRule="auto"/>
              <w:rPr>
                <w:rFonts w:hint="eastAsia" w:hAnsi="宋体" w:cs="宋体"/>
                <w:color w:val="auto"/>
                <w:sz w:val="21"/>
                <w:szCs w:val="21"/>
                <w:highlight w:val="none"/>
              </w:rPr>
            </w:pPr>
          </w:p>
        </w:tc>
      </w:tr>
      <w:tr w14:paraId="7AB67C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78DD4F7F">
            <w:pPr>
              <w:spacing w:line="360" w:lineRule="auto"/>
              <w:rPr>
                <w:rFonts w:hint="eastAsia" w:hAnsi="宋体" w:cs="宋体"/>
                <w:color w:val="auto"/>
                <w:sz w:val="21"/>
                <w:szCs w:val="21"/>
                <w:highlight w:val="none"/>
              </w:rPr>
            </w:pPr>
          </w:p>
        </w:tc>
        <w:tc>
          <w:tcPr>
            <w:tcW w:w="1837" w:type="dxa"/>
            <w:noWrap w:val="0"/>
            <w:vAlign w:val="center"/>
          </w:tcPr>
          <w:p w14:paraId="45EB3BB1">
            <w:pPr>
              <w:spacing w:line="360" w:lineRule="auto"/>
              <w:rPr>
                <w:rFonts w:hint="eastAsia" w:hAnsi="宋体" w:cs="宋体"/>
                <w:color w:val="auto"/>
                <w:sz w:val="21"/>
                <w:szCs w:val="21"/>
                <w:highlight w:val="none"/>
              </w:rPr>
            </w:pPr>
          </w:p>
        </w:tc>
        <w:tc>
          <w:tcPr>
            <w:tcW w:w="709" w:type="dxa"/>
            <w:noWrap w:val="0"/>
            <w:vAlign w:val="center"/>
          </w:tcPr>
          <w:p w14:paraId="779B3D0B">
            <w:pPr>
              <w:spacing w:line="360" w:lineRule="auto"/>
              <w:rPr>
                <w:rFonts w:hint="eastAsia" w:hAnsi="宋体" w:cs="宋体"/>
                <w:color w:val="auto"/>
                <w:sz w:val="21"/>
                <w:szCs w:val="21"/>
                <w:highlight w:val="none"/>
              </w:rPr>
            </w:pPr>
          </w:p>
        </w:tc>
        <w:tc>
          <w:tcPr>
            <w:tcW w:w="709" w:type="dxa"/>
            <w:noWrap w:val="0"/>
            <w:vAlign w:val="center"/>
          </w:tcPr>
          <w:p w14:paraId="56291C37">
            <w:pPr>
              <w:spacing w:line="360" w:lineRule="auto"/>
              <w:rPr>
                <w:rFonts w:hint="eastAsia" w:hAnsi="宋体" w:cs="宋体"/>
                <w:color w:val="auto"/>
                <w:sz w:val="21"/>
                <w:szCs w:val="21"/>
                <w:highlight w:val="none"/>
              </w:rPr>
            </w:pPr>
          </w:p>
        </w:tc>
        <w:tc>
          <w:tcPr>
            <w:tcW w:w="1417" w:type="dxa"/>
            <w:noWrap w:val="0"/>
            <w:vAlign w:val="center"/>
          </w:tcPr>
          <w:p w14:paraId="2E316724">
            <w:pPr>
              <w:spacing w:line="360" w:lineRule="auto"/>
              <w:rPr>
                <w:rFonts w:hint="eastAsia" w:hAnsi="宋体" w:cs="宋体"/>
                <w:color w:val="auto"/>
                <w:sz w:val="21"/>
                <w:szCs w:val="21"/>
                <w:highlight w:val="none"/>
              </w:rPr>
            </w:pPr>
          </w:p>
        </w:tc>
        <w:tc>
          <w:tcPr>
            <w:tcW w:w="1276" w:type="dxa"/>
            <w:noWrap w:val="0"/>
            <w:vAlign w:val="center"/>
          </w:tcPr>
          <w:p w14:paraId="1457703A">
            <w:pPr>
              <w:spacing w:line="360" w:lineRule="auto"/>
              <w:rPr>
                <w:rFonts w:hint="eastAsia" w:hAnsi="宋体" w:cs="宋体"/>
                <w:color w:val="auto"/>
                <w:sz w:val="21"/>
                <w:szCs w:val="21"/>
                <w:highlight w:val="none"/>
              </w:rPr>
            </w:pPr>
          </w:p>
        </w:tc>
        <w:tc>
          <w:tcPr>
            <w:tcW w:w="2218" w:type="dxa"/>
            <w:noWrap w:val="0"/>
            <w:vAlign w:val="center"/>
          </w:tcPr>
          <w:p w14:paraId="06972916">
            <w:pPr>
              <w:spacing w:line="360" w:lineRule="auto"/>
              <w:rPr>
                <w:rFonts w:hint="eastAsia" w:hAnsi="宋体" w:cs="宋体"/>
                <w:color w:val="auto"/>
                <w:sz w:val="21"/>
                <w:szCs w:val="21"/>
                <w:highlight w:val="none"/>
              </w:rPr>
            </w:pPr>
          </w:p>
        </w:tc>
      </w:tr>
      <w:tr w14:paraId="2E9B8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14:paraId="52F0C414">
            <w:pPr>
              <w:spacing w:line="360" w:lineRule="auto"/>
              <w:rPr>
                <w:rFonts w:hint="eastAsia" w:hAnsi="宋体" w:cs="宋体"/>
                <w:color w:val="auto"/>
                <w:sz w:val="21"/>
                <w:szCs w:val="21"/>
                <w:highlight w:val="none"/>
              </w:rPr>
            </w:pPr>
          </w:p>
        </w:tc>
        <w:tc>
          <w:tcPr>
            <w:tcW w:w="1837" w:type="dxa"/>
            <w:noWrap w:val="0"/>
            <w:vAlign w:val="center"/>
          </w:tcPr>
          <w:p w14:paraId="3B4753C5">
            <w:pPr>
              <w:spacing w:line="360" w:lineRule="auto"/>
              <w:rPr>
                <w:rFonts w:hint="eastAsia" w:hAnsi="宋体" w:cs="宋体"/>
                <w:color w:val="auto"/>
                <w:sz w:val="21"/>
                <w:szCs w:val="21"/>
                <w:highlight w:val="none"/>
              </w:rPr>
            </w:pPr>
          </w:p>
        </w:tc>
        <w:tc>
          <w:tcPr>
            <w:tcW w:w="709" w:type="dxa"/>
            <w:noWrap w:val="0"/>
            <w:vAlign w:val="center"/>
          </w:tcPr>
          <w:p w14:paraId="4781D284">
            <w:pPr>
              <w:spacing w:line="360" w:lineRule="auto"/>
              <w:rPr>
                <w:rFonts w:hint="eastAsia" w:hAnsi="宋体" w:cs="宋体"/>
                <w:color w:val="auto"/>
                <w:sz w:val="21"/>
                <w:szCs w:val="21"/>
                <w:highlight w:val="none"/>
              </w:rPr>
            </w:pPr>
          </w:p>
        </w:tc>
        <w:tc>
          <w:tcPr>
            <w:tcW w:w="709" w:type="dxa"/>
            <w:noWrap w:val="0"/>
            <w:vAlign w:val="center"/>
          </w:tcPr>
          <w:p w14:paraId="123617B8">
            <w:pPr>
              <w:spacing w:line="360" w:lineRule="auto"/>
              <w:rPr>
                <w:rFonts w:hint="eastAsia" w:hAnsi="宋体" w:cs="宋体"/>
                <w:color w:val="auto"/>
                <w:sz w:val="21"/>
                <w:szCs w:val="21"/>
                <w:highlight w:val="none"/>
              </w:rPr>
            </w:pPr>
          </w:p>
        </w:tc>
        <w:tc>
          <w:tcPr>
            <w:tcW w:w="1417" w:type="dxa"/>
            <w:noWrap w:val="0"/>
            <w:vAlign w:val="center"/>
          </w:tcPr>
          <w:p w14:paraId="42CC828A">
            <w:pPr>
              <w:spacing w:line="360" w:lineRule="auto"/>
              <w:rPr>
                <w:rFonts w:hint="eastAsia" w:hAnsi="宋体" w:cs="宋体"/>
                <w:color w:val="auto"/>
                <w:sz w:val="21"/>
                <w:szCs w:val="21"/>
                <w:highlight w:val="none"/>
              </w:rPr>
            </w:pPr>
          </w:p>
        </w:tc>
        <w:tc>
          <w:tcPr>
            <w:tcW w:w="1276" w:type="dxa"/>
            <w:noWrap w:val="0"/>
            <w:vAlign w:val="center"/>
          </w:tcPr>
          <w:p w14:paraId="36C4A261">
            <w:pPr>
              <w:spacing w:line="360" w:lineRule="auto"/>
              <w:rPr>
                <w:rFonts w:hint="eastAsia" w:hAnsi="宋体" w:cs="宋体"/>
                <w:color w:val="auto"/>
                <w:sz w:val="21"/>
                <w:szCs w:val="21"/>
                <w:highlight w:val="none"/>
              </w:rPr>
            </w:pPr>
          </w:p>
        </w:tc>
        <w:tc>
          <w:tcPr>
            <w:tcW w:w="2218" w:type="dxa"/>
            <w:noWrap w:val="0"/>
            <w:vAlign w:val="center"/>
          </w:tcPr>
          <w:p w14:paraId="54C2C7DE">
            <w:pPr>
              <w:spacing w:line="360" w:lineRule="auto"/>
              <w:rPr>
                <w:rFonts w:hint="eastAsia" w:hAnsi="宋体" w:cs="宋体"/>
                <w:color w:val="auto"/>
                <w:sz w:val="21"/>
                <w:szCs w:val="21"/>
                <w:highlight w:val="none"/>
              </w:rPr>
            </w:pPr>
          </w:p>
        </w:tc>
      </w:tr>
    </w:tbl>
    <w:p w14:paraId="5854ED9E">
      <w:pPr>
        <w:rPr>
          <w:rFonts w:hint="eastAsia" w:hAnsi="宋体" w:cs="宋体"/>
          <w:color w:val="auto"/>
          <w:sz w:val="21"/>
          <w:szCs w:val="21"/>
          <w:highlight w:val="none"/>
        </w:rPr>
      </w:pPr>
      <w:r>
        <w:rPr>
          <w:rFonts w:hint="eastAsia" w:hAnsi="宋体" w:cs="宋体"/>
          <w:color w:val="auto"/>
          <w:sz w:val="21"/>
          <w:szCs w:val="21"/>
          <w:highlight w:val="none"/>
        </w:rPr>
        <w:t>注  1.此表在不改变表式的情况下，可自行制作。</w:t>
      </w:r>
    </w:p>
    <w:p w14:paraId="6BB7E657">
      <w:pPr>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2.提供相关专业人员的资格执业证书复印件并加盖公章。</w:t>
      </w:r>
    </w:p>
    <w:p w14:paraId="6B94A653">
      <w:pPr>
        <w:spacing w:line="500" w:lineRule="exact"/>
        <w:ind w:firstLine="420" w:firstLineChars="200"/>
        <w:rPr>
          <w:rFonts w:hint="eastAsia" w:hAnsi="宋体" w:cs="宋体"/>
          <w:color w:val="auto"/>
          <w:sz w:val="21"/>
          <w:szCs w:val="21"/>
          <w:highlight w:val="none"/>
        </w:rPr>
      </w:pPr>
    </w:p>
    <w:p w14:paraId="013D1022">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57BA072A">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投标人（或联合体投标人的牵头单位）全称（加盖公章）：                     </w:t>
      </w:r>
    </w:p>
    <w:p w14:paraId="7A9AD263">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日期：  年  月   日</w:t>
      </w:r>
    </w:p>
    <w:p w14:paraId="0F8B663F">
      <w:pPr>
        <w:rPr>
          <w:rFonts w:hint="eastAsia" w:hAnsi="宋体" w:cs="宋体"/>
          <w:color w:val="auto"/>
          <w:sz w:val="21"/>
          <w:szCs w:val="21"/>
          <w:highlight w:val="none"/>
        </w:rPr>
      </w:pPr>
    </w:p>
    <w:p w14:paraId="68762068">
      <w:pPr>
        <w:pStyle w:val="43"/>
        <w:widowControl w:val="0"/>
        <w:jc w:val="center"/>
        <w:rPr>
          <w:rFonts w:hint="eastAsia" w:ascii="宋体" w:cs="宋体"/>
          <w:b/>
          <w:color w:val="auto"/>
          <w:sz w:val="28"/>
          <w:szCs w:val="20"/>
          <w:highlight w:val="none"/>
        </w:rPr>
      </w:pPr>
    </w:p>
    <w:p w14:paraId="26E57E21">
      <w:pPr>
        <w:rPr>
          <w:rFonts w:hint="eastAsia" w:cs="宋体"/>
          <w:b/>
          <w:color w:val="auto"/>
          <w:sz w:val="28"/>
          <w:highlight w:val="none"/>
        </w:rPr>
      </w:pPr>
    </w:p>
    <w:p w14:paraId="23DE31F6">
      <w:pPr>
        <w:snapToGrid w:val="0"/>
        <w:spacing w:line="440" w:lineRule="exact"/>
        <w:ind w:firstLine="482" w:firstLineChars="200"/>
        <w:jc w:val="center"/>
        <w:rPr>
          <w:rFonts w:hint="eastAsia" w:hAnsi="宋体" w:cs="宋体"/>
          <w:b/>
          <w:bCs/>
          <w:color w:val="auto"/>
          <w:sz w:val="24"/>
          <w:szCs w:val="24"/>
          <w:highlight w:val="none"/>
          <w:lang w:bidi="ar"/>
        </w:rPr>
      </w:pPr>
      <w:r>
        <w:rPr>
          <w:rFonts w:hint="eastAsia" w:hAnsi="宋体" w:cs="宋体"/>
          <w:b/>
          <w:bCs/>
          <w:color w:val="auto"/>
          <w:sz w:val="24"/>
          <w:szCs w:val="24"/>
          <w:highlight w:val="none"/>
          <w:lang w:val="en-US" w:eastAsia="zh-CN" w:bidi="ar"/>
        </w:rPr>
        <w:t>6</w:t>
      </w:r>
      <w:r>
        <w:rPr>
          <w:rFonts w:hint="eastAsia" w:hAnsi="宋体" w:cs="宋体"/>
          <w:b/>
          <w:bCs/>
          <w:color w:val="auto"/>
          <w:sz w:val="24"/>
          <w:szCs w:val="24"/>
          <w:highlight w:val="none"/>
          <w:lang w:bidi="ar"/>
        </w:rPr>
        <w:t>. 服务要求响应表</w:t>
      </w:r>
    </w:p>
    <w:tbl>
      <w:tblPr>
        <w:tblStyle w:val="47"/>
        <w:tblW w:w="904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91"/>
        <w:gridCol w:w="3230"/>
        <w:gridCol w:w="1779"/>
      </w:tblGrid>
      <w:tr w14:paraId="696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8" w:type="dxa"/>
            <w:noWrap w:val="0"/>
            <w:vAlign w:val="center"/>
          </w:tcPr>
          <w:p w14:paraId="7B046C4C">
            <w:pPr>
              <w:spacing w:line="300" w:lineRule="auto"/>
              <w:jc w:val="center"/>
              <w:rPr>
                <w:rFonts w:hint="eastAsia" w:hAnsi="宋体" w:cs="宋体"/>
                <w:color w:val="auto"/>
                <w:sz w:val="21"/>
                <w:szCs w:val="21"/>
                <w:highlight w:val="none"/>
              </w:rPr>
            </w:pPr>
            <w:r>
              <w:rPr>
                <w:rFonts w:hint="eastAsia" w:hAnsi="宋体" w:cs="宋体"/>
                <w:color w:val="auto"/>
                <w:sz w:val="21"/>
                <w:szCs w:val="21"/>
                <w:highlight w:val="none"/>
              </w:rPr>
              <w:t>服务项目</w:t>
            </w:r>
          </w:p>
        </w:tc>
        <w:tc>
          <w:tcPr>
            <w:tcW w:w="2791" w:type="dxa"/>
            <w:noWrap w:val="0"/>
            <w:vAlign w:val="center"/>
          </w:tcPr>
          <w:p w14:paraId="1B860434">
            <w:pPr>
              <w:spacing w:line="300" w:lineRule="auto"/>
              <w:jc w:val="center"/>
              <w:rPr>
                <w:rFonts w:hint="eastAsia" w:hAnsi="宋体" w:cs="宋体"/>
                <w:color w:val="auto"/>
                <w:sz w:val="21"/>
                <w:szCs w:val="21"/>
                <w:highlight w:val="none"/>
              </w:rPr>
            </w:pPr>
            <w:r>
              <w:rPr>
                <w:rFonts w:hint="eastAsia" w:hAnsi="宋体" w:cs="宋体"/>
                <w:color w:val="auto"/>
                <w:sz w:val="21"/>
                <w:szCs w:val="21"/>
                <w:highlight w:val="none"/>
              </w:rPr>
              <w:t>招标采购文件的服务要求</w:t>
            </w:r>
          </w:p>
        </w:tc>
        <w:tc>
          <w:tcPr>
            <w:tcW w:w="3230" w:type="dxa"/>
            <w:noWrap w:val="0"/>
            <w:vAlign w:val="center"/>
          </w:tcPr>
          <w:p w14:paraId="1A7E9758">
            <w:pPr>
              <w:spacing w:line="300" w:lineRule="auto"/>
              <w:jc w:val="center"/>
              <w:rPr>
                <w:rFonts w:hint="eastAsia" w:hAnsi="宋体" w:cs="宋体"/>
                <w:color w:val="auto"/>
                <w:sz w:val="21"/>
                <w:szCs w:val="21"/>
                <w:highlight w:val="none"/>
              </w:rPr>
            </w:pPr>
            <w:r>
              <w:rPr>
                <w:rFonts w:hint="eastAsia" w:hAnsi="宋体" w:cs="宋体"/>
                <w:color w:val="auto"/>
                <w:sz w:val="21"/>
                <w:szCs w:val="21"/>
                <w:highlight w:val="none"/>
              </w:rPr>
              <w:t>投标文件的服务承诺</w:t>
            </w:r>
          </w:p>
        </w:tc>
        <w:tc>
          <w:tcPr>
            <w:tcW w:w="1779" w:type="dxa"/>
            <w:noWrap w:val="0"/>
            <w:vAlign w:val="center"/>
          </w:tcPr>
          <w:p w14:paraId="344D3992">
            <w:pPr>
              <w:spacing w:line="300" w:lineRule="auto"/>
              <w:jc w:val="center"/>
              <w:rPr>
                <w:rFonts w:hint="eastAsia" w:hAnsi="宋体" w:cs="宋体"/>
                <w:color w:val="auto"/>
                <w:sz w:val="21"/>
                <w:szCs w:val="21"/>
                <w:highlight w:val="none"/>
              </w:rPr>
            </w:pPr>
            <w:r>
              <w:rPr>
                <w:rFonts w:hint="eastAsia" w:hAnsi="宋体" w:cs="宋体"/>
                <w:color w:val="auto"/>
                <w:sz w:val="21"/>
                <w:szCs w:val="21"/>
                <w:highlight w:val="none"/>
              </w:rPr>
              <w:t>是否响应</w:t>
            </w:r>
          </w:p>
        </w:tc>
      </w:tr>
      <w:tr w14:paraId="6CC7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4A44D506">
            <w:pPr>
              <w:spacing w:line="300" w:lineRule="auto"/>
              <w:jc w:val="center"/>
              <w:rPr>
                <w:rFonts w:hint="eastAsia" w:hAnsi="宋体" w:cs="宋体"/>
                <w:color w:val="auto"/>
                <w:sz w:val="21"/>
                <w:szCs w:val="21"/>
                <w:highlight w:val="none"/>
              </w:rPr>
            </w:pPr>
          </w:p>
        </w:tc>
        <w:tc>
          <w:tcPr>
            <w:tcW w:w="2791" w:type="dxa"/>
            <w:noWrap w:val="0"/>
            <w:vAlign w:val="center"/>
          </w:tcPr>
          <w:p w14:paraId="1E12D66F">
            <w:pPr>
              <w:spacing w:line="300" w:lineRule="auto"/>
              <w:jc w:val="center"/>
              <w:rPr>
                <w:rFonts w:hint="eastAsia" w:hAnsi="宋体" w:cs="宋体"/>
                <w:color w:val="auto"/>
                <w:sz w:val="21"/>
                <w:szCs w:val="21"/>
                <w:highlight w:val="none"/>
              </w:rPr>
            </w:pPr>
          </w:p>
        </w:tc>
        <w:tc>
          <w:tcPr>
            <w:tcW w:w="3230" w:type="dxa"/>
            <w:noWrap w:val="0"/>
            <w:vAlign w:val="center"/>
          </w:tcPr>
          <w:p w14:paraId="1E72A313">
            <w:pPr>
              <w:spacing w:line="300" w:lineRule="auto"/>
              <w:jc w:val="center"/>
              <w:rPr>
                <w:rFonts w:hint="eastAsia" w:hAnsi="宋体" w:cs="宋体"/>
                <w:color w:val="auto"/>
                <w:sz w:val="21"/>
                <w:szCs w:val="21"/>
                <w:highlight w:val="none"/>
              </w:rPr>
            </w:pPr>
          </w:p>
        </w:tc>
        <w:tc>
          <w:tcPr>
            <w:tcW w:w="1779" w:type="dxa"/>
            <w:noWrap w:val="0"/>
            <w:vAlign w:val="center"/>
          </w:tcPr>
          <w:p w14:paraId="64F81B12">
            <w:pPr>
              <w:spacing w:line="300" w:lineRule="auto"/>
              <w:jc w:val="center"/>
              <w:rPr>
                <w:rFonts w:hint="eastAsia" w:hAnsi="宋体" w:cs="宋体"/>
                <w:color w:val="auto"/>
                <w:sz w:val="21"/>
                <w:szCs w:val="21"/>
                <w:highlight w:val="none"/>
              </w:rPr>
            </w:pPr>
          </w:p>
        </w:tc>
      </w:tr>
      <w:tr w14:paraId="2BFD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3CCCDE4A">
            <w:pPr>
              <w:spacing w:line="300" w:lineRule="auto"/>
              <w:jc w:val="center"/>
              <w:rPr>
                <w:rFonts w:hint="eastAsia" w:hAnsi="宋体" w:cs="宋体"/>
                <w:color w:val="auto"/>
                <w:sz w:val="21"/>
                <w:szCs w:val="21"/>
                <w:highlight w:val="none"/>
              </w:rPr>
            </w:pPr>
          </w:p>
        </w:tc>
        <w:tc>
          <w:tcPr>
            <w:tcW w:w="2791" w:type="dxa"/>
            <w:noWrap w:val="0"/>
            <w:vAlign w:val="center"/>
          </w:tcPr>
          <w:p w14:paraId="186C72B9">
            <w:pPr>
              <w:spacing w:line="300" w:lineRule="auto"/>
              <w:jc w:val="center"/>
              <w:rPr>
                <w:rFonts w:hint="eastAsia" w:hAnsi="宋体" w:cs="宋体"/>
                <w:color w:val="auto"/>
                <w:sz w:val="21"/>
                <w:szCs w:val="21"/>
                <w:highlight w:val="none"/>
              </w:rPr>
            </w:pPr>
          </w:p>
        </w:tc>
        <w:tc>
          <w:tcPr>
            <w:tcW w:w="3230" w:type="dxa"/>
            <w:noWrap w:val="0"/>
            <w:vAlign w:val="center"/>
          </w:tcPr>
          <w:p w14:paraId="038949AD">
            <w:pPr>
              <w:spacing w:line="300" w:lineRule="auto"/>
              <w:jc w:val="center"/>
              <w:rPr>
                <w:rFonts w:hint="eastAsia" w:hAnsi="宋体" w:cs="宋体"/>
                <w:color w:val="auto"/>
                <w:sz w:val="21"/>
                <w:szCs w:val="21"/>
                <w:highlight w:val="none"/>
              </w:rPr>
            </w:pPr>
          </w:p>
        </w:tc>
        <w:tc>
          <w:tcPr>
            <w:tcW w:w="1779" w:type="dxa"/>
            <w:noWrap w:val="0"/>
            <w:vAlign w:val="center"/>
          </w:tcPr>
          <w:p w14:paraId="64EC3548">
            <w:pPr>
              <w:spacing w:line="300" w:lineRule="auto"/>
              <w:jc w:val="center"/>
              <w:rPr>
                <w:rFonts w:hint="eastAsia" w:hAnsi="宋体" w:cs="宋体"/>
                <w:color w:val="auto"/>
                <w:sz w:val="21"/>
                <w:szCs w:val="21"/>
                <w:highlight w:val="none"/>
              </w:rPr>
            </w:pPr>
          </w:p>
        </w:tc>
      </w:tr>
      <w:tr w14:paraId="09A9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775A104A">
            <w:pPr>
              <w:spacing w:line="300" w:lineRule="auto"/>
              <w:jc w:val="center"/>
              <w:rPr>
                <w:rFonts w:hint="eastAsia" w:hAnsi="宋体" w:cs="宋体"/>
                <w:color w:val="auto"/>
                <w:sz w:val="21"/>
                <w:szCs w:val="21"/>
                <w:highlight w:val="none"/>
              </w:rPr>
            </w:pPr>
          </w:p>
        </w:tc>
        <w:tc>
          <w:tcPr>
            <w:tcW w:w="2791" w:type="dxa"/>
            <w:noWrap w:val="0"/>
            <w:vAlign w:val="center"/>
          </w:tcPr>
          <w:p w14:paraId="3D7A28E7">
            <w:pPr>
              <w:spacing w:line="300" w:lineRule="auto"/>
              <w:jc w:val="center"/>
              <w:rPr>
                <w:rFonts w:hint="eastAsia" w:hAnsi="宋体" w:cs="宋体"/>
                <w:color w:val="auto"/>
                <w:sz w:val="21"/>
                <w:szCs w:val="21"/>
                <w:highlight w:val="none"/>
              </w:rPr>
            </w:pPr>
          </w:p>
        </w:tc>
        <w:tc>
          <w:tcPr>
            <w:tcW w:w="3230" w:type="dxa"/>
            <w:noWrap w:val="0"/>
            <w:vAlign w:val="center"/>
          </w:tcPr>
          <w:p w14:paraId="0C441CC7">
            <w:pPr>
              <w:spacing w:line="300" w:lineRule="auto"/>
              <w:jc w:val="center"/>
              <w:rPr>
                <w:rFonts w:hint="eastAsia" w:hAnsi="宋体" w:cs="宋体"/>
                <w:color w:val="auto"/>
                <w:sz w:val="21"/>
                <w:szCs w:val="21"/>
                <w:highlight w:val="none"/>
              </w:rPr>
            </w:pPr>
          </w:p>
        </w:tc>
        <w:tc>
          <w:tcPr>
            <w:tcW w:w="1779" w:type="dxa"/>
            <w:noWrap w:val="0"/>
            <w:vAlign w:val="center"/>
          </w:tcPr>
          <w:p w14:paraId="12AA7C88">
            <w:pPr>
              <w:spacing w:line="300" w:lineRule="auto"/>
              <w:jc w:val="center"/>
              <w:rPr>
                <w:rFonts w:hint="eastAsia" w:hAnsi="宋体" w:cs="宋体"/>
                <w:color w:val="auto"/>
                <w:sz w:val="21"/>
                <w:szCs w:val="21"/>
                <w:highlight w:val="none"/>
              </w:rPr>
            </w:pPr>
          </w:p>
        </w:tc>
      </w:tr>
      <w:tr w14:paraId="4C98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44C48E9F">
            <w:pPr>
              <w:spacing w:line="300" w:lineRule="auto"/>
              <w:jc w:val="center"/>
              <w:rPr>
                <w:rFonts w:hint="eastAsia" w:hAnsi="宋体" w:cs="宋体"/>
                <w:color w:val="auto"/>
                <w:sz w:val="21"/>
                <w:szCs w:val="21"/>
                <w:highlight w:val="none"/>
              </w:rPr>
            </w:pPr>
          </w:p>
        </w:tc>
        <w:tc>
          <w:tcPr>
            <w:tcW w:w="2791" w:type="dxa"/>
            <w:noWrap w:val="0"/>
            <w:vAlign w:val="center"/>
          </w:tcPr>
          <w:p w14:paraId="3919E457">
            <w:pPr>
              <w:spacing w:line="300" w:lineRule="auto"/>
              <w:jc w:val="center"/>
              <w:rPr>
                <w:rFonts w:hint="eastAsia" w:hAnsi="宋体" w:cs="宋体"/>
                <w:color w:val="auto"/>
                <w:sz w:val="21"/>
                <w:szCs w:val="21"/>
                <w:highlight w:val="none"/>
              </w:rPr>
            </w:pPr>
          </w:p>
        </w:tc>
        <w:tc>
          <w:tcPr>
            <w:tcW w:w="3230" w:type="dxa"/>
            <w:noWrap w:val="0"/>
            <w:vAlign w:val="center"/>
          </w:tcPr>
          <w:p w14:paraId="2AB2FD6A">
            <w:pPr>
              <w:spacing w:line="300" w:lineRule="auto"/>
              <w:jc w:val="center"/>
              <w:rPr>
                <w:rFonts w:hint="eastAsia" w:hAnsi="宋体" w:cs="宋体"/>
                <w:color w:val="auto"/>
                <w:sz w:val="21"/>
                <w:szCs w:val="21"/>
                <w:highlight w:val="none"/>
              </w:rPr>
            </w:pPr>
          </w:p>
        </w:tc>
        <w:tc>
          <w:tcPr>
            <w:tcW w:w="1779" w:type="dxa"/>
            <w:noWrap w:val="0"/>
            <w:vAlign w:val="center"/>
          </w:tcPr>
          <w:p w14:paraId="41EA12DF">
            <w:pPr>
              <w:spacing w:line="300" w:lineRule="auto"/>
              <w:jc w:val="center"/>
              <w:rPr>
                <w:rFonts w:hint="eastAsia" w:hAnsi="宋体" w:cs="宋体"/>
                <w:color w:val="auto"/>
                <w:sz w:val="21"/>
                <w:szCs w:val="21"/>
                <w:highlight w:val="none"/>
              </w:rPr>
            </w:pPr>
          </w:p>
        </w:tc>
      </w:tr>
      <w:tr w14:paraId="6E42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783ECCAD">
            <w:pPr>
              <w:spacing w:line="300" w:lineRule="auto"/>
              <w:jc w:val="center"/>
              <w:rPr>
                <w:rFonts w:hint="eastAsia" w:hAnsi="宋体" w:cs="宋体"/>
                <w:color w:val="auto"/>
                <w:sz w:val="21"/>
                <w:szCs w:val="21"/>
                <w:highlight w:val="none"/>
              </w:rPr>
            </w:pPr>
          </w:p>
        </w:tc>
        <w:tc>
          <w:tcPr>
            <w:tcW w:w="2791" w:type="dxa"/>
            <w:noWrap w:val="0"/>
            <w:vAlign w:val="center"/>
          </w:tcPr>
          <w:p w14:paraId="3598AD49">
            <w:pPr>
              <w:spacing w:line="300" w:lineRule="auto"/>
              <w:jc w:val="center"/>
              <w:rPr>
                <w:rFonts w:hint="eastAsia" w:hAnsi="宋体" w:cs="宋体"/>
                <w:color w:val="auto"/>
                <w:sz w:val="21"/>
                <w:szCs w:val="21"/>
                <w:highlight w:val="none"/>
              </w:rPr>
            </w:pPr>
          </w:p>
        </w:tc>
        <w:tc>
          <w:tcPr>
            <w:tcW w:w="3230" w:type="dxa"/>
            <w:noWrap w:val="0"/>
            <w:vAlign w:val="center"/>
          </w:tcPr>
          <w:p w14:paraId="7D96A02C">
            <w:pPr>
              <w:spacing w:line="300" w:lineRule="auto"/>
              <w:jc w:val="center"/>
              <w:rPr>
                <w:rFonts w:hint="eastAsia" w:hAnsi="宋体" w:cs="宋体"/>
                <w:color w:val="auto"/>
                <w:sz w:val="21"/>
                <w:szCs w:val="21"/>
                <w:highlight w:val="none"/>
              </w:rPr>
            </w:pPr>
          </w:p>
        </w:tc>
        <w:tc>
          <w:tcPr>
            <w:tcW w:w="1779" w:type="dxa"/>
            <w:noWrap w:val="0"/>
            <w:vAlign w:val="center"/>
          </w:tcPr>
          <w:p w14:paraId="110AD5A8">
            <w:pPr>
              <w:spacing w:line="300" w:lineRule="auto"/>
              <w:jc w:val="center"/>
              <w:rPr>
                <w:rFonts w:hint="eastAsia" w:hAnsi="宋体" w:cs="宋体"/>
                <w:color w:val="auto"/>
                <w:sz w:val="21"/>
                <w:szCs w:val="21"/>
                <w:highlight w:val="none"/>
              </w:rPr>
            </w:pPr>
          </w:p>
        </w:tc>
      </w:tr>
      <w:tr w14:paraId="5503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54B95595">
            <w:pPr>
              <w:spacing w:line="300" w:lineRule="auto"/>
              <w:jc w:val="center"/>
              <w:rPr>
                <w:rFonts w:hint="eastAsia" w:hAnsi="宋体" w:cs="宋体"/>
                <w:color w:val="auto"/>
                <w:sz w:val="21"/>
                <w:szCs w:val="21"/>
                <w:highlight w:val="none"/>
              </w:rPr>
            </w:pPr>
          </w:p>
        </w:tc>
        <w:tc>
          <w:tcPr>
            <w:tcW w:w="2791" w:type="dxa"/>
            <w:noWrap w:val="0"/>
            <w:vAlign w:val="center"/>
          </w:tcPr>
          <w:p w14:paraId="4EC5BA44">
            <w:pPr>
              <w:spacing w:line="300" w:lineRule="auto"/>
              <w:jc w:val="center"/>
              <w:rPr>
                <w:rFonts w:hint="eastAsia" w:hAnsi="宋体" w:cs="宋体"/>
                <w:color w:val="auto"/>
                <w:sz w:val="21"/>
                <w:szCs w:val="21"/>
                <w:highlight w:val="none"/>
              </w:rPr>
            </w:pPr>
          </w:p>
        </w:tc>
        <w:tc>
          <w:tcPr>
            <w:tcW w:w="3230" w:type="dxa"/>
            <w:noWrap w:val="0"/>
            <w:vAlign w:val="center"/>
          </w:tcPr>
          <w:p w14:paraId="68471BB8">
            <w:pPr>
              <w:spacing w:line="300" w:lineRule="auto"/>
              <w:jc w:val="center"/>
              <w:rPr>
                <w:rFonts w:hint="eastAsia" w:hAnsi="宋体" w:cs="宋体"/>
                <w:color w:val="auto"/>
                <w:sz w:val="21"/>
                <w:szCs w:val="21"/>
                <w:highlight w:val="none"/>
              </w:rPr>
            </w:pPr>
          </w:p>
        </w:tc>
        <w:tc>
          <w:tcPr>
            <w:tcW w:w="1779" w:type="dxa"/>
            <w:noWrap w:val="0"/>
            <w:vAlign w:val="center"/>
          </w:tcPr>
          <w:p w14:paraId="50031AF6">
            <w:pPr>
              <w:spacing w:line="300" w:lineRule="auto"/>
              <w:jc w:val="center"/>
              <w:rPr>
                <w:rFonts w:hint="eastAsia" w:hAnsi="宋体" w:cs="宋体"/>
                <w:color w:val="auto"/>
                <w:sz w:val="21"/>
                <w:szCs w:val="21"/>
                <w:highlight w:val="none"/>
              </w:rPr>
            </w:pPr>
          </w:p>
        </w:tc>
      </w:tr>
      <w:tr w14:paraId="0E39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41A4A141">
            <w:pPr>
              <w:spacing w:line="300" w:lineRule="auto"/>
              <w:jc w:val="center"/>
              <w:rPr>
                <w:rFonts w:hint="eastAsia" w:hAnsi="宋体" w:cs="宋体"/>
                <w:color w:val="auto"/>
                <w:sz w:val="21"/>
                <w:szCs w:val="21"/>
                <w:highlight w:val="none"/>
              </w:rPr>
            </w:pPr>
          </w:p>
        </w:tc>
        <w:tc>
          <w:tcPr>
            <w:tcW w:w="2791" w:type="dxa"/>
            <w:noWrap w:val="0"/>
            <w:vAlign w:val="center"/>
          </w:tcPr>
          <w:p w14:paraId="0982DCD0">
            <w:pPr>
              <w:spacing w:line="300" w:lineRule="auto"/>
              <w:jc w:val="center"/>
              <w:rPr>
                <w:rFonts w:hint="eastAsia" w:hAnsi="宋体" w:cs="宋体"/>
                <w:color w:val="auto"/>
                <w:sz w:val="21"/>
                <w:szCs w:val="21"/>
                <w:highlight w:val="none"/>
              </w:rPr>
            </w:pPr>
          </w:p>
        </w:tc>
        <w:tc>
          <w:tcPr>
            <w:tcW w:w="3230" w:type="dxa"/>
            <w:noWrap w:val="0"/>
            <w:vAlign w:val="center"/>
          </w:tcPr>
          <w:p w14:paraId="7683ED9D">
            <w:pPr>
              <w:spacing w:line="300" w:lineRule="auto"/>
              <w:jc w:val="center"/>
              <w:rPr>
                <w:rFonts w:hint="eastAsia" w:hAnsi="宋体" w:cs="宋体"/>
                <w:color w:val="auto"/>
                <w:sz w:val="21"/>
                <w:szCs w:val="21"/>
                <w:highlight w:val="none"/>
              </w:rPr>
            </w:pPr>
          </w:p>
        </w:tc>
        <w:tc>
          <w:tcPr>
            <w:tcW w:w="1779" w:type="dxa"/>
            <w:noWrap w:val="0"/>
            <w:vAlign w:val="center"/>
          </w:tcPr>
          <w:p w14:paraId="055D3D9C">
            <w:pPr>
              <w:spacing w:line="300" w:lineRule="auto"/>
              <w:jc w:val="center"/>
              <w:rPr>
                <w:rFonts w:hint="eastAsia" w:hAnsi="宋体" w:cs="宋体"/>
                <w:color w:val="auto"/>
                <w:sz w:val="21"/>
                <w:szCs w:val="21"/>
                <w:highlight w:val="none"/>
              </w:rPr>
            </w:pPr>
          </w:p>
        </w:tc>
      </w:tr>
      <w:tr w14:paraId="03B2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34EF4020">
            <w:pPr>
              <w:spacing w:line="300" w:lineRule="auto"/>
              <w:jc w:val="center"/>
              <w:rPr>
                <w:rFonts w:hint="eastAsia" w:hAnsi="宋体" w:cs="宋体"/>
                <w:color w:val="auto"/>
                <w:sz w:val="21"/>
                <w:szCs w:val="21"/>
                <w:highlight w:val="none"/>
              </w:rPr>
            </w:pPr>
          </w:p>
        </w:tc>
        <w:tc>
          <w:tcPr>
            <w:tcW w:w="2791" w:type="dxa"/>
            <w:noWrap w:val="0"/>
            <w:vAlign w:val="center"/>
          </w:tcPr>
          <w:p w14:paraId="748229DB">
            <w:pPr>
              <w:spacing w:line="300" w:lineRule="auto"/>
              <w:jc w:val="center"/>
              <w:rPr>
                <w:rFonts w:hint="eastAsia" w:hAnsi="宋体" w:cs="宋体"/>
                <w:color w:val="auto"/>
                <w:sz w:val="21"/>
                <w:szCs w:val="21"/>
                <w:highlight w:val="none"/>
              </w:rPr>
            </w:pPr>
          </w:p>
        </w:tc>
        <w:tc>
          <w:tcPr>
            <w:tcW w:w="3230" w:type="dxa"/>
            <w:noWrap w:val="0"/>
            <w:vAlign w:val="center"/>
          </w:tcPr>
          <w:p w14:paraId="4192020B">
            <w:pPr>
              <w:spacing w:line="300" w:lineRule="auto"/>
              <w:jc w:val="center"/>
              <w:rPr>
                <w:rFonts w:hint="eastAsia" w:hAnsi="宋体" w:cs="宋体"/>
                <w:color w:val="auto"/>
                <w:sz w:val="21"/>
                <w:szCs w:val="21"/>
                <w:highlight w:val="none"/>
              </w:rPr>
            </w:pPr>
          </w:p>
        </w:tc>
        <w:tc>
          <w:tcPr>
            <w:tcW w:w="1779" w:type="dxa"/>
            <w:noWrap w:val="0"/>
            <w:vAlign w:val="center"/>
          </w:tcPr>
          <w:p w14:paraId="6D969834">
            <w:pPr>
              <w:spacing w:line="300" w:lineRule="auto"/>
              <w:jc w:val="center"/>
              <w:rPr>
                <w:rFonts w:hint="eastAsia" w:hAnsi="宋体" w:cs="宋体"/>
                <w:color w:val="auto"/>
                <w:sz w:val="21"/>
                <w:szCs w:val="21"/>
                <w:highlight w:val="none"/>
              </w:rPr>
            </w:pPr>
          </w:p>
        </w:tc>
      </w:tr>
      <w:tr w14:paraId="0B7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3DFC88C7">
            <w:pPr>
              <w:spacing w:line="300" w:lineRule="auto"/>
              <w:jc w:val="center"/>
              <w:rPr>
                <w:rFonts w:hint="eastAsia" w:hAnsi="宋体" w:cs="宋体"/>
                <w:color w:val="auto"/>
                <w:sz w:val="21"/>
                <w:szCs w:val="21"/>
                <w:highlight w:val="none"/>
              </w:rPr>
            </w:pPr>
          </w:p>
        </w:tc>
        <w:tc>
          <w:tcPr>
            <w:tcW w:w="2791" w:type="dxa"/>
            <w:noWrap w:val="0"/>
            <w:vAlign w:val="center"/>
          </w:tcPr>
          <w:p w14:paraId="32409521">
            <w:pPr>
              <w:spacing w:line="300" w:lineRule="auto"/>
              <w:jc w:val="center"/>
              <w:rPr>
                <w:rFonts w:hint="eastAsia" w:hAnsi="宋体" w:cs="宋体"/>
                <w:color w:val="auto"/>
                <w:sz w:val="21"/>
                <w:szCs w:val="21"/>
                <w:highlight w:val="none"/>
              </w:rPr>
            </w:pPr>
          </w:p>
        </w:tc>
        <w:tc>
          <w:tcPr>
            <w:tcW w:w="3230" w:type="dxa"/>
            <w:noWrap w:val="0"/>
            <w:vAlign w:val="center"/>
          </w:tcPr>
          <w:p w14:paraId="5CB19F8F">
            <w:pPr>
              <w:spacing w:line="300" w:lineRule="auto"/>
              <w:jc w:val="center"/>
              <w:rPr>
                <w:rFonts w:hint="eastAsia" w:hAnsi="宋体" w:cs="宋体"/>
                <w:color w:val="auto"/>
                <w:sz w:val="21"/>
                <w:szCs w:val="21"/>
                <w:highlight w:val="none"/>
              </w:rPr>
            </w:pPr>
          </w:p>
        </w:tc>
        <w:tc>
          <w:tcPr>
            <w:tcW w:w="1779" w:type="dxa"/>
            <w:noWrap w:val="0"/>
            <w:vAlign w:val="center"/>
          </w:tcPr>
          <w:p w14:paraId="43AE034B">
            <w:pPr>
              <w:spacing w:line="300" w:lineRule="auto"/>
              <w:jc w:val="center"/>
              <w:rPr>
                <w:rFonts w:hint="eastAsia" w:hAnsi="宋体" w:cs="宋体"/>
                <w:color w:val="auto"/>
                <w:sz w:val="21"/>
                <w:szCs w:val="21"/>
                <w:highlight w:val="none"/>
              </w:rPr>
            </w:pPr>
          </w:p>
        </w:tc>
      </w:tr>
      <w:tr w14:paraId="3935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23410C0F">
            <w:pPr>
              <w:spacing w:line="300" w:lineRule="auto"/>
              <w:jc w:val="center"/>
              <w:rPr>
                <w:rFonts w:hint="eastAsia" w:hAnsi="宋体" w:cs="宋体"/>
                <w:color w:val="auto"/>
                <w:sz w:val="21"/>
                <w:szCs w:val="21"/>
                <w:highlight w:val="none"/>
              </w:rPr>
            </w:pPr>
          </w:p>
        </w:tc>
        <w:tc>
          <w:tcPr>
            <w:tcW w:w="2791" w:type="dxa"/>
            <w:noWrap w:val="0"/>
            <w:vAlign w:val="center"/>
          </w:tcPr>
          <w:p w14:paraId="7ED30314">
            <w:pPr>
              <w:spacing w:line="300" w:lineRule="auto"/>
              <w:jc w:val="center"/>
              <w:rPr>
                <w:rFonts w:hint="eastAsia" w:hAnsi="宋体" w:cs="宋体"/>
                <w:color w:val="auto"/>
                <w:sz w:val="21"/>
                <w:szCs w:val="21"/>
                <w:highlight w:val="none"/>
              </w:rPr>
            </w:pPr>
          </w:p>
        </w:tc>
        <w:tc>
          <w:tcPr>
            <w:tcW w:w="3230" w:type="dxa"/>
            <w:noWrap w:val="0"/>
            <w:vAlign w:val="center"/>
          </w:tcPr>
          <w:p w14:paraId="01654EC5">
            <w:pPr>
              <w:spacing w:line="300" w:lineRule="auto"/>
              <w:jc w:val="center"/>
              <w:rPr>
                <w:rFonts w:hint="eastAsia" w:hAnsi="宋体" w:cs="宋体"/>
                <w:color w:val="auto"/>
                <w:sz w:val="21"/>
                <w:szCs w:val="21"/>
                <w:highlight w:val="none"/>
              </w:rPr>
            </w:pPr>
          </w:p>
        </w:tc>
        <w:tc>
          <w:tcPr>
            <w:tcW w:w="1779" w:type="dxa"/>
            <w:noWrap w:val="0"/>
            <w:vAlign w:val="center"/>
          </w:tcPr>
          <w:p w14:paraId="5BD4E4E3">
            <w:pPr>
              <w:spacing w:line="300" w:lineRule="auto"/>
              <w:jc w:val="center"/>
              <w:rPr>
                <w:rFonts w:hint="eastAsia" w:hAnsi="宋体" w:cs="宋体"/>
                <w:color w:val="auto"/>
                <w:sz w:val="21"/>
                <w:szCs w:val="21"/>
                <w:highlight w:val="none"/>
              </w:rPr>
            </w:pPr>
          </w:p>
        </w:tc>
      </w:tr>
      <w:tr w14:paraId="4CC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50B96EE7">
            <w:pPr>
              <w:spacing w:line="300" w:lineRule="auto"/>
              <w:jc w:val="center"/>
              <w:rPr>
                <w:rFonts w:hint="eastAsia" w:hAnsi="宋体" w:cs="宋体"/>
                <w:color w:val="auto"/>
                <w:sz w:val="21"/>
                <w:szCs w:val="21"/>
                <w:highlight w:val="none"/>
              </w:rPr>
            </w:pPr>
          </w:p>
        </w:tc>
        <w:tc>
          <w:tcPr>
            <w:tcW w:w="2791" w:type="dxa"/>
            <w:noWrap w:val="0"/>
            <w:vAlign w:val="center"/>
          </w:tcPr>
          <w:p w14:paraId="206B9D93">
            <w:pPr>
              <w:spacing w:line="300" w:lineRule="auto"/>
              <w:jc w:val="center"/>
              <w:rPr>
                <w:rFonts w:hint="eastAsia" w:hAnsi="宋体" w:cs="宋体"/>
                <w:color w:val="auto"/>
                <w:sz w:val="21"/>
                <w:szCs w:val="21"/>
                <w:highlight w:val="none"/>
              </w:rPr>
            </w:pPr>
          </w:p>
        </w:tc>
        <w:tc>
          <w:tcPr>
            <w:tcW w:w="3230" w:type="dxa"/>
            <w:noWrap w:val="0"/>
            <w:vAlign w:val="center"/>
          </w:tcPr>
          <w:p w14:paraId="348F2A2C">
            <w:pPr>
              <w:spacing w:line="300" w:lineRule="auto"/>
              <w:jc w:val="center"/>
              <w:rPr>
                <w:rFonts w:hint="eastAsia" w:hAnsi="宋体" w:cs="宋体"/>
                <w:color w:val="auto"/>
                <w:sz w:val="21"/>
                <w:szCs w:val="21"/>
                <w:highlight w:val="none"/>
              </w:rPr>
            </w:pPr>
          </w:p>
        </w:tc>
        <w:tc>
          <w:tcPr>
            <w:tcW w:w="1779" w:type="dxa"/>
            <w:noWrap w:val="0"/>
            <w:vAlign w:val="center"/>
          </w:tcPr>
          <w:p w14:paraId="774EAB3F">
            <w:pPr>
              <w:spacing w:line="300" w:lineRule="auto"/>
              <w:jc w:val="center"/>
              <w:rPr>
                <w:rFonts w:hint="eastAsia" w:hAnsi="宋体" w:cs="宋体"/>
                <w:color w:val="auto"/>
                <w:sz w:val="21"/>
                <w:szCs w:val="21"/>
                <w:highlight w:val="none"/>
              </w:rPr>
            </w:pPr>
          </w:p>
        </w:tc>
      </w:tr>
      <w:tr w14:paraId="75FE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center"/>
          </w:tcPr>
          <w:p w14:paraId="579156D0">
            <w:pPr>
              <w:spacing w:line="300" w:lineRule="auto"/>
              <w:jc w:val="center"/>
              <w:rPr>
                <w:rFonts w:hint="eastAsia" w:hAnsi="宋体" w:cs="宋体"/>
                <w:color w:val="auto"/>
                <w:sz w:val="21"/>
                <w:szCs w:val="21"/>
                <w:highlight w:val="none"/>
              </w:rPr>
            </w:pPr>
          </w:p>
        </w:tc>
        <w:tc>
          <w:tcPr>
            <w:tcW w:w="2791" w:type="dxa"/>
            <w:noWrap w:val="0"/>
            <w:vAlign w:val="center"/>
          </w:tcPr>
          <w:p w14:paraId="0815C6F8">
            <w:pPr>
              <w:spacing w:line="300" w:lineRule="auto"/>
              <w:jc w:val="center"/>
              <w:rPr>
                <w:rFonts w:hint="eastAsia" w:hAnsi="宋体" w:cs="宋体"/>
                <w:color w:val="auto"/>
                <w:sz w:val="21"/>
                <w:szCs w:val="21"/>
                <w:highlight w:val="none"/>
              </w:rPr>
            </w:pPr>
          </w:p>
        </w:tc>
        <w:tc>
          <w:tcPr>
            <w:tcW w:w="3230" w:type="dxa"/>
            <w:noWrap w:val="0"/>
            <w:vAlign w:val="center"/>
          </w:tcPr>
          <w:p w14:paraId="7C4E0717">
            <w:pPr>
              <w:spacing w:line="300" w:lineRule="auto"/>
              <w:jc w:val="center"/>
              <w:rPr>
                <w:rFonts w:hint="eastAsia" w:hAnsi="宋体" w:cs="宋体"/>
                <w:color w:val="auto"/>
                <w:sz w:val="21"/>
                <w:szCs w:val="21"/>
                <w:highlight w:val="none"/>
              </w:rPr>
            </w:pPr>
          </w:p>
        </w:tc>
        <w:tc>
          <w:tcPr>
            <w:tcW w:w="1779" w:type="dxa"/>
            <w:noWrap w:val="0"/>
            <w:vAlign w:val="center"/>
          </w:tcPr>
          <w:p w14:paraId="6D7B8D91">
            <w:pPr>
              <w:spacing w:line="300" w:lineRule="auto"/>
              <w:jc w:val="center"/>
              <w:rPr>
                <w:rFonts w:hint="eastAsia" w:hAnsi="宋体" w:cs="宋体"/>
                <w:color w:val="auto"/>
                <w:sz w:val="21"/>
                <w:szCs w:val="21"/>
                <w:highlight w:val="none"/>
              </w:rPr>
            </w:pPr>
          </w:p>
        </w:tc>
      </w:tr>
    </w:tbl>
    <w:p w14:paraId="7CA15DB9">
      <w:pPr>
        <w:spacing w:line="300" w:lineRule="auto"/>
        <w:rPr>
          <w:rFonts w:hint="eastAsia" w:hAnsi="宋体" w:cs="宋体"/>
          <w:color w:val="auto"/>
          <w:sz w:val="21"/>
          <w:szCs w:val="21"/>
          <w:highlight w:val="none"/>
        </w:rPr>
      </w:pPr>
      <w:r>
        <w:rPr>
          <w:rFonts w:hint="eastAsia" w:hAnsi="宋体" w:cs="宋体"/>
          <w:color w:val="auto"/>
          <w:sz w:val="21"/>
          <w:szCs w:val="21"/>
          <w:highlight w:val="none"/>
        </w:rPr>
        <w:t>注：行数不够可自行添加，有偏离请在技术偏离表中详细说明。</w:t>
      </w:r>
    </w:p>
    <w:p w14:paraId="2AB95FAD">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法定代表人或其授权代表（签字或盖章）：</w:t>
      </w:r>
    </w:p>
    <w:p w14:paraId="6B4D7366">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投标人（或联合体投标人的牵头单位）全称（加盖公章）：                     </w:t>
      </w:r>
    </w:p>
    <w:p w14:paraId="7219C5A2">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日期：  年  月   日</w:t>
      </w:r>
    </w:p>
    <w:p w14:paraId="3DFF8ECF">
      <w:pPr>
        <w:snapToGrid w:val="0"/>
        <w:spacing w:line="440" w:lineRule="exact"/>
        <w:rPr>
          <w:rFonts w:hint="eastAsia" w:hAnsi="宋体" w:cs="宋体"/>
          <w:color w:val="auto"/>
          <w:sz w:val="21"/>
          <w:szCs w:val="21"/>
          <w:highlight w:val="none"/>
        </w:rPr>
      </w:pPr>
      <w:r>
        <w:rPr>
          <w:rFonts w:hint="eastAsia" w:hAnsi="宋体" w:cs="宋体"/>
          <w:color w:val="auto"/>
          <w:sz w:val="21"/>
          <w:szCs w:val="21"/>
          <w:highlight w:val="none"/>
        </w:rPr>
        <w:t xml:space="preserve">   </w:t>
      </w:r>
    </w:p>
    <w:p w14:paraId="2C9C1AA9">
      <w:pPr>
        <w:snapToGrid w:val="0"/>
        <w:spacing w:line="480" w:lineRule="auto"/>
        <w:ind w:firstLine="482" w:firstLineChars="200"/>
        <w:rPr>
          <w:rFonts w:hint="eastAsia" w:hAnsi="宋体" w:cs="宋体"/>
          <w:b/>
          <w:bCs/>
          <w:color w:val="auto"/>
          <w:sz w:val="24"/>
          <w:szCs w:val="24"/>
          <w:highlight w:val="none"/>
          <w:lang w:bidi="ar"/>
        </w:rPr>
      </w:pP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w:t>
      </w:r>
      <w:r>
        <w:rPr>
          <w:rFonts w:hint="eastAsia" w:ascii="宋体" w:hAnsi="宋体" w:eastAsia="宋体" w:cs="宋体"/>
          <w:b/>
          <w:bCs/>
          <w:color w:val="auto"/>
          <w:sz w:val="24"/>
          <w:szCs w:val="24"/>
          <w:highlight w:val="none"/>
          <w:lang w:bidi="ar"/>
        </w:rPr>
        <w:t>项目实施方案</w:t>
      </w:r>
      <w:r>
        <w:rPr>
          <w:rFonts w:hint="eastAsia" w:ascii="宋体" w:hAnsi="宋体" w:eastAsia="宋体" w:cs="宋体"/>
          <w:b/>
          <w:bCs/>
          <w:color w:val="auto"/>
          <w:sz w:val="24"/>
          <w:szCs w:val="24"/>
          <w:highlight w:val="none"/>
          <w:lang w:eastAsia="zh-CN" w:bidi="ar"/>
        </w:rPr>
        <w:t>及</w:t>
      </w:r>
      <w:r>
        <w:rPr>
          <w:rFonts w:hint="eastAsia" w:ascii="宋体" w:hAnsi="宋体" w:eastAsia="宋体" w:cs="宋体"/>
          <w:b/>
          <w:bCs/>
          <w:color w:val="auto"/>
          <w:sz w:val="24"/>
          <w:szCs w:val="24"/>
          <w:highlight w:val="none"/>
          <w:lang w:val="zh-TW" w:bidi="ar"/>
        </w:rPr>
        <w:t>质量保证措施</w:t>
      </w:r>
      <w:r>
        <w:rPr>
          <w:rFonts w:hint="eastAsia" w:ascii="宋体" w:hAnsi="宋体" w:eastAsia="宋体" w:cs="宋体"/>
          <w:b/>
          <w:bCs/>
          <w:color w:val="auto"/>
          <w:sz w:val="24"/>
          <w:szCs w:val="24"/>
          <w:highlight w:val="none"/>
          <w:lang w:val="zh-TW" w:eastAsia="zh-CN" w:bidi="ar"/>
        </w:rPr>
        <w:t>、</w:t>
      </w:r>
      <w:r>
        <w:rPr>
          <w:rFonts w:hint="eastAsia" w:ascii="宋体" w:hAnsi="宋体" w:eastAsia="宋体" w:cs="宋体"/>
          <w:b/>
          <w:bCs/>
          <w:color w:val="auto"/>
          <w:sz w:val="24"/>
          <w:szCs w:val="24"/>
          <w:highlight w:val="none"/>
          <w:lang w:bidi="ar"/>
        </w:rPr>
        <w:t>服务承诺</w:t>
      </w:r>
      <w:r>
        <w:rPr>
          <w:rFonts w:hint="eastAsia" w:ascii="宋体" w:hAnsi="宋体" w:eastAsia="宋体" w:cs="宋体"/>
          <w:b/>
          <w:bCs/>
          <w:color w:val="auto"/>
          <w:sz w:val="24"/>
          <w:szCs w:val="24"/>
          <w:highlight w:val="none"/>
          <w:lang w:val="en-US" w:eastAsia="zh-CN" w:bidi="ar"/>
        </w:rPr>
        <w:t>等</w:t>
      </w:r>
      <w:r>
        <w:rPr>
          <w:rFonts w:hint="eastAsia" w:hAnsi="宋体" w:cs="宋体"/>
          <w:b/>
          <w:bCs/>
          <w:color w:val="auto"/>
          <w:sz w:val="24"/>
          <w:szCs w:val="24"/>
          <w:highlight w:val="none"/>
          <w:lang w:bidi="ar"/>
        </w:rPr>
        <w:t>；</w:t>
      </w:r>
    </w:p>
    <w:p w14:paraId="081E00D9">
      <w:pPr>
        <w:snapToGrid w:val="0"/>
        <w:spacing w:line="480" w:lineRule="auto"/>
        <w:ind w:firstLine="482" w:firstLineChars="200"/>
        <w:rPr>
          <w:rFonts w:hint="eastAsia" w:hAnsi="宋体" w:cs="宋体"/>
          <w:b/>
          <w:bCs/>
          <w:color w:val="auto"/>
          <w:sz w:val="24"/>
          <w:szCs w:val="24"/>
          <w:highlight w:val="none"/>
          <w:lang w:bidi="ar"/>
        </w:rPr>
      </w:pPr>
      <w:r>
        <w:rPr>
          <w:rFonts w:hint="eastAsia" w:hAnsi="宋体" w:cs="宋体"/>
          <w:b/>
          <w:bCs/>
          <w:color w:val="auto"/>
          <w:sz w:val="24"/>
          <w:szCs w:val="24"/>
          <w:highlight w:val="none"/>
          <w:lang w:val="en-US" w:eastAsia="zh-CN" w:bidi="ar"/>
        </w:rPr>
        <w:t>8</w:t>
      </w:r>
      <w:r>
        <w:rPr>
          <w:rFonts w:hint="eastAsia" w:hAnsi="宋体" w:cs="宋体"/>
          <w:b/>
          <w:bCs/>
          <w:color w:val="auto"/>
          <w:sz w:val="24"/>
          <w:szCs w:val="24"/>
          <w:highlight w:val="none"/>
          <w:lang w:bidi="ar"/>
        </w:rPr>
        <w:t>.投标人（包括投标联合体各方）对本项目的合理化建议和改进措施；</w:t>
      </w:r>
    </w:p>
    <w:p w14:paraId="7947D862">
      <w:pPr>
        <w:ind w:firstLine="482" w:firstLineChars="200"/>
        <w:rPr>
          <w:rFonts w:hint="eastAsia" w:hAnsi="宋体" w:cs="宋体"/>
          <w:b/>
          <w:bCs/>
          <w:color w:val="auto"/>
          <w:sz w:val="24"/>
          <w:szCs w:val="24"/>
          <w:highlight w:val="none"/>
          <w:lang w:eastAsia="zh-CN" w:bidi="ar"/>
        </w:rPr>
      </w:pPr>
      <w:r>
        <w:rPr>
          <w:rFonts w:hint="eastAsia" w:hAnsi="宋体" w:cs="宋体"/>
          <w:b/>
          <w:bCs/>
          <w:color w:val="auto"/>
          <w:sz w:val="24"/>
          <w:szCs w:val="24"/>
          <w:highlight w:val="none"/>
          <w:lang w:val="en-US" w:eastAsia="zh-CN" w:bidi="ar"/>
        </w:rPr>
        <w:t>9</w:t>
      </w:r>
      <w:r>
        <w:rPr>
          <w:rFonts w:hint="eastAsia" w:hAnsi="宋体" w:cs="宋体"/>
          <w:b/>
          <w:bCs/>
          <w:color w:val="auto"/>
          <w:sz w:val="24"/>
          <w:szCs w:val="24"/>
          <w:highlight w:val="none"/>
          <w:lang w:bidi="ar"/>
        </w:rPr>
        <w:t>.评分规则中涉及的、投标人（包括投标联合体各方）认为需要说明的其他文件和说明（格式略）</w:t>
      </w:r>
      <w:r>
        <w:rPr>
          <w:rFonts w:hint="eastAsia" w:hAnsi="宋体" w:cs="宋体"/>
          <w:b/>
          <w:bCs/>
          <w:color w:val="auto"/>
          <w:sz w:val="24"/>
          <w:szCs w:val="24"/>
          <w:highlight w:val="none"/>
          <w:lang w:eastAsia="zh-CN" w:bidi="ar"/>
        </w:rPr>
        <w:t>。</w:t>
      </w:r>
    </w:p>
    <w:p w14:paraId="1CC6F103">
      <w:pPr>
        <w:pStyle w:val="46"/>
        <w:rPr>
          <w:rFonts w:hint="eastAsia"/>
          <w:color w:val="auto"/>
          <w:highlight w:val="none"/>
          <w:lang w:eastAsia="zh-CN"/>
        </w:rPr>
      </w:pPr>
    </w:p>
    <w:p w14:paraId="42B38199">
      <w:pPr>
        <w:pStyle w:val="46"/>
        <w:rPr>
          <w:color w:val="auto"/>
          <w:highlight w:val="none"/>
        </w:rPr>
      </w:pPr>
    </w:p>
    <w:p w14:paraId="2C49A92B">
      <w:pPr>
        <w:snapToGrid w:val="0"/>
        <w:spacing w:before="50" w:after="317" w:afterLines="50"/>
        <w:rPr>
          <w:rFonts w:hAnsi="宋体" w:cs="宋体"/>
          <w:color w:val="auto"/>
          <w:sz w:val="24"/>
          <w:highlight w:val="none"/>
        </w:rPr>
      </w:pPr>
    </w:p>
    <w:p w14:paraId="244AA8AC">
      <w:pPr>
        <w:rPr>
          <w:rFonts w:hAnsi="宋体" w:cs="宋体"/>
          <w:b/>
          <w:bCs/>
          <w:color w:val="auto"/>
          <w:sz w:val="24"/>
          <w:highlight w:val="none"/>
        </w:rPr>
      </w:pPr>
      <w:r>
        <w:rPr>
          <w:rFonts w:hint="eastAsia" w:hAnsi="宋体" w:cs="宋体"/>
          <w:b/>
          <w:bCs/>
          <w:color w:val="auto"/>
          <w:sz w:val="24"/>
          <w:highlight w:val="none"/>
        </w:rPr>
        <w:br w:type="page"/>
      </w:r>
    </w:p>
    <w:p w14:paraId="6AC66337">
      <w:pPr>
        <w:spacing w:line="300" w:lineRule="auto"/>
        <w:rPr>
          <w:rFonts w:hAnsi="宋体" w:cs="宋体"/>
          <w:b/>
          <w:bCs/>
          <w:color w:val="auto"/>
          <w:sz w:val="24"/>
          <w:highlight w:val="none"/>
        </w:rPr>
      </w:pPr>
      <w:r>
        <w:rPr>
          <w:rFonts w:hint="eastAsia" w:hAnsi="宋体" w:cs="宋体"/>
          <w:b/>
          <w:bCs/>
          <w:color w:val="auto"/>
          <w:sz w:val="24"/>
          <w:highlight w:val="none"/>
        </w:rPr>
        <w:t>（三）报价文件部分</w:t>
      </w:r>
    </w:p>
    <w:p w14:paraId="75496EC8">
      <w:pPr>
        <w:snapToGrid w:val="0"/>
        <w:spacing w:before="317" w:beforeLines="50" w:after="50"/>
        <w:jc w:val="center"/>
        <w:rPr>
          <w:rFonts w:hAnsi="宋体" w:cs="宋体"/>
          <w:b/>
          <w:color w:val="auto"/>
          <w:sz w:val="24"/>
          <w:highlight w:val="none"/>
        </w:rPr>
      </w:pPr>
      <w:r>
        <w:rPr>
          <w:rFonts w:hint="eastAsia" w:hAnsi="宋体" w:cs="宋体"/>
          <w:b/>
          <w:color w:val="auto"/>
          <w:sz w:val="24"/>
          <w:highlight w:val="none"/>
        </w:rPr>
        <w:t>1.投标函</w:t>
      </w:r>
    </w:p>
    <w:p w14:paraId="10DAD01D">
      <w:pPr>
        <w:snapToGrid w:val="0"/>
        <w:spacing w:line="360" w:lineRule="auto"/>
        <w:rPr>
          <w:rFonts w:hAnsi="宋体" w:cs="宋体"/>
          <w:color w:val="auto"/>
          <w:sz w:val="24"/>
          <w:highlight w:val="none"/>
        </w:rPr>
      </w:pPr>
      <w:r>
        <w:rPr>
          <w:rFonts w:hint="eastAsia" w:hAnsi="宋体" w:cs="宋体"/>
          <w:color w:val="auto"/>
          <w:sz w:val="24"/>
          <w:highlight w:val="none"/>
        </w:rPr>
        <w:t>致：_________（招标采购单位名称）：</w:t>
      </w:r>
    </w:p>
    <w:p w14:paraId="40DB8F89">
      <w:pPr>
        <w:snapToGrid w:val="0"/>
        <w:spacing w:line="360" w:lineRule="auto"/>
        <w:ind w:firstLine="480"/>
        <w:rPr>
          <w:rFonts w:hAnsi="宋体" w:cs="宋体"/>
          <w:color w:val="auto"/>
          <w:sz w:val="24"/>
          <w:highlight w:val="none"/>
        </w:rPr>
      </w:pPr>
      <w:r>
        <w:rPr>
          <w:rFonts w:hint="eastAsia" w:hAnsi="宋体" w:cs="宋体"/>
          <w:color w:val="auto"/>
          <w:sz w:val="24"/>
          <w:highlight w:val="none"/>
        </w:rPr>
        <w:t>根据贵方</w:t>
      </w:r>
      <w:r>
        <w:rPr>
          <w:rFonts w:hint="eastAsia" w:hAnsi="宋体" w:cs="宋体"/>
          <w:color w:val="auto"/>
          <w:sz w:val="24"/>
          <w:highlight w:val="none"/>
          <w:u w:val="single"/>
        </w:rPr>
        <w:t xml:space="preserve">                  </w:t>
      </w:r>
      <w:r>
        <w:rPr>
          <w:rFonts w:hint="eastAsia" w:hAnsi="宋体" w:cs="宋体"/>
          <w:color w:val="auto"/>
          <w:sz w:val="24"/>
          <w:highlight w:val="none"/>
        </w:rPr>
        <w:t>项目的招标公告/投标邀请书</w:t>
      </w:r>
    </w:p>
    <w:p w14:paraId="4535B9B4">
      <w:pPr>
        <w:snapToGrid w:val="0"/>
        <w:spacing w:line="360" w:lineRule="auto"/>
        <w:rPr>
          <w:rFonts w:hAnsi="宋体" w:cs="宋体"/>
          <w:color w:val="auto"/>
          <w:sz w:val="24"/>
          <w:highlight w:val="none"/>
        </w:rPr>
      </w:pPr>
      <w:r>
        <w:rPr>
          <w:rFonts w:hint="eastAsia" w:hAnsi="宋体" w:cs="宋体"/>
          <w:color w:val="auto"/>
          <w:sz w:val="24"/>
          <w:highlight w:val="none"/>
        </w:rPr>
        <w:t>（项目编号：_______），签字</w:t>
      </w:r>
      <w:r>
        <w:rPr>
          <w:rFonts w:hint="eastAsia" w:hAnsi="宋体" w:cs="宋体"/>
          <w:color w:val="auto"/>
          <w:sz w:val="24"/>
          <w:szCs w:val="22"/>
          <w:highlight w:val="none"/>
        </w:rPr>
        <w:t>代表_______（全名）经正式授权并代表投标人_________（投标人名称，或联合体投标人牵头单位的名称）提交</w:t>
      </w:r>
      <w:r>
        <w:rPr>
          <w:rFonts w:hint="eastAsia" w:hAnsi="宋体" w:cs="宋体"/>
          <w:color w:val="auto"/>
          <w:sz w:val="24"/>
          <w:highlight w:val="none"/>
        </w:rPr>
        <w:t>文件。</w:t>
      </w:r>
    </w:p>
    <w:p w14:paraId="66A75060">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据此函，签字代表宣布同意如下：</w:t>
      </w:r>
    </w:p>
    <w:p w14:paraId="52556C07">
      <w:pPr>
        <w:snapToGrid w:val="0"/>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highlight w:val="none"/>
        </w:rPr>
        <w:t>1.我方自愿按照招标文件规定的各项要求向招标人提供所专业服务</w:t>
      </w:r>
      <w:r>
        <w:rPr>
          <w:rFonts w:hint="eastAsia" w:hAnsi="宋体" w:cs="宋体"/>
          <w:color w:val="auto"/>
          <w:sz w:val="24"/>
          <w:highlight w:val="none"/>
          <w:lang w:val="en-US" w:eastAsia="zh-CN"/>
        </w:rPr>
        <w:t>及货物</w:t>
      </w:r>
      <w:r>
        <w:rPr>
          <w:rFonts w:hint="eastAsia" w:hAnsi="宋体" w:cs="宋体"/>
          <w:color w:val="auto"/>
          <w:sz w:val="24"/>
          <w:highlight w:val="none"/>
        </w:rPr>
        <w:t>。</w:t>
      </w:r>
    </w:p>
    <w:p w14:paraId="77ACA68A">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758F0734">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3.我方在投标之前已经与贵方进行了充分的沟通，完全理解并接受招标文件的各项规定和要求，对招标文件的合理性、合法性不再有异议。</w:t>
      </w:r>
    </w:p>
    <w:p w14:paraId="00AF2E3B">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4.本投标有效期自开标截止日起</w:t>
      </w:r>
      <w:r>
        <w:rPr>
          <w:rFonts w:hint="eastAsia" w:hAnsi="宋体" w:cs="宋体"/>
          <w:color w:val="auto"/>
          <w:sz w:val="24"/>
          <w:highlight w:val="none"/>
          <w:u w:val="single"/>
        </w:rPr>
        <w:t xml:space="preserve"> 90  </w:t>
      </w:r>
      <w:r>
        <w:rPr>
          <w:rFonts w:hint="eastAsia" w:hAnsi="宋体" w:cs="宋体"/>
          <w:color w:val="auto"/>
          <w:sz w:val="24"/>
          <w:highlight w:val="none"/>
        </w:rPr>
        <w:t>日。</w:t>
      </w:r>
    </w:p>
    <w:p w14:paraId="123E45C3">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5.如中标，本投标文件至本项目合同履行完毕止均保持有效，本投标人将按“招标文件”及政府采购法律、法规的规定履行合同责任和义务。</w:t>
      </w:r>
    </w:p>
    <w:p w14:paraId="02E2DF8D">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6.投标人同意按照贵方要求提供与投标有关的一切数据或资料。</w:t>
      </w:r>
    </w:p>
    <w:p w14:paraId="23A8F3C5">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7.与本投标有关的一切正式往来信函请寄：</w:t>
      </w:r>
    </w:p>
    <w:p w14:paraId="6790FC39">
      <w:pPr>
        <w:snapToGrid w:val="0"/>
        <w:spacing w:line="360" w:lineRule="auto"/>
        <w:rPr>
          <w:rFonts w:hAnsi="宋体" w:cs="宋体"/>
          <w:color w:val="auto"/>
          <w:sz w:val="24"/>
          <w:highlight w:val="none"/>
        </w:rPr>
      </w:pPr>
      <w:r>
        <w:rPr>
          <w:rFonts w:hint="eastAsia" w:hAnsi="宋体" w:cs="宋体"/>
          <w:color w:val="auto"/>
          <w:sz w:val="24"/>
          <w:highlight w:val="none"/>
        </w:rPr>
        <w:t>地址：_______________邮编：__________电话：______________</w:t>
      </w:r>
    </w:p>
    <w:p w14:paraId="1E539B44">
      <w:pPr>
        <w:snapToGrid w:val="0"/>
        <w:spacing w:line="360" w:lineRule="auto"/>
        <w:rPr>
          <w:rFonts w:hAnsi="宋体" w:cs="宋体"/>
          <w:color w:val="auto"/>
          <w:sz w:val="24"/>
          <w:highlight w:val="none"/>
        </w:rPr>
      </w:pPr>
      <w:r>
        <w:rPr>
          <w:rFonts w:hint="eastAsia" w:hAnsi="宋体" w:cs="宋体"/>
          <w:color w:val="auto"/>
          <w:sz w:val="24"/>
          <w:highlight w:val="none"/>
        </w:rPr>
        <w:t>传真：______________投标人代表姓名___________职务：_____________</w:t>
      </w:r>
    </w:p>
    <w:p w14:paraId="63192B8B">
      <w:pPr>
        <w:snapToGrid w:val="0"/>
        <w:spacing w:line="360" w:lineRule="auto"/>
        <w:rPr>
          <w:rFonts w:hAnsi="宋体" w:cs="宋体"/>
          <w:color w:val="auto"/>
          <w:sz w:val="24"/>
          <w:highlight w:val="none"/>
        </w:rPr>
      </w:pPr>
      <w:r>
        <w:rPr>
          <w:rFonts w:hint="eastAsia" w:hAnsi="宋体" w:cs="宋体"/>
          <w:color w:val="auto"/>
          <w:sz w:val="24"/>
          <w:highlight w:val="none"/>
        </w:rPr>
        <w:t>投标人（或联合体投标人的牵头单位）名称（公章）:___________________</w:t>
      </w:r>
    </w:p>
    <w:p w14:paraId="7BFE6492">
      <w:pPr>
        <w:snapToGrid w:val="0"/>
        <w:spacing w:line="360" w:lineRule="auto"/>
        <w:rPr>
          <w:rFonts w:hAnsi="宋体" w:cs="宋体"/>
          <w:color w:val="auto"/>
          <w:sz w:val="24"/>
          <w:highlight w:val="none"/>
        </w:rPr>
      </w:pPr>
      <w:r>
        <w:rPr>
          <w:rFonts w:hint="eastAsia" w:hAnsi="宋体" w:cs="宋体"/>
          <w:color w:val="auto"/>
          <w:sz w:val="24"/>
          <w:highlight w:val="none"/>
        </w:rPr>
        <w:t>开户银行：___________________银行账号：___________________</w:t>
      </w:r>
    </w:p>
    <w:p w14:paraId="230C9BAC">
      <w:pPr>
        <w:snapToGrid w:val="0"/>
        <w:spacing w:line="360" w:lineRule="auto"/>
        <w:rPr>
          <w:rFonts w:hAnsi="宋体" w:cs="宋体"/>
          <w:color w:val="auto"/>
          <w:sz w:val="30"/>
          <w:highlight w:val="none"/>
        </w:rPr>
      </w:pPr>
      <w:r>
        <w:rPr>
          <w:rFonts w:hint="eastAsia" w:hAnsi="宋体" w:cs="宋体"/>
          <w:color w:val="auto"/>
          <w:sz w:val="24"/>
          <w:highlight w:val="none"/>
        </w:rPr>
        <w:t>法定代表人或授权代表（签字或盖章）:___________日期：_____年___月___日</w:t>
      </w:r>
    </w:p>
    <w:p w14:paraId="24C67F7A">
      <w:pPr>
        <w:pStyle w:val="26"/>
        <w:snapToGrid w:val="0"/>
        <w:spacing w:before="295" w:after="295"/>
        <w:rPr>
          <w:rFonts w:ascii="宋体" w:hAnsi="宋体" w:cs="宋体"/>
          <w:color w:val="auto"/>
          <w:highlight w:val="none"/>
        </w:rPr>
      </w:pPr>
    </w:p>
    <w:p w14:paraId="78310A0D">
      <w:pPr>
        <w:pStyle w:val="26"/>
        <w:snapToGrid w:val="0"/>
        <w:spacing w:before="295" w:after="295"/>
        <w:rPr>
          <w:rFonts w:ascii="宋体" w:hAnsi="宋体" w:cs="宋体"/>
          <w:color w:val="auto"/>
          <w:highlight w:val="none"/>
        </w:rPr>
      </w:pPr>
    </w:p>
    <w:p w14:paraId="338BDEA6">
      <w:pPr>
        <w:pStyle w:val="26"/>
        <w:snapToGrid w:val="0"/>
        <w:spacing w:before="295" w:after="295"/>
        <w:jc w:val="center"/>
        <w:rPr>
          <w:rFonts w:ascii="宋体" w:hAnsi="宋体" w:cs="宋体"/>
          <w:bCs/>
          <w:color w:val="auto"/>
          <w:sz w:val="24"/>
          <w:highlight w:val="none"/>
        </w:rPr>
      </w:pPr>
      <w:r>
        <w:rPr>
          <w:rFonts w:hint="eastAsia" w:ascii="宋体" w:hAnsi="宋体" w:cs="宋体"/>
          <w:bCs/>
          <w:color w:val="auto"/>
          <w:sz w:val="24"/>
          <w:highlight w:val="none"/>
        </w:rPr>
        <w:br w:type="page"/>
      </w:r>
    </w:p>
    <w:p w14:paraId="734D9C51">
      <w:pPr>
        <w:pStyle w:val="26"/>
        <w:snapToGrid w:val="0"/>
        <w:spacing w:before="295" w:after="295"/>
        <w:jc w:val="center"/>
        <w:rPr>
          <w:rFonts w:ascii="宋体" w:hAnsi="宋体" w:cs="宋体"/>
          <w:bCs/>
          <w:color w:val="auto"/>
          <w:sz w:val="24"/>
          <w:highlight w:val="none"/>
        </w:rPr>
      </w:pPr>
      <w:r>
        <w:rPr>
          <w:rFonts w:hint="eastAsia" w:ascii="宋体" w:hAnsi="宋体" w:cs="宋体"/>
          <w:b/>
          <w:color w:val="auto"/>
          <w:sz w:val="24"/>
          <w:highlight w:val="none"/>
        </w:rPr>
        <w:t>2.开标（报价）一览表</w:t>
      </w:r>
    </w:p>
    <w:tbl>
      <w:tblPr>
        <w:tblStyle w:val="47"/>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8061"/>
      </w:tblGrid>
      <w:tr w14:paraId="1454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899" w:type="dxa"/>
            <w:vAlign w:val="center"/>
          </w:tcPr>
          <w:p w14:paraId="6C96CD92">
            <w:pPr>
              <w:snapToGrid w:val="0"/>
              <w:spacing w:line="460" w:lineRule="exact"/>
              <w:jc w:val="center"/>
              <w:rPr>
                <w:rFonts w:hAnsi="宋体" w:cs="宋体"/>
                <w:color w:val="auto"/>
                <w:sz w:val="24"/>
                <w:szCs w:val="22"/>
                <w:highlight w:val="none"/>
              </w:rPr>
            </w:pPr>
            <w:r>
              <w:rPr>
                <w:rFonts w:hint="eastAsia" w:hAnsi="宋体" w:cs="宋体"/>
                <w:color w:val="auto"/>
                <w:sz w:val="24"/>
                <w:szCs w:val="22"/>
                <w:highlight w:val="none"/>
              </w:rPr>
              <w:t>项目编号</w:t>
            </w:r>
          </w:p>
        </w:tc>
        <w:tc>
          <w:tcPr>
            <w:tcW w:w="8061" w:type="dxa"/>
          </w:tcPr>
          <w:p w14:paraId="47701143">
            <w:pPr>
              <w:snapToGrid w:val="0"/>
              <w:spacing w:line="460" w:lineRule="exact"/>
              <w:jc w:val="center"/>
              <w:rPr>
                <w:rFonts w:hAnsi="宋体" w:cs="宋体"/>
                <w:color w:val="auto"/>
                <w:sz w:val="24"/>
                <w:highlight w:val="none"/>
              </w:rPr>
            </w:pPr>
          </w:p>
        </w:tc>
      </w:tr>
      <w:tr w14:paraId="5199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899" w:type="dxa"/>
            <w:vAlign w:val="center"/>
          </w:tcPr>
          <w:p w14:paraId="7C34D23A">
            <w:pPr>
              <w:snapToGrid w:val="0"/>
              <w:spacing w:line="460" w:lineRule="exact"/>
              <w:jc w:val="center"/>
              <w:rPr>
                <w:rFonts w:hAnsi="宋体" w:cs="宋体"/>
                <w:color w:val="auto"/>
                <w:sz w:val="24"/>
                <w:szCs w:val="22"/>
                <w:highlight w:val="none"/>
              </w:rPr>
            </w:pPr>
            <w:r>
              <w:rPr>
                <w:rFonts w:hint="eastAsia" w:hAnsi="宋体" w:cs="宋体"/>
                <w:color w:val="auto"/>
                <w:sz w:val="24"/>
                <w:szCs w:val="22"/>
                <w:highlight w:val="none"/>
              </w:rPr>
              <w:t>项目名称</w:t>
            </w:r>
          </w:p>
        </w:tc>
        <w:tc>
          <w:tcPr>
            <w:tcW w:w="8061" w:type="dxa"/>
          </w:tcPr>
          <w:p w14:paraId="1511F470">
            <w:pPr>
              <w:snapToGrid w:val="0"/>
              <w:spacing w:line="460" w:lineRule="exact"/>
              <w:jc w:val="center"/>
              <w:rPr>
                <w:rFonts w:hAnsi="宋体" w:cs="宋体"/>
                <w:color w:val="auto"/>
                <w:sz w:val="24"/>
                <w:szCs w:val="22"/>
                <w:highlight w:val="none"/>
              </w:rPr>
            </w:pPr>
          </w:p>
        </w:tc>
      </w:tr>
      <w:tr w14:paraId="1D4C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899" w:type="dxa"/>
            <w:vAlign w:val="center"/>
          </w:tcPr>
          <w:p w14:paraId="34D94ECD">
            <w:pPr>
              <w:snapToGrid w:val="0"/>
              <w:spacing w:line="460" w:lineRule="exact"/>
              <w:jc w:val="center"/>
              <w:rPr>
                <w:rFonts w:hAnsi="宋体" w:cs="宋体"/>
                <w:color w:val="auto"/>
                <w:sz w:val="24"/>
                <w:szCs w:val="22"/>
                <w:highlight w:val="none"/>
              </w:rPr>
            </w:pPr>
            <w:r>
              <w:rPr>
                <w:rFonts w:hint="eastAsia" w:hAnsi="宋体" w:cs="宋体"/>
                <w:color w:val="auto"/>
                <w:sz w:val="24"/>
                <w:szCs w:val="22"/>
                <w:highlight w:val="none"/>
              </w:rPr>
              <w:t>投标总报价</w:t>
            </w:r>
          </w:p>
        </w:tc>
        <w:tc>
          <w:tcPr>
            <w:tcW w:w="8061" w:type="dxa"/>
            <w:tcBorders>
              <w:bottom w:val="single" w:color="auto" w:sz="4" w:space="0"/>
            </w:tcBorders>
            <w:vAlign w:val="center"/>
          </w:tcPr>
          <w:p w14:paraId="52B7F0F2">
            <w:pPr>
              <w:snapToGrid w:val="0"/>
              <w:spacing w:line="460" w:lineRule="exact"/>
              <w:rPr>
                <w:rFonts w:hAnsi="宋体" w:cs="宋体"/>
                <w:color w:val="auto"/>
                <w:sz w:val="24"/>
                <w:szCs w:val="22"/>
                <w:highlight w:val="none"/>
              </w:rPr>
            </w:pPr>
            <w:r>
              <w:rPr>
                <w:rFonts w:hint="eastAsia" w:hAnsi="宋体" w:cs="宋体"/>
                <w:color w:val="auto"/>
                <w:sz w:val="24"/>
                <w:szCs w:val="22"/>
                <w:highlight w:val="none"/>
              </w:rPr>
              <w:t>小写：</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 xml:space="preserve">元   </w:t>
            </w:r>
          </w:p>
          <w:p w14:paraId="312CA6D7">
            <w:pPr>
              <w:snapToGrid w:val="0"/>
              <w:spacing w:line="460" w:lineRule="exact"/>
              <w:rPr>
                <w:rFonts w:hAnsi="宋体" w:cs="宋体"/>
                <w:color w:val="auto"/>
                <w:sz w:val="24"/>
                <w:szCs w:val="22"/>
                <w:highlight w:val="none"/>
              </w:rPr>
            </w:pPr>
            <w:r>
              <w:rPr>
                <w:rFonts w:hint="eastAsia" w:hAnsi="宋体" w:cs="宋体"/>
                <w:color w:val="auto"/>
                <w:sz w:val="24"/>
                <w:szCs w:val="22"/>
                <w:highlight w:val="none"/>
              </w:rPr>
              <w:t>大写：人民币</w:t>
            </w:r>
          </w:p>
        </w:tc>
      </w:tr>
      <w:tr w14:paraId="5B420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899" w:type="dxa"/>
            <w:vAlign w:val="center"/>
          </w:tcPr>
          <w:p w14:paraId="7BFC386D">
            <w:pPr>
              <w:snapToGrid w:val="0"/>
              <w:spacing w:line="460" w:lineRule="exact"/>
              <w:jc w:val="center"/>
              <w:rPr>
                <w:rFonts w:hAnsi="宋体" w:cs="宋体"/>
                <w:color w:val="auto"/>
                <w:sz w:val="24"/>
                <w:szCs w:val="22"/>
                <w:highlight w:val="none"/>
              </w:rPr>
            </w:pPr>
            <w:r>
              <w:rPr>
                <w:rFonts w:hint="eastAsia" w:hAnsi="宋体" w:cs="宋体"/>
                <w:color w:val="auto"/>
                <w:sz w:val="24"/>
                <w:szCs w:val="22"/>
                <w:highlight w:val="none"/>
              </w:rPr>
              <w:t>报价说明</w:t>
            </w:r>
          </w:p>
        </w:tc>
        <w:tc>
          <w:tcPr>
            <w:tcW w:w="8061" w:type="dxa"/>
            <w:vAlign w:val="center"/>
          </w:tcPr>
          <w:p w14:paraId="6B5A0DC2">
            <w:pPr>
              <w:widowControl/>
              <w:snapToGrid w:val="0"/>
              <w:spacing w:line="460" w:lineRule="exact"/>
              <w:jc w:val="both"/>
              <w:rPr>
                <w:rFonts w:hAnsi="宋体" w:cs="宋体"/>
                <w:color w:val="auto"/>
                <w:sz w:val="21"/>
                <w:szCs w:val="21"/>
                <w:highlight w:val="none"/>
                <w:u w:val="single"/>
              </w:rPr>
            </w:pPr>
            <w:r>
              <w:rPr>
                <w:rFonts w:hint="eastAsia" w:hAnsi="宋体" w:cs="宋体"/>
                <w:color w:val="auto"/>
                <w:sz w:val="21"/>
                <w:szCs w:val="21"/>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14:paraId="4DCB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899" w:type="dxa"/>
            <w:vAlign w:val="center"/>
          </w:tcPr>
          <w:p w14:paraId="26C08C59">
            <w:pPr>
              <w:snapToGrid w:val="0"/>
              <w:spacing w:line="460" w:lineRule="exact"/>
              <w:jc w:val="center"/>
              <w:rPr>
                <w:rFonts w:hAnsi="宋体" w:cs="宋体"/>
                <w:color w:val="auto"/>
                <w:sz w:val="24"/>
                <w:szCs w:val="22"/>
                <w:highlight w:val="none"/>
              </w:rPr>
            </w:pPr>
            <w:r>
              <w:rPr>
                <w:rFonts w:hint="eastAsia" w:hAnsi="宋体" w:cs="宋体"/>
                <w:color w:val="auto"/>
                <w:sz w:val="24"/>
                <w:szCs w:val="22"/>
                <w:highlight w:val="none"/>
              </w:rPr>
              <w:t>关于投标人是否符合政策性价格扣除的说明</w:t>
            </w:r>
          </w:p>
        </w:tc>
        <w:tc>
          <w:tcPr>
            <w:tcW w:w="8061" w:type="dxa"/>
            <w:vAlign w:val="center"/>
          </w:tcPr>
          <w:p w14:paraId="1F33E9D8">
            <w:pPr>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和本项目招标文件的规定，本投标人属于：</w:t>
            </w:r>
          </w:p>
          <w:p w14:paraId="7E085216">
            <w:pPr>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☐小微企业且服务全部由小型或微型企业承接，即提供服务的人员为小型或微型企业依照《中华人民共和国劳动合同法》订立劳动合同的从业人员），适用的评审价格扣除比例为10%；</w:t>
            </w:r>
          </w:p>
          <w:p w14:paraId="093FA9DC">
            <w:pPr>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☐联合体投标，且《联合协议》中约定小微企业的合同份额占到合同总金额的30%以上，适用的评审价格扣除比例为6%；</w:t>
            </w:r>
          </w:p>
          <w:p w14:paraId="6A0769F0">
            <w:pPr>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☐投标人分包，且《分包意向协议》中约定小微企业的合同份额占到合同总金额的30%以上，适用的评审价格扣除比例为6%；</w:t>
            </w:r>
          </w:p>
          <w:p w14:paraId="4A55BB78">
            <w:pPr>
              <w:snapToGrid w:val="0"/>
              <w:spacing w:line="400" w:lineRule="exact"/>
              <w:rPr>
                <w:rFonts w:hint="eastAsia" w:hAnsi="宋体" w:cs="宋体"/>
                <w:color w:val="auto"/>
                <w:sz w:val="21"/>
                <w:szCs w:val="21"/>
                <w:highlight w:val="none"/>
              </w:rPr>
            </w:pPr>
            <w:r>
              <w:rPr>
                <w:rFonts w:hint="eastAsia" w:hAnsi="宋体" w:cs="宋体"/>
                <w:color w:val="auto"/>
                <w:sz w:val="21"/>
                <w:szCs w:val="21"/>
                <w:highlight w:val="none"/>
              </w:rPr>
              <w:t>☐以上都不是。</w:t>
            </w:r>
          </w:p>
          <w:p w14:paraId="74043691">
            <w:pPr>
              <w:widowControl/>
              <w:snapToGrid w:val="0"/>
              <w:spacing w:line="460" w:lineRule="exact"/>
              <w:rPr>
                <w:rFonts w:hAnsi="宋体" w:cs="宋体"/>
                <w:color w:val="auto"/>
                <w:sz w:val="21"/>
                <w:szCs w:val="21"/>
                <w:highlight w:val="none"/>
              </w:rPr>
            </w:pPr>
            <w:r>
              <w:rPr>
                <w:rFonts w:hint="eastAsia" w:hAnsi="宋体" w:cs="宋体"/>
                <w:color w:val="auto"/>
                <w:sz w:val="21"/>
                <w:szCs w:val="21"/>
                <w:highlight w:val="none"/>
              </w:rPr>
              <w:t>本投标人对投标文件所提供的全部资料的真实性承担法律责任，并将无条件接受采购代理机构、招标人及政府采购监督管理部门等对其中任何资料进行核实的要求。</w:t>
            </w:r>
          </w:p>
        </w:tc>
      </w:tr>
    </w:tbl>
    <w:p w14:paraId="3E653751">
      <w:pPr>
        <w:snapToGrid w:val="0"/>
        <w:spacing w:before="50" w:after="50" w:line="460" w:lineRule="exact"/>
        <w:rPr>
          <w:rFonts w:hAnsi="宋体" w:cs="宋体"/>
          <w:b/>
          <w:color w:val="auto"/>
          <w:sz w:val="21"/>
          <w:szCs w:val="21"/>
          <w:highlight w:val="none"/>
        </w:rPr>
      </w:pPr>
      <w:r>
        <w:rPr>
          <w:rFonts w:hint="eastAsia" w:hAnsi="宋体" w:cs="宋体"/>
          <w:color w:val="auto"/>
          <w:sz w:val="21"/>
          <w:szCs w:val="21"/>
          <w:highlight w:val="none"/>
        </w:rPr>
        <w:t>注：1.报价一经涂改，应在涂改处加盖单位公章或者由法定代表人或授权委托人签字或盖章，否则其投标作无效标处理。</w:t>
      </w:r>
    </w:p>
    <w:p w14:paraId="798FD499">
      <w:pPr>
        <w:snapToGrid w:val="0"/>
        <w:spacing w:before="50" w:after="50" w:line="460" w:lineRule="exact"/>
        <w:ind w:left="-99" w:leftChars="-29" w:right="-1323" w:rightChars="-389" w:firstLine="420" w:firstLineChars="200"/>
        <w:rPr>
          <w:rFonts w:hAnsi="宋体" w:cs="宋体"/>
          <w:color w:val="auto"/>
          <w:sz w:val="21"/>
          <w:szCs w:val="21"/>
          <w:highlight w:val="none"/>
        </w:rPr>
      </w:pPr>
      <w:r>
        <w:rPr>
          <w:rFonts w:hint="eastAsia" w:hAnsi="宋体" w:cs="宋体"/>
          <w:color w:val="auto"/>
          <w:sz w:val="21"/>
          <w:szCs w:val="21"/>
          <w:highlight w:val="none"/>
        </w:rPr>
        <w:t>法定代表人或授权代表（签字或盖章）：</w:t>
      </w:r>
    </w:p>
    <w:p w14:paraId="3849A578">
      <w:pPr>
        <w:snapToGrid w:val="0"/>
        <w:spacing w:before="50" w:after="50" w:line="460" w:lineRule="exact"/>
        <w:ind w:left="-99" w:leftChars="-29" w:right="-1323" w:rightChars="-389" w:firstLine="420" w:firstLineChars="200"/>
        <w:rPr>
          <w:rFonts w:hAnsi="宋体" w:cs="宋体"/>
          <w:color w:val="auto"/>
          <w:sz w:val="21"/>
          <w:szCs w:val="21"/>
          <w:highlight w:val="none"/>
        </w:rPr>
      </w:pPr>
      <w:r>
        <w:rPr>
          <w:rFonts w:hint="eastAsia" w:hAnsi="宋体" w:cs="宋体"/>
          <w:color w:val="auto"/>
          <w:sz w:val="21"/>
          <w:szCs w:val="21"/>
          <w:highlight w:val="none"/>
        </w:rPr>
        <w:t xml:space="preserve">投标人（或联合体投标人的牵头单位）名称（公章）:                                </w:t>
      </w:r>
    </w:p>
    <w:p w14:paraId="5A809137">
      <w:pPr>
        <w:snapToGrid w:val="0"/>
        <w:spacing w:before="50" w:after="50" w:line="460" w:lineRule="exact"/>
        <w:ind w:left="-99" w:leftChars="-29" w:right="-1323" w:rightChars="-389" w:firstLine="420" w:firstLineChars="200"/>
        <w:rPr>
          <w:rFonts w:hAnsi="宋体" w:cs="宋体"/>
          <w:color w:val="auto"/>
          <w:highlight w:val="none"/>
        </w:rPr>
      </w:pPr>
      <w:r>
        <w:rPr>
          <w:rFonts w:hint="eastAsia" w:hAnsi="宋体" w:cs="宋体"/>
          <w:color w:val="auto"/>
          <w:sz w:val="21"/>
          <w:szCs w:val="21"/>
          <w:highlight w:val="none"/>
        </w:rPr>
        <w:t>日期：   年   月    日</w:t>
      </w:r>
    </w:p>
    <w:p w14:paraId="4E84A35C">
      <w:pPr>
        <w:rPr>
          <w:rFonts w:hAnsi="宋体" w:cs="宋体"/>
          <w:bCs/>
          <w:color w:val="auto"/>
          <w:sz w:val="24"/>
          <w:highlight w:val="none"/>
        </w:rPr>
      </w:pPr>
      <w:r>
        <w:rPr>
          <w:rFonts w:hint="eastAsia" w:hAnsi="宋体" w:cs="宋体"/>
          <w:bCs/>
          <w:color w:val="auto"/>
          <w:sz w:val="24"/>
          <w:highlight w:val="none"/>
        </w:rPr>
        <w:br w:type="page"/>
      </w:r>
    </w:p>
    <w:p w14:paraId="10927B2E">
      <w:pPr>
        <w:jc w:val="center"/>
        <w:rPr>
          <w:rFonts w:hAnsi="宋体" w:cs="宋体"/>
          <w:color w:val="auto"/>
          <w:sz w:val="24"/>
          <w:szCs w:val="24"/>
          <w:highlight w:val="none"/>
        </w:rPr>
      </w:pPr>
      <w:r>
        <w:rPr>
          <w:rFonts w:hint="eastAsia" w:hAnsi="宋体" w:cs="宋体"/>
          <w:b/>
          <w:color w:val="auto"/>
          <w:sz w:val="24"/>
          <w:highlight w:val="none"/>
        </w:rPr>
        <w:t>3.中小企业（或残疾人福利性单位、监狱企业）提供服务的资料</w:t>
      </w:r>
    </w:p>
    <w:p w14:paraId="0A4D47C4">
      <w:pPr>
        <w:spacing w:line="440" w:lineRule="exact"/>
        <w:ind w:left="1418"/>
        <w:rPr>
          <w:rFonts w:hAnsi="宋体" w:cs="宋体"/>
          <w:color w:val="auto"/>
          <w:sz w:val="21"/>
          <w:szCs w:val="21"/>
          <w:highlight w:val="none"/>
        </w:rPr>
      </w:pPr>
      <w:r>
        <w:rPr>
          <w:rFonts w:hint="eastAsia" w:hAnsi="宋体" w:cs="宋体"/>
          <w:color w:val="auto"/>
          <w:spacing w:val="-1"/>
          <w:sz w:val="21"/>
          <w:szCs w:val="21"/>
          <w:highlight w:val="none"/>
        </w:rPr>
        <w:t>（投标人应完整提供以下资料，否则评审时将不能享受相应的价格折扣）</w:t>
      </w:r>
    </w:p>
    <w:p w14:paraId="500DBCFF">
      <w:pPr>
        <w:spacing w:line="440" w:lineRule="exact"/>
        <w:jc w:val="center"/>
        <w:rPr>
          <w:rFonts w:hAnsi="宋体" w:cs="宋体"/>
          <w:color w:val="auto"/>
          <w:sz w:val="24"/>
          <w:szCs w:val="24"/>
          <w:highlight w:val="none"/>
        </w:rPr>
      </w:pPr>
      <w:r>
        <w:rPr>
          <w:rFonts w:hint="eastAsia" w:hAnsi="宋体" w:cs="宋体"/>
          <w:color w:val="auto"/>
          <w:sz w:val="24"/>
          <w:szCs w:val="24"/>
          <w:highlight w:val="none"/>
        </w:rPr>
        <w:t>（1）中小企业声明函（工程、服务类）</w:t>
      </w:r>
    </w:p>
    <w:p w14:paraId="03768A25">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本公司（联合体）郑重声明，根据《政府采购促进中小企业发展管理办法》（财库﹝2020﹞46 号）的规定，本公司（联合体）参加</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u w:val="single"/>
          <w:lang w:eastAsia="zh-CN"/>
        </w:rPr>
        <w:t>金华市婺城区水务局</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的</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u w:val="single"/>
          <w:lang w:eastAsia="zh-CN"/>
        </w:rPr>
        <w:t>2025年婺城区单村供水物业化管理项目</w:t>
      </w:r>
      <w:r>
        <w:rPr>
          <w:rFonts w:hint="eastAsia" w:hAnsi="宋体" w:cs="宋体"/>
          <w:color w:val="auto"/>
          <w:kern w:val="2"/>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 </w:t>
      </w:r>
    </w:p>
    <w:p w14:paraId="23906949">
      <w:pPr>
        <w:snapToGrid w:val="0"/>
        <w:spacing w:line="440" w:lineRule="exact"/>
        <w:ind w:firstLine="422" w:firstLineChars="200"/>
        <w:rPr>
          <w:rFonts w:hAnsi="宋体" w:cs="宋体"/>
          <w:b/>
          <w:bCs/>
          <w:color w:val="auto"/>
          <w:kern w:val="2"/>
          <w:sz w:val="21"/>
          <w:szCs w:val="21"/>
          <w:highlight w:val="none"/>
        </w:rPr>
      </w:pPr>
      <w:r>
        <w:rPr>
          <w:rFonts w:hint="eastAsia" w:hAnsi="宋体" w:cs="宋体"/>
          <w:b/>
          <w:bCs/>
          <w:color w:val="auto"/>
          <w:kern w:val="2"/>
          <w:sz w:val="21"/>
          <w:szCs w:val="21"/>
          <w:highlight w:val="none"/>
        </w:rPr>
        <w:t>1.</w:t>
      </w:r>
      <w:r>
        <w:rPr>
          <w:rFonts w:hint="eastAsia" w:hAnsi="宋体" w:cs="宋体"/>
          <w:b/>
          <w:bCs/>
          <w:color w:val="auto"/>
          <w:kern w:val="2"/>
          <w:sz w:val="21"/>
          <w:szCs w:val="21"/>
          <w:highlight w:val="none"/>
          <w:u w:val="single"/>
          <w:lang w:eastAsia="zh-CN"/>
        </w:rPr>
        <w:t>2025年婺城区单村供水物业化管理项目</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lang w:eastAsia="zh-CN"/>
        </w:rPr>
        <w:t>其他未列明行业--水利、环境和公共设施管理业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14:paraId="774816F5">
      <w:pPr>
        <w:snapToGrid w:val="0"/>
        <w:spacing w:line="440" w:lineRule="exact"/>
        <w:ind w:firstLine="422" w:firstLineChars="200"/>
        <w:rPr>
          <w:rFonts w:hAnsi="宋体" w:cs="宋体"/>
          <w:b/>
          <w:bCs/>
          <w:color w:val="auto"/>
          <w:kern w:val="2"/>
          <w:sz w:val="21"/>
          <w:szCs w:val="21"/>
          <w:highlight w:val="none"/>
        </w:rPr>
      </w:pPr>
      <w:r>
        <w:rPr>
          <w:rFonts w:hint="eastAsia" w:hAnsi="宋体" w:cs="宋体"/>
          <w:b/>
          <w:bCs/>
          <w:color w:val="auto"/>
          <w:kern w:val="2"/>
          <w:sz w:val="21"/>
          <w:szCs w:val="21"/>
          <w:highlight w:val="none"/>
        </w:rPr>
        <w:t>2.</w:t>
      </w:r>
      <w:r>
        <w:rPr>
          <w:rFonts w:hint="eastAsia" w:hAnsi="宋体" w:cs="宋体"/>
          <w:b/>
          <w:bCs/>
          <w:color w:val="auto"/>
          <w:kern w:val="2"/>
          <w:sz w:val="21"/>
          <w:szCs w:val="21"/>
          <w:highlight w:val="none"/>
          <w:u w:val="single"/>
          <w:lang w:eastAsia="zh-CN"/>
        </w:rPr>
        <w:t>2025年婺城区单村供水物业化管理项目</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lang w:eastAsia="zh-CN"/>
        </w:rPr>
        <w:t>其他未列明行业--水利、环境和公共设施管理业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14:paraId="30519910">
      <w:pPr>
        <w:snapToGrid w:val="0"/>
        <w:spacing w:line="440" w:lineRule="exact"/>
        <w:ind w:firstLine="630" w:firstLineChars="300"/>
        <w:rPr>
          <w:rFonts w:hAnsi="宋体" w:cs="宋体"/>
          <w:color w:val="auto"/>
          <w:kern w:val="2"/>
          <w:sz w:val="21"/>
          <w:szCs w:val="21"/>
          <w:highlight w:val="none"/>
        </w:rPr>
      </w:pPr>
      <w:r>
        <w:rPr>
          <w:rFonts w:hint="eastAsia" w:hAnsi="宋体" w:cs="宋体"/>
          <w:color w:val="auto"/>
          <w:kern w:val="2"/>
          <w:sz w:val="21"/>
          <w:szCs w:val="21"/>
          <w:highlight w:val="none"/>
        </w:rPr>
        <w:t xml:space="preserve">…… </w:t>
      </w:r>
    </w:p>
    <w:p w14:paraId="17286AB8">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 xml:space="preserve">以上企业，不属于大企业的分支机构，不存在控股股东为大企业的情形，也不存在与大企业的负责人为同一人的情形。 </w:t>
      </w:r>
    </w:p>
    <w:p w14:paraId="3F85B7B1">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 xml:space="preserve">本企业对上述声明内容的真实性负责。如有虚假，将依法承担相应责任。 </w:t>
      </w:r>
    </w:p>
    <w:p w14:paraId="3B2FCA6A">
      <w:pPr>
        <w:snapToGrid w:val="0"/>
        <w:spacing w:line="440" w:lineRule="exact"/>
        <w:ind w:firstLine="210" w:firstLineChars="100"/>
        <w:rPr>
          <w:rFonts w:hAnsi="宋体" w:cs="宋体"/>
          <w:color w:val="auto"/>
          <w:kern w:val="2"/>
          <w:sz w:val="21"/>
          <w:szCs w:val="21"/>
          <w:highlight w:val="none"/>
        </w:rPr>
      </w:pPr>
      <w:r>
        <w:rPr>
          <w:rFonts w:hint="eastAsia" w:hAnsi="宋体" w:cs="宋体"/>
          <w:color w:val="auto"/>
          <w:kern w:val="2"/>
          <w:sz w:val="21"/>
          <w:szCs w:val="21"/>
          <w:highlight w:val="none"/>
        </w:rPr>
        <w:t xml:space="preserve">企业名称（盖章）： </w:t>
      </w:r>
    </w:p>
    <w:p w14:paraId="7DC2BA43">
      <w:pPr>
        <w:snapToGrid w:val="0"/>
        <w:spacing w:line="440" w:lineRule="exact"/>
        <w:ind w:firstLine="210" w:firstLineChars="100"/>
        <w:rPr>
          <w:rFonts w:hAnsi="宋体" w:cs="宋体"/>
          <w:color w:val="auto"/>
          <w:kern w:val="2"/>
          <w:sz w:val="21"/>
          <w:szCs w:val="21"/>
          <w:highlight w:val="none"/>
        </w:rPr>
      </w:pPr>
      <w:r>
        <w:rPr>
          <w:rFonts w:hint="eastAsia" w:hAnsi="宋体" w:cs="宋体"/>
          <w:color w:val="auto"/>
          <w:kern w:val="2"/>
          <w:sz w:val="21"/>
          <w:szCs w:val="21"/>
          <w:highlight w:val="none"/>
        </w:rPr>
        <w:t xml:space="preserve">日 期： </w:t>
      </w:r>
    </w:p>
    <w:p w14:paraId="24105B26">
      <w:pPr>
        <w:snapToGrid w:val="0"/>
        <w:spacing w:line="440" w:lineRule="exact"/>
        <w:rPr>
          <w:rFonts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14:paraId="215564C7">
      <w:pPr>
        <w:autoSpaceDE/>
        <w:autoSpaceDN/>
        <w:adjustRightInd/>
        <w:spacing w:line="44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int="eastAsia" w:hAnsi="宋体" w:cs="宋体"/>
          <w:color w:val="auto"/>
          <w:kern w:val="2"/>
          <w:sz w:val="21"/>
          <w:szCs w:val="21"/>
          <w:highlight w:val="none"/>
          <w:lang w:eastAsia="zh-CN"/>
        </w:rPr>
        <w:t>其他未列明行业--水利、环境和公共设施管理业</w:t>
      </w:r>
      <w:r>
        <w:rPr>
          <w:rFonts w:hint="eastAsia" w:hAnsi="宋体" w:cs="宋体"/>
          <w:color w:val="auto"/>
          <w:kern w:val="2"/>
          <w:sz w:val="21"/>
          <w:szCs w:val="21"/>
          <w:highlight w:val="none"/>
        </w:rPr>
        <w:t>”，划型标准为：从业人员300人以下的为中小微型企业。其中，从业人员100人及以上的为中型企业；从业人员10人及以上的为小型企业；从业人员10人以下的为微型企业。</w:t>
      </w:r>
    </w:p>
    <w:p w14:paraId="0B633C75">
      <w:pPr>
        <w:autoSpaceDE/>
        <w:autoSpaceDN/>
        <w:adjustRightInd/>
        <w:spacing w:line="44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③符合中小企业划分标准的个体工商户、其他组织机构，在本项目采购活动中视同中小企业；</w:t>
      </w:r>
    </w:p>
    <w:p w14:paraId="75C61AFB">
      <w:pPr>
        <w:spacing w:line="440" w:lineRule="exact"/>
        <w:ind w:firstLine="420" w:firstLineChars="200"/>
        <w:rPr>
          <w:rFonts w:hAnsi="宋体" w:cs="宋体"/>
          <w:color w:val="auto"/>
          <w:highlight w:val="none"/>
        </w:rPr>
      </w:pPr>
      <w:r>
        <w:rPr>
          <w:rFonts w:hint="eastAsia" w:hAnsi="宋体" w:cs="宋体"/>
          <w:color w:val="auto"/>
          <w:kern w:val="2"/>
          <w:sz w:val="21"/>
          <w:szCs w:val="21"/>
          <w:highlight w:val="none"/>
        </w:rPr>
        <w:t>④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r>
        <w:rPr>
          <w:rFonts w:hint="eastAsia" w:hAnsi="宋体" w:cs="宋体"/>
          <w:color w:val="auto"/>
          <w:spacing w:val="-1"/>
          <w:sz w:val="20"/>
          <w:highlight w:val="none"/>
        </w:rPr>
        <w:t>。</w:t>
      </w:r>
    </w:p>
    <w:p w14:paraId="6DB5E8AB">
      <w:pPr>
        <w:spacing w:line="440" w:lineRule="exact"/>
        <w:jc w:val="center"/>
        <w:rPr>
          <w:rFonts w:hAnsi="宋体" w:cs="宋体"/>
          <w:color w:val="auto"/>
          <w:sz w:val="24"/>
          <w:szCs w:val="24"/>
          <w:highlight w:val="none"/>
        </w:rPr>
      </w:pPr>
    </w:p>
    <w:p w14:paraId="6251B347">
      <w:pPr>
        <w:spacing w:line="440" w:lineRule="exact"/>
        <w:jc w:val="center"/>
        <w:rPr>
          <w:rFonts w:hAnsi="宋体" w:cs="宋体"/>
          <w:color w:val="auto"/>
          <w:sz w:val="24"/>
          <w:szCs w:val="24"/>
          <w:highlight w:val="none"/>
        </w:rPr>
      </w:pPr>
      <w:r>
        <w:rPr>
          <w:rFonts w:hint="eastAsia" w:hAnsi="宋体" w:cs="宋体"/>
          <w:color w:val="auto"/>
          <w:sz w:val="24"/>
          <w:szCs w:val="24"/>
          <w:highlight w:val="none"/>
        </w:rPr>
        <w:t>（2）残疾人福利性单位声明函</w:t>
      </w:r>
    </w:p>
    <w:p w14:paraId="156BC016">
      <w:pPr>
        <w:pStyle w:val="81"/>
        <w:spacing w:before="634" w:beforeLines="100" w:line="500" w:lineRule="exact"/>
        <w:ind w:firstLine="601"/>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E1085A">
      <w:pPr>
        <w:pStyle w:val="81"/>
        <w:spacing w:line="500" w:lineRule="exact"/>
        <w:ind w:firstLine="600"/>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14:paraId="76553FC2">
      <w:pPr>
        <w:pStyle w:val="81"/>
        <w:spacing w:line="500" w:lineRule="exact"/>
        <w:rPr>
          <w:rFonts w:hint="default" w:ascii="宋体" w:hAnsi="宋体" w:eastAsia="宋体" w:cs="宋体"/>
          <w:color w:val="auto"/>
          <w:spacing w:val="6"/>
          <w:szCs w:val="21"/>
          <w:highlight w:val="none"/>
        </w:rPr>
      </w:pPr>
    </w:p>
    <w:p w14:paraId="438DA99D">
      <w:pPr>
        <w:pStyle w:val="81"/>
        <w:spacing w:line="500" w:lineRule="exact"/>
        <w:ind w:right="1560" w:firstLine="600"/>
        <w:jc w:val="center"/>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单位名称（盖章）：</w:t>
      </w:r>
    </w:p>
    <w:p w14:paraId="737A76A4">
      <w:pPr>
        <w:pStyle w:val="81"/>
        <w:spacing w:line="500" w:lineRule="exact"/>
        <w:ind w:right="1560" w:firstLine="600"/>
        <w:jc w:val="center"/>
        <w:rPr>
          <w:rFonts w:hint="default"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14:paraId="5627ED22">
      <w:pPr>
        <w:snapToGrid w:val="0"/>
        <w:spacing w:line="500" w:lineRule="exact"/>
        <w:jc w:val="center"/>
        <w:rPr>
          <w:rFonts w:hAnsi="宋体" w:cs="宋体"/>
          <w:color w:val="auto"/>
          <w:sz w:val="21"/>
          <w:szCs w:val="21"/>
          <w:highlight w:val="none"/>
        </w:rPr>
      </w:pPr>
    </w:p>
    <w:p w14:paraId="59DDF5B0">
      <w:pPr>
        <w:snapToGrid w:val="0"/>
        <w:spacing w:line="500" w:lineRule="exact"/>
        <w:jc w:val="center"/>
        <w:rPr>
          <w:rFonts w:hAnsi="宋体" w:cs="宋体"/>
          <w:color w:val="auto"/>
          <w:sz w:val="21"/>
          <w:szCs w:val="21"/>
          <w:highlight w:val="none"/>
        </w:rPr>
      </w:pPr>
    </w:p>
    <w:p w14:paraId="484A6547">
      <w:pPr>
        <w:spacing w:line="440" w:lineRule="exact"/>
        <w:jc w:val="center"/>
        <w:rPr>
          <w:rFonts w:hAnsi="宋体" w:cs="宋体"/>
          <w:color w:val="auto"/>
          <w:sz w:val="24"/>
          <w:szCs w:val="24"/>
          <w:highlight w:val="none"/>
        </w:rPr>
      </w:pPr>
      <w:r>
        <w:rPr>
          <w:rFonts w:hint="eastAsia" w:hAnsi="宋体" w:cs="宋体"/>
          <w:color w:val="auto"/>
          <w:sz w:val="24"/>
          <w:szCs w:val="24"/>
          <w:highlight w:val="none"/>
        </w:rPr>
        <w:t>（3）监狱企业证明文件</w:t>
      </w:r>
    </w:p>
    <w:p w14:paraId="08210548">
      <w:pPr>
        <w:widowControl/>
        <w:snapToGrid w:val="0"/>
        <w:spacing w:line="500" w:lineRule="exact"/>
        <w:ind w:firstLine="420" w:firstLineChars="200"/>
        <w:rPr>
          <w:rFonts w:hAnsi="宋体" w:cs="宋体"/>
          <w:color w:val="auto"/>
          <w:sz w:val="21"/>
          <w:szCs w:val="21"/>
          <w:highlight w:val="none"/>
        </w:rPr>
      </w:pPr>
    </w:p>
    <w:p w14:paraId="1304BAA3">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bookmarkEnd w:id="50"/>
    <w:p w14:paraId="392AF39A">
      <w:pPr>
        <w:spacing w:line="458" w:lineRule="exact"/>
        <w:rPr>
          <w:rFonts w:hAnsi="宋体" w:cs="宋体"/>
          <w:color w:val="auto"/>
          <w:sz w:val="21"/>
          <w:szCs w:val="21"/>
          <w:highlight w:val="none"/>
        </w:rPr>
      </w:pPr>
    </w:p>
    <w:p w14:paraId="35B7D401">
      <w:pPr>
        <w:rPr>
          <w:rFonts w:hAnsi="宋体" w:cs="宋体"/>
          <w:color w:val="auto"/>
          <w:highlight w:val="none"/>
        </w:rPr>
      </w:pPr>
    </w:p>
    <w:sectPr>
      <w:footerReference r:id="rId10" w:type="first"/>
      <w:footerReference r:id="rId9" w:type="default"/>
      <w:pgSz w:w="11906" w:h="16838"/>
      <w:pgMar w:top="1440" w:right="1080" w:bottom="1440" w:left="1080" w:header="850" w:footer="567" w:gutter="0"/>
      <w:pgNumType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汉仪仿宋简">
    <w:altName w:val="仿宋"/>
    <w:panose1 w:val="00000000000000000000"/>
    <w:charset w:val="86"/>
    <w:family w:val="modern"/>
    <w:pitch w:val="default"/>
    <w:sig w:usb0="00000000" w:usb1="00000000" w:usb2="00000012"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8976">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12</w:t>
    </w:r>
    <w:r>
      <w:fldChar w:fldCharType="end"/>
    </w:r>
  </w:p>
  <w:p w14:paraId="5A1620D6">
    <w:pPr>
      <w:pStyle w:val="31"/>
      <w:framePr w:w="607" w:h="430" w:hRule="exact" w:wrap="around" w:vAnchor="text" w:hAnchor="page" w:x="8905" w:y="-58"/>
      <w:ind w:right="360"/>
      <w:rPr>
        <w:rStyle w:val="51"/>
      </w:rPr>
    </w:pPr>
  </w:p>
  <w:p w14:paraId="446A9111">
    <w:pPr>
      <w:pStyle w:val="31"/>
      <w:framePr w:wrap="around" w:vAnchor="text" w:hAnchor="page" w:x="15730" w:y="74"/>
      <w:ind w:right="360"/>
      <w:rPr>
        <w:rStyle w:val="51"/>
      </w:rPr>
    </w:pPr>
  </w:p>
  <w:p w14:paraId="22DD682A">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F6B1">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34</w:t>
    </w:r>
    <w:r>
      <w:fldChar w:fldCharType="end"/>
    </w:r>
  </w:p>
  <w:p w14:paraId="71151FD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AEFC">
    <w:pPr>
      <w:pStyle w:val="31"/>
      <w:framePr w:w="607" w:h="430" w:hRule="exact" w:wrap="around" w:vAnchor="text" w:hAnchor="page" w:x="8905" w:y="-58"/>
      <w:ind w:right="360"/>
      <w:rPr>
        <w:rStyle w:val="51"/>
      </w:rPr>
    </w:pPr>
  </w:p>
  <w:p w14:paraId="27C23A31">
    <w:pPr>
      <w:pStyle w:val="31"/>
      <w:framePr w:wrap="around" w:vAnchor="text" w:hAnchor="page" w:x="15730" w:y="74"/>
      <w:ind w:right="360"/>
      <w:rPr>
        <w:rStyle w:val="51"/>
      </w:rPr>
    </w:pPr>
  </w:p>
  <w:p w14:paraId="783DCBD3">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2FDF">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43AE">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33</w:t>
    </w:r>
    <w:r>
      <w:fldChar w:fldCharType="end"/>
    </w:r>
  </w:p>
  <w:p w14:paraId="361DF61A">
    <w:pPr>
      <w:pStyle w:val="31"/>
      <w:framePr w:w="607" w:h="430" w:hRule="exact" w:wrap="around" w:vAnchor="text" w:hAnchor="page" w:x="8905" w:y="-58"/>
      <w:ind w:right="360"/>
      <w:rPr>
        <w:rStyle w:val="51"/>
      </w:rPr>
    </w:pPr>
  </w:p>
  <w:p w14:paraId="4C34FCDA">
    <w:pPr>
      <w:pStyle w:val="31"/>
      <w:framePr w:wrap="around" w:vAnchor="text" w:hAnchor="page" w:x="15730" w:y="74"/>
      <w:ind w:right="360"/>
      <w:rPr>
        <w:rStyle w:val="51"/>
      </w:rPr>
    </w:pPr>
  </w:p>
  <w:p w14:paraId="4D8E0D3F">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C1E76">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5BE1">
    <w:pPr>
      <w:pStyle w:val="32"/>
      <w:pBdr>
        <w:bottom w:val="single" w:color="auto" w:sz="6" w:space="0"/>
      </w:pBdr>
      <w:rPr>
        <w:rFonts w:ascii="宋体" w:hAnsi="宋体" w:cs="宋体"/>
      </w:rPr>
    </w:pPr>
    <w:r>
      <w:rPr>
        <w:rFonts w:hint="eastAsia" w:ascii="宋体" w:hAnsi="宋体" w:cs="宋体"/>
      </w:rPr>
      <w:t>金华市天盈招标代理有限公司</w:t>
    </w:r>
  </w:p>
  <w:p w14:paraId="0EE7C974">
    <w:pPr>
      <w:pStyle w:val="32"/>
      <w:pBdr>
        <w:bottom w:val="single" w:color="auto" w:sz="6" w:space="0"/>
      </w:pBdr>
      <w:rPr>
        <w:rFonts w:hint="eastAsia" w:ascii="宋体" w:hAnsi="宋体" w:eastAsia="宋体" w:cs="宋体"/>
        <w:lang w:eastAsia="zh-CN"/>
      </w:rPr>
    </w:pPr>
    <w:r>
      <w:pict>
        <v:shape id="PowerPlusWaterMarkObject15605" o:spid="_x0000_s4098" o:spt="136" type="#_x0000_t136" style="position:absolute;left:0pt;height:60pt;width:597.35pt;mso-position-horizontal:center;mso-position-horizontal-relative:margin;mso-position-vertical:center;mso-position-vertical-relative:margin;rotation:-2949120f;z-index:-251657216;mso-width-relative:page;mso-height-relative:page;" fillcolor="#C0C0C0" filled="t" stroked="f" coordsize="21600,21600">
          <v:path/>
          <v:fill on="t" opacity="19660f" focussize="0,0"/>
          <v:stroke on="f"/>
          <v:imagedata o:title=""/>
          <o:lock v:ext="edit" aspectratio="t"/>
          <v:textpath on="t" fitshape="t" fitpath="t" trim="t" xscale="f" string="金华市天盈招标代理有限公司" style="font-family:微软雅黑;font-size:36pt;v-text-align:center;"/>
        </v:shape>
      </w:pict>
    </w:r>
    <w:r>
      <w:rPr>
        <w:rFonts w:hint="eastAsia" w:ascii="宋体" w:hAnsi="宋体" w:cs="宋体"/>
      </w:rPr>
      <w:t>项目编号：</w:t>
    </w:r>
    <w:r>
      <w:rPr>
        <w:rFonts w:hint="eastAsia" w:ascii="宋体" w:hAnsi="宋体" w:cs="宋体"/>
        <w:lang w:eastAsia="zh-CN"/>
      </w:rPr>
      <w:t xml:space="preserve">TY2025-FW131-ZFCG131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F3E9">
    <w:pPr>
      <w:pStyle w:val="32"/>
      <w:pBdr>
        <w:bottom w:val="single" w:color="auto" w:sz="6" w:space="0"/>
      </w:pBdr>
      <w:rPr>
        <w:rFonts w:ascii="宋体" w:hAnsi="宋体" w:cs="宋体"/>
        <w:szCs w:val="18"/>
      </w:rPr>
    </w:pPr>
    <w:r>
      <w:rPr>
        <w:rFonts w:hint="eastAsia" w:ascii="宋体" w:hAnsi="宋体" w:cs="宋体"/>
        <w:szCs w:val="18"/>
      </w:rPr>
      <w:t>金华市天盈招标代理有限公司</w:t>
    </w:r>
  </w:p>
  <w:p w14:paraId="2B86AF37">
    <w:pPr>
      <w:pStyle w:val="32"/>
      <w:pBdr>
        <w:bottom w:val="single" w:color="auto" w:sz="6" w:space="0"/>
      </w:pBdr>
      <w:rPr>
        <w:rFonts w:hint="eastAsia" w:ascii="宋体" w:hAnsi="宋体" w:eastAsia="宋体" w:cs="宋体"/>
        <w:szCs w:val="18"/>
        <w:lang w:eastAsia="zh-CN"/>
      </w:rPr>
    </w:pPr>
    <w:r>
      <w:pict>
        <v:shape id="PowerPlusWaterMarkObject49401" o:spid="_x0000_s4097" o:spt="136" type="#_x0000_t136" style="position:absolute;left:0pt;height:60pt;width:597.35pt;mso-position-horizontal:center;mso-position-horizontal-relative:margin;mso-position-vertical:center;mso-position-vertical-relative:margin;rotation:-2949120f;z-index:-251656192;mso-width-relative:page;mso-height-relative:page;" fillcolor="#C0C0C0" filled="t" stroked="f" coordsize="21600,21600">
          <v:path/>
          <v:fill on="t" opacity="19660f" focussize="0,0"/>
          <v:stroke on="f"/>
          <v:imagedata o:title=""/>
          <o:lock v:ext="edit" aspectratio="t"/>
          <v:textpath on="t" fitshape="t" fitpath="t" trim="t" xscale="f" string="金华市天盈招标代理有限公司" style="font-family:微软雅黑;font-size:36pt;v-text-align:center;"/>
        </v:shape>
      </w:pict>
    </w:r>
    <w:r>
      <w:rPr>
        <w:rFonts w:hint="eastAsia" w:ascii="宋体" w:hAnsi="宋体" w:cs="宋体"/>
        <w:szCs w:val="18"/>
      </w:rPr>
      <w:t>项目编号：</w:t>
    </w:r>
    <w:r>
      <w:rPr>
        <w:rFonts w:hint="eastAsia" w:ascii="宋体" w:hAnsi="宋体" w:cs="宋体"/>
        <w:szCs w:val="18"/>
        <w:lang w:eastAsia="zh-CN"/>
      </w:rPr>
      <w:t xml:space="preserve">TY2025-FW131-ZFCG131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4B1E5889"/>
    <w:multiLevelType w:val="singleLevel"/>
    <w:tmpl w:val="4B1E5889"/>
    <w:lvl w:ilvl="0" w:tentative="0">
      <w:start w:val="5"/>
      <w:numFmt w:val="chineseCounting"/>
      <w:suff w:val="nothing"/>
      <w:lvlText w:val="%1、"/>
      <w:lvlJc w:val="left"/>
      <w:rPr>
        <w:rFonts w:hint="eastAsia"/>
      </w:rPr>
    </w:lvl>
  </w:abstractNum>
  <w:abstractNum w:abstractNumId="2">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170"/>
  <w:drawingGridVerticalSpacing w:val="317"/>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04A0"/>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E5"/>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5A2"/>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6644"/>
    <w:rsid w:val="00067359"/>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0A4"/>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D49"/>
    <w:rsid w:val="00096534"/>
    <w:rsid w:val="000A0043"/>
    <w:rsid w:val="000A07B9"/>
    <w:rsid w:val="000A0B64"/>
    <w:rsid w:val="000A16EC"/>
    <w:rsid w:val="000A31C7"/>
    <w:rsid w:val="000A3682"/>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11ED"/>
    <w:rsid w:val="000B169A"/>
    <w:rsid w:val="000B19D1"/>
    <w:rsid w:val="000B2C16"/>
    <w:rsid w:val="000B3383"/>
    <w:rsid w:val="000B3604"/>
    <w:rsid w:val="000B37F1"/>
    <w:rsid w:val="000B397F"/>
    <w:rsid w:val="000B4013"/>
    <w:rsid w:val="000B411D"/>
    <w:rsid w:val="000B45CC"/>
    <w:rsid w:val="000B4EFE"/>
    <w:rsid w:val="000B5B13"/>
    <w:rsid w:val="000B5E63"/>
    <w:rsid w:val="000B61F7"/>
    <w:rsid w:val="000B630D"/>
    <w:rsid w:val="000B67FF"/>
    <w:rsid w:val="000B7FD5"/>
    <w:rsid w:val="000C0301"/>
    <w:rsid w:val="000C0631"/>
    <w:rsid w:val="000C0BFE"/>
    <w:rsid w:val="000C0EB7"/>
    <w:rsid w:val="000C1588"/>
    <w:rsid w:val="000C15E4"/>
    <w:rsid w:val="000C1C0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499C"/>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683D"/>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CF5"/>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ABB"/>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1B94"/>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ABA"/>
    <w:rsid w:val="00255E72"/>
    <w:rsid w:val="00256BD4"/>
    <w:rsid w:val="00257111"/>
    <w:rsid w:val="00257AB6"/>
    <w:rsid w:val="00257B2C"/>
    <w:rsid w:val="00257E53"/>
    <w:rsid w:val="00260FE6"/>
    <w:rsid w:val="002613C9"/>
    <w:rsid w:val="00261905"/>
    <w:rsid w:val="00261F61"/>
    <w:rsid w:val="00262221"/>
    <w:rsid w:val="0026251B"/>
    <w:rsid w:val="002629B7"/>
    <w:rsid w:val="0026327D"/>
    <w:rsid w:val="00263608"/>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660"/>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0E4"/>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7D"/>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39E"/>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125"/>
    <w:rsid w:val="0038670C"/>
    <w:rsid w:val="003908DF"/>
    <w:rsid w:val="00392469"/>
    <w:rsid w:val="003924F4"/>
    <w:rsid w:val="003929A6"/>
    <w:rsid w:val="00392D0A"/>
    <w:rsid w:val="0039432F"/>
    <w:rsid w:val="0039471F"/>
    <w:rsid w:val="00394CD6"/>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6BF"/>
    <w:rsid w:val="003A5E72"/>
    <w:rsid w:val="003A60A1"/>
    <w:rsid w:val="003A6D06"/>
    <w:rsid w:val="003A6D56"/>
    <w:rsid w:val="003A6FC3"/>
    <w:rsid w:val="003A7025"/>
    <w:rsid w:val="003A7496"/>
    <w:rsid w:val="003B0505"/>
    <w:rsid w:val="003B0678"/>
    <w:rsid w:val="003B0A75"/>
    <w:rsid w:val="003B10CB"/>
    <w:rsid w:val="003B1143"/>
    <w:rsid w:val="003B1354"/>
    <w:rsid w:val="003B13DD"/>
    <w:rsid w:val="003B1407"/>
    <w:rsid w:val="003B1891"/>
    <w:rsid w:val="003B1EEC"/>
    <w:rsid w:val="003B28EF"/>
    <w:rsid w:val="003B32DC"/>
    <w:rsid w:val="003B34D5"/>
    <w:rsid w:val="003B4295"/>
    <w:rsid w:val="003B4E4D"/>
    <w:rsid w:val="003B639C"/>
    <w:rsid w:val="003B77D1"/>
    <w:rsid w:val="003C0360"/>
    <w:rsid w:val="003C0A07"/>
    <w:rsid w:val="003C1380"/>
    <w:rsid w:val="003C16AB"/>
    <w:rsid w:val="003C18F4"/>
    <w:rsid w:val="003C21C4"/>
    <w:rsid w:val="003C2348"/>
    <w:rsid w:val="003C296D"/>
    <w:rsid w:val="003C2BD2"/>
    <w:rsid w:val="003C350A"/>
    <w:rsid w:val="003C36E7"/>
    <w:rsid w:val="003C42CE"/>
    <w:rsid w:val="003C4317"/>
    <w:rsid w:val="003C4D16"/>
    <w:rsid w:val="003C68F3"/>
    <w:rsid w:val="003C7F23"/>
    <w:rsid w:val="003D085B"/>
    <w:rsid w:val="003D08B5"/>
    <w:rsid w:val="003D0C23"/>
    <w:rsid w:val="003D100E"/>
    <w:rsid w:val="003D168A"/>
    <w:rsid w:val="003D17BB"/>
    <w:rsid w:val="003D1B10"/>
    <w:rsid w:val="003D230B"/>
    <w:rsid w:val="003D231E"/>
    <w:rsid w:val="003D2B4A"/>
    <w:rsid w:val="003D3616"/>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4D4"/>
    <w:rsid w:val="003F59E6"/>
    <w:rsid w:val="003F6E99"/>
    <w:rsid w:val="003F70A2"/>
    <w:rsid w:val="003F70C9"/>
    <w:rsid w:val="003F7386"/>
    <w:rsid w:val="003F7AB4"/>
    <w:rsid w:val="004001B5"/>
    <w:rsid w:val="00400731"/>
    <w:rsid w:val="004008FD"/>
    <w:rsid w:val="00400B50"/>
    <w:rsid w:val="0040107C"/>
    <w:rsid w:val="00401680"/>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AB0"/>
    <w:rsid w:val="00411ED7"/>
    <w:rsid w:val="00411FE6"/>
    <w:rsid w:val="00412015"/>
    <w:rsid w:val="0041268D"/>
    <w:rsid w:val="004130C6"/>
    <w:rsid w:val="0041312F"/>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5EF"/>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7F5"/>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146"/>
    <w:rsid w:val="00457F21"/>
    <w:rsid w:val="00460182"/>
    <w:rsid w:val="004601BC"/>
    <w:rsid w:val="004619DA"/>
    <w:rsid w:val="00461B29"/>
    <w:rsid w:val="00461D56"/>
    <w:rsid w:val="00462220"/>
    <w:rsid w:val="004622C9"/>
    <w:rsid w:val="004622D1"/>
    <w:rsid w:val="0046268F"/>
    <w:rsid w:val="004628C0"/>
    <w:rsid w:val="00463602"/>
    <w:rsid w:val="004646B0"/>
    <w:rsid w:val="00464B25"/>
    <w:rsid w:val="00464B79"/>
    <w:rsid w:val="004650DB"/>
    <w:rsid w:val="00465175"/>
    <w:rsid w:val="0046611E"/>
    <w:rsid w:val="00466280"/>
    <w:rsid w:val="00466F89"/>
    <w:rsid w:val="004671F9"/>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605"/>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B7F8B"/>
    <w:rsid w:val="004C0799"/>
    <w:rsid w:val="004C154A"/>
    <w:rsid w:val="004C1FC6"/>
    <w:rsid w:val="004C2041"/>
    <w:rsid w:val="004C2643"/>
    <w:rsid w:val="004C2F0A"/>
    <w:rsid w:val="004C2F45"/>
    <w:rsid w:val="004C3338"/>
    <w:rsid w:val="004C47D9"/>
    <w:rsid w:val="004C490D"/>
    <w:rsid w:val="004C5009"/>
    <w:rsid w:val="004C5DE3"/>
    <w:rsid w:val="004C6509"/>
    <w:rsid w:val="004C6D0E"/>
    <w:rsid w:val="004C75C8"/>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6B8A"/>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9FD"/>
    <w:rsid w:val="004E4E50"/>
    <w:rsid w:val="004E650F"/>
    <w:rsid w:val="004E7408"/>
    <w:rsid w:val="004E7B5F"/>
    <w:rsid w:val="004F0413"/>
    <w:rsid w:val="004F0B90"/>
    <w:rsid w:val="004F0F80"/>
    <w:rsid w:val="004F1373"/>
    <w:rsid w:val="004F1A7A"/>
    <w:rsid w:val="004F26AD"/>
    <w:rsid w:val="004F2A1B"/>
    <w:rsid w:val="004F2CA5"/>
    <w:rsid w:val="004F30CE"/>
    <w:rsid w:val="004F3E9C"/>
    <w:rsid w:val="004F403F"/>
    <w:rsid w:val="004F4EB1"/>
    <w:rsid w:val="004F4FD7"/>
    <w:rsid w:val="004F5FED"/>
    <w:rsid w:val="004F610A"/>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86"/>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109"/>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24D"/>
    <w:rsid w:val="005623C5"/>
    <w:rsid w:val="005640B6"/>
    <w:rsid w:val="00564B38"/>
    <w:rsid w:val="00565676"/>
    <w:rsid w:val="00565E58"/>
    <w:rsid w:val="00566FF2"/>
    <w:rsid w:val="005679E4"/>
    <w:rsid w:val="00571169"/>
    <w:rsid w:val="00571A55"/>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3D"/>
    <w:rsid w:val="00582B50"/>
    <w:rsid w:val="00583651"/>
    <w:rsid w:val="00584DCF"/>
    <w:rsid w:val="00584EBE"/>
    <w:rsid w:val="005851BA"/>
    <w:rsid w:val="005861D3"/>
    <w:rsid w:val="0058657A"/>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2F1A"/>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088A"/>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9B5"/>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F0941"/>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83E"/>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4175"/>
    <w:rsid w:val="0061529F"/>
    <w:rsid w:val="00615AF4"/>
    <w:rsid w:val="00615B30"/>
    <w:rsid w:val="00617170"/>
    <w:rsid w:val="00617181"/>
    <w:rsid w:val="0061781A"/>
    <w:rsid w:val="00617FFE"/>
    <w:rsid w:val="00620A0F"/>
    <w:rsid w:val="00620B88"/>
    <w:rsid w:val="00621454"/>
    <w:rsid w:val="006214F4"/>
    <w:rsid w:val="00621597"/>
    <w:rsid w:val="0062190C"/>
    <w:rsid w:val="00621BF3"/>
    <w:rsid w:val="00621FC2"/>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402FF"/>
    <w:rsid w:val="006410FC"/>
    <w:rsid w:val="0064113B"/>
    <w:rsid w:val="00641429"/>
    <w:rsid w:val="00641CBB"/>
    <w:rsid w:val="00642B6A"/>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1BBD"/>
    <w:rsid w:val="00672F26"/>
    <w:rsid w:val="00673B1B"/>
    <w:rsid w:val="00674B26"/>
    <w:rsid w:val="00674CBB"/>
    <w:rsid w:val="006752EC"/>
    <w:rsid w:val="00675E63"/>
    <w:rsid w:val="00676357"/>
    <w:rsid w:val="00676410"/>
    <w:rsid w:val="00676767"/>
    <w:rsid w:val="00676EE3"/>
    <w:rsid w:val="006772B7"/>
    <w:rsid w:val="006776D5"/>
    <w:rsid w:val="00677A0E"/>
    <w:rsid w:val="00677E59"/>
    <w:rsid w:val="0068037D"/>
    <w:rsid w:val="00680907"/>
    <w:rsid w:val="00680AA8"/>
    <w:rsid w:val="00680C61"/>
    <w:rsid w:val="00681409"/>
    <w:rsid w:val="006816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4D7"/>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96E"/>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7D6"/>
    <w:rsid w:val="006F5BB0"/>
    <w:rsid w:val="006F6F2C"/>
    <w:rsid w:val="006F7163"/>
    <w:rsid w:val="00700185"/>
    <w:rsid w:val="007001E2"/>
    <w:rsid w:val="007003C6"/>
    <w:rsid w:val="00700443"/>
    <w:rsid w:val="0070052E"/>
    <w:rsid w:val="00700F26"/>
    <w:rsid w:val="0070122B"/>
    <w:rsid w:val="0070140A"/>
    <w:rsid w:val="00702549"/>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A6F"/>
    <w:rsid w:val="00763F0B"/>
    <w:rsid w:val="0076478A"/>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C59"/>
    <w:rsid w:val="007C1F46"/>
    <w:rsid w:val="007C2171"/>
    <w:rsid w:val="007C22DD"/>
    <w:rsid w:val="007C36E7"/>
    <w:rsid w:val="007C46E8"/>
    <w:rsid w:val="007C4EB7"/>
    <w:rsid w:val="007C5701"/>
    <w:rsid w:val="007C6631"/>
    <w:rsid w:val="007C68A2"/>
    <w:rsid w:val="007C6E93"/>
    <w:rsid w:val="007C6EF5"/>
    <w:rsid w:val="007C7112"/>
    <w:rsid w:val="007D02A0"/>
    <w:rsid w:val="007D077A"/>
    <w:rsid w:val="007D0896"/>
    <w:rsid w:val="007D1951"/>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3E8F"/>
    <w:rsid w:val="007E412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A07"/>
    <w:rsid w:val="00813201"/>
    <w:rsid w:val="0081329D"/>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6E8"/>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7F1"/>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27A0"/>
    <w:rsid w:val="008F3BCC"/>
    <w:rsid w:val="008F4272"/>
    <w:rsid w:val="008F4E80"/>
    <w:rsid w:val="008F5528"/>
    <w:rsid w:val="008F5609"/>
    <w:rsid w:val="008F5A93"/>
    <w:rsid w:val="008F5F20"/>
    <w:rsid w:val="008F6991"/>
    <w:rsid w:val="008F727C"/>
    <w:rsid w:val="00901194"/>
    <w:rsid w:val="00901E22"/>
    <w:rsid w:val="009029E4"/>
    <w:rsid w:val="00902CC9"/>
    <w:rsid w:val="00902D64"/>
    <w:rsid w:val="00902EC9"/>
    <w:rsid w:val="00903881"/>
    <w:rsid w:val="00903E77"/>
    <w:rsid w:val="009042A8"/>
    <w:rsid w:val="00904726"/>
    <w:rsid w:val="00904921"/>
    <w:rsid w:val="009057EE"/>
    <w:rsid w:val="00905950"/>
    <w:rsid w:val="00905990"/>
    <w:rsid w:val="00905E4D"/>
    <w:rsid w:val="0090663B"/>
    <w:rsid w:val="00907092"/>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4B9"/>
    <w:rsid w:val="009615FB"/>
    <w:rsid w:val="00961635"/>
    <w:rsid w:val="009616A2"/>
    <w:rsid w:val="00961FBE"/>
    <w:rsid w:val="00962232"/>
    <w:rsid w:val="009629B8"/>
    <w:rsid w:val="00962B27"/>
    <w:rsid w:val="00962EB1"/>
    <w:rsid w:val="00963640"/>
    <w:rsid w:val="00963D16"/>
    <w:rsid w:val="00963F77"/>
    <w:rsid w:val="00963F8F"/>
    <w:rsid w:val="00964456"/>
    <w:rsid w:val="00964717"/>
    <w:rsid w:val="00965090"/>
    <w:rsid w:val="009652EB"/>
    <w:rsid w:val="0096561E"/>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5011"/>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1CC4"/>
    <w:rsid w:val="009C252D"/>
    <w:rsid w:val="009C25CA"/>
    <w:rsid w:val="009C2F08"/>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B19"/>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6CF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2D2"/>
    <w:rsid w:val="00A36A45"/>
    <w:rsid w:val="00A371DA"/>
    <w:rsid w:val="00A37909"/>
    <w:rsid w:val="00A40055"/>
    <w:rsid w:val="00A408DC"/>
    <w:rsid w:val="00A4146E"/>
    <w:rsid w:val="00A4153C"/>
    <w:rsid w:val="00A41D9C"/>
    <w:rsid w:val="00A42656"/>
    <w:rsid w:val="00A42919"/>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D63"/>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669A0"/>
    <w:rsid w:val="00A70B03"/>
    <w:rsid w:val="00A70ECA"/>
    <w:rsid w:val="00A71081"/>
    <w:rsid w:val="00A71984"/>
    <w:rsid w:val="00A7277B"/>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97D34"/>
    <w:rsid w:val="00AA0115"/>
    <w:rsid w:val="00AA15AA"/>
    <w:rsid w:val="00AA1C3D"/>
    <w:rsid w:val="00AA2DEF"/>
    <w:rsid w:val="00AA34B7"/>
    <w:rsid w:val="00AA3701"/>
    <w:rsid w:val="00AA4EE6"/>
    <w:rsid w:val="00AA50B0"/>
    <w:rsid w:val="00AA547B"/>
    <w:rsid w:val="00AA66C5"/>
    <w:rsid w:val="00AA72B9"/>
    <w:rsid w:val="00AA774A"/>
    <w:rsid w:val="00AB0114"/>
    <w:rsid w:val="00AB0553"/>
    <w:rsid w:val="00AB079C"/>
    <w:rsid w:val="00AB0E23"/>
    <w:rsid w:val="00AB0E6C"/>
    <w:rsid w:val="00AB0F6D"/>
    <w:rsid w:val="00AB151C"/>
    <w:rsid w:val="00AB1982"/>
    <w:rsid w:val="00AB1F12"/>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1D2D"/>
    <w:rsid w:val="00AD21AC"/>
    <w:rsid w:val="00AD2B29"/>
    <w:rsid w:val="00AD2C82"/>
    <w:rsid w:val="00AD4438"/>
    <w:rsid w:val="00AD4FC4"/>
    <w:rsid w:val="00AD51C0"/>
    <w:rsid w:val="00AD525E"/>
    <w:rsid w:val="00AD6293"/>
    <w:rsid w:val="00AD6B6E"/>
    <w:rsid w:val="00AD6FE6"/>
    <w:rsid w:val="00AD72C5"/>
    <w:rsid w:val="00AD76E0"/>
    <w:rsid w:val="00AE092F"/>
    <w:rsid w:val="00AE0D43"/>
    <w:rsid w:val="00AE1659"/>
    <w:rsid w:val="00AE1844"/>
    <w:rsid w:val="00AE27D2"/>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7F3"/>
    <w:rsid w:val="00B069CA"/>
    <w:rsid w:val="00B06B15"/>
    <w:rsid w:val="00B107AD"/>
    <w:rsid w:val="00B108FE"/>
    <w:rsid w:val="00B10AEC"/>
    <w:rsid w:val="00B10B28"/>
    <w:rsid w:val="00B10C27"/>
    <w:rsid w:val="00B110B8"/>
    <w:rsid w:val="00B114F4"/>
    <w:rsid w:val="00B11B47"/>
    <w:rsid w:val="00B11EEF"/>
    <w:rsid w:val="00B12074"/>
    <w:rsid w:val="00B123BA"/>
    <w:rsid w:val="00B128B4"/>
    <w:rsid w:val="00B12A56"/>
    <w:rsid w:val="00B138D8"/>
    <w:rsid w:val="00B1391F"/>
    <w:rsid w:val="00B139D0"/>
    <w:rsid w:val="00B13EC4"/>
    <w:rsid w:val="00B14A9A"/>
    <w:rsid w:val="00B14EE2"/>
    <w:rsid w:val="00B15EBD"/>
    <w:rsid w:val="00B17013"/>
    <w:rsid w:val="00B202BE"/>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7190"/>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71BF"/>
    <w:rsid w:val="00B37AAA"/>
    <w:rsid w:val="00B40A23"/>
    <w:rsid w:val="00B4148B"/>
    <w:rsid w:val="00B41A20"/>
    <w:rsid w:val="00B41BBF"/>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6798D"/>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9C8"/>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7"/>
    <w:rsid w:val="00BB00EA"/>
    <w:rsid w:val="00BB1992"/>
    <w:rsid w:val="00BB1FB9"/>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AD0"/>
    <w:rsid w:val="00BE3281"/>
    <w:rsid w:val="00BE3E0D"/>
    <w:rsid w:val="00BE3EB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194B"/>
    <w:rsid w:val="00C21AB7"/>
    <w:rsid w:val="00C21E79"/>
    <w:rsid w:val="00C21F40"/>
    <w:rsid w:val="00C22213"/>
    <w:rsid w:val="00C2223D"/>
    <w:rsid w:val="00C24592"/>
    <w:rsid w:val="00C26A2B"/>
    <w:rsid w:val="00C26E78"/>
    <w:rsid w:val="00C274AA"/>
    <w:rsid w:val="00C27711"/>
    <w:rsid w:val="00C27782"/>
    <w:rsid w:val="00C3097D"/>
    <w:rsid w:val="00C30D23"/>
    <w:rsid w:val="00C310B2"/>
    <w:rsid w:val="00C31763"/>
    <w:rsid w:val="00C318E5"/>
    <w:rsid w:val="00C31A8A"/>
    <w:rsid w:val="00C31B33"/>
    <w:rsid w:val="00C320C6"/>
    <w:rsid w:val="00C32C65"/>
    <w:rsid w:val="00C3337C"/>
    <w:rsid w:val="00C33408"/>
    <w:rsid w:val="00C34042"/>
    <w:rsid w:val="00C342C8"/>
    <w:rsid w:val="00C35598"/>
    <w:rsid w:val="00C35663"/>
    <w:rsid w:val="00C358DA"/>
    <w:rsid w:val="00C35A2B"/>
    <w:rsid w:val="00C3634B"/>
    <w:rsid w:val="00C36AD1"/>
    <w:rsid w:val="00C36E72"/>
    <w:rsid w:val="00C37644"/>
    <w:rsid w:val="00C37E5A"/>
    <w:rsid w:val="00C40052"/>
    <w:rsid w:val="00C401B9"/>
    <w:rsid w:val="00C40970"/>
    <w:rsid w:val="00C4139C"/>
    <w:rsid w:val="00C41D40"/>
    <w:rsid w:val="00C4218C"/>
    <w:rsid w:val="00C422B4"/>
    <w:rsid w:val="00C42437"/>
    <w:rsid w:val="00C429FE"/>
    <w:rsid w:val="00C42A95"/>
    <w:rsid w:val="00C42C97"/>
    <w:rsid w:val="00C434C2"/>
    <w:rsid w:val="00C4368B"/>
    <w:rsid w:val="00C4564F"/>
    <w:rsid w:val="00C456D2"/>
    <w:rsid w:val="00C457F0"/>
    <w:rsid w:val="00C4593F"/>
    <w:rsid w:val="00C45A29"/>
    <w:rsid w:val="00C45A61"/>
    <w:rsid w:val="00C4634C"/>
    <w:rsid w:val="00C466DD"/>
    <w:rsid w:val="00C46E34"/>
    <w:rsid w:val="00C4748C"/>
    <w:rsid w:val="00C50263"/>
    <w:rsid w:val="00C50E69"/>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31AB"/>
    <w:rsid w:val="00C63523"/>
    <w:rsid w:val="00C64E03"/>
    <w:rsid w:val="00C656CA"/>
    <w:rsid w:val="00C66C40"/>
    <w:rsid w:val="00C675F3"/>
    <w:rsid w:val="00C679E7"/>
    <w:rsid w:val="00C67DAE"/>
    <w:rsid w:val="00C7114B"/>
    <w:rsid w:val="00C7119A"/>
    <w:rsid w:val="00C711E4"/>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8035F"/>
    <w:rsid w:val="00C809E4"/>
    <w:rsid w:val="00C822DD"/>
    <w:rsid w:val="00C82C06"/>
    <w:rsid w:val="00C8346C"/>
    <w:rsid w:val="00C835F1"/>
    <w:rsid w:val="00C83FCD"/>
    <w:rsid w:val="00C84172"/>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4B"/>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5AF6"/>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302"/>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870"/>
    <w:rsid w:val="00DA1967"/>
    <w:rsid w:val="00DA253B"/>
    <w:rsid w:val="00DA38E3"/>
    <w:rsid w:val="00DA4847"/>
    <w:rsid w:val="00DA4B11"/>
    <w:rsid w:val="00DA4F01"/>
    <w:rsid w:val="00DA51C9"/>
    <w:rsid w:val="00DA528A"/>
    <w:rsid w:val="00DA55DB"/>
    <w:rsid w:val="00DA5671"/>
    <w:rsid w:val="00DA5C27"/>
    <w:rsid w:val="00DA68F3"/>
    <w:rsid w:val="00DA6A95"/>
    <w:rsid w:val="00DA6B52"/>
    <w:rsid w:val="00DA6D2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2FE"/>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1FF"/>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0F1"/>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607C5"/>
    <w:rsid w:val="00E609EF"/>
    <w:rsid w:val="00E60C99"/>
    <w:rsid w:val="00E614FF"/>
    <w:rsid w:val="00E61BD3"/>
    <w:rsid w:val="00E65A57"/>
    <w:rsid w:val="00E660DF"/>
    <w:rsid w:val="00E665CB"/>
    <w:rsid w:val="00E66E52"/>
    <w:rsid w:val="00E6742D"/>
    <w:rsid w:val="00E67759"/>
    <w:rsid w:val="00E708A1"/>
    <w:rsid w:val="00E70AEC"/>
    <w:rsid w:val="00E71055"/>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0A1"/>
    <w:rsid w:val="00E8271E"/>
    <w:rsid w:val="00E82B6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6573"/>
    <w:rsid w:val="00EA6D10"/>
    <w:rsid w:val="00EA71AA"/>
    <w:rsid w:val="00EA74BF"/>
    <w:rsid w:val="00EA7F20"/>
    <w:rsid w:val="00EB0204"/>
    <w:rsid w:val="00EB0872"/>
    <w:rsid w:val="00EB0EC7"/>
    <w:rsid w:val="00EB10EA"/>
    <w:rsid w:val="00EB1E3B"/>
    <w:rsid w:val="00EB21C9"/>
    <w:rsid w:val="00EB2EDC"/>
    <w:rsid w:val="00EB3985"/>
    <w:rsid w:val="00EB3BDF"/>
    <w:rsid w:val="00EB4017"/>
    <w:rsid w:val="00EB416B"/>
    <w:rsid w:val="00EB4194"/>
    <w:rsid w:val="00EB4797"/>
    <w:rsid w:val="00EB4D50"/>
    <w:rsid w:val="00EB5BF7"/>
    <w:rsid w:val="00EB6C20"/>
    <w:rsid w:val="00EB74D2"/>
    <w:rsid w:val="00EC023E"/>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A96"/>
    <w:rsid w:val="00EC7CB5"/>
    <w:rsid w:val="00ED078C"/>
    <w:rsid w:val="00ED0846"/>
    <w:rsid w:val="00ED0EE9"/>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431"/>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0D69"/>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1EA4"/>
    <w:rsid w:val="00F22156"/>
    <w:rsid w:val="00F222D7"/>
    <w:rsid w:val="00F22C0D"/>
    <w:rsid w:val="00F23481"/>
    <w:rsid w:val="00F239FD"/>
    <w:rsid w:val="00F23C8E"/>
    <w:rsid w:val="00F24739"/>
    <w:rsid w:val="00F24744"/>
    <w:rsid w:val="00F24CB0"/>
    <w:rsid w:val="00F25686"/>
    <w:rsid w:val="00F25850"/>
    <w:rsid w:val="00F2596C"/>
    <w:rsid w:val="00F25EDA"/>
    <w:rsid w:val="00F25F76"/>
    <w:rsid w:val="00F26C84"/>
    <w:rsid w:val="00F272CA"/>
    <w:rsid w:val="00F2764B"/>
    <w:rsid w:val="00F27CB5"/>
    <w:rsid w:val="00F27CC2"/>
    <w:rsid w:val="00F303F2"/>
    <w:rsid w:val="00F30AEA"/>
    <w:rsid w:val="00F30FA5"/>
    <w:rsid w:val="00F31433"/>
    <w:rsid w:val="00F31C10"/>
    <w:rsid w:val="00F32202"/>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4AC"/>
    <w:rsid w:val="00F734B4"/>
    <w:rsid w:val="00F73505"/>
    <w:rsid w:val="00F73678"/>
    <w:rsid w:val="00F73C38"/>
    <w:rsid w:val="00F746BB"/>
    <w:rsid w:val="00F74A75"/>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9CA"/>
    <w:rsid w:val="00FC5DE2"/>
    <w:rsid w:val="00FC6166"/>
    <w:rsid w:val="00FC659A"/>
    <w:rsid w:val="00FC6A94"/>
    <w:rsid w:val="00FC6AF7"/>
    <w:rsid w:val="00FC7107"/>
    <w:rsid w:val="00FC7FE2"/>
    <w:rsid w:val="00FD0027"/>
    <w:rsid w:val="00FD0266"/>
    <w:rsid w:val="00FD0E0E"/>
    <w:rsid w:val="00FD12C1"/>
    <w:rsid w:val="00FD1674"/>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CC8"/>
    <w:rsid w:val="00FF6F49"/>
    <w:rsid w:val="00FF7055"/>
    <w:rsid w:val="00FF787C"/>
    <w:rsid w:val="00FF7C54"/>
    <w:rsid w:val="014632E9"/>
    <w:rsid w:val="0175413A"/>
    <w:rsid w:val="019509B6"/>
    <w:rsid w:val="019B2F5B"/>
    <w:rsid w:val="01A40B80"/>
    <w:rsid w:val="01A56261"/>
    <w:rsid w:val="01A71A6C"/>
    <w:rsid w:val="01B36D86"/>
    <w:rsid w:val="01B40473"/>
    <w:rsid w:val="01F23D45"/>
    <w:rsid w:val="020F1EA4"/>
    <w:rsid w:val="02140B9A"/>
    <w:rsid w:val="021D229B"/>
    <w:rsid w:val="02251BD6"/>
    <w:rsid w:val="022F5D5F"/>
    <w:rsid w:val="026337A1"/>
    <w:rsid w:val="026F45B6"/>
    <w:rsid w:val="02825266"/>
    <w:rsid w:val="02B87DC8"/>
    <w:rsid w:val="02DC4358"/>
    <w:rsid w:val="02E90077"/>
    <w:rsid w:val="02F561BC"/>
    <w:rsid w:val="02F569A7"/>
    <w:rsid w:val="033A0210"/>
    <w:rsid w:val="03487093"/>
    <w:rsid w:val="03575754"/>
    <w:rsid w:val="036A6C0E"/>
    <w:rsid w:val="041B280B"/>
    <w:rsid w:val="041D7F29"/>
    <w:rsid w:val="041F7A75"/>
    <w:rsid w:val="0429078C"/>
    <w:rsid w:val="04464B0F"/>
    <w:rsid w:val="044C056C"/>
    <w:rsid w:val="04717DB3"/>
    <w:rsid w:val="048A5A1B"/>
    <w:rsid w:val="049F0298"/>
    <w:rsid w:val="04BF30A6"/>
    <w:rsid w:val="04C74770"/>
    <w:rsid w:val="04C84A9E"/>
    <w:rsid w:val="051C0CEF"/>
    <w:rsid w:val="051C2196"/>
    <w:rsid w:val="052E71C8"/>
    <w:rsid w:val="054502A8"/>
    <w:rsid w:val="055572C6"/>
    <w:rsid w:val="055F0975"/>
    <w:rsid w:val="05654685"/>
    <w:rsid w:val="057432F2"/>
    <w:rsid w:val="058B1593"/>
    <w:rsid w:val="0599158D"/>
    <w:rsid w:val="05A50F26"/>
    <w:rsid w:val="05B473D5"/>
    <w:rsid w:val="05B80AAA"/>
    <w:rsid w:val="05F35603"/>
    <w:rsid w:val="05F777BA"/>
    <w:rsid w:val="060C653F"/>
    <w:rsid w:val="06382421"/>
    <w:rsid w:val="06382D1D"/>
    <w:rsid w:val="064C75F3"/>
    <w:rsid w:val="066D2B9B"/>
    <w:rsid w:val="06781A50"/>
    <w:rsid w:val="06D1578A"/>
    <w:rsid w:val="06D45313"/>
    <w:rsid w:val="06DD2F24"/>
    <w:rsid w:val="0707336F"/>
    <w:rsid w:val="07164A23"/>
    <w:rsid w:val="072E0AA7"/>
    <w:rsid w:val="073F80B2"/>
    <w:rsid w:val="07965FA9"/>
    <w:rsid w:val="0799660E"/>
    <w:rsid w:val="07A57A9A"/>
    <w:rsid w:val="07B1140D"/>
    <w:rsid w:val="07B7062C"/>
    <w:rsid w:val="07DD595F"/>
    <w:rsid w:val="07F56F4C"/>
    <w:rsid w:val="080F509E"/>
    <w:rsid w:val="08220661"/>
    <w:rsid w:val="0822685D"/>
    <w:rsid w:val="08446EC4"/>
    <w:rsid w:val="085F6C1D"/>
    <w:rsid w:val="086230FE"/>
    <w:rsid w:val="0864660C"/>
    <w:rsid w:val="08954099"/>
    <w:rsid w:val="08997D49"/>
    <w:rsid w:val="089A529D"/>
    <w:rsid w:val="08BE3E25"/>
    <w:rsid w:val="08C155B8"/>
    <w:rsid w:val="08C4000E"/>
    <w:rsid w:val="08C71AF5"/>
    <w:rsid w:val="08F42A39"/>
    <w:rsid w:val="08F43FF8"/>
    <w:rsid w:val="09073C7F"/>
    <w:rsid w:val="09214FC6"/>
    <w:rsid w:val="09314259"/>
    <w:rsid w:val="093A2F0B"/>
    <w:rsid w:val="093D54B6"/>
    <w:rsid w:val="0961529C"/>
    <w:rsid w:val="09951DC6"/>
    <w:rsid w:val="09BF20E9"/>
    <w:rsid w:val="09D973F0"/>
    <w:rsid w:val="09EA388D"/>
    <w:rsid w:val="0A0C67F8"/>
    <w:rsid w:val="0A1C2B05"/>
    <w:rsid w:val="0A225C7A"/>
    <w:rsid w:val="0A303EC3"/>
    <w:rsid w:val="0A336D62"/>
    <w:rsid w:val="0A3C78E9"/>
    <w:rsid w:val="0A60366D"/>
    <w:rsid w:val="0A7205DA"/>
    <w:rsid w:val="0A9654F9"/>
    <w:rsid w:val="0A9E5F43"/>
    <w:rsid w:val="0AAF3EDF"/>
    <w:rsid w:val="0AD26B4D"/>
    <w:rsid w:val="0B022976"/>
    <w:rsid w:val="0B150DBA"/>
    <w:rsid w:val="0B15169B"/>
    <w:rsid w:val="0B1C521B"/>
    <w:rsid w:val="0B2343E8"/>
    <w:rsid w:val="0B38404A"/>
    <w:rsid w:val="0B3C11A9"/>
    <w:rsid w:val="0B625136"/>
    <w:rsid w:val="0B915565"/>
    <w:rsid w:val="0BB772BD"/>
    <w:rsid w:val="0BC3471F"/>
    <w:rsid w:val="0BCF0AB1"/>
    <w:rsid w:val="0BD157FE"/>
    <w:rsid w:val="0BE449F4"/>
    <w:rsid w:val="0BEB530D"/>
    <w:rsid w:val="0C20100D"/>
    <w:rsid w:val="0C305F40"/>
    <w:rsid w:val="0C4F1BEB"/>
    <w:rsid w:val="0C503983"/>
    <w:rsid w:val="0C605560"/>
    <w:rsid w:val="0C902DBA"/>
    <w:rsid w:val="0CA92646"/>
    <w:rsid w:val="0CAF3705"/>
    <w:rsid w:val="0CBC42F9"/>
    <w:rsid w:val="0CBD198D"/>
    <w:rsid w:val="0D120CE2"/>
    <w:rsid w:val="0D2327C7"/>
    <w:rsid w:val="0D3A347C"/>
    <w:rsid w:val="0D474670"/>
    <w:rsid w:val="0D7C4814"/>
    <w:rsid w:val="0D9D7AC8"/>
    <w:rsid w:val="0D9F7809"/>
    <w:rsid w:val="0DA24FE4"/>
    <w:rsid w:val="0DD978F7"/>
    <w:rsid w:val="0DE85846"/>
    <w:rsid w:val="0DF65F43"/>
    <w:rsid w:val="0DF77513"/>
    <w:rsid w:val="0E097B78"/>
    <w:rsid w:val="0E3E176E"/>
    <w:rsid w:val="0E50662C"/>
    <w:rsid w:val="0E820826"/>
    <w:rsid w:val="0E87566C"/>
    <w:rsid w:val="0EBB78F4"/>
    <w:rsid w:val="0EDE0CEC"/>
    <w:rsid w:val="0EF177F4"/>
    <w:rsid w:val="0EFE6F4C"/>
    <w:rsid w:val="0F0767AD"/>
    <w:rsid w:val="0F111D94"/>
    <w:rsid w:val="0F153424"/>
    <w:rsid w:val="0F3A26DF"/>
    <w:rsid w:val="0F3F429D"/>
    <w:rsid w:val="0F66115E"/>
    <w:rsid w:val="0F724E3C"/>
    <w:rsid w:val="0F7667E1"/>
    <w:rsid w:val="0F8A6E5B"/>
    <w:rsid w:val="0F9F1262"/>
    <w:rsid w:val="0FCD3553"/>
    <w:rsid w:val="0FDE1310"/>
    <w:rsid w:val="0FE02352"/>
    <w:rsid w:val="0FF05A42"/>
    <w:rsid w:val="1006446F"/>
    <w:rsid w:val="10091463"/>
    <w:rsid w:val="10245A5E"/>
    <w:rsid w:val="10254641"/>
    <w:rsid w:val="1029260B"/>
    <w:rsid w:val="102E4F10"/>
    <w:rsid w:val="103673F0"/>
    <w:rsid w:val="10463305"/>
    <w:rsid w:val="10572E1C"/>
    <w:rsid w:val="105A2EE1"/>
    <w:rsid w:val="105C4311"/>
    <w:rsid w:val="105F1EE1"/>
    <w:rsid w:val="108B3282"/>
    <w:rsid w:val="10900479"/>
    <w:rsid w:val="10A15C3B"/>
    <w:rsid w:val="10B2641F"/>
    <w:rsid w:val="10DF0360"/>
    <w:rsid w:val="112D30D5"/>
    <w:rsid w:val="116B5B74"/>
    <w:rsid w:val="11991CE6"/>
    <w:rsid w:val="11A96B4F"/>
    <w:rsid w:val="11CE5256"/>
    <w:rsid w:val="11FA4E65"/>
    <w:rsid w:val="120002B8"/>
    <w:rsid w:val="12095857"/>
    <w:rsid w:val="122C027D"/>
    <w:rsid w:val="124763E1"/>
    <w:rsid w:val="126044BA"/>
    <w:rsid w:val="127C1E3F"/>
    <w:rsid w:val="12A84AB1"/>
    <w:rsid w:val="12B13F2B"/>
    <w:rsid w:val="12BC78AF"/>
    <w:rsid w:val="12CD11AB"/>
    <w:rsid w:val="12EF4E12"/>
    <w:rsid w:val="12F333F6"/>
    <w:rsid w:val="12FF28F2"/>
    <w:rsid w:val="131E6CE5"/>
    <w:rsid w:val="13273CCC"/>
    <w:rsid w:val="13325B24"/>
    <w:rsid w:val="13343D76"/>
    <w:rsid w:val="134B30F8"/>
    <w:rsid w:val="137361BF"/>
    <w:rsid w:val="13743C7E"/>
    <w:rsid w:val="137E0FF1"/>
    <w:rsid w:val="13906D71"/>
    <w:rsid w:val="13915879"/>
    <w:rsid w:val="13CB100B"/>
    <w:rsid w:val="13DE00ED"/>
    <w:rsid w:val="13E46A57"/>
    <w:rsid w:val="13ED7B05"/>
    <w:rsid w:val="140046DA"/>
    <w:rsid w:val="14071828"/>
    <w:rsid w:val="14164AE9"/>
    <w:rsid w:val="14196BF0"/>
    <w:rsid w:val="14265E1B"/>
    <w:rsid w:val="143174A5"/>
    <w:rsid w:val="1433674E"/>
    <w:rsid w:val="145558C5"/>
    <w:rsid w:val="146F1D7A"/>
    <w:rsid w:val="1482202B"/>
    <w:rsid w:val="14AA5727"/>
    <w:rsid w:val="14B860E1"/>
    <w:rsid w:val="14C31248"/>
    <w:rsid w:val="14DB0788"/>
    <w:rsid w:val="15145B9D"/>
    <w:rsid w:val="15254DA8"/>
    <w:rsid w:val="15797D94"/>
    <w:rsid w:val="158373A2"/>
    <w:rsid w:val="1585488A"/>
    <w:rsid w:val="159D3DBA"/>
    <w:rsid w:val="15A8066E"/>
    <w:rsid w:val="15AE1677"/>
    <w:rsid w:val="15BC42B5"/>
    <w:rsid w:val="15C251DC"/>
    <w:rsid w:val="15C43439"/>
    <w:rsid w:val="15FB4B13"/>
    <w:rsid w:val="161C6FBD"/>
    <w:rsid w:val="16273DFF"/>
    <w:rsid w:val="165E0201"/>
    <w:rsid w:val="16712BA1"/>
    <w:rsid w:val="167F131F"/>
    <w:rsid w:val="16811E3B"/>
    <w:rsid w:val="168D57EA"/>
    <w:rsid w:val="169615FB"/>
    <w:rsid w:val="16BC43FC"/>
    <w:rsid w:val="16BE185B"/>
    <w:rsid w:val="16F0551D"/>
    <w:rsid w:val="16F073D2"/>
    <w:rsid w:val="16F972E0"/>
    <w:rsid w:val="16FD0DFC"/>
    <w:rsid w:val="170B1EA5"/>
    <w:rsid w:val="170E781E"/>
    <w:rsid w:val="172261C3"/>
    <w:rsid w:val="173979C2"/>
    <w:rsid w:val="173F2A13"/>
    <w:rsid w:val="17534970"/>
    <w:rsid w:val="1762315A"/>
    <w:rsid w:val="17851FD1"/>
    <w:rsid w:val="17B61B95"/>
    <w:rsid w:val="17C74D3C"/>
    <w:rsid w:val="17F90C5D"/>
    <w:rsid w:val="18085E43"/>
    <w:rsid w:val="180A2E6A"/>
    <w:rsid w:val="18164BD0"/>
    <w:rsid w:val="18316564"/>
    <w:rsid w:val="183A5F45"/>
    <w:rsid w:val="18734D26"/>
    <w:rsid w:val="188320E8"/>
    <w:rsid w:val="188B3FAB"/>
    <w:rsid w:val="18AA5C6C"/>
    <w:rsid w:val="1924186A"/>
    <w:rsid w:val="19492D9B"/>
    <w:rsid w:val="19770119"/>
    <w:rsid w:val="197A5E53"/>
    <w:rsid w:val="19AC3E00"/>
    <w:rsid w:val="19B37410"/>
    <w:rsid w:val="19C71013"/>
    <w:rsid w:val="19CE294B"/>
    <w:rsid w:val="19E73B4D"/>
    <w:rsid w:val="19F15F01"/>
    <w:rsid w:val="1A011B96"/>
    <w:rsid w:val="1A163395"/>
    <w:rsid w:val="1A221431"/>
    <w:rsid w:val="1A6D5B7E"/>
    <w:rsid w:val="1AA6291A"/>
    <w:rsid w:val="1AF23D50"/>
    <w:rsid w:val="1AFA71C6"/>
    <w:rsid w:val="1AFE15AE"/>
    <w:rsid w:val="1B0D22B7"/>
    <w:rsid w:val="1B440441"/>
    <w:rsid w:val="1B4447F4"/>
    <w:rsid w:val="1B704F5A"/>
    <w:rsid w:val="1BBC6AEF"/>
    <w:rsid w:val="1BC0342B"/>
    <w:rsid w:val="1BC7354C"/>
    <w:rsid w:val="1BEE0485"/>
    <w:rsid w:val="1BFB3C89"/>
    <w:rsid w:val="1C1B73F4"/>
    <w:rsid w:val="1C4C10F3"/>
    <w:rsid w:val="1C56113D"/>
    <w:rsid w:val="1C63306D"/>
    <w:rsid w:val="1C770E6A"/>
    <w:rsid w:val="1CA02D01"/>
    <w:rsid w:val="1CB201D8"/>
    <w:rsid w:val="1CD46DC5"/>
    <w:rsid w:val="1CDA15AB"/>
    <w:rsid w:val="1CDF031B"/>
    <w:rsid w:val="1D90560A"/>
    <w:rsid w:val="1E1460F1"/>
    <w:rsid w:val="1E1E7BBA"/>
    <w:rsid w:val="1E2816A5"/>
    <w:rsid w:val="1E2B45A7"/>
    <w:rsid w:val="1E2C442F"/>
    <w:rsid w:val="1E366767"/>
    <w:rsid w:val="1E390091"/>
    <w:rsid w:val="1E394B70"/>
    <w:rsid w:val="1E6E0897"/>
    <w:rsid w:val="1E8F6677"/>
    <w:rsid w:val="1E911BEF"/>
    <w:rsid w:val="1E983EF1"/>
    <w:rsid w:val="1EAF06F7"/>
    <w:rsid w:val="1EC665EC"/>
    <w:rsid w:val="1EE241F9"/>
    <w:rsid w:val="1EFA48BB"/>
    <w:rsid w:val="1F0602BA"/>
    <w:rsid w:val="1F4047B1"/>
    <w:rsid w:val="1F4C3FEE"/>
    <w:rsid w:val="1F6C2DC2"/>
    <w:rsid w:val="1F90634B"/>
    <w:rsid w:val="1FAE3AE5"/>
    <w:rsid w:val="1FAE475F"/>
    <w:rsid w:val="1FB81613"/>
    <w:rsid w:val="1FD94FC9"/>
    <w:rsid w:val="20093281"/>
    <w:rsid w:val="20263F0A"/>
    <w:rsid w:val="2048646E"/>
    <w:rsid w:val="204C27A7"/>
    <w:rsid w:val="204D4198"/>
    <w:rsid w:val="20AF4299"/>
    <w:rsid w:val="21096C60"/>
    <w:rsid w:val="212C3297"/>
    <w:rsid w:val="216D6944"/>
    <w:rsid w:val="217D7535"/>
    <w:rsid w:val="21AA01CF"/>
    <w:rsid w:val="21AD0AEE"/>
    <w:rsid w:val="21BB572B"/>
    <w:rsid w:val="21CB18BC"/>
    <w:rsid w:val="21D85F9F"/>
    <w:rsid w:val="21DA7D02"/>
    <w:rsid w:val="21E346E2"/>
    <w:rsid w:val="21E8205D"/>
    <w:rsid w:val="21EA1D42"/>
    <w:rsid w:val="22230E4C"/>
    <w:rsid w:val="222D7967"/>
    <w:rsid w:val="22307E2A"/>
    <w:rsid w:val="22651A52"/>
    <w:rsid w:val="226A2144"/>
    <w:rsid w:val="229533D1"/>
    <w:rsid w:val="22E802BA"/>
    <w:rsid w:val="22EE1B76"/>
    <w:rsid w:val="231A57A9"/>
    <w:rsid w:val="23264BD9"/>
    <w:rsid w:val="23610373"/>
    <w:rsid w:val="23623CB1"/>
    <w:rsid w:val="23750F31"/>
    <w:rsid w:val="23AB3753"/>
    <w:rsid w:val="23B470A1"/>
    <w:rsid w:val="23C05C28"/>
    <w:rsid w:val="23CC3F18"/>
    <w:rsid w:val="23D4666E"/>
    <w:rsid w:val="23E3479C"/>
    <w:rsid w:val="24106DC4"/>
    <w:rsid w:val="24374EB9"/>
    <w:rsid w:val="244F7756"/>
    <w:rsid w:val="24A6581B"/>
    <w:rsid w:val="24CE1F79"/>
    <w:rsid w:val="24D46CDA"/>
    <w:rsid w:val="25021151"/>
    <w:rsid w:val="25036998"/>
    <w:rsid w:val="251D5F8B"/>
    <w:rsid w:val="25312116"/>
    <w:rsid w:val="25824BFC"/>
    <w:rsid w:val="25A22A6B"/>
    <w:rsid w:val="25F621BB"/>
    <w:rsid w:val="26904567"/>
    <w:rsid w:val="26BB2578"/>
    <w:rsid w:val="26C857CF"/>
    <w:rsid w:val="26D92385"/>
    <w:rsid w:val="26F75030"/>
    <w:rsid w:val="273830D5"/>
    <w:rsid w:val="276E2D1B"/>
    <w:rsid w:val="279E38CD"/>
    <w:rsid w:val="27CC3C98"/>
    <w:rsid w:val="27EC3350"/>
    <w:rsid w:val="27FD5441"/>
    <w:rsid w:val="28106F71"/>
    <w:rsid w:val="283D4C74"/>
    <w:rsid w:val="28682063"/>
    <w:rsid w:val="28AC55C6"/>
    <w:rsid w:val="28B626F0"/>
    <w:rsid w:val="28C628A7"/>
    <w:rsid w:val="29065F32"/>
    <w:rsid w:val="2908513C"/>
    <w:rsid w:val="290B7C29"/>
    <w:rsid w:val="291561D9"/>
    <w:rsid w:val="292C1838"/>
    <w:rsid w:val="295B25E6"/>
    <w:rsid w:val="295B62C7"/>
    <w:rsid w:val="296E14AB"/>
    <w:rsid w:val="296E45B5"/>
    <w:rsid w:val="299407E6"/>
    <w:rsid w:val="29BD4FDE"/>
    <w:rsid w:val="29CA4207"/>
    <w:rsid w:val="29E0135D"/>
    <w:rsid w:val="29EE476C"/>
    <w:rsid w:val="2A090F19"/>
    <w:rsid w:val="2A281B9C"/>
    <w:rsid w:val="2A703001"/>
    <w:rsid w:val="2A8719D2"/>
    <w:rsid w:val="2B04334A"/>
    <w:rsid w:val="2B12230A"/>
    <w:rsid w:val="2B184F2D"/>
    <w:rsid w:val="2B293A52"/>
    <w:rsid w:val="2B317991"/>
    <w:rsid w:val="2B4D50F0"/>
    <w:rsid w:val="2B563804"/>
    <w:rsid w:val="2B644ED3"/>
    <w:rsid w:val="2B787BDC"/>
    <w:rsid w:val="2B7A34A4"/>
    <w:rsid w:val="2B9220D0"/>
    <w:rsid w:val="2BCC17CB"/>
    <w:rsid w:val="2C22488E"/>
    <w:rsid w:val="2C237394"/>
    <w:rsid w:val="2C83757E"/>
    <w:rsid w:val="2D146F8E"/>
    <w:rsid w:val="2D1D4122"/>
    <w:rsid w:val="2D771272"/>
    <w:rsid w:val="2D8C0B81"/>
    <w:rsid w:val="2D92328E"/>
    <w:rsid w:val="2DA11543"/>
    <w:rsid w:val="2DB92BDE"/>
    <w:rsid w:val="2DFE6C13"/>
    <w:rsid w:val="2E6C7A58"/>
    <w:rsid w:val="2E962BA1"/>
    <w:rsid w:val="2EBD0B2A"/>
    <w:rsid w:val="2ED922E9"/>
    <w:rsid w:val="2F114CC1"/>
    <w:rsid w:val="2F124C61"/>
    <w:rsid w:val="2F126BFA"/>
    <w:rsid w:val="2F7D6315"/>
    <w:rsid w:val="2F821415"/>
    <w:rsid w:val="2F886105"/>
    <w:rsid w:val="2F9030BC"/>
    <w:rsid w:val="2FA8323D"/>
    <w:rsid w:val="2FC13BB7"/>
    <w:rsid w:val="30085394"/>
    <w:rsid w:val="301A7CA0"/>
    <w:rsid w:val="30354AD0"/>
    <w:rsid w:val="30453E79"/>
    <w:rsid w:val="304A18FE"/>
    <w:rsid w:val="3062775B"/>
    <w:rsid w:val="30B800EA"/>
    <w:rsid w:val="30E35132"/>
    <w:rsid w:val="311C10D7"/>
    <w:rsid w:val="31244B45"/>
    <w:rsid w:val="31267C1B"/>
    <w:rsid w:val="31367793"/>
    <w:rsid w:val="31406C84"/>
    <w:rsid w:val="3148438F"/>
    <w:rsid w:val="316D2EB7"/>
    <w:rsid w:val="31873492"/>
    <w:rsid w:val="31A35E21"/>
    <w:rsid w:val="31B14FC7"/>
    <w:rsid w:val="31C972B1"/>
    <w:rsid w:val="31D43E75"/>
    <w:rsid w:val="31E235D3"/>
    <w:rsid w:val="31F478E9"/>
    <w:rsid w:val="32194793"/>
    <w:rsid w:val="32236D84"/>
    <w:rsid w:val="323908DF"/>
    <w:rsid w:val="32513EDC"/>
    <w:rsid w:val="3258488C"/>
    <w:rsid w:val="32B02B9E"/>
    <w:rsid w:val="32B25B2C"/>
    <w:rsid w:val="32C97FDC"/>
    <w:rsid w:val="32CA7C4D"/>
    <w:rsid w:val="32DE0965"/>
    <w:rsid w:val="331E4257"/>
    <w:rsid w:val="332E0487"/>
    <w:rsid w:val="33500D6A"/>
    <w:rsid w:val="335B30FF"/>
    <w:rsid w:val="33694E74"/>
    <w:rsid w:val="338B030D"/>
    <w:rsid w:val="338E62A6"/>
    <w:rsid w:val="3397037B"/>
    <w:rsid w:val="33B10C4D"/>
    <w:rsid w:val="33B27235"/>
    <w:rsid w:val="33B564A3"/>
    <w:rsid w:val="33F02396"/>
    <w:rsid w:val="33F3596F"/>
    <w:rsid w:val="340B47B5"/>
    <w:rsid w:val="341F665C"/>
    <w:rsid w:val="34312F30"/>
    <w:rsid w:val="34436B2D"/>
    <w:rsid w:val="34773E9B"/>
    <w:rsid w:val="34795D5D"/>
    <w:rsid w:val="349A13A6"/>
    <w:rsid w:val="34A409EA"/>
    <w:rsid w:val="34C8595B"/>
    <w:rsid w:val="34D114FE"/>
    <w:rsid w:val="34EC7728"/>
    <w:rsid w:val="350C6DC6"/>
    <w:rsid w:val="35195B42"/>
    <w:rsid w:val="352F5A80"/>
    <w:rsid w:val="353A7AEE"/>
    <w:rsid w:val="355C48AD"/>
    <w:rsid w:val="35733457"/>
    <w:rsid w:val="35B23B3F"/>
    <w:rsid w:val="35B52861"/>
    <w:rsid w:val="35BD73E0"/>
    <w:rsid w:val="35C9792B"/>
    <w:rsid w:val="35DD6145"/>
    <w:rsid w:val="35E71B3F"/>
    <w:rsid w:val="35F136B9"/>
    <w:rsid w:val="35F51DEE"/>
    <w:rsid w:val="361969A5"/>
    <w:rsid w:val="36413609"/>
    <w:rsid w:val="364F3C36"/>
    <w:rsid w:val="368169B0"/>
    <w:rsid w:val="36CE7620"/>
    <w:rsid w:val="36EE315B"/>
    <w:rsid w:val="36F634BE"/>
    <w:rsid w:val="370D2FE1"/>
    <w:rsid w:val="3710508A"/>
    <w:rsid w:val="37170F30"/>
    <w:rsid w:val="371A67CE"/>
    <w:rsid w:val="37501D7A"/>
    <w:rsid w:val="37883894"/>
    <w:rsid w:val="37893954"/>
    <w:rsid w:val="37B073B9"/>
    <w:rsid w:val="37BB18F6"/>
    <w:rsid w:val="37CC37DB"/>
    <w:rsid w:val="37D36D87"/>
    <w:rsid w:val="37D72575"/>
    <w:rsid w:val="37EB7C40"/>
    <w:rsid w:val="37F8101E"/>
    <w:rsid w:val="381C47C8"/>
    <w:rsid w:val="385C1855"/>
    <w:rsid w:val="38794E1D"/>
    <w:rsid w:val="38B04559"/>
    <w:rsid w:val="38D728CB"/>
    <w:rsid w:val="38EB1B6E"/>
    <w:rsid w:val="38FA6BB4"/>
    <w:rsid w:val="38FF7C7A"/>
    <w:rsid w:val="39175A59"/>
    <w:rsid w:val="392A0E82"/>
    <w:rsid w:val="393D2864"/>
    <w:rsid w:val="39EF7005"/>
    <w:rsid w:val="3A176189"/>
    <w:rsid w:val="3A1D7CF6"/>
    <w:rsid w:val="3A2B670F"/>
    <w:rsid w:val="3A7E410A"/>
    <w:rsid w:val="3A8A77C7"/>
    <w:rsid w:val="3AD84799"/>
    <w:rsid w:val="3AEB5819"/>
    <w:rsid w:val="3B1B05B4"/>
    <w:rsid w:val="3B273268"/>
    <w:rsid w:val="3B2C7764"/>
    <w:rsid w:val="3B80020A"/>
    <w:rsid w:val="3B850194"/>
    <w:rsid w:val="3B8E3164"/>
    <w:rsid w:val="3B9C06C1"/>
    <w:rsid w:val="3BF13813"/>
    <w:rsid w:val="3BF92F19"/>
    <w:rsid w:val="3BFB202C"/>
    <w:rsid w:val="3BFF41E4"/>
    <w:rsid w:val="3C035BF0"/>
    <w:rsid w:val="3C097401"/>
    <w:rsid w:val="3C126452"/>
    <w:rsid w:val="3C24446C"/>
    <w:rsid w:val="3C88781A"/>
    <w:rsid w:val="3CA12326"/>
    <w:rsid w:val="3CB20043"/>
    <w:rsid w:val="3CC25FED"/>
    <w:rsid w:val="3CD70CBD"/>
    <w:rsid w:val="3D366D54"/>
    <w:rsid w:val="3D432C50"/>
    <w:rsid w:val="3D630DF6"/>
    <w:rsid w:val="3D7B76F6"/>
    <w:rsid w:val="3D7D2C62"/>
    <w:rsid w:val="3D841FED"/>
    <w:rsid w:val="3DB1150E"/>
    <w:rsid w:val="3DBC1248"/>
    <w:rsid w:val="3DCF4B3C"/>
    <w:rsid w:val="3E1C0879"/>
    <w:rsid w:val="3E20597F"/>
    <w:rsid w:val="3E572D08"/>
    <w:rsid w:val="3E783194"/>
    <w:rsid w:val="3EBD717E"/>
    <w:rsid w:val="3EE41D9C"/>
    <w:rsid w:val="3EEB2EF4"/>
    <w:rsid w:val="3F0D56C6"/>
    <w:rsid w:val="3F147FA7"/>
    <w:rsid w:val="3F1A404E"/>
    <w:rsid w:val="3F1F49A3"/>
    <w:rsid w:val="3F2B6877"/>
    <w:rsid w:val="3F30708E"/>
    <w:rsid w:val="3F60143E"/>
    <w:rsid w:val="3F6F511E"/>
    <w:rsid w:val="3F821AAD"/>
    <w:rsid w:val="3F845D88"/>
    <w:rsid w:val="400B0FDF"/>
    <w:rsid w:val="40154B9D"/>
    <w:rsid w:val="4032497A"/>
    <w:rsid w:val="4044666A"/>
    <w:rsid w:val="404B4A8B"/>
    <w:rsid w:val="405C3D06"/>
    <w:rsid w:val="406313A5"/>
    <w:rsid w:val="406902F7"/>
    <w:rsid w:val="40AF507E"/>
    <w:rsid w:val="40CA1BEA"/>
    <w:rsid w:val="40CF483A"/>
    <w:rsid w:val="410E03D6"/>
    <w:rsid w:val="4129758A"/>
    <w:rsid w:val="413D156A"/>
    <w:rsid w:val="413D1A37"/>
    <w:rsid w:val="41475608"/>
    <w:rsid w:val="414C7A57"/>
    <w:rsid w:val="41582062"/>
    <w:rsid w:val="41664B3E"/>
    <w:rsid w:val="41886BB1"/>
    <w:rsid w:val="4191191D"/>
    <w:rsid w:val="419F5BE0"/>
    <w:rsid w:val="41B7206A"/>
    <w:rsid w:val="41C50675"/>
    <w:rsid w:val="41E41EB2"/>
    <w:rsid w:val="421A57F5"/>
    <w:rsid w:val="42320A51"/>
    <w:rsid w:val="423678D9"/>
    <w:rsid w:val="42796D1A"/>
    <w:rsid w:val="427B6EAC"/>
    <w:rsid w:val="429720F1"/>
    <w:rsid w:val="42DC79F3"/>
    <w:rsid w:val="43065E58"/>
    <w:rsid w:val="430A3B9B"/>
    <w:rsid w:val="43180379"/>
    <w:rsid w:val="43265BB0"/>
    <w:rsid w:val="434540EF"/>
    <w:rsid w:val="434F4FC6"/>
    <w:rsid w:val="436151BF"/>
    <w:rsid w:val="43654E22"/>
    <w:rsid w:val="438356FB"/>
    <w:rsid w:val="438D3C08"/>
    <w:rsid w:val="439E7338"/>
    <w:rsid w:val="43BB4A59"/>
    <w:rsid w:val="43CA1B63"/>
    <w:rsid w:val="43EB218F"/>
    <w:rsid w:val="43FA6480"/>
    <w:rsid w:val="43FB65CD"/>
    <w:rsid w:val="43FE497F"/>
    <w:rsid w:val="440C7B85"/>
    <w:rsid w:val="44111B06"/>
    <w:rsid w:val="4413082D"/>
    <w:rsid w:val="442064E4"/>
    <w:rsid w:val="442C5971"/>
    <w:rsid w:val="443C629F"/>
    <w:rsid w:val="444D6DC4"/>
    <w:rsid w:val="4458601E"/>
    <w:rsid w:val="44A130E5"/>
    <w:rsid w:val="44AC2148"/>
    <w:rsid w:val="44BD3DB1"/>
    <w:rsid w:val="44BE2150"/>
    <w:rsid w:val="44BF379D"/>
    <w:rsid w:val="44C333F6"/>
    <w:rsid w:val="44FC5B23"/>
    <w:rsid w:val="45235E97"/>
    <w:rsid w:val="45277C55"/>
    <w:rsid w:val="4530540F"/>
    <w:rsid w:val="453C3DB3"/>
    <w:rsid w:val="453F2812"/>
    <w:rsid w:val="455042E1"/>
    <w:rsid w:val="45844488"/>
    <w:rsid w:val="45C53993"/>
    <w:rsid w:val="45C9097F"/>
    <w:rsid w:val="45FA7080"/>
    <w:rsid w:val="45FE3470"/>
    <w:rsid w:val="4605689B"/>
    <w:rsid w:val="46316ABA"/>
    <w:rsid w:val="46431EDC"/>
    <w:rsid w:val="46697469"/>
    <w:rsid w:val="466E7FD7"/>
    <w:rsid w:val="46864E66"/>
    <w:rsid w:val="468B77B0"/>
    <w:rsid w:val="46A62917"/>
    <w:rsid w:val="46AD248C"/>
    <w:rsid w:val="46AF07FB"/>
    <w:rsid w:val="46B05A1F"/>
    <w:rsid w:val="46B30A16"/>
    <w:rsid w:val="46C83AF1"/>
    <w:rsid w:val="46CB3EBF"/>
    <w:rsid w:val="46EB494F"/>
    <w:rsid w:val="46F46CD2"/>
    <w:rsid w:val="46F706C9"/>
    <w:rsid w:val="4719506B"/>
    <w:rsid w:val="4738059D"/>
    <w:rsid w:val="47627777"/>
    <w:rsid w:val="47A44169"/>
    <w:rsid w:val="47AC4FAE"/>
    <w:rsid w:val="47F367DF"/>
    <w:rsid w:val="47FE3D88"/>
    <w:rsid w:val="481C6658"/>
    <w:rsid w:val="481F08BF"/>
    <w:rsid w:val="48201648"/>
    <w:rsid w:val="48802209"/>
    <w:rsid w:val="488E4C19"/>
    <w:rsid w:val="48977D09"/>
    <w:rsid w:val="48AD0CF3"/>
    <w:rsid w:val="48B167B2"/>
    <w:rsid w:val="48D4116E"/>
    <w:rsid w:val="48FF5824"/>
    <w:rsid w:val="491318AF"/>
    <w:rsid w:val="49213B85"/>
    <w:rsid w:val="4958476A"/>
    <w:rsid w:val="495A2786"/>
    <w:rsid w:val="49635DB3"/>
    <w:rsid w:val="496B0D1A"/>
    <w:rsid w:val="4970518C"/>
    <w:rsid w:val="49C02F57"/>
    <w:rsid w:val="49F726BA"/>
    <w:rsid w:val="4A207FA8"/>
    <w:rsid w:val="4A421E6C"/>
    <w:rsid w:val="4A670FC1"/>
    <w:rsid w:val="4A6A453D"/>
    <w:rsid w:val="4A80575A"/>
    <w:rsid w:val="4A877F3D"/>
    <w:rsid w:val="4A964267"/>
    <w:rsid w:val="4AA046CC"/>
    <w:rsid w:val="4AA56A1B"/>
    <w:rsid w:val="4AA72F06"/>
    <w:rsid w:val="4AB31D2A"/>
    <w:rsid w:val="4AC25C75"/>
    <w:rsid w:val="4AC76815"/>
    <w:rsid w:val="4AC93BE1"/>
    <w:rsid w:val="4ACC1A91"/>
    <w:rsid w:val="4AD239E7"/>
    <w:rsid w:val="4AD64A5E"/>
    <w:rsid w:val="4AE055C0"/>
    <w:rsid w:val="4AEF0C90"/>
    <w:rsid w:val="4AFD4332"/>
    <w:rsid w:val="4B0A4B1A"/>
    <w:rsid w:val="4B1D2D0C"/>
    <w:rsid w:val="4B3043BA"/>
    <w:rsid w:val="4B3410A0"/>
    <w:rsid w:val="4B3E48AB"/>
    <w:rsid w:val="4B845809"/>
    <w:rsid w:val="4B932CC2"/>
    <w:rsid w:val="4BA53A50"/>
    <w:rsid w:val="4BBA64DC"/>
    <w:rsid w:val="4BBD0BA0"/>
    <w:rsid w:val="4BCE3C5B"/>
    <w:rsid w:val="4BF73ABB"/>
    <w:rsid w:val="4BFD63AD"/>
    <w:rsid w:val="4C152702"/>
    <w:rsid w:val="4C156D39"/>
    <w:rsid w:val="4C1F0E5E"/>
    <w:rsid w:val="4C272AAE"/>
    <w:rsid w:val="4C2F4EFD"/>
    <w:rsid w:val="4C427F2C"/>
    <w:rsid w:val="4C4869B3"/>
    <w:rsid w:val="4C496B7C"/>
    <w:rsid w:val="4C4B76CB"/>
    <w:rsid w:val="4C5941D4"/>
    <w:rsid w:val="4C63329F"/>
    <w:rsid w:val="4CA2085B"/>
    <w:rsid w:val="4CAB337D"/>
    <w:rsid w:val="4CC36B68"/>
    <w:rsid w:val="4CD3764B"/>
    <w:rsid w:val="4CEB65B0"/>
    <w:rsid w:val="4D06420E"/>
    <w:rsid w:val="4D2821A1"/>
    <w:rsid w:val="4D3A7FCF"/>
    <w:rsid w:val="4D8F5013"/>
    <w:rsid w:val="4DAE1288"/>
    <w:rsid w:val="4E393BDC"/>
    <w:rsid w:val="4E4677F9"/>
    <w:rsid w:val="4E5959D6"/>
    <w:rsid w:val="4E73410D"/>
    <w:rsid w:val="4E8237BA"/>
    <w:rsid w:val="4E9904C8"/>
    <w:rsid w:val="4ECF3EEA"/>
    <w:rsid w:val="4EFB60F2"/>
    <w:rsid w:val="4EFD6A6C"/>
    <w:rsid w:val="4F2212D8"/>
    <w:rsid w:val="4F462589"/>
    <w:rsid w:val="4F6A758C"/>
    <w:rsid w:val="4F6E2A45"/>
    <w:rsid w:val="4F7169E8"/>
    <w:rsid w:val="50250628"/>
    <w:rsid w:val="509B22D6"/>
    <w:rsid w:val="50A71787"/>
    <w:rsid w:val="50B214FA"/>
    <w:rsid w:val="50F639B0"/>
    <w:rsid w:val="51060C07"/>
    <w:rsid w:val="511013F5"/>
    <w:rsid w:val="51247909"/>
    <w:rsid w:val="512C0E07"/>
    <w:rsid w:val="513948F4"/>
    <w:rsid w:val="51412E90"/>
    <w:rsid w:val="51592273"/>
    <w:rsid w:val="516A15CC"/>
    <w:rsid w:val="51933C1F"/>
    <w:rsid w:val="51B23518"/>
    <w:rsid w:val="51BF3DA2"/>
    <w:rsid w:val="51C07B1A"/>
    <w:rsid w:val="51E83400"/>
    <w:rsid w:val="51E9169C"/>
    <w:rsid w:val="51F757AB"/>
    <w:rsid w:val="51FA4D68"/>
    <w:rsid w:val="525F5585"/>
    <w:rsid w:val="527A6FAB"/>
    <w:rsid w:val="52912188"/>
    <w:rsid w:val="529201CD"/>
    <w:rsid w:val="52972F71"/>
    <w:rsid w:val="52C15D02"/>
    <w:rsid w:val="52C31160"/>
    <w:rsid w:val="52CD24EF"/>
    <w:rsid w:val="52D6599B"/>
    <w:rsid w:val="52E91785"/>
    <w:rsid w:val="52F76A7C"/>
    <w:rsid w:val="53050A32"/>
    <w:rsid w:val="530D0E18"/>
    <w:rsid w:val="53417B32"/>
    <w:rsid w:val="53540D68"/>
    <w:rsid w:val="53784016"/>
    <w:rsid w:val="539258C0"/>
    <w:rsid w:val="53CA553A"/>
    <w:rsid w:val="53CB7339"/>
    <w:rsid w:val="53EE27D4"/>
    <w:rsid w:val="540659D7"/>
    <w:rsid w:val="5418333D"/>
    <w:rsid w:val="5422191A"/>
    <w:rsid w:val="543C0C79"/>
    <w:rsid w:val="54430630"/>
    <w:rsid w:val="54A42A14"/>
    <w:rsid w:val="54B44640"/>
    <w:rsid w:val="54B7033E"/>
    <w:rsid w:val="54CF59AC"/>
    <w:rsid w:val="55066D0E"/>
    <w:rsid w:val="550C2450"/>
    <w:rsid w:val="55165166"/>
    <w:rsid w:val="55246D0D"/>
    <w:rsid w:val="5539224E"/>
    <w:rsid w:val="555070E2"/>
    <w:rsid w:val="55563EB3"/>
    <w:rsid w:val="5561041B"/>
    <w:rsid w:val="55794BB0"/>
    <w:rsid w:val="558D3920"/>
    <w:rsid w:val="55A158CA"/>
    <w:rsid w:val="55D33CA3"/>
    <w:rsid w:val="55E66029"/>
    <w:rsid w:val="55F734D5"/>
    <w:rsid w:val="55FC037D"/>
    <w:rsid w:val="56381DDE"/>
    <w:rsid w:val="563C2A6A"/>
    <w:rsid w:val="5664771B"/>
    <w:rsid w:val="567F0EB9"/>
    <w:rsid w:val="5691764F"/>
    <w:rsid w:val="56961C67"/>
    <w:rsid w:val="56983EB7"/>
    <w:rsid w:val="56AF7C16"/>
    <w:rsid w:val="56E87685"/>
    <w:rsid w:val="56FD0B02"/>
    <w:rsid w:val="56FE536D"/>
    <w:rsid w:val="570E6588"/>
    <w:rsid w:val="571C68B6"/>
    <w:rsid w:val="571F1E19"/>
    <w:rsid w:val="572D7A56"/>
    <w:rsid w:val="57360303"/>
    <w:rsid w:val="574D65C1"/>
    <w:rsid w:val="575B26B9"/>
    <w:rsid w:val="578156BA"/>
    <w:rsid w:val="5787490D"/>
    <w:rsid w:val="57A57A93"/>
    <w:rsid w:val="57A8352A"/>
    <w:rsid w:val="57BF5437"/>
    <w:rsid w:val="57C41CA4"/>
    <w:rsid w:val="57C44B08"/>
    <w:rsid w:val="57CF3250"/>
    <w:rsid w:val="57D347E7"/>
    <w:rsid w:val="57D77378"/>
    <w:rsid w:val="57EB75F1"/>
    <w:rsid w:val="57F66214"/>
    <w:rsid w:val="57FD09DF"/>
    <w:rsid w:val="580E7831"/>
    <w:rsid w:val="58104EF2"/>
    <w:rsid w:val="587A0CCA"/>
    <w:rsid w:val="589773D8"/>
    <w:rsid w:val="589E28FE"/>
    <w:rsid w:val="58B73EDF"/>
    <w:rsid w:val="58BD090C"/>
    <w:rsid w:val="58CC096A"/>
    <w:rsid w:val="58D73B05"/>
    <w:rsid w:val="58DE6470"/>
    <w:rsid w:val="59213623"/>
    <w:rsid w:val="592356A3"/>
    <w:rsid w:val="597A2963"/>
    <w:rsid w:val="597D22F9"/>
    <w:rsid w:val="59A610A7"/>
    <w:rsid w:val="59B0384A"/>
    <w:rsid w:val="59C8075D"/>
    <w:rsid w:val="59C80F51"/>
    <w:rsid w:val="59EB7986"/>
    <w:rsid w:val="5A0013FC"/>
    <w:rsid w:val="5A05584B"/>
    <w:rsid w:val="5A14433F"/>
    <w:rsid w:val="5A283243"/>
    <w:rsid w:val="5A546307"/>
    <w:rsid w:val="5A673229"/>
    <w:rsid w:val="5A812943"/>
    <w:rsid w:val="5A910D8F"/>
    <w:rsid w:val="5AF8348B"/>
    <w:rsid w:val="5B001FA0"/>
    <w:rsid w:val="5B247E49"/>
    <w:rsid w:val="5B4C70ED"/>
    <w:rsid w:val="5B5A50C0"/>
    <w:rsid w:val="5B6E4853"/>
    <w:rsid w:val="5B850E5B"/>
    <w:rsid w:val="5B95255A"/>
    <w:rsid w:val="5BBC0AED"/>
    <w:rsid w:val="5BF1724E"/>
    <w:rsid w:val="5C413AE7"/>
    <w:rsid w:val="5C4E0A70"/>
    <w:rsid w:val="5C5C1C9E"/>
    <w:rsid w:val="5C5E00F3"/>
    <w:rsid w:val="5C677510"/>
    <w:rsid w:val="5C796835"/>
    <w:rsid w:val="5CE971FB"/>
    <w:rsid w:val="5CEB7C83"/>
    <w:rsid w:val="5CFA60F2"/>
    <w:rsid w:val="5CFC7735"/>
    <w:rsid w:val="5D2F7311"/>
    <w:rsid w:val="5D3E1BE0"/>
    <w:rsid w:val="5D4843F9"/>
    <w:rsid w:val="5D690F4C"/>
    <w:rsid w:val="5D775406"/>
    <w:rsid w:val="5D78428A"/>
    <w:rsid w:val="5D906D45"/>
    <w:rsid w:val="5D9B37C9"/>
    <w:rsid w:val="5DDC4FDA"/>
    <w:rsid w:val="5DE77E61"/>
    <w:rsid w:val="5E265C9E"/>
    <w:rsid w:val="5E89042C"/>
    <w:rsid w:val="5EAB0614"/>
    <w:rsid w:val="5EB427B5"/>
    <w:rsid w:val="5EB5133E"/>
    <w:rsid w:val="5EC24ED2"/>
    <w:rsid w:val="5EC56A6D"/>
    <w:rsid w:val="5EF20D78"/>
    <w:rsid w:val="5F053A9C"/>
    <w:rsid w:val="5F0A45FB"/>
    <w:rsid w:val="5F3202A9"/>
    <w:rsid w:val="5F814D8D"/>
    <w:rsid w:val="5F9E46B3"/>
    <w:rsid w:val="5FA12066"/>
    <w:rsid w:val="5FAA2D59"/>
    <w:rsid w:val="5FBF0867"/>
    <w:rsid w:val="5FE51EA2"/>
    <w:rsid w:val="5FFFD457"/>
    <w:rsid w:val="60114363"/>
    <w:rsid w:val="60164A2A"/>
    <w:rsid w:val="601F4FB9"/>
    <w:rsid w:val="60207356"/>
    <w:rsid w:val="60214E88"/>
    <w:rsid w:val="60300161"/>
    <w:rsid w:val="6036205A"/>
    <w:rsid w:val="60377F76"/>
    <w:rsid w:val="6065020A"/>
    <w:rsid w:val="606C5EC2"/>
    <w:rsid w:val="60860FB0"/>
    <w:rsid w:val="60B40E77"/>
    <w:rsid w:val="60B40F9E"/>
    <w:rsid w:val="60BC1586"/>
    <w:rsid w:val="60C04D76"/>
    <w:rsid w:val="60E9182C"/>
    <w:rsid w:val="60F13358"/>
    <w:rsid w:val="60F1626E"/>
    <w:rsid w:val="60F81393"/>
    <w:rsid w:val="60FC79C9"/>
    <w:rsid w:val="615157EB"/>
    <w:rsid w:val="615A5895"/>
    <w:rsid w:val="618E1BF9"/>
    <w:rsid w:val="61AF0ED0"/>
    <w:rsid w:val="61E02939"/>
    <w:rsid w:val="62133007"/>
    <w:rsid w:val="62372395"/>
    <w:rsid w:val="624D36A0"/>
    <w:rsid w:val="62540C53"/>
    <w:rsid w:val="625C66EF"/>
    <w:rsid w:val="62630A6C"/>
    <w:rsid w:val="626B1AB8"/>
    <w:rsid w:val="62714F3F"/>
    <w:rsid w:val="62885C85"/>
    <w:rsid w:val="62CC1895"/>
    <w:rsid w:val="6315416A"/>
    <w:rsid w:val="631953C1"/>
    <w:rsid w:val="631E0968"/>
    <w:rsid w:val="633327F6"/>
    <w:rsid w:val="63585E05"/>
    <w:rsid w:val="639749B9"/>
    <w:rsid w:val="63B4039B"/>
    <w:rsid w:val="63DE6C2B"/>
    <w:rsid w:val="63E03861"/>
    <w:rsid w:val="6418474F"/>
    <w:rsid w:val="641E0DFC"/>
    <w:rsid w:val="64236413"/>
    <w:rsid w:val="64295F63"/>
    <w:rsid w:val="6436742A"/>
    <w:rsid w:val="643879C0"/>
    <w:rsid w:val="6446196A"/>
    <w:rsid w:val="644C2B4E"/>
    <w:rsid w:val="64577A52"/>
    <w:rsid w:val="64740A1C"/>
    <w:rsid w:val="64832C93"/>
    <w:rsid w:val="64910A0E"/>
    <w:rsid w:val="64AE5F4F"/>
    <w:rsid w:val="64FF649B"/>
    <w:rsid w:val="652B297D"/>
    <w:rsid w:val="652E32C1"/>
    <w:rsid w:val="65332E12"/>
    <w:rsid w:val="653922C9"/>
    <w:rsid w:val="65567863"/>
    <w:rsid w:val="65603695"/>
    <w:rsid w:val="656603E9"/>
    <w:rsid w:val="6580162D"/>
    <w:rsid w:val="65A96541"/>
    <w:rsid w:val="65C973EB"/>
    <w:rsid w:val="65CA728C"/>
    <w:rsid w:val="660526A1"/>
    <w:rsid w:val="661464B7"/>
    <w:rsid w:val="66146891"/>
    <w:rsid w:val="66157FDD"/>
    <w:rsid w:val="662817F5"/>
    <w:rsid w:val="66495594"/>
    <w:rsid w:val="664E2A8E"/>
    <w:rsid w:val="665252AC"/>
    <w:rsid w:val="669B73CB"/>
    <w:rsid w:val="66B3286F"/>
    <w:rsid w:val="66B718D7"/>
    <w:rsid w:val="66E159F1"/>
    <w:rsid w:val="66F3057E"/>
    <w:rsid w:val="66F571FE"/>
    <w:rsid w:val="671F01FD"/>
    <w:rsid w:val="67226A1F"/>
    <w:rsid w:val="674C4B7F"/>
    <w:rsid w:val="675836B8"/>
    <w:rsid w:val="67811BA8"/>
    <w:rsid w:val="67BE1C68"/>
    <w:rsid w:val="67D2709E"/>
    <w:rsid w:val="67D529BC"/>
    <w:rsid w:val="680B6ACA"/>
    <w:rsid w:val="682D7585"/>
    <w:rsid w:val="683D1B58"/>
    <w:rsid w:val="68403003"/>
    <w:rsid w:val="684E276E"/>
    <w:rsid w:val="68556DB7"/>
    <w:rsid w:val="68784AF7"/>
    <w:rsid w:val="6880270E"/>
    <w:rsid w:val="68E951A3"/>
    <w:rsid w:val="68ED77D0"/>
    <w:rsid w:val="68EF720B"/>
    <w:rsid w:val="68F12AE9"/>
    <w:rsid w:val="68F24489"/>
    <w:rsid w:val="692B6B93"/>
    <w:rsid w:val="6939727D"/>
    <w:rsid w:val="693B41FE"/>
    <w:rsid w:val="695E2516"/>
    <w:rsid w:val="69643755"/>
    <w:rsid w:val="696D4DCE"/>
    <w:rsid w:val="69715E72"/>
    <w:rsid w:val="69716E14"/>
    <w:rsid w:val="698439B6"/>
    <w:rsid w:val="69C371A3"/>
    <w:rsid w:val="69D46071"/>
    <w:rsid w:val="69D739F6"/>
    <w:rsid w:val="69DB131F"/>
    <w:rsid w:val="69E564FE"/>
    <w:rsid w:val="69FD1936"/>
    <w:rsid w:val="69FE5356"/>
    <w:rsid w:val="6A0F7F4D"/>
    <w:rsid w:val="6A551F65"/>
    <w:rsid w:val="6A6A7995"/>
    <w:rsid w:val="6AB7106F"/>
    <w:rsid w:val="6AE01E1B"/>
    <w:rsid w:val="6AEE4391"/>
    <w:rsid w:val="6AF80CDE"/>
    <w:rsid w:val="6B0F1B5B"/>
    <w:rsid w:val="6B120133"/>
    <w:rsid w:val="6B56051F"/>
    <w:rsid w:val="6B5A4B29"/>
    <w:rsid w:val="6B9464F2"/>
    <w:rsid w:val="6B964304"/>
    <w:rsid w:val="6B9A559B"/>
    <w:rsid w:val="6BAA17C2"/>
    <w:rsid w:val="6BC8755E"/>
    <w:rsid w:val="6C111ED9"/>
    <w:rsid w:val="6C1219A5"/>
    <w:rsid w:val="6C1271E3"/>
    <w:rsid w:val="6C7761FD"/>
    <w:rsid w:val="6C99462E"/>
    <w:rsid w:val="6C9D31EB"/>
    <w:rsid w:val="6CA65170"/>
    <w:rsid w:val="6CAC72F7"/>
    <w:rsid w:val="6CAF692E"/>
    <w:rsid w:val="6CDB5F61"/>
    <w:rsid w:val="6CE46C32"/>
    <w:rsid w:val="6D0738EF"/>
    <w:rsid w:val="6D106631"/>
    <w:rsid w:val="6D11346F"/>
    <w:rsid w:val="6D206D06"/>
    <w:rsid w:val="6D605FE2"/>
    <w:rsid w:val="6D662BCB"/>
    <w:rsid w:val="6D677D53"/>
    <w:rsid w:val="6D766CCB"/>
    <w:rsid w:val="6D9810F4"/>
    <w:rsid w:val="6DA82EE6"/>
    <w:rsid w:val="6DB17D4F"/>
    <w:rsid w:val="6DD96AC9"/>
    <w:rsid w:val="6E0232B1"/>
    <w:rsid w:val="6E4271BE"/>
    <w:rsid w:val="6E49392B"/>
    <w:rsid w:val="6E7A7F94"/>
    <w:rsid w:val="6E8410EE"/>
    <w:rsid w:val="6E876BAA"/>
    <w:rsid w:val="6EAC168D"/>
    <w:rsid w:val="6EAF2BF0"/>
    <w:rsid w:val="6EB6525B"/>
    <w:rsid w:val="6EC93996"/>
    <w:rsid w:val="6ED23E59"/>
    <w:rsid w:val="6F1362A1"/>
    <w:rsid w:val="6F2B6D6B"/>
    <w:rsid w:val="6FA12783"/>
    <w:rsid w:val="6FA903EB"/>
    <w:rsid w:val="6FCE61FB"/>
    <w:rsid w:val="6FDA160C"/>
    <w:rsid w:val="70194B12"/>
    <w:rsid w:val="702E50FA"/>
    <w:rsid w:val="70455722"/>
    <w:rsid w:val="709D1923"/>
    <w:rsid w:val="70A4493A"/>
    <w:rsid w:val="70AB4A08"/>
    <w:rsid w:val="70CE48CB"/>
    <w:rsid w:val="70D014B8"/>
    <w:rsid w:val="70D015AF"/>
    <w:rsid w:val="70D939A2"/>
    <w:rsid w:val="70DB0358"/>
    <w:rsid w:val="70FC7D85"/>
    <w:rsid w:val="711A6C1F"/>
    <w:rsid w:val="71522FDC"/>
    <w:rsid w:val="71573413"/>
    <w:rsid w:val="71836742"/>
    <w:rsid w:val="7196718A"/>
    <w:rsid w:val="71A016C0"/>
    <w:rsid w:val="71AC14EA"/>
    <w:rsid w:val="71B30C80"/>
    <w:rsid w:val="71CC00E9"/>
    <w:rsid w:val="71F41218"/>
    <w:rsid w:val="720E669D"/>
    <w:rsid w:val="721E5592"/>
    <w:rsid w:val="72467548"/>
    <w:rsid w:val="72793441"/>
    <w:rsid w:val="7287385B"/>
    <w:rsid w:val="728A2B98"/>
    <w:rsid w:val="728A5A2B"/>
    <w:rsid w:val="728B1D53"/>
    <w:rsid w:val="72966949"/>
    <w:rsid w:val="72A57C1E"/>
    <w:rsid w:val="72B16A0B"/>
    <w:rsid w:val="72B86869"/>
    <w:rsid w:val="72C9440B"/>
    <w:rsid w:val="72E15F67"/>
    <w:rsid w:val="72EE1700"/>
    <w:rsid w:val="72FA1664"/>
    <w:rsid w:val="73277407"/>
    <w:rsid w:val="73373212"/>
    <w:rsid w:val="735A4A4D"/>
    <w:rsid w:val="735C45FC"/>
    <w:rsid w:val="736155A6"/>
    <w:rsid w:val="737E5413"/>
    <w:rsid w:val="738B5237"/>
    <w:rsid w:val="73C572FE"/>
    <w:rsid w:val="73C77904"/>
    <w:rsid w:val="73C81C8A"/>
    <w:rsid w:val="73C95900"/>
    <w:rsid w:val="73D301C7"/>
    <w:rsid w:val="73E831D5"/>
    <w:rsid w:val="740372BA"/>
    <w:rsid w:val="743E1534"/>
    <w:rsid w:val="74464594"/>
    <w:rsid w:val="745E1DE0"/>
    <w:rsid w:val="7476022A"/>
    <w:rsid w:val="74E04F08"/>
    <w:rsid w:val="75012739"/>
    <w:rsid w:val="75412B9C"/>
    <w:rsid w:val="75813770"/>
    <w:rsid w:val="759A0ED9"/>
    <w:rsid w:val="75B36E35"/>
    <w:rsid w:val="75BC22EF"/>
    <w:rsid w:val="75C8312A"/>
    <w:rsid w:val="75CD23E3"/>
    <w:rsid w:val="76231968"/>
    <w:rsid w:val="762C039A"/>
    <w:rsid w:val="76310BBF"/>
    <w:rsid w:val="763976B0"/>
    <w:rsid w:val="7686750A"/>
    <w:rsid w:val="76AA059B"/>
    <w:rsid w:val="76B57CF3"/>
    <w:rsid w:val="76D554CF"/>
    <w:rsid w:val="76D9322F"/>
    <w:rsid w:val="76F37791"/>
    <w:rsid w:val="76F72A5B"/>
    <w:rsid w:val="76F733EB"/>
    <w:rsid w:val="770B6F63"/>
    <w:rsid w:val="77334767"/>
    <w:rsid w:val="773437F6"/>
    <w:rsid w:val="774265BC"/>
    <w:rsid w:val="777B0DEF"/>
    <w:rsid w:val="7797558A"/>
    <w:rsid w:val="77984CC5"/>
    <w:rsid w:val="77A74279"/>
    <w:rsid w:val="77B2460F"/>
    <w:rsid w:val="77BB75AD"/>
    <w:rsid w:val="77C110E7"/>
    <w:rsid w:val="77D60337"/>
    <w:rsid w:val="7805056B"/>
    <w:rsid w:val="782869C8"/>
    <w:rsid w:val="78294BDE"/>
    <w:rsid w:val="78546B92"/>
    <w:rsid w:val="78645E13"/>
    <w:rsid w:val="787456FE"/>
    <w:rsid w:val="78784A78"/>
    <w:rsid w:val="789711D5"/>
    <w:rsid w:val="78A024C0"/>
    <w:rsid w:val="78AC7721"/>
    <w:rsid w:val="78BD484E"/>
    <w:rsid w:val="78CA2A0B"/>
    <w:rsid w:val="78CD3B44"/>
    <w:rsid w:val="78D36933"/>
    <w:rsid w:val="78DF7517"/>
    <w:rsid w:val="790A3A91"/>
    <w:rsid w:val="790C2C38"/>
    <w:rsid w:val="7943138F"/>
    <w:rsid w:val="79AE385E"/>
    <w:rsid w:val="79BF18B1"/>
    <w:rsid w:val="79C17D27"/>
    <w:rsid w:val="79C92109"/>
    <w:rsid w:val="79CD1DBC"/>
    <w:rsid w:val="79E306C6"/>
    <w:rsid w:val="79EE4229"/>
    <w:rsid w:val="7A26753D"/>
    <w:rsid w:val="7A537474"/>
    <w:rsid w:val="7A822D05"/>
    <w:rsid w:val="7A9711E2"/>
    <w:rsid w:val="7AAC4F5C"/>
    <w:rsid w:val="7ACF6433"/>
    <w:rsid w:val="7AD524B0"/>
    <w:rsid w:val="7ADA0EC1"/>
    <w:rsid w:val="7B071FA0"/>
    <w:rsid w:val="7B1762D1"/>
    <w:rsid w:val="7B777DE7"/>
    <w:rsid w:val="7B86755B"/>
    <w:rsid w:val="7BC46112"/>
    <w:rsid w:val="7BF41C4C"/>
    <w:rsid w:val="7C440165"/>
    <w:rsid w:val="7C854352"/>
    <w:rsid w:val="7C975798"/>
    <w:rsid w:val="7C9A24CC"/>
    <w:rsid w:val="7CBC0D7C"/>
    <w:rsid w:val="7CD460A4"/>
    <w:rsid w:val="7CD75AB7"/>
    <w:rsid w:val="7CE4043A"/>
    <w:rsid w:val="7CE62D26"/>
    <w:rsid w:val="7CFB685F"/>
    <w:rsid w:val="7D23457F"/>
    <w:rsid w:val="7D5D6E6F"/>
    <w:rsid w:val="7D811785"/>
    <w:rsid w:val="7D8141EA"/>
    <w:rsid w:val="7D97797F"/>
    <w:rsid w:val="7D9C1BC8"/>
    <w:rsid w:val="7DD16CFD"/>
    <w:rsid w:val="7DD20647"/>
    <w:rsid w:val="7DD26138"/>
    <w:rsid w:val="7DF63D4E"/>
    <w:rsid w:val="7DF7A53B"/>
    <w:rsid w:val="7E1577C2"/>
    <w:rsid w:val="7E2F6C16"/>
    <w:rsid w:val="7E350094"/>
    <w:rsid w:val="7E7F715F"/>
    <w:rsid w:val="7E843F12"/>
    <w:rsid w:val="7ED06D3F"/>
    <w:rsid w:val="7F0A62F1"/>
    <w:rsid w:val="7F0B0E29"/>
    <w:rsid w:val="7F0D6F25"/>
    <w:rsid w:val="7F3240D1"/>
    <w:rsid w:val="7F573143"/>
    <w:rsid w:val="7F606963"/>
    <w:rsid w:val="7F782629"/>
    <w:rsid w:val="7F800FD7"/>
    <w:rsid w:val="7F9A1827"/>
    <w:rsid w:val="7FFC5C11"/>
    <w:rsid w:val="9BFB1FC7"/>
    <w:rsid w:val="BED6C250"/>
    <w:rsid w:val="BF3F9EF9"/>
    <w:rsid w:val="E5B7C802"/>
    <w:rsid w:val="EFF77FD6"/>
    <w:rsid w:val="F6F929FA"/>
    <w:rsid w:val="F9B744D2"/>
    <w:rsid w:val="FD7787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2">
    <w:name w:val="heading 1"/>
    <w:basedOn w:val="1"/>
    <w:next w:val="1"/>
    <w:autoRedefine/>
    <w:qFormat/>
    <w:uiPriority w:val="0"/>
    <w:pPr>
      <w:keepNext/>
      <w:outlineLvl w:val="0"/>
    </w:pPr>
    <w:rPr>
      <w:rFonts w:ascii="Times New Roman"/>
      <w:b/>
      <w:bCs/>
      <w:color w:val="000000"/>
      <w:sz w:val="2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autoRedefine/>
    <w:qFormat/>
    <w:uiPriority w:val="0"/>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6"/>
    <w:autoRedefine/>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8">
    <w:name w:val="heading 5"/>
    <w:basedOn w:val="1"/>
    <w:next w:val="6"/>
    <w:autoRedefine/>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9">
    <w:name w:val="heading 6"/>
    <w:basedOn w:val="1"/>
    <w:next w:val="6"/>
    <w:autoRedefine/>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0">
    <w:name w:val="heading 7"/>
    <w:basedOn w:val="1"/>
    <w:next w:val="6"/>
    <w:autoRedefine/>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1">
    <w:name w:val="heading 8"/>
    <w:basedOn w:val="1"/>
    <w:next w:val="6"/>
    <w:autoRedefine/>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2">
    <w:name w:val="heading 9"/>
    <w:basedOn w:val="1"/>
    <w:next w:val="6"/>
    <w:autoRedefine/>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utoSpaceDE/>
      <w:autoSpaceDN/>
      <w:adjustRightInd/>
      <w:ind w:firstLine="420"/>
      <w:jc w:val="both"/>
    </w:pPr>
    <w:rPr>
      <w:rFonts w:ascii="Times New Roman"/>
      <w:kern w:val="2"/>
      <w:sz w:val="21"/>
    </w:rPr>
  </w:style>
  <w:style w:type="paragraph" w:styleId="7">
    <w:name w:val="Body Text Indent"/>
    <w:basedOn w:val="1"/>
    <w:next w:val="1"/>
    <w:autoRedefine/>
    <w:qFormat/>
    <w:uiPriority w:val="0"/>
    <w:pPr>
      <w:adjustRightInd/>
      <w:ind w:firstLine="900"/>
      <w:jc w:val="both"/>
    </w:pPr>
    <w:rPr>
      <w:rFonts w:ascii="Times New Roman"/>
      <w:kern w:val="2"/>
      <w:sz w:val="28"/>
    </w:rPr>
  </w:style>
  <w:style w:type="paragraph" w:styleId="13">
    <w:name w:val="toc 7"/>
    <w:basedOn w:val="1"/>
    <w:next w:val="1"/>
    <w:autoRedefine/>
    <w:qFormat/>
    <w:uiPriority w:val="0"/>
    <w:pPr>
      <w:ind w:left="2040"/>
    </w:pPr>
    <w:rPr>
      <w:rFonts w:ascii="Times New Roman"/>
      <w:sz w:val="18"/>
      <w:szCs w:val="18"/>
    </w:rPr>
  </w:style>
  <w:style w:type="paragraph" w:styleId="14">
    <w:name w:val="table of authorities"/>
    <w:basedOn w:val="1"/>
    <w:next w:val="1"/>
    <w:autoRedefine/>
    <w:unhideWhenUsed/>
    <w:qFormat/>
    <w:uiPriority w:val="99"/>
    <w:pPr>
      <w:ind w:left="420" w:leftChars="200"/>
    </w:pPr>
  </w:style>
  <w:style w:type="paragraph" w:styleId="15">
    <w:name w:val="List Number"/>
    <w:basedOn w:val="1"/>
    <w:autoRedefine/>
    <w:qFormat/>
    <w:uiPriority w:val="0"/>
    <w:pPr>
      <w:widowControl/>
      <w:tabs>
        <w:tab w:val="left" w:pos="454"/>
        <w:tab w:val="left" w:pos="720"/>
        <w:tab w:val="left" w:pos="927"/>
      </w:tabs>
      <w:autoSpaceDE/>
      <w:autoSpaceDN/>
      <w:adjustRightInd/>
      <w:spacing w:afterLines="50"/>
      <w:ind w:left="454" w:hanging="284"/>
    </w:pPr>
    <w:rPr>
      <w:rFonts w:ascii="Times New Roman"/>
      <w:sz w:val="24"/>
    </w:rPr>
  </w:style>
  <w:style w:type="paragraph" w:styleId="16">
    <w:name w:val="caption"/>
    <w:basedOn w:val="1"/>
    <w:next w:val="1"/>
    <w:autoRedefine/>
    <w:qFormat/>
    <w:uiPriority w:val="0"/>
    <w:pPr>
      <w:spacing w:before="152" w:after="160"/>
    </w:pPr>
    <w:rPr>
      <w:rFonts w:ascii="Arial" w:hAnsi="Arial" w:eastAsia="黑体"/>
    </w:rPr>
  </w:style>
  <w:style w:type="paragraph" w:styleId="17">
    <w:name w:val="Document Map"/>
    <w:basedOn w:val="1"/>
    <w:autoRedefine/>
    <w:qFormat/>
    <w:uiPriority w:val="0"/>
    <w:pPr>
      <w:shd w:val="clear" w:color="auto" w:fill="000080"/>
    </w:pPr>
    <w:rPr>
      <w:rFonts w:ascii="Times New Roman"/>
    </w:rPr>
  </w:style>
  <w:style w:type="paragraph" w:styleId="18">
    <w:name w:val="annotation text"/>
    <w:basedOn w:val="1"/>
    <w:link w:val="65"/>
    <w:autoRedefine/>
    <w:qFormat/>
    <w:uiPriority w:val="0"/>
  </w:style>
  <w:style w:type="paragraph" w:styleId="19">
    <w:name w:val="Body Text 3"/>
    <w:basedOn w:val="1"/>
    <w:autoRedefine/>
    <w:qFormat/>
    <w:uiPriority w:val="0"/>
    <w:pPr>
      <w:spacing w:line="640" w:lineRule="atLeast"/>
    </w:pPr>
    <w:rPr>
      <w:rFonts w:ascii="Times New Roman"/>
      <w:color w:val="000000"/>
      <w:sz w:val="28"/>
    </w:rPr>
  </w:style>
  <w:style w:type="paragraph" w:styleId="20">
    <w:name w:val="Body Text"/>
    <w:basedOn w:val="1"/>
    <w:next w:val="21"/>
    <w:autoRedefine/>
    <w:qFormat/>
    <w:uiPriority w:val="0"/>
    <w:rPr>
      <w:rFonts w:ascii="Times New Roman"/>
      <w:sz w:val="28"/>
    </w:rPr>
  </w:style>
  <w:style w:type="paragraph" w:styleId="21">
    <w:name w:val="Body Text First Indent"/>
    <w:basedOn w:val="20"/>
    <w:next w:val="1"/>
    <w:autoRedefine/>
    <w:qFormat/>
    <w:uiPriority w:val="0"/>
    <w:pPr>
      <w:ind w:firstLine="420" w:firstLineChars="100"/>
    </w:pPr>
  </w:style>
  <w:style w:type="paragraph" w:styleId="22">
    <w:name w:val="List 2"/>
    <w:basedOn w:val="1"/>
    <w:autoRedefine/>
    <w:qFormat/>
    <w:uiPriority w:val="0"/>
    <w:pPr>
      <w:ind w:left="100" w:leftChars="200" w:hanging="200" w:hangingChars="200"/>
    </w:pPr>
    <w:rPr>
      <w:rFonts w:ascii="Times New Roman"/>
    </w:rPr>
  </w:style>
  <w:style w:type="paragraph" w:styleId="23">
    <w:name w:val="Block Text"/>
    <w:basedOn w:val="1"/>
    <w:autoRedefine/>
    <w:unhideWhenUsed/>
    <w:qFormat/>
    <w:uiPriority w:val="99"/>
    <w:pPr>
      <w:spacing w:line="300" w:lineRule="auto"/>
      <w:ind w:left="958" w:right="-120" w:rightChars="-120"/>
    </w:pPr>
    <w:rPr>
      <w:rFonts w:hAnsi="宋体"/>
      <w:sz w:val="28"/>
    </w:rPr>
  </w:style>
  <w:style w:type="paragraph" w:styleId="24">
    <w:name w:val="toc 5"/>
    <w:basedOn w:val="1"/>
    <w:next w:val="1"/>
    <w:autoRedefine/>
    <w:qFormat/>
    <w:uiPriority w:val="0"/>
    <w:pPr>
      <w:ind w:left="1360"/>
    </w:pPr>
    <w:rPr>
      <w:rFonts w:ascii="Times New Roman"/>
      <w:sz w:val="18"/>
      <w:szCs w:val="18"/>
    </w:rPr>
  </w:style>
  <w:style w:type="paragraph" w:styleId="25">
    <w:name w:val="toc 3"/>
    <w:basedOn w:val="1"/>
    <w:next w:val="1"/>
    <w:autoRedefine/>
    <w:qFormat/>
    <w:uiPriority w:val="0"/>
    <w:pPr>
      <w:ind w:left="680"/>
    </w:pPr>
    <w:rPr>
      <w:rFonts w:ascii="Times New Roman"/>
      <w:i/>
      <w:iCs/>
      <w:sz w:val="20"/>
    </w:rPr>
  </w:style>
  <w:style w:type="paragraph" w:styleId="26">
    <w:name w:val="Plain Text"/>
    <w:basedOn w:val="1"/>
    <w:next w:val="1"/>
    <w:link w:val="109"/>
    <w:autoRedefine/>
    <w:qFormat/>
    <w:uiPriority w:val="0"/>
    <w:rPr>
      <w:rFonts w:ascii="Times New Roman" w:hAnsi="Courier New" w:cs="Courier New"/>
      <w:szCs w:val="21"/>
    </w:rPr>
  </w:style>
  <w:style w:type="paragraph" w:styleId="27">
    <w:name w:val="toc 8"/>
    <w:basedOn w:val="1"/>
    <w:next w:val="1"/>
    <w:autoRedefine/>
    <w:qFormat/>
    <w:uiPriority w:val="0"/>
    <w:pPr>
      <w:ind w:left="2380"/>
    </w:pPr>
    <w:rPr>
      <w:rFonts w:ascii="Times New Roman"/>
      <w:sz w:val="18"/>
      <w:szCs w:val="18"/>
    </w:rPr>
  </w:style>
  <w:style w:type="paragraph" w:styleId="28">
    <w:name w:val="Date"/>
    <w:basedOn w:val="1"/>
    <w:next w:val="1"/>
    <w:autoRedefine/>
    <w:qFormat/>
    <w:uiPriority w:val="0"/>
    <w:pPr>
      <w:jc w:val="both"/>
    </w:pPr>
    <w:rPr>
      <w:rFonts w:ascii="Times New Roman"/>
      <w:sz w:val="28"/>
    </w:rPr>
  </w:style>
  <w:style w:type="paragraph" w:styleId="29">
    <w:name w:val="Body Text Indent 2"/>
    <w:basedOn w:val="1"/>
    <w:autoRedefine/>
    <w:qFormat/>
    <w:uiPriority w:val="0"/>
    <w:pPr>
      <w:autoSpaceDE/>
      <w:autoSpaceDN/>
      <w:adjustRightInd/>
      <w:spacing w:line="360" w:lineRule="auto"/>
      <w:ind w:firstLine="720"/>
      <w:jc w:val="both"/>
    </w:pPr>
    <w:rPr>
      <w:rFonts w:ascii="Times New Roman"/>
      <w:kern w:val="2"/>
      <w:sz w:val="28"/>
    </w:rPr>
  </w:style>
  <w:style w:type="paragraph" w:styleId="30">
    <w:name w:val="Balloon Text"/>
    <w:basedOn w:val="1"/>
    <w:autoRedefine/>
    <w:qFormat/>
    <w:uiPriority w:val="0"/>
    <w:rPr>
      <w:rFonts w:ascii="Times New Roman"/>
      <w:sz w:val="18"/>
      <w:szCs w:val="18"/>
    </w:rPr>
  </w:style>
  <w:style w:type="paragraph" w:styleId="31">
    <w:name w:val="footer"/>
    <w:basedOn w:val="1"/>
    <w:autoRedefine/>
    <w:qFormat/>
    <w:uiPriority w:val="0"/>
    <w:pPr>
      <w:tabs>
        <w:tab w:val="center" w:pos="4140"/>
        <w:tab w:val="right" w:pos="8300"/>
      </w:tabs>
      <w:snapToGrid w:val="0"/>
    </w:pPr>
    <w:rPr>
      <w:rFonts w:ascii="Times New Roman"/>
      <w:sz w:val="18"/>
    </w:rPr>
  </w:style>
  <w:style w:type="paragraph" w:styleId="32">
    <w:name w:val="header"/>
    <w:basedOn w:val="1"/>
    <w:autoRedefine/>
    <w:qFormat/>
    <w:uiPriority w:val="0"/>
    <w:pPr>
      <w:pBdr>
        <w:bottom w:val="single" w:color="000000" w:sz="6" w:space="1"/>
      </w:pBdr>
      <w:tabs>
        <w:tab w:val="center" w:pos="4140"/>
        <w:tab w:val="right" w:pos="8300"/>
      </w:tabs>
      <w:snapToGrid w:val="0"/>
      <w:jc w:val="center"/>
    </w:pPr>
    <w:rPr>
      <w:rFonts w:ascii="Times New Roman"/>
      <w:sz w:val="18"/>
    </w:rPr>
  </w:style>
  <w:style w:type="paragraph" w:styleId="33">
    <w:name w:val="toc 1"/>
    <w:basedOn w:val="1"/>
    <w:next w:val="1"/>
    <w:autoRedefine/>
    <w:qFormat/>
    <w:uiPriority w:val="0"/>
    <w:pPr>
      <w:spacing w:before="120" w:after="120"/>
    </w:pPr>
    <w:rPr>
      <w:rFonts w:ascii="Times New Roman"/>
      <w:b/>
      <w:bCs/>
      <w:caps/>
      <w:sz w:val="20"/>
    </w:rPr>
  </w:style>
  <w:style w:type="paragraph" w:styleId="34">
    <w:name w:val="toc 4"/>
    <w:basedOn w:val="1"/>
    <w:next w:val="1"/>
    <w:autoRedefine/>
    <w:qFormat/>
    <w:uiPriority w:val="0"/>
    <w:pPr>
      <w:ind w:left="1020"/>
    </w:pPr>
    <w:rPr>
      <w:rFonts w:ascii="Times New Roman"/>
      <w:sz w:val="18"/>
      <w:szCs w:val="18"/>
    </w:rPr>
  </w:style>
  <w:style w:type="paragraph" w:styleId="35">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next w:val="1"/>
    <w:autoRedefine/>
    <w:qFormat/>
    <w:uiPriority w:val="0"/>
    <w:pPr>
      <w:ind w:left="200" w:hanging="200" w:hangingChars="200"/>
    </w:pPr>
    <w:rPr>
      <w:rFonts w:ascii="Times New Roman"/>
    </w:rPr>
  </w:style>
  <w:style w:type="paragraph" w:styleId="37">
    <w:name w:val="footnote text"/>
    <w:basedOn w:val="1"/>
    <w:autoRedefine/>
    <w:qFormat/>
    <w:uiPriority w:val="0"/>
    <w:pPr>
      <w:snapToGrid w:val="0"/>
    </w:pPr>
    <w:rPr>
      <w:rFonts w:ascii="Times New Roman"/>
      <w:sz w:val="18"/>
    </w:rPr>
  </w:style>
  <w:style w:type="paragraph" w:styleId="38">
    <w:name w:val="toc 6"/>
    <w:basedOn w:val="1"/>
    <w:next w:val="1"/>
    <w:autoRedefine/>
    <w:qFormat/>
    <w:uiPriority w:val="0"/>
    <w:pPr>
      <w:ind w:left="1700"/>
    </w:pPr>
    <w:rPr>
      <w:rFonts w:ascii="Times New Roman"/>
      <w:sz w:val="18"/>
      <w:szCs w:val="18"/>
    </w:rPr>
  </w:style>
  <w:style w:type="paragraph" w:styleId="39">
    <w:name w:val="Body Text Indent 3"/>
    <w:basedOn w:val="1"/>
    <w:autoRedefine/>
    <w:qFormat/>
    <w:uiPriority w:val="0"/>
    <w:pPr>
      <w:autoSpaceDE/>
      <w:autoSpaceDN/>
      <w:adjustRightInd/>
      <w:spacing w:line="360" w:lineRule="auto"/>
      <w:ind w:firstLine="540"/>
      <w:jc w:val="both"/>
    </w:pPr>
    <w:rPr>
      <w:rFonts w:ascii="Times New Roman"/>
      <w:kern w:val="2"/>
      <w:sz w:val="28"/>
    </w:rPr>
  </w:style>
  <w:style w:type="paragraph" w:styleId="40">
    <w:name w:val="toc 2"/>
    <w:basedOn w:val="1"/>
    <w:next w:val="1"/>
    <w:autoRedefine/>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41">
    <w:name w:val="toc 9"/>
    <w:basedOn w:val="1"/>
    <w:next w:val="1"/>
    <w:autoRedefine/>
    <w:qFormat/>
    <w:uiPriority w:val="0"/>
    <w:pPr>
      <w:ind w:left="2720"/>
    </w:pPr>
    <w:rPr>
      <w:rFonts w:ascii="Times New Roman"/>
      <w:sz w:val="18"/>
      <w:szCs w:val="18"/>
    </w:rPr>
  </w:style>
  <w:style w:type="paragraph" w:styleId="42">
    <w:name w:val="Body Text 2"/>
    <w:basedOn w:val="1"/>
    <w:autoRedefine/>
    <w:qFormat/>
    <w:uiPriority w:val="0"/>
    <w:pPr>
      <w:jc w:val="both"/>
    </w:pPr>
    <w:rPr>
      <w:rFonts w:ascii="Times New Roman"/>
      <w:sz w:val="28"/>
    </w:rPr>
  </w:style>
  <w:style w:type="paragraph" w:styleId="43">
    <w:name w:val="Normal (Web)"/>
    <w:basedOn w:val="1"/>
    <w:next w:val="1"/>
    <w:link w:val="74"/>
    <w:autoRedefine/>
    <w:qFormat/>
    <w:uiPriority w:val="99"/>
    <w:pPr>
      <w:widowControl/>
      <w:autoSpaceDE/>
      <w:autoSpaceDN/>
      <w:adjustRightInd/>
      <w:spacing w:before="100" w:beforeAutospacing="1" w:after="100" w:afterAutospacing="1"/>
    </w:pPr>
    <w:rPr>
      <w:rFonts w:ascii="Times New Roman" w:hAnsi="宋体"/>
      <w:sz w:val="24"/>
      <w:szCs w:val="24"/>
    </w:rPr>
  </w:style>
  <w:style w:type="paragraph" w:styleId="44">
    <w:name w:val="Title"/>
    <w:basedOn w:val="1"/>
    <w:next w:val="1"/>
    <w:autoRedefine/>
    <w:qFormat/>
    <w:uiPriority w:val="0"/>
    <w:pPr>
      <w:spacing w:before="240" w:after="60"/>
      <w:jc w:val="center"/>
      <w:outlineLvl w:val="0"/>
    </w:pPr>
    <w:rPr>
      <w:rFonts w:ascii="Cambria" w:hAnsi="Cambria"/>
      <w:b/>
      <w:bCs/>
      <w:sz w:val="32"/>
      <w:szCs w:val="32"/>
    </w:rPr>
  </w:style>
  <w:style w:type="paragraph" w:styleId="45">
    <w:name w:val="annotation subject"/>
    <w:basedOn w:val="18"/>
    <w:next w:val="18"/>
    <w:autoRedefine/>
    <w:qFormat/>
    <w:uiPriority w:val="0"/>
    <w:rPr>
      <w:rFonts w:ascii="Times New Roman"/>
      <w:b/>
      <w:bCs/>
    </w:rPr>
  </w:style>
  <w:style w:type="paragraph" w:styleId="46">
    <w:name w:val="Body Text First Indent 2"/>
    <w:basedOn w:val="7"/>
    <w:next w:val="23"/>
    <w:autoRedefine/>
    <w:qFormat/>
    <w:uiPriority w:val="0"/>
    <w:pPr>
      <w:spacing w:after="120"/>
      <w:ind w:left="420" w:leftChars="200" w:firstLine="420"/>
    </w:pPr>
  </w:style>
  <w:style w:type="table" w:styleId="48">
    <w:name w:val="Table Grid"/>
    <w:basedOn w:val="47"/>
    <w:autoRedefine/>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rFonts w:ascii="Times New Roman" w:hAnsi="Times New Roman" w:eastAsia="宋体" w:cs="Times New Roman"/>
      <w:b/>
      <w:bCs/>
    </w:rPr>
  </w:style>
  <w:style w:type="character" w:styleId="51">
    <w:name w:val="page number"/>
    <w:basedOn w:val="49"/>
    <w:autoRedefine/>
    <w:qFormat/>
    <w:uiPriority w:val="0"/>
    <w:rPr>
      <w:rFonts w:ascii="Times New Roman" w:hAnsi="Times New Roman" w:eastAsia="宋体" w:cs="Times New Roman"/>
    </w:rPr>
  </w:style>
  <w:style w:type="character" w:styleId="52">
    <w:name w:val="Hyperlink"/>
    <w:autoRedefine/>
    <w:qFormat/>
    <w:uiPriority w:val="0"/>
    <w:rPr>
      <w:rFonts w:ascii="Times New Roman" w:hAnsi="Times New Roman" w:eastAsia="宋体" w:cs="Times New Roman"/>
      <w:color w:val="0000FF"/>
      <w:u w:val="single"/>
    </w:rPr>
  </w:style>
  <w:style w:type="character" w:styleId="53">
    <w:name w:val="annotation reference"/>
    <w:basedOn w:val="49"/>
    <w:autoRedefine/>
    <w:qFormat/>
    <w:uiPriority w:val="0"/>
    <w:rPr>
      <w:rFonts w:ascii="Times New Roman" w:hAnsi="Times New Roman" w:eastAsia="宋体" w:cs="Times New Roman"/>
      <w:sz w:val="21"/>
    </w:rPr>
  </w:style>
  <w:style w:type="character" w:styleId="54">
    <w:name w:val="footnote reference"/>
    <w:autoRedefine/>
    <w:qFormat/>
    <w:uiPriority w:val="0"/>
    <w:rPr>
      <w:rFonts w:ascii="Times New Roman" w:hAnsi="Times New Roman" w:eastAsia="宋体" w:cs="Times New Roman"/>
      <w:vertAlign w:val="superscript"/>
    </w:rPr>
  </w:style>
  <w:style w:type="paragraph" w:customStyle="1" w:styleId="55">
    <w:name w:val="样式 正文文本缩进 + 首行缩进:  2 字符 行距: 1.5 倍行距"/>
    <w:basedOn w:val="7"/>
    <w:autoRedefine/>
    <w:qFormat/>
    <w:uiPriority w:val="0"/>
    <w:pPr>
      <w:spacing w:line="360" w:lineRule="auto"/>
      <w:ind w:firstLine="482" w:firstLineChars="200"/>
    </w:pPr>
    <w:rPr>
      <w:rFonts w:cs="宋体"/>
      <w:b/>
    </w:rPr>
  </w:style>
  <w:style w:type="paragraph" w:customStyle="1" w:styleId="56">
    <w:name w:val="xl53"/>
    <w:basedOn w:val="1"/>
    <w:next w:val="1"/>
    <w:autoRedefine/>
    <w:qFormat/>
    <w:uiPriority w:val="0"/>
    <w:pPr>
      <w:spacing w:before="280" w:after="280" w:line="100" w:lineRule="exact"/>
      <w:jc w:val="center"/>
    </w:pPr>
    <w:rPr>
      <w:b/>
      <w:sz w:val="20"/>
    </w:rPr>
  </w:style>
  <w:style w:type="character" w:customStyle="1" w:styleId="57">
    <w:name w:val="font01"/>
    <w:basedOn w:val="49"/>
    <w:autoRedefine/>
    <w:qFormat/>
    <w:uiPriority w:val="0"/>
    <w:rPr>
      <w:rFonts w:hint="eastAsia" w:ascii="宋体" w:hAnsi="宋体" w:eastAsia="宋体" w:cs="宋体"/>
      <w:color w:val="000000"/>
      <w:sz w:val="24"/>
      <w:szCs w:val="24"/>
      <w:u w:val="none"/>
    </w:rPr>
  </w:style>
  <w:style w:type="character" w:customStyle="1" w:styleId="58">
    <w:name w:val="标题 3 Char"/>
    <w:link w:val="4"/>
    <w:autoRedefine/>
    <w:qFormat/>
    <w:uiPriority w:val="0"/>
    <w:rPr>
      <w:rFonts w:ascii="Times New Roman" w:hAnsi="Times New Roman" w:eastAsia="宋体" w:cs="Times New Roman"/>
      <w:b/>
      <w:sz w:val="32"/>
    </w:rPr>
  </w:style>
  <w:style w:type="character" w:customStyle="1" w:styleId="59">
    <w:name w:val="正文文本 Char"/>
    <w:autoRedefine/>
    <w:qFormat/>
    <w:uiPriority w:val="0"/>
    <w:rPr>
      <w:rFonts w:ascii="宋体" w:hAnsi="Times New Roman" w:eastAsia="宋体" w:cs="Times New Roman"/>
      <w:sz w:val="28"/>
    </w:rPr>
  </w:style>
  <w:style w:type="character" w:customStyle="1" w:styleId="60">
    <w:name w:val="纯文本 Char"/>
    <w:autoRedefine/>
    <w:qFormat/>
    <w:uiPriority w:val="0"/>
    <w:rPr>
      <w:rFonts w:ascii="宋体" w:hAnsi="Courier New" w:eastAsia="宋体" w:cs="Courier New"/>
      <w:sz w:val="34"/>
      <w:szCs w:val="21"/>
      <w:lang w:val="en-US" w:eastAsia="zh-CN" w:bidi="ar-SA"/>
    </w:rPr>
  </w:style>
  <w:style w:type="character" w:customStyle="1" w:styleId="61">
    <w:name w:val="font61"/>
    <w:autoRedefine/>
    <w:qFormat/>
    <w:uiPriority w:val="0"/>
    <w:rPr>
      <w:rFonts w:hint="eastAsia" w:ascii="宋体" w:hAnsi="宋体" w:eastAsia="宋体" w:cs="宋体"/>
      <w:color w:val="000000"/>
      <w:sz w:val="24"/>
      <w:szCs w:val="24"/>
      <w:u w:val="none"/>
    </w:rPr>
  </w:style>
  <w:style w:type="character" w:customStyle="1" w:styleId="62">
    <w:name w:val="普通文字 Char Char2"/>
    <w:autoRedefine/>
    <w:qFormat/>
    <w:uiPriority w:val="0"/>
    <w:rPr>
      <w:rFonts w:ascii="宋体" w:hAnsi="Courier New" w:eastAsia="宋体" w:cs="Courier New"/>
      <w:sz w:val="34"/>
      <w:szCs w:val="21"/>
      <w:lang w:val="en-US" w:eastAsia="zh-CN" w:bidi="ar-SA"/>
    </w:rPr>
  </w:style>
  <w:style w:type="character" w:customStyle="1" w:styleId="63">
    <w:name w:val="font41"/>
    <w:autoRedefine/>
    <w:qFormat/>
    <w:uiPriority w:val="0"/>
    <w:rPr>
      <w:rFonts w:hint="default" w:ascii="Times New Roman" w:hAnsi="Times New Roman" w:eastAsia="宋体" w:cs="Times New Roman"/>
      <w:color w:val="000000"/>
      <w:sz w:val="24"/>
      <w:szCs w:val="24"/>
      <w:u w:val="none"/>
    </w:rPr>
  </w:style>
  <w:style w:type="character" w:customStyle="1" w:styleId="64">
    <w:name w:val="标题 1 Char"/>
    <w:autoRedefine/>
    <w:qFormat/>
    <w:uiPriority w:val="0"/>
    <w:rPr>
      <w:rFonts w:ascii="宋体" w:hAnsi="Times New Roman" w:eastAsia="宋体" w:cs="Times New Roman"/>
      <w:b/>
      <w:color w:val="000000"/>
      <w:sz w:val="24"/>
    </w:rPr>
  </w:style>
  <w:style w:type="character" w:customStyle="1" w:styleId="65">
    <w:name w:val="批注文字 Char"/>
    <w:link w:val="18"/>
    <w:autoRedefine/>
    <w:qFormat/>
    <w:uiPriority w:val="0"/>
    <w:rPr>
      <w:rFonts w:ascii="宋体" w:hAnsi="Times New Roman" w:eastAsia="宋体" w:cs="Times New Roman"/>
      <w:sz w:val="34"/>
    </w:rPr>
  </w:style>
  <w:style w:type="character" w:customStyle="1" w:styleId="66">
    <w:name w:val="font51"/>
    <w:basedOn w:val="49"/>
    <w:autoRedefine/>
    <w:qFormat/>
    <w:uiPriority w:val="0"/>
    <w:rPr>
      <w:rFonts w:hint="default" w:ascii="Arial" w:hAnsi="Arial" w:cs="Arial"/>
      <w:color w:val="000000"/>
      <w:sz w:val="20"/>
      <w:szCs w:val="20"/>
      <w:u w:val="none"/>
    </w:rPr>
  </w:style>
  <w:style w:type="character" w:customStyle="1" w:styleId="67">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68">
    <w:name w:val="font31"/>
    <w:autoRedefine/>
    <w:qFormat/>
    <w:uiPriority w:val="0"/>
    <w:rPr>
      <w:rFonts w:hint="default" w:ascii="Times New Roman" w:hAnsi="Times New Roman" w:eastAsia="宋体" w:cs="Times New Roman"/>
      <w:color w:val="000000"/>
      <w:sz w:val="24"/>
      <w:szCs w:val="24"/>
      <w:u w:val="none"/>
    </w:rPr>
  </w:style>
  <w:style w:type="character" w:customStyle="1" w:styleId="69">
    <w:name w:val="font71"/>
    <w:autoRedefine/>
    <w:qFormat/>
    <w:uiPriority w:val="0"/>
    <w:rPr>
      <w:rFonts w:hint="eastAsia" w:ascii="宋体" w:hAnsi="宋体" w:eastAsia="宋体" w:cs="宋体"/>
      <w:color w:val="000000"/>
      <w:sz w:val="24"/>
      <w:szCs w:val="24"/>
      <w:u w:val="none"/>
    </w:rPr>
  </w:style>
  <w:style w:type="character" w:customStyle="1" w:styleId="70">
    <w:name w:val="页脚 Char"/>
    <w:autoRedefine/>
    <w:qFormat/>
    <w:uiPriority w:val="0"/>
    <w:rPr>
      <w:rFonts w:ascii="宋体" w:hAnsi="Times New Roman" w:eastAsia="宋体" w:cs="Times New Roman"/>
      <w:sz w:val="18"/>
    </w:rPr>
  </w:style>
  <w:style w:type="character" w:customStyle="1" w:styleId="71">
    <w:name w:val="标题 2 Char"/>
    <w:link w:val="3"/>
    <w:autoRedefine/>
    <w:qFormat/>
    <w:uiPriority w:val="0"/>
    <w:rPr>
      <w:rFonts w:ascii="Arial" w:hAnsi="Arial" w:eastAsia="黑体" w:cs="Times New Roman"/>
      <w:b/>
      <w:bCs/>
      <w:sz w:val="32"/>
      <w:szCs w:val="32"/>
    </w:rPr>
  </w:style>
  <w:style w:type="character" w:customStyle="1" w:styleId="72">
    <w:name w:val="font81"/>
    <w:basedOn w:val="49"/>
    <w:autoRedefine/>
    <w:qFormat/>
    <w:uiPriority w:val="0"/>
    <w:rPr>
      <w:rFonts w:ascii="Arial" w:hAnsi="Arial" w:cs="Arial"/>
      <w:color w:val="000000"/>
      <w:sz w:val="20"/>
      <w:szCs w:val="20"/>
      <w:u w:val="none"/>
    </w:rPr>
  </w:style>
  <w:style w:type="character" w:customStyle="1" w:styleId="73">
    <w:name w:val="font11"/>
    <w:basedOn w:val="49"/>
    <w:autoRedefine/>
    <w:qFormat/>
    <w:uiPriority w:val="0"/>
    <w:rPr>
      <w:rFonts w:hint="eastAsia" w:ascii="宋体" w:hAnsi="宋体" w:cs="宋体"/>
      <w:color w:val="000000"/>
      <w:sz w:val="20"/>
      <w:szCs w:val="20"/>
      <w:u w:val="none"/>
    </w:rPr>
  </w:style>
  <w:style w:type="character" w:customStyle="1" w:styleId="74">
    <w:name w:val="普通(网站) Char"/>
    <w:link w:val="43"/>
    <w:autoRedefine/>
    <w:qFormat/>
    <w:uiPriority w:val="0"/>
    <w:rPr>
      <w:rFonts w:hAnsi="宋体"/>
      <w:sz w:val="24"/>
      <w:szCs w:val="24"/>
    </w:rPr>
  </w:style>
  <w:style w:type="character" w:customStyle="1" w:styleId="75">
    <w:name w:val="Char Char"/>
    <w:autoRedefine/>
    <w:qFormat/>
    <w:uiPriority w:val="0"/>
    <w:rPr>
      <w:rFonts w:ascii="宋体" w:hAnsi="宋体" w:eastAsia="宋体" w:cs="Times New Roman"/>
      <w:sz w:val="24"/>
      <w:szCs w:val="24"/>
      <w:lang w:val="en-US" w:eastAsia="zh-CN" w:bidi="ar-SA"/>
    </w:rPr>
  </w:style>
  <w:style w:type="character" w:customStyle="1" w:styleId="76">
    <w:name w:val="font21"/>
    <w:basedOn w:val="49"/>
    <w:autoRedefine/>
    <w:qFormat/>
    <w:uiPriority w:val="0"/>
    <w:rPr>
      <w:rFonts w:hint="eastAsia" w:ascii="宋体" w:hAnsi="宋体" w:eastAsia="宋体"/>
      <w:color w:val="000000"/>
      <w:sz w:val="22"/>
      <w:szCs w:val="22"/>
      <w:u w:val="none"/>
    </w:rPr>
  </w:style>
  <w:style w:type="character" w:customStyle="1" w:styleId="77">
    <w:name w:val="页眉 Char"/>
    <w:autoRedefine/>
    <w:qFormat/>
    <w:uiPriority w:val="0"/>
    <w:rPr>
      <w:rFonts w:ascii="宋体" w:hAnsi="Times New Roman" w:eastAsia="宋体" w:cs="Times New Roman"/>
      <w:sz w:val="18"/>
    </w:rPr>
  </w:style>
  <w:style w:type="character" w:customStyle="1" w:styleId="78">
    <w:name w:val="正文文本 3 Char"/>
    <w:autoRedefine/>
    <w:qFormat/>
    <w:uiPriority w:val="0"/>
    <w:rPr>
      <w:rFonts w:ascii="宋体" w:hAnsi="Times New Roman" w:eastAsia="宋体" w:cs="Times New Roman"/>
      <w:color w:val="000000"/>
      <w:sz w:val="28"/>
    </w:rPr>
  </w:style>
  <w:style w:type="character" w:customStyle="1" w:styleId="79">
    <w:name w:val="apple-converted-space"/>
    <w:autoRedefine/>
    <w:qFormat/>
    <w:uiPriority w:val="0"/>
    <w:rPr>
      <w:rFonts w:ascii="Times New Roman" w:hAnsi="Times New Roman" w:eastAsia="宋体" w:cs="Times New Roman"/>
    </w:rPr>
  </w:style>
  <w:style w:type="paragraph" w:customStyle="1" w:styleId="80">
    <w:name w:val="2"/>
    <w:basedOn w:val="1"/>
    <w:next w:val="20"/>
    <w:autoRedefine/>
    <w:qFormat/>
    <w:uiPriority w:val="0"/>
    <w:rPr>
      <w:rFonts w:ascii="Times New Roman"/>
      <w:sz w:val="28"/>
    </w:rPr>
  </w:style>
  <w:style w:type="paragraph" w:customStyle="1" w:styleId="81">
    <w:name w:val="p0"/>
    <w:basedOn w:val="1"/>
    <w:autoRedefine/>
    <w:qFormat/>
    <w:uiPriority w:val="0"/>
    <w:pPr>
      <w:widowControl/>
      <w:autoSpaceDE/>
      <w:autoSpaceDN/>
      <w:adjustRightInd/>
      <w:jc w:val="both"/>
    </w:pPr>
    <w:rPr>
      <w:rFonts w:hint="eastAsia" w:ascii="Courier" w:hAnsi="Courier" w:eastAsia="MingLiU"/>
      <w:sz w:val="21"/>
      <w:lang w:eastAsia="zh-TW"/>
    </w:rPr>
  </w:style>
  <w:style w:type="paragraph" w:customStyle="1" w:styleId="82">
    <w:name w:val="xl35"/>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3">
    <w:name w:val="Char Char Char Char Char Char Char"/>
    <w:basedOn w:val="1"/>
    <w:autoRedefine/>
    <w:qFormat/>
    <w:uiPriority w:val="0"/>
    <w:pPr>
      <w:autoSpaceDE/>
      <w:autoSpaceDN/>
      <w:adjustRightInd/>
      <w:jc w:val="both"/>
    </w:pPr>
    <w:rPr>
      <w:rFonts w:ascii="Times New Roman"/>
      <w:kern w:val="2"/>
      <w:sz w:val="21"/>
    </w:rPr>
  </w:style>
  <w:style w:type="paragraph" w:customStyle="1" w:styleId="84">
    <w:name w:val="正文段"/>
    <w:basedOn w:val="1"/>
    <w:autoRedefine/>
    <w:qFormat/>
    <w:uiPriority w:val="0"/>
    <w:pPr>
      <w:widowControl/>
      <w:autoSpaceDE/>
      <w:autoSpaceDN/>
      <w:adjustRightInd/>
      <w:snapToGrid w:val="0"/>
      <w:spacing w:afterLines="50"/>
      <w:ind w:firstLine="200" w:firstLineChars="200"/>
      <w:jc w:val="both"/>
    </w:pPr>
    <w:rPr>
      <w:rFonts w:ascii="Times New Roman"/>
      <w:sz w:val="24"/>
    </w:rPr>
  </w:style>
  <w:style w:type="paragraph" w:customStyle="1" w:styleId="85">
    <w:name w:val="潘"/>
    <w:basedOn w:val="1"/>
    <w:autoRedefine/>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样式K"/>
    <w:basedOn w:val="20"/>
    <w:autoRedefine/>
    <w:qFormat/>
    <w:uiPriority w:val="0"/>
    <w:pPr>
      <w:autoSpaceDE/>
      <w:autoSpaceDN/>
      <w:adjustRightInd/>
    </w:pPr>
    <w:rPr>
      <w:rFonts w:ascii="仿宋_GB2312" w:hAnsi="Book Antiqua" w:eastAsia="仿宋_GB2312"/>
      <w:kern w:val="2"/>
      <w:sz w:val="24"/>
      <w:szCs w:val="24"/>
    </w:rPr>
  </w:style>
  <w:style w:type="paragraph" w:customStyle="1" w:styleId="88">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9">
    <w:name w:val="默认段落字体 Para Char Char Char Char Char Char Char Char Char1 Char Char Char Char"/>
    <w:basedOn w:val="1"/>
    <w:autoRedefine/>
    <w:qFormat/>
    <w:uiPriority w:val="0"/>
    <w:pPr>
      <w:autoSpaceDE/>
      <w:autoSpaceDN/>
      <w:adjustRightInd/>
      <w:jc w:val="both"/>
    </w:pPr>
    <w:rPr>
      <w:rFonts w:ascii="Tahoma" w:hAnsi="Tahoma"/>
      <w:kern w:val="2"/>
      <w:sz w:val="24"/>
    </w:rPr>
  </w:style>
  <w:style w:type="paragraph" w:customStyle="1" w:styleId="90">
    <w:name w:val="0-正文"/>
    <w:basedOn w:val="1"/>
    <w:autoRedefine/>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1">
    <w:name w:val="F-正文"/>
    <w:autoRedefine/>
    <w:qFormat/>
    <w:uiPriority w:val="0"/>
    <w:pPr>
      <w:spacing w:line="560" w:lineRule="exact"/>
      <w:jc w:val="both"/>
    </w:pPr>
    <w:rPr>
      <w:rFonts w:ascii="Times" w:hAnsi="Times" w:eastAsia="仿宋" w:cs="Times New Roman"/>
      <w:kern w:val="2"/>
      <w:sz w:val="24"/>
      <w:lang w:val="en-US" w:eastAsia="zh-CN" w:bidi="ar-SA"/>
    </w:rPr>
  </w:style>
  <w:style w:type="paragraph" w:customStyle="1" w:styleId="92">
    <w:name w:val="列出段落2"/>
    <w:basedOn w:val="1"/>
    <w:autoRedefine/>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3">
    <w:name w:val="ZW"/>
    <w:basedOn w:val="1"/>
    <w:autoRedefine/>
    <w:qFormat/>
    <w:uiPriority w:val="0"/>
    <w:pPr>
      <w:spacing w:line="580" w:lineRule="exact"/>
      <w:ind w:firstLine="560"/>
    </w:pPr>
    <w:rPr>
      <w:rFonts w:ascii="仿宋_GB2312" w:hAnsi="仿宋_GB2312" w:eastAsia="仿宋_GB2312" w:cs="宋体"/>
      <w:sz w:val="28"/>
      <w:szCs w:val="36"/>
    </w:rPr>
  </w:style>
  <w:style w:type="paragraph" w:customStyle="1" w:styleId="94">
    <w:name w:val="表格内容"/>
    <w:basedOn w:val="1"/>
    <w:autoRedefine/>
    <w:qFormat/>
    <w:uiPriority w:val="3"/>
    <w:pPr>
      <w:widowControl/>
      <w:jc w:val="center"/>
    </w:pPr>
    <w:rPr>
      <w:sz w:val="24"/>
      <w:szCs w:val="28"/>
    </w:rPr>
  </w:style>
  <w:style w:type="paragraph" w:styleId="95">
    <w:name w:val="List Paragraph"/>
    <w:basedOn w:val="1"/>
    <w:autoRedefine/>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96">
    <w:name w:val="BodyTextIndent"/>
    <w:basedOn w:val="1"/>
    <w:next w:val="1"/>
    <w:autoRedefine/>
    <w:qFormat/>
    <w:uiPriority w:val="0"/>
    <w:pPr>
      <w:ind w:firstLine="900"/>
      <w:jc w:val="both"/>
    </w:pPr>
    <w:rPr>
      <w:rFonts w:ascii="Times New Roman"/>
      <w:kern w:val="2"/>
      <w:sz w:val="28"/>
    </w:rPr>
  </w:style>
  <w:style w:type="paragraph" w:customStyle="1" w:styleId="97">
    <w:name w:val="Char"/>
    <w:basedOn w:val="1"/>
    <w:autoRedefine/>
    <w:qFormat/>
    <w:uiPriority w:val="0"/>
    <w:pPr>
      <w:autoSpaceDE/>
      <w:autoSpaceDN/>
      <w:adjustRightInd/>
      <w:jc w:val="both"/>
    </w:pPr>
    <w:rPr>
      <w:rFonts w:ascii="Tahoma" w:hAnsi="Tahoma"/>
      <w:kern w:val="2"/>
      <w:sz w:val="24"/>
    </w:rPr>
  </w:style>
  <w:style w:type="paragraph" w:customStyle="1" w:styleId="98">
    <w:name w:val="BodyText1I2"/>
    <w:basedOn w:val="96"/>
    <w:next w:val="1"/>
    <w:autoRedefine/>
    <w:qFormat/>
    <w:uiPriority w:val="0"/>
    <w:pPr>
      <w:spacing w:after="120"/>
      <w:ind w:left="420" w:leftChars="200" w:firstLine="420"/>
    </w:pPr>
    <w:rPr>
      <w:sz w:val="21"/>
      <w:szCs w:val="21"/>
    </w:rPr>
  </w:style>
  <w:style w:type="paragraph" w:customStyle="1" w:styleId="99">
    <w:name w:val="正文－恩普"/>
    <w:basedOn w:val="6"/>
    <w:autoRedefine/>
    <w:qFormat/>
    <w:uiPriority w:val="0"/>
    <w:pPr>
      <w:widowControl/>
      <w:spacing w:line="360" w:lineRule="auto"/>
      <w:ind w:firstLine="480" w:firstLineChars="200"/>
      <w:jc w:val="left"/>
    </w:pPr>
    <w:rPr>
      <w:kern w:val="0"/>
      <w:sz w:val="24"/>
    </w:rPr>
  </w:style>
  <w:style w:type="paragraph" w:customStyle="1" w:styleId="100">
    <w:name w:val="默认段落字体 Para Char Char Char Char Char Char Char"/>
    <w:basedOn w:val="1"/>
    <w:autoRedefine/>
    <w:qFormat/>
    <w:uiPriority w:val="0"/>
    <w:pPr>
      <w:autoSpaceDE/>
      <w:autoSpaceDN/>
      <w:adjustRightInd/>
      <w:jc w:val="both"/>
    </w:pPr>
    <w:rPr>
      <w:rFonts w:ascii="Tahoma" w:hAnsi="Tahoma"/>
      <w:kern w:val="2"/>
      <w:sz w:val="24"/>
    </w:rPr>
  </w:style>
  <w:style w:type="paragraph" w:customStyle="1" w:styleId="101">
    <w:name w:val="样式2"/>
    <w:basedOn w:val="102"/>
    <w:next w:val="1"/>
    <w:autoRedefine/>
    <w:qFormat/>
    <w:uiPriority w:val="0"/>
    <w:pPr>
      <w:tabs>
        <w:tab w:val="left" w:pos="360"/>
      </w:tabs>
      <w:ind w:firstLine="420" w:firstLineChars="200"/>
    </w:pPr>
    <w:rPr>
      <w:rFonts w:ascii="Calibri" w:hAnsi="Calibri"/>
      <w:szCs w:val="22"/>
    </w:rPr>
  </w:style>
  <w:style w:type="paragraph" w:customStyle="1" w:styleId="102">
    <w:name w:val="标题4"/>
    <w:basedOn w:val="5"/>
    <w:autoRedefine/>
    <w:qFormat/>
    <w:uiPriority w:val="0"/>
    <w:pPr>
      <w:keepNext w:val="0"/>
      <w:keepLines w:val="0"/>
      <w:tabs>
        <w:tab w:val="left" w:pos="360"/>
      </w:tabs>
      <w:spacing w:before="100" w:beforeAutospacing="1" w:after="100" w:afterAutospacing="1" w:line="360" w:lineRule="auto"/>
    </w:pPr>
    <w:rPr>
      <w:rFonts w:ascii="幼圆" w:eastAsia="幼圆"/>
      <w:sz w:val="21"/>
      <w:szCs w:val="21"/>
    </w:rPr>
  </w:style>
  <w:style w:type="paragraph" w:customStyle="1" w:styleId="103">
    <w:name w:val="Char Char Char Char Char Char Char Char Char Char"/>
    <w:basedOn w:val="1"/>
    <w:autoRedefine/>
    <w:qFormat/>
    <w:uiPriority w:val="0"/>
    <w:pPr>
      <w:autoSpaceDE/>
      <w:autoSpaceDN/>
      <w:adjustRightInd/>
      <w:jc w:val="both"/>
    </w:pPr>
    <w:rPr>
      <w:rFonts w:ascii="Tahoma" w:hAnsi="Tahoma"/>
      <w:kern w:val="2"/>
      <w:sz w:val="24"/>
    </w:rPr>
  </w:style>
  <w:style w:type="paragraph" w:customStyle="1" w:styleId="10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5">
    <w:name w:val="Char2"/>
    <w:basedOn w:val="17"/>
    <w:next w:val="1"/>
    <w:autoRedefine/>
    <w:qFormat/>
    <w:uiPriority w:val="0"/>
    <w:pPr>
      <w:autoSpaceDE/>
      <w:autoSpaceDN/>
      <w:adjustRightInd/>
      <w:jc w:val="both"/>
    </w:pPr>
    <w:rPr>
      <w:kern w:val="2"/>
      <w:sz w:val="21"/>
    </w:rPr>
  </w:style>
  <w:style w:type="paragraph" w:customStyle="1" w:styleId="106">
    <w:name w:val="Char Char Char Char"/>
    <w:basedOn w:val="1"/>
    <w:autoRedefine/>
    <w:qFormat/>
    <w:uiPriority w:val="0"/>
    <w:pPr>
      <w:autoSpaceDE/>
      <w:autoSpaceDN/>
      <w:adjustRightInd/>
      <w:jc w:val="both"/>
    </w:pPr>
    <w:rPr>
      <w:rFonts w:ascii="Times New Roman"/>
    </w:rPr>
  </w:style>
  <w:style w:type="paragraph" w:customStyle="1" w:styleId="107">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8">
    <w:name w:val="表内文字"/>
    <w:basedOn w:val="1"/>
    <w:autoRedefine/>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character" w:customStyle="1" w:styleId="109">
    <w:name w:val="纯文本 Char1"/>
    <w:link w:val="26"/>
    <w:autoRedefine/>
    <w:qFormat/>
    <w:locked/>
    <w:uiPriority w:val="0"/>
    <w:rPr>
      <w:rFonts w:hAnsi="Courier New" w:cs="Courier New"/>
      <w:sz w:val="34"/>
      <w:szCs w:val="21"/>
    </w:rPr>
  </w:style>
  <w:style w:type="paragraph" w:customStyle="1" w:styleId="110">
    <w:name w:val="reader-word-layer"/>
    <w:basedOn w:val="1"/>
    <w:autoRedefine/>
    <w:qFormat/>
    <w:uiPriority w:val="0"/>
    <w:pPr>
      <w:widowControl/>
      <w:spacing w:before="100" w:beforeAutospacing="1" w:after="100" w:afterAutospacing="1"/>
    </w:pPr>
    <w:rPr>
      <w:rFonts w:ascii="Times New Roman" w:hAnsi="宋体" w:cs="宋体"/>
      <w:sz w:val="24"/>
      <w:szCs w:val="24"/>
    </w:rPr>
  </w:style>
  <w:style w:type="paragraph" w:customStyle="1" w:styleId="111">
    <w:name w:val="纯文本1"/>
    <w:basedOn w:val="112"/>
    <w:autoRedefine/>
    <w:qFormat/>
    <w:uiPriority w:val="0"/>
    <w:rPr>
      <w:rFonts w:hint="default" w:ascii="宋体" w:hAnsi="Courier New"/>
      <w:kern w:val="0"/>
      <w:sz w:val="20"/>
      <w:szCs w:val="21"/>
    </w:rPr>
  </w:style>
  <w:style w:type="paragraph" w:customStyle="1" w:styleId="112">
    <w:name w:val="正文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14">
    <w:name w:val="Body text|1"/>
    <w:basedOn w:val="1"/>
    <w:autoRedefine/>
    <w:qFormat/>
    <w:uiPriority w:val="0"/>
    <w:pPr>
      <w:spacing w:line="389" w:lineRule="auto"/>
      <w:ind w:firstLine="400"/>
    </w:pPr>
    <w:rPr>
      <w:rFonts w:hAnsi="宋体" w:cs="宋体"/>
      <w:sz w:val="30"/>
      <w:szCs w:val="30"/>
      <w:lang w:val="zh-TW" w:eastAsia="zh-TW" w:bidi="zh-TW"/>
    </w:rPr>
  </w:style>
  <w:style w:type="paragraph" w:customStyle="1" w:styleId="115">
    <w:name w:val="样式 样式 正文文本缩进 3 + (西文) Calibri (中文) 仿宋_GB2312 四号 非加粗 首行缩进:  2 字符...."/>
    <w:basedOn w:val="1"/>
    <w:autoRedefine/>
    <w:qFormat/>
    <w:uiPriority w:val="0"/>
    <w:pPr>
      <w:widowControl/>
      <w:spacing w:line="360" w:lineRule="auto"/>
    </w:pPr>
    <w:rPr>
      <w:sz w:val="24"/>
    </w:rPr>
  </w:style>
  <w:style w:type="paragraph" w:customStyle="1" w:styleId="116">
    <w:name w:val="PlainText"/>
    <w:basedOn w:val="1"/>
    <w:autoRedefine/>
    <w:qFormat/>
    <w:uiPriority w:val="0"/>
    <w:rPr>
      <w:rFonts w:hAnsi="Courier New"/>
    </w:rPr>
  </w:style>
  <w:style w:type="paragraph" w:customStyle="1" w:styleId="117">
    <w:name w:val="BodyText3"/>
    <w:basedOn w:val="1"/>
    <w:autoRedefine/>
    <w:qFormat/>
    <w:uiPriority w:val="0"/>
    <w:pPr>
      <w:spacing w:line="640" w:lineRule="exact"/>
    </w:pPr>
    <w:rPr>
      <w:sz w:val="16"/>
      <w:szCs w:val="16"/>
    </w:rPr>
  </w:style>
  <w:style w:type="paragraph" w:customStyle="1" w:styleId="118">
    <w:name w:val="修订1"/>
    <w:autoRedefine/>
    <w:hidden/>
    <w:semiHidden/>
    <w:qFormat/>
    <w:uiPriority w:val="99"/>
    <w:rPr>
      <w:rFonts w:ascii="宋体" w:hAnsi="Times New Roman" w:eastAsia="宋体" w:cs="Times New Roman"/>
      <w:sz w:val="34"/>
      <w:lang w:val="en-US" w:eastAsia="zh-CN" w:bidi="ar-SA"/>
    </w:rPr>
  </w:style>
  <w:style w:type="paragraph" w:customStyle="1" w:styleId="119">
    <w:name w:val="合同标题"/>
    <w:basedOn w:val="1"/>
    <w:autoRedefine/>
    <w:qFormat/>
    <w:uiPriority w:val="0"/>
    <w:pPr>
      <w:jc w:val="center"/>
    </w:pPr>
    <w:rPr>
      <w:rFonts w:hAnsi="宋体" w:eastAsia="黑体"/>
      <w:sz w:val="36"/>
      <w:szCs w:val="36"/>
    </w:rPr>
  </w:style>
  <w:style w:type="paragraph" w:customStyle="1" w:styleId="120">
    <w:name w:val="合同正文"/>
    <w:basedOn w:val="1"/>
    <w:autoRedefine/>
    <w:qFormat/>
    <w:uiPriority w:val="0"/>
    <w:pPr>
      <w:spacing w:line="360" w:lineRule="auto"/>
      <w:ind w:firstLine="200" w:firstLineChars="200"/>
    </w:pPr>
    <w:rPr>
      <w:rFonts w:hAnsi="宋体"/>
      <w:szCs w:val="21"/>
    </w:rPr>
  </w:style>
  <w:style w:type="paragraph" w:customStyle="1" w:styleId="121">
    <w:name w:val="合同标题1"/>
    <w:basedOn w:val="1"/>
    <w:autoRedefine/>
    <w:qFormat/>
    <w:uiPriority w:val="0"/>
    <w:pPr>
      <w:spacing w:line="360" w:lineRule="auto"/>
      <w:outlineLvl w:val="0"/>
    </w:pPr>
    <w:rPr>
      <w:rFonts w:hAnsi="宋体"/>
      <w:b/>
      <w:szCs w:val="21"/>
    </w:rPr>
  </w:style>
  <w:style w:type="paragraph" w:customStyle="1" w:styleId="122">
    <w:name w:val="表格正文"/>
    <w:basedOn w:val="1"/>
    <w:autoRedefine/>
    <w:qFormat/>
    <w:uiPriority w:val="0"/>
    <w:pPr>
      <w:jc w:val="center"/>
    </w:pPr>
    <w:rPr>
      <w:rFonts w:hAnsi="宋体"/>
      <w:snapToGrid w:val="0"/>
      <w:szCs w:val="21"/>
    </w:rPr>
  </w:style>
  <w:style w:type="paragraph" w:customStyle="1" w:styleId="123">
    <w:name w:val="合同标题2"/>
    <w:basedOn w:val="1"/>
    <w:autoRedefine/>
    <w:qFormat/>
    <w:uiPriority w:val="0"/>
    <w:pPr>
      <w:spacing w:line="360" w:lineRule="auto"/>
      <w:outlineLvl w:val="1"/>
    </w:pPr>
    <w:rPr>
      <w:rFonts w:hAnsi="宋体"/>
      <w:szCs w:val="21"/>
    </w:rPr>
  </w:style>
  <w:style w:type="paragraph" w:customStyle="1" w:styleId="124">
    <w:name w:val="章正文"/>
    <w:basedOn w:val="1"/>
    <w:autoRedefine/>
    <w:qFormat/>
    <w:uiPriority w:val="99"/>
    <w:pPr>
      <w:spacing w:beforeLines="50" w:after="120" w:line="300" w:lineRule="auto"/>
      <w:ind w:firstLine="480"/>
    </w:pPr>
    <w:rPr>
      <w:rFonts w:ascii="Helvetica" w:hAnsi="Helvetic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62</Pages>
  <Words>8484</Words>
  <Characters>9354</Characters>
  <Lines>307</Lines>
  <Paragraphs>86</Paragraphs>
  <TotalTime>13</TotalTime>
  <ScaleCrop>false</ScaleCrop>
  <LinksUpToDate>false</LinksUpToDate>
  <CharactersWithSpaces>9644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2023-06-01T12:55:00Z</dcterms:created>
  <dc:creator>dell</dc:creator>
  <cp:lastModifiedBy>Lee</cp:lastModifiedBy>
  <cp:lastPrinted>2025-07-01T04:41:41Z</cp:lastPrinted>
  <dcterms:modified xsi:type="dcterms:W3CDTF">2025-07-01T04:50:52Z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E9C2F1622A0C4492897E399D324D053E_13</vt:lpwstr>
  </property>
  <property fmtid="{D5CDD505-2E9C-101B-9397-08002B2CF9AE}" pid="4" name="KSOTemplateDocerSaveRecord">
    <vt:lpwstr>eyJoZGlkIjoiNzIxY2JhM2JjMzgwNjlhYmI0ZGQwYTQ4ZmNhYjRhZjYiLCJ1c2VySWQiOiIyMDQ0NzE4ODIifQ==</vt:lpwstr>
  </property>
</Properties>
</file>