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199B">
      <w:pPr>
        <w:jc w:val="both"/>
        <w:rPr>
          <w:rFonts w:hAnsi="宋体" w:cs="宋体"/>
        </w:rPr>
      </w:pPr>
      <w:r>
        <w:rPr>
          <w:rFonts w:hint="eastAsia" w:hAnsi="宋体" w:cs="宋体"/>
          <w:b/>
          <w:sz w:val="52"/>
          <w:szCs w:val="52"/>
        </w:rPr>
        <w:tab/>
      </w:r>
      <w:r>
        <w:rPr>
          <w:rFonts w:hint="eastAsia" w:hAnsi="宋体" w:cs="宋体"/>
          <w:b/>
          <w:sz w:val="52"/>
          <w:szCs w:val="52"/>
        </w:rPr>
        <w:tab/>
      </w:r>
      <w:r>
        <w:rPr>
          <w:rFonts w:hint="eastAsia" w:hAnsi="宋体" w:cs="宋体"/>
          <w:b/>
          <w:sz w:val="52"/>
          <w:szCs w:val="52"/>
        </w:rPr>
        <w:tab/>
      </w:r>
    </w:p>
    <w:p w14:paraId="1C96C749">
      <w:pPr>
        <w:snapToGrid w:val="0"/>
        <w:spacing w:line="360" w:lineRule="auto"/>
        <w:jc w:val="center"/>
        <w:rPr>
          <w:rFonts w:hAnsi="宋体" w:cs="宋体"/>
          <w:b/>
          <w:sz w:val="48"/>
          <w:szCs w:val="48"/>
        </w:rPr>
      </w:pPr>
      <w:r>
        <w:rPr>
          <w:rFonts w:hint="eastAsia" w:hAnsi="宋体" w:cs="宋体"/>
          <w:b/>
          <w:sz w:val="48"/>
          <w:szCs w:val="48"/>
        </w:rPr>
        <w:t xml:space="preserve">金华市婺城区罗埠镇中心小学录播教室改造项目 </w:t>
      </w:r>
    </w:p>
    <w:p w14:paraId="1F3ED2FB">
      <w:pPr>
        <w:spacing w:before="120" w:beforeLines="50"/>
        <w:jc w:val="center"/>
        <w:rPr>
          <w:rFonts w:hAnsi="宋体" w:cs="宋体"/>
          <w:b/>
          <w:sz w:val="48"/>
          <w:szCs w:val="48"/>
        </w:rPr>
      </w:pPr>
    </w:p>
    <w:p w14:paraId="74305EDE">
      <w:pPr>
        <w:tabs>
          <w:tab w:val="left" w:pos="3996"/>
        </w:tabs>
        <w:spacing w:before="120" w:beforeLines="50"/>
        <w:rPr>
          <w:rFonts w:hAnsi="宋体" w:cs="宋体"/>
          <w:sz w:val="48"/>
          <w:szCs w:val="48"/>
        </w:rPr>
      </w:pPr>
      <w:r>
        <w:rPr>
          <w:rFonts w:hint="eastAsia" w:hAnsi="宋体" w:cs="宋体"/>
          <w:b/>
          <w:sz w:val="48"/>
          <w:szCs w:val="48"/>
        </w:rPr>
        <w:tab/>
      </w:r>
    </w:p>
    <w:p w14:paraId="3D84A54E">
      <w:pPr>
        <w:keepNext/>
        <w:rPr>
          <w:rFonts w:hAnsi="宋体" w:cs="宋体"/>
        </w:rPr>
      </w:pPr>
    </w:p>
    <w:p w14:paraId="0512C8BB">
      <w:pPr>
        <w:pStyle w:val="48"/>
        <w:ind w:firstLine="280"/>
        <w:rPr>
          <w:rFonts w:ascii="宋体" w:hAnsi="宋体" w:cs="宋体"/>
        </w:rPr>
      </w:pPr>
    </w:p>
    <w:p w14:paraId="0728EB05">
      <w:pPr>
        <w:rPr>
          <w:rFonts w:hAnsi="宋体" w:cs="宋体"/>
        </w:rPr>
      </w:pPr>
    </w:p>
    <w:p w14:paraId="0EB34DBB">
      <w:pPr>
        <w:spacing w:before="120" w:beforeLines="50"/>
        <w:jc w:val="center"/>
        <w:rPr>
          <w:rFonts w:hAnsi="宋体" w:cs="宋体"/>
          <w:b/>
          <w:sz w:val="48"/>
          <w:szCs w:val="48"/>
        </w:rPr>
      </w:pPr>
    </w:p>
    <w:p w14:paraId="3F138756">
      <w:pPr>
        <w:spacing w:before="120" w:beforeLines="50"/>
        <w:jc w:val="center"/>
        <w:rPr>
          <w:rFonts w:hAnsi="宋体" w:cs="宋体"/>
          <w:b/>
          <w:sz w:val="52"/>
          <w:szCs w:val="52"/>
        </w:rPr>
      </w:pPr>
      <w:r>
        <w:rPr>
          <w:rFonts w:hint="eastAsia" w:hAnsi="宋体" w:cs="宋体"/>
          <w:b/>
          <w:sz w:val="52"/>
          <w:szCs w:val="52"/>
        </w:rPr>
        <w:t>公开招标采购文件</w:t>
      </w:r>
    </w:p>
    <w:p w14:paraId="0EAF2A23">
      <w:pPr>
        <w:snapToGrid w:val="0"/>
        <w:spacing w:before="120" w:beforeLines="50" w:line="360" w:lineRule="auto"/>
        <w:rPr>
          <w:rFonts w:hAnsi="宋体" w:cs="宋体"/>
          <w:sz w:val="30"/>
          <w:szCs w:val="72"/>
        </w:rPr>
      </w:pPr>
    </w:p>
    <w:p w14:paraId="16ACE9C1">
      <w:pPr>
        <w:pStyle w:val="49"/>
        <w:ind w:left="680"/>
        <w:rPr>
          <w:rFonts w:ascii="宋体" w:hAnsi="宋体" w:cs="宋体"/>
          <w:sz w:val="30"/>
          <w:szCs w:val="72"/>
        </w:rPr>
      </w:pPr>
    </w:p>
    <w:p w14:paraId="149B9C9A">
      <w:pPr>
        <w:rPr>
          <w:rFonts w:hAnsi="宋体" w:cs="宋体"/>
          <w:sz w:val="30"/>
          <w:szCs w:val="72"/>
        </w:rPr>
      </w:pPr>
    </w:p>
    <w:p w14:paraId="27D7EAD4">
      <w:pPr>
        <w:pStyle w:val="59"/>
        <w:jc w:val="both"/>
        <w:rPr>
          <w:rFonts w:hAnsi="宋体" w:cs="宋体"/>
          <w:sz w:val="30"/>
          <w:szCs w:val="72"/>
        </w:rPr>
      </w:pPr>
    </w:p>
    <w:p w14:paraId="2AA1FFC4">
      <w:pPr>
        <w:rPr>
          <w:rFonts w:hAnsi="宋体" w:cs="宋体"/>
        </w:rPr>
      </w:pPr>
    </w:p>
    <w:p w14:paraId="35F9F316">
      <w:pPr>
        <w:snapToGrid w:val="0"/>
        <w:spacing w:line="480" w:lineRule="auto"/>
        <w:rPr>
          <w:rFonts w:hAnsi="宋体" w:cs="宋体"/>
          <w:b/>
          <w:bCs/>
          <w:w w:val="95"/>
          <w:sz w:val="30"/>
          <w:szCs w:val="30"/>
        </w:rPr>
      </w:pPr>
    </w:p>
    <w:p w14:paraId="6CB85175">
      <w:pPr>
        <w:snapToGrid w:val="0"/>
        <w:spacing w:line="480" w:lineRule="auto"/>
        <w:ind w:firstLine="572" w:firstLineChars="200"/>
        <w:rPr>
          <w:rFonts w:hAnsi="宋体" w:cs="宋体"/>
          <w:b/>
          <w:bCs/>
          <w:w w:val="95"/>
          <w:sz w:val="30"/>
          <w:szCs w:val="30"/>
        </w:rPr>
      </w:pPr>
      <w:r>
        <w:rPr>
          <w:rFonts w:hint="eastAsia" w:hAnsi="宋体" w:cs="宋体"/>
          <w:b/>
          <w:bCs/>
          <w:w w:val="95"/>
          <w:sz w:val="30"/>
          <w:szCs w:val="30"/>
        </w:rPr>
        <w:t>项目编号：</w:t>
      </w:r>
      <w:r>
        <w:rPr>
          <w:rFonts w:hint="eastAsia" w:hAnsi="宋体" w:cs="宋体"/>
          <w:b/>
          <w:bCs/>
          <w:sz w:val="30"/>
          <w:szCs w:val="30"/>
          <w:lang w:eastAsia="zh-CN"/>
        </w:rPr>
        <w:t>TY2025-HW145-ZFCG145</w:t>
      </w:r>
      <w:r>
        <w:rPr>
          <w:rFonts w:hint="eastAsia" w:hAnsi="宋体" w:cs="宋体"/>
          <w:b/>
          <w:bCs/>
          <w:w w:val="95"/>
          <w:sz w:val="30"/>
          <w:szCs w:val="30"/>
        </w:rPr>
        <w:t xml:space="preserve">  </w:t>
      </w:r>
    </w:p>
    <w:p w14:paraId="108FA91E">
      <w:pPr>
        <w:snapToGrid w:val="0"/>
        <w:spacing w:line="480" w:lineRule="auto"/>
        <w:ind w:firstLine="572" w:firstLineChars="200"/>
        <w:rPr>
          <w:rFonts w:hAnsi="宋体" w:cs="宋体"/>
          <w:b/>
          <w:bCs/>
          <w:w w:val="95"/>
          <w:sz w:val="30"/>
          <w:szCs w:val="30"/>
        </w:rPr>
      </w:pPr>
      <w:r>
        <w:rPr>
          <w:rFonts w:hint="eastAsia" w:hAnsi="宋体" w:cs="宋体"/>
          <w:b/>
          <w:bCs/>
          <w:w w:val="95"/>
          <w:sz w:val="30"/>
          <w:szCs w:val="30"/>
        </w:rPr>
        <w:t>采购单位：金华市婺城区罗埠镇中心小学</w:t>
      </w:r>
    </w:p>
    <w:p w14:paraId="38D1CC0E">
      <w:pPr>
        <w:snapToGrid w:val="0"/>
        <w:spacing w:line="480" w:lineRule="auto"/>
        <w:ind w:firstLine="572" w:firstLineChars="200"/>
        <w:rPr>
          <w:rFonts w:hAnsi="宋体" w:cs="宋体"/>
          <w:b/>
          <w:bCs/>
          <w:w w:val="95"/>
          <w:sz w:val="30"/>
          <w:szCs w:val="30"/>
        </w:rPr>
      </w:pPr>
      <w:r>
        <w:rPr>
          <w:rFonts w:hint="eastAsia" w:hAnsi="宋体" w:cs="宋体"/>
          <w:b/>
          <w:bCs/>
          <w:w w:val="95"/>
          <w:sz w:val="30"/>
          <w:szCs w:val="30"/>
        </w:rPr>
        <w:t>代理机构：金华市天盈招标代理有限公司</w:t>
      </w:r>
    </w:p>
    <w:p w14:paraId="691679ED">
      <w:pPr>
        <w:snapToGrid w:val="0"/>
        <w:spacing w:line="480" w:lineRule="auto"/>
        <w:ind w:firstLine="572" w:firstLineChars="200"/>
        <w:rPr>
          <w:rFonts w:hAnsi="宋体" w:cs="宋体"/>
          <w:b/>
          <w:bCs/>
          <w:w w:val="95"/>
          <w:sz w:val="30"/>
          <w:szCs w:val="30"/>
        </w:rPr>
      </w:pPr>
      <w:r>
        <w:rPr>
          <w:rFonts w:hint="eastAsia" w:hAnsi="宋体" w:cs="宋体"/>
          <w:b/>
          <w:bCs/>
          <w:w w:val="95"/>
          <w:sz w:val="30"/>
          <w:szCs w:val="30"/>
        </w:rPr>
        <w:t>监管单位：金华经济技术开发区管理委员会财政局</w:t>
      </w:r>
    </w:p>
    <w:p w14:paraId="608497BA">
      <w:pPr>
        <w:snapToGrid w:val="0"/>
        <w:spacing w:line="480" w:lineRule="auto"/>
        <w:jc w:val="center"/>
        <w:rPr>
          <w:rFonts w:hAnsi="宋体" w:cs="宋体"/>
          <w:b/>
          <w:bCs/>
          <w:w w:val="95"/>
          <w:sz w:val="30"/>
          <w:szCs w:val="30"/>
        </w:rPr>
      </w:pPr>
      <w:r>
        <w:rPr>
          <w:rFonts w:hint="eastAsia" w:hAnsi="宋体" w:cs="宋体"/>
          <w:b/>
          <w:bCs/>
          <w:w w:val="95"/>
          <w:sz w:val="30"/>
          <w:szCs w:val="30"/>
        </w:rPr>
        <w:t xml:space="preserve">2 0 2 5 年 7 月  </w:t>
      </w:r>
    </w:p>
    <w:p w14:paraId="333B7748">
      <w:pPr>
        <w:jc w:val="both"/>
        <w:rPr>
          <w:rFonts w:hAnsi="宋体" w:cs="宋体"/>
        </w:rPr>
        <w:sectPr>
          <w:headerReference r:id="rId3" w:type="default"/>
          <w:type w:val="continuous"/>
          <w:pgSz w:w="11907" w:h="16840"/>
          <w:pgMar w:top="1351" w:right="1026" w:bottom="1029" w:left="1418" w:header="878" w:footer="903" w:gutter="0"/>
          <w:cols w:space="720" w:num="1"/>
        </w:sectPr>
      </w:pPr>
    </w:p>
    <w:p w14:paraId="52C27953">
      <w:pPr>
        <w:jc w:val="center"/>
        <w:rPr>
          <w:rFonts w:hAnsi="宋体" w:cs="宋体"/>
          <w:b/>
          <w:sz w:val="36"/>
          <w:szCs w:val="36"/>
        </w:rPr>
      </w:pPr>
      <w:r>
        <w:rPr>
          <w:rFonts w:hint="eastAsia" w:hAnsi="宋体" w:cs="宋体"/>
        </w:rPr>
        <w:t>目        录</w:t>
      </w:r>
      <w:bookmarkStart w:id="0" w:name="_Toc237182500"/>
    </w:p>
    <w:p w14:paraId="19027A49">
      <w:pPr>
        <w:pStyle w:val="35"/>
        <w:tabs>
          <w:tab w:val="right" w:leader="dot" w:pos="9298"/>
        </w:tabs>
      </w:pPr>
      <w:r>
        <w:rPr>
          <w:rFonts w:hint="eastAsia" w:ascii="宋体" w:hAnsi="宋体" w:cs="宋体"/>
          <w:sz w:val="21"/>
          <w:szCs w:val="21"/>
        </w:rPr>
        <w:fldChar w:fldCharType="begin" w:fldLock="1"/>
      </w:r>
      <w:r>
        <w:rPr>
          <w:rFonts w:hint="eastAsia" w:ascii="宋体" w:hAnsi="宋体" w:cs="宋体"/>
          <w:sz w:val="21"/>
          <w:szCs w:val="21"/>
        </w:rPr>
        <w:instrText xml:space="preserve">TOC \o "1-3" \h \u </w:instrText>
      </w:r>
      <w:r>
        <w:rPr>
          <w:rFonts w:hint="eastAsia" w:ascii="宋体" w:hAnsi="宋体" w:cs="宋体"/>
          <w:sz w:val="21"/>
          <w:szCs w:val="21"/>
        </w:rPr>
        <w:fldChar w:fldCharType="separate"/>
      </w:r>
      <w:r>
        <w:fldChar w:fldCharType="begin" w:fldLock="1"/>
      </w:r>
      <w:r>
        <w:instrText xml:space="preserve"> HYPERLINK \l "_Toc24421" </w:instrText>
      </w:r>
      <w:r>
        <w:fldChar w:fldCharType="separate"/>
      </w:r>
      <w:r>
        <w:rPr>
          <w:rFonts w:hint="eastAsia" w:ascii="宋体" w:hAnsi="宋体" w:cs="宋体"/>
          <w:szCs w:val="30"/>
        </w:rPr>
        <w:t>第一章  公开招标采购公告</w:t>
      </w:r>
      <w:r>
        <w:tab/>
      </w:r>
      <w:r>
        <w:fldChar w:fldCharType="begin"/>
      </w:r>
      <w:r>
        <w:instrText xml:space="preserve"> PAGEREF _Toc24421 \h </w:instrText>
      </w:r>
      <w:r>
        <w:fldChar w:fldCharType="separate"/>
      </w:r>
      <w:r>
        <w:t>1</w:t>
      </w:r>
      <w:r>
        <w:fldChar w:fldCharType="end"/>
      </w:r>
      <w:r>
        <w:fldChar w:fldCharType="end"/>
      </w:r>
    </w:p>
    <w:p w14:paraId="7C3C406D">
      <w:pPr>
        <w:pStyle w:val="35"/>
        <w:tabs>
          <w:tab w:val="right" w:leader="dot" w:pos="9298"/>
        </w:tabs>
      </w:pPr>
      <w:r>
        <w:fldChar w:fldCharType="begin"/>
      </w:r>
      <w:r>
        <w:instrText xml:space="preserve"> HYPERLINK \l "_Toc5967" </w:instrText>
      </w:r>
      <w:r>
        <w:fldChar w:fldCharType="separate"/>
      </w:r>
      <w:r>
        <w:rPr>
          <w:rFonts w:hint="eastAsia" w:ascii="宋体" w:hAnsi="宋体" w:cs="宋体"/>
          <w:szCs w:val="30"/>
        </w:rPr>
        <w:t>第二章  招标需求</w:t>
      </w:r>
      <w:r>
        <w:tab/>
      </w:r>
      <w:r>
        <w:fldChar w:fldCharType="begin"/>
      </w:r>
      <w:r>
        <w:instrText xml:space="preserve"> PAGEREF _Toc5967 \h </w:instrText>
      </w:r>
      <w:r>
        <w:fldChar w:fldCharType="separate"/>
      </w:r>
      <w:r>
        <w:t>7</w:t>
      </w:r>
      <w:r>
        <w:fldChar w:fldCharType="end"/>
      </w:r>
      <w:r>
        <w:fldChar w:fldCharType="end"/>
      </w:r>
    </w:p>
    <w:p w14:paraId="76CA2426">
      <w:pPr>
        <w:pStyle w:val="35"/>
        <w:tabs>
          <w:tab w:val="right" w:leader="dot" w:pos="9298"/>
        </w:tabs>
      </w:pPr>
      <w:r>
        <w:fldChar w:fldCharType="begin"/>
      </w:r>
      <w:r>
        <w:instrText xml:space="preserve"> HYPERLINK \l "_Toc9034" </w:instrText>
      </w:r>
      <w:r>
        <w:fldChar w:fldCharType="separate"/>
      </w:r>
      <w:r>
        <w:rPr>
          <w:rFonts w:hint="eastAsia" w:ascii="宋体" w:hAnsi="宋体" w:cs="宋体"/>
          <w:szCs w:val="30"/>
        </w:rPr>
        <w:t>第三章  投标人须知</w:t>
      </w:r>
      <w:r>
        <w:tab/>
      </w:r>
      <w:r>
        <w:fldChar w:fldCharType="begin"/>
      </w:r>
      <w:r>
        <w:instrText xml:space="preserve"> PAGEREF _Toc9034 \h </w:instrText>
      </w:r>
      <w:r>
        <w:fldChar w:fldCharType="separate"/>
      </w:r>
      <w:r>
        <w:t>40</w:t>
      </w:r>
      <w:r>
        <w:fldChar w:fldCharType="end"/>
      </w:r>
      <w:r>
        <w:fldChar w:fldCharType="end"/>
      </w:r>
    </w:p>
    <w:p w14:paraId="7F41715B">
      <w:pPr>
        <w:pStyle w:val="35"/>
        <w:tabs>
          <w:tab w:val="right" w:leader="dot" w:pos="9298"/>
        </w:tabs>
      </w:pPr>
      <w:r>
        <w:fldChar w:fldCharType="begin"/>
      </w:r>
      <w:r>
        <w:instrText xml:space="preserve"> HYPERLINK \l "_Toc25502" </w:instrText>
      </w:r>
      <w:r>
        <w:fldChar w:fldCharType="separate"/>
      </w:r>
      <w:r>
        <w:rPr>
          <w:rFonts w:hint="eastAsia" w:ascii="宋体" w:hAnsi="宋体" w:cs="宋体"/>
          <w:szCs w:val="30"/>
        </w:rPr>
        <w:t>前附表</w:t>
      </w:r>
      <w:r>
        <w:tab/>
      </w:r>
      <w:r>
        <w:fldChar w:fldCharType="begin"/>
      </w:r>
      <w:r>
        <w:instrText xml:space="preserve"> PAGEREF _Toc25502 \h </w:instrText>
      </w:r>
      <w:r>
        <w:fldChar w:fldCharType="separate"/>
      </w:r>
      <w:r>
        <w:t>40</w:t>
      </w:r>
      <w:r>
        <w:fldChar w:fldCharType="end"/>
      </w:r>
      <w:r>
        <w:fldChar w:fldCharType="end"/>
      </w:r>
    </w:p>
    <w:p w14:paraId="7AEBE890">
      <w:pPr>
        <w:pStyle w:val="35"/>
        <w:tabs>
          <w:tab w:val="right" w:leader="dot" w:pos="9298"/>
        </w:tabs>
      </w:pPr>
      <w:r>
        <w:fldChar w:fldCharType="begin"/>
      </w:r>
      <w:r>
        <w:instrText xml:space="preserve"> HYPERLINK \l "_Toc14214" </w:instrText>
      </w:r>
      <w:r>
        <w:fldChar w:fldCharType="separate"/>
      </w:r>
      <w:r>
        <w:rPr>
          <w:rFonts w:hint="eastAsia" w:ascii="宋体" w:hAnsi="宋体" w:cs="宋体"/>
          <w:szCs w:val="30"/>
        </w:rPr>
        <w:t>第四章 评标办法及评分标准</w:t>
      </w:r>
      <w:r>
        <w:tab/>
      </w:r>
      <w:r>
        <w:fldChar w:fldCharType="begin"/>
      </w:r>
      <w:r>
        <w:instrText xml:space="preserve"> PAGEREF _Toc14214 \h </w:instrText>
      </w:r>
      <w:r>
        <w:fldChar w:fldCharType="separate"/>
      </w:r>
      <w:r>
        <w:t>60</w:t>
      </w:r>
      <w:r>
        <w:fldChar w:fldCharType="end"/>
      </w:r>
      <w:r>
        <w:fldChar w:fldCharType="end"/>
      </w:r>
    </w:p>
    <w:p w14:paraId="1A1C6F5E">
      <w:pPr>
        <w:pStyle w:val="35"/>
        <w:tabs>
          <w:tab w:val="right" w:leader="dot" w:pos="9298"/>
        </w:tabs>
      </w:pPr>
      <w:r>
        <w:fldChar w:fldCharType="begin"/>
      </w:r>
      <w:r>
        <w:instrText xml:space="preserve"> HYPERLINK \l "_Toc20657" </w:instrText>
      </w:r>
      <w:r>
        <w:fldChar w:fldCharType="separate"/>
      </w:r>
      <w:r>
        <w:rPr>
          <w:rFonts w:hint="eastAsia" w:ascii="宋体" w:hAnsi="宋体" w:cs="宋体"/>
          <w:szCs w:val="30"/>
        </w:rPr>
        <w:t>第五章  合同文本</w:t>
      </w:r>
      <w:r>
        <w:tab/>
      </w:r>
      <w:r>
        <w:fldChar w:fldCharType="begin"/>
      </w:r>
      <w:r>
        <w:instrText xml:space="preserve"> PAGEREF _Toc20657 \h </w:instrText>
      </w:r>
      <w:r>
        <w:fldChar w:fldCharType="separate"/>
      </w:r>
      <w:r>
        <w:t>70</w:t>
      </w:r>
      <w:r>
        <w:fldChar w:fldCharType="end"/>
      </w:r>
      <w:r>
        <w:fldChar w:fldCharType="end"/>
      </w:r>
    </w:p>
    <w:p w14:paraId="79DF0FE7">
      <w:pPr>
        <w:pStyle w:val="35"/>
        <w:tabs>
          <w:tab w:val="right" w:leader="dot" w:pos="9298"/>
        </w:tabs>
      </w:pPr>
      <w:r>
        <w:fldChar w:fldCharType="begin"/>
      </w:r>
      <w:r>
        <w:instrText xml:space="preserve"> HYPERLINK \l "_Toc19043" </w:instrText>
      </w:r>
      <w:r>
        <w:fldChar w:fldCharType="separate"/>
      </w:r>
      <w:r>
        <w:rPr>
          <w:rFonts w:hint="eastAsia" w:ascii="宋体" w:hAnsi="宋体" w:cs="宋体"/>
          <w:szCs w:val="30"/>
        </w:rPr>
        <w:t>第六章　投标文件格式</w:t>
      </w:r>
      <w:r>
        <w:tab/>
      </w:r>
      <w:r>
        <w:fldChar w:fldCharType="begin"/>
      </w:r>
      <w:r>
        <w:instrText xml:space="preserve"> PAGEREF _Toc19043 \h </w:instrText>
      </w:r>
      <w:r>
        <w:fldChar w:fldCharType="separate"/>
      </w:r>
      <w:r>
        <w:t>74</w:t>
      </w:r>
      <w:r>
        <w:fldChar w:fldCharType="end"/>
      </w:r>
      <w:r>
        <w:fldChar w:fldCharType="end"/>
      </w:r>
    </w:p>
    <w:p w14:paraId="3087979E">
      <w:pPr>
        <w:spacing w:line="380" w:lineRule="exact"/>
        <w:jc w:val="both"/>
        <w:rPr>
          <w:rFonts w:hAnsi="宋体" w:cs="宋体"/>
          <w:b/>
          <w:bCs/>
          <w:sz w:val="21"/>
          <w:szCs w:val="21"/>
        </w:rPr>
      </w:pPr>
      <w:r>
        <w:rPr>
          <w:rFonts w:hint="eastAsia" w:hAnsi="宋体" w:cs="宋体"/>
          <w:bCs/>
          <w:szCs w:val="21"/>
        </w:rPr>
        <w:fldChar w:fldCharType="end"/>
      </w:r>
    </w:p>
    <w:p w14:paraId="567F5158">
      <w:pPr>
        <w:pStyle w:val="26"/>
        <w:pBdr>
          <w:top w:val="single" w:color="auto" w:sz="4" w:space="1"/>
          <w:left w:val="single" w:color="auto" w:sz="4" w:space="4"/>
          <w:bottom w:val="single" w:color="auto" w:sz="4" w:space="1"/>
          <w:right w:val="single" w:color="auto" w:sz="4" w:space="4"/>
        </w:pBdr>
        <w:snapToGrid w:val="0"/>
        <w:spacing w:line="360" w:lineRule="auto"/>
        <w:ind w:firstLine="422" w:firstLineChars="200"/>
        <w:rPr>
          <w:rFonts w:ascii="宋体" w:hAnsi="宋体" w:cs="宋体"/>
          <w:b/>
          <w:sz w:val="21"/>
        </w:rPr>
      </w:pPr>
      <w:r>
        <w:rPr>
          <w:rFonts w:hint="eastAsia" w:ascii="宋体" w:hAnsi="宋体" w:cs="宋体"/>
          <w:b/>
          <w:sz w:val="21"/>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1B7DDB55">
      <w:pPr>
        <w:pStyle w:val="26"/>
        <w:pBdr>
          <w:top w:val="single" w:color="auto" w:sz="4" w:space="1"/>
          <w:left w:val="single" w:color="auto" w:sz="4" w:space="4"/>
          <w:bottom w:val="single" w:color="auto" w:sz="4" w:space="1"/>
          <w:right w:val="single" w:color="auto" w:sz="4" w:space="4"/>
        </w:pBdr>
        <w:snapToGrid w:val="0"/>
        <w:spacing w:line="360" w:lineRule="auto"/>
        <w:ind w:firstLine="422" w:firstLineChars="200"/>
        <w:rPr>
          <w:rFonts w:ascii="宋体" w:hAnsi="宋体" w:cs="宋体"/>
          <w:b/>
          <w:sz w:val="21"/>
        </w:rPr>
      </w:pPr>
      <w:r>
        <w:rPr>
          <w:rFonts w:hint="eastAsia" w:ascii="宋体" w:hAnsi="宋体" w:cs="宋体"/>
          <w:b/>
          <w:sz w:val="21"/>
        </w:rPr>
        <w:t>举报电话：</w:t>
      </w:r>
    </w:p>
    <w:p w14:paraId="74FB6582">
      <w:pPr>
        <w:pStyle w:val="26"/>
        <w:pBdr>
          <w:top w:val="single" w:color="auto" w:sz="4" w:space="1"/>
          <w:left w:val="single" w:color="auto" w:sz="4" w:space="4"/>
          <w:bottom w:val="single" w:color="auto" w:sz="4" w:space="1"/>
          <w:right w:val="single" w:color="auto" w:sz="4" w:space="4"/>
        </w:pBdr>
        <w:snapToGrid w:val="0"/>
        <w:spacing w:line="360" w:lineRule="auto"/>
        <w:ind w:firstLine="422" w:firstLineChars="200"/>
        <w:rPr>
          <w:rFonts w:ascii="宋体" w:hAnsi="宋体" w:cs="宋体"/>
          <w:b/>
          <w:sz w:val="21"/>
        </w:rPr>
      </w:pPr>
      <w:r>
        <w:rPr>
          <w:rFonts w:hint="eastAsia" w:ascii="宋体" w:hAnsi="宋体" w:cs="宋体"/>
          <w:b/>
          <w:sz w:val="21"/>
        </w:rPr>
        <w:t>市扫黑办  0579-82495227</w:t>
      </w:r>
    </w:p>
    <w:p w14:paraId="4EB8F810">
      <w:pPr>
        <w:pStyle w:val="26"/>
        <w:pBdr>
          <w:top w:val="single" w:color="auto" w:sz="4" w:space="1"/>
          <w:left w:val="single" w:color="auto" w:sz="4" w:space="4"/>
          <w:bottom w:val="single" w:color="auto" w:sz="4" w:space="1"/>
          <w:right w:val="single" w:color="auto" w:sz="4" w:space="4"/>
        </w:pBdr>
        <w:snapToGrid w:val="0"/>
        <w:spacing w:line="360" w:lineRule="auto"/>
        <w:ind w:firstLine="422" w:firstLineChars="200"/>
        <w:rPr>
          <w:rFonts w:ascii="宋体" w:hAnsi="宋体" w:cs="宋体"/>
          <w:b/>
          <w:sz w:val="21"/>
        </w:rPr>
      </w:pPr>
      <w:r>
        <w:rPr>
          <w:rFonts w:hint="eastAsia" w:ascii="宋体" w:hAnsi="宋体" w:cs="宋体"/>
          <w:b/>
          <w:sz w:val="21"/>
        </w:rPr>
        <w:t>市公安局  110、0579-82512110</w:t>
      </w:r>
    </w:p>
    <w:p w14:paraId="2D412861">
      <w:pPr>
        <w:pStyle w:val="26"/>
        <w:pBdr>
          <w:top w:val="single" w:color="auto" w:sz="4" w:space="1"/>
          <w:left w:val="single" w:color="auto" w:sz="4" w:space="4"/>
          <w:bottom w:val="single" w:color="auto" w:sz="4" w:space="1"/>
          <w:right w:val="single" w:color="auto" w:sz="4" w:space="4"/>
        </w:pBdr>
        <w:snapToGrid w:val="0"/>
        <w:spacing w:line="360" w:lineRule="auto"/>
        <w:ind w:firstLine="422" w:firstLineChars="200"/>
        <w:rPr>
          <w:rFonts w:ascii="宋体" w:hAnsi="宋体" w:cs="宋体"/>
          <w:b/>
          <w:sz w:val="21"/>
        </w:rPr>
      </w:pPr>
      <w:r>
        <w:rPr>
          <w:rFonts w:hint="eastAsia" w:ascii="宋体" w:hAnsi="宋体" w:cs="宋体"/>
          <w:b/>
          <w:sz w:val="21"/>
        </w:rPr>
        <w:t>市检察院  0579-82537082</w:t>
      </w:r>
    </w:p>
    <w:p w14:paraId="6AF08BF0">
      <w:pPr>
        <w:pStyle w:val="26"/>
        <w:pBdr>
          <w:top w:val="single" w:color="auto" w:sz="4" w:space="1"/>
          <w:left w:val="single" w:color="auto" w:sz="4" w:space="4"/>
          <w:bottom w:val="single" w:color="auto" w:sz="4" w:space="1"/>
          <w:right w:val="single" w:color="auto" w:sz="4" w:space="4"/>
        </w:pBdr>
        <w:snapToGrid w:val="0"/>
        <w:spacing w:line="360" w:lineRule="auto"/>
        <w:ind w:firstLine="422" w:firstLineChars="200"/>
        <w:rPr>
          <w:rFonts w:ascii="宋体" w:hAnsi="宋体" w:cs="宋体"/>
          <w:b/>
          <w:sz w:val="21"/>
        </w:rPr>
      </w:pPr>
      <w:r>
        <w:rPr>
          <w:rFonts w:hint="eastAsia" w:ascii="宋体" w:hAnsi="宋体" w:cs="宋体"/>
          <w:b/>
          <w:sz w:val="21"/>
        </w:rPr>
        <w:t>市 法 院  0579-82688725</w:t>
      </w:r>
    </w:p>
    <w:p w14:paraId="65E406CD">
      <w:pPr>
        <w:pStyle w:val="26"/>
        <w:pBdr>
          <w:top w:val="single" w:color="auto" w:sz="4" w:space="1"/>
          <w:left w:val="single" w:color="auto" w:sz="4" w:space="4"/>
          <w:bottom w:val="single" w:color="auto" w:sz="4" w:space="1"/>
          <w:right w:val="single" w:color="auto" w:sz="4" w:space="4"/>
        </w:pBdr>
        <w:snapToGrid w:val="0"/>
        <w:spacing w:line="360" w:lineRule="auto"/>
        <w:ind w:firstLine="422" w:firstLineChars="200"/>
        <w:rPr>
          <w:rFonts w:ascii="宋体" w:hAnsi="宋体" w:cs="宋体"/>
          <w:b/>
          <w:sz w:val="21"/>
        </w:rPr>
      </w:pPr>
      <w:r>
        <w:rPr>
          <w:rFonts w:hint="eastAsia" w:ascii="宋体" w:hAnsi="宋体" w:cs="宋体"/>
          <w:b/>
          <w:sz w:val="21"/>
        </w:rPr>
        <w:t>市公共资源交易管理办公室  0579-82469285</w:t>
      </w:r>
    </w:p>
    <w:p w14:paraId="01FC6055">
      <w:pPr>
        <w:pStyle w:val="26"/>
        <w:pBdr>
          <w:top w:val="single" w:color="auto" w:sz="4" w:space="1"/>
          <w:left w:val="single" w:color="auto" w:sz="4" w:space="4"/>
          <w:bottom w:val="single" w:color="auto" w:sz="4" w:space="1"/>
          <w:right w:val="single" w:color="auto" w:sz="4" w:space="4"/>
        </w:pBdr>
        <w:snapToGrid w:val="0"/>
        <w:spacing w:line="360" w:lineRule="auto"/>
        <w:ind w:firstLine="422" w:firstLineChars="200"/>
        <w:rPr>
          <w:rFonts w:ascii="宋体" w:hAnsi="宋体" w:cs="宋体"/>
          <w:b/>
          <w:bCs/>
          <w:sz w:val="21"/>
        </w:rPr>
      </w:pPr>
      <w:r>
        <w:rPr>
          <w:rFonts w:hint="eastAsia" w:ascii="宋体" w:hAnsi="宋体" w:cs="宋体"/>
          <w:b/>
          <w:sz w:val="21"/>
        </w:rPr>
        <w:t>市公共资源交易中心  0579-83187211</w:t>
      </w:r>
    </w:p>
    <w:p w14:paraId="22900A15">
      <w:pPr>
        <w:spacing w:line="500" w:lineRule="exact"/>
        <w:ind w:firstLine="422" w:firstLineChars="200"/>
        <w:jc w:val="both"/>
        <w:rPr>
          <w:rFonts w:hAnsi="宋体" w:cs="宋体"/>
          <w:b/>
          <w:sz w:val="21"/>
          <w:szCs w:val="21"/>
        </w:rPr>
      </w:pPr>
      <w:r>
        <w:rPr>
          <w:rFonts w:hint="eastAsia" w:hAnsi="宋体" w:cs="宋体"/>
          <w:b/>
          <w:sz w:val="21"/>
          <w:szCs w:val="21"/>
          <w:lang w:bidi="ar"/>
        </w:rPr>
        <w:t>1.投标供应商不得向招标人、政府采购工作人员、评标专家行贿，违者一经查实，将列入政府采购黑名单！</w:t>
      </w:r>
    </w:p>
    <w:p w14:paraId="3CD642C1">
      <w:pPr>
        <w:spacing w:line="380" w:lineRule="exact"/>
        <w:ind w:firstLine="422" w:firstLineChars="200"/>
        <w:jc w:val="both"/>
        <w:textAlignment w:val="baseline"/>
        <w:rPr>
          <w:rFonts w:hAnsi="宋体" w:cs="宋体"/>
          <w:b/>
          <w:sz w:val="21"/>
          <w:szCs w:val="21"/>
        </w:rPr>
      </w:pPr>
      <w:r>
        <w:rPr>
          <w:rFonts w:hint="eastAsia" w:hAnsi="宋体" w:cs="宋体"/>
          <w:b/>
          <w:sz w:val="21"/>
          <w:szCs w:val="21"/>
          <w:lang w:bidi="ar"/>
        </w:rPr>
        <w:t>2.投标供应商须在政采云平台（http://zfcg.czt.zj.gov.cn/）进行免费注册成为正式供应商，具体详见网站投标人注册要求，否则将无法参加投标。</w:t>
      </w:r>
    </w:p>
    <w:p w14:paraId="40AFE88D">
      <w:pPr>
        <w:spacing w:line="500" w:lineRule="exact"/>
        <w:ind w:firstLine="211" w:firstLineChars="100"/>
        <w:jc w:val="both"/>
        <w:rPr>
          <w:rFonts w:hAnsi="宋体" w:cs="宋体"/>
          <w:b/>
          <w:bCs/>
          <w:sz w:val="18"/>
          <w:szCs w:val="18"/>
        </w:rPr>
      </w:pPr>
      <w:r>
        <w:rPr>
          <w:rFonts w:hint="eastAsia" w:hAnsi="宋体" w:cs="宋体"/>
          <w:b/>
          <w:sz w:val="21"/>
          <w:szCs w:val="21"/>
          <w:lang w:bidi="ar"/>
        </w:rPr>
        <w:t>（注：请认真阅读此招标文件，并按规定制作投标文件，否则我们的努力将是徒劳。）</w:t>
      </w:r>
    </w:p>
    <w:bookmarkEnd w:id="0"/>
    <w:p w14:paraId="6AF3BC90">
      <w:pPr>
        <w:spacing w:line="500" w:lineRule="exact"/>
        <w:ind w:firstLine="340" w:firstLineChars="100"/>
        <w:jc w:val="both"/>
        <w:rPr>
          <w:rFonts w:hAnsi="宋体" w:cs="宋体"/>
        </w:rPr>
        <w:sectPr>
          <w:headerReference r:id="rId5" w:type="first"/>
          <w:footerReference r:id="rId7" w:type="first"/>
          <w:headerReference r:id="rId4" w:type="default"/>
          <w:footerReference r:id="rId6" w:type="default"/>
          <w:pgSz w:w="11906" w:h="16838"/>
          <w:pgMar w:top="1440" w:right="1304" w:bottom="1440" w:left="1304" w:header="567" w:footer="964" w:gutter="0"/>
          <w:pgNumType w:start="1"/>
          <w:cols w:space="720" w:num="1"/>
          <w:titlePg/>
          <w:docGrid w:type="lines" w:linePitch="634" w:charSpace="0"/>
        </w:sectPr>
      </w:pPr>
    </w:p>
    <w:p w14:paraId="242BF349">
      <w:pPr>
        <w:pStyle w:val="2"/>
        <w:keepNext w:val="0"/>
        <w:spacing w:line="500" w:lineRule="exact"/>
        <w:jc w:val="center"/>
        <w:rPr>
          <w:rFonts w:ascii="宋体" w:hAnsi="宋体" w:cs="宋体"/>
          <w:color w:val="auto"/>
          <w:sz w:val="30"/>
          <w:szCs w:val="30"/>
        </w:rPr>
      </w:pPr>
      <w:bookmarkStart w:id="1" w:name="_Toc8368"/>
      <w:bookmarkStart w:id="2" w:name="_Toc18274"/>
      <w:bookmarkStart w:id="3" w:name="_Toc31300"/>
      <w:bookmarkStart w:id="4" w:name="_Toc27313"/>
      <w:bookmarkStart w:id="5" w:name="_Toc351559940"/>
      <w:bookmarkStart w:id="6" w:name="_Toc19916"/>
      <w:bookmarkStart w:id="7" w:name="_Toc27644"/>
      <w:bookmarkStart w:id="8" w:name="_Toc29941"/>
      <w:bookmarkStart w:id="9" w:name="_Toc22226"/>
      <w:bookmarkStart w:id="10" w:name="_Toc1045"/>
      <w:bookmarkStart w:id="11" w:name="_Toc24421"/>
      <w:bookmarkStart w:id="12" w:name="_Toc853"/>
      <w:bookmarkStart w:id="13" w:name="_Toc237176505"/>
      <w:bookmarkStart w:id="14" w:name="_Toc184785918"/>
      <w:bookmarkStart w:id="15" w:name="_Toc205638623"/>
      <w:bookmarkStart w:id="16" w:name="_Toc217289129"/>
      <w:r>
        <w:rPr>
          <w:rFonts w:hint="eastAsia" w:ascii="宋体" w:hAnsi="宋体" w:cs="宋体"/>
          <w:color w:val="auto"/>
          <w:sz w:val="30"/>
          <w:szCs w:val="30"/>
        </w:rPr>
        <w:t>第一章  公开招标采购公告</w:t>
      </w:r>
      <w:bookmarkEnd w:id="1"/>
      <w:bookmarkEnd w:id="2"/>
      <w:bookmarkEnd w:id="3"/>
      <w:bookmarkEnd w:id="4"/>
      <w:bookmarkEnd w:id="5"/>
      <w:bookmarkEnd w:id="6"/>
      <w:bookmarkEnd w:id="7"/>
      <w:bookmarkEnd w:id="8"/>
      <w:bookmarkEnd w:id="9"/>
      <w:bookmarkEnd w:id="10"/>
      <w:bookmarkEnd w:id="11"/>
      <w:bookmarkEnd w:id="12"/>
    </w:p>
    <w:p w14:paraId="710B00AF">
      <w:pPr>
        <w:pBdr>
          <w:top w:val="single" w:color="auto" w:sz="4" w:space="1"/>
          <w:left w:val="single" w:color="auto" w:sz="4" w:space="4"/>
          <w:bottom w:val="single" w:color="auto" w:sz="4" w:space="1"/>
          <w:right w:val="single" w:color="auto" w:sz="4" w:space="4"/>
        </w:pBdr>
        <w:spacing w:line="460" w:lineRule="exact"/>
        <w:ind w:firstLine="420" w:firstLineChars="200"/>
        <w:rPr>
          <w:rFonts w:hAnsi="宋体" w:cs="宋体"/>
          <w:sz w:val="21"/>
          <w:szCs w:val="21"/>
        </w:rPr>
      </w:pPr>
      <w:r>
        <w:rPr>
          <w:rFonts w:hint="eastAsia" w:hAnsi="宋体" w:cs="宋体"/>
          <w:sz w:val="21"/>
          <w:szCs w:val="21"/>
        </w:rPr>
        <w:t>项目概况</w:t>
      </w:r>
    </w:p>
    <w:p w14:paraId="6B31E339">
      <w:pPr>
        <w:pBdr>
          <w:top w:val="single" w:color="auto" w:sz="4" w:space="1"/>
          <w:left w:val="single" w:color="auto" w:sz="4" w:space="4"/>
          <w:bottom w:val="single" w:color="auto" w:sz="4" w:space="1"/>
          <w:right w:val="single" w:color="auto" w:sz="4" w:space="4"/>
        </w:pBdr>
        <w:snapToGrid w:val="0"/>
        <w:spacing w:line="460" w:lineRule="exact"/>
        <w:ind w:firstLine="420" w:firstLineChars="200"/>
        <w:rPr>
          <w:rFonts w:hAnsi="宋体" w:cs="宋体"/>
          <w:sz w:val="21"/>
          <w:szCs w:val="21"/>
        </w:rPr>
      </w:pPr>
      <w:r>
        <w:rPr>
          <w:rFonts w:hint="eastAsia" w:hAnsi="宋体" w:cs="宋体"/>
          <w:sz w:val="21"/>
          <w:szCs w:val="21"/>
        </w:rPr>
        <w:t>金华市婺城区罗埠镇中心小学录播教室改造项目 的潜在投标人应在浙江省“政采云”平台获取招标文件，并于 2025年</w:t>
      </w:r>
      <w:r>
        <w:rPr>
          <w:rFonts w:hint="eastAsia" w:hAnsi="宋体" w:cs="宋体"/>
          <w:sz w:val="21"/>
          <w:szCs w:val="21"/>
          <w:lang w:val="en-US" w:eastAsia="zh-CN"/>
        </w:rPr>
        <w:t>8</w:t>
      </w:r>
      <w:r>
        <w:rPr>
          <w:rFonts w:hint="eastAsia" w:hAnsi="宋体" w:cs="宋体"/>
          <w:sz w:val="21"/>
          <w:szCs w:val="21"/>
        </w:rPr>
        <w:t>月</w:t>
      </w:r>
      <w:r>
        <w:rPr>
          <w:rFonts w:hint="eastAsia" w:hAnsi="宋体" w:cs="宋体"/>
          <w:sz w:val="21"/>
          <w:szCs w:val="21"/>
          <w:lang w:val="en-US" w:eastAsia="zh-CN"/>
        </w:rPr>
        <w:t>06</w:t>
      </w:r>
      <w:r>
        <w:rPr>
          <w:rFonts w:hint="eastAsia" w:hAnsi="宋体" w:cs="宋体"/>
          <w:sz w:val="21"/>
          <w:szCs w:val="21"/>
        </w:rPr>
        <w:t>日</w:t>
      </w:r>
      <w:r>
        <w:rPr>
          <w:rFonts w:hint="eastAsia" w:hAnsi="宋体" w:cs="宋体"/>
          <w:sz w:val="21"/>
          <w:szCs w:val="21"/>
          <w:lang w:val="en-US" w:eastAsia="zh-CN"/>
        </w:rPr>
        <w:t>14</w:t>
      </w:r>
      <w:r>
        <w:rPr>
          <w:rFonts w:hint="eastAsia" w:hAnsi="宋体" w:cs="宋体"/>
          <w:sz w:val="21"/>
          <w:szCs w:val="21"/>
        </w:rPr>
        <w:t>点30分（北京时间）前上传投标文件。</w:t>
      </w:r>
    </w:p>
    <w:p w14:paraId="285A961F">
      <w:pPr>
        <w:tabs>
          <w:tab w:val="left" w:pos="1260"/>
        </w:tabs>
        <w:autoSpaceDE/>
        <w:autoSpaceDN/>
        <w:adjustRightInd/>
        <w:snapToGrid w:val="0"/>
        <w:spacing w:line="500" w:lineRule="exact"/>
        <w:ind w:firstLine="316" w:firstLineChars="150"/>
        <w:jc w:val="both"/>
        <w:rPr>
          <w:rFonts w:hAnsi="宋体" w:cs="宋体"/>
          <w:b/>
          <w:sz w:val="21"/>
          <w:szCs w:val="21"/>
        </w:rPr>
      </w:pPr>
      <w:bookmarkStart w:id="17" w:name="_Toc35393790"/>
      <w:bookmarkStart w:id="18" w:name="_Toc28359079"/>
      <w:bookmarkStart w:id="19" w:name="_Toc35393621"/>
      <w:bookmarkStart w:id="20" w:name="_Toc28359002"/>
      <w:bookmarkStart w:id="21" w:name="_Hlk24379207"/>
      <w:r>
        <w:rPr>
          <w:rFonts w:hint="eastAsia" w:hAnsi="宋体" w:cs="宋体"/>
          <w:b/>
          <w:sz w:val="21"/>
          <w:szCs w:val="21"/>
        </w:rPr>
        <w:t>一、项目基本情况</w:t>
      </w:r>
      <w:bookmarkEnd w:id="17"/>
      <w:bookmarkEnd w:id="18"/>
      <w:bookmarkEnd w:id="19"/>
      <w:bookmarkEnd w:id="20"/>
    </w:p>
    <w:p w14:paraId="6175A8AF">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项目编号：</w:t>
      </w:r>
      <w:r>
        <w:rPr>
          <w:rFonts w:hint="eastAsia" w:hAnsi="宋体" w:cs="宋体"/>
          <w:b/>
          <w:sz w:val="21"/>
          <w:szCs w:val="21"/>
          <w:lang w:eastAsia="zh-CN"/>
        </w:rPr>
        <w:t>TY2025-HW145-ZFCG145</w:t>
      </w:r>
      <w:r>
        <w:rPr>
          <w:rFonts w:hint="eastAsia" w:hAnsi="宋体" w:cs="宋体"/>
          <w:b/>
          <w:sz w:val="21"/>
          <w:szCs w:val="21"/>
        </w:rPr>
        <w:t xml:space="preserve"> </w:t>
      </w:r>
    </w:p>
    <w:p w14:paraId="56C40C39">
      <w:pPr>
        <w:tabs>
          <w:tab w:val="left" w:pos="1260"/>
        </w:tabs>
        <w:autoSpaceDE/>
        <w:autoSpaceDN/>
        <w:adjustRightInd/>
        <w:snapToGrid w:val="0"/>
        <w:spacing w:line="500" w:lineRule="exact"/>
        <w:ind w:firstLine="316" w:firstLineChars="150"/>
        <w:jc w:val="both"/>
        <w:rPr>
          <w:rFonts w:hint="eastAsia" w:hAnsi="宋体" w:cs="宋体"/>
          <w:b/>
          <w:sz w:val="21"/>
          <w:szCs w:val="21"/>
          <w:lang w:eastAsia="zh-CN"/>
        </w:rPr>
      </w:pPr>
      <w:r>
        <w:rPr>
          <w:rFonts w:hint="eastAsia" w:hAnsi="宋体" w:cs="宋体"/>
          <w:b/>
          <w:sz w:val="21"/>
          <w:szCs w:val="21"/>
          <w:lang w:eastAsia="zh-CN"/>
        </w:rPr>
        <w:t xml:space="preserve">政府采购计划文号：[2025]284号 </w:t>
      </w:r>
    </w:p>
    <w:p w14:paraId="2A252A2E">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采购组织类型：分散采购委托代理</w:t>
      </w:r>
      <w:r>
        <w:rPr>
          <w:rFonts w:hint="eastAsia" w:hAnsi="宋体" w:cs="宋体"/>
          <w:b/>
          <w:sz w:val="21"/>
          <w:szCs w:val="21"/>
        </w:rPr>
        <w:tab/>
      </w:r>
    </w:p>
    <w:p w14:paraId="1B715AC1">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招标方式：公开招标</w:t>
      </w:r>
    </w:p>
    <w:p w14:paraId="6DF0AA20">
      <w:pPr>
        <w:tabs>
          <w:tab w:val="left" w:pos="1260"/>
        </w:tabs>
        <w:autoSpaceDE/>
        <w:autoSpaceDN/>
        <w:adjustRightInd/>
        <w:snapToGrid w:val="0"/>
        <w:spacing w:line="500" w:lineRule="exact"/>
        <w:ind w:firstLine="316" w:firstLineChars="150"/>
        <w:jc w:val="both"/>
        <w:rPr>
          <w:rFonts w:hAnsi="宋体" w:cs="宋体"/>
          <w:sz w:val="21"/>
          <w:szCs w:val="21"/>
        </w:rPr>
      </w:pPr>
      <w:r>
        <w:rPr>
          <w:rFonts w:hint="eastAsia" w:hAnsi="宋体" w:cs="宋体"/>
          <w:b/>
          <w:sz w:val="21"/>
          <w:szCs w:val="21"/>
        </w:rPr>
        <w:t>项目名称：</w:t>
      </w:r>
      <w:r>
        <w:rPr>
          <w:rFonts w:hint="eastAsia" w:hAnsi="宋体" w:cs="宋体"/>
          <w:b/>
          <w:bCs/>
          <w:sz w:val="21"/>
          <w:szCs w:val="21"/>
        </w:rPr>
        <w:t xml:space="preserve">金华市婺城区罗埠镇中心小学录播教室改造项目 </w:t>
      </w:r>
    </w:p>
    <w:bookmarkEnd w:id="21"/>
    <w:p w14:paraId="555289E4">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预算金额（人民币）：30万元</w:t>
      </w:r>
    </w:p>
    <w:p w14:paraId="7CA1D547">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最高限价（人民币）：30万元</w:t>
      </w:r>
    </w:p>
    <w:p w14:paraId="0DD443D1">
      <w:pPr>
        <w:tabs>
          <w:tab w:val="left" w:pos="1260"/>
        </w:tabs>
        <w:autoSpaceDE/>
        <w:autoSpaceDN/>
        <w:adjustRightInd/>
        <w:snapToGrid w:val="0"/>
        <w:spacing w:line="500" w:lineRule="exact"/>
        <w:ind w:firstLine="316" w:firstLineChars="150"/>
        <w:jc w:val="both"/>
        <w:rPr>
          <w:rFonts w:hAnsi="宋体" w:cs="宋体"/>
          <w:sz w:val="21"/>
          <w:szCs w:val="21"/>
        </w:rPr>
      </w:pPr>
      <w:r>
        <w:rPr>
          <w:rFonts w:hint="eastAsia" w:hAnsi="宋体" w:cs="宋体"/>
          <w:b/>
          <w:sz w:val="21"/>
          <w:szCs w:val="21"/>
        </w:rPr>
        <w:t>采购需求</w:t>
      </w:r>
      <w:r>
        <w:rPr>
          <w:rFonts w:hint="eastAsia" w:hAnsi="宋体" w:cs="宋体"/>
          <w:sz w:val="21"/>
          <w:szCs w:val="21"/>
        </w:rPr>
        <w:t xml:space="preserve">： </w:t>
      </w:r>
    </w:p>
    <w:tbl>
      <w:tblPr>
        <w:tblStyle w:val="50"/>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12"/>
        <w:gridCol w:w="2734"/>
        <w:gridCol w:w="650"/>
        <w:gridCol w:w="700"/>
        <w:gridCol w:w="1558"/>
        <w:gridCol w:w="1359"/>
      </w:tblGrid>
      <w:tr w14:paraId="4376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93" w:type="dxa"/>
            <w:vAlign w:val="center"/>
          </w:tcPr>
          <w:p w14:paraId="7C74A2C3">
            <w:pPr>
              <w:snapToGrid w:val="0"/>
              <w:spacing w:line="400" w:lineRule="exact"/>
              <w:ind w:left="105" w:leftChars="31"/>
              <w:jc w:val="center"/>
              <w:rPr>
                <w:rFonts w:hAnsi="宋体" w:cs="宋体"/>
                <w:b/>
                <w:sz w:val="21"/>
                <w:szCs w:val="21"/>
              </w:rPr>
            </w:pPr>
            <w:r>
              <w:rPr>
                <w:rFonts w:hint="eastAsia" w:hAnsi="宋体" w:cs="宋体"/>
                <w:b/>
                <w:sz w:val="21"/>
                <w:szCs w:val="21"/>
              </w:rPr>
              <w:t>序号</w:t>
            </w:r>
          </w:p>
        </w:tc>
        <w:tc>
          <w:tcPr>
            <w:tcW w:w="1612" w:type="dxa"/>
            <w:vAlign w:val="center"/>
          </w:tcPr>
          <w:p w14:paraId="51D44A25">
            <w:pPr>
              <w:snapToGrid w:val="0"/>
              <w:spacing w:line="400" w:lineRule="exact"/>
              <w:ind w:firstLine="103" w:firstLineChars="49"/>
              <w:jc w:val="center"/>
              <w:rPr>
                <w:rFonts w:hAnsi="宋体" w:cs="宋体"/>
                <w:b/>
                <w:sz w:val="21"/>
                <w:szCs w:val="21"/>
              </w:rPr>
            </w:pPr>
            <w:r>
              <w:rPr>
                <w:rFonts w:hint="eastAsia" w:hAnsi="宋体" w:cs="宋体"/>
                <w:b/>
                <w:sz w:val="21"/>
                <w:szCs w:val="21"/>
              </w:rPr>
              <w:t>项目内容</w:t>
            </w:r>
          </w:p>
        </w:tc>
        <w:tc>
          <w:tcPr>
            <w:tcW w:w="2734" w:type="dxa"/>
            <w:vAlign w:val="center"/>
          </w:tcPr>
          <w:p w14:paraId="4790D49E">
            <w:pPr>
              <w:pStyle w:val="45"/>
              <w:adjustRightInd w:val="0"/>
              <w:snapToGrid w:val="0"/>
              <w:spacing w:before="0" w:beforeAutospacing="0" w:after="0" w:afterAutospacing="0" w:line="400" w:lineRule="exact"/>
              <w:jc w:val="center"/>
              <w:rPr>
                <w:rFonts w:ascii="宋体" w:cs="宋体"/>
                <w:b/>
                <w:sz w:val="21"/>
                <w:szCs w:val="21"/>
              </w:rPr>
            </w:pPr>
            <w:r>
              <w:rPr>
                <w:rFonts w:hint="eastAsia" w:ascii="宋体" w:cs="宋体"/>
                <w:b/>
                <w:sz w:val="21"/>
                <w:szCs w:val="21"/>
              </w:rPr>
              <w:t>招标需求</w:t>
            </w:r>
          </w:p>
        </w:tc>
        <w:tc>
          <w:tcPr>
            <w:tcW w:w="650" w:type="dxa"/>
            <w:vAlign w:val="center"/>
          </w:tcPr>
          <w:p w14:paraId="599F7DBF">
            <w:pPr>
              <w:pStyle w:val="45"/>
              <w:adjustRightInd w:val="0"/>
              <w:snapToGrid w:val="0"/>
              <w:spacing w:before="0" w:beforeAutospacing="0" w:after="0" w:afterAutospacing="0" w:line="400" w:lineRule="exact"/>
              <w:jc w:val="center"/>
              <w:rPr>
                <w:rFonts w:ascii="宋体" w:cs="宋体"/>
                <w:b/>
                <w:sz w:val="21"/>
                <w:szCs w:val="21"/>
              </w:rPr>
            </w:pPr>
            <w:r>
              <w:rPr>
                <w:rFonts w:hint="eastAsia" w:ascii="宋体" w:cs="宋体"/>
                <w:b/>
                <w:sz w:val="21"/>
                <w:szCs w:val="21"/>
              </w:rPr>
              <w:t>数量</w:t>
            </w:r>
          </w:p>
        </w:tc>
        <w:tc>
          <w:tcPr>
            <w:tcW w:w="700" w:type="dxa"/>
            <w:vAlign w:val="center"/>
          </w:tcPr>
          <w:p w14:paraId="5B7FBA42">
            <w:pPr>
              <w:spacing w:line="400" w:lineRule="exact"/>
              <w:jc w:val="center"/>
              <w:rPr>
                <w:rFonts w:hAnsi="宋体" w:cs="宋体"/>
                <w:b/>
                <w:sz w:val="21"/>
                <w:szCs w:val="21"/>
              </w:rPr>
            </w:pPr>
            <w:r>
              <w:rPr>
                <w:rFonts w:hint="eastAsia" w:hAnsi="宋体" w:cs="宋体"/>
                <w:b/>
                <w:sz w:val="21"/>
                <w:szCs w:val="21"/>
              </w:rPr>
              <w:t>单位</w:t>
            </w:r>
          </w:p>
        </w:tc>
        <w:tc>
          <w:tcPr>
            <w:tcW w:w="1558" w:type="dxa"/>
            <w:vAlign w:val="center"/>
          </w:tcPr>
          <w:p w14:paraId="29F1360F">
            <w:pPr>
              <w:spacing w:line="400" w:lineRule="exact"/>
              <w:jc w:val="center"/>
              <w:rPr>
                <w:rFonts w:hAnsi="宋体" w:cs="宋体"/>
                <w:b/>
                <w:sz w:val="21"/>
                <w:szCs w:val="21"/>
              </w:rPr>
            </w:pPr>
            <w:r>
              <w:rPr>
                <w:rFonts w:hint="eastAsia" w:hAnsi="宋体" w:cs="宋体"/>
                <w:b/>
                <w:sz w:val="21"/>
                <w:szCs w:val="21"/>
              </w:rPr>
              <w:t>供货服务期</w:t>
            </w:r>
          </w:p>
        </w:tc>
        <w:tc>
          <w:tcPr>
            <w:tcW w:w="1359" w:type="dxa"/>
            <w:vAlign w:val="center"/>
          </w:tcPr>
          <w:p w14:paraId="537AA674">
            <w:pPr>
              <w:snapToGrid w:val="0"/>
              <w:spacing w:line="400" w:lineRule="exact"/>
              <w:jc w:val="center"/>
              <w:rPr>
                <w:rFonts w:hAnsi="宋体" w:cs="宋体"/>
                <w:b/>
                <w:sz w:val="21"/>
                <w:szCs w:val="21"/>
              </w:rPr>
            </w:pPr>
            <w:r>
              <w:rPr>
                <w:rFonts w:hint="eastAsia" w:hAnsi="宋体" w:cs="宋体"/>
                <w:b/>
                <w:sz w:val="21"/>
                <w:szCs w:val="21"/>
              </w:rPr>
              <w:t>预算金额</w:t>
            </w:r>
          </w:p>
          <w:p w14:paraId="42BC3E7F">
            <w:pPr>
              <w:snapToGrid w:val="0"/>
              <w:spacing w:line="400" w:lineRule="exact"/>
              <w:jc w:val="center"/>
              <w:rPr>
                <w:rFonts w:hAnsi="宋体" w:cs="宋体"/>
                <w:b/>
                <w:sz w:val="21"/>
                <w:szCs w:val="21"/>
              </w:rPr>
            </w:pPr>
            <w:r>
              <w:rPr>
                <w:rFonts w:hint="eastAsia" w:hAnsi="宋体" w:cs="宋体"/>
                <w:b/>
                <w:sz w:val="21"/>
                <w:szCs w:val="21"/>
              </w:rPr>
              <w:t>（人民币）</w:t>
            </w:r>
          </w:p>
        </w:tc>
      </w:tr>
      <w:tr w14:paraId="6EBF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93" w:type="dxa"/>
            <w:vAlign w:val="center"/>
          </w:tcPr>
          <w:p w14:paraId="01391426">
            <w:pPr>
              <w:snapToGrid w:val="0"/>
              <w:spacing w:line="400" w:lineRule="exact"/>
              <w:ind w:left="105" w:leftChars="31"/>
              <w:jc w:val="center"/>
              <w:rPr>
                <w:rFonts w:hAnsi="宋体" w:cs="宋体"/>
                <w:bCs/>
                <w:sz w:val="21"/>
                <w:szCs w:val="21"/>
              </w:rPr>
            </w:pPr>
            <w:r>
              <w:rPr>
                <w:rFonts w:hint="eastAsia" w:hAnsi="宋体" w:cs="宋体"/>
                <w:bCs/>
                <w:sz w:val="21"/>
                <w:szCs w:val="21"/>
              </w:rPr>
              <w:t>1</w:t>
            </w:r>
          </w:p>
        </w:tc>
        <w:tc>
          <w:tcPr>
            <w:tcW w:w="1612" w:type="dxa"/>
            <w:vAlign w:val="center"/>
          </w:tcPr>
          <w:p w14:paraId="7F87DAAF">
            <w:pPr>
              <w:snapToGrid w:val="0"/>
              <w:spacing w:line="400" w:lineRule="exact"/>
              <w:ind w:firstLine="102" w:firstLineChars="49"/>
              <w:jc w:val="center"/>
              <w:rPr>
                <w:rFonts w:hAnsi="宋体" w:cs="宋体"/>
                <w:bCs/>
                <w:sz w:val="21"/>
                <w:szCs w:val="21"/>
              </w:rPr>
            </w:pPr>
            <w:r>
              <w:rPr>
                <w:rFonts w:hint="eastAsia" w:hAnsi="宋体" w:cs="宋体"/>
                <w:bCs/>
                <w:sz w:val="21"/>
                <w:szCs w:val="21"/>
              </w:rPr>
              <w:t>金华市婺城区罗埠镇中心小学录播教室采购</w:t>
            </w:r>
          </w:p>
        </w:tc>
        <w:tc>
          <w:tcPr>
            <w:tcW w:w="2734" w:type="dxa"/>
            <w:vAlign w:val="center"/>
          </w:tcPr>
          <w:p w14:paraId="19473D58">
            <w:pPr>
              <w:pStyle w:val="45"/>
              <w:adjustRightInd w:val="0"/>
              <w:snapToGrid w:val="0"/>
              <w:spacing w:before="0" w:beforeAutospacing="0" w:after="0" w:afterAutospacing="0" w:line="400" w:lineRule="exact"/>
              <w:rPr>
                <w:rFonts w:ascii="宋体" w:cs="宋体"/>
                <w:sz w:val="21"/>
                <w:szCs w:val="21"/>
              </w:rPr>
            </w:pPr>
            <w:r>
              <w:rPr>
                <w:rFonts w:hint="eastAsia" w:ascii="宋体" w:cs="宋体"/>
                <w:sz w:val="21"/>
                <w:szCs w:val="21"/>
              </w:rPr>
              <w:t>采购一批录播设备，包括设备的安装、调试、售后服务，具体详见“第二章  招标需求”</w:t>
            </w:r>
          </w:p>
        </w:tc>
        <w:tc>
          <w:tcPr>
            <w:tcW w:w="650" w:type="dxa"/>
            <w:vAlign w:val="center"/>
          </w:tcPr>
          <w:p w14:paraId="4D2E6F27">
            <w:pPr>
              <w:pStyle w:val="45"/>
              <w:adjustRightInd w:val="0"/>
              <w:snapToGrid w:val="0"/>
              <w:spacing w:before="0" w:beforeAutospacing="0" w:after="0" w:afterAutospacing="0" w:line="400" w:lineRule="exact"/>
              <w:jc w:val="center"/>
              <w:rPr>
                <w:rFonts w:ascii="宋体" w:cs="宋体"/>
                <w:bCs/>
                <w:sz w:val="21"/>
                <w:szCs w:val="21"/>
              </w:rPr>
            </w:pPr>
            <w:r>
              <w:rPr>
                <w:rFonts w:hint="eastAsia" w:ascii="宋体" w:cs="宋体"/>
                <w:bCs/>
                <w:sz w:val="21"/>
                <w:szCs w:val="21"/>
              </w:rPr>
              <w:t>1</w:t>
            </w:r>
          </w:p>
        </w:tc>
        <w:tc>
          <w:tcPr>
            <w:tcW w:w="700" w:type="dxa"/>
            <w:vAlign w:val="center"/>
          </w:tcPr>
          <w:p w14:paraId="2EF019A2">
            <w:pPr>
              <w:pStyle w:val="45"/>
              <w:adjustRightInd w:val="0"/>
              <w:snapToGrid w:val="0"/>
              <w:spacing w:before="0" w:beforeAutospacing="0" w:after="0" w:afterAutospacing="0" w:line="400" w:lineRule="exact"/>
              <w:jc w:val="center"/>
              <w:rPr>
                <w:rFonts w:ascii="宋体" w:cs="宋体"/>
                <w:bCs/>
                <w:sz w:val="21"/>
                <w:szCs w:val="21"/>
              </w:rPr>
            </w:pPr>
            <w:r>
              <w:rPr>
                <w:rFonts w:hint="eastAsia" w:ascii="宋体" w:cs="宋体"/>
                <w:bCs/>
                <w:sz w:val="21"/>
                <w:szCs w:val="21"/>
              </w:rPr>
              <w:t>批</w:t>
            </w:r>
          </w:p>
        </w:tc>
        <w:tc>
          <w:tcPr>
            <w:tcW w:w="1558" w:type="dxa"/>
            <w:vAlign w:val="center"/>
          </w:tcPr>
          <w:p w14:paraId="7A361EFB">
            <w:pPr>
              <w:pStyle w:val="45"/>
              <w:adjustRightInd w:val="0"/>
              <w:snapToGrid w:val="0"/>
              <w:spacing w:before="0" w:beforeAutospacing="0" w:after="0" w:afterAutospacing="0" w:line="400" w:lineRule="exact"/>
              <w:jc w:val="center"/>
              <w:rPr>
                <w:rFonts w:ascii="宋体" w:cs="宋体"/>
                <w:bCs/>
                <w:sz w:val="21"/>
                <w:szCs w:val="21"/>
              </w:rPr>
            </w:pPr>
            <w:r>
              <w:rPr>
                <w:rFonts w:hint="eastAsia" w:ascii="宋体" w:cs="宋体"/>
                <w:sz w:val="21"/>
                <w:szCs w:val="21"/>
              </w:rPr>
              <w:t>合同签订后30天内供货、安装调试完毕。</w:t>
            </w:r>
          </w:p>
        </w:tc>
        <w:tc>
          <w:tcPr>
            <w:tcW w:w="1359" w:type="dxa"/>
            <w:vAlign w:val="center"/>
          </w:tcPr>
          <w:p w14:paraId="566DA3B9">
            <w:pPr>
              <w:snapToGrid w:val="0"/>
              <w:spacing w:line="400" w:lineRule="exact"/>
              <w:jc w:val="center"/>
              <w:rPr>
                <w:rFonts w:hAnsi="宋体" w:cs="宋体"/>
                <w:bCs/>
                <w:sz w:val="21"/>
                <w:szCs w:val="21"/>
              </w:rPr>
            </w:pPr>
            <w:r>
              <w:rPr>
                <w:rFonts w:hint="eastAsia" w:hAnsi="宋体" w:cs="宋体"/>
                <w:bCs/>
                <w:sz w:val="21"/>
                <w:szCs w:val="21"/>
              </w:rPr>
              <w:t>30万元</w:t>
            </w:r>
          </w:p>
        </w:tc>
      </w:tr>
    </w:tbl>
    <w:p w14:paraId="2A91B955">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本项目不接受联合体投标。</w:t>
      </w:r>
    </w:p>
    <w:p w14:paraId="0C115BAC">
      <w:pPr>
        <w:tabs>
          <w:tab w:val="left" w:pos="1260"/>
        </w:tabs>
        <w:autoSpaceDE/>
        <w:autoSpaceDN/>
        <w:adjustRightInd/>
        <w:snapToGrid w:val="0"/>
        <w:spacing w:line="500" w:lineRule="exact"/>
        <w:ind w:firstLine="316" w:firstLineChars="150"/>
        <w:jc w:val="both"/>
        <w:rPr>
          <w:rFonts w:hAnsi="宋体" w:cs="宋体"/>
          <w:b/>
          <w:sz w:val="21"/>
          <w:szCs w:val="21"/>
        </w:rPr>
      </w:pPr>
      <w:bookmarkStart w:id="22" w:name="_Toc28359003"/>
      <w:bookmarkStart w:id="23" w:name="_Toc35393791"/>
      <w:bookmarkStart w:id="24" w:name="_Toc35393622"/>
      <w:bookmarkStart w:id="25" w:name="_Toc28359080"/>
      <w:r>
        <w:rPr>
          <w:rFonts w:hint="eastAsia" w:hAnsi="宋体" w:cs="宋体"/>
          <w:b/>
          <w:sz w:val="21"/>
          <w:szCs w:val="21"/>
        </w:rPr>
        <w:t>二、申请人的资格要求：</w:t>
      </w:r>
    </w:p>
    <w:p w14:paraId="7330813B">
      <w:pPr>
        <w:tabs>
          <w:tab w:val="left" w:pos="1260"/>
        </w:tabs>
        <w:snapToGrid w:val="0"/>
        <w:spacing w:line="500" w:lineRule="exact"/>
        <w:ind w:firstLine="420" w:firstLineChars="200"/>
        <w:rPr>
          <w:rFonts w:hAnsi="宋体" w:cs="宋体"/>
          <w:sz w:val="21"/>
          <w:szCs w:val="21"/>
        </w:rPr>
      </w:pPr>
      <w:r>
        <w:rPr>
          <w:rFonts w:hint="eastAsia" w:hAnsi="宋体" w:cs="宋体"/>
          <w:sz w:val="21"/>
          <w:szCs w:val="21"/>
        </w:rPr>
        <w:t>1.满足《中华人民共和国政府采购法》第二十二条规定；</w:t>
      </w:r>
      <w:r>
        <w:rPr>
          <w:rFonts w:hint="eastAsia" w:hAnsi="宋体" w:cs="宋体"/>
          <w:color w:val="auto"/>
          <w:sz w:val="21"/>
          <w:szCs w:val="21"/>
          <w:highlight w:val="none"/>
        </w:rPr>
        <w:t>未被“信用中国”（www.creditchina.gov.cn）、“中国政府采购网”（www.ccgp.gov.cn）列入失信被执行人名单、重大税收违法案件当事人名单（重大税收违法失信主体名单）、政府采购严重违法失信行为记录名单。</w:t>
      </w:r>
    </w:p>
    <w:p w14:paraId="2DF67286">
      <w:pPr>
        <w:tabs>
          <w:tab w:val="left" w:pos="1260"/>
        </w:tabs>
        <w:autoSpaceDE/>
        <w:autoSpaceDN/>
        <w:snapToGrid w:val="0"/>
        <w:spacing w:line="500" w:lineRule="exact"/>
        <w:ind w:firstLine="420" w:firstLineChars="200"/>
        <w:jc w:val="both"/>
        <w:rPr>
          <w:rFonts w:hAnsi="宋体" w:cs="宋体"/>
          <w:sz w:val="21"/>
          <w:szCs w:val="21"/>
        </w:rPr>
      </w:pPr>
      <w:r>
        <w:rPr>
          <w:rFonts w:hint="eastAsia" w:hAnsi="宋体" w:cs="宋体"/>
          <w:sz w:val="21"/>
          <w:szCs w:val="21"/>
        </w:rPr>
        <w:t>2.落实政策：</w:t>
      </w:r>
    </w:p>
    <w:p w14:paraId="08690D8F">
      <w:pPr>
        <w:spacing w:line="500" w:lineRule="exact"/>
        <w:ind w:firstLine="420" w:firstLineChars="200"/>
        <w:rPr>
          <w:rFonts w:hAnsi="宋体" w:cs="宋体"/>
          <w:sz w:val="21"/>
          <w:szCs w:val="21"/>
        </w:rPr>
      </w:pPr>
      <w:r>
        <w:rPr>
          <w:rFonts w:hint="eastAsia" w:hAnsi="宋体" w:cs="宋体"/>
          <w:sz w:val="21"/>
          <w:szCs w:val="21"/>
        </w:rPr>
        <w:t>（1）落实政府采购政策需满足的资格要求：</w:t>
      </w:r>
    </w:p>
    <w:p w14:paraId="2AD557CB">
      <w:pPr>
        <w:spacing w:line="500" w:lineRule="exact"/>
        <w:ind w:firstLine="480" w:firstLineChars="200"/>
        <w:rPr>
          <w:rFonts w:hAnsi="宋体" w:cs="宋体"/>
          <w:sz w:val="21"/>
          <w:szCs w:val="21"/>
        </w:rPr>
      </w:pPr>
      <w:r>
        <w:rPr>
          <w:rFonts w:hint="eastAsia" w:hAnsi="宋体" w:cs="宋体"/>
          <w:sz w:val="24"/>
          <w:szCs w:val="24"/>
        </w:rPr>
        <w:sym w:font="Wingdings 2" w:char="0052"/>
      </w:r>
      <w:r>
        <w:rPr>
          <w:rFonts w:hint="eastAsia" w:hAnsi="宋体" w:cs="宋体"/>
          <w:sz w:val="21"/>
          <w:szCs w:val="21"/>
        </w:rPr>
        <w:t>无；</w:t>
      </w:r>
    </w:p>
    <w:p w14:paraId="1BF6B2D6">
      <w:pPr>
        <w:spacing w:line="500" w:lineRule="exact"/>
        <w:ind w:firstLine="480" w:firstLineChars="200"/>
        <w:rPr>
          <w:rFonts w:hAnsi="宋体" w:cs="宋体"/>
          <w:sz w:val="21"/>
          <w:szCs w:val="21"/>
        </w:rPr>
      </w:pPr>
      <w:r>
        <w:rPr>
          <w:rFonts w:hint="eastAsia" w:hAnsi="宋体" w:cs="宋体"/>
          <w:sz w:val="24"/>
          <w:szCs w:val="24"/>
        </w:rPr>
        <w:t>☐</w:t>
      </w:r>
      <w:r>
        <w:rPr>
          <w:rFonts w:hint="eastAsia" w:hAnsi="宋体" w:cs="宋体"/>
          <w:sz w:val="21"/>
          <w:szCs w:val="21"/>
        </w:rPr>
        <w:t>专门面向中小企业：</w:t>
      </w:r>
    </w:p>
    <w:p w14:paraId="7115E5E9">
      <w:pPr>
        <w:spacing w:line="500" w:lineRule="exact"/>
        <w:ind w:firstLine="840" w:firstLineChars="400"/>
        <w:rPr>
          <w:rFonts w:hAnsi="宋体" w:cs="宋体"/>
          <w:sz w:val="21"/>
          <w:szCs w:val="21"/>
          <w:u w:val="single"/>
        </w:rPr>
      </w:pPr>
      <w:r>
        <w:rPr>
          <w:rFonts w:hint="eastAsia" w:hAnsi="宋体" w:cs="宋体"/>
          <w:sz w:val="21"/>
          <w:szCs w:val="21"/>
        </w:rPr>
        <w:t>☐货物全部由符合政策要求的中小企业制造，提供中小企业声明函；</w:t>
      </w:r>
    </w:p>
    <w:p w14:paraId="7C616AFA">
      <w:pPr>
        <w:spacing w:line="500" w:lineRule="exact"/>
        <w:ind w:firstLine="840" w:firstLineChars="400"/>
        <w:rPr>
          <w:rFonts w:hAnsi="宋体" w:cs="宋体"/>
          <w:sz w:val="21"/>
          <w:szCs w:val="21"/>
        </w:rPr>
      </w:pPr>
      <w:r>
        <w:rPr>
          <w:rFonts w:hint="eastAsia" w:hAnsi="宋体" w:cs="宋体"/>
          <w:sz w:val="21"/>
          <w:szCs w:val="21"/>
        </w:rPr>
        <w:t>☐货物全部由符合政策要求的小微企业制造，提供中小企业声明函；</w:t>
      </w:r>
    </w:p>
    <w:p w14:paraId="660CB8D9">
      <w:pPr>
        <w:spacing w:line="500" w:lineRule="exact"/>
        <w:ind w:firstLine="840" w:firstLineChars="400"/>
        <w:rPr>
          <w:rFonts w:hAnsi="宋体" w:cs="宋体"/>
          <w:sz w:val="21"/>
          <w:szCs w:val="21"/>
          <w:u w:val="single"/>
        </w:rPr>
      </w:pPr>
      <w:r>
        <w:rPr>
          <w:rFonts w:hint="eastAsia" w:hAnsi="宋体" w:cs="宋体"/>
          <w:sz w:val="21"/>
          <w:szCs w:val="21"/>
        </w:rPr>
        <w:t>☐工程全部由符合政策要求的中小企业承接，提供中小企业声明函；</w:t>
      </w:r>
    </w:p>
    <w:p w14:paraId="5D25970C">
      <w:pPr>
        <w:spacing w:line="500" w:lineRule="exact"/>
        <w:ind w:firstLine="840" w:firstLineChars="400"/>
        <w:rPr>
          <w:rFonts w:hAnsi="宋体" w:cs="宋体"/>
          <w:sz w:val="21"/>
          <w:szCs w:val="21"/>
        </w:rPr>
      </w:pPr>
      <w:r>
        <w:rPr>
          <w:rFonts w:hint="eastAsia" w:hAnsi="宋体" w:cs="宋体"/>
          <w:sz w:val="21"/>
          <w:szCs w:val="21"/>
        </w:rPr>
        <w:t>☐工程全部由符合政策要求的小微企业承接，提供中小企业声明函；</w:t>
      </w:r>
    </w:p>
    <w:p w14:paraId="2D1346AF">
      <w:pPr>
        <w:spacing w:line="500" w:lineRule="exact"/>
        <w:ind w:firstLine="840" w:firstLineChars="400"/>
        <w:rPr>
          <w:rFonts w:hAnsi="宋体" w:cs="宋体"/>
          <w:sz w:val="21"/>
          <w:szCs w:val="21"/>
        </w:rPr>
      </w:pPr>
      <w:r>
        <w:rPr>
          <w:rFonts w:hint="eastAsia" w:hAnsi="宋体" w:cs="宋体"/>
          <w:sz w:val="21"/>
          <w:szCs w:val="21"/>
        </w:rPr>
        <w:t>☐服务全部由符合政策要求的中小企业承接，提供中小企业声明函；</w:t>
      </w:r>
    </w:p>
    <w:p w14:paraId="1AE59BE0">
      <w:pPr>
        <w:spacing w:line="500" w:lineRule="exact"/>
        <w:ind w:firstLine="840" w:firstLineChars="400"/>
        <w:rPr>
          <w:rFonts w:hAnsi="宋体" w:cs="宋体"/>
          <w:sz w:val="21"/>
          <w:szCs w:val="21"/>
        </w:rPr>
      </w:pPr>
      <w:r>
        <w:rPr>
          <w:rFonts w:hint="eastAsia" w:hAnsi="宋体" w:cs="宋体"/>
          <w:sz w:val="21"/>
          <w:szCs w:val="21"/>
        </w:rPr>
        <w:t>☐服务全部由符合政策要求的小微企业承接，提供中小企业声明函；</w:t>
      </w:r>
    </w:p>
    <w:p w14:paraId="482250CC">
      <w:pPr>
        <w:snapToGrid w:val="0"/>
        <w:spacing w:line="500" w:lineRule="exact"/>
        <w:ind w:firstLine="420" w:firstLineChars="200"/>
        <w:rPr>
          <w:rFonts w:hAnsi="宋体" w:cs="宋体"/>
          <w:sz w:val="21"/>
          <w:szCs w:val="21"/>
        </w:rPr>
      </w:pPr>
      <w:r>
        <w:rPr>
          <w:rFonts w:hint="eastAsia" w:hAnsi="宋体" w:cs="宋体"/>
          <w:sz w:val="21"/>
          <w:szCs w:val="21"/>
        </w:rPr>
        <w:t>☐要求以联合体形式参加，提供联合协议和中小企业声明函，联合协议中中小企业合同金额应当达到</w:t>
      </w:r>
      <w:r>
        <w:rPr>
          <w:rFonts w:hint="eastAsia" w:hAnsi="宋体" w:cs="宋体"/>
          <w:sz w:val="21"/>
          <w:szCs w:val="21"/>
          <w:u w:val="single"/>
        </w:rPr>
        <w:t xml:space="preserve">  </w:t>
      </w:r>
      <w:r>
        <w:rPr>
          <w:rFonts w:hint="eastAsia" w:hAnsi="宋体" w:cs="宋体"/>
          <w:sz w:val="21"/>
          <w:szCs w:val="21"/>
        </w:rPr>
        <w:t>%，小微企业合同金额应当达到</w:t>
      </w:r>
      <w:r>
        <w:rPr>
          <w:rFonts w:hint="eastAsia" w:hAnsi="宋体" w:cs="宋体"/>
          <w:sz w:val="21"/>
          <w:szCs w:val="21"/>
          <w:u w:val="single"/>
        </w:rPr>
        <w:t xml:space="preserve"> </w:t>
      </w:r>
      <w:r>
        <w:rPr>
          <w:rFonts w:hint="eastAsia" w:hAnsi="宋体" w:cs="宋体"/>
          <w:sz w:val="21"/>
          <w:szCs w:val="21"/>
        </w:rPr>
        <w:t>%；</w:t>
      </w:r>
      <w:r>
        <w:rPr>
          <w:rFonts w:hint="eastAsia" w:hAnsi="宋体" w:cs="宋体"/>
          <w:spacing w:val="8"/>
          <w:sz w:val="21"/>
          <w:szCs w:val="21"/>
        </w:rPr>
        <w:t>如果供应商本身提供所有标的均由中小企业制造、承建或承接，视同符合了资格条件，无需再与其他中小企业组成联合体参加政府采购活动，无需提供联合协议</w:t>
      </w:r>
      <w:r>
        <w:rPr>
          <w:rFonts w:hint="eastAsia" w:hAnsi="宋体" w:cs="宋体"/>
          <w:sz w:val="21"/>
          <w:szCs w:val="21"/>
        </w:rPr>
        <w:t>；</w:t>
      </w:r>
    </w:p>
    <w:p w14:paraId="38EF46E7">
      <w:pPr>
        <w:snapToGrid w:val="0"/>
        <w:spacing w:line="500" w:lineRule="exact"/>
        <w:ind w:firstLine="420" w:firstLineChars="200"/>
        <w:rPr>
          <w:rFonts w:hAnsi="宋体" w:cs="宋体"/>
          <w:sz w:val="21"/>
          <w:szCs w:val="21"/>
        </w:rPr>
      </w:pPr>
      <w:r>
        <w:rPr>
          <w:rFonts w:hint="eastAsia" w:hAnsi="宋体" w:cs="宋体"/>
          <w:sz w:val="21"/>
          <w:szCs w:val="21"/>
        </w:rPr>
        <w:t>☐要求合同分包，提供分包意向协议和中小企业声明函，分包意向协议中中小企业合同金额应当达到</w:t>
      </w:r>
      <w:r>
        <w:rPr>
          <w:rFonts w:hint="eastAsia" w:hAnsi="宋体" w:cs="宋体"/>
          <w:sz w:val="21"/>
          <w:szCs w:val="21"/>
          <w:u w:val="single"/>
        </w:rPr>
        <w:t xml:space="preserve">  </w:t>
      </w:r>
      <w:r>
        <w:rPr>
          <w:rFonts w:hint="eastAsia" w:hAnsi="宋体" w:cs="宋体"/>
          <w:sz w:val="21"/>
          <w:szCs w:val="21"/>
        </w:rPr>
        <w:t>% ，小微企业合同金额应当达到</w:t>
      </w:r>
      <w:r>
        <w:rPr>
          <w:rFonts w:hint="eastAsia" w:hAnsi="宋体" w:cs="宋体"/>
          <w:sz w:val="21"/>
          <w:szCs w:val="21"/>
          <w:u w:val="single"/>
        </w:rPr>
        <w:t xml:space="preserve"> </w:t>
      </w:r>
      <w:r>
        <w:rPr>
          <w:rFonts w:hint="eastAsia" w:hAnsi="宋体" w:cs="宋体"/>
          <w:sz w:val="21"/>
          <w:szCs w:val="21"/>
        </w:rPr>
        <w:t>% ；</w:t>
      </w:r>
      <w:r>
        <w:rPr>
          <w:rFonts w:hint="eastAsia" w:hAnsi="宋体" w:cs="宋体"/>
          <w:spacing w:val="8"/>
          <w:sz w:val="21"/>
          <w:szCs w:val="21"/>
        </w:rPr>
        <w:t>如果供应商本身提供所有标的均由中小企业制造、承建或承接，视同符合了资格条件，无需再向中小企业分包，无需提供分包意向协议</w:t>
      </w:r>
      <w:r>
        <w:rPr>
          <w:rFonts w:hint="eastAsia" w:hAnsi="宋体" w:cs="宋体"/>
          <w:sz w:val="21"/>
          <w:szCs w:val="21"/>
        </w:rPr>
        <w:t>；</w:t>
      </w:r>
    </w:p>
    <w:p w14:paraId="2EC67515">
      <w:pPr>
        <w:tabs>
          <w:tab w:val="left" w:pos="1260"/>
        </w:tabs>
        <w:autoSpaceDE/>
        <w:autoSpaceDN/>
        <w:adjustRightInd/>
        <w:spacing w:line="500" w:lineRule="exact"/>
        <w:ind w:firstLine="420" w:firstLineChars="200"/>
        <w:jc w:val="both"/>
        <w:rPr>
          <w:rFonts w:hAnsi="宋体" w:cs="宋体"/>
          <w:sz w:val="21"/>
          <w:szCs w:val="21"/>
          <w:lang w:bidi="ar"/>
        </w:rPr>
      </w:pPr>
      <w:r>
        <w:rPr>
          <w:rFonts w:hint="eastAsia" w:hAnsi="宋体" w:cs="宋体"/>
          <w:sz w:val="21"/>
          <w:szCs w:val="21"/>
          <w:lang w:bidi="ar"/>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bookmarkEnd w:id="22"/>
      <w:bookmarkEnd w:id="23"/>
      <w:bookmarkEnd w:id="24"/>
      <w:bookmarkEnd w:id="25"/>
      <w:bookmarkStart w:id="26" w:name="_Toc35393627"/>
      <w:bookmarkStart w:id="27" w:name="_Toc35393796"/>
      <w:bookmarkStart w:id="28" w:name="_Toc28359085"/>
      <w:bookmarkStart w:id="29" w:name="_Toc28359008"/>
    </w:p>
    <w:p w14:paraId="068976DA">
      <w:pPr>
        <w:tabs>
          <w:tab w:val="left" w:pos="1260"/>
        </w:tabs>
        <w:autoSpaceDE/>
        <w:autoSpaceDN/>
        <w:adjustRightInd/>
        <w:snapToGrid w:val="0"/>
        <w:spacing w:line="500" w:lineRule="exact"/>
        <w:ind w:firstLine="315" w:firstLineChars="150"/>
        <w:jc w:val="both"/>
        <w:rPr>
          <w:rFonts w:hAnsi="宋体" w:cs="宋体"/>
          <w:sz w:val="21"/>
          <w:szCs w:val="21"/>
        </w:rPr>
      </w:pPr>
      <w:r>
        <w:rPr>
          <w:rFonts w:hint="eastAsia" w:hAnsi="宋体" w:cs="宋体"/>
          <w:sz w:val="21"/>
          <w:szCs w:val="21"/>
        </w:rPr>
        <w:t>3.本项目的特定资格要求：无。</w:t>
      </w:r>
    </w:p>
    <w:p w14:paraId="3B7F0EDC">
      <w:pPr>
        <w:tabs>
          <w:tab w:val="left" w:pos="1260"/>
        </w:tabs>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三、获取招标文件</w:t>
      </w:r>
    </w:p>
    <w:p w14:paraId="503487DB">
      <w:pPr>
        <w:tabs>
          <w:tab w:val="left" w:pos="1260"/>
        </w:tabs>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1.时间：本项目公告发布之日起至2025年</w:t>
      </w:r>
      <w:r>
        <w:rPr>
          <w:rFonts w:hint="eastAsia" w:hAnsi="宋体" w:cs="宋体"/>
          <w:sz w:val="21"/>
          <w:szCs w:val="21"/>
          <w:lang w:val="en-US" w:eastAsia="zh-CN"/>
        </w:rPr>
        <w:t>8</w:t>
      </w:r>
      <w:r>
        <w:rPr>
          <w:rFonts w:hint="eastAsia" w:hAnsi="宋体" w:cs="宋体"/>
          <w:sz w:val="21"/>
          <w:szCs w:val="21"/>
        </w:rPr>
        <w:t>月</w:t>
      </w:r>
      <w:r>
        <w:rPr>
          <w:rFonts w:hint="eastAsia" w:hAnsi="宋体" w:cs="宋体"/>
          <w:sz w:val="21"/>
          <w:szCs w:val="21"/>
          <w:lang w:val="en-US" w:eastAsia="zh-CN"/>
        </w:rPr>
        <w:t>06</w:t>
      </w:r>
      <w:r>
        <w:rPr>
          <w:rFonts w:hint="eastAsia" w:hAnsi="宋体" w:cs="宋体"/>
          <w:sz w:val="21"/>
          <w:szCs w:val="21"/>
        </w:rPr>
        <w:t>日止，每天上午00:00至12:00，下午12:00至23:59（北京时间）</w:t>
      </w:r>
    </w:p>
    <w:p w14:paraId="0A6A9D01">
      <w:pPr>
        <w:pStyle w:val="45"/>
        <w:spacing w:before="0" w:beforeAutospacing="0" w:after="0" w:afterAutospacing="0" w:line="500" w:lineRule="exact"/>
        <w:rPr>
          <w:rFonts w:ascii="宋体" w:cs="宋体"/>
          <w:sz w:val="21"/>
          <w:szCs w:val="21"/>
        </w:rPr>
      </w:pPr>
      <w:r>
        <w:rPr>
          <w:rFonts w:hint="eastAsia" w:ascii="宋体" w:cs="宋体"/>
          <w:sz w:val="21"/>
          <w:szCs w:val="21"/>
          <w:shd w:val="clear" w:color="auto" w:fill="FFFFFF"/>
        </w:rPr>
        <w:t xml:space="preserve">     地点（网址）：政采云平台线上获取。</w:t>
      </w:r>
    </w:p>
    <w:p w14:paraId="0B15A51D">
      <w:pPr>
        <w:pStyle w:val="45"/>
        <w:spacing w:before="0" w:beforeAutospacing="0" w:after="0" w:afterAutospacing="0" w:line="500" w:lineRule="exact"/>
        <w:ind w:firstLine="210" w:firstLineChars="100"/>
        <w:rPr>
          <w:rFonts w:ascii="宋体" w:cs="宋体"/>
          <w:sz w:val="21"/>
          <w:szCs w:val="21"/>
          <w:shd w:val="clear" w:color="auto" w:fill="FFFFFF"/>
        </w:rPr>
      </w:pPr>
      <w:r>
        <w:rPr>
          <w:rFonts w:hint="eastAsia" w:ascii="宋体" w:cs="宋体"/>
          <w:sz w:val="21"/>
          <w:szCs w:val="21"/>
          <w:shd w:val="clear" w:color="auto" w:fill="FFFFFF"/>
        </w:rPr>
        <w:t> 2.招标文件获取地址：登录政采云平台－－后台项目采购板块点击申请获取采购文件。</w:t>
      </w:r>
    </w:p>
    <w:p w14:paraId="11160ECC">
      <w:pPr>
        <w:pStyle w:val="45"/>
        <w:spacing w:before="0" w:beforeAutospacing="0" w:after="0" w:afterAutospacing="0" w:line="500" w:lineRule="exact"/>
        <w:ind w:firstLine="420" w:firstLineChars="200"/>
        <w:rPr>
          <w:rFonts w:ascii="宋体" w:cs="宋体"/>
          <w:sz w:val="21"/>
          <w:szCs w:val="21"/>
          <w:shd w:val="clear" w:color="auto" w:fill="FFFFFF"/>
        </w:rPr>
      </w:pPr>
      <w:r>
        <w:rPr>
          <w:rFonts w:hint="eastAsia" w:ascii="宋体" w:cs="宋体"/>
          <w:sz w:val="21"/>
          <w:szCs w:val="21"/>
          <w:shd w:val="clear" w:color="auto" w:fill="FFFFFF"/>
        </w:rPr>
        <w:t>3.获取采购文件方式：供应商自行登录浙江省“政采云”平台（网址https://www.zcygov.cn）获取采购文件（供应商线上获取采购文件的流程：供应商登录浙江省“政采云”平台并进入【项目采购】应用模块，点击左侧菜单的【获取采购文件】，点击对应项目的【申请获取采购文件】按钮，填写获取采购文件申请信息后，点右下角【确定】按钮提交）。 </w:t>
      </w:r>
    </w:p>
    <w:p w14:paraId="74FD88AE">
      <w:pPr>
        <w:autoSpaceDE/>
        <w:autoSpaceDN/>
        <w:adjustRightInd/>
        <w:spacing w:line="500" w:lineRule="exact"/>
        <w:ind w:firstLine="422" w:firstLineChars="200"/>
        <w:jc w:val="both"/>
        <w:rPr>
          <w:rStyle w:val="53"/>
          <w:rFonts w:ascii="宋体" w:hAnsi="宋体" w:cs="宋体"/>
          <w:sz w:val="21"/>
          <w:szCs w:val="21"/>
        </w:rPr>
      </w:pPr>
      <w:r>
        <w:rPr>
          <w:rStyle w:val="53"/>
          <w:rFonts w:hint="eastAsia" w:ascii="宋体" w:hAnsi="宋体" w:cs="宋体"/>
          <w:sz w:val="21"/>
          <w:szCs w:val="21"/>
        </w:rPr>
        <w:t>注：</w:t>
      </w:r>
    </w:p>
    <w:p w14:paraId="7DBF42F0">
      <w:pPr>
        <w:pStyle w:val="49"/>
        <w:spacing w:after="0" w:line="500" w:lineRule="exact"/>
        <w:ind w:left="0" w:leftChars="0" w:firstLine="422"/>
        <w:rPr>
          <w:rFonts w:ascii="宋体" w:hAnsi="宋体" w:cs="宋体"/>
          <w:b/>
          <w:bCs/>
          <w:kern w:val="0"/>
          <w:sz w:val="21"/>
          <w:szCs w:val="21"/>
        </w:rPr>
      </w:pPr>
      <w:r>
        <w:rPr>
          <w:rFonts w:hint="eastAsia" w:ascii="宋体" w:hAnsi="宋体" w:cs="宋体"/>
          <w:b/>
          <w:bCs/>
          <w:kern w:val="0"/>
          <w:sz w:val="21"/>
          <w:szCs w:val="21"/>
        </w:rPr>
        <w:t>（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3F52E976">
      <w:pPr>
        <w:autoSpaceDE/>
        <w:autoSpaceDN/>
        <w:adjustRightInd/>
        <w:spacing w:line="500" w:lineRule="exact"/>
        <w:ind w:firstLine="422" w:firstLineChars="200"/>
        <w:jc w:val="both"/>
        <w:rPr>
          <w:rFonts w:hAnsi="宋体" w:cs="宋体"/>
        </w:rPr>
      </w:pPr>
      <w:r>
        <w:rPr>
          <w:rFonts w:hint="eastAsia" w:hAnsi="宋体" w:cs="宋体"/>
          <w:b/>
          <w:bCs/>
          <w:sz w:val="21"/>
          <w:szCs w:val="21"/>
        </w:rPr>
        <w:t>（2）采购代理机构将拒绝接</w:t>
      </w:r>
      <w:r>
        <w:rPr>
          <w:rStyle w:val="53"/>
          <w:rFonts w:hint="eastAsia" w:ascii="宋体" w:hAnsi="宋体" w:cs="宋体"/>
          <w:sz w:val="21"/>
          <w:szCs w:val="21"/>
        </w:rPr>
        <w:t>受非报名人的投标文件。</w:t>
      </w:r>
    </w:p>
    <w:p w14:paraId="4F8846DA">
      <w:pPr>
        <w:tabs>
          <w:tab w:val="left" w:pos="1260"/>
        </w:tabs>
        <w:autoSpaceDE/>
        <w:autoSpaceDN/>
        <w:adjustRightInd/>
        <w:spacing w:line="500" w:lineRule="exact"/>
        <w:ind w:firstLine="422" w:firstLineChars="200"/>
        <w:jc w:val="both"/>
        <w:rPr>
          <w:rFonts w:hAnsi="宋体" w:cs="宋体"/>
          <w:b/>
          <w:sz w:val="21"/>
          <w:szCs w:val="21"/>
        </w:rPr>
      </w:pPr>
      <w:bookmarkStart w:id="30" w:name="_Toc28359082"/>
      <w:bookmarkStart w:id="31" w:name="_Toc28359005"/>
      <w:bookmarkStart w:id="32" w:name="_Toc35393793"/>
      <w:bookmarkStart w:id="33" w:name="_Toc35393624"/>
      <w:r>
        <w:rPr>
          <w:rFonts w:hint="eastAsia" w:hAnsi="宋体" w:cs="宋体"/>
          <w:b/>
          <w:sz w:val="21"/>
          <w:szCs w:val="21"/>
        </w:rPr>
        <w:t>四、提交投标文件</w:t>
      </w:r>
      <w:bookmarkEnd w:id="30"/>
      <w:bookmarkEnd w:id="31"/>
      <w:r>
        <w:rPr>
          <w:rFonts w:hint="eastAsia" w:hAnsi="宋体" w:cs="宋体"/>
          <w:b/>
          <w:sz w:val="21"/>
          <w:szCs w:val="21"/>
        </w:rPr>
        <w:t>截止时间、开标时间和地点</w:t>
      </w:r>
      <w:bookmarkEnd w:id="32"/>
      <w:bookmarkEnd w:id="33"/>
    </w:p>
    <w:p w14:paraId="64D152E2">
      <w:pPr>
        <w:tabs>
          <w:tab w:val="left" w:pos="1260"/>
        </w:tabs>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1.提交投标文件截止时间：2025年</w:t>
      </w:r>
      <w:r>
        <w:rPr>
          <w:rFonts w:hint="eastAsia" w:hAnsi="宋体" w:cs="宋体"/>
          <w:sz w:val="21"/>
          <w:szCs w:val="21"/>
          <w:lang w:val="en-US" w:eastAsia="zh-CN"/>
        </w:rPr>
        <w:t>8</w:t>
      </w:r>
      <w:r>
        <w:rPr>
          <w:rFonts w:hint="eastAsia" w:hAnsi="宋体" w:cs="宋体"/>
          <w:sz w:val="21"/>
          <w:szCs w:val="21"/>
        </w:rPr>
        <w:t>月</w:t>
      </w:r>
      <w:r>
        <w:rPr>
          <w:rFonts w:hint="eastAsia" w:hAnsi="宋体" w:cs="宋体"/>
          <w:sz w:val="21"/>
          <w:szCs w:val="21"/>
          <w:lang w:val="en-US" w:eastAsia="zh-CN"/>
        </w:rPr>
        <w:t>06</w:t>
      </w:r>
      <w:r>
        <w:rPr>
          <w:rFonts w:hint="eastAsia" w:hAnsi="宋体" w:cs="宋体"/>
          <w:sz w:val="21"/>
          <w:szCs w:val="21"/>
        </w:rPr>
        <w:t>日</w:t>
      </w:r>
      <w:r>
        <w:rPr>
          <w:rFonts w:hint="eastAsia" w:hAnsi="宋体" w:cs="宋体"/>
          <w:sz w:val="21"/>
          <w:szCs w:val="21"/>
          <w:lang w:val="en-US" w:eastAsia="zh-CN"/>
        </w:rPr>
        <w:t>14</w:t>
      </w:r>
      <w:r>
        <w:rPr>
          <w:rFonts w:hint="eastAsia" w:hAnsi="宋体" w:cs="宋体"/>
          <w:sz w:val="21"/>
          <w:szCs w:val="21"/>
        </w:rPr>
        <w:t>：30时（北京时间）</w:t>
      </w:r>
    </w:p>
    <w:p w14:paraId="68C8EBEF">
      <w:pPr>
        <w:pStyle w:val="45"/>
        <w:spacing w:before="0" w:beforeAutospacing="0" w:after="0" w:afterAutospacing="0" w:line="500" w:lineRule="exact"/>
        <w:rPr>
          <w:rFonts w:ascii="宋体" w:cs="宋体"/>
          <w:sz w:val="21"/>
          <w:szCs w:val="21"/>
        </w:rPr>
      </w:pPr>
      <w:r>
        <w:rPr>
          <w:rFonts w:hint="eastAsia" w:ascii="宋体" w:cs="宋体"/>
          <w:sz w:val="21"/>
          <w:szCs w:val="21"/>
          <w:shd w:val="clear" w:color="auto" w:fill="FFFFFF"/>
        </w:rPr>
        <w:t>投标地点（网址）：通过浙江政府采购网政府采购云平台实行在线投标响应。</w:t>
      </w:r>
    </w:p>
    <w:p w14:paraId="0B401AC2">
      <w:pPr>
        <w:pStyle w:val="45"/>
        <w:spacing w:before="0" w:beforeAutospacing="0" w:after="0" w:afterAutospacing="0" w:line="500" w:lineRule="exact"/>
        <w:rPr>
          <w:rFonts w:ascii="宋体" w:cs="宋体"/>
          <w:sz w:val="21"/>
          <w:szCs w:val="21"/>
        </w:rPr>
      </w:pPr>
      <w:r>
        <w:rPr>
          <w:rFonts w:hint="eastAsia" w:ascii="宋体" w:cs="宋体"/>
          <w:sz w:val="21"/>
          <w:szCs w:val="21"/>
          <w:shd w:val="clear" w:color="auto" w:fill="FFFFFF"/>
        </w:rPr>
        <w:t>  2</w:t>
      </w:r>
      <w:r>
        <w:rPr>
          <w:rFonts w:hint="eastAsia" w:ascii="宋体" w:cs="宋体"/>
          <w:sz w:val="21"/>
          <w:szCs w:val="21"/>
        </w:rPr>
        <w:t>.</w:t>
      </w:r>
      <w:r>
        <w:rPr>
          <w:rFonts w:hint="eastAsia" w:ascii="宋体" w:cs="宋体"/>
          <w:sz w:val="21"/>
          <w:szCs w:val="21"/>
          <w:shd w:val="clear" w:color="auto" w:fill="FFFFFF"/>
        </w:rPr>
        <w:t>开标时间</w:t>
      </w:r>
      <w:r>
        <w:rPr>
          <w:rFonts w:hint="eastAsia" w:ascii="宋体" w:cs="宋体"/>
          <w:sz w:val="21"/>
          <w:szCs w:val="21"/>
        </w:rPr>
        <w:t>：</w:t>
      </w:r>
      <w:r>
        <w:rPr>
          <w:rFonts w:hint="eastAsia" w:cs="宋体"/>
          <w:sz w:val="21"/>
          <w:szCs w:val="21"/>
        </w:rPr>
        <w:t>2025年</w:t>
      </w:r>
      <w:r>
        <w:rPr>
          <w:rFonts w:hint="eastAsia" w:cs="宋体"/>
          <w:sz w:val="21"/>
          <w:szCs w:val="21"/>
          <w:lang w:val="en-US" w:eastAsia="zh-CN"/>
        </w:rPr>
        <w:t>8</w:t>
      </w:r>
      <w:r>
        <w:rPr>
          <w:rFonts w:hint="eastAsia" w:ascii="宋体" w:cs="宋体"/>
          <w:sz w:val="21"/>
          <w:szCs w:val="21"/>
        </w:rPr>
        <w:t>月</w:t>
      </w:r>
      <w:r>
        <w:rPr>
          <w:rFonts w:hint="eastAsia" w:cs="宋体"/>
          <w:sz w:val="21"/>
          <w:szCs w:val="21"/>
          <w:lang w:val="en-US" w:eastAsia="zh-CN"/>
        </w:rPr>
        <w:t>06</w:t>
      </w:r>
      <w:r>
        <w:rPr>
          <w:rFonts w:hint="eastAsia" w:ascii="宋体" w:cs="宋体"/>
          <w:sz w:val="21"/>
          <w:szCs w:val="21"/>
        </w:rPr>
        <w:t>日</w:t>
      </w:r>
      <w:r>
        <w:rPr>
          <w:rFonts w:hint="eastAsia" w:cs="宋体"/>
          <w:sz w:val="21"/>
          <w:szCs w:val="21"/>
          <w:lang w:val="en-US" w:eastAsia="zh-CN"/>
        </w:rPr>
        <w:t>14</w:t>
      </w:r>
      <w:r>
        <w:rPr>
          <w:rFonts w:hint="eastAsia" w:cs="宋体"/>
          <w:sz w:val="21"/>
          <w:szCs w:val="21"/>
        </w:rPr>
        <w:t>：30</w:t>
      </w:r>
      <w:r>
        <w:rPr>
          <w:rFonts w:hint="eastAsia" w:ascii="宋体" w:cs="宋体"/>
          <w:sz w:val="21"/>
          <w:szCs w:val="21"/>
          <w:shd w:val="clear" w:color="auto" w:fill="FFFFFF"/>
        </w:rPr>
        <w:t>时（北京时间）</w:t>
      </w:r>
    </w:p>
    <w:p w14:paraId="7536AFF7">
      <w:pPr>
        <w:pStyle w:val="45"/>
        <w:spacing w:before="0" w:beforeAutospacing="0" w:after="0" w:afterAutospacing="0" w:line="500" w:lineRule="exact"/>
        <w:rPr>
          <w:rFonts w:ascii="宋体" w:cs="宋体"/>
          <w:sz w:val="21"/>
          <w:szCs w:val="21"/>
        </w:rPr>
      </w:pPr>
      <w:r>
        <w:rPr>
          <w:rFonts w:hint="eastAsia" w:ascii="宋体" w:cs="宋体"/>
          <w:sz w:val="21"/>
          <w:szCs w:val="21"/>
          <w:shd w:val="clear" w:color="auto" w:fill="FFFFFF"/>
        </w:rPr>
        <w:t>  3</w:t>
      </w:r>
      <w:r>
        <w:rPr>
          <w:rFonts w:hint="eastAsia" w:ascii="宋体" w:cs="宋体"/>
          <w:sz w:val="21"/>
          <w:szCs w:val="21"/>
        </w:rPr>
        <w:t>.</w:t>
      </w:r>
      <w:r>
        <w:rPr>
          <w:rFonts w:hint="eastAsia" w:ascii="宋体" w:cs="宋体"/>
          <w:sz w:val="21"/>
          <w:szCs w:val="21"/>
          <w:shd w:val="clear" w:color="auto" w:fill="FFFFFF"/>
        </w:rPr>
        <w:t>开标地点（网址）：</w:t>
      </w:r>
      <w:r>
        <w:rPr>
          <w:rFonts w:hint="eastAsia" w:ascii="宋体" w:cs="宋体"/>
          <w:sz w:val="21"/>
          <w:szCs w:val="21"/>
        </w:rPr>
        <w:t>金华市双龙南街858号金华财富大厦（金华市行政服务中心新办事大厅4楼开标1室），本项目</w:t>
      </w:r>
      <w:r>
        <w:rPr>
          <w:rFonts w:hint="eastAsia" w:ascii="宋体" w:cs="宋体"/>
          <w:sz w:val="21"/>
          <w:szCs w:val="21"/>
          <w:shd w:val="clear" w:color="auto" w:fill="FFFFFF"/>
        </w:rPr>
        <w:t>通过浙江政府采购网政府采</w:t>
      </w:r>
      <w:r>
        <w:rPr>
          <w:rFonts w:hint="eastAsia" w:ascii="宋体" w:cs="宋体"/>
          <w:sz w:val="21"/>
          <w:szCs w:val="21"/>
        </w:rPr>
        <w:t>购云平台在线开标，</w:t>
      </w:r>
      <w:r>
        <w:rPr>
          <w:rStyle w:val="53"/>
          <w:rFonts w:hint="eastAsia" w:ascii="宋体" w:hAnsi="宋体" w:cs="宋体"/>
          <w:b w:val="0"/>
          <w:sz w:val="21"/>
          <w:szCs w:val="21"/>
        </w:rPr>
        <w:t>供应商无需到开标现场，但须准时在线参加，</w:t>
      </w:r>
      <w:r>
        <w:rPr>
          <w:rStyle w:val="53"/>
          <w:rFonts w:hint="eastAsia" w:ascii="宋体" w:hAnsi="宋体" w:cs="宋体"/>
          <w:b w:val="0"/>
          <w:bCs w:val="0"/>
          <w:sz w:val="21"/>
          <w:szCs w:val="21"/>
        </w:rPr>
        <w:t>直至评审结束。</w:t>
      </w:r>
      <w:r>
        <w:rPr>
          <w:rFonts w:hint="eastAsia" w:ascii="宋体" w:cs="宋体"/>
          <w:sz w:val="21"/>
          <w:szCs w:val="21"/>
        </w:rPr>
        <w:t>开标截止时间后30分钟以内供应商登录“政采云”平台，用“项目采购－开标评标”功能进行解密投标文件。若供应商在规定时间内投标文件无法解密或解密失败（含未提交），则投标无效。</w:t>
      </w:r>
    </w:p>
    <w:p w14:paraId="0ADFCA48">
      <w:pPr>
        <w:pStyle w:val="45"/>
        <w:numPr>
          <w:ilvl w:val="0"/>
          <w:numId w:val="1"/>
        </w:numPr>
        <w:spacing w:before="0" w:beforeAutospacing="0" w:after="0" w:afterAutospacing="0" w:line="500" w:lineRule="exact"/>
        <w:ind w:firstLine="422" w:firstLineChars="200"/>
        <w:jc w:val="both"/>
        <w:rPr>
          <w:rStyle w:val="53"/>
          <w:rFonts w:ascii="宋体" w:hAnsi="宋体" w:cs="宋体"/>
          <w:sz w:val="21"/>
          <w:szCs w:val="21"/>
          <w:shd w:val="clear" w:color="auto" w:fill="FFFFFF"/>
        </w:rPr>
      </w:pPr>
      <w:bookmarkStart w:id="34" w:name="_Toc28359007"/>
      <w:bookmarkStart w:id="35" w:name="_Toc28359084"/>
      <w:bookmarkStart w:id="36" w:name="_Toc35393625"/>
      <w:bookmarkStart w:id="37" w:name="_Toc35393794"/>
      <w:r>
        <w:rPr>
          <w:rStyle w:val="53"/>
          <w:rFonts w:hint="eastAsia" w:ascii="宋体" w:hAnsi="宋体" w:cs="宋体"/>
          <w:sz w:val="21"/>
          <w:szCs w:val="21"/>
          <w:shd w:val="clear" w:color="auto" w:fill="FFFFFF"/>
        </w:rPr>
        <w:t>公告期限</w:t>
      </w:r>
    </w:p>
    <w:p w14:paraId="1D91C3B0">
      <w:pPr>
        <w:tabs>
          <w:tab w:val="left" w:pos="1260"/>
        </w:tabs>
        <w:autoSpaceDE/>
        <w:autoSpaceDN/>
        <w:adjustRightInd/>
        <w:snapToGrid w:val="0"/>
        <w:spacing w:line="500" w:lineRule="exact"/>
        <w:ind w:firstLine="420" w:firstLineChars="200"/>
        <w:jc w:val="both"/>
        <w:rPr>
          <w:rFonts w:hAnsi="宋体" w:cs="宋体"/>
          <w:sz w:val="21"/>
          <w:szCs w:val="21"/>
        </w:rPr>
      </w:pPr>
      <w:r>
        <w:rPr>
          <w:rFonts w:hint="eastAsia" w:hAnsi="宋体" w:cs="宋体"/>
          <w:sz w:val="21"/>
          <w:szCs w:val="21"/>
        </w:rPr>
        <w:t>自本公告发布之日起5个工作日。</w:t>
      </w:r>
    </w:p>
    <w:p w14:paraId="4D5434FF">
      <w:pPr>
        <w:tabs>
          <w:tab w:val="left" w:pos="1260"/>
        </w:tabs>
        <w:autoSpaceDE/>
        <w:autoSpaceDN/>
        <w:adjustRightInd/>
        <w:spacing w:line="500" w:lineRule="exact"/>
        <w:ind w:firstLine="422" w:firstLineChars="200"/>
        <w:jc w:val="both"/>
        <w:rPr>
          <w:rFonts w:hAnsi="宋体" w:cs="宋体"/>
        </w:rPr>
      </w:pPr>
      <w:r>
        <w:rPr>
          <w:rFonts w:hint="eastAsia" w:hAnsi="宋体" w:cs="宋体"/>
          <w:b/>
          <w:sz w:val="21"/>
          <w:szCs w:val="21"/>
        </w:rPr>
        <w:t>六、公告地址：</w:t>
      </w:r>
      <w:r>
        <w:rPr>
          <w:rFonts w:hint="eastAsia" w:hAnsi="宋体" w:cs="宋体"/>
          <w:sz w:val="21"/>
          <w:szCs w:val="21"/>
        </w:rPr>
        <w:t>浙江政府采购网（http://zfcg.czt.zj.gov.cn/)。</w:t>
      </w:r>
    </w:p>
    <w:p w14:paraId="1D193EF1">
      <w:pPr>
        <w:tabs>
          <w:tab w:val="left" w:pos="1260"/>
        </w:tabs>
        <w:autoSpaceDE/>
        <w:autoSpaceDN/>
        <w:adjustRightInd/>
        <w:snapToGrid w:val="0"/>
        <w:spacing w:line="500" w:lineRule="exact"/>
        <w:ind w:firstLine="422" w:firstLineChars="200"/>
        <w:jc w:val="both"/>
        <w:rPr>
          <w:rFonts w:hAnsi="宋体" w:cs="宋体"/>
          <w:sz w:val="21"/>
          <w:szCs w:val="21"/>
        </w:rPr>
      </w:pPr>
      <w:r>
        <w:rPr>
          <w:rFonts w:hint="eastAsia" w:hAnsi="宋体" w:cs="宋体"/>
          <w:b/>
          <w:sz w:val="21"/>
          <w:szCs w:val="21"/>
        </w:rPr>
        <w:t>七、其他补充事宜</w:t>
      </w:r>
    </w:p>
    <w:p w14:paraId="52974A2E">
      <w:pPr>
        <w:tabs>
          <w:tab w:val="left" w:pos="1260"/>
        </w:tabs>
        <w:adjustRightInd/>
        <w:spacing w:line="500" w:lineRule="exact"/>
        <w:ind w:firstLine="420" w:firstLineChars="200"/>
        <w:rPr>
          <w:rFonts w:hAnsi="宋体" w:cs="宋体"/>
          <w:bCs/>
          <w:sz w:val="21"/>
          <w:szCs w:val="21"/>
        </w:rPr>
      </w:pPr>
      <w:r>
        <w:rPr>
          <w:rFonts w:hint="eastAsia" w:hAnsi="宋体" w:cs="宋体"/>
          <w:bCs/>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F87876A">
      <w:pPr>
        <w:tabs>
          <w:tab w:val="left" w:pos="1260"/>
        </w:tabs>
        <w:autoSpaceDE/>
        <w:autoSpaceDN/>
        <w:adjustRightInd/>
        <w:spacing w:line="500" w:lineRule="exact"/>
        <w:ind w:firstLine="420" w:firstLineChars="200"/>
        <w:rPr>
          <w:rFonts w:hAnsi="宋体" w:cs="宋体"/>
          <w:bCs/>
          <w:sz w:val="21"/>
          <w:szCs w:val="21"/>
        </w:rPr>
      </w:pPr>
      <w:r>
        <w:rPr>
          <w:rFonts w:hint="eastAsia" w:hAnsi="宋体" w:cs="宋体"/>
          <w:bCs/>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81DF0">
      <w:pPr>
        <w:pStyle w:val="45"/>
        <w:snapToGrid w:val="0"/>
        <w:spacing w:before="0" w:beforeAutospacing="0" w:after="0" w:afterAutospacing="0" w:line="500" w:lineRule="exact"/>
        <w:ind w:firstLine="420" w:firstLineChars="200"/>
        <w:rPr>
          <w:rFonts w:ascii="宋体" w:cs="宋体"/>
          <w:bCs/>
          <w:sz w:val="21"/>
          <w:szCs w:val="21"/>
        </w:rPr>
      </w:pPr>
      <w:r>
        <w:rPr>
          <w:rFonts w:hint="eastAsia" w:ascii="宋体" w:cs="宋体"/>
          <w:bCs/>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28871910">
      <w:pPr>
        <w:tabs>
          <w:tab w:val="left" w:pos="1260"/>
        </w:tabs>
        <w:adjustRightInd/>
        <w:spacing w:line="500" w:lineRule="exact"/>
        <w:ind w:firstLine="420"/>
        <w:jc w:val="both"/>
        <w:rPr>
          <w:rFonts w:hAnsi="宋体" w:cs="宋体"/>
          <w:bCs/>
          <w:sz w:val="21"/>
          <w:szCs w:val="21"/>
        </w:rPr>
      </w:pPr>
      <w:r>
        <w:rPr>
          <w:rFonts w:hint="eastAsia" w:hAnsi="宋体" w:cs="宋体"/>
          <w:bCs/>
          <w:sz w:val="21"/>
          <w:szCs w:val="21"/>
        </w:rPr>
        <w:t>4.其他事项：</w:t>
      </w:r>
      <w:r>
        <w:rPr>
          <w:rFonts w:hint="eastAsia" w:hAnsi="宋体" w:cs="宋体"/>
          <w:bCs/>
          <w:sz w:val="21"/>
          <w:szCs w:val="21"/>
          <w:lang w:bidi="ar"/>
        </w:rPr>
        <w:t>见招标文件。</w:t>
      </w:r>
      <w:r>
        <w:rPr>
          <w:rFonts w:hint="eastAsia" w:hAnsi="宋体" w:cs="宋体"/>
          <w:bCs/>
          <w:sz w:val="21"/>
          <w:szCs w:val="21"/>
        </w:rPr>
        <w:t> </w:t>
      </w:r>
    </w:p>
    <w:p w14:paraId="27C90DD4">
      <w:pPr>
        <w:tabs>
          <w:tab w:val="left" w:pos="1260"/>
        </w:tabs>
        <w:adjustRightInd/>
        <w:spacing w:line="500" w:lineRule="exact"/>
        <w:ind w:firstLine="420"/>
        <w:jc w:val="both"/>
        <w:rPr>
          <w:rFonts w:hAnsi="宋体" w:cs="宋体"/>
          <w:bCs/>
          <w:sz w:val="21"/>
          <w:szCs w:val="21"/>
          <w:lang w:bidi="ar"/>
        </w:rPr>
      </w:pPr>
      <w:r>
        <w:rPr>
          <w:rFonts w:hint="eastAsia" w:hAnsi="宋体" w:cs="宋体"/>
          <w:bCs/>
          <w:sz w:val="21"/>
          <w:szCs w:val="21"/>
          <w:lang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czt.zj.gov.cn/）的中小企业信用融资栏目了解相关信息。供应商可以通过浙江政府采购网（https://zfcg.czt.zj.gov.cn/）首页的“政采云金融服务”模块进入申请，还可以通过政府采购云平台（https://www.zcygov.cn/）首页的“金融服务”模块进入申请。</w:t>
      </w:r>
    </w:p>
    <w:p w14:paraId="58A85B15">
      <w:pPr>
        <w:widowControl/>
        <w:tabs>
          <w:tab w:val="left" w:pos="1260"/>
        </w:tabs>
        <w:autoSpaceDE/>
        <w:autoSpaceDN/>
        <w:adjustRightInd/>
        <w:spacing w:line="500" w:lineRule="exact"/>
        <w:ind w:firstLine="420"/>
        <w:jc w:val="both"/>
        <w:rPr>
          <w:rFonts w:hAnsi="宋体" w:cs="宋体"/>
          <w:bCs/>
          <w:sz w:val="21"/>
          <w:szCs w:val="21"/>
          <w:lang w:bidi="ar"/>
        </w:rPr>
      </w:pPr>
      <w:r>
        <w:rPr>
          <w:rFonts w:hint="eastAsia" w:hAnsi="宋体" w:cs="宋体"/>
          <w:bCs/>
          <w:sz w:val="21"/>
          <w:szCs w:val="21"/>
          <w:lang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06C0F40">
      <w:pPr>
        <w:widowControl/>
        <w:tabs>
          <w:tab w:val="left" w:pos="1260"/>
        </w:tabs>
        <w:autoSpaceDE/>
        <w:autoSpaceDN/>
        <w:adjustRightInd/>
        <w:spacing w:line="500" w:lineRule="exact"/>
        <w:ind w:firstLine="420"/>
        <w:jc w:val="both"/>
        <w:rPr>
          <w:rFonts w:hAnsi="宋体" w:cs="宋体"/>
          <w:b/>
          <w:sz w:val="21"/>
          <w:szCs w:val="21"/>
          <w:lang w:bidi="ar"/>
        </w:rPr>
      </w:pPr>
      <w:r>
        <w:rPr>
          <w:rFonts w:hint="eastAsia" w:hAnsi="宋体" w:cs="宋体"/>
          <w:b/>
          <w:sz w:val="21"/>
          <w:szCs w:val="21"/>
          <w:lang w:bidi="ar"/>
        </w:rPr>
        <w:t>政府采购金融服务提示：</w:t>
      </w:r>
    </w:p>
    <w:p w14:paraId="28D2140D">
      <w:pPr>
        <w:spacing w:line="500" w:lineRule="exact"/>
        <w:ind w:firstLine="422" w:firstLineChars="200"/>
        <w:rPr>
          <w:rFonts w:hAnsi="宋体" w:cs="宋体"/>
          <w:sz w:val="21"/>
          <w:szCs w:val="21"/>
        </w:rPr>
      </w:pPr>
      <w:r>
        <w:rPr>
          <w:rFonts w:hint="eastAsia" w:hAnsi="宋体" w:cs="宋体"/>
          <w:b/>
          <w:bCs/>
          <w:sz w:val="21"/>
          <w:szCs w:val="21"/>
        </w:rPr>
        <w:t>为扩大政府采购金融服务面，除政采云网上金融服务合作银行外，金华市范围增加线下合作银行两家，具体信息如下：</w:t>
      </w:r>
    </w:p>
    <w:p w14:paraId="01069972">
      <w:pPr>
        <w:spacing w:line="500" w:lineRule="exact"/>
        <w:ind w:firstLine="422" w:firstLineChars="200"/>
        <w:rPr>
          <w:rFonts w:hAnsi="宋体" w:cs="宋体"/>
          <w:b/>
          <w:bCs/>
          <w:sz w:val="21"/>
          <w:szCs w:val="21"/>
        </w:rPr>
      </w:pPr>
      <w:r>
        <w:rPr>
          <w:rFonts w:hint="eastAsia" w:hAnsi="宋体" w:cs="宋体"/>
          <w:b/>
          <w:bCs/>
          <w:sz w:val="21"/>
          <w:szCs w:val="21"/>
        </w:rPr>
        <w:t>金华银行文创支行   联系人：   姜  峰   联系电话： 13905792828   0579-82479020</w:t>
      </w:r>
    </w:p>
    <w:p w14:paraId="328836E4">
      <w:pPr>
        <w:spacing w:line="500" w:lineRule="exact"/>
        <w:ind w:firstLine="422" w:firstLineChars="200"/>
        <w:rPr>
          <w:rFonts w:hAnsi="宋体" w:cs="宋体"/>
          <w:sz w:val="21"/>
          <w:szCs w:val="21"/>
          <w:lang w:bidi="ar"/>
        </w:rPr>
      </w:pPr>
      <w:r>
        <w:rPr>
          <w:rFonts w:hint="eastAsia" w:hAnsi="宋体" w:cs="宋体"/>
          <w:b/>
          <w:bCs/>
          <w:sz w:val="21"/>
          <w:szCs w:val="21"/>
        </w:rPr>
        <w:t>浙商银行金华分行   联系人：   朱晨祥   联系电话： 15857978811   0579-82999581</w:t>
      </w:r>
    </w:p>
    <w:p w14:paraId="4D918E0F">
      <w:pPr>
        <w:pStyle w:val="45"/>
        <w:widowControl w:val="0"/>
        <w:spacing w:before="0" w:beforeAutospacing="0" w:after="0" w:afterAutospacing="0" w:line="500" w:lineRule="exact"/>
        <w:ind w:firstLine="422" w:firstLineChars="200"/>
        <w:rPr>
          <w:rFonts w:ascii="宋体" w:cs="宋体"/>
          <w:sz w:val="21"/>
          <w:szCs w:val="21"/>
        </w:rPr>
      </w:pPr>
      <w:r>
        <w:rPr>
          <w:rStyle w:val="53"/>
          <w:rFonts w:hint="eastAsia" w:ascii="宋体" w:hAnsi="宋体" w:cs="宋体"/>
          <w:sz w:val="21"/>
          <w:szCs w:val="21"/>
          <w:shd w:val="clear" w:color="auto" w:fill="FFFFFF"/>
        </w:rPr>
        <w:t>八、电子投标事项特别说明</w:t>
      </w:r>
    </w:p>
    <w:p w14:paraId="5101CC2A">
      <w:pPr>
        <w:pStyle w:val="45"/>
        <w:widowControl w:val="0"/>
        <w:spacing w:before="0" w:beforeAutospacing="0" w:after="0" w:afterAutospacing="0" w:line="500" w:lineRule="exact"/>
        <w:ind w:firstLine="420" w:firstLineChars="200"/>
        <w:rPr>
          <w:rFonts w:ascii="宋体" w:cs="宋体"/>
          <w:sz w:val="21"/>
          <w:szCs w:val="21"/>
          <w:shd w:val="clear" w:color="auto" w:fill="FFFFFF"/>
        </w:rPr>
      </w:pPr>
      <w:r>
        <w:rPr>
          <w:rFonts w:hint="eastAsia" w:ascii="宋体" w:cs="宋体"/>
          <w:sz w:val="21"/>
          <w:szCs w:val="21"/>
          <w:shd w:val="clear" w:color="auto" w:fill="FFFFFF"/>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95763。</w:t>
      </w:r>
    </w:p>
    <w:p w14:paraId="010E3702">
      <w:pPr>
        <w:pStyle w:val="45"/>
        <w:widowControl w:val="0"/>
        <w:spacing w:before="0" w:beforeAutospacing="0" w:after="0" w:afterAutospacing="0" w:line="500" w:lineRule="exact"/>
        <w:ind w:firstLine="420" w:firstLineChars="200"/>
        <w:rPr>
          <w:rFonts w:ascii="宋体" w:cs="宋体"/>
          <w:sz w:val="21"/>
          <w:szCs w:val="21"/>
          <w:shd w:val="clear" w:color="auto" w:fill="FFFFFF"/>
        </w:rPr>
      </w:pPr>
      <w:r>
        <w:rPr>
          <w:rFonts w:hint="eastAsia" w:ascii="宋体" w:cs="宋体"/>
          <w:sz w:val="21"/>
          <w:szCs w:val="21"/>
          <w:shd w:val="clear" w:color="auto" w:fill="FFFFFF"/>
        </w:rPr>
        <w:t>2.投标人应在开标前完成 CA 数字证书办理。（办理流程详见http://zfcg.czt.zj.gov.cn/bidClientTemplate/2019-05-27/12945.html）。完成 CA 数字证书办理预计一周左右，建议各投标人抓紧时间办理。</w:t>
      </w:r>
    </w:p>
    <w:p w14:paraId="2443FCD9">
      <w:pPr>
        <w:pStyle w:val="45"/>
        <w:spacing w:before="0" w:beforeAutospacing="0" w:after="0" w:afterAutospacing="0" w:line="500" w:lineRule="exact"/>
        <w:ind w:firstLine="420" w:firstLineChars="200"/>
        <w:rPr>
          <w:rFonts w:ascii="宋体" w:cs="宋体"/>
          <w:sz w:val="21"/>
          <w:szCs w:val="21"/>
          <w:shd w:val="clear" w:color="auto" w:fill="FFFFFF"/>
        </w:rPr>
      </w:pPr>
      <w:r>
        <w:rPr>
          <w:rFonts w:hint="eastAsia" w:ascii="宋体" w:cs="宋体"/>
          <w:sz w:val="21"/>
          <w:szCs w:val="21"/>
          <w:shd w:val="clear" w:color="auto" w:fill="FFFFFF"/>
        </w:rPr>
        <w:t>3.投标人通过政采云平台“电子交易客户端”制作响应文件，电子投标工具请供应商自行前往浙江省政府采购网下载并安装，（下载网址：http://zfcg.czt.zj.gov.cn/bidClientTemplate/2019-05-27/12946.html）。</w:t>
      </w:r>
    </w:p>
    <w:p w14:paraId="5DB37D5F">
      <w:pPr>
        <w:pStyle w:val="45"/>
        <w:spacing w:before="0" w:beforeAutospacing="0" w:after="0" w:afterAutospacing="0" w:line="500" w:lineRule="exact"/>
        <w:ind w:firstLine="420" w:firstLineChars="200"/>
        <w:rPr>
          <w:rFonts w:ascii="宋体" w:cs="宋体"/>
          <w:sz w:val="21"/>
          <w:szCs w:val="21"/>
          <w:shd w:val="clear" w:color="auto" w:fill="FFFFFF"/>
        </w:rPr>
      </w:pPr>
      <w:r>
        <w:rPr>
          <w:rFonts w:hint="eastAsia" w:ascii="宋体" w:cs="宋体"/>
          <w:sz w:val="21"/>
          <w:szCs w:val="21"/>
          <w:shd w:val="clear" w:color="auto" w:fill="FFFFFF"/>
        </w:rPr>
        <w:t>4.投标人将加密的电子版响应文件于投标截止时间前上传到政采云系统中。</w:t>
      </w:r>
    </w:p>
    <w:p w14:paraId="540A10DF">
      <w:pPr>
        <w:pStyle w:val="45"/>
        <w:spacing w:before="0" w:beforeAutospacing="0" w:after="0" w:afterAutospacing="0" w:line="500" w:lineRule="exact"/>
        <w:ind w:firstLine="420" w:firstLineChars="200"/>
        <w:rPr>
          <w:rFonts w:ascii="宋体" w:cs="宋体"/>
          <w:sz w:val="21"/>
          <w:szCs w:val="21"/>
          <w:shd w:val="clear" w:color="auto" w:fill="FFFFFF"/>
        </w:rPr>
      </w:pPr>
      <w:r>
        <w:rPr>
          <w:rFonts w:hint="eastAsia" w:ascii="宋体" w:cs="宋体"/>
          <w:sz w:val="21"/>
          <w:szCs w:val="21"/>
          <w:shd w:val="clear" w:color="auto" w:fill="FFFFFF"/>
        </w:rPr>
        <w:t>5.具体的响应文件加密上传等操作详见政采云平台操作指南。https://edu.zcygov.cn/luban/e-biding?utm=a0004.2ef5001f.0001.0109.da8b35e0da8611e98d8937b7ef8a3544 。</w:t>
      </w:r>
    </w:p>
    <w:p w14:paraId="57D3ABB5">
      <w:pPr>
        <w:pStyle w:val="45"/>
        <w:spacing w:before="0" w:beforeAutospacing="0" w:after="0" w:afterAutospacing="0" w:line="500" w:lineRule="exact"/>
        <w:ind w:firstLine="420" w:firstLineChars="200"/>
        <w:rPr>
          <w:rFonts w:ascii="宋体" w:cs="宋体"/>
          <w:sz w:val="21"/>
          <w:szCs w:val="21"/>
          <w:shd w:val="clear" w:color="auto" w:fill="FFFFFF"/>
        </w:rPr>
      </w:pPr>
      <w:r>
        <w:rPr>
          <w:rFonts w:hint="eastAsia" w:ascii="宋体" w:cs="宋体"/>
          <w:sz w:val="21"/>
          <w:szCs w:val="21"/>
          <w:shd w:val="clear" w:color="auto" w:fill="FFFFFF"/>
        </w:rPr>
        <w:t>注：建议使用谷歌浏览器，使用其他浏览器可能发生无法解密等未知情况。</w:t>
      </w:r>
    </w:p>
    <w:p w14:paraId="4B394F2A">
      <w:pPr>
        <w:tabs>
          <w:tab w:val="left" w:pos="1260"/>
        </w:tabs>
        <w:autoSpaceDE/>
        <w:autoSpaceDN/>
        <w:adjustRightInd/>
        <w:snapToGrid w:val="0"/>
        <w:spacing w:line="500" w:lineRule="exact"/>
        <w:ind w:firstLine="315" w:firstLineChars="150"/>
        <w:jc w:val="both"/>
        <w:rPr>
          <w:rFonts w:hAnsi="宋体" w:cs="宋体"/>
          <w:sz w:val="21"/>
          <w:szCs w:val="21"/>
        </w:rPr>
      </w:pPr>
      <w:r>
        <w:rPr>
          <w:rFonts w:hint="eastAsia" w:hAnsi="宋体" w:cs="宋体"/>
          <w:sz w:val="21"/>
          <w:szCs w:val="21"/>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3CD23F99">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九、对本次招标提出询问，请按以下方式联系。</w:t>
      </w:r>
    </w:p>
    <w:bookmarkEnd w:id="26"/>
    <w:bookmarkEnd w:id="27"/>
    <w:bookmarkEnd w:id="28"/>
    <w:bookmarkEnd w:id="29"/>
    <w:bookmarkEnd w:id="34"/>
    <w:bookmarkEnd w:id="35"/>
    <w:bookmarkEnd w:id="36"/>
    <w:bookmarkEnd w:id="37"/>
    <w:p w14:paraId="55606DA5">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1.采购人信息</w:t>
      </w:r>
    </w:p>
    <w:p w14:paraId="2ACC4859">
      <w:pPr>
        <w:tabs>
          <w:tab w:val="left" w:pos="1260"/>
        </w:tabs>
        <w:adjustRightInd/>
        <w:spacing w:line="500" w:lineRule="exact"/>
        <w:ind w:firstLine="315" w:firstLineChars="150"/>
        <w:jc w:val="both"/>
        <w:rPr>
          <w:rFonts w:hAnsi="宋体" w:cs="宋体"/>
          <w:sz w:val="21"/>
          <w:szCs w:val="21"/>
          <w:highlight w:val="none"/>
        </w:rPr>
      </w:pPr>
      <w:r>
        <w:rPr>
          <w:rFonts w:hint="eastAsia" w:hAnsi="宋体" w:cs="宋体"/>
          <w:sz w:val="21"/>
          <w:szCs w:val="21"/>
          <w:highlight w:val="none"/>
        </w:rPr>
        <w:t>名 称：金华市婺城区罗埠镇中心小学    　　　　　　　　　　　　　</w:t>
      </w:r>
    </w:p>
    <w:p w14:paraId="45AD0C56">
      <w:pPr>
        <w:spacing w:line="500" w:lineRule="exact"/>
        <w:ind w:firstLine="338" w:firstLineChars="161"/>
        <w:rPr>
          <w:rFonts w:hAnsi="宋体" w:cs="宋体"/>
          <w:sz w:val="21"/>
          <w:szCs w:val="21"/>
          <w:highlight w:val="none"/>
        </w:rPr>
      </w:pPr>
      <w:r>
        <w:rPr>
          <w:rFonts w:hint="eastAsia" w:hAnsi="宋体" w:cs="宋体"/>
          <w:sz w:val="21"/>
          <w:szCs w:val="21"/>
          <w:highlight w:val="none"/>
        </w:rPr>
        <w:t>地址：浙江省金华市婺城区罗埠镇陈家沿村</w:t>
      </w:r>
    </w:p>
    <w:p w14:paraId="5B9970AC">
      <w:pPr>
        <w:spacing w:line="500" w:lineRule="exact"/>
        <w:ind w:firstLine="338" w:firstLineChars="161"/>
        <w:rPr>
          <w:rFonts w:hAnsi="宋体" w:cs="宋体"/>
          <w:sz w:val="21"/>
          <w:szCs w:val="21"/>
          <w:highlight w:val="none"/>
        </w:rPr>
      </w:pPr>
      <w:r>
        <w:rPr>
          <w:rFonts w:hint="eastAsia" w:hAnsi="宋体" w:cs="宋体"/>
          <w:sz w:val="21"/>
          <w:szCs w:val="21"/>
          <w:highlight w:val="none"/>
        </w:rPr>
        <w:t xml:space="preserve">联系人：胡绍称     </w:t>
      </w:r>
    </w:p>
    <w:p w14:paraId="2D46C171">
      <w:pPr>
        <w:autoSpaceDE/>
        <w:autoSpaceDN/>
        <w:adjustRightInd/>
        <w:spacing w:line="500" w:lineRule="exact"/>
        <w:ind w:firstLine="338" w:firstLineChars="161"/>
        <w:rPr>
          <w:rFonts w:hAnsi="宋体" w:cs="宋体"/>
          <w:sz w:val="21"/>
          <w:szCs w:val="21"/>
          <w:highlight w:val="none"/>
        </w:rPr>
      </w:pPr>
      <w:r>
        <w:rPr>
          <w:rFonts w:hint="eastAsia" w:hAnsi="宋体" w:cs="宋体"/>
          <w:sz w:val="21"/>
          <w:szCs w:val="21"/>
          <w:highlight w:val="none"/>
        </w:rPr>
        <w:t>联系电话：0579</w:t>
      </w:r>
      <w:r>
        <w:rPr>
          <w:rFonts w:hint="eastAsia" w:hAnsi="宋体" w:cs="宋体"/>
          <w:sz w:val="21"/>
          <w:szCs w:val="21"/>
          <w:highlight w:val="none"/>
          <w:lang w:val="en-US" w:eastAsia="zh-CN"/>
        </w:rPr>
        <w:t>-</w:t>
      </w:r>
      <w:r>
        <w:rPr>
          <w:rFonts w:hint="eastAsia" w:hAnsi="宋体" w:cs="宋体"/>
          <w:sz w:val="21"/>
          <w:szCs w:val="21"/>
          <w:highlight w:val="none"/>
        </w:rPr>
        <w:t xml:space="preserve">82147761‬ </w:t>
      </w:r>
    </w:p>
    <w:p w14:paraId="77288825">
      <w:pPr>
        <w:adjustRightInd/>
        <w:spacing w:line="500" w:lineRule="exact"/>
        <w:ind w:firstLine="338" w:firstLineChars="161"/>
        <w:rPr>
          <w:rFonts w:hAnsi="宋体" w:cs="宋体"/>
          <w:sz w:val="21"/>
          <w:szCs w:val="21"/>
          <w:highlight w:val="none"/>
        </w:rPr>
      </w:pPr>
      <w:r>
        <w:rPr>
          <w:rFonts w:hint="eastAsia" w:hAnsi="宋体" w:cs="宋体"/>
          <w:sz w:val="21"/>
          <w:szCs w:val="21"/>
          <w:highlight w:val="none"/>
        </w:rPr>
        <w:t xml:space="preserve">质疑联系人：胡绍称    </w:t>
      </w:r>
    </w:p>
    <w:p w14:paraId="27831BEF">
      <w:pPr>
        <w:adjustRightInd/>
        <w:spacing w:line="500" w:lineRule="exact"/>
        <w:ind w:firstLine="338" w:firstLineChars="161"/>
        <w:rPr>
          <w:rFonts w:hAnsi="宋体" w:cs="宋体"/>
          <w:sz w:val="21"/>
          <w:szCs w:val="21"/>
          <w:highlight w:val="none"/>
        </w:rPr>
      </w:pPr>
      <w:r>
        <w:rPr>
          <w:rFonts w:hint="eastAsia" w:hAnsi="宋体" w:cs="宋体"/>
          <w:sz w:val="21"/>
          <w:szCs w:val="21"/>
          <w:highlight w:val="none"/>
        </w:rPr>
        <w:t>质疑联系电话：0579</w:t>
      </w:r>
      <w:r>
        <w:rPr>
          <w:rFonts w:hint="eastAsia" w:hAnsi="宋体" w:cs="宋体"/>
          <w:sz w:val="21"/>
          <w:szCs w:val="21"/>
          <w:highlight w:val="none"/>
          <w:lang w:val="en-US" w:eastAsia="zh-CN"/>
        </w:rPr>
        <w:t>-</w:t>
      </w:r>
      <w:r>
        <w:rPr>
          <w:rFonts w:hint="eastAsia" w:hAnsi="宋体" w:cs="宋体"/>
          <w:sz w:val="21"/>
          <w:szCs w:val="21"/>
          <w:highlight w:val="none"/>
        </w:rPr>
        <w:t xml:space="preserve">82147761‬  </w:t>
      </w:r>
    </w:p>
    <w:p w14:paraId="03F61CB9">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2.采购代理机构信息</w:t>
      </w:r>
    </w:p>
    <w:p w14:paraId="767414E5">
      <w:pPr>
        <w:tabs>
          <w:tab w:val="left" w:pos="1260"/>
        </w:tabs>
        <w:autoSpaceDE/>
        <w:autoSpaceDN/>
        <w:adjustRightInd/>
        <w:snapToGrid w:val="0"/>
        <w:spacing w:line="500" w:lineRule="exact"/>
        <w:ind w:firstLine="315" w:firstLineChars="150"/>
        <w:jc w:val="both"/>
        <w:rPr>
          <w:rFonts w:hAnsi="宋体" w:cs="宋体"/>
          <w:sz w:val="21"/>
          <w:szCs w:val="21"/>
        </w:rPr>
      </w:pPr>
      <w:r>
        <w:rPr>
          <w:rFonts w:hint="eastAsia" w:hAnsi="宋体" w:cs="宋体"/>
          <w:sz w:val="21"/>
          <w:szCs w:val="21"/>
        </w:rPr>
        <w:t>名称：金华市天盈招标代理有限公司 　　　　　　　　　　</w:t>
      </w:r>
    </w:p>
    <w:p w14:paraId="7D333895">
      <w:pPr>
        <w:tabs>
          <w:tab w:val="left" w:pos="1260"/>
        </w:tabs>
        <w:autoSpaceDE/>
        <w:autoSpaceDN/>
        <w:adjustRightInd/>
        <w:snapToGrid w:val="0"/>
        <w:spacing w:line="500" w:lineRule="exact"/>
        <w:ind w:firstLine="315" w:firstLineChars="150"/>
        <w:jc w:val="both"/>
        <w:rPr>
          <w:rFonts w:hAnsi="宋体" w:cs="宋体"/>
          <w:sz w:val="21"/>
          <w:szCs w:val="21"/>
        </w:rPr>
      </w:pPr>
      <w:r>
        <w:rPr>
          <w:rFonts w:hint="eastAsia" w:hAnsi="宋体" w:cs="宋体"/>
          <w:sz w:val="21"/>
          <w:szCs w:val="21"/>
        </w:rPr>
        <w:t>地址：金华市婺城区建业东路168号 　     　</w:t>
      </w:r>
    </w:p>
    <w:p w14:paraId="7097FABC">
      <w:pPr>
        <w:tabs>
          <w:tab w:val="left" w:pos="1260"/>
        </w:tabs>
        <w:autoSpaceDE/>
        <w:autoSpaceDN/>
        <w:adjustRightInd/>
        <w:snapToGrid w:val="0"/>
        <w:spacing w:line="500" w:lineRule="exact"/>
        <w:ind w:firstLine="315" w:firstLineChars="150"/>
        <w:jc w:val="both"/>
        <w:rPr>
          <w:rFonts w:hAnsi="宋体" w:cs="宋体"/>
          <w:sz w:val="21"/>
          <w:szCs w:val="21"/>
        </w:rPr>
      </w:pPr>
      <w:r>
        <w:rPr>
          <w:rFonts w:hint="eastAsia" w:hAnsi="宋体" w:cs="宋体"/>
          <w:sz w:val="21"/>
          <w:szCs w:val="21"/>
        </w:rPr>
        <w:t>项目联系人（询问）：夏翰宇  　　</w:t>
      </w:r>
    </w:p>
    <w:p w14:paraId="0EEC82D9">
      <w:pPr>
        <w:tabs>
          <w:tab w:val="left" w:pos="1260"/>
        </w:tabs>
        <w:autoSpaceDE/>
        <w:autoSpaceDN/>
        <w:adjustRightInd/>
        <w:snapToGrid w:val="0"/>
        <w:spacing w:line="500" w:lineRule="exact"/>
        <w:ind w:firstLine="315" w:firstLineChars="150"/>
        <w:jc w:val="both"/>
        <w:rPr>
          <w:rFonts w:hAnsi="宋体" w:cs="宋体"/>
          <w:sz w:val="21"/>
          <w:szCs w:val="21"/>
        </w:rPr>
      </w:pPr>
      <w:r>
        <w:rPr>
          <w:rFonts w:hint="eastAsia" w:hAnsi="宋体" w:cs="宋体"/>
          <w:sz w:val="21"/>
          <w:szCs w:val="21"/>
        </w:rPr>
        <w:t>项目联系方式（询问）：0579-82474058</w:t>
      </w:r>
    </w:p>
    <w:p w14:paraId="7730A4A2">
      <w:pPr>
        <w:tabs>
          <w:tab w:val="left" w:pos="1260"/>
        </w:tabs>
        <w:autoSpaceDE/>
        <w:autoSpaceDN/>
        <w:adjustRightInd/>
        <w:snapToGrid w:val="0"/>
        <w:spacing w:line="500" w:lineRule="exact"/>
        <w:ind w:firstLine="315" w:firstLineChars="150"/>
        <w:jc w:val="both"/>
        <w:rPr>
          <w:rFonts w:hAnsi="宋体" w:cs="宋体"/>
          <w:sz w:val="21"/>
          <w:szCs w:val="21"/>
        </w:rPr>
      </w:pPr>
      <w:r>
        <w:rPr>
          <w:rFonts w:hint="eastAsia" w:hAnsi="宋体" w:cs="宋体"/>
          <w:sz w:val="21"/>
          <w:szCs w:val="21"/>
        </w:rPr>
        <w:t>质疑联系人（询问）：李宗宝　   　　</w:t>
      </w:r>
    </w:p>
    <w:p w14:paraId="2F27D087">
      <w:pPr>
        <w:tabs>
          <w:tab w:val="left" w:pos="1260"/>
        </w:tabs>
        <w:autoSpaceDE/>
        <w:autoSpaceDN/>
        <w:adjustRightInd/>
        <w:snapToGrid w:val="0"/>
        <w:spacing w:line="500" w:lineRule="exact"/>
        <w:ind w:firstLine="315" w:firstLineChars="150"/>
        <w:jc w:val="both"/>
        <w:rPr>
          <w:rFonts w:hint="default" w:hAnsi="宋体" w:eastAsia="宋体" w:cs="宋体"/>
          <w:sz w:val="21"/>
          <w:szCs w:val="21"/>
          <w:lang w:val="en-US" w:eastAsia="zh-CN"/>
        </w:rPr>
      </w:pPr>
      <w:r>
        <w:rPr>
          <w:rFonts w:hint="eastAsia" w:hAnsi="宋体" w:cs="宋体"/>
          <w:sz w:val="21"/>
          <w:szCs w:val="21"/>
        </w:rPr>
        <w:t>质疑联系方式（询问）：0579-82</w:t>
      </w:r>
      <w:r>
        <w:rPr>
          <w:rFonts w:hint="eastAsia" w:hAnsi="宋体" w:cs="宋体"/>
          <w:sz w:val="21"/>
          <w:szCs w:val="21"/>
          <w:lang w:val="en-US" w:eastAsia="zh-CN"/>
        </w:rPr>
        <w:t>681716</w:t>
      </w:r>
    </w:p>
    <w:p w14:paraId="51DF07B8">
      <w:pPr>
        <w:tabs>
          <w:tab w:val="left" w:pos="1260"/>
        </w:tabs>
        <w:autoSpaceDE/>
        <w:autoSpaceDN/>
        <w:adjustRightInd/>
        <w:snapToGrid w:val="0"/>
        <w:spacing w:line="500" w:lineRule="exact"/>
        <w:ind w:firstLine="316" w:firstLineChars="150"/>
        <w:jc w:val="both"/>
        <w:rPr>
          <w:rFonts w:hAnsi="宋体" w:cs="宋体"/>
          <w:b/>
          <w:sz w:val="21"/>
          <w:szCs w:val="21"/>
        </w:rPr>
      </w:pPr>
      <w:r>
        <w:rPr>
          <w:rFonts w:hint="eastAsia" w:hAnsi="宋体" w:cs="宋体"/>
          <w:b/>
          <w:sz w:val="21"/>
          <w:szCs w:val="21"/>
        </w:rPr>
        <w:t>3.同级政府采购监督管理部门</w:t>
      </w:r>
    </w:p>
    <w:p w14:paraId="09DEF702">
      <w:pPr>
        <w:tabs>
          <w:tab w:val="left" w:pos="1260"/>
        </w:tabs>
        <w:autoSpaceDE/>
        <w:autoSpaceDN/>
        <w:adjustRightInd/>
        <w:snapToGrid w:val="0"/>
        <w:spacing w:line="500" w:lineRule="exact"/>
        <w:ind w:firstLine="315" w:firstLineChars="150"/>
        <w:jc w:val="both"/>
        <w:rPr>
          <w:rFonts w:hAnsi="宋体" w:cs="宋体"/>
          <w:sz w:val="21"/>
          <w:szCs w:val="21"/>
        </w:rPr>
      </w:pPr>
      <w:r>
        <w:rPr>
          <w:rFonts w:hint="eastAsia" w:hAnsi="宋体" w:cs="宋体"/>
          <w:sz w:val="21"/>
          <w:szCs w:val="21"/>
        </w:rPr>
        <w:t>名称：金华经济技术开发区管理委员会财政局 　   </w:t>
      </w:r>
    </w:p>
    <w:p w14:paraId="7E887656">
      <w:pPr>
        <w:tabs>
          <w:tab w:val="left" w:pos="1260"/>
        </w:tabs>
        <w:autoSpaceDE/>
        <w:autoSpaceDN/>
        <w:adjustRightInd/>
        <w:snapToGrid w:val="0"/>
        <w:spacing w:line="500" w:lineRule="exact"/>
        <w:ind w:firstLine="420" w:firstLineChars="200"/>
        <w:jc w:val="both"/>
        <w:rPr>
          <w:rFonts w:hAnsi="宋体" w:cs="宋体"/>
          <w:sz w:val="21"/>
          <w:szCs w:val="21"/>
        </w:rPr>
      </w:pPr>
      <w:r>
        <w:rPr>
          <w:rFonts w:hint="eastAsia" w:hAnsi="宋体" w:cs="宋体"/>
          <w:sz w:val="21"/>
          <w:szCs w:val="21"/>
        </w:rPr>
        <w:t>地址：金华市李渔路1755号</w:t>
      </w:r>
    </w:p>
    <w:p w14:paraId="6F64CCB5">
      <w:pPr>
        <w:tabs>
          <w:tab w:val="left" w:pos="1260"/>
        </w:tabs>
        <w:autoSpaceDE/>
        <w:autoSpaceDN/>
        <w:adjustRightInd/>
        <w:snapToGrid w:val="0"/>
        <w:spacing w:line="500" w:lineRule="exact"/>
        <w:ind w:firstLine="420" w:firstLineChars="200"/>
        <w:jc w:val="both"/>
        <w:rPr>
          <w:rFonts w:hAnsi="宋体" w:cs="宋体"/>
          <w:sz w:val="21"/>
          <w:szCs w:val="21"/>
        </w:rPr>
      </w:pPr>
      <w:r>
        <w:rPr>
          <w:rFonts w:hint="eastAsia" w:hAnsi="宋体" w:cs="宋体"/>
          <w:sz w:val="21"/>
          <w:szCs w:val="21"/>
        </w:rPr>
        <w:t>联系人：陈老师</w:t>
      </w:r>
    </w:p>
    <w:p w14:paraId="513CF885">
      <w:pPr>
        <w:pStyle w:val="45"/>
        <w:spacing w:before="0" w:beforeAutospacing="0" w:after="0" w:afterAutospacing="0" w:line="500" w:lineRule="exact"/>
        <w:ind w:firstLine="420" w:firstLineChars="200"/>
        <w:rPr>
          <w:rStyle w:val="53"/>
          <w:rFonts w:ascii="宋体" w:hAnsi="宋体" w:cs="宋体"/>
          <w:sz w:val="21"/>
          <w:szCs w:val="21"/>
          <w:shd w:val="clear" w:color="auto" w:fill="FFFFFF"/>
        </w:rPr>
      </w:pPr>
      <w:r>
        <w:rPr>
          <w:rFonts w:hint="eastAsia" w:ascii="宋体" w:cs="宋体"/>
          <w:sz w:val="21"/>
          <w:szCs w:val="21"/>
        </w:rPr>
        <w:t>监督投诉电话：0579-89193093</w:t>
      </w:r>
    </w:p>
    <w:p w14:paraId="7ADA579D">
      <w:pPr>
        <w:pStyle w:val="45"/>
        <w:spacing w:before="0" w:beforeAutospacing="0" w:after="0" w:afterAutospacing="0" w:line="500" w:lineRule="exact"/>
        <w:ind w:firstLine="422" w:firstLineChars="200"/>
        <w:rPr>
          <w:rStyle w:val="53"/>
          <w:rFonts w:ascii="宋体" w:hAnsi="宋体" w:cs="宋体"/>
          <w:sz w:val="21"/>
          <w:szCs w:val="21"/>
          <w:shd w:val="clear" w:color="auto" w:fill="FFFFFF"/>
        </w:rPr>
      </w:pPr>
    </w:p>
    <w:p w14:paraId="5F5484AC">
      <w:pPr>
        <w:pStyle w:val="45"/>
        <w:spacing w:before="0" w:beforeAutospacing="0" w:after="0" w:afterAutospacing="0" w:line="500" w:lineRule="exact"/>
        <w:ind w:firstLine="422" w:firstLineChars="200"/>
        <w:rPr>
          <w:rStyle w:val="53"/>
          <w:rFonts w:ascii="宋体" w:hAnsi="宋体" w:cs="宋体"/>
          <w:sz w:val="21"/>
          <w:szCs w:val="21"/>
          <w:shd w:val="clear" w:color="auto" w:fill="FFFFFF"/>
        </w:rPr>
      </w:pPr>
    </w:p>
    <w:p w14:paraId="11929797">
      <w:pPr>
        <w:rPr>
          <w:rFonts w:hAnsi="宋体" w:cs="宋体"/>
        </w:rPr>
      </w:pPr>
    </w:p>
    <w:p w14:paraId="01985753">
      <w:pPr>
        <w:pStyle w:val="45"/>
        <w:spacing w:before="0" w:beforeAutospacing="0" w:after="0" w:afterAutospacing="0" w:line="500" w:lineRule="exact"/>
        <w:ind w:firstLine="422" w:firstLineChars="200"/>
        <w:rPr>
          <w:rStyle w:val="53"/>
          <w:rFonts w:ascii="宋体" w:hAnsi="宋体" w:cs="宋体"/>
          <w:sz w:val="21"/>
          <w:szCs w:val="21"/>
          <w:shd w:val="clear" w:color="auto" w:fill="FFFFFF"/>
        </w:rPr>
      </w:pPr>
    </w:p>
    <w:p w14:paraId="1656386D">
      <w:pPr>
        <w:pStyle w:val="45"/>
        <w:spacing w:before="0" w:beforeAutospacing="0" w:after="0" w:afterAutospacing="0" w:line="500" w:lineRule="exact"/>
        <w:ind w:firstLine="422" w:firstLineChars="200"/>
        <w:rPr>
          <w:rStyle w:val="53"/>
          <w:rFonts w:ascii="宋体" w:hAnsi="宋体" w:cs="宋体"/>
          <w:sz w:val="21"/>
          <w:szCs w:val="21"/>
          <w:shd w:val="clear" w:color="auto" w:fill="FFFFFF"/>
        </w:rPr>
      </w:pPr>
    </w:p>
    <w:p w14:paraId="30008DB3">
      <w:pPr>
        <w:pStyle w:val="45"/>
        <w:spacing w:before="0" w:beforeAutospacing="0" w:after="0" w:afterAutospacing="0" w:line="500" w:lineRule="exact"/>
        <w:ind w:firstLine="422" w:firstLineChars="200"/>
        <w:rPr>
          <w:rStyle w:val="53"/>
          <w:rFonts w:ascii="宋体" w:hAnsi="宋体" w:cs="宋体"/>
          <w:sz w:val="21"/>
          <w:szCs w:val="21"/>
          <w:shd w:val="clear" w:color="auto" w:fill="FFFFFF"/>
        </w:rPr>
      </w:pPr>
    </w:p>
    <w:p w14:paraId="405F94A5">
      <w:pPr>
        <w:pStyle w:val="45"/>
        <w:spacing w:before="0" w:beforeAutospacing="0" w:after="0" w:afterAutospacing="0" w:line="500" w:lineRule="exact"/>
        <w:ind w:firstLine="422" w:firstLineChars="200"/>
        <w:rPr>
          <w:rStyle w:val="53"/>
          <w:rFonts w:ascii="宋体" w:hAnsi="宋体" w:cs="宋体"/>
          <w:sz w:val="21"/>
          <w:szCs w:val="21"/>
          <w:shd w:val="clear" w:color="auto" w:fill="FFFFFF"/>
        </w:rPr>
      </w:pPr>
    </w:p>
    <w:p w14:paraId="125668A7">
      <w:pPr>
        <w:rPr>
          <w:rStyle w:val="53"/>
          <w:rFonts w:ascii="宋体" w:hAnsi="宋体" w:cs="宋体"/>
          <w:sz w:val="21"/>
          <w:szCs w:val="21"/>
          <w:shd w:val="clear" w:color="auto" w:fill="FFFFFF"/>
        </w:rPr>
      </w:pPr>
    </w:p>
    <w:p w14:paraId="1BB7004E">
      <w:pPr>
        <w:pStyle w:val="49"/>
        <w:ind w:left="680"/>
        <w:rPr>
          <w:rStyle w:val="53"/>
          <w:rFonts w:ascii="宋体" w:hAnsi="宋体" w:cs="宋体"/>
          <w:sz w:val="21"/>
          <w:szCs w:val="21"/>
          <w:shd w:val="clear" w:color="auto" w:fill="FFFFFF"/>
        </w:rPr>
      </w:pPr>
    </w:p>
    <w:p w14:paraId="599EAB76">
      <w:pPr>
        <w:rPr>
          <w:rStyle w:val="53"/>
          <w:rFonts w:ascii="宋体" w:hAnsi="宋体" w:cs="宋体"/>
          <w:sz w:val="21"/>
          <w:szCs w:val="21"/>
          <w:shd w:val="clear" w:color="auto" w:fill="FFFFFF"/>
        </w:rPr>
      </w:pPr>
    </w:p>
    <w:p w14:paraId="7368F4EB">
      <w:pPr>
        <w:pStyle w:val="49"/>
        <w:ind w:left="680"/>
        <w:rPr>
          <w:rStyle w:val="53"/>
          <w:rFonts w:ascii="宋体" w:hAnsi="宋体" w:cs="宋体"/>
          <w:sz w:val="21"/>
          <w:szCs w:val="21"/>
          <w:shd w:val="clear" w:color="auto" w:fill="FFFFFF"/>
        </w:rPr>
      </w:pPr>
    </w:p>
    <w:p w14:paraId="1601B9E5">
      <w:pPr>
        <w:rPr>
          <w:rFonts w:hAnsi="宋体" w:cs="宋体"/>
        </w:rPr>
      </w:pPr>
    </w:p>
    <w:p w14:paraId="5158B4BB">
      <w:pPr>
        <w:pStyle w:val="21"/>
      </w:pPr>
    </w:p>
    <w:p w14:paraId="28D26455">
      <w:pPr>
        <w:pStyle w:val="48"/>
        <w:ind w:firstLine="280"/>
      </w:pPr>
    </w:p>
    <w:p w14:paraId="272F33E4"/>
    <w:p w14:paraId="5E595AA3">
      <w:pPr>
        <w:pStyle w:val="49"/>
        <w:ind w:left="680"/>
      </w:pPr>
    </w:p>
    <w:bookmarkEnd w:id="13"/>
    <w:bookmarkEnd w:id="14"/>
    <w:bookmarkEnd w:id="15"/>
    <w:bookmarkEnd w:id="16"/>
    <w:p w14:paraId="1CBE12FA">
      <w:pPr>
        <w:pStyle w:val="2"/>
        <w:keepNext w:val="0"/>
        <w:spacing w:line="500" w:lineRule="exact"/>
        <w:jc w:val="center"/>
        <w:rPr>
          <w:rFonts w:ascii="宋体" w:hAnsi="宋体" w:cs="宋体"/>
          <w:color w:val="auto"/>
          <w:sz w:val="30"/>
          <w:szCs w:val="30"/>
        </w:rPr>
      </w:pPr>
      <w:bookmarkStart w:id="38" w:name="_Toc18888"/>
      <w:bookmarkStart w:id="39" w:name="_Toc10973"/>
      <w:bookmarkStart w:id="40" w:name="_Toc30147"/>
      <w:bookmarkStart w:id="41" w:name="_Toc15375"/>
      <w:bookmarkStart w:id="42" w:name="_Toc351559941"/>
      <w:bookmarkStart w:id="43" w:name="_Toc5967"/>
      <w:bookmarkStart w:id="44" w:name="_Toc20556"/>
      <w:bookmarkStart w:id="45" w:name="_Toc17017"/>
      <w:bookmarkStart w:id="46" w:name="_Toc12854"/>
      <w:bookmarkStart w:id="47" w:name="_Toc4302"/>
      <w:bookmarkStart w:id="48" w:name="_Toc11421"/>
      <w:bookmarkStart w:id="49" w:name="_Toc18677"/>
      <w:r>
        <w:rPr>
          <w:rFonts w:hint="eastAsia" w:ascii="宋体" w:hAnsi="宋体" w:cs="宋体"/>
          <w:color w:val="auto"/>
          <w:sz w:val="30"/>
          <w:szCs w:val="30"/>
        </w:rPr>
        <w:t>第二章  招标需求</w:t>
      </w:r>
      <w:bookmarkEnd w:id="38"/>
      <w:bookmarkEnd w:id="39"/>
      <w:bookmarkEnd w:id="40"/>
      <w:bookmarkEnd w:id="41"/>
      <w:bookmarkEnd w:id="42"/>
      <w:bookmarkEnd w:id="43"/>
      <w:bookmarkEnd w:id="44"/>
      <w:bookmarkEnd w:id="45"/>
      <w:bookmarkEnd w:id="46"/>
      <w:bookmarkEnd w:id="47"/>
      <w:bookmarkEnd w:id="48"/>
      <w:bookmarkEnd w:id="49"/>
    </w:p>
    <w:p w14:paraId="53FE9754">
      <w:pPr>
        <w:snapToGrid w:val="0"/>
        <w:spacing w:line="460" w:lineRule="exact"/>
        <w:ind w:firstLine="422" w:firstLineChars="200"/>
        <w:textAlignment w:val="baseline"/>
        <w:rPr>
          <w:rFonts w:hAnsi="宋体" w:cs="宋体"/>
          <w:b/>
          <w:bCs/>
          <w:sz w:val="21"/>
          <w:szCs w:val="21"/>
        </w:rPr>
      </w:pPr>
      <w:bookmarkStart w:id="50" w:name="_Toc3681"/>
      <w:bookmarkStart w:id="51" w:name="_Toc25588"/>
      <w:bookmarkStart w:id="52" w:name="_Toc351559942"/>
      <w:r>
        <w:rPr>
          <w:rFonts w:hint="eastAsia" w:hAnsi="宋体" w:cs="宋体"/>
          <w:b/>
          <w:bCs/>
          <w:sz w:val="21"/>
          <w:szCs w:val="21"/>
        </w:rPr>
        <w:t>一、项目概况</w:t>
      </w:r>
    </w:p>
    <w:p w14:paraId="07FBF640">
      <w:pPr>
        <w:snapToGrid w:val="0"/>
        <w:spacing w:line="460" w:lineRule="exact"/>
        <w:ind w:firstLine="420" w:firstLineChars="200"/>
        <w:rPr>
          <w:rFonts w:hAnsi="宋体" w:cs="宋体"/>
          <w:sz w:val="21"/>
          <w:szCs w:val="21"/>
        </w:rPr>
      </w:pPr>
      <w:r>
        <w:rPr>
          <w:rFonts w:hint="eastAsia" w:hAnsi="宋体" w:cs="宋体"/>
          <w:sz w:val="21"/>
          <w:szCs w:val="21"/>
        </w:rPr>
        <w:t>1.项目预算金额：人民币</w:t>
      </w:r>
      <w:r>
        <w:rPr>
          <w:rFonts w:hint="eastAsia" w:hAnsi="宋体" w:cs="宋体"/>
          <w:sz w:val="21"/>
        </w:rPr>
        <w:t>30万元</w:t>
      </w:r>
      <w:r>
        <w:rPr>
          <w:rFonts w:hint="eastAsia" w:hAnsi="宋体" w:cs="宋体"/>
          <w:sz w:val="21"/>
          <w:szCs w:val="21"/>
        </w:rPr>
        <w:t>。本项目为交钥匙工程，除了提供相关货物之外，还包括与之相关的施工、安装等其他工程，直至一经交付即可正常使用。</w:t>
      </w:r>
    </w:p>
    <w:p w14:paraId="5FF02F7C">
      <w:pPr>
        <w:snapToGrid w:val="0"/>
        <w:spacing w:line="460" w:lineRule="exact"/>
        <w:ind w:firstLine="420" w:firstLineChars="200"/>
        <w:rPr>
          <w:rFonts w:hAnsi="宋体" w:cs="宋体"/>
          <w:sz w:val="21"/>
          <w:szCs w:val="21"/>
        </w:rPr>
      </w:pPr>
      <w:r>
        <w:rPr>
          <w:rFonts w:hint="eastAsia" w:hAnsi="宋体" w:cs="宋体"/>
          <w:sz w:val="21"/>
          <w:szCs w:val="21"/>
        </w:rPr>
        <w:t>2.投标人在运输、安装设备时，运输费用（包括水平运输、垂直运输等）自行考虑，设备安装时如需开孔、开凿、孔洞封堵、现场电路预埋管位置偏差等由投标人自理，投标人自行勘察现场，报价时综合考虑，费用不另计。</w:t>
      </w:r>
    </w:p>
    <w:p w14:paraId="2ACE2923">
      <w:pPr>
        <w:snapToGrid w:val="0"/>
        <w:spacing w:line="500" w:lineRule="exact"/>
        <w:ind w:firstLine="420" w:firstLineChars="200"/>
        <w:rPr>
          <w:rFonts w:hAnsi="宋体" w:cs="宋体"/>
          <w:sz w:val="21"/>
          <w:szCs w:val="21"/>
        </w:rPr>
      </w:pPr>
      <w:r>
        <w:rPr>
          <w:rFonts w:hint="eastAsia" w:hAnsi="宋体" w:cs="宋体"/>
          <w:sz w:val="21"/>
          <w:szCs w:val="21"/>
        </w:rPr>
        <w:t>3.投标人需要联系采购人自行勘察现场。如因勘察不到位，导致满足不了采购人要求，采购人有权要求中标人重做并无条件满足需求。</w:t>
      </w:r>
    </w:p>
    <w:p w14:paraId="0006A971">
      <w:pPr>
        <w:pStyle w:val="49"/>
        <w:autoSpaceDE/>
        <w:autoSpaceDN/>
        <w:spacing w:after="0" w:line="500" w:lineRule="exact"/>
        <w:ind w:left="0" w:leftChars="0" w:firstLineChars="200"/>
      </w:pPr>
      <w:r>
        <w:rPr>
          <w:rFonts w:hint="eastAsia"/>
          <w:sz w:val="21"/>
          <w:szCs w:val="21"/>
        </w:rPr>
        <w:t>二、</w:t>
      </w:r>
      <w:r>
        <w:rPr>
          <w:rFonts w:hint="eastAsia" w:hAnsi="宋体"/>
          <w:b/>
          <w:sz w:val="21"/>
          <w:szCs w:val="21"/>
        </w:rPr>
        <w:t>货物数量及规格参数要求</w:t>
      </w:r>
    </w:p>
    <w:tbl>
      <w:tblPr>
        <w:tblStyle w:val="5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588"/>
        <w:gridCol w:w="6451"/>
        <w:gridCol w:w="461"/>
        <w:gridCol w:w="461"/>
      </w:tblGrid>
      <w:tr w14:paraId="54ED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6A76CD14">
            <w:pPr>
              <w:widowControl/>
              <w:spacing w:line="460" w:lineRule="exact"/>
              <w:jc w:val="center"/>
              <w:textAlignment w:val="center"/>
              <w:rPr>
                <w:rFonts w:hAnsi="宋体" w:cs="宋体"/>
                <w:b/>
                <w:bCs/>
                <w:sz w:val="22"/>
                <w:szCs w:val="22"/>
              </w:rPr>
            </w:pPr>
            <w:r>
              <w:rPr>
                <w:rFonts w:hint="eastAsia" w:hAnsi="宋体" w:cs="宋体"/>
                <w:b/>
                <w:bCs/>
                <w:sz w:val="22"/>
                <w:szCs w:val="22"/>
                <w:lang w:bidi="ar"/>
              </w:rPr>
              <w:t>序号</w:t>
            </w:r>
          </w:p>
        </w:tc>
        <w:tc>
          <w:tcPr>
            <w:tcW w:w="0" w:type="auto"/>
            <w:shd w:val="clear" w:color="auto" w:fill="auto"/>
            <w:vAlign w:val="center"/>
          </w:tcPr>
          <w:p w14:paraId="4F2C7106">
            <w:pPr>
              <w:widowControl/>
              <w:spacing w:line="460" w:lineRule="exact"/>
              <w:jc w:val="center"/>
              <w:textAlignment w:val="center"/>
              <w:rPr>
                <w:rFonts w:hAnsi="宋体" w:cs="宋体"/>
                <w:b/>
                <w:bCs/>
                <w:sz w:val="22"/>
                <w:szCs w:val="22"/>
              </w:rPr>
            </w:pPr>
            <w:r>
              <w:rPr>
                <w:rFonts w:hint="eastAsia" w:hAnsi="宋体" w:cs="宋体"/>
                <w:b/>
                <w:bCs/>
                <w:sz w:val="22"/>
                <w:szCs w:val="22"/>
                <w:lang w:bidi="ar"/>
              </w:rPr>
              <w:t>名称</w:t>
            </w:r>
          </w:p>
        </w:tc>
        <w:tc>
          <w:tcPr>
            <w:tcW w:w="0" w:type="auto"/>
            <w:shd w:val="clear" w:color="auto" w:fill="auto"/>
            <w:vAlign w:val="center"/>
          </w:tcPr>
          <w:p w14:paraId="3343D86B">
            <w:pPr>
              <w:widowControl/>
              <w:spacing w:line="460" w:lineRule="exact"/>
              <w:jc w:val="center"/>
              <w:textAlignment w:val="center"/>
              <w:rPr>
                <w:rFonts w:hAnsi="宋体" w:cs="宋体"/>
                <w:b/>
                <w:bCs/>
                <w:sz w:val="22"/>
                <w:szCs w:val="22"/>
              </w:rPr>
            </w:pPr>
            <w:r>
              <w:rPr>
                <w:rFonts w:hint="eastAsia" w:hAnsi="宋体" w:cs="宋体"/>
                <w:b/>
                <w:bCs/>
                <w:sz w:val="22"/>
                <w:szCs w:val="22"/>
                <w:lang w:bidi="ar"/>
              </w:rPr>
              <w:t>招标参数</w:t>
            </w:r>
          </w:p>
        </w:tc>
        <w:tc>
          <w:tcPr>
            <w:tcW w:w="0" w:type="auto"/>
            <w:shd w:val="clear" w:color="auto" w:fill="auto"/>
            <w:vAlign w:val="center"/>
          </w:tcPr>
          <w:p w14:paraId="55043FBF">
            <w:pPr>
              <w:widowControl/>
              <w:spacing w:line="460" w:lineRule="exact"/>
              <w:jc w:val="center"/>
              <w:textAlignment w:val="center"/>
              <w:rPr>
                <w:rFonts w:hAnsi="宋体" w:cs="宋体"/>
                <w:b/>
                <w:bCs/>
                <w:sz w:val="22"/>
                <w:szCs w:val="22"/>
              </w:rPr>
            </w:pPr>
            <w:r>
              <w:rPr>
                <w:rFonts w:hint="eastAsia" w:hAnsi="宋体" w:cs="宋体"/>
                <w:b/>
                <w:bCs/>
                <w:sz w:val="22"/>
                <w:szCs w:val="22"/>
                <w:lang w:bidi="ar"/>
              </w:rPr>
              <w:t>数量</w:t>
            </w:r>
          </w:p>
        </w:tc>
        <w:tc>
          <w:tcPr>
            <w:tcW w:w="0" w:type="auto"/>
            <w:shd w:val="clear" w:color="auto" w:fill="auto"/>
            <w:vAlign w:val="center"/>
          </w:tcPr>
          <w:p w14:paraId="6D994A22">
            <w:pPr>
              <w:widowControl/>
              <w:spacing w:line="460" w:lineRule="exact"/>
              <w:jc w:val="center"/>
              <w:textAlignment w:val="center"/>
              <w:rPr>
                <w:rFonts w:hAnsi="宋体" w:cs="宋体"/>
                <w:b/>
                <w:bCs/>
                <w:sz w:val="22"/>
                <w:szCs w:val="22"/>
              </w:rPr>
            </w:pPr>
            <w:r>
              <w:rPr>
                <w:rFonts w:hint="eastAsia" w:hAnsi="宋体" w:cs="宋体"/>
                <w:b/>
                <w:bCs/>
                <w:sz w:val="22"/>
                <w:szCs w:val="22"/>
                <w:lang w:bidi="ar"/>
              </w:rPr>
              <w:t>单位</w:t>
            </w:r>
          </w:p>
        </w:tc>
      </w:tr>
      <w:tr w14:paraId="7A10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gridSpan w:val="3"/>
            <w:shd w:val="clear" w:color="auto" w:fill="auto"/>
            <w:vAlign w:val="center"/>
          </w:tcPr>
          <w:p w14:paraId="301254D0">
            <w:pPr>
              <w:widowControl/>
              <w:spacing w:line="460" w:lineRule="exact"/>
              <w:textAlignment w:val="center"/>
              <w:rPr>
                <w:rFonts w:hAnsi="宋体" w:cs="宋体"/>
                <w:b/>
                <w:bCs/>
                <w:color w:val="000000"/>
                <w:sz w:val="20"/>
              </w:rPr>
            </w:pPr>
            <w:r>
              <w:rPr>
                <w:rFonts w:hint="eastAsia" w:hAnsi="宋体" w:cs="宋体"/>
                <w:b/>
                <w:bCs/>
                <w:color w:val="000000"/>
                <w:sz w:val="20"/>
                <w:lang w:bidi="ar"/>
              </w:rPr>
              <w:t>一、多媒体系统</w:t>
            </w:r>
          </w:p>
        </w:tc>
        <w:tc>
          <w:tcPr>
            <w:tcW w:w="0" w:type="auto"/>
            <w:shd w:val="clear" w:color="auto" w:fill="auto"/>
            <w:vAlign w:val="center"/>
          </w:tcPr>
          <w:p w14:paraId="0003539A">
            <w:pPr>
              <w:spacing w:line="460" w:lineRule="exact"/>
              <w:jc w:val="center"/>
              <w:rPr>
                <w:rFonts w:hAnsi="宋体" w:cs="宋体"/>
                <w:color w:val="000000"/>
                <w:sz w:val="20"/>
              </w:rPr>
            </w:pPr>
          </w:p>
        </w:tc>
        <w:tc>
          <w:tcPr>
            <w:tcW w:w="0" w:type="auto"/>
            <w:shd w:val="clear" w:color="auto" w:fill="auto"/>
            <w:vAlign w:val="center"/>
          </w:tcPr>
          <w:p w14:paraId="56291E33">
            <w:pPr>
              <w:spacing w:line="460" w:lineRule="exact"/>
              <w:jc w:val="center"/>
              <w:rPr>
                <w:rFonts w:hAnsi="宋体" w:cs="宋体"/>
                <w:color w:val="000000"/>
                <w:sz w:val="20"/>
              </w:rPr>
            </w:pPr>
          </w:p>
        </w:tc>
      </w:tr>
      <w:tr w14:paraId="0C69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2BA33A2E">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noWrap/>
            <w:vAlign w:val="center"/>
          </w:tcPr>
          <w:p w14:paraId="08839D29">
            <w:pPr>
              <w:widowControl/>
              <w:spacing w:line="460" w:lineRule="exact"/>
              <w:jc w:val="center"/>
              <w:textAlignment w:val="center"/>
              <w:rPr>
                <w:rFonts w:hAnsi="宋体" w:cs="宋体"/>
                <w:color w:val="000000"/>
                <w:sz w:val="20"/>
              </w:rPr>
            </w:pPr>
            <w:r>
              <w:rPr>
                <w:rFonts w:hint="eastAsia" w:hAnsi="宋体" w:cs="宋体"/>
                <w:color w:val="000000"/>
                <w:sz w:val="20"/>
                <w:lang w:bidi="ar"/>
              </w:rPr>
              <w:t>教学一体机</w:t>
            </w:r>
          </w:p>
        </w:tc>
        <w:tc>
          <w:tcPr>
            <w:tcW w:w="0" w:type="auto"/>
            <w:shd w:val="clear" w:color="auto" w:fill="auto"/>
            <w:vAlign w:val="center"/>
          </w:tcPr>
          <w:p w14:paraId="5A57B670">
            <w:pPr>
              <w:widowControl/>
              <w:spacing w:line="460" w:lineRule="exact"/>
              <w:textAlignment w:val="center"/>
              <w:rPr>
                <w:rFonts w:hAnsi="宋体" w:cs="宋体"/>
                <w:color w:val="000000"/>
                <w:sz w:val="20"/>
              </w:rPr>
            </w:pPr>
            <w:r>
              <w:rPr>
                <w:rFonts w:hint="eastAsia" w:hAnsi="宋体" w:cs="宋体"/>
                <w:color w:val="000000"/>
                <w:sz w:val="20"/>
                <w:lang w:bidi="ar"/>
              </w:rPr>
              <w:t>一、整体设计</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整机采用全金属外壳一体设计，防潮耐盐雾蚀锈。屏幕采用86英寸超高清LED液晶显示屏，显示比例16:9，分辨率3840×2160。</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采用全物理钢化防眩光玻璃，钢化玻璃表面硬度≥9H，有效保护屏幕显示画面；支持防眩光功能，减少用眼疲劳。</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侧置输入接口具备2路HDMI、1路RS232、1路USB；输出接口具备1路音频输出、1路触控USB输出。前置1路Type-C、2路USB。</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前置USB接口具备防撞挡板设计，防撞挡板采用转轴式翻转。</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内置摄像头、麦克风无需外接线材连接，无任何可见外接线材及模块化拼接痕迹，未占用整机设备端口。</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整机内置扬声器采用缝隙发声技术，槽式开口设计，不大于5.8mm；采用2.2声道扬声器，位于设备上边框，顶置朝前发声，额定总功率60W。（提供国内检验检测机构出具的权威检测报告复印件并加盖公章）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7</w:t>
            </w:r>
            <w:r>
              <w:rPr>
                <w:rFonts w:hint="eastAsia" w:hAnsi="宋体" w:cs="宋体"/>
                <w:color w:val="000000"/>
                <w:sz w:val="20"/>
                <w:lang w:val="en-US" w:eastAsia="zh-CN" w:bidi="ar"/>
              </w:rPr>
              <w:t>.</w:t>
            </w:r>
            <w:r>
              <w:rPr>
                <w:rFonts w:hint="eastAsia" w:hAnsi="宋体" w:cs="宋体"/>
                <w:color w:val="000000"/>
                <w:sz w:val="20"/>
                <w:lang w:bidi="ar"/>
              </w:rPr>
              <w:t>整机可选择高级音效设置，支持修改左右声道平衡，调节中低频段、高频段。扬声器在100%音量下，可做到1米处声压级≥88db，10米处声压级≥79dB</w:t>
            </w:r>
            <w:r>
              <w:rPr>
                <w:rFonts w:hint="eastAsia" w:hAnsi="宋体" w:cs="宋体"/>
                <w:color w:val="000000"/>
                <w:sz w:val="20"/>
                <w:lang w:bidi="ar"/>
              </w:rPr>
              <w:br w:type="textWrapping"/>
            </w:r>
            <w:r>
              <w:rPr>
                <w:rFonts w:hint="eastAsia" w:hAnsi="宋体" w:cs="宋体"/>
                <w:color w:val="000000"/>
                <w:sz w:val="20"/>
                <w:lang w:bidi="ar"/>
              </w:rPr>
              <w:t>8</w:t>
            </w:r>
            <w:r>
              <w:rPr>
                <w:rFonts w:hint="eastAsia" w:hAnsi="宋体" w:cs="宋体"/>
                <w:color w:val="000000"/>
                <w:sz w:val="20"/>
                <w:lang w:val="en-US" w:eastAsia="zh-CN" w:bidi="ar"/>
              </w:rPr>
              <w:t>.</w:t>
            </w:r>
            <w:r>
              <w:rPr>
                <w:rFonts w:hint="eastAsia" w:hAnsi="宋体" w:cs="宋体"/>
                <w:color w:val="000000"/>
                <w:sz w:val="20"/>
                <w:lang w:bidi="ar"/>
              </w:rPr>
              <w:t>支持标准、听力、观影和AI空间感知音效模式，内置麦克风可采集教室物理环境声音，自动生成符合当前教室物理环境的频段、音量、音效，优化学习体验。</w:t>
            </w:r>
            <w:r>
              <w:rPr>
                <w:rFonts w:hint="eastAsia" w:hAnsi="宋体" w:cs="宋体"/>
                <w:color w:val="000000"/>
                <w:sz w:val="20"/>
                <w:lang w:bidi="ar"/>
              </w:rPr>
              <w:br w:type="textWrapping"/>
            </w:r>
            <w:r>
              <w:rPr>
                <w:rFonts w:hint="eastAsia" w:hAnsi="宋体" w:cs="宋体"/>
                <w:color w:val="000000"/>
                <w:sz w:val="20"/>
                <w:lang w:bidi="ar"/>
              </w:rPr>
              <w:t>▲9</w:t>
            </w:r>
            <w:r>
              <w:rPr>
                <w:rFonts w:hint="eastAsia" w:hAnsi="宋体" w:cs="宋体"/>
                <w:color w:val="000000"/>
                <w:sz w:val="20"/>
                <w:lang w:val="en-US" w:eastAsia="zh-CN" w:bidi="ar"/>
              </w:rPr>
              <w:t>.</w:t>
            </w:r>
            <w:r>
              <w:rPr>
                <w:rFonts w:hint="eastAsia" w:hAnsi="宋体" w:cs="宋体"/>
                <w:color w:val="000000"/>
                <w:sz w:val="20"/>
                <w:lang w:bidi="ar"/>
              </w:rPr>
              <w:t>整机内置非独立外扩展的8阵列麦克风，拾音角度≥180°，拾音距离≥12米，全面覆盖，保证教室内声音的清晰收录。</w:t>
            </w:r>
            <w:r>
              <w:rPr>
                <w:rFonts w:hint="eastAsia" w:hAnsi="宋体" w:cs="宋体"/>
                <w:color w:val="000000"/>
                <w:sz w:val="20"/>
                <w:lang w:bidi="ar"/>
              </w:rPr>
              <w:br w:type="textWrapping"/>
            </w:r>
            <w:r>
              <w:rPr>
                <w:rFonts w:hint="eastAsia" w:hAnsi="宋体" w:cs="宋体"/>
                <w:color w:val="000000"/>
                <w:sz w:val="20"/>
                <w:lang w:bidi="ar"/>
              </w:rPr>
              <w:t>10</w:t>
            </w:r>
            <w:r>
              <w:rPr>
                <w:rFonts w:hint="eastAsia" w:hAnsi="宋体" w:cs="宋体"/>
                <w:color w:val="000000"/>
                <w:sz w:val="20"/>
                <w:lang w:val="en-US" w:eastAsia="zh-CN" w:bidi="ar"/>
              </w:rPr>
              <w:t>.</w:t>
            </w:r>
            <w:r>
              <w:rPr>
                <w:rFonts w:hint="eastAsia" w:hAnsi="宋体" w:cs="宋体"/>
                <w:color w:val="000000"/>
                <w:sz w:val="20"/>
                <w:lang w:bidi="ar"/>
              </w:rPr>
              <w:t>整机背光系统支持DC调光方式，避免频闪调光引起的视觉疲劳，在白颜色背景下可做到最暗亮度≤100nit，保护师生视力。（提供国内检验检测机构出具的权威检测报告复印件并加盖公章）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▲11</w:t>
            </w:r>
            <w:r>
              <w:rPr>
                <w:rFonts w:hint="eastAsia" w:hAnsi="宋体" w:cs="宋体"/>
                <w:color w:val="000000"/>
                <w:sz w:val="20"/>
                <w:lang w:val="en-US" w:eastAsia="zh-CN" w:bidi="ar"/>
              </w:rPr>
              <w:t>.</w:t>
            </w:r>
            <w:r>
              <w:rPr>
                <w:rFonts w:hint="eastAsia" w:hAnsi="宋体" w:cs="宋体"/>
                <w:color w:val="000000"/>
                <w:sz w:val="20"/>
                <w:lang w:bidi="ar"/>
              </w:rPr>
              <w:t>整机系统支持人工智能画质调节模式（AI-PQ），在安卓通道下可根据屏幕内容自动调节画质参数，如调整对比度、饱和度、锐利度、色调色相值、高光/阴影等，以达到更好的观看体验。（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12</w:t>
            </w:r>
            <w:r>
              <w:rPr>
                <w:rFonts w:hint="eastAsia" w:hAnsi="宋体" w:cs="宋体"/>
                <w:color w:val="000000"/>
                <w:sz w:val="20"/>
                <w:lang w:val="en-US" w:eastAsia="zh-CN" w:bidi="ar"/>
              </w:rPr>
              <w:t>.</w:t>
            </w:r>
            <w:r>
              <w:rPr>
                <w:rFonts w:hint="eastAsia" w:hAnsi="宋体" w:cs="宋体"/>
                <w:color w:val="000000"/>
                <w:sz w:val="20"/>
                <w:lang w:bidi="ar"/>
              </w:rPr>
              <w:t>整机屏幕蓝光占比＜50%；视网膜蓝光危害满足IECTR62778:2014蓝光危害RG0级别，低蓝光显示保护用眼安全。</w:t>
            </w:r>
            <w:r>
              <w:rPr>
                <w:rFonts w:hint="eastAsia" w:hAnsi="宋体" w:cs="宋体"/>
                <w:color w:val="000000"/>
                <w:sz w:val="20"/>
                <w:lang w:bidi="ar"/>
              </w:rPr>
              <w:br w:type="textWrapping"/>
            </w:r>
            <w:r>
              <w:rPr>
                <w:rFonts w:hint="eastAsia" w:hAnsi="宋体" w:cs="宋体"/>
                <w:color w:val="000000"/>
                <w:sz w:val="20"/>
                <w:lang w:bidi="ar"/>
              </w:rPr>
              <w:t>▲13</w:t>
            </w:r>
            <w:r>
              <w:rPr>
                <w:rFonts w:hint="eastAsia" w:hAnsi="宋体" w:cs="宋体"/>
                <w:color w:val="000000"/>
                <w:sz w:val="20"/>
                <w:lang w:val="en-US" w:eastAsia="zh-CN" w:bidi="ar"/>
              </w:rPr>
              <w:t>.</w:t>
            </w:r>
            <w:r>
              <w:rPr>
                <w:rFonts w:hint="eastAsia" w:hAnsi="宋体" w:cs="宋体"/>
                <w:color w:val="000000"/>
                <w:sz w:val="20"/>
                <w:lang w:bidi="ar"/>
              </w:rPr>
              <w:t>整机在sRGB色彩空间下可做到高色准△E≤1，提供细腻的色彩表现，减少绚丽画面带来的用眼疲劳。（提供国内检验检测机构出具的权威检测报告复印件并加盖公章）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14</w:t>
            </w:r>
            <w:r>
              <w:rPr>
                <w:rFonts w:hint="eastAsia" w:hAnsi="宋体" w:cs="宋体"/>
                <w:color w:val="000000"/>
                <w:sz w:val="20"/>
                <w:lang w:val="en-US" w:eastAsia="zh-CN" w:bidi="ar"/>
              </w:rPr>
              <w:t>.</w:t>
            </w:r>
            <w:r>
              <w:rPr>
                <w:rFonts w:hint="eastAsia" w:hAnsi="宋体" w:cs="宋体"/>
                <w:color w:val="000000"/>
                <w:sz w:val="20"/>
                <w:lang w:bidi="ar"/>
              </w:rPr>
              <w:t>整机全通道支持纸质护眼模式，该模式下，显示画面各像素点灰度不规则，减少背景干扰；可根据教学需求对画面纹理、透明度实时调整，获得纸质阅读的视觉感受；支持环境色温判断，根据环境调节合适的显示图像效果，提升观看舒适度。</w:t>
            </w:r>
            <w:r>
              <w:rPr>
                <w:rFonts w:hint="eastAsia" w:hAnsi="宋体" w:cs="宋体"/>
                <w:color w:val="000000"/>
                <w:sz w:val="20"/>
                <w:lang w:bidi="ar"/>
              </w:rPr>
              <w:br w:type="textWrapping"/>
            </w:r>
            <w:r>
              <w:rPr>
                <w:rFonts w:hint="eastAsia" w:hAnsi="宋体" w:cs="宋体"/>
                <w:color w:val="000000"/>
                <w:sz w:val="20"/>
                <w:lang w:bidi="ar"/>
              </w:rPr>
              <w:t>▲15</w:t>
            </w:r>
            <w:r>
              <w:rPr>
                <w:rFonts w:hint="eastAsia" w:hAnsi="宋体" w:cs="宋体"/>
                <w:color w:val="000000"/>
                <w:sz w:val="20"/>
                <w:lang w:val="en-US" w:eastAsia="zh-CN" w:bidi="ar"/>
              </w:rPr>
              <w:t>.</w:t>
            </w:r>
            <w:r>
              <w:rPr>
                <w:rFonts w:hint="eastAsia" w:hAnsi="宋体" w:cs="宋体"/>
                <w:color w:val="000000"/>
                <w:sz w:val="20"/>
                <w:lang w:bidi="ar"/>
              </w:rPr>
              <w:t>整机支持5个自定义前置按键，可将按键设置为批注、截屏、放大镜等教学小工具以及节能、护眼、自动亮度等模式的快捷开关。（提供国内检验检测机构出具的权威检测报告复印件并加盖公章）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16</w:t>
            </w:r>
            <w:r>
              <w:rPr>
                <w:rFonts w:hint="eastAsia" w:hAnsi="宋体" w:cs="宋体"/>
                <w:color w:val="000000"/>
                <w:sz w:val="20"/>
                <w:lang w:val="en-US" w:eastAsia="zh-CN" w:bidi="ar"/>
              </w:rPr>
              <w:t>.</w:t>
            </w:r>
            <w:r>
              <w:rPr>
                <w:rFonts w:hint="eastAsia" w:hAnsi="宋体" w:cs="宋体"/>
                <w:color w:val="000000"/>
                <w:sz w:val="20"/>
                <w:lang w:bidi="ar"/>
              </w:rPr>
              <w:t>整机支持蓝牙Bluetooth5.4标准，设备连接更加稳定。（提供国内检验检测机构出具的权威检测报告复印件并加盖公章）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▲17</w:t>
            </w:r>
            <w:r>
              <w:rPr>
                <w:rFonts w:hint="eastAsia" w:hAnsi="宋体" w:cs="宋体"/>
                <w:color w:val="000000"/>
                <w:sz w:val="20"/>
                <w:lang w:val="en-US" w:eastAsia="zh-CN" w:bidi="ar"/>
              </w:rPr>
              <w:t>.</w:t>
            </w:r>
            <w:r>
              <w:rPr>
                <w:rFonts w:hint="eastAsia" w:hAnsi="宋体" w:cs="宋体"/>
                <w:color w:val="000000"/>
                <w:sz w:val="20"/>
                <w:lang w:bidi="ar"/>
              </w:rPr>
              <w:t>整机可发出超声波信号，当手机接收后，即使整机与手机不在同一局域网内，也可实现快速配对投屏，且用户无需输入投屏码或扫码，投屏更加快速便捷。（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18</w:t>
            </w:r>
            <w:r>
              <w:rPr>
                <w:rFonts w:hint="eastAsia" w:hAnsi="宋体" w:cs="宋体"/>
                <w:color w:val="000000"/>
                <w:sz w:val="20"/>
                <w:lang w:val="en-US" w:eastAsia="zh-CN" w:bidi="ar"/>
              </w:rPr>
              <w:t>.</w:t>
            </w:r>
            <w:r>
              <w:rPr>
                <w:rFonts w:hint="eastAsia" w:hAnsi="宋体" w:cs="宋体"/>
                <w:color w:val="000000"/>
                <w:sz w:val="20"/>
                <w:lang w:bidi="ar"/>
              </w:rPr>
              <w:t>整机内置传屏接收模块，无需附加设备，可将外部电脑、手机的音视频信号实时传输到整机；外部电脑传屏时，支持触摸回传及控制、勿扰模式、暂停投屏；开启勿扰模式时，不允许其他人传屏；投屏时可以选择过滤特定应用窗口，保障隐私安全。</w:t>
            </w:r>
            <w:r>
              <w:rPr>
                <w:rFonts w:hint="eastAsia" w:hAnsi="宋体" w:cs="宋体"/>
                <w:color w:val="000000"/>
                <w:sz w:val="20"/>
                <w:lang w:bidi="ar"/>
              </w:rPr>
              <w:br w:type="textWrapping"/>
            </w:r>
            <w:r>
              <w:rPr>
                <w:rFonts w:hint="eastAsia" w:hAnsi="宋体" w:cs="宋体"/>
                <w:color w:val="000000"/>
                <w:sz w:val="20"/>
                <w:lang w:bidi="ar"/>
              </w:rPr>
              <w:t>19</w:t>
            </w:r>
            <w:r>
              <w:rPr>
                <w:rFonts w:hint="eastAsia" w:hAnsi="宋体" w:cs="宋体"/>
                <w:color w:val="000000"/>
                <w:sz w:val="20"/>
                <w:lang w:val="en-US" w:eastAsia="zh-CN" w:bidi="ar"/>
              </w:rPr>
              <w:t>.</w:t>
            </w:r>
            <w:r>
              <w:rPr>
                <w:rFonts w:hint="eastAsia" w:hAnsi="宋体" w:cs="宋体"/>
                <w:color w:val="000000"/>
                <w:sz w:val="20"/>
                <w:lang w:bidi="ar"/>
              </w:rPr>
              <w:t>整机内置双WiFi6无线网卡（不接受外接），Wi-Fi制式IEEE802.11a/b/g/n/ac/ax。在Android下支持无线设备同时连接数量≥32个，Windows系统下支持数量≥8个。</w:t>
            </w:r>
            <w:r>
              <w:rPr>
                <w:rFonts w:hint="eastAsia" w:hAnsi="宋体" w:cs="宋体"/>
                <w:color w:val="000000"/>
                <w:sz w:val="20"/>
                <w:lang w:bidi="ar"/>
              </w:rPr>
              <w:br w:type="textWrapping"/>
            </w:r>
            <w:r>
              <w:rPr>
                <w:rFonts w:hint="eastAsia" w:hAnsi="宋体" w:cs="宋体"/>
                <w:color w:val="000000"/>
                <w:sz w:val="20"/>
                <w:lang w:bidi="ar"/>
              </w:rPr>
              <w:t>20</w:t>
            </w:r>
            <w:r>
              <w:rPr>
                <w:rFonts w:hint="eastAsia" w:hAnsi="宋体" w:cs="宋体"/>
                <w:color w:val="000000"/>
                <w:sz w:val="20"/>
                <w:lang w:val="en-US" w:eastAsia="zh-CN" w:bidi="ar"/>
              </w:rPr>
              <w:t>.</w:t>
            </w:r>
            <w:r>
              <w:rPr>
                <w:rFonts w:hint="eastAsia" w:hAnsi="宋体" w:cs="宋体"/>
                <w:color w:val="000000"/>
                <w:sz w:val="20"/>
                <w:lang w:bidi="ar"/>
              </w:rPr>
              <w:t>整机上边框内置非独立式广角摄像头和智能拼接摄像头，采用一体化集成设计，摄像头数量≥4个，均支持3D降噪算法和数字宽动态范围成像WDR技术。（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▲21</w:t>
            </w:r>
            <w:r>
              <w:rPr>
                <w:rFonts w:hint="eastAsia" w:hAnsi="宋体" w:cs="宋体"/>
                <w:color w:val="000000"/>
                <w:sz w:val="20"/>
                <w:lang w:val="en-US" w:eastAsia="zh-CN" w:bidi="ar"/>
              </w:rPr>
              <w:t>.</w:t>
            </w:r>
            <w:r>
              <w:rPr>
                <w:rFonts w:hint="eastAsia" w:hAnsi="宋体" w:cs="宋体"/>
                <w:color w:val="000000"/>
                <w:sz w:val="20"/>
                <w:lang w:bidi="ar"/>
              </w:rPr>
              <w:t>智能拼接摄像头，视场角≥141度且水平视场角≥139度，可拍摄≥1600万像素的照片，支持输出8192×2048分辨率的照片和视频，支持画面畸变矫正功能。可同时输出至少3路视频流。（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22</w:t>
            </w:r>
            <w:r>
              <w:rPr>
                <w:rFonts w:hint="eastAsia" w:hAnsi="宋体" w:cs="宋体"/>
                <w:color w:val="000000"/>
                <w:sz w:val="20"/>
                <w:lang w:val="en-US" w:eastAsia="zh-CN" w:bidi="ar"/>
              </w:rPr>
              <w:t>.</w:t>
            </w:r>
            <w:r>
              <w:rPr>
                <w:rFonts w:hint="eastAsia" w:hAnsi="宋体" w:cs="宋体"/>
                <w:color w:val="000000"/>
                <w:sz w:val="20"/>
                <w:lang w:bidi="ar"/>
              </w:rPr>
              <w:t>广角高清摄像头，视场角≥142度且水平视场角≥121度，在清晰度为2592 x 1944分辨率下，支持30帧的视频输出。（提供国内检验检测机构出具的权威检测报告复印件并加盖公章）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▲23</w:t>
            </w:r>
            <w:r>
              <w:rPr>
                <w:rFonts w:hint="eastAsia" w:hAnsi="宋体" w:cs="宋体"/>
                <w:color w:val="000000"/>
                <w:sz w:val="20"/>
                <w:lang w:val="en-US" w:eastAsia="zh-CN" w:bidi="ar"/>
              </w:rPr>
              <w:t>.</w:t>
            </w:r>
            <w:r>
              <w:rPr>
                <w:rFonts w:hint="eastAsia" w:hAnsi="宋体" w:cs="宋体"/>
                <w:color w:val="000000"/>
                <w:sz w:val="20"/>
                <w:lang w:bidi="ar"/>
              </w:rPr>
              <w:t>整机摄像头支持人脸识别进行登录账号；支持识别所有学生，同时显示标记不少于60人，可随机抽选1人。支持距离摄像头位置≥10米的AI识别人脸。（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二、触摸系统</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采用红外触控技术，支持Windows系统中进行40点或以上触控，Android系统中进行40点或以上触控。（提供国内检验检测机构出具的权威检测报告复印件并加盖公章）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整机在书写速度≥50cm/s，笔迹与笔的距离小于20mm，书写过程流畅。（提供国内检验检测机构出具的权威检测报告复印件并加盖公章）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3、触摸分辨率32768×32768，书写触控延迟≤25ms。触摸响应≤4ms，触摸最小识别物≤3mm，有效识别高度≤1.5mm；定位精度高，保证书写准确性。</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整机检测到红外笔尖接触屏幕时，自动进入书写模式；并在唤醒提笔书写后，支持手笔分离功能，使用笔正常书写，使用手指可点击操作，满足多场景使用。（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支持普通书写笔在整机上书写或点压时，整机可感应压力变化，呈现不同粗细的笔迹；支持同一支笔的笔头、笔尾书写不同颜色，且颜色可自定义。</w:t>
            </w:r>
            <w:r>
              <w:rPr>
                <w:rFonts w:hint="eastAsia" w:hAnsi="宋体" w:cs="宋体"/>
                <w:color w:val="000000"/>
                <w:sz w:val="20"/>
                <w:lang w:bidi="ar"/>
              </w:rPr>
              <w:br w:type="textWrapping"/>
            </w:r>
            <w:r>
              <w:rPr>
                <w:rFonts w:hint="eastAsia" w:hAnsi="宋体" w:cs="宋体"/>
                <w:color w:val="000000"/>
                <w:sz w:val="20"/>
                <w:lang w:bidi="ar"/>
              </w:rPr>
              <w:t>三、主要功能</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整机支持故障检测、系统还原功能，可恢复Android系统及Windows系统到出厂默认状态，无需额外工具辅助。</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整机支持通过Type-C接口进行手机充电，最大充电功率15W。</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外接电脑设备经双头Type-C线连接至整机，可调用整机内置的摄像头、麦克风、扬声器，在外接电脑即可控制整机拍摄教室画面；同时可将外接电脑的音视频、触摸信号传输到整机。</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整机全通道侧边栏快捷菜单支持简洁、常规模式切换。支持将固定后的windows应用，在侧边栏快捷打开。侧边栏及中控菜单支持应用自由切换，全屏应用下无需退出即可进行切换。</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整机全通道侧边栏快捷菜单中可实时查看物联设备，如视频展台、音响、麦克风、智能笔、传屏器的连接情况，支持读取设备型号，显示对应实物图片，点击设备图标即可调出中控菜单进行管控。</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整机Windows通道支持多人同时将手机文件传输到整机上，无需借助第三方网页、应用，当手机端登录账号与整机一致时，可快速接收文件，无需二次确认，传输文件格式支持文档、图片、音视频、压缩包等多类型。（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▲7</w:t>
            </w:r>
            <w:r>
              <w:rPr>
                <w:rFonts w:hint="eastAsia" w:hAnsi="宋体" w:cs="宋体"/>
                <w:color w:val="000000"/>
                <w:sz w:val="20"/>
                <w:lang w:val="en-US" w:eastAsia="zh-CN" w:bidi="ar"/>
              </w:rPr>
              <w:t>.</w:t>
            </w:r>
            <w:r>
              <w:rPr>
                <w:rFonts w:hint="eastAsia" w:hAnsi="宋体" w:cs="宋体"/>
                <w:color w:val="000000"/>
                <w:sz w:val="20"/>
                <w:lang w:bidi="ar"/>
              </w:rPr>
              <w:t>整机Windows通道支持文件传输应用，传输方式支持公网传输、局域网传输、WiFi 直连传输。支持通过扫码、wifi直联、超声三种方式与手机进行握手连接，实现文件传输功能。（提供国内检验检测机构出具的权威检测报告复印件并加盖公章）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8</w:t>
            </w:r>
            <w:r>
              <w:rPr>
                <w:rFonts w:hint="eastAsia" w:hAnsi="宋体" w:cs="宋体"/>
                <w:color w:val="000000"/>
                <w:sz w:val="20"/>
                <w:lang w:val="en-US" w:eastAsia="zh-CN" w:bidi="ar"/>
              </w:rPr>
              <w:t>.</w:t>
            </w:r>
            <w:r>
              <w:rPr>
                <w:rFonts w:hint="eastAsia" w:hAnsi="宋体" w:cs="宋体"/>
                <w:color w:val="000000"/>
                <w:sz w:val="20"/>
                <w:lang w:bidi="ar"/>
              </w:rPr>
              <w:t>开启文件传输应用后，可自动打开整机热点并显示热点信息；接收的文件支持单份删除、全部清空；为防止误清空，全部清空需要经过二次确认。</w:t>
            </w:r>
            <w:r>
              <w:rPr>
                <w:rFonts w:hint="eastAsia" w:hAnsi="宋体" w:cs="宋体"/>
                <w:color w:val="000000"/>
                <w:sz w:val="20"/>
                <w:lang w:bidi="ar"/>
              </w:rPr>
              <w:br w:type="textWrapping"/>
            </w:r>
            <w:r>
              <w:rPr>
                <w:rFonts w:hint="eastAsia" w:hAnsi="宋体" w:cs="宋体"/>
                <w:color w:val="000000"/>
                <w:sz w:val="20"/>
                <w:lang w:bidi="ar"/>
              </w:rPr>
              <w:t>9</w:t>
            </w:r>
            <w:r>
              <w:rPr>
                <w:rFonts w:hint="eastAsia" w:hAnsi="宋体" w:cs="宋体"/>
                <w:color w:val="000000"/>
                <w:sz w:val="20"/>
                <w:lang w:val="en-US" w:eastAsia="zh-CN" w:bidi="ar"/>
              </w:rPr>
              <w:t>.</w:t>
            </w:r>
            <w:r>
              <w:rPr>
                <w:rFonts w:hint="eastAsia" w:hAnsi="宋体" w:cs="宋体"/>
                <w:color w:val="000000"/>
                <w:sz w:val="20"/>
                <w:lang w:bidi="ar"/>
              </w:rPr>
              <w:t>整机设备自带地震预警软件；支持在地震预警页面中获取位置或手动校准；支持选择提醒阈值、开启和关闭地震预警服务。（提供国内检验检测机构出具的权威检测报告复印件并加盖公章）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▲10</w:t>
            </w:r>
            <w:r>
              <w:rPr>
                <w:rFonts w:hint="eastAsia" w:hAnsi="宋体" w:cs="宋体"/>
                <w:color w:val="000000"/>
                <w:sz w:val="20"/>
                <w:lang w:val="en-US" w:eastAsia="zh-CN" w:bidi="ar"/>
              </w:rPr>
              <w:t>.</w:t>
            </w:r>
            <w:r>
              <w:rPr>
                <w:rFonts w:hint="eastAsia" w:hAnsi="宋体" w:cs="宋体"/>
                <w:color w:val="000000"/>
                <w:sz w:val="20"/>
                <w:lang w:bidi="ar"/>
              </w:rPr>
              <w:t>整机设置教学专用桌面，提高课前准备效率。设备开机启动后，自动进入教学桌面，支持账号密码、手机扫码、人脸识别登录账号。登录后自动获取最近使用的教学课件，点击课件可直接进入授课模式，支持查看所有个人课件资源，无需再次输入账号密码重复登录。（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11</w:t>
            </w:r>
            <w:r>
              <w:rPr>
                <w:rFonts w:hint="eastAsia" w:hAnsi="宋体" w:cs="宋体"/>
                <w:color w:val="000000"/>
                <w:sz w:val="20"/>
                <w:lang w:val="en-US" w:eastAsia="zh-CN" w:bidi="ar"/>
              </w:rPr>
              <w:t>.</w:t>
            </w:r>
            <w:r>
              <w:rPr>
                <w:rFonts w:hint="eastAsia" w:hAnsi="宋体" w:cs="宋体"/>
                <w:color w:val="000000"/>
                <w:sz w:val="20"/>
                <w:lang w:bidi="ar"/>
              </w:rPr>
              <w:t>整机设备教学桌面支持查看本地磁盘、外接U盘、移动硬盘，点击即可打开该磁盘查看文件，文件按照文档、图片、音视频分类；当存储空间即将满载时候进行红色标记明显提示。</w:t>
            </w:r>
            <w:r>
              <w:rPr>
                <w:rFonts w:hint="eastAsia" w:hAnsi="宋体" w:cs="宋体"/>
                <w:color w:val="000000"/>
                <w:sz w:val="20"/>
                <w:lang w:bidi="ar"/>
              </w:rPr>
              <w:br w:type="textWrapping"/>
            </w:r>
            <w:r>
              <w:rPr>
                <w:rFonts w:hint="eastAsia" w:hAnsi="宋体" w:cs="宋体"/>
                <w:color w:val="000000"/>
                <w:sz w:val="20"/>
                <w:lang w:bidi="ar"/>
              </w:rPr>
              <w:t>12</w:t>
            </w:r>
            <w:r>
              <w:rPr>
                <w:rFonts w:hint="eastAsia" w:hAnsi="宋体" w:cs="宋体"/>
                <w:color w:val="000000"/>
                <w:sz w:val="20"/>
                <w:lang w:val="en-US" w:eastAsia="zh-CN" w:bidi="ar"/>
              </w:rPr>
              <w:t>.</w:t>
            </w:r>
            <w:r>
              <w:rPr>
                <w:rFonts w:hint="eastAsia" w:hAnsi="宋体" w:cs="宋体"/>
                <w:color w:val="000000"/>
                <w:sz w:val="20"/>
                <w:lang w:bidi="ar"/>
              </w:rPr>
              <w:t>整机设备教学桌面支持进行重启、关机、锁屏操作。当设备有其他输入源时，可在桌面点击信号源进行输入源切换。</w:t>
            </w:r>
            <w:r>
              <w:rPr>
                <w:rFonts w:hint="eastAsia" w:hAnsi="宋体" w:cs="宋体"/>
                <w:color w:val="000000"/>
                <w:sz w:val="20"/>
                <w:lang w:bidi="ar"/>
              </w:rPr>
              <w:br w:type="textWrapping"/>
            </w:r>
            <w:r>
              <w:rPr>
                <w:rFonts w:hint="eastAsia" w:hAnsi="宋体" w:cs="宋体"/>
                <w:color w:val="000000"/>
                <w:sz w:val="20"/>
                <w:lang w:bidi="ar"/>
              </w:rPr>
              <w:t>四、安卓系统</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嵌入式系统版本不低于Android 13。内存≥2GB。存储空间≥8GB。（提供国内检验检测机构出具的权威检测报告复印件并加盖公章）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嵌入式Android操作系统下，使用白板软件时，整机可自行调节屏幕亮度，白板支持对已经书写的笔迹和形状和颜色进行更换；支持全局漫游，并能在工具栏中对全局内容进行预览和移动。</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在嵌入式Android操作系统下，可使用白板书写、WPS软件和网页浏览。能对TV多媒体USB所读取到的文件进行自动归类，可分类查找文档、板书、图片、音视频，检索后可直接在界面中打开。</w:t>
            </w:r>
            <w:r>
              <w:rPr>
                <w:rFonts w:hint="eastAsia" w:hAnsi="宋体" w:cs="宋体"/>
                <w:color w:val="000000"/>
                <w:sz w:val="20"/>
                <w:lang w:bidi="ar"/>
              </w:rPr>
              <w:br w:type="textWrapping"/>
            </w:r>
            <w:r>
              <w:rPr>
                <w:rFonts w:hint="eastAsia" w:hAnsi="宋体" w:cs="宋体"/>
                <w:color w:val="000000"/>
                <w:sz w:val="20"/>
                <w:lang w:bidi="ar"/>
              </w:rPr>
              <w:t>五、电脑模块</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Intel酷睿系列，搭载i5第12代CPU，8G内存，256G固态硬盘；</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PC模块可抽拉式插入整机，实现无单独接线的拔插。采用按压式卡扣，无需工具即可快速拆卸电脑模块。</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具有≥1路HDMI输出，≥3个USB3.0接口。</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和整机的连接接口针脚数≤40pin，采用万兆级接口，传输速率≥10Gbps。</w:t>
            </w:r>
            <w:r>
              <w:rPr>
                <w:rFonts w:hint="eastAsia" w:hAnsi="宋体" w:cs="宋体"/>
                <w:color w:val="000000"/>
                <w:sz w:val="20"/>
                <w:lang w:bidi="ar"/>
              </w:rPr>
              <w:br w:type="textWrapping"/>
            </w:r>
            <w:r>
              <w:rPr>
                <w:rFonts w:hint="eastAsia" w:hAnsi="宋体" w:cs="宋体"/>
                <w:color w:val="000000"/>
                <w:sz w:val="20"/>
                <w:lang w:bidi="ar"/>
              </w:rPr>
              <w:t>六、其他要求</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所投产品同时在不同位置观看屏幕时图像质量无明显下降、并且无令人不适的反光，从图像显示质量、环境光管理、护眼技术应用、健康舒适指引多个维度全方位关爱用户的用眼健康，通过相应的人眼舒适度认证，提供认证复印件。</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为确保学校发生安全事件后能快速恢复日常教学业务，投标产品制造商具备信息安全应急处理服务资质，提供相关证明材料复印件。</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为了降低学校信息安全隐患被非法利用，确保学校发生安全事件后能快速恢复日常教学业务，需投标产品制造商具备信息系统安全运维服务资质，提供相关证明材料复印件。</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为提供良好稳定的平台软件使用体验，所投产品制造商需具有一定的软件能力成熟度，并通过SPCA评估5级及以上认证，提供相关证明材料复印件。</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此次采购不配套本地数据存储或云计算存储，研发商须自行配套，为确保教育数据托付管理能力、存储能力及信息安全能力，所投产品研发商通过GB/T36073-2018《数据管理能力成熟度评估模型》认定，提供相关证明材料复印件。</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所投产品制造商符合ITSS信息技术服务标准，具备运行维护业务领域等评估三级认证证书，提供相关证明材料复印件。</w:t>
            </w:r>
            <w:r>
              <w:rPr>
                <w:rFonts w:hint="eastAsia" w:hAnsi="宋体" w:cs="宋体"/>
                <w:color w:val="000000"/>
                <w:sz w:val="20"/>
                <w:lang w:bidi="ar"/>
              </w:rPr>
              <w:br w:type="textWrapping"/>
            </w:r>
            <w:r>
              <w:rPr>
                <w:rFonts w:hint="eastAsia" w:hAnsi="宋体" w:cs="宋体"/>
                <w:color w:val="000000"/>
                <w:sz w:val="20"/>
                <w:lang w:bidi="ar"/>
              </w:rPr>
              <w:t>七、教学软件</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采用备授课一体化框架设计，为使用方全体教师配备个人账号，能够为教师提供500G的云存储空间，教师可在个人云空间中上传存储互动课件、云教案和其他教学资源。</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提供互动式教学课件资源，包含学科教 育各学段各地区教材版本不少于88个；包含学科教育各学段教材版本全部教学章节、专题教育多个主题教育、特殊教育三大分类不少于 160000 份的交互动课件。</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按照下载量、课件质量、相关性每天动 态更新课件列表， 提供按章节、主题筛 选和关键词搜索，支持模糊搜索。并提供默认排序、最多获取和最新上架三种排序方式。</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课件支持直接预览并下载，预览时支持 拖动课堂活动、形状、几何、文本元素；下载时课件可同步至教师个人云空间；课件支持教师在线评分。</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支持PPT的原生解析，教师可将pptx课件转化为互动教学课件，支持单份导入和批量文件夹导入两种导入方式。</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支持将互动课件导出为 pptx 、pdf、H5 或 web 链接。导出的课件支持在多终端  (包含 windows 、Macos 、iOS 、安卓、 国产化系统) 进行二次编辑；互动教学课件支持定向分享，分享者可将互动课件、课件组推送至指定接收方账号云空间，接收方可在云空间接收并打开分享课件。（提供国内检验检测机构出具的检测报告复印件）</w:t>
            </w:r>
            <w:r>
              <w:rPr>
                <w:rFonts w:hint="eastAsia" w:hAnsi="宋体" w:cs="宋体"/>
                <w:color w:val="000000"/>
                <w:sz w:val="20"/>
                <w:lang w:bidi="ar"/>
              </w:rPr>
              <w:br w:type="textWrapping"/>
            </w:r>
            <w:r>
              <w:rPr>
                <w:rFonts w:hint="eastAsia" w:hAnsi="宋体" w:cs="宋体"/>
                <w:color w:val="000000"/>
                <w:sz w:val="20"/>
                <w:lang w:bidi="ar"/>
              </w:rPr>
              <w:t>7</w:t>
            </w:r>
            <w:r>
              <w:rPr>
                <w:rFonts w:hint="eastAsia" w:hAnsi="宋体" w:cs="宋体"/>
                <w:color w:val="000000"/>
                <w:sz w:val="20"/>
                <w:lang w:val="en-US" w:eastAsia="zh-CN" w:bidi="ar"/>
              </w:rPr>
              <w:t>.</w:t>
            </w:r>
            <w:r>
              <w:rPr>
                <w:rFonts w:hint="eastAsia" w:hAnsi="宋体" w:cs="宋体"/>
                <w:color w:val="000000"/>
                <w:sz w:val="20"/>
                <w:lang w:bidi="ar"/>
              </w:rPr>
              <w:t>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r>
              <w:rPr>
                <w:rFonts w:hint="eastAsia" w:hAnsi="宋体" w:cs="宋体"/>
                <w:color w:val="000000"/>
                <w:sz w:val="20"/>
                <w:lang w:bidi="ar"/>
              </w:rPr>
              <w:br w:type="textWrapping"/>
            </w:r>
            <w:r>
              <w:rPr>
                <w:rFonts w:hint="eastAsia" w:hAnsi="宋体" w:cs="宋体"/>
                <w:color w:val="000000"/>
                <w:sz w:val="20"/>
                <w:lang w:bidi="ar"/>
              </w:rPr>
              <w:t>8</w:t>
            </w:r>
            <w:r>
              <w:rPr>
                <w:rFonts w:hint="eastAsia" w:hAnsi="宋体" w:cs="宋体"/>
                <w:color w:val="000000"/>
                <w:sz w:val="20"/>
                <w:lang w:val="en-US" w:eastAsia="zh-CN" w:bidi="ar"/>
              </w:rPr>
              <w:t>.</w:t>
            </w:r>
            <w:r>
              <w:rPr>
                <w:rFonts w:hint="eastAsia" w:hAnsi="宋体" w:cs="宋体"/>
                <w:color w:val="000000"/>
                <w:sz w:val="20"/>
                <w:lang w:bidi="ar"/>
              </w:rPr>
              <w:t>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r>
              <w:rPr>
                <w:rFonts w:hint="eastAsia" w:hAnsi="宋体" w:cs="宋体"/>
                <w:color w:val="000000"/>
                <w:sz w:val="20"/>
                <w:lang w:bidi="ar"/>
              </w:rPr>
              <w:br w:type="textWrapping"/>
            </w:r>
            <w:r>
              <w:rPr>
                <w:rFonts w:hint="eastAsia" w:hAnsi="宋体" w:cs="宋体"/>
                <w:color w:val="000000"/>
                <w:sz w:val="20"/>
                <w:lang w:bidi="ar"/>
              </w:rPr>
              <w:t>9</w:t>
            </w:r>
            <w:r>
              <w:rPr>
                <w:rFonts w:hint="eastAsia" w:hAnsi="宋体" w:cs="宋体"/>
                <w:color w:val="000000"/>
                <w:sz w:val="20"/>
                <w:lang w:val="en-US" w:eastAsia="zh-CN" w:bidi="ar"/>
              </w:rPr>
              <w:t>.</w:t>
            </w:r>
            <w:r>
              <w:rPr>
                <w:rFonts w:hint="eastAsia" w:hAnsi="宋体" w:cs="宋体"/>
                <w:color w:val="000000"/>
                <w:sz w:val="20"/>
                <w:lang w:bidi="ar"/>
              </w:rPr>
              <w:t>具有课堂活动智能填写功能，支持选词填空、判断对错和趣味选择三大课堂活动。输入文本后可以一键解析，自动将文本内容结构化填充至题干和正确选项，完成课堂活动的制作。</w:t>
            </w:r>
            <w:r>
              <w:rPr>
                <w:rFonts w:hint="eastAsia" w:hAnsi="宋体" w:cs="宋体"/>
                <w:color w:val="000000"/>
                <w:sz w:val="20"/>
                <w:lang w:bidi="ar"/>
              </w:rPr>
              <w:br w:type="textWrapping"/>
            </w:r>
            <w:r>
              <w:rPr>
                <w:rFonts w:hint="eastAsia" w:hAnsi="宋体" w:cs="宋体"/>
                <w:color w:val="000000"/>
                <w:sz w:val="20"/>
                <w:lang w:bidi="ar"/>
              </w:rPr>
              <w:t>10</w:t>
            </w:r>
            <w:r>
              <w:rPr>
                <w:rFonts w:hint="eastAsia" w:hAnsi="宋体" w:cs="宋体"/>
                <w:color w:val="000000"/>
                <w:sz w:val="20"/>
                <w:lang w:val="en-US" w:eastAsia="zh-CN" w:bidi="ar"/>
              </w:rPr>
              <w:t>.</w:t>
            </w:r>
            <w:r>
              <w:rPr>
                <w:rFonts w:hint="eastAsia" w:hAnsi="宋体" w:cs="宋体"/>
                <w:color w:val="000000"/>
                <w:sz w:val="20"/>
                <w:lang w:bidi="ar"/>
              </w:rPr>
              <w:t>支持多种格式的试题批量上传，包含.doc、.docx、.png、.jpeg、.jpg等类型，并可自动转换为电子试题，便于老师优质试题的收集使用和作业布置。</w:t>
            </w:r>
            <w:r>
              <w:rPr>
                <w:rFonts w:hint="eastAsia" w:hAnsi="宋体" w:cs="宋体"/>
                <w:color w:val="000000"/>
                <w:sz w:val="20"/>
                <w:lang w:bidi="ar"/>
              </w:rPr>
              <w:br w:type="textWrapping"/>
            </w:r>
            <w:r>
              <w:rPr>
                <w:rFonts w:hint="eastAsia" w:hAnsi="宋体" w:cs="宋体"/>
                <w:color w:val="000000"/>
                <w:sz w:val="20"/>
                <w:lang w:bidi="ar"/>
              </w:rPr>
              <w:t>11</w:t>
            </w:r>
            <w:r>
              <w:rPr>
                <w:rFonts w:hint="eastAsia" w:hAnsi="宋体" w:cs="宋体"/>
                <w:color w:val="000000"/>
                <w:sz w:val="20"/>
                <w:lang w:val="en-US" w:eastAsia="zh-CN" w:bidi="ar"/>
              </w:rPr>
              <w:t>.</w:t>
            </w:r>
            <w:r>
              <w:rPr>
                <w:rFonts w:hint="eastAsia" w:hAnsi="宋体" w:cs="宋体"/>
                <w:color w:val="000000"/>
                <w:sz w:val="20"/>
                <w:lang w:bidi="ar"/>
              </w:rPr>
              <w:t>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hAnsi="宋体" w:cs="宋体"/>
                <w:color w:val="000000"/>
                <w:sz w:val="20"/>
                <w:lang w:bidi="ar"/>
              </w:rPr>
              <w:br w:type="textWrapping"/>
            </w:r>
            <w:r>
              <w:rPr>
                <w:rFonts w:hint="eastAsia" w:hAnsi="宋体" w:cs="宋体"/>
                <w:color w:val="000000"/>
                <w:sz w:val="20"/>
                <w:lang w:bidi="ar"/>
              </w:rPr>
              <w:t>12</w:t>
            </w:r>
            <w:r>
              <w:rPr>
                <w:rFonts w:hint="eastAsia" w:hAnsi="宋体" w:cs="宋体"/>
                <w:color w:val="000000"/>
                <w:sz w:val="20"/>
                <w:lang w:val="en-US" w:eastAsia="zh-CN" w:bidi="ar"/>
              </w:rPr>
              <w:t>.</w:t>
            </w:r>
            <w:r>
              <w:rPr>
                <w:rFonts w:hint="eastAsia" w:hAnsi="宋体" w:cs="宋体"/>
                <w:color w:val="000000"/>
                <w:sz w:val="20"/>
                <w:lang w:bidi="ar"/>
              </w:rPr>
              <w:t>空中课堂功能内置于交互式备授课软件中，无需额外安装部署直播软件，可实现语音直播、课件同步、互动工具等远程教学功能。包括一键开课、文本聊天工具、互动答题工具、远程互动工具、课堂奖励工具、远程考勤管理、课程回放。</w:t>
            </w:r>
            <w:r>
              <w:rPr>
                <w:rFonts w:hint="eastAsia" w:hAnsi="宋体" w:cs="宋体"/>
                <w:color w:val="000000"/>
                <w:sz w:val="20"/>
                <w:lang w:bidi="ar"/>
              </w:rPr>
              <w:br w:type="textWrapping"/>
            </w:r>
            <w:r>
              <w:rPr>
                <w:rFonts w:hint="eastAsia" w:hAnsi="宋体" w:cs="宋体"/>
                <w:color w:val="000000"/>
                <w:sz w:val="20"/>
                <w:lang w:bidi="ar"/>
              </w:rPr>
              <w:t>13</w:t>
            </w:r>
            <w:r>
              <w:rPr>
                <w:rFonts w:hint="eastAsia" w:hAnsi="宋体" w:cs="宋体"/>
                <w:color w:val="000000"/>
                <w:sz w:val="20"/>
                <w:lang w:val="en-US" w:eastAsia="zh-CN" w:bidi="ar"/>
              </w:rPr>
              <w:t>.</w:t>
            </w:r>
            <w:r>
              <w:rPr>
                <w:rFonts w:hint="eastAsia" w:hAnsi="宋体" w:cs="宋体"/>
                <w:color w:val="000000"/>
                <w:sz w:val="20"/>
                <w:lang w:bidi="ar"/>
              </w:rPr>
              <w:t>支持直播评课全过程支持回放并自动生成字幕，支持回放视频形成回放链接分享，可直接下载导出，用于老师回顾课堂内容，分析老师的课堂表现和教学情况；同时支持一览课堂重要数据，智能分析授课内容生成高频词云，提炼师生互动生成课堂问答，老师可掌握课堂的重点与方向。（提供国内检验检测机构出具的检测报告复印件）</w:t>
            </w:r>
            <w:r>
              <w:rPr>
                <w:rFonts w:hint="eastAsia" w:hAnsi="宋体" w:cs="宋体"/>
                <w:color w:val="000000"/>
                <w:sz w:val="20"/>
                <w:lang w:bidi="ar"/>
              </w:rPr>
              <w:br w:type="textWrapping"/>
            </w:r>
            <w:r>
              <w:rPr>
                <w:rFonts w:hint="eastAsia" w:hAnsi="宋体" w:cs="宋体"/>
                <w:color w:val="000000"/>
                <w:sz w:val="20"/>
                <w:lang w:bidi="ar"/>
              </w:rPr>
              <w:t>14</w:t>
            </w:r>
            <w:r>
              <w:rPr>
                <w:rFonts w:hint="eastAsia" w:hAnsi="宋体" w:cs="宋体"/>
                <w:color w:val="000000"/>
                <w:sz w:val="20"/>
                <w:lang w:val="en-US" w:eastAsia="zh-CN" w:bidi="ar"/>
              </w:rPr>
              <w:t>.</w:t>
            </w:r>
            <w:r>
              <w:rPr>
                <w:rFonts w:hint="eastAsia" w:hAnsi="宋体" w:cs="宋体"/>
                <w:color w:val="000000"/>
                <w:sz w:val="20"/>
                <w:lang w:bidi="ar"/>
              </w:rPr>
              <w:t>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hAnsi="宋体" w:cs="宋体"/>
                <w:color w:val="000000"/>
                <w:sz w:val="20"/>
                <w:lang w:bidi="ar"/>
              </w:rPr>
              <w:br w:type="textWrapping"/>
            </w:r>
            <w:r>
              <w:rPr>
                <w:rFonts w:hint="eastAsia" w:hAnsi="宋体" w:cs="宋体"/>
                <w:color w:val="000000"/>
                <w:sz w:val="20"/>
                <w:lang w:bidi="ar"/>
              </w:rPr>
              <w:t>15</w:t>
            </w:r>
            <w:r>
              <w:rPr>
                <w:rFonts w:hint="eastAsia" w:hAnsi="宋体" w:cs="宋体"/>
                <w:color w:val="000000"/>
                <w:sz w:val="20"/>
                <w:lang w:val="en-US" w:eastAsia="zh-CN" w:bidi="ar"/>
              </w:rPr>
              <w:t>.</w:t>
            </w:r>
            <w:r>
              <w:rPr>
                <w:rFonts w:hint="eastAsia" w:hAnsi="宋体" w:cs="宋体"/>
                <w:color w:val="000000"/>
                <w:sz w:val="20"/>
                <w:lang w:bidi="ar"/>
              </w:rPr>
              <w:t>提供教学软件著作权证书，软件具备公安部门出具的信息安全三级认证证书，提供证明文件。</w:t>
            </w:r>
            <w:r>
              <w:rPr>
                <w:rFonts w:hint="eastAsia" w:hAnsi="宋体" w:cs="宋体"/>
                <w:color w:val="000000"/>
                <w:sz w:val="20"/>
                <w:lang w:bidi="ar"/>
              </w:rPr>
              <w:br w:type="textWrapping"/>
            </w:r>
            <w:r>
              <w:rPr>
                <w:rFonts w:hint="eastAsia" w:hAnsi="宋体" w:cs="宋体"/>
                <w:color w:val="000000"/>
                <w:sz w:val="20"/>
                <w:lang w:bidi="ar"/>
              </w:rPr>
              <w:t>16</w:t>
            </w:r>
            <w:r>
              <w:rPr>
                <w:rFonts w:hint="eastAsia" w:hAnsi="宋体" w:cs="宋体"/>
                <w:color w:val="000000"/>
                <w:sz w:val="20"/>
                <w:lang w:val="en-US" w:eastAsia="zh-CN" w:bidi="ar"/>
              </w:rPr>
              <w:t>.</w:t>
            </w:r>
            <w:r>
              <w:rPr>
                <w:rFonts w:hint="eastAsia" w:hAnsi="宋体" w:cs="宋体"/>
                <w:color w:val="000000"/>
                <w:sz w:val="20"/>
                <w:lang w:bidi="ar"/>
              </w:rPr>
              <w:t>教学软件与整机为同一品牌，为确保使用稳定拒绝使用第三方软件，提供软件著作权佐证。</w:t>
            </w:r>
            <w:r>
              <w:rPr>
                <w:rFonts w:hint="eastAsia" w:hAnsi="宋体" w:cs="宋体"/>
                <w:color w:val="000000"/>
                <w:sz w:val="20"/>
                <w:lang w:bidi="ar"/>
              </w:rPr>
              <w:br w:type="textWrapping"/>
            </w:r>
            <w:r>
              <w:rPr>
                <w:rFonts w:hint="eastAsia" w:hAnsi="宋体" w:cs="宋体"/>
                <w:color w:val="000000"/>
                <w:sz w:val="20"/>
                <w:lang w:bidi="ar"/>
              </w:rPr>
              <w:t>17</w:t>
            </w:r>
            <w:r>
              <w:rPr>
                <w:rFonts w:hint="eastAsia" w:hAnsi="宋体" w:cs="宋体"/>
                <w:color w:val="000000"/>
                <w:sz w:val="20"/>
                <w:lang w:val="en-US" w:eastAsia="zh-CN" w:bidi="ar"/>
              </w:rPr>
              <w:t>.</w:t>
            </w:r>
            <w:r>
              <w:rPr>
                <w:rFonts w:hint="eastAsia" w:hAnsi="宋体" w:cs="宋体"/>
                <w:color w:val="000000"/>
                <w:sz w:val="20"/>
                <w:lang w:bidi="ar"/>
              </w:rPr>
              <w:t>为响应国家信创政策，教学软件须具备兼容国产操作系统（统信系统或麒麟系统）能力，提供相关国产操作系统公司出具的兼容性证明文件复印件。</w:t>
            </w:r>
            <w:r>
              <w:rPr>
                <w:rFonts w:hint="eastAsia" w:hAnsi="宋体" w:cs="宋体"/>
                <w:color w:val="000000"/>
                <w:sz w:val="20"/>
                <w:lang w:bidi="ar"/>
              </w:rPr>
              <w:br w:type="textWrapping"/>
            </w:r>
            <w:r>
              <w:rPr>
                <w:rFonts w:hint="eastAsia" w:hAnsi="宋体" w:cs="宋体"/>
                <w:color w:val="000000"/>
                <w:sz w:val="20"/>
                <w:lang w:bidi="ar"/>
              </w:rPr>
              <w:t>八、运维管理软件</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系统采用模块化的架构设计B/S架构，提供用户统一登录认证功能，扫码或输入账密登录完成鉴权，即可使用数字校园产品的各项功能模块。</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平台采用一体化设计，集教学与管理模块于一体，包括教学教研、学生评价、校园安全、设备管理、应用工具、以及基础信息模块，满足用户一站式教学教研管理体验。</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提供个性化工作台自定义功能，可根据不同角色配置，预设全员、电教主任、德育主任、教研主任，对应角色看到对应工作台。</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支持展示学校绑定的教育装备，包括智能交互平板，云屏，班牌，学生平板数，支持实时查看在线的智能交互平板，点击可进入巡视界面。</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支持在同一界面查看单个教室内屏幕、内置摄像头的实时画面，获取麦克风声音；支持远程发送文本消息、语音消息，支持记录备注、听课评价；支持巡视日志功能，可以回溯管理员的巡视历史。支持批量将学校已有网络摄像头导入系统内，巡视时可调用网络摄像头查看教室实时画面。（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7</w:t>
            </w:r>
            <w:r>
              <w:rPr>
                <w:rFonts w:hint="eastAsia" w:hAnsi="宋体" w:cs="宋体"/>
                <w:color w:val="000000"/>
                <w:sz w:val="20"/>
                <w:lang w:val="en-US" w:eastAsia="zh-CN" w:bidi="ar"/>
              </w:rPr>
              <w:t>.</w:t>
            </w:r>
            <w:r>
              <w:rPr>
                <w:rFonts w:hint="eastAsia" w:hAnsi="宋体" w:cs="宋体"/>
                <w:color w:val="000000"/>
                <w:sz w:val="20"/>
                <w:lang w:bidi="ar"/>
              </w:rPr>
              <w:t>支持自定义巡视水印类型、内容及颜色等设置，设置水印后，巡视过程中的摄像头画面和设备屏幕画面都会增加水印信息；支持自定义过滤摄像头、麦克风。</w:t>
            </w:r>
            <w:r>
              <w:rPr>
                <w:rFonts w:hint="eastAsia" w:hAnsi="宋体" w:cs="宋体"/>
                <w:color w:val="000000"/>
                <w:sz w:val="20"/>
                <w:lang w:bidi="ar"/>
              </w:rPr>
              <w:br w:type="textWrapping"/>
            </w:r>
            <w:r>
              <w:rPr>
                <w:rFonts w:hint="eastAsia" w:hAnsi="宋体" w:cs="宋体"/>
                <w:color w:val="000000"/>
                <w:sz w:val="20"/>
                <w:lang w:bidi="ar"/>
              </w:rPr>
              <w:t>8</w:t>
            </w:r>
            <w:r>
              <w:rPr>
                <w:rFonts w:hint="eastAsia" w:hAnsi="宋体" w:cs="宋体"/>
                <w:color w:val="000000"/>
                <w:sz w:val="20"/>
                <w:lang w:val="en-US" w:eastAsia="zh-CN" w:bidi="ar"/>
              </w:rPr>
              <w:t>.</w:t>
            </w:r>
            <w:r>
              <w:rPr>
                <w:rFonts w:hint="eastAsia" w:hAnsi="宋体" w:cs="宋体"/>
                <w:color w:val="000000"/>
                <w:sz w:val="20"/>
                <w:lang w:bidi="ar"/>
              </w:rPr>
              <w:t>支持管理者开启/关闭掌上看班的管控功能；拥有掌上看班权限的老师可在移动端或PC客户端实时巡班，并进行基础远程管控。支持普通老师申请或管理者直接分配权限，支持通过教师、设备维度查看拥有掌上看班的权限明细，并支持快速调整权限。</w:t>
            </w:r>
            <w:r>
              <w:rPr>
                <w:rFonts w:hint="eastAsia" w:hAnsi="宋体" w:cs="宋体"/>
                <w:color w:val="000000"/>
                <w:sz w:val="20"/>
                <w:lang w:bidi="ar"/>
              </w:rPr>
              <w:br w:type="textWrapping"/>
            </w:r>
            <w:r>
              <w:rPr>
                <w:rFonts w:hint="eastAsia" w:hAnsi="宋体" w:cs="宋体"/>
                <w:color w:val="000000"/>
                <w:sz w:val="20"/>
                <w:lang w:bidi="ar"/>
              </w:rPr>
              <w:t>▲9</w:t>
            </w:r>
            <w:r>
              <w:rPr>
                <w:rFonts w:hint="eastAsia" w:hAnsi="宋体" w:cs="宋体"/>
                <w:color w:val="000000"/>
                <w:sz w:val="20"/>
                <w:lang w:val="en-US" w:eastAsia="zh-CN" w:bidi="ar"/>
              </w:rPr>
              <w:t>.</w:t>
            </w:r>
            <w:r>
              <w:rPr>
                <w:rFonts w:hint="eastAsia" w:hAnsi="宋体" w:cs="宋体"/>
                <w:color w:val="000000"/>
                <w:sz w:val="20"/>
                <w:lang w:bidi="ar"/>
              </w:rPr>
              <w:t>支持根据班级课程表，自动获取正在上课或者即将上课的科目、老师列表，快速定位老师所在教室，实时远程听课；支持听课过程中针对本节课的教学过程进行评价，支持创建和使用多个评课表，并将评价记录于巡视记录。（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10</w:t>
            </w:r>
            <w:r>
              <w:rPr>
                <w:rFonts w:hint="eastAsia" w:hAnsi="宋体" w:cs="宋体"/>
                <w:color w:val="000000"/>
                <w:sz w:val="20"/>
                <w:lang w:val="en-US" w:eastAsia="zh-CN" w:bidi="ar"/>
              </w:rPr>
              <w:t>.</w:t>
            </w:r>
            <w:r>
              <w:rPr>
                <w:rFonts w:hint="eastAsia" w:hAnsi="宋体" w:cs="宋体"/>
                <w:color w:val="000000"/>
                <w:sz w:val="20"/>
                <w:lang w:bidi="ar"/>
              </w:rPr>
              <w:t>支持远程批量清理设备磁盘；支持清理指定磁盘的指定文件夹；支持清理系统盘备份、缓存、日志等文件；支持迁移系统盘视频、图片、音乐、文档文件；支持格式化非系统盘磁盘。</w:t>
            </w:r>
            <w:r>
              <w:rPr>
                <w:rFonts w:hint="eastAsia" w:hAnsi="宋体" w:cs="宋体"/>
                <w:color w:val="000000"/>
                <w:sz w:val="20"/>
                <w:lang w:bidi="ar"/>
              </w:rPr>
              <w:br w:type="textWrapping"/>
            </w:r>
            <w:r>
              <w:rPr>
                <w:rFonts w:hint="eastAsia" w:hAnsi="宋体" w:cs="宋体"/>
                <w:color w:val="000000"/>
                <w:sz w:val="20"/>
                <w:lang w:bidi="ar"/>
              </w:rPr>
              <w:t>11</w:t>
            </w:r>
            <w:r>
              <w:rPr>
                <w:rFonts w:hint="eastAsia" w:hAnsi="宋体" w:cs="宋体"/>
                <w:color w:val="000000"/>
                <w:sz w:val="20"/>
                <w:lang w:val="en-US" w:eastAsia="zh-CN" w:bidi="ar"/>
              </w:rPr>
              <w:t>.</w:t>
            </w:r>
            <w:r>
              <w:rPr>
                <w:rFonts w:hint="eastAsia" w:hAnsi="宋体" w:cs="宋体"/>
                <w:color w:val="000000"/>
                <w:sz w:val="20"/>
                <w:lang w:bidi="ar"/>
              </w:rPr>
              <w:t>支持远程向已冰冻的设备发送指令、安装软件，在设备正常关机时触发穿透动作，穿透完成后，设备即可使用已安装软件、执行已接收指令，且穿透过程中无需人为解冻。</w:t>
            </w:r>
            <w:r>
              <w:rPr>
                <w:rFonts w:hint="eastAsia" w:hAnsi="宋体" w:cs="宋体"/>
                <w:color w:val="000000"/>
                <w:sz w:val="20"/>
                <w:lang w:bidi="ar"/>
              </w:rPr>
              <w:br w:type="textWrapping"/>
            </w:r>
            <w:r>
              <w:rPr>
                <w:rFonts w:hint="eastAsia" w:hAnsi="宋体" w:cs="宋体"/>
                <w:color w:val="000000"/>
                <w:sz w:val="20"/>
                <w:lang w:bidi="ar"/>
              </w:rPr>
              <w:t>▲12</w:t>
            </w:r>
            <w:r>
              <w:rPr>
                <w:rFonts w:hint="eastAsia" w:hAnsi="宋体" w:cs="宋体"/>
                <w:color w:val="000000"/>
                <w:sz w:val="20"/>
                <w:lang w:val="en-US" w:eastAsia="zh-CN" w:bidi="ar"/>
              </w:rPr>
              <w:t>.</w:t>
            </w:r>
            <w:r>
              <w:rPr>
                <w:rFonts w:hint="eastAsia" w:hAnsi="宋体" w:cs="宋体"/>
                <w:color w:val="000000"/>
                <w:sz w:val="20"/>
                <w:lang w:bidi="ar"/>
              </w:rPr>
              <w:t>支持一键开启拦截能力；支持查看已上报的所有疑似风险窗口和上报次数，并支持拦截某个应用所有窗口、某个具体窗口；支持将某个应用、某个具体窗口加入白名单，不对软件进行拦截。（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13</w:t>
            </w:r>
            <w:r>
              <w:rPr>
                <w:rFonts w:hint="eastAsia" w:hAnsi="宋体" w:cs="宋体"/>
                <w:color w:val="000000"/>
                <w:sz w:val="20"/>
                <w:lang w:val="en-US" w:eastAsia="zh-CN" w:bidi="ar"/>
              </w:rPr>
              <w:t>.</w:t>
            </w:r>
            <w:r>
              <w:rPr>
                <w:rFonts w:hint="eastAsia" w:hAnsi="宋体" w:cs="宋体"/>
                <w:color w:val="000000"/>
                <w:sz w:val="20"/>
                <w:lang w:bidi="ar"/>
              </w:rPr>
              <w:t>支持查看校内当日班班通设备流量使用的具体情况、带宽利用率；支持对设备进行限速设置。</w:t>
            </w:r>
            <w:r>
              <w:rPr>
                <w:rFonts w:hint="eastAsia" w:hAnsi="宋体" w:cs="宋体"/>
                <w:color w:val="000000"/>
                <w:sz w:val="20"/>
                <w:lang w:bidi="ar"/>
              </w:rPr>
              <w:br w:type="textWrapping"/>
            </w:r>
            <w:r>
              <w:rPr>
                <w:rFonts w:hint="eastAsia" w:hAnsi="宋体" w:cs="宋体"/>
                <w:color w:val="000000"/>
                <w:sz w:val="20"/>
                <w:lang w:bidi="ar"/>
              </w:rPr>
              <w:t>▲14</w:t>
            </w:r>
            <w:r>
              <w:rPr>
                <w:rFonts w:hint="eastAsia" w:hAnsi="宋体" w:cs="宋体"/>
                <w:color w:val="000000"/>
                <w:sz w:val="20"/>
                <w:lang w:val="en-US" w:eastAsia="zh-CN" w:bidi="ar"/>
              </w:rPr>
              <w:t>.</w:t>
            </w:r>
            <w:r>
              <w:rPr>
                <w:rFonts w:hint="eastAsia" w:hAnsi="宋体" w:cs="宋体"/>
                <w:color w:val="000000"/>
                <w:sz w:val="20"/>
                <w:lang w:bidi="ar"/>
              </w:rPr>
              <w:t>AI画面监测：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15</w:t>
            </w:r>
            <w:r>
              <w:rPr>
                <w:rFonts w:hint="eastAsia" w:hAnsi="宋体" w:cs="宋体"/>
                <w:color w:val="000000"/>
                <w:sz w:val="20"/>
                <w:lang w:val="en-US" w:eastAsia="zh-CN" w:bidi="ar"/>
              </w:rPr>
              <w:t>.</w:t>
            </w:r>
            <w:r>
              <w:rPr>
                <w:rFonts w:hint="eastAsia" w:hAnsi="宋体" w:cs="宋体"/>
                <w:color w:val="000000"/>
                <w:sz w:val="20"/>
                <w:lang w:bidi="ar"/>
              </w:rPr>
              <w:t>支持用户自主上传官方正版软件，支持批量将软件发送至班班通设备安装，软件自动静默安装，无需人工操作。</w:t>
            </w:r>
            <w:r>
              <w:rPr>
                <w:rFonts w:hint="eastAsia" w:hAnsi="宋体" w:cs="宋体"/>
                <w:color w:val="000000"/>
                <w:sz w:val="20"/>
                <w:lang w:bidi="ar"/>
              </w:rPr>
              <w:br w:type="textWrapping"/>
            </w:r>
            <w:r>
              <w:rPr>
                <w:rFonts w:hint="eastAsia" w:hAnsi="宋体" w:cs="宋体"/>
                <w:color w:val="000000"/>
                <w:sz w:val="20"/>
                <w:lang w:bidi="ar"/>
              </w:rPr>
              <w:t>16</w:t>
            </w:r>
            <w:r>
              <w:rPr>
                <w:rFonts w:hint="eastAsia" w:hAnsi="宋体" w:cs="宋体"/>
                <w:color w:val="000000"/>
                <w:sz w:val="20"/>
                <w:lang w:val="en-US" w:eastAsia="zh-CN" w:bidi="ar"/>
              </w:rPr>
              <w:t>.</w:t>
            </w:r>
            <w:r>
              <w:rPr>
                <w:rFonts w:hint="eastAsia" w:hAnsi="宋体" w:cs="宋体"/>
                <w:color w:val="000000"/>
                <w:sz w:val="20"/>
                <w:lang w:bidi="ar"/>
              </w:rPr>
              <w:t>支持多位老师同时向不同设备发起直播，直播方式包含纯桌面直播、视频直播、音频直播、桌面+视频直播方式；直播过程中支持增、删接收直播观看的班班通设备；支持实时查看收看端教室画面；支持切换直播画质清晰度；支持实时查看直播源码率、FPS数据。</w:t>
            </w:r>
            <w:r>
              <w:rPr>
                <w:rFonts w:hint="eastAsia" w:hAnsi="宋体" w:cs="宋体"/>
                <w:color w:val="000000"/>
                <w:sz w:val="20"/>
                <w:lang w:bidi="ar"/>
              </w:rPr>
              <w:br w:type="textWrapping"/>
            </w:r>
            <w:r>
              <w:rPr>
                <w:rFonts w:hint="eastAsia" w:hAnsi="宋体" w:cs="宋体"/>
                <w:color w:val="000000"/>
                <w:sz w:val="20"/>
                <w:lang w:bidi="ar"/>
              </w:rPr>
              <w:t>17</w:t>
            </w:r>
            <w:r>
              <w:rPr>
                <w:rFonts w:hint="eastAsia" w:hAnsi="宋体" w:cs="宋体"/>
                <w:color w:val="000000"/>
                <w:sz w:val="20"/>
                <w:lang w:val="en-US" w:eastAsia="zh-CN" w:bidi="ar"/>
              </w:rPr>
              <w:t>.</w:t>
            </w:r>
            <w:r>
              <w:rPr>
                <w:rFonts w:hint="eastAsia" w:hAnsi="宋体" w:cs="宋体"/>
                <w:color w:val="000000"/>
                <w:sz w:val="20"/>
                <w:lang w:bidi="ar"/>
              </w:rPr>
              <w:t>支持通过微信小程序远程管理学校所有电子设备，支持查看设备运行状态，支持下发远程指令，支持查看设备数据，支持推送指令执行异常的设备信息、出现不良画面的设备及不良内容。</w:t>
            </w:r>
            <w:r>
              <w:rPr>
                <w:rFonts w:hint="eastAsia" w:hAnsi="宋体" w:cs="宋体"/>
                <w:color w:val="000000"/>
                <w:sz w:val="20"/>
                <w:lang w:bidi="ar"/>
              </w:rPr>
              <w:br w:type="textWrapping"/>
            </w:r>
            <w:r>
              <w:rPr>
                <w:rFonts w:hint="eastAsia" w:hAnsi="宋体" w:cs="宋体"/>
                <w:color w:val="000000"/>
                <w:sz w:val="20"/>
                <w:lang w:bidi="ar"/>
              </w:rPr>
              <w:t>▲18</w:t>
            </w:r>
            <w:r>
              <w:rPr>
                <w:rFonts w:hint="eastAsia" w:hAnsi="宋体" w:cs="宋体"/>
                <w:color w:val="000000"/>
                <w:sz w:val="20"/>
                <w:lang w:val="en-US" w:eastAsia="zh-CN" w:bidi="ar"/>
              </w:rPr>
              <w:t>.</w:t>
            </w:r>
            <w:r>
              <w:rPr>
                <w:rFonts w:hint="eastAsia" w:hAnsi="宋体" w:cs="宋体"/>
                <w:color w:val="000000"/>
                <w:sz w:val="20"/>
                <w:lang w:bidi="ar"/>
              </w:rPr>
              <w:t>支持通过不少于五大维度，科学合理监测评估基建设备的稳定性；如网络达标情况、硬件达标情况、流畅度、安全达标情况、设备应用情况；从而了解设备使用年限、安全服务情况、教师应用使用情况等。（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▲19</w:t>
            </w:r>
            <w:r>
              <w:rPr>
                <w:rFonts w:hint="eastAsia" w:hAnsi="宋体" w:cs="宋体"/>
                <w:color w:val="000000"/>
                <w:sz w:val="20"/>
                <w:lang w:val="en-US" w:eastAsia="zh-CN" w:bidi="ar"/>
              </w:rPr>
              <w:t>.</w:t>
            </w:r>
            <w:r>
              <w:rPr>
                <w:rFonts w:hint="eastAsia" w:hAnsi="宋体" w:cs="宋体"/>
                <w:color w:val="000000"/>
                <w:sz w:val="20"/>
                <w:lang w:bidi="ar"/>
              </w:rPr>
              <w:t>支持快速筛选全校所有设备各项指标的达标率，快速定位和识别问题设备；支持解读设备运行数据，提供基建优化建议。（提供国内检验检测机构出具的权威检测报告复印件并加盖公章）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▲20</w:t>
            </w:r>
            <w:r>
              <w:rPr>
                <w:rFonts w:hint="eastAsia" w:hAnsi="宋体" w:cs="宋体"/>
                <w:color w:val="000000"/>
                <w:sz w:val="20"/>
                <w:lang w:val="en-US" w:eastAsia="zh-CN" w:bidi="ar"/>
              </w:rPr>
              <w:t>.</w:t>
            </w:r>
            <w:r>
              <w:rPr>
                <w:rFonts w:hint="eastAsia" w:hAnsi="宋体" w:cs="宋体"/>
                <w:color w:val="000000"/>
                <w:sz w:val="20"/>
                <w:lang w:bidi="ar"/>
              </w:rPr>
              <w:t>时事转播：支持实时强制转播时事新闻，设备执行播放任务过程中可由学校老师扫码验证身份后退出本次转播服务执行；支持新闻网页地址、纯视频文件2种转播方式；支持立即、定时、周循环3种循环模式；支持指定设备定向发布内容；支持查看执行结果和计划列表。（提供国内检验检测机构出具的权威检测报告复印件并加盖公章）</w:t>
            </w:r>
            <w:r>
              <w:rPr>
                <w:rFonts w:hint="eastAsia" w:hAnsi="宋体" w:cs="宋体"/>
                <w:color w:val="000000"/>
                <w:sz w:val="20"/>
                <w:lang w:bidi="ar"/>
              </w:rPr>
              <w:br w:type="textWrapping"/>
            </w:r>
            <w:r>
              <w:rPr>
                <w:rFonts w:hint="eastAsia" w:hAnsi="宋体" w:cs="宋体"/>
                <w:color w:val="000000"/>
                <w:sz w:val="20"/>
                <w:lang w:bidi="ar"/>
              </w:rPr>
              <w:t>▲21</w:t>
            </w:r>
            <w:r>
              <w:rPr>
                <w:rFonts w:hint="eastAsia" w:hAnsi="宋体" w:cs="宋体"/>
                <w:color w:val="000000"/>
                <w:sz w:val="20"/>
                <w:lang w:val="en-US" w:eastAsia="zh-CN" w:bidi="ar"/>
              </w:rPr>
              <w:t>.</w:t>
            </w:r>
            <w:r>
              <w:rPr>
                <w:rFonts w:hint="eastAsia" w:hAnsi="宋体" w:cs="宋体"/>
                <w:color w:val="000000"/>
                <w:sz w:val="20"/>
                <w:lang w:bidi="ar"/>
              </w:rPr>
              <w:t>要求与金华市教育局设备运维管理系统平台无缝对接，实现统一管控。</w:t>
            </w:r>
            <w:r>
              <w:rPr>
                <w:rFonts w:hint="eastAsia" w:hAnsi="宋体" w:cs="宋体"/>
                <w:color w:val="000000"/>
                <w:sz w:val="20"/>
                <w:lang w:bidi="ar"/>
              </w:rPr>
              <w:br w:type="textWrapping"/>
            </w:r>
            <w:r>
              <w:rPr>
                <w:rFonts w:hint="eastAsia" w:hAnsi="宋体" w:cs="宋体"/>
                <w:color w:val="000000"/>
                <w:sz w:val="20"/>
                <w:lang w:bidi="ar"/>
              </w:rPr>
              <w:t>22</w:t>
            </w:r>
            <w:r>
              <w:rPr>
                <w:rFonts w:hint="eastAsia" w:hAnsi="宋体" w:cs="宋体"/>
                <w:color w:val="000000"/>
                <w:sz w:val="20"/>
                <w:lang w:val="en-US" w:eastAsia="zh-CN" w:bidi="ar"/>
              </w:rPr>
              <w:t>.</w:t>
            </w:r>
            <w:r>
              <w:rPr>
                <w:rFonts w:hint="eastAsia" w:hAnsi="宋体" w:cs="宋体"/>
                <w:color w:val="000000"/>
                <w:sz w:val="20"/>
                <w:lang w:bidi="ar"/>
              </w:rPr>
              <w:t>所投设备运维管理系统软件具备信息安全认证证书，提供证明文件。</w:t>
            </w:r>
            <w:r>
              <w:rPr>
                <w:rFonts w:hint="eastAsia" w:hAnsi="宋体" w:cs="宋体"/>
                <w:color w:val="000000"/>
                <w:sz w:val="20"/>
                <w:lang w:bidi="ar"/>
              </w:rPr>
              <w:br w:type="textWrapping"/>
            </w:r>
            <w:r>
              <w:rPr>
                <w:rFonts w:hint="eastAsia" w:hAnsi="宋体" w:cs="宋体"/>
                <w:color w:val="000000"/>
                <w:sz w:val="20"/>
                <w:lang w:bidi="ar"/>
              </w:rPr>
              <w:t>23</w:t>
            </w:r>
            <w:r>
              <w:rPr>
                <w:rFonts w:hint="eastAsia" w:hAnsi="宋体" w:cs="宋体"/>
                <w:color w:val="000000"/>
                <w:sz w:val="20"/>
                <w:lang w:val="en-US" w:eastAsia="zh-CN" w:bidi="ar"/>
              </w:rPr>
              <w:t>.</w:t>
            </w:r>
            <w:r>
              <w:rPr>
                <w:rFonts w:hint="eastAsia" w:hAnsi="宋体" w:cs="宋体"/>
                <w:color w:val="000000"/>
                <w:sz w:val="20"/>
                <w:lang w:bidi="ar"/>
              </w:rPr>
              <w:t>所投设备运维管理系统软件提供软件著作权证书。</w:t>
            </w:r>
            <w:r>
              <w:rPr>
                <w:rFonts w:hint="eastAsia" w:hAnsi="宋体" w:cs="宋体"/>
                <w:color w:val="000000"/>
                <w:sz w:val="20"/>
                <w:lang w:bidi="ar"/>
              </w:rPr>
              <w:br w:type="textWrapping"/>
            </w:r>
            <w:r>
              <w:rPr>
                <w:rFonts w:hint="eastAsia" w:hAnsi="宋体" w:cs="宋体"/>
                <w:color w:val="000000"/>
                <w:sz w:val="20"/>
                <w:lang w:bidi="ar"/>
              </w:rPr>
              <w:t>24</w:t>
            </w:r>
            <w:r>
              <w:rPr>
                <w:rFonts w:hint="eastAsia" w:hAnsi="宋体" w:cs="宋体"/>
                <w:color w:val="000000"/>
                <w:sz w:val="20"/>
                <w:lang w:val="en-US" w:eastAsia="zh-CN" w:bidi="ar"/>
              </w:rPr>
              <w:t>.</w:t>
            </w:r>
            <w:r>
              <w:rPr>
                <w:rFonts w:hint="eastAsia" w:hAnsi="宋体" w:cs="宋体"/>
                <w:color w:val="000000"/>
                <w:sz w:val="20"/>
                <w:lang w:bidi="ar"/>
              </w:rPr>
              <w:t>为响应国家政策，设备运维管理系统软件须具备兼容国产操作系统（统信系统或麒麟系统）能力，提供相关国产操作系统公司出具的兼容性证明文件复印件。</w:t>
            </w:r>
          </w:p>
        </w:tc>
        <w:tc>
          <w:tcPr>
            <w:tcW w:w="0" w:type="auto"/>
            <w:shd w:val="clear" w:color="auto" w:fill="auto"/>
            <w:noWrap/>
            <w:vAlign w:val="center"/>
          </w:tcPr>
          <w:p w14:paraId="0D737AD1">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noWrap/>
            <w:vAlign w:val="center"/>
          </w:tcPr>
          <w:p w14:paraId="5FCEB58F">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69CF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0" w:type="auto"/>
            <w:shd w:val="clear" w:color="auto" w:fill="auto"/>
            <w:vAlign w:val="center"/>
          </w:tcPr>
          <w:p w14:paraId="4F969151">
            <w:pPr>
              <w:widowControl/>
              <w:spacing w:line="460" w:lineRule="exact"/>
              <w:jc w:val="center"/>
              <w:textAlignment w:val="center"/>
              <w:rPr>
                <w:rFonts w:hAnsi="宋体" w:cs="宋体"/>
                <w:color w:val="000000"/>
                <w:sz w:val="20"/>
              </w:rPr>
            </w:pPr>
            <w:r>
              <w:rPr>
                <w:rFonts w:hint="eastAsia" w:hAnsi="宋体" w:cs="宋体"/>
                <w:color w:val="000000"/>
                <w:sz w:val="20"/>
                <w:lang w:bidi="ar"/>
              </w:rPr>
              <w:t>2</w:t>
            </w:r>
          </w:p>
        </w:tc>
        <w:tc>
          <w:tcPr>
            <w:tcW w:w="0" w:type="auto"/>
            <w:shd w:val="clear" w:color="auto" w:fill="auto"/>
            <w:vAlign w:val="center"/>
          </w:tcPr>
          <w:p w14:paraId="4617CC57">
            <w:pPr>
              <w:widowControl/>
              <w:spacing w:line="460" w:lineRule="exact"/>
              <w:jc w:val="center"/>
              <w:textAlignment w:val="center"/>
              <w:rPr>
                <w:rFonts w:hAnsi="宋体" w:cs="宋体"/>
                <w:color w:val="000000"/>
                <w:sz w:val="20"/>
              </w:rPr>
            </w:pPr>
            <w:r>
              <w:rPr>
                <w:rFonts w:hint="eastAsia" w:hAnsi="宋体" w:cs="宋体"/>
                <w:color w:val="000000"/>
                <w:sz w:val="20"/>
                <w:lang w:bidi="ar"/>
              </w:rPr>
              <w:t>移动升降演讲桌</w:t>
            </w:r>
          </w:p>
        </w:tc>
        <w:tc>
          <w:tcPr>
            <w:tcW w:w="0" w:type="auto"/>
            <w:shd w:val="clear" w:color="auto" w:fill="auto"/>
            <w:vAlign w:val="center"/>
          </w:tcPr>
          <w:p w14:paraId="2163B563">
            <w:pPr>
              <w:widowControl/>
              <w:spacing w:line="460" w:lineRule="exact"/>
              <w:textAlignment w:val="center"/>
              <w:rPr>
                <w:rFonts w:hAnsi="宋体" w:cs="宋体"/>
                <w:color w:val="000000"/>
                <w:sz w:val="20"/>
              </w:rPr>
            </w:pPr>
            <w:r>
              <w:rPr>
                <w:rFonts w:hint="eastAsia" w:hAnsi="宋体" w:cs="宋体"/>
                <w:color w:val="000000"/>
                <w:sz w:val="20"/>
                <w:lang w:bidi="ar"/>
              </w:rPr>
              <w:t xml:space="preserve">升降原理 气动升降  </w:t>
            </w:r>
            <w:r>
              <w:rPr>
                <w:rFonts w:hint="eastAsia" w:hAnsi="宋体" w:cs="宋体"/>
                <w:color w:val="000000"/>
                <w:sz w:val="20"/>
                <w:lang w:bidi="ar"/>
              </w:rPr>
              <w:br w:type="textWrapping"/>
            </w:r>
            <w:r>
              <w:rPr>
                <w:rFonts w:hint="eastAsia" w:hAnsi="宋体" w:cs="宋体"/>
                <w:color w:val="000000"/>
                <w:sz w:val="20"/>
                <w:lang w:bidi="ar"/>
              </w:rPr>
              <w:t xml:space="preserve">桌面尺寸750x500x18mm  </w:t>
            </w:r>
            <w:r>
              <w:rPr>
                <w:rFonts w:hint="eastAsia" w:hAnsi="宋体" w:cs="宋体"/>
                <w:color w:val="000000"/>
                <w:sz w:val="20"/>
                <w:lang w:bidi="ar"/>
              </w:rPr>
              <w:br w:type="textWrapping"/>
            </w:r>
            <w:r>
              <w:rPr>
                <w:rFonts w:hint="eastAsia" w:hAnsi="宋体" w:cs="宋体"/>
                <w:color w:val="000000"/>
                <w:sz w:val="20"/>
                <w:lang w:bidi="ar"/>
              </w:rPr>
              <w:t xml:space="preserve">升降高度 690-1080mm  </w:t>
            </w:r>
            <w:r>
              <w:rPr>
                <w:rFonts w:hint="eastAsia" w:hAnsi="宋体" w:cs="宋体"/>
                <w:color w:val="000000"/>
                <w:sz w:val="20"/>
                <w:lang w:bidi="ar"/>
              </w:rPr>
              <w:br w:type="textWrapping"/>
            </w:r>
            <w:r>
              <w:rPr>
                <w:rFonts w:hint="eastAsia" w:hAnsi="宋体" w:cs="宋体"/>
                <w:color w:val="000000"/>
                <w:sz w:val="20"/>
                <w:lang w:bidi="ar"/>
              </w:rPr>
              <w:t xml:space="preserve">桌面颜色 原木色  </w:t>
            </w:r>
            <w:r>
              <w:rPr>
                <w:rFonts w:hint="eastAsia" w:hAnsi="宋体" w:cs="宋体"/>
                <w:color w:val="000000"/>
                <w:sz w:val="20"/>
                <w:lang w:bidi="ar"/>
              </w:rPr>
              <w:br w:type="textWrapping"/>
            </w:r>
            <w:r>
              <w:rPr>
                <w:rFonts w:hint="eastAsia" w:hAnsi="宋体" w:cs="宋体"/>
                <w:color w:val="000000"/>
                <w:sz w:val="20"/>
                <w:lang w:bidi="ar"/>
              </w:rPr>
              <w:t xml:space="preserve">最大承重 60kg </w:t>
            </w:r>
            <w:r>
              <w:rPr>
                <w:rFonts w:hint="eastAsia" w:hAnsi="宋体" w:cs="宋体"/>
                <w:color w:val="000000"/>
                <w:sz w:val="20"/>
                <w:lang w:bidi="ar"/>
              </w:rPr>
              <w:br w:type="textWrapping"/>
            </w:r>
            <w:r>
              <w:rPr>
                <w:rFonts w:hint="eastAsia" w:hAnsi="宋体" w:cs="宋体"/>
                <w:color w:val="000000"/>
                <w:sz w:val="20"/>
                <w:lang w:bidi="ar"/>
              </w:rPr>
              <w:t>上档板 多层板油漆封边</w:t>
            </w:r>
            <w:r>
              <w:rPr>
                <w:rFonts w:hint="eastAsia" w:hAnsi="宋体" w:cs="宋体"/>
                <w:color w:val="000000"/>
                <w:sz w:val="20"/>
                <w:lang w:bidi="ar"/>
              </w:rPr>
              <w:br w:type="textWrapping"/>
            </w:r>
            <w:r>
              <w:rPr>
                <w:rFonts w:hint="eastAsia" w:hAnsi="宋体" w:cs="宋体"/>
                <w:color w:val="000000"/>
                <w:sz w:val="20"/>
                <w:lang w:bidi="ar"/>
              </w:rPr>
              <w:t>下围板 金属打也，喷粉，象牙白</w:t>
            </w:r>
            <w:r>
              <w:rPr>
                <w:rFonts w:hint="eastAsia" w:hAnsi="宋体" w:cs="宋体"/>
                <w:color w:val="000000"/>
                <w:sz w:val="20"/>
                <w:lang w:bidi="ar"/>
              </w:rPr>
              <w:br w:type="textWrapping"/>
            </w:r>
            <w:r>
              <w:rPr>
                <w:rFonts w:hint="eastAsia" w:hAnsi="宋体" w:cs="宋体"/>
                <w:color w:val="000000"/>
                <w:sz w:val="20"/>
                <w:lang w:bidi="ar"/>
              </w:rPr>
              <w:t xml:space="preserve">轮子 万向轮，2轮锁定   </w:t>
            </w:r>
          </w:p>
        </w:tc>
        <w:tc>
          <w:tcPr>
            <w:tcW w:w="0" w:type="auto"/>
            <w:shd w:val="clear" w:color="auto" w:fill="auto"/>
            <w:vAlign w:val="center"/>
          </w:tcPr>
          <w:p w14:paraId="234E16BB">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noWrap/>
            <w:vAlign w:val="center"/>
          </w:tcPr>
          <w:p w14:paraId="32FC0641">
            <w:pPr>
              <w:widowControl/>
              <w:spacing w:line="460" w:lineRule="exact"/>
              <w:jc w:val="center"/>
              <w:textAlignment w:val="center"/>
              <w:rPr>
                <w:rFonts w:hAnsi="宋体" w:cs="宋体"/>
                <w:color w:val="000000"/>
                <w:sz w:val="20"/>
              </w:rPr>
            </w:pPr>
            <w:r>
              <w:rPr>
                <w:rFonts w:hint="eastAsia" w:hAnsi="宋体" w:cs="宋体"/>
                <w:color w:val="000000"/>
                <w:sz w:val="20"/>
                <w:lang w:bidi="ar"/>
              </w:rPr>
              <w:t>张</w:t>
            </w:r>
          </w:p>
        </w:tc>
      </w:tr>
      <w:tr w14:paraId="6E2C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7F2DF41F">
            <w:pPr>
              <w:widowControl/>
              <w:spacing w:line="460" w:lineRule="exact"/>
              <w:jc w:val="center"/>
              <w:textAlignment w:val="center"/>
              <w:rPr>
                <w:rFonts w:hAnsi="宋体" w:cs="宋体"/>
                <w:color w:val="000000"/>
                <w:sz w:val="20"/>
              </w:rPr>
            </w:pPr>
            <w:r>
              <w:rPr>
                <w:rFonts w:hint="eastAsia" w:hAnsi="宋体" w:cs="宋体"/>
                <w:color w:val="000000"/>
                <w:sz w:val="20"/>
                <w:lang w:bidi="ar"/>
              </w:rPr>
              <w:t>3</w:t>
            </w:r>
          </w:p>
        </w:tc>
        <w:tc>
          <w:tcPr>
            <w:tcW w:w="0" w:type="auto"/>
            <w:shd w:val="clear" w:color="auto" w:fill="auto"/>
            <w:noWrap/>
            <w:vAlign w:val="center"/>
          </w:tcPr>
          <w:p w14:paraId="00A384DC">
            <w:pPr>
              <w:widowControl/>
              <w:spacing w:line="460" w:lineRule="exact"/>
              <w:jc w:val="center"/>
              <w:textAlignment w:val="center"/>
              <w:rPr>
                <w:rFonts w:hAnsi="宋体" w:cs="宋体"/>
                <w:color w:val="000000"/>
                <w:sz w:val="20"/>
              </w:rPr>
            </w:pPr>
            <w:r>
              <w:rPr>
                <w:rFonts w:hint="eastAsia" w:hAnsi="宋体" w:cs="宋体"/>
                <w:color w:val="000000"/>
                <w:sz w:val="20"/>
                <w:lang w:bidi="ar"/>
              </w:rPr>
              <w:t>视频展台</w:t>
            </w:r>
          </w:p>
        </w:tc>
        <w:tc>
          <w:tcPr>
            <w:tcW w:w="0" w:type="auto"/>
            <w:shd w:val="clear" w:color="auto" w:fill="auto"/>
            <w:vAlign w:val="center"/>
          </w:tcPr>
          <w:p w14:paraId="100F7A91">
            <w:pPr>
              <w:widowControl/>
              <w:spacing w:line="460" w:lineRule="exact"/>
              <w:textAlignment w:val="center"/>
              <w:rPr>
                <w:rFonts w:hAnsi="宋体" w:cs="宋体"/>
                <w:color w:val="000000"/>
                <w:sz w:val="20"/>
              </w:rPr>
            </w:pP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壁挂式安装，无锐角无利边设计，托板采用单板结构，展开后托板尺寸≥A4面积，托板可承重≥3kg，托板可收起，采用磁吸吸附式机构。</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采用一体式非活动悬臂设计，打开托板一个动作即可启动展台，实现画面拍摄和数据传输；支持实时视频矫正功能，拍摄输出画面无梯形畸变，画面如垂直悬臂拍摄效果。（须提供有效认证范围内的国内权威第三方检测机构出具的功能检测报告复印件并加盖公章）</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采用USB接口，单根USB线实现供电、高清数据传输需求。</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展台背面支持数据线缠绕设计，可防止数据线松动脱落，并支持左右下三个方向出线。</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摄像头可拍摄不少于1300万像素数的照片，摄像头支持自动对焦，可拍摄A4画幅，显示视频输出像素≥4208X3120。（须提供有效认证范围内的国内权威第三方检测机构出具的功能检测报告复印件并加盖公章）</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支持实时降噪功能，并可开关控制；支持通过双击屏幕画面任意位置，即时改变对焦位置,可对立体物体的局部进行对焦。（须提供有效认证范围内的国内权威第三方检测机构出具的功能检测报告复印件并加盖公章）</w:t>
            </w:r>
            <w:r>
              <w:rPr>
                <w:rFonts w:hint="eastAsia" w:hAnsi="宋体" w:cs="宋体"/>
                <w:color w:val="000000"/>
                <w:sz w:val="20"/>
                <w:lang w:bidi="ar"/>
              </w:rPr>
              <w:br w:type="textWrapping"/>
            </w:r>
            <w:r>
              <w:rPr>
                <w:rFonts w:hint="eastAsia" w:hAnsi="宋体" w:cs="宋体"/>
                <w:color w:val="000000"/>
                <w:sz w:val="20"/>
                <w:lang w:bidi="ar"/>
              </w:rPr>
              <w:t>7</w:t>
            </w:r>
            <w:r>
              <w:rPr>
                <w:rFonts w:hint="eastAsia" w:hAnsi="宋体" w:cs="宋体"/>
                <w:color w:val="000000"/>
                <w:sz w:val="20"/>
                <w:lang w:val="en-US" w:eastAsia="zh-CN" w:bidi="ar"/>
              </w:rPr>
              <w:t>.</w:t>
            </w:r>
            <w:r>
              <w:rPr>
                <w:rFonts w:hint="eastAsia" w:hAnsi="宋体" w:cs="宋体"/>
                <w:color w:val="000000"/>
                <w:sz w:val="20"/>
                <w:lang w:bidi="ar"/>
              </w:rPr>
              <w:t>展台按键采用触摸按键，可实现灯光调节、拍照截图功能、一键启动，画面缩小、画面放大，同时也支持在展台软件上进行同样的操作。</w:t>
            </w:r>
            <w:r>
              <w:rPr>
                <w:rFonts w:hint="eastAsia" w:hAnsi="宋体" w:cs="宋体"/>
                <w:color w:val="000000"/>
                <w:sz w:val="20"/>
                <w:lang w:bidi="ar"/>
              </w:rPr>
              <w:br w:type="textWrapping"/>
            </w:r>
            <w:r>
              <w:rPr>
                <w:rFonts w:hint="eastAsia" w:hAnsi="宋体" w:cs="宋体"/>
                <w:color w:val="000000"/>
                <w:sz w:val="20"/>
                <w:lang w:bidi="ar"/>
              </w:rPr>
              <w:t>8</w:t>
            </w:r>
            <w:r>
              <w:rPr>
                <w:rFonts w:hint="eastAsia" w:hAnsi="宋体" w:cs="宋体"/>
                <w:color w:val="000000"/>
                <w:sz w:val="20"/>
                <w:lang w:val="en-US" w:eastAsia="zh-CN" w:bidi="ar"/>
              </w:rPr>
              <w:t>.</w:t>
            </w:r>
            <w:r>
              <w:rPr>
                <w:rFonts w:hint="eastAsia" w:hAnsi="宋体" w:cs="宋体"/>
                <w:color w:val="000000"/>
                <w:sz w:val="20"/>
                <w:lang w:bidi="ar"/>
              </w:rPr>
              <w:t>至少支持3档均光LED补光，光线不足时可进行亮度补充。</w:t>
            </w:r>
            <w:r>
              <w:rPr>
                <w:rFonts w:hint="eastAsia" w:hAnsi="宋体" w:cs="宋体"/>
                <w:color w:val="000000"/>
                <w:sz w:val="20"/>
                <w:lang w:bidi="ar"/>
              </w:rPr>
              <w:br w:type="textWrapping"/>
            </w:r>
            <w:r>
              <w:rPr>
                <w:rFonts w:hint="eastAsia" w:hAnsi="宋体" w:cs="宋体"/>
                <w:color w:val="000000"/>
                <w:sz w:val="20"/>
                <w:lang w:bidi="ar"/>
              </w:rPr>
              <w:t>9</w:t>
            </w:r>
            <w:r>
              <w:rPr>
                <w:rFonts w:hint="eastAsia" w:hAnsi="宋体" w:cs="宋体"/>
                <w:color w:val="000000"/>
                <w:sz w:val="20"/>
                <w:lang w:val="en-US" w:eastAsia="zh-CN" w:bidi="ar"/>
              </w:rPr>
              <w:t>.</w:t>
            </w:r>
            <w:r>
              <w:rPr>
                <w:rFonts w:hint="eastAsia" w:hAnsi="宋体" w:cs="宋体"/>
                <w:color w:val="000000"/>
                <w:sz w:val="20"/>
                <w:lang w:bidi="ar"/>
              </w:rPr>
              <w:t>摄像头部分进行外壳防护等级试验，防护等级达到IP4X级别。</w:t>
            </w:r>
            <w:r>
              <w:rPr>
                <w:rFonts w:hint="eastAsia" w:hAnsi="宋体" w:cs="宋体"/>
                <w:color w:val="000000"/>
                <w:sz w:val="20"/>
                <w:lang w:bidi="ar"/>
              </w:rPr>
              <w:br w:type="textWrapping"/>
            </w:r>
            <w:r>
              <w:rPr>
                <w:rFonts w:hint="eastAsia" w:hAnsi="宋体" w:cs="宋体"/>
                <w:color w:val="000000"/>
                <w:sz w:val="20"/>
                <w:lang w:bidi="ar"/>
              </w:rPr>
              <w:t>10</w:t>
            </w:r>
            <w:r>
              <w:rPr>
                <w:rFonts w:hint="eastAsia" w:hAnsi="宋体" w:cs="宋体"/>
                <w:color w:val="000000"/>
                <w:sz w:val="20"/>
                <w:lang w:val="en-US" w:eastAsia="zh-CN" w:bidi="ar"/>
              </w:rPr>
              <w:t>.</w:t>
            </w:r>
            <w:r>
              <w:rPr>
                <w:rFonts w:hint="eastAsia" w:hAnsi="宋体" w:cs="宋体"/>
                <w:color w:val="000000"/>
                <w:sz w:val="20"/>
                <w:lang w:bidi="ar"/>
              </w:rPr>
              <w:t>支持对展台实时画面进行放大、缩小、旋转、自适应、冻结画面等操作。</w:t>
            </w:r>
            <w:r>
              <w:rPr>
                <w:rFonts w:hint="eastAsia" w:hAnsi="宋体" w:cs="宋体"/>
                <w:color w:val="000000"/>
                <w:sz w:val="20"/>
                <w:lang w:bidi="ar"/>
              </w:rPr>
              <w:br w:type="textWrapping"/>
            </w:r>
            <w:r>
              <w:rPr>
                <w:rFonts w:hint="eastAsia" w:hAnsi="宋体" w:cs="宋体"/>
                <w:color w:val="000000"/>
                <w:sz w:val="20"/>
                <w:lang w:bidi="ar"/>
              </w:rPr>
              <w:t>11</w:t>
            </w:r>
            <w:r>
              <w:rPr>
                <w:rFonts w:hint="eastAsia" w:hAnsi="宋体" w:cs="宋体"/>
                <w:color w:val="000000"/>
                <w:sz w:val="20"/>
                <w:lang w:val="en-US" w:eastAsia="zh-CN" w:bidi="ar"/>
              </w:rPr>
              <w:t>.</w:t>
            </w:r>
            <w:r>
              <w:rPr>
                <w:rFonts w:hint="eastAsia" w:hAnsi="宋体" w:cs="宋体"/>
                <w:color w:val="000000"/>
                <w:sz w:val="20"/>
                <w:lang w:bidi="ar"/>
              </w:rPr>
              <w:t>支持展台画面实时批注，预设多种笔划粗细及颜色供选择，且支持对展台画面联同批注内容进行同步缩放、移动。</w:t>
            </w:r>
            <w:r>
              <w:rPr>
                <w:rFonts w:hint="eastAsia" w:hAnsi="宋体" w:cs="宋体"/>
                <w:color w:val="000000"/>
                <w:sz w:val="20"/>
                <w:lang w:bidi="ar"/>
              </w:rPr>
              <w:br w:type="textWrapping"/>
            </w:r>
            <w:r>
              <w:rPr>
                <w:rFonts w:hint="eastAsia" w:hAnsi="宋体" w:cs="宋体"/>
                <w:color w:val="000000"/>
                <w:sz w:val="20"/>
                <w:lang w:bidi="ar"/>
              </w:rPr>
              <w:t>12</w:t>
            </w:r>
            <w:r>
              <w:rPr>
                <w:rFonts w:hint="eastAsia" w:hAnsi="宋体" w:cs="宋体"/>
                <w:color w:val="000000"/>
                <w:sz w:val="20"/>
                <w:lang w:val="en-US" w:eastAsia="zh-CN" w:bidi="ar"/>
              </w:rPr>
              <w:t>.</w:t>
            </w:r>
            <w:r>
              <w:rPr>
                <w:rFonts w:hint="eastAsia" w:hAnsi="宋体" w:cs="宋体"/>
                <w:color w:val="000000"/>
                <w:sz w:val="20"/>
                <w:lang w:bidi="ar"/>
              </w:rPr>
              <w:t>支持展台画面拍照截图并进行多图预览，可对任一图片进行全屏显示。</w:t>
            </w:r>
            <w:r>
              <w:rPr>
                <w:rFonts w:hint="eastAsia" w:hAnsi="宋体" w:cs="宋体"/>
                <w:color w:val="000000"/>
                <w:sz w:val="20"/>
                <w:lang w:bidi="ar"/>
              </w:rPr>
              <w:br w:type="textWrapping"/>
            </w:r>
            <w:r>
              <w:rPr>
                <w:rFonts w:hint="eastAsia" w:hAnsi="宋体" w:cs="宋体"/>
                <w:color w:val="000000"/>
                <w:sz w:val="20"/>
                <w:lang w:bidi="ar"/>
              </w:rPr>
              <w:t>13</w:t>
            </w:r>
            <w:r>
              <w:rPr>
                <w:rFonts w:hint="eastAsia" w:hAnsi="宋体" w:cs="宋体"/>
                <w:color w:val="000000"/>
                <w:sz w:val="20"/>
                <w:lang w:val="en-US" w:eastAsia="zh-CN" w:bidi="ar"/>
              </w:rPr>
              <w:t>.</w:t>
            </w:r>
            <w:r>
              <w:rPr>
                <w:rFonts w:hint="eastAsia" w:hAnsi="宋体" w:cs="宋体"/>
                <w:color w:val="000000"/>
                <w:sz w:val="20"/>
                <w:lang w:bidi="ar"/>
              </w:rPr>
              <w:t>可在一体机或电脑上选择延时拍照功能，支持5秒或10秒延时模式，可调整拍摄内容。</w:t>
            </w:r>
            <w:r>
              <w:rPr>
                <w:rFonts w:hint="eastAsia" w:hAnsi="宋体" w:cs="宋体"/>
                <w:color w:val="000000"/>
                <w:sz w:val="20"/>
                <w:lang w:bidi="ar"/>
              </w:rPr>
              <w:br w:type="textWrapping"/>
            </w:r>
            <w:r>
              <w:rPr>
                <w:rFonts w:hint="eastAsia" w:hAnsi="宋体" w:cs="宋体"/>
                <w:color w:val="000000"/>
                <w:sz w:val="20"/>
                <w:lang w:bidi="ar"/>
              </w:rPr>
              <w:t>14</w:t>
            </w:r>
            <w:r>
              <w:rPr>
                <w:rFonts w:hint="eastAsia" w:hAnsi="宋体" w:cs="宋体"/>
                <w:color w:val="000000"/>
                <w:sz w:val="20"/>
                <w:lang w:val="en-US" w:eastAsia="zh-CN" w:bidi="ar"/>
              </w:rPr>
              <w:t>.</w:t>
            </w:r>
            <w:r>
              <w:rPr>
                <w:rFonts w:hint="eastAsia" w:hAnsi="宋体" w:cs="宋体"/>
                <w:color w:val="000000"/>
                <w:sz w:val="20"/>
                <w:lang w:bidi="ar"/>
              </w:rPr>
              <w:t>可选择图像、文本或动态等多种情景模式，适应不同展示内容。</w:t>
            </w:r>
            <w:r>
              <w:rPr>
                <w:rFonts w:hint="eastAsia" w:hAnsi="宋体" w:cs="宋体"/>
                <w:color w:val="000000"/>
                <w:sz w:val="20"/>
                <w:lang w:bidi="ar"/>
              </w:rPr>
              <w:br w:type="textWrapping"/>
            </w:r>
            <w:r>
              <w:rPr>
                <w:rFonts w:hint="eastAsia" w:hAnsi="宋体" w:cs="宋体"/>
                <w:color w:val="000000"/>
                <w:sz w:val="20"/>
                <w:lang w:bidi="ar"/>
              </w:rPr>
              <w:t>15</w:t>
            </w:r>
            <w:r>
              <w:rPr>
                <w:rFonts w:hint="eastAsia" w:hAnsi="宋体" w:cs="宋体"/>
                <w:color w:val="000000"/>
                <w:sz w:val="20"/>
                <w:lang w:val="en-US" w:eastAsia="zh-CN" w:bidi="ar"/>
              </w:rPr>
              <w:t>.</w:t>
            </w:r>
            <w:r>
              <w:rPr>
                <w:rFonts w:hint="eastAsia" w:hAnsi="宋体" w:cs="宋体"/>
                <w:color w:val="000000"/>
                <w:sz w:val="20"/>
                <w:lang w:bidi="ar"/>
              </w:rPr>
              <w:t>支持故障自动检测，在软件无法出现展台拍摄画面时，自动出现检测链接，检测“无画面”的原因，并给出引导性解决方案。可判断硬件连接、显卡驱动、摄像头占用、软件版本等问题。</w:t>
            </w:r>
            <w:r>
              <w:rPr>
                <w:rFonts w:hint="eastAsia" w:hAnsi="宋体" w:cs="宋体"/>
                <w:color w:val="000000"/>
                <w:sz w:val="20"/>
                <w:lang w:bidi="ar"/>
              </w:rPr>
              <w:br w:type="textWrapping"/>
            </w:r>
            <w:r>
              <w:rPr>
                <w:rFonts w:hint="eastAsia" w:hAnsi="宋体" w:cs="宋体"/>
                <w:color w:val="000000"/>
                <w:sz w:val="20"/>
                <w:lang w:bidi="ar"/>
              </w:rPr>
              <w:t>16</w:t>
            </w:r>
            <w:r>
              <w:rPr>
                <w:rFonts w:hint="eastAsia" w:hAnsi="宋体" w:cs="宋体"/>
                <w:color w:val="000000"/>
                <w:sz w:val="20"/>
                <w:lang w:val="en-US" w:eastAsia="zh-CN" w:bidi="ar"/>
              </w:rPr>
              <w:t>.</w:t>
            </w:r>
            <w:r>
              <w:rPr>
                <w:rFonts w:hint="eastAsia" w:hAnsi="宋体" w:cs="宋体"/>
                <w:color w:val="000000"/>
                <w:sz w:val="20"/>
                <w:lang w:bidi="ar"/>
              </w:rPr>
              <w:t>二维码扫码：打开扫一扫功能后，将书本上的二维码放入扫描框内即可自动扫描，并进入系统浏览器获取二维码的链接内容，帮助老师快速获取电子教学资源。</w:t>
            </w:r>
            <w:r>
              <w:rPr>
                <w:rFonts w:hint="eastAsia" w:hAnsi="宋体" w:cs="宋体"/>
                <w:color w:val="000000"/>
                <w:sz w:val="20"/>
                <w:lang w:bidi="ar"/>
              </w:rPr>
              <w:br w:type="textWrapping"/>
            </w:r>
            <w:r>
              <w:rPr>
                <w:rFonts w:hint="eastAsia" w:hAnsi="宋体" w:cs="宋体"/>
                <w:color w:val="000000"/>
                <w:sz w:val="20"/>
                <w:lang w:bidi="ar"/>
              </w:rPr>
              <w:t>17</w:t>
            </w:r>
            <w:r>
              <w:rPr>
                <w:rFonts w:hint="eastAsia" w:hAnsi="宋体" w:cs="宋体"/>
                <w:color w:val="000000"/>
                <w:sz w:val="20"/>
                <w:lang w:val="en-US" w:eastAsia="zh-CN" w:bidi="ar"/>
              </w:rPr>
              <w:t>.</w:t>
            </w:r>
            <w:r>
              <w:rPr>
                <w:rFonts w:hint="eastAsia" w:hAnsi="宋体" w:cs="宋体"/>
                <w:color w:val="000000"/>
                <w:sz w:val="20"/>
                <w:lang w:bidi="ar"/>
              </w:rPr>
              <w:t>视频展台支持对接国产化操作系统，提供相关国产化系统软件公司兼容的认证证书复印件；</w:t>
            </w:r>
          </w:p>
        </w:tc>
        <w:tc>
          <w:tcPr>
            <w:tcW w:w="0" w:type="auto"/>
            <w:shd w:val="clear" w:color="auto" w:fill="auto"/>
            <w:noWrap/>
            <w:vAlign w:val="center"/>
          </w:tcPr>
          <w:p w14:paraId="15418B4F">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noWrap/>
            <w:vAlign w:val="center"/>
          </w:tcPr>
          <w:p w14:paraId="0732032F">
            <w:pPr>
              <w:widowControl/>
              <w:spacing w:line="460" w:lineRule="exact"/>
              <w:jc w:val="center"/>
              <w:textAlignment w:val="center"/>
              <w:rPr>
                <w:rFonts w:hAnsi="宋体" w:cs="宋体"/>
                <w:color w:val="000000"/>
                <w:sz w:val="20"/>
              </w:rPr>
            </w:pPr>
            <w:r>
              <w:rPr>
                <w:rFonts w:hint="eastAsia" w:hAnsi="宋体" w:cs="宋体"/>
                <w:color w:val="000000"/>
                <w:sz w:val="20"/>
                <w:lang w:bidi="ar"/>
              </w:rPr>
              <w:t>套</w:t>
            </w:r>
          </w:p>
        </w:tc>
      </w:tr>
      <w:tr w14:paraId="76F8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gridSpan w:val="3"/>
            <w:shd w:val="clear" w:color="auto" w:fill="auto"/>
            <w:vAlign w:val="center"/>
          </w:tcPr>
          <w:p w14:paraId="07DB7F7E">
            <w:pPr>
              <w:widowControl/>
              <w:spacing w:line="460" w:lineRule="exact"/>
              <w:textAlignment w:val="center"/>
              <w:rPr>
                <w:rFonts w:hAnsi="宋体" w:cs="宋体"/>
                <w:b/>
                <w:bCs/>
                <w:color w:val="000000"/>
                <w:sz w:val="20"/>
              </w:rPr>
            </w:pPr>
            <w:r>
              <w:rPr>
                <w:rFonts w:hint="eastAsia" w:hAnsi="宋体" w:cs="宋体"/>
                <w:b/>
                <w:bCs/>
                <w:color w:val="000000"/>
                <w:sz w:val="20"/>
                <w:lang w:bidi="ar"/>
              </w:rPr>
              <w:t>二、精品交互录播系统</w:t>
            </w:r>
          </w:p>
        </w:tc>
        <w:tc>
          <w:tcPr>
            <w:tcW w:w="0" w:type="auto"/>
            <w:shd w:val="clear" w:color="auto" w:fill="auto"/>
            <w:vAlign w:val="center"/>
          </w:tcPr>
          <w:p w14:paraId="71DA3A08">
            <w:pPr>
              <w:spacing w:line="460" w:lineRule="exact"/>
              <w:jc w:val="center"/>
              <w:rPr>
                <w:rFonts w:hAnsi="宋体" w:cs="宋体"/>
                <w:color w:val="000000"/>
                <w:sz w:val="20"/>
              </w:rPr>
            </w:pPr>
          </w:p>
        </w:tc>
        <w:tc>
          <w:tcPr>
            <w:tcW w:w="0" w:type="auto"/>
            <w:shd w:val="clear" w:color="auto" w:fill="auto"/>
            <w:vAlign w:val="center"/>
          </w:tcPr>
          <w:p w14:paraId="41326983">
            <w:pPr>
              <w:spacing w:line="460" w:lineRule="exact"/>
              <w:jc w:val="center"/>
              <w:rPr>
                <w:rFonts w:hAnsi="宋体" w:cs="宋体"/>
                <w:color w:val="000000"/>
                <w:sz w:val="20"/>
              </w:rPr>
            </w:pPr>
          </w:p>
        </w:tc>
      </w:tr>
      <w:tr w14:paraId="2496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5AB2617B">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55FE85B5">
            <w:pPr>
              <w:widowControl/>
              <w:spacing w:line="460" w:lineRule="exact"/>
              <w:jc w:val="center"/>
              <w:textAlignment w:val="center"/>
              <w:rPr>
                <w:rFonts w:hAnsi="宋体" w:cs="宋体"/>
                <w:color w:val="000000"/>
                <w:sz w:val="20"/>
              </w:rPr>
            </w:pPr>
            <w:r>
              <w:rPr>
                <w:rFonts w:hint="eastAsia" w:hAnsi="宋体" w:cs="宋体"/>
                <w:color w:val="000000"/>
                <w:sz w:val="20"/>
                <w:lang w:bidi="ar"/>
              </w:rPr>
              <w:t>高清录播主机</w:t>
            </w:r>
          </w:p>
        </w:tc>
        <w:tc>
          <w:tcPr>
            <w:tcW w:w="0" w:type="auto"/>
            <w:shd w:val="clear" w:color="auto" w:fill="auto"/>
            <w:vAlign w:val="center"/>
          </w:tcPr>
          <w:p w14:paraId="29D1CB18">
            <w:pPr>
              <w:widowControl/>
              <w:spacing w:line="460" w:lineRule="exact"/>
              <w:textAlignment w:val="center"/>
              <w:rPr>
                <w:rFonts w:hAnsi="宋体" w:cs="宋体"/>
                <w:color w:val="000000"/>
                <w:sz w:val="20"/>
              </w:rPr>
            </w:pPr>
            <w:r>
              <w:rPr>
                <w:rFonts w:hint="eastAsia" w:hAnsi="宋体" w:cs="宋体"/>
                <w:color w:val="000000"/>
                <w:sz w:val="20"/>
                <w:lang w:bidi="ar"/>
              </w:rPr>
              <w:t>1.主机采用低功耗，标准机架式设计，设备符合GB 4943.1-2022《音视频、信息技术设备和通信技术设备 第1部分:安全要求》；</w:t>
            </w:r>
            <w:r>
              <w:rPr>
                <w:rFonts w:hint="eastAsia" w:hAnsi="宋体" w:cs="宋体"/>
                <w:color w:val="000000"/>
                <w:sz w:val="20"/>
                <w:lang w:bidi="ar"/>
              </w:rPr>
              <w:br w:type="textWrapping"/>
            </w:r>
            <w:r>
              <w:rPr>
                <w:rFonts w:hint="eastAsia" w:hAnsi="宋体" w:cs="宋体"/>
                <w:color w:val="000000"/>
                <w:sz w:val="20"/>
                <w:lang w:bidi="ar"/>
              </w:rPr>
              <w:t>▲2.主机功能同时具备录制、导播、存储、点播、互动、课堂分析等多功能于一体，算力集成≥6个CPU核心、≥1个GPU与NPU，核心频率≥2.6GHz保障应用性能；</w:t>
            </w:r>
            <w:r>
              <w:rPr>
                <w:rFonts w:hint="eastAsia" w:hAnsi="宋体" w:cs="宋体"/>
                <w:color w:val="000000"/>
                <w:sz w:val="20"/>
                <w:lang w:bidi="ar"/>
              </w:rPr>
              <w:br w:type="textWrapping"/>
            </w:r>
            <w:r>
              <w:rPr>
                <w:rFonts w:hint="eastAsia" w:hAnsi="宋体" w:cs="宋体"/>
                <w:color w:val="000000"/>
                <w:sz w:val="20"/>
                <w:lang w:bidi="ar"/>
              </w:rPr>
              <w:t>3.主机支持≥3路摄像机信号输入和≥1路HDMI信号输入，共≥4路高清视频数字视频信号同步采集，具备声画同步机制，实现≤150ms声画同步差异；</w:t>
            </w:r>
            <w:r>
              <w:rPr>
                <w:rFonts w:hint="eastAsia" w:hAnsi="宋体" w:cs="宋体"/>
                <w:color w:val="000000"/>
                <w:sz w:val="20"/>
                <w:lang w:bidi="ar"/>
              </w:rPr>
              <w:br w:type="textWrapping"/>
            </w:r>
            <w:r>
              <w:rPr>
                <w:rFonts w:hint="eastAsia" w:hAnsi="宋体" w:cs="宋体"/>
                <w:color w:val="000000"/>
                <w:sz w:val="20"/>
                <w:lang w:bidi="ar"/>
              </w:rPr>
              <w:t>▲4.主机支持数字音频≥1路线性音频信号输入，≥1路线性音频输出，≥2路音频数字音频输入，支持回声抑制、增益、噪声抑制与音频均衡功能；</w:t>
            </w:r>
            <w:r>
              <w:rPr>
                <w:rFonts w:hint="eastAsia" w:hAnsi="宋体" w:cs="宋体"/>
                <w:color w:val="000000"/>
                <w:sz w:val="20"/>
                <w:lang w:bidi="ar"/>
              </w:rPr>
              <w:br w:type="textWrapping"/>
            </w:r>
            <w:r>
              <w:rPr>
                <w:rFonts w:hint="eastAsia" w:hAnsi="宋体" w:cs="宋体"/>
                <w:color w:val="000000"/>
                <w:sz w:val="20"/>
                <w:lang w:bidi="ar"/>
              </w:rPr>
              <w:t>5.主机支持≥1路控制接口，≥1路USB 接口；</w:t>
            </w:r>
            <w:r>
              <w:rPr>
                <w:rFonts w:hint="eastAsia" w:hAnsi="宋体" w:cs="宋体"/>
                <w:color w:val="000000"/>
                <w:sz w:val="20"/>
                <w:lang w:bidi="ar"/>
              </w:rPr>
              <w:br w:type="textWrapping"/>
            </w:r>
            <w:r>
              <w:rPr>
                <w:rFonts w:hint="eastAsia" w:hAnsi="宋体" w:cs="宋体"/>
                <w:color w:val="000000"/>
                <w:sz w:val="20"/>
                <w:lang w:bidi="ar"/>
              </w:rPr>
              <w:t>6.主机兼容标准视频编解码能力，以及音频编解码协议标准，且内置音频处理功能；</w:t>
            </w:r>
            <w:r>
              <w:rPr>
                <w:rFonts w:hint="eastAsia" w:hAnsi="宋体" w:cs="宋体"/>
                <w:color w:val="000000"/>
                <w:sz w:val="20"/>
                <w:lang w:bidi="ar"/>
              </w:rPr>
              <w:br w:type="textWrapping"/>
            </w:r>
            <w:r>
              <w:rPr>
                <w:rFonts w:hint="eastAsia" w:hAnsi="宋体" w:cs="宋体"/>
                <w:color w:val="000000"/>
                <w:sz w:val="20"/>
                <w:lang w:bidi="ar"/>
              </w:rPr>
              <w:t>8.存储容量≥1TB，用于录制视频文件的本地存储；</w:t>
            </w:r>
            <w:r>
              <w:rPr>
                <w:rFonts w:hint="eastAsia" w:hAnsi="宋体" w:cs="宋体"/>
                <w:color w:val="000000"/>
                <w:sz w:val="20"/>
                <w:lang w:bidi="ar"/>
              </w:rPr>
              <w:br w:type="textWrapping"/>
            </w:r>
            <w:r>
              <w:rPr>
                <w:rFonts w:hint="eastAsia" w:hAnsi="宋体" w:cs="宋体"/>
                <w:color w:val="000000"/>
                <w:sz w:val="20"/>
                <w:lang w:bidi="ar"/>
              </w:rPr>
              <w:t>9.设备噪声符合GB/T6882标准，各状态下≤18dB（A）避免影响课堂教学；</w:t>
            </w:r>
            <w:r>
              <w:rPr>
                <w:rFonts w:hint="eastAsia" w:hAnsi="宋体" w:cs="宋体"/>
                <w:color w:val="000000"/>
                <w:sz w:val="20"/>
                <w:lang w:bidi="ar"/>
              </w:rPr>
              <w:br w:type="textWrapping"/>
            </w:r>
            <w:r>
              <w:rPr>
                <w:rFonts w:hint="eastAsia" w:hAnsi="宋体" w:cs="宋体"/>
                <w:color w:val="000000"/>
                <w:sz w:val="20"/>
                <w:lang w:bidi="ar"/>
              </w:rPr>
              <w:t>10.系统采用B/S架构设计，支持通过浏览器即可进行管理配置与操作；</w:t>
            </w:r>
            <w:r>
              <w:rPr>
                <w:rFonts w:hint="eastAsia" w:hAnsi="宋体" w:cs="宋体"/>
                <w:color w:val="000000"/>
                <w:sz w:val="20"/>
                <w:lang w:bidi="ar"/>
              </w:rPr>
              <w:br w:type="textWrapping"/>
            </w:r>
            <w:r>
              <w:rPr>
                <w:rFonts w:hint="eastAsia" w:hAnsi="宋体" w:cs="宋体"/>
                <w:color w:val="000000"/>
                <w:sz w:val="20"/>
                <w:lang w:bidi="ar"/>
              </w:rPr>
              <w:t>11.可提供师生视频分析，数据包括但不限于行为数据、语音表达数据，提供功能界面截图并加盖投标单位投标章或公章；</w:t>
            </w:r>
            <w:r>
              <w:rPr>
                <w:rFonts w:hint="eastAsia" w:hAnsi="宋体" w:cs="宋体"/>
                <w:color w:val="000000"/>
                <w:sz w:val="20"/>
                <w:lang w:bidi="ar"/>
              </w:rPr>
              <w:br w:type="textWrapping"/>
            </w:r>
            <w:r>
              <w:rPr>
                <w:rFonts w:hint="eastAsia" w:hAnsi="宋体" w:cs="宋体"/>
                <w:color w:val="000000"/>
                <w:sz w:val="20"/>
                <w:lang w:bidi="ar"/>
              </w:rPr>
              <w:t>12.在多画面布局以及多流录制及直播的使用场景下，不同画面保持毫秒级的同步效果，满足最佳的使用体验；</w:t>
            </w:r>
            <w:r>
              <w:rPr>
                <w:rFonts w:hint="eastAsia" w:hAnsi="宋体" w:cs="宋体"/>
                <w:color w:val="000000"/>
                <w:sz w:val="20"/>
                <w:lang w:bidi="ar"/>
              </w:rPr>
              <w:br w:type="textWrapping"/>
            </w:r>
            <w:r>
              <w:rPr>
                <w:rFonts w:hint="eastAsia" w:hAnsi="宋体" w:cs="宋体"/>
                <w:color w:val="000000"/>
                <w:sz w:val="20"/>
                <w:lang w:bidi="ar"/>
              </w:rPr>
              <w:t>13.支持中英双语版本切换，适合不同用户的应用需求；</w:t>
            </w:r>
            <w:r>
              <w:rPr>
                <w:rFonts w:hint="eastAsia" w:hAnsi="宋体" w:cs="宋体"/>
                <w:color w:val="000000"/>
                <w:sz w:val="20"/>
                <w:lang w:bidi="ar"/>
              </w:rPr>
              <w:br w:type="textWrapping"/>
            </w:r>
            <w:r>
              <w:rPr>
                <w:rFonts w:hint="eastAsia" w:hAnsi="宋体" w:cs="宋体"/>
                <w:color w:val="000000"/>
                <w:sz w:val="20"/>
                <w:lang w:bidi="ar"/>
              </w:rPr>
              <w:t>14.支持多种通电模式状态选择；</w:t>
            </w:r>
            <w:r>
              <w:rPr>
                <w:rFonts w:hint="eastAsia" w:hAnsi="宋体" w:cs="宋体"/>
                <w:color w:val="000000"/>
                <w:sz w:val="20"/>
                <w:lang w:bidi="ar"/>
              </w:rPr>
              <w:br w:type="textWrapping"/>
            </w:r>
            <w:r>
              <w:rPr>
                <w:rFonts w:hint="eastAsia" w:hAnsi="宋体" w:cs="宋体"/>
                <w:color w:val="000000"/>
                <w:sz w:val="20"/>
                <w:lang w:bidi="ar"/>
              </w:rPr>
              <w:t>15.支持系统软件版本管理，提供多种升级方式，且支持导出和导入系统配置文件；</w:t>
            </w:r>
            <w:r>
              <w:rPr>
                <w:rFonts w:hint="eastAsia" w:hAnsi="宋体" w:cs="宋体"/>
                <w:color w:val="000000"/>
                <w:sz w:val="20"/>
                <w:lang w:bidi="ar"/>
              </w:rPr>
              <w:br w:type="textWrapping"/>
            </w:r>
            <w:r>
              <w:rPr>
                <w:rFonts w:hint="eastAsia" w:hAnsi="宋体" w:cs="宋体"/>
                <w:color w:val="000000"/>
                <w:sz w:val="20"/>
                <w:lang w:bidi="ar"/>
              </w:rPr>
              <w:t>16.支持填写设备的安装信息，包括位置、所在学校、安装地点、联系人等；</w:t>
            </w:r>
            <w:r>
              <w:rPr>
                <w:rFonts w:hint="eastAsia" w:hAnsi="宋体" w:cs="宋体"/>
                <w:color w:val="000000"/>
                <w:sz w:val="20"/>
                <w:lang w:bidi="ar"/>
              </w:rPr>
              <w:br w:type="textWrapping"/>
            </w:r>
            <w:r>
              <w:rPr>
                <w:rFonts w:hint="eastAsia" w:hAnsi="宋体" w:cs="宋体"/>
                <w:color w:val="000000"/>
                <w:sz w:val="20"/>
                <w:lang w:bidi="ar"/>
              </w:rPr>
              <w:t>17.支持定时休眠唤醒功能；</w:t>
            </w:r>
            <w:r>
              <w:rPr>
                <w:rFonts w:hint="eastAsia" w:hAnsi="宋体" w:cs="宋体"/>
                <w:color w:val="000000"/>
                <w:sz w:val="20"/>
                <w:lang w:bidi="ar"/>
              </w:rPr>
              <w:br w:type="textWrapping"/>
            </w:r>
            <w:r>
              <w:rPr>
                <w:rFonts w:hint="eastAsia" w:hAnsi="宋体" w:cs="宋体"/>
                <w:color w:val="000000"/>
                <w:sz w:val="20"/>
                <w:lang w:bidi="ar"/>
              </w:rPr>
              <w:t>18.支持对主机后台设置管理员用户与普通用户两种使用权限；</w:t>
            </w:r>
            <w:r>
              <w:rPr>
                <w:rFonts w:hint="eastAsia" w:hAnsi="宋体" w:cs="宋体"/>
                <w:color w:val="000000"/>
                <w:sz w:val="20"/>
                <w:lang w:bidi="ar"/>
              </w:rPr>
              <w:br w:type="textWrapping"/>
            </w:r>
            <w:r>
              <w:rPr>
                <w:rFonts w:hint="eastAsia" w:hAnsi="宋体" w:cs="宋体"/>
                <w:color w:val="000000"/>
                <w:sz w:val="20"/>
                <w:lang w:bidi="ar"/>
              </w:rPr>
              <w:t>19.支持在导播界面实时查看主机当前使用状态；</w:t>
            </w:r>
            <w:r>
              <w:rPr>
                <w:rFonts w:hint="eastAsia" w:hAnsi="宋体" w:cs="宋体"/>
                <w:color w:val="000000"/>
                <w:sz w:val="20"/>
                <w:lang w:bidi="ar"/>
              </w:rPr>
              <w:br w:type="textWrapping"/>
            </w:r>
            <w:r>
              <w:rPr>
                <w:rFonts w:hint="eastAsia" w:hAnsi="宋体" w:cs="宋体"/>
                <w:color w:val="000000"/>
                <w:sz w:val="20"/>
                <w:lang w:bidi="ar"/>
              </w:rPr>
              <w:t>20.主机具备通过USB口直接输出音视频信号的能力，实现便捷的视频会议软件接入；</w:t>
            </w:r>
            <w:r>
              <w:rPr>
                <w:rFonts w:hint="eastAsia" w:hAnsi="宋体" w:cs="宋体"/>
                <w:color w:val="000000"/>
                <w:sz w:val="20"/>
                <w:lang w:bidi="ar"/>
              </w:rPr>
              <w:br w:type="textWrapping"/>
            </w:r>
            <w:r>
              <w:rPr>
                <w:rFonts w:hint="eastAsia" w:hAnsi="宋体" w:cs="宋体"/>
                <w:color w:val="000000"/>
                <w:sz w:val="20"/>
                <w:lang w:bidi="ar"/>
              </w:rPr>
              <w:t>21.支持双码流录制，支持自定义清晰度、帧率、码率和I帧间隔，支持多模式比特率设置；</w:t>
            </w:r>
            <w:r>
              <w:rPr>
                <w:rFonts w:hint="eastAsia" w:hAnsi="宋体" w:cs="宋体"/>
                <w:color w:val="000000"/>
                <w:sz w:val="20"/>
                <w:lang w:bidi="ar"/>
              </w:rPr>
              <w:br w:type="textWrapping"/>
            </w:r>
            <w:r>
              <w:rPr>
                <w:rFonts w:hint="eastAsia" w:hAnsi="宋体" w:cs="宋体"/>
                <w:color w:val="000000"/>
                <w:sz w:val="20"/>
                <w:lang w:bidi="ar"/>
              </w:rPr>
              <w:t>22.支持录像文件循环覆盖功能；</w:t>
            </w:r>
            <w:r>
              <w:rPr>
                <w:rFonts w:hint="eastAsia" w:hAnsi="宋体" w:cs="宋体"/>
                <w:color w:val="000000"/>
                <w:sz w:val="20"/>
                <w:lang w:bidi="ar"/>
              </w:rPr>
              <w:br w:type="textWrapping"/>
            </w:r>
            <w:r>
              <w:rPr>
                <w:rFonts w:hint="eastAsia" w:hAnsi="宋体" w:cs="宋体"/>
                <w:color w:val="000000"/>
                <w:sz w:val="20"/>
                <w:lang w:bidi="ar"/>
              </w:rPr>
              <w:t>23.内置互动模块，基于SVC动态网络自适应开展互动授课模式与会议互动模式；</w:t>
            </w:r>
            <w:r>
              <w:rPr>
                <w:rFonts w:hint="eastAsia" w:hAnsi="宋体" w:cs="宋体"/>
                <w:color w:val="000000"/>
                <w:sz w:val="20"/>
                <w:lang w:bidi="ar"/>
              </w:rPr>
              <w:br w:type="textWrapping"/>
            </w:r>
            <w:r>
              <w:rPr>
                <w:rFonts w:hint="eastAsia" w:hAnsi="宋体" w:cs="宋体"/>
                <w:color w:val="000000"/>
                <w:sz w:val="20"/>
                <w:lang w:bidi="ar"/>
              </w:rPr>
              <w:t>24.支持白板交互功能，通过配套APP进行互动教学实现白板异屏书写同屏展示；</w:t>
            </w:r>
            <w:r>
              <w:rPr>
                <w:rFonts w:hint="eastAsia" w:hAnsi="宋体" w:cs="宋体"/>
                <w:color w:val="000000"/>
                <w:sz w:val="20"/>
                <w:lang w:bidi="ar"/>
              </w:rPr>
              <w:br w:type="textWrapping"/>
            </w:r>
            <w:r>
              <w:rPr>
                <w:rFonts w:hint="eastAsia" w:hAnsi="宋体" w:cs="宋体"/>
                <w:color w:val="000000"/>
                <w:sz w:val="20"/>
                <w:lang w:bidi="ar"/>
              </w:rPr>
              <w:t>▲25.具备本地AI算力能力，可扩展提供课堂分析、统计、展示等功能；</w:t>
            </w:r>
            <w:r>
              <w:rPr>
                <w:rFonts w:hint="eastAsia" w:hAnsi="宋体" w:cs="宋体"/>
                <w:color w:val="000000"/>
                <w:sz w:val="20"/>
                <w:lang w:bidi="ar"/>
              </w:rPr>
              <w:br w:type="textWrapping"/>
            </w:r>
            <w:r>
              <w:rPr>
                <w:rFonts w:hint="eastAsia" w:hAnsi="宋体" w:cs="宋体"/>
                <w:color w:val="000000"/>
                <w:sz w:val="20"/>
                <w:lang w:bidi="ar"/>
              </w:rPr>
              <w:t>26.支持扩展智能识别教师板书书写行为，智能识别书写笔迹增强并可任务虚拟化去除人为遮挡；</w:t>
            </w:r>
            <w:r>
              <w:rPr>
                <w:rFonts w:hint="eastAsia" w:hAnsi="宋体" w:cs="宋体"/>
                <w:color w:val="000000"/>
                <w:sz w:val="20"/>
                <w:lang w:bidi="ar"/>
              </w:rPr>
              <w:br w:type="textWrapping"/>
            </w:r>
            <w:r>
              <w:rPr>
                <w:rFonts w:hint="eastAsia" w:hAnsi="宋体" w:cs="宋体"/>
                <w:color w:val="000000"/>
                <w:sz w:val="20"/>
                <w:lang w:bidi="ar"/>
              </w:rPr>
              <w:t>27.兼容拍摄：要求录播主机支持电子云镜和机械云台两种智能控制技术。</w:t>
            </w:r>
            <w:r>
              <w:rPr>
                <w:rFonts w:hint="eastAsia" w:hAnsi="宋体" w:cs="宋体"/>
                <w:color w:val="000000"/>
                <w:sz w:val="20"/>
                <w:lang w:bidi="ar"/>
              </w:rPr>
              <w:br w:type="textWrapping"/>
            </w:r>
            <w:r>
              <w:rPr>
                <w:rFonts w:hint="eastAsia" w:hAnsi="宋体" w:cs="宋体"/>
                <w:color w:val="000000"/>
                <w:sz w:val="20"/>
                <w:lang w:bidi="ar"/>
              </w:rPr>
              <w:t>▲28.提供该产品的具有国家权威检测机构出具的检测报告复印件并加盖投标单位公章。</w:t>
            </w:r>
          </w:p>
        </w:tc>
        <w:tc>
          <w:tcPr>
            <w:tcW w:w="0" w:type="auto"/>
            <w:shd w:val="clear" w:color="auto" w:fill="auto"/>
            <w:vAlign w:val="center"/>
          </w:tcPr>
          <w:p w14:paraId="6B97E41D">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688CFD69">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57DF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6B73E401">
            <w:pPr>
              <w:widowControl/>
              <w:spacing w:line="460" w:lineRule="exact"/>
              <w:jc w:val="center"/>
              <w:textAlignment w:val="center"/>
              <w:rPr>
                <w:rFonts w:hAnsi="宋体" w:cs="宋体"/>
                <w:color w:val="000000"/>
                <w:sz w:val="20"/>
              </w:rPr>
            </w:pPr>
            <w:r>
              <w:rPr>
                <w:rFonts w:hint="eastAsia" w:hAnsi="宋体" w:cs="宋体"/>
                <w:color w:val="000000"/>
                <w:sz w:val="20"/>
                <w:lang w:bidi="ar"/>
              </w:rPr>
              <w:t>2</w:t>
            </w:r>
          </w:p>
        </w:tc>
        <w:tc>
          <w:tcPr>
            <w:tcW w:w="0" w:type="auto"/>
            <w:shd w:val="clear" w:color="auto" w:fill="auto"/>
            <w:vAlign w:val="center"/>
          </w:tcPr>
          <w:p w14:paraId="03533618">
            <w:pPr>
              <w:widowControl/>
              <w:spacing w:line="460" w:lineRule="exact"/>
              <w:jc w:val="center"/>
              <w:textAlignment w:val="center"/>
              <w:rPr>
                <w:rFonts w:hAnsi="宋体" w:cs="宋体"/>
                <w:color w:val="000000"/>
                <w:sz w:val="20"/>
              </w:rPr>
            </w:pPr>
            <w:r>
              <w:rPr>
                <w:rFonts w:hint="eastAsia" w:hAnsi="宋体" w:cs="宋体"/>
                <w:color w:val="000000"/>
                <w:sz w:val="20"/>
                <w:lang w:bidi="ar"/>
              </w:rPr>
              <w:t>录播流媒体处理软件</w:t>
            </w:r>
          </w:p>
        </w:tc>
        <w:tc>
          <w:tcPr>
            <w:tcW w:w="0" w:type="auto"/>
            <w:shd w:val="clear" w:color="auto" w:fill="auto"/>
            <w:vAlign w:val="center"/>
          </w:tcPr>
          <w:p w14:paraId="5DD7BE30">
            <w:pPr>
              <w:widowControl/>
              <w:spacing w:line="460" w:lineRule="exact"/>
              <w:textAlignment w:val="center"/>
              <w:rPr>
                <w:rFonts w:hAnsi="宋体" w:cs="宋体"/>
                <w:color w:val="000000"/>
                <w:sz w:val="20"/>
              </w:rPr>
            </w:pPr>
            <w:r>
              <w:rPr>
                <w:rFonts w:hint="eastAsia" w:hAnsi="宋体" w:cs="宋体"/>
                <w:color w:val="000000"/>
                <w:sz w:val="20"/>
                <w:lang w:bidi="ar"/>
              </w:rPr>
              <w:t>1.支持B/S软件架构，通过PC浏览器访问录播主机导播界面，并支持手动导播模式下点击预览画面窗口进行录制画面切换，主机出厂时内置流媒体处理软件以实现各个模块的功能应用；</w:t>
            </w:r>
            <w:r>
              <w:rPr>
                <w:rFonts w:hint="eastAsia" w:hAnsi="宋体" w:cs="宋体"/>
                <w:color w:val="000000"/>
                <w:sz w:val="20"/>
                <w:lang w:bidi="ar"/>
              </w:rPr>
              <w:br w:type="textWrapping"/>
            </w:r>
            <w:r>
              <w:rPr>
                <w:rFonts w:hint="eastAsia" w:hAnsi="宋体" w:cs="宋体"/>
                <w:color w:val="000000"/>
                <w:sz w:val="20"/>
                <w:lang w:bidi="ar"/>
              </w:rPr>
              <w:t>2.支持1080P高清分辨率录制，用MP4视频格式封装自动归档至录播内置的硬盘当中存储；</w:t>
            </w:r>
            <w:r>
              <w:rPr>
                <w:rFonts w:hint="eastAsia" w:hAnsi="宋体" w:cs="宋体"/>
                <w:color w:val="000000"/>
                <w:sz w:val="20"/>
                <w:lang w:bidi="ar"/>
              </w:rPr>
              <w:br w:type="textWrapping"/>
            </w:r>
            <w:r>
              <w:rPr>
                <w:rFonts w:hint="eastAsia" w:hAnsi="宋体" w:cs="宋体"/>
                <w:color w:val="000000"/>
                <w:sz w:val="20"/>
                <w:lang w:bidi="ar"/>
              </w:rPr>
              <w:t>3.支持多路摄像机画面和电脑画面的独立录制封装；</w:t>
            </w:r>
            <w:r>
              <w:rPr>
                <w:rFonts w:hint="eastAsia" w:hAnsi="宋体" w:cs="宋体"/>
                <w:color w:val="000000"/>
                <w:sz w:val="20"/>
                <w:lang w:bidi="ar"/>
              </w:rPr>
              <w:br w:type="textWrapping"/>
            </w:r>
            <w:r>
              <w:rPr>
                <w:rFonts w:hint="eastAsia" w:hAnsi="宋体" w:cs="宋体"/>
                <w:color w:val="000000"/>
                <w:sz w:val="20"/>
                <w:lang w:bidi="ar"/>
              </w:rPr>
              <w:t>▲4.支持录制高清标清质量选择，并支持自定义录制分辨率、帧率、码率等参数，提供功能界面截图并加盖投标单位投标章或公章；</w:t>
            </w:r>
            <w:r>
              <w:rPr>
                <w:rFonts w:hint="eastAsia" w:hAnsi="宋体" w:cs="宋体"/>
                <w:color w:val="000000"/>
                <w:sz w:val="20"/>
                <w:lang w:bidi="ar"/>
              </w:rPr>
              <w:br w:type="textWrapping"/>
            </w:r>
            <w:r>
              <w:rPr>
                <w:rFonts w:hint="eastAsia" w:hAnsi="宋体" w:cs="宋体"/>
                <w:color w:val="000000"/>
                <w:sz w:val="20"/>
                <w:lang w:bidi="ar"/>
              </w:rPr>
              <w:t>5.支持按选择时长将视频文件分割成多个视频归档保存；</w:t>
            </w:r>
            <w:r>
              <w:rPr>
                <w:rFonts w:hint="eastAsia" w:hAnsi="宋体" w:cs="宋体"/>
                <w:color w:val="000000"/>
                <w:sz w:val="20"/>
                <w:lang w:bidi="ar"/>
              </w:rPr>
              <w:br w:type="textWrapping"/>
            </w:r>
            <w:r>
              <w:rPr>
                <w:rFonts w:hint="eastAsia" w:hAnsi="宋体" w:cs="宋体"/>
                <w:color w:val="000000"/>
                <w:sz w:val="20"/>
                <w:lang w:bidi="ar"/>
              </w:rPr>
              <w:t>6.支持录制同步另存一份视频文件到U盘中；</w:t>
            </w:r>
            <w:r>
              <w:rPr>
                <w:rFonts w:hint="eastAsia" w:hAnsi="宋体" w:cs="宋体"/>
                <w:color w:val="000000"/>
                <w:sz w:val="20"/>
                <w:lang w:bidi="ar"/>
              </w:rPr>
              <w:br w:type="textWrapping"/>
            </w:r>
            <w:r>
              <w:rPr>
                <w:rFonts w:hint="eastAsia" w:hAnsi="宋体" w:cs="宋体"/>
                <w:color w:val="000000"/>
                <w:sz w:val="20"/>
                <w:lang w:bidi="ar"/>
              </w:rPr>
              <w:t>7.支持录制、暂停、结束等基本功能操作；</w:t>
            </w:r>
            <w:r>
              <w:rPr>
                <w:rFonts w:hint="eastAsia" w:hAnsi="宋体" w:cs="宋体"/>
                <w:color w:val="000000"/>
                <w:sz w:val="20"/>
                <w:lang w:bidi="ar"/>
              </w:rPr>
              <w:br w:type="textWrapping"/>
            </w:r>
            <w:r>
              <w:rPr>
                <w:rFonts w:hint="eastAsia" w:hAnsi="宋体" w:cs="宋体"/>
                <w:color w:val="000000"/>
                <w:sz w:val="20"/>
                <w:lang w:bidi="ar"/>
              </w:rPr>
              <w:t>8.支持在导播预览界面可便捷调取摄像机预设位置的画面；</w:t>
            </w:r>
            <w:r>
              <w:rPr>
                <w:rFonts w:hint="eastAsia" w:hAnsi="宋体" w:cs="宋体"/>
                <w:color w:val="000000"/>
                <w:sz w:val="20"/>
                <w:lang w:bidi="ar"/>
              </w:rPr>
              <w:br w:type="textWrapping"/>
            </w:r>
            <w:r>
              <w:rPr>
                <w:rFonts w:hint="eastAsia" w:hAnsi="宋体" w:cs="宋体"/>
                <w:color w:val="000000"/>
                <w:sz w:val="20"/>
                <w:lang w:bidi="ar"/>
              </w:rPr>
              <w:t>9.支持在导播预览界面添加Logo台标与字幕；</w:t>
            </w:r>
            <w:r>
              <w:rPr>
                <w:rFonts w:hint="eastAsia" w:hAnsi="宋体" w:cs="宋体"/>
                <w:color w:val="000000"/>
                <w:sz w:val="20"/>
                <w:lang w:bidi="ar"/>
              </w:rPr>
              <w:br w:type="textWrapping"/>
            </w:r>
            <w:r>
              <w:rPr>
                <w:rFonts w:hint="eastAsia" w:hAnsi="宋体" w:cs="宋体"/>
                <w:color w:val="000000"/>
                <w:sz w:val="20"/>
                <w:lang w:bidi="ar"/>
              </w:rPr>
              <w:t>10.支持通过导播界面调整音量大小与一键静音功能；</w:t>
            </w:r>
            <w:r>
              <w:rPr>
                <w:rFonts w:hint="eastAsia" w:hAnsi="宋体" w:cs="宋体"/>
                <w:color w:val="000000"/>
                <w:sz w:val="20"/>
                <w:lang w:bidi="ar"/>
              </w:rPr>
              <w:br w:type="textWrapping"/>
            </w:r>
            <w:r>
              <w:rPr>
                <w:rFonts w:hint="eastAsia" w:hAnsi="宋体" w:cs="宋体"/>
                <w:color w:val="000000"/>
                <w:sz w:val="20"/>
                <w:lang w:bidi="ar"/>
              </w:rPr>
              <w:t>11.支持对录制、互动两个使用场景分别配置音频设置参数；</w:t>
            </w:r>
            <w:r>
              <w:rPr>
                <w:rFonts w:hint="eastAsia" w:hAnsi="宋体" w:cs="宋体"/>
                <w:color w:val="000000"/>
                <w:sz w:val="20"/>
                <w:lang w:bidi="ar"/>
              </w:rPr>
              <w:br w:type="textWrapping"/>
            </w:r>
            <w:r>
              <w:rPr>
                <w:rFonts w:hint="eastAsia" w:hAnsi="宋体" w:cs="宋体"/>
                <w:color w:val="000000"/>
                <w:sz w:val="20"/>
                <w:lang w:bidi="ar"/>
              </w:rPr>
              <w:t>12.支持对录播主机任意线性音频输入通道做单独配置保障音频效果；</w:t>
            </w:r>
            <w:r>
              <w:rPr>
                <w:rFonts w:hint="eastAsia" w:hAnsi="宋体" w:cs="宋体"/>
                <w:color w:val="000000"/>
                <w:sz w:val="20"/>
                <w:lang w:bidi="ar"/>
              </w:rPr>
              <w:br w:type="textWrapping"/>
            </w:r>
            <w:r>
              <w:rPr>
                <w:rFonts w:hint="eastAsia" w:hAnsi="宋体" w:cs="宋体"/>
                <w:color w:val="000000"/>
                <w:sz w:val="20"/>
                <w:lang w:bidi="ar"/>
              </w:rPr>
              <w:t>13.支持RTMP, RTSP, RTP、TS等流媒体直播协议，多路RTMP同步推流直播；</w:t>
            </w:r>
            <w:r>
              <w:rPr>
                <w:rFonts w:hint="eastAsia" w:hAnsi="宋体" w:cs="宋体"/>
                <w:color w:val="000000"/>
                <w:sz w:val="20"/>
                <w:lang w:bidi="ar"/>
              </w:rPr>
              <w:br w:type="textWrapping"/>
            </w:r>
            <w:r>
              <w:rPr>
                <w:rFonts w:hint="eastAsia" w:hAnsi="宋体" w:cs="宋体"/>
                <w:color w:val="000000"/>
                <w:sz w:val="20"/>
                <w:lang w:bidi="ar"/>
              </w:rPr>
              <w:t>14.支持自定义直播分辨率和码率，以适应不同网络环境下保持直播的流畅性；</w:t>
            </w:r>
            <w:r>
              <w:rPr>
                <w:rFonts w:hint="eastAsia" w:hAnsi="宋体" w:cs="宋体"/>
                <w:color w:val="000000"/>
                <w:sz w:val="20"/>
                <w:lang w:bidi="ar"/>
              </w:rPr>
              <w:br w:type="textWrapping"/>
            </w:r>
            <w:r>
              <w:rPr>
                <w:rFonts w:hint="eastAsia" w:hAnsi="宋体" w:cs="宋体"/>
                <w:color w:val="000000"/>
                <w:sz w:val="20"/>
                <w:lang w:bidi="ar"/>
              </w:rPr>
              <w:t>15.支持多种直播模式，以适应不同场景直播需求；</w:t>
            </w:r>
            <w:r>
              <w:rPr>
                <w:rFonts w:hint="eastAsia" w:hAnsi="宋体" w:cs="宋体"/>
                <w:color w:val="000000"/>
                <w:sz w:val="20"/>
                <w:lang w:bidi="ar"/>
              </w:rPr>
              <w:br w:type="textWrapping"/>
            </w:r>
            <w:r>
              <w:rPr>
                <w:rFonts w:hint="eastAsia" w:hAnsi="宋体" w:cs="宋体"/>
                <w:color w:val="000000"/>
                <w:sz w:val="20"/>
                <w:lang w:bidi="ar"/>
              </w:rPr>
              <w:t>16.支持多协议视音频互动技术，便捷进行远程互动教学应用；</w:t>
            </w:r>
            <w:r>
              <w:rPr>
                <w:rFonts w:hint="eastAsia" w:hAnsi="宋体" w:cs="宋体"/>
                <w:color w:val="000000"/>
                <w:sz w:val="20"/>
                <w:lang w:bidi="ar"/>
              </w:rPr>
              <w:br w:type="textWrapping"/>
            </w:r>
            <w:r>
              <w:rPr>
                <w:rFonts w:hint="eastAsia" w:hAnsi="宋体" w:cs="宋体"/>
                <w:color w:val="000000"/>
                <w:sz w:val="20"/>
                <w:lang w:bidi="ar"/>
              </w:rPr>
              <w:t>17.支持BFCP、H.239协议双流互动功能，接收端设备可通过两路HDMI接口将接收到的教学场景画面与电脑课件画面同时分别环出到两个显示设备上；</w:t>
            </w:r>
            <w:r>
              <w:rPr>
                <w:rFonts w:hint="eastAsia" w:hAnsi="宋体" w:cs="宋体"/>
                <w:color w:val="000000"/>
                <w:sz w:val="20"/>
                <w:lang w:bidi="ar"/>
              </w:rPr>
              <w:br w:type="textWrapping"/>
            </w:r>
            <w:r>
              <w:rPr>
                <w:rFonts w:hint="eastAsia" w:hAnsi="宋体" w:cs="宋体"/>
                <w:color w:val="000000"/>
                <w:sz w:val="20"/>
                <w:lang w:bidi="ar"/>
              </w:rPr>
              <w:t>18.支持主讲端在互动过程中对其余互动参与者的发言权限进行控制；</w:t>
            </w:r>
            <w:r>
              <w:rPr>
                <w:rFonts w:hint="eastAsia" w:hAnsi="宋体" w:cs="宋体"/>
                <w:color w:val="000000"/>
                <w:sz w:val="20"/>
                <w:lang w:bidi="ar"/>
              </w:rPr>
              <w:br w:type="textWrapping"/>
            </w:r>
            <w:r>
              <w:rPr>
                <w:rFonts w:hint="eastAsia" w:hAnsi="宋体" w:cs="宋体"/>
                <w:color w:val="000000"/>
                <w:sz w:val="20"/>
                <w:lang w:bidi="ar"/>
              </w:rPr>
              <w:t>19.在双向互动过程中，可实现实现在不同网络状况下的画面质量自适应；</w:t>
            </w:r>
            <w:r>
              <w:rPr>
                <w:rFonts w:hint="eastAsia" w:hAnsi="宋体" w:cs="宋体"/>
                <w:color w:val="000000"/>
                <w:sz w:val="20"/>
                <w:lang w:bidi="ar"/>
              </w:rPr>
              <w:br w:type="textWrapping"/>
            </w:r>
            <w:r>
              <w:rPr>
                <w:rFonts w:hint="eastAsia" w:hAnsi="宋体" w:cs="宋体"/>
                <w:color w:val="000000"/>
                <w:sz w:val="20"/>
                <w:lang w:bidi="ar"/>
              </w:rPr>
              <w:t>20.支持呼叫自动应答与勾选手动应答两种方式，以满足在课堂场景下听讲端的自动入会，以及接收到互动申请自主选择是否加入会议的情况。21.在录制和直播状态下也能满足AI实时分析能力，课后查看并下载分析报告。</w:t>
            </w:r>
            <w:r>
              <w:rPr>
                <w:rFonts w:hint="eastAsia" w:hAnsi="宋体" w:cs="宋体"/>
                <w:color w:val="000000"/>
                <w:sz w:val="20"/>
                <w:lang w:bidi="ar"/>
              </w:rPr>
              <w:br w:type="textWrapping"/>
            </w:r>
            <w:r>
              <w:rPr>
                <w:rFonts w:hint="eastAsia" w:hAnsi="宋体" w:cs="宋体"/>
                <w:color w:val="000000"/>
                <w:sz w:val="20"/>
                <w:lang w:bidi="ar"/>
              </w:rPr>
              <w:t>▲22.要求软件在出厂时内嵌于录播主机中，且应具备自主知识产权，提供计算机软件著作权登记证书复印件并加盖投标单位公章或投标专用章；</w:t>
            </w:r>
          </w:p>
        </w:tc>
        <w:tc>
          <w:tcPr>
            <w:tcW w:w="0" w:type="auto"/>
            <w:shd w:val="clear" w:color="auto" w:fill="auto"/>
            <w:vAlign w:val="center"/>
          </w:tcPr>
          <w:p w14:paraId="595ECD38">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4E2C97A6">
            <w:pPr>
              <w:widowControl/>
              <w:spacing w:line="460" w:lineRule="exact"/>
              <w:jc w:val="center"/>
              <w:textAlignment w:val="center"/>
              <w:rPr>
                <w:rFonts w:hAnsi="宋体" w:cs="宋体"/>
                <w:color w:val="000000"/>
                <w:sz w:val="20"/>
              </w:rPr>
            </w:pPr>
            <w:r>
              <w:rPr>
                <w:rFonts w:hint="eastAsia" w:hAnsi="宋体" w:cs="宋体"/>
                <w:color w:val="000000"/>
                <w:sz w:val="20"/>
                <w:lang w:bidi="ar"/>
              </w:rPr>
              <w:t>套</w:t>
            </w:r>
          </w:p>
        </w:tc>
      </w:tr>
      <w:tr w14:paraId="73CC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22F79923">
            <w:pPr>
              <w:widowControl/>
              <w:spacing w:line="460" w:lineRule="exact"/>
              <w:jc w:val="center"/>
              <w:textAlignment w:val="center"/>
              <w:rPr>
                <w:rFonts w:hAnsi="宋体" w:cs="宋体"/>
                <w:color w:val="000000"/>
                <w:sz w:val="20"/>
              </w:rPr>
            </w:pPr>
            <w:r>
              <w:rPr>
                <w:rFonts w:hint="eastAsia" w:hAnsi="宋体" w:cs="宋体"/>
                <w:color w:val="000000"/>
                <w:sz w:val="20"/>
                <w:lang w:bidi="ar"/>
              </w:rPr>
              <w:t>3</w:t>
            </w:r>
          </w:p>
        </w:tc>
        <w:tc>
          <w:tcPr>
            <w:tcW w:w="0" w:type="auto"/>
            <w:shd w:val="clear" w:color="auto" w:fill="auto"/>
            <w:vAlign w:val="center"/>
          </w:tcPr>
          <w:p w14:paraId="615C9876">
            <w:pPr>
              <w:widowControl/>
              <w:spacing w:line="460" w:lineRule="exact"/>
              <w:jc w:val="center"/>
              <w:textAlignment w:val="center"/>
              <w:rPr>
                <w:rFonts w:hAnsi="宋体" w:cs="宋体"/>
                <w:color w:val="000000"/>
                <w:sz w:val="20"/>
              </w:rPr>
            </w:pPr>
            <w:r>
              <w:rPr>
                <w:rFonts w:hint="eastAsia" w:hAnsi="宋体" w:cs="宋体"/>
                <w:color w:val="000000"/>
                <w:sz w:val="20"/>
                <w:lang w:bidi="ar"/>
              </w:rPr>
              <w:t>智能跟踪处理软件</w:t>
            </w:r>
          </w:p>
        </w:tc>
        <w:tc>
          <w:tcPr>
            <w:tcW w:w="0" w:type="auto"/>
            <w:shd w:val="clear" w:color="auto" w:fill="auto"/>
          </w:tcPr>
          <w:p w14:paraId="3DA7DE6B">
            <w:pPr>
              <w:widowControl/>
              <w:spacing w:line="460" w:lineRule="exact"/>
              <w:textAlignment w:val="top"/>
              <w:rPr>
                <w:rFonts w:hAnsi="宋体" w:cs="宋体"/>
                <w:color w:val="000000"/>
                <w:sz w:val="20"/>
              </w:rPr>
            </w:pPr>
            <w:r>
              <w:rPr>
                <w:rFonts w:hint="eastAsia" w:hAnsi="宋体" w:cs="宋体"/>
                <w:color w:val="000000"/>
                <w:sz w:val="20"/>
                <w:lang w:bidi="ar"/>
              </w:rPr>
              <w:t>1.支持智能识别接入摄像机的使用定位，并联动摄像机选用对应的教师跟踪、学生跟踪等；</w:t>
            </w:r>
            <w:r>
              <w:rPr>
                <w:rFonts w:hint="eastAsia" w:hAnsi="宋体" w:cs="宋体"/>
                <w:color w:val="000000"/>
                <w:sz w:val="20"/>
                <w:lang w:bidi="ar"/>
              </w:rPr>
              <w:br w:type="textWrapping"/>
            </w:r>
            <w:r>
              <w:rPr>
                <w:rFonts w:hint="eastAsia" w:hAnsi="宋体" w:cs="宋体"/>
                <w:color w:val="000000"/>
                <w:sz w:val="20"/>
                <w:lang w:bidi="ar"/>
              </w:rPr>
              <w:t>2.支持对接入摄像机的AI跟踪检测区域设置；</w:t>
            </w:r>
            <w:r>
              <w:rPr>
                <w:rFonts w:hint="eastAsia" w:hAnsi="宋体" w:cs="宋体"/>
                <w:color w:val="000000"/>
                <w:sz w:val="20"/>
                <w:lang w:bidi="ar"/>
              </w:rPr>
              <w:br w:type="textWrapping"/>
            </w:r>
            <w:r>
              <w:rPr>
                <w:rFonts w:hint="eastAsia" w:hAnsi="宋体" w:cs="宋体"/>
                <w:color w:val="000000"/>
                <w:sz w:val="20"/>
                <w:lang w:bidi="ar"/>
              </w:rPr>
              <w:t>3.支持根据设定实现多路接入摄像机的全自动AI跟踪画面切换；</w:t>
            </w:r>
            <w:r>
              <w:rPr>
                <w:rFonts w:hint="eastAsia" w:hAnsi="宋体" w:cs="宋体"/>
                <w:color w:val="000000"/>
                <w:sz w:val="20"/>
                <w:lang w:bidi="ar"/>
              </w:rPr>
              <w:br w:type="textWrapping"/>
            </w:r>
            <w:r>
              <w:rPr>
                <w:rFonts w:hint="eastAsia" w:hAnsi="宋体" w:cs="宋体"/>
                <w:color w:val="000000"/>
                <w:sz w:val="20"/>
                <w:lang w:bidi="ar"/>
              </w:rPr>
              <w:t>4.支持自定义跟踪切换逻辑的画面布局，包含但不限于双分屏、画中画与自定义布局等；</w:t>
            </w:r>
            <w:r>
              <w:rPr>
                <w:rFonts w:hint="eastAsia" w:hAnsi="宋体" w:cs="宋体"/>
                <w:color w:val="000000"/>
                <w:sz w:val="20"/>
                <w:lang w:bidi="ar"/>
              </w:rPr>
              <w:br w:type="textWrapping"/>
            </w:r>
            <w:r>
              <w:rPr>
                <w:rFonts w:hint="eastAsia" w:hAnsi="宋体" w:cs="宋体"/>
                <w:color w:val="000000"/>
                <w:sz w:val="20"/>
                <w:lang w:bidi="ar"/>
              </w:rPr>
              <w:t>4.支持对接入摄像机自定义设置AI跟踪目标更新周期时间，摄像机依据配置实现相应跟踪策略；</w:t>
            </w:r>
            <w:r>
              <w:rPr>
                <w:rFonts w:hint="eastAsia" w:hAnsi="宋体" w:cs="宋体"/>
                <w:color w:val="000000"/>
                <w:sz w:val="20"/>
                <w:lang w:bidi="ar"/>
              </w:rPr>
              <w:br w:type="textWrapping"/>
            </w:r>
            <w:r>
              <w:rPr>
                <w:rFonts w:hint="eastAsia" w:hAnsi="宋体" w:cs="宋体"/>
                <w:color w:val="000000"/>
                <w:sz w:val="20"/>
                <w:lang w:bidi="ar"/>
              </w:rPr>
              <w:t>5.支持设置摄像机拍摄画面的智能构图，支持人像不同比例构图方式；</w:t>
            </w:r>
            <w:r>
              <w:rPr>
                <w:rFonts w:hint="eastAsia" w:hAnsi="宋体" w:cs="宋体"/>
                <w:color w:val="000000"/>
                <w:sz w:val="20"/>
                <w:lang w:bidi="ar"/>
              </w:rPr>
              <w:br w:type="textWrapping"/>
            </w:r>
            <w:r>
              <w:rPr>
                <w:rFonts w:hint="eastAsia" w:hAnsi="宋体" w:cs="宋体"/>
                <w:color w:val="000000"/>
                <w:sz w:val="20"/>
                <w:lang w:bidi="ar"/>
              </w:rPr>
              <w:t>6.基于AI人工智能跟踪算法，实现教师识别、教师移动跟拍、教师轨迹识别以及学生上台识别、板书行为识别、单人与多人起立识别等教学焦点进行自动捕捉与切换；</w:t>
            </w:r>
            <w:r>
              <w:rPr>
                <w:rFonts w:hint="eastAsia" w:hAnsi="宋体" w:cs="宋体"/>
                <w:color w:val="000000"/>
                <w:sz w:val="20"/>
                <w:lang w:bidi="ar"/>
              </w:rPr>
              <w:br w:type="textWrapping"/>
            </w:r>
            <w:r>
              <w:rPr>
                <w:rFonts w:hint="eastAsia" w:hAnsi="宋体" w:cs="宋体"/>
                <w:color w:val="000000"/>
                <w:sz w:val="20"/>
                <w:lang w:bidi="ar"/>
              </w:rPr>
              <w:t>▲7.要求软件在出厂时内嵌于录播主机中，且应具备自主知识产权，提供计算机软件著作权登记证书复印件并加盖投标单位公章或投标专用章。</w:t>
            </w:r>
          </w:p>
        </w:tc>
        <w:tc>
          <w:tcPr>
            <w:tcW w:w="0" w:type="auto"/>
            <w:shd w:val="clear" w:color="auto" w:fill="auto"/>
            <w:vAlign w:val="center"/>
          </w:tcPr>
          <w:p w14:paraId="3125BFEC">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6B7FC35D">
            <w:pPr>
              <w:widowControl/>
              <w:spacing w:line="460" w:lineRule="exact"/>
              <w:jc w:val="center"/>
              <w:textAlignment w:val="center"/>
              <w:rPr>
                <w:rFonts w:hAnsi="宋体" w:cs="宋体"/>
                <w:color w:val="000000"/>
                <w:sz w:val="20"/>
              </w:rPr>
            </w:pPr>
            <w:r>
              <w:rPr>
                <w:rFonts w:hint="eastAsia" w:hAnsi="宋体" w:cs="宋体"/>
                <w:color w:val="000000"/>
                <w:sz w:val="20"/>
                <w:lang w:bidi="ar"/>
              </w:rPr>
              <w:t>套</w:t>
            </w:r>
          </w:p>
        </w:tc>
      </w:tr>
      <w:tr w14:paraId="0540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23C4B60D">
            <w:pPr>
              <w:widowControl/>
              <w:spacing w:line="460" w:lineRule="exact"/>
              <w:jc w:val="center"/>
              <w:textAlignment w:val="center"/>
              <w:rPr>
                <w:rFonts w:hAnsi="宋体" w:cs="宋体"/>
                <w:color w:val="000000"/>
                <w:sz w:val="20"/>
              </w:rPr>
            </w:pPr>
            <w:r>
              <w:rPr>
                <w:rFonts w:hint="eastAsia" w:hAnsi="宋体" w:cs="宋体"/>
                <w:color w:val="000000"/>
                <w:sz w:val="20"/>
                <w:lang w:bidi="ar"/>
              </w:rPr>
              <w:t>4</w:t>
            </w:r>
          </w:p>
        </w:tc>
        <w:tc>
          <w:tcPr>
            <w:tcW w:w="0" w:type="auto"/>
            <w:shd w:val="clear" w:color="auto" w:fill="auto"/>
            <w:vAlign w:val="center"/>
          </w:tcPr>
          <w:p w14:paraId="5686E926">
            <w:pPr>
              <w:widowControl/>
              <w:spacing w:line="460" w:lineRule="exact"/>
              <w:jc w:val="center"/>
              <w:textAlignment w:val="center"/>
              <w:rPr>
                <w:rFonts w:hAnsi="宋体" w:cs="宋体"/>
                <w:color w:val="000000"/>
                <w:sz w:val="20"/>
              </w:rPr>
            </w:pPr>
            <w:r>
              <w:rPr>
                <w:rFonts w:hint="eastAsia" w:hAnsi="宋体" w:cs="宋体"/>
                <w:color w:val="000000"/>
                <w:sz w:val="20"/>
                <w:lang w:bidi="ar"/>
              </w:rPr>
              <w:t>智能课堂行为分析软件</w:t>
            </w:r>
          </w:p>
        </w:tc>
        <w:tc>
          <w:tcPr>
            <w:tcW w:w="0" w:type="auto"/>
            <w:shd w:val="clear" w:color="auto" w:fill="auto"/>
          </w:tcPr>
          <w:p w14:paraId="080772BC">
            <w:pPr>
              <w:widowControl/>
              <w:spacing w:line="460" w:lineRule="exact"/>
              <w:textAlignment w:val="top"/>
              <w:rPr>
                <w:rFonts w:hAnsi="宋体" w:cs="宋体"/>
                <w:color w:val="000000"/>
                <w:sz w:val="20"/>
              </w:rPr>
            </w:pPr>
            <w:r>
              <w:rPr>
                <w:rFonts w:hint="eastAsia" w:hAnsi="宋体" w:cs="宋体"/>
                <w:color w:val="000000"/>
                <w:sz w:val="20"/>
                <w:lang w:bidi="ar"/>
              </w:rPr>
              <w:t>1.多维分析：支持对课堂数据进行综合多维度的分析，包括师生语音及视觉行为等多维度多类型分析数据板块；</w:t>
            </w:r>
            <w:r>
              <w:rPr>
                <w:rFonts w:hint="eastAsia" w:hAnsi="宋体" w:cs="宋体"/>
                <w:color w:val="000000"/>
                <w:sz w:val="20"/>
                <w:lang w:bidi="ar"/>
              </w:rPr>
              <w:br w:type="textWrapping"/>
            </w:r>
            <w:r>
              <w:rPr>
                <w:rFonts w:hint="eastAsia" w:hAnsi="宋体" w:cs="宋体"/>
                <w:color w:val="000000"/>
                <w:sz w:val="20"/>
                <w:lang w:bidi="ar"/>
              </w:rPr>
              <w:t>2.实时分析：支持对师生行为等维度数据进行实时统计分析，并且能在课程录制结束快速将数据整合建模生成分析报告；</w:t>
            </w:r>
            <w:r>
              <w:rPr>
                <w:rFonts w:hint="eastAsia" w:hAnsi="宋体" w:cs="宋体"/>
                <w:color w:val="000000"/>
                <w:sz w:val="20"/>
                <w:lang w:bidi="ar"/>
              </w:rPr>
              <w:br w:type="textWrapping"/>
            </w:r>
            <w:r>
              <w:rPr>
                <w:rFonts w:hint="eastAsia" w:hAnsi="宋体" w:cs="宋体"/>
                <w:color w:val="000000"/>
                <w:sz w:val="20"/>
                <w:lang w:bidi="ar"/>
              </w:rPr>
              <w:t>3.教学环节识别：支持按照教学环节定义将课程视频切片，以标签形式显示对应的教学环节；</w:t>
            </w:r>
            <w:r>
              <w:rPr>
                <w:rFonts w:hint="eastAsia" w:hAnsi="宋体" w:cs="宋体"/>
                <w:color w:val="000000"/>
                <w:sz w:val="20"/>
                <w:lang w:bidi="ar"/>
              </w:rPr>
              <w:br w:type="textWrapping"/>
            </w:r>
            <w:r>
              <w:rPr>
                <w:rFonts w:hint="eastAsia" w:hAnsi="宋体" w:cs="宋体"/>
                <w:color w:val="000000"/>
                <w:sz w:val="20"/>
                <w:lang w:bidi="ar"/>
              </w:rPr>
              <w:t>4.编辑教学环节：支持用户可以对AI分析生成的教学环节结果自主自定义；</w:t>
            </w:r>
            <w:r>
              <w:rPr>
                <w:rFonts w:hint="eastAsia" w:hAnsi="宋体" w:cs="宋体"/>
                <w:color w:val="000000"/>
                <w:sz w:val="20"/>
                <w:lang w:bidi="ar"/>
              </w:rPr>
              <w:br w:type="textWrapping"/>
            </w:r>
            <w:r>
              <w:rPr>
                <w:rFonts w:hint="eastAsia" w:hAnsi="宋体" w:cs="宋体"/>
                <w:color w:val="000000"/>
                <w:sz w:val="20"/>
                <w:lang w:bidi="ar"/>
              </w:rPr>
              <w:t>5.行为时序播放：支持在课程视频播放进度条显示课堂行为节点，点击时序图上的具体行为节点，视频将自动跳转到对应位置，方便老师快速回顾课堂教学环节。</w:t>
            </w:r>
          </w:p>
        </w:tc>
        <w:tc>
          <w:tcPr>
            <w:tcW w:w="0" w:type="auto"/>
            <w:shd w:val="clear" w:color="auto" w:fill="auto"/>
            <w:vAlign w:val="center"/>
          </w:tcPr>
          <w:p w14:paraId="04553947">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2EB5EEA9">
            <w:pPr>
              <w:widowControl/>
              <w:spacing w:line="460" w:lineRule="exact"/>
              <w:jc w:val="center"/>
              <w:textAlignment w:val="center"/>
              <w:rPr>
                <w:rFonts w:hAnsi="宋体" w:cs="宋体"/>
                <w:color w:val="000000"/>
                <w:sz w:val="20"/>
              </w:rPr>
            </w:pPr>
            <w:r>
              <w:rPr>
                <w:rFonts w:hint="eastAsia" w:hAnsi="宋体" w:cs="宋体"/>
                <w:color w:val="000000"/>
                <w:sz w:val="20"/>
                <w:lang w:bidi="ar"/>
              </w:rPr>
              <w:t>点</w:t>
            </w:r>
          </w:p>
        </w:tc>
      </w:tr>
      <w:tr w14:paraId="7B36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3EEEF578">
            <w:pPr>
              <w:widowControl/>
              <w:spacing w:line="460" w:lineRule="exact"/>
              <w:jc w:val="center"/>
              <w:textAlignment w:val="center"/>
              <w:rPr>
                <w:rFonts w:hAnsi="宋体" w:cs="宋体"/>
                <w:color w:val="000000"/>
                <w:sz w:val="20"/>
              </w:rPr>
            </w:pPr>
            <w:r>
              <w:rPr>
                <w:rFonts w:hint="eastAsia" w:hAnsi="宋体" w:cs="宋体"/>
                <w:color w:val="000000"/>
                <w:sz w:val="20"/>
                <w:lang w:bidi="ar"/>
              </w:rPr>
              <w:t>5</w:t>
            </w:r>
          </w:p>
        </w:tc>
        <w:tc>
          <w:tcPr>
            <w:tcW w:w="0" w:type="auto"/>
            <w:shd w:val="clear" w:color="auto" w:fill="auto"/>
            <w:vAlign w:val="center"/>
          </w:tcPr>
          <w:p w14:paraId="3A1E0ED1">
            <w:pPr>
              <w:widowControl/>
              <w:spacing w:line="460" w:lineRule="exact"/>
              <w:jc w:val="center"/>
              <w:textAlignment w:val="center"/>
              <w:rPr>
                <w:rFonts w:hAnsi="宋体" w:cs="宋体"/>
                <w:color w:val="000000"/>
                <w:sz w:val="20"/>
              </w:rPr>
            </w:pPr>
            <w:r>
              <w:rPr>
                <w:rFonts w:hint="eastAsia" w:hAnsi="宋体" w:cs="宋体"/>
                <w:color w:val="000000"/>
                <w:sz w:val="20"/>
                <w:lang w:bidi="ar"/>
              </w:rPr>
              <w:t>智能语音分析软件</w:t>
            </w:r>
          </w:p>
        </w:tc>
        <w:tc>
          <w:tcPr>
            <w:tcW w:w="0" w:type="auto"/>
            <w:shd w:val="clear" w:color="auto" w:fill="auto"/>
            <w:vAlign w:val="center"/>
          </w:tcPr>
          <w:p w14:paraId="3CF6BEDA">
            <w:pPr>
              <w:widowControl/>
              <w:spacing w:line="460" w:lineRule="exact"/>
              <w:textAlignment w:val="center"/>
              <w:rPr>
                <w:rFonts w:hAnsi="宋体" w:cs="宋体"/>
                <w:color w:val="000000"/>
                <w:sz w:val="20"/>
              </w:rPr>
            </w:pPr>
            <w:r>
              <w:rPr>
                <w:rFonts w:hint="eastAsia" w:hAnsi="宋体" w:cs="宋体"/>
                <w:color w:val="000000"/>
                <w:sz w:val="20"/>
                <w:lang w:bidi="ar"/>
              </w:rPr>
              <w:t>1.支持教师提问情况分析，实现课堂提问情况的清晰回顾；</w:t>
            </w:r>
            <w:r>
              <w:rPr>
                <w:rFonts w:hint="eastAsia" w:hAnsi="宋体" w:cs="宋体"/>
                <w:color w:val="000000"/>
                <w:sz w:val="20"/>
                <w:lang w:bidi="ar"/>
              </w:rPr>
              <w:br w:type="textWrapping"/>
            </w:r>
            <w:r>
              <w:rPr>
                <w:rFonts w:hint="eastAsia" w:hAnsi="宋体" w:cs="宋体"/>
                <w:color w:val="000000"/>
                <w:sz w:val="20"/>
                <w:lang w:bidi="ar"/>
              </w:rPr>
              <w:t>2.教师语速分析，呈现数据需包括整体语速的变化图以及平均语速结论；</w:t>
            </w:r>
            <w:r>
              <w:rPr>
                <w:rFonts w:hint="eastAsia" w:hAnsi="宋体" w:cs="宋体"/>
                <w:color w:val="000000"/>
                <w:sz w:val="20"/>
                <w:lang w:bidi="ar"/>
              </w:rPr>
              <w:br w:type="textWrapping"/>
            </w:r>
            <w:r>
              <w:rPr>
                <w:rFonts w:hint="eastAsia" w:hAnsi="宋体" w:cs="宋体"/>
                <w:color w:val="000000"/>
                <w:sz w:val="20"/>
                <w:lang w:bidi="ar"/>
              </w:rPr>
              <w:t>3.课堂语音转写，并支持由上课老师课后自主编辑转写文本实现纠偏；</w:t>
            </w:r>
            <w:r>
              <w:rPr>
                <w:rFonts w:hint="eastAsia" w:hAnsi="宋体" w:cs="宋体"/>
                <w:color w:val="000000"/>
                <w:sz w:val="20"/>
                <w:lang w:bidi="ar"/>
              </w:rPr>
              <w:br w:type="textWrapping"/>
            </w:r>
            <w:r>
              <w:rPr>
                <w:rFonts w:hint="eastAsia" w:hAnsi="宋体" w:cs="宋体"/>
                <w:color w:val="000000"/>
                <w:sz w:val="20"/>
                <w:lang w:bidi="ar"/>
              </w:rPr>
              <w:t>4.课堂高频词分析，抓取授课过程中出现的高频词汇，判断课堂教学重点；</w:t>
            </w:r>
            <w:r>
              <w:rPr>
                <w:rFonts w:hint="eastAsia" w:hAnsi="宋体" w:cs="宋体"/>
                <w:color w:val="000000"/>
                <w:sz w:val="20"/>
                <w:lang w:bidi="ar"/>
              </w:rPr>
              <w:br w:type="textWrapping"/>
            </w:r>
            <w:r>
              <w:rPr>
                <w:rFonts w:hint="eastAsia" w:hAnsi="宋体" w:cs="宋体"/>
                <w:color w:val="000000"/>
                <w:sz w:val="20"/>
                <w:lang w:bidi="ar"/>
              </w:rPr>
              <w:t>5.课堂语气词分析，判断老师教学过程中出现的常规语气词出现频次，辅助老师调整教学过程中的不良习惯；</w:t>
            </w:r>
            <w:r>
              <w:rPr>
                <w:rFonts w:hint="eastAsia" w:hAnsi="宋体" w:cs="宋体"/>
                <w:color w:val="000000"/>
                <w:sz w:val="20"/>
                <w:lang w:bidi="ar"/>
              </w:rPr>
              <w:br w:type="textWrapping"/>
            </w:r>
            <w:r>
              <w:rPr>
                <w:rFonts w:hint="eastAsia" w:hAnsi="宋体" w:cs="宋体"/>
                <w:color w:val="000000"/>
                <w:sz w:val="20"/>
                <w:lang w:bidi="ar"/>
              </w:rPr>
              <w:t>6.教师普通话分析每个段落教师授课过程中的普通话水平；</w:t>
            </w:r>
            <w:r>
              <w:rPr>
                <w:rFonts w:hint="eastAsia" w:hAnsi="宋体" w:cs="宋体"/>
                <w:color w:val="000000"/>
                <w:sz w:val="20"/>
                <w:lang w:bidi="ar"/>
              </w:rPr>
              <w:br w:type="textWrapping"/>
            </w:r>
            <w:r>
              <w:rPr>
                <w:rFonts w:hint="eastAsia" w:hAnsi="宋体" w:cs="宋体"/>
                <w:color w:val="000000"/>
                <w:sz w:val="20"/>
                <w:lang w:bidi="ar"/>
              </w:rPr>
              <w:t>7.教师音量分析根据时间推移呈现音量波动的变化图表；</w:t>
            </w:r>
            <w:r>
              <w:rPr>
                <w:rFonts w:hint="eastAsia" w:hAnsi="宋体" w:cs="宋体"/>
                <w:color w:val="000000"/>
                <w:sz w:val="20"/>
                <w:lang w:bidi="ar"/>
              </w:rPr>
              <w:br w:type="textWrapping"/>
            </w:r>
            <w:r>
              <w:rPr>
                <w:rFonts w:hint="eastAsia" w:hAnsi="宋体" w:cs="宋体"/>
                <w:color w:val="000000"/>
                <w:sz w:val="20"/>
                <w:lang w:bidi="ar"/>
              </w:rPr>
              <w:t>8.学生音量分析根据时间推移呈现音量波动的变化图表；</w:t>
            </w:r>
            <w:r>
              <w:rPr>
                <w:rFonts w:hint="eastAsia" w:hAnsi="宋体" w:cs="宋体"/>
                <w:color w:val="000000"/>
                <w:sz w:val="20"/>
                <w:lang w:bidi="ar"/>
              </w:rPr>
              <w:br w:type="textWrapping"/>
            </w:r>
            <w:r>
              <w:rPr>
                <w:rFonts w:hint="eastAsia" w:hAnsi="宋体" w:cs="宋体"/>
                <w:color w:val="000000"/>
                <w:sz w:val="20"/>
                <w:lang w:bidi="ar"/>
              </w:rPr>
              <w:t>9.理答类型分析支持统计教师提问次数、抽答次数、追问次数；</w:t>
            </w:r>
            <w:r>
              <w:rPr>
                <w:rFonts w:hint="eastAsia" w:hAnsi="宋体" w:cs="宋体"/>
                <w:color w:val="000000"/>
                <w:sz w:val="20"/>
                <w:lang w:bidi="ar"/>
              </w:rPr>
              <w:br w:type="textWrapping"/>
            </w:r>
            <w:r>
              <w:rPr>
                <w:rFonts w:hint="eastAsia" w:hAnsi="宋体" w:cs="宋体"/>
                <w:color w:val="000000"/>
                <w:sz w:val="20"/>
                <w:lang w:bidi="ar"/>
              </w:rPr>
              <w:t>10.教师追问分析是否对学生有诱发思考的作用并统计次数；</w:t>
            </w:r>
          </w:p>
        </w:tc>
        <w:tc>
          <w:tcPr>
            <w:tcW w:w="0" w:type="auto"/>
            <w:shd w:val="clear" w:color="auto" w:fill="auto"/>
            <w:vAlign w:val="center"/>
          </w:tcPr>
          <w:p w14:paraId="4B60C169">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17EB95AF">
            <w:pPr>
              <w:widowControl/>
              <w:spacing w:line="460" w:lineRule="exact"/>
              <w:jc w:val="center"/>
              <w:textAlignment w:val="center"/>
              <w:rPr>
                <w:rFonts w:hAnsi="宋体" w:cs="宋体"/>
                <w:color w:val="000000"/>
                <w:sz w:val="20"/>
              </w:rPr>
            </w:pPr>
            <w:r>
              <w:rPr>
                <w:rFonts w:hint="eastAsia" w:hAnsi="宋体" w:cs="宋体"/>
                <w:color w:val="000000"/>
                <w:sz w:val="20"/>
                <w:lang w:bidi="ar"/>
              </w:rPr>
              <w:t>点</w:t>
            </w:r>
          </w:p>
        </w:tc>
      </w:tr>
      <w:tr w14:paraId="203B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0568E935">
            <w:pPr>
              <w:widowControl/>
              <w:spacing w:line="460" w:lineRule="exact"/>
              <w:jc w:val="center"/>
              <w:textAlignment w:val="center"/>
              <w:rPr>
                <w:rFonts w:hAnsi="宋体" w:cs="宋体"/>
                <w:color w:val="000000"/>
                <w:sz w:val="20"/>
              </w:rPr>
            </w:pPr>
            <w:r>
              <w:rPr>
                <w:rFonts w:hint="eastAsia" w:hAnsi="宋体" w:cs="宋体"/>
                <w:color w:val="000000"/>
                <w:sz w:val="20"/>
                <w:lang w:bidi="ar"/>
              </w:rPr>
              <w:t>6</w:t>
            </w:r>
          </w:p>
        </w:tc>
        <w:tc>
          <w:tcPr>
            <w:tcW w:w="0" w:type="auto"/>
            <w:shd w:val="clear" w:color="auto" w:fill="auto"/>
            <w:vAlign w:val="center"/>
          </w:tcPr>
          <w:p w14:paraId="5B5CEBA0">
            <w:pPr>
              <w:widowControl/>
              <w:spacing w:line="460" w:lineRule="exact"/>
              <w:jc w:val="center"/>
              <w:textAlignment w:val="center"/>
              <w:rPr>
                <w:rFonts w:hAnsi="宋体" w:cs="宋体"/>
                <w:color w:val="000000"/>
                <w:sz w:val="20"/>
              </w:rPr>
            </w:pPr>
            <w:r>
              <w:rPr>
                <w:rFonts w:hint="eastAsia" w:hAnsi="宋体" w:cs="宋体"/>
                <w:color w:val="000000"/>
                <w:sz w:val="20"/>
                <w:lang w:bidi="ar"/>
              </w:rPr>
              <w:t>高清全景摄像机</w:t>
            </w:r>
          </w:p>
        </w:tc>
        <w:tc>
          <w:tcPr>
            <w:tcW w:w="0" w:type="auto"/>
            <w:shd w:val="clear" w:color="auto" w:fill="auto"/>
            <w:vAlign w:val="center"/>
          </w:tcPr>
          <w:p w14:paraId="0B734C90">
            <w:pPr>
              <w:widowControl/>
              <w:spacing w:line="460" w:lineRule="exact"/>
              <w:textAlignment w:val="center"/>
              <w:rPr>
                <w:rFonts w:hAnsi="宋体" w:cs="宋体"/>
                <w:color w:val="000000"/>
                <w:sz w:val="20"/>
              </w:rPr>
            </w:pPr>
            <w:r>
              <w:rPr>
                <w:rFonts w:hint="eastAsia" w:hAnsi="宋体" w:cs="宋体"/>
                <w:color w:val="000000"/>
                <w:sz w:val="20"/>
                <w:lang w:bidi="ar"/>
              </w:rPr>
              <w:t>一、整体设计</w:t>
            </w:r>
            <w:r>
              <w:rPr>
                <w:rFonts w:hint="eastAsia" w:hAnsi="宋体" w:cs="宋体"/>
                <w:color w:val="000000"/>
                <w:sz w:val="20"/>
                <w:lang w:bidi="ar"/>
              </w:rPr>
              <w:br w:type="textWrapping"/>
            </w:r>
            <w:r>
              <w:rPr>
                <w:rFonts w:hint="eastAsia" w:hAnsi="宋体" w:cs="宋体"/>
                <w:color w:val="000000"/>
                <w:sz w:val="20"/>
                <w:lang w:bidi="ar"/>
              </w:rPr>
              <w:t>1.传感器：要求采用CMOS类型图像传感器，尺寸≥1/2.5英寸；</w:t>
            </w:r>
            <w:r>
              <w:rPr>
                <w:rFonts w:hint="eastAsia" w:hAnsi="宋体" w:cs="宋体"/>
                <w:color w:val="000000"/>
                <w:sz w:val="20"/>
                <w:lang w:bidi="ar"/>
              </w:rPr>
              <w:br w:type="textWrapping"/>
            </w:r>
            <w:r>
              <w:rPr>
                <w:rFonts w:hint="eastAsia" w:hAnsi="宋体" w:cs="宋体"/>
                <w:color w:val="000000"/>
                <w:sz w:val="20"/>
                <w:lang w:bidi="ar"/>
              </w:rPr>
              <w:t>2.像素：有效像素≥800万；</w:t>
            </w:r>
            <w:r>
              <w:rPr>
                <w:rFonts w:hint="eastAsia" w:hAnsi="宋体" w:cs="宋体"/>
                <w:color w:val="000000"/>
                <w:sz w:val="20"/>
                <w:lang w:bidi="ar"/>
              </w:rPr>
              <w:br w:type="textWrapping"/>
            </w:r>
            <w:r>
              <w:rPr>
                <w:rFonts w:hint="eastAsia" w:hAnsi="宋体" w:cs="宋体"/>
                <w:color w:val="000000"/>
                <w:sz w:val="20"/>
                <w:lang w:bidi="ar"/>
              </w:rPr>
              <w:t>3.视频分辨率：最大可支持3840×2160并向下兼容；</w:t>
            </w:r>
            <w:r>
              <w:rPr>
                <w:rFonts w:hint="eastAsia" w:hAnsi="宋体" w:cs="宋体"/>
                <w:color w:val="000000"/>
                <w:sz w:val="20"/>
                <w:lang w:bidi="ar"/>
              </w:rPr>
              <w:br w:type="textWrapping"/>
            </w:r>
            <w:r>
              <w:rPr>
                <w:rFonts w:hint="eastAsia" w:hAnsi="宋体" w:cs="宋体"/>
                <w:color w:val="000000"/>
                <w:sz w:val="20"/>
                <w:lang w:bidi="ar"/>
              </w:rPr>
              <w:t>4.变焦：要求支持自动和手动变焦；</w:t>
            </w:r>
            <w:r>
              <w:rPr>
                <w:rFonts w:hint="eastAsia" w:hAnsi="宋体" w:cs="宋体"/>
                <w:color w:val="000000"/>
                <w:sz w:val="20"/>
                <w:lang w:bidi="ar"/>
              </w:rPr>
              <w:br w:type="textWrapping"/>
            </w:r>
            <w:r>
              <w:rPr>
                <w:rFonts w:hint="eastAsia" w:hAnsi="宋体" w:cs="宋体"/>
                <w:color w:val="000000"/>
                <w:sz w:val="20"/>
                <w:lang w:bidi="ar"/>
              </w:rPr>
              <w:t>5.云台转动：要求具备机械云台可进行转动跟踪；</w:t>
            </w:r>
            <w:r>
              <w:rPr>
                <w:rFonts w:hint="eastAsia" w:hAnsi="宋体" w:cs="宋体"/>
                <w:color w:val="000000"/>
                <w:sz w:val="20"/>
                <w:lang w:bidi="ar"/>
              </w:rPr>
              <w:br w:type="textWrapping"/>
            </w:r>
            <w:r>
              <w:rPr>
                <w:rFonts w:hint="eastAsia" w:hAnsi="宋体" w:cs="宋体"/>
                <w:color w:val="000000"/>
                <w:sz w:val="20"/>
                <w:lang w:bidi="ar"/>
              </w:rPr>
              <w:t>6.快门速度：要求支持高速与慢速快门速度；</w:t>
            </w:r>
            <w:r>
              <w:rPr>
                <w:rFonts w:hint="eastAsia" w:hAnsi="宋体" w:cs="宋体"/>
                <w:color w:val="000000"/>
                <w:sz w:val="20"/>
                <w:lang w:bidi="ar"/>
              </w:rPr>
              <w:br w:type="textWrapping"/>
            </w:r>
            <w:r>
              <w:rPr>
                <w:rFonts w:hint="eastAsia" w:hAnsi="宋体" w:cs="宋体"/>
                <w:color w:val="000000"/>
                <w:sz w:val="20"/>
                <w:lang w:bidi="ar"/>
              </w:rPr>
              <w:t>7.视场角大小：支持水平视场角≥70°，垂直视场角≥40°；</w:t>
            </w:r>
            <w:r>
              <w:rPr>
                <w:rFonts w:hint="eastAsia" w:hAnsi="宋体" w:cs="宋体"/>
                <w:color w:val="000000"/>
                <w:sz w:val="20"/>
                <w:lang w:bidi="ar"/>
              </w:rPr>
              <w:br w:type="textWrapping"/>
            </w:r>
            <w:r>
              <w:rPr>
                <w:rFonts w:hint="eastAsia" w:hAnsi="宋体" w:cs="宋体"/>
                <w:color w:val="000000"/>
                <w:sz w:val="20"/>
                <w:lang w:bidi="ar"/>
              </w:rPr>
              <w:t>8.视频编码：支持H.265、H.264高清视频编码协议；</w:t>
            </w:r>
            <w:r>
              <w:rPr>
                <w:rFonts w:hint="eastAsia" w:hAnsi="宋体" w:cs="宋体"/>
                <w:color w:val="000000"/>
                <w:sz w:val="20"/>
                <w:lang w:bidi="ar"/>
              </w:rPr>
              <w:br w:type="textWrapping"/>
            </w:r>
            <w:r>
              <w:rPr>
                <w:rFonts w:hint="eastAsia" w:hAnsi="宋体" w:cs="宋体"/>
                <w:color w:val="000000"/>
                <w:sz w:val="20"/>
                <w:lang w:bidi="ar"/>
              </w:rPr>
              <w:t>9.设备常用接口：（RJ45）≥1，HDMI视频输出口≥1；RS232/RS422≥1；RJ45网络接口≥1；Line in输入口≥1；USB接口≥1；</w:t>
            </w:r>
            <w:r>
              <w:rPr>
                <w:rFonts w:hint="eastAsia" w:hAnsi="宋体" w:cs="宋体"/>
                <w:color w:val="000000"/>
                <w:sz w:val="20"/>
                <w:lang w:bidi="ar"/>
              </w:rPr>
              <w:br w:type="textWrapping"/>
            </w:r>
            <w:r>
              <w:rPr>
                <w:rFonts w:hint="eastAsia" w:hAnsi="宋体" w:cs="宋体"/>
                <w:color w:val="000000"/>
                <w:sz w:val="20"/>
                <w:lang w:bidi="ar"/>
              </w:rPr>
              <w:t>10.音频编码：要求支持常用音频编码协议；</w:t>
            </w:r>
            <w:r>
              <w:rPr>
                <w:rFonts w:hint="eastAsia" w:hAnsi="宋体" w:cs="宋体"/>
                <w:color w:val="000000"/>
                <w:sz w:val="20"/>
                <w:lang w:bidi="ar"/>
              </w:rPr>
              <w:br w:type="textWrapping"/>
            </w:r>
            <w:r>
              <w:rPr>
                <w:rFonts w:hint="eastAsia" w:hAnsi="宋体" w:cs="宋体"/>
                <w:color w:val="000000"/>
                <w:sz w:val="20"/>
                <w:lang w:bidi="ar"/>
              </w:rPr>
              <w:t>11.协议支持：支持VISCA/ONVIF协议满足多种场景控制要求；</w:t>
            </w:r>
            <w:r>
              <w:rPr>
                <w:rFonts w:hint="eastAsia" w:hAnsi="宋体" w:cs="宋体"/>
                <w:color w:val="000000"/>
                <w:sz w:val="20"/>
                <w:lang w:bidi="ar"/>
              </w:rPr>
              <w:br w:type="textWrapping"/>
            </w:r>
            <w:r>
              <w:rPr>
                <w:rFonts w:hint="eastAsia" w:hAnsi="宋体" w:cs="宋体"/>
                <w:color w:val="000000"/>
                <w:sz w:val="20"/>
                <w:lang w:bidi="ar"/>
              </w:rPr>
              <w:t>12.具备背光补偿功能；支持2D/3D数字降噪；</w:t>
            </w:r>
            <w:r>
              <w:rPr>
                <w:rFonts w:hint="eastAsia" w:hAnsi="宋体" w:cs="宋体"/>
                <w:color w:val="000000"/>
                <w:sz w:val="20"/>
                <w:lang w:bidi="ar"/>
              </w:rPr>
              <w:br w:type="textWrapping"/>
            </w:r>
            <w:r>
              <w:rPr>
                <w:rFonts w:hint="eastAsia" w:hAnsi="宋体" w:cs="宋体"/>
                <w:color w:val="000000"/>
                <w:sz w:val="20"/>
                <w:lang w:bidi="ar"/>
              </w:rPr>
              <w:t>13.高效数据传输：支持声画同步，在拍摄运动画面和复杂画面时不存在镜头呼吸效应带来的周期性画面焦距抖动；</w:t>
            </w:r>
            <w:r>
              <w:rPr>
                <w:rFonts w:hint="eastAsia" w:hAnsi="宋体" w:cs="宋体"/>
                <w:color w:val="000000"/>
                <w:sz w:val="20"/>
                <w:lang w:bidi="ar"/>
              </w:rPr>
              <w:br w:type="textWrapping"/>
            </w:r>
            <w:r>
              <w:rPr>
                <w:rFonts w:hint="eastAsia" w:hAnsi="宋体" w:cs="宋体"/>
                <w:color w:val="000000"/>
                <w:sz w:val="20"/>
                <w:lang w:bidi="ar"/>
              </w:rPr>
              <w:t>14.要求内置跟踪算法，可实现人像自动跟踪；</w:t>
            </w:r>
            <w:r>
              <w:rPr>
                <w:rFonts w:hint="eastAsia" w:hAnsi="宋体" w:cs="宋体"/>
                <w:color w:val="000000"/>
                <w:sz w:val="20"/>
                <w:lang w:bidi="ar"/>
              </w:rPr>
              <w:br w:type="textWrapping"/>
            </w:r>
            <w:r>
              <w:rPr>
                <w:rFonts w:hint="eastAsia" w:hAnsi="宋体" w:cs="宋体"/>
                <w:color w:val="000000"/>
                <w:sz w:val="20"/>
                <w:lang w:bidi="ar"/>
              </w:rPr>
              <w:t>15.跟踪逻辑自选，可根据部署使用场景智能应用为教师或学生跟踪模式；</w:t>
            </w:r>
            <w:r>
              <w:rPr>
                <w:rFonts w:hint="eastAsia" w:hAnsi="宋体" w:cs="宋体"/>
                <w:color w:val="000000"/>
                <w:sz w:val="20"/>
                <w:lang w:bidi="ar"/>
              </w:rPr>
              <w:br w:type="textWrapping"/>
            </w:r>
            <w:r>
              <w:rPr>
                <w:rFonts w:hint="eastAsia" w:hAnsi="宋体" w:cs="宋体"/>
                <w:color w:val="000000"/>
                <w:sz w:val="20"/>
                <w:lang w:bidi="ar"/>
              </w:rPr>
              <w:t>16.在多人同时进入拍摄画面的情况下，持续锁定跟踪对象；</w:t>
            </w:r>
            <w:r>
              <w:rPr>
                <w:rFonts w:hint="eastAsia" w:hAnsi="宋体" w:cs="宋体"/>
                <w:color w:val="000000"/>
                <w:sz w:val="20"/>
                <w:lang w:bidi="ar"/>
              </w:rPr>
              <w:br w:type="textWrapping"/>
            </w:r>
            <w:r>
              <w:rPr>
                <w:rFonts w:hint="eastAsia" w:hAnsi="宋体" w:cs="宋体"/>
                <w:color w:val="000000"/>
                <w:sz w:val="20"/>
                <w:lang w:bidi="ar"/>
              </w:rPr>
              <w:t>17.PTZ自适应：支持PTZ实时跟焦；</w:t>
            </w:r>
            <w:r>
              <w:rPr>
                <w:rFonts w:hint="eastAsia" w:hAnsi="宋体" w:cs="宋体"/>
                <w:color w:val="000000"/>
                <w:sz w:val="20"/>
                <w:lang w:bidi="ar"/>
              </w:rPr>
              <w:br w:type="textWrapping"/>
            </w:r>
            <w:r>
              <w:rPr>
                <w:rFonts w:hint="eastAsia" w:hAnsi="宋体" w:cs="宋体"/>
                <w:color w:val="000000"/>
                <w:sz w:val="20"/>
                <w:lang w:bidi="ar"/>
              </w:rPr>
              <w:t>18.摄像机内置AI课堂教学分析模型，在拍摄不同老师、学生、黑板等不同目标时，能完成不同的采集分析任务；</w:t>
            </w:r>
            <w:r>
              <w:rPr>
                <w:rFonts w:hint="eastAsia" w:hAnsi="宋体" w:cs="宋体"/>
                <w:color w:val="000000"/>
                <w:sz w:val="20"/>
                <w:lang w:bidi="ar"/>
              </w:rPr>
              <w:br w:type="textWrapping"/>
            </w:r>
            <w:r>
              <w:rPr>
                <w:rFonts w:hint="eastAsia" w:hAnsi="宋体" w:cs="宋体"/>
                <w:color w:val="000000"/>
                <w:sz w:val="20"/>
                <w:lang w:bidi="ar"/>
              </w:rPr>
              <w:t>二、软件功能</w:t>
            </w:r>
            <w:r>
              <w:rPr>
                <w:rFonts w:hint="eastAsia" w:hAnsi="宋体" w:cs="宋体"/>
                <w:color w:val="000000"/>
                <w:sz w:val="20"/>
                <w:lang w:bidi="ar"/>
              </w:rPr>
              <w:br w:type="textWrapping"/>
            </w:r>
            <w:r>
              <w:rPr>
                <w:rFonts w:hint="eastAsia" w:hAnsi="宋体" w:cs="宋体"/>
                <w:color w:val="000000"/>
                <w:sz w:val="20"/>
                <w:lang w:bidi="ar"/>
              </w:rPr>
              <w:t>1.摄像机传输处理软件需采用B/S架构，支持通用浏览器直接访问进行管理；</w:t>
            </w:r>
            <w:r>
              <w:rPr>
                <w:rFonts w:hint="eastAsia" w:hAnsi="宋体" w:cs="宋体"/>
                <w:color w:val="000000"/>
                <w:sz w:val="20"/>
                <w:lang w:bidi="ar"/>
              </w:rPr>
              <w:br w:type="textWrapping"/>
            </w:r>
            <w:r>
              <w:rPr>
                <w:rFonts w:hint="eastAsia" w:hAnsi="宋体" w:cs="宋体"/>
                <w:color w:val="000000"/>
                <w:sz w:val="20"/>
                <w:lang w:bidi="ar"/>
              </w:rPr>
              <w:t>2.需支持曝光模式设置功能，包括自动、手动；</w:t>
            </w:r>
            <w:r>
              <w:rPr>
                <w:rFonts w:hint="eastAsia" w:hAnsi="宋体" w:cs="宋体"/>
                <w:color w:val="000000"/>
                <w:sz w:val="20"/>
                <w:lang w:bidi="ar"/>
              </w:rPr>
              <w:br w:type="textWrapping"/>
            </w:r>
            <w:r>
              <w:rPr>
                <w:rFonts w:hint="eastAsia" w:hAnsi="宋体" w:cs="宋体"/>
                <w:color w:val="000000"/>
                <w:sz w:val="20"/>
                <w:lang w:bidi="ar"/>
              </w:rPr>
              <w:t>3.需支持抗闪烁频率、动态范围、光圈、快门参数设置；</w:t>
            </w:r>
            <w:r>
              <w:rPr>
                <w:rFonts w:hint="eastAsia" w:hAnsi="宋体" w:cs="宋体"/>
                <w:color w:val="000000"/>
                <w:sz w:val="20"/>
                <w:lang w:bidi="ar"/>
              </w:rPr>
              <w:br w:type="textWrapping"/>
            </w:r>
            <w:r>
              <w:rPr>
                <w:rFonts w:hint="eastAsia" w:hAnsi="宋体" w:cs="宋体"/>
                <w:color w:val="000000"/>
                <w:sz w:val="20"/>
                <w:lang w:bidi="ar"/>
              </w:rPr>
              <w:t>4.需支持设置自动/手动/一键锁定/室内/室外多场景白平衡设置，红、蓝增益可调以满足不同环境取景需要；；</w:t>
            </w:r>
            <w:r>
              <w:rPr>
                <w:rFonts w:hint="eastAsia" w:hAnsi="宋体" w:cs="宋体"/>
                <w:color w:val="000000"/>
                <w:sz w:val="20"/>
                <w:lang w:bidi="ar"/>
              </w:rPr>
              <w:br w:type="textWrapping"/>
            </w:r>
            <w:r>
              <w:rPr>
                <w:rFonts w:hint="eastAsia" w:hAnsi="宋体" w:cs="宋体"/>
                <w:color w:val="000000"/>
                <w:sz w:val="20"/>
                <w:lang w:bidi="ar"/>
              </w:rPr>
              <w:t>5.需支持噪声抑制设置功能，支持2D、3D降噪；</w:t>
            </w:r>
            <w:r>
              <w:rPr>
                <w:rFonts w:hint="eastAsia" w:hAnsi="宋体" w:cs="宋体"/>
                <w:color w:val="000000"/>
                <w:sz w:val="20"/>
                <w:lang w:bidi="ar"/>
              </w:rPr>
              <w:br w:type="textWrapping"/>
            </w:r>
            <w:r>
              <w:rPr>
                <w:rFonts w:hint="eastAsia" w:hAnsi="宋体" w:cs="宋体"/>
                <w:color w:val="000000"/>
                <w:sz w:val="20"/>
                <w:lang w:bidi="ar"/>
              </w:rPr>
              <w:t>6.需支持摄像机图像质量调节功能，包括亮度、对比度、色调、饱和度；</w:t>
            </w:r>
            <w:r>
              <w:rPr>
                <w:rFonts w:hint="eastAsia" w:hAnsi="宋体" w:cs="宋体"/>
                <w:color w:val="000000"/>
                <w:sz w:val="20"/>
                <w:lang w:bidi="ar"/>
              </w:rPr>
              <w:br w:type="textWrapping"/>
            </w:r>
            <w:r>
              <w:rPr>
                <w:rFonts w:hint="eastAsia" w:hAnsi="宋体" w:cs="宋体"/>
                <w:color w:val="000000"/>
                <w:sz w:val="20"/>
                <w:lang w:bidi="ar"/>
              </w:rPr>
              <w:t>7.需支持图像水平、垂直翻转，适应摄像机不同的安装方式要求；</w:t>
            </w:r>
            <w:r>
              <w:rPr>
                <w:rFonts w:hint="eastAsia" w:hAnsi="宋体" w:cs="宋体"/>
                <w:color w:val="000000"/>
                <w:sz w:val="20"/>
                <w:lang w:bidi="ar"/>
              </w:rPr>
              <w:br w:type="textWrapping"/>
            </w:r>
            <w:r>
              <w:rPr>
                <w:rFonts w:hint="eastAsia" w:hAnsi="宋体" w:cs="宋体"/>
                <w:color w:val="000000"/>
                <w:sz w:val="20"/>
                <w:lang w:bidi="ar"/>
              </w:rPr>
              <w:t>8.实现基于数据链路层的数字视频数据传输技术，能实现≤150ms的声画同步差异；</w:t>
            </w:r>
            <w:r>
              <w:rPr>
                <w:rFonts w:hint="eastAsia" w:hAnsi="宋体" w:cs="宋体"/>
                <w:color w:val="000000"/>
                <w:sz w:val="20"/>
                <w:lang w:bidi="ar"/>
              </w:rPr>
              <w:br w:type="textWrapping"/>
            </w:r>
            <w:r>
              <w:rPr>
                <w:rFonts w:hint="eastAsia" w:hAnsi="宋体" w:cs="宋体"/>
                <w:color w:val="000000"/>
                <w:sz w:val="20"/>
                <w:lang w:bidi="ar"/>
              </w:rPr>
              <w:t>9.支持根据智能算法，同一摄像机可根据部署使用场景智能应用为教师、学生跟踪模式，无需手动设置；</w:t>
            </w:r>
            <w:r>
              <w:rPr>
                <w:rFonts w:hint="eastAsia" w:hAnsi="宋体" w:cs="宋体"/>
                <w:color w:val="000000"/>
                <w:sz w:val="20"/>
                <w:lang w:bidi="ar"/>
              </w:rPr>
              <w:br w:type="textWrapping"/>
            </w:r>
            <w:r>
              <w:rPr>
                <w:rFonts w:hint="eastAsia" w:hAnsi="宋体" w:cs="宋体"/>
                <w:color w:val="000000"/>
                <w:sz w:val="20"/>
                <w:lang w:bidi="ar"/>
              </w:rPr>
              <w:t>10.支持跟踪区域内，当锁定跟踪人物走出自动跟踪区域时即停止跟踪，直到重新回到区域出现在画面中为止；</w:t>
            </w:r>
            <w:r>
              <w:rPr>
                <w:rFonts w:hint="eastAsia" w:hAnsi="宋体" w:cs="宋体"/>
                <w:color w:val="000000"/>
                <w:sz w:val="20"/>
                <w:lang w:bidi="ar"/>
              </w:rPr>
              <w:br w:type="textWrapping"/>
            </w:r>
            <w:r>
              <w:rPr>
                <w:rFonts w:hint="eastAsia" w:hAnsi="宋体" w:cs="宋体"/>
                <w:color w:val="000000"/>
                <w:sz w:val="20"/>
                <w:lang w:bidi="ar"/>
              </w:rPr>
              <w:t>▲11.需支持依据录播主机设置的跟踪目标更新周期时间，被跟拍人员脱离跟踪拍摄区域后开始计时，到达更新周期时间后自动解除目标跟拍锁定，回归默认状态，待下一位人员进入画面中开始重新锁定跟踪；</w:t>
            </w:r>
            <w:r>
              <w:rPr>
                <w:rFonts w:hint="eastAsia" w:hAnsi="宋体" w:cs="宋体"/>
                <w:color w:val="000000"/>
                <w:sz w:val="20"/>
                <w:lang w:bidi="ar"/>
              </w:rPr>
              <w:br w:type="textWrapping"/>
            </w:r>
            <w:r>
              <w:rPr>
                <w:rFonts w:hint="eastAsia" w:hAnsi="宋体" w:cs="宋体"/>
                <w:color w:val="000000"/>
                <w:sz w:val="20"/>
                <w:lang w:bidi="ar"/>
              </w:rPr>
              <w:t>12.支持录播主机供电和DC12V电源适配器等供电方式；</w:t>
            </w:r>
            <w:r>
              <w:rPr>
                <w:rFonts w:hint="eastAsia" w:hAnsi="宋体" w:cs="宋体"/>
                <w:color w:val="000000"/>
                <w:sz w:val="20"/>
                <w:lang w:bidi="ar"/>
              </w:rPr>
              <w:br w:type="textWrapping"/>
            </w:r>
            <w:r>
              <w:rPr>
                <w:rFonts w:hint="eastAsia" w:hAnsi="宋体" w:cs="宋体"/>
                <w:color w:val="000000"/>
                <w:sz w:val="20"/>
                <w:lang w:bidi="ar"/>
              </w:rPr>
              <w:t>13.摄像机软件在出厂时内嵌于摄像机中，且应具备自主知识产权，提供计算机软件著作权登记证书复印件并加盖投标单位公章或投标专用章。</w:t>
            </w:r>
          </w:p>
        </w:tc>
        <w:tc>
          <w:tcPr>
            <w:tcW w:w="0" w:type="auto"/>
            <w:shd w:val="clear" w:color="auto" w:fill="auto"/>
            <w:vAlign w:val="center"/>
          </w:tcPr>
          <w:p w14:paraId="63505024">
            <w:pPr>
              <w:widowControl/>
              <w:spacing w:line="460" w:lineRule="exact"/>
              <w:jc w:val="center"/>
              <w:textAlignment w:val="center"/>
              <w:rPr>
                <w:rFonts w:hAnsi="宋体" w:cs="宋体"/>
                <w:color w:val="000000"/>
                <w:sz w:val="20"/>
              </w:rPr>
            </w:pPr>
            <w:r>
              <w:rPr>
                <w:rFonts w:hint="eastAsia" w:hAnsi="宋体" w:cs="宋体"/>
                <w:color w:val="000000"/>
                <w:sz w:val="20"/>
                <w:lang w:bidi="ar"/>
              </w:rPr>
              <w:t>2</w:t>
            </w:r>
          </w:p>
        </w:tc>
        <w:tc>
          <w:tcPr>
            <w:tcW w:w="0" w:type="auto"/>
            <w:shd w:val="clear" w:color="auto" w:fill="auto"/>
            <w:vAlign w:val="center"/>
          </w:tcPr>
          <w:p w14:paraId="7BD053FE">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4395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19A9ADFF">
            <w:pPr>
              <w:widowControl/>
              <w:spacing w:line="460" w:lineRule="exact"/>
              <w:jc w:val="center"/>
              <w:textAlignment w:val="center"/>
              <w:rPr>
                <w:rFonts w:hAnsi="宋体" w:cs="宋体"/>
                <w:color w:val="000000"/>
                <w:sz w:val="20"/>
              </w:rPr>
            </w:pPr>
            <w:r>
              <w:rPr>
                <w:rFonts w:hint="eastAsia" w:hAnsi="宋体" w:cs="宋体"/>
                <w:color w:val="000000"/>
                <w:sz w:val="20"/>
                <w:lang w:bidi="ar"/>
              </w:rPr>
              <w:t>7</w:t>
            </w:r>
          </w:p>
        </w:tc>
        <w:tc>
          <w:tcPr>
            <w:tcW w:w="0" w:type="auto"/>
            <w:shd w:val="clear" w:color="auto" w:fill="auto"/>
            <w:vAlign w:val="center"/>
          </w:tcPr>
          <w:p w14:paraId="7E688D98">
            <w:pPr>
              <w:widowControl/>
              <w:spacing w:line="460" w:lineRule="exact"/>
              <w:jc w:val="center"/>
              <w:textAlignment w:val="center"/>
              <w:rPr>
                <w:rFonts w:hAnsi="宋体" w:cs="宋体"/>
                <w:color w:val="000000"/>
                <w:sz w:val="20"/>
              </w:rPr>
            </w:pPr>
            <w:r>
              <w:rPr>
                <w:rFonts w:hint="eastAsia" w:hAnsi="宋体" w:cs="宋体"/>
                <w:color w:val="000000"/>
                <w:sz w:val="20"/>
                <w:lang w:bidi="ar"/>
              </w:rPr>
              <w:t>高清特写摄像机</w:t>
            </w:r>
          </w:p>
        </w:tc>
        <w:tc>
          <w:tcPr>
            <w:tcW w:w="0" w:type="auto"/>
            <w:shd w:val="clear" w:color="auto" w:fill="auto"/>
          </w:tcPr>
          <w:p w14:paraId="591E0CA9">
            <w:pPr>
              <w:widowControl/>
              <w:spacing w:line="460" w:lineRule="exact"/>
              <w:textAlignment w:val="top"/>
              <w:rPr>
                <w:rFonts w:hAnsi="宋体" w:cs="宋体"/>
                <w:color w:val="000000"/>
                <w:sz w:val="20"/>
              </w:rPr>
            </w:pPr>
            <w:r>
              <w:rPr>
                <w:rFonts w:hint="eastAsia" w:hAnsi="宋体" w:cs="宋体"/>
                <w:color w:val="000000"/>
                <w:sz w:val="20"/>
                <w:lang w:bidi="ar"/>
              </w:rPr>
              <w:t>一、整体设计</w:t>
            </w:r>
            <w:r>
              <w:rPr>
                <w:rFonts w:hint="eastAsia" w:hAnsi="宋体" w:cs="宋体"/>
                <w:color w:val="000000"/>
                <w:sz w:val="20"/>
                <w:lang w:bidi="ar"/>
              </w:rPr>
              <w:br w:type="textWrapping"/>
            </w:r>
            <w:r>
              <w:rPr>
                <w:rFonts w:hint="eastAsia" w:hAnsi="宋体" w:cs="宋体"/>
                <w:color w:val="000000"/>
                <w:sz w:val="20"/>
                <w:lang w:bidi="ar"/>
              </w:rPr>
              <w:t>1.传感器：要求采用CMOS类型图像传感器，尺寸≥1/2.5英寸；</w:t>
            </w:r>
            <w:r>
              <w:rPr>
                <w:rFonts w:hint="eastAsia" w:hAnsi="宋体" w:cs="宋体"/>
                <w:color w:val="000000"/>
                <w:sz w:val="20"/>
                <w:lang w:bidi="ar"/>
              </w:rPr>
              <w:br w:type="textWrapping"/>
            </w:r>
            <w:r>
              <w:rPr>
                <w:rFonts w:hint="eastAsia" w:hAnsi="宋体" w:cs="宋体"/>
                <w:color w:val="000000"/>
                <w:sz w:val="20"/>
                <w:lang w:bidi="ar"/>
              </w:rPr>
              <w:t>2.像素：有效像素≥800万；</w:t>
            </w:r>
            <w:r>
              <w:rPr>
                <w:rFonts w:hint="eastAsia" w:hAnsi="宋体" w:cs="宋体"/>
                <w:color w:val="000000"/>
                <w:sz w:val="20"/>
                <w:lang w:bidi="ar"/>
              </w:rPr>
              <w:br w:type="textWrapping"/>
            </w:r>
            <w:r>
              <w:rPr>
                <w:rFonts w:hint="eastAsia" w:hAnsi="宋体" w:cs="宋体"/>
                <w:color w:val="000000"/>
                <w:sz w:val="20"/>
                <w:lang w:bidi="ar"/>
              </w:rPr>
              <w:t>3.视频分辨率：最大可支持3840×2160并向下兼容；</w:t>
            </w:r>
            <w:r>
              <w:rPr>
                <w:rFonts w:hint="eastAsia" w:hAnsi="宋体" w:cs="宋体"/>
                <w:color w:val="000000"/>
                <w:sz w:val="20"/>
                <w:lang w:bidi="ar"/>
              </w:rPr>
              <w:br w:type="textWrapping"/>
            </w:r>
            <w:r>
              <w:rPr>
                <w:rFonts w:hint="eastAsia" w:hAnsi="宋体" w:cs="宋体"/>
                <w:color w:val="000000"/>
                <w:sz w:val="20"/>
                <w:lang w:bidi="ar"/>
              </w:rPr>
              <w:t>4.变焦：要求支持自动和手动变焦；</w:t>
            </w:r>
            <w:r>
              <w:rPr>
                <w:rFonts w:hint="eastAsia" w:hAnsi="宋体" w:cs="宋体"/>
                <w:color w:val="000000"/>
                <w:sz w:val="20"/>
                <w:lang w:bidi="ar"/>
              </w:rPr>
              <w:br w:type="textWrapping"/>
            </w:r>
            <w:r>
              <w:rPr>
                <w:rFonts w:hint="eastAsia" w:hAnsi="宋体" w:cs="宋体"/>
                <w:color w:val="000000"/>
                <w:sz w:val="20"/>
                <w:lang w:bidi="ar"/>
              </w:rPr>
              <w:t>5.云台转动：要求具备机械云台可进行转动跟踪；</w:t>
            </w:r>
            <w:r>
              <w:rPr>
                <w:rFonts w:hint="eastAsia" w:hAnsi="宋体" w:cs="宋体"/>
                <w:color w:val="000000"/>
                <w:sz w:val="20"/>
                <w:lang w:bidi="ar"/>
              </w:rPr>
              <w:br w:type="textWrapping"/>
            </w:r>
            <w:r>
              <w:rPr>
                <w:rFonts w:hint="eastAsia" w:hAnsi="宋体" w:cs="宋体"/>
                <w:color w:val="000000"/>
                <w:sz w:val="20"/>
                <w:lang w:bidi="ar"/>
              </w:rPr>
              <w:t>6.快门速度：要求支持高速与慢速快门速度；</w:t>
            </w:r>
            <w:r>
              <w:rPr>
                <w:rFonts w:hint="eastAsia" w:hAnsi="宋体" w:cs="宋体"/>
                <w:color w:val="000000"/>
                <w:sz w:val="20"/>
                <w:lang w:bidi="ar"/>
              </w:rPr>
              <w:br w:type="textWrapping"/>
            </w:r>
            <w:r>
              <w:rPr>
                <w:rFonts w:hint="eastAsia" w:hAnsi="宋体" w:cs="宋体"/>
                <w:color w:val="000000"/>
                <w:sz w:val="20"/>
                <w:lang w:bidi="ar"/>
              </w:rPr>
              <w:t>7.视场角大小：支持水平视场角≥50°，垂直视场角≥30°；</w:t>
            </w:r>
            <w:r>
              <w:rPr>
                <w:rFonts w:hint="eastAsia" w:hAnsi="宋体" w:cs="宋体"/>
                <w:color w:val="000000"/>
                <w:sz w:val="20"/>
                <w:lang w:bidi="ar"/>
              </w:rPr>
              <w:br w:type="textWrapping"/>
            </w:r>
            <w:r>
              <w:rPr>
                <w:rFonts w:hint="eastAsia" w:hAnsi="宋体" w:cs="宋体"/>
                <w:color w:val="000000"/>
                <w:sz w:val="20"/>
                <w:lang w:bidi="ar"/>
              </w:rPr>
              <w:t>8.视频编码：支持H.265、H.264高清视频编码协议；</w:t>
            </w:r>
            <w:r>
              <w:rPr>
                <w:rFonts w:hint="eastAsia" w:hAnsi="宋体" w:cs="宋体"/>
                <w:color w:val="000000"/>
                <w:sz w:val="20"/>
                <w:lang w:bidi="ar"/>
              </w:rPr>
              <w:br w:type="textWrapping"/>
            </w:r>
            <w:r>
              <w:rPr>
                <w:rFonts w:hint="eastAsia" w:hAnsi="宋体" w:cs="宋体"/>
                <w:color w:val="000000"/>
                <w:sz w:val="20"/>
                <w:lang w:bidi="ar"/>
              </w:rPr>
              <w:t>9.视频输出：（RJ45）≥1，HDMI视频输出口≥1；音频接口：Line in输入口≥1；通讯接口：要求具备RS232/RS422≥1；网络接入：RJ45网络接口≥1；USB接口≥1；</w:t>
            </w:r>
            <w:r>
              <w:rPr>
                <w:rFonts w:hint="eastAsia" w:hAnsi="宋体" w:cs="宋体"/>
                <w:color w:val="000000"/>
                <w:sz w:val="20"/>
                <w:lang w:bidi="ar"/>
              </w:rPr>
              <w:br w:type="textWrapping"/>
            </w:r>
            <w:r>
              <w:rPr>
                <w:rFonts w:hint="eastAsia" w:hAnsi="宋体" w:cs="宋体"/>
                <w:color w:val="000000"/>
                <w:sz w:val="20"/>
                <w:lang w:bidi="ar"/>
              </w:rPr>
              <w:t>10.协议支持：支持VISCA/ONVIF协议满足多种场景控制要求；</w:t>
            </w:r>
            <w:r>
              <w:rPr>
                <w:rFonts w:hint="eastAsia" w:hAnsi="宋体" w:cs="宋体"/>
                <w:color w:val="000000"/>
                <w:sz w:val="20"/>
                <w:lang w:bidi="ar"/>
              </w:rPr>
              <w:br w:type="textWrapping"/>
            </w:r>
            <w:r>
              <w:rPr>
                <w:rFonts w:hint="eastAsia" w:hAnsi="宋体" w:cs="宋体"/>
                <w:color w:val="000000"/>
                <w:sz w:val="20"/>
                <w:lang w:bidi="ar"/>
              </w:rPr>
              <w:t>11.高效数据传输：支持声画同步，在拍摄运动画面和复杂画面时不存在镜头呼吸效应带来的周期性画面焦距抖动；</w:t>
            </w:r>
            <w:r>
              <w:rPr>
                <w:rFonts w:hint="eastAsia" w:hAnsi="宋体" w:cs="宋体"/>
                <w:color w:val="000000"/>
                <w:sz w:val="20"/>
                <w:lang w:bidi="ar"/>
              </w:rPr>
              <w:br w:type="textWrapping"/>
            </w:r>
            <w:r>
              <w:rPr>
                <w:rFonts w:hint="eastAsia" w:hAnsi="宋体" w:cs="宋体"/>
                <w:color w:val="000000"/>
                <w:sz w:val="20"/>
                <w:lang w:bidi="ar"/>
              </w:rPr>
              <w:t>12.要求内置跟踪算法，可实现人像自动跟踪；</w:t>
            </w:r>
            <w:r>
              <w:rPr>
                <w:rFonts w:hint="eastAsia" w:hAnsi="宋体" w:cs="宋体"/>
                <w:color w:val="000000"/>
                <w:sz w:val="20"/>
                <w:lang w:bidi="ar"/>
              </w:rPr>
              <w:br w:type="textWrapping"/>
            </w:r>
            <w:r>
              <w:rPr>
                <w:rFonts w:hint="eastAsia" w:hAnsi="宋体" w:cs="宋体"/>
                <w:color w:val="000000"/>
                <w:sz w:val="20"/>
                <w:lang w:bidi="ar"/>
              </w:rPr>
              <w:t>13.跟踪逻辑自选，可根据部署使用场景智能应用为教师或学生跟踪模式；</w:t>
            </w:r>
            <w:r>
              <w:rPr>
                <w:rFonts w:hint="eastAsia" w:hAnsi="宋体" w:cs="宋体"/>
                <w:color w:val="000000"/>
                <w:sz w:val="20"/>
                <w:lang w:bidi="ar"/>
              </w:rPr>
              <w:br w:type="textWrapping"/>
            </w:r>
            <w:r>
              <w:rPr>
                <w:rFonts w:hint="eastAsia" w:hAnsi="宋体" w:cs="宋体"/>
                <w:color w:val="000000"/>
                <w:sz w:val="20"/>
                <w:lang w:bidi="ar"/>
              </w:rPr>
              <w:t>14.在多人同时进入拍摄画面的情况下，持续锁定跟踪对象；</w:t>
            </w:r>
            <w:r>
              <w:rPr>
                <w:rFonts w:hint="eastAsia" w:hAnsi="宋体" w:cs="宋体"/>
                <w:color w:val="000000"/>
                <w:sz w:val="20"/>
                <w:lang w:bidi="ar"/>
              </w:rPr>
              <w:br w:type="textWrapping"/>
            </w:r>
            <w:r>
              <w:rPr>
                <w:rFonts w:hint="eastAsia" w:hAnsi="宋体" w:cs="宋体"/>
                <w:color w:val="000000"/>
                <w:sz w:val="20"/>
                <w:lang w:bidi="ar"/>
              </w:rPr>
              <w:t>15.PTZ自适应：支持PTZ实时跟焦；</w:t>
            </w:r>
            <w:r>
              <w:rPr>
                <w:rFonts w:hint="eastAsia" w:hAnsi="宋体" w:cs="宋体"/>
                <w:color w:val="000000"/>
                <w:sz w:val="20"/>
                <w:lang w:bidi="ar"/>
              </w:rPr>
              <w:br w:type="textWrapping"/>
            </w:r>
            <w:r>
              <w:rPr>
                <w:rFonts w:hint="eastAsia" w:hAnsi="宋体" w:cs="宋体"/>
                <w:color w:val="000000"/>
                <w:sz w:val="20"/>
                <w:lang w:bidi="ar"/>
              </w:rPr>
              <w:t>16.摄像机内置AI课堂教学分析模型，在拍摄不同老师、学生、黑板等不同目标时，能完成不同的采集分析任务；</w:t>
            </w:r>
            <w:r>
              <w:rPr>
                <w:rFonts w:hint="eastAsia" w:hAnsi="宋体" w:cs="宋体"/>
                <w:color w:val="000000"/>
                <w:sz w:val="20"/>
                <w:lang w:bidi="ar"/>
              </w:rPr>
              <w:br w:type="textWrapping"/>
            </w:r>
            <w:r>
              <w:rPr>
                <w:rFonts w:hint="eastAsia" w:hAnsi="宋体" w:cs="宋体"/>
                <w:color w:val="000000"/>
                <w:sz w:val="20"/>
                <w:lang w:bidi="ar"/>
              </w:rPr>
              <w:t>二、软件功能</w:t>
            </w:r>
            <w:r>
              <w:rPr>
                <w:rFonts w:hint="eastAsia" w:hAnsi="宋体" w:cs="宋体"/>
                <w:color w:val="000000"/>
                <w:sz w:val="20"/>
                <w:lang w:bidi="ar"/>
              </w:rPr>
              <w:br w:type="textWrapping"/>
            </w:r>
            <w:r>
              <w:rPr>
                <w:rFonts w:hint="eastAsia" w:hAnsi="宋体" w:cs="宋体"/>
                <w:color w:val="000000"/>
                <w:sz w:val="20"/>
                <w:lang w:bidi="ar"/>
              </w:rPr>
              <w:t>1.摄像机传输处理软件需采用B/S架构，支持通用浏览器直接访问进行管理；</w:t>
            </w:r>
            <w:r>
              <w:rPr>
                <w:rFonts w:hint="eastAsia" w:hAnsi="宋体" w:cs="宋体"/>
                <w:color w:val="000000"/>
                <w:sz w:val="20"/>
                <w:lang w:bidi="ar"/>
              </w:rPr>
              <w:br w:type="textWrapping"/>
            </w:r>
            <w:r>
              <w:rPr>
                <w:rFonts w:hint="eastAsia" w:hAnsi="宋体" w:cs="宋体"/>
                <w:color w:val="000000"/>
                <w:sz w:val="20"/>
                <w:lang w:bidi="ar"/>
              </w:rPr>
              <w:t>2.需支持曝光模式设置功能，包括自动、手动；</w:t>
            </w:r>
            <w:r>
              <w:rPr>
                <w:rFonts w:hint="eastAsia" w:hAnsi="宋体" w:cs="宋体"/>
                <w:color w:val="000000"/>
                <w:sz w:val="20"/>
                <w:lang w:bidi="ar"/>
              </w:rPr>
              <w:br w:type="textWrapping"/>
            </w:r>
            <w:r>
              <w:rPr>
                <w:rFonts w:hint="eastAsia" w:hAnsi="宋体" w:cs="宋体"/>
                <w:color w:val="000000"/>
                <w:sz w:val="20"/>
                <w:lang w:bidi="ar"/>
              </w:rPr>
              <w:t>3.需支持抗闪烁频率、动态范围、光圈、快门参数设置；</w:t>
            </w:r>
            <w:r>
              <w:rPr>
                <w:rFonts w:hint="eastAsia" w:hAnsi="宋体" w:cs="宋体"/>
                <w:color w:val="000000"/>
                <w:sz w:val="20"/>
                <w:lang w:bidi="ar"/>
              </w:rPr>
              <w:br w:type="textWrapping"/>
            </w:r>
            <w:r>
              <w:rPr>
                <w:rFonts w:hint="eastAsia" w:hAnsi="宋体" w:cs="宋体"/>
                <w:color w:val="000000"/>
                <w:sz w:val="20"/>
                <w:lang w:bidi="ar"/>
              </w:rPr>
              <w:t>4.需支持设置自动/手动/一键锁定/室内/室外多场景白平衡设置，红、蓝增益可调以满足不同环境取景需要；；</w:t>
            </w:r>
            <w:r>
              <w:rPr>
                <w:rFonts w:hint="eastAsia" w:hAnsi="宋体" w:cs="宋体"/>
                <w:color w:val="000000"/>
                <w:sz w:val="20"/>
                <w:lang w:bidi="ar"/>
              </w:rPr>
              <w:br w:type="textWrapping"/>
            </w:r>
            <w:r>
              <w:rPr>
                <w:rFonts w:hint="eastAsia" w:hAnsi="宋体" w:cs="宋体"/>
                <w:color w:val="000000"/>
                <w:sz w:val="20"/>
                <w:lang w:bidi="ar"/>
              </w:rPr>
              <w:t>5.需支持噪声抑制设置功能，支持2D、3D降噪；</w:t>
            </w:r>
            <w:r>
              <w:rPr>
                <w:rFonts w:hint="eastAsia" w:hAnsi="宋体" w:cs="宋体"/>
                <w:color w:val="000000"/>
                <w:sz w:val="20"/>
                <w:lang w:bidi="ar"/>
              </w:rPr>
              <w:br w:type="textWrapping"/>
            </w:r>
            <w:r>
              <w:rPr>
                <w:rFonts w:hint="eastAsia" w:hAnsi="宋体" w:cs="宋体"/>
                <w:color w:val="000000"/>
                <w:sz w:val="20"/>
                <w:lang w:bidi="ar"/>
              </w:rPr>
              <w:t>6.需支持摄像机图像质量调节功能，包括亮度、对比度、色调、饱和度；</w:t>
            </w:r>
            <w:r>
              <w:rPr>
                <w:rFonts w:hint="eastAsia" w:hAnsi="宋体" w:cs="宋体"/>
                <w:color w:val="000000"/>
                <w:sz w:val="20"/>
                <w:lang w:bidi="ar"/>
              </w:rPr>
              <w:br w:type="textWrapping"/>
            </w:r>
            <w:r>
              <w:rPr>
                <w:rFonts w:hint="eastAsia" w:hAnsi="宋体" w:cs="宋体"/>
                <w:color w:val="000000"/>
                <w:sz w:val="20"/>
                <w:lang w:bidi="ar"/>
              </w:rPr>
              <w:t>7.需支持图像水平、垂直翻转，适应摄像机不同的安装方式要求；</w:t>
            </w:r>
            <w:r>
              <w:rPr>
                <w:rFonts w:hint="eastAsia" w:hAnsi="宋体" w:cs="宋体"/>
                <w:color w:val="000000"/>
                <w:sz w:val="20"/>
                <w:lang w:bidi="ar"/>
              </w:rPr>
              <w:br w:type="textWrapping"/>
            </w:r>
            <w:r>
              <w:rPr>
                <w:rFonts w:hint="eastAsia" w:hAnsi="宋体" w:cs="宋体"/>
                <w:color w:val="000000"/>
                <w:sz w:val="20"/>
                <w:lang w:bidi="ar"/>
              </w:rPr>
              <w:t>8.需支持摄像机控制功能，包括云台控制、预置位设置与调用、焦距调节等；</w:t>
            </w:r>
            <w:r>
              <w:rPr>
                <w:rFonts w:hint="eastAsia" w:hAnsi="宋体" w:cs="宋体"/>
                <w:color w:val="000000"/>
                <w:sz w:val="20"/>
                <w:lang w:bidi="ar"/>
              </w:rPr>
              <w:br w:type="textWrapping"/>
            </w:r>
            <w:r>
              <w:rPr>
                <w:rFonts w:hint="eastAsia" w:hAnsi="宋体" w:cs="宋体"/>
                <w:color w:val="000000"/>
                <w:sz w:val="20"/>
                <w:lang w:bidi="ar"/>
              </w:rPr>
              <w:t>9.需支持自动/手动两种聚焦锁定模式；</w:t>
            </w:r>
          </w:p>
        </w:tc>
        <w:tc>
          <w:tcPr>
            <w:tcW w:w="0" w:type="auto"/>
            <w:shd w:val="clear" w:color="auto" w:fill="auto"/>
            <w:vAlign w:val="center"/>
          </w:tcPr>
          <w:p w14:paraId="6B771D18">
            <w:pPr>
              <w:widowControl/>
              <w:spacing w:line="460" w:lineRule="exact"/>
              <w:jc w:val="center"/>
              <w:textAlignment w:val="center"/>
              <w:rPr>
                <w:rFonts w:hAnsi="宋体" w:cs="宋体"/>
                <w:color w:val="000000"/>
                <w:sz w:val="20"/>
              </w:rPr>
            </w:pPr>
            <w:r>
              <w:rPr>
                <w:rFonts w:hint="eastAsia" w:hAnsi="宋体" w:cs="宋体"/>
                <w:color w:val="000000"/>
                <w:sz w:val="20"/>
                <w:lang w:bidi="ar"/>
              </w:rPr>
              <w:t>3</w:t>
            </w:r>
          </w:p>
        </w:tc>
        <w:tc>
          <w:tcPr>
            <w:tcW w:w="0" w:type="auto"/>
            <w:shd w:val="clear" w:color="auto" w:fill="auto"/>
            <w:vAlign w:val="center"/>
          </w:tcPr>
          <w:p w14:paraId="6E874DA5">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616F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4D957E1F">
            <w:pPr>
              <w:widowControl/>
              <w:spacing w:line="460" w:lineRule="exact"/>
              <w:jc w:val="center"/>
              <w:textAlignment w:val="center"/>
              <w:rPr>
                <w:rFonts w:hAnsi="宋体" w:cs="宋体"/>
                <w:color w:val="000000"/>
                <w:sz w:val="20"/>
              </w:rPr>
            </w:pPr>
            <w:r>
              <w:rPr>
                <w:rFonts w:hint="eastAsia" w:hAnsi="宋体" w:cs="宋体"/>
                <w:color w:val="000000"/>
                <w:sz w:val="20"/>
                <w:lang w:bidi="ar"/>
              </w:rPr>
              <w:t>8</w:t>
            </w:r>
          </w:p>
        </w:tc>
        <w:tc>
          <w:tcPr>
            <w:tcW w:w="0" w:type="auto"/>
            <w:shd w:val="clear" w:color="auto" w:fill="auto"/>
            <w:vAlign w:val="center"/>
          </w:tcPr>
          <w:p w14:paraId="2DB66A79">
            <w:pPr>
              <w:widowControl/>
              <w:spacing w:line="460" w:lineRule="exact"/>
              <w:jc w:val="center"/>
              <w:textAlignment w:val="center"/>
              <w:rPr>
                <w:rFonts w:hAnsi="宋体" w:cs="宋体"/>
                <w:color w:val="000000"/>
                <w:sz w:val="20"/>
              </w:rPr>
            </w:pPr>
            <w:r>
              <w:rPr>
                <w:rFonts w:hint="eastAsia" w:hAnsi="宋体" w:cs="宋体"/>
                <w:color w:val="000000"/>
                <w:sz w:val="20"/>
                <w:lang w:bidi="ar"/>
              </w:rPr>
              <w:t>壁挂式触控面板</w:t>
            </w:r>
          </w:p>
        </w:tc>
        <w:tc>
          <w:tcPr>
            <w:tcW w:w="0" w:type="auto"/>
            <w:shd w:val="clear" w:color="auto" w:fill="auto"/>
          </w:tcPr>
          <w:p w14:paraId="30447C8D">
            <w:pPr>
              <w:widowControl/>
              <w:spacing w:line="460" w:lineRule="exact"/>
              <w:textAlignment w:val="top"/>
              <w:rPr>
                <w:rFonts w:hAnsi="宋体" w:cs="宋体"/>
                <w:color w:val="000000"/>
                <w:sz w:val="20"/>
              </w:rPr>
            </w:pPr>
            <w:r>
              <w:rPr>
                <w:rFonts w:hint="eastAsia" w:hAnsi="宋体" w:cs="宋体"/>
                <w:color w:val="000000"/>
                <w:sz w:val="20"/>
                <w:lang w:bidi="ar"/>
              </w:rPr>
              <w:t>1.硬件设计</w:t>
            </w:r>
            <w:r>
              <w:rPr>
                <w:rFonts w:hint="eastAsia" w:hAnsi="宋体" w:cs="宋体"/>
                <w:color w:val="000000"/>
                <w:sz w:val="20"/>
                <w:lang w:bidi="ar"/>
              </w:rPr>
              <w:br w:type="textWrapping"/>
            </w:r>
            <w:r>
              <w:rPr>
                <w:rFonts w:hint="eastAsia" w:hAnsi="宋体" w:cs="宋体"/>
                <w:color w:val="000000"/>
                <w:sz w:val="20"/>
                <w:lang w:bidi="ar"/>
              </w:rPr>
              <w:t>1）支持壁挂式上墙部署；</w:t>
            </w:r>
            <w:r>
              <w:rPr>
                <w:rFonts w:hint="eastAsia" w:hAnsi="宋体" w:cs="宋体"/>
                <w:color w:val="000000"/>
                <w:sz w:val="20"/>
                <w:lang w:bidi="ar"/>
              </w:rPr>
              <w:br w:type="textWrapping"/>
            </w:r>
            <w:r>
              <w:rPr>
                <w:rFonts w:hint="eastAsia" w:hAnsi="宋体" w:cs="宋体"/>
                <w:color w:val="000000"/>
                <w:sz w:val="20"/>
                <w:lang w:bidi="ar"/>
              </w:rPr>
              <w:t>2）具备≥10英寸1280*800高清全视角显示屏幕；</w:t>
            </w:r>
            <w:r>
              <w:rPr>
                <w:rFonts w:hint="eastAsia" w:hAnsi="宋体" w:cs="宋体"/>
                <w:color w:val="000000"/>
                <w:sz w:val="20"/>
                <w:lang w:bidi="ar"/>
              </w:rPr>
              <w:br w:type="textWrapping"/>
            </w:r>
            <w:r>
              <w:rPr>
                <w:rFonts w:hint="eastAsia" w:hAnsi="宋体" w:cs="宋体"/>
                <w:color w:val="000000"/>
                <w:sz w:val="20"/>
                <w:lang w:bidi="ar"/>
              </w:rPr>
              <w:t>3）存储性能：缓存容量不小于2G,存储容量不小于16G；</w:t>
            </w:r>
            <w:r>
              <w:rPr>
                <w:rFonts w:hint="eastAsia" w:hAnsi="宋体" w:cs="宋体"/>
                <w:color w:val="000000"/>
                <w:sz w:val="20"/>
                <w:lang w:bidi="ar"/>
              </w:rPr>
              <w:br w:type="textWrapping"/>
            </w:r>
            <w:r>
              <w:rPr>
                <w:rFonts w:hint="eastAsia" w:hAnsi="宋体" w:cs="宋体"/>
                <w:color w:val="000000"/>
                <w:sz w:val="20"/>
                <w:lang w:bidi="ar"/>
              </w:rPr>
              <w:t>4）操作系统 ：Android 11及以上版本；</w:t>
            </w:r>
            <w:r>
              <w:rPr>
                <w:rFonts w:hint="eastAsia" w:hAnsi="宋体" w:cs="宋体"/>
                <w:color w:val="000000"/>
                <w:sz w:val="20"/>
                <w:lang w:bidi="ar"/>
              </w:rPr>
              <w:br w:type="textWrapping"/>
            </w:r>
            <w:r>
              <w:rPr>
                <w:rFonts w:hint="eastAsia" w:hAnsi="宋体" w:cs="宋体"/>
                <w:color w:val="000000"/>
                <w:sz w:val="20"/>
                <w:lang w:bidi="ar"/>
              </w:rPr>
              <w:t>5）接口类型：USB≥1， 网络接口≥1，3.5mm耳麦接口≥1，串口RS232≥1；</w:t>
            </w:r>
            <w:r>
              <w:rPr>
                <w:rFonts w:hint="eastAsia" w:hAnsi="宋体" w:cs="宋体"/>
                <w:color w:val="000000"/>
                <w:sz w:val="20"/>
                <w:lang w:bidi="ar"/>
              </w:rPr>
              <w:br w:type="textWrapping"/>
            </w:r>
            <w:r>
              <w:rPr>
                <w:rFonts w:hint="eastAsia" w:hAnsi="宋体" w:cs="宋体"/>
                <w:color w:val="000000"/>
                <w:sz w:val="20"/>
                <w:lang w:bidi="ar"/>
              </w:rPr>
              <w:t>2.整体设计</w:t>
            </w:r>
            <w:r>
              <w:rPr>
                <w:rFonts w:hint="eastAsia" w:hAnsi="宋体" w:cs="宋体"/>
                <w:color w:val="000000"/>
                <w:sz w:val="20"/>
                <w:lang w:bidi="ar"/>
              </w:rPr>
              <w:br w:type="textWrapping"/>
            </w:r>
            <w:r>
              <w:rPr>
                <w:rFonts w:hint="eastAsia" w:hAnsi="宋体" w:cs="宋体"/>
                <w:color w:val="000000"/>
                <w:sz w:val="20"/>
                <w:lang w:bidi="ar"/>
              </w:rPr>
              <w:t>1）控制方式：支持通过网络连接进行录播主机的管理、控制；</w:t>
            </w:r>
            <w:r>
              <w:rPr>
                <w:rFonts w:hint="eastAsia" w:hAnsi="宋体" w:cs="宋体"/>
                <w:color w:val="000000"/>
                <w:sz w:val="20"/>
                <w:lang w:bidi="ar"/>
              </w:rPr>
              <w:br w:type="textWrapping"/>
            </w:r>
            <w:r>
              <w:rPr>
                <w:rFonts w:hint="eastAsia" w:hAnsi="宋体" w:cs="宋体"/>
                <w:color w:val="000000"/>
                <w:sz w:val="20"/>
                <w:lang w:bidi="ar"/>
              </w:rPr>
              <w:t>2）电源管理：支持控制录播主机的关机、休眠、唤醒操作；</w:t>
            </w:r>
            <w:r>
              <w:rPr>
                <w:rFonts w:hint="eastAsia" w:hAnsi="宋体" w:cs="宋体"/>
                <w:color w:val="000000"/>
                <w:sz w:val="20"/>
                <w:lang w:bidi="ar"/>
              </w:rPr>
              <w:br w:type="textWrapping"/>
            </w:r>
            <w:r>
              <w:rPr>
                <w:rFonts w:hint="eastAsia" w:hAnsi="宋体" w:cs="宋体"/>
                <w:color w:val="000000"/>
                <w:sz w:val="20"/>
                <w:lang w:bidi="ar"/>
              </w:rPr>
              <w:t>3）集成录课模式控制、互动模式控制、录像资源管理等控制应用；</w:t>
            </w:r>
            <w:r>
              <w:rPr>
                <w:rFonts w:hint="eastAsia" w:hAnsi="宋体" w:cs="宋体"/>
                <w:color w:val="000000"/>
                <w:sz w:val="20"/>
                <w:lang w:bidi="ar"/>
              </w:rPr>
              <w:br w:type="textWrapping"/>
            </w:r>
            <w:r>
              <w:rPr>
                <w:rFonts w:hint="eastAsia" w:hAnsi="宋体" w:cs="宋体"/>
                <w:color w:val="000000"/>
                <w:sz w:val="20"/>
                <w:lang w:bidi="ar"/>
              </w:rPr>
              <w:t>3.录课模式控制</w:t>
            </w:r>
            <w:r>
              <w:rPr>
                <w:rFonts w:hint="eastAsia" w:hAnsi="宋体" w:cs="宋体"/>
                <w:color w:val="000000"/>
                <w:sz w:val="20"/>
                <w:lang w:bidi="ar"/>
              </w:rPr>
              <w:br w:type="textWrapping"/>
            </w:r>
            <w:r>
              <w:rPr>
                <w:rFonts w:hint="eastAsia" w:hAnsi="宋体" w:cs="宋体"/>
                <w:color w:val="000000"/>
                <w:sz w:val="20"/>
                <w:lang w:bidi="ar"/>
              </w:rPr>
              <w:t>1）支持通过触控面板实时预览录制信号画面，进行导播操作；</w:t>
            </w:r>
            <w:r>
              <w:rPr>
                <w:rFonts w:hint="eastAsia" w:hAnsi="宋体" w:cs="宋体"/>
                <w:color w:val="000000"/>
                <w:sz w:val="20"/>
                <w:lang w:bidi="ar"/>
              </w:rPr>
              <w:br w:type="textWrapping"/>
            </w:r>
            <w:r>
              <w:rPr>
                <w:rFonts w:hint="eastAsia" w:hAnsi="宋体" w:cs="宋体"/>
                <w:color w:val="000000"/>
                <w:sz w:val="20"/>
                <w:lang w:bidi="ar"/>
              </w:rPr>
              <w:t>2）支持录制开始/停止、录制暂停/恢复、直播开启/关闭、电脑画面锁定/解锁等功能操作；</w:t>
            </w:r>
            <w:r>
              <w:rPr>
                <w:rFonts w:hint="eastAsia" w:hAnsi="宋体" w:cs="宋体"/>
                <w:color w:val="000000"/>
                <w:sz w:val="20"/>
                <w:lang w:bidi="ar"/>
              </w:rPr>
              <w:br w:type="textWrapping"/>
            </w:r>
            <w:r>
              <w:rPr>
                <w:rFonts w:hint="eastAsia" w:hAnsi="宋体" w:cs="宋体"/>
                <w:color w:val="000000"/>
                <w:sz w:val="20"/>
                <w:lang w:bidi="ar"/>
              </w:rPr>
              <w:t>3）支持常用键位设置，可设置各镜头快速切换、画面布局等相关录课操作常用键位；</w:t>
            </w:r>
            <w:r>
              <w:rPr>
                <w:rFonts w:hint="eastAsia" w:hAnsi="宋体" w:cs="宋体"/>
                <w:color w:val="000000"/>
                <w:sz w:val="20"/>
                <w:lang w:bidi="ar"/>
              </w:rPr>
              <w:br w:type="textWrapping"/>
            </w:r>
            <w:r>
              <w:rPr>
                <w:rFonts w:hint="eastAsia" w:hAnsi="宋体" w:cs="宋体"/>
                <w:color w:val="000000"/>
                <w:sz w:val="20"/>
                <w:lang w:bidi="ar"/>
              </w:rPr>
              <w:t>4.互动模式控制</w:t>
            </w:r>
            <w:r>
              <w:rPr>
                <w:rFonts w:hint="eastAsia" w:hAnsi="宋体" w:cs="宋体"/>
                <w:color w:val="000000"/>
                <w:sz w:val="20"/>
                <w:lang w:bidi="ar"/>
              </w:rPr>
              <w:br w:type="textWrapping"/>
            </w:r>
            <w:r>
              <w:rPr>
                <w:rFonts w:hint="eastAsia" w:hAnsi="宋体" w:cs="宋体"/>
                <w:color w:val="000000"/>
                <w:sz w:val="20"/>
                <w:lang w:bidi="ar"/>
              </w:rPr>
              <w:t>1）支持通讯录呼叫功能，读取显示录播主机通讯录，并能够通过通讯录进行快速呼叫；</w:t>
            </w:r>
            <w:r>
              <w:rPr>
                <w:rFonts w:hint="eastAsia" w:hAnsi="宋体" w:cs="宋体"/>
                <w:color w:val="000000"/>
                <w:sz w:val="20"/>
                <w:lang w:bidi="ar"/>
              </w:rPr>
              <w:br w:type="textWrapping"/>
            </w:r>
            <w:r>
              <w:rPr>
                <w:rFonts w:hint="eastAsia" w:hAnsi="宋体" w:cs="宋体"/>
                <w:color w:val="000000"/>
                <w:sz w:val="20"/>
                <w:lang w:bidi="ar"/>
              </w:rPr>
              <w:t>2）支持快速拨号呼叫功能，输入用户短号实现快速呼叫；</w:t>
            </w:r>
            <w:r>
              <w:rPr>
                <w:rFonts w:hint="eastAsia" w:hAnsi="宋体" w:cs="宋体"/>
                <w:color w:val="000000"/>
                <w:sz w:val="20"/>
                <w:lang w:bidi="ar"/>
              </w:rPr>
              <w:br w:type="textWrapping"/>
            </w:r>
            <w:r>
              <w:rPr>
                <w:rFonts w:hint="eastAsia" w:hAnsi="宋体" w:cs="宋体"/>
                <w:color w:val="000000"/>
                <w:sz w:val="20"/>
                <w:lang w:bidi="ar"/>
              </w:rPr>
              <w:t>3）支持通过触控面板实时预览互动信号画面，实现直观互动控制；</w:t>
            </w:r>
            <w:r>
              <w:rPr>
                <w:rFonts w:hint="eastAsia" w:hAnsi="宋体" w:cs="宋体"/>
                <w:color w:val="000000"/>
                <w:sz w:val="20"/>
                <w:lang w:bidi="ar"/>
              </w:rPr>
              <w:br w:type="textWrapping"/>
            </w:r>
            <w:r>
              <w:rPr>
                <w:rFonts w:hint="eastAsia" w:hAnsi="宋体" w:cs="宋体"/>
                <w:color w:val="000000"/>
                <w:sz w:val="20"/>
                <w:lang w:bidi="ar"/>
              </w:rPr>
              <w:t>4）支持互动过程的录制、暂停、直播等操作；</w:t>
            </w:r>
            <w:r>
              <w:rPr>
                <w:rFonts w:hint="eastAsia" w:hAnsi="宋体" w:cs="宋体"/>
                <w:color w:val="000000"/>
                <w:sz w:val="20"/>
                <w:lang w:bidi="ar"/>
              </w:rPr>
              <w:br w:type="textWrapping"/>
            </w:r>
            <w:r>
              <w:rPr>
                <w:rFonts w:hint="eastAsia" w:hAnsi="宋体" w:cs="宋体"/>
                <w:color w:val="000000"/>
                <w:sz w:val="20"/>
                <w:lang w:bidi="ar"/>
              </w:rPr>
              <w:t>5）支持互动过程的自动导播控制、互动导播画面自由选择控制功能；</w:t>
            </w:r>
            <w:r>
              <w:rPr>
                <w:rFonts w:hint="eastAsia" w:hAnsi="宋体" w:cs="宋体"/>
                <w:color w:val="000000"/>
                <w:sz w:val="20"/>
                <w:lang w:bidi="ar"/>
              </w:rPr>
              <w:br w:type="textWrapping"/>
            </w:r>
            <w:r>
              <w:rPr>
                <w:rFonts w:hint="eastAsia" w:hAnsi="宋体" w:cs="宋体"/>
                <w:color w:val="000000"/>
                <w:sz w:val="20"/>
                <w:lang w:bidi="ar"/>
              </w:rPr>
              <w:t>5.录像资源管理控制</w:t>
            </w:r>
            <w:r>
              <w:rPr>
                <w:rFonts w:hint="eastAsia" w:hAnsi="宋体" w:cs="宋体"/>
                <w:color w:val="000000"/>
                <w:sz w:val="20"/>
                <w:lang w:bidi="ar"/>
              </w:rPr>
              <w:br w:type="textWrapping"/>
            </w:r>
            <w:r>
              <w:rPr>
                <w:rFonts w:hint="eastAsia" w:hAnsi="宋体" w:cs="宋体"/>
                <w:color w:val="000000"/>
                <w:sz w:val="20"/>
                <w:lang w:bidi="ar"/>
              </w:rPr>
              <w:t>1）支持录像资源管理，通过导播控制软件直观呈现当前录播主机的录像资源信息，并支持选择相关的录课资源进行回放；</w:t>
            </w:r>
            <w:r>
              <w:rPr>
                <w:rFonts w:hint="eastAsia" w:hAnsi="宋体" w:cs="宋体"/>
                <w:color w:val="000000"/>
                <w:sz w:val="20"/>
                <w:lang w:bidi="ar"/>
              </w:rPr>
              <w:br w:type="textWrapping"/>
            </w:r>
            <w:r>
              <w:rPr>
                <w:rFonts w:hint="eastAsia" w:hAnsi="宋体" w:cs="宋体"/>
                <w:color w:val="000000"/>
                <w:sz w:val="20"/>
                <w:lang w:bidi="ar"/>
              </w:rPr>
              <w:t>2）支持录制资源下载操作，将文件下载至U盘进行移动共享。</w:t>
            </w:r>
          </w:p>
        </w:tc>
        <w:tc>
          <w:tcPr>
            <w:tcW w:w="0" w:type="auto"/>
            <w:shd w:val="clear" w:color="auto" w:fill="auto"/>
            <w:vAlign w:val="center"/>
          </w:tcPr>
          <w:p w14:paraId="301E5F8F">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5BC3286E">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3744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72C0AC00">
            <w:pPr>
              <w:widowControl/>
              <w:spacing w:line="460" w:lineRule="exact"/>
              <w:jc w:val="center"/>
              <w:textAlignment w:val="center"/>
              <w:rPr>
                <w:rFonts w:hAnsi="宋体" w:cs="宋体"/>
                <w:color w:val="000000"/>
                <w:sz w:val="20"/>
              </w:rPr>
            </w:pPr>
            <w:r>
              <w:rPr>
                <w:rFonts w:hint="eastAsia" w:hAnsi="宋体" w:cs="宋体"/>
                <w:color w:val="000000"/>
                <w:sz w:val="20"/>
                <w:lang w:bidi="ar"/>
              </w:rPr>
              <w:t>9</w:t>
            </w:r>
          </w:p>
        </w:tc>
        <w:tc>
          <w:tcPr>
            <w:tcW w:w="0" w:type="auto"/>
            <w:shd w:val="clear" w:color="auto" w:fill="auto"/>
            <w:vAlign w:val="center"/>
          </w:tcPr>
          <w:p w14:paraId="3853F5BF">
            <w:pPr>
              <w:widowControl/>
              <w:spacing w:line="460" w:lineRule="exact"/>
              <w:jc w:val="center"/>
              <w:textAlignment w:val="center"/>
              <w:rPr>
                <w:rFonts w:hAnsi="宋体" w:cs="宋体"/>
                <w:color w:val="000000"/>
                <w:sz w:val="20"/>
              </w:rPr>
            </w:pPr>
            <w:r>
              <w:rPr>
                <w:rFonts w:hint="eastAsia" w:hAnsi="宋体" w:cs="宋体"/>
                <w:color w:val="000000"/>
                <w:sz w:val="20"/>
                <w:lang w:bidi="ar"/>
              </w:rPr>
              <w:t>拾音话筒</w:t>
            </w:r>
          </w:p>
        </w:tc>
        <w:tc>
          <w:tcPr>
            <w:tcW w:w="0" w:type="auto"/>
            <w:shd w:val="clear" w:color="auto" w:fill="auto"/>
            <w:vAlign w:val="center"/>
          </w:tcPr>
          <w:p w14:paraId="57B91B7E">
            <w:pPr>
              <w:widowControl/>
              <w:spacing w:line="460" w:lineRule="exact"/>
              <w:textAlignment w:val="center"/>
              <w:rPr>
                <w:rFonts w:hAnsi="宋体" w:cs="宋体"/>
                <w:color w:val="000000"/>
                <w:sz w:val="20"/>
              </w:rPr>
            </w:pPr>
            <w:r>
              <w:rPr>
                <w:rFonts w:hint="eastAsia" w:hAnsi="宋体" w:cs="宋体"/>
                <w:color w:val="000000"/>
                <w:sz w:val="20"/>
                <w:lang w:bidi="ar"/>
              </w:rPr>
              <w:t>1.指向性：超心型</w:t>
            </w:r>
            <w:r>
              <w:rPr>
                <w:rFonts w:hint="eastAsia" w:hAnsi="宋体" w:cs="宋体"/>
                <w:color w:val="000000"/>
                <w:sz w:val="20"/>
                <w:lang w:bidi="ar"/>
              </w:rPr>
              <w:br w:type="textWrapping"/>
            </w:r>
            <w:r>
              <w:rPr>
                <w:rFonts w:hint="eastAsia" w:hAnsi="宋体" w:cs="宋体"/>
                <w:color w:val="000000"/>
                <w:sz w:val="20"/>
                <w:lang w:bidi="ar"/>
              </w:rPr>
              <w:t>2.频率响应：40Hz—16kHz</w:t>
            </w:r>
            <w:r>
              <w:rPr>
                <w:rFonts w:hint="eastAsia" w:hAnsi="宋体" w:cs="宋体"/>
                <w:color w:val="000000"/>
                <w:sz w:val="20"/>
                <w:lang w:bidi="ar"/>
              </w:rPr>
              <w:br w:type="textWrapping"/>
            </w:r>
            <w:r>
              <w:rPr>
                <w:rFonts w:hint="eastAsia" w:hAnsi="宋体" w:cs="宋体"/>
                <w:color w:val="000000"/>
                <w:sz w:val="20"/>
                <w:lang w:bidi="ar"/>
              </w:rPr>
              <w:t>3.灵敏度≥-7dB±1dB</w:t>
            </w:r>
            <w:r>
              <w:rPr>
                <w:rFonts w:hint="eastAsia" w:hAnsi="宋体" w:cs="宋体"/>
                <w:color w:val="000000"/>
                <w:sz w:val="20"/>
                <w:lang w:bidi="ar"/>
              </w:rPr>
              <w:br w:type="textWrapping"/>
            </w:r>
            <w:r>
              <w:rPr>
                <w:rFonts w:hint="eastAsia" w:hAnsi="宋体" w:cs="宋体"/>
                <w:color w:val="000000"/>
                <w:sz w:val="20"/>
                <w:lang w:bidi="ar"/>
              </w:rPr>
              <w:t>4.最大声压级≥110dB</w:t>
            </w:r>
            <w:r>
              <w:rPr>
                <w:rFonts w:hint="eastAsia" w:hAnsi="宋体" w:cs="宋体"/>
                <w:color w:val="000000"/>
                <w:sz w:val="20"/>
                <w:lang w:bidi="ar"/>
              </w:rPr>
              <w:br w:type="textWrapping"/>
            </w:r>
            <w:r>
              <w:rPr>
                <w:rFonts w:hint="eastAsia" w:hAnsi="宋体" w:cs="宋体"/>
                <w:color w:val="000000"/>
                <w:sz w:val="20"/>
                <w:lang w:bidi="ar"/>
              </w:rPr>
              <w:t>5.信噪比≥62dB</w:t>
            </w:r>
            <w:r>
              <w:rPr>
                <w:rFonts w:hint="eastAsia" w:hAnsi="宋体" w:cs="宋体"/>
                <w:color w:val="000000"/>
                <w:sz w:val="20"/>
                <w:lang w:bidi="ar"/>
              </w:rPr>
              <w:br w:type="textWrapping"/>
            </w:r>
            <w:r>
              <w:rPr>
                <w:rFonts w:hint="eastAsia" w:hAnsi="宋体" w:cs="宋体"/>
                <w:color w:val="000000"/>
                <w:sz w:val="20"/>
                <w:lang w:bidi="ar"/>
              </w:rPr>
              <w:t>6.动态范围≥78.5dB</w:t>
            </w:r>
            <w:r>
              <w:rPr>
                <w:rFonts w:hint="eastAsia" w:hAnsi="宋体" w:cs="宋体"/>
                <w:color w:val="000000"/>
                <w:sz w:val="20"/>
                <w:lang w:bidi="ar"/>
              </w:rPr>
              <w:br w:type="textWrapping"/>
            </w:r>
            <w:r>
              <w:rPr>
                <w:rFonts w:hint="eastAsia" w:hAnsi="宋体" w:cs="宋体"/>
                <w:color w:val="000000"/>
                <w:sz w:val="20"/>
                <w:lang w:bidi="ar"/>
              </w:rPr>
              <w:t>7.使用电源：麦克风一线通供电</w:t>
            </w:r>
            <w:r>
              <w:rPr>
                <w:rFonts w:hint="eastAsia" w:hAnsi="宋体" w:cs="宋体"/>
                <w:color w:val="000000"/>
                <w:sz w:val="20"/>
                <w:lang w:bidi="ar"/>
              </w:rPr>
              <w:br w:type="textWrapping"/>
            </w:r>
            <w:r>
              <w:rPr>
                <w:rFonts w:hint="eastAsia" w:hAnsi="宋体" w:cs="宋体"/>
                <w:color w:val="000000"/>
                <w:sz w:val="20"/>
                <w:lang w:bidi="ar"/>
              </w:rPr>
              <w:t>8.输出接口：RJ45，数字音频接口</w:t>
            </w:r>
          </w:p>
        </w:tc>
        <w:tc>
          <w:tcPr>
            <w:tcW w:w="0" w:type="auto"/>
            <w:shd w:val="clear" w:color="auto" w:fill="auto"/>
            <w:vAlign w:val="center"/>
          </w:tcPr>
          <w:p w14:paraId="1D3DE444">
            <w:pPr>
              <w:widowControl/>
              <w:spacing w:line="460" w:lineRule="exact"/>
              <w:jc w:val="center"/>
              <w:textAlignment w:val="center"/>
              <w:rPr>
                <w:rFonts w:hAnsi="宋体" w:cs="宋体"/>
                <w:color w:val="000000"/>
                <w:sz w:val="20"/>
              </w:rPr>
            </w:pPr>
            <w:r>
              <w:rPr>
                <w:rFonts w:hint="eastAsia" w:hAnsi="宋体" w:cs="宋体"/>
                <w:color w:val="000000"/>
                <w:sz w:val="20"/>
                <w:lang w:bidi="ar"/>
              </w:rPr>
              <w:t>6</w:t>
            </w:r>
          </w:p>
        </w:tc>
        <w:tc>
          <w:tcPr>
            <w:tcW w:w="0" w:type="auto"/>
            <w:shd w:val="clear" w:color="auto" w:fill="auto"/>
            <w:vAlign w:val="center"/>
          </w:tcPr>
          <w:p w14:paraId="5E2C4EBC">
            <w:pPr>
              <w:widowControl/>
              <w:spacing w:line="460" w:lineRule="exact"/>
              <w:jc w:val="center"/>
              <w:textAlignment w:val="center"/>
              <w:rPr>
                <w:rFonts w:hAnsi="宋体" w:cs="宋体"/>
                <w:color w:val="000000"/>
                <w:sz w:val="20"/>
              </w:rPr>
            </w:pPr>
            <w:r>
              <w:rPr>
                <w:rFonts w:hint="eastAsia" w:hAnsi="宋体" w:cs="宋体"/>
                <w:color w:val="000000"/>
                <w:sz w:val="20"/>
                <w:lang w:bidi="ar"/>
              </w:rPr>
              <w:t>支</w:t>
            </w:r>
          </w:p>
        </w:tc>
      </w:tr>
      <w:tr w14:paraId="186F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74AAAD1D">
            <w:pPr>
              <w:widowControl/>
              <w:spacing w:line="460" w:lineRule="exact"/>
              <w:jc w:val="center"/>
              <w:textAlignment w:val="center"/>
              <w:rPr>
                <w:rFonts w:hAnsi="宋体" w:cs="宋体"/>
                <w:color w:val="000000"/>
                <w:sz w:val="20"/>
              </w:rPr>
            </w:pPr>
            <w:r>
              <w:rPr>
                <w:rFonts w:hint="eastAsia" w:hAnsi="宋体" w:cs="宋体"/>
                <w:color w:val="000000"/>
                <w:sz w:val="20"/>
                <w:lang w:bidi="ar"/>
              </w:rPr>
              <w:t>10</w:t>
            </w:r>
          </w:p>
        </w:tc>
        <w:tc>
          <w:tcPr>
            <w:tcW w:w="0" w:type="auto"/>
            <w:shd w:val="clear" w:color="auto" w:fill="auto"/>
            <w:vAlign w:val="center"/>
          </w:tcPr>
          <w:p w14:paraId="74E3EA13">
            <w:pPr>
              <w:widowControl/>
              <w:spacing w:line="460" w:lineRule="exact"/>
              <w:jc w:val="center"/>
              <w:textAlignment w:val="center"/>
              <w:rPr>
                <w:rFonts w:hAnsi="宋体" w:cs="宋体"/>
                <w:color w:val="000000"/>
                <w:sz w:val="20"/>
              </w:rPr>
            </w:pPr>
            <w:r>
              <w:rPr>
                <w:rFonts w:hint="eastAsia" w:hAnsi="宋体" w:cs="宋体"/>
                <w:color w:val="000000"/>
                <w:sz w:val="20"/>
                <w:lang w:bidi="ar"/>
              </w:rPr>
              <w:t>电源管理器</w:t>
            </w:r>
          </w:p>
        </w:tc>
        <w:tc>
          <w:tcPr>
            <w:tcW w:w="0" w:type="auto"/>
            <w:shd w:val="clear" w:color="auto" w:fill="auto"/>
          </w:tcPr>
          <w:p w14:paraId="1EF63E93">
            <w:pPr>
              <w:widowControl/>
              <w:spacing w:line="460" w:lineRule="exact"/>
              <w:textAlignment w:val="top"/>
              <w:rPr>
                <w:rFonts w:hAnsi="宋体" w:cs="宋体"/>
                <w:color w:val="000000"/>
                <w:sz w:val="20"/>
              </w:rPr>
            </w:pPr>
            <w:r>
              <w:rPr>
                <w:rFonts w:hint="eastAsia" w:hAnsi="宋体" w:cs="宋体"/>
                <w:color w:val="000000"/>
                <w:sz w:val="20"/>
                <w:lang w:bidi="ar"/>
              </w:rPr>
              <w:t xml:space="preserve">1.支持≥6路电源管理； </w:t>
            </w:r>
            <w:r>
              <w:rPr>
                <w:rFonts w:hint="eastAsia" w:hAnsi="宋体" w:cs="宋体"/>
                <w:color w:val="000000"/>
                <w:sz w:val="20"/>
                <w:lang w:bidi="ar"/>
              </w:rPr>
              <w:br w:type="textWrapping"/>
            </w:r>
            <w:r>
              <w:rPr>
                <w:rFonts w:hint="eastAsia" w:hAnsi="宋体" w:cs="宋体"/>
                <w:color w:val="000000"/>
                <w:sz w:val="20"/>
                <w:lang w:bidi="ar"/>
              </w:rPr>
              <w:t>2.支持对录播系统控制功能，实现通过录制面板一键启动录播系统相关设备的电源；</w:t>
            </w:r>
            <w:r>
              <w:rPr>
                <w:rFonts w:hint="eastAsia" w:hAnsi="宋体" w:cs="宋体"/>
                <w:color w:val="000000"/>
                <w:sz w:val="20"/>
                <w:lang w:bidi="ar"/>
              </w:rPr>
              <w:br w:type="textWrapping"/>
            </w:r>
            <w:r>
              <w:rPr>
                <w:rFonts w:hint="eastAsia" w:hAnsi="宋体" w:cs="宋体"/>
                <w:color w:val="000000"/>
                <w:sz w:val="20"/>
                <w:lang w:bidi="ar"/>
              </w:rPr>
              <w:t>3.支持时序电源控制功能，每路延迟一秒，可编程控制；</w:t>
            </w:r>
            <w:r>
              <w:rPr>
                <w:rFonts w:hint="eastAsia" w:hAnsi="宋体" w:cs="宋体"/>
                <w:color w:val="000000"/>
                <w:sz w:val="20"/>
                <w:lang w:bidi="ar"/>
              </w:rPr>
              <w:br w:type="textWrapping"/>
            </w:r>
            <w:r>
              <w:rPr>
                <w:rFonts w:hint="eastAsia" w:hAnsi="宋体" w:cs="宋体"/>
                <w:color w:val="000000"/>
                <w:sz w:val="20"/>
                <w:lang w:bidi="ar"/>
              </w:rPr>
              <w:t>4.具备内置光电隔离模块，保障负载运行安全；</w:t>
            </w:r>
            <w:r>
              <w:rPr>
                <w:rFonts w:hint="eastAsia" w:hAnsi="宋体" w:cs="宋体"/>
                <w:color w:val="000000"/>
                <w:sz w:val="20"/>
                <w:lang w:bidi="ar"/>
              </w:rPr>
              <w:br w:type="textWrapping"/>
            </w:r>
            <w:r>
              <w:rPr>
                <w:rFonts w:hint="eastAsia" w:hAnsi="宋体" w:cs="宋体"/>
                <w:color w:val="000000"/>
                <w:sz w:val="20"/>
                <w:lang w:bidi="ar"/>
              </w:rPr>
              <w:t>5.支持提供1路最大电流不低于10A的电源输出接口；</w:t>
            </w:r>
            <w:r>
              <w:rPr>
                <w:rFonts w:hint="eastAsia" w:hAnsi="宋体" w:cs="宋体"/>
                <w:color w:val="000000"/>
                <w:sz w:val="20"/>
                <w:lang w:bidi="ar"/>
              </w:rPr>
              <w:br w:type="textWrapping"/>
            </w:r>
            <w:r>
              <w:rPr>
                <w:rFonts w:hint="eastAsia" w:hAnsi="宋体" w:cs="宋体"/>
                <w:color w:val="000000"/>
                <w:sz w:val="20"/>
                <w:lang w:bidi="ar"/>
              </w:rPr>
              <w:t>6.支持RS-485/RS-422/RS-232 等控制协议。</w:t>
            </w:r>
          </w:p>
        </w:tc>
        <w:tc>
          <w:tcPr>
            <w:tcW w:w="0" w:type="auto"/>
            <w:shd w:val="clear" w:color="auto" w:fill="auto"/>
            <w:vAlign w:val="center"/>
          </w:tcPr>
          <w:p w14:paraId="1EBE3148">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000E2B40">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13EB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59E1D906">
            <w:pPr>
              <w:widowControl/>
              <w:spacing w:line="460" w:lineRule="exact"/>
              <w:jc w:val="center"/>
              <w:textAlignment w:val="center"/>
              <w:rPr>
                <w:rFonts w:hAnsi="宋体" w:cs="宋体"/>
                <w:color w:val="000000"/>
                <w:sz w:val="20"/>
              </w:rPr>
            </w:pPr>
            <w:r>
              <w:rPr>
                <w:rFonts w:hint="eastAsia" w:hAnsi="宋体" w:cs="宋体"/>
                <w:color w:val="000000"/>
                <w:sz w:val="20"/>
                <w:lang w:bidi="ar"/>
              </w:rPr>
              <w:t>11</w:t>
            </w:r>
          </w:p>
        </w:tc>
        <w:tc>
          <w:tcPr>
            <w:tcW w:w="0" w:type="auto"/>
            <w:shd w:val="clear" w:color="auto" w:fill="auto"/>
            <w:vAlign w:val="center"/>
          </w:tcPr>
          <w:p w14:paraId="3CFC21F5">
            <w:pPr>
              <w:widowControl/>
              <w:spacing w:line="460" w:lineRule="exact"/>
              <w:jc w:val="center"/>
              <w:textAlignment w:val="center"/>
              <w:rPr>
                <w:rFonts w:hAnsi="宋体" w:cs="宋体"/>
                <w:color w:val="000000"/>
                <w:sz w:val="20"/>
              </w:rPr>
            </w:pPr>
            <w:r>
              <w:rPr>
                <w:rFonts w:hint="eastAsia" w:hAnsi="宋体" w:cs="宋体"/>
                <w:color w:val="000000"/>
                <w:sz w:val="20"/>
                <w:lang w:bidi="ar"/>
              </w:rPr>
              <w:t>一拖二无线麦克风（1手1头戴）</w:t>
            </w:r>
          </w:p>
        </w:tc>
        <w:tc>
          <w:tcPr>
            <w:tcW w:w="0" w:type="auto"/>
            <w:shd w:val="clear" w:color="auto" w:fill="auto"/>
            <w:vAlign w:val="center"/>
          </w:tcPr>
          <w:p w14:paraId="008C3105">
            <w:pPr>
              <w:widowControl/>
              <w:spacing w:line="460" w:lineRule="exact"/>
              <w:textAlignment w:val="center"/>
              <w:rPr>
                <w:rFonts w:hAnsi="宋体" w:cs="宋体"/>
                <w:color w:val="000000"/>
                <w:sz w:val="20"/>
              </w:rPr>
            </w:pPr>
            <w:r>
              <w:rPr>
                <w:rFonts w:hint="eastAsia" w:hAnsi="宋体" w:cs="宋体"/>
                <w:color w:val="000000"/>
                <w:sz w:val="20"/>
                <w:lang w:bidi="ar"/>
              </w:rPr>
              <w:t>1.第1-4组预设16个互不干扰频率，第5－8预设24个互不干扰频率，</w:t>
            </w:r>
            <w:r>
              <w:rPr>
                <w:rFonts w:hint="eastAsia" w:hAnsi="宋体" w:cs="宋体"/>
                <w:color w:val="000000"/>
                <w:sz w:val="20"/>
                <w:lang w:bidi="ar"/>
              </w:rPr>
              <w:br w:type="textWrapping"/>
            </w:r>
            <w:r>
              <w:rPr>
                <w:rFonts w:hint="eastAsia" w:hAnsi="宋体" w:cs="宋体"/>
                <w:color w:val="000000"/>
                <w:sz w:val="20"/>
                <w:lang w:bidi="ar"/>
              </w:rPr>
              <w:t xml:space="preserve">2.自定义组，最多可提供2000频率供客户选择使用。 </w:t>
            </w:r>
            <w:r>
              <w:rPr>
                <w:rFonts w:hint="eastAsia" w:hAnsi="宋体" w:cs="宋体"/>
                <w:color w:val="000000"/>
                <w:sz w:val="20"/>
                <w:lang w:bidi="ar"/>
              </w:rPr>
              <w:br w:type="textWrapping"/>
            </w:r>
            <w:r>
              <w:rPr>
                <w:rFonts w:hint="eastAsia" w:hAnsi="宋体" w:cs="宋体"/>
                <w:color w:val="000000"/>
                <w:sz w:val="20"/>
                <w:lang w:bidi="ar"/>
              </w:rPr>
              <w:t>3.LED段码显示器，可同时显示群组、频率、电池电量、静音位准、电子音量等相关信息；LED灯柱显示RF/AF强度 。</w:t>
            </w:r>
            <w:r>
              <w:rPr>
                <w:rFonts w:hint="eastAsia" w:hAnsi="宋体" w:cs="宋体"/>
                <w:color w:val="000000"/>
                <w:sz w:val="20"/>
                <w:lang w:bidi="ar"/>
              </w:rPr>
              <w:br w:type="textWrapping"/>
            </w:r>
            <w:r>
              <w:rPr>
                <w:rFonts w:hint="eastAsia" w:hAnsi="宋体" w:cs="宋体"/>
                <w:color w:val="000000"/>
                <w:sz w:val="20"/>
                <w:lang w:bidi="ar"/>
              </w:rPr>
              <w:t>4.天线接口采用50</w:t>
            </w:r>
            <w:r>
              <w:rPr>
                <w:rFonts w:ascii="Calibri" w:hAnsi="Calibri" w:cs="Calibri"/>
                <w:color w:val="000000"/>
                <w:sz w:val="20"/>
                <w:lang w:bidi="ar"/>
              </w:rPr>
              <w:t>Ω</w:t>
            </w:r>
            <w:r>
              <w:rPr>
                <w:rFonts w:hint="eastAsia" w:hAnsi="宋体" w:cs="宋体"/>
                <w:color w:val="000000"/>
                <w:sz w:val="20"/>
                <w:lang w:bidi="ar"/>
              </w:rPr>
              <w:t>/TNC，保持天线可靠连接的同时。并支持天线环路输出，支持8套射频级联。</w:t>
            </w:r>
            <w:r>
              <w:rPr>
                <w:rFonts w:hint="eastAsia" w:hAnsi="宋体" w:cs="宋体"/>
                <w:color w:val="000000"/>
                <w:sz w:val="20"/>
                <w:lang w:bidi="ar"/>
              </w:rPr>
              <w:br w:type="textWrapping"/>
            </w:r>
            <w:r>
              <w:rPr>
                <w:rFonts w:hint="eastAsia" w:hAnsi="宋体" w:cs="宋体"/>
                <w:color w:val="000000"/>
                <w:sz w:val="20"/>
                <w:lang w:bidi="ar"/>
              </w:rPr>
              <w:t xml:space="preserve">5.各频道可单独或混合输出，可切换两段输出的音量，具高音量动态范围、高传真特性。 </w:t>
            </w:r>
            <w:r>
              <w:rPr>
                <w:rFonts w:hint="eastAsia" w:hAnsi="宋体" w:cs="宋体"/>
                <w:color w:val="000000"/>
                <w:sz w:val="20"/>
                <w:lang w:bidi="ar"/>
              </w:rPr>
              <w:br w:type="textWrapping"/>
            </w:r>
            <w:r>
              <w:rPr>
                <w:rFonts w:hint="eastAsia" w:hAnsi="宋体" w:cs="宋体"/>
                <w:color w:val="000000"/>
                <w:sz w:val="20"/>
                <w:lang w:bidi="ar"/>
              </w:rPr>
              <w:t>6.载波频段：530-690MHz  单机频道数量：2000个</w:t>
            </w:r>
            <w:r>
              <w:rPr>
                <w:rFonts w:hint="eastAsia" w:hAnsi="宋体" w:cs="宋体"/>
                <w:color w:val="000000"/>
                <w:sz w:val="20"/>
                <w:lang w:bidi="ar"/>
              </w:rPr>
              <w:br w:type="textWrapping"/>
            </w:r>
            <w:r>
              <w:rPr>
                <w:rFonts w:hint="eastAsia" w:hAnsi="宋体" w:cs="宋体"/>
                <w:color w:val="000000"/>
                <w:sz w:val="20"/>
                <w:lang w:bidi="ar"/>
              </w:rPr>
              <w:t>7.综合S/N比：&gt;100dB(A)  综合T.H.D.：&lt;0.5%@1kHz</w:t>
            </w:r>
            <w:r>
              <w:rPr>
                <w:rFonts w:hint="eastAsia" w:hAnsi="宋体" w:cs="宋体"/>
                <w:color w:val="000000"/>
                <w:sz w:val="20"/>
                <w:lang w:bidi="ar"/>
              </w:rPr>
              <w:br w:type="textWrapping"/>
            </w:r>
            <w:r>
              <w:rPr>
                <w:rFonts w:hint="eastAsia" w:hAnsi="宋体" w:cs="宋体"/>
                <w:color w:val="000000"/>
                <w:sz w:val="20"/>
                <w:lang w:bidi="ar"/>
              </w:rPr>
              <w:t>8.综合频率响应：80Hz-16kHz，具低频衰减滤频电路</w:t>
            </w:r>
            <w:r>
              <w:rPr>
                <w:rFonts w:hint="eastAsia" w:hAnsi="宋体" w:cs="宋体"/>
                <w:color w:val="000000"/>
                <w:sz w:val="20"/>
                <w:lang w:bidi="ar"/>
              </w:rPr>
              <w:br w:type="textWrapping"/>
            </w:r>
            <w:r>
              <w:rPr>
                <w:rFonts w:hint="eastAsia" w:hAnsi="宋体" w:cs="宋体"/>
                <w:color w:val="000000"/>
                <w:sz w:val="20"/>
                <w:lang w:bidi="ar"/>
              </w:rPr>
              <w:t>9.静音控制模式：数字导音，杂音锁定双重控制，SQ值 7-45 dBuV可调节</w:t>
            </w:r>
            <w:r>
              <w:rPr>
                <w:rFonts w:hint="eastAsia" w:hAnsi="宋体" w:cs="宋体"/>
                <w:color w:val="000000"/>
                <w:sz w:val="20"/>
                <w:lang w:bidi="ar"/>
              </w:rPr>
              <w:br w:type="textWrapping"/>
            </w:r>
            <w:r>
              <w:rPr>
                <w:rFonts w:hint="eastAsia" w:hAnsi="宋体" w:cs="宋体"/>
                <w:color w:val="000000"/>
                <w:sz w:val="20"/>
                <w:lang w:bidi="ar"/>
              </w:rPr>
              <w:t>10.内置AC电源板，支持AC电源环路输出（提供环出接口截图盖章）</w:t>
            </w:r>
            <w:r>
              <w:rPr>
                <w:rFonts w:hint="eastAsia" w:hAnsi="宋体" w:cs="宋体"/>
                <w:color w:val="000000"/>
                <w:sz w:val="20"/>
                <w:lang w:bidi="ar"/>
              </w:rPr>
              <w:br w:type="textWrapping"/>
            </w:r>
            <w:r>
              <w:rPr>
                <w:rFonts w:hint="eastAsia" w:hAnsi="宋体" w:cs="宋体"/>
                <w:color w:val="000000"/>
                <w:sz w:val="20"/>
                <w:lang w:bidi="ar"/>
              </w:rPr>
              <w:t>11.提供国内检测机构出具的带产品指向性频响曲线和最大声压级的检测报告，检测机构须通过“CMA”、“CNAS”认证资格并加盖章印。注：检测报告需对应投标产品参数（提供原件扫描件，加盖公章。）</w:t>
            </w:r>
          </w:p>
        </w:tc>
        <w:tc>
          <w:tcPr>
            <w:tcW w:w="0" w:type="auto"/>
            <w:shd w:val="clear" w:color="auto" w:fill="auto"/>
            <w:vAlign w:val="center"/>
          </w:tcPr>
          <w:p w14:paraId="3E9E86DF">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4AA211AB">
            <w:pPr>
              <w:widowControl/>
              <w:spacing w:line="460" w:lineRule="exact"/>
              <w:jc w:val="center"/>
              <w:textAlignment w:val="center"/>
              <w:rPr>
                <w:rFonts w:hAnsi="宋体" w:cs="宋体"/>
                <w:color w:val="000000"/>
                <w:sz w:val="20"/>
              </w:rPr>
            </w:pPr>
            <w:r>
              <w:rPr>
                <w:rFonts w:hint="eastAsia" w:hAnsi="宋体" w:cs="宋体"/>
                <w:color w:val="000000"/>
                <w:sz w:val="20"/>
                <w:lang w:bidi="ar"/>
              </w:rPr>
              <w:t>套</w:t>
            </w:r>
          </w:p>
        </w:tc>
      </w:tr>
      <w:tr w14:paraId="24E6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4A965DAE">
            <w:pPr>
              <w:widowControl/>
              <w:spacing w:line="460" w:lineRule="exact"/>
              <w:jc w:val="center"/>
              <w:textAlignment w:val="center"/>
              <w:rPr>
                <w:rFonts w:hAnsi="宋体" w:cs="宋体"/>
                <w:color w:val="000000"/>
                <w:sz w:val="20"/>
              </w:rPr>
            </w:pPr>
            <w:r>
              <w:rPr>
                <w:rFonts w:hint="eastAsia" w:hAnsi="宋体" w:cs="宋体"/>
                <w:color w:val="000000"/>
                <w:sz w:val="20"/>
                <w:lang w:bidi="ar"/>
              </w:rPr>
              <w:t>12</w:t>
            </w:r>
          </w:p>
        </w:tc>
        <w:tc>
          <w:tcPr>
            <w:tcW w:w="0" w:type="auto"/>
            <w:shd w:val="clear" w:color="auto" w:fill="auto"/>
            <w:vAlign w:val="center"/>
          </w:tcPr>
          <w:p w14:paraId="11B15510">
            <w:pPr>
              <w:widowControl/>
              <w:spacing w:line="460" w:lineRule="exact"/>
              <w:jc w:val="center"/>
              <w:textAlignment w:val="center"/>
              <w:rPr>
                <w:rFonts w:hAnsi="宋体" w:cs="宋体"/>
                <w:color w:val="000000"/>
                <w:sz w:val="20"/>
              </w:rPr>
            </w:pPr>
            <w:r>
              <w:rPr>
                <w:rFonts w:hint="eastAsia" w:hAnsi="宋体" w:cs="宋体"/>
                <w:color w:val="000000"/>
                <w:sz w:val="20"/>
                <w:lang w:bidi="ar"/>
              </w:rPr>
              <w:t>观摩室麦克风</w:t>
            </w:r>
          </w:p>
        </w:tc>
        <w:tc>
          <w:tcPr>
            <w:tcW w:w="0" w:type="auto"/>
            <w:shd w:val="clear" w:color="auto" w:fill="auto"/>
            <w:vAlign w:val="center"/>
          </w:tcPr>
          <w:p w14:paraId="1F26AEAD">
            <w:pPr>
              <w:widowControl/>
              <w:spacing w:line="460" w:lineRule="exact"/>
              <w:textAlignment w:val="center"/>
              <w:rPr>
                <w:rFonts w:hAnsi="宋体" w:cs="宋体"/>
                <w:color w:val="000000"/>
                <w:sz w:val="20"/>
              </w:rPr>
            </w:pPr>
            <w:r>
              <w:rPr>
                <w:rFonts w:hint="eastAsia" w:hAnsi="宋体" w:cs="宋体"/>
                <w:color w:val="000000"/>
                <w:sz w:val="20"/>
                <w:lang w:bidi="ar"/>
              </w:rPr>
              <w:t>1、抗RF射频干扰能力强，减少手机等信号影响；</w:t>
            </w:r>
            <w:r>
              <w:rPr>
                <w:rFonts w:hint="eastAsia" w:hAnsi="宋体" w:cs="宋体"/>
                <w:color w:val="000000"/>
                <w:sz w:val="20"/>
                <w:lang w:bidi="ar"/>
              </w:rPr>
              <w:br w:type="textWrapping"/>
            </w:r>
            <w:r>
              <w:rPr>
                <w:rFonts w:hint="eastAsia" w:hAnsi="宋体" w:cs="宋体"/>
                <w:color w:val="000000"/>
                <w:sz w:val="20"/>
                <w:lang w:bidi="ar"/>
              </w:rPr>
              <w:t>2、音质清晰自然，灵敏度高，拾音距离佳，品质卓越；</w:t>
            </w:r>
            <w:r>
              <w:rPr>
                <w:rFonts w:hint="eastAsia" w:hAnsi="宋体" w:cs="宋体"/>
                <w:color w:val="000000"/>
                <w:sz w:val="20"/>
                <w:lang w:bidi="ar"/>
              </w:rPr>
              <w:br w:type="textWrapping"/>
            </w:r>
            <w:r>
              <w:rPr>
                <w:rFonts w:hint="eastAsia" w:hAnsi="宋体" w:cs="宋体"/>
                <w:color w:val="000000"/>
                <w:sz w:val="20"/>
                <w:lang w:bidi="ar"/>
              </w:rPr>
              <w:t>3、咪杆与底座采用旋转式卡侬连接，避免连接器接触噪声；</w:t>
            </w:r>
            <w:r>
              <w:rPr>
                <w:rFonts w:hint="eastAsia" w:hAnsi="宋体" w:cs="宋体"/>
                <w:color w:val="000000"/>
                <w:sz w:val="20"/>
                <w:lang w:bidi="ar"/>
              </w:rPr>
              <w:br w:type="textWrapping"/>
            </w:r>
            <w:r>
              <w:rPr>
                <w:rFonts w:hint="eastAsia" w:hAnsi="宋体" w:cs="宋体"/>
                <w:color w:val="000000"/>
                <w:sz w:val="20"/>
                <w:lang w:bidi="ar"/>
              </w:rPr>
              <w:t>4、适于各种会议室、演讲扩声之用。</w:t>
            </w:r>
            <w:r>
              <w:rPr>
                <w:rFonts w:hint="eastAsia" w:hAnsi="宋体" w:cs="宋体"/>
                <w:color w:val="000000"/>
                <w:sz w:val="20"/>
                <w:lang w:bidi="ar"/>
              </w:rPr>
              <w:br w:type="textWrapping"/>
            </w:r>
            <w:r>
              <w:rPr>
                <w:rFonts w:hint="eastAsia" w:hAnsi="宋体" w:cs="宋体"/>
                <w:color w:val="000000"/>
                <w:sz w:val="20"/>
                <w:lang w:bidi="ar"/>
              </w:rPr>
              <w:t>技术参数：</w:t>
            </w:r>
            <w:r>
              <w:rPr>
                <w:rFonts w:hint="eastAsia" w:hAnsi="宋体" w:cs="宋体"/>
                <w:color w:val="000000"/>
                <w:sz w:val="20"/>
                <w:lang w:bidi="ar"/>
              </w:rPr>
              <w:br w:type="textWrapping"/>
            </w:r>
            <w:r>
              <w:rPr>
                <w:rFonts w:hint="eastAsia" w:hAnsi="宋体" w:cs="宋体"/>
                <w:color w:val="000000"/>
                <w:sz w:val="20"/>
                <w:lang w:bidi="ar"/>
              </w:rPr>
              <w:t>换能方式：电容式；</w:t>
            </w:r>
            <w:r>
              <w:rPr>
                <w:rFonts w:hint="eastAsia" w:hAnsi="宋体" w:cs="宋体"/>
                <w:color w:val="000000"/>
                <w:sz w:val="20"/>
                <w:lang w:bidi="ar"/>
              </w:rPr>
              <w:br w:type="textWrapping"/>
            </w:r>
            <w:r>
              <w:rPr>
                <w:rFonts w:hint="eastAsia" w:hAnsi="宋体" w:cs="宋体"/>
                <w:color w:val="000000"/>
                <w:sz w:val="20"/>
                <w:lang w:bidi="ar"/>
              </w:rPr>
              <w:t>频率响应：  70Hz-12KHz</w:t>
            </w:r>
            <w:r>
              <w:rPr>
                <w:rFonts w:hint="eastAsia" w:hAnsi="宋体" w:cs="宋体"/>
                <w:color w:val="000000"/>
                <w:sz w:val="20"/>
                <w:lang w:bidi="ar"/>
              </w:rPr>
              <w:br w:type="textWrapping"/>
            </w:r>
            <w:r>
              <w:rPr>
                <w:rFonts w:hint="eastAsia" w:hAnsi="宋体" w:cs="宋体"/>
                <w:color w:val="000000"/>
                <w:sz w:val="20"/>
                <w:lang w:bidi="ar"/>
              </w:rPr>
              <w:t>灵敏度：-29dB±3 dB（@1KHz，0 dB=1v/Pa）</w:t>
            </w:r>
            <w:r>
              <w:rPr>
                <w:rFonts w:hint="eastAsia" w:hAnsi="宋体" w:cs="宋体"/>
                <w:color w:val="000000"/>
                <w:sz w:val="20"/>
                <w:lang w:bidi="ar"/>
              </w:rPr>
              <w:br w:type="textWrapping"/>
            </w:r>
            <w:r>
              <w:rPr>
                <w:rFonts w:hint="eastAsia" w:hAnsi="宋体" w:cs="宋体"/>
                <w:color w:val="000000"/>
                <w:sz w:val="20"/>
                <w:lang w:bidi="ar"/>
              </w:rPr>
              <w:t>指向性： 心形单指向</w:t>
            </w:r>
            <w:r>
              <w:rPr>
                <w:rFonts w:hint="eastAsia" w:hAnsi="宋体" w:cs="宋体"/>
                <w:color w:val="000000"/>
                <w:sz w:val="20"/>
                <w:lang w:bidi="ar"/>
              </w:rPr>
              <w:br w:type="textWrapping"/>
            </w:r>
            <w:r>
              <w:rPr>
                <w:rFonts w:hint="eastAsia" w:hAnsi="宋体" w:cs="宋体"/>
                <w:color w:val="000000"/>
                <w:sz w:val="20"/>
                <w:lang w:bidi="ar"/>
              </w:rPr>
              <w:t>最大声压级：≥ 114 dB (THD 1%@1KHz)</w:t>
            </w:r>
            <w:r>
              <w:rPr>
                <w:rFonts w:hint="eastAsia" w:hAnsi="宋体" w:cs="宋体"/>
                <w:color w:val="000000"/>
                <w:sz w:val="20"/>
                <w:lang w:bidi="ar"/>
              </w:rPr>
              <w:br w:type="textWrapping"/>
            </w:r>
            <w:r>
              <w:rPr>
                <w:rFonts w:hint="eastAsia" w:hAnsi="宋体" w:cs="宋体"/>
                <w:color w:val="000000"/>
                <w:sz w:val="20"/>
                <w:lang w:bidi="ar"/>
              </w:rPr>
              <w:t>供电:  两节五号（AA）电池或幻像48V</w:t>
            </w:r>
            <w:r>
              <w:rPr>
                <w:rFonts w:hint="eastAsia" w:hAnsi="宋体" w:cs="宋体"/>
                <w:color w:val="000000"/>
                <w:sz w:val="20"/>
                <w:lang w:bidi="ar"/>
              </w:rPr>
              <w:br w:type="textWrapping"/>
            </w:r>
            <w:r>
              <w:rPr>
                <w:rFonts w:hint="eastAsia" w:hAnsi="宋体" w:cs="宋体"/>
                <w:color w:val="000000"/>
                <w:sz w:val="20"/>
                <w:lang w:bidi="ar"/>
              </w:rPr>
              <w:t>底座尺寸：145×116×43mm，咪管长度：400mm</w:t>
            </w:r>
          </w:p>
        </w:tc>
        <w:tc>
          <w:tcPr>
            <w:tcW w:w="0" w:type="auto"/>
            <w:shd w:val="clear" w:color="auto" w:fill="auto"/>
            <w:vAlign w:val="center"/>
          </w:tcPr>
          <w:p w14:paraId="1D53BB80">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4FD3A07A">
            <w:pPr>
              <w:widowControl/>
              <w:spacing w:line="460" w:lineRule="exact"/>
              <w:jc w:val="center"/>
              <w:textAlignment w:val="center"/>
              <w:rPr>
                <w:rFonts w:hint="eastAsia" w:hAnsi="宋体" w:eastAsia="宋体" w:cs="宋体"/>
                <w:color w:val="000000"/>
                <w:sz w:val="20"/>
                <w:lang w:eastAsia="zh-CN"/>
              </w:rPr>
            </w:pPr>
            <w:r>
              <w:rPr>
                <w:rFonts w:hint="eastAsia" w:hAnsi="宋体" w:cs="宋体"/>
                <w:color w:val="000000"/>
                <w:sz w:val="20"/>
                <w:lang w:val="en-US" w:eastAsia="zh-CN" w:bidi="ar"/>
              </w:rPr>
              <w:t>套</w:t>
            </w:r>
          </w:p>
        </w:tc>
      </w:tr>
      <w:tr w14:paraId="06C4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35E519E1">
            <w:pPr>
              <w:widowControl/>
              <w:spacing w:line="460" w:lineRule="exact"/>
              <w:jc w:val="center"/>
              <w:textAlignment w:val="center"/>
              <w:rPr>
                <w:rFonts w:hAnsi="宋体" w:cs="宋体"/>
                <w:color w:val="000000"/>
                <w:sz w:val="20"/>
              </w:rPr>
            </w:pPr>
            <w:r>
              <w:rPr>
                <w:rFonts w:hint="eastAsia" w:hAnsi="宋体" w:cs="宋体"/>
                <w:color w:val="000000"/>
                <w:sz w:val="20"/>
                <w:lang w:bidi="ar"/>
              </w:rPr>
              <w:t>13</w:t>
            </w:r>
          </w:p>
        </w:tc>
        <w:tc>
          <w:tcPr>
            <w:tcW w:w="0" w:type="auto"/>
            <w:shd w:val="clear" w:color="auto" w:fill="auto"/>
            <w:vAlign w:val="center"/>
          </w:tcPr>
          <w:p w14:paraId="0407F62E">
            <w:pPr>
              <w:widowControl/>
              <w:spacing w:line="460" w:lineRule="exact"/>
              <w:jc w:val="center"/>
              <w:textAlignment w:val="center"/>
              <w:rPr>
                <w:rFonts w:hAnsi="宋体" w:cs="宋体"/>
                <w:color w:val="000000"/>
                <w:sz w:val="20"/>
              </w:rPr>
            </w:pPr>
            <w:r>
              <w:rPr>
                <w:rFonts w:hint="eastAsia" w:hAnsi="宋体" w:cs="宋体"/>
                <w:color w:val="000000"/>
                <w:sz w:val="20"/>
                <w:lang w:bidi="ar"/>
              </w:rPr>
              <w:t>音频处理器</w:t>
            </w:r>
          </w:p>
        </w:tc>
        <w:tc>
          <w:tcPr>
            <w:tcW w:w="0" w:type="auto"/>
            <w:shd w:val="clear" w:color="auto" w:fill="auto"/>
          </w:tcPr>
          <w:p w14:paraId="5C7870B7">
            <w:pPr>
              <w:widowControl/>
              <w:spacing w:line="460" w:lineRule="exact"/>
              <w:textAlignment w:val="top"/>
              <w:rPr>
                <w:rFonts w:hAnsi="宋体" w:cs="宋体"/>
                <w:color w:val="000000"/>
                <w:sz w:val="20"/>
              </w:rPr>
            </w:pPr>
            <w:r>
              <w:rPr>
                <w:rFonts w:hint="eastAsia" w:hAnsi="宋体" w:cs="宋体"/>
                <w:color w:val="000000"/>
                <w:sz w:val="20"/>
                <w:lang w:bidi="ar"/>
              </w:rPr>
              <w:t>1.采用高速DSP处理芯片。支持全功能矩阵混音功能。</w:t>
            </w:r>
            <w:r>
              <w:rPr>
                <w:rFonts w:hint="eastAsia" w:hAnsi="宋体" w:cs="宋体"/>
                <w:color w:val="000000"/>
                <w:sz w:val="20"/>
                <w:lang w:bidi="ar"/>
              </w:rPr>
              <w:br w:type="textWrapping"/>
            </w:r>
            <w:r>
              <w:rPr>
                <w:rFonts w:hint="eastAsia" w:hAnsi="宋体" w:cs="宋体"/>
                <w:color w:val="000000"/>
                <w:sz w:val="20"/>
                <w:lang w:bidi="ar"/>
              </w:rPr>
              <w:t>2.内置功放功能，支持直接对接无源扬声器进行扩音，无需额外另配功放设备。</w:t>
            </w:r>
            <w:r>
              <w:rPr>
                <w:rFonts w:hint="eastAsia" w:hAnsi="宋体" w:cs="宋体"/>
                <w:color w:val="000000"/>
                <w:sz w:val="20"/>
                <w:lang w:bidi="ar"/>
              </w:rPr>
              <w:br w:type="textWrapping"/>
            </w:r>
            <w:r>
              <w:rPr>
                <w:rFonts w:hint="eastAsia" w:hAnsi="宋体" w:cs="宋体"/>
                <w:color w:val="000000"/>
                <w:sz w:val="20"/>
                <w:lang w:bidi="ar"/>
              </w:rPr>
              <w:t>3.至少支持4路模拟输入+1路立体声输入+2路无线输入；支持4路模拟输出+2路功放输出的音频信号处理。</w:t>
            </w:r>
            <w:r>
              <w:rPr>
                <w:rFonts w:hint="eastAsia" w:hAnsi="宋体" w:cs="宋体"/>
                <w:color w:val="000000"/>
                <w:sz w:val="20"/>
                <w:lang w:bidi="ar"/>
              </w:rPr>
              <w:br w:type="textWrapping"/>
            </w:r>
            <w:r>
              <w:rPr>
                <w:rFonts w:hint="eastAsia" w:hAnsi="宋体" w:cs="宋体"/>
                <w:color w:val="000000"/>
                <w:sz w:val="20"/>
                <w:lang w:bidi="ar"/>
              </w:rPr>
              <w:t>4.频率响应：20-20KHz。</w:t>
            </w:r>
            <w:r>
              <w:rPr>
                <w:rFonts w:hint="eastAsia" w:hAnsi="宋体" w:cs="宋体"/>
                <w:color w:val="000000"/>
                <w:sz w:val="20"/>
                <w:lang w:bidi="ar"/>
              </w:rPr>
              <w:br w:type="textWrapping"/>
            </w:r>
            <w:r>
              <w:rPr>
                <w:rFonts w:hint="eastAsia" w:hAnsi="宋体" w:cs="宋体"/>
                <w:color w:val="000000"/>
                <w:sz w:val="20"/>
                <w:lang w:bidi="ar"/>
              </w:rPr>
              <w:t>5.THD+N：≤0.005 。</w:t>
            </w:r>
            <w:r>
              <w:rPr>
                <w:rFonts w:hint="eastAsia" w:hAnsi="宋体" w:cs="宋体"/>
                <w:color w:val="000000"/>
                <w:sz w:val="20"/>
                <w:lang w:bidi="ar"/>
              </w:rPr>
              <w:br w:type="textWrapping"/>
            </w:r>
            <w:r>
              <w:rPr>
                <w:rFonts w:hint="eastAsia" w:hAnsi="宋体" w:cs="宋体"/>
                <w:color w:val="000000"/>
                <w:sz w:val="20"/>
                <w:lang w:bidi="ar"/>
              </w:rPr>
              <w:t>6.动态范围：≥100dB。</w:t>
            </w:r>
            <w:r>
              <w:rPr>
                <w:rFonts w:hint="eastAsia" w:hAnsi="宋体" w:cs="宋体"/>
                <w:color w:val="000000"/>
                <w:sz w:val="20"/>
                <w:lang w:bidi="ar"/>
              </w:rPr>
              <w:br w:type="textWrapping"/>
            </w:r>
            <w:r>
              <w:rPr>
                <w:rFonts w:hint="eastAsia" w:hAnsi="宋体" w:cs="宋体"/>
                <w:color w:val="000000"/>
                <w:sz w:val="20"/>
                <w:lang w:bidi="ar"/>
              </w:rPr>
              <w:t>7.幻象供电：支持每路独立48V幻象供电。</w:t>
            </w:r>
            <w:r>
              <w:rPr>
                <w:rFonts w:hint="eastAsia" w:hAnsi="宋体" w:cs="宋体"/>
                <w:color w:val="000000"/>
                <w:sz w:val="20"/>
                <w:lang w:bidi="ar"/>
              </w:rPr>
              <w:br w:type="textWrapping"/>
            </w:r>
            <w:r>
              <w:rPr>
                <w:rFonts w:hint="eastAsia" w:hAnsi="宋体" w:cs="宋体"/>
                <w:color w:val="000000"/>
                <w:sz w:val="20"/>
                <w:lang w:bidi="ar"/>
              </w:rPr>
              <w:t>8.音频处理：支持DSP音频处理功能，包含反馈消除、回声消除、噪声消除等。</w:t>
            </w:r>
            <w:r>
              <w:rPr>
                <w:rFonts w:hint="eastAsia" w:hAnsi="宋体" w:cs="宋体"/>
                <w:color w:val="000000"/>
                <w:sz w:val="20"/>
                <w:lang w:bidi="ar"/>
              </w:rPr>
              <w:br w:type="textWrapping"/>
            </w:r>
            <w:r>
              <w:rPr>
                <w:rFonts w:hint="eastAsia" w:hAnsi="宋体" w:cs="宋体"/>
                <w:color w:val="000000"/>
                <w:sz w:val="20"/>
                <w:lang w:bidi="ar"/>
              </w:rPr>
              <w:t>9.支持场景预设功能，可通过场景预设切换相应配置。</w:t>
            </w:r>
            <w:r>
              <w:rPr>
                <w:rFonts w:hint="eastAsia" w:hAnsi="宋体" w:cs="宋体"/>
                <w:color w:val="000000"/>
                <w:sz w:val="20"/>
                <w:lang w:bidi="ar"/>
              </w:rPr>
              <w:br w:type="textWrapping"/>
            </w:r>
            <w:r>
              <w:rPr>
                <w:rFonts w:hint="eastAsia" w:hAnsi="宋体" w:cs="宋体"/>
                <w:color w:val="000000"/>
                <w:sz w:val="20"/>
                <w:lang w:bidi="ar"/>
              </w:rPr>
              <w:t>10.USB背景音乐播放与录制功能，支持通过USB接口自动读取并选择播放U盘中的MP3、WAV等格式的音频文件。</w:t>
            </w:r>
            <w:r>
              <w:rPr>
                <w:rFonts w:hint="eastAsia" w:hAnsi="宋体" w:cs="宋体"/>
                <w:color w:val="000000"/>
                <w:sz w:val="20"/>
                <w:lang w:bidi="ar"/>
              </w:rPr>
              <w:br w:type="textWrapping"/>
            </w:r>
            <w:r>
              <w:rPr>
                <w:rFonts w:hint="eastAsia" w:hAnsi="宋体" w:cs="宋体"/>
                <w:color w:val="000000"/>
                <w:sz w:val="20"/>
                <w:lang w:bidi="ar"/>
              </w:rPr>
              <w:t xml:space="preserve">11.采用C/S或B/S软件架构设计，支持对音频处理矩阵进行管理。操作界面直观、图形化。 </w:t>
            </w:r>
            <w:r>
              <w:rPr>
                <w:rFonts w:hint="eastAsia" w:hAnsi="宋体" w:cs="宋体"/>
                <w:color w:val="000000"/>
                <w:sz w:val="20"/>
                <w:lang w:bidi="ar"/>
              </w:rPr>
              <w:br w:type="textWrapping"/>
            </w:r>
            <w:r>
              <w:rPr>
                <w:rFonts w:hint="eastAsia" w:hAnsi="宋体" w:cs="宋体"/>
                <w:color w:val="000000"/>
                <w:sz w:val="20"/>
                <w:lang w:bidi="ar"/>
              </w:rPr>
              <w:t>12.信道管理：提供输入输出信道的快捷控制方式，每个通道的处理器都可以快速直通和启用，选中不同的信道，会自动切换信道信息；</w:t>
            </w:r>
            <w:r>
              <w:rPr>
                <w:rFonts w:hint="eastAsia" w:hAnsi="宋体" w:cs="宋体"/>
                <w:color w:val="000000"/>
                <w:sz w:val="20"/>
                <w:lang w:bidi="ar"/>
              </w:rPr>
              <w:br w:type="textWrapping"/>
            </w:r>
            <w:r>
              <w:rPr>
                <w:rFonts w:hint="eastAsia" w:hAnsi="宋体" w:cs="宋体"/>
                <w:color w:val="000000"/>
                <w:sz w:val="20"/>
                <w:lang w:bidi="ar"/>
              </w:rPr>
              <w:t>13.自动增益：支持通过改变输入输出压缩比例来自动控制增益的幅度，自动提升和压缩话筒音量，使之以恒定的电平输出；</w:t>
            </w:r>
            <w:r>
              <w:rPr>
                <w:rFonts w:hint="eastAsia" w:hAnsi="宋体" w:cs="宋体"/>
                <w:color w:val="000000"/>
                <w:sz w:val="20"/>
                <w:lang w:bidi="ar"/>
              </w:rPr>
              <w:br w:type="textWrapping"/>
            </w:r>
            <w:r>
              <w:rPr>
                <w:rFonts w:hint="eastAsia" w:hAnsi="宋体" w:cs="宋体"/>
                <w:color w:val="000000"/>
                <w:sz w:val="20"/>
                <w:lang w:bidi="ar"/>
              </w:rPr>
              <w:t>14.压缩器管理：支持通过压缩器减少信号高于用户确定的阈值的动态范围，信号电平低于阈值保持不变；</w:t>
            </w:r>
            <w:r>
              <w:rPr>
                <w:rFonts w:hint="eastAsia" w:hAnsi="宋体" w:cs="宋体"/>
                <w:color w:val="000000"/>
                <w:sz w:val="20"/>
                <w:lang w:bidi="ar"/>
              </w:rPr>
              <w:br w:type="textWrapping"/>
            </w:r>
            <w:r>
              <w:rPr>
                <w:rFonts w:hint="eastAsia" w:hAnsi="宋体" w:cs="宋体"/>
                <w:color w:val="000000"/>
                <w:sz w:val="20"/>
                <w:lang w:bidi="ar"/>
              </w:rPr>
              <w:t>15.均衡器管理：31段频点可单独调节增益，从而达到加强、削弱某些频点的目的，实现不同效果。</w:t>
            </w:r>
          </w:p>
        </w:tc>
        <w:tc>
          <w:tcPr>
            <w:tcW w:w="0" w:type="auto"/>
            <w:shd w:val="clear" w:color="auto" w:fill="auto"/>
            <w:vAlign w:val="center"/>
          </w:tcPr>
          <w:p w14:paraId="10EFFEC4">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332C561B">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45C9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37866386">
            <w:pPr>
              <w:widowControl/>
              <w:spacing w:line="460" w:lineRule="exact"/>
              <w:jc w:val="center"/>
              <w:textAlignment w:val="center"/>
              <w:rPr>
                <w:rFonts w:hAnsi="宋体" w:cs="宋体"/>
                <w:color w:val="000000"/>
                <w:sz w:val="20"/>
              </w:rPr>
            </w:pPr>
            <w:r>
              <w:rPr>
                <w:rFonts w:hint="eastAsia" w:hAnsi="宋体" w:cs="宋体"/>
                <w:color w:val="000000"/>
                <w:sz w:val="20"/>
                <w:lang w:bidi="ar"/>
              </w:rPr>
              <w:t>14</w:t>
            </w:r>
          </w:p>
        </w:tc>
        <w:tc>
          <w:tcPr>
            <w:tcW w:w="0" w:type="auto"/>
            <w:shd w:val="clear" w:color="auto" w:fill="auto"/>
            <w:vAlign w:val="center"/>
          </w:tcPr>
          <w:p w14:paraId="0EFE3020">
            <w:pPr>
              <w:widowControl/>
              <w:spacing w:line="460" w:lineRule="exact"/>
              <w:jc w:val="center"/>
              <w:textAlignment w:val="center"/>
              <w:rPr>
                <w:rFonts w:hAnsi="宋体" w:cs="宋体"/>
                <w:color w:val="000000"/>
                <w:sz w:val="20"/>
              </w:rPr>
            </w:pPr>
            <w:r>
              <w:rPr>
                <w:rFonts w:hint="eastAsia" w:hAnsi="宋体" w:cs="宋体"/>
                <w:color w:val="000000"/>
                <w:sz w:val="20"/>
                <w:lang w:bidi="ar"/>
              </w:rPr>
              <w:t>教室音箱</w:t>
            </w:r>
          </w:p>
        </w:tc>
        <w:tc>
          <w:tcPr>
            <w:tcW w:w="0" w:type="auto"/>
            <w:shd w:val="clear" w:color="auto" w:fill="auto"/>
            <w:vAlign w:val="center"/>
          </w:tcPr>
          <w:p w14:paraId="0B4E4434">
            <w:pPr>
              <w:widowControl/>
              <w:spacing w:line="460" w:lineRule="exact"/>
              <w:textAlignment w:val="center"/>
              <w:rPr>
                <w:rFonts w:hAnsi="宋体" w:cs="宋体"/>
                <w:color w:val="000000"/>
                <w:sz w:val="20"/>
              </w:rPr>
            </w:pPr>
            <w:r>
              <w:rPr>
                <w:rFonts w:hint="eastAsia" w:hAnsi="宋体" w:cs="宋体"/>
                <w:color w:val="000000"/>
                <w:sz w:val="20"/>
                <w:lang w:bidi="ar"/>
              </w:rPr>
              <w:t>1、音箱采用特制扬声器单元；</w:t>
            </w:r>
            <w:r>
              <w:rPr>
                <w:rFonts w:hint="eastAsia" w:hAnsi="宋体" w:cs="宋体"/>
                <w:color w:val="000000"/>
                <w:sz w:val="20"/>
                <w:lang w:bidi="ar"/>
              </w:rPr>
              <w:br w:type="textWrapping"/>
            </w:r>
            <w:r>
              <w:rPr>
                <w:rFonts w:hint="eastAsia" w:hAnsi="宋体" w:cs="宋体"/>
                <w:color w:val="000000"/>
                <w:sz w:val="20"/>
                <w:lang w:bidi="ar"/>
              </w:rPr>
              <w:t>2、音箱采用两分频设计，重放效果清晰、饱满、柔和，能够很好地表现音乐和还原人声；</w:t>
            </w:r>
            <w:r>
              <w:rPr>
                <w:rFonts w:hint="eastAsia" w:hAnsi="宋体" w:cs="宋体"/>
                <w:color w:val="000000"/>
                <w:sz w:val="20"/>
                <w:lang w:bidi="ar"/>
              </w:rPr>
              <w:br w:type="textWrapping"/>
            </w:r>
            <w:r>
              <w:rPr>
                <w:rFonts w:hint="eastAsia" w:hAnsi="宋体" w:cs="宋体"/>
                <w:color w:val="000000"/>
                <w:sz w:val="20"/>
                <w:lang w:bidi="ar"/>
              </w:rPr>
              <w:t>3、箱体采用优质中密度纤维板，表面采用白色撒点喷漆，美观且经久耐用；</w:t>
            </w:r>
            <w:r>
              <w:rPr>
                <w:rFonts w:hint="eastAsia" w:hAnsi="宋体" w:cs="宋体"/>
                <w:color w:val="000000"/>
                <w:sz w:val="20"/>
                <w:lang w:bidi="ar"/>
              </w:rPr>
              <w:br w:type="textWrapping"/>
            </w:r>
            <w:r>
              <w:rPr>
                <w:rFonts w:hint="eastAsia" w:hAnsi="宋体" w:cs="宋体"/>
                <w:color w:val="000000"/>
                <w:sz w:val="20"/>
                <w:lang w:bidi="ar"/>
              </w:rPr>
              <w:t>4、音箱外形小巧、简洁美观、箱体线条流畅、具有现代感、安装方便；</w:t>
            </w:r>
            <w:r>
              <w:rPr>
                <w:rFonts w:hint="eastAsia" w:hAnsi="宋体" w:cs="宋体"/>
                <w:color w:val="000000"/>
                <w:sz w:val="20"/>
                <w:lang w:bidi="ar"/>
              </w:rPr>
              <w:br w:type="textWrapping"/>
            </w:r>
            <w:r>
              <w:rPr>
                <w:rFonts w:hint="eastAsia" w:hAnsi="宋体" w:cs="宋体"/>
                <w:color w:val="000000"/>
                <w:sz w:val="20"/>
                <w:lang w:bidi="ar"/>
              </w:rPr>
              <w:t>5、网罩采用0.8mm至1.0mm厚的钢网；</w:t>
            </w:r>
            <w:r>
              <w:rPr>
                <w:rFonts w:hint="eastAsia" w:hAnsi="宋体" w:cs="宋体"/>
                <w:color w:val="000000"/>
                <w:sz w:val="20"/>
                <w:lang w:bidi="ar"/>
              </w:rPr>
              <w:br w:type="textWrapping"/>
            </w:r>
            <w:r>
              <w:rPr>
                <w:rFonts w:hint="eastAsia" w:hAnsi="宋体" w:cs="宋体"/>
                <w:color w:val="000000"/>
                <w:sz w:val="20"/>
                <w:lang w:bidi="ar"/>
              </w:rPr>
              <w:t>6、音箱自带专用壁挂件，可根据使用要求灵活调整水平、垂直角度；</w:t>
            </w:r>
            <w:r>
              <w:rPr>
                <w:rFonts w:hint="eastAsia" w:hAnsi="宋体" w:cs="宋体"/>
                <w:color w:val="000000"/>
                <w:sz w:val="20"/>
                <w:lang w:bidi="ar"/>
              </w:rPr>
              <w:br w:type="textWrapping"/>
            </w:r>
            <w:r>
              <w:rPr>
                <w:rFonts w:hint="eastAsia" w:hAnsi="宋体" w:cs="宋体"/>
                <w:color w:val="000000"/>
                <w:sz w:val="20"/>
                <w:lang w:bidi="ar"/>
              </w:rPr>
              <w:t xml:space="preserve">7、额定/峰值功率:60W / 240 W ;  </w:t>
            </w:r>
            <w:r>
              <w:rPr>
                <w:rFonts w:hint="eastAsia" w:hAnsi="宋体" w:cs="宋体"/>
                <w:color w:val="000000"/>
                <w:sz w:val="20"/>
                <w:lang w:bidi="ar"/>
              </w:rPr>
              <w:br w:type="textWrapping"/>
            </w:r>
            <w:r>
              <w:rPr>
                <w:rFonts w:hint="eastAsia" w:hAnsi="宋体" w:cs="宋体"/>
                <w:color w:val="000000"/>
                <w:sz w:val="20"/>
                <w:lang w:bidi="ar"/>
              </w:rPr>
              <w:t>8、额定阻抗：    8Ω;</w:t>
            </w:r>
            <w:r>
              <w:rPr>
                <w:rFonts w:hint="eastAsia" w:hAnsi="宋体" w:cs="宋体"/>
                <w:color w:val="000000"/>
                <w:sz w:val="20"/>
                <w:lang w:bidi="ar"/>
              </w:rPr>
              <w:br w:type="textWrapping"/>
            </w:r>
            <w:r>
              <w:rPr>
                <w:rFonts w:hint="eastAsia" w:hAnsi="宋体" w:cs="宋体"/>
                <w:color w:val="000000"/>
                <w:sz w:val="20"/>
                <w:lang w:bidi="ar"/>
              </w:rPr>
              <w:t>9、特性灵敏度：  89dB/W/m ;</w:t>
            </w:r>
            <w:r>
              <w:rPr>
                <w:rFonts w:hint="eastAsia" w:hAnsi="宋体" w:cs="宋体"/>
                <w:color w:val="000000"/>
                <w:sz w:val="20"/>
                <w:lang w:bidi="ar"/>
              </w:rPr>
              <w:br w:type="textWrapping"/>
            </w:r>
            <w:r>
              <w:rPr>
                <w:rFonts w:hint="eastAsia" w:hAnsi="宋体" w:cs="宋体"/>
                <w:color w:val="000000"/>
                <w:sz w:val="20"/>
                <w:lang w:bidi="ar"/>
              </w:rPr>
              <w:t>10、输出声压级：  107dB/W/m(Continues);</w:t>
            </w:r>
            <w:r>
              <w:rPr>
                <w:rFonts w:hint="eastAsia" w:hAnsi="宋体" w:cs="宋体"/>
                <w:color w:val="000000"/>
                <w:sz w:val="20"/>
                <w:lang w:bidi="ar"/>
              </w:rPr>
              <w:br w:type="textWrapping"/>
            </w:r>
            <w:r>
              <w:rPr>
                <w:rFonts w:hint="eastAsia" w:hAnsi="宋体" w:cs="宋体"/>
                <w:color w:val="000000"/>
                <w:sz w:val="20"/>
                <w:lang w:bidi="ar"/>
              </w:rPr>
              <w:t xml:space="preserve">                 113dB/W/m(Peak); </w:t>
            </w:r>
            <w:r>
              <w:rPr>
                <w:rFonts w:hint="eastAsia" w:hAnsi="宋体" w:cs="宋体"/>
                <w:color w:val="000000"/>
                <w:sz w:val="20"/>
                <w:lang w:bidi="ar"/>
              </w:rPr>
              <w:br w:type="textWrapping"/>
            </w:r>
            <w:r>
              <w:rPr>
                <w:rFonts w:hint="eastAsia" w:hAnsi="宋体" w:cs="宋体"/>
                <w:color w:val="000000"/>
                <w:sz w:val="20"/>
                <w:lang w:bidi="ar"/>
              </w:rPr>
              <w:t>11、额定频率范围: 90~ 20KHz;</w:t>
            </w:r>
            <w:r>
              <w:rPr>
                <w:rFonts w:hint="eastAsia" w:hAnsi="宋体" w:cs="宋体"/>
                <w:color w:val="000000"/>
                <w:sz w:val="20"/>
                <w:lang w:bidi="ar"/>
              </w:rPr>
              <w:br w:type="textWrapping"/>
            </w:r>
            <w:r>
              <w:rPr>
                <w:rFonts w:hint="eastAsia" w:hAnsi="宋体" w:cs="宋体"/>
                <w:color w:val="000000"/>
                <w:sz w:val="20"/>
                <w:lang w:bidi="ar"/>
              </w:rPr>
              <w:t xml:space="preserve">12、扬声器单元：  LF:  6.5英寸 ; </w:t>
            </w:r>
            <w:r>
              <w:rPr>
                <w:rFonts w:hint="eastAsia" w:hAnsi="宋体" w:cs="宋体"/>
                <w:color w:val="000000"/>
                <w:sz w:val="20"/>
                <w:lang w:bidi="ar"/>
              </w:rPr>
              <w:br w:type="textWrapping"/>
            </w:r>
            <w:r>
              <w:rPr>
                <w:rFonts w:hint="eastAsia" w:hAnsi="宋体" w:cs="宋体"/>
                <w:color w:val="000000"/>
                <w:sz w:val="20"/>
                <w:lang w:bidi="ar"/>
              </w:rPr>
              <w:t xml:space="preserve">                 HF:  3 英寸纸盆高音;</w:t>
            </w:r>
            <w:r>
              <w:rPr>
                <w:rFonts w:hint="eastAsia" w:hAnsi="宋体" w:cs="宋体"/>
                <w:color w:val="000000"/>
                <w:sz w:val="20"/>
                <w:lang w:bidi="ar"/>
              </w:rPr>
              <w:br w:type="textWrapping"/>
            </w:r>
            <w:r>
              <w:rPr>
                <w:rFonts w:hint="eastAsia" w:hAnsi="宋体" w:cs="宋体"/>
                <w:color w:val="000000"/>
                <w:sz w:val="20"/>
                <w:lang w:bidi="ar"/>
              </w:rPr>
              <w:t>13、箱体材料：    15mm中密度纤维板 ;</w:t>
            </w:r>
            <w:r>
              <w:rPr>
                <w:rFonts w:hint="eastAsia" w:hAnsi="宋体" w:cs="宋体"/>
                <w:color w:val="000000"/>
                <w:sz w:val="20"/>
                <w:lang w:bidi="ar"/>
              </w:rPr>
              <w:br w:type="textWrapping"/>
            </w:r>
            <w:r>
              <w:rPr>
                <w:rFonts w:hint="eastAsia" w:hAnsi="宋体" w:cs="宋体"/>
                <w:color w:val="000000"/>
                <w:sz w:val="20"/>
                <w:lang w:bidi="ar"/>
              </w:rPr>
              <w:t>14、输入接口：    接线盒;</w:t>
            </w:r>
            <w:r>
              <w:rPr>
                <w:rFonts w:hint="eastAsia" w:hAnsi="宋体" w:cs="宋体"/>
                <w:color w:val="000000"/>
                <w:sz w:val="20"/>
                <w:lang w:bidi="ar"/>
              </w:rPr>
              <w:br w:type="textWrapping"/>
            </w:r>
            <w:r>
              <w:rPr>
                <w:rFonts w:hint="eastAsia" w:hAnsi="宋体" w:cs="宋体"/>
                <w:color w:val="000000"/>
                <w:sz w:val="20"/>
                <w:lang w:bidi="ar"/>
              </w:rPr>
              <w:t>15、吊挂点：      专用壁挂;</w:t>
            </w:r>
            <w:r>
              <w:rPr>
                <w:rFonts w:hint="eastAsia" w:hAnsi="宋体" w:cs="宋体"/>
                <w:color w:val="000000"/>
                <w:sz w:val="20"/>
                <w:lang w:bidi="ar"/>
              </w:rPr>
              <w:br w:type="textWrapping"/>
            </w:r>
            <w:r>
              <w:rPr>
                <w:rFonts w:hint="eastAsia" w:hAnsi="宋体" w:cs="宋体"/>
                <w:color w:val="000000"/>
                <w:sz w:val="20"/>
                <w:lang w:bidi="ar"/>
              </w:rPr>
              <w:t xml:space="preserve">16、箱体尺寸(mm)：372(H) ×228.6(W)×209(D); </w:t>
            </w:r>
            <w:r>
              <w:rPr>
                <w:rFonts w:hint="eastAsia" w:hAnsi="宋体" w:cs="宋体"/>
                <w:color w:val="000000"/>
                <w:sz w:val="20"/>
                <w:lang w:bidi="ar"/>
              </w:rPr>
              <w:br w:type="textWrapping"/>
            </w:r>
            <w:r>
              <w:rPr>
                <w:rFonts w:hint="eastAsia" w:hAnsi="宋体" w:cs="宋体"/>
                <w:color w:val="000000"/>
                <w:sz w:val="20"/>
                <w:lang w:bidi="ar"/>
              </w:rPr>
              <w:t>17、重量(kg)：    4.7;</w:t>
            </w:r>
          </w:p>
        </w:tc>
        <w:tc>
          <w:tcPr>
            <w:tcW w:w="0" w:type="auto"/>
            <w:shd w:val="clear" w:color="auto" w:fill="auto"/>
            <w:vAlign w:val="center"/>
          </w:tcPr>
          <w:p w14:paraId="6F9A6750">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1FD8367B">
            <w:pPr>
              <w:widowControl/>
              <w:spacing w:line="460" w:lineRule="exact"/>
              <w:jc w:val="center"/>
              <w:textAlignment w:val="center"/>
              <w:rPr>
                <w:rFonts w:hAnsi="宋体" w:cs="宋体"/>
                <w:color w:val="000000"/>
                <w:sz w:val="20"/>
              </w:rPr>
            </w:pPr>
            <w:r>
              <w:rPr>
                <w:rFonts w:hint="eastAsia" w:hAnsi="宋体" w:cs="宋体"/>
                <w:color w:val="000000"/>
                <w:sz w:val="20"/>
                <w:lang w:bidi="ar"/>
              </w:rPr>
              <w:t>对</w:t>
            </w:r>
          </w:p>
        </w:tc>
      </w:tr>
      <w:tr w14:paraId="31A4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45965A05">
            <w:pPr>
              <w:widowControl/>
              <w:spacing w:line="460" w:lineRule="exact"/>
              <w:jc w:val="center"/>
              <w:textAlignment w:val="center"/>
              <w:rPr>
                <w:rFonts w:hAnsi="宋体" w:cs="宋体"/>
                <w:color w:val="000000"/>
                <w:sz w:val="20"/>
              </w:rPr>
            </w:pPr>
            <w:r>
              <w:rPr>
                <w:rFonts w:hint="eastAsia" w:hAnsi="宋体" w:cs="宋体"/>
                <w:color w:val="000000"/>
                <w:sz w:val="20"/>
                <w:lang w:bidi="ar"/>
              </w:rPr>
              <w:t>15</w:t>
            </w:r>
          </w:p>
        </w:tc>
        <w:tc>
          <w:tcPr>
            <w:tcW w:w="0" w:type="auto"/>
            <w:shd w:val="clear" w:color="auto" w:fill="auto"/>
            <w:vAlign w:val="center"/>
          </w:tcPr>
          <w:p w14:paraId="26F99842">
            <w:pPr>
              <w:widowControl/>
              <w:spacing w:line="460" w:lineRule="exact"/>
              <w:jc w:val="center"/>
              <w:textAlignment w:val="center"/>
              <w:rPr>
                <w:rFonts w:hAnsi="宋体" w:cs="宋体"/>
                <w:color w:val="000000"/>
                <w:sz w:val="20"/>
              </w:rPr>
            </w:pPr>
            <w:r>
              <w:rPr>
                <w:rFonts w:hint="eastAsia" w:hAnsi="宋体" w:cs="宋体"/>
                <w:color w:val="000000"/>
                <w:sz w:val="20"/>
                <w:lang w:bidi="ar"/>
              </w:rPr>
              <w:t>教室功放</w:t>
            </w:r>
          </w:p>
        </w:tc>
        <w:tc>
          <w:tcPr>
            <w:tcW w:w="0" w:type="auto"/>
            <w:shd w:val="clear" w:color="auto" w:fill="auto"/>
            <w:vAlign w:val="center"/>
          </w:tcPr>
          <w:p w14:paraId="0F562BD7">
            <w:pPr>
              <w:widowControl/>
              <w:spacing w:line="460" w:lineRule="exact"/>
              <w:textAlignment w:val="center"/>
              <w:rPr>
                <w:rFonts w:hAnsi="宋体" w:cs="宋体"/>
                <w:color w:val="000000"/>
                <w:sz w:val="20"/>
              </w:rPr>
            </w:pPr>
            <w:r>
              <w:rPr>
                <w:rFonts w:hint="eastAsia" w:hAnsi="宋体" w:cs="宋体"/>
                <w:color w:val="000000"/>
                <w:sz w:val="20"/>
                <w:lang w:bidi="ar"/>
              </w:rPr>
              <w:t>功能描述：</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本机是一款多功能音频功率放大器，采用高效率的开关电源和数字功放技术，并集成了专业前级放大系统、音频信号处理系统、功放电路保护系统等，产品可靠稳定、体积小、重量轻、效率高、电压适应范围广，可广泛应用于多种扩声场所；</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带两路有线话筒输入接口，两路无线话筒输入接口，三组线路输入接口，三组线路输出接口，两组功率输出接口；</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话筒、线路的音量可独立调节并具有高低音两段均衡，有线话筒输入通道带可独立开关的+48V幻像电源；</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本机带有蓝牙和USB播放功能，方便不同音乐节目的播放；</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带有一键静音和RS232接口，可实现远程控制；</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功放输出通道中L通道可独立调节输出大小。</w:t>
            </w:r>
            <w:r>
              <w:rPr>
                <w:rFonts w:hint="eastAsia" w:hAnsi="宋体" w:cs="宋体"/>
                <w:color w:val="000000"/>
                <w:sz w:val="20"/>
                <w:lang w:bidi="ar"/>
              </w:rPr>
              <w:br w:type="textWrapping"/>
            </w:r>
            <w:r>
              <w:rPr>
                <w:rFonts w:hint="eastAsia" w:hAnsi="宋体" w:cs="宋体"/>
                <w:color w:val="000000"/>
                <w:sz w:val="20"/>
                <w:lang w:bidi="ar"/>
              </w:rPr>
              <w:br w:type="textWrapping"/>
            </w:r>
            <w:r>
              <w:rPr>
                <w:rFonts w:hint="eastAsia" w:hAnsi="宋体" w:cs="宋体"/>
                <w:color w:val="000000"/>
                <w:sz w:val="20"/>
                <w:lang w:bidi="ar"/>
              </w:rPr>
              <w:t>技术参数：</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带U盘播放（优先播放，格式MP3）和蓝牙播放，带LCD液晶显示屏，四路音源切换按键（带记忆功能），对线路1/线路2/线路3/（蓝牙/U盘）进行切换；</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带2路有线话筒输入（6.35话筒口，+48V幻像电源可切换）、2路无线话筒输入（1路3.5三芯+1路USB，USB可用于2.4G无线话筒供电）、2组立体声线路输入（RCA*4莲花接口）、1路线路平衡输入（凤凰接口）；</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带2组立体声线路输出（RCA*4莲花接口）、1路线路平衡输出（凤凰接口）；</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带1路RS232控制接口、1路一键静音控制接口；</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话筒和线路音量、高/低音独立可调，带功放L输出通道信号大小调节功能；</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 xml:space="preserve">额定功率(RMS)：2×60W  8Ω,2×120W  4Ω；                              </w:t>
            </w:r>
            <w:r>
              <w:rPr>
                <w:rFonts w:hint="eastAsia" w:hAnsi="宋体" w:cs="宋体"/>
                <w:color w:val="000000"/>
                <w:sz w:val="20"/>
                <w:lang w:bidi="ar"/>
              </w:rPr>
              <w:br w:type="textWrapping"/>
            </w:r>
            <w:r>
              <w:rPr>
                <w:rFonts w:hint="eastAsia" w:hAnsi="宋体" w:cs="宋体"/>
                <w:color w:val="000000"/>
                <w:sz w:val="20"/>
                <w:lang w:bidi="ar"/>
              </w:rPr>
              <w:t>7</w:t>
            </w:r>
            <w:r>
              <w:rPr>
                <w:rFonts w:hint="eastAsia" w:hAnsi="宋体" w:cs="宋体"/>
                <w:color w:val="000000"/>
                <w:sz w:val="20"/>
                <w:lang w:val="en-US" w:eastAsia="zh-CN" w:bidi="ar"/>
              </w:rPr>
              <w:t>.</w:t>
            </w:r>
            <w:r>
              <w:rPr>
                <w:rFonts w:hint="eastAsia" w:hAnsi="宋体" w:cs="宋体"/>
                <w:color w:val="000000"/>
                <w:sz w:val="20"/>
                <w:lang w:bidi="ar"/>
              </w:rPr>
              <w:t>总谐波失真：≤0.5%；</w:t>
            </w:r>
            <w:r>
              <w:rPr>
                <w:rFonts w:hint="eastAsia" w:hAnsi="宋体" w:cs="宋体"/>
                <w:color w:val="000000"/>
                <w:sz w:val="20"/>
                <w:lang w:bidi="ar"/>
              </w:rPr>
              <w:br w:type="textWrapping"/>
            </w:r>
            <w:r>
              <w:rPr>
                <w:rFonts w:hint="eastAsia" w:hAnsi="宋体" w:cs="宋体"/>
                <w:color w:val="000000"/>
                <w:sz w:val="20"/>
                <w:lang w:bidi="ar"/>
              </w:rPr>
              <w:t>8</w:t>
            </w:r>
            <w:r>
              <w:rPr>
                <w:rFonts w:hint="eastAsia" w:hAnsi="宋体" w:cs="宋体"/>
                <w:color w:val="000000"/>
                <w:sz w:val="20"/>
                <w:lang w:val="en-US" w:eastAsia="zh-CN" w:bidi="ar"/>
              </w:rPr>
              <w:t>.</w:t>
            </w:r>
            <w:r>
              <w:rPr>
                <w:rFonts w:hint="eastAsia" w:hAnsi="宋体" w:cs="宋体"/>
                <w:color w:val="000000"/>
                <w:sz w:val="20"/>
                <w:lang w:bidi="ar"/>
              </w:rPr>
              <w:t>线路频率响应：20Hz～20KHz  ±3dB，话筒频率响应：80Hz～16KHz  ±3dB；</w:t>
            </w:r>
            <w:r>
              <w:rPr>
                <w:rFonts w:hint="eastAsia" w:hAnsi="宋体" w:cs="宋体"/>
                <w:color w:val="000000"/>
                <w:sz w:val="20"/>
                <w:lang w:bidi="ar"/>
              </w:rPr>
              <w:br w:type="textWrapping"/>
            </w:r>
            <w:r>
              <w:rPr>
                <w:rFonts w:hint="eastAsia" w:hAnsi="宋体" w:cs="宋体"/>
                <w:color w:val="000000"/>
                <w:sz w:val="20"/>
                <w:lang w:bidi="ar"/>
              </w:rPr>
              <w:t>9</w:t>
            </w:r>
            <w:r>
              <w:rPr>
                <w:rFonts w:hint="eastAsia" w:hAnsi="宋体" w:cs="宋体"/>
                <w:color w:val="000000"/>
                <w:sz w:val="20"/>
                <w:lang w:val="en-US" w:eastAsia="zh-CN" w:bidi="ar"/>
              </w:rPr>
              <w:t>.</w:t>
            </w:r>
            <w:r>
              <w:rPr>
                <w:rFonts w:hint="eastAsia" w:hAnsi="宋体" w:cs="宋体"/>
                <w:color w:val="000000"/>
                <w:sz w:val="20"/>
                <w:lang w:bidi="ar"/>
              </w:rPr>
              <w:t>输入灵敏度：300±30mV线路，60±6mV有线话筒，200±20mV无线话筒；</w:t>
            </w:r>
            <w:r>
              <w:rPr>
                <w:rFonts w:hint="eastAsia" w:hAnsi="宋体" w:cs="宋体"/>
                <w:color w:val="000000"/>
                <w:sz w:val="20"/>
                <w:lang w:bidi="ar"/>
              </w:rPr>
              <w:br w:type="textWrapping"/>
            </w:r>
            <w:r>
              <w:rPr>
                <w:rFonts w:hint="eastAsia" w:hAnsi="宋体" w:cs="宋体"/>
                <w:color w:val="000000"/>
                <w:sz w:val="20"/>
                <w:lang w:bidi="ar"/>
              </w:rPr>
              <w:t>10</w:t>
            </w:r>
            <w:r>
              <w:rPr>
                <w:rFonts w:hint="eastAsia" w:hAnsi="宋体" w:cs="宋体"/>
                <w:color w:val="000000"/>
                <w:sz w:val="20"/>
                <w:lang w:val="en-US" w:eastAsia="zh-CN" w:bidi="ar"/>
              </w:rPr>
              <w:t>.</w:t>
            </w:r>
            <w:r>
              <w:rPr>
                <w:rFonts w:hint="eastAsia" w:hAnsi="宋体" w:cs="宋体"/>
                <w:color w:val="000000"/>
                <w:sz w:val="20"/>
                <w:lang w:bidi="ar"/>
              </w:rPr>
              <w:t xml:space="preserve">信噪比：≥80dB；                            </w:t>
            </w:r>
            <w:r>
              <w:rPr>
                <w:rFonts w:hint="eastAsia" w:hAnsi="宋体" w:cs="宋体"/>
                <w:color w:val="000000"/>
                <w:sz w:val="20"/>
                <w:lang w:bidi="ar"/>
              </w:rPr>
              <w:br w:type="textWrapping"/>
            </w:r>
            <w:r>
              <w:rPr>
                <w:rFonts w:hint="eastAsia" w:hAnsi="宋体" w:cs="宋体"/>
                <w:color w:val="000000"/>
                <w:sz w:val="20"/>
                <w:lang w:bidi="ar"/>
              </w:rPr>
              <w:t>11</w:t>
            </w:r>
            <w:r>
              <w:rPr>
                <w:rFonts w:hint="eastAsia" w:hAnsi="宋体" w:cs="宋体"/>
                <w:color w:val="000000"/>
                <w:sz w:val="20"/>
                <w:lang w:val="en-US" w:eastAsia="zh-CN" w:bidi="ar"/>
              </w:rPr>
              <w:t>.</w:t>
            </w:r>
            <w:r>
              <w:rPr>
                <w:rFonts w:hint="eastAsia" w:hAnsi="宋体" w:cs="宋体"/>
                <w:color w:val="000000"/>
                <w:sz w:val="20"/>
                <w:lang w:bidi="ar"/>
              </w:rPr>
              <w:t>线路高音提衰量（10KHz）：14dB±2dB，线路低音提衰量（100Hz）：14dB±2dB，话筒高音提衰量（10KHz）：14dB±2dB，话筒低音提衰量（100Hz）14dB±2dB；</w:t>
            </w:r>
            <w:r>
              <w:rPr>
                <w:rFonts w:hint="eastAsia" w:hAnsi="宋体" w:cs="宋体"/>
                <w:color w:val="000000"/>
                <w:sz w:val="20"/>
                <w:lang w:bidi="ar"/>
              </w:rPr>
              <w:br w:type="textWrapping"/>
            </w:r>
            <w:r>
              <w:rPr>
                <w:rFonts w:hint="eastAsia" w:hAnsi="宋体" w:cs="宋体"/>
                <w:color w:val="000000"/>
                <w:sz w:val="20"/>
                <w:lang w:bidi="ar"/>
              </w:rPr>
              <w:t>12</w:t>
            </w:r>
            <w:r>
              <w:rPr>
                <w:rFonts w:hint="eastAsia" w:hAnsi="宋体" w:cs="宋体"/>
                <w:color w:val="000000"/>
                <w:sz w:val="20"/>
                <w:lang w:val="en-US" w:eastAsia="zh-CN" w:bidi="ar"/>
              </w:rPr>
              <w:t>.</w:t>
            </w:r>
            <w:r>
              <w:rPr>
                <w:rFonts w:hint="eastAsia" w:hAnsi="宋体" w:cs="宋体"/>
                <w:color w:val="000000"/>
                <w:sz w:val="20"/>
                <w:lang w:bidi="ar"/>
              </w:rPr>
              <w:t>整机高度：1U；</w:t>
            </w:r>
            <w:r>
              <w:rPr>
                <w:rFonts w:hint="eastAsia" w:hAnsi="宋体" w:cs="宋体"/>
                <w:color w:val="000000"/>
                <w:sz w:val="20"/>
                <w:lang w:bidi="ar"/>
              </w:rPr>
              <w:br w:type="textWrapping"/>
            </w:r>
            <w:r>
              <w:rPr>
                <w:rFonts w:hint="eastAsia" w:hAnsi="宋体" w:cs="宋体"/>
                <w:color w:val="000000"/>
                <w:sz w:val="20"/>
                <w:lang w:bidi="ar"/>
              </w:rPr>
              <w:t>13</w:t>
            </w:r>
            <w:r>
              <w:rPr>
                <w:rFonts w:hint="eastAsia" w:hAnsi="宋体" w:cs="宋体"/>
                <w:color w:val="000000"/>
                <w:sz w:val="20"/>
                <w:lang w:val="en-US" w:eastAsia="zh-CN" w:bidi="ar"/>
              </w:rPr>
              <w:t>.</w:t>
            </w:r>
            <w:r>
              <w:rPr>
                <w:rFonts w:hint="eastAsia" w:hAnsi="宋体" w:cs="宋体"/>
                <w:color w:val="000000"/>
                <w:sz w:val="20"/>
                <w:lang w:bidi="ar"/>
              </w:rPr>
              <w:t>最大功率消耗：350W；</w:t>
            </w:r>
            <w:r>
              <w:rPr>
                <w:rFonts w:hint="eastAsia" w:hAnsi="宋体" w:cs="宋体"/>
                <w:color w:val="000000"/>
                <w:sz w:val="20"/>
                <w:lang w:bidi="ar"/>
              </w:rPr>
              <w:br w:type="textWrapping"/>
            </w:r>
            <w:r>
              <w:rPr>
                <w:rFonts w:hint="eastAsia" w:hAnsi="宋体" w:cs="宋体"/>
                <w:color w:val="000000"/>
                <w:sz w:val="20"/>
                <w:lang w:bidi="ar"/>
              </w:rPr>
              <w:t>14</w:t>
            </w:r>
            <w:r>
              <w:rPr>
                <w:rFonts w:hint="eastAsia" w:hAnsi="宋体" w:cs="宋体"/>
                <w:color w:val="000000"/>
                <w:sz w:val="20"/>
                <w:lang w:val="en-US" w:eastAsia="zh-CN" w:bidi="ar"/>
              </w:rPr>
              <w:t>.</w:t>
            </w:r>
            <w:r>
              <w:rPr>
                <w:rFonts w:hint="eastAsia" w:hAnsi="宋体" w:cs="宋体"/>
                <w:color w:val="000000"/>
                <w:sz w:val="20"/>
                <w:lang w:bidi="ar"/>
              </w:rPr>
              <w:t>额定电源电压：～220V/50Hz，电压适应范围：～180V-242V。</w:t>
            </w:r>
          </w:p>
        </w:tc>
        <w:tc>
          <w:tcPr>
            <w:tcW w:w="0" w:type="auto"/>
            <w:shd w:val="clear" w:color="auto" w:fill="auto"/>
            <w:vAlign w:val="center"/>
          </w:tcPr>
          <w:p w14:paraId="2166A5FB">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15490F66">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45F4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0CC26340">
            <w:pPr>
              <w:widowControl/>
              <w:spacing w:line="460" w:lineRule="exact"/>
              <w:jc w:val="center"/>
              <w:textAlignment w:val="center"/>
              <w:rPr>
                <w:rFonts w:hAnsi="宋体" w:cs="宋体"/>
                <w:color w:val="000000"/>
                <w:sz w:val="20"/>
              </w:rPr>
            </w:pPr>
            <w:r>
              <w:rPr>
                <w:rFonts w:hint="eastAsia" w:hAnsi="宋体" w:cs="宋体"/>
                <w:color w:val="000000"/>
                <w:sz w:val="20"/>
                <w:lang w:bidi="ar"/>
              </w:rPr>
              <w:t>16</w:t>
            </w:r>
          </w:p>
        </w:tc>
        <w:tc>
          <w:tcPr>
            <w:tcW w:w="0" w:type="auto"/>
            <w:shd w:val="clear" w:color="auto" w:fill="auto"/>
            <w:vAlign w:val="center"/>
          </w:tcPr>
          <w:p w14:paraId="2B9C0408">
            <w:pPr>
              <w:widowControl/>
              <w:spacing w:line="460" w:lineRule="exact"/>
              <w:jc w:val="center"/>
              <w:textAlignment w:val="center"/>
              <w:rPr>
                <w:rFonts w:hAnsi="宋体" w:cs="宋体"/>
                <w:color w:val="000000"/>
                <w:sz w:val="20"/>
              </w:rPr>
            </w:pPr>
            <w:r>
              <w:rPr>
                <w:rFonts w:hint="eastAsia" w:hAnsi="宋体" w:cs="宋体"/>
                <w:color w:val="000000"/>
                <w:sz w:val="20"/>
                <w:lang w:bidi="ar"/>
              </w:rPr>
              <w:t>互动抬头屏</w:t>
            </w:r>
          </w:p>
        </w:tc>
        <w:tc>
          <w:tcPr>
            <w:tcW w:w="0" w:type="auto"/>
            <w:shd w:val="clear" w:color="auto" w:fill="auto"/>
          </w:tcPr>
          <w:p w14:paraId="5E58CB2E">
            <w:pPr>
              <w:widowControl/>
              <w:spacing w:line="460" w:lineRule="exact"/>
              <w:textAlignment w:val="top"/>
              <w:rPr>
                <w:rFonts w:hAnsi="宋体" w:cs="宋体"/>
                <w:color w:val="000000"/>
                <w:sz w:val="20"/>
              </w:rPr>
            </w:pPr>
            <w:r>
              <w:rPr>
                <w:rFonts w:hint="eastAsia" w:hAnsi="宋体" w:cs="宋体"/>
                <w:color w:val="000000"/>
                <w:sz w:val="20"/>
                <w:lang w:bidi="ar"/>
              </w:rPr>
              <w:t>LED液晶智能电视，屏幕尺寸：65英寸；屏幕比例：16:9；物理分辨率：3840*2160；输入端口：HDMI 接口：2个； USB3.0*1路；USB2.0*1路；网络接口：1路；</w:t>
            </w:r>
          </w:p>
        </w:tc>
        <w:tc>
          <w:tcPr>
            <w:tcW w:w="0" w:type="auto"/>
            <w:shd w:val="clear" w:color="auto" w:fill="auto"/>
            <w:vAlign w:val="center"/>
          </w:tcPr>
          <w:p w14:paraId="520BB67B">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581F6FFB">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30F1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29D5CD76">
            <w:pPr>
              <w:widowControl/>
              <w:spacing w:line="460" w:lineRule="exact"/>
              <w:jc w:val="center"/>
              <w:textAlignment w:val="center"/>
              <w:rPr>
                <w:rFonts w:hAnsi="宋体" w:cs="宋体"/>
                <w:color w:val="000000"/>
                <w:sz w:val="20"/>
              </w:rPr>
            </w:pPr>
            <w:r>
              <w:rPr>
                <w:rFonts w:hint="eastAsia" w:hAnsi="宋体" w:cs="宋体"/>
                <w:color w:val="000000"/>
                <w:sz w:val="20"/>
                <w:lang w:bidi="ar"/>
              </w:rPr>
              <w:t>17</w:t>
            </w:r>
          </w:p>
        </w:tc>
        <w:tc>
          <w:tcPr>
            <w:tcW w:w="0" w:type="auto"/>
            <w:shd w:val="clear" w:color="auto" w:fill="auto"/>
            <w:vAlign w:val="center"/>
          </w:tcPr>
          <w:p w14:paraId="2A776073">
            <w:pPr>
              <w:widowControl/>
              <w:spacing w:line="460" w:lineRule="exact"/>
              <w:jc w:val="center"/>
              <w:textAlignment w:val="center"/>
              <w:rPr>
                <w:rFonts w:hAnsi="宋体" w:cs="宋体"/>
                <w:color w:val="000000"/>
                <w:sz w:val="20"/>
              </w:rPr>
            </w:pPr>
            <w:r>
              <w:rPr>
                <w:rFonts w:hint="eastAsia" w:hAnsi="宋体" w:cs="宋体"/>
                <w:color w:val="000000"/>
                <w:sz w:val="20"/>
                <w:lang w:bidi="ar"/>
              </w:rPr>
              <w:t>导播控制台</w:t>
            </w:r>
          </w:p>
        </w:tc>
        <w:tc>
          <w:tcPr>
            <w:tcW w:w="0" w:type="auto"/>
            <w:shd w:val="clear" w:color="auto" w:fill="auto"/>
            <w:vAlign w:val="center"/>
          </w:tcPr>
          <w:p w14:paraId="565C0F92">
            <w:pPr>
              <w:widowControl/>
              <w:spacing w:line="460" w:lineRule="exact"/>
              <w:textAlignment w:val="center"/>
              <w:rPr>
                <w:rFonts w:hAnsi="宋体" w:cs="宋体"/>
                <w:color w:val="000000"/>
                <w:sz w:val="20"/>
              </w:rPr>
            </w:pPr>
            <w:r>
              <w:rPr>
                <w:rFonts w:hint="eastAsia" w:hAnsi="宋体" w:cs="宋体"/>
                <w:color w:val="000000"/>
                <w:sz w:val="20"/>
                <w:lang w:bidi="ar"/>
              </w:rPr>
              <w:t>1.支持不少于5种特技效果。</w:t>
            </w:r>
            <w:r>
              <w:rPr>
                <w:rFonts w:hint="eastAsia" w:hAnsi="宋体" w:cs="宋体"/>
                <w:color w:val="000000"/>
                <w:sz w:val="20"/>
                <w:lang w:bidi="ar"/>
              </w:rPr>
              <w:br w:type="textWrapping"/>
            </w:r>
            <w:r>
              <w:rPr>
                <w:rFonts w:hint="eastAsia" w:hAnsi="宋体" w:cs="宋体"/>
                <w:color w:val="000000"/>
                <w:sz w:val="20"/>
                <w:lang w:bidi="ar"/>
              </w:rPr>
              <w:t>2.支持不少于6布局选择；6路视频直播切换；6个预置位；6个视频预选功能。</w:t>
            </w:r>
            <w:r>
              <w:rPr>
                <w:rFonts w:hint="eastAsia" w:hAnsi="宋体" w:cs="宋体"/>
                <w:color w:val="000000"/>
                <w:sz w:val="20"/>
                <w:lang w:bidi="ar"/>
              </w:rPr>
              <w:br w:type="textWrapping"/>
            </w:r>
            <w:r>
              <w:rPr>
                <w:rFonts w:hint="eastAsia" w:hAnsi="宋体" w:cs="宋体"/>
                <w:color w:val="000000"/>
                <w:sz w:val="20"/>
                <w:lang w:bidi="ar"/>
              </w:rPr>
              <w:t>3.支持云台控制功能：上下左右及变焦功能。</w:t>
            </w:r>
            <w:r>
              <w:rPr>
                <w:rFonts w:hint="eastAsia" w:hAnsi="宋体" w:cs="宋体"/>
                <w:color w:val="000000"/>
                <w:sz w:val="20"/>
                <w:lang w:bidi="ar"/>
              </w:rPr>
              <w:br w:type="textWrapping"/>
            </w:r>
            <w:r>
              <w:rPr>
                <w:rFonts w:hint="eastAsia" w:hAnsi="宋体" w:cs="宋体"/>
                <w:color w:val="000000"/>
                <w:sz w:val="20"/>
                <w:lang w:bidi="ar"/>
              </w:rPr>
              <w:t>4.支持录制、暂停、停止功能。</w:t>
            </w:r>
            <w:r>
              <w:rPr>
                <w:rFonts w:hint="eastAsia" w:hAnsi="宋体" w:cs="宋体"/>
                <w:color w:val="000000"/>
                <w:sz w:val="20"/>
                <w:lang w:bidi="ar"/>
              </w:rPr>
              <w:br w:type="textWrapping"/>
            </w:r>
            <w:r>
              <w:rPr>
                <w:rFonts w:hint="eastAsia" w:hAnsi="宋体" w:cs="宋体"/>
                <w:color w:val="000000"/>
                <w:sz w:val="20"/>
                <w:lang w:bidi="ar"/>
              </w:rPr>
              <w:t>5.支持全自动录播模式和手动录播模式。</w:t>
            </w:r>
            <w:r>
              <w:rPr>
                <w:rFonts w:hint="eastAsia" w:hAnsi="宋体" w:cs="宋体"/>
                <w:color w:val="000000"/>
                <w:sz w:val="20"/>
                <w:lang w:bidi="ar"/>
              </w:rPr>
              <w:br w:type="textWrapping"/>
            </w:r>
            <w:r>
              <w:rPr>
                <w:rFonts w:hint="eastAsia" w:hAnsi="宋体" w:cs="宋体"/>
                <w:color w:val="000000"/>
                <w:sz w:val="20"/>
                <w:lang w:bidi="ar"/>
              </w:rPr>
              <w:t>6.支持通过USB线缆连接录播主机。</w:t>
            </w:r>
            <w:r>
              <w:rPr>
                <w:rFonts w:hint="eastAsia" w:hAnsi="宋体" w:cs="宋体"/>
                <w:color w:val="000000"/>
                <w:sz w:val="20"/>
                <w:lang w:bidi="ar"/>
              </w:rPr>
              <w:br w:type="textWrapping"/>
            </w:r>
            <w:r>
              <w:rPr>
                <w:rFonts w:hint="eastAsia" w:hAnsi="宋体" w:cs="宋体"/>
                <w:color w:val="000000"/>
                <w:sz w:val="20"/>
                <w:lang w:bidi="ar"/>
              </w:rPr>
              <w:t>7.安装导播控制台软件，并设置录播地址。</w:t>
            </w:r>
            <w:r>
              <w:rPr>
                <w:rFonts w:hint="eastAsia" w:hAnsi="宋体" w:cs="宋体"/>
                <w:color w:val="000000"/>
                <w:sz w:val="20"/>
                <w:lang w:bidi="ar"/>
              </w:rPr>
              <w:br w:type="textWrapping"/>
            </w:r>
            <w:r>
              <w:rPr>
                <w:rFonts w:hint="eastAsia" w:hAnsi="宋体" w:cs="宋体"/>
                <w:color w:val="000000"/>
                <w:sz w:val="20"/>
                <w:lang w:bidi="ar"/>
              </w:rPr>
              <w:t>8.导播界面与导播控制台按键/状态同步对应。</w:t>
            </w:r>
          </w:p>
        </w:tc>
        <w:tc>
          <w:tcPr>
            <w:tcW w:w="0" w:type="auto"/>
            <w:shd w:val="clear" w:color="auto" w:fill="auto"/>
            <w:vAlign w:val="center"/>
          </w:tcPr>
          <w:p w14:paraId="4D7E07A1">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061D7F9D">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3D52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367EBF51">
            <w:pPr>
              <w:widowControl/>
              <w:spacing w:line="460" w:lineRule="exact"/>
              <w:jc w:val="center"/>
              <w:textAlignment w:val="center"/>
              <w:rPr>
                <w:rFonts w:hAnsi="宋体" w:cs="宋体"/>
                <w:color w:val="000000"/>
                <w:sz w:val="20"/>
              </w:rPr>
            </w:pPr>
            <w:r>
              <w:rPr>
                <w:rFonts w:hint="eastAsia" w:hAnsi="宋体" w:cs="宋体"/>
                <w:color w:val="000000"/>
                <w:sz w:val="20"/>
                <w:lang w:bidi="ar"/>
              </w:rPr>
              <w:t>18</w:t>
            </w:r>
          </w:p>
        </w:tc>
        <w:tc>
          <w:tcPr>
            <w:tcW w:w="0" w:type="auto"/>
            <w:shd w:val="clear" w:color="auto" w:fill="auto"/>
            <w:vAlign w:val="center"/>
          </w:tcPr>
          <w:p w14:paraId="65031AD8">
            <w:pPr>
              <w:widowControl/>
              <w:spacing w:line="460" w:lineRule="exact"/>
              <w:jc w:val="center"/>
              <w:textAlignment w:val="center"/>
              <w:rPr>
                <w:rFonts w:hAnsi="宋体" w:cs="宋体"/>
                <w:color w:val="000000"/>
                <w:sz w:val="20"/>
              </w:rPr>
            </w:pPr>
            <w:r>
              <w:rPr>
                <w:rFonts w:hint="eastAsia" w:hAnsi="宋体" w:cs="宋体"/>
                <w:color w:val="000000"/>
                <w:sz w:val="20"/>
                <w:lang w:bidi="ar"/>
              </w:rPr>
              <w:t>网络交换机</w:t>
            </w:r>
          </w:p>
        </w:tc>
        <w:tc>
          <w:tcPr>
            <w:tcW w:w="0" w:type="auto"/>
            <w:shd w:val="clear" w:color="auto" w:fill="auto"/>
            <w:vAlign w:val="center"/>
          </w:tcPr>
          <w:p w14:paraId="31FD2C82">
            <w:pPr>
              <w:widowControl/>
              <w:spacing w:line="460" w:lineRule="exact"/>
              <w:textAlignment w:val="center"/>
              <w:rPr>
                <w:rFonts w:hAnsi="宋体" w:cs="宋体"/>
                <w:color w:val="000000"/>
                <w:sz w:val="20"/>
              </w:rPr>
            </w:pPr>
            <w:r>
              <w:rPr>
                <w:rFonts w:hint="eastAsia" w:hAnsi="宋体" w:cs="宋体"/>
                <w:color w:val="000000"/>
                <w:sz w:val="20"/>
                <w:lang w:bidi="ar"/>
              </w:rPr>
              <w:t>16个10/100/1000Mbps自适应电口+2个10/100/1000Mbps上联光口</w:t>
            </w:r>
          </w:p>
        </w:tc>
        <w:tc>
          <w:tcPr>
            <w:tcW w:w="0" w:type="auto"/>
            <w:shd w:val="clear" w:color="auto" w:fill="auto"/>
            <w:vAlign w:val="center"/>
          </w:tcPr>
          <w:p w14:paraId="1905BB20">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058196FF">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23D9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14C55691">
            <w:pPr>
              <w:widowControl/>
              <w:spacing w:line="460" w:lineRule="exact"/>
              <w:jc w:val="center"/>
              <w:textAlignment w:val="center"/>
              <w:rPr>
                <w:rFonts w:hAnsi="宋体" w:cs="宋体"/>
                <w:color w:val="000000"/>
                <w:sz w:val="20"/>
              </w:rPr>
            </w:pPr>
            <w:r>
              <w:rPr>
                <w:rFonts w:hint="eastAsia" w:hAnsi="宋体" w:cs="宋体"/>
                <w:color w:val="000000"/>
                <w:sz w:val="20"/>
                <w:lang w:bidi="ar"/>
              </w:rPr>
              <w:t>19</w:t>
            </w:r>
          </w:p>
        </w:tc>
        <w:tc>
          <w:tcPr>
            <w:tcW w:w="0" w:type="auto"/>
            <w:shd w:val="clear" w:color="auto" w:fill="auto"/>
            <w:vAlign w:val="center"/>
          </w:tcPr>
          <w:p w14:paraId="231E0AB9">
            <w:pPr>
              <w:widowControl/>
              <w:spacing w:line="460" w:lineRule="exact"/>
              <w:jc w:val="center"/>
              <w:textAlignment w:val="center"/>
              <w:rPr>
                <w:rFonts w:hAnsi="宋体" w:cs="宋体"/>
                <w:color w:val="000000"/>
                <w:sz w:val="20"/>
              </w:rPr>
            </w:pPr>
            <w:r>
              <w:rPr>
                <w:rFonts w:hint="eastAsia" w:hAnsi="宋体" w:cs="宋体"/>
                <w:color w:val="000000"/>
                <w:sz w:val="20"/>
                <w:lang w:bidi="ar"/>
              </w:rPr>
              <w:t>导播显示器</w:t>
            </w:r>
          </w:p>
        </w:tc>
        <w:tc>
          <w:tcPr>
            <w:tcW w:w="0" w:type="auto"/>
            <w:shd w:val="clear" w:color="auto" w:fill="auto"/>
            <w:vAlign w:val="center"/>
          </w:tcPr>
          <w:p w14:paraId="0690BBB3">
            <w:pPr>
              <w:widowControl/>
              <w:spacing w:line="460" w:lineRule="exact"/>
              <w:textAlignment w:val="center"/>
              <w:rPr>
                <w:rFonts w:hAnsi="宋体" w:cs="宋体"/>
                <w:color w:val="000000"/>
                <w:sz w:val="20"/>
              </w:rPr>
            </w:pPr>
            <w:r>
              <w:rPr>
                <w:rFonts w:hint="eastAsia" w:hAnsi="宋体" w:cs="宋体"/>
                <w:color w:val="000000"/>
                <w:sz w:val="20"/>
                <w:lang w:bidi="ar"/>
              </w:rPr>
              <w:t>27寸 IPS技术显示器，含电脑鼠标套装</w:t>
            </w:r>
          </w:p>
        </w:tc>
        <w:tc>
          <w:tcPr>
            <w:tcW w:w="0" w:type="auto"/>
            <w:shd w:val="clear" w:color="auto" w:fill="auto"/>
            <w:vAlign w:val="center"/>
          </w:tcPr>
          <w:p w14:paraId="24690363">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56078BB4">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0423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1D0FEE67">
            <w:pPr>
              <w:widowControl/>
              <w:spacing w:line="460" w:lineRule="exact"/>
              <w:jc w:val="center"/>
              <w:textAlignment w:val="center"/>
              <w:rPr>
                <w:rFonts w:hAnsi="宋体" w:cs="宋体"/>
                <w:color w:val="000000"/>
                <w:sz w:val="20"/>
              </w:rPr>
            </w:pPr>
            <w:r>
              <w:rPr>
                <w:rFonts w:hint="eastAsia" w:hAnsi="宋体" w:cs="宋体"/>
                <w:color w:val="000000"/>
                <w:sz w:val="20"/>
                <w:lang w:bidi="ar"/>
              </w:rPr>
              <w:t>20</w:t>
            </w:r>
          </w:p>
        </w:tc>
        <w:tc>
          <w:tcPr>
            <w:tcW w:w="0" w:type="auto"/>
            <w:shd w:val="clear" w:color="auto" w:fill="auto"/>
            <w:vAlign w:val="center"/>
          </w:tcPr>
          <w:p w14:paraId="56F6CDC6">
            <w:pPr>
              <w:widowControl/>
              <w:spacing w:line="460" w:lineRule="exact"/>
              <w:jc w:val="center"/>
              <w:textAlignment w:val="center"/>
              <w:rPr>
                <w:rFonts w:hAnsi="宋体" w:cs="宋体"/>
                <w:color w:val="000000"/>
                <w:sz w:val="20"/>
              </w:rPr>
            </w:pPr>
            <w:r>
              <w:rPr>
                <w:rFonts w:hint="eastAsia" w:hAnsi="宋体" w:cs="宋体"/>
                <w:color w:val="000000"/>
                <w:sz w:val="20"/>
                <w:lang w:bidi="ar"/>
              </w:rPr>
              <w:t>专业操控台</w:t>
            </w:r>
          </w:p>
        </w:tc>
        <w:tc>
          <w:tcPr>
            <w:tcW w:w="0" w:type="auto"/>
            <w:shd w:val="clear" w:color="auto" w:fill="auto"/>
          </w:tcPr>
          <w:p w14:paraId="7C7DAE70">
            <w:pPr>
              <w:widowControl/>
              <w:spacing w:line="460" w:lineRule="exact"/>
              <w:textAlignment w:val="top"/>
              <w:rPr>
                <w:rFonts w:hAnsi="宋体" w:cs="宋体"/>
                <w:color w:val="000000"/>
                <w:sz w:val="20"/>
              </w:rPr>
            </w:pPr>
            <w:r>
              <w:rPr>
                <w:rFonts w:hint="eastAsia" w:hAnsi="宋体" w:cs="宋体"/>
                <w:color w:val="000000"/>
                <w:sz w:val="20"/>
                <w:lang w:bidi="ar"/>
              </w:rPr>
              <w:t>1.机架全钢，布置机柜（高度13U），具有合理的走线槽、全尺寸键盘抽屉；                    2.面板：材质为防滑、耐磨防火板，边沿前鸭嘴、后圆角式样；                               3.尺寸：1800mm*750mm*800mm；                                                          4.为方便设备检修维护，底部需带4个耐磨轮子；</w:t>
            </w:r>
          </w:p>
        </w:tc>
        <w:tc>
          <w:tcPr>
            <w:tcW w:w="0" w:type="auto"/>
            <w:shd w:val="clear" w:color="auto" w:fill="auto"/>
            <w:vAlign w:val="center"/>
          </w:tcPr>
          <w:p w14:paraId="4ABE134C">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1103BE0B">
            <w:pPr>
              <w:widowControl/>
              <w:spacing w:line="460" w:lineRule="exact"/>
              <w:jc w:val="center"/>
              <w:textAlignment w:val="center"/>
              <w:rPr>
                <w:rFonts w:hAnsi="宋体" w:cs="宋体"/>
                <w:color w:val="000000"/>
                <w:sz w:val="20"/>
              </w:rPr>
            </w:pPr>
            <w:r>
              <w:rPr>
                <w:rFonts w:hint="eastAsia" w:hAnsi="宋体" w:cs="宋体"/>
                <w:color w:val="000000"/>
                <w:sz w:val="20"/>
                <w:lang w:bidi="ar"/>
              </w:rPr>
              <w:t>张</w:t>
            </w:r>
          </w:p>
        </w:tc>
      </w:tr>
      <w:tr w14:paraId="4229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1C02BEEB">
            <w:pPr>
              <w:widowControl/>
              <w:spacing w:line="460" w:lineRule="exact"/>
              <w:jc w:val="center"/>
              <w:textAlignment w:val="center"/>
              <w:rPr>
                <w:rFonts w:hAnsi="宋体" w:cs="宋体"/>
                <w:color w:val="000000"/>
                <w:sz w:val="20"/>
              </w:rPr>
            </w:pPr>
            <w:r>
              <w:rPr>
                <w:rFonts w:hint="eastAsia" w:hAnsi="宋体" w:cs="宋体"/>
                <w:color w:val="000000"/>
                <w:sz w:val="20"/>
                <w:lang w:bidi="ar"/>
              </w:rPr>
              <w:t>21</w:t>
            </w:r>
          </w:p>
        </w:tc>
        <w:tc>
          <w:tcPr>
            <w:tcW w:w="0" w:type="auto"/>
            <w:shd w:val="clear" w:color="auto" w:fill="auto"/>
            <w:vAlign w:val="center"/>
          </w:tcPr>
          <w:p w14:paraId="17CFE919">
            <w:pPr>
              <w:widowControl/>
              <w:spacing w:line="460" w:lineRule="exact"/>
              <w:jc w:val="center"/>
              <w:textAlignment w:val="center"/>
              <w:rPr>
                <w:rFonts w:hAnsi="宋体" w:cs="宋体"/>
                <w:color w:val="000000"/>
                <w:sz w:val="20"/>
              </w:rPr>
            </w:pPr>
            <w:r>
              <w:rPr>
                <w:rFonts w:hint="eastAsia" w:hAnsi="宋体" w:cs="宋体"/>
                <w:color w:val="000000"/>
                <w:sz w:val="20"/>
                <w:lang w:bidi="ar"/>
              </w:rPr>
              <w:t>观摩室音箱</w:t>
            </w:r>
          </w:p>
        </w:tc>
        <w:tc>
          <w:tcPr>
            <w:tcW w:w="0" w:type="auto"/>
            <w:shd w:val="clear" w:color="auto" w:fill="auto"/>
            <w:vAlign w:val="center"/>
          </w:tcPr>
          <w:p w14:paraId="48108B14">
            <w:pPr>
              <w:widowControl/>
              <w:spacing w:line="460" w:lineRule="exact"/>
              <w:textAlignment w:val="center"/>
              <w:rPr>
                <w:rFonts w:hAnsi="宋体" w:cs="宋体"/>
                <w:color w:val="000000"/>
                <w:sz w:val="20"/>
              </w:rPr>
            </w:pP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音箱采用特制扬声器单元；</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音箱采用两分频设计，重放效果清晰、饱满、柔和，能够很好地表现音乐和还原人声；</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箱体采用优质中密度纤维板，表面采用白色撒点喷漆，美观且经久耐用；</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音箱外形小巧、简洁美观、箱体线条流畅、具有现代感、安装方便；</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网罩采用0.8mm至1.0mm厚的钢网；</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音箱自带专用壁挂件，可根据使用要求灵活调整水平、垂直角度；</w:t>
            </w:r>
            <w:r>
              <w:rPr>
                <w:rFonts w:hint="eastAsia" w:hAnsi="宋体" w:cs="宋体"/>
                <w:color w:val="000000"/>
                <w:sz w:val="20"/>
                <w:lang w:bidi="ar"/>
              </w:rPr>
              <w:br w:type="textWrapping"/>
            </w:r>
            <w:r>
              <w:rPr>
                <w:rFonts w:hint="eastAsia" w:hAnsi="宋体" w:cs="宋体"/>
                <w:color w:val="000000"/>
                <w:sz w:val="20"/>
                <w:lang w:bidi="ar"/>
              </w:rPr>
              <w:t>7</w:t>
            </w:r>
            <w:r>
              <w:rPr>
                <w:rFonts w:hint="eastAsia" w:hAnsi="宋体" w:cs="宋体"/>
                <w:color w:val="000000"/>
                <w:sz w:val="20"/>
                <w:lang w:val="en-US" w:eastAsia="zh-CN" w:bidi="ar"/>
              </w:rPr>
              <w:t>.</w:t>
            </w:r>
            <w:r>
              <w:rPr>
                <w:rFonts w:hint="eastAsia" w:hAnsi="宋体" w:cs="宋体"/>
                <w:color w:val="000000"/>
                <w:sz w:val="20"/>
                <w:lang w:bidi="ar"/>
              </w:rPr>
              <w:t xml:space="preserve">额定/峰值功率:60W / 240 W ;  </w:t>
            </w:r>
            <w:r>
              <w:rPr>
                <w:rFonts w:hint="eastAsia" w:hAnsi="宋体" w:cs="宋体"/>
                <w:color w:val="000000"/>
                <w:sz w:val="20"/>
                <w:lang w:bidi="ar"/>
              </w:rPr>
              <w:br w:type="textWrapping"/>
            </w:r>
            <w:r>
              <w:rPr>
                <w:rFonts w:hint="eastAsia" w:hAnsi="宋体" w:cs="宋体"/>
                <w:color w:val="000000"/>
                <w:sz w:val="20"/>
                <w:lang w:bidi="ar"/>
              </w:rPr>
              <w:t>8</w:t>
            </w:r>
            <w:r>
              <w:rPr>
                <w:rFonts w:hint="eastAsia" w:hAnsi="宋体" w:cs="宋体"/>
                <w:color w:val="000000"/>
                <w:sz w:val="20"/>
                <w:lang w:val="en-US" w:eastAsia="zh-CN" w:bidi="ar"/>
              </w:rPr>
              <w:t>.</w:t>
            </w:r>
            <w:r>
              <w:rPr>
                <w:rFonts w:hint="eastAsia" w:hAnsi="宋体" w:cs="宋体"/>
                <w:color w:val="000000"/>
                <w:sz w:val="20"/>
                <w:lang w:bidi="ar"/>
              </w:rPr>
              <w:t>额定阻抗：    8Ω;</w:t>
            </w:r>
            <w:r>
              <w:rPr>
                <w:rFonts w:hint="eastAsia" w:hAnsi="宋体" w:cs="宋体"/>
                <w:color w:val="000000"/>
                <w:sz w:val="20"/>
                <w:lang w:bidi="ar"/>
              </w:rPr>
              <w:br w:type="textWrapping"/>
            </w:r>
            <w:r>
              <w:rPr>
                <w:rFonts w:hint="eastAsia" w:hAnsi="宋体" w:cs="宋体"/>
                <w:color w:val="000000"/>
                <w:sz w:val="20"/>
                <w:lang w:bidi="ar"/>
              </w:rPr>
              <w:t>9</w:t>
            </w:r>
            <w:r>
              <w:rPr>
                <w:rFonts w:hint="eastAsia" w:hAnsi="宋体" w:cs="宋体"/>
                <w:color w:val="000000"/>
                <w:sz w:val="20"/>
                <w:lang w:val="en-US" w:eastAsia="zh-CN" w:bidi="ar"/>
              </w:rPr>
              <w:t>.</w:t>
            </w:r>
            <w:r>
              <w:rPr>
                <w:rFonts w:hint="eastAsia" w:hAnsi="宋体" w:cs="宋体"/>
                <w:color w:val="000000"/>
                <w:sz w:val="20"/>
                <w:lang w:bidi="ar"/>
              </w:rPr>
              <w:t>特性灵敏度：  89dB/W/m ;</w:t>
            </w:r>
            <w:r>
              <w:rPr>
                <w:rFonts w:hint="eastAsia" w:hAnsi="宋体" w:cs="宋体"/>
                <w:color w:val="000000"/>
                <w:sz w:val="20"/>
                <w:lang w:bidi="ar"/>
              </w:rPr>
              <w:br w:type="textWrapping"/>
            </w:r>
            <w:r>
              <w:rPr>
                <w:rFonts w:hint="eastAsia" w:hAnsi="宋体" w:cs="宋体"/>
                <w:color w:val="000000"/>
                <w:sz w:val="20"/>
                <w:lang w:bidi="ar"/>
              </w:rPr>
              <w:t>10</w:t>
            </w:r>
            <w:r>
              <w:rPr>
                <w:rFonts w:hint="eastAsia" w:hAnsi="宋体" w:cs="宋体"/>
                <w:color w:val="000000"/>
                <w:sz w:val="20"/>
                <w:lang w:val="en-US" w:eastAsia="zh-CN" w:bidi="ar"/>
              </w:rPr>
              <w:t>.</w:t>
            </w:r>
            <w:r>
              <w:rPr>
                <w:rFonts w:hint="eastAsia" w:hAnsi="宋体" w:cs="宋体"/>
                <w:color w:val="000000"/>
                <w:sz w:val="20"/>
                <w:lang w:bidi="ar"/>
              </w:rPr>
              <w:t>输出声压级：  107dB/W/m(Continues);</w:t>
            </w:r>
            <w:r>
              <w:rPr>
                <w:rFonts w:hint="eastAsia" w:hAnsi="宋体" w:cs="宋体"/>
                <w:color w:val="000000"/>
                <w:sz w:val="20"/>
                <w:lang w:bidi="ar"/>
              </w:rPr>
              <w:br w:type="textWrapping"/>
            </w:r>
            <w:r>
              <w:rPr>
                <w:rFonts w:hint="eastAsia" w:hAnsi="宋体" w:cs="宋体"/>
                <w:color w:val="000000"/>
                <w:sz w:val="20"/>
                <w:lang w:bidi="ar"/>
              </w:rPr>
              <w:t xml:space="preserve">                 113dB/W/m(Peak); </w:t>
            </w:r>
            <w:r>
              <w:rPr>
                <w:rFonts w:hint="eastAsia" w:hAnsi="宋体" w:cs="宋体"/>
                <w:color w:val="000000"/>
                <w:sz w:val="20"/>
                <w:lang w:bidi="ar"/>
              </w:rPr>
              <w:br w:type="textWrapping"/>
            </w:r>
            <w:r>
              <w:rPr>
                <w:rFonts w:hint="eastAsia" w:hAnsi="宋体" w:cs="宋体"/>
                <w:color w:val="000000"/>
                <w:sz w:val="20"/>
                <w:lang w:bidi="ar"/>
              </w:rPr>
              <w:t>11</w:t>
            </w:r>
            <w:r>
              <w:rPr>
                <w:rFonts w:hint="eastAsia" w:hAnsi="宋体" w:cs="宋体"/>
                <w:color w:val="000000"/>
                <w:sz w:val="20"/>
                <w:lang w:val="en-US" w:eastAsia="zh-CN" w:bidi="ar"/>
              </w:rPr>
              <w:t>.</w:t>
            </w:r>
            <w:r>
              <w:rPr>
                <w:rFonts w:hint="eastAsia" w:hAnsi="宋体" w:cs="宋体"/>
                <w:color w:val="000000"/>
                <w:sz w:val="20"/>
                <w:lang w:bidi="ar"/>
              </w:rPr>
              <w:t>额定频率范围: 90~ 20KHz;</w:t>
            </w:r>
            <w:r>
              <w:rPr>
                <w:rFonts w:hint="eastAsia" w:hAnsi="宋体" w:cs="宋体"/>
                <w:color w:val="000000"/>
                <w:sz w:val="20"/>
                <w:lang w:bidi="ar"/>
              </w:rPr>
              <w:br w:type="textWrapping"/>
            </w:r>
            <w:r>
              <w:rPr>
                <w:rFonts w:hint="eastAsia" w:hAnsi="宋体" w:cs="宋体"/>
                <w:color w:val="000000"/>
                <w:sz w:val="20"/>
                <w:lang w:bidi="ar"/>
              </w:rPr>
              <w:t>12</w:t>
            </w:r>
            <w:r>
              <w:rPr>
                <w:rFonts w:hint="eastAsia" w:hAnsi="宋体" w:cs="宋体"/>
                <w:color w:val="000000"/>
                <w:sz w:val="20"/>
                <w:lang w:val="en-US" w:eastAsia="zh-CN" w:bidi="ar"/>
              </w:rPr>
              <w:t>.</w:t>
            </w:r>
            <w:r>
              <w:rPr>
                <w:rFonts w:hint="eastAsia" w:hAnsi="宋体" w:cs="宋体"/>
                <w:color w:val="000000"/>
                <w:sz w:val="20"/>
                <w:lang w:bidi="ar"/>
              </w:rPr>
              <w:t xml:space="preserve">扬声器单元：  LF:  6.5英寸 ; </w:t>
            </w:r>
            <w:r>
              <w:rPr>
                <w:rFonts w:hint="eastAsia" w:hAnsi="宋体" w:cs="宋体"/>
                <w:color w:val="000000"/>
                <w:sz w:val="20"/>
                <w:lang w:bidi="ar"/>
              </w:rPr>
              <w:br w:type="textWrapping"/>
            </w:r>
            <w:r>
              <w:rPr>
                <w:rFonts w:hint="eastAsia" w:hAnsi="宋体" w:cs="宋体"/>
                <w:color w:val="000000"/>
                <w:sz w:val="20"/>
                <w:lang w:bidi="ar"/>
              </w:rPr>
              <w:t xml:space="preserve">                 HF:  3 英寸纸盆高音;</w:t>
            </w:r>
            <w:r>
              <w:rPr>
                <w:rFonts w:hint="eastAsia" w:hAnsi="宋体" w:cs="宋体"/>
                <w:color w:val="000000"/>
                <w:sz w:val="20"/>
                <w:lang w:bidi="ar"/>
              </w:rPr>
              <w:br w:type="textWrapping"/>
            </w:r>
            <w:r>
              <w:rPr>
                <w:rFonts w:hint="eastAsia" w:hAnsi="宋体" w:cs="宋体"/>
                <w:color w:val="000000"/>
                <w:sz w:val="20"/>
                <w:lang w:bidi="ar"/>
              </w:rPr>
              <w:t>13</w:t>
            </w:r>
            <w:r>
              <w:rPr>
                <w:rFonts w:hint="eastAsia" w:hAnsi="宋体" w:cs="宋体"/>
                <w:color w:val="000000"/>
                <w:sz w:val="20"/>
                <w:lang w:val="en-US" w:eastAsia="zh-CN" w:bidi="ar"/>
              </w:rPr>
              <w:t>.</w:t>
            </w:r>
            <w:r>
              <w:rPr>
                <w:rFonts w:hint="eastAsia" w:hAnsi="宋体" w:cs="宋体"/>
                <w:color w:val="000000"/>
                <w:sz w:val="20"/>
                <w:lang w:bidi="ar"/>
              </w:rPr>
              <w:t>箱体材料：    15mm中密度纤维板 ;</w:t>
            </w:r>
            <w:r>
              <w:rPr>
                <w:rFonts w:hint="eastAsia" w:hAnsi="宋体" w:cs="宋体"/>
                <w:color w:val="000000"/>
                <w:sz w:val="20"/>
                <w:lang w:bidi="ar"/>
              </w:rPr>
              <w:br w:type="textWrapping"/>
            </w:r>
            <w:r>
              <w:rPr>
                <w:rFonts w:hint="eastAsia" w:hAnsi="宋体" w:cs="宋体"/>
                <w:color w:val="000000"/>
                <w:sz w:val="20"/>
                <w:lang w:bidi="ar"/>
              </w:rPr>
              <w:t>14</w:t>
            </w:r>
            <w:r>
              <w:rPr>
                <w:rFonts w:hint="eastAsia" w:hAnsi="宋体" w:cs="宋体"/>
                <w:color w:val="000000"/>
                <w:sz w:val="20"/>
                <w:lang w:val="en-US" w:eastAsia="zh-CN" w:bidi="ar"/>
              </w:rPr>
              <w:t>.</w:t>
            </w:r>
            <w:r>
              <w:rPr>
                <w:rFonts w:hint="eastAsia" w:hAnsi="宋体" w:cs="宋体"/>
                <w:color w:val="000000"/>
                <w:sz w:val="20"/>
                <w:lang w:bidi="ar"/>
              </w:rPr>
              <w:t>输入接口：    接线盒;</w:t>
            </w:r>
            <w:r>
              <w:rPr>
                <w:rFonts w:hint="eastAsia" w:hAnsi="宋体" w:cs="宋体"/>
                <w:color w:val="000000"/>
                <w:sz w:val="20"/>
                <w:lang w:bidi="ar"/>
              </w:rPr>
              <w:br w:type="textWrapping"/>
            </w:r>
            <w:r>
              <w:rPr>
                <w:rFonts w:hint="eastAsia" w:hAnsi="宋体" w:cs="宋体"/>
                <w:color w:val="000000"/>
                <w:sz w:val="20"/>
                <w:lang w:bidi="ar"/>
              </w:rPr>
              <w:t>15</w:t>
            </w:r>
            <w:r>
              <w:rPr>
                <w:rFonts w:hint="eastAsia" w:hAnsi="宋体" w:cs="宋体"/>
                <w:color w:val="000000"/>
                <w:sz w:val="20"/>
                <w:lang w:val="en-US" w:eastAsia="zh-CN" w:bidi="ar"/>
              </w:rPr>
              <w:t>.</w:t>
            </w:r>
            <w:r>
              <w:rPr>
                <w:rFonts w:hint="eastAsia" w:hAnsi="宋体" w:cs="宋体"/>
                <w:color w:val="000000"/>
                <w:sz w:val="20"/>
                <w:lang w:bidi="ar"/>
              </w:rPr>
              <w:t>吊挂点：      专用壁挂;</w:t>
            </w:r>
            <w:r>
              <w:rPr>
                <w:rFonts w:hint="eastAsia" w:hAnsi="宋体" w:cs="宋体"/>
                <w:color w:val="000000"/>
                <w:sz w:val="20"/>
                <w:lang w:bidi="ar"/>
              </w:rPr>
              <w:br w:type="textWrapping"/>
            </w:r>
            <w:r>
              <w:rPr>
                <w:rFonts w:hint="eastAsia" w:hAnsi="宋体" w:cs="宋体"/>
                <w:color w:val="000000"/>
                <w:sz w:val="20"/>
                <w:lang w:bidi="ar"/>
              </w:rPr>
              <w:t>16</w:t>
            </w:r>
            <w:r>
              <w:rPr>
                <w:rFonts w:hint="eastAsia" w:hAnsi="宋体" w:cs="宋体"/>
                <w:color w:val="000000"/>
                <w:sz w:val="20"/>
                <w:lang w:val="en-US" w:eastAsia="zh-CN" w:bidi="ar"/>
              </w:rPr>
              <w:t>.</w:t>
            </w:r>
            <w:r>
              <w:rPr>
                <w:rFonts w:hint="eastAsia" w:hAnsi="宋体" w:cs="宋体"/>
                <w:color w:val="000000"/>
                <w:sz w:val="20"/>
                <w:lang w:bidi="ar"/>
              </w:rPr>
              <w:t xml:space="preserve">箱体尺寸(mm)：372(H) ×228.6(W)×209(D); </w:t>
            </w:r>
            <w:r>
              <w:rPr>
                <w:rFonts w:hint="eastAsia" w:hAnsi="宋体" w:cs="宋体"/>
                <w:color w:val="000000"/>
                <w:sz w:val="20"/>
                <w:lang w:bidi="ar"/>
              </w:rPr>
              <w:br w:type="textWrapping"/>
            </w:r>
            <w:r>
              <w:rPr>
                <w:rFonts w:hint="eastAsia" w:hAnsi="宋体" w:cs="宋体"/>
                <w:color w:val="000000"/>
                <w:sz w:val="20"/>
                <w:lang w:bidi="ar"/>
              </w:rPr>
              <w:t>17</w:t>
            </w:r>
            <w:r>
              <w:rPr>
                <w:rFonts w:hint="eastAsia" w:hAnsi="宋体" w:cs="宋体"/>
                <w:color w:val="000000"/>
                <w:sz w:val="20"/>
                <w:lang w:val="en-US" w:eastAsia="zh-CN" w:bidi="ar"/>
              </w:rPr>
              <w:t>.</w:t>
            </w:r>
            <w:r>
              <w:rPr>
                <w:rFonts w:hint="eastAsia" w:hAnsi="宋体" w:cs="宋体"/>
                <w:color w:val="000000"/>
                <w:sz w:val="20"/>
                <w:lang w:bidi="ar"/>
              </w:rPr>
              <w:t>重量(kg)：    4.7;</w:t>
            </w:r>
          </w:p>
        </w:tc>
        <w:tc>
          <w:tcPr>
            <w:tcW w:w="0" w:type="auto"/>
            <w:shd w:val="clear" w:color="auto" w:fill="auto"/>
            <w:vAlign w:val="center"/>
          </w:tcPr>
          <w:p w14:paraId="692CCE93">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1C3E0FD5">
            <w:pPr>
              <w:widowControl/>
              <w:spacing w:line="460" w:lineRule="exact"/>
              <w:jc w:val="center"/>
              <w:textAlignment w:val="center"/>
              <w:rPr>
                <w:rFonts w:hAnsi="宋体" w:cs="宋体"/>
                <w:color w:val="000000"/>
                <w:sz w:val="20"/>
              </w:rPr>
            </w:pPr>
            <w:r>
              <w:rPr>
                <w:rFonts w:hint="eastAsia" w:hAnsi="宋体" w:cs="宋体"/>
                <w:color w:val="000000"/>
                <w:sz w:val="20"/>
                <w:lang w:bidi="ar"/>
              </w:rPr>
              <w:t>对</w:t>
            </w:r>
          </w:p>
        </w:tc>
      </w:tr>
      <w:tr w14:paraId="4EBB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71F0FD2C">
            <w:pPr>
              <w:widowControl/>
              <w:spacing w:line="460" w:lineRule="exact"/>
              <w:jc w:val="center"/>
              <w:textAlignment w:val="center"/>
              <w:rPr>
                <w:rFonts w:hAnsi="宋体" w:cs="宋体"/>
                <w:color w:val="000000"/>
                <w:sz w:val="20"/>
              </w:rPr>
            </w:pPr>
            <w:r>
              <w:rPr>
                <w:rFonts w:hint="eastAsia" w:hAnsi="宋体" w:cs="宋体"/>
                <w:color w:val="000000"/>
                <w:sz w:val="20"/>
                <w:lang w:bidi="ar"/>
              </w:rPr>
              <w:t>22</w:t>
            </w:r>
          </w:p>
        </w:tc>
        <w:tc>
          <w:tcPr>
            <w:tcW w:w="0" w:type="auto"/>
            <w:shd w:val="clear" w:color="auto" w:fill="auto"/>
            <w:vAlign w:val="center"/>
          </w:tcPr>
          <w:p w14:paraId="0EE79D3D">
            <w:pPr>
              <w:widowControl/>
              <w:spacing w:line="460" w:lineRule="exact"/>
              <w:jc w:val="center"/>
              <w:textAlignment w:val="center"/>
              <w:rPr>
                <w:rFonts w:hAnsi="宋体" w:cs="宋体"/>
                <w:color w:val="000000"/>
                <w:sz w:val="20"/>
              </w:rPr>
            </w:pPr>
            <w:r>
              <w:rPr>
                <w:rFonts w:hint="eastAsia" w:hAnsi="宋体" w:cs="宋体"/>
                <w:color w:val="000000"/>
                <w:sz w:val="20"/>
                <w:lang w:bidi="ar"/>
              </w:rPr>
              <w:t>观摩室功放</w:t>
            </w:r>
          </w:p>
        </w:tc>
        <w:tc>
          <w:tcPr>
            <w:tcW w:w="0" w:type="auto"/>
            <w:shd w:val="clear" w:color="auto" w:fill="auto"/>
            <w:vAlign w:val="center"/>
          </w:tcPr>
          <w:p w14:paraId="1765337C">
            <w:pPr>
              <w:widowControl/>
              <w:spacing w:line="460" w:lineRule="exact"/>
              <w:textAlignment w:val="center"/>
              <w:rPr>
                <w:rFonts w:hAnsi="宋体" w:cs="宋体"/>
                <w:color w:val="000000"/>
                <w:sz w:val="20"/>
              </w:rPr>
            </w:pPr>
            <w:r>
              <w:rPr>
                <w:rFonts w:hint="eastAsia" w:hAnsi="宋体" w:cs="宋体"/>
                <w:color w:val="000000"/>
                <w:sz w:val="20"/>
                <w:lang w:bidi="ar"/>
              </w:rPr>
              <w:t>功能描述：</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本机是一款多功能音频功率放大器，采用高效率的开关电源和数字功放技术，并集成了专业前级放大系统、音频信号处理系统、功放电路保护系统等，产品可靠稳定、体积小、重量轻、效率高、电压适应范围广，可广泛应用于多种扩声场所；</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带两路有线话筒输入接口，两路无线话筒输入接口，三组线路输入接口，三组线路输出接口，两组功率输出接口；</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话筒、线路的音量可独立调节并具有高低音两段均衡，有线话筒输入通道带可独立开关的+48V幻像电源；</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本机带有蓝牙和USB播放功能，方便不同音乐节目的播放；</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带有一键静音和RS232接口，可实现远程控制；</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功放输出通道中L通道可独立调节输出大小。</w:t>
            </w:r>
            <w:r>
              <w:rPr>
                <w:rFonts w:hint="eastAsia" w:hAnsi="宋体" w:cs="宋体"/>
                <w:color w:val="000000"/>
                <w:sz w:val="20"/>
                <w:lang w:bidi="ar"/>
              </w:rPr>
              <w:br w:type="textWrapping"/>
            </w:r>
            <w:r>
              <w:rPr>
                <w:rFonts w:hint="eastAsia" w:hAnsi="宋体" w:cs="宋体"/>
                <w:color w:val="000000"/>
                <w:sz w:val="20"/>
                <w:lang w:bidi="ar"/>
              </w:rPr>
              <w:t>技术参数：</w:t>
            </w:r>
            <w:r>
              <w:rPr>
                <w:rFonts w:hint="eastAsia" w:hAnsi="宋体" w:cs="宋体"/>
                <w:color w:val="000000"/>
                <w:sz w:val="20"/>
                <w:lang w:bidi="ar"/>
              </w:rPr>
              <w:br w:type="textWrapping"/>
            </w: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带U盘播放（优先播放，格式MP3）和蓝牙播放，带LCD液晶显示屏，四路音源切换按键（带记忆功能），对线路1/线路2/线路3/（蓝牙/U盘）进行切换；</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带2路有线话筒输入（6.35话筒口，+48V幻像电源可切换）、2路无线话筒输入（1路3.5三芯+1路USB，USB可用于2.4G无线话筒供电）、2组立体声线路输入（RCA*4莲花接口）、1路线路平衡输入（凤凰接口）；</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带2组立体声线路输出（RCA*4莲花接口）、1路线路平衡输出（凤凰接口）；</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带1路RS232控制接口、1路一键静音控制接口；</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话筒和线路音量、高/低音独立可调，带功放L输出通道信号大小调节功能；</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 xml:space="preserve">额定功率(RMS)：2×60W  8Ω,2×120W  4Ω；                              </w:t>
            </w:r>
            <w:r>
              <w:rPr>
                <w:rFonts w:hint="eastAsia" w:hAnsi="宋体" w:cs="宋体"/>
                <w:color w:val="000000"/>
                <w:sz w:val="20"/>
                <w:lang w:bidi="ar"/>
              </w:rPr>
              <w:br w:type="textWrapping"/>
            </w:r>
            <w:r>
              <w:rPr>
                <w:rFonts w:hint="eastAsia" w:hAnsi="宋体" w:cs="宋体"/>
                <w:color w:val="000000"/>
                <w:sz w:val="20"/>
                <w:lang w:bidi="ar"/>
              </w:rPr>
              <w:t>7</w:t>
            </w:r>
            <w:r>
              <w:rPr>
                <w:rFonts w:hint="eastAsia" w:hAnsi="宋体" w:cs="宋体"/>
                <w:color w:val="000000"/>
                <w:sz w:val="20"/>
                <w:lang w:val="en-US" w:eastAsia="zh-CN" w:bidi="ar"/>
              </w:rPr>
              <w:t>.</w:t>
            </w:r>
            <w:r>
              <w:rPr>
                <w:rFonts w:hint="eastAsia" w:hAnsi="宋体" w:cs="宋体"/>
                <w:color w:val="000000"/>
                <w:sz w:val="20"/>
                <w:lang w:bidi="ar"/>
              </w:rPr>
              <w:t>总谐波失真：≤0.5%；</w:t>
            </w:r>
            <w:r>
              <w:rPr>
                <w:rFonts w:hint="eastAsia" w:hAnsi="宋体" w:cs="宋体"/>
                <w:color w:val="000000"/>
                <w:sz w:val="20"/>
                <w:lang w:bidi="ar"/>
              </w:rPr>
              <w:br w:type="textWrapping"/>
            </w:r>
            <w:r>
              <w:rPr>
                <w:rFonts w:hint="eastAsia" w:hAnsi="宋体" w:cs="宋体"/>
                <w:color w:val="000000"/>
                <w:sz w:val="20"/>
                <w:lang w:bidi="ar"/>
              </w:rPr>
              <w:t>8</w:t>
            </w:r>
            <w:r>
              <w:rPr>
                <w:rFonts w:hint="eastAsia" w:hAnsi="宋体" w:cs="宋体"/>
                <w:color w:val="000000"/>
                <w:sz w:val="20"/>
                <w:lang w:val="en-US" w:eastAsia="zh-CN" w:bidi="ar"/>
              </w:rPr>
              <w:t>.</w:t>
            </w:r>
            <w:r>
              <w:rPr>
                <w:rFonts w:hint="eastAsia" w:hAnsi="宋体" w:cs="宋体"/>
                <w:color w:val="000000"/>
                <w:sz w:val="20"/>
                <w:lang w:bidi="ar"/>
              </w:rPr>
              <w:t>线路频率响应：20Hz～20KHz  ±3dB，话筒频率响应：80Hz～16KHz  ±3dB；</w:t>
            </w:r>
            <w:r>
              <w:rPr>
                <w:rFonts w:hint="eastAsia" w:hAnsi="宋体" w:cs="宋体"/>
                <w:color w:val="000000"/>
                <w:sz w:val="20"/>
                <w:lang w:bidi="ar"/>
              </w:rPr>
              <w:br w:type="textWrapping"/>
            </w:r>
            <w:r>
              <w:rPr>
                <w:rFonts w:hint="eastAsia" w:hAnsi="宋体" w:cs="宋体"/>
                <w:color w:val="000000"/>
                <w:sz w:val="20"/>
                <w:lang w:bidi="ar"/>
              </w:rPr>
              <w:t>9</w:t>
            </w:r>
            <w:r>
              <w:rPr>
                <w:rFonts w:hint="eastAsia" w:hAnsi="宋体" w:cs="宋体"/>
                <w:color w:val="000000"/>
                <w:sz w:val="20"/>
                <w:lang w:val="en-US" w:eastAsia="zh-CN" w:bidi="ar"/>
              </w:rPr>
              <w:t>.</w:t>
            </w:r>
            <w:r>
              <w:rPr>
                <w:rFonts w:hint="eastAsia" w:hAnsi="宋体" w:cs="宋体"/>
                <w:color w:val="000000"/>
                <w:sz w:val="20"/>
                <w:lang w:bidi="ar"/>
              </w:rPr>
              <w:t>输入灵敏度：300±30mV线路，60±6mV有线话筒，200±20mV无线话筒；</w:t>
            </w:r>
            <w:r>
              <w:rPr>
                <w:rFonts w:hint="eastAsia" w:hAnsi="宋体" w:cs="宋体"/>
                <w:color w:val="000000"/>
                <w:sz w:val="20"/>
                <w:lang w:bidi="ar"/>
              </w:rPr>
              <w:br w:type="textWrapping"/>
            </w:r>
            <w:r>
              <w:rPr>
                <w:rFonts w:hint="eastAsia" w:hAnsi="宋体" w:cs="宋体"/>
                <w:color w:val="000000"/>
                <w:sz w:val="20"/>
                <w:lang w:bidi="ar"/>
              </w:rPr>
              <w:t>10</w:t>
            </w:r>
            <w:r>
              <w:rPr>
                <w:rFonts w:hint="eastAsia" w:hAnsi="宋体" w:cs="宋体"/>
                <w:color w:val="000000"/>
                <w:sz w:val="20"/>
                <w:lang w:val="en-US" w:eastAsia="zh-CN" w:bidi="ar"/>
              </w:rPr>
              <w:t>.</w:t>
            </w:r>
            <w:r>
              <w:rPr>
                <w:rFonts w:hint="eastAsia" w:hAnsi="宋体" w:cs="宋体"/>
                <w:color w:val="000000"/>
                <w:sz w:val="20"/>
                <w:lang w:bidi="ar"/>
              </w:rPr>
              <w:t xml:space="preserve">信噪比：≥80dB；                            </w:t>
            </w:r>
            <w:r>
              <w:rPr>
                <w:rFonts w:hint="eastAsia" w:hAnsi="宋体" w:cs="宋体"/>
                <w:color w:val="000000"/>
                <w:sz w:val="20"/>
                <w:lang w:bidi="ar"/>
              </w:rPr>
              <w:br w:type="textWrapping"/>
            </w:r>
            <w:r>
              <w:rPr>
                <w:rFonts w:hint="eastAsia" w:hAnsi="宋体" w:cs="宋体"/>
                <w:color w:val="000000"/>
                <w:sz w:val="20"/>
                <w:lang w:bidi="ar"/>
              </w:rPr>
              <w:t>11</w:t>
            </w:r>
            <w:r>
              <w:rPr>
                <w:rFonts w:hint="eastAsia" w:hAnsi="宋体" w:cs="宋体"/>
                <w:color w:val="000000"/>
                <w:sz w:val="20"/>
                <w:lang w:val="en-US" w:eastAsia="zh-CN" w:bidi="ar"/>
              </w:rPr>
              <w:t>.</w:t>
            </w:r>
            <w:r>
              <w:rPr>
                <w:rFonts w:hint="eastAsia" w:hAnsi="宋体" w:cs="宋体"/>
                <w:color w:val="000000"/>
                <w:sz w:val="20"/>
                <w:lang w:bidi="ar"/>
              </w:rPr>
              <w:t>线路高音提衰量（10KHz）：14dB±2dB，线路低音提衰量（100Hz）：14dB±2dB，话筒高音提衰量（10KHz）：14dB±2dB，话筒低音提衰量（100Hz）14dB±2dB；</w:t>
            </w:r>
            <w:r>
              <w:rPr>
                <w:rFonts w:hint="eastAsia" w:hAnsi="宋体" w:cs="宋体"/>
                <w:color w:val="000000"/>
                <w:sz w:val="20"/>
                <w:lang w:bidi="ar"/>
              </w:rPr>
              <w:br w:type="textWrapping"/>
            </w:r>
            <w:r>
              <w:rPr>
                <w:rFonts w:hint="eastAsia" w:hAnsi="宋体" w:cs="宋体"/>
                <w:color w:val="000000"/>
                <w:sz w:val="20"/>
                <w:lang w:bidi="ar"/>
              </w:rPr>
              <w:t>12</w:t>
            </w:r>
            <w:r>
              <w:rPr>
                <w:rFonts w:hint="eastAsia" w:hAnsi="宋体" w:cs="宋体"/>
                <w:color w:val="000000"/>
                <w:sz w:val="20"/>
                <w:lang w:val="en-US" w:eastAsia="zh-CN" w:bidi="ar"/>
              </w:rPr>
              <w:t>.</w:t>
            </w:r>
            <w:r>
              <w:rPr>
                <w:rFonts w:hint="eastAsia" w:hAnsi="宋体" w:cs="宋体"/>
                <w:color w:val="000000"/>
                <w:sz w:val="20"/>
                <w:lang w:bidi="ar"/>
              </w:rPr>
              <w:t>整机高度：1U；</w:t>
            </w:r>
            <w:r>
              <w:rPr>
                <w:rFonts w:hint="eastAsia" w:hAnsi="宋体" w:cs="宋体"/>
                <w:color w:val="000000"/>
                <w:sz w:val="20"/>
                <w:lang w:bidi="ar"/>
              </w:rPr>
              <w:br w:type="textWrapping"/>
            </w:r>
            <w:r>
              <w:rPr>
                <w:rFonts w:hint="eastAsia" w:hAnsi="宋体" w:cs="宋体"/>
                <w:color w:val="000000"/>
                <w:sz w:val="20"/>
                <w:lang w:bidi="ar"/>
              </w:rPr>
              <w:t>13</w:t>
            </w:r>
            <w:r>
              <w:rPr>
                <w:rFonts w:hint="eastAsia" w:hAnsi="宋体" w:cs="宋体"/>
                <w:color w:val="000000"/>
                <w:sz w:val="20"/>
                <w:lang w:val="en-US" w:eastAsia="zh-CN" w:bidi="ar"/>
              </w:rPr>
              <w:t>.</w:t>
            </w:r>
            <w:r>
              <w:rPr>
                <w:rFonts w:hint="eastAsia" w:hAnsi="宋体" w:cs="宋体"/>
                <w:color w:val="000000"/>
                <w:sz w:val="20"/>
                <w:lang w:bidi="ar"/>
              </w:rPr>
              <w:t>最大功率消耗：350W；</w:t>
            </w:r>
            <w:r>
              <w:rPr>
                <w:rFonts w:hint="eastAsia" w:hAnsi="宋体" w:cs="宋体"/>
                <w:color w:val="000000"/>
                <w:sz w:val="20"/>
                <w:lang w:bidi="ar"/>
              </w:rPr>
              <w:br w:type="textWrapping"/>
            </w:r>
            <w:r>
              <w:rPr>
                <w:rFonts w:hint="eastAsia" w:hAnsi="宋体" w:cs="宋体"/>
                <w:color w:val="000000"/>
                <w:sz w:val="20"/>
                <w:lang w:bidi="ar"/>
              </w:rPr>
              <w:t>14</w:t>
            </w:r>
            <w:r>
              <w:rPr>
                <w:rFonts w:hint="eastAsia" w:hAnsi="宋体" w:cs="宋体"/>
                <w:color w:val="000000"/>
                <w:sz w:val="20"/>
                <w:lang w:val="en-US" w:eastAsia="zh-CN" w:bidi="ar"/>
              </w:rPr>
              <w:t>.</w:t>
            </w:r>
            <w:r>
              <w:rPr>
                <w:rFonts w:hint="eastAsia" w:hAnsi="宋体" w:cs="宋体"/>
                <w:color w:val="000000"/>
                <w:sz w:val="20"/>
                <w:lang w:bidi="ar"/>
              </w:rPr>
              <w:t>额定电源电压：～220V/50Hz，电压适应范围：～180V-242V。</w:t>
            </w:r>
          </w:p>
        </w:tc>
        <w:tc>
          <w:tcPr>
            <w:tcW w:w="0" w:type="auto"/>
            <w:shd w:val="clear" w:color="auto" w:fill="auto"/>
            <w:vAlign w:val="center"/>
          </w:tcPr>
          <w:p w14:paraId="45053F50">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3496C44B">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1EB3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095D0A86">
            <w:pPr>
              <w:widowControl/>
              <w:spacing w:line="460" w:lineRule="exact"/>
              <w:jc w:val="center"/>
              <w:textAlignment w:val="center"/>
              <w:rPr>
                <w:rFonts w:hAnsi="宋体" w:cs="宋体"/>
                <w:color w:val="000000"/>
                <w:sz w:val="20"/>
              </w:rPr>
            </w:pPr>
            <w:r>
              <w:rPr>
                <w:rFonts w:hint="eastAsia" w:hAnsi="宋体" w:cs="宋体"/>
                <w:color w:val="000000"/>
                <w:sz w:val="20"/>
                <w:lang w:bidi="ar"/>
              </w:rPr>
              <w:t>23</w:t>
            </w:r>
          </w:p>
        </w:tc>
        <w:tc>
          <w:tcPr>
            <w:tcW w:w="0" w:type="auto"/>
            <w:shd w:val="clear" w:color="auto" w:fill="auto"/>
            <w:noWrap/>
            <w:vAlign w:val="center"/>
          </w:tcPr>
          <w:p w14:paraId="74389DC2">
            <w:pPr>
              <w:widowControl/>
              <w:spacing w:line="460" w:lineRule="exact"/>
              <w:jc w:val="center"/>
              <w:textAlignment w:val="center"/>
              <w:rPr>
                <w:rFonts w:hAnsi="宋体" w:cs="宋体"/>
                <w:color w:val="000000"/>
                <w:sz w:val="20"/>
              </w:rPr>
            </w:pPr>
            <w:r>
              <w:rPr>
                <w:rFonts w:hint="eastAsia" w:hAnsi="宋体" w:cs="宋体"/>
                <w:color w:val="000000"/>
                <w:sz w:val="20"/>
                <w:lang w:bidi="ar"/>
              </w:rPr>
              <w:t>观摩室大屏</w:t>
            </w:r>
          </w:p>
        </w:tc>
        <w:tc>
          <w:tcPr>
            <w:tcW w:w="0" w:type="auto"/>
            <w:shd w:val="clear" w:color="auto" w:fill="auto"/>
          </w:tcPr>
          <w:p w14:paraId="351AF62B">
            <w:pPr>
              <w:widowControl/>
              <w:spacing w:line="460" w:lineRule="exact"/>
              <w:textAlignment w:val="top"/>
              <w:rPr>
                <w:rFonts w:hAnsi="宋体" w:cs="宋体"/>
                <w:color w:val="000000"/>
                <w:sz w:val="20"/>
              </w:rPr>
            </w:pPr>
            <w:r>
              <w:rPr>
                <w:rFonts w:hint="eastAsia" w:hAnsi="宋体" w:cs="宋体"/>
                <w:color w:val="000000"/>
                <w:sz w:val="20"/>
                <w:lang w:bidi="ar"/>
              </w:rPr>
              <w:t>可视尺寸≥55英寸/分辨率1366×768/有效水平、垂直视角≥160度/音响功率2X6W，含安装支架。</w:t>
            </w:r>
          </w:p>
        </w:tc>
        <w:tc>
          <w:tcPr>
            <w:tcW w:w="0" w:type="auto"/>
            <w:shd w:val="clear" w:color="auto" w:fill="auto"/>
            <w:vAlign w:val="center"/>
          </w:tcPr>
          <w:p w14:paraId="2C1F7AE3">
            <w:pPr>
              <w:widowControl/>
              <w:spacing w:line="460" w:lineRule="exact"/>
              <w:jc w:val="center"/>
              <w:textAlignment w:val="center"/>
              <w:rPr>
                <w:rFonts w:hAnsi="宋体" w:cs="宋体"/>
                <w:color w:val="000000"/>
                <w:sz w:val="20"/>
              </w:rPr>
            </w:pPr>
            <w:r>
              <w:rPr>
                <w:rFonts w:hint="eastAsia" w:hAnsi="宋体" w:cs="宋体"/>
                <w:color w:val="000000"/>
                <w:sz w:val="20"/>
                <w:lang w:bidi="ar"/>
              </w:rPr>
              <w:t>3</w:t>
            </w:r>
          </w:p>
        </w:tc>
        <w:tc>
          <w:tcPr>
            <w:tcW w:w="0" w:type="auto"/>
            <w:shd w:val="clear" w:color="auto" w:fill="auto"/>
            <w:vAlign w:val="center"/>
          </w:tcPr>
          <w:p w14:paraId="10FED1FA">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42B6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54E3D488">
            <w:pPr>
              <w:widowControl/>
              <w:spacing w:line="460" w:lineRule="exact"/>
              <w:jc w:val="center"/>
              <w:textAlignment w:val="center"/>
              <w:rPr>
                <w:rFonts w:hAnsi="宋体" w:cs="宋体"/>
                <w:color w:val="000000"/>
                <w:sz w:val="20"/>
              </w:rPr>
            </w:pPr>
            <w:r>
              <w:rPr>
                <w:rFonts w:hint="eastAsia" w:hAnsi="宋体" w:cs="宋体"/>
                <w:color w:val="000000"/>
                <w:sz w:val="20"/>
                <w:lang w:bidi="ar"/>
              </w:rPr>
              <w:t>24</w:t>
            </w:r>
          </w:p>
        </w:tc>
        <w:tc>
          <w:tcPr>
            <w:tcW w:w="0" w:type="auto"/>
            <w:shd w:val="clear" w:color="auto" w:fill="auto"/>
            <w:noWrap/>
            <w:vAlign w:val="center"/>
          </w:tcPr>
          <w:p w14:paraId="39A8558D">
            <w:pPr>
              <w:widowControl/>
              <w:spacing w:line="460" w:lineRule="exact"/>
              <w:jc w:val="center"/>
              <w:textAlignment w:val="center"/>
              <w:rPr>
                <w:rFonts w:hAnsi="宋体" w:cs="宋体"/>
                <w:color w:val="000000"/>
                <w:sz w:val="20"/>
              </w:rPr>
            </w:pPr>
            <w:r>
              <w:rPr>
                <w:rFonts w:hint="eastAsia" w:hAnsi="宋体" w:cs="宋体"/>
                <w:color w:val="000000"/>
                <w:sz w:val="20"/>
                <w:lang w:bidi="ar"/>
              </w:rPr>
              <w:t>路由器</w:t>
            </w:r>
          </w:p>
        </w:tc>
        <w:tc>
          <w:tcPr>
            <w:tcW w:w="0" w:type="auto"/>
            <w:shd w:val="clear" w:color="auto" w:fill="auto"/>
          </w:tcPr>
          <w:p w14:paraId="2F46208E">
            <w:pPr>
              <w:widowControl/>
              <w:spacing w:line="460" w:lineRule="exact"/>
              <w:textAlignment w:val="top"/>
              <w:rPr>
                <w:rFonts w:hAnsi="宋体" w:cs="宋体"/>
                <w:color w:val="000000"/>
                <w:sz w:val="20"/>
              </w:rPr>
            </w:pPr>
            <w:r>
              <w:rPr>
                <w:rFonts w:hint="eastAsia" w:hAnsi="宋体" w:cs="宋体"/>
                <w:color w:val="000000"/>
                <w:sz w:val="20"/>
                <w:lang w:bidi="ar"/>
              </w:rPr>
              <w:t>支持防火墙</w:t>
            </w:r>
            <w:r>
              <w:rPr>
                <w:rFonts w:hint="eastAsia" w:hAnsi="宋体" w:cs="宋体"/>
                <w:color w:val="000000"/>
                <w:sz w:val="20"/>
                <w:lang w:bidi="ar"/>
              </w:rPr>
              <w:br w:type="textWrapping"/>
            </w:r>
            <w:r>
              <w:rPr>
                <w:rFonts w:hint="eastAsia" w:hAnsi="宋体" w:cs="宋体"/>
                <w:color w:val="000000"/>
                <w:sz w:val="20"/>
                <w:lang w:bidi="ar"/>
              </w:rPr>
              <w:t>支持Mesh</w:t>
            </w:r>
            <w:r>
              <w:rPr>
                <w:rFonts w:hint="eastAsia" w:hAnsi="宋体" w:cs="宋体"/>
                <w:color w:val="000000"/>
                <w:sz w:val="20"/>
                <w:lang w:bidi="ar"/>
              </w:rPr>
              <w:br w:type="textWrapping"/>
            </w:r>
            <w:r>
              <w:rPr>
                <w:rFonts w:hint="eastAsia" w:hAnsi="宋体" w:cs="宋体"/>
                <w:color w:val="000000"/>
                <w:sz w:val="20"/>
                <w:lang w:bidi="ar"/>
              </w:rPr>
              <w:t>频宽160MHz</w:t>
            </w:r>
            <w:r>
              <w:rPr>
                <w:rFonts w:hint="eastAsia" w:hAnsi="宋体" w:cs="宋体"/>
                <w:color w:val="000000"/>
                <w:sz w:val="20"/>
                <w:lang w:bidi="ar"/>
              </w:rPr>
              <w:br w:type="textWrapping"/>
            </w:r>
            <w:r>
              <w:rPr>
                <w:rFonts w:hint="eastAsia" w:hAnsi="宋体" w:cs="宋体"/>
                <w:color w:val="000000"/>
                <w:sz w:val="20"/>
                <w:lang w:bidi="ar"/>
              </w:rPr>
              <w:t>LAN输出口千兆网口</w:t>
            </w:r>
            <w:r>
              <w:rPr>
                <w:rFonts w:hint="eastAsia" w:hAnsi="宋体" w:cs="宋体"/>
                <w:color w:val="000000"/>
                <w:sz w:val="20"/>
                <w:lang w:bidi="ar"/>
              </w:rPr>
              <w:br w:type="textWrapping"/>
            </w:r>
            <w:r>
              <w:rPr>
                <w:rFonts w:hint="eastAsia" w:hAnsi="宋体" w:cs="宋体"/>
                <w:color w:val="000000"/>
                <w:sz w:val="20"/>
                <w:lang w:bidi="ar"/>
              </w:rPr>
              <w:t>外置天线</w:t>
            </w:r>
            <w:r>
              <w:rPr>
                <w:rFonts w:hint="eastAsia" w:hAnsi="宋体" w:cs="宋体"/>
                <w:color w:val="000000"/>
                <w:sz w:val="20"/>
                <w:lang w:bidi="ar"/>
              </w:rPr>
              <w:br w:type="textWrapping"/>
            </w:r>
            <w:r>
              <w:rPr>
                <w:rFonts w:hint="eastAsia" w:hAnsi="宋体" w:cs="宋体"/>
                <w:color w:val="000000"/>
                <w:sz w:val="20"/>
                <w:lang w:bidi="ar"/>
              </w:rPr>
              <w:t>频段双频</w:t>
            </w:r>
            <w:r>
              <w:rPr>
                <w:rFonts w:hint="eastAsia" w:hAnsi="宋体" w:cs="宋体"/>
                <w:color w:val="000000"/>
                <w:sz w:val="20"/>
                <w:lang w:bidi="ar"/>
              </w:rPr>
              <w:br w:type="textWrapping"/>
            </w:r>
            <w:r>
              <w:rPr>
                <w:rFonts w:hint="eastAsia" w:hAnsi="宋体" w:cs="宋体"/>
                <w:color w:val="000000"/>
                <w:sz w:val="20"/>
                <w:lang w:bidi="ar"/>
              </w:rPr>
              <w:t>支持上网行为管理</w:t>
            </w:r>
            <w:r>
              <w:rPr>
                <w:rFonts w:hint="eastAsia" w:hAnsi="宋体" w:cs="宋体"/>
                <w:color w:val="000000"/>
                <w:sz w:val="20"/>
                <w:lang w:bidi="ar"/>
              </w:rPr>
              <w:br w:type="textWrapping"/>
            </w:r>
            <w:r>
              <w:rPr>
                <w:rFonts w:hint="eastAsia" w:hAnsi="宋体" w:cs="宋体"/>
                <w:color w:val="000000"/>
                <w:sz w:val="20"/>
                <w:lang w:bidi="ar"/>
              </w:rPr>
              <w:t>支持APP控制</w:t>
            </w:r>
            <w:r>
              <w:rPr>
                <w:rFonts w:hint="eastAsia" w:hAnsi="宋体" w:cs="宋体"/>
                <w:color w:val="000000"/>
                <w:sz w:val="20"/>
                <w:lang w:bidi="ar"/>
              </w:rPr>
              <w:br w:type="textWrapping"/>
            </w:r>
            <w:r>
              <w:rPr>
                <w:rFonts w:hint="eastAsia" w:hAnsi="宋体" w:cs="宋体"/>
                <w:color w:val="000000"/>
                <w:sz w:val="20"/>
                <w:lang w:bidi="ar"/>
              </w:rPr>
              <w:t>适用面积90-120㎡</w:t>
            </w:r>
            <w:r>
              <w:rPr>
                <w:rFonts w:hint="eastAsia" w:hAnsi="宋体" w:cs="宋体"/>
                <w:color w:val="000000"/>
                <w:sz w:val="20"/>
                <w:lang w:bidi="ar"/>
              </w:rPr>
              <w:br w:type="textWrapping"/>
            </w:r>
            <w:r>
              <w:rPr>
                <w:rFonts w:hint="eastAsia" w:hAnsi="宋体" w:cs="宋体"/>
                <w:color w:val="000000"/>
                <w:sz w:val="20"/>
                <w:lang w:bidi="ar"/>
              </w:rPr>
              <w:t>无线速率5100M</w:t>
            </w:r>
            <w:r>
              <w:rPr>
                <w:rFonts w:hint="eastAsia" w:hAnsi="宋体" w:cs="宋体"/>
                <w:color w:val="000000"/>
                <w:sz w:val="20"/>
                <w:lang w:bidi="ar"/>
              </w:rPr>
              <w:br w:type="textWrapping"/>
            </w:r>
            <w:r>
              <w:rPr>
                <w:rFonts w:hint="eastAsia" w:hAnsi="宋体" w:cs="宋体"/>
                <w:color w:val="000000"/>
                <w:sz w:val="20"/>
                <w:lang w:bidi="ar"/>
              </w:rPr>
              <w:t>无线协议Wi-Fi 7</w:t>
            </w:r>
            <w:r>
              <w:rPr>
                <w:rFonts w:hint="eastAsia" w:hAnsi="宋体" w:cs="宋体"/>
                <w:color w:val="000000"/>
                <w:sz w:val="20"/>
                <w:lang w:bidi="ar"/>
              </w:rPr>
              <w:br w:type="textWrapping"/>
            </w:r>
            <w:r>
              <w:rPr>
                <w:rFonts w:hint="eastAsia" w:hAnsi="宋体" w:cs="宋体"/>
                <w:color w:val="000000"/>
                <w:sz w:val="20"/>
                <w:lang w:bidi="ar"/>
              </w:rPr>
              <w:t>WAN接入口千兆网口</w:t>
            </w:r>
            <w:r>
              <w:rPr>
                <w:rFonts w:hint="eastAsia" w:hAnsi="宋体" w:cs="宋体"/>
                <w:color w:val="000000"/>
                <w:sz w:val="20"/>
                <w:lang w:bidi="ar"/>
              </w:rPr>
              <w:br w:type="textWrapping"/>
            </w:r>
            <w:r>
              <w:rPr>
                <w:rFonts w:hint="eastAsia" w:hAnsi="宋体" w:cs="宋体"/>
                <w:color w:val="000000"/>
                <w:sz w:val="20"/>
                <w:lang w:bidi="ar"/>
              </w:rPr>
              <w:t>总带机量151-200终端</w:t>
            </w:r>
            <w:r>
              <w:rPr>
                <w:rFonts w:hint="eastAsia" w:hAnsi="宋体" w:cs="宋体"/>
                <w:color w:val="000000"/>
                <w:sz w:val="20"/>
                <w:lang w:bidi="ar"/>
              </w:rPr>
              <w:br w:type="textWrapping"/>
            </w:r>
            <w:r>
              <w:rPr>
                <w:rFonts w:hint="eastAsia" w:hAnsi="宋体" w:cs="宋体"/>
                <w:color w:val="000000"/>
                <w:sz w:val="20"/>
                <w:lang w:bidi="ar"/>
              </w:rPr>
              <w:t>LAN口数量2个</w:t>
            </w:r>
          </w:p>
        </w:tc>
        <w:tc>
          <w:tcPr>
            <w:tcW w:w="0" w:type="auto"/>
            <w:shd w:val="clear" w:color="auto" w:fill="auto"/>
            <w:vAlign w:val="center"/>
          </w:tcPr>
          <w:p w14:paraId="629A9437">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4C2CCEBE">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3C8C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7B5C67AE">
            <w:pPr>
              <w:widowControl/>
              <w:spacing w:line="460" w:lineRule="exact"/>
              <w:jc w:val="center"/>
              <w:textAlignment w:val="center"/>
              <w:rPr>
                <w:rFonts w:hAnsi="宋体" w:cs="宋体"/>
                <w:color w:val="000000"/>
                <w:sz w:val="20"/>
              </w:rPr>
            </w:pPr>
            <w:r>
              <w:rPr>
                <w:rFonts w:hint="eastAsia" w:hAnsi="宋体" w:cs="宋体"/>
                <w:color w:val="000000"/>
                <w:sz w:val="20"/>
                <w:lang w:bidi="ar"/>
              </w:rPr>
              <w:t>25</w:t>
            </w:r>
          </w:p>
        </w:tc>
        <w:tc>
          <w:tcPr>
            <w:tcW w:w="0" w:type="auto"/>
            <w:shd w:val="clear" w:color="auto" w:fill="auto"/>
            <w:noWrap/>
            <w:vAlign w:val="center"/>
          </w:tcPr>
          <w:p w14:paraId="7FCF8717">
            <w:pPr>
              <w:widowControl/>
              <w:spacing w:line="460" w:lineRule="exact"/>
              <w:jc w:val="center"/>
              <w:textAlignment w:val="center"/>
              <w:rPr>
                <w:rFonts w:hAnsi="宋体" w:cs="宋体"/>
                <w:color w:val="000000"/>
                <w:sz w:val="20"/>
              </w:rPr>
            </w:pPr>
            <w:r>
              <w:rPr>
                <w:rFonts w:hint="eastAsia" w:hAnsi="宋体" w:cs="宋体"/>
                <w:color w:val="000000"/>
                <w:sz w:val="20"/>
                <w:lang w:bidi="ar"/>
              </w:rPr>
              <w:t>无线AP</w:t>
            </w:r>
          </w:p>
        </w:tc>
        <w:tc>
          <w:tcPr>
            <w:tcW w:w="0" w:type="auto"/>
            <w:shd w:val="clear" w:color="auto" w:fill="auto"/>
          </w:tcPr>
          <w:p w14:paraId="29C820D5">
            <w:pPr>
              <w:widowControl/>
              <w:spacing w:line="460" w:lineRule="exact"/>
              <w:textAlignment w:val="top"/>
              <w:rPr>
                <w:rFonts w:hAnsi="宋体" w:cs="宋体"/>
                <w:color w:val="000000"/>
                <w:sz w:val="20"/>
              </w:rPr>
            </w:pP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支持802.11ax标准。采用三射频设计。提供官网截图和链接证明。</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支持802.11ax标准。采用硬件独立的四射频设计。提供官网截图和链接证明。</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整机支持8条空间流，整机最大无线速率≥6Gbps。提供官网截图和链接证明。</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至少1个10/100/1000Base-T以太网接口支持对外供电，可扩展物联网模块。提供官网截图和链接证明。</w:t>
            </w:r>
            <w:r>
              <w:rPr>
                <w:rFonts w:hint="eastAsia" w:hAnsi="宋体" w:cs="宋体"/>
                <w:color w:val="000000"/>
                <w:sz w:val="20"/>
                <w:lang w:bidi="ar"/>
              </w:rPr>
              <w:br w:type="textWrapping"/>
            </w:r>
            <w:r>
              <w:rPr>
                <w:rFonts w:hint="eastAsia" w:hAnsi="宋体" w:cs="宋体"/>
                <w:color w:val="000000"/>
                <w:sz w:val="20"/>
                <w:lang w:bidi="ar"/>
              </w:rPr>
              <w:t>5</w:t>
            </w:r>
            <w:r>
              <w:rPr>
                <w:rFonts w:hint="eastAsia" w:hAnsi="宋体" w:cs="宋体"/>
                <w:color w:val="000000"/>
                <w:sz w:val="20"/>
                <w:lang w:val="en-US" w:eastAsia="zh-CN" w:bidi="ar"/>
              </w:rPr>
              <w:t>.</w:t>
            </w:r>
            <w:r>
              <w:rPr>
                <w:rFonts w:hint="eastAsia" w:hAnsi="宋体" w:cs="宋体"/>
                <w:color w:val="000000"/>
                <w:sz w:val="20"/>
                <w:lang w:bidi="ar"/>
              </w:rPr>
              <w:t>支持5G以太网接口≥1个，提供官网截图和链接证明。</w:t>
            </w:r>
            <w:r>
              <w:rPr>
                <w:rFonts w:hint="eastAsia" w:hAnsi="宋体" w:cs="宋体"/>
                <w:color w:val="000000"/>
                <w:sz w:val="20"/>
                <w:lang w:bidi="ar"/>
              </w:rPr>
              <w:br w:type="textWrapping"/>
            </w:r>
            <w:r>
              <w:rPr>
                <w:rFonts w:hint="eastAsia" w:hAnsi="宋体" w:cs="宋体"/>
                <w:color w:val="000000"/>
                <w:sz w:val="20"/>
                <w:lang w:bidi="ar"/>
              </w:rPr>
              <w:t>6</w:t>
            </w:r>
            <w:r>
              <w:rPr>
                <w:rFonts w:hint="eastAsia" w:hAnsi="宋体" w:cs="宋体"/>
                <w:color w:val="000000"/>
                <w:sz w:val="20"/>
                <w:lang w:val="en-US" w:eastAsia="zh-CN" w:bidi="ar"/>
              </w:rPr>
              <w:t>.</w:t>
            </w:r>
            <w:r>
              <w:rPr>
                <w:rFonts w:hint="eastAsia" w:hAnsi="宋体" w:cs="宋体"/>
                <w:color w:val="000000"/>
                <w:sz w:val="20"/>
                <w:lang w:bidi="ar"/>
              </w:rPr>
              <w:t>支持5G光口≥1个，提供官网截图和链接证明。</w:t>
            </w:r>
            <w:r>
              <w:rPr>
                <w:rFonts w:hint="eastAsia" w:hAnsi="宋体" w:cs="宋体"/>
                <w:color w:val="000000"/>
                <w:sz w:val="20"/>
                <w:lang w:bidi="ar"/>
              </w:rPr>
              <w:br w:type="textWrapping"/>
            </w:r>
            <w:r>
              <w:rPr>
                <w:rFonts w:hint="eastAsia" w:hAnsi="宋体" w:cs="宋体"/>
                <w:color w:val="000000"/>
                <w:sz w:val="20"/>
                <w:lang w:bidi="ar"/>
              </w:rPr>
              <w:t>7</w:t>
            </w:r>
            <w:r>
              <w:rPr>
                <w:rFonts w:hint="eastAsia" w:hAnsi="宋体" w:cs="宋体"/>
                <w:color w:val="000000"/>
                <w:sz w:val="20"/>
                <w:lang w:val="en-US" w:eastAsia="zh-CN" w:bidi="ar"/>
              </w:rPr>
              <w:t>.</w:t>
            </w:r>
            <w:r>
              <w:rPr>
                <w:rFonts w:hint="eastAsia" w:hAnsi="宋体" w:cs="宋体"/>
                <w:color w:val="000000"/>
                <w:sz w:val="20"/>
                <w:lang w:bidi="ar"/>
              </w:rPr>
              <w:t>整机最大终端接入数≥1552个。提供官网截图和链接证明。</w:t>
            </w:r>
            <w:r>
              <w:rPr>
                <w:rFonts w:hint="eastAsia" w:hAnsi="宋体" w:cs="宋体"/>
                <w:color w:val="000000"/>
                <w:sz w:val="20"/>
                <w:lang w:bidi="ar"/>
              </w:rPr>
              <w:br w:type="textWrapping"/>
            </w:r>
            <w:r>
              <w:rPr>
                <w:rFonts w:hint="eastAsia" w:hAnsi="宋体" w:cs="宋体"/>
                <w:color w:val="000000"/>
                <w:sz w:val="20"/>
                <w:lang w:bidi="ar"/>
              </w:rPr>
              <w:t>8</w:t>
            </w:r>
            <w:r>
              <w:rPr>
                <w:rFonts w:hint="eastAsia" w:hAnsi="宋体" w:cs="宋体"/>
                <w:color w:val="000000"/>
                <w:sz w:val="20"/>
                <w:lang w:val="en-US" w:eastAsia="zh-CN" w:bidi="ar"/>
              </w:rPr>
              <w:t>.</w:t>
            </w:r>
            <w:r>
              <w:rPr>
                <w:rFonts w:hint="eastAsia" w:hAnsi="宋体" w:cs="宋体"/>
                <w:color w:val="000000"/>
                <w:sz w:val="20"/>
                <w:lang w:bidi="ar"/>
              </w:rPr>
              <w:t>为保障移动终端的网络性能，所投AP可使用额外的一个射频进行环境扫描，并将信息上传AC，由AC引导终端漫游到附近信号更好的 AP，减少网络中的粘性终端以及避免终端主动漫游产生的丢包。提供具有CMA或Tolly或CNAS标识的检验报告证明材料复印件。</w:t>
            </w:r>
            <w:r>
              <w:rPr>
                <w:rFonts w:hint="eastAsia" w:hAnsi="宋体" w:cs="宋体"/>
                <w:color w:val="000000"/>
                <w:sz w:val="20"/>
                <w:lang w:bidi="ar"/>
              </w:rPr>
              <w:br w:type="textWrapping"/>
            </w:r>
            <w:r>
              <w:rPr>
                <w:rFonts w:hint="eastAsia" w:hAnsi="宋体" w:cs="宋体"/>
                <w:color w:val="000000"/>
                <w:sz w:val="20"/>
                <w:lang w:bidi="ar"/>
              </w:rPr>
              <w:t>9</w:t>
            </w:r>
            <w:r>
              <w:rPr>
                <w:rFonts w:hint="eastAsia" w:hAnsi="宋体" w:cs="宋体"/>
                <w:color w:val="000000"/>
                <w:sz w:val="20"/>
                <w:lang w:val="en-US" w:eastAsia="zh-CN" w:bidi="ar"/>
              </w:rPr>
              <w:t>.</w:t>
            </w:r>
            <w:r>
              <w:rPr>
                <w:rFonts w:hint="eastAsia" w:hAnsi="宋体" w:cs="宋体"/>
                <w:color w:val="000000"/>
                <w:sz w:val="20"/>
                <w:lang w:bidi="ar"/>
              </w:rPr>
              <w:t xml:space="preserve">为快速建立高度隔离的安全网络 </w:t>
            </w:r>
          </w:p>
        </w:tc>
        <w:tc>
          <w:tcPr>
            <w:tcW w:w="0" w:type="auto"/>
            <w:shd w:val="clear" w:color="auto" w:fill="auto"/>
            <w:vAlign w:val="center"/>
          </w:tcPr>
          <w:p w14:paraId="19D54331">
            <w:pPr>
              <w:widowControl/>
              <w:spacing w:line="460" w:lineRule="exact"/>
              <w:jc w:val="center"/>
              <w:textAlignment w:val="center"/>
              <w:rPr>
                <w:rFonts w:hAnsi="宋体" w:cs="宋体"/>
                <w:color w:val="000000"/>
                <w:sz w:val="20"/>
              </w:rPr>
            </w:pPr>
            <w:r>
              <w:rPr>
                <w:rFonts w:hint="eastAsia" w:hAnsi="宋体" w:cs="宋体"/>
                <w:color w:val="000000"/>
                <w:sz w:val="20"/>
                <w:lang w:bidi="ar"/>
              </w:rPr>
              <w:t>2</w:t>
            </w:r>
          </w:p>
        </w:tc>
        <w:tc>
          <w:tcPr>
            <w:tcW w:w="0" w:type="auto"/>
            <w:shd w:val="clear" w:color="auto" w:fill="auto"/>
            <w:vAlign w:val="center"/>
          </w:tcPr>
          <w:p w14:paraId="4F4D9892">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525E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5E72DA59">
            <w:pPr>
              <w:widowControl/>
              <w:spacing w:line="460" w:lineRule="exact"/>
              <w:jc w:val="center"/>
              <w:textAlignment w:val="center"/>
              <w:rPr>
                <w:rFonts w:hAnsi="宋体" w:cs="宋体"/>
                <w:color w:val="000000"/>
                <w:sz w:val="20"/>
              </w:rPr>
            </w:pPr>
            <w:r>
              <w:rPr>
                <w:rFonts w:hint="eastAsia" w:hAnsi="宋体" w:cs="宋体"/>
                <w:color w:val="000000"/>
                <w:sz w:val="20"/>
                <w:lang w:bidi="ar"/>
              </w:rPr>
              <w:t>26</w:t>
            </w:r>
          </w:p>
        </w:tc>
        <w:tc>
          <w:tcPr>
            <w:tcW w:w="0" w:type="auto"/>
            <w:shd w:val="clear" w:color="auto" w:fill="auto"/>
            <w:noWrap/>
            <w:vAlign w:val="center"/>
          </w:tcPr>
          <w:p w14:paraId="11192F03">
            <w:pPr>
              <w:widowControl/>
              <w:spacing w:line="460" w:lineRule="exact"/>
              <w:jc w:val="center"/>
              <w:textAlignment w:val="center"/>
              <w:rPr>
                <w:rFonts w:hAnsi="宋体" w:cs="宋体"/>
                <w:color w:val="000000"/>
                <w:sz w:val="20"/>
              </w:rPr>
            </w:pPr>
            <w:r>
              <w:rPr>
                <w:rFonts w:hint="eastAsia" w:hAnsi="宋体" w:cs="宋体"/>
                <w:color w:val="000000"/>
                <w:sz w:val="20"/>
                <w:lang w:bidi="ar"/>
              </w:rPr>
              <w:t>提示器</w:t>
            </w:r>
          </w:p>
        </w:tc>
        <w:tc>
          <w:tcPr>
            <w:tcW w:w="0" w:type="auto"/>
            <w:shd w:val="clear" w:color="auto" w:fill="auto"/>
          </w:tcPr>
          <w:p w14:paraId="64AA5507">
            <w:pPr>
              <w:widowControl/>
              <w:spacing w:line="460" w:lineRule="exact"/>
              <w:textAlignment w:val="top"/>
              <w:rPr>
                <w:rFonts w:hAnsi="宋体" w:cs="宋体"/>
                <w:color w:val="000000"/>
                <w:sz w:val="20"/>
              </w:rPr>
            </w:pPr>
            <w:r>
              <w:rPr>
                <w:rFonts w:hint="eastAsia" w:hAnsi="宋体" w:cs="宋体"/>
                <w:color w:val="000000"/>
                <w:sz w:val="20"/>
                <w:lang w:bidi="ar"/>
              </w:rPr>
              <w:t>可视尺寸≥55英寸/分辨率1366×768/有效水平、垂直视角≥160度/音响功率2X6W，含安装移动支架。</w:t>
            </w:r>
          </w:p>
        </w:tc>
        <w:tc>
          <w:tcPr>
            <w:tcW w:w="0" w:type="auto"/>
            <w:shd w:val="clear" w:color="auto" w:fill="auto"/>
            <w:vAlign w:val="center"/>
          </w:tcPr>
          <w:p w14:paraId="79835F94">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342B05D9">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035A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706E42DC">
            <w:pPr>
              <w:widowControl/>
              <w:spacing w:line="460" w:lineRule="exact"/>
              <w:jc w:val="center"/>
              <w:textAlignment w:val="center"/>
              <w:rPr>
                <w:rFonts w:hAnsi="宋体" w:cs="宋体"/>
                <w:color w:val="000000"/>
                <w:sz w:val="20"/>
              </w:rPr>
            </w:pPr>
            <w:r>
              <w:rPr>
                <w:rFonts w:hint="eastAsia" w:hAnsi="宋体" w:cs="宋体"/>
                <w:color w:val="000000"/>
                <w:sz w:val="20"/>
                <w:lang w:bidi="ar"/>
              </w:rPr>
              <w:t>27</w:t>
            </w:r>
          </w:p>
        </w:tc>
        <w:tc>
          <w:tcPr>
            <w:tcW w:w="0" w:type="auto"/>
            <w:shd w:val="clear" w:color="auto" w:fill="auto"/>
            <w:noWrap/>
            <w:vAlign w:val="center"/>
          </w:tcPr>
          <w:p w14:paraId="5A3F08D0">
            <w:pPr>
              <w:widowControl/>
              <w:spacing w:line="460" w:lineRule="exact"/>
              <w:jc w:val="center"/>
              <w:textAlignment w:val="center"/>
              <w:rPr>
                <w:rFonts w:hAnsi="宋体" w:cs="宋体"/>
                <w:color w:val="000000"/>
                <w:sz w:val="20"/>
              </w:rPr>
            </w:pPr>
            <w:r>
              <w:rPr>
                <w:rFonts w:hint="eastAsia" w:hAnsi="宋体" w:cs="宋体"/>
                <w:color w:val="000000"/>
                <w:sz w:val="20"/>
                <w:lang w:bidi="ar"/>
              </w:rPr>
              <w:t>视频剪辑终端</w:t>
            </w:r>
          </w:p>
        </w:tc>
        <w:tc>
          <w:tcPr>
            <w:tcW w:w="0" w:type="auto"/>
            <w:shd w:val="clear" w:color="auto" w:fill="auto"/>
            <w:vAlign w:val="center"/>
          </w:tcPr>
          <w:p w14:paraId="31588619">
            <w:pPr>
              <w:widowControl/>
              <w:spacing w:line="460" w:lineRule="exact"/>
              <w:textAlignment w:val="center"/>
              <w:rPr>
                <w:rFonts w:hAnsi="宋体" w:cs="宋体"/>
                <w:color w:val="000000"/>
                <w:sz w:val="20"/>
              </w:rPr>
            </w:pPr>
            <w:r>
              <w:rPr>
                <w:rFonts w:hint="eastAsia" w:hAnsi="宋体" w:cs="宋体"/>
                <w:color w:val="000000"/>
                <w:sz w:val="20"/>
                <w:lang w:bidi="ar"/>
              </w:rPr>
              <w:t xml:space="preserve">i9-13代酷睿 16G内存 1T固态硬盘  RTX4060  </w:t>
            </w:r>
          </w:p>
        </w:tc>
        <w:tc>
          <w:tcPr>
            <w:tcW w:w="0" w:type="auto"/>
            <w:shd w:val="clear" w:color="auto" w:fill="auto"/>
            <w:vAlign w:val="center"/>
          </w:tcPr>
          <w:p w14:paraId="6BC6B030">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18EAAB74">
            <w:pPr>
              <w:widowControl/>
              <w:spacing w:line="460" w:lineRule="exact"/>
              <w:jc w:val="center"/>
              <w:textAlignment w:val="center"/>
              <w:rPr>
                <w:rFonts w:hAnsi="宋体" w:cs="宋体"/>
                <w:color w:val="000000"/>
                <w:sz w:val="20"/>
              </w:rPr>
            </w:pPr>
            <w:r>
              <w:rPr>
                <w:rFonts w:hint="eastAsia" w:hAnsi="宋体" w:cs="宋体"/>
                <w:color w:val="000000"/>
                <w:sz w:val="20"/>
                <w:lang w:bidi="ar"/>
              </w:rPr>
              <w:t>台</w:t>
            </w:r>
          </w:p>
        </w:tc>
      </w:tr>
      <w:tr w14:paraId="5661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5990FFCF">
            <w:pPr>
              <w:widowControl/>
              <w:spacing w:line="460" w:lineRule="exact"/>
              <w:jc w:val="center"/>
              <w:textAlignment w:val="center"/>
              <w:rPr>
                <w:rFonts w:hAnsi="宋体" w:cs="宋体"/>
                <w:color w:val="000000"/>
                <w:sz w:val="20"/>
              </w:rPr>
            </w:pPr>
            <w:r>
              <w:rPr>
                <w:rFonts w:hint="eastAsia" w:hAnsi="宋体" w:cs="宋体"/>
                <w:color w:val="000000"/>
                <w:sz w:val="20"/>
                <w:lang w:bidi="ar"/>
              </w:rPr>
              <w:t>28</w:t>
            </w:r>
          </w:p>
        </w:tc>
        <w:tc>
          <w:tcPr>
            <w:tcW w:w="0" w:type="auto"/>
            <w:shd w:val="clear" w:color="auto" w:fill="auto"/>
            <w:noWrap/>
            <w:vAlign w:val="center"/>
          </w:tcPr>
          <w:p w14:paraId="56A8CC23">
            <w:pPr>
              <w:widowControl/>
              <w:spacing w:line="460" w:lineRule="exact"/>
              <w:jc w:val="center"/>
              <w:textAlignment w:val="center"/>
              <w:rPr>
                <w:rFonts w:hAnsi="宋体" w:cs="宋体"/>
                <w:color w:val="000000"/>
                <w:sz w:val="20"/>
              </w:rPr>
            </w:pPr>
            <w:r>
              <w:rPr>
                <w:rFonts w:hint="eastAsia" w:hAnsi="宋体" w:cs="宋体"/>
                <w:color w:val="000000"/>
                <w:sz w:val="20"/>
                <w:lang w:bidi="ar"/>
              </w:rPr>
              <w:t>课桌椅</w:t>
            </w:r>
          </w:p>
        </w:tc>
        <w:tc>
          <w:tcPr>
            <w:tcW w:w="0" w:type="auto"/>
            <w:shd w:val="clear" w:color="auto" w:fill="auto"/>
          </w:tcPr>
          <w:p w14:paraId="54788FFC">
            <w:pPr>
              <w:widowControl/>
              <w:spacing w:line="460" w:lineRule="exact"/>
              <w:textAlignment w:val="top"/>
              <w:rPr>
                <w:rFonts w:hAnsi="宋体" w:cs="宋体"/>
                <w:color w:val="000000"/>
                <w:sz w:val="20"/>
              </w:rPr>
            </w:pPr>
            <w:r>
              <w:rPr>
                <w:rFonts w:hint="eastAsia" w:hAnsi="宋体" w:cs="宋体"/>
                <w:color w:val="000000"/>
                <w:sz w:val="20"/>
                <w:lang w:bidi="ar"/>
              </w:rPr>
              <w:t>1</w:t>
            </w:r>
            <w:r>
              <w:rPr>
                <w:rFonts w:hint="eastAsia" w:hAnsi="宋体" w:cs="宋体"/>
                <w:color w:val="000000"/>
                <w:sz w:val="20"/>
                <w:lang w:val="en-US" w:eastAsia="zh-CN" w:bidi="ar"/>
              </w:rPr>
              <w:t>.</w:t>
            </w:r>
            <w:r>
              <w:rPr>
                <w:rFonts w:hint="eastAsia" w:hAnsi="宋体" w:cs="宋体"/>
                <w:color w:val="000000"/>
                <w:sz w:val="20"/>
                <w:lang w:bidi="ar"/>
              </w:rPr>
              <w:t>桌子规格，600*400*685-760mm ；椅子：380*400*365-440 mm。（配套：每套配一桌一椅）</w:t>
            </w:r>
            <w:r>
              <w:rPr>
                <w:rFonts w:hint="eastAsia" w:hAnsi="宋体" w:cs="宋体"/>
                <w:color w:val="000000"/>
                <w:sz w:val="20"/>
                <w:lang w:bidi="ar"/>
              </w:rPr>
              <w:br w:type="textWrapping"/>
            </w:r>
            <w:r>
              <w:rPr>
                <w:rFonts w:hint="eastAsia" w:hAnsi="宋体" w:cs="宋体"/>
                <w:color w:val="000000"/>
                <w:sz w:val="20"/>
                <w:lang w:bidi="ar"/>
              </w:rPr>
              <w:t>2</w:t>
            </w:r>
            <w:r>
              <w:rPr>
                <w:rFonts w:hint="eastAsia" w:hAnsi="宋体" w:cs="宋体"/>
                <w:color w:val="000000"/>
                <w:sz w:val="20"/>
                <w:lang w:val="en-US" w:eastAsia="zh-CN" w:bidi="ar"/>
              </w:rPr>
              <w:t>.</w:t>
            </w:r>
            <w:r>
              <w:rPr>
                <w:rFonts w:hint="eastAsia" w:hAnsi="宋体" w:cs="宋体"/>
                <w:color w:val="000000"/>
                <w:sz w:val="20"/>
                <w:lang w:bidi="ar"/>
              </w:rPr>
              <w:t>材质工艺说明：钢件：桌脚用：25*54*1.2mm≥厚椭圆钢管；.桌子侧面带有挂钩；椅脚用：25*54*1.2mm≥厚椭圆钢管；.40*20*1.2mm≥椭圆钢管；坐板架15*30*1.2mm≥椭圆钢管；抽斗用0.6mm 冷轧钢板拉伸冲压成型，450*300*150mm。全部钢管都用液压一次抽芯成型，富有流线感,钢管焊接处采用二氧化碳保护焊接工艺，焊接表面波纹均匀，焊接处无夹渣、气孔、焊瘤，焊丝咬边和飞溅，无脱焊、虚焊和焊空的现象。各钢件经除锈、酸洗、磷化等工序，经防锈处理，外层采用聚酯环氧粉末采用静电喷塑，颜色与桌面色板色彩搭配协调美观。表面光亮平整、无颗粒渣点、颜色均匀。</w:t>
            </w:r>
            <w:r>
              <w:rPr>
                <w:rFonts w:hint="eastAsia" w:hAnsi="宋体" w:cs="宋体"/>
                <w:color w:val="000000"/>
                <w:sz w:val="20"/>
                <w:lang w:bidi="ar"/>
              </w:rPr>
              <w:br w:type="textWrapping"/>
            </w:r>
            <w:r>
              <w:rPr>
                <w:rFonts w:hint="eastAsia" w:hAnsi="宋体" w:cs="宋体"/>
                <w:color w:val="000000"/>
                <w:sz w:val="20"/>
                <w:lang w:bidi="ar"/>
              </w:rPr>
              <w:t>3</w:t>
            </w:r>
            <w:r>
              <w:rPr>
                <w:rFonts w:hint="eastAsia" w:hAnsi="宋体" w:cs="宋体"/>
                <w:color w:val="000000"/>
                <w:sz w:val="20"/>
                <w:lang w:val="en-US" w:eastAsia="zh-CN" w:bidi="ar"/>
              </w:rPr>
              <w:t>.</w:t>
            </w:r>
            <w:r>
              <w:rPr>
                <w:rFonts w:hint="eastAsia" w:hAnsi="宋体" w:cs="宋体"/>
                <w:color w:val="000000"/>
                <w:sz w:val="20"/>
                <w:lang w:bidi="ar"/>
              </w:rPr>
              <w:t>桌面板：600*400采用优质中纤板，桌面双面三聚氰胺面厚18mm, 注塑一次成型封边，带笔槽笔槽椭圆型，永久牢固，面板上底部全包高面板，流线美观.</w:t>
            </w:r>
            <w:r>
              <w:rPr>
                <w:rFonts w:hint="eastAsia" w:hAnsi="宋体" w:cs="宋体"/>
                <w:color w:val="000000"/>
                <w:sz w:val="20"/>
                <w:lang w:bidi="ar"/>
              </w:rPr>
              <w:br w:type="textWrapping"/>
            </w:r>
            <w:r>
              <w:rPr>
                <w:rFonts w:hint="eastAsia" w:hAnsi="宋体" w:cs="宋体"/>
                <w:color w:val="000000"/>
                <w:sz w:val="20"/>
                <w:lang w:bidi="ar"/>
              </w:rPr>
              <w:t>4</w:t>
            </w:r>
            <w:r>
              <w:rPr>
                <w:rFonts w:hint="eastAsia" w:hAnsi="宋体" w:cs="宋体"/>
                <w:color w:val="000000"/>
                <w:sz w:val="20"/>
                <w:lang w:val="en-US" w:eastAsia="zh-CN" w:bidi="ar"/>
              </w:rPr>
              <w:t>.</w:t>
            </w:r>
            <w:r>
              <w:rPr>
                <w:rFonts w:hint="eastAsia" w:hAnsi="宋体" w:cs="宋体"/>
                <w:color w:val="000000"/>
                <w:sz w:val="20"/>
                <w:lang w:bidi="ar"/>
              </w:rPr>
              <w:t>椅坐背板：选优等PE材料，中空吹塑一次成型，表面有防滑设计，造型符合人体工程学，坐靠舒适。</w:t>
            </w:r>
            <w:r>
              <w:rPr>
                <w:rFonts w:hint="eastAsia" w:hAnsi="宋体" w:cs="宋体"/>
                <w:color w:val="000000"/>
                <w:sz w:val="20"/>
                <w:lang w:bidi="ar"/>
              </w:rPr>
              <w:br w:type="textWrapping"/>
            </w:r>
            <w:r>
              <w:rPr>
                <w:rFonts w:hint="eastAsia" w:hAnsi="宋体" w:cs="宋体"/>
                <w:color w:val="000000"/>
                <w:sz w:val="20"/>
                <w:lang w:bidi="ar"/>
              </w:rPr>
              <w:t>特点：桌椅升降套，底脚套全部使用PP塑料套，环保耐磨抗老化，钢架部分采用酸洗磷化前处理后经静电喷塑而成，表面色泽光鲜耐磨性强，环保安全。桌椅配件使用增强塑料，耐寒耐磨，所有板架连接部位、五金配件质量等应符合国家规范要求。</w:t>
            </w:r>
          </w:p>
        </w:tc>
        <w:tc>
          <w:tcPr>
            <w:tcW w:w="0" w:type="auto"/>
            <w:shd w:val="clear" w:color="auto" w:fill="auto"/>
            <w:noWrap/>
            <w:vAlign w:val="center"/>
          </w:tcPr>
          <w:p w14:paraId="75A56A0D">
            <w:pPr>
              <w:widowControl/>
              <w:spacing w:line="460" w:lineRule="exact"/>
              <w:jc w:val="center"/>
              <w:textAlignment w:val="center"/>
              <w:rPr>
                <w:rFonts w:hAnsi="宋体" w:cs="宋体"/>
                <w:color w:val="000000"/>
                <w:sz w:val="20"/>
              </w:rPr>
            </w:pPr>
            <w:r>
              <w:rPr>
                <w:rFonts w:hint="eastAsia" w:hAnsi="宋体" w:cs="宋体"/>
                <w:color w:val="000000"/>
                <w:sz w:val="20"/>
                <w:lang w:bidi="ar"/>
              </w:rPr>
              <w:t>45</w:t>
            </w:r>
          </w:p>
        </w:tc>
        <w:tc>
          <w:tcPr>
            <w:tcW w:w="0" w:type="auto"/>
            <w:shd w:val="clear" w:color="auto" w:fill="auto"/>
            <w:noWrap/>
            <w:vAlign w:val="center"/>
          </w:tcPr>
          <w:p w14:paraId="40E66075">
            <w:pPr>
              <w:widowControl/>
              <w:spacing w:line="460" w:lineRule="exact"/>
              <w:jc w:val="center"/>
              <w:textAlignment w:val="center"/>
              <w:rPr>
                <w:rFonts w:hAnsi="宋体" w:cs="宋体"/>
                <w:color w:val="000000"/>
                <w:sz w:val="20"/>
              </w:rPr>
            </w:pPr>
            <w:r>
              <w:rPr>
                <w:rFonts w:hint="eastAsia" w:hAnsi="宋体" w:cs="宋体"/>
                <w:color w:val="000000"/>
                <w:sz w:val="20"/>
                <w:lang w:bidi="ar"/>
              </w:rPr>
              <w:t>套</w:t>
            </w:r>
          </w:p>
        </w:tc>
      </w:tr>
      <w:tr w14:paraId="46AB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7681A230">
            <w:pPr>
              <w:widowControl/>
              <w:spacing w:line="460" w:lineRule="exact"/>
              <w:jc w:val="center"/>
              <w:textAlignment w:val="center"/>
              <w:rPr>
                <w:rFonts w:hAnsi="宋体" w:cs="宋体"/>
                <w:color w:val="000000"/>
                <w:sz w:val="20"/>
              </w:rPr>
            </w:pPr>
            <w:r>
              <w:rPr>
                <w:rFonts w:hint="eastAsia" w:hAnsi="宋体" w:cs="宋体"/>
                <w:color w:val="000000"/>
                <w:sz w:val="20"/>
                <w:lang w:bidi="ar"/>
              </w:rPr>
              <w:t>29</w:t>
            </w:r>
          </w:p>
        </w:tc>
        <w:tc>
          <w:tcPr>
            <w:tcW w:w="0" w:type="auto"/>
            <w:shd w:val="clear" w:color="auto" w:fill="auto"/>
            <w:noWrap/>
            <w:vAlign w:val="center"/>
          </w:tcPr>
          <w:p w14:paraId="3EDAAEF9">
            <w:pPr>
              <w:widowControl/>
              <w:spacing w:line="460" w:lineRule="exact"/>
              <w:jc w:val="center"/>
              <w:textAlignment w:val="center"/>
              <w:rPr>
                <w:rFonts w:hAnsi="宋体" w:cs="宋体"/>
                <w:color w:val="000000"/>
                <w:sz w:val="20"/>
              </w:rPr>
            </w:pPr>
            <w:r>
              <w:rPr>
                <w:rFonts w:hint="eastAsia" w:hAnsi="宋体" w:cs="宋体"/>
                <w:color w:val="000000"/>
                <w:sz w:val="20"/>
                <w:lang w:bidi="ar"/>
              </w:rPr>
              <w:t>观摩椅</w:t>
            </w:r>
          </w:p>
        </w:tc>
        <w:tc>
          <w:tcPr>
            <w:tcW w:w="0" w:type="auto"/>
            <w:shd w:val="clear" w:color="auto" w:fill="auto"/>
          </w:tcPr>
          <w:p w14:paraId="4C7A5DEC">
            <w:pPr>
              <w:widowControl/>
              <w:spacing w:line="460" w:lineRule="exact"/>
              <w:textAlignment w:val="top"/>
              <w:rPr>
                <w:rFonts w:hAnsi="宋体" w:cs="宋体"/>
                <w:color w:val="000000"/>
                <w:sz w:val="20"/>
              </w:rPr>
            </w:pPr>
            <w:r>
              <w:rPr>
                <w:rFonts w:hint="eastAsia" w:hAnsi="宋体" w:cs="宋体"/>
                <w:color w:val="000000"/>
                <w:sz w:val="20"/>
                <w:lang w:bidi="ar"/>
              </w:rPr>
              <w:t>靠背 靠背采用PP+20%纤维，连接件装饰盖采用ABS材质，扶手连接件采用PP+10%纤维，胶条采用PE材料，靠背可逍遥。</w:t>
            </w:r>
            <w:r>
              <w:rPr>
                <w:rFonts w:hint="eastAsia" w:hAnsi="宋体" w:cs="宋体"/>
                <w:color w:val="000000"/>
                <w:sz w:val="20"/>
                <w:lang w:bidi="ar"/>
              </w:rPr>
              <w:br w:type="textWrapping"/>
            </w:r>
            <w:r>
              <w:rPr>
                <w:rFonts w:hint="eastAsia" w:hAnsi="宋体" w:cs="宋体"/>
                <w:color w:val="000000"/>
                <w:sz w:val="20"/>
                <w:lang w:bidi="ar"/>
              </w:rPr>
              <w:t>扶手 扶手采用PP材质，可以前后滑动</w:t>
            </w:r>
            <w:r>
              <w:rPr>
                <w:rFonts w:hint="eastAsia" w:hAnsi="宋体" w:cs="宋体"/>
                <w:color w:val="000000"/>
                <w:sz w:val="20"/>
                <w:lang w:bidi="ar"/>
              </w:rPr>
              <w:br w:type="textWrapping"/>
            </w:r>
            <w:r>
              <w:rPr>
                <w:rFonts w:hint="eastAsia" w:hAnsi="宋体" w:cs="宋体"/>
                <w:color w:val="000000"/>
                <w:sz w:val="20"/>
                <w:lang w:bidi="ar"/>
              </w:rPr>
              <w:t>坐垫 坐垫定型海绵采用聚合物多元醇二苯基甲烷二异氰酸酯，座布采用长丝pp+纤维材质，坐垫底盘采用PP材质，</w:t>
            </w:r>
            <w:r>
              <w:rPr>
                <w:rFonts w:hint="eastAsia" w:hAnsi="宋体" w:cs="宋体"/>
                <w:color w:val="000000"/>
                <w:sz w:val="20"/>
                <w:lang w:bidi="ar"/>
              </w:rPr>
              <w:br w:type="textWrapping"/>
            </w:r>
            <w:r>
              <w:rPr>
                <w:rFonts w:hint="eastAsia" w:hAnsi="宋体" w:cs="宋体"/>
                <w:color w:val="000000"/>
                <w:sz w:val="20"/>
                <w:lang w:bidi="ar"/>
              </w:rPr>
              <w:t>铁框架 椅架采用33mmX20mm壁厚1.5MM优质冷轧钢管，椅架中间采用直径19圆管壁厚1.5mm做横梁连接，使椅架更加牢固稳定，安装坐垫时，不易变形；椅架焊接采用全自动机械手焊接，焊口精确牢固、平滑美观；脚轮：采用</w:t>
            </w:r>
            <w:r>
              <w:rPr>
                <w:rFonts w:ascii="Calibri" w:hAnsi="Calibri" w:cs="Calibri"/>
                <w:color w:val="000000"/>
                <w:sz w:val="20"/>
                <w:lang w:bidi="ar"/>
              </w:rPr>
              <w:t>φ</w:t>
            </w:r>
            <w:r>
              <w:rPr>
                <w:rFonts w:hint="eastAsia" w:hAnsi="宋体" w:cs="宋体"/>
                <w:color w:val="000000"/>
                <w:sz w:val="20"/>
                <w:lang w:bidi="ar"/>
              </w:rPr>
              <w:t>50MM普通尼龙材质+PVC，静音设置，移动时不会发出噪音；脚塞采用pp+30%纤维材质</w:t>
            </w:r>
          </w:p>
        </w:tc>
        <w:tc>
          <w:tcPr>
            <w:tcW w:w="0" w:type="auto"/>
            <w:shd w:val="clear" w:color="auto" w:fill="auto"/>
            <w:noWrap/>
            <w:vAlign w:val="center"/>
          </w:tcPr>
          <w:p w14:paraId="1AFC539A">
            <w:pPr>
              <w:widowControl/>
              <w:spacing w:line="460" w:lineRule="exact"/>
              <w:jc w:val="center"/>
              <w:textAlignment w:val="center"/>
              <w:rPr>
                <w:rFonts w:hAnsi="宋体" w:cs="宋体"/>
                <w:color w:val="000000"/>
                <w:sz w:val="20"/>
              </w:rPr>
            </w:pPr>
            <w:r>
              <w:rPr>
                <w:rFonts w:hint="eastAsia" w:hAnsi="宋体" w:cs="宋体"/>
                <w:color w:val="000000"/>
                <w:sz w:val="20"/>
                <w:lang w:bidi="ar"/>
              </w:rPr>
              <w:t>20</w:t>
            </w:r>
          </w:p>
        </w:tc>
        <w:tc>
          <w:tcPr>
            <w:tcW w:w="0" w:type="auto"/>
            <w:shd w:val="clear" w:color="auto" w:fill="auto"/>
            <w:noWrap/>
            <w:vAlign w:val="center"/>
          </w:tcPr>
          <w:p w14:paraId="105AF869">
            <w:pPr>
              <w:widowControl/>
              <w:spacing w:line="460" w:lineRule="exact"/>
              <w:jc w:val="center"/>
              <w:textAlignment w:val="center"/>
              <w:rPr>
                <w:rFonts w:hAnsi="宋体" w:cs="宋体"/>
                <w:color w:val="000000"/>
                <w:sz w:val="20"/>
              </w:rPr>
            </w:pPr>
            <w:r>
              <w:rPr>
                <w:rFonts w:hint="eastAsia" w:hAnsi="宋体" w:cs="宋体"/>
                <w:color w:val="000000"/>
                <w:sz w:val="20"/>
                <w:lang w:bidi="ar"/>
              </w:rPr>
              <w:t>张</w:t>
            </w:r>
          </w:p>
        </w:tc>
      </w:tr>
    </w:tbl>
    <w:p w14:paraId="228A8639">
      <w:pPr>
        <w:pStyle w:val="45"/>
        <w:adjustRightInd w:val="0"/>
        <w:snapToGrid w:val="0"/>
        <w:spacing w:before="0" w:beforeAutospacing="0" w:after="0" w:afterAutospacing="0" w:line="500" w:lineRule="exact"/>
        <w:jc w:val="center"/>
        <w:rPr>
          <w:rFonts w:cs="宋体"/>
          <w:b/>
          <w:bCs/>
          <w:sz w:val="21"/>
          <w:szCs w:val="21"/>
          <w:shd w:val="clear" w:color="auto" w:fill="FFFFFF"/>
        </w:rPr>
      </w:pPr>
      <w:r>
        <w:rPr>
          <w:rFonts w:hint="eastAsia" w:cs="宋体"/>
          <w:b/>
          <w:bCs/>
          <w:sz w:val="21"/>
          <w:szCs w:val="21"/>
          <w:shd w:val="clear" w:color="auto" w:fill="FFFFFF"/>
        </w:rPr>
        <w:t>注：以上清单中除定制产品，其他涉及固定重量、规格的数据上下浮动不超过1%。</w:t>
      </w:r>
    </w:p>
    <w:p w14:paraId="0C52D766">
      <w:pPr>
        <w:pStyle w:val="45"/>
        <w:adjustRightInd w:val="0"/>
        <w:snapToGrid w:val="0"/>
        <w:spacing w:before="0" w:beforeAutospacing="0" w:after="0" w:afterAutospacing="0" w:line="500" w:lineRule="exact"/>
        <w:ind w:firstLine="422" w:firstLineChars="200"/>
        <w:rPr>
          <w:rFonts w:cs="宋体"/>
          <w:b/>
          <w:bCs/>
          <w:sz w:val="21"/>
          <w:szCs w:val="21"/>
          <w:shd w:val="clear" w:color="auto" w:fill="FFFFFF"/>
        </w:rPr>
      </w:pPr>
      <w:r>
        <w:rPr>
          <w:rFonts w:hint="eastAsia" w:cs="宋体"/>
          <w:b/>
          <w:bCs/>
          <w:sz w:val="21"/>
          <w:szCs w:val="21"/>
          <w:shd w:val="clear" w:color="auto" w:fill="FFFFFF"/>
        </w:rPr>
        <w:t>三、本项目装修服务、配套辅材、安装、系统对接服务（不作为本项目标的物，无需填报中小企业声明函）</w:t>
      </w:r>
    </w:p>
    <w:tbl>
      <w:tblPr>
        <w:tblStyle w:val="5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531"/>
        <w:gridCol w:w="6163"/>
        <w:gridCol w:w="598"/>
        <w:gridCol w:w="565"/>
      </w:tblGrid>
      <w:tr w14:paraId="2219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1AED5D3D">
            <w:pPr>
              <w:widowControl/>
              <w:spacing w:line="460" w:lineRule="exact"/>
              <w:jc w:val="center"/>
              <w:textAlignment w:val="center"/>
              <w:rPr>
                <w:rFonts w:hAnsi="宋体" w:cs="宋体"/>
                <w:b/>
                <w:bCs/>
                <w:sz w:val="22"/>
                <w:szCs w:val="22"/>
              </w:rPr>
            </w:pPr>
            <w:r>
              <w:rPr>
                <w:rFonts w:hint="eastAsia" w:hAnsi="宋体" w:cs="宋体"/>
                <w:b/>
                <w:bCs/>
                <w:sz w:val="22"/>
                <w:szCs w:val="22"/>
                <w:lang w:bidi="ar"/>
              </w:rPr>
              <w:t>序号</w:t>
            </w:r>
          </w:p>
        </w:tc>
        <w:tc>
          <w:tcPr>
            <w:tcW w:w="0" w:type="auto"/>
            <w:shd w:val="clear" w:color="auto" w:fill="auto"/>
            <w:vAlign w:val="center"/>
          </w:tcPr>
          <w:p w14:paraId="3AC5561D">
            <w:pPr>
              <w:widowControl/>
              <w:spacing w:line="460" w:lineRule="exact"/>
              <w:jc w:val="center"/>
              <w:textAlignment w:val="center"/>
              <w:rPr>
                <w:rFonts w:hAnsi="宋体" w:cs="宋体"/>
                <w:b/>
                <w:bCs/>
                <w:sz w:val="22"/>
                <w:szCs w:val="22"/>
              </w:rPr>
            </w:pPr>
            <w:r>
              <w:rPr>
                <w:rFonts w:hint="eastAsia" w:hAnsi="宋体" w:cs="宋体"/>
                <w:b/>
                <w:bCs/>
                <w:sz w:val="22"/>
                <w:szCs w:val="22"/>
                <w:lang w:bidi="ar"/>
              </w:rPr>
              <w:t>名称</w:t>
            </w:r>
          </w:p>
        </w:tc>
        <w:tc>
          <w:tcPr>
            <w:tcW w:w="0" w:type="auto"/>
            <w:shd w:val="clear" w:color="auto" w:fill="auto"/>
            <w:vAlign w:val="center"/>
          </w:tcPr>
          <w:p w14:paraId="2F066167">
            <w:pPr>
              <w:widowControl/>
              <w:spacing w:line="460" w:lineRule="exact"/>
              <w:jc w:val="center"/>
              <w:textAlignment w:val="center"/>
              <w:rPr>
                <w:rFonts w:hAnsi="宋体" w:cs="宋体"/>
                <w:b/>
                <w:bCs/>
                <w:sz w:val="22"/>
                <w:szCs w:val="22"/>
              </w:rPr>
            </w:pPr>
            <w:r>
              <w:rPr>
                <w:rFonts w:hint="eastAsia" w:hAnsi="宋体" w:cs="宋体"/>
                <w:b/>
                <w:bCs/>
                <w:sz w:val="22"/>
                <w:szCs w:val="22"/>
                <w:lang w:bidi="ar"/>
              </w:rPr>
              <w:t>招标参数</w:t>
            </w:r>
          </w:p>
        </w:tc>
        <w:tc>
          <w:tcPr>
            <w:tcW w:w="0" w:type="auto"/>
            <w:shd w:val="clear" w:color="auto" w:fill="auto"/>
            <w:vAlign w:val="center"/>
          </w:tcPr>
          <w:p w14:paraId="0444DCD2">
            <w:pPr>
              <w:widowControl/>
              <w:spacing w:line="460" w:lineRule="exact"/>
              <w:jc w:val="center"/>
              <w:textAlignment w:val="center"/>
              <w:rPr>
                <w:rFonts w:hAnsi="宋体" w:cs="宋体"/>
                <w:b/>
                <w:bCs/>
                <w:sz w:val="22"/>
                <w:szCs w:val="22"/>
              </w:rPr>
            </w:pPr>
            <w:r>
              <w:rPr>
                <w:rFonts w:hint="eastAsia" w:hAnsi="宋体" w:cs="宋体"/>
                <w:b/>
                <w:bCs/>
                <w:sz w:val="22"/>
                <w:szCs w:val="22"/>
                <w:lang w:bidi="ar"/>
              </w:rPr>
              <w:t>数量</w:t>
            </w:r>
          </w:p>
        </w:tc>
        <w:tc>
          <w:tcPr>
            <w:tcW w:w="0" w:type="auto"/>
            <w:shd w:val="clear" w:color="auto" w:fill="auto"/>
            <w:vAlign w:val="center"/>
          </w:tcPr>
          <w:p w14:paraId="4E613EB0">
            <w:pPr>
              <w:widowControl/>
              <w:spacing w:line="460" w:lineRule="exact"/>
              <w:jc w:val="center"/>
              <w:textAlignment w:val="center"/>
              <w:rPr>
                <w:rFonts w:hAnsi="宋体" w:cs="宋体"/>
                <w:b/>
                <w:bCs/>
                <w:sz w:val="22"/>
                <w:szCs w:val="22"/>
              </w:rPr>
            </w:pPr>
            <w:r>
              <w:rPr>
                <w:rFonts w:hint="eastAsia" w:hAnsi="宋体" w:cs="宋体"/>
                <w:b/>
                <w:bCs/>
                <w:sz w:val="22"/>
                <w:szCs w:val="22"/>
                <w:lang w:bidi="ar"/>
              </w:rPr>
              <w:t>单位</w:t>
            </w:r>
          </w:p>
        </w:tc>
      </w:tr>
      <w:tr w14:paraId="1541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07340304">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5918C10D">
            <w:pPr>
              <w:widowControl/>
              <w:spacing w:line="460" w:lineRule="exact"/>
              <w:jc w:val="center"/>
              <w:textAlignment w:val="center"/>
              <w:rPr>
                <w:rFonts w:hAnsi="宋体" w:cs="宋体"/>
                <w:color w:val="000000"/>
                <w:sz w:val="20"/>
              </w:rPr>
            </w:pPr>
            <w:r>
              <w:rPr>
                <w:rFonts w:hint="eastAsia" w:hAnsi="宋体" w:cs="宋体"/>
                <w:color w:val="000000"/>
                <w:sz w:val="20"/>
                <w:lang w:bidi="ar"/>
              </w:rPr>
              <w:t>系统配件、施工</w:t>
            </w:r>
          </w:p>
        </w:tc>
        <w:tc>
          <w:tcPr>
            <w:tcW w:w="0" w:type="auto"/>
            <w:shd w:val="clear" w:color="auto" w:fill="auto"/>
            <w:vAlign w:val="center"/>
          </w:tcPr>
          <w:p w14:paraId="27583CE6">
            <w:pPr>
              <w:widowControl/>
              <w:spacing w:line="460" w:lineRule="exact"/>
              <w:textAlignment w:val="center"/>
              <w:rPr>
                <w:rFonts w:hAnsi="宋体" w:cs="宋体"/>
                <w:color w:val="000000"/>
                <w:sz w:val="20"/>
              </w:rPr>
            </w:pPr>
            <w:r>
              <w:rPr>
                <w:rFonts w:hint="eastAsia" w:hAnsi="宋体" w:cs="宋体"/>
                <w:color w:val="000000"/>
                <w:sz w:val="20"/>
                <w:lang w:bidi="ar"/>
              </w:rPr>
              <w:t>含录播教室的弱电布线、线材管材、高清线、VGA分配器、切换器等各类配件、线材，施工及运维。</w:t>
            </w:r>
          </w:p>
        </w:tc>
        <w:tc>
          <w:tcPr>
            <w:tcW w:w="0" w:type="auto"/>
            <w:shd w:val="clear" w:color="auto" w:fill="auto"/>
            <w:vAlign w:val="center"/>
          </w:tcPr>
          <w:p w14:paraId="36F3A1C4">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3C116720">
            <w:pPr>
              <w:widowControl/>
              <w:spacing w:line="460" w:lineRule="exact"/>
              <w:jc w:val="center"/>
              <w:textAlignment w:val="center"/>
              <w:rPr>
                <w:rFonts w:hAnsi="宋体" w:cs="宋体"/>
                <w:color w:val="000000"/>
                <w:sz w:val="20"/>
              </w:rPr>
            </w:pPr>
            <w:r>
              <w:rPr>
                <w:rFonts w:hint="eastAsia" w:hAnsi="宋体" w:cs="宋体"/>
                <w:color w:val="000000"/>
                <w:sz w:val="20"/>
                <w:lang w:bidi="ar"/>
              </w:rPr>
              <w:t>套</w:t>
            </w:r>
          </w:p>
        </w:tc>
      </w:tr>
      <w:tr w14:paraId="1E2B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auto" w:fill="auto"/>
            <w:vAlign w:val="center"/>
          </w:tcPr>
          <w:p w14:paraId="1A63BCB6">
            <w:pPr>
              <w:widowControl/>
              <w:spacing w:line="460" w:lineRule="exact"/>
              <w:jc w:val="center"/>
              <w:textAlignment w:val="center"/>
              <w:rPr>
                <w:rFonts w:hAnsi="宋体" w:cs="宋体"/>
                <w:color w:val="000000"/>
                <w:sz w:val="20"/>
              </w:rPr>
            </w:pPr>
            <w:r>
              <w:rPr>
                <w:rFonts w:hint="eastAsia" w:hAnsi="宋体" w:cs="宋体"/>
                <w:color w:val="000000"/>
                <w:sz w:val="20"/>
                <w:lang w:bidi="ar"/>
              </w:rPr>
              <w:t>2</w:t>
            </w:r>
          </w:p>
        </w:tc>
        <w:tc>
          <w:tcPr>
            <w:tcW w:w="0" w:type="auto"/>
            <w:shd w:val="clear" w:color="auto" w:fill="auto"/>
            <w:vAlign w:val="center"/>
          </w:tcPr>
          <w:p w14:paraId="33CEF3CF">
            <w:pPr>
              <w:widowControl/>
              <w:spacing w:line="460" w:lineRule="exact"/>
              <w:jc w:val="center"/>
              <w:textAlignment w:val="center"/>
              <w:rPr>
                <w:rFonts w:hAnsi="宋体" w:cs="宋体"/>
                <w:color w:val="000000"/>
                <w:sz w:val="20"/>
              </w:rPr>
            </w:pPr>
            <w:r>
              <w:rPr>
                <w:rFonts w:hint="eastAsia" w:hAnsi="宋体" w:cs="宋体"/>
                <w:color w:val="000000"/>
                <w:sz w:val="20"/>
                <w:lang w:bidi="ar"/>
              </w:rPr>
              <w:t>系统对接</w:t>
            </w:r>
          </w:p>
        </w:tc>
        <w:tc>
          <w:tcPr>
            <w:tcW w:w="0" w:type="auto"/>
            <w:shd w:val="clear" w:color="auto" w:fill="auto"/>
            <w:vAlign w:val="center"/>
          </w:tcPr>
          <w:p w14:paraId="10029724">
            <w:pPr>
              <w:widowControl/>
              <w:spacing w:line="460" w:lineRule="exact"/>
              <w:textAlignment w:val="center"/>
              <w:rPr>
                <w:rFonts w:hAnsi="宋体" w:cs="宋体"/>
                <w:color w:val="000000"/>
                <w:sz w:val="20"/>
              </w:rPr>
            </w:pPr>
            <w:r>
              <w:rPr>
                <w:rFonts w:hint="eastAsia" w:hAnsi="宋体" w:cs="宋体"/>
                <w:color w:val="000000"/>
                <w:sz w:val="20"/>
                <w:lang w:bidi="ar"/>
              </w:rPr>
              <w:t>★为提高系统的稳定性，在不增加其他设备的情况下与开发区录播平台无缝对接。</w:t>
            </w:r>
          </w:p>
        </w:tc>
        <w:tc>
          <w:tcPr>
            <w:tcW w:w="0" w:type="auto"/>
            <w:shd w:val="clear" w:color="auto" w:fill="auto"/>
            <w:vAlign w:val="center"/>
          </w:tcPr>
          <w:p w14:paraId="43DDECDE">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vAlign w:val="center"/>
          </w:tcPr>
          <w:p w14:paraId="35D14839">
            <w:pPr>
              <w:widowControl/>
              <w:spacing w:line="460" w:lineRule="exact"/>
              <w:jc w:val="center"/>
              <w:textAlignment w:val="center"/>
              <w:rPr>
                <w:rFonts w:hAnsi="宋体" w:cs="宋体"/>
                <w:color w:val="000000"/>
                <w:sz w:val="20"/>
              </w:rPr>
            </w:pPr>
            <w:r>
              <w:rPr>
                <w:rFonts w:hint="eastAsia" w:hAnsi="宋体" w:cs="宋体"/>
                <w:color w:val="000000"/>
                <w:sz w:val="20"/>
                <w:lang w:bidi="ar"/>
              </w:rPr>
              <w:t>项</w:t>
            </w:r>
          </w:p>
        </w:tc>
      </w:tr>
      <w:tr w14:paraId="0A40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restart"/>
            <w:shd w:val="clear" w:color="auto" w:fill="auto"/>
            <w:noWrap/>
            <w:vAlign w:val="center"/>
          </w:tcPr>
          <w:p w14:paraId="37534530">
            <w:pPr>
              <w:widowControl/>
              <w:spacing w:line="460" w:lineRule="exact"/>
              <w:jc w:val="center"/>
              <w:textAlignment w:val="center"/>
              <w:rPr>
                <w:rFonts w:hAnsi="宋体" w:cs="宋体"/>
                <w:color w:val="000000"/>
                <w:sz w:val="20"/>
              </w:rPr>
            </w:pPr>
            <w:r>
              <w:rPr>
                <w:rFonts w:hint="eastAsia" w:hAnsi="宋体" w:cs="宋体"/>
                <w:color w:val="000000"/>
                <w:sz w:val="20"/>
                <w:lang w:bidi="ar"/>
              </w:rPr>
              <w:t>3</w:t>
            </w:r>
          </w:p>
        </w:tc>
        <w:tc>
          <w:tcPr>
            <w:tcW w:w="0" w:type="auto"/>
            <w:vMerge w:val="restart"/>
            <w:shd w:val="clear" w:color="auto" w:fill="auto"/>
            <w:noWrap/>
            <w:vAlign w:val="center"/>
          </w:tcPr>
          <w:p w14:paraId="21C0C89C">
            <w:pPr>
              <w:widowControl/>
              <w:spacing w:line="460" w:lineRule="exact"/>
              <w:jc w:val="center"/>
              <w:textAlignment w:val="center"/>
              <w:rPr>
                <w:rFonts w:hAnsi="宋体" w:cs="宋体"/>
                <w:color w:val="000000"/>
                <w:sz w:val="20"/>
              </w:rPr>
            </w:pPr>
            <w:r>
              <w:rPr>
                <w:rFonts w:hint="eastAsia" w:hAnsi="宋体" w:cs="宋体"/>
                <w:color w:val="000000"/>
                <w:sz w:val="20"/>
                <w:lang w:bidi="ar"/>
              </w:rPr>
              <w:t>教室环境改造</w:t>
            </w:r>
          </w:p>
        </w:tc>
        <w:tc>
          <w:tcPr>
            <w:tcW w:w="0" w:type="auto"/>
            <w:shd w:val="clear" w:color="auto" w:fill="auto"/>
            <w:noWrap/>
            <w:vAlign w:val="center"/>
          </w:tcPr>
          <w:p w14:paraId="09CFE27B">
            <w:pPr>
              <w:widowControl/>
              <w:spacing w:line="460" w:lineRule="exact"/>
              <w:jc w:val="center"/>
              <w:textAlignment w:val="center"/>
              <w:rPr>
                <w:rFonts w:hAnsi="宋体" w:cs="宋体"/>
                <w:color w:val="000000"/>
                <w:sz w:val="20"/>
              </w:rPr>
            </w:pPr>
            <w:r>
              <w:rPr>
                <w:rFonts w:hint="eastAsia" w:hAnsi="宋体" w:cs="宋体"/>
                <w:color w:val="000000"/>
                <w:sz w:val="20"/>
                <w:lang w:bidi="ar"/>
              </w:rPr>
              <w:t>墙面软包拆除</w:t>
            </w:r>
          </w:p>
        </w:tc>
        <w:tc>
          <w:tcPr>
            <w:tcW w:w="0" w:type="auto"/>
            <w:shd w:val="clear" w:color="auto" w:fill="auto"/>
            <w:noWrap/>
            <w:vAlign w:val="center"/>
          </w:tcPr>
          <w:p w14:paraId="67E4DBEE">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noWrap/>
            <w:vAlign w:val="center"/>
          </w:tcPr>
          <w:p w14:paraId="5F743C56">
            <w:pPr>
              <w:widowControl/>
              <w:spacing w:line="460" w:lineRule="exact"/>
              <w:jc w:val="center"/>
              <w:textAlignment w:val="center"/>
              <w:rPr>
                <w:rFonts w:hAnsi="宋体" w:cs="宋体"/>
                <w:color w:val="000000"/>
                <w:sz w:val="20"/>
              </w:rPr>
            </w:pPr>
            <w:r>
              <w:rPr>
                <w:rFonts w:hint="eastAsia" w:hAnsi="宋体" w:cs="宋体"/>
                <w:color w:val="000000"/>
                <w:sz w:val="20"/>
                <w:lang w:bidi="ar"/>
              </w:rPr>
              <w:t>项</w:t>
            </w:r>
          </w:p>
        </w:tc>
      </w:tr>
      <w:tr w14:paraId="110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2CED1D76">
            <w:pPr>
              <w:spacing w:line="460" w:lineRule="exact"/>
              <w:jc w:val="center"/>
              <w:rPr>
                <w:rFonts w:hAnsi="宋体" w:cs="宋体"/>
                <w:color w:val="000000"/>
                <w:sz w:val="20"/>
              </w:rPr>
            </w:pPr>
          </w:p>
        </w:tc>
        <w:tc>
          <w:tcPr>
            <w:tcW w:w="0" w:type="auto"/>
            <w:vMerge w:val="continue"/>
            <w:shd w:val="clear" w:color="auto" w:fill="auto"/>
            <w:noWrap/>
            <w:vAlign w:val="center"/>
          </w:tcPr>
          <w:p w14:paraId="60B16B55">
            <w:pPr>
              <w:spacing w:line="460" w:lineRule="exact"/>
              <w:jc w:val="center"/>
              <w:rPr>
                <w:rFonts w:hAnsi="宋体" w:cs="宋体"/>
                <w:color w:val="000000"/>
                <w:sz w:val="20"/>
              </w:rPr>
            </w:pPr>
          </w:p>
        </w:tc>
        <w:tc>
          <w:tcPr>
            <w:tcW w:w="0" w:type="auto"/>
            <w:shd w:val="clear" w:color="auto" w:fill="auto"/>
            <w:noWrap/>
            <w:vAlign w:val="center"/>
          </w:tcPr>
          <w:p w14:paraId="64C8A436">
            <w:pPr>
              <w:widowControl/>
              <w:spacing w:line="460" w:lineRule="exact"/>
              <w:jc w:val="center"/>
              <w:textAlignment w:val="center"/>
              <w:rPr>
                <w:rFonts w:hAnsi="宋体" w:cs="宋体"/>
                <w:color w:val="000000"/>
                <w:sz w:val="20"/>
              </w:rPr>
            </w:pPr>
            <w:r>
              <w:rPr>
                <w:rFonts w:hint="eastAsia" w:hAnsi="宋体" w:cs="宋体"/>
                <w:color w:val="000000"/>
                <w:sz w:val="20"/>
                <w:lang w:bidi="ar"/>
              </w:rPr>
              <w:t>隔墙拆除</w:t>
            </w:r>
          </w:p>
        </w:tc>
        <w:tc>
          <w:tcPr>
            <w:tcW w:w="0" w:type="auto"/>
            <w:shd w:val="clear" w:color="auto" w:fill="auto"/>
            <w:noWrap/>
            <w:vAlign w:val="center"/>
          </w:tcPr>
          <w:p w14:paraId="552D9DC2">
            <w:pPr>
              <w:widowControl/>
              <w:spacing w:line="460" w:lineRule="exact"/>
              <w:jc w:val="center"/>
              <w:textAlignment w:val="center"/>
              <w:rPr>
                <w:rFonts w:hAnsi="宋体" w:cs="宋体"/>
                <w:color w:val="000000"/>
                <w:sz w:val="20"/>
              </w:rPr>
            </w:pPr>
            <w:r>
              <w:rPr>
                <w:rFonts w:hint="eastAsia" w:hAnsi="宋体" w:cs="宋体"/>
                <w:color w:val="000000"/>
                <w:sz w:val="20"/>
                <w:lang w:bidi="ar"/>
              </w:rPr>
              <w:t>22</w:t>
            </w:r>
          </w:p>
        </w:tc>
        <w:tc>
          <w:tcPr>
            <w:tcW w:w="0" w:type="auto"/>
            <w:shd w:val="clear" w:color="auto" w:fill="auto"/>
            <w:noWrap/>
            <w:vAlign w:val="center"/>
          </w:tcPr>
          <w:p w14:paraId="50D191BA">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3EB2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3C2C777F">
            <w:pPr>
              <w:spacing w:line="460" w:lineRule="exact"/>
              <w:jc w:val="center"/>
              <w:rPr>
                <w:rFonts w:hAnsi="宋体" w:cs="宋体"/>
                <w:color w:val="000000"/>
                <w:sz w:val="20"/>
              </w:rPr>
            </w:pPr>
          </w:p>
        </w:tc>
        <w:tc>
          <w:tcPr>
            <w:tcW w:w="0" w:type="auto"/>
            <w:vMerge w:val="continue"/>
            <w:shd w:val="clear" w:color="auto" w:fill="auto"/>
            <w:noWrap/>
            <w:vAlign w:val="center"/>
          </w:tcPr>
          <w:p w14:paraId="239C47B3">
            <w:pPr>
              <w:spacing w:line="460" w:lineRule="exact"/>
              <w:jc w:val="center"/>
              <w:rPr>
                <w:rFonts w:hAnsi="宋体" w:cs="宋体"/>
                <w:color w:val="000000"/>
                <w:sz w:val="20"/>
              </w:rPr>
            </w:pPr>
          </w:p>
        </w:tc>
        <w:tc>
          <w:tcPr>
            <w:tcW w:w="0" w:type="auto"/>
            <w:shd w:val="clear" w:color="auto" w:fill="auto"/>
            <w:noWrap/>
            <w:vAlign w:val="center"/>
          </w:tcPr>
          <w:p w14:paraId="1D94AD43">
            <w:pPr>
              <w:widowControl/>
              <w:spacing w:line="460" w:lineRule="exact"/>
              <w:jc w:val="center"/>
              <w:textAlignment w:val="center"/>
              <w:rPr>
                <w:rFonts w:hAnsi="宋体" w:cs="宋体"/>
                <w:color w:val="000000"/>
                <w:sz w:val="20"/>
              </w:rPr>
            </w:pPr>
            <w:r>
              <w:rPr>
                <w:rFonts w:hint="eastAsia" w:hAnsi="宋体" w:cs="宋体"/>
                <w:color w:val="000000"/>
                <w:sz w:val="20"/>
                <w:lang w:bidi="ar"/>
              </w:rPr>
              <w:t>地面拆瓷砖</w:t>
            </w:r>
          </w:p>
        </w:tc>
        <w:tc>
          <w:tcPr>
            <w:tcW w:w="0" w:type="auto"/>
            <w:shd w:val="clear" w:color="auto" w:fill="auto"/>
            <w:noWrap/>
            <w:vAlign w:val="center"/>
          </w:tcPr>
          <w:p w14:paraId="152AAF07">
            <w:pPr>
              <w:widowControl/>
              <w:spacing w:line="460" w:lineRule="exact"/>
              <w:jc w:val="center"/>
              <w:textAlignment w:val="center"/>
              <w:rPr>
                <w:rFonts w:hAnsi="宋体" w:cs="宋体"/>
                <w:color w:val="000000"/>
                <w:sz w:val="20"/>
              </w:rPr>
            </w:pPr>
            <w:r>
              <w:rPr>
                <w:rFonts w:hint="eastAsia" w:hAnsi="宋体" w:cs="宋体"/>
                <w:color w:val="000000"/>
                <w:sz w:val="20"/>
                <w:lang w:bidi="ar"/>
              </w:rPr>
              <w:t>31</w:t>
            </w:r>
          </w:p>
        </w:tc>
        <w:tc>
          <w:tcPr>
            <w:tcW w:w="0" w:type="auto"/>
            <w:shd w:val="clear" w:color="auto" w:fill="auto"/>
            <w:noWrap/>
            <w:vAlign w:val="center"/>
          </w:tcPr>
          <w:p w14:paraId="793C454D">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6E4F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356FE787">
            <w:pPr>
              <w:spacing w:line="460" w:lineRule="exact"/>
              <w:jc w:val="center"/>
              <w:rPr>
                <w:rFonts w:hAnsi="宋体" w:cs="宋体"/>
                <w:color w:val="000000"/>
                <w:sz w:val="20"/>
              </w:rPr>
            </w:pPr>
          </w:p>
        </w:tc>
        <w:tc>
          <w:tcPr>
            <w:tcW w:w="0" w:type="auto"/>
            <w:vMerge w:val="continue"/>
            <w:shd w:val="clear" w:color="auto" w:fill="auto"/>
            <w:noWrap/>
            <w:vAlign w:val="center"/>
          </w:tcPr>
          <w:p w14:paraId="546D5E92">
            <w:pPr>
              <w:spacing w:line="460" w:lineRule="exact"/>
              <w:jc w:val="center"/>
              <w:rPr>
                <w:rFonts w:hAnsi="宋体" w:cs="宋体"/>
                <w:color w:val="000000"/>
                <w:sz w:val="20"/>
              </w:rPr>
            </w:pPr>
          </w:p>
        </w:tc>
        <w:tc>
          <w:tcPr>
            <w:tcW w:w="0" w:type="auto"/>
            <w:shd w:val="clear" w:color="auto" w:fill="auto"/>
            <w:noWrap/>
            <w:vAlign w:val="center"/>
          </w:tcPr>
          <w:p w14:paraId="6D9DF52F">
            <w:pPr>
              <w:widowControl/>
              <w:spacing w:line="460" w:lineRule="exact"/>
              <w:jc w:val="center"/>
              <w:textAlignment w:val="center"/>
              <w:rPr>
                <w:rFonts w:hAnsi="宋体" w:cs="宋体"/>
                <w:color w:val="000000"/>
                <w:sz w:val="20"/>
              </w:rPr>
            </w:pPr>
            <w:r>
              <w:rPr>
                <w:rFonts w:hint="eastAsia" w:hAnsi="宋体" w:cs="宋体"/>
                <w:color w:val="000000"/>
                <w:sz w:val="20"/>
                <w:lang w:bidi="ar"/>
              </w:rPr>
              <w:t>铺地板找平</w:t>
            </w:r>
          </w:p>
        </w:tc>
        <w:tc>
          <w:tcPr>
            <w:tcW w:w="0" w:type="auto"/>
            <w:shd w:val="clear" w:color="auto" w:fill="auto"/>
            <w:noWrap/>
            <w:vAlign w:val="center"/>
          </w:tcPr>
          <w:p w14:paraId="2AD963B5">
            <w:pPr>
              <w:widowControl/>
              <w:spacing w:line="460" w:lineRule="exact"/>
              <w:jc w:val="center"/>
              <w:textAlignment w:val="center"/>
              <w:rPr>
                <w:rFonts w:hAnsi="宋体" w:cs="宋体"/>
                <w:color w:val="000000"/>
                <w:sz w:val="20"/>
              </w:rPr>
            </w:pPr>
            <w:r>
              <w:rPr>
                <w:rFonts w:hint="eastAsia" w:hAnsi="宋体" w:cs="宋体"/>
                <w:color w:val="000000"/>
                <w:sz w:val="20"/>
                <w:lang w:bidi="ar"/>
              </w:rPr>
              <w:t>31</w:t>
            </w:r>
          </w:p>
        </w:tc>
        <w:tc>
          <w:tcPr>
            <w:tcW w:w="0" w:type="auto"/>
            <w:shd w:val="clear" w:color="auto" w:fill="auto"/>
            <w:noWrap/>
            <w:vAlign w:val="center"/>
          </w:tcPr>
          <w:p w14:paraId="4DAC6558">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5788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6D6079C5">
            <w:pPr>
              <w:spacing w:line="460" w:lineRule="exact"/>
              <w:jc w:val="center"/>
              <w:rPr>
                <w:rFonts w:hAnsi="宋体" w:cs="宋体"/>
                <w:color w:val="000000"/>
                <w:sz w:val="20"/>
              </w:rPr>
            </w:pPr>
          </w:p>
        </w:tc>
        <w:tc>
          <w:tcPr>
            <w:tcW w:w="0" w:type="auto"/>
            <w:vMerge w:val="continue"/>
            <w:shd w:val="clear" w:color="auto" w:fill="auto"/>
            <w:noWrap/>
            <w:vAlign w:val="center"/>
          </w:tcPr>
          <w:p w14:paraId="763CB1BF">
            <w:pPr>
              <w:spacing w:line="460" w:lineRule="exact"/>
              <w:jc w:val="center"/>
              <w:rPr>
                <w:rFonts w:hAnsi="宋体" w:cs="宋体"/>
                <w:color w:val="000000"/>
                <w:sz w:val="20"/>
              </w:rPr>
            </w:pPr>
          </w:p>
        </w:tc>
        <w:tc>
          <w:tcPr>
            <w:tcW w:w="0" w:type="auto"/>
            <w:shd w:val="clear" w:color="auto" w:fill="auto"/>
            <w:noWrap/>
            <w:vAlign w:val="center"/>
          </w:tcPr>
          <w:p w14:paraId="0004759D">
            <w:pPr>
              <w:widowControl/>
              <w:spacing w:line="460" w:lineRule="exact"/>
              <w:jc w:val="center"/>
              <w:textAlignment w:val="center"/>
              <w:rPr>
                <w:rFonts w:hAnsi="宋体" w:cs="宋体"/>
                <w:color w:val="000000"/>
                <w:sz w:val="20"/>
              </w:rPr>
            </w:pPr>
            <w:r>
              <w:rPr>
                <w:rFonts w:hint="eastAsia" w:hAnsi="宋体" w:cs="宋体"/>
                <w:color w:val="000000"/>
                <w:sz w:val="20"/>
                <w:lang w:bidi="ar"/>
              </w:rPr>
              <w:t>地台强化地板铺设</w:t>
            </w:r>
          </w:p>
        </w:tc>
        <w:tc>
          <w:tcPr>
            <w:tcW w:w="0" w:type="auto"/>
            <w:shd w:val="clear" w:color="auto" w:fill="auto"/>
            <w:noWrap/>
            <w:vAlign w:val="center"/>
          </w:tcPr>
          <w:p w14:paraId="09E5F263">
            <w:pPr>
              <w:widowControl/>
              <w:spacing w:line="460" w:lineRule="exact"/>
              <w:jc w:val="center"/>
              <w:textAlignment w:val="center"/>
              <w:rPr>
                <w:rFonts w:hAnsi="宋体" w:cs="宋体"/>
                <w:color w:val="000000"/>
                <w:sz w:val="20"/>
              </w:rPr>
            </w:pPr>
            <w:r>
              <w:rPr>
                <w:rFonts w:hint="eastAsia" w:hAnsi="宋体" w:cs="宋体"/>
                <w:color w:val="000000"/>
                <w:sz w:val="20"/>
                <w:lang w:bidi="ar"/>
              </w:rPr>
              <w:t>31</w:t>
            </w:r>
          </w:p>
        </w:tc>
        <w:tc>
          <w:tcPr>
            <w:tcW w:w="0" w:type="auto"/>
            <w:shd w:val="clear" w:color="auto" w:fill="auto"/>
            <w:noWrap/>
            <w:vAlign w:val="center"/>
          </w:tcPr>
          <w:p w14:paraId="016CD6C2">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4207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0C61CD98">
            <w:pPr>
              <w:spacing w:line="460" w:lineRule="exact"/>
              <w:jc w:val="center"/>
              <w:rPr>
                <w:rFonts w:hAnsi="宋体" w:cs="宋体"/>
                <w:color w:val="000000"/>
                <w:sz w:val="20"/>
              </w:rPr>
            </w:pPr>
          </w:p>
        </w:tc>
        <w:tc>
          <w:tcPr>
            <w:tcW w:w="0" w:type="auto"/>
            <w:vMerge w:val="continue"/>
            <w:shd w:val="clear" w:color="auto" w:fill="auto"/>
            <w:noWrap/>
            <w:vAlign w:val="center"/>
          </w:tcPr>
          <w:p w14:paraId="5C983A21">
            <w:pPr>
              <w:spacing w:line="460" w:lineRule="exact"/>
              <w:jc w:val="center"/>
              <w:rPr>
                <w:rFonts w:hAnsi="宋体" w:cs="宋体"/>
                <w:color w:val="000000"/>
                <w:sz w:val="20"/>
              </w:rPr>
            </w:pPr>
          </w:p>
        </w:tc>
        <w:tc>
          <w:tcPr>
            <w:tcW w:w="0" w:type="auto"/>
            <w:shd w:val="clear" w:color="auto" w:fill="auto"/>
            <w:noWrap/>
            <w:vAlign w:val="center"/>
          </w:tcPr>
          <w:p w14:paraId="14E5CEC8">
            <w:pPr>
              <w:widowControl/>
              <w:spacing w:line="460" w:lineRule="exact"/>
              <w:jc w:val="center"/>
              <w:textAlignment w:val="center"/>
              <w:rPr>
                <w:rFonts w:hAnsi="宋体" w:cs="宋体"/>
                <w:color w:val="000000"/>
                <w:sz w:val="20"/>
              </w:rPr>
            </w:pPr>
            <w:r>
              <w:rPr>
                <w:rFonts w:hint="eastAsia" w:hAnsi="宋体" w:cs="宋体"/>
                <w:color w:val="000000"/>
                <w:sz w:val="20"/>
                <w:lang w:bidi="ar"/>
              </w:rPr>
              <w:t>成品踢脚线</w:t>
            </w:r>
          </w:p>
        </w:tc>
        <w:tc>
          <w:tcPr>
            <w:tcW w:w="0" w:type="auto"/>
            <w:shd w:val="clear" w:color="auto" w:fill="auto"/>
            <w:noWrap/>
            <w:vAlign w:val="center"/>
          </w:tcPr>
          <w:p w14:paraId="20D4DFC0">
            <w:pPr>
              <w:widowControl/>
              <w:spacing w:line="460" w:lineRule="exact"/>
              <w:jc w:val="center"/>
              <w:textAlignment w:val="center"/>
              <w:rPr>
                <w:rFonts w:hAnsi="宋体" w:cs="宋体"/>
                <w:color w:val="000000"/>
                <w:sz w:val="20"/>
              </w:rPr>
            </w:pPr>
            <w:r>
              <w:rPr>
                <w:rFonts w:hint="eastAsia" w:hAnsi="宋体" w:cs="宋体"/>
                <w:color w:val="000000"/>
                <w:sz w:val="20"/>
                <w:lang w:bidi="ar"/>
              </w:rPr>
              <w:t>20</w:t>
            </w:r>
          </w:p>
        </w:tc>
        <w:tc>
          <w:tcPr>
            <w:tcW w:w="0" w:type="auto"/>
            <w:shd w:val="clear" w:color="auto" w:fill="auto"/>
            <w:noWrap/>
            <w:vAlign w:val="center"/>
          </w:tcPr>
          <w:p w14:paraId="6BCA3684">
            <w:pPr>
              <w:widowControl/>
              <w:spacing w:line="460" w:lineRule="exact"/>
              <w:jc w:val="center"/>
              <w:textAlignment w:val="center"/>
              <w:rPr>
                <w:rFonts w:hAnsi="宋体" w:cs="宋体"/>
                <w:color w:val="000000"/>
                <w:sz w:val="20"/>
              </w:rPr>
            </w:pPr>
            <w:r>
              <w:rPr>
                <w:rFonts w:hint="eastAsia" w:hAnsi="宋体" w:cs="宋体"/>
                <w:color w:val="000000"/>
                <w:sz w:val="20"/>
                <w:lang w:bidi="ar"/>
              </w:rPr>
              <w:t>m</w:t>
            </w:r>
          </w:p>
        </w:tc>
      </w:tr>
      <w:tr w14:paraId="5C3A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38D98BA9">
            <w:pPr>
              <w:spacing w:line="460" w:lineRule="exact"/>
              <w:jc w:val="center"/>
              <w:rPr>
                <w:rFonts w:hAnsi="宋体" w:cs="宋体"/>
                <w:color w:val="000000"/>
                <w:sz w:val="20"/>
              </w:rPr>
            </w:pPr>
          </w:p>
        </w:tc>
        <w:tc>
          <w:tcPr>
            <w:tcW w:w="0" w:type="auto"/>
            <w:vMerge w:val="continue"/>
            <w:shd w:val="clear" w:color="auto" w:fill="auto"/>
            <w:noWrap/>
            <w:vAlign w:val="center"/>
          </w:tcPr>
          <w:p w14:paraId="4139C57D">
            <w:pPr>
              <w:spacing w:line="460" w:lineRule="exact"/>
              <w:jc w:val="center"/>
              <w:rPr>
                <w:rFonts w:hAnsi="宋体" w:cs="宋体"/>
                <w:color w:val="000000"/>
                <w:sz w:val="20"/>
              </w:rPr>
            </w:pPr>
          </w:p>
        </w:tc>
        <w:tc>
          <w:tcPr>
            <w:tcW w:w="0" w:type="auto"/>
            <w:shd w:val="clear" w:color="auto" w:fill="auto"/>
            <w:noWrap/>
            <w:vAlign w:val="center"/>
          </w:tcPr>
          <w:p w14:paraId="7872CA54">
            <w:pPr>
              <w:widowControl/>
              <w:spacing w:line="460" w:lineRule="exact"/>
              <w:jc w:val="center"/>
              <w:textAlignment w:val="center"/>
              <w:rPr>
                <w:rFonts w:hAnsi="宋体" w:cs="宋体"/>
                <w:color w:val="000000"/>
                <w:sz w:val="20"/>
              </w:rPr>
            </w:pPr>
            <w:r>
              <w:rPr>
                <w:rFonts w:hint="eastAsia" w:hAnsi="宋体" w:cs="宋体"/>
                <w:color w:val="000000"/>
                <w:sz w:val="20"/>
                <w:lang w:bidi="ar"/>
              </w:rPr>
              <w:t>内置吸音棉</w:t>
            </w:r>
          </w:p>
        </w:tc>
        <w:tc>
          <w:tcPr>
            <w:tcW w:w="0" w:type="auto"/>
            <w:shd w:val="clear" w:color="auto" w:fill="auto"/>
            <w:noWrap/>
            <w:vAlign w:val="center"/>
          </w:tcPr>
          <w:p w14:paraId="16DCA994">
            <w:pPr>
              <w:widowControl/>
              <w:spacing w:line="460" w:lineRule="exact"/>
              <w:jc w:val="center"/>
              <w:textAlignment w:val="center"/>
              <w:rPr>
                <w:rFonts w:hAnsi="宋体" w:cs="宋体"/>
                <w:color w:val="000000"/>
                <w:sz w:val="20"/>
              </w:rPr>
            </w:pPr>
            <w:r>
              <w:rPr>
                <w:rFonts w:hint="eastAsia" w:hAnsi="宋体" w:cs="宋体"/>
                <w:color w:val="000000"/>
                <w:sz w:val="20"/>
                <w:lang w:bidi="ar"/>
              </w:rPr>
              <w:t>95</w:t>
            </w:r>
          </w:p>
        </w:tc>
        <w:tc>
          <w:tcPr>
            <w:tcW w:w="0" w:type="auto"/>
            <w:shd w:val="clear" w:color="auto" w:fill="auto"/>
            <w:noWrap/>
            <w:vAlign w:val="center"/>
          </w:tcPr>
          <w:p w14:paraId="71A22994">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0999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53FA0A78">
            <w:pPr>
              <w:spacing w:line="460" w:lineRule="exact"/>
              <w:jc w:val="center"/>
              <w:rPr>
                <w:rFonts w:hAnsi="宋体" w:cs="宋体"/>
                <w:color w:val="000000"/>
                <w:sz w:val="20"/>
              </w:rPr>
            </w:pPr>
          </w:p>
        </w:tc>
        <w:tc>
          <w:tcPr>
            <w:tcW w:w="0" w:type="auto"/>
            <w:vMerge w:val="continue"/>
            <w:shd w:val="clear" w:color="auto" w:fill="auto"/>
            <w:noWrap/>
            <w:vAlign w:val="center"/>
          </w:tcPr>
          <w:p w14:paraId="770631FD">
            <w:pPr>
              <w:spacing w:line="460" w:lineRule="exact"/>
              <w:jc w:val="center"/>
              <w:rPr>
                <w:rFonts w:hAnsi="宋体" w:cs="宋体"/>
                <w:color w:val="000000"/>
                <w:sz w:val="20"/>
              </w:rPr>
            </w:pPr>
          </w:p>
        </w:tc>
        <w:tc>
          <w:tcPr>
            <w:tcW w:w="0" w:type="auto"/>
            <w:shd w:val="clear" w:color="auto" w:fill="auto"/>
            <w:noWrap/>
            <w:vAlign w:val="center"/>
          </w:tcPr>
          <w:p w14:paraId="427B1CDF">
            <w:pPr>
              <w:widowControl/>
              <w:spacing w:line="460" w:lineRule="exact"/>
              <w:jc w:val="center"/>
              <w:textAlignment w:val="center"/>
              <w:rPr>
                <w:rFonts w:hAnsi="宋体" w:cs="宋体"/>
                <w:color w:val="000000"/>
                <w:sz w:val="20"/>
              </w:rPr>
            </w:pPr>
            <w:r>
              <w:rPr>
                <w:rFonts w:hint="eastAsia" w:hAnsi="宋体" w:cs="宋体"/>
                <w:color w:val="000000"/>
                <w:sz w:val="20"/>
                <w:lang w:bidi="ar"/>
              </w:rPr>
              <w:t>墙面吸音板</w:t>
            </w:r>
          </w:p>
        </w:tc>
        <w:tc>
          <w:tcPr>
            <w:tcW w:w="0" w:type="auto"/>
            <w:shd w:val="clear" w:color="auto" w:fill="auto"/>
            <w:noWrap/>
            <w:vAlign w:val="center"/>
          </w:tcPr>
          <w:p w14:paraId="51EA8AEF">
            <w:pPr>
              <w:widowControl/>
              <w:spacing w:line="460" w:lineRule="exact"/>
              <w:jc w:val="center"/>
              <w:textAlignment w:val="center"/>
              <w:rPr>
                <w:rFonts w:hAnsi="宋体" w:cs="宋体"/>
                <w:color w:val="000000"/>
                <w:sz w:val="20"/>
              </w:rPr>
            </w:pPr>
            <w:r>
              <w:rPr>
                <w:rFonts w:hint="eastAsia" w:hAnsi="宋体" w:cs="宋体"/>
                <w:color w:val="000000"/>
                <w:sz w:val="20"/>
                <w:lang w:bidi="ar"/>
              </w:rPr>
              <w:t>95</w:t>
            </w:r>
          </w:p>
        </w:tc>
        <w:tc>
          <w:tcPr>
            <w:tcW w:w="0" w:type="auto"/>
            <w:shd w:val="clear" w:color="auto" w:fill="auto"/>
            <w:noWrap/>
            <w:vAlign w:val="center"/>
          </w:tcPr>
          <w:p w14:paraId="5E40409F">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3FE8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573823C2">
            <w:pPr>
              <w:spacing w:line="460" w:lineRule="exact"/>
              <w:jc w:val="center"/>
              <w:rPr>
                <w:rFonts w:hAnsi="宋体" w:cs="宋体"/>
                <w:color w:val="000000"/>
                <w:sz w:val="20"/>
              </w:rPr>
            </w:pPr>
          </w:p>
        </w:tc>
        <w:tc>
          <w:tcPr>
            <w:tcW w:w="0" w:type="auto"/>
            <w:vMerge w:val="continue"/>
            <w:shd w:val="clear" w:color="auto" w:fill="auto"/>
            <w:noWrap/>
            <w:vAlign w:val="center"/>
          </w:tcPr>
          <w:p w14:paraId="4B9B4AA5">
            <w:pPr>
              <w:spacing w:line="460" w:lineRule="exact"/>
              <w:jc w:val="center"/>
              <w:rPr>
                <w:rFonts w:hAnsi="宋体" w:cs="宋体"/>
                <w:color w:val="000000"/>
                <w:sz w:val="20"/>
              </w:rPr>
            </w:pPr>
          </w:p>
        </w:tc>
        <w:tc>
          <w:tcPr>
            <w:tcW w:w="0" w:type="auto"/>
            <w:shd w:val="clear" w:color="auto" w:fill="auto"/>
            <w:noWrap/>
            <w:vAlign w:val="center"/>
          </w:tcPr>
          <w:p w14:paraId="662AA4E6">
            <w:pPr>
              <w:widowControl/>
              <w:spacing w:line="460" w:lineRule="exact"/>
              <w:jc w:val="center"/>
              <w:textAlignment w:val="center"/>
              <w:rPr>
                <w:rFonts w:hAnsi="宋体" w:cs="宋体"/>
                <w:color w:val="000000"/>
                <w:sz w:val="20"/>
              </w:rPr>
            </w:pPr>
            <w:r>
              <w:rPr>
                <w:rFonts w:hint="eastAsia" w:hAnsi="宋体" w:cs="宋体"/>
                <w:color w:val="000000"/>
                <w:sz w:val="20"/>
                <w:lang w:bidi="ar"/>
              </w:rPr>
              <w:t>墙面隔音板打底挂设备墙</w:t>
            </w:r>
          </w:p>
        </w:tc>
        <w:tc>
          <w:tcPr>
            <w:tcW w:w="0" w:type="auto"/>
            <w:shd w:val="clear" w:color="auto" w:fill="auto"/>
            <w:noWrap/>
            <w:vAlign w:val="center"/>
          </w:tcPr>
          <w:p w14:paraId="338BE7FA">
            <w:pPr>
              <w:widowControl/>
              <w:spacing w:line="460" w:lineRule="exact"/>
              <w:jc w:val="center"/>
              <w:textAlignment w:val="center"/>
              <w:rPr>
                <w:rFonts w:hAnsi="宋体" w:cs="宋体"/>
                <w:color w:val="000000"/>
                <w:sz w:val="20"/>
              </w:rPr>
            </w:pPr>
            <w:r>
              <w:rPr>
                <w:rFonts w:hint="eastAsia" w:hAnsi="宋体" w:cs="宋体"/>
                <w:color w:val="000000"/>
                <w:sz w:val="20"/>
                <w:lang w:bidi="ar"/>
              </w:rPr>
              <w:t>21</w:t>
            </w:r>
          </w:p>
        </w:tc>
        <w:tc>
          <w:tcPr>
            <w:tcW w:w="0" w:type="auto"/>
            <w:shd w:val="clear" w:color="auto" w:fill="auto"/>
            <w:noWrap/>
            <w:vAlign w:val="center"/>
          </w:tcPr>
          <w:p w14:paraId="3DD990EC">
            <w:pPr>
              <w:widowControl/>
              <w:spacing w:line="460" w:lineRule="exact"/>
              <w:jc w:val="center"/>
              <w:textAlignment w:val="center"/>
              <w:rPr>
                <w:rFonts w:hAnsi="宋体" w:cs="宋体"/>
                <w:color w:val="000000"/>
                <w:sz w:val="20"/>
              </w:rPr>
            </w:pPr>
            <w:r>
              <w:rPr>
                <w:rFonts w:hint="eastAsia" w:hAnsi="宋体" w:cs="宋体"/>
                <w:color w:val="000000"/>
                <w:sz w:val="20"/>
                <w:lang w:bidi="ar"/>
              </w:rPr>
              <w:t>m</w:t>
            </w:r>
          </w:p>
        </w:tc>
      </w:tr>
      <w:tr w14:paraId="2E93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13D6756C">
            <w:pPr>
              <w:spacing w:line="460" w:lineRule="exact"/>
              <w:jc w:val="center"/>
              <w:rPr>
                <w:rFonts w:hAnsi="宋体" w:cs="宋体"/>
                <w:color w:val="000000"/>
                <w:sz w:val="20"/>
              </w:rPr>
            </w:pPr>
          </w:p>
        </w:tc>
        <w:tc>
          <w:tcPr>
            <w:tcW w:w="0" w:type="auto"/>
            <w:vMerge w:val="continue"/>
            <w:shd w:val="clear" w:color="auto" w:fill="auto"/>
            <w:noWrap/>
            <w:vAlign w:val="center"/>
          </w:tcPr>
          <w:p w14:paraId="5E355774">
            <w:pPr>
              <w:spacing w:line="460" w:lineRule="exact"/>
              <w:jc w:val="center"/>
              <w:rPr>
                <w:rFonts w:hAnsi="宋体" w:cs="宋体"/>
                <w:color w:val="000000"/>
                <w:sz w:val="20"/>
              </w:rPr>
            </w:pPr>
          </w:p>
        </w:tc>
        <w:tc>
          <w:tcPr>
            <w:tcW w:w="0" w:type="auto"/>
            <w:shd w:val="clear" w:color="auto" w:fill="auto"/>
            <w:noWrap/>
            <w:vAlign w:val="center"/>
          </w:tcPr>
          <w:p w14:paraId="4672D603">
            <w:pPr>
              <w:widowControl/>
              <w:spacing w:line="460" w:lineRule="exact"/>
              <w:jc w:val="center"/>
              <w:textAlignment w:val="center"/>
              <w:rPr>
                <w:rFonts w:hAnsi="宋体" w:cs="宋体"/>
                <w:color w:val="000000"/>
                <w:sz w:val="20"/>
              </w:rPr>
            </w:pPr>
            <w:r>
              <w:rPr>
                <w:rFonts w:hint="eastAsia" w:hAnsi="宋体" w:cs="宋体"/>
                <w:color w:val="000000"/>
                <w:sz w:val="20"/>
                <w:lang w:bidi="ar"/>
              </w:rPr>
              <w:t>定制窗帘</w:t>
            </w:r>
          </w:p>
        </w:tc>
        <w:tc>
          <w:tcPr>
            <w:tcW w:w="0" w:type="auto"/>
            <w:shd w:val="clear" w:color="auto" w:fill="auto"/>
            <w:noWrap/>
            <w:vAlign w:val="center"/>
          </w:tcPr>
          <w:p w14:paraId="00D1E9D4">
            <w:pPr>
              <w:widowControl/>
              <w:spacing w:line="460" w:lineRule="exact"/>
              <w:jc w:val="center"/>
              <w:textAlignment w:val="center"/>
              <w:rPr>
                <w:rFonts w:hAnsi="宋体" w:cs="宋体"/>
                <w:color w:val="000000"/>
                <w:sz w:val="20"/>
              </w:rPr>
            </w:pPr>
            <w:r>
              <w:rPr>
                <w:rFonts w:hint="eastAsia" w:hAnsi="宋体" w:cs="宋体"/>
                <w:color w:val="000000"/>
                <w:sz w:val="20"/>
                <w:lang w:bidi="ar"/>
              </w:rPr>
              <w:t>20</w:t>
            </w:r>
          </w:p>
        </w:tc>
        <w:tc>
          <w:tcPr>
            <w:tcW w:w="0" w:type="auto"/>
            <w:shd w:val="clear" w:color="auto" w:fill="auto"/>
            <w:noWrap/>
            <w:vAlign w:val="center"/>
          </w:tcPr>
          <w:p w14:paraId="57EF9D80">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43B8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521F0673">
            <w:pPr>
              <w:spacing w:line="460" w:lineRule="exact"/>
              <w:jc w:val="center"/>
              <w:rPr>
                <w:rFonts w:hAnsi="宋体" w:cs="宋体"/>
                <w:color w:val="000000"/>
                <w:sz w:val="20"/>
              </w:rPr>
            </w:pPr>
          </w:p>
        </w:tc>
        <w:tc>
          <w:tcPr>
            <w:tcW w:w="0" w:type="auto"/>
            <w:vMerge w:val="continue"/>
            <w:shd w:val="clear" w:color="auto" w:fill="auto"/>
            <w:noWrap/>
            <w:vAlign w:val="center"/>
          </w:tcPr>
          <w:p w14:paraId="7F5C7C98">
            <w:pPr>
              <w:spacing w:line="460" w:lineRule="exact"/>
              <w:jc w:val="center"/>
              <w:rPr>
                <w:rFonts w:hAnsi="宋体" w:cs="宋体"/>
                <w:color w:val="000000"/>
                <w:sz w:val="20"/>
              </w:rPr>
            </w:pPr>
          </w:p>
        </w:tc>
        <w:tc>
          <w:tcPr>
            <w:tcW w:w="0" w:type="auto"/>
            <w:shd w:val="clear" w:color="auto" w:fill="auto"/>
            <w:noWrap/>
            <w:vAlign w:val="center"/>
          </w:tcPr>
          <w:p w14:paraId="18704A5A">
            <w:pPr>
              <w:widowControl/>
              <w:spacing w:line="460" w:lineRule="exact"/>
              <w:jc w:val="center"/>
              <w:textAlignment w:val="center"/>
              <w:rPr>
                <w:rFonts w:hAnsi="宋体" w:cs="宋体"/>
                <w:color w:val="000000"/>
                <w:sz w:val="20"/>
              </w:rPr>
            </w:pPr>
            <w:r>
              <w:rPr>
                <w:rFonts w:hint="eastAsia" w:hAnsi="宋体" w:cs="宋体"/>
                <w:color w:val="000000"/>
                <w:sz w:val="20"/>
                <w:lang w:bidi="ar"/>
              </w:rPr>
              <w:t>教室灯光更换</w:t>
            </w:r>
          </w:p>
        </w:tc>
        <w:tc>
          <w:tcPr>
            <w:tcW w:w="0" w:type="auto"/>
            <w:shd w:val="clear" w:color="auto" w:fill="auto"/>
            <w:noWrap/>
            <w:vAlign w:val="center"/>
          </w:tcPr>
          <w:p w14:paraId="6E66C117">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noWrap/>
            <w:vAlign w:val="center"/>
          </w:tcPr>
          <w:p w14:paraId="02CE5967">
            <w:pPr>
              <w:widowControl/>
              <w:spacing w:line="460" w:lineRule="exact"/>
              <w:jc w:val="center"/>
              <w:textAlignment w:val="center"/>
              <w:rPr>
                <w:rFonts w:hAnsi="宋体" w:cs="宋体"/>
                <w:color w:val="000000"/>
                <w:sz w:val="20"/>
              </w:rPr>
            </w:pPr>
            <w:r>
              <w:rPr>
                <w:rFonts w:hint="eastAsia" w:hAnsi="宋体" w:cs="宋体"/>
                <w:color w:val="000000"/>
                <w:sz w:val="20"/>
                <w:lang w:bidi="ar"/>
              </w:rPr>
              <w:t>批</w:t>
            </w:r>
          </w:p>
        </w:tc>
      </w:tr>
      <w:tr w14:paraId="3081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15D487B0">
            <w:pPr>
              <w:spacing w:line="460" w:lineRule="exact"/>
              <w:jc w:val="center"/>
              <w:rPr>
                <w:rFonts w:hAnsi="宋体" w:cs="宋体"/>
                <w:color w:val="000000"/>
                <w:sz w:val="20"/>
              </w:rPr>
            </w:pPr>
          </w:p>
        </w:tc>
        <w:tc>
          <w:tcPr>
            <w:tcW w:w="0" w:type="auto"/>
            <w:vMerge w:val="continue"/>
            <w:shd w:val="clear" w:color="auto" w:fill="auto"/>
            <w:noWrap/>
            <w:vAlign w:val="center"/>
          </w:tcPr>
          <w:p w14:paraId="411DF0C7">
            <w:pPr>
              <w:spacing w:line="460" w:lineRule="exact"/>
              <w:jc w:val="center"/>
              <w:rPr>
                <w:rFonts w:hAnsi="宋体" w:cs="宋体"/>
                <w:color w:val="000000"/>
                <w:sz w:val="20"/>
              </w:rPr>
            </w:pPr>
          </w:p>
        </w:tc>
        <w:tc>
          <w:tcPr>
            <w:tcW w:w="0" w:type="auto"/>
            <w:shd w:val="clear" w:color="auto" w:fill="auto"/>
            <w:noWrap/>
            <w:vAlign w:val="center"/>
          </w:tcPr>
          <w:p w14:paraId="62B103C1">
            <w:pPr>
              <w:widowControl/>
              <w:spacing w:line="460" w:lineRule="exact"/>
              <w:jc w:val="center"/>
              <w:textAlignment w:val="center"/>
              <w:rPr>
                <w:rFonts w:hAnsi="宋体" w:cs="宋体"/>
                <w:color w:val="000000"/>
                <w:sz w:val="20"/>
              </w:rPr>
            </w:pPr>
            <w:r>
              <w:rPr>
                <w:rFonts w:hint="eastAsia" w:hAnsi="宋体" w:cs="宋体"/>
                <w:color w:val="000000"/>
                <w:sz w:val="20"/>
                <w:lang w:bidi="ar"/>
              </w:rPr>
              <w:t>顶面吊顶修复</w:t>
            </w:r>
          </w:p>
        </w:tc>
        <w:tc>
          <w:tcPr>
            <w:tcW w:w="0" w:type="auto"/>
            <w:shd w:val="clear" w:color="auto" w:fill="auto"/>
            <w:noWrap/>
            <w:vAlign w:val="center"/>
          </w:tcPr>
          <w:p w14:paraId="0565D6CD">
            <w:pPr>
              <w:widowControl/>
              <w:spacing w:line="460" w:lineRule="exact"/>
              <w:jc w:val="center"/>
              <w:textAlignment w:val="center"/>
              <w:rPr>
                <w:rFonts w:hAnsi="宋体" w:cs="宋体"/>
                <w:color w:val="000000"/>
                <w:sz w:val="20"/>
              </w:rPr>
            </w:pPr>
            <w:r>
              <w:rPr>
                <w:rFonts w:hint="eastAsia" w:hAnsi="宋体" w:cs="宋体"/>
                <w:color w:val="000000"/>
                <w:sz w:val="20"/>
                <w:lang w:bidi="ar"/>
              </w:rPr>
              <w:t>1</w:t>
            </w:r>
          </w:p>
        </w:tc>
        <w:tc>
          <w:tcPr>
            <w:tcW w:w="0" w:type="auto"/>
            <w:shd w:val="clear" w:color="auto" w:fill="auto"/>
            <w:noWrap/>
            <w:vAlign w:val="center"/>
          </w:tcPr>
          <w:p w14:paraId="1A7385F9">
            <w:pPr>
              <w:widowControl/>
              <w:spacing w:line="460" w:lineRule="exact"/>
              <w:jc w:val="center"/>
              <w:textAlignment w:val="center"/>
              <w:rPr>
                <w:rFonts w:hAnsi="宋体" w:cs="宋体"/>
                <w:color w:val="000000"/>
                <w:sz w:val="20"/>
              </w:rPr>
            </w:pPr>
            <w:r>
              <w:rPr>
                <w:rFonts w:hint="eastAsia" w:hAnsi="宋体" w:cs="宋体"/>
                <w:color w:val="000000"/>
                <w:sz w:val="20"/>
                <w:lang w:bidi="ar"/>
              </w:rPr>
              <w:t>项</w:t>
            </w:r>
          </w:p>
        </w:tc>
      </w:tr>
      <w:tr w14:paraId="6CA4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6483B07F">
            <w:pPr>
              <w:spacing w:line="460" w:lineRule="exact"/>
              <w:jc w:val="center"/>
              <w:rPr>
                <w:rFonts w:hAnsi="宋体" w:cs="宋体"/>
                <w:color w:val="000000"/>
                <w:sz w:val="20"/>
              </w:rPr>
            </w:pPr>
          </w:p>
        </w:tc>
        <w:tc>
          <w:tcPr>
            <w:tcW w:w="0" w:type="auto"/>
            <w:vMerge w:val="continue"/>
            <w:shd w:val="clear" w:color="auto" w:fill="auto"/>
            <w:noWrap/>
            <w:vAlign w:val="center"/>
          </w:tcPr>
          <w:p w14:paraId="2B56E19B">
            <w:pPr>
              <w:spacing w:line="460" w:lineRule="exact"/>
              <w:jc w:val="center"/>
              <w:rPr>
                <w:rFonts w:hAnsi="宋体" w:cs="宋体"/>
                <w:color w:val="000000"/>
                <w:sz w:val="20"/>
              </w:rPr>
            </w:pPr>
          </w:p>
        </w:tc>
        <w:tc>
          <w:tcPr>
            <w:tcW w:w="0" w:type="auto"/>
            <w:shd w:val="clear" w:color="auto" w:fill="auto"/>
            <w:noWrap/>
            <w:vAlign w:val="center"/>
          </w:tcPr>
          <w:p w14:paraId="0F2C4914">
            <w:pPr>
              <w:widowControl/>
              <w:spacing w:line="460" w:lineRule="exact"/>
              <w:jc w:val="center"/>
              <w:textAlignment w:val="center"/>
              <w:rPr>
                <w:rFonts w:hAnsi="宋体" w:cs="宋体"/>
                <w:color w:val="000000"/>
                <w:sz w:val="20"/>
              </w:rPr>
            </w:pPr>
            <w:r>
              <w:rPr>
                <w:rFonts w:hint="eastAsia" w:hAnsi="宋体" w:cs="宋体"/>
                <w:color w:val="000000"/>
                <w:sz w:val="20"/>
                <w:lang w:bidi="ar"/>
              </w:rPr>
              <w:t>观摩室墙面批灰</w:t>
            </w:r>
          </w:p>
        </w:tc>
        <w:tc>
          <w:tcPr>
            <w:tcW w:w="0" w:type="auto"/>
            <w:shd w:val="clear" w:color="auto" w:fill="auto"/>
            <w:noWrap/>
            <w:vAlign w:val="center"/>
          </w:tcPr>
          <w:p w14:paraId="390FFCCA">
            <w:pPr>
              <w:widowControl/>
              <w:spacing w:line="460" w:lineRule="exact"/>
              <w:jc w:val="center"/>
              <w:textAlignment w:val="center"/>
              <w:rPr>
                <w:rFonts w:hAnsi="宋体" w:cs="宋体"/>
                <w:color w:val="000000"/>
                <w:sz w:val="20"/>
              </w:rPr>
            </w:pPr>
            <w:r>
              <w:rPr>
                <w:rFonts w:hint="eastAsia" w:hAnsi="宋体" w:cs="宋体"/>
                <w:color w:val="000000"/>
                <w:sz w:val="20"/>
                <w:lang w:bidi="ar"/>
              </w:rPr>
              <w:t>80</w:t>
            </w:r>
          </w:p>
        </w:tc>
        <w:tc>
          <w:tcPr>
            <w:tcW w:w="0" w:type="auto"/>
            <w:shd w:val="clear" w:color="auto" w:fill="auto"/>
            <w:noWrap/>
            <w:vAlign w:val="center"/>
          </w:tcPr>
          <w:p w14:paraId="1ADE8CA9">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200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3E075402">
            <w:pPr>
              <w:spacing w:line="460" w:lineRule="exact"/>
              <w:jc w:val="center"/>
              <w:rPr>
                <w:rFonts w:hAnsi="宋体" w:cs="宋体"/>
                <w:color w:val="000000"/>
                <w:sz w:val="20"/>
              </w:rPr>
            </w:pPr>
          </w:p>
        </w:tc>
        <w:tc>
          <w:tcPr>
            <w:tcW w:w="0" w:type="auto"/>
            <w:vMerge w:val="continue"/>
            <w:shd w:val="clear" w:color="auto" w:fill="auto"/>
            <w:noWrap/>
            <w:vAlign w:val="center"/>
          </w:tcPr>
          <w:p w14:paraId="5C86E505">
            <w:pPr>
              <w:spacing w:line="460" w:lineRule="exact"/>
              <w:jc w:val="center"/>
              <w:rPr>
                <w:rFonts w:hAnsi="宋体" w:cs="宋体"/>
                <w:color w:val="000000"/>
                <w:sz w:val="20"/>
              </w:rPr>
            </w:pPr>
          </w:p>
        </w:tc>
        <w:tc>
          <w:tcPr>
            <w:tcW w:w="0" w:type="auto"/>
            <w:shd w:val="clear" w:color="auto" w:fill="auto"/>
            <w:noWrap/>
            <w:vAlign w:val="center"/>
          </w:tcPr>
          <w:p w14:paraId="06640BE9">
            <w:pPr>
              <w:widowControl/>
              <w:spacing w:line="460" w:lineRule="exact"/>
              <w:jc w:val="center"/>
              <w:textAlignment w:val="center"/>
              <w:rPr>
                <w:rFonts w:hAnsi="宋体" w:cs="宋体"/>
                <w:color w:val="000000"/>
                <w:sz w:val="20"/>
              </w:rPr>
            </w:pPr>
            <w:r>
              <w:rPr>
                <w:rFonts w:hint="eastAsia" w:hAnsi="宋体" w:cs="宋体"/>
                <w:color w:val="000000"/>
                <w:sz w:val="20"/>
                <w:lang w:bidi="ar"/>
              </w:rPr>
              <w:t>观摩室墙面白色乳胶漆</w:t>
            </w:r>
          </w:p>
        </w:tc>
        <w:tc>
          <w:tcPr>
            <w:tcW w:w="0" w:type="auto"/>
            <w:shd w:val="clear" w:color="auto" w:fill="auto"/>
            <w:noWrap/>
            <w:vAlign w:val="center"/>
          </w:tcPr>
          <w:p w14:paraId="146F9445">
            <w:pPr>
              <w:widowControl/>
              <w:spacing w:line="460" w:lineRule="exact"/>
              <w:jc w:val="center"/>
              <w:textAlignment w:val="center"/>
              <w:rPr>
                <w:rFonts w:hAnsi="宋体" w:cs="宋体"/>
                <w:color w:val="000000"/>
                <w:sz w:val="20"/>
              </w:rPr>
            </w:pPr>
            <w:r>
              <w:rPr>
                <w:rFonts w:hint="eastAsia" w:hAnsi="宋体" w:cs="宋体"/>
                <w:color w:val="000000"/>
                <w:sz w:val="20"/>
                <w:lang w:bidi="ar"/>
              </w:rPr>
              <w:t>80</w:t>
            </w:r>
          </w:p>
        </w:tc>
        <w:tc>
          <w:tcPr>
            <w:tcW w:w="0" w:type="auto"/>
            <w:shd w:val="clear" w:color="auto" w:fill="auto"/>
            <w:noWrap/>
            <w:vAlign w:val="center"/>
          </w:tcPr>
          <w:p w14:paraId="754863DC">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218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4F54A506">
            <w:pPr>
              <w:spacing w:line="460" w:lineRule="exact"/>
              <w:jc w:val="center"/>
              <w:rPr>
                <w:rFonts w:hAnsi="宋体" w:cs="宋体"/>
                <w:color w:val="000000"/>
                <w:sz w:val="20"/>
              </w:rPr>
            </w:pPr>
          </w:p>
        </w:tc>
        <w:tc>
          <w:tcPr>
            <w:tcW w:w="0" w:type="auto"/>
            <w:vMerge w:val="continue"/>
            <w:shd w:val="clear" w:color="auto" w:fill="auto"/>
            <w:noWrap/>
            <w:vAlign w:val="center"/>
          </w:tcPr>
          <w:p w14:paraId="3F0FABC2">
            <w:pPr>
              <w:spacing w:line="460" w:lineRule="exact"/>
              <w:jc w:val="center"/>
              <w:rPr>
                <w:rFonts w:hAnsi="宋体" w:cs="宋体"/>
                <w:color w:val="000000"/>
                <w:sz w:val="20"/>
              </w:rPr>
            </w:pPr>
          </w:p>
        </w:tc>
        <w:tc>
          <w:tcPr>
            <w:tcW w:w="0" w:type="auto"/>
            <w:shd w:val="clear" w:color="auto" w:fill="auto"/>
            <w:noWrap/>
            <w:vAlign w:val="center"/>
          </w:tcPr>
          <w:p w14:paraId="27D3046B">
            <w:pPr>
              <w:widowControl/>
              <w:spacing w:line="460" w:lineRule="exact"/>
              <w:jc w:val="center"/>
              <w:textAlignment w:val="center"/>
              <w:rPr>
                <w:rFonts w:hAnsi="宋体" w:cs="宋体"/>
                <w:color w:val="000000"/>
                <w:sz w:val="20"/>
              </w:rPr>
            </w:pPr>
            <w:r>
              <w:rPr>
                <w:rFonts w:hint="eastAsia" w:hAnsi="宋体" w:cs="宋体"/>
                <w:color w:val="000000"/>
                <w:sz w:val="20"/>
                <w:lang w:bidi="ar"/>
              </w:rPr>
              <w:t>强电布置</w:t>
            </w:r>
          </w:p>
        </w:tc>
        <w:tc>
          <w:tcPr>
            <w:tcW w:w="0" w:type="auto"/>
            <w:shd w:val="clear" w:color="auto" w:fill="auto"/>
            <w:noWrap/>
            <w:vAlign w:val="center"/>
          </w:tcPr>
          <w:p w14:paraId="744A53D5">
            <w:pPr>
              <w:widowControl/>
              <w:spacing w:line="460" w:lineRule="exact"/>
              <w:jc w:val="center"/>
              <w:textAlignment w:val="center"/>
              <w:rPr>
                <w:rFonts w:hAnsi="宋体" w:cs="宋体"/>
                <w:color w:val="000000"/>
                <w:sz w:val="20"/>
              </w:rPr>
            </w:pPr>
            <w:r>
              <w:rPr>
                <w:rFonts w:hint="eastAsia" w:hAnsi="宋体" w:cs="宋体"/>
                <w:color w:val="000000"/>
                <w:sz w:val="20"/>
                <w:lang w:bidi="ar"/>
              </w:rPr>
              <w:t>117</w:t>
            </w:r>
          </w:p>
        </w:tc>
        <w:tc>
          <w:tcPr>
            <w:tcW w:w="0" w:type="auto"/>
            <w:shd w:val="clear" w:color="auto" w:fill="auto"/>
            <w:noWrap/>
            <w:vAlign w:val="center"/>
          </w:tcPr>
          <w:p w14:paraId="29806A1F">
            <w:pPr>
              <w:widowControl/>
              <w:spacing w:line="460" w:lineRule="exact"/>
              <w:jc w:val="center"/>
              <w:textAlignment w:val="center"/>
              <w:rPr>
                <w:rFonts w:hAnsi="宋体" w:cs="宋体"/>
                <w:color w:val="000000"/>
                <w:sz w:val="20"/>
              </w:rPr>
            </w:pPr>
            <w:r>
              <w:rPr>
                <w:rFonts w:hint="eastAsia" w:hAnsi="宋体" w:cs="宋体"/>
                <w:color w:val="000000"/>
                <w:sz w:val="20"/>
                <w:lang w:bidi="ar"/>
              </w:rPr>
              <w:t>㎡</w:t>
            </w:r>
          </w:p>
        </w:tc>
      </w:tr>
      <w:tr w14:paraId="1960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3DB3BB8A">
            <w:pPr>
              <w:spacing w:line="460" w:lineRule="exact"/>
              <w:jc w:val="center"/>
              <w:rPr>
                <w:rFonts w:hAnsi="宋体" w:cs="宋体"/>
                <w:color w:val="000000"/>
                <w:sz w:val="20"/>
              </w:rPr>
            </w:pPr>
          </w:p>
        </w:tc>
        <w:tc>
          <w:tcPr>
            <w:tcW w:w="0" w:type="auto"/>
            <w:vMerge w:val="continue"/>
            <w:shd w:val="clear" w:color="auto" w:fill="auto"/>
            <w:noWrap/>
            <w:vAlign w:val="center"/>
          </w:tcPr>
          <w:p w14:paraId="400CCEB0">
            <w:pPr>
              <w:spacing w:line="460" w:lineRule="exact"/>
              <w:jc w:val="center"/>
              <w:rPr>
                <w:rFonts w:hAnsi="宋体" w:cs="宋体"/>
                <w:color w:val="000000"/>
                <w:sz w:val="20"/>
              </w:rPr>
            </w:pPr>
          </w:p>
        </w:tc>
        <w:tc>
          <w:tcPr>
            <w:tcW w:w="0" w:type="auto"/>
            <w:shd w:val="clear" w:color="auto" w:fill="auto"/>
            <w:noWrap/>
            <w:vAlign w:val="center"/>
          </w:tcPr>
          <w:p w14:paraId="798D654A">
            <w:pPr>
              <w:widowControl/>
              <w:spacing w:line="460" w:lineRule="exact"/>
              <w:jc w:val="center"/>
              <w:textAlignment w:val="center"/>
              <w:rPr>
                <w:rFonts w:hAnsi="宋体" w:cs="宋体"/>
                <w:color w:val="000000"/>
                <w:sz w:val="20"/>
              </w:rPr>
            </w:pPr>
            <w:r>
              <w:rPr>
                <w:rFonts w:hint="eastAsia" w:hAnsi="宋体" w:cs="宋体"/>
                <w:color w:val="000000"/>
                <w:sz w:val="20"/>
                <w:lang w:bidi="ar"/>
              </w:rPr>
              <w:t>开关面板及插座</w:t>
            </w:r>
          </w:p>
        </w:tc>
        <w:tc>
          <w:tcPr>
            <w:tcW w:w="0" w:type="auto"/>
            <w:shd w:val="clear" w:color="auto" w:fill="auto"/>
            <w:noWrap/>
            <w:vAlign w:val="center"/>
          </w:tcPr>
          <w:p w14:paraId="0D3D57F4">
            <w:pPr>
              <w:widowControl/>
              <w:spacing w:line="460" w:lineRule="exact"/>
              <w:jc w:val="center"/>
              <w:textAlignment w:val="center"/>
              <w:rPr>
                <w:rFonts w:hAnsi="宋体" w:cs="宋体"/>
                <w:color w:val="000000"/>
                <w:sz w:val="20"/>
              </w:rPr>
            </w:pPr>
            <w:r>
              <w:rPr>
                <w:rFonts w:hint="eastAsia" w:hAnsi="宋体" w:cs="宋体"/>
                <w:color w:val="000000"/>
                <w:sz w:val="20"/>
                <w:lang w:bidi="ar"/>
              </w:rPr>
              <w:t>12</w:t>
            </w:r>
          </w:p>
        </w:tc>
        <w:tc>
          <w:tcPr>
            <w:tcW w:w="0" w:type="auto"/>
            <w:shd w:val="clear" w:color="auto" w:fill="auto"/>
            <w:noWrap/>
            <w:vAlign w:val="center"/>
          </w:tcPr>
          <w:p w14:paraId="0B7B4A68">
            <w:pPr>
              <w:widowControl/>
              <w:spacing w:line="460" w:lineRule="exact"/>
              <w:jc w:val="center"/>
              <w:textAlignment w:val="center"/>
              <w:rPr>
                <w:rFonts w:hAnsi="宋体" w:cs="宋体"/>
                <w:color w:val="000000"/>
                <w:sz w:val="20"/>
              </w:rPr>
            </w:pPr>
            <w:r>
              <w:rPr>
                <w:rFonts w:hint="eastAsia" w:hAnsi="宋体" w:cs="宋体"/>
                <w:color w:val="000000"/>
                <w:sz w:val="20"/>
                <w:lang w:bidi="ar"/>
              </w:rPr>
              <w:t>个</w:t>
            </w:r>
          </w:p>
        </w:tc>
      </w:tr>
      <w:tr w14:paraId="255C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Merge w:val="continue"/>
            <w:shd w:val="clear" w:color="auto" w:fill="auto"/>
            <w:noWrap/>
            <w:vAlign w:val="center"/>
          </w:tcPr>
          <w:p w14:paraId="743B2D8E">
            <w:pPr>
              <w:spacing w:line="460" w:lineRule="exact"/>
              <w:jc w:val="center"/>
              <w:rPr>
                <w:rFonts w:hAnsi="宋体" w:cs="宋体"/>
                <w:color w:val="000000"/>
                <w:sz w:val="20"/>
              </w:rPr>
            </w:pPr>
          </w:p>
        </w:tc>
        <w:tc>
          <w:tcPr>
            <w:tcW w:w="0" w:type="auto"/>
            <w:vMerge w:val="continue"/>
            <w:shd w:val="clear" w:color="auto" w:fill="auto"/>
            <w:noWrap/>
            <w:vAlign w:val="center"/>
          </w:tcPr>
          <w:p w14:paraId="2571E775">
            <w:pPr>
              <w:spacing w:line="460" w:lineRule="exact"/>
              <w:jc w:val="center"/>
              <w:rPr>
                <w:rFonts w:hAnsi="宋体" w:cs="宋体"/>
                <w:color w:val="000000"/>
                <w:sz w:val="20"/>
              </w:rPr>
            </w:pPr>
          </w:p>
        </w:tc>
        <w:tc>
          <w:tcPr>
            <w:tcW w:w="0" w:type="auto"/>
            <w:shd w:val="clear" w:color="auto" w:fill="auto"/>
            <w:noWrap/>
            <w:vAlign w:val="center"/>
          </w:tcPr>
          <w:p w14:paraId="0ABC9E19">
            <w:pPr>
              <w:widowControl/>
              <w:spacing w:line="460" w:lineRule="exact"/>
              <w:jc w:val="center"/>
              <w:textAlignment w:val="center"/>
              <w:rPr>
                <w:rFonts w:hAnsi="宋体" w:cs="宋体"/>
                <w:color w:val="000000"/>
                <w:sz w:val="20"/>
              </w:rPr>
            </w:pPr>
            <w:r>
              <w:rPr>
                <w:rFonts w:hint="eastAsia" w:hAnsi="宋体" w:cs="宋体"/>
                <w:color w:val="000000"/>
                <w:sz w:val="20"/>
                <w:lang w:bidi="ar"/>
              </w:rPr>
              <w:t>窗套/门套处理</w:t>
            </w:r>
          </w:p>
        </w:tc>
        <w:tc>
          <w:tcPr>
            <w:tcW w:w="0" w:type="auto"/>
            <w:shd w:val="clear" w:color="auto" w:fill="auto"/>
            <w:noWrap/>
            <w:vAlign w:val="center"/>
          </w:tcPr>
          <w:p w14:paraId="1002EE52">
            <w:pPr>
              <w:widowControl/>
              <w:spacing w:line="460" w:lineRule="exact"/>
              <w:jc w:val="center"/>
              <w:textAlignment w:val="center"/>
              <w:rPr>
                <w:rFonts w:hAnsi="宋体" w:cs="宋体"/>
                <w:color w:val="000000"/>
                <w:sz w:val="20"/>
              </w:rPr>
            </w:pPr>
            <w:r>
              <w:rPr>
                <w:rFonts w:hint="eastAsia" w:hAnsi="宋体" w:cs="宋体"/>
                <w:color w:val="000000"/>
                <w:sz w:val="20"/>
                <w:lang w:bidi="ar"/>
              </w:rPr>
              <w:t>6</w:t>
            </w:r>
          </w:p>
        </w:tc>
        <w:tc>
          <w:tcPr>
            <w:tcW w:w="0" w:type="auto"/>
            <w:shd w:val="clear" w:color="auto" w:fill="auto"/>
            <w:noWrap/>
            <w:vAlign w:val="center"/>
          </w:tcPr>
          <w:p w14:paraId="4E7B6098">
            <w:pPr>
              <w:widowControl/>
              <w:spacing w:line="460" w:lineRule="exact"/>
              <w:jc w:val="center"/>
              <w:textAlignment w:val="center"/>
              <w:rPr>
                <w:rFonts w:hAnsi="宋体" w:cs="宋体"/>
                <w:color w:val="000000"/>
                <w:sz w:val="20"/>
              </w:rPr>
            </w:pPr>
            <w:r>
              <w:rPr>
                <w:rFonts w:hint="eastAsia" w:hAnsi="宋体" w:cs="宋体"/>
                <w:color w:val="000000"/>
                <w:sz w:val="20"/>
                <w:lang w:bidi="ar"/>
              </w:rPr>
              <w:t>项</w:t>
            </w:r>
          </w:p>
        </w:tc>
      </w:tr>
    </w:tbl>
    <w:p w14:paraId="5F2CD97D">
      <w:pPr>
        <w:snapToGrid w:val="0"/>
        <w:spacing w:line="500" w:lineRule="exact"/>
        <w:ind w:firstLine="422" w:firstLineChars="200"/>
        <w:rPr>
          <w:b/>
          <w:bCs/>
          <w:sz w:val="21"/>
          <w:szCs w:val="21"/>
        </w:rPr>
      </w:pPr>
      <w:r>
        <w:rPr>
          <w:rFonts w:hint="eastAsia"/>
          <w:b/>
          <w:bCs/>
          <w:sz w:val="21"/>
          <w:szCs w:val="21"/>
        </w:rPr>
        <w:t>四、资信及商务要求表</w:t>
      </w:r>
    </w:p>
    <w:tbl>
      <w:tblPr>
        <w:tblStyle w:val="50"/>
        <w:tblW w:w="0" w:type="auto"/>
        <w:jc w:val="center"/>
        <w:tblLayout w:type="fixed"/>
        <w:tblCellMar>
          <w:top w:w="0" w:type="dxa"/>
          <w:left w:w="108" w:type="dxa"/>
          <w:bottom w:w="0" w:type="dxa"/>
          <w:right w:w="108" w:type="dxa"/>
        </w:tblCellMar>
      </w:tblPr>
      <w:tblGrid>
        <w:gridCol w:w="1348"/>
        <w:gridCol w:w="8036"/>
      </w:tblGrid>
      <w:tr w14:paraId="12A5926C">
        <w:tblPrEx>
          <w:tblCellMar>
            <w:top w:w="0" w:type="dxa"/>
            <w:left w:w="108" w:type="dxa"/>
            <w:bottom w:w="0" w:type="dxa"/>
            <w:right w:w="108" w:type="dxa"/>
          </w:tblCellMar>
        </w:tblPrEx>
        <w:trPr>
          <w:jc w:val="center"/>
        </w:trPr>
        <w:tc>
          <w:tcPr>
            <w:tcW w:w="1348" w:type="dxa"/>
            <w:tcBorders>
              <w:top w:val="single" w:color="auto" w:sz="4" w:space="0"/>
              <w:left w:val="single" w:color="auto" w:sz="4" w:space="0"/>
              <w:bottom w:val="single" w:color="auto" w:sz="4" w:space="0"/>
              <w:right w:val="single" w:color="auto" w:sz="4" w:space="0"/>
            </w:tcBorders>
            <w:vAlign w:val="center"/>
          </w:tcPr>
          <w:p w14:paraId="6C4F18EF">
            <w:pPr>
              <w:snapToGrid w:val="0"/>
              <w:spacing w:line="460" w:lineRule="exact"/>
              <w:jc w:val="center"/>
              <w:rPr>
                <w:rFonts w:hAnsi="宋体" w:cs="宋体"/>
                <w:sz w:val="21"/>
                <w:szCs w:val="21"/>
              </w:rPr>
            </w:pPr>
            <w:r>
              <w:rPr>
                <w:rFonts w:hint="eastAsia"/>
                <w:sz w:val="21"/>
                <w:szCs w:val="21"/>
              </w:rPr>
              <w:t>售后服务保障要求</w:t>
            </w:r>
          </w:p>
        </w:tc>
        <w:tc>
          <w:tcPr>
            <w:tcW w:w="8036" w:type="dxa"/>
            <w:tcBorders>
              <w:top w:val="single" w:color="auto" w:sz="4" w:space="0"/>
              <w:left w:val="nil"/>
              <w:bottom w:val="single" w:color="auto" w:sz="4" w:space="0"/>
              <w:right w:val="single" w:color="auto" w:sz="4" w:space="0"/>
            </w:tcBorders>
            <w:vAlign w:val="center"/>
          </w:tcPr>
          <w:p w14:paraId="0D6BF561">
            <w:pPr>
              <w:snapToGrid w:val="0"/>
              <w:spacing w:line="460" w:lineRule="exact"/>
              <w:rPr>
                <w:rFonts w:hAnsi="宋体" w:cs="宋体"/>
                <w:sz w:val="21"/>
                <w:szCs w:val="21"/>
              </w:rPr>
            </w:pPr>
            <w:r>
              <w:rPr>
                <w:rFonts w:hint="eastAsia"/>
                <w:sz w:val="21"/>
                <w:szCs w:val="21"/>
              </w:rPr>
              <w:t>1.提供全套设备配置清单，列出详细规格型号</w:t>
            </w:r>
          </w:p>
          <w:p w14:paraId="71092690">
            <w:pPr>
              <w:snapToGrid w:val="0"/>
              <w:spacing w:line="460" w:lineRule="exact"/>
              <w:rPr>
                <w:sz w:val="21"/>
                <w:szCs w:val="21"/>
              </w:rPr>
            </w:pPr>
            <w:r>
              <w:rPr>
                <w:rFonts w:hint="eastAsia"/>
                <w:sz w:val="21"/>
                <w:szCs w:val="21"/>
              </w:rPr>
              <w:t>2.提供维修手册和使用手册，提供操作使用规程。</w:t>
            </w:r>
          </w:p>
          <w:p w14:paraId="6169AA6F">
            <w:pPr>
              <w:snapToGrid w:val="0"/>
              <w:spacing w:line="460" w:lineRule="exact"/>
              <w:rPr>
                <w:sz w:val="21"/>
                <w:szCs w:val="21"/>
              </w:rPr>
            </w:pPr>
            <w:r>
              <w:rPr>
                <w:rFonts w:hint="eastAsia"/>
                <w:sz w:val="21"/>
                <w:szCs w:val="21"/>
              </w:rPr>
              <w:t>3.售后服务要求响应时间为：提供7×24小时电话技术咨询支持，在收到用户通知后，30分钟内须响应，须在4小时内到达现场24小时内解决。</w:t>
            </w:r>
          </w:p>
          <w:p w14:paraId="685DCE82">
            <w:pPr>
              <w:snapToGrid w:val="0"/>
              <w:spacing w:line="460" w:lineRule="exact"/>
              <w:rPr>
                <w:sz w:val="21"/>
                <w:szCs w:val="21"/>
              </w:rPr>
            </w:pPr>
            <w:r>
              <w:rPr>
                <w:rFonts w:hint="eastAsia"/>
                <w:sz w:val="21"/>
                <w:szCs w:val="21"/>
              </w:rPr>
              <w:t>4.质保期内出现任何质量问题（人为破坏或自然灾害等不可抗力除外），由中标人负责全免费（免全部工时费、材料费、管理费、财务费等等）更换或维修。质保期满后，无论采购人是否另行选择维保生产商，中标人应及时优惠提供所需的备品备件。</w:t>
            </w:r>
          </w:p>
          <w:p w14:paraId="456BB9EF">
            <w:pPr>
              <w:snapToGrid w:val="0"/>
              <w:spacing w:line="460" w:lineRule="exact"/>
              <w:rPr>
                <w:sz w:val="21"/>
                <w:szCs w:val="21"/>
              </w:rPr>
            </w:pPr>
            <w:r>
              <w:rPr>
                <w:rFonts w:hint="eastAsia"/>
                <w:sz w:val="21"/>
                <w:szCs w:val="21"/>
              </w:rPr>
              <w:t>5.保修期自最终验收合格之日起算（以验收报告的签订时间为准）。</w:t>
            </w:r>
          </w:p>
          <w:p w14:paraId="414F27CA">
            <w:pPr>
              <w:snapToGrid w:val="0"/>
              <w:spacing w:line="460" w:lineRule="exact"/>
              <w:rPr>
                <w:sz w:val="21"/>
                <w:szCs w:val="21"/>
              </w:rPr>
            </w:pPr>
            <w:r>
              <w:rPr>
                <w:rFonts w:hint="eastAsia"/>
                <w:sz w:val="21"/>
                <w:szCs w:val="21"/>
              </w:rPr>
              <w:t>6.出现故障后，中标人如未按上述要求进行响应，采购人可以采取必要的补救措施，由此产生的风险和费用全部由中标人承担。</w:t>
            </w:r>
          </w:p>
          <w:p w14:paraId="11068F8F">
            <w:pPr>
              <w:snapToGrid w:val="0"/>
              <w:spacing w:line="460" w:lineRule="exact"/>
              <w:rPr>
                <w:rFonts w:hAnsi="宋体" w:cs="宋体"/>
                <w:sz w:val="21"/>
                <w:szCs w:val="21"/>
              </w:rPr>
            </w:pPr>
            <w:r>
              <w:rPr>
                <w:rFonts w:hint="eastAsia"/>
                <w:sz w:val="21"/>
                <w:szCs w:val="21"/>
              </w:rPr>
              <w:t>7.在保修期内，除人为损坏和不可抗力外，期间所产生的任何维护或维修及更换配件的费用均由中标人承担。</w:t>
            </w:r>
          </w:p>
        </w:tc>
      </w:tr>
      <w:tr w14:paraId="63937789">
        <w:tblPrEx>
          <w:tblCellMar>
            <w:top w:w="0" w:type="dxa"/>
            <w:left w:w="108" w:type="dxa"/>
            <w:bottom w:w="0" w:type="dxa"/>
            <w:right w:w="108" w:type="dxa"/>
          </w:tblCellMar>
        </w:tblPrEx>
        <w:trPr>
          <w:jc w:val="center"/>
        </w:trPr>
        <w:tc>
          <w:tcPr>
            <w:tcW w:w="1348" w:type="dxa"/>
            <w:tcBorders>
              <w:top w:val="single" w:color="auto" w:sz="4" w:space="0"/>
              <w:left w:val="single" w:color="auto" w:sz="4" w:space="0"/>
              <w:bottom w:val="single" w:color="auto" w:sz="4" w:space="0"/>
              <w:right w:val="single" w:color="auto" w:sz="4" w:space="0"/>
            </w:tcBorders>
            <w:vAlign w:val="center"/>
          </w:tcPr>
          <w:p w14:paraId="1F83F032">
            <w:pPr>
              <w:snapToGrid w:val="0"/>
              <w:spacing w:line="460" w:lineRule="exact"/>
              <w:jc w:val="center"/>
              <w:rPr>
                <w:sz w:val="21"/>
                <w:szCs w:val="21"/>
              </w:rPr>
            </w:pPr>
            <w:r>
              <w:rPr>
                <w:rFonts w:hint="eastAsia" w:hAnsi="宋体"/>
                <w:bCs/>
                <w:sz w:val="21"/>
                <w:szCs w:val="21"/>
              </w:rPr>
              <w:t>质量</w:t>
            </w:r>
          </w:p>
        </w:tc>
        <w:tc>
          <w:tcPr>
            <w:tcW w:w="8036" w:type="dxa"/>
            <w:tcBorders>
              <w:top w:val="single" w:color="auto" w:sz="4" w:space="0"/>
              <w:left w:val="nil"/>
              <w:bottom w:val="single" w:color="auto" w:sz="4" w:space="0"/>
              <w:right w:val="single" w:color="auto" w:sz="4" w:space="0"/>
            </w:tcBorders>
            <w:vAlign w:val="center"/>
          </w:tcPr>
          <w:p w14:paraId="1AF7F09D">
            <w:pPr>
              <w:pStyle w:val="93"/>
              <w:spacing w:line="460" w:lineRule="exact"/>
              <w:ind w:firstLine="0"/>
              <w:rPr>
                <w:rFonts w:ascii="宋体" w:hAnsi="宋体"/>
                <w:b/>
              </w:rPr>
            </w:pPr>
            <w:r>
              <w:rPr>
                <w:rFonts w:hint="eastAsia" w:hAnsi="宋体"/>
              </w:rPr>
              <w:t>1.质量符合国际或国家通用标准，满足招标文件技术标准部分所规定的全部功能，如出现质量及安全问题或系假冒伪劣产品，中标人负责包退、包换，因此而涉及的全部违约责任和费用由中标人承担。</w:t>
            </w:r>
          </w:p>
          <w:p w14:paraId="6159DB4A">
            <w:pPr>
              <w:snapToGrid w:val="0"/>
              <w:spacing w:line="460" w:lineRule="exact"/>
              <w:rPr>
                <w:rFonts w:hAnsi="宋体"/>
                <w:sz w:val="21"/>
                <w:szCs w:val="21"/>
              </w:rPr>
            </w:pPr>
            <w:r>
              <w:rPr>
                <w:rFonts w:hint="eastAsia"/>
                <w:b/>
                <w:bCs/>
                <w:sz w:val="21"/>
                <w:szCs w:val="21"/>
              </w:rPr>
              <w:t>2.所有产品质保期按验收合格之日起3年</w:t>
            </w:r>
            <w:r>
              <w:rPr>
                <w:rFonts w:hint="eastAsia"/>
                <w:sz w:val="21"/>
                <w:szCs w:val="21"/>
              </w:rPr>
              <w:t>（质保期期间均为免费上门服务，产生的一切费用均由投标人承担）。</w:t>
            </w:r>
          </w:p>
          <w:p w14:paraId="6392F096">
            <w:pPr>
              <w:snapToGrid w:val="0"/>
              <w:spacing w:line="460" w:lineRule="exact"/>
              <w:jc w:val="both"/>
              <w:rPr>
                <w:sz w:val="21"/>
                <w:szCs w:val="21"/>
              </w:rPr>
            </w:pPr>
            <w:r>
              <w:rPr>
                <w:rFonts w:hint="eastAsia" w:hAnsi="宋体"/>
                <w:sz w:val="21"/>
                <w:szCs w:val="21"/>
              </w:rPr>
              <w:t>3.</w:t>
            </w:r>
            <w:r>
              <w:rPr>
                <w:rFonts w:hAnsi="宋体"/>
                <w:sz w:val="21"/>
                <w:szCs w:val="21"/>
              </w:rPr>
              <w:t>在质保期内，由于产品质量缺陷而造成的损坏，</w:t>
            </w:r>
            <w:r>
              <w:rPr>
                <w:rFonts w:hint="eastAsia" w:hAnsi="宋体"/>
                <w:sz w:val="21"/>
                <w:szCs w:val="21"/>
              </w:rPr>
              <w:t>成交方</w:t>
            </w:r>
            <w:r>
              <w:rPr>
                <w:rFonts w:hAnsi="宋体"/>
                <w:sz w:val="21"/>
                <w:szCs w:val="21"/>
              </w:rPr>
              <w:t>免费保修或更换。免费是指免材料费、人工费等与上门保修服务有关的一切费用</w:t>
            </w:r>
            <w:r>
              <w:rPr>
                <w:rFonts w:hint="eastAsia" w:hAnsi="宋体" w:cs="Arial"/>
                <w:sz w:val="21"/>
                <w:szCs w:val="21"/>
              </w:rPr>
              <w:t>。</w:t>
            </w:r>
          </w:p>
        </w:tc>
      </w:tr>
      <w:tr w14:paraId="3D30D498">
        <w:tblPrEx>
          <w:tblCellMar>
            <w:top w:w="0" w:type="dxa"/>
            <w:left w:w="108" w:type="dxa"/>
            <w:bottom w:w="0" w:type="dxa"/>
            <w:right w:w="108" w:type="dxa"/>
          </w:tblCellMar>
        </w:tblPrEx>
        <w:trPr>
          <w:jc w:val="center"/>
        </w:trPr>
        <w:tc>
          <w:tcPr>
            <w:tcW w:w="1348" w:type="dxa"/>
            <w:tcBorders>
              <w:top w:val="single" w:color="auto" w:sz="4" w:space="0"/>
              <w:left w:val="single" w:color="auto" w:sz="4" w:space="0"/>
              <w:bottom w:val="single" w:color="auto" w:sz="4" w:space="0"/>
              <w:right w:val="single" w:color="auto" w:sz="4" w:space="0"/>
            </w:tcBorders>
            <w:vAlign w:val="center"/>
          </w:tcPr>
          <w:p w14:paraId="3C9CDFDC">
            <w:pPr>
              <w:snapToGrid w:val="0"/>
              <w:spacing w:line="460" w:lineRule="exact"/>
              <w:jc w:val="center"/>
              <w:rPr>
                <w:rFonts w:hAnsi="宋体" w:cs="宋体"/>
                <w:sz w:val="21"/>
                <w:szCs w:val="21"/>
              </w:rPr>
            </w:pPr>
            <w:r>
              <w:rPr>
                <w:rFonts w:hint="eastAsia"/>
                <w:sz w:val="21"/>
                <w:szCs w:val="21"/>
              </w:rPr>
              <w:t>交货时间及地点</w:t>
            </w:r>
          </w:p>
        </w:tc>
        <w:tc>
          <w:tcPr>
            <w:tcW w:w="8036" w:type="dxa"/>
            <w:tcBorders>
              <w:top w:val="single" w:color="auto" w:sz="4" w:space="0"/>
              <w:left w:val="nil"/>
              <w:bottom w:val="single" w:color="auto" w:sz="4" w:space="0"/>
              <w:right w:val="single" w:color="auto" w:sz="4" w:space="0"/>
            </w:tcBorders>
            <w:vAlign w:val="center"/>
          </w:tcPr>
          <w:p w14:paraId="77731A63">
            <w:pPr>
              <w:snapToGrid w:val="0"/>
              <w:spacing w:line="460" w:lineRule="exact"/>
              <w:rPr>
                <w:rFonts w:hAnsi="宋体" w:cs="宋体"/>
                <w:b/>
                <w:bCs/>
                <w:sz w:val="21"/>
                <w:szCs w:val="21"/>
              </w:rPr>
            </w:pPr>
            <w:r>
              <w:rPr>
                <w:rFonts w:hint="eastAsia"/>
                <w:b/>
                <w:bCs/>
                <w:sz w:val="21"/>
                <w:szCs w:val="21"/>
              </w:rPr>
              <w:t>交货时间：</w:t>
            </w:r>
            <w:r>
              <w:rPr>
                <w:rFonts w:hint="eastAsia"/>
                <w:sz w:val="21"/>
                <w:szCs w:val="21"/>
              </w:rPr>
              <w:t>交货时间为合同签订后30天内，由投标人运输至采购方指定的场地，在采购方提供的场地5天内完成安装调试（另需更新替换的设备安装，应根据采购要求，无缝衔接及时安装），投标人所提供的设备不符合实际要求，包括不符合场地条件等，由投标人自行负责。</w:t>
            </w:r>
            <w:r>
              <w:rPr>
                <w:rFonts w:hint="eastAsia" w:hAnsi="宋体" w:cs="Arial"/>
                <w:sz w:val="21"/>
                <w:szCs w:val="21"/>
              </w:rPr>
              <w:t>无故延期交货，且超过安装调试期限的，导致采购方无法正常使用，供货方赔偿由此引起的损失</w:t>
            </w:r>
            <w:r>
              <w:rPr>
                <w:rFonts w:hint="eastAsia" w:hAnsi="宋体" w:cs="宋体"/>
                <w:sz w:val="21"/>
                <w:szCs w:val="21"/>
              </w:rPr>
              <w:t>。</w:t>
            </w:r>
          </w:p>
          <w:p w14:paraId="1626FA54">
            <w:pPr>
              <w:snapToGrid w:val="0"/>
              <w:spacing w:line="460" w:lineRule="exact"/>
              <w:rPr>
                <w:rFonts w:hAnsi="宋体" w:cs="宋体"/>
                <w:sz w:val="21"/>
                <w:szCs w:val="21"/>
              </w:rPr>
            </w:pPr>
            <w:r>
              <w:rPr>
                <w:rFonts w:hint="eastAsia"/>
                <w:sz w:val="21"/>
                <w:szCs w:val="21"/>
              </w:rPr>
              <w:t>交货方式：完成交货并安装调试完毕，交货地点为采购方指定地点。所投设备安装调试正常运行，经采购方验收合格后视为交付。</w:t>
            </w:r>
          </w:p>
        </w:tc>
      </w:tr>
      <w:tr w14:paraId="0B85DE58">
        <w:tblPrEx>
          <w:tblCellMar>
            <w:top w:w="0" w:type="dxa"/>
            <w:left w:w="108" w:type="dxa"/>
            <w:bottom w:w="0" w:type="dxa"/>
            <w:right w:w="108" w:type="dxa"/>
          </w:tblCellMar>
        </w:tblPrEx>
        <w:trPr>
          <w:jc w:val="center"/>
        </w:trPr>
        <w:tc>
          <w:tcPr>
            <w:tcW w:w="1348" w:type="dxa"/>
            <w:tcBorders>
              <w:top w:val="single" w:color="auto" w:sz="4" w:space="0"/>
              <w:left w:val="single" w:color="auto" w:sz="4" w:space="0"/>
              <w:bottom w:val="single" w:color="auto" w:sz="4" w:space="0"/>
              <w:right w:val="single" w:color="auto" w:sz="4" w:space="0"/>
            </w:tcBorders>
            <w:vAlign w:val="center"/>
          </w:tcPr>
          <w:p w14:paraId="7DDB286D">
            <w:pPr>
              <w:snapToGrid w:val="0"/>
              <w:spacing w:line="460" w:lineRule="exact"/>
              <w:jc w:val="center"/>
              <w:rPr>
                <w:sz w:val="21"/>
                <w:szCs w:val="21"/>
              </w:rPr>
            </w:pPr>
            <w:r>
              <w:rPr>
                <w:rFonts w:hint="eastAsia"/>
                <w:sz w:val="21"/>
                <w:szCs w:val="21"/>
              </w:rPr>
              <w:t>到货</w:t>
            </w:r>
          </w:p>
        </w:tc>
        <w:tc>
          <w:tcPr>
            <w:tcW w:w="8036" w:type="dxa"/>
            <w:tcBorders>
              <w:top w:val="single" w:color="auto" w:sz="4" w:space="0"/>
              <w:left w:val="nil"/>
              <w:bottom w:val="single" w:color="auto" w:sz="4" w:space="0"/>
              <w:right w:val="single" w:color="auto" w:sz="4" w:space="0"/>
            </w:tcBorders>
            <w:vAlign w:val="center"/>
          </w:tcPr>
          <w:p w14:paraId="4E83BC28">
            <w:pPr>
              <w:snapToGrid w:val="0"/>
              <w:spacing w:line="460" w:lineRule="exact"/>
              <w:rPr>
                <w:sz w:val="21"/>
                <w:szCs w:val="21"/>
              </w:rPr>
            </w:pPr>
            <w:r>
              <w:rPr>
                <w:rFonts w:hint="eastAsia"/>
                <w:sz w:val="21"/>
                <w:szCs w:val="21"/>
              </w:rPr>
              <w:t>1.免费负责货物的运输、搬运、更换、安装、调试等。</w:t>
            </w:r>
          </w:p>
          <w:p w14:paraId="666DF695">
            <w:pPr>
              <w:snapToGrid w:val="0"/>
              <w:spacing w:line="460" w:lineRule="exact"/>
              <w:rPr>
                <w:sz w:val="21"/>
                <w:szCs w:val="21"/>
              </w:rPr>
            </w:pPr>
            <w:r>
              <w:rPr>
                <w:rFonts w:hint="eastAsia"/>
                <w:sz w:val="21"/>
                <w:szCs w:val="21"/>
              </w:rPr>
              <w:t>2.货物到达现场后，中标人必须派员到现场与采购人一起开箱检验，按供货清单验收，若有缺少或损坏，中标人应立即补足或更换全新同规格产品，并承担相关费用直至使采购人满意为止。</w:t>
            </w:r>
          </w:p>
          <w:p w14:paraId="7EF70152">
            <w:pPr>
              <w:snapToGrid w:val="0"/>
              <w:spacing w:line="460" w:lineRule="exact"/>
              <w:rPr>
                <w:sz w:val="21"/>
                <w:szCs w:val="21"/>
              </w:rPr>
            </w:pPr>
            <w:r>
              <w:rPr>
                <w:rFonts w:hint="eastAsia"/>
                <w:sz w:val="21"/>
                <w:szCs w:val="21"/>
              </w:rPr>
              <w:t>3.若因中标人产品质量问题导致产品始终不能验收合格，采购人有权选择退货，并保留向中标人索赔的权利。</w:t>
            </w:r>
          </w:p>
          <w:p w14:paraId="593BD86A">
            <w:pPr>
              <w:snapToGrid w:val="0"/>
              <w:spacing w:line="460" w:lineRule="exact"/>
              <w:rPr>
                <w:sz w:val="21"/>
                <w:szCs w:val="21"/>
              </w:rPr>
            </w:pPr>
            <w:r>
              <w:rPr>
                <w:rFonts w:hint="eastAsia"/>
                <w:sz w:val="21"/>
                <w:szCs w:val="21"/>
              </w:rPr>
              <w:t>4.不论以何种形式进行供货，除非采购人另有要求，中标人都必须按照其在投标文件中做出的服务承诺履行相关义务。</w:t>
            </w:r>
          </w:p>
        </w:tc>
      </w:tr>
      <w:tr w14:paraId="287A79F0">
        <w:tblPrEx>
          <w:tblCellMar>
            <w:top w:w="0" w:type="dxa"/>
            <w:left w:w="108" w:type="dxa"/>
            <w:bottom w:w="0" w:type="dxa"/>
            <w:right w:w="108" w:type="dxa"/>
          </w:tblCellMar>
        </w:tblPrEx>
        <w:trPr>
          <w:jc w:val="center"/>
        </w:trPr>
        <w:tc>
          <w:tcPr>
            <w:tcW w:w="1348" w:type="dxa"/>
            <w:tcBorders>
              <w:top w:val="single" w:color="auto" w:sz="4" w:space="0"/>
              <w:left w:val="single" w:color="auto" w:sz="4" w:space="0"/>
              <w:bottom w:val="single" w:color="auto" w:sz="4" w:space="0"/>
              <w:right w:val="single" w:color="auto" w:sz="4" w:space="0"/>
            </w:tcBorders>
            <w:vAlign w:val="center"/>
          </w:tcPr>
          <w:p w14:paraId="36EAE856">
            <w:pPr>
              <w:snapToGrid w:val="0"/>
              <w:spacing w:line="460" w:lineRule="exact"/>
              <w:jc w:val="center"/>
              <w:rPr>
                <w:rFonts w:hAnsi="宋体" w:cs="宋体"/>
                <w:sz w:val="21"/>
                <w:szCs w:val="21"/>
              </w:rPr>
            </w:pPr>
            <w:r>
              <w:rPr>
                <w:rFonts w:hint="eastAsia"/>
                <w:sz w:val="21"/>
                <w:szCs w:val="21"/>
              </w:rPr>
              <w:t>安装</w:t>
            </w:r>
          </w:p>
        </w:tc>
        <w:tc>
          <w:tcPr>
            <w:tcW w:w="8036" w:type="dxa"/>
            <w:tcBorders>
              <w:top w:val="single" w:color="auto" w:sz="4" w:space="0"/>
              <w:left w:val="nil"/>
              <w:bottom w:val="single" w:color="auto" w:sz="4" w:space="0"/>
              <w:right w:val="single" w:color="auto" w:sz="4" w:space="0"/>
            </w:tcBorders>
            <w:vAlign w:val="center"/>
          </w:tcPr>
          <w:p w14:paraId="0D43AD59">
            <w:pPr>
              <w:snapToGrid w:val="0"/>
              <w:spacing w:line="460" w:lineRule="exact"/>
              <w:rPr>
                <w:sz w:val="21"/>
                <w:szCs w:val="21"/>
              </w:rPr>
            </w:pPr>
            <w:r>
              <w:rPr>
                <w:rFonts w:hint="eastAsia"/>
                <w:sz w:val="21"/>
                <w:szCs w:val="21"/>
              </w:rPr>
              <w:t>1.满足投标产品相关的安装技术要求。</w:t>
            </w:r>
          </w:p>
          <w:p w14:paraId="271B35FC">
            <w:pPr>
              <w:snapToGrid w:val="0"/>
              <w:spacing w:line="460" w:lineRule="exact"/>
              <w:rPr>
                <w:sz w:val="21"/>
                <w:szCs w:val="21"/>
              </w:rPr>
            </w:pPr>
            <w:r>
              <w:rPr>
                <w:rFonts w:hint="eastAsia"/>
                <w:sz w:val="21"/>
                <w:szCs w:val="21"/>
              </w:rPr>
              <w:t>2.中标人应主动配合采购人进行施工前的准备工作。</w:t>
            </w:r>
          </w:p>
          <w:p w14:paraId="78CE76E0">
            <w:pPr>
              <w:snapToGrid w:val="0"/>
              <w:spacing w:line="460" w:lineRule="exact"/>
              <w:rPr>
                <w:sz w:val="21"/>
                <w:szCs w:val="21"/>
              </w:rPr>
            </w:pPr>
            <w:r>
              <w:rPr>
                <w:rFonts w:hint="eastAsia"/>
                <w:sz w:val="21"/>
                <w:szCs w:val="21"/>
              </w:rPr>
              <w:t>3.中标人应提供安装计划给采购人认可。写明详细的项目时间安排，明确完成时间及质保期内的完善、维修、保养服务措施等。</w:t>
            </w:r>
          </w:p>
          <w:p w14:paraId="4A3F84D6">
            <w:pPr>
              <w:snapToGrid w:val="0"/>
              <w:spacing w:line="460" w:lineRule="exact"/>
              <w:rPr>
                <w:sz w:val="21"/>
                <w:szCs w:val="21"/>
              </w:rPr>
            </w:pPr>
            <w:r>
              <w:rPr>
                <w:rFonts w:hint="eastAsia"/>
                <w:sz w:val="21"/>
                <w:szCs w:val="21"/>
              </w:rPr>
              <w:t>4.在得到采购人的认可后，中标人应组织力量认真进行安装，并保证质量达到相关标准。在安装过程中，一经发现质量问题应及时拆除和重新安装，直到符合相关标准，由供方承担拆除和重新施工的费用。</w:t>
            </w:r>
          </w:p>
          <w:p w14:paraId="3A4DB7DE">
            <w:pPr>
              <w:snapToGrid w:val="0"/>
              <w:spacing w:line="460" w:lineRule="exact"/>
              <w:rPr>
                <w:sz w:val="21"/>
                <w:szCs w:val="21"/>
              </w:rPr>
            </w:pPr>
            <w:r>
              <w:rPr>
                <w:rFonts w:hint="eastAsia"/>
                <w:sz w:val="21"/>
                <w:szCs w:val="21"/>
              </w:rPr>
              <w:t>5.在规定的时间内由于中标人的原因不能完成安装和调试，中标人应承担由此给用户造成的损失。</w:t>
            </w:r>
          </w:p>
          <w:p w14:paraId="494E971E">
            <w:pPr>
              <w:snapToGrid w:val="0"/>
              <w:spacing w:line="460" w:lineRule="exact"/>
              <w:rPr>
                <w:rFonts w:hAnsi="宋体" w:cs="宋体"/>
                <w:sz w:val="21"/>
                <w:szCs w:val="21"/>
              </w:rPr>
            </w:pPr>
            <w:r>
              <w:rPr>
                <w:rFonts w:hint="eastAsia"/>
                <w:sz w:val="21"/>
                <w:szCs w:val="21"/>
              </w:rPr>
              <w:t>6.安装标准：符合我国国家有关技术规范要求和技术标准，所有的设备必须保证同时安装到位。</w:t>
            </w:r>
          </w:p>
        </w:tc>
      </w:tr>
      <w:tr w14:paraId="2101332E">
        <w:tblPrEx>
          <w:tblCellMar>
            <w:top w:w="0" w:type="dxa"/>
            <w:left w:w="108" w:type="dxa"/>
            <w:bottom w:w="0" w:type="dxa"/>
            <w:right w:w="108" w:type="dxa"/>
          </w:tblCellMar>
        </w:tblPrEx>
        <w:trPr>
          <w:jc w:val="center"/>
        </w:trPr>
        <w:tc>
          <w:tcPr>
            <w:tcW w:w="1348" w:type="dxa"/>
            <w:tcBorders>
              <w:top w:val="single" w:color="auto" w:sz="4" w:space="0"/>
              <w:left w:val="single" w:color="auto" w:sz="4" w:space="0"/>
              <w:bottom w:val="single" w:color="auto" w:sz="4" w:space="0"/>
              <w:right w:val="single" w:color="auto" w:sz="4" w:space="0"/>
            </w:tcBorders>
            <w:vAlign w:val="center"/>
          </w:tcPr>
          <w:p w14:paraId="03A6A75D">
            <w:pPr>
              <w:snapToGrid w:val="0"/>
              <w:spacing w:line="460" w:lineRule="exact"/>
              <w:jc w:val="center"/>
              <w:rPr>
                <w:rFonts w:hAnsi="宋体" w:cs="宋体"/>
                <w:sz w:val="21"/>
                <w:szCs w:val="21"/>
              </w:rPr>
            </w:pPr>
            <w:r>
              <w:rPr>
                <w:rFonts w:hint="eastAsia"/>
                <w:sz w:val="21"/>
                <w:szCs w:val="21"/>
              </w:rPr>
              <w:t>验收</w:t>
            </w:r>
          </w:p>
        </w:tc>
        <w:tc>
          <w:tcPr>
            <w:tcW w:w="8036" w:type="dxa"/>
            <w:tcBorders>
              <w:top w:val="single" w:color="auto" w:sz="4" w:space="0"/>
              <w:left w:val="nil"/>
              <w:bottom w:val="single" w:color="auto" w:sz="4" w:space="0"/>
              <w:right w:val="single" w:color="auto" w:sz="4" w:space="0"/>
            </w:tcBorders>
            <w:vAlign w:val="center"/>
          </w:tcPr>
          <w:p w14:paraId="0D0CE597">
            <w:pPr>
              <w:snapToGrid w:val="0"/>
              <w:spacing w:line="460" w:lineRule="exact"/>
              <w:rPr>
                <w:rFonts w:hAnsi="宋体" w:cs="宋体"/>
                <w:sz w:val="21"/>
                <w:szCs w:val="21"/>
              </w:rPr>
            </w:pPr>
            <w:r>
              <w:rPr>
                <w:rFonts w:hint="eastAsia"/>
                <w:sz w:val="21"/>
                <w:szCs w:val="21"/>
              </w:rPr>
              <w:t>1.</w:t>
            </w:r>
            <w:r>
              <w:rPr>
                <w:rFonts w:hint="eastAsia"/>
                <w:b/>
                <w:bCs/>
                <w:sz w:val="21"/>
                <w:szCs w:val="21"/>
              </w:rPr>
              <w:t>本项目为“交钥匙”项目</w:t>
            </w:r>
            <w:r>
              <w:rPr>
                <w:rFonts w:hint="eastAsia"/>
                <w:sz w:val="21"/>
                <w:szCs w:val="21"/>
              </w:rPr>
              <w:t>，采购内容包括采购清单中货物供货、安装调试、货物验收、培训、质保期内的售后服务等。报价包括货物价款、人工工资、安装材料费、安装调试费、运输费、施工、管理费、企业利润、相关税费、售后服务费、培训费、采购代理费、政策性文件规定及合同包含的所有风险、责任等各项全部费用。</w:t>
            </w:r>
          </w:p>
          <w:p w14:paraId="614B1281">
            <w:pPr>
              <w:snapToGrid w:val="0"/>
              <w:spacing w:line="460" w:lineRule="exact"/>
              <w:rPr>
                <w:sz w:val="21"/>
                <w:szCs w:val="21"/>
              </w:rPr>
            </w:pPr>
            <w:r>
              <w:rPr>
                <w:rFonts w:hint="eastAsia"/>
                <w:sz w:val="21"/>
                <w:szCs w:val="21"/>
              </w:rPr>
              <w:t>2.项目设备安装调试，采购人将按规定对货物的品牌、外观、规格、参数配置、数量、配件及安装调试后的使用性能、运行状况、技术资料及其他进行验收，中标人必须在验收现场提供必要的技术支持。</w:t>
            </w:r>
          </w:p>
          <w:p w14:paraId="4E570799">
            <w:pPr>
              <w:snapToGrid w:val="0"/>
              <w:spacing w:line="460" w:lineRule="exact"/>
              <w:rPr>
                <w:sz w:val="21"/>
                <w:szCs w:val="21"/>
              </w:rPr>
            </w:pPr>
            <w:r>
              <w:rPr>
                <w:rFonts w:hint="eastAsia"/>
                <w:sz w:val="21"/>
                <w:szCs w:val="21"/>
              </w:rPr>
              <w:t>3.如发生所供设备与采购响应文件中所投的设备不符，由此产生的一切责任和后果由中标人承担。</w:t>
            </w:r>
          </w:p>
          <w:p w14:paraId="174B0F3E">
            <w:pPr>
              <w:spacing w:line="460" w:lineRule="exact"/>
              <w:rPr>
                <w:rFonts w:hAnsi="宋体" w:cs="宋体"/>
                <w:sz w:val="21"/>
                <w:szCs w:val="21"/>
              </w:rPr>
            </w:pPr>
            <w:r>
              <w:rPr>
                <w:rFonts w:hint="eastAsia" w:hAnsi="宋体" w:cs="宋体"/>
                <w:sz w:val="21"/>
                <w:szCs w:val="21"/>
              </w:rPr>
              <w:t>4.根据中华人民共和国现行技术标准，按招标文件以及合同规定的验收评定标准等规范，由采购人组织验收。</w:t>
            </w:r>
          </w:p>
          <w:p w14:paraId="276F639A">
            <w:pPr>
              <w:spacing w:line="460" w:lineRule="exact"/>
              <w:rPr>
                <w:rFonts w:hAnsi="宋体" w:cs="宋体"/>
                <w:sz w:val="21"/>
                <w:szCs w:val="21"/>
              </w:rPr>
            </w:pPr>
            <w:r>
              <w:rPr>
                <w:rFonts w:hint="eastAsia" w:hAnsi="宋体" w:cs="宋体"/>
                <w:sz w:val="21"/>
                <w:szCs w:val="21"/>
              </w:rPr>
              <w:t>①验收在设备到达用户方指定地点，安装调试、集成完毕后进行；验收时中标人必须准备完整的验收材料。</w:t>
            </w:r>
          </w:p>
          <w:p w14:paraId="0AC60D39">
            <w:pPr>
              <w:pStyle w:val="48"/>
              <w:spacing w:line="460" w:lineRule="exact"/>
              <w:ind w:firstLine="0" w:firstLineChars="0"/>
            </w:pPr>
            <w:r>
              <w:rPr>
                <w:rFonts w:hint="eastAsia" w:ascii="宋体" w:hAnsi="宋体" w:cs="宋体"/>
                <w:sz w:val="21"/>
                <w:szCs w:val="21"/>
              </w:rPr>
              <w:t>②由采购人组织专家进行验收，必要时，采购人可以邀请主要设备厂家代表协助进行验收。</w:t>
            </w:r>
          </w:p>
        </w:tc>
      </w:tr>
      <w:tr w14:paraId="718C484E">
        <w:tblPrEx>
          <w:tblCellMar>
            <w:top w:w="0" w:type="dxa"/>
            <w:left w:w="108" w:type="dxa"/>
            <w:bottom w:w="0" w:type="dxa"/>
            <w:right w:w="108" w:type="dxa"/>
          </w:tblCellMar>
        </w:tblPrEx>
        <w:trPr>
          <w:jc w:val="center"/>
        </w:trPr>
        <w:tc>
          <w:tcPr>
            <w:tcW w:w="1348" w:type="dxa"/>
            <w:tcBorders>
              <w:top w:val="single" w:color="auto" w:sz="4" w:space="0"/>
              <w:left w:val="single" w:color="auto" w:sz="4" w:space="0"/>
              <w:bottom w:val="single" w:color="auto" w:sz="4" w:space="0"/>
              <w:right w:val="single" w:color="auto" w:sz="4" w:space="0"/>
            </w:tcBorders>
            <w:vAlign w:val="center"/>
          </w:tcPr>
          <w:p w14:paraId="7F261C0B">
            <w:pPr>
              <w:snapToGrid w:val="0"/>
              <w:spacing w:line="460" w:lineRule="exact"/>
              <w:jc w:val="center"/>
              <w:rPr>
                <w:rFonts w:hAnsi="宋体" w:cs="宋体"/>
                <w:sz w:val="21"/>
                <w:szCs w:val="21"/>
              </w:rPr>
            </w:pPr>
            <w:r>
              <w:rPr>
                <w:rFonts w:hint="eastAsia"/>
                <w:sz w:val="21"/>
                <w:szCs w:val="21"/>
              </w:rPr>
              <w:t>付款方式</w:t>
            </w:r>
          </w:p>
        </w:tc>
        <w:tc>
          <w:tcPr>
            <w:tcW w:w="8036" w:type="dxa"/>
            <w:tcBorders>
              <w:top w:val="single" w:color="auto" w:sz="4" w:space="0"/>
              <w:left w:val="nil"/>
              <w:bottom w:val="single" w:color="auto" w:sz="4" w:space="0"/>
              <w:right w:val="single" w:color="auto" w:sz="4" w:space="0"/>
            </w:tcBorders>
            <w:vAlign w:val="center"/>
          </w:tcPr>
          <w:p w14:paraId="39020550">
            <w:pPr>
              <w:snapToGrid w:val="0"/>
              <w:spacing w:line="500" w:lineRule="exact"/>
              <w:rPr>
                <w:sz w:val="21"/>
                <w:szCs w:val="21"/>
              </w:rPr>
            </w:pPr>
            <w:r>
              <w:rPr>
                <w:rFonts w:hint="eastAsia"/>
                <w:sz w:val="21"/>
                <w:szCs w:val="21"/>
              </w:rPr>
              <w:t>1.合同签订且具备实施条件后7个工作日内采购方支付合同金额的40%</w:t>
            </w:r>
            <w:r>
              <w:rPr>
                <w:rFonts w:hint="eastAsia" w:hAnsi="宋体" w:cs="宋体"/>
                <w:sz w:val="21"/>
                <w:szCs w:val="21"/>
              </w:rPr>
              <w:t>作为预付款；如在签订合同时，</w:t>
            </w:r>
            <w:r>
              <w:rPr>
                <w:rFonts w:hint="eastAsia" w:hAnsi="宋体" w:cs="宋体"/>
                <w:bCs/>
                <w:sz w:val="21"/>
                <w:szCs w:val="21"/>
              </w:rPr>
              <w:t>中标人</w:t>
            </w:r>
            <w:r>
              <w:rPr>
                <w:rFonts w:hint="eastAsia" w:hAnsi="宋体" w:cs="宋体"/>
                <w:sz w:val="21"/>
                <w:szCs w:val="21"/>
              </w:rPr>
              <w:t>明确表示无需预付款或者主动要求降低预付款比例的，可降低预付款比例，且须在合同签订前与采购人沟通确定，并提供无需预付款或者降低预付款比例的承诺，双方就此条款可对合同中的支付方式进行调整。</w:t>
            </w:r>
          </w:p>
          <w:p w14:paraId="7D009EEF">
            <w:pPr>
              <w:snapToGrid w:val="0"/>
              <w:spacing w:line="460" w:lineRule="exact"/>
              <w:rPr>
                <w:sz w:val="21"/>
                <w:szCs w:val="21"/>
              </w:rPr>
            </w:pPr>
            <w:r>
              <w:rPr>
                <w:rFonts w:hint="eastAsia"/>
                <w:sz w:val="21"/>
                <w:szCs w:val="21"/>
              </w:rPr>
              <w:t>2.全部货物安装完毕验收合格后采购人支付至合同金额的100%。</w:t>
            </w:r>
          </w:p>
          <w:p w14:paraId="159DF57E">
            <w:pPr>
              <w:snapToGrid w:val="0"/>
              <w:spacing w:line="460" w:lineRule="exact"/>
              <w:rPr>
                <w:sz w:val="21"/>
                <w:szCs w:val="21"/>
              </w:rPr>
            </w:pPr>
            <w:r>
              <w:rPr>
                <w:rFonts w:hint="eastAsia"/>
                <w:sz w:val="21"/>
                <w:szCs w:val="21"/>
              </w:rPr>
              <w:t>3.当采购数量与实际供货数量不一致时，以实际各供货产品数量乘以相应的中标单价进行结算。</w:t>
            </w:r>
          </w:p>
          <w:p w14:paraId="146E8CF6">
            <w:pPr>
              <w:snapToGrid w:val="0"/>
              <w:spacing w:line="460" w:lineRule="exact"/>
              <w:rPr>
                <w:rFonts w:hAnsi="宋体" w:cs="宋体"/>
                <w:sz w:val="21"/>
                <w:szCs w:val="21"/>
              </w:rPr>
            </w:pPr>
            <w:r>
              <w:rPr>
                <w:rFonts w:hint="eastAsia"/>
                <w:sz w:val="21"/>
                <w:szCs w:val="21"/>
              </w:rPr>
              <w:t>4.结算费用时，中标人需开具正式税务发票。</w:t>
            </w:r>
          </w:p>
        </w:tc>
      </w:tr>
      <w:tr w14:paraId="5EBE4D20">
        <w:tblPrEx>
          <w:tblCellMar>
            <w:top w:w="0" w:type="dxa"/>
            <w:left w:w="108" w:type="dxa"/>
            <w:bottom w:w="0" w:type="dxa"/>
            <w:right w:w="108" w:type="dxa"/>
          </w:tblCellMar>
        </w:tblPrEx>
        <w:trPr>
          <w:jc w:val="center"/>
        </w:trPr>
        <w:tc>
          <w:tcPr>
            <w:tcW w:w="1348" w:type="dxa"/>
            <w:tcBorders>
              <w:top w:val="single" w:color="auto" w:sz="4" w:space="0"/>
              <w:left w:val="single" w:color="auto" w:sz="4" w:space="0"/>
              <w:bottom w:val="single" w:color="auto" w:sz="4" w:space="0"/>
              <w:right w:val="single" w:color="auto" w:sz="4" w:space="0"/>
            </w:tcBorders>
            <w:vAlign w:val="center"/>
          </w:tcPr>
          <w:p w14:paraId="18BBA5F9">
            <w:pPr>
              <w:snapToGrid w:val="0"/>
              <w:spacing w:line="460" w:lineRule="exact"/>
              <w:jc w:val="center"/>
              <w:rPr>
                <w:rFonts w:hAnsi="宋体" w:cs="宋体"/>
                <w:sz w:val="21"/>
                <w:szCs w:val="21"/>
              </w:rPr>
            </w:pPr>
            <w:r>
              <w:rPr>
                <w:rFonts w:hint="eastAsia"/>
                <w:sz w:val="21"/>
                <w:szCs w:val="21"/>
              </w:rPr>
              <w:t>培训</w:t>
            </w:r>
          </w:p>
        </w:tc>
        <w:tc>
          <w:tcPr>
            <w:tcW w:w="8036" w:type="dxa"/>
            <w:tcBorders>
              <w:top w:val="single" w:color="auto" w:sz="4" w:space="0"/>
              <w:left w:val="nil"/>
              <w:bottom w:val="single" w:color="auto" w:sz="4" w:space="0"/>
              <w:right w:val="single" w:color="auto" w:sz="4" w:space="0"/>
            </w:tcBorders>
            <w:vAlign w:val="center"/>
          </w:tcPr>
          <w:p w14:paraId="254D131D">
            <w:pPr>
              <w:snapToGrid w:val="0"/>
              <w:spacing w:line="460" w:lineRule="exact"/>
              <w:rPr>
                <w:rFonts w:hAnsi="宋体" w:cs="宋体"/>
                <w:sz w:val="21"/>
                <w:szCs w:val="21"/>
              </w:rPr>
            </w:pPr>
            <w:r>
              <w:rPr>
                <w:rFonts w:hint="eastAsia"/>
                <w:sz w:val="21"/>
                <w:szCs w:val="21"/>
              </w:rPr>
              <w:t>中标人负责为采购方工作人员免费培训相关操作维护技术，应提供相应的培训计划，培训的方式、地点、人数、时间、费用等实质性内容，对采购内容提到的培训必须进行确认性描述，培训人员产生的交通费和食宿费由中标人负责。</w:t>
            </w:r>
          </w:p>
        </w:tc>
      </w:tr>
      <w:tr w14:paraId="20C3D7C0">
        <w:tblPrEx>
          <w:tblCellMar>
            <w:top w:w="0" w:type="dxa"/>
            <w:left w:w="108" w:type="dxa"/>
            <w:bottom w:w="0" w:type="dxa"/>
            <w:right w:w="108" w:type="dxa"/>
          </w:tblCellMar>
        </w:tblPrEx>
        <w:trPr>
          <w:jc w:val="center"/>
        </w:trPr>
        <w:tc>
          <w:tcPr>
            <w:tcW w:w="1348" w:type="dxa"/>
            <w:tcBorders>
              <w:top w:val="single" w:color="auto" w:sz="4" w:space="0"/>
              <w:left w:val="single" w:color="auto" w:sz="4" w:space="0"/>
              <w:bottom w:val="single" w:color="auto" w:sz="4" w:space="0"/>
              <w:right w:val="single" w:color="auto" w:sz="4" w:space="0"/>
            </w:tcBorders>
            <w:vAlign w:val="center"/>
          </w:tcPr>
          <w:p w14:paraId="55CD566C">
            <w:pPr>
              <w:snapToGrid w:val="0"/>
              <w:spacing w:line="460" w:lineRule="exact"/>
              <w:jc w:val="center"/>
              <w:rPr>
                <w:rFonts w:hAnsi="宋体" w:cs="宋体"/>
                <w:sz w:val="21"/>
                <w:szCs w:val="21"/>
              </w:rPr>
            </w:pPr>
            <w:r>
              <w:rPr>
                <w:rFonts w:hint="eastAsia"/>
                <w:sz w:val="21"/>
                <w:szCs w:val="21"/>
              </w:rPr>
              <w:t>须注意的其他事项</w:t>
            </w:r>
          </w:p>
        </w:tc>
        <w:tc>
          <w:tcPr>
            <w:tcW w:w="8036" w:type="dxa"/>
            <w:tcBorders>
              <w:top w:val="single" w:color="auto" w:sz="4" w:space="0"/>
              <w:left w:val="nil"/>
              <w:bottom w:val="single" w:color="auto" w:sz="4" w:space="0"/>
              <w:right w:val="single" w:color="auto" w:sz="4" w:space="0"/>
            </w:tcBorders>
            <w:vAlign w:val="center"/>
          </w:tcPr>
          <w:p w14:paraId="3DD77F89">
            <w:pPr>
              <w:snapToGrid w:val="0"/>
              <w:spacing w:line="460" w:lineRule="exact"/>
              <w:rPr>
                <w:rFonts w:hAnsi="宋体" w:cs="宋体"/>
                <w:sz w:val="21"/>
                <w:szCs w:val="21"/>
              </w:rPr>
            </w:pPr>
            <w:r>
              <w:rPr>
                <w:rFonts w:hint="eastAsia"/>
                <w:sz w:val="21"/>
                <w:szCs w:val="21"/>
              </w:rPr>
              <w:t>1.中标人应对其在施工场地的工作人员进行安全教育，并对他们的安全负责。中标人不得违反安全管理的规定进行施工。中标人需文明安装，保证安全，如在安装过程中发生事故，一切责任由中标人承担。</w:t>
            </w:r>
          </w:p>
          <w:p w14:paraId="1FEBBB16">
            <w:pPr>
              <w:snapToGrid w:val="0"/>
              <w:spacing w:line="460" w:lineRule="exact"/>
              <w:rPr>
                <w:rFonts w:hAnsi="宋体" w:cs="宋体"/>
                <w:sz w:val="21"/>
                <w:szCs w:val="21"/>
              </w:rPr>
            </w:pPr>
            <w:r>
              <w:rPr>
                <w:rFonts w:hint="eastAsia"/>
                <w:sz w:val="21"/>
                <w:szCs w:val="21"/>
              </w:rPr>
              <w:t>2.安装期间，中标人应妥善保管货物、产品、各种材料和器材，如有被盗和其它损失的，采购人不承担任何责任。</w:t>
            </w:r>
          </w:p>
        </w:tc>
      </w:tr>
    </w:tbl>
    <w:p w14:paraId="2F184D07">
      <w:pPr>
        <w:adjustRightInd/>
        <w:snapToGrid w:val="0"/>
        <w:spacing w:line="460" w:lineRule="exact"/>
        <w:ind w:firstLine="420" w:firstLineChars="200"/>
        <w:rPr>
          <w:rFonts w:hAnsi="宋体" w:cs="宋体"/>
          <w:sz w:val="21"/>
          <w:szCs w:val="21"/>
        </w:rPr>
      </w:pPr>
    </w:p>
    <w:p w14:paraId="5BFED9B6">
      <w:pPr>
        <w:adjustRightInd/>
        <w:snapToGrid w:val="0"/>
        <w:spacing w:line="460" w:lineRule="exact"/>
        <w:ind w:firstLine="420" w:firstLineChars="200"/>
        <w:rPr>
          <w:rFonts w:hAnsi="宋体" w:cs="宋体"/>
          <w:sz w:val="21"/>
          <w:szCs w:val="21"/>
        </w:rPr>
      </w:pPr>
    </w:p>
    <w:p w14:paraId="0ED47CFE">
      <w:pPr>
        <w:adjustRightInd/>
        <w:snapToGrid w:val="0"/>
        <w:spacing w:line="460" w:lineRule="exact"/>
        <w:ind w:firstLine="420" w:firstLineChars="200"/>
        <w:rPr>
          <w:rFonts w:hAnsi="宋体" w:cs="宋体"/>
          <w:sz w:val="21"/>
          <w:szCs w:val="21"/>
        </w:rPr>
      </w:pPr>
    </w:p>
    <w:p w14:paraId="1E42FB45">
      <w:pPr>
        <w:adjustRightInd/>
        <w:snapToGrid w:val="0"/>
        <w:spacing w:line="460" w:lineRule="exact"/>
        <w:ind w:firstLine="420" w:firstLineChars="200"/>
        <w:rPr>
          <w:rFonts w:hAnsi="宋体" w:cs="宋体"/>
          <w:sz w:val="21"/>
          <w:szCs w:val="21"/>
        </w:rPr>
      </w:pPr>
    </w:p>
    <w:p w14:paraId="3D7E6A9C">
      <w:pPr>
        <w:adjustRightInd/>
        <w:snapToGrid w:val="0"/>
        <w:spacing w:line="460" w:lineRule="exact"/>
        <w:ind w:firstLine="420" w:firstLineChars="200"/>
        <w:rPr>
          <w:rFonts w:hAnsi="宋体" w:cs="宋体"/>
          <w:sz w:val="21"/>
          <w:szCs w:val="21"/>
        </w:rPr>
      </w:pPr>
    </w:p>
    <w:p w14:paraId="2AD191E5">
      <w:pPr>
        <w:rPr>
          <w:rFonts w:hAnsi="宋体" w:cs="宋体"/>
          <w:sz w:val="21"/>
          <w:szCs w:val="21"/>
        </w:rPr>
      </w:pPr>
      <w:r>
        <w:rPr>
          <w:rFonts w:hint="eastAsia" w:hAnsi="宋体" w:cs="宋体"/>
          <w:sz w:val="21"/>
          <w:szCs w:val="21"/>
        </w:rPr>
        <w:br w:type="page"/>
      </w:r>
    </w:p>
    <w:bookmarkEnd w:id="50"/>
    <w:bookmarkEnd w:id="51"/>
    <w:p w14:paraId="5C3B5DF3">
      <w:pPr>
        <w:pStyle w:val="2"/>
        <w:keepNext w:val="0"/>
        <w:spacing w:line="460" w:lineRule="exact"/>
        <w:jc w:val="center"/>
        <w:rPr>
          <w:rFonts w:ascii="宋体" w:hAnsi="宋体" w:cs="宋体"/>
          <w:color w:val="auto"/>
          <w:sz w:val="30"/>
          <w:szCs w:val="30"/>
        </w:rPr>
      </w:pPr>
      <w:bookmarkStart w:id="53" w:name="_Toc20942"/>
      <w:bookmarkStart w:id="54" w:name="_Toc29664"/>
      <w:bookmarkStart w:id="55" w:name="_Toc7705"/>
      <w:bookmarkStart w:id="56" w:name="_Toc14269"/>
      <w:bookmarkStart w:id="57" w:name="_Toc20079"/>
      <w:bookmarkStart w:id="58" w:name="_Toc32144"/>
      <w:bookmarkStart w:id="59" w:name="_Toc1329"/>
      <w:bookmarkStart w:id="60" w:name="_Toc9034"/>
      <w:bookmarkStart w:id="61" w:name="_Toc28233"/>
      <w:bookmarkStart w:id="62" w:name="_Toc29180"/>
      <w:bookmarkStart w:id="63" w:name="_Toc6913"/>
      <w:r>
        <w:rPr>
          <w:rFonts w:hint="eastAsia" w:ascii="宋体" w:hAnsi="宋体" w:cs="宋体"/>
          <w:color w:val="auto"/>
          <w:sz w:val="30"/>
          <w:szCs w:val="30"/>
        </w:rPr>
        <w:t>第三章  投标人须知</w:t>
      </w:r>
      <w:bookmarkEnd w:id="52"/>
      <w:bookmarkEnd w:id="53"/>
      <w:bookmarkEnd w:id="54"/>
      <w:bookmarkEnd w:id="55"/>
      <w:bookmarkEnd w:id="56"/>
      <w:bookmarkEnd w:id="57"/>
      <w:bookmarkEnd w:id="58"/>
      <w:bookmarkEnd w:id="59"/>
      <w:bookmarkEnd w:id="60"/>
      <w:bookmarkEnd w:id="61"/>
      <w:bookmarkEnd w:id="62"/>
      <w:bookmarkEnd w:id="63"/>
    </w:p>
    <w:p w14:paraId="545AE6A7">
      <w:pPr>
        <w:pStyle w:val="2"/>
        <w:spacing w:line="460" w:lineRule="exact"/>
        <w:jc w:val="center"/>
        <w:rPr>
          <w:rFonts w:ascii="宋体" w:hAnsi="宋体" w:cs="宋体"/>
          <w:color w:val="auto"/>
          <w:sz w:val="30"/>
          <w:szCs w:val="30"/>
        </w:rPr>
      </w:pPr>
      <w:bookmarkStart w:id="64" w:name="_Toc22207"/>
      <w:bookmarkStart w:id="65" w:name="_Toc13991"/>
      <w:bookmarkStart w:id="66" w:name="_Toc25502"/>
      <w:bookmarkStart w:id="67" w:name="_Toc31050"/>
      <w:bookmarkStart w:id="68" w:name="_Toc6524"/>
      <w:bookmarkStart w:id="69" w:name="_Toc30471"/>
      <w:bookmarkStart w:id="70" w:name="_Toc10822"/>
      <w:bookmarkStart w:id="71" w:name="_Toc31353"/>
      <w:bookmarkStart w:id="72" w:name="_Toc1210"/>
      <w:bookmarkStart w:id="73" w:name="_Toc351559943"/>
      <w:bookmarkStart w:id="74" w:name="_Toc10807"/>
      <w:bookmarkStart w:id="75" w:name="_Toc18629"/>
      <w:r>
        <w:rPr>
          <w:rFonts w:hint="eastAsia" w:ascii="宋体" w:hAnsi="宋体" w:cs="宋体"/>
          <w:color w:val="auto"/>
          <w:sz w:val="30"/>
          <w:szCs w:val="30"/>
        </w:rPr>
        <w:t>前附表</w:t>
      </w:r>
      <w:bookmarkEnd w:id="64"/>
      <w:bookmarkEnd w:id="65"/>
      <w:bookmarkEnd w:id="66"/>
      <w:bookmarkEnd w:id="67"/>
      <w:bookmarkEnd w:id="68"/>
      <w:bookmarkEnd w:id="69"/>
      <w:bookmarkEnd w:id="70"/>
      <w:bookmarkEnd w:id="71"/>
      <w:bookmarkEnd w:id="72"/>
      <w:bookmarkEnd w:id="73"/>
      <w:bookmarkEnd w:id="74"/>
      <w:bookmarkEnd w:id="75"/>
    </w:p>
    <w:tbl>
      <w:tblPr>
        <w:tblStyle w:val="50"/>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265"/>
        <w:gridCol w:w="6836"/>
      </w:tblGrid>
      <w:tr w14:paraId="00A5B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88" w:type="dxa"/>
            <w:tcBorders>
              <w:top w:val="single" w:color="auto" w:sz="4" w:space="0"/>
              <w:left w:val="single" w:color="auto" w:sz="4" w:space="0"/>
              <w:bottom w:val="single" w:color="auto" w:sz="4" w:space="0"/>
              <w:right w:val="single" w:color="auto" w:sz="4" w:space="0"/>
            </w:tcBorders>
            <w:vAlign w:val="center"/>
          </w:tcPr>
          <w:p w14:paraId="008F1375">
            <w:pPr>
              <w:snapToGrid w:val="0"/>
              <w:spacing w:line="460" w:lineRule="exact"/>
              <w:jc w:val="center"/>
              <w:rPr>
                <w:rFonts w:hAnsi="宋体" w:cs="宋体"/>
                <w:sz w:val="21"/>
                <w:szCs w:val="21"/>
              </w:rPr>
            </w:pPr>
            <w:r>
              <w:rPr>
                <w:rFonts w:hint="eastAsia" w:hAnsi="宋体" w:cs="宋体"/>
                <w:sz w:val="21"/>
                <w:szCs w:val="21"/>
              </w:rPr>
              <w:t>序号</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751A7A03">
            <w:pPr>
              <w:snapToGrid w:val="0"/>
              <w:spacing w:line="460" w:lineRule="exact"/>
              <w:ind w:firstLine="2940" w:firstLineChars="1400"/>
              <w:rPr>
                <w:rFonts w:hAnsi="宋体" w:cs="宋体"/>
                <w:sz w:val="21"/>
                <w:szCs w:val="21"/>
              </w:rPr>
            </w:pPr>
            <w:r>
              <w:rPr>
                <w:rFonts w:hint="eastAsia" w:hAnsi="宋体" w:cs="宋体"/>
                <w:sz w:val="21"/>
                <w:szCs w:val="21"/>
              </w:rPr>
              <w:t>内容、要求</w:t>
            </w:r>
          </w:p>
        </w:tc>
      </w:tr>
      <w:tr w14:paraId="115CC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88" w:type="dxa"/>
            <w:tcBorders>
              <w:top w:val="single" w:color="auto" w:sz="4" w:space="0"/>
              <w:left w:val="single" w:color="auto" w:sz="4" w:space="0"/>
              <w:bottom w:val="single" w:color="auto" w:sz="4" w:space="0"/>
              <w:right w:val="single" w:color="auto" w:sz="4" w:space="0"/>
            </w:tcBorders>
            <w:vAlign w:val="center"/>
          </w:tcPr>
          <w:p w14:paraId="5E3348E8">
            <w:pPr>
              <w:snapToGrid w:val="0"/>
              <w:spacing w:line="460" w:lineRule="exact"/>
              <w:jc w:val="center"/>
              <w:rPr>
                <w:rFonts w:hAnsi="宋体" w:cs="宋体"/>
                <w:sz w:val="21"/>
                <w:szCs w:val="21"/>
              </w:rPr>
            </w:pPr>
            <w:r>
              <w:rPr>
                <w:rFonts w:hint="eastAsia" w:hAnsi="宋体" w:cs="宋体"/>
                <w:sz w:val="21"/>
                <w:szCs w:val="21"/>
              </w:rPr>
              <w:t>1</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30C4AA44">
            <w:pPr>
              <w:snapToGrid w:val="0"/>
              <w:spacing w:line="460" w:lineRule="exact"/>
              <w:rPr>
                <w:rFonts w:hAnsi="宋体" w:cs="宋体"/>
                <w:sz w:val="21"/>
                <w:szCs w:val="21"/>
              </w:rPr>
            </w:pPr>
            <w:r>
              <w:rPr>
                <w:rFonts w:hint="eastAsia" w:hAnsi="宋体" w:cs="宋体"/>
                <w:sz w:val="21"/>
                <w:szCs w:val="21"/>
              </w:rPr>
              <w:t xml:space="preserve">项目名称：金华市婺城区罗埠镇中心小学录播教室改造项目 </w:t>
            </w:r>
          </w:p>
        </w:tc>
      </w:tr>
      <w:tr w14:paraId="7B285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tcBorders>
              <w:top w:val="single" w:color="auto" w:sz="4" w:space="0"/>
              <w:left w:val="single" w:color="auto" w:sz="4" w:space="0"/>
              <w:bottom w:val="single" w:color="auto" w:sz="4" w:space="0"/>
              <w:right w:val="single" w:color="auto" w:sz="4" w:space="0"/>
            </w:tcBorders>
            <w:vAlign w:val="center"/>
          </w:tcPr>
          <w:p w14:paraId="4FAA4750">
            <w:pPr>
              <w:snapToGrid w:val="0"/>
              <w:spacing w:line="460" w:lineRule="exact"/>
              <w:jc w:val="center"/>
              <w:rPr>
                <w:rFonts w:hAnsi="宋体" w:cs="宋体"/>
                <w:sz w:val="21"/>
                <w:szCs w:val="21"/>
              </w:rPr>
            </w:pPr>
            <w:r>
              <w:rPr>
                <w:rFonts w:hint="eastAsia" w:hAnsi="宋体" w:cs="宋体"/>
                <w:sz w:val="21"/>
                <w:szCs w:val="21"/>
              </w:rPr>
              <w:t>2</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6C01EC7B">
            <w:pPr>
              <w:snapToGrid w:val="0"/>
              <w:spacing w:line="460" w:lineRule="exact"/>
              <w:rPr>
                <w:rFonts w:hAnsi="宋体" w:cs="宋体"/>
                <w:b/>
                <w:bCs/>
                <w:sz w:val="21"/>
                <w:szCs w:val="21"/>
              </w:rPr>
            </w:pPr>
            <w:r>
              <w:rPr>
                <w:rFonts w:hint="eastAsia" w:hAnsi="宋体" w:cs="宋体"/>
                <w:b/>
                <w:bCs/>
                <w:sz w:val="21"/>
                <w:szCs w:val="21"/>
              </w:rPr>
              <w:t>投标报价及费用：</w:t>
            </w:r>
          </w:p>
          <w:p w14:paraId="1E0217A0">
            <w:pPr>
              <w:snapToGrid w:val="0"/>
              <w:spacing w:line="460" w:lineRule="exact"/>
              <w:rPr>
                <w:rFonts w:hAnsi="宋体" w:cs="宋体"/>
                <w:b/>
                <w:bCs/>
                <w:sz w:val="21"/>
                <w:szCs w:val="21"/>
              </w:rPr>
            </w:pPr>
            <w:r>
              <w:rPr>
                <w:rFonts w:hint="eastAsia" w:hAnsi="宋体" w:cs="宋体"/>
                <w:b/>
                <w:bCs/>
                <w:sz w:val="21"/>
                <w:szCs w:val="21"/>
              </w:rPr>
              <w:t>1.本项目投标应以人民币报价；</w:t>
            </w:r>
          </w:p>
          <w:p w14:paraId="2F01B395">
            <w:pPr>
              <w:snapToGrid w:val="0"/>
              <w:spacing w:line="460" w:lineRule="exact"/>
              <w:rPr>
                <w:rFonts w:hAnsi="宋体" w:cs="宋体"/>
                <w:b/>
                <w:bCs/>
                <w:sz w:val="21"/>
                <w:szCs w:val="21"/>
              </w:rPr>
            </w:pPr>
            <w:r>
              <w:rPr>
                <w:rFonts w:hint="eastAsia" w:hAnsi="宋体" w:cs="宋体"/>
                <w:b/>
                <w:bCs/>
                <w:sz w:val="21"/>
                <w:szCs w:val="21"/>
              </w:rPr>
              <w:t>2.不论投标结果如何，投标人均应自行承担所有与投标有关的全部费用；</w:t>
            </w:r>
          </w:p>
          <w:p w14:paraId="56ACA890">
            <w:pPr>
              <w:snapToGrid w:val="0"/>
              <w:spacing w:line="460" w:lineRule="exact"/>
              <w:rPr>
                <w:rFonts w:hAnsi="宋体" w:cs="Arial"/>
                <w:b/>
                <w:sz w:val="21"/>
                <w:szCs w:val="21"/>
              </w:rPr>
            </w:pPr>
            <w:r>
              <w:rPr>
                <w:rFonts w:hint="eastAsia" w:hAnsi="宋体" w:cs="Arial"/>
                <w:b/>
                <w:sz w:val="21"/>
                <w:szCs w:val="21"/>
              </w:rPr>
              <w:t>3.</w:t>
            </w:r>
            <w:r>
              <w:rPr>
                <w:rFonts w:hAnsi="宋体" w:cs="Arial"/>
                <w:b/>
                <w:sz w:val="21"/>
                <w:szCs w:val="21"/>
              </w:rPr>
              <w:t>投标人取得中标资格后，须</w:t>
            </w:r>
            <w:r>
              <w:rPr>
                <w:rFonts w:hint="eastAsia" w:hAnsi="宋体" w:cs="Arial"/>
                <w:b/>
                <w:sz w:val="21"/>
                <w:szCs w:val="21"/>
              </w:rPr>
              <w:t>参照</w:t>
            </w:r>
            <w:r>
              <w:rPr>
                <w:rFonts w:hAnsi="宋体" w:cs="Arial"/>
                <w:b/>
                <w:sz w:val="21"/>
                <w:szCs w:val="21"/>
              </w:rPr>
              <w:t>原国家计委的计价格（2002）1980号《关于招标代理服务收费管理暂行办法的通知》文件规定</w:t>
            </w:r>
            <w:r>
              <w:rPr>
                <w:rFonts w:hint="eastAsia" w:hAnsi="宋体" w:cs="Arial"/>
                <w:b/>
                <w:sz w:val="21"/>
                <w:szCs w:val="21"/>
              </w:rPr>
              <w:t>标准</w:t>
            </w:r>
            <w:r>
              <w:rPr>
                <w:rFonts w:hAnsi="宋体" w:cs="Arial"/>
                <w:b/>
                <w:sz w:val="21"/>
                <w:szCs w:val="21"/>
              </w:rPr>
              <w:t>向招标代理机构支付</w:t>
            </w:r>
            <w:r>
              <w:rPr>
                <w:rFonts w:hint="eastAsia" w:hAnsi="宋体" w:cs="Arial"/>
                <w:b/>
                <w:sz w:val="21"/>
                <w:szCs w:val="21"/>
              </w:rPr>
              <w:t>采购代理</w:t>
            </w:r>
            <w:r>
              <w:rPr>
                <w:rFonts w:hAnsi="宋体" w:cs="Arial"/>
                <w:b/>
                <w:sz w:val="21"/>
                <w:szCs w:val="21"/>
              </w:rPr>
              <w:t>服务费</w:t>
            </w:r>
            <w:r>
              <w:rPr>
                <w:rFonts w:hint="eastAsia" w:hAnsi="宋体" w:cs="Arial"/>
                <w:b/>
                <w:sz w:val="21"/>
                <w:szCs w:val="21"/>
              </w:rPr>
              <w:t xml:space="preserve">，服务费计算（100万元以内部分按1.5%费率）。中标人在收到中标通知书的同时向招标代理机构以银行转账等形式支付采购代理服务费：    </w:t>
            </w:r>
          </w:p>
          <w:p w14:paraId="18A3E792">
            <w:pPr>
              <w:snapToGrid w:val="0"/>
              <w:spacing w:line="460" w:lineRule="exact"/>
              <w:rPr>
                <w:rFonts w:hAnsi="宋体" w:cs="Arial"/>
                <w:b/>
                <w:sz w:val="21"/>
                <w:szCs w:val="21"/>
              </w:rPr>
            </w:pPr>
            <w:r>
              <w:rPr>
                <w:rFonts w:hint="eastAsia" w:hAnsi="宋体" w:cs="Arial"/>
                <w:b/>
                <w:sz w:val="21"/>
                <w:szCs w:val="21"/>
              </w:rPr>
              <w:t>户名：金华市天盈招标代理有限公司</w:t>
            </w:r>
          </w:p>
          <w:p w14:paraId="6E352E86">
            <w:pPr>
              <w:snapToGrid w:val="0"/>
              <w:spacing w:line="460" w:lineRule="exact"/>
              <w:rPr>
                <w:rFonts w:hAnsi="宋体" w:cs="Arial"/>
                <w:b/>
                <w:sz w:val="21"/>
                <w:szCs w:val="21"/>
              </w:rPr>
            </w:pPr>
            <w:r>
              <w:rPr>
                <w:rFonts w:hint="eastAsia" w:hAnsi="宋体" w:cs="Arial"/>
                <w:b/>
                <w:sz w:val="21"/>
                <w:szCs w:val="21"/>
              </w:rPr>
              <w:t xml:space="preserve">开户行：杭州银行股份有限公司金华分行  </w:t>
            </w:r>
          </w:p>
          <w:p w14:paraId="64FE1831">
            <w:pPr>
              <w:snapToGrid w:val="0"/>
              <w:spacing w:line="460" w:lineRule="exact"/>
              <w:rPr>
                <w:rFonts w:hAnsi="宋体" w:cs="Arial"/>
                <w:b/>
                <w:sz w:val="21"/>
                <w:szCs w:val="21"/>
              </w:rPr>
            </w:pPr>
            <w:r>
              <w:rPr>
                <w:rFonts w:hint="eastAsia" w:hAnsi="宋体" w:cs="Arial"/>
                <w:b/>
                <w:sz w:val="21"/>
                <w:szCs w:val="21"/>
              </w:rPr>
              <w:t>账  号： 3307041060000093980</w:t>
            </w:r>
          </w:p>
          <w:p w14:paraId="3573C52E">
            <w:pPr>
              <w:snapToGrid w:val="0"/>
              <w:spacing w:line="460" w:lineRule="exact"/>
              <w:rPr>
                <w:rFonts w:hAnsi="宋体" w:cs="Arial"/>
                <w:b/>
                <w:sz w:val="21"/>
                <w:szCs w:val="21"/>
              </w:rPr>
            </w:pPr>
            <w:r>
              <w:rPr>
                <w:rFonts w:hint="eastAsia" w:hAnsi="宋体" w:cs="Arial"/>
                <w:b/>
                <w:sz w:val="21"/>
                <w:szCs w:val="21"/>
              </w:rPr>
              <w:t>行  号： 313338062027</w:t>
            </w:r>
          </w:p>
          <w:p w14:paraId="5CBCFE02">
            <w:pPr>
              <w:snapToGrid w:val="0"/>
              <w:spacing w:line="460" w:lineRule="exact"/>
              <w:rPr>
                <w:rFonts w:hAnsi="宋体" w:cs="宋体"/>
                <w:b/>
                <w:bCs/>
                <w:sz w:val="21"/>
                <w:szCs w:val="21"/>
              </w:rPr>
            </w:pPr>
            <w:r>
              <w:rPr>
                <w:rFonts w:hint="eastAsia" w:hAnsi="宋体"/>
                <w:b/>
                <w:sz w:val="21"/>
                <w:szCs w:val="21"/>
              </w:rPr>
              <w:t>（汇款用途请注明“采购代理服务费”及项目编号）</w:t>
            </w:r>
          </w:p>
        </w:tc>
      </w:tr>
      <w:tr w14:paraId="2AC67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04533C56">
            <w:pPr>
              <w:snapToGrid w:val="0"/>
              <w:spacing w:line="460" w:lineRule="exact"/>
              <w:jc w:val="center"/>
              <w:rPr>
                <w:rFonts w:hAnsi="宋体" w:cs="宋体"/>
                <w:sz w:val="21"/>
                <w:szCs w:val="21"/>
              </w:rPr>
            </w:pPr>
            <w:r>
              <w:rPr>
                <w:rFonts w:hint="eastAsia" w:hAnsi="宋体" w:cs="宋体"/>
                <w:sz w:val="21"/>
                <w:szCs w:val="21"/>
              </w:rPr>
              <w:t>3</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4806E552">
            <w:pPr>
              <w:snapToGrid w:val="0"/>
              <w:spacing w:line="460" w:lineRule="exact"/>
              <w:rPr>
                <w:rFonts w:hAnsi="宋体" w:cs="宋体"/>
                <w:sz w:val="21"/>
                <w:szCs w:val="21"/>
              </w:rPr>
            </w:pPr>
            <w:r>
              <w:rPr>
                <w:rFonts w:hint="eastAsia" w:hAnsi="宋体" w:cs="宋体"/>
                <w:sz w:val="21"/>
                <w:szCs w:val="21"/>
              </w:rPr>
              <w:t>答疑与澄清：投标人如认为招标文件表述不清晰、存在歧视性、排他性或者其他违法内容的，应当于投标截止时间15天前，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26542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564B4E7">
            <w:pPr>
              <w:snapToGrid w:val="0"/>
              <w:spacing w:line="460" w:lineRule="exact"/>
              <w:jc w:val="center"/>
              <w:rPr>
                <w:rFonts w:hAnsi="宋体" w:cs="宋体"/>
                <w:sz w:val="21"/>
                <w:szCs w:val="21"/>
              </w:rPr>
            </w:pPr>
            <w:r>
              <w:rPr>
                <w:rFonts w:hint="eastAsia" w:hAnsi="宋体" w:cs="宋体"/>
                <w:sz w:val="21"/>
                <w:szCs w:val="21"/>
              </w:rPr>
              <w:t>4</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04460C5E">
            <w:pPr>
              <w:widowControl/>
              <w:snapToGrid w:val="0"/>
              <w:spacing w:line="460" w:lineRule="exact"/>
              <w:rPr>
                <w:rFonts w:hAnsi="宋体" w:cs="宋体"/>
                <w:b/>
                <w:bCs/>
                <w:sz w:val="21"/>
                <w:szCs w:val="21"/>
              </w:rPr>
            </w:pPr>
            <w:r>
              <w:rPr>
                <w:rFonts w:hint="eastAsia" w:hAnsi="宋体" w:cs="宋体"/>
                <w:b/>
                <w:bCs/>
                <w:sz w:val="21"/>
                <w:szCs w:val="21"/>
              </w:rPr>
              <w:t>政策落实：</w:t>
            </w:r>
          </w:p>
          <w:p w14:paraId="4B805557">
            <w:pPr>
              <w:widowControl/>
              <w:snapToGrid w:val="0"/>
              <w:spacing w:line="460" w:lineRule="exact"/>
              <w:ind w:firstLine="420" w:firstLineChars="200"/>
              <w:rPr>
                <w:rFonts w:hAnsi="宋体" w:cs="宋体"/>
                <w:sz w:val="21"/>
                <w:szCs w:val="21"/>
              </w:rPr>
            </w:pPr>
            <w:r>
              <w:rPr>
                <w:rFonts w:hint="eastAsia" w:hAnsi="宋体" w:cs="宋体"/>
                <w:sz w:val="21"/>
                <w:szCs w:val="21"/>
              </w:rPr>
              <w:t>1</w:t>
            </w:r>
            <w:r>
              <w:rPr>
                <w:rFonts w:hint="eastAsia" w:hAnsi="宋体" w:cs="宋体"/>
                <w:sz w:val="21"/>
                <w:szCs w:val="21"/>
                <w:lang w:val="en-US" w:eastAsia="zh-CN"/>
              </w:rPr>
              <w:t>.</w:t>
            </w:r>
            <w:r>
              <w:rPr>
                <w:rFonts w:hint="eastAsia" w:hAnsi="宋体" w:cs="宋体"/>
                <w:sz w:val="21"/>
                <w:szCs w:val="21"/>
              </w:rPr>
              <w:t>扶持中小企业（监狱企业、残疾人福利性单位）：</w:t>
            </w:r>
          </w:p>
          <w:p w14:paraId="4FEA034C">
            <w:pPr>
              <w:widowControl/>
              <w:snapToGrid w:val="0"/>
              <w:spacing w:line="460" w:lineRule="exact"/>
              <w:ind w:firstLine="420" w:firstLineChars="200"/>
              <w:rPr>
                <w:rFonts w:hAnsi="宋体" w:cs="宋体"/>
                <w:sz w:val="21"/>
                <w:szCs w:val="21"/>
              </w:rPr>
            </w:pPr>
            <w:r>
              <w:rPr>
                <w:rFonts w:hint="eastAsia" w:hAnsi="宋体" w:cs="宋体"/>
                <w:sz w:val="21"/>
                <w:szCs w:val="21"/>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6938BD4">
            <w:pPr>
              <w:widowControl/>
              <w:snapToGrid w:val="0"/>
              <w:spacing w:line="460" w:lineRule="exact"/>
              <w:ind w:firstLine="420" w:firstLineChars="200"/>
              <w:rPr>
                <w:rFonts w:hAnsi="宋体" w:cs="宋体"/>
                <w:sz w:val="21"/>
                <w:szCs w:val="21"/>
              </w:rPr>
            </w:pPr>
            <w:r>
              <w:rPr>
                <w:rFonts w:hint="eastAsia" w:hAnsi="宋体" w:cs="宋体"/>
                <w:sz w:val="21"/>
                <w:szCs w:val="21"/>
              </w:rPr>
              <w:t>（1）项目最高限价</w:t>
            </w:r>
            <w:r>
              <w:rPr>
                <w:rFonts w:hint="eastAsia" w:hAnsi="宋体" w:cs="宋体"/>
                <w:sz w:val="21"/>
                <w:szCs w:val="21"/>
                <w:lang w:eastAsia="zh-CN"/>
              </w:rPr>
              <w:t>（</w:t>
            </w:r>
            <w:r>
              <w:rPr>
                <w:rFonts w:hint="eastAsia" w:hAnsi="宋体" w:cs="宋体"/>
                <w:sz w:val="21"/>
                <w:szCs w:val="21"/>
                <w:lang w:val="en-US" w:eastAsia="zh-CN"/>
              </w:rPr>
              <w:t>人民币</w:t>
            </w:r>
            <w:r>
              <w:rPr>
                <w:rFonts w:hint="eastAsia" w:hAnsi="宋体" w:cs="宋体"/>
                <w:sz w:val="21"/>
                <w:szCs w:val="21"/>
                <w:lang w:eastAsia="zh-CN"/>
              </w:rPr>
              <w:t>）</w:t>
            </w:r>
            <w:r>
              <w:rPr>
                <w:rFonts w:hint="eastAsia" w:hAnsi="宋体" w:cs="宋体"/>
                <w:sz w:val="21"/>
                <w:szCs w:val="21"/>
              </w:rPr>
              <w:t>：</w:t>
            </w:r>
            <w:r>
              <w:rPr>
                <w:rFonts w:hint="eastAsia" w:hAnsi="宋体" w:cs="宋体"/>
                <w:b/>
                <w:sz w:val="21"/>
                <w:szCs w:val="21"/>
                <w:u w:val="single"/>
              </w:rPr>
              <w:t xml:space="preserve"> 30万元</w:t>
            </w:r>
          </w:p>
          <w:p w14:paraId="235EF936">
            <w:pPr>
              <w:widowControl/>
              <w:snapToGrid w:val="0"/>
              <w:spacing w:line="460" w:lineRule="exact"/>
              <w:ind w:firstLine="420" w:firstLineChars="200"/>
              <w:rPr>
                <w:rFonts w:hAnsi="宋体" w:cs="宋体"/>
                <w:sz w:val="21"/>
                <w:szCs w:val="21"/>
              </w:rPr>
            </w:pPr>
            <w:r>
              <w:rPr>
                <w:rFonts w:hint="eastAsia" w:hAnsi="宋体" w:cs="宋体"/>
                <w:sz w:val="21"/>
                <w:szCs w:val="21"/>
              </w:rPr>
              <w:t>（2）项目属性：</w:t>
            </w:r>
            <w:r>
              <w:rPr>
                <w:rFonts w:hint="eastAsia" w:hAnsi="宋体" w:cs="宋体"/>
                <w:sz w:val="21"/>
                <w:szCs w:val="21"/>
                <w:u w:val="single"/>
              </w:rPr>
              <w:t xml:space="preserve"> ①  </w:t>
            </w:r>
            <w:r>
              <w:rPr>
                <w:rFonts w:hint="eastAsia" w:hAnsi="宋体" w:cs="宋体"/>
                <w:sz w:val="21"/>
                <w:szCs w:val="21"/>
              </w:rPr>
              <w:t>（①货物类/②服务类/③工程类）</w:t>
            </w:r>
          </w:p>
          <w:p w14:paraId="24834995">
            <w:pPr>
              <w:widowControl/>
              <w:snapToGrid w:val="0"/>
              <w:spacing w:line="460" w:lineRule="exact"/>
              <w:ind w:firstLine="420" w:firstLineChars="200"/>
              <w:rPr>
                <w:rFonts w:hAnsi="宋体" w:cs="宋体"/>
                <w:sz w:val="21"/>
                <w:szCs w:val="21"/>
              </w:rPr>
            </w:pPr>
            <w:r>
              <w:rPr>
                <w:rFonts w:hint="eastAsia" w:hAnsi="宋体" w:cs="宋体"/>
                <w:sz w:val="21"/>
                <w:szCs w:val="21"/>
              </w:rPr>
              <w:t>（3）项目对应的中小企业划分标准所属行业：</w:t>
            </w:r>
            <w:r>
              <w:rPr>
                <w:rFonts w:hint="eastAsia" w:hAnsi="宋体" w:cs="宋体"/>
                <w:sz w:val="21"/>
                <w:szCs w:val="21"/>
                <w:u w:val="single"/>
              </w:rPr>
              <w:t xml:space="preserve">工业 </w:t>
            </w:r>
            <w:r>
              <w:rPr>
                <w:rFonts w:hint="eastAsia" w:hAnsi="宋体" w:cs="宋体"/>
                <w:sz w:val="21"/>
                <w:szCs w:val="21"/>
              </w:rPr>
              <w:t>（具体根据《中小企业划型标准规定》执行）</w:t>
            </w:r>
          </w:p>
          <w:p w14:paraId="1B002AAC">
            <w:pPr>
              <w:widowControl/>
              <w:snapToGrid w:val="0"/>
              <w:spacing w:line="460" w:lineRule="exact"/>
              <w:ind w:firstLine="420" w:firstLineChars="200"/>
              <w:rPr>
                <w:rFonts w:hAnsi="宋体" w:cs="宋体"/>
                <w:sz w:val="21"/>
                <w:szCs w:val="21"/>
              </w:rPr>
            </w:pPr>
            <w:r>
              <w:rPr>
                <w:rFonts w:hint="eastAsia" w:hAnsi="宋体" w:cs="宋体"/>
                <w:sz w:val="21"/>
                <w:szCs w:val="21"/>
              </w:rPr>
              <w:t>（4）本项目</w:t>
            </w:r>
            <w:r>
              <w:rPr>
                <w:rFonts w:hint="eastAsia" w:hAnsi="宋体" w:cs="宋体"/>
                <w:sz w:val="21"/>
                <w:szCs w:val="21"/>
                <w:u w:val="single"/>
              </w:rPr>
              <w:t xml:space="preserve">  是  </w:t>
            </w:r>
            <w:r>
              <w:rPr>
                <w:rFonts w:hint="eastAsia" w:hAnsi="宋体" w:cs="宋体"/>
                <w:sz w:val="21"/>
                <w:szCs w:val="21"/>
              </w:rPr>
              <w:t>（是/否）属于预留份额专门面向中小企业采购的项目。</w:t>
            </w:r>
          </w:p>
          <w:p w14:paraId="02977ECC">
            <w:pPr>
              <w:widowControl/>
              <w:snapToGrid w:val="0"/>
              <w:spacing w:line="460" w:lineRule="exact"/>
              <w:ind w:firstLine="420" w:firstLineChars="200"/>
              <w:rPr>
                <w:rFonts w:hAnsi="宋体" w:cs="宋体"/>
                <w:sz w:val="21"/>
                <w:szCs w:val="21"/>
              </w:rPr>
            </w:pPr>
            <w:r>
              <w:rPr>
                <w:rFonts w:hint="eastAsia" w:hAnsi="宋体" w:cs="宋体"/>
                <w:sz w:val="21"/>
                <w:szCs w:val="21"/>
              </w:rPr>
              <w:t>（5）上述第4项中确定为“是”的采购项目，预留份额通过（①）措施进行：</w:t>
            </w:r>
          </w:p>
          <w:p w14:paraId="2A8C4105">
            <w:pPr>
              <w:widowControl/>
              <w:snapToGrid w:val="0"/>
              <w:spacing w:line="460" w:lineRule="exact"/>
              <w:ind w:firstLine="420" w:firstLineChars="200"/>
              <w:rPr>
                <w:rFonts w:hAnsi="宋体" w:cs="宋体"/>
                <w:sz w:val="21"/>
                <w:szCs w:val="21"/>
              </w:rPr>
            </w:pPr>
            <w:r>
              <w:rPr>
                <w:rFonts w:hint="eastAsia" w:hAnsi="宋体" w:cs="宋体"/>
                <w:sz w:val="21"/>
                <w:szCs w:val="21"/>
              </w:rPr>
              <w:t xml:space="preserve">①将采购项目整体或者设置采购包专门面向中小企业采购； </w:t>
            </w:r>
          </w:p>
          <w:p w14:paraId="271973F0">
            <w:pPr>
              <w:widowControl/>
              <w:snapToGrid w:val="0"/>
              <w:spacing w:line="460" w:lineRule="exact"/>
              <w:ind w:firstLine="420" w:firstLineChars="200"/>
              <w:rPr>
                <w:rFonts w:hAnsi="宋体" w:cs="宋体"/>
                <w:sz w:val="21"/>
                <w:szCs w:val="21"/>
              </w:rPr>
            </w:pPr>
            <w:r>
              <w:rPr>
                <w:rFonts w:hint="eastAsia" w:hAnsi="宋体" w:cs="宋体"/>
                <w:sz w:val="21"/>
                <w:szCs w:val="21"/>
              </w:rPr>
              <w:t>②要求供应商以联合体形式参加采购活动，且联合体中中小企业承担的部分达到</w:t>
            </w:r>
            <w:r>
              <w:rPr>
                <w:rFonts w:hint="eastAsia" w:hAnsi="宋体" w:cs="宋体"/>
                <w:sz w:val="21"/>
                <w:szCs w:val="21"/>
                <w:u w:val="single"/>
              </w:rPr>
              <w:t> / </w:t>
            </w:r>
            <w:r>
              <w:rPr>
                <w:rFonts w:hint="eastAsia" w:hAnsi="宋体" w:cs="宋体"/>
                <w:sz w:val="21"/>
                <w:szCs w:val="21"/>
              </w:rPr>
              <w:t xml:space="preserve">(比例)； </w:t>
            </w:r>
          </w:p>
          <w:p w14:paraId="26E960FB">
            <w:pPr>
              <w:widowControl/>
              <w:snapToGrid w:val="0"/>
              <w:spacing w:line="460" w:lineRule="exact"/>
              <w:ind w:firstLine="420" w:firstLineChars="200"/>
              <w:rPr>
                <w:rFonts w:hAnsi="宋体" w:cs="宋体"/>
                <w:sz w:val="21"/>
                <w:szCs w:val="21"/>
              </w:rPr>
            </w:pPr>
            <w:r>
              <w:rPr>
                <w:rFonts w:hint="eastAsia" w:hAnsi="宋体" w:cs="宋体"/>
                <w:sz w:val="21"/>
                <w:szCs w:val="21"/>
              </w:rPr>
              <w:t>③要求获得采购合同的供应商将采购项目中的</w:t>
            </w:r>
            <w:r>
              <w:rPr>
                <w:rFonts w:hint="eastAsia" w:hAnsi="宋体" w:cs="宋体"/>
                <w:sz w:val="21"/>
                <w:szCs w:val="21"/>
                <w:u w:val="single"/>
              </w:rPr>
              <w:t xml:space="preserve"> / </w:t>
            </w:r>
            <w:r>
              <w:rPr>
                <w:rFonts w:hint="eastAsia" w:hAnsi="宋体" w:cs="宋体"/>
                <w:sz w:val="21"/>
                <w:szCs w:val="21"/>
              </w:rPr>
              <w:t>(比例)分包给一家或者多家中小企业。</w:t>
            </w:r>
          </w:p>
          <w:p w14:paraId="39040FAA">
            <w:pPr>
              <w:widowControl/>
              <w:snapToGrid w:val="0"/>
              <w:spacing w:line="460" w:lineRule="exact"/>
              <w:ind w:firstLine="420" w:firstLineChars="200"/>
              <w:rPr>
                <w:rFonts w:hAnsi="宋体" w:cs="宋体"/>
                <w:sz w:val="21"/>
                <w:szCs w:val="21"/>
              </w:rPr>
            </w:pPr>
            <w:r>
              <w:rPr>
                <w:rFonts w:hint="eastAsia" w:hAnsi="宋体" w:cs="宋体"/>
                <w:sz w:val="21"/>
                <w:szCs w:val="21"/>
              </w:rPr>
              <w:t>（6）对于经主管预算单位统筹后未预留份额专门面向中小企业采购的采购项目，以及预留份额项目中的非预留部分采购包，对小微企业报价给予</w:t>
            </w:r>
            <w:r>
              <w:rPr>
                <w:rFonts w:hint="eastAsia" w:hAnsi="宋体" w:cs="宋体"/>
                <w:sz w:val="21"/>
                <w:szCs w:val="21"/>
                <w:u w:val="single"/>
              </w:rPr>
              <w:t> / %</w:t>
            </w:r>
            <w:r>
              <w:rPr>
                <w:rFonts w:hint="eastAsia" w:hAnsi="宋体" w:cs="宋体"/>
                <w:sz w:val="21"/>
                <w:szCs w:val="21"/>
              </w:rPr>
              <w:t xml:space="preserve"> 的扣除，用扣除后的价格参加评审。 </w:t>
            </w:r>
          </w:p>
          <w:p w14:paraId="566B1729">
            <w:pPr>
              <w:widowControl/>
              <w:snapToGrid w:val="0"/>
              <w:spacing w:line="460" w:lineRule="exact"/>
              <w:ind w:firstLine="420" w:firstLineChars="200"/>
              <w:rPr>
                <w:rFonts w:hAnsi="宋体" w:cs="宋体"/>
                <w:sz w:val="21"/>
                <w:szCs w:val="21"/>
              </w:rPr>
            </w:pPr>
            <w:r>
              <w:rPr>
                <w:rFonts w:hint="eastAsia" w:hAnsi="宋体" w:cs="宋体"/>
                <w:sz w:val="21"/>
                <w:szCs w:val="21"/>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hAnsi="宋体" w:cs="宋体"/>
                <w:sz w:val="21"/>
                <w:szCs w:val="21"/>
                <w:u w:val="single"/>
              </w:rPr>
              <w:t>  /% </w:t>
            </w:r>
            <w:r>
              <w:rPr>
                <w:rFonts w:hint="eastAsia" w:hAnsi="宋体" w:cs="宋体"/>
                <w:sz w:val="21"/>
                <w:szCs w:val="21"/>
              </w:rPr>
              <w:t>的扣除，用扣除后的价格参加评审。</w:t>
            </w:r>
          </w:p>
          <w:p w14:paraId="15B9B92D">
            <w:pPr>
              <w:widowControl/>
              <w:snapToGrid w:val="0"/>
              <w:spacing w:line="460" w:lineRule="exact"/>
              <w:ind w:firstLine="420"/>
              <w:rPr>
                <w:rFonts w:hAnsi="宋体" w:cs="宋体"/>
                <w:sz w:val="21"/>
                <w:szCs w:val="21"/>
              </w:rPr>
            </w:pPr>
            <w:r>
              <w:rPr>
                <w:rFonts w:hint="eastAsia" w:hAnsi="宋体" w:cs="宋体"/>
                <w:sz w:val="21"/>
                <w:szCs w:val="21"/>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78836BD5">
            <w:pPr>
              <w:widowControl/>
              <w:snapToGrid w:val="0"/>
              <w:spacing w:line="460" w:lineRule="exact"/>
              <w:ind w:firstLine="422" w:firstLineChars="200"/>
              <w:rPr>
                <w:rFonts w:hAnsi="宋体" w:cs="宋体"/>
                <w:b/>
                <w:sz w:val="21"/>
                <w:szCs w:val="21"/>
              </w:rPr>
            </w:pPr>
            <w:r>
              <w:rPr>
                <w:rFonts w:hint="eastAsia" w:hAnsi="宋体" w:cs="宋体"/>
                <w:b/>
                <w:sz w:val="21"/>
                <w:szCs w:val="21"/>
              </w:rPr>
              <w:t>专门面向中小企业采购的项目或者标项，不再执行价格评审优惠的扶持政策。</w:t>
            </w:r>
          </w:p>
          <w:p w14:paraId="60C6E45F">
            <w:pPr>
              <w:widowControl/>
              <w:snapToGrid w:val="0"/>
              <w:spacing w:line="460" w:lineRule="exact"/>
              <w:ind w:firstLine="420" w:firstLineChars="200"/>
              <w:rPr>
                <w:rFonts w:hAnsi="宋体" w:cs="宋体"/>
                <w:sz w:val="21"/>
                <w:szCs w:val="21"/>
              </w:rPr>
            </w:pPr>
            <w:r>
              <w:rPr>
                <w:rFonts w:hint="eastAsia" w:hAnsi="宋体" w:cs="宋体"/>
                <w:sz w:val="21"/>
                <w:szCs w:val="21"/>
              </w:rPr>
              <w:t>2</w:t>
            </w:r>
            <w:r>
              <w:rPr>
                <w:rFonts w:hint="eastAsia" w:hAnsi="宋体" w:cs="宋体"/>
                <w:sz w:val="21"/>
                <w:szCs w:val="21"/>
                <w:lang w:val="en-US" w:eastAsia="zh-CN"/>
              </w:rPr>
              <w:t>.</w:t>
            </w:r>
            <w:r>
              <w:rPr>
                <w:rFonts w:hint="eastAsia" w:hAnsi="宋体" w:cs="宋体"/>
                <w:sz w:val="21"/>
                <w:szCs w:val="21"/>
              </w:rPr>
              <w:t>节能产品、环境标志产品的强制采购政策</w:t>
            </w:r>
          </w:p>
          <w:p w14:paraId="699B2EB9">
            <w:pPr>
              <w:widowControl/>
              <w:snapToGrid w:val="0"/>
              <w:spacing w:line="460" w:lineRule="exact"/>
              <w:ind w:firstLine="420" w:firstLineChars="200"/>
              <w:rPr>
                <w:rFonts w:hAnsi="宋体" w:cs="宋体"/>
                <w:sz w:val="21"/>
                <w:szCs w:val="21"/>
              </w:rPr>
            </w:pPr>
            <w:r>
              <w:rPr>
                <w:rFonts w:hint="eastAsia" w:hAnsi="宋体" w:cs="宋体"/>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5B39CF0">
            <w:pPr>
              <w:widowControl/>
              <w:snapToGrid w:val="0"/>
              <w:spacing w:line="460" w:lineRule="exact"/>
              <w:ind w:firstLine="420" w:firstLineChars="200"/>
              <w:rPr>
                <w:rFonts w:hAnsi="宋体" w:cs="宋体"/>
                <w:sz w:val="21"/>
                <w:szCs w:val="21"/>
              </w:rPr>
            </w:pPr>
            <w:r>
              <w:rPr>
                <w:rFonts w:hint="eastAsia" w:hAnsi="宋体" w:cs="宋体"/>
                <w:sz w:val="21"/>
                <w:szCs w:val="21"/>
              </w:rPr>
              <w:t>3</w:t>
            </w:r>
            <w:r>
              <w:rPr>
                <w:rFonts w:hint="eastAsia" w:hAnsi="宋体" w:cs="宋体"/>
                <w:sz w:val="21"/>
                <w:szCs w:val="21"/>
                <w:lang w:val="en-US" w:eastAsia="zh-CN"/>
              </w:rPr>
              <w:t>.</w:t>
            </w:r>
            <w:r>
              <w:rPr>
                <w:rFonts w:hint="eastAsia" w:hAnsi="宋体" w:cs="宋体"/>
                <w:sz w:val="21"/>
                <w:szCs w:val="21"/>
              </w:rPr>
              <w:t>节能产品、环境标志产品的优先采购政策</w:t>
            </w:r>
          </w:p>
          <w:p w14:paraId="35D0D44B">
            <w:pPr>
              <w:snapToGrid w:val="0"/>
              <w:spacing w:line="460" w:lineRule="exact"/>
              <w:rPr>
                <w:rFonts w:hAnsi="宋体" w:cs="宋体"/>
                <w:sz w:val="21"/>
                <w:szCs w:val="21"/>
              </w:rPr>
            </w:pPr>
            <w:r>
              <w:rPr>
                <w:rFonts w:hint="eastAsia" w:hAnsi="宋体" w:cs="宋体"/>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8EA2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3BB65473">
            <w:pPr>
              <w:snapToGrid w:val="0"/>
              <w:spacing w:line="460" w:lineRule="exact"/>
              <w:jc w:val="center"/>
              <w:rPr>
                <w:rFonts w:hAnsi="宋体" w:cs="宋体"/>
                <w:sz w:val="21"/>
                <w:szCs w:val="21"/>
              </w:rPr>
            </w:pPr>
            <w:r>
              <w:rPr>
                <w:rFonts w:hint="eastAsia" w:hAnsi="宋体" w:cs="宋体"/>
                <w:sz w:val="21"/>
                <w:szCs w:val="21"/>
              </w:rPr>
              <w:t>5</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0CA45209">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各行业划型标准：</w:t>
            </w:r>
          </w:p>
          <w:p w14:paraId="6E0CDEDB">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117C0EE9">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265739">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AA6F87">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8B8211">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464927">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6022BD">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29E27">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5685A4">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91B0E5">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B0D3F3">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754376">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C1B82D">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5424E6">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82063F">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F7DFFD">
            <w:pPr>
              <w:snapToGrid w:val="0"/>
              <w:spacing w:line="460" w:lineRule="exact"/>
              <w:rPr>
                <w:rFonts w:hAnsi="宋体" w:cs="宋体"/>
                <w:sz w:val="21"/>
                <w:szCs w:val="21"/>
              </w:rPr>
            </w:pPr>
            <w:r>
              <w:rPr>
                <w:rFonts w:hint="eastAsia" w:hAnsi="宋体" w:cs="宋体"/>
                <w:sz w:val="21"/>
                <w:szCs w:val="21"/>
                <w:shd w:val="clear" w:color="auto" w:fill="FFFFFF"/>
              </w:rPr>
              <w:t>（十六）其他未列明行业。从业人员300人以下的为中小微型企业。其中，从业人员100人及以上的为中型企业；从业人员10人及以上的为小型企业；从业人员10人以下的为微型企业。</w:t>
            </w:r>
          </w:p>
        </w:tc>
      </w:tr>
      <w:tr w14:paraId="02A8A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02B83C37">
            <w:pPr>
              <w:snapToGrid w:val="0"/>
              <w:spacing w:line="460" w:lineRule="exact"/>
              <w:jc w:val="center"/>
              <w:rPr>
                <w:rFonts w:hAnsi="宋体" w:cs="宋体"/>
                <w:sz w:val="21"/>
                <w:szCs w:val="21"/>
              </w:rPr>
            </w:pPr>
            <w:r>
              <w:rPr>
                <w:rFonts w:hint="eastAsia" w:hAnsi="宋体" w:cs="宋体"/>
                <w:sz w:val="21"/>
                <w:szCs w:val="21"/>
              </w:rPr>
              <w:t>6</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4AA1D889">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信用查询：</w:t>
            </w:r>
          </w:p>
          <w:p w14:paraId="28B27564">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根据《关于在政府采购活动中查询及使用信用记录有关问题的通知》财库[2016]125号的规定：</w:t>
            </w:r>
          </w:p>
          <w:p w14:paraId="115AB715">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（1）招标人或采购代理机构将对本项目供应商的信用记录进行查询。查询渠道为信用中国网站（www.creditchina.gov.cn）、中国政府采购网（www.ccgp.gov.cn）；</w:t>
            </w:r>
          </w:p>
          <w:p w14:paraId="3D8B98A3">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（2）截止时点：提交投标文件（响应文件）截止时间前3年内；</w:t>
            </w:r>
          </w:p>
          <w:p w14:paraId="4FB7D522">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（3）查询记录和证据的留存：信用信息查询记录和证据以网页截图等方式留存。</w:t>
            </w:r>
          </w:p>
          <w:p w14:paraId="01AD2A64">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（4）使用规则：被列入失信被执行人、重大税收违法案件当事人名单、政府采购严重违法失信行为记录名单及其它不符合《中华人民共和国政府采购法》第二十二条规定条件的，其投标将被拒绝。</w:t>
            </w:r>
          </w:p>
          <w:p w14:paraId="7AF159DB">
            <w:pPr>
              <w:snapToGrid w:val="0"/>
              <w:spacing w:line="460" w:lineRule="exact"/>
              <w:jc w:val="both"/>
              <w:textAlignment w:val="bottom"/>
              <w:rPr>
                <w:rFonts w:hAnsi="宋体" w:cs="宋体"/>
                <w:b/>
                <w:bCs/>
                <w:sz w:val="21"/>
                <w:szCs w:val="21"/>
              </w:rPr>
            </w:pPr>
            <w:r>
              <w:rPr>
                <w:rFonts w:hint="eastAsia" w:hAnsi="宋体" w:cs="宋体"/>
                <w:sz w:val="21"/>
                <w:szCs w:val="21"/>
                <w:shd w:val="clear" w:color="auto" w:fill="FFFFFF"/>
              </w:rPr>
              <w:t>（5）联合体成员任意一方存在不良信用记录的，视同联合体存在不良信用记录。（注：本项目不接受联合体投标）</w:t>
            </w:r>
          </w:p>
        </w:tc>
      </w:tr>
      <w:tr w14:paraId="0AD79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03F5FAF">
            <w:pPr>
              <w:snapToGrid w:val="0"/>
              <w:spacing w:line="460" w:lineRule="exact"/>
              <w:jc w:val="center"/>
              <w:rPr>
                <w:rFonts w:hAnsi="宋体" w:cs="宋体"/>
                <w:sz w:val="21"/>
                <w:szCs w:val="21"/>
              </w:rPr>
            </w:pPr>
            <w:r>
              <w:rPr>
                <w:rFonts w:hint="eastAsia" w:hAnsi="宋体" w:cs="宋体"/>
                <w:sz w:val="21"/>
                <w:szCs w:val="21"/>
              </w:rPr>
              <w:t>7</w:t>
            </w:r>
          </w:p>
        </w:tc>
        <w:tc>
          <w:tcPr>
            <w:tcW w:w="2265" w:type="dxa"/>
            <w:tcBorders>
              <w:top w:val="single" w:color="auto" w:sz="4" w:space="0"/>
              <w:left w:val="single" w:color="auto" w:sz="4" w:space="0"/>
              <w:bottom w:val="single" w:color="auto" w:sz="4" w:space="0"/>
              <w:right w:val="single" w:color="auto" w:sz="4" w:space="0"/>
            </w:tcBorders>
            <w:vAlign w:val="center"/>
          </w:tcPr>
          <w:p w14:paraId="291A4841">
            <w:pPr>
              <w:snapToGrid w:val="0"/>
              <w:spacing w:line="460" w:lineRule="exact"/>
              <w:jc w:val="both"/>
              <w:textAlignment w:val="bottom"/>
              <w:rPr>
                <w:rFonts w:hAnsi="宋体" w:cs="宋体"/>
                <w:sz w:val="21"/>
                <w:szCs w:val="21"/>
                <w:shd w:val="clear" w:color="auto" w:fill="FFFFFF"/>
              </w:rPr>
            </w:pPr>
            <w:r>
              <w:rPr>
                <w:rFonts w:hint="eastAsia" w:hAnsi="宋体" w:cs="宋体"/>
                <w:snapToGrid w:val="0"/>
                <w:sz w:val="21"/>
                <w:szCs w:val="21"/>
              </w:rPr>
              <w:t>节能产品</w:t>
            </w:r>
          </w:p>
        </w:tc>
        <w:tc>
          <w:tcPr>
            <w:tcW w:w="6836" w:type="dxa"/>
            <w:tcBorders>
              <w:top w:val="single" w:color="auto" w:sz="4" w:space="0"/>
              <w:left w:val="single" w:color="auto" w:sz="4" w:space="0"/>
              <w:bottom w:val="single" w:color="auto" w:sz="4" w:space="0"/>
              <w:right w:val="single" w:color="auto" w:sz="4" w:space="0"/>
            </w:tcBorders>
            <w:vAlign w:val="center"/>
          </w:tcPr>
          <w:p w14:paraId="6CAB1796">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sym w:font="Wingdings 2" w:char="00A3"/>
            </w:r>
            <w:r>
              <w:rPr>
                <w:rFonts w:hint="eastAsia" w:hAnsi="宋体" w:cs="宋体"/>
                <w:sz w:val="21"/>
                <w:szCs w:val="21"/>
                <w:shd w:val="clear" w:color="auto" w:fill="FFFFFF"/>
              </w:rPr>
              <w:t xml:space="preserve"> 强制采购节能产品</w:t>
            </w:r>
          </w:p>
          <w:p w14:paraId="666F34E7">
            <w:pPr>
              <w:pStyle w:val="96"/>
              <w:spacing w:line="460" w:lineRule="exact"/>
              <w:ind w:firstLine="420"/>
              <w:textAlignment w:val="bottom"/>
              <w:rPr>
                <w:rFonts w:hAnsi="宋体" w:cs="宋体"/>
                <w:sz w:val="21"/>
                <w:shd w:val="clear" w:color="auto" w:fill="FFFFFF"/>
              </w:rPr>
            </w:pPr>
            <w:r>
              <w:rPr>
                <w:rFonts w:hint="eastAsia" w:hAnsi="宋体" w:cs="宋体"/>
                <w:sz w:val="21"/>
                <w:shd w:val="clear" w:color="auto" w:fill="FFFFFF"/>
              </w:rPr>
              <w:sym w:font="Wingdings" w:char="00FE"/>
            </w:r>
            <w:r>
              <w:rPr>
                <w:rFonts w:hint="eastAsia" w:hAnsi="宋体" w:cs="宋体"/>
                <w:sz w:val="21"/>
                <w:shd w:val="clear" w:color="auto" w:fill="FFFFFF"/>
              </w:rPr>
              <w:t>优先采购节能产品</w:t>
            </w:r>
          </w:p>
          <w:p w14:paraId="5B1E7C8E">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sym w:font="Wingdings 2" w:char="00A3"/>
            </w:r>
            <w:r>
              <w:rPr>
                <w:rFonts w:hint="eastAsia" w:hAnsi="宋体" w:cs="宋体"/>
                <w:sz w:val="21"/>
                <w:szCs w:val="21"/>
                <w:shd w:val="clear" w:color="auto" w:fill="FFFFFF"/>
              </w:rPr>
              <w:t xml:space="preserve">  不适用</w:t>
            </w:r>
          </w:p>
        </w:tc>
      </w:tr>
      <w:tr w14:paraId="4782D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02EF2C64">
            <w:pPr>
              <w:snapToGrid w:val="0"/>
              <w:spacing w:line="460" w:lineRule="exact"/>
              <w:jc w:val="center"/>
              <w:rPr>
                <w:rFonts w:hAnsi="宋体" w:cs="宋体"/>
                <w:sz w:val="21"/>
                <w:szCs w:val="21"/>
              </w:rPr>
            </w:pPr>
            <w:r>
              <w:rPr>
                <w:rFonts w:hint="eastAsia" w:hAnsi="宋体" w:cs="宋体"/>
                <w:sz w:val="21"/>
                <w:szCs w:val="21"/>
              </w:rPr>
              <w:t>8</w:t>
            </w:r>
          </w:p>
        </w:tc>
        <w:tc>
          <w:tcPr>
            <w:tcW w:w="2265" w:type="dxa"/>
            <w:tcBorders>
              <w:top w:val="single" w:color="auto" w:sz="4" w:space="0"/>
              <w:left w:val="single" w:color="auto" w:sz="4" w:space="0"/>
              <w:bottom w:val="single" w:color="auto" w:sz="4" w:space="0"/>
              <w:right w:val="single" w:color="auto" w:sz="4" w:space="0"/>
            </w:tcBorders>
            <w:vAlign w:val="center"/>
          </w:tcPr>
          <w:p w14:paraId="4DF21C9C">
            <w:pPr>
              <w:snapToGrid w:val="0"/>
              <w:spacing w:line="460" w:lineRule="exact"/>
              <w:jc w:val="both"/>
              <w:textAlignment w:val="bottom"/>
              <w:rPr>
                <w:rFonts w:hAnsi="宋体" w:cs="宋体"/>
                <w:sz w:val="21"/>
                <w:szCs w:val="21"/>
                <w:shd w:val="clear" w:color="auto" w:fill="FFFFFF"/>
              </w:rPr>
            </w:pPr>
            <w:r>
              <w:rPr>
                <w:rFonts w:hint="eastAsia" w:hAnsi="宋体" w:cs="宋体"/>
                <w:snapToGrid w:val="0"/>
                <w:sz w:val="21"/>
                <w:szCs w:val="21"/>
              </w:rPr>
              <w:t>环境标志产品</w:t>
            </w:r>
          </w:p>
        </w:tc>
        <w:tc>
          <w:tcPr>
            <w:tcW w:w="6836" w:type="dxa"/>
            <w:tcBorders>
              <w:top w:val="single" w:color="auto" w:sz="4" w:space="0"/>
              <w:left w:val="single" w:color="auto" w:sz="4" w:space="0"/>
              <w:bottom w:val="single" w:color="auto" w:sz="4" w:space="0"/>
              <w:right w:val="single" w:color="auto" w:sz="4" w:space="0"/>
            </w:tcBorders>
            <w:vAlign w:val="center"/>
          </w:tcPr>
          <w:p w14:paraId="0D753119">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sym w:font="Wingdings" w:char="00FE"/>
            </w:r>
            <w:r>
              <w:rPr>
                <w:rFonts w:hint="eastAsia" w:hAnsi="宋体" w:cs="宋体"/>
                <w:sz w:val="21"/>
                <w:szCs w:val="21"/>
                <w:shd w:val="clear" w:color="auto" w:fill="FFFFFF"/>
              </w:rPr>
              <w:t>优先采购环境标志产品</w:t>
            </w:r>
          </w:p>
          <w:p w14:paraId="6E473B8E">
            <w:pPr>
              <w:snapToGrid w:val="0"/>
              <w:spacing w:line="460" w:lineRule="exact"/>
              <w:jc w:val="both"/>
              <w:textAlignment w:val="bottom"/>
              <w:rPr>
                <w:rFonts w:hAnsi="宋体" w:cs="宋体"/>
                <w:sz w:val="21"/>
                <w:szCs w:val="21"/>
                <w:shd w:val="clear" w:color="auto" w:fill="FFFFFF"/>
              </w:rPr>
            </w:pPr>
            <w:r>
              <w:rPr>
                <w:rFonts w:hint="eastAsia" w:hAnsi="宋体" w:cs="宋体"/>
                <w:sz w:val="21"/>
                <w:szCs w:val="21"/>
                <w:shd w:val="clear" w:color="auto" w:fill="FFFFFF"/>
              </w:rPr>
              <w:t>□不适用</w:t>
            </w:r>
          </w:p>
        </w:tc>
      </w:tr>
      <w:tr w14:paraId="7EA48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501B16B4">
            <w:pPr>
              <w:snapToGrid w:val="0"/>
              <w:spacing w:line="460" w:lineRule="exact"/>
              <w:jc w:val="center"/>
              <w:rPr>
                <w:rFonts w:hAnsi="宋体" w:cs="宋体"/>
                <w:sz w:val="21"/>
                <w:szCs w:val="21"/>
              </w:rPr>
            </w:pPr>
            <w:r>
              <w:rPr>
                <w:rFonts w:hint="eastAsia" w:hAnsi="宋体" w:cs="宋体"/>
                <w:sz w:val="21"/>
                <w:szCs w:val="21"/>
              </w:rPr>
              <w:t>9</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0DF1753D">
            <w:pPr>
              <w:snapToGrid w:val="0"/>
              <w:spacing w:line="460" w:lineRule="exact"/>
              <w:jc w:val="both"/>
              <w:textAlignment w:val="bottom"/>
              <w:rPr>
                <w:rFonts w:hAnsi="宋体" w:cs="宋体"/>
                <w:bCs/>
                <w:sz w:val="21"/>
                <w:szCs w:val="21"/>
              </w:rPr>
            </w:pPr>
            <w:r>
              <w:rPr>
                <w:rFonts w:hint="eastAsia" w:hAnsi="宋体" w:cs="宋体"/>
                <w:b/>
                <w:sz w:val="21"/>
                <w:szCs w:val="21"/>
              </w:rPr>
              <w:t>投标文件的递交：</w:t>
            </w:r>
          </w:p>
          <w:p w14:paraId="2FF61B4B">
            <w:pPr>
              <w:snapToGrid w:val="0"/>
              <w:spacing w:line="460" w:lineRule="exact"/>
              <w:jc w:val="both"/>
              <w:textAlignment w:val="bottom"/>
              <w:rPr>
                <w:rFonts w:hAnsi="宋体" w:cs="宋体"/>
                <w:bCs/>
                <w:sz w:val="21"/>
                <w:szCs w:val="21"/>
              </w:rPr>
            </w:pPr>
            <w:r>
              <w:rPr>
                <w:rFonts w:hint="eastAsia" w:hAnsi="宋体" w:cs="宋体"/>
                <w:bCs/>
                <w:sz w:val="21"/>
                <w:szCs w:val="21"/>
              </w:rPr>
              <w:t>本项目投标文件分</w:t>
            </w:r>
            <w:r>
              <w:rPr>
                <w:rFonts w:hint="eastAsia" w:hAnsi="宋体" w:cs="宋体"/>
                <w:b/>
                <w:sz w:val="21"/>
                <w:szCs w:val="21"/>
              </w:rPr>
              <w:t>资格文件、商务技术文件</w:t>
            </w:r>
            <w:r>
              <w:rPr>
                <w:rFonts w:hint="eastAsia" w:hAnsi="宋体" w:cs="宋体"/>
                <w:b/>
                <w:bCs/>
                <w:sz w:val="21"/>
                <w:szCs w:val="21"/>
              </w:rPr>
              <w:t>、</w:t>
            </w:r>
            <w:r>
              <w:rPr>
                <w:rFonts w:hint="eastAsia" w:hAnsi="宋体" w:cs="宋体"/>
                <w:b/>
                <w:sz w:val="21"/>
                <w:szCs w:val="21"/>
              </w:rPr>
              <w:t>报价文件</w:t>
            </w:r>
            <w:r>
              <w:rPr>
                <w:rFonts w:hint="eastAsia" w:hAnsi="宋体" w:cs="宋体"/>
                <w:bCs/>
                <w:sz w:val="21"/>
                <w:szCs w:val="21"/>
              </w:rPr>
              <w:t xml:space="preserve"> 三部分。投标人应以以下方式递交投标文件：</w:t>
            </w:r>
          </w:p>
          <w:p w14:paraId="3C1F4E40">
            <w:pPr>
              <w:snapToGrid w:val="0"/>
              <w:spacing w:line="460" w:lineRule="exact"/>
              <w:jc w:val="both"/>
              <w:textAlignment w:val="bottom"/>
              <w:rPr>
                <w:rFonts w:hAnsi="宋体" w:cs="宋体"/>
                <w:bCs/>
                <w:sz w:val="21"/>
                <w:szCs w:val="21"/>
              </w:rPr>
            </w:pPr>
            <w:r>
              <w:rPr>
                <w:rFonts w:hint="eastAsia" w:hAnsi="宋体" w:cs="宋体"/>
                <w:bCs/>
                <w:sz w:val="21"/>
                <w:szCs w:val="21"/>
              </w:rPr>
              <w:t>★1.本项目实行“网上</w:t>
            </w:r>
            <w:r>
              <w:rPr>
                <w:rFonts w:hint="eastAsia"/>
                <w:snapToGrid w:val="0"/>
                <w:sz w:val="22"/>
              </w:rPr>
              <w:t>电子</w:t>
            </w:r>
            <w:r>
              <w:rPr>
                <w:rFonts w:hint="eastAsia" w:hAnsi="宋体" w:cs="宋体"/>
                <w:bCs/>
                <w:sz w:val="21"/>
                <w:szCs w:val="21"/>
              </w:rPr>
              <w:t>投标、电子评标”，投标人应于投标截止时间前在“政采云”（</w:t>
            </w:r>
            <w:r>
              <w:rPr>
                <w:rFonts w:hint="eastAsia" w:hAnsi="宋体" w:cs="宋体"/>
                <w:sz w:val="21"/>
                <w:szCs w:val="21"/>
                <w:shd w:val="clear" w:color="auto" w:fill="FFFFFF"/>
              </w:rPr>
              <w:t xml:space="preserve"> 电子交易客户端</w:t>
            </w:r>
            <w:r>
              <w:rPr>
                <w:rFonts w:hint="eastAsia" w:hAnsi="宋体" w:cs="宋体"/>
                <w:bCs/>
                <w:sz w:val="21"/>
                <w:szCs w:val="21"/>
              </w:rPr>
              <w:t>）上传输、递交电子版投标文件（包括资格文件、商务技术文件和报价文件）；</w:t>
            </w:r>
          </w:p>
          <w:p w14:paraId="026C12A8">
            <w:pPr>
              <w:snapToGrid w:val="0"/>
              <w:spacing w:line="460" w:lineRule="exact"/>
              <w:textAlignment w:val="bottom"/>
              <w:rPr>
                <w:rFonts w:hAnsi="宋体" w:cs="宋体"/>
                <w:b/>
                <w:sz w:val="21"/>
                <w:szCs w:val="21"/>
              </w:rPr>
            </w:pPr>
            <w:r>
              <w:rPr>
                <w:rFonts w:hint="eastAsia" w:hAnsi="宋体" w:cs="宋体"/>
                <w:bCs/>
                <w:sz w:val="21"/>
                <w:szCs w:val="21"/>
              </w:rPr>
              <w:t>2. 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4D698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88" w:type="dxa"/>
            <w:tcBorders>
              <w:top w:val="single" w:color="auto" w:sz="4" w:space="0"/>
              <w:left w:val="single" w:color="auto" w:sz="4" w:space="0"/>
              <w:bottom w:val="single" w:color="auto" w:sz="4" w:space="0"/>
              <w:right w:val="single" w:color="auto" w:sz="4" w:space="0"/>
            </w:tcBorders>
            <w:vAlign w:val="center"/>
          </w:tcPr>
          <w:p w14:paraId="540F966F">
            <w:pPr>
              <w:snapToGrid w:val="0"/>
              <w:spacing w:line="460" w:lineRule="exact"/>
              <w:jc w:val="center"/>
              <w:rPr>
                <w:rFonts w:hAnsi="宋体" w:cs="宋体"/>
                <w:sz w:val="21"/>
                <w:szCs w:val="21"/>
              </w:rPr>
            </w:pPr>
            <w:r>
              <w:rPr>
                <w:rFonts w:hint="eastAsia" w:hAnsi="宋体" w:cs="宋体"/>
                <w:sz w:val="21"/>
                <w:szCs w:val="21"/>
              </w:rPr>
              <w:t>10</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0ADAAA2A">
            <w:pPr>
              <w:snapToGrid w:val="0"/>
              <w:spacing w:line="460" w:lineRule="exact"/>
              <w:textAlignment w:val="bottom"/>
              <w:rPr>
                <w:rFonts w:hAnsi="宋体" w:cs="宋体"/>
                <w:sz w:val="21"/>
                <w:szCs w:val="21"/>
              </w:rPr>
            </w:pPr>
            <w:r>
              <w:rPr>
                <w:rFonts w:hint="eastAsia" w:hAnsi="宋体" w:cs="宋体"/>
                <w:sz w:val="21"/>
                <w:szCs w:val="21"/>
              </w:rPr>
              <w:t>评标办法：综合评分法。</w:t>
            </w:r>
          </w:p>
        </w:tc>
      </w:tr>
      <w:tr w14:paraId="4A343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88" w:type="dxa"/>
            <w:tcBorders>
              <w:top w:val="single" w:color="auto" w:sz="4" w:space="0"/>
              <w:left w:val="single" w:color="auto" w:sz="4" w:space="0"/>
              <w:bottom w:val="single" w:color="auto" w:sz="4" w:space="0"/>
              <w:right w:val="single" w:color="auto" w:sz="4" w:space="0"/>
            </w:tcBorders>
            <w:vAlign w:val="center"/>
          </w:tcPr>
          <w:p w14:paraId="6A93BAFC">
            <w:pPr>
              <w:snapToGrid w:val="0"/>
              <w:spacing w:line="460" w:lineRule="exact"/>
              <w:jc w:val="center"/>
              <w:rPr>
                <w:rFonts w:hAnsi="宋体" w:cs="宋体"/>
                <w:sz w:val="21"/>
                <w:szCs w:val="21"/>
              </w:rPr>
            </w:pPr>
            <w:r>
              <w:rPr>
                <w:rFonts w:hint="eastAsia" w:hAnsi="宋体" w:cs="宋体"/>
                <w:sz w:val="21"/>
                <w:szCs w:val="21"/>
              </w:rPr>
              <w:t>11</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1CD670C0">
            <w:pPr>
              <w:snapToGrid w:val="0"/>
              <w:spacing w:line="460" w:lineRule="exact"/>
              <w:textAlignment w:val="bottom"/>
              <w:rPr>
                <w:rFonts w:hAnsi="宋体" w:cs="宋体"/>
                <w:sz w:val="21"/>
                <w:szCs w:val="21"/>
              </w:rPr>
            </w:pPr>
            <w:r>
              <w:rPr>
                <w:rFonts w:hint="eastAsia" w:hAnsi="宋体" w:cs="宋体"/>
                <w:sz w:val="21"/>
                <w:szCs w:val="21"/>
              </w:rPr>
              <w:t>结果公示：结果公示于浙江政府采购网(</w:t>
            </w:r>
            <w:r>
              <w:fldChar w:fldCharType="begin"/>
            </w:r>
            <w:r>
              <w:instrText xml:space="preserve"> HYPERLINK "http://www.zjzfcg.gov.cn/" </w:instrText>
            </w:r>
            <w:r>
              <w:fldChar w:fldCharType="separate"/>
            </w:r>
            <w:r>
              <w:rPr>
                <w:rFonts w:hint="eastAsia" w:hAnsi="宋体" w:cs="宋体"/>
                <w:sz w:val="21"/>
                <w:szCs w:val="21"/>
              </w:rPr>
              <w:t>http://zfcg.czt.zj.gov.cn/</w:t>
            </w:r>
            <w:r>
              <w:rPr>
                <w:rFonts w:hint="eastAsia" w:hAnsi="宋体" w:cs="宋体"/>
                <w:sz w:val="21"/>
                <w:szCs w:val="21"/>
              </w:rPr>
              <w:fldChar w:fldCharType="end"/>
            </w:r>
            <w:r>
              <w:rPr>
                <w:rFonts w:hint="eastAsia" w:hAnsi="宋体" w:cs="宋体"/>
                <w:sz w:val="21"/>
                <w:szCs w:val="21"/>
              </w:rPr>
              <w:t xml:space="preserve">) </w:t>
            </w:r>
          </w:p>
        </w:tc>
      </w:tr>
      <w:tr w14:paraId="3DA00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788" w:type="dxa"/>
            <w:tcBorders>
              <w:top w:val="single" w:color="auto" w:sz="4" w:space="0"/>
              <w:left w:val="single" w:color="auto" w:sz="4" w:space="0"/>
              <w:bottom w:val="single" w:color="auto" w:sz="4" w:space="0"/>
              <w:right w:val="single" w:color="auto" w:sz="4" w:space="0"/>
            </w:tcBorders>
            <w:vAlign w:val="center"/>
          </w:tcPr>
          <w:p w14:paraId="5C915C4F">
            <w:pPr>
              <w:snapToGrid w:val="0"/>
              <w:spacing w:line="460" w:lineRule="exact"/>
              <w:jc w:val="center"/>
              <w:rPr>
                <w:rFonts w:hAnsi="宋体" w:cs="宋体"/>
                <w:sz w:val="21"/>
                <w:szCs w:val="21"/>
              </w:rPr>
            </w:pPr>
            <w:r>
              <w:rPr>
                <w:rFonts w:hint="eastAsia" w:hAnsi="宋体" w:cs="宋体"/>
                <w:sz w:val="21"/>
                <w:szCs w:val="21"/>
              </w:rPr>
              <w:t>12</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05CB72D8">
            <w:pPr>
              <w:snapToGrid w:val="0"/>
              <w:spacing w:line="460" w:lineRule="exact"/>
              <w:jc w:val="both"/>
              <w:textAlignment w:val="bottom"/>
              <w:rPr>
                <w:rFonts w:hAnsi="宋体" w:cs="宋体"/>
                <w:b/>
                <w:bCs/>
                <w:sz w:val="21"/>
                <w:szCs w:val="21"/>
              </w:rPr>
            </w:pPr>
            <w:r>
              <w:rPr>
                <w:rFonts w:hint="eastAsia" w:hAnsi="宋体" w:cs="宋体"/>
                <w:b/>
                <w:bCs/>
                <w:sz w:val="21"/>
                <w:szCs w:val="21"/>
              </w:rPr>
              <w:t>资料核实及合同签订时间：</w:t>
            </w:r>
          </w:p>
          <w:p w14:paraId="549C46F5">
            <w:pPr>
              <w:snapToGrid w:val="0"/>
              <w:spacing w:line="460" w:lineRule="exact"/>
              <w:textAlignment w:val="bottom"/>
              <w:rPr>
                <w:rFonts w:hAnsi="宋体" w:cs="宋体"/>
                <w:sz w:val="21"/>
                <w:szCs w:val="21"/>
              </w:rPr>
            </w:pPr>
            <w:r>
              <w:rPr>
                <w:rFonts w:hint="eastAsia" w:hAnsi="宋体" w:cs="宋体"/>
                <w:b/>
                <w:bCs/>
                <w:sz w:val="21"/>
                <w:szCs w:val="21"/>
              </w:rPr>
              <w:t>1.资料核实：根据《浙江省财政厅关于进一步规范政府采购秩序促进公平竞争的通知》（浙财采监〔2025〕2号）及政策解读相关要求，在评审结束后、合同签订前，招标人（采购人）、采购代理机构将对中标供应商在投标文件中涉及客观分评审内容的检测报告、认证证书等资料的真实性进行复核，中标供应商应在合同签订前及时提供相关检测报告、认证证书等资料的原件或查询网站（网址）给招标人（采购人）、采购代理机构进行真实性复核。</w:t>
            </w:r>
          </w:p>
          <w:p w14:paraId="34708273">
            <w:pPr>
              <w:snapToGrid w:val="0"/>
              <w:spacing w:line="460" w:lineRule="exact"/>
              <w:textAlignment w:val="bottom"/>
              <w:rPr>
                <w:rFonts w:hAnsi="宋体" w:cs="宋体"/>
                <w:sz w:val="21"/>
                <w:szCs w:val="21"/>
              </w:rPr>
            </w:pPr>
            <w:r>
              <w:rPr>
                <w:rFonts w:hint="eastAsia" w:hAnsi="宋体" w:cs="宋体"/>
                <w:sz w:val="21"/>
                <w:szCs w:val="21"/>
              </w:rPr>
              <w:t>2.签订合同时间：中标通知书发出后20日内。</w:t>
            </w:r>
          </w:p>
        </w:tc>
      </w:tr>
      <w:tr w14:paraId="348C7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88" w:type="dxa"/>
            <w:tcBorders>
              <w:top w:val="single" w:color="auto" w:sz="4" w:space="0"/>
              <w:left w:val="single" w:color="auto" w:sz="4" w:space="0"/>
              <w:bottom w:val="single" w:color="auto" w:sz="4" w:space="0"/>
              <w:right w:val="single" w:color="auto" w:sz="4" w:space="0"/>
            </w:tcBorders>
            <w:vAlign w:val="center"/>
          </w:tcPr>
          <w:p w14:paraId="2193716C">
            <w:pPr>
              <w:snapToGrid w:val="0"/>
              <w:spacing w:line="460" w:lineRule="exact"/>
              <w:jc w:val="center"/>
              <w:rPr>
                <w:rFonts w:hAnsi="宋体" w:cs="宋体"/>
                <w:sz w:val="21"/>
                <w:szCs w:val="21"/>
              </w:rPr>
            </w:pPr>
            <w:r>
              <w:rPr>
                <w:rFonts w:hint="eastAsia" w:hAnsi="宋体" w:cs="宋体"/>
                <w:sz w:val="21"/>
                <w:szCs w:val="21"/>
              </w:rPr>
              <w:t>13</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203E5E8F">
            <w:pPr>
              <w:snapToGrid w:val="0"/>
              <w:spacing w:line="460" w:lineRule="exact"/>
              <w:rPr>
                <w:rFonts w:hAnsi="宋体" w:cs="宋体"/>
                <w:sz w:val="21"/>
                <w:szCs w:val="21"/>
              </w:rPr>
            </w:pPr>
            <w:r>
              <w:rPr>
                <w:rFonts w:hint="eastAsia" w:hAnsi="宋体" w:cs="宋体"/>
                <w:sz w:val="21"/>
                <w:szCs w:val="21"/>
              </w:rPr>
              <w:t>投标文件有效期：90天。</w:t>
            </w:r>
          </w:p>
        </w:tc>
      </w:tr>
      <w:tr w14:paraId="6245D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88" w:type="dxa"/>
            <w:tcBorders>
              <w:top w:val="single" w:color="auto" w:sz="4" w:space="0"/>
              <w:left w:val="single" w:color="auto" w:sz="4" w:space="0"/>
              <w:bottom w:val="single" w:color="auto" w:sz="4" w:space="0"/>
              <w:right w:val="single" w:color="auto" w:sz="4" w:space="0"/>
            </w:tcBorders>
            <w:vAlign w:val="center"/>
          </w:tcPr>
          <w:p w14:paraId="589FC01C">
            <w:pPr>
              <w:snapToGrid w:val="0"/>
              <w:spacing w:line="460" w:lineRule="exact"/>
              <w:jc w:val="center"/>
              <w:rPr>
                <w:rFonts w:hAnsi="宋体" w:cs="宋体"/>
                <w:sz w:val="21"/>
                <w:szCs w:val="21"/>
              </w:rPr>
            </w:pPr>
            <w:r>
              <w:rPr>
                <w:rFonts w:hint="eastAsia" w:hAnsi="宋体" w:cs="宋体"/>
                <w:sz w:val="21"/>
                <w:szCs w:val="21"/>
              </w:rPr>
              <w:t>14</w:t>
            </w:r>
          </w:p>
        </w:tc>
        <w:tc>
          <w:tcPr>
            <w:tcW w:w="9101" w:type="dxa"/>
            <w:gridSpan w:val="2"/>
            <w:tcBorders>
              <w:top w:val="single" w:color="auto" w:sz="4" w:space="0"/>
              <w:left w:val="single" w:color="auto" w:sz="4" w:space="0"/>
              <w:bottom w:val="single" w:color="auto" w:sz="4" w:space="0"/>
              <w:right w:val="single" w:color="auto" w:sz="4" w:space="0"/>
            </w:tcBorders>
            <w:vAlign w:val="center"/>
          </w:tcPr>
          <w:p w14:paraId="711DD6E4">
            <w:pPr>
              <w:snapToGrid w:val="0"/>
              <w:spacing w:line="460" w:lineRule="exact"/>
              <w:rPr>
                <w:rFonts w:hAnsi="宋体" w:cs="宋体"/>
                <w:sz w:val="21"/>
                <w:szCs w:val="21"/>
              </w:rPr>
            </w:pPr>
            <w:r>
              <w:rPr>
                <w:rFonts w:hint="eastAsia" w:hAnsi="宋体" w:cs="宋体"/>
                <w:sz w:val="21"/>
                <w:szCs w:val="21"/>
              </w:rPr>
              <w:t>解释：本招标文件的解释权属于招标采购单位。</w:t>
            </w:r>
          </w:p>
        </w:tc>
      </w:tr>
    </w:tbl>
    <w:p w14:paraId="3A516725">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一、总则</w:t>
      </w:r>
    </w:p>
    <w:p w14:paraId="50F7D2FA">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（一）适用范围</w:t>
      </w:r>
    </w:p>
    <w:p w14:paraId="0709A1A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本招标文件适用于金华市婺城区罗埠镇中心小学录播教室改造项目 的招标、投标、评标、定标、验收、合同履约、付款等行为（法律、法规另有规定的，从其规定）。</w:t>
      </w:r>
    </w:p>
    <w:p w14:paraId="705AEB5F">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（二）定义</w:t>
      </w:r>
    </w:p>
    <w:p w14:paraId="1078FB99">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1.招标采购单位系指组织本次招标的代理机构和招标人（采购单位）。</w:t>
      </w:r>
    </w:p>
    <w:p w14:paraId="445DDA0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2.“投标人”系指向招标方提交投标文件的单位或个人。</w:t>
      </w:r>
    </w:p>
    <w:p w14:paraId="25C0BCD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3.“产品”系指供方按招标文件规定，须向采购人提供的一切货物、设备、保险、备品备件、工具、手册及其它有关技术资料和材料。</w:t>
      </w:r>
    </w:p>
    <w:p w14:paraId="4ABDF4D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4.“服务”系指招标文件规定投标人须承担的安装、调试、技术协助、培训、技术指导以及附伴随的相关服务。</w:t>
      </w:r>
    </w:p>
    <w:p w14:paraId="66F172B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5.“项目”系指投标人按招标文件规定向采购人提供的产品和服务。</w:t>
      </w:r>
    </w:p>
    <w:p w14:paraId="0D8BB2A2">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6.“书面形式”包括信函、传真、电报等。</w:t>
      </w:r>
    </w:p>
    <w:p w14:paraId="61405F4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7.“★”系指实质性要求条款，“▲”系指重要性指标。</w:t>
      </w:r>
    </w:p>
    <w:p w14:paraId="5D563155">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（三）招标方式</w:t>
      </w:r>
    </w:p>
    <w:p w14:paraId="377A27A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本次招标采用公开招标方式进行。</w:t>
      </w:r>
    </w:p>
    <w:p w14:paraId="57E8F532">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（四）投标委托</w:t>
      </w:r>
    </w:p>
    <w:p w14:paraId="64805F54">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如投标人代表不是法定代表人，须有法定代表人出具的授权委托书。</w:t>
      </w:r>
    </w:p>
    <w:p w14:paraId="198A977B">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（五）投标费用</w:t>
      </w:r>
    </w:p>
    <w:p w14:paraId="1EBFC3E2">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不论投标结果如何，投标人均应自行承担所有与投标有关的全部费用（招标文件有相反规定除外）。</w:t>
      </w:r>
      <w:r>
        <w:rPr>
          <w:rFonts w:hint="eastAsia" w:hAnsi="宋体" w:cs="宋体"/>
          <w:b/>
          <w:bCs/>
          <w:sz w:val="21"/>
          <w:szCs w:val="21"/>
        </w:rPr>
        <w:t>中标、成交供应商放弃中标、成交资格导致重新采购的，应当承担支付代理费和专家评审费等费用在内的赔偿责任。</w:t>
      </w:r>
    </w:p>
    <w:p w14:paraId="6951E3ED">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（六）联合体投标</w:t>
      </w:r>
    </w:p>
    <w:p w14:paraId="0FB58433">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本项目不接受联合体投标。</w:t>
      </w:r>
    </w:p>
    <w:p w14:paraId="524E5EA2">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（七）转包与分包</w:t>
      </w:r>
    </w:p>
    <w:p w14:paraId="19AA0FF5">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1.本项目不允许转包。</w:t>
      </w:r>
    </w:p>
    <w:p w14:paraId="6219298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2.非经招标人同意，本项目不允许分包。</w:t>
      </w:r>
    </w:p>
    <w:p w14:paraId="75C74E34">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（八）现场踏勘</w:t>
      </w:r>
    </w:p>
    <w:p w14:paraId="0E17DCD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投标人可联系采购人进行现场考察，以获取有关投标、签署合同和其他所需的资料；如因勘察不到位，导致满足不了采购人要求，采购人有权要求中标人重做并无条件满足需求。不组织集中考察，由各投标人自行安排，但必须在开标5天前进行。投标人在考察过程中发生的各类事件和所发生的各项费用，均由投标人自行承担，招标人和代理机构概不负责。</w:t>
      </w:r>
    </w:p>
    <w:p w14:paraId="68C7AE84">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2.招标人向投标人提供的有关现场的数据和资料，是招标方现有的能被投标人利用的资料，招标方对投标人据此做出的任何推论、理解和结论不负责任。</w:t>
      </w:r>
    </w:p>
    <w:p w14:paraId="43868099">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（九）特别说明</w:t>
      </w:r>
    </w:p>
    <w:p w14:paraId="3121E28B">
      <w:pPr>
        <w:autoSpaceDE/>
        <w:autoSpaceDN/>
        <w:adjustRightInd/>
        <w:spacing w:line="500" w:lineRule="exact"/>
        <w:ind w:firstLine="420" w:firstLineChars="200"/>
        <w:jc w:val="both"/>
        <w:rPr>
          <w:rFonts w:hAnsi="宋体" w:cs="宋体"/>
          <w:b/>
          <w:sz w:val="21"/>
        </w:rPr>
      </w:pPr>
      <w:r>
        <w:rPr>
          <w:rFonts w:hint="eastAsia" w:hAnsi="宋体" w:cs="宋体"/>
          <w:bCs/>
          <w:sz w:val="21"/>
          <w:szCs w:val="21"/>
        </w:rPr>
        <w:t>★1.投标单位负责人为同一人或者存在直接控股、管理关系的不同投标人，不得参加同一合同项下的政府采购活动。如在评标过程（或标后质疑投诉期内）中发现投标人间存在上述关系，存在上述关系的全部投标人均作无效投标（或无效中标）处理。</w:t>
      </w:r>
    </w:p>
    <w:p w14:paraId="64A13C86">
      <w:pPr>
        <w:autoSpaceDE/>
        <w:autoSpaceDN/>
        <w:adjustRightInd/>
        <w:spacing w:line="460" w:lineRule="exact"/>
        <w:ind w:firstLine="422" w:firstLineChars="200"/>
        <w:jc w:val="both"/>
        <w:rPr>
          <w:rFonts w:hAnsi="宋体" w:cs="宋体"/>
        </w:rPr>
      </w:pPr>
      <w:r>
        <w:rPr>
          <w:rFonts w:hint="eastAsia" w:hAnsi="宋体" w:cs="宋体"/>
          <w:b/>
          <w:sz w:val="21"/>
          <w:szCs w:val="21"/>
        </w:rPr>
        <w:t>2.根据中华人民共和国财政部令第87号文件第三十一条规定，使用综合评分法的采购项目，提供相同品牌产品（或同品牌核心产品）且通过资格审查、符合性审查的不同投标人参加同一合同项下投标的，按一家投标人计算，评审后综合得分最高的同品牌（或同品牌核心产品）投标人获得中标人推荐资格；评审后综合得分相同的，由招标人或者招标人委托评标委员会按照招标文件规定的方式确定一个投标人获得中标人推荐资格，招标文件未规定的采取随机抽取方式确定，其他同品牌（核心产品）投标人不作为中标候选人。</w:t>
      </w:r>
    </w:p>
    <w:p w14:paraId="2C4B4A3D">
      <w:pPr>
        <w:autoSpaceDE/>
        <w:autoSpaceDN/>
        <w:adjustRightInd/>
        <w:spacing w:line="500" w:lineRule="exact"/>
        <w:ind w:firstLine="422" w:firstLineChars="200"/>
        <w:jc w:val="both"/>
        <w:rPr>
          <w:rFonts w:hAnsi="宋体" w:cs="宋体"/>
          <w:b/>
          <w:sz w:val="21"/>
          <w:szCs w:val="21"/>
        </w:rPr>
      </w:pPr>
      <w:r>
        <w:rPr>
          <w:rFonts w:hint="eastAsia" w:hAnsi="宋体" w:cs="宋体"/>
          <w:b/>
          <w:sz w:val="21"/>
        </w:rPr>
        <w:t>3.</w:t>
      </w:r>
      <w:r>
        <w:rPr>
          <w:rFonts w:hint="eastAsia" w:hAnsi="宋体" w:cs="宋体"/>
          <w:b/>
          <w:sz w:val="21"/>
          <w:szCs w:val="21"/>
        </w:rPr>
        <w:t>“政采云”平台运营机构，以及与该机构有直接控股或者管理关系可能影响采购公正性的任何单位和个人，不得在该平台进行的政府采购项目电子交易中投标、响应政府采购项目。</w:t>
      </w:r>
    </w:p>
    <w:p w14:paraId="0956F0A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4.投标人投标所使用的资格、信誉、荣誉、业绩与企业认证必须为本法人所拥有。投标人投标所使用的采购项目实施人员必须为本法人员工（或必须为本法人或控股公司正式员工）。</w:t>
      </w:r>
    </w:p>
    <w:p w14:paraId="433E9AA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投标人应仔细阅读招标文件的所有内容，按照招标文件的要求提交投标文件。投标人必须对投标文件所提供的全部资料的真实性承担法律责任，并无条件接受采购代理机构、招标人及政府采购监督管理部门等对其中任何资料进行核实的要求。</w:t>
      </w:r>
      <w:r>
        <w:rPr>
          <w:rFonts w:hint="eastAsia" w:hAnsi="宋体" w:cs="宋体"/>
          <w:b/>
          <w:bCs/>
          <w:sz w:val="21"/>
          <w:szCs w:val="21"/>
        </w:rPr>
        <w:t>需要特别说明的是，根据《浙江省财政厅关于进一步规范政府采购秩序促进公平竞争的通知》（浙财采监〔2025〕2号）及政策解读相关要求，在评审结束后、合同签订前，招标人（采购人）、采购代理机构将对中标（成交）供应商在投标文件中涉及客观分评审内容的检测报告、认证证书等资料的真实性进行复核，中标供应商应在合同签订前及时提供相关检测报告、认证证书等资料的原件或查询网站（网址）给招标人（采购人）、采购代理机构进行真实性复核。</w:t>
      </w:r>
    </w:p>
    <w:p w14:paraId="1FD16D3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6.投标人在投标活动中提供任何虚假材料，其投标无效，并报监管部门查处；中标后发现的，中标人须根据我国的相关法律法规进行处罚，且民事赔偿并不免除违法投标人的行政与刑事责任。</w:t>
      </w:r>
    </w:p>
    <w:p w14:paraId="1A794BE4">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（十）质疑和投诉</w:t>
      </w:r>
    </w:p>
    <w:p w14:paraId="565250EC">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3D89BA8F">
      <w:pPr>
        <w:autoSpaceDE/>
        <w:autoSpaceDN/>
        <w:adjustRightInd/>
        <w:spacing w:line="500" w:lineRule="exact"/>
        <w:ind w:firstLine="420" w:firstLineChars="200"/>
        <w:jc w:val="both"/>
        <w:rPr>
          <w:rFonts w:hAnsi="宋体" w:cs="宋体"/>
          <w:sz w:val="21"/>
          <w:szCs w:val="21"/>
          <w:lang w:eastAsia="zh-TW"/>
        </w:rPr>
      </w:pPr>
      <w:r>
        <w:rPr>
          <w:rFonts w:hint="eastAsia" w:hAnsi="宋体" w:cs="宋体"/>
          <w:sz w:val="21"/>
          <w:szCs w:val="21"/>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sz w:val="21"/>
          <w:szCs w:val="21"/>
        </w:rPr>
        <w:t>质疑函范本、投诉书范本请到浙江政府采购网下载专区下载。</w:t>
      </w:r>
    </w:p>
    <w:p w14:paraId="473B8AC8">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w:t>
      </w:r>
      <w:r>
        <w:rPr>
          <w:rFonts w:hint="eastAsia" w:hAnsi="宋体" w:cs="宋体"/>
          <w:sz w:val="21"/>
          <w:szCs w:val="21"/>
          <w:lang w:val="zh-CN"/>
        </w:rPr>
        <w:t>投标人须在法定质疑期内一次性提出针对同一采购程序环节的质疑。未按上述要求提供的质疑函，采购代理机构有权不予受理。</w:t>
      </w:r>
    </w:p>
    <w:p w14:paraId="4EF7AD6E">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二、招标文件</w:t>
      </w:r>
    </w:p>
    <w:p w14:paraId="6CA10472">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（一）招标文件的构成。本招标文件由以下部分组成：</w:t>
      </w:r>
    </w:p>
    <w:p w14:paraId="755CD7A6">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1.招标公告</w:t>
      </w:r>
    </w:p>
    <w:p w14:paraId="3645D86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2.招标需求</w:t>
      </w:r>
    </w:p>
    <w:p w14:paraId="4BC31FB8">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3.投标人须知</w:t>
      </w:r>
    </w:p>
    <w:p w14:paraId="69A2D90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4.评标办法及标准</w:t>
      </w:r>
    </w:p>
    <w:p w14:paraId="54E8F519">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5.合同主要条款</w:t>
      </w:r>
    </w:p>
    <w:p w14:paraId="02641F9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6.投标文件格式</w:t>
      </w:r>
    </w:p>
    <w:p w14:paraId="6032CEE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7.本项目招标文件的澄清、答复、修改、补充的内容（如有）</w:t>
      </w:r>
    </w:p>
    <w:p w14:paraId="47590D3E">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（二）投标人的风险</w:t>
      </w:r>
    </w:p>
    <w:p w14:paraId="61BF5E71">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投标人没有按照招标文件要求提供全部资料，或者投标人没有对招标文件在各方面作出实质性响应是投标人的风险，并可能导致其投标被拒绝。</w:t>
      </w:r>
    </w:p>
    <w:p w14:paraId="6BE14FD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招标人、采购代理机构不保证所有已完成报名的投标人都符合资格要求。</w:t>
      </w:r>
    </w:p>
    <w:p w14:paraId="6B899A66">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（三）招标文件的澄清与修改</w:t>
      </w:r>
    </w:p>
    <w:p w14:paraId="137F9D40">
      <w:pPr>
        <w:autoSpaceDE/>
        <w:autoSpaceDN/>
        <w:snapToGrid w:val="0"/>
        <w:spacing w:line="500" w:lineRule="exact"/>
        <w:ind w:firstLine="420" w:firstLineChars="200"/>
        <w:rPr>
          <w:rFonts w:hAnsi="宋体" w:cs="宋体"/>
          <w:sz w:val="21"/>
          <w:szCs w:val="21"/>
        </w:rPr>
      </w:pPr>
      <w:r>
        <w:rPr>
          <w:rFonts w:hint="eastAsia" w:hAnsi="宋体" w:cs="宋体"/>
          <w:sz w:val="21"/>
          <w:szCs w:val="21"/>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5BB0327C">
      <w:pPr>
        <w:autoSpaceDE/>
        <w:autoSpaceDN/>
        <w:snapToGrid w:val="0"/>
        <w:spacing w:line="500" w:lineRule="exact"/>
        <w:ind w:firstLine="420" w:firstLineChars="200"/>
        <w:rPr>
          <w:rFonts w:hAnsi="宋体" w:cs="宋体"/>
          <w:sz w:val="21"/>
          <w:szCs w:val="21"/>
        </w:rPr>
      </w:pPr>
      <w:r>
        <w:rPr>
          <w:rFonts w:hint="eastAsia" w:hAnsi="宋体" w:cs="宋体"/>
          <w:sz w:val="21"/>
          <w:szCs w:val="21"/>
        </w:rPr>
        <w:t>2.采购代理机构必须以书面形式答复投标人要求澄清的问题，并将不包含问题来源的答复书面通知所有购买招标文件的投标人，除书面答复以外的其他澄清方式及澄清内容均无效。</w:t>
      </w:r>
    </w:p>
    <w:p w14:paraId="04A65C53">
      <w:pPr>
        <w:autoSpaceDE/>
        <w:autoSpaceDN/>
        <w:snapToGrid w:val="0"/>
        <w:spacing w:line="500" w:lineRule="exact"/>
        <w:ind w:firstLine="420" w:firstLineChars="200"/>
        <w:rPr>
          <w:rFonts w:hAnsi="宋体" w:cs="宋体"/>
          <w:sz w:val="21"/>
          <w:szCs w:val="21"/>
        </w:rPr>
      </w:pPr>
      <w:r>
        <w:rPr>
          <w:rFonts w:hint="eastAsia" w:hAnsi="宋体" w:cs="宋体"/>
          <w:sz w:val="21"/>
          <w:szCs w:val="21"/>
        </w:rPr>
        <w:t>3.招标文件澄清、答复、修改、补充的内容为招标文件的组成部分。当招标文件与招标文件的答复、澄清、修改、补充通知就同一内容的表述不一致时，以最后发出的书面文件为准。</w:t>
      </w:r>
    </w:p>
    <w:p w14:paraId="5D703BA7">
      <w:pPr>
        <w:autoSpaceDE/>
        <w:autoSpaceDN/>
        <w:snapToGrid w:val="0"/>
        <w:spacing w:line="500" w:lineRule="exact"/>
        <w:ind w:firstLine="420" w:firstLineChars="200"/>
        <w:rPr>
          <w:rFonts w:hAnsi="宋体" w:cs="宋体"/>
          <w:sz w:val="21"/>
          <w:szCs w:val="21"/>
        </w:rPr>
      </w:pPr>
      <w:r>
        <w:rPr>
          <w:rFonts w:hint="eastAsia" w:hAnsi="宋体" w:cs="宋体"/>
          <w:sz w:val="21"/>
          <w:szCs w:val="21"/>
        </w:rPr>
        <w:t>4.招标文件的澄清、答复、修改或补充都应该通过本代理机构以法定形式发布，招标人非通过本机构，不得擅自澄清、答复、修改或补充招标文件。</w:t>
      </w:r>
    </w:p>
    <w:p w14:paraId="12EDD89B">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三、投标文件的编制</w:t>
      </w:r>
    </w:p>
    <w:p w14:paraId="54435D84">
      <w:pPr>
        <w:snapToGrid w:val="0"/>
        <w:spacing w:line="500" w:lineRule="exact"/>
        <w:ind w:firstLine="422" w:firstLineChars="200"/>
        <w:rPr>
          <w:rFonts w:hAnsi="宋体" w:cs="宋体"/>
          <w:b/>
          <w:sz w:val="21"/>
          <w:szCs w:val="21"/>
        </w:rPr>
      </w:pPr>
      <w:r>
        <w:rPr>
          <w:rFonts w:hint="eastAsia" w:hAnsi="宋体" w:cs="宋体"/>
          <w:b/>
          <w:sz w:val="21"/>
          <w:szCs w:val="21"/>
        </w:rPr>
        <w:t>注：投标人应保证所提供文件资料的真实性，所有文件资料必须是针对本次投标的。如发现投标人提供了虚假文件资料，其投标将被拒绝，并自行承担相应的法律责任。</w:t>
      </w:r>
    </w:p>
    <w:p w14:paraId="0754BD1B">
      <w:pPr>
        <w:tabs>
          <w:tab w:val="left" w:pos="6955"/>
        </w:tabs>
        <w:snapToGrid w:val="0"/>
        <w:spacing w:line="500" w:lineRule="exact"/>
        <w:ind w:firstLine="422" w:firstLineChars="200"/>
        <w:rPr>
          <w:rFonts w:hAnsi="宋体" w:cs="宋体"/>
          <w:b/>
          <w:sz w:val="21"/>
          <w:szCs w:val="21"/>
        </w:rPr>
      </w:pPr>
      <w:r>
        <w:rPr>
          <w:rFonts w:hint="eastAsia" w:hAnsi="宋体" w:cs="宋体"/>
          <w:b/>
          <w:sz w:val="21"/>
          <w:szCs w:val="21"/>
        </w:rPr>
        <w:t>（一）投标文件的形式</w:t>
      </w:r>
      <w:r>
        <w:rPr>
          <w:rFonts w:hint="eastAsia" w:hAnsi="宋体" w:cs="宋体"/>
          <w:b/>
          <w:sz w:val="21"/>
          <w:szCs w:val="21"/>
        </w:rPr>
        <w:tab/>
      </w:r>
    </w:p>
    <w:p w14:paraId="1CA9ED29">
      <w:pPr>
        <w:snapToGrid w:val="0"/>
        <w:spacing w:line="500" w:lineRule="exact"/>
        <w:ind w:firstLine="422" w:firstLineChars="200"/>
        <w:rPr>
          <w:rFonts w:hAnsi="宋体" w:cs="宋体"/>
          <w:b/>
          <w:sz w:val="21"/>
          <w:szCs w:val="21"/>
        </w:rPr>
      </w:pPr>
      <w:r>
        <w:rPr>
          <w:rFonts w:hint="eastAsia" w:hAnsi="宋体" w:cs="宋体"/>
          <w:b/>
          <w:sz w:val="21"/>
          <w:szCs w:val="21"/>
        </w:rPr>
        <w:t>1.投标文件为电子投标文件。</w:t>
      </w:r>
    </w:p>
    <w:p w14:paraId="0565F475">
      <w:pPr>
        <w:wordWrap w:val="0"/>
        <w:topLinePunct/>
        <w:autoSpaceDE/>
        <w:autoSpaceDN/>
        <w:snapToGrid w:val="0"/>
        <w:spacing w:line="500" w:lineRule="exact"/>
        <w:ind w:firstLine="422" w:firstLineChars="200"/>
        <w:rPr>
          <w:rFonts w:hAnsi="宋体" w:cs="宋体"/>
          <w:b/>
          <w:sz w:val="21"/>
          <w:szCs w:val="21"/>
        </w:rPr>
      </w:pPr>
      <w:r>
        <w:rPr>
          <w:rFonts w:hint="eastAsia" w:hAnsi="宋体" w:cs="宋体"/>
          <w:b/>
          <w:sz w:val="21"/>
          <w:szCs w:val="21"/>
        </w:rPr>
        <w:t>1.1电子投标文件：电子投标文件按政采云平台供应商项目采购－电子交易操作指南（</w:t>
      </w:r>
      <w:r>
        <w:rPr>
          <w:rFonts w:hint="eastAsia" w:hAnsi="宋体" w:cs="宋体"/>
          <w:sz w:val="21"/>
          <w:szCs w:val="21"/>
          <w:shd w:val="clear" w:color="auto" w:fill="FFFFFF"/>
        </w:rPr>
        <w:t>https://edu.zcygov.cn/luban/e-biding?utm=a0004.2ef5001f.0001.0109.da8b35e0da8611e98d8937b7ef8a3544</w:t>
      </w:r>
      <w:r>
        <w:rPr>
          <w:rFonts w:hint="eastAsia" w:hAnsi="宋体" w:cs="宋体"/>
          <w:b/>
          <w:sz w:val="21"/>
          <w:szCs w:val="21"/>
        </w:rPr>
        <w:t>）及本招标文件要求制作、加密并递交；</w:t>
      </w:r>
    </w:p>
    <w:p w14:paraId="225D84BD">
      <w:pPr>
        <w:snapToGrid w:val="0"/>
        <w:spacing w:line="500" w:lineRule="exact"/>
        <w:ind w:firstLine="422" w:firstLineChars="200"/>
        <w:rPr>
          <w:rFonts w:hAnsi="宋体" w:cs="宋体"/>
          <w:b/>
          <w:sz w:val="21"/>
          <w:szCs w:val="21"/>
        </w:rPr>
      </w:pPr>
      <w:r>
        <w:rPr>
          <w:rFonts w:hint="eastAsia" w:hAnsi="宋体" w:cs="宋体"/>
          <w:b/>
          <w:sz w:val="21"/>
          <w:szCs w:val="21"/>
        </w:rPr>
        <w:t>（二）投标文件的组成</w:t>
      </w:r>
    </w:p>
    <w:p w14:paraId="6A83AE51">
      <w:pPr>
        <w:snapToGrid w:val="0"/>
        <w:spacing w:line="500" w:lineRule="exact"/>
        <w:ind w:firstLine="420" w:firstLineChars="200"/>
        <w:rPr>
          <w:rFonts w:hAnsi="宋体" w:cs="宋体"/>
          <w:sz w:val="21"/>
          <w:szCs w:val="21"/>
        </w:rPr>
      </w:pPr>
      <w:r>
        <w:rPr>
          <w:rFonts w:hint="eastAsia" w:hAnsi="宋体" w:cs="宋体"/>
          <w:bCs/>
          <w:sz w:val="21"/>
          <w:szCs w:val="21"/>
        </w:rPr>
        <w:t>★</w:t>
      </w:r>
      <w:r>
        <w:rPr>
          <w:rFonts w:hint="eastAsia" w:hAnsi="宋体" w:cs="宋体"/>
          <w:b/>
          <w:sz w:val="21"/>
          <w:szCs w:val="21"/>
        </w:rPr>
        <w:t>投标文件（电子投标文件）由资格文件、商务技术文件、报价文件三部分组成。本项目投标价格的信息只允许出现在“报价文件”中，不得出现在资格文件、商务技术文件中。</w:t>
      </w:r>
    </w:p>
    <w:p w14:paraId="38605604">
      <w:pPr>
        <w:snapToGrid w:val="0"/>
        <w:spacing w:line="500" w:lineRule="exact"/>
        <w:ind w:firstLine="422" w:firstLineChars="200"/>
        <w:textAlignment w:val="bottom"/>
        <w:rPr>
          <w:rFonts w:hAnsi="宋体" w:cs="宋体"/>
          <w:b/>
          <w:sz w:val="21"/>
          <w:szCs w:val="21"/>
        </w:rPr>
      </w:pPr>
      <w:r>
        <w:rPr>
          <w:rFonts w:hint="eastAsia" w:hAnsi="宋体" w:cs="宋体"/>
          <w:b/>
          <w:sz w:val="21"/>
          <w:szCs w:val="21"/>
        </w:rPr>
        <w:t>1.资格文件部分</w:t>
      </w:r>
    </w:p>
    <w:p w14:paraId="4F63E7E2">
      <w:pPr>
        <w:autoSpaceDE/>
        <w:autoSpaceDN/>
        <w:adjustRightInd/>
        <w:spacing w:line="500" w:lineRule="exact"/>
        <w:ind w:firstLine="420" w:firstLineChars="200"/>
        <w:rPr>
          <w:rFonts w:hAnsi="宋体" w:cs="宋体"/>
          <w:sz w:val="21"/>
          <w:szCs w:val="21"/>
        </w:rPr>
      </w:pPr>
      <w:r>
        <w:rPr>
          <w:rFonts w:hint="eastAsia" w:hAnsi="宋体" w:cs="宋体"/>
          <w:sz w:val="21"/>
          <w:szCs w:val="21"/>
        </w:rPr>
        <w:t>（1）有效期内的营业执照副本扫描件或复印件；</w:t>
      </w:r>
    </w:p>
    <w:p w14:paraId="7563F038">
      <w:pPr>
        <w:widowControl/>
        <w:autoSpaceDE/>
        <w:autoSpaceDN/>
        <w:adjustRightInd/>
        <w:spacing w:line="500" w:lineRule="exact"/>
        <w:ind w:firstLine="420" w:firstLineChars="200"/>
        <w:rPr>
          <w:rFonts w:hAnsi="宋体" w:cs="宋体"/>
          <w:sz w:val="21"/>
          <w:szCs w:val="21"/>
        </w:rPr>
      </w:pPr>
      <w:r>
        <w:rPr>
          <w:rFonts w:hint="eastAsia" w:hAnsi="宋体" w:cs="宋体"/>
          <w:sz w:val="21"/>
          <w:szCs w:val="21"/>
        </w:rPr>
        <w:t>（2）符合参加政府采购活动应当具备的一般条件的承诺函（格式见附件）。</w:t>
      </w:r>
    </w:p>
    <w:p w14:paraId="4E6CBAB2">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2.</w:t>
      </w:r>
      <w:r>
        <w:rPr>
          <w:rFonts w:hint="eastAsia" w:hAnsi="宋体" w:cs="宋体"/>
          <w:b/>
          <w:bCs/>
          <w:sz w:val="21"/>
          <w:szCs w:val="21"/>
        </w:rPr>
        <w:t>商务技术文件</w:t>
      </w:r>
    </w:p>
    <w:p w14:paraId="0889BC08">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（1）投标人技术商务标自评得分汇总表（格式内容参照技术商务评分表，格式见附件）；</w:t>
      </w:r>
    </w:p>
    <w:p w14:paraId="11608A3C">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（2）投标人情况表（格式见附件）；</w:t>
      </w:r>
    </w:p>
    <w:p w14:paraId="16DED99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（3）法定代表人资格证明书及法定代表人授权委托书 （由法定代表人直接参加投标并对相应文件签署的，只需提供前者 ）；</w:t>
      </w:r>
    </w:p>
    <w:p w14:paraId="76FD4D8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（4）2022年1月1日以来同类案例成功的业绩（投标人同类项目实施情况一览表、合同复印件等）；</w:t>
      </w:r>
    </w:p>
    <w:p w14:paraId="6BDFF640">
      <w:pPr>
        <w:spacing w:line="500" w:lineRule="exact"/>
        <w:ind w:firstLine="420" w:firstLineChars="200"/>
        <w:rPr>
          <w:rFonts w:hAnsi="宋体" w:cs="宋体"/>
          <w:sz w:val="21"/>
          <w:szCs w:val="21"/>
        </w:rPr>
      </w:pPr>
      <w:r>
        <w:rPr>
          <w:rFonts w:hint="eastAsia" w:hAnsi="宋体" w:cs="宋体"/>
          <w:sz w:val="21"/>
          <w:szCs w:val="21"/>
        </w:rPr>
        <w:t>（5）服务要求响应表（格式见附件）；</w:t>
      </w:r>
    </w:p>
    <w:p w14:paraId="47DF9A98">
      <w:pPr>
        <w:snapToGrid w:val="0"/>
        <w:spacing w:line="500" w:lineRule="exact"/>
        <w:ind w:firstLine="420" w:firstLineChars="200"/>
        <w:rPr>
          <w:rFonts w:hAnsi="宋体" w:cs="宋体"/>
          <w:sz w:val="21"/>
          <w:szCs w:val="21"/>
        </w:rPr>
      </w:pPr>
      <w:r>
        <w:rPr>
          <w:rFonts w:hint="eastAsia" w:hAnsi="宋体" w:cs="宋体"/>
          <w:sz w:val="21"/>
          <w:szCs w:val="21"/>
        </w:rPr>
        <w:t>（6）对本项目总体要求的理解。包括：功能说明、性能指标及产品选型说明（质量、性能等方面进行比较和选择的理由及过程）</w:t>
      </w:r>
      <w:r>
        <w:rPr>
          <w:rFonts w:hint="eastAsia" w:hAnsi="宋体" w:cs="宋体"/>
          <w:sz w:val="21"/>
          <w:szCs w:val="21"/>
          <w:lang w:bidi="ar"/>
        </w:rPr>
        <w:t>。</w:t>
      </w:r>
    </w:p>
    <w:p w14:paraId="19E57905">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（7）产品配置清单（格式见附件）；</w:t>
      </w:r>
    </w:p>
    <w:p w14:paraId="543F58B2">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（8）技术响应表（格式见附件）；</w:t>
      </w:r>
    </w:p>
    <w:p w14:paraId="45DBC979">
      <w:pPr>
        <w:autoSpaceDE/>
        <w:autoSpaceDN/>
        <w:adjustRightInd/>
        <w:spacing w:line="500" w:lineRule="exact"/>
        <w:ind w:firstLine="420" w:firstLineChars="200"/>
        <w:rPr>
          <w:rFonts w:hAnsi="宋体" w:cs="宋体"/>
          <w:sz w:val="21"/>
          <w:szCs w:val="21"/>
        </w:rPr>
      </w:pPr>
      <w:r>
        <w:rPr>
          <w:rFonts w:hint="eastAsia" w:hAnsi="宋体" w:cs="宋体"/>
          <w:sz w:val="21"/>
          <w:szCs w:val="21"/>
        </w:rPr>
        <w:t>（9）投标人的调试、安装施工方案，以及质量</w:t>
      </w:r>
      <w:r>
        <w:rPr>
          <w:rFonts w:hint="eastAsia" w:hAnsi="宋体" w:cs="宋体"/>
          <w:sz w:val="21"/>
          <w:szCs w:val="21"/>
          <w:lang w:bidi="ar"/>
        </w:rPr>
        <w:t>与工期保障措施；</w:t>
      </w:r>
    </w:p>
    <w:p w14:paraId="2DA0499B">
      <w:pPr>
        <w:snapToGrid w:val="0"/>
        <w:spacing w:line="500" w:lineRule="exact"/>
        <w:ind w:firstLine="420" w:firstLineChars="200"/>
        <w:rPr>
          <w:rFonts w:hAnsi="宋体" w:cs="宋体"/>
          <w:sz w:val="21"/>
          <w:szCs w:val="21"/>
        </w:rPr>
      </w:pPr>
      <w:r>
        <w:rPr>
          <w:rFonts w:hint="eastAsia" w:hAnsi="宋体" w:cs="宋体"/>
          <w:sz w:val="21"/>
          <w:szCs w:val="21"/>
        </w:rPr>
        <w:t xml:space="preserve">（10）优惠条件：供应商承诺给予采购人的各种优惠条件，包括售后服务等方面的优惠； </w:t>
      </w:r>
    </w:p>
    <w:p w14:paraId="23A6721F">
      <w:pPr>
        <w:autoSpaceDE/>
        <w:autoSpaceDN/>
        <w:adjustRightInd/>
        <w:spacing w:line="500" w:lineRule="exact"/>
        <w:ind w:firstLine="420" w:firstLineChars="200"/>
        <w:rPr>
          <w:rFonts w:hAnsi="宋体" w:cs="宋体"/>
          <w:sz w:val="21"/>
          <w:szCs w:val="21"/>
        </w:rPr>
      </w:pPr>
      <w:r>
        <w:rPr>
          <w:rFonts w:hint="eastAsia" w:hAnsi="宋体" w:cs="宋体"/>
          <w:sz w:val="21"/>
          <w:szCs w:val="21"/>
        </w:rPr>
        <w:t>（11）项目验收方案；</w:t>
      </w:r>
    </w:p>
    <w:p w14:paraId="47AE6BBA">
      <w:pPr>
        <w:autoSpaceDE/>
        <w:autoSpaceDN/>
        <w:adjustRightInd/>
        <w:spacing w:line="500" w:lineRule="exact"/>
        <w:ind w:firstLine="420" w:firstLineChars="200"/>
        <w:rPr>
          <w:rFonts w:hAnsi="宋体" w:cs="宋体"/>
          <w:sz w:val="21"/>
          <w:szCs w:val="21"/>
        </w:rPr>
      </w:pPr>
      <w:r>
        <w:rPr>
          <w:rFonts w:hint="eastAsia" w:hAnsi="宋体" w:cs="宋体"/>
          <w:sz w:val="21"/>
          <w:szCs w:val="21"/>
        </w:rPr>
        <w:t>（12）评分规则中涉及的所需提供的资料；</w:t>
      </w:r>
    </w:p>
    <w:p w14:paraId="5E3575FA">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（13）投标人需要说明的其他文件和说明（格式略）。</w:t>
      </w:r>
    </w:p>
    <w:p w14:paraId="4509CF67">
      <w:pPr>
        <w:autoSpaceDE/>
        <w:autoSpaceDN/>
        <w:adjustRightInd/>
        <w:spacing w:line="500" w:lineRule="exact"/>
        <w:ind w:firstLine="420" w:firstLineChars="200"/>
        <w:jc w:val="both"/>
        <w:rPr>
          <w:rFonts w:hAnsi="宋体" w:cs="宋体"/>
          <w:b/>
          <w:sz w:val="21"/>
          <w:szCs w:val="21"/>
        </w:rPr>
      </w:pPr>
      <w:r>
        <w:rPr>
          <w:rFonts w:hint="eastAsia" w:hAnsi="宋体" w:cs="宋体"/>
          <w:bCs/>
          <w:sz w:val="21"/>
          <w:szCs w:val="21"/>
        </w:rPr>
        <w:t>★</w:t>
      </w:r>
      <w:r>
        <w:rPr>
          <w:rFonts w:hint="eastAsia" w:hAnsi="宋体" w:cs="宋体"/>
          <w:b/>
          <w:sz w:val="21"/>
          <w:szCs w:val="21"/>
        </w:rPr>
        <w:t>注：</w:t>
      </w:r>
      <w:r>
        <w:rPr>
          <w:rFonts w:hint="eastAsia" w:hAnsi="宋体" w:cs="宋体"/>
          <w:b/>
          <w:bCs/>
          <w:sz w:val="21"/>
          <w:szCs w:val="21"/>
        </w:rPr>
        <w:t>商务技术标</w:t>
      </w:r>
      <w:r>
        <w:rPr>
          <w:rFonts w:hint="eastAsia" w:hAnsi="宋体" w:cs="宋体"/>
          <w:b/>
          <w:sz w:val="21"/>
          <w:szCs w:val="21"/>
        </w:rPr>
        <w:t>中不得含有报价的信息，否则按投标无效处理。</w:t>
      </w:r>
    </w:p>
    <w:p w14:paraId="749EF3DD">
      <w:pPr>
        <w:snapToGrid w:val="0"/>
        <w:spacing w:line="500" w:lineRule="exact"/>
        <w:ind w:firstLine="422" w:firstLineChars="200"/>
        <w:rPr>
          <w:rFonts w:hAnsi="宋体" w:cs="宋体"/>
          <w:b/>
          <w:sz w:val="21"/>
          <w:szCs w:val="21"/>
        </w:rPr>
      </w:pPr>
      <w:r>
        <w:rPr>
          <w:rFonts w:hint="eastAsia" w:hAnsi="宋体" w:cs="宋体"/>
          <w:b/>
          <w:sz w:val="21"/>
          <w:szCs w:val="21"/>
        </w:rPr>
        <w:t>3.报价文件</w:t>
      </w:r>
    </w:p>
    <w:p w14:paraId="01AA37A0">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（1）投标函（格式见附件）；</w:t>
      </w:r>
    </w:p>
    <w:p w14:paraId="6C61577A">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（2）开标（报价）一览表；</w:t>
      </w:r>
    </w:p>
    <w:p w14:paraId="573B4FE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（3）《中小企业声明函》（如有）；（本项目采购标的对应的中小企业划分标准所属行业为“工业”；格式见附件，如未提供的，评审时不给予政策性价格扣除）；</w:t>
      </w:r>
    </w:p>
    <w:p w14:paraId="39D23885">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（4）投标报价明细表（格式见附件）；</w:t>
      </w:r>
    </w:p>
    <w:p w14:paraId="34CE712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（5）投标人针对报价需要说明的其他文件和说明（格式自拟）。</w:t>
      </w:r>
    </w:p>
    <w:p w14:paraId="3B26560C">
      <w:pPr>
        <w:autoSpaceDE/>
        <w:autoSpaceDN/>
        <w:spacing w:line="500" w:lineRule="exact"/>
        <w:ind w:firstLine="420" w:firstLineChars="200"/>
        <w:rPr>
          <w:rFonts w:hAnsi="宋体" w:cs="宋体"/>
          <w:sz w:val="21"/>
          <w:szCs w:val="21"/>
        </w:rPr>
      </w:pPr>
      <w:r>
        <w:rPr>
          <w:rFonts w:hint="eastAsia" w:hAnsi="宋体" w:cs="宋体"/>
          <w:sz w:val="21"/>
          <w:szCs w:val="21"/>
        </w:rPr>
        <w:t>备注：投标人必须按后附表规定的格式完整、清晰、正确的填写，开标（报价）一览表中不得填报有选择性的报价方案。</w:t>
      </w:r>
    </w:p>
    <w:p w14:paraId="45A9284A">
      <w:pPr>
        <w:autoSpaceDE/>
        <w:autoSpaceDN/>
        <w:adjustRightInd/>
        <w:spacing w:line="500" w:lineRule="exact"/>
        <w:ind w:firstLine="422" w:firstLineChars="200"/>
        <w:jc w:val="both"/>
        <w:rPr>
          <w:rFonts w:hAnsi="宋体" w:cs="宋体"/>
          <w:b/>
          <w:sz w:val="21"/>
          <w:szCs w:val="21"/>
          <w:highlight w:val="none"/>
        </w:rPr>
      </w:pPr>
      <w:r>
        <w:rPr>
          <w:rFonts w:hint="eastAsia" w:hAnsi="宋体" w:cs="宋体"/>
          <w:b/>
          <w:sz w:val="21"/>
          <w:szCs w:val="21"/>
          <w:highlight w:val="none"/>
        </w:rPr>
        <w:t>4.“演示U盘”</w:t>
      </w:r>
    </w:p>
    <w:p w14:paraId="66B1FE30">
      <w:pPr>
        <w:autoSpaceDE/>
        <w:autoSpaceDN/>
        <w:adjustRightInd/>
        <w:spacing w:line="500" w:lineRule="exact"/>
        <w:ind w:firstLine="422" w:firstLineChars="200"/>
        <w:jc w:val="both"/>
        <w:rPr>
          <w:rFonts w:hAnsi="宋体" w:cs="宋体"/>
          <w:b/>
          <w:bCs/>
          <w:sz w:val="21"/>
          <w:szCs w:val="21"/>
          <w:highlight w:val="none"/>
        </w:rPr>
      </w:pPr>
      <w:r>
        <w:rPr>
          <w:rFonts w:hint="eastAsia" w:hAnsi="宋体" w:cs="Arial"/>
          <w:b/>
          <w:bCs/>
          <w:sz w:val="21"/>
          <w:szCs w:val="21"/>
          <w:highlight w:val="none"/>
        </w:rPr>
        <w:t>本项目提供演示视频，演示视频通过U盘或者光盘存储，开标截止前一天单独密封邮寄至</w:t>
      </w:r>
      <w:r>
        <w:rPr>
          <w:rFonts w:hint="eastAsia" w:hAnsi="宋体" w:cs="Arial"/>
          <w:b/>
          <w:bCs/>
          <w:sz w:val="21"/>
          <w:szCs w:val="21"/>
          <w:highlight w:val="none"/>
          <w:lang w:eastAsia="zh-CN"/>
        </w:rPr>
        <w:t>金华市天盈招标代理有限公司</w:t>
      </w:r>
      <w:r>
        <w:rPr>
          <w:rFonts w:hint="eastAsia" w:hAnsi="宋体" w:cs="Arial"/>
          <w:b/>
          <w:bCs/>
          <w:sz w:val="21"/>
          <w:szCs w:val="21"/>
          <w:highlight w:val="none"/>
        </w:rPr>
        <w:t>或者开标截止前送至开标现场。</w:t>
      </w:r>
    </w:p>
    <w:p w14:paraId="05EAF2AD">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（三）投标文件的语言及计量</w:t>
      </w:r>
    </w:p>
    <w:p w14:paraId="589FEBC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1.投标文件以及投标方与招标方就有关投标事宜的所有来往函电，均应以中文汉语书写。除签名、盖章、专用名称等特殊情形外，以中文汉语以外的文字表述的投标文件视同未提供。</w:t>
      </w:r>
    </w:p>
    <w:p w14:paraId="5EFCEBC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2.投标计量单位，招标文件已有明确规定的，使用招标文件规定的计量单位。招标文件没有规定的，应采用中华人民共和国法定计量单位（货币单位：人民币元），否则视同未响应。</w:t>
      </w:r>
    </w:p>
    <w:p w14:paraId="37CE4449">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（四）投标报价</w:t>
      </w:r>
    </w:p>
    <w:p w14:paraId="74B74AD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1.投标报价应按招标文件中相关附表格式填写。</w:t>
      </w:r>
    </w:p>
    <w:p w14:paraId="3ACAD2CD">
      <w:pPr>
        <w:autoSpaceDE/>
        <w:autoSpaceDN/>
        <w:adjustRightInd/>
        <w:spacing w:line="500" w:lineRule="exact"/>
        <w:ind w:firstLine="420" w:firstLineChars="200"/>
        <w:jc w:val="both"/>
        <w:rPr>
          <w:rFonts w:hAnsi="宋体" w:cs="宋体"/>
          <w:bCs/>
          <w:sz w:val="21"/>
          <w:szCs w:val="21"/>
        </w:rPr>
      </w:pPr>
      <w:r>
        <w:rPr>
          <w:rFonts w:hint="eastAsia" w:hAnsi="宋体" w:cs="宋体"/>
          <w:bCs/>
          <w:sz w:val="21"/>
          <w:szCs w:val="21"/>
        </w:rPr>
        <w:t>★</w:t>
      </w:r>
      <w:r>
        <w:rPr>
          <w:rFonts w:hint="eastAsia" w:hAnsi="宋体" w:cs="宋体"/>
          <w:b/>
          <w:bCs/>
          <w:sz w:val="21"/>
          <w:szCs w:val="21"/>
        </w:rPr>
        <w:t>2.</w:t>
      </w:r>
      <w:r>
        <w:rPr>
          <w:rFonts w:hint="eastAsia"/>
          <w:sz w:val="21"/>
          <w:szCs w:val="21"/>
        </w:rPr>
        <w:t>本项目为“交钥匙”项目，采购内容包括采购清单中货物供货、安装调试、货物验收、培训、质保期内的售后服务等。报价包括货物价款、人工工资、安装材料费、安装调试费、运输费、施工、管理费、企业利润、相关税费、售后服务费、培训费、采购代理费、政策性文件规定及合同包含的所有风险、责任等各项全部费用</w:t>
      </w:r>
      <w:r>
        <w:rPr>
          <w:rFonts w:hint="eastAsia" w:hAnsi="宋体" w:cs="宋体"/>
          <w:bCs/>
          <w:sz w:val="21"/>
          <w:szCs w:val="21"/>
        </w:rPr>
        <w:t>及相关</w:t>
      </w:r>
      <w:r>
        <w:rPr>
          <w:rFonts w:hint="eastAsia" w:hAnsi="宋体" w:cs="宋体"/>
          <w:sz w:val="21"/>
          <w:szCs w:val="21"/>
        </w:rPr>
        <w:t>税金。投标人应参照国家的相应标准，结合自身综合实力、市场行情、本项目具体特点和技术要求自行报价。除政策性文件规定以外，投标人所报价格在合同实施期间不因市场变化因素而变动</w:t>
      </w:r>
      <w:r>
        <w:rPr>
          <w:rFonts w:hint="eastAsia" w:hAnsi="宋体" w:cs="宋体"/>
          <w:bCs/>
          <w:sz w:val="21"/>
          <w:szCs w:val="21"/>
        </w:rPr>
        <w:t>。</w:t>
      </w:r>
    </w:p>
    <w:p w14:paraId="2CA95BC5">
      <w:pPr>
        <w:autoSpaceDE/>
        <w:autoSpaceDN/>
        <w:adjustRightInd/>
        <w:spacing w:line="500" w:lineRule="exact"/>
        <w:ind w:firstLine="420" w:firstLineChars="200"/>
        <w:jc w:val="both"/>
        <w:rPr>
          <w:rFonts w:hAnsi="宋体" w:cs="宋体"/>
          <w:sz w:val="21"/>
          <w:szCs w:val="21"/>
        </w:rPr>
      </w:pPr>
      <w:r>
        <w:rPr>
          <w:rFonts w:hint="eastAsia" w:hAnsi="宋体" w:cs="宋体"/>
          <w:bCs/>
          <w:sz w:val="21"/>
          <w:szCs w:val="21"/>
        </w:rPr>
        <w:t>★</w:t>
      </w:r>
      <w:r>
        <w:rPr>
          <w:rFonts w:hint="eastAsia" w:hAnsi="宋体" w:cs="宋体"/>
          <w:sz w:val="21"/>
          <w:szCs w:val="21"/>
        </w:rPr>
        <w:t>3.投标文件只允许有一个报价，有选择的或有条件的报价将不予接受。</w:t>
      </w:r>
    </w:p>
    <w:p w14:paraId="0A3339B8">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4.</w:t>
      </w:r>
      <w:r>
        <w:rPr>
          <w:rFonts w:hint="eastAsia" w:hAnsi="宋体" w:cs="宋体"/>
          <w:b/>
          <w:bCs/>
          <w:sz w:val="21"/>
          <w:szCs w:val="21"/>
        </w:rPr>
        <w:t>投标人不得进行影响产品（或服务、工程）质量或者诚信履约的恶意报价。投标人</w:t>
      </w:r>
      <w:r>
        <w:rPr>
          <w:rFonts w:hint="eastAsia" w:hAnsi="宋体" w:cs="宋体"/>
          <w:sz w:val="21"/>
          <w:szCs w:val="21"/>
        </w:rPr>
        <w:t>在项目评审前准备好报价核算、报价明细、报价说明等材料，以备评审专家核查</w:t>
      </w:r>
      <w:r>
        <w:rPr>
          <w:rFonts w:hint="eastAsia" w:hAnsi="宋体" w:cs="宋体"/>
          <w:sz w:val="21"/>
          <w:szCs w:val="21"/>
          <w:u w:val="single"/>
        </w:rPr>
        <w:t>。</w:t>
      </w:r>
      <w:r>
        <w:rPr>
          <w:rFonts w:hint="eastAsia" w:hAnsi="宋体" w:cs="宋体"/>
          <w:bCs/>
          <w:sz w:val="21"/>
          <w:szCs w:val="21"/>
          <w:u w:val="single"/>
        </w:rPr>
        <w:t>★</w:t>
      </w:r>
      <w:r>
        <w:rPr>
          <w:rFonts w:hint="eastAsia" w:hAnsi="宋体" w:cs="宋体"/>
          <w:b/>
          <w:bCs/>
          <w:sz w:val="21"/>
          <w:szCs w:val="21"/>
          <w:u w:val="single"/>
        </w:rPr>
        <w:t>本项目约定，投标人报价低于项目预算50%的，应当在报价文件中详细阐述不影响产品（或服务、工程）质量或者诚信履约的具体原因</w:t>
      </w:r>
      <w:r>
        <w:rPr>
          <w:rFonts w:hint="eastAsia" w:hAnsi="宋体" w:cs="宋体"/>
          <w:sz w:val="21"/>
          <w:szCs w:val="21"/>
        </w:rPr>
        <w:t>。</w:t>
      </w:r>
    </w:p>
    <w:p w14:paraId="7B5A8532">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（五）投标文件的有效期</w:t>
      </w:r>
    </w:p>
    <w:p w14:paraId="676AADF4">
      <w:pPr>
        <w:autoSpaceDE/>
        <w:autoSpaceDN/>
        <w:adjustRightInd/>
        <w:spacing w:line="500" w:lineRule="exact"/>
        <w:ind w:firstLine="420" w:firstLineChars="200"/>
        <w:jc w:val="both"/>
        <w:rPr>
          <w:rFonts w:hAnsi="宋体" w:cs="宋体"/>
          <w:sz w:val="21"/>
          <w:szCs w:val="21"/>
        </w:rPr>
      </w:pPr>
      <w:r>
        <w:rPr>
          <w:rFonts w:hint="eastAsia" w:hAnsi="宋体" w:cs="宋体"/>
          <w:bCs/>
          <w:sz w:val="21"/>
          <w:szCs w:val="21"/>
        </w:rPr>
        <w:t>★</w:t>
      </w:r>
      <w:r>
        <w:rPr>
          <w:rFonts w:hint="eastAsia" w:hAnsi="宋体" w:cs="宋体"/>
          <w:sz w:val="21"/>
          <w:szCs w:val="21"/>
        </w:rPr>
        <w:t>1.自投标截止日起90天投标文件应保持有效。有效期不足的投标文件将被拒绝。</w:t>
      </w:r>
    </w:p>
    <w:p w14:paraId="718F66A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2.在特殊情况下，招标人可与投标人协商延长投标书的有效期，这种要求和答复均以书面形式进行。</w:t>
      </w:r>
    </w:p>
    <w:p w14:paraId="21DB8C2B">
      <w:pPr>
        <w:spacing w:line="500" w:lineRule="exact"/>
        <w:ind w:firstLine="420" w:firstLineChars="200"/>
        <w:rPr>
          <w:rFonts w:hAnsi="宋体" w:cs="宋体"/>
        </w:rPr>
      </w:pPr>
      <w:r>
        <w:rPr>
          <w:rFonts w:hint="eastAsia" w:hAnsi="宋体" w:cs="宋体"/>
          <w:sz w:val="21"/>
          <w:szCs w:val="21"/>
        </w:rPr>
        <w:t>3.投标人可拒绝接受延期要求。同意延长有效期的，不能以此为由修改投标文件。</w:t>
      </w:r>
    </w:p>
    <w:p w14:paraId="5409BA0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4.中标人的投标文件自开标之日起至合同履行完毕止均应保持有效。</w:t>
      </w:r>
    </w:p>
    <w:p w14:paraId="1C58E90A">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（六）投标文件的签署和份数</w:t>
      </w:r>
    </w:p>
    <w:p w14:paraId="30D7708C">
      <w:pPr>
        <w:widowControl/>
        <w:snapToGrid w:val="0"/>
        <w:spacing w:line="500" w:lineRule="exact"/>
        <w:ind w:firstLine="420"/>
        <w:rPr>
          <w:rFonts w:hAnsi="宋体" w:cs="宋体"/>
          <w:sz w:val="21"/>
        </w:rPr>
      </w:pPr>
      <w:r>
        <w:rPr>
          <w:rFonts w:hint="eastAsia" w:hAnsi="宋体" w:cs="宋体"/>
          <w:sz w:val="21"/>
          <w:szCs w:val="24"/>
        </w:rPr>
        <w:t>1.</w:t>
      </w:r>
      <w:r>
        <w:rPr>
          <w:rFonts w:hint="eastAsia" w:hAnsi="宋体" w:cs="宋体"/>
          <w:sz w:val="21"/>
        </w:rPr>
        <w:t>电子投标文件部分：</w:t>
      </w:r>
    </w:p>
    <w:p w14:paraId="010F4C65">
      <w:pPr>
        <w:widowControl/>
        <w:snapToGrid w:val="0"/>
        <w:spacing w:line="500" w:lineRule="exact"/>
        <w:ind w:firstLine="420"/>
        <w:rPr>
          <w:rFonts w:hAnsi="宋体" w:cs="宋体"/>
          <w:sz w:val="21"/>
        </w:rPr>
      </w:pPr>
      <w:r>
        <w:rPr>
          <w:rFonts w:hint="eastAsia" w:hAnsi="宋体" w:cs="宋体"/>
          <w:sz w:val="21"/>
        </w:rPr>
        <w:t>投标人应根据“政采云供应商项目采购-电子交易操作指南”及本招标文件规定的格式和顺序编制电子投标文件并进行关联定位。</w:t>
      </w:r>
    </w:p>
    <w:p w14:paraId="2CF96ED3">
      <w:pPr>
        <w:widowControl/>
        <w:autoSpaceDE/>
        <w:autoSpaceDN/>
        <w:adjustRightInd/>
        <w:snapToGrid w:val="0"/>
        <w:spacing w:line="500" w:lineRule="exact"/>
        <w:ind w:firstLine="420" w:firstLineChars="200"/>
        <w:rPr>
          <w:rFonts w:hAnsi="宋体" w:cs="宋体"/>
          <w:sz w:val="21"/>
        </w:rPr>
      </w:pPr>
      <w:r>
        <w:rPr>
          <w:rFonts w:hint="eastAsia" w:hAnsi="宋体" w:cs="宋体"/>
          <w:sz w:val="21"/>
        </w:rPr>
        <w:t>2.投标文件的盖章：投标文件中所涉及的加盖公章均可采用CA电子签章，或投标单位可以线下盖章后扫描上传。</w:t>
      </w:r>
    </w:p>
    <w:p w14:paraId="7FB434D8">
      <w:pPr>
        <w:autoSpaceDE/>
        <w:autoSpaceDN/>
        <w:adjustRightInd/>
        <w:spacing w:line="500" w:lineRule="exact"/>
        <w:ind w:firstLine="420" w:firstLineChars="200"/>
        <w:jc w:val="both"/>
        <w:rPr>
          <w:rFonts w:hAnsi="宋体" w:cs="宋体"/>
          <w:b/>
          <w:sz w:val="21"/>
          <w:szCs w:val="21"/>
        </w:rPr>
      </w:pPr>
      <w:r>
        <w:rPr>
          <w:rFonts w:hint="eastAsia" w:hAnsi="宋体" w:cs="宋体"/>
          <w:sz w:val="21"/>
        </w:rPr>
        <w:t>3.法定代表人或其授权代表签字或盖章：本招标文件所涉及的法定代表人或其授权代表签字或盖章的内容，投标单位可采用法定代表人电子签章，也可以线下签字或盖章后扫描上传。</w:t>
      </w:r>
    </w:p>
    <w:p w14:paraId="1FE3ACA6">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（七）投标文件的包装、递交、修改和撤回</w:t>
      </w:r>
    </w:p>
    <w:p w14:paraId="48A254D5">
      <w:pPr>
        <w:widowControl/>
        <w:autoSpaceDE/>
        <w:autoSpaceDN/>
        <w:adjustRightInd/>
        <w:snapToGrid w:val="0"/>
        <w:spacing w:line="500" w:lineRule="exact"/>
        <w:ind w:firstLine="420"/>
        <w:jc w:val="both"/>
        <w:rPr>
          <w:rFonts w:hAnsi="宋体" w:cs="宋体"/>
          <w:b/>
          <w:bCs/>
          <w:sz w:val="21"/>
          <w:szCs w:val="21"/>
        </w:rPr>
      </w:pPr>
      <w:r>
        <w:rPr>
          <w:rFonts w:hint="eastAsia" w:hAnsi="宋体" w:cs="宋体"/>
          <w:b/>
          <w:bCs/>
          <w:sz w:val="21"/>
          <w:szCs w:val="21"/>
        </w:rPr>
        <w:t>1.投标人应当在投标截止时间前在“政采云”（</w:t>
      </w:r>
      <w:r>
        <w:rPr>
          <w:rFonts w:hint="eastAsia" w:hAnsi="宋体" w:cs="宋体"/>
          <w:sz w:val="21"/>
          <w:szCs w:val="21"/>
          <w:shd w:val="clear" w:color="auto" w:fill="FFFFFF"/>
        </w:rPr>
        <w:t xml:space="preserve"> 电子交易客户端</w:t>
      </w:r>
      <w:r>
        <w:rPr>
          <w:rFonts w:hint="eastAsia" w:hAnsi="宋体" w:cs="宋体"/>
          <w:b/>
          <w:bCs/>
          <w:sz w:val="21"/>
          <w:szCs w:val="21"/>
        </w:rPr>
        <w:t>）上自行上传加密的电子投标文件。</w:t>
      </w:r>
    </w:p>
    <w:p w14:paraId="24E4B541">
      <w:pPr>
        <w:autoSpaceDE/>
        <w:autoSpaceDN/>
        <w:adjustRightInd/>
        <w:spacing w:line="500" w:lineRule="exact"/>
        <w:ind w:firstLine="420" w:firstLineChars="200"/>
        <w:jc w:val="both"/>
        <w:rPr>
          <w:rFonts w:hAnsi="宋体" w:cs="宋体"/>
          <w:sz w:val="21"/>
          <w:szCs w:val="21"/>
        </w:rPr>
      </w:pPr>
      <w:r>
        <w:rPr>
          <w:rFonts w:hint="eastAsia" w:hAnsi="宋体" w:cs="宋体"/>
          <w:bCs/>
          <w:sz w:val="21"/>
          <w:szCs w:val="21"/>
        </w:rPr>
        <w:t>★</w:t>
      </w:r>
      <w:r>
        <w:rPr>
          <w:rFonts w:hint="eastAsia" w:hAnsi="宋体" w:cs="宋体"/>
          <w:sz w:val="21"/>
          <w:szCs w:val="21"/>
        </w:rPr>
        <w:t>2.投标人未在“政采云”（</w:t>
      </w:r>
      <w:r>
        <w:rPr>
          <w:rFonts w:hint="eastAsia" w:hAnsi="宋体" w:cs="宋体"/>
          <w:sz w:val="21"/>
          <w:szCs w:val="21"/>
          <w:shd w:val="clear" w:color="auto" w:fill="FFFFFF"/>
        </w:rPr>
        <w:t xml:space="preserve"> 电子交易客户端</w:t>
      </w:r>
      <w:r>
        <w:rPr>
          <w:rFonts w:hint="eastAsia" w:hAnsi="宋体" w:cs="宋体"/>
          <w:sz w:val="21"/>
          <w:szCs w:val="21"/>
        </w:rPr>
        <w:t>）上自行上传加密的电子投标文件的，投标无效。</w:t>
      </w:r>
    </w:p>
    <w:p w14:paraId="2FAB222D">
      <w:pPr>
        <w:autoSpaceDE/>
        <w:autoSpaceDN/>
        <w:adjustRightInd/>
        <w:spacing w:line="500" w:lineRule="exact"/>
        <w:ind w:firstLine="422" w:firstLineChars="200"/>
        <w:jc w:val="both"/>
        <w:rPr>
          <w:rFonts w:hAnsi="宋体" w:cs="宋体"/>
          <w:b/>
          <w:bCs/>
          <w:sz w:val="21"/>
          <w:szCs w:val="21"/>
        </w:rPr>
      </w:pPr>
      <w:r>
        <w:rPr>
          <w:rFonts w:hint="eastAsia" w:hAnsi="宋体" w:cs="宋体"/>
          <w:b/>
          <w:bCs/>
          <w:sz w:val="21"/>
          <w:szCs w:val="21"/>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C67A74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4.截止开标时间，政采云（</w:t>
      </w:r>
      <w:r>
        <w:rPr>
          <w:rFonts w:hint="eastAsia" w:hAnsi="宋体" w:cs="宋体"/>
          <w:sz w:val="21"/>
          <w:szCs w:val="21"/>
          <w:shd w:val="clear" w:color="auto" w:fill="FFFFFF"/>
        </w:rPr>
        <w:t>电子交易客户端</w:t>
      </w:r>
      <w:r>
        <w:rPr>
          <w:rFonts w:hint="eastAsia" w:hAnsi="宋体" w:cs="宋体"/>
          <w:sz w:val="21"/>
          <w:szCs w:val="21"/>
        </w:rPr>
        <w:t>）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5F2EDA38">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（八）投标无效的情形</w:t>
      </w:r>
    </w:p>
    <w:p w14:paraId="7CDF9DF5">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D9E4BE4">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1.在符合性审查和商务评审时，如发现下列情形之一的，投标文件将被视为无效：</w:t>
      </w:r>
    </w:p>
    <w:p w14:paraId="5C084143">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（1）资格证明文件不全的，或者不符合招标文件标明的资格要求的；</w:t>
      </w:r>
    </w:p>
    <w:p w14:paraId="16B4ED3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（2）投标文件无法定代表人或其授权代表签字，或未提供法定代表人授权委托书或者填写项目不齐全的；</w:t>
      </w:r>
    </w:p>
    <w:p w14:paraId="2DB6B271">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（3）投标代表人未能出具身份证明或与法定代表人授权委托人身份不符的；</w:t>
      </w:r>
    </w:p>
    <w:p w14:paraId="18492AE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（4）投标文件格式不规范、项目不齐全或者内容虚假的；</w:t>
      </w:r>
    </w:p>
    <w:p w14:paraId="14C9F66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（5）投标文件的实质性内容未使用中文表述、意思表述不明确、前后矛盾或者使用计量单位不符合招标文件要求的（经评标委员会认定并允许其当场更正的笔误除外）；</w:t>
      </w:r>
    </w:p>
    <w:p w14:paraId="1311FBC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（6）</w:t>
      </w:r>
      <w:r>
        <w:rPr>
          <w:rFonts w:hint="eastAsia" w:hAnsi="宋体" w:cs="宋体"/>
          <w:sz w:val="21"/>
        </w:rPr>
        <w:t>投标有效期、服务时间、付款方式等商务条款不能满足招标文件要求的</w:t>
      </w:r>
      <w:r>
        <w:rPr>
          <w:rFonts w:hint="eastAsia" w:hAnsi="宋体" w:cs="宋体"/>
          <w:sz w:val="21"/>
          <w:szCs w:val="21"/>
        </w:rPr>
        <w:t>；</w:t>
      </w:r>
    </w:p>
    <w:p w14:paraId="57ECFE0C">
      <w:pPr>
        <w:widowControl/>
        <w:snapToGrid w:val="0"/>
        <w:spacing w:line="500" w:lineRule="exact"/>
        <w:ind w:firstLine="420"/>
        <w:rPr>
          <w:rFonts w:hAnsi="宋体" w:cs="宋体"/>
          <w:sz w:val="21"/>
        </w:rPr>
      </w:pPr>
      <w:r>
        <w:rPr>
          <w:rFonts w:hint="eastAsia" w:hAnsi="宋体" w:cs="宋体"/>
          <w:sz w:val="21"/>
        </w:rPr>
        <w:t>（7）电子投标文件解密失败的；</w:t>
      </w:r>
    </w:p>
    <w:p w14:paraId="4A615E8C">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（8）未实质性响应招标文件要求或者投标文件有招标方不能接受的附加条件的。</w:t>
      </w:r>
    </w:p>
    <w:p w14:paraId="6E638C8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2.在技术评审时，如发现下列情形之一的，投标文件将被视为无效：</w:t>
      </w:r>
    </w:p>
    <w:p w14:paraId="04DF44D0">
      <w:pPr>
        <w:autoSpaceDE/>
        <w:autoSpaceDN/>
        <w:adjustRightInd/>
        <w:spacing w:line="500" w:lineRule="exact"/>
        <w:ind w:firstLine="315" w:firstLineChars="150"/>
        <w:jc w:val="both"/>
        <w:rPr>
          <w:rFonts w:hAnsi="宋体" w:cs="宋体"/>
          <w:sz w:val="21"/>
          <w:szCs w:val="21"/>
        </w:rPr>
      </w:pPr>
      <w:r>
        <w:rPr>
          <w:rFonts w:hint="eastAsia" w:hAnsi="宋体" w:cs="宋体"/>
          <w:sz w:val="21"/>
          <w:szCs w:val="21"/>
        </w:rPr>
        <w:t>（1）不符合法律、法规和招标文件中规定的其他实质性要求的（评标委员会一致认定）的；</w:t>
      </w:r>
    </w:p>
    <w:p w14:paraId="38F0685D">
      <w:pPr>
        <w:autoSpaceDE/>
        <w:autoSpaceDN/>
        <w:adjustRightInd/>
        <w:spacing w:line="500" w:lineRule="exact"/>
        <w:ind w:firstLine="315" w:firstLineChars="150"/>
        <w:jc w:val="both"/>
        <w:rPr>
          <w:rFonts w:hAnsi="宋体" w:cs="宋体"/>
          <w:sz w:val="21"/>
          <w:szCs w:val="21"/>
        </w:rPr>
      </w:pPr>
      <w:r>
        <w:rPr>
          <w:rFonts w:hint="eastAsia" w:hAnsi="宋体" w:cs="宋体"/>
          <w:sz w:val="21"/>
          <w:szCs w:val="21"/>
        </w:rPr>
        <w:t>（2）未提供或未如实提供供应货物的技术参数，或者投标文件标明的响应或偏离与事实不符或虚假响应的；</w:t>
      </w:r>
    </w:p>
    <w:p w14:paraId="773986A0">
      <w:pPr>
        <w:autoSpaceDE/>
        <w:autoSpaceDN/>
        <w:adjustRightInd/>
        <w:spacing w:line="500" w:lineRule="exact"/>
        <w:ind w:firstLine="315" w:firstLineChars="150"/>
        <w:jc w:val="both"/>
        <w:rPr>
          <w:rFonts w:hAnsi="宋体" w:cs="宋体"/>
          <w:sz w:val="21"/>
          <w:szCs w:val="21"/>
        </w:rPr>
      </w:pPr>
      <w:r>
        <w:rPr>
          <w:rFonts w:hint="eastAsia" w:hAnsi="宋体" w:cs="宋体"/>
          <w:sz w:val="21"/>
          <w:szCs w:val="21"/>
        </w:rPr>
        <w:t>（3）明显不符合招标文件要求的技术指标、主要功能项目、质量标准，或者与采购文件中“★”的技术指标、主要功能项目发生实质性偏离的；</w:t>
      </w:r>
    </w:p>
    <w:p w14:paraId="00DEB7E0">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（4）投标技术方案不明确，存在一个或一个以上备选（替代）投标方案的</w:t>
      </w:r>
    </w:p>
    <w:p w14:paraId="25EFFE4A">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（5）与其他参加本次投标供应商的投标文件（技术文件）的文字表述内容相同连续20行以上或者差错相同2处以上的。</w:t>
      </w:r>
    </w:p>
    <w:p w14:paraId="5E9F10E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3.在报价评审时，如发现下列情形之一的，投标文件将被视为无效：</w:t>
      </w:r>
    </w:p>
    <w:p w14:paraId="19177AA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（1）未采用人民币报价或者未按照招标文件标明的币种报价的；</w:t>
      </w:r>
    </w:p>
    <w:p w14:paraId="0D056F64">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（2）投标报价具有选择性，或者开标价格与投标文件承诺的优惠（折扣）价格不一致的；</w:t>
      </w:r>
    </w:p>
    <w:p w14:paraId="0BD8CFC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（3）投标报价明细表总额与开标（报价）一览表总价不一致，且投标人拒绝按招标文件规定的方式进行错误修正的；</w:t>
      </w:r>
    </w:p>
    <w:p w14:paraId="7F902714">
      <w:pPr>
        <w:spacing w:line="500" w:lineRule="exact"/>
        <w:ind w:firstLine="420" w:firstLineChars="200"/>
        <w:rPr>
          <w:rFonts w:hAnsi="宋体" w:cs="宋体"/>
          <w:sz w:val="21"/>
          <w:szCs w:val="21"/>
        </w:rPr>
      </w:pPr>
      <w:r>
        <w:rPr>
          <w:rFonts w:hint="eastAsia" w:hAnsi="宋体" w:cs="宋体"/>
          <w:sz w:val="21"/>
          <w:szCs w:val="21"/>
        </w:rPr>
        <w:t>（4）投标人的投报报价超过最高限价的；</w:t>
      </w:r>
    </w:p>
    <w:p w14:paraId="49E5F0D9">
      <w:pPr>
        <w:spacing w:line="500" w:lineRule="exact"/>
        <w:ind w:firstLine="420" w:firstLineChars="200"/>
        <w:rPr>
          <w:rFonts w:hAnsi="宋体" w:cs="宋体"/>
          <w:sz w:val="21"/>
          <w:szCs w:val="21"/>
        </w:rPr>
      </w:pPr>
      <w:r>
        <w:rPr>
          <w:rFonts w:hint="eastAsia" w:hAnsi="宋体" w:cs="宋体"/>
          <w:sz w:val="21"/>
          <w:szCs w:val="21"/>
        </w:rPr>
        <w:t>（5）评标委员会一致认为将获得成交候选资格的投标人报价或某些分项报价明显不合理，有降低质量、不能诚信履约的可能，且该投标人未在规定期限内作出解释，或所作解释不合理，经评标委员会取得一致意见后，确定该投标无效的；</w:t>
      </w:r>
    </w:p>
    <w:p w14:paraId="31D698C2">
      <w:pPr>
        <w:autoSpaceDE/>
        <w:autoSpaceDN/>
        <w:adjustRightInd/>
        <w:snapToGrid w:val="0"/>
        <w:spacing w:line="500" w:lineRule="exact"/>
        <w:ind w:firstLine="420"/>
        <w:rPr>
          <w:rFonts w:hAnsi="宋体" w:cs="宋体"/>
          <w:sz w:val="21"/>
          <w:szCs w:val="21"/>
        </w:rPr>
      </w:pPr>
      <w:r>
        <w:rPr>
          <w:rFonts w:hint="eastAsia" w:hAnsi="宋体" w:cs="宋体"/>
          <w:sz w:val="21"/>
        </w:rPr>
        <w:t>（6）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012EDEA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4.有下列情形之一的，其投标无效：</w:t>
      </w:r>
    </w:p>
    <w:p w14:paraId="565AEC70">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（1）不同投标人的投标文件由同一单位或者个人编制（同一IP地址上传投标、响应文件）；</w:t>
      </w:r>
    </w:p>
    <w:p w14:paraId="31FC57C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（2）不同投标人委托同一单位或者个人办理投标事宜；</w:t>
      </w:r>
    </w:p>
    <w:p w14:paraId="5470BC30">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（3）不同投标人的投标文件载明的项目管理成员或者联系人员为同一人；</w:t>
      </w:r>
    </w:p>
    <w:p w14:paraId="1ECD2699">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（4）不同投标人的投标文件异常一致或者投标报价呈规律性差异；</w:t>
      </w:r>
    </w:p>
    <w:p w14:paraId="665A403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（5）不同投标人的投标文件相互混装；</w:t>
      </w:r>
    </w:p>
    <w:p w14:paraId="7FA7890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（6）不同投标人的投标保证金从同一账户转出；(如有)</w:t>
      </w:r>
    </w:p>
    <w:p w14:paraId="0D3F885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5.有下列情形之一且无法合理解释的，其投标无效:</w:t>
      </w:r>
    </w:p>
    <w:p w14:paraId="7969B73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（1）同一IP地址上传投标、响应文件；</w:t>
      </w:r>
    </w:p>
    <w:p w14:paraId="756B830A">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（2）不同投标人的 MAC 地址或硬盘序列号等硬件信息相同；</w:t>
      </w:r>
    </w:p>
    <w:p w14:paraId="2D658F2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（3）上传的电子投标文件若出现使用本项目其他投标供应商的数字证书加密的，或者加盖本项</w:t>
      </w:r>
    </w:p>
    <w:p w14:paraId="72C1CB71">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目其他投标供应商的电子印章的；</w:t>
      </w:r>
    </w:p>
    <w:p w14:paraId="15402FA4">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（4）不同投标人的投标文件的内容存在3处(含)以上错误一致的；</w:t>
      </w:r>
    </w:p>
    <w:p w14:paraId="2BBEF87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（5）对大量技术参数响应负偏离、不提供证明材料或者不积极响应采购文件要求，以促成合格供应商符合法定数量。</w:t>
      </w:r>
    </w:p>
    <w:p w14:paraId="6E9A777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6.被拒绝的投标文件为无效投标文件。</w:t>
      </w:r>
    </w:p>
    <w:p w14:paraId="431D12D1">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四、开标</w:t>
      </w:r>
    </w:p>
    <w:p w14:paraId="5F988D0C">
      <w:pPr>
        <w:autoSpaceDE/>
        <w:autoSpaceDN/>
        <w:adjustRightInd/>
        <w:spacing w:line="500" w:lineRule="exact"/>
        <w:ind w:firstLine="525" w:firstLineChars="250"/>
        <w:jc w:val="both"/>
        <w:rPr>
          <w:rFonts w:hAnsi="宋体" w:cs="宋体"/>
          <w:sz w:val="21"/>
          <w:szCs w:val="21"/>
        </w:rPr>
      </w:pPr>
      <w:r>
        <w:rPr>
          <w:rFonts w:hint="eastAsia" w:hAnsi="宋体" w:cs="宋体"/>
          <w:sz w:val="21"/>
          <w:szCs w:val="21"/>
        </w:rPr>
        <w:t>1.开标会由采购代理机构主持，宣布开标会议开始；</w:t>
      </w:r>
    </w:p>
    <w:p w14:paraId="1883A561">
      <w:pPr>
        <w:autoSpaceDE/>
        <w:autoSpaceDN/>
        <w:adjustRightInd/>
        <w:spacing w:line="500" w:lineRule="exact"/>
        <w:ind w:firstLine="525" w:firstLineChars="250"/>
        <w:jc w:val="both"/>
        <w:rPr>
          <w:rFonts w:hAnsi="宋体" w:cs="宋体"/>
          <w:sz w:val="21"/>
          <w:szCs w:val="21"/>
        </w:rPr>
      </w:pPr>
      <w:r>
        <w:rPr>
          <w:rFonts w:hint="eastAsia" w:hAnsi="宋体" w:cs="宋体"/>
          <w:sz w:val="21"/>
          <w:szCs w:val="21"/>
        </w:rPr>
        <w:t>2.在开标后投标供应商登录“政采云”平台，用“项目采购－开标评标”功能进行解密投标文件。</w:t>
      </w:r>
    </w:p>
    <w:p w14:paraId="143B2A49">
      <w:pPr>
        <w:autoSpaceDE/>
        <w:autoSpaceDN/>
        <w:adjustRightInd/>
        <w:spacing w:line="500" w:lineRule="exact"/>
        <w:ind w:firstLine="525" w:firstLineChars="250"/>
        <w:jc w:val="both"/>
        <w:rPr>
          <w:rFonts w:hAnsi="宋体" w:cs="宋体"/>
          <w:sz w:val="21"/>
          <w:szCs w:val="21"/>
        </w:rPr>
      </w:pPr>
      <w:r>
        <w:rPr>
          <w:rFonts w:hint="eastAsia" w:hAnsi="宋体" w:cs="宋体"/>
          <w:sz w:val="21"/>
          <w:szCs w:val="21"/>
        </w:rPr>
        <w:t>若投标供应商在规定时间内无法解密或解密失败的，视为投标文件撤回。</w:t>
      </w:r>
    </w:p>
    <w:p w14:paraId="7F641744">
      <w:pPr>
        <w:autoSpaceDE/>
        <w:autoSpaceDN/>
        <w:adjustRightInd/>
        <w:spacing w:line="500" w:lineRule="exact"/>
        <w:ind w:firstLine="525" w:firstLineChars="250"/>
        <w:jc w:val="both"/>
        <w:rPr>
          <w:rFonts w:hAnsi="宋体" w:cs="宋体"/>
          <w:sz w:val="21"/>
          <w:szCs w:val="21"/>
        </w:rPr>
      </w:pPr>
      <w:r>
        <w:rPr>
          <w:rFonts w:hint="eastAsia" w:hAnsi="宋体" w:cs="宋体"/>
          <w:sz w:val="21"/>
          <w:szCs w:val="21"/>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6E751D44">
      <w:pPr>
        <w:autoSpaceDE/>
        <w:autoSpaceDN/>
        <w:adjustRightInd/>
        <w:spacing w:line="500" w:lineRule="exact"/>
        <w:ind w:firstLine="525" w:firstLineChars="250"/>
        <w:jc w:val="both"/>
        <w:rPr>
          <w:rFonts w:hAnsi="宋体" w:cs="宋体"/>
          <w:sz w:val="21"/>
          <w:szCs w:val="21"/>
        </w:rPr>
      </w:pPr>
      <w:r>
        <w:rPr>
          <w:rFonts w:hint="eastAsia" w:hAnsi="宋体" w:cs="宋体"/>
          <w:sz w:val="21"/>
          <w:szCs w:val="21"/>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66B68B77">
      <w:pPr>
        <w:autoSpaceDE/>
        <w:autoSpaceDN/>
        <w:adjustRightInd/>
        <w:spacing w:line="500" w:lineRule="exact"/>
        <w:ind w:firstLine="525" w:firstLineChars="250"/>
        <w:jc w:val="both"/>
        <w:rPr>
          <w:rFonts w:hAnsi="宋体" w:cs="宋体"/>
          <w:sz w:val="21"/>
          <w:szCs w:val="21"/>
        </w:rPr>
      </w:pPr>
      <w:r>
        <w:rPr>
          <w:rFonts w:hint="eastAsia" w:hAnsi="宋体" w:cs="宋体"/>
          <w:sz w:val="21"/>
          <w:szCs w:val="21"/>
        </w:rPr>
        <w:t>5.资信商务技术文件评审结果在线公布后，在线开启报价文件，并由评标委员会进行报价评审。</w:t>
      </w:r>
      <w:r>
        <w:rPr>
          <w:rFonts w:hint="eastAsia" w:hAnsi="宋体" w:cs="宋体"/>
          <w:sz w:val="21"/>
        </w:rPr>
        <w:t>投标供应商在线制作投标</w:t>
      </w:r>
      <w:r>
        <w:rPr>
          <w:rFonts w:hint="eastAsia" w:hAnsi="宋体" w:cs="宋体"/>
          <w:bCs/>
          <w:sz w:val="21"/>
          <w:szCs w:val="21"/>
        </w:rPr>
        <w:t>报价</w:t>
      </w:r>
      <w:r>
        <w:rPr>
          <w:rFonts w:hint="eastAsia" w:hAnsi="宋体" w:cs="宋体"/>
          <w:bCs/>
          <w:sz w:val="21"/>
        </w:rPr>
        <w:t>文件中填写的金额与解密后“电子加密投标</w:t>
      </w:r>
      <w:r>
        <w:rPr>
          <w:rFonts w:hint="eastAsia" w:hAnsi="宋体" w:cs="宋体"/>
          <w:bCs/>
          <w:sz w:val="21"/>
          <w:szCs w:val="21"/>
        </w:rPr>
        <w:t>报价</w:t>
      </w:r>
      <w:r>
        <w:rPr>
          <w:rFonts w:hint="eastAsia" w:hAnsi="宋体" w:cs="宋体"/>
          <w:bCs/>
          <w:sz w:val="21"/>
        </w:rPr>
        <w:t>文件”中填写的金额不一致时，以解密后“电子加密投标</w:t>
      </w:r>
      <w:r>
        <w:rPr>
          <w:rFonts w:hint="eastAsia" w:hAnsi="宋体" w:cs="宋体"/>
          <w:bCs/>
          <w:sz w:val="21"/>
          <w:szCs w:val="21"/>
        </w:rPr>
        <w:t>报价</w:t>
      </w:r>
      <w:r>
        <w:rPr>
          <w:rFonts w:hint="eastAsia" w:hAnsi="宋体" w:cs="宋体"/>
          <w:bCs/>
          <w:sz w:val="21"/>
        </w:rPr>
        <w:t>文件”中填写的金额为准，投标供</w:t>
      </w:r>
      <w:r>
        <w:rPr>
          <w:rFonts w:hint="eastAsia" w:hAnsi="宋体" w:cs="宋体"/>
          <w:sz w:val="21"/>
        </w:rPr>
        <w:t>应商拒绝接受此规定的，按无效标处理。</w:t>
      </w:r>
    </w:p>
    <w:p w14:paraId="1DE8A894">
      <w:pPr>
        <w:autoSpaceDE/>
        <w:autoSpaceDN/>
        <w:adjustRightInd/>
        <w:spacing w:line="500" w:lineRule="exact"/>
        <w:ind w:firstLine="525" w:firstLineChars="250"/>
        <w:jc w:val="both"/>
        <w:rPr>
          <w:rFonts w:hAnsi="宋体" w:cs="宋体"/>
          <w:sz w:val="21"/>
          <w:szCs w:val="21"/>
        </w:rPr>
      </w:pPr>
      <w:r>
        <w:rPr>
          <w:rFonts w:hint="eastAsia" w:hAnsi="宋体" w:cs="宋体"/>
          <w:sz w:val="21"/>
          <w:szCs w:val="21"/>
        </w:rPr>
        <w:t>6.综合评审结果在线公布各投标人得分汇总，并在线提交（宣布）中标候选人。</w:t>
      </w:r>
    </w:p>
    <w:p w14:paraId="249F0407">
      <w:pPr>
        <w:autoSpaceDE/>
        <w:autoSpaceDN/>
        <w:adjustRightInd/>
        <w:spacing w:line="500" w:lineRule="exact"/>
        <w:ind w:firstLine="525" w:firstLineChars="250"/>
        <w:jc w:val="both"/>
        <w:rPr>
          <w:rFonts w:hAnsi="宋体" w:cs="宋体"/>
          <w:sz w:val="21"/>
          <w:szCs w:val="21"/>
        </w:rPr>
      </w:pPr>
      <w:r>
        <w:rPr>
          <w:rFonts w:hint="eastAsia" w:hAnsi="宋体" w:cs="宋体"/>
          <w:sz w:val="21"/>
          <w:szCs w:val="21"/>
        </w:rPr>
        <w:t>7.评审结束后，代理机构宣布开标结束，并公布采购结果。</w:t>
      </w:r>
    </w:p>
    <w:p w14:paraId="6469333B">
      <w:pPr>
        <w:autoSpaceDE/>
        <w:autoSpaceDN/>
        <w:adjustRightInd/>
        <w:spacing w:line="500" w:lineRule="exact"/>
        <w:ind w:firstLine="525" w:firstLineChars="250"/>
        <w:jc w:val="both"/>
        <w:rPr>
          <w:rFonts w:hAnsi="宋体" w:cs="宋体"/>
          <w:sz w:val="21"/>
          <w:szCs w:val="21"/>
        </w:rPr>
      </w:pPr>
      <w:r>
        <w:rPr>
          <w:rFonts w:hint="eastAsia" w:hAnsi="宋体" w:cs="宋体"/>
          <w:sz w:val="21"/>
          <w:szCs w:val="21"/>
        </w:rPr>
        <w:t>注：政采云公司如对电子化开标及评审程序有调整的，按调整后的程序操作。</w:t>
      </w:r>
    </w:p>
    <w:p w14:paraId="3CC92442">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五、评标</w:t>
      </w:r>
    </w:p>
    <w:p w14:paraId="0301C204">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（一）组建评标委员会</w:t>
      </w:r>
    </w:p>
    <w:p w14:paraId="4932A441">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11C9E485">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（二）评标的方式</w:t>
      </w:r>
    </w:p>
    <w:p w14:paraId="7EBA5AC9">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本项目采用不公开方式评标，评标的依据为招标文件和投标文件。</w:t>
      </w:r>
    </w:p>
    <w:p w14:paraId="63910D86">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（三）评标程序</w:t>
      </w:r>
    </w:p>
    <w:p w14:paraId="34E91BA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1.形式审查</w:t>
      </w:r>
    </w:p>
    <w:p w14:paraId="783111B5">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招标人代表和代理机构工作人员协助评标委员会对投标人的资格和投标文件的完整性、合法性等进行审查。</w:t>
      </w:r>
    </w:p>
    <w:p w14:paraId="02E9887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2.实质审查与比较</w:t>
      </w:r>
    </w:p>
    <w:p w14:paraId="215412C1">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（1）评标委员会审查投标文件的实质性内容是否符合招标文件的实质性要求。</w:t>
      </w:r>
    </w:p>
    <w:p w14:paraId="55E33E7C">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（2）评标委员会将根据投标人的投标文件进行审查、核对，如有疑问，将对投标人进行询标，投标人要向评标委员会澄清有关问题，并最终以书面形式进行答复。</w:t>
      </w:r>
    </w:p>
    <w:p w14:paraId="3070269C">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投标人代表未到场或者拒绝澄清或者澄清的内容改变了投标文件的实质性内容的，评标委员会有权对该投标文件作出不利于投标人的评判。</w:t>
      </w:r>
    </w:p>
    <w:p w14:paraId="0D289C2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（3）各投标人的技术商务得分为所有评委的有效评分的算术平均数，由指定专人进行计算复核。</w:t>
      </w:r>
    </w:p>
    <w:p w14:paraId="566A41A1">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（4）代理机构工作人员协助评标委员会根据本项目的评分标准计算各投标人的投标报价得分。</w:t>
      </w:r>
    </w:p>
    <w:p w14:paraId="0AC247E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（5）评标委员会完成评标后，评委对各部分得分汇总，计算出本项目最终得分、评标价等。评标委员会按评标原则推荐中标候选人同时起草评标报告。</w:t>
      </w:r>
    </w:p>
    <w:p w14:paraId="73B4851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（四）澄清问题的形式</w:t>
      </w:r>
    </w:p>
    <w:p w14:paraId="3DC8BEA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FC94064">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（五）错误修正</w:t>
      </w:r>
    </w:p>
    <w:p w14:paraId="173C8486">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投标文件如果出现计算或表达上的错误，修正错误的原则如下：</w:t>
      </w:r>
    </w:p>
    <w:p w14:paraId="14BB5194">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1.开标（报价）一览表总价与投标报价明细表汇总数不一致的，以开标（报价）一览表为准；</w:t>
      </w:r>
    </w:p>
    <w:p w14:paraId="24D46C2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2.投标文件的大写金额和小写金额不一致的，以大写金额为准；</w:t>
      </w:r>
    </w:p>
    <w:p w14:paraId="07FACF25">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3.总价金额与按单价汇总金额不一致的，以单价金额计算结果为准；</w:t>
      </w:r>
    </w:p>
    <w:p w14:paraId="66BF3E56">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4.对不同文字文本投标文件的解释发生异议的，以中文文本为准。</w:t>
      </w:r>
    </w:p>
    <w:p w14:paraId="6766C1F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6E179FC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（六）评标原则和评标办法</w:t>
      </w:r>
    </w:p>
    <w:p w14:paraId="6FF2D856">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C3ED360">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2.评标办法。具体评标内容及评分标准等详见《第四章：评标办法及评分标准》。</w:t>
      </w:r>
    </w:p>
    <w:p w14:paraId="6CB8125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（七）评标过程的监控</w:t>
      </w:r>
    </w:p>
    <w:p w14:paraId="4872E0C0">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本项目评标过程实行全程录音、录像监控，投标人在评标过程中所进行的试图影响评标结果的不公正活动，可能导致其投标被拒绝。</w:t>
      </w:r>
    </w:p>
    <w:p w14:paraId="55E72DBB">
      <w:pPr>
        <w:autoSpaceDE/>
        <w:autoSpaceDN/>
        <w:adjustRightInd/>
        <w:spacing w:line="500" w:lineRule="exact"/>
        <w:ind w:firstLine="422" w:firstLineChars="200"/>
        <w:jc w:val="both"/>
        <w:rPr>
          <w:rFonts w:hAnsi="宋体" w:cs="宋体"/>
          <w:b/>
          <w:bCs/>
          <w:sz w:val="21"/>
          <w:szCs w:val="21"/>
        </w:rPr>
      </w:pPr>
      <w:r>
        <w:rPr>
          <w:rFonts w:hint="eastAsia" w:hAnsi="宋体" w:cs="宋体"/>
          <w:b/>
          <w:bCs/>
          <w:sz w:val="21"/>
          <w:szCs w:val="21"/>
        </w:rPr>
        <w:t>（八）中止电子交易活动的情形</w:t>
      </w:r>
    </w:p>
    <w:p w14:paraId="4319DB6C">
      <w:pPr>
        <w:spacing w:line="500" w:lineRule="exact"/>
        <w:ind w:firstLine="420" w:firstLineChars="200"/>
        <w:jc w:val="both"/>
        <w:rPr>
          <w:rFonts w:hAnsi="宋体" w:cs="宋体"/>
          <w:sz w:val="21"/>
          <w:szCs w:val="21"/>
        </w:rPr>
      </w:pPr>
      <w:r>
        <w:rPr>
          <w:rFonts w:hint="eastAsia" w:hAnsi="宋体" w:cs="宋体"/>
          <w:sz w:val="21"/>
          <w:szCs w:val="21"/>
        </w:rPr>
        <w:t>采购过程中出现以下情形，导致电子交易平台无法正常运行，或者无法保证电子交易的公平、公正和安全时，中止电子交易活动：</w:t>
      </w:r>
    </w:p>
    <w:p w14:paraId="4064B903">
      <w:pPr>
        <w:spacing w:line="500" w:lineRule="exact"/>
        <w:ind w:firstLine="420" w:firstLineChars="200"/>
        <w:jc w:val="both"/>
        <w:rPr>
          <w:rFonts w:hAnsi="宋体" w:cs="宋体"/>
          <w:sz w:val="21"/>
          <w:szCs w:val="21"/>
        </w:rPr>
      </w:pPr>
      <w:r>
        <w:rPr>
          <w:rFonts w:hint="eastAsia" w:hAnsi="宋体" w:cs="宋体"/>
          <w:sz w:val="21"/>
          <w:szCs w:val="21"/>
        </w:rPr>
        <w:t>1.电子交易平台发生故障而无法登录访问的；</w:t>
      </w:r>
    </w:p>
    <w:p w14:paraId="78337F78">
      <w:pPr>
        <w:spacing w:line="500" w:lineRule="exact"/>
        <w:ind w:firstLine="420" w:firstLineChars="200"/>
        <w:jc w:val="both"/>
        <w:rPr>
          <w:rFonts w:hAnsi="宋体" w:cs="宋体"/>
          <w:sz w:val="21"/>
          <w:szCs w:val="21"/>
        </w:rPr>
      </w:pPr>
      <w:r>
        <w:rPr>
          <w:rFonts w:hint="eastAsia" w:hAnsi="宋体" w:cs="宋体"/>
          <w:sz w:val="21"/>
          <w:szCs w:val="21"/>
        </w:rPr>
        <w:t>2.电子交易平台应用或数据库出现错误，不能进行正常操作的；</w:t>
      </w:r>
    </w:p>
    <w:p w14:paraId="0ECD4D8A">
      <w:pPr>
        <w:spacing w:line="500" w:lineRule="exact"/>
        <w:ind w:firstLine="420" w:firstLineChars="200"/>
        <w:jc w:val="both"/>
        <w:rPr>
          <w:rFonts w:hAnsi="宋体" w:cs="宋体"/>
          <w:sz w:val="21"/>
          <w:szCs w:val="21"/>
        </w:rPr>
      </w:pPr>
      <w:r>
        <w:rPr>
          <w:rFonts w:hint="eastAsia" w:hAnsi="宋体" w:cs="宋体"/>
          <w:sz w:val="21"/>
          <w:szCs w:val="21"/>
        </w:rPr>
        <w:t>3.电子交易平台发现严重安全漏洞，有潜在泄密危险的；</w:t>
      </w:r>
    </w:p>
    <w:p w14:paraId="4F439691">
      <w:pPr>
        <w:spacing w:line="500" w:lineRule="exact"/>
        <w:ind w:firstLine="420" w:firstLineChars="200"/>
        <w:jc w:val="both"/>
        <w:rPr>
          <w:rFonts w:hAnsi="宋体" w:cs="宋体"/>
          <w:sz w:val="21"/>
          <w:szCs w:val="21"/>
        </w:rPr>
      </w:pPr>
      <w:r>
        <w:rPr>
          <w:rFonts w:hint="eastAsia" w:hAnsi="宋体" w:cs="宋体"/>
          <w:sz w:val="21"/>
          <w:szCs w:val="21"/>
        </w:rPr>
        <w:t>4.病毒发作导致不能进行正常操作的；</w:t>
      </w:r>
    </w:p>
    <w:p w14:paraId="33941316">
      <w:pPr>
        <w:spacing w:line="500" w:lineRule="exact"/>
        <w:ind w:firstLine="420" w:firstLineChars="200"/>
        <w:jc w:val="both"/>
        <w:rPr>
          <w:rFonts w:hAnsi="宋体" w:cs="宋体"/>
          <w:sz w:val="21"/>
          <w:szCs w:val="21"/>
        </w:rPr>
      </w:pPr>
      <w:r>
        <w:rPr>
          <w:rFonts w:hint="eastAsia" w:hAnsi="宋体" w:cs="宋体"/>
          <w:sz w:val="21"/>
          <w:szCs w:val="21"/>
        </w:rPr>
        <w:t>5.其他无法保证电子交易的公平、公正和安全的情况。</w:t>
      </w:r>
    </w:p>
    <w:p w14:paraId="4A63CD6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46BBA7B4">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六、定标</w:t>
      </w:r>
    </w:p>
    <w:p w14:paraId="794DC1A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（一）确定中标人。本项目由招标人（或招标人事先授权评标委员会）确定中标人。</w:t>
      </w:r>
    </w:p>
    <w:p w14:paraId="67762DB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1.采购代理机构在评标结束后2个工作日内将评标报告交招标人确认。</w:t>
      </w:r>
    </w:p>
    <w:p w14:paraId="0B98D72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2.投标人对评标结果无异议的，招标人应在收到评标报告后5个工作日内对评标结果进行确认。如有投标人对评标结果提出质疑的，招标人可在质疑处理完毕后确定中标人。</w:t>
      </w:r>
    </w:p>
    <w:p w14:paraId="1BB8631F">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3.中标结果公示期：1个工作日。</w:t>
      </w:r>
    </w:p>
    <w:p w14:paraId="764D015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4.中标结果公示的同时采购代理机构以书面形式发出《中标通知书》。</w:t>
      </w:r>
    </w:p>
    <w:p w14:paraId="5953AEEF">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七、合同授予</w:t>
      </w:r>
    </w:p>
    <w:p w14:paraId="7AAAF68B">
      <w:pPr>
        <w:pStyle w:val="10"/>
        <w:autoSpaceDE/>
        <w:autoSpaceDN/>
        <w:adjustRightInd w:val="0"/>
        <w:snapToGrid w:val="0"/>
        <w:spacing w:line="500" w:lineRule="exact"/>
        <w:ind w:firstLine="422" w:firstLineChars="200"/>
        <w:rPr>
          <w:rFonts w:ascii="宋体" w:hAnsi="宋体" w:cs="宋体"/>
          <w:b/>
          <w:sz w:val="21"/>
          <w:szCs w:val="21"/>
        </w:rPr>
      </w:pPr>
      <w:r>
        <w:rPr>
          <w:rFonts w:hint="eastAsia" w:ascii="宋体" w:hAnsi="宋体" w:cs="宋体"/>
          <w:b/>
          <w:sz w:val="21"/>
          <w:szCs w:val="21"/>
        </w:rPr>
        <w:t>1.合同的签订</w:t>
      </w:r>
    </w:p>
    <w:p w14:paraId="0EDDA630">
      <w:pPr>
        <w:snapToGrid w:val="0"/>
        <w:spacing w:line="500" w:lineRule="exact"/>
        <w:ind w:firstLine="422" w:firstLineChars="200"/>
        <w:rPr>
          <w:rFonts w:hAnsi="宋体" w:cs="宋体"/>
          <w:b/>
          <w:bCs/>
          <w:sz w:val="21"/>
          <w:szCs w:val="21"/>
        </w:rPr>
      </w:pPr>
      <w:r>
        <w:rPr>
          <w:rFonts w:hint="eastAsia" w:hAnsi="宋体" w:cs="宋体"/>
          <w:b/>
          <w:bCs/>
          <w:sz w:val="21"/>
          <w:szCs w:val="21"/>
        </w:rPr>
        <w:t>1.1根据《浙江省财政厅关于进一步规范政府采购秩序促进公平竞争的通知》（浙财采监〔2025〕2号）及政策解读相关要求，在评审结束后、合同签订前，招标人（采购人）、采购代理机构将对中标供应商在投标文件中涉及客观分评审内容的检测报告、认证证书等资料的真实性进行复核，中标供应商应在合同签订前及时提供相关检测报告、认证证书等资料的原件或查询网站（网址）给招标人（采购人）、采购代理机构进行真实性复核。</w:t>
      </w:r>
    </w:p>
    <w:p w14:paraId="0315AD65">
      <w:pPr>
        <w:snapToGrid w:val="0"/>
        <w:spacing w:line="500" w:lineRule="exact"/>
        <w:ind w:firstLine="422" w:firstLineChars="200"/>
        <w:rPr>
          <w:rFonts w:hAnsi="宋体" w:cs="宋体"/>
          <w:b/>
          <w:bCs/>
          <w:sz w:val="21"/>
          <w:szCs w:val="21"/>
        </w:rPr>
      </w:pPr>
      <w:r>
        <w:rPr>
          <w:rFonts w:hint="eastAsia" w:hAnsi="宋体" w:cs="宋体"/>
          <w:b/>
          <w:sz w:val="21"/>
          <w:szCs w:val="21"/>
        </w:rPr>
        <w:t>1.2除不可抗力等特殊情况外，采购人原则上应当在中标通知书发出之日起20日内，与中标人按照采购文件确定的事项签订政府采购合同，并在签订之日起2个工作日内将政府采购合同在浙江政</w:t>
      </w:r>
      <w:r>
        <w:rPr>
          <w:rFonts w:hint="eastAsia" w:hAnsi="宋体" w:cs="宋体"/>
          <w:b/>
          <w:bCs/>
          <w:sz w:val="21"/>
          <w:szCs w:val="21"/>
        </w:rPr>
        <w:t>府采购网上公告。</w:t>
      </w:r>
    </w:p>
    <w:p w14:paraId="46D2B521">
      <w:pPr>
        <w:snapToGrid w:val="0"/>
        <w:spacing w:line="500" w:lineRule="exact"/>
        <w:ind w:firstLine="420" w:firstLineChars="200"/>
        <w:rPr>
          <w:rFonts w:hAnsi="宋体" w:cs="宋体"/>
          <w:sz w:val="21"/>
          <w:szCs w:val="21"/>
        </w:rPr>
      </w:pPr>
      <w:r>
        <w:rPr>
          <w:rFonts w:hint="eastAsia" w:hAnsi="宋体" w:cs="宋体"/>
          <w:sz w:val="21"/>
          <w:szCs w:val="21"/>
        </w:rPr>
        <w:t>1</w:t>
      </w:r>
      <w:r>
        <w:rPr>
          <w:rFonts w:hint="eastAsia" w:hAnsi="宋体" w:cs="宋体"/>
          <w:sz w:val="21"/>
          <w:szCs w:val="21"/>
          <w:lang w:val="zh-CN"/>
        </w:rPr>
        <w:t>.</w:t>
      </w:r>
      <w:r>
        <w:rPr>
          <w:rFonts w:hint="eastAsia" w:hAnsi="宋体" w:cs="宋体"/>
          <w:sz w:val="21"/>
          <w:szCs w:val="21"/>
        </w:rPr>
        <w:t>3中标</w:t>
      </w:r>
      <w:r>
        <w:rPr>
          <w:rFonts w:hint="eastAsia" w:hAnsi="宋体" w:cs="宋体"/>
          <w:sz w:val="21"/>
          <w:szCs w:val="21"/>
          <w:lang w:val="zh-CN"/>
        </w:rPr>
        <w:t>人按规定的日期、时间、地点，由法定代表人或其授权代表与采购人代表签订合同。如成交人为联合体的，由联合体成员各方法定代表人或其授权代表与采购人代表签订合同。</w:t>
      </w:r>
    </w:p>
    <w:p w14:paraId="381C1A6F">
      <w:pPr>
        <w:snapToGrid w:val="0"/>
        <w:spacing w:line="500" w:lineRule="exact"/>
        <w:ind w:firstLine="420" w:firstLineChars="200"/>
        <w:rPr>
          <w:rFonts w:hAnsi="宋体" w:cs="宋体"/>
          <w:sz w:val="21"/>
          <w:szCs w:val="21"/>
        </w:rPr>
      </w:pPr>
      <w:r>
        <w:rPr>
          <w:rFonts w:hint="eastAsia" w:hAnsi="宋体" w:cs="宋体"/>
          <w:sz w:val="21"/>
          <w:szCs w:val="21"/>
        </w:rPr>
        <w:t>1.4如签订合同并生效后，中标人拖延、拒绝提供资料进行真实性符合复核，或拖延、拒签合同的，除按照合同条款处理外，列入不良行为记录一次，并给予通报。</w:t>
      </w:r>
    </w:p>
    <w:p w14:paraId="23330562">
      <w:pPr>
        <w:snapToGrid w:val="0"/>
        <w:spacing w:line="500" w:lineRule="exact"/>
        <w:ind w:firstLine="420" w:firstLineChars="200"/>
        <w:rPr>
          <w:rFonts w:hAnsi="宋体" w:cs="宋体"/>
          <w:sz w:val="21"/>
          <w:szCs w:val="21"/>
        </w:rPr>
      </w:pPr>
      <w:r>
        <w:rPr>
          <w:rFonts w:hint="eastAsia" w:hAnsi="宋体" w:cs="宋体"/>
          <w:sz w:val="21"/>
          <w:szCs w:val="21"/>
        </w:rPr>
        <w:t>1.5中标人拒绝与采购人签订合同的，采购人可以按照评审报告推荐的中标或者中标候选人名单排序，确定下一候选人为中标人，也可以重新开展政府采购活动。</w:t>
      </w:r>
    </w:p>
    <w:p w14:paraId="58FB462C">
      <w:pPr>
        <w:snapToGrid w:val="0"/>
        <w:spacing w:line="500" w:lineRule="exact"/>
        <w:ind w:firstLine="420" w:firstLineChars="200"/>
        <w:rPr>
          <w:rFonts w:hAnsi="宋体" w:cs="宋体"/>
          <w:sz w:val="21"/>
          <w:szCs w:val="21"/>
        </w:rPr>
      </w:pPr>
      <w:r>
        <w:rPr>
          <w:rFonts w:hint="eastAsia" w:hAnsi="宋体" w:cs="宋体"/>
          <w:sz w:val="21"/>
          <w:szCs w:val="21"/>
        </w:rPr>
        <w:t>1.6采购合同由采购人与中标人根据采购文件、磋商响应文件等内容通过政府采购电子交易平台在线签订，自动备案。</w:t>
      </w:r>
    </w:p>
    <w:p w14:paraId="7F90145E">
      <w:pPr>
        <w:snapToGrid w:val="0"/>
        <w:spacing w:line="500" w:lineRule="exact"/>
        <w:ind w:firstLine="420" w:firstLineChars="200"/>
        <w:rPr>
          <w:rFonts w:hAnsi="宋体" w:cs="宋体"/>
          <w:sz w:val="21"/>
          <w:szCs w:val="21"/>
        </w:rPr>
      </w:pPr>
      <w:r>
        <w:rPr>
          <w:rFonts w:hint="eastAsia" w:hAnsi="宋体" w:cs="宋体"/>
          <w:sz w:val="21"/>
          <w:szCs w:val="21"/>
        </w:rPr>
        <w:t>1.7政府采购货物和服务项目不得收取质量保证金。政府采购工程以及与工程建设有关的货物、服务，采用招标方式采购的，按国家和省有关规定执行。</w:t>
      </w:r>
    </w:p>
    <w:p w14:paraId="1D8C75F2">
      <w:pPr>
        <w:pStyle w:val="10"/>
        <w:autoSpaceDE/>
        <w:autoSpaceDN/>
        <w:snapToGrid w:val="0"/>
        <w:spacing w:line="500" w:lineRule="exact"/>
        <w:ind w:firstLine="422" w:firstLineChars="200"/>
        <w:rPr>
          <w:rFonts w:ascii="宋体" w:hAnsi="宋体" w:cs="宋体"/>
          <w:b/>
          <w:sz w:val="21"/>
          <w:szCs w:val="21"/>
        </w:rPr>
      </w:pPr>
      <w:r>
        <w:rPr>
          <w:rFonts w:hint="eastAsia" w:ascii="宋体" w:hAnsi="宋体" w:cs="宋体"/>
          <w:b/>
          <w:sz w:val="21"/>
          <w:szCs w:val="21"/>
        </w:rPr>
        <w:t>2.预付款</w:t>
      </w:r>
    </w:p>
    <w:p w14:paraId="0191E5A3">
      <w:pPr>
        <w:tabs>
          <w:tab w:val="left" w:pos="0"/>
        </w:tabs>
        <w:autoSpaceDE/>
        <w:autoSpaceDN/>
        <w:snapToGrid w:val="0"/>
        <w:spacing w:line="500" w:lineRule="exact"/>
        <w:ind w:firstLine="482"/>
        <w:rPr>
          <w:rFonts w:hAnsi="宋体" w:cs="宋体"/>
          <w:sz w:val="21"/>
          <w:szCs w:val="21"/>
        </w:rPr>
      </w:pPr>
      <w:r>
        <w:rPr>
          <w:rFonts w:hint="eastAsia" w:hAnsi="宋体" w:cs="宋体"/>
          <w:sz w:val="21"/>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sz w:val="21"/>
          <w:szCs w:val="21"/>
        </w:rPr>
        <w:t>人工投入为主</w:t>
      </w:r>
      <w:r>
        <w:rPr>
          <w:rFonts w:hint="eastAsia" w:hAnsi="宋体" w:cs="宋体"/>
          <w:sz w:val="21"/>
          <w:szCs w:val="21"/>
        </w:rPr>
        <w:t>的，可适当降低预付款比例，但不得低于</w:t>
      </w:r>
      <w:r>
        <w:rPr>
          <w:rFonts w:hint="eastAsia" w:hAnsi="宋体" w:cs="宋体"/>
          <w:b/>
          <w:bCs/>
          <w:sz w:val="21"/>
          <w:szCs w:val="21"/>
        </w:rPr>
        <w:t>30%。</w:t>
      </w:r>
      <w:r>
        <w:rPr>
          <w:rFonts w:hint="eastAsia" w:hAnsi="宋体" w:cs="宋体"/>
          <w:sz w:val="21"/>
          <w:szCs w:val="21"/>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sz w:val="21"/>
          <w:szCs w:val="21"/>
          <w:u w:val="single"/>
        </w:rPr>
        <w:t>合同生效以及具备实施条件后</w:t>
      </w:r>
      <w:r>
        <w:rPr>
          <w:rFonts w:hint="eastAsia" w:hAnsi="宋体" w:cs="宋体"/>
          <w:b/>
          <w:bCs/>
          <w:sz w:val="21"/>
          <w:szCs w:val="21"/>
        </w:rPr>
        <w:t>7个工作日内</w:t>
      </w:r>
      <w:r>
        <w:rPr>
          <w:rFonts w:hint="eastAsia" w:hAnsi="宋体" w:cs="宋体"/>
          <w:sz w:val="21"/>
          <w:szCs w:val="21"/>
        </w:rPr>
        <w:t>支付。政府采购工程以及与工程建设有关的货物、服务，采用招标方式采购的，预付款从其相关规定。</w:t>
      </w:r>
    </w:p>
    <w:p w14:paraId="0E231B30">
      <w:pPr>
        <w:snapToGrid w:val="0"/>
        <w:spacing w:line="500" w:lineRule="exact"/>
        <w:ind w:firstLine="420" w:firstLineChars="200"/>
        <w:rPr>
          <w:rFonts w:hAnsi="宋体" w:cs="宋体"/>
          <w:sz w:val="21"/>
          <w:szCs w:val="21"/>
        </w:rPr>
      </w:pPr>
      <w:r>
        <w:rPr>
          <w:rFonts w:hint="eastAsia"/>
          <w:sz w:val="21"/>
          <w:szCs w:val="21"/>
        </w:rPr>
        <w:t>本项目合同签订且具备实施条件后7个工作日内采购方支付合同金额的40%</w:t>
      </w:r>
      <w:r>
        <w:rPr>
          <w:rFonts w:hint="eastAsia" w:hAnsi="宋体" w:cs="宋体"/>
          <w:sz w:val="21"/>
          <w:szCs w:val="21"/>
        </w:rPr>
        <w:t>作为预付款。如在签订合同时，</w:t>
      </w:r>
      <w:r>
        <w:rPr>
          <w:rFonts w:hint="eastAsia" w:hAnsi="宋体" w:cs="宋体"/>
          <w:bCs/>
          <w:sz w:val="21"/>
          <w:szCs w:val="21"/>
        </w:rPr>
        <w:t>中标人</w:t>
      </w:r>
      <w:r>
        <w:rPr>
          <w:rFonts w:hint="eastAsia" w:hAnsi="宋体" w:cs="宋体"/>
          <w:sz w:val="21"/>
          <w:szCs w:val="21"/>
        </w:rPr>
        <w:t>明确表示无需预付款或者主动要求降低预付款比例的，可降低预付款比例，且须在合同签订前与采购人沟通确定，并提供无需预付款或者降低预付款比例的承诺，双方就此条款可对合同中的支付方式进行调整。</w:t>
      </w:r>
    </w:p>
    <w:p w14:paraId="62664FBF">
      <w:pPr>
        <w:pStyle w:val="10"/>
        <w:autoSpaceDE/>
        <w:autoSpaceDN/>
        <w:snapToGrid w:val="0"/>
        <w:spacing w:line="500" w:lineRule="exact"/>
        <w:ind w:firstLine="422" w:firstLineChars="200"/>
        <w:rPr>
          <w:rFonts w:ascii="宋体" w:hAnsi="宋体" w:cs="宋体"/>
          <w:b/>
          <w:sz w:val="21"/>
          <w:szCs w:val="21"/>
        </w:rPr>
      </w:pPr>
      <w:r>
        <w:rPr>
          <w:rFonts w:hint="eastAsia" w:ascii="宋体" w:hAnsi="宋体" w:cs="宋体"/>
          <w:b/>
          <w:sz w:val="21"/>
          <w:szCs w:val="21"/>
        </w:rPr>
        <w:t>3.资金支付</w:t>
      </w:r>
    </w:p>
    <w:p w14:paraId="65E71542">
      <w:pPr>
        <w:pStyle w:val="10"/>
        <w:spacing w:line="500" w:lineRule="exact"/>
        <w:ind w:firstLine="422" w:firstLineChars="200"/>
        <w:rPr>
          <w:rFonts w:ascii="宋体" w:hAnsi="宋体" w:cs="宋体"/>
          <w:sz w:val="21"/>
          <w:szCs w:val="21"/>
        </w:rPr>
      </w:pPr>
      <w:r>
        <w:rPr>
          <w:rFonts w:hint="eastAsia" w:ascii="宋体" w:hAnsi="宋体" w:cs="宋体"/>
          <w:b/>
          <w:sz w:val="21"/>
          <w:szCs w:val="21"/>
        </w:rPr>
        <w:t>采购单位应当及时</w:t>
      </w:r>
      <w:r>
        <w:rPr>
          <w:rFonts w:hint="eastAsia" w:ascii="宋体" w:hAnsi="宋体" w:cs="宋体"/>
          <w:sz w:val="21"/>
          <w:szCs w:val="21"/>
        </w:rPr>
        <w:t>组织项目验收，</w:t>
      </w:r>
      <w:r>
        <w:rPr>
          <w:rFonts w:hint="eastAsia" w:ascii="宋体" w:hAnsi="宋体" w:cs="宋体"/>
          <w:b/>
          <w:bCs/>
          <w:sz w:val="21"/>
          <w:szCs w:val="21"/>
        </w:rPr>
        <w:t>不得以政府部门审计作为支付供应商款项的条件。</w:t>
      </w:r>
      <w:r>
        <w:rPr>
          <w:rFonts w:hint="eastAsia" w:ascii="宋体" w:hAnsi="宋体" w:cs="宋体"/>
          <w:sz w:val="21"/>
          <w:szCs w:val="21"/>
        </w:rPr>
        <w:t>采购单位对于满足合同约定支付条件的，</w:t>
      </w:r>
      <w:r>
        <w:rPr>
          <w:rFonts w:hint="eastAsia" w:ascii="宋体" w:hAnsi="宋体" w:cs="宋体"/>
          <w:b/>
          <w:bCs/>
          <w:sz w:val="21"/>
          <w:szCs w:val="21"/>
        </w:rPr>
        <w:t>自收到发票后7个工作日内</w:t>
      </w:r>
      <w:r>
        <w:rPr>
          <w:rFonts w:hint="eastAsia" w:ascii="宋体" w:hAnsi="宋体" w:cs="宋体"/>
          <w:sz w:val="21"/>
          <w:szCs w:val="21"/>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5F0C015E">
      <w:pPr>
        <w:autoSpaceDE/>
        <w:autoSpaceDN/>
        <w:snapToGrid w:val="0"/>
        <w:spacing w:line="500" w:lineRule="exact"/>
        <w:ind w:firstLine="420" w:firstLineChars="200"/>
        <w:rPr>
          <w:rFonts w:hAnsi="宋体" w:cs="宋体"/>
          <w:sz w:val="21"/>
          <w:szCs w:val="21"/>
        </w:rPr>
      </w:pPr>
      <w:bookmarkStart w:id="76" w:name="_Toc97649962"/>
      <w:r>
        <w:rPr>
          <w:rFonts w:hint="eastAsia" w:hAnsi="宋体" w:cs="宋体"/>
          <w:sz w:val="21"/>
          <w:szCs w:val="21"/>
        </w:rPr>
        <w:t>本项目的资金支付按本招标文件“第二章 招标需求”之“</w:t>
      </w:r>
      <w:r>
        <w:rPr>
          <w:rFonts w:hint="eastAsia" w:hAnsi="宋体" w:cs="宋体"/>
          <w:b/>
          <w:bCs/>
          <w:sz w:val="21"/>
          <w:szCs w:val="21"/>
        </w:rPr>
        <w:t>三</w:t>
      </w:r>
      <w:r>
        <w:rPr>
          <w:rFonts w:hint="eastAsia"/>
          <w:b/>
          <w:bCs/>
          <w:sz w:val="21"/>
          <w:szCs w:val="21"/>
        </w:rPr>
        <w:t>、资信及商务要求表</w:t>
      </w:r>
      <w:r>
        <w:rPr>
          <w:rFonts w:hint="eastAsia" w:hAnsi="宋体" w:cs="宋体"/>
          <w:sz w:val="21"/>
          <w:szCs w:val="21"/>
        </w:rPr>
        <w:t xml:space="preserve"> 付款方式”执行并在合同中进行约定。</w:t>
      </w:r>
    </w:p>
    <w:p w14:paraId="7439A004">
      <w:pPr>
        <w:spacing w:line="500" w:lineRule="exact"/>
        <w:ind w:firstLine="420"/>
        <w:rPr>
          <w:rFonts w:hAnsi="宋体" w:cs="宋体"/>
          <w:b/>
          <w:bCs/>
          <w:sz w:val="21"/>
          <w:szCs w:val="21"/>
          <w:lang w:bidi="ar"/>
        </w:rPr>
      </w:pPr>
      <w:r>
        <w:rPr>
          <w:rFonts w:hint="eastAsia" w:hAnsi="宋体" w:cs="宋体"/>
          <w:b/>
          <w:sz w:val="21"/>
          <w:szCs w:val="21"/>
          <w:lang w:bidi="ar"/>
        </w:rPr>
        <w:t>八、项目验收</w:t>
      </w:r>
      <w:bookmarkEnd w:id="76"/>
    </w:p>
    <w:p w14:paraId="25512653">
      <w:pPr>
        <w:tabs>
          <w:tab w:val="left" w:pos="0"/>
        </w:tabs>
        <w:snapToGrid w:val="0"/>
        <w:spacing w:line="500" w:lineRule="exact"/>
        <w:ind w:firstLine="480"/>
        <w:rPr>
          <w:rFonts w:hAnsi="宋体" w:cs="宋体"/>
          <w:sz w:val="21"/>
          <w:szCs w:val="21"/>
        </w:rPr>
      </w:pPr>
      <w:r>
        <w:rPr>
          <w:rFonts w:hint="eastAsia" w:hAnsi="宋体" w:cs="宋体"/>
          <w:sz w:val="21"/>
          <w:szCs w:val="21"/>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15F2DA">
      <w:pPr>
        <w:tabs>
          <w:tab w:val="left" w:pos="0"/>
        </w:tabs>
        <w:snapToGrid w:val="0"/>
        <w:spacing w:line="500" w:lineRule="exact"/>
        <w:ind w:firstLine="480"/>
        <w:rPr>
          <w:rFonts w:hAnsi="宋体" w:cs="宋体"/>
          <w:sz w:val="21"/>
          <w:szCs w:val="21"/>
        </w:rPr>
      </w:pPr>
      <w:r>
        <w:rPr>
          <w:rFonts w:hint="eastAsia" w:hAnsi="宋体" w:cs="宋体"/>
          <w:sz w:val="21"/>
          <w:szCs w:val="21"/>
        </w:rPr>
        <w:t>2.采购人可以邀请参加本项目的其他供应商或者第三方机构参与验收。参与验收的供应商或者第三方机构的意见作为验收书的参考资料一并存档。</w:t>
      </w:r>
    </w:p>
    <w:p w14:paraId="7EE8571F">
      <w:pPr>
        <w:autoSpaceDE/>
        <w:autoSpaceDN/>
        <w:snapToGrid w:val="0"/>
        <w:spacing w:line="500" w:lineRule="exact"/>
        <w:ind w:firstLine="420" w:firstLineChars="200"/>
        <w:rPr>
          <w:rFonts w:hAnsi="宋体" w:cs="宋体"/>
          <w:sz w:val="21"/>
          <w:szCs w:val="21"/>
        </w:rPr>
      </w:pPr>
      <w:r>
        <w:rPr>
          <w:rFonts w:hint="eastAsia" w:hAnsi="宋体" w:cs="宋体"/>
          <w:sz w:val="21"/>
          <w:szCs w:val="21"/>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A0B50D">
      <w:pPr>
        <w:autoSpaceDE/>
        <w:autoSpaceDN/>
        <w:snapToGrid w:val="0"/>
        <w:spacing w:line="500" w:lineRule="exact"/>
        <w:ind w:firstLine="420" w:firstLineChars="200"/>
        <w:rPr>
          <w:rFonts w:hAnsi="宋体" w:cs="宋体"/>
          <w:b/>
          <w:bCs/>
          <w:sz w:val="21"/>
          <w:szCs w:val="21"/>
        </w:rPr>
      </w:pPr>
      <w:r>
        <w:rPr>
          <w:rFonts w:hint="eastAsia" w:hAnsi="宋体" w:cs="宋体"/>
          <w:sz w:val="21"/>
          <w:szCs w:val="21"/>
        </w:rPr>
        <w:t>4.采购人原则上应当在</w:t>
      </w:r>
      <w:r>
        <w:rPr>
          <w:rFonts w:hint="eastAsia" w:hAnsi="宋体" w:cs="宋体"/>
          <w:b/>
          <w:bCs/>
          <w:sz w:val="21"/>
          <w:szCs w:val="21"/>
        </w:rPr>
        <w:t>履约验收之日起2个工作日内</w:t>
      </w:r>
      <w:r>
        <w:rPr>
          <w:rFonts w:hint="eastAsia" w:hAnsi="宋体" w:cs="宋体"/>
          <w:sz w:val="21"/>
          <w:szCs w:val="21"/>
        </w:rPr>
        <w:t>，将</w:t>
      </w:r>
      <w:r>
        <w:rPr>
          <w:rFonts w:hint="eastAsia" w:hAnsi="宋体" w:cs="宋体"/>
          <w:b/>
          <w:bCs/>
          <w:sz w:val="21"/>
          <w:szCs w:val="21"/>
        </w:rPr>
        <w:t>履约验收结果在浙江政府采购网上公告。</w:t>
      </w:r>
    </w:p>
    <w:p w14:paraId="3287BC24">
      <w:pPr>
        <w:autoSpaceDE/>
        <w:autoSpaceDN/>
        <w:snapToGrid w:val="0"/>
        <w:spacing w:line="500" w:lineRule="exact"/>
        <w:ind w:firstLine="420" w:firstLineChars="200"/>
        <w:rPr>
          <w:rFonts w:hAnsi="宋体" w:cs="宋体"/>
          <w:sz w:val="21"/>
          <w:szCs w:val="21"/>
        </w:rPr>
      </w:pPr>
      <w:r>
        <w:rPr>
          <w:rFonts w:hint="eastAsia" w:hAnsi="宋体" w:cs="宋体"/>
          <w:sz w:val="21"/>
          <w:szCs w:val="21"/>
        </w:rPr>
        <w:t>5.验收合格的项目，采购人将根据采购合同的约定及时向供应商支付采购资金、退还履约保证金。</w:t>
      </w:r>
    </w:p>
    <w:p w14:paraId="4EDEE915">
      <w:pPr>
        <w:tabs>
          <w:tab w:val="left" w:pos="0"/>
        </w:tabs>
        <w:snapToGrid w:val="0"/>
        <w:spacing w:line="500" w:lineRule="exact"/>
        <w:ind w:firstLine="480"/>
        <w:rPr>
          <w:rFonts w:hAnsi="宋体" w:cs="宋体"/>
          <w:sz w:val="21"/>
          <w:szCs w:val="21"/>
        </w:rPr>
      </w:pPr>
      <w:r>
        <w:rPr>
          <w:rFonts w:hint="eastAsia" w:hAnsi="宋体" w:cs="宋体"/>
          <w:sz w:val="21"/>
          <w:szCs w:val="21"/>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D7D4A9">
      <w:pPr>
        <w:autoSpaceDE/>
        <w:autoSpaceDN/>
        <w:adjustRightInd/>
        <w:spacing w:line="500" w:lineRule="exact"/>
        <w:ind w:firstLine="422" w:firstLineChars="200"/>
        <w:jc w:val="both"/>
        <w:rPr>
          <w:rFonts w:hAnsi="宋体" w:cs="宋体"/>
          <w:sz w:val="21"/>
          <w:szCs w:val="21"/>
        </w:rPr>
      </w:pPr>
      <w:r>
        <w:rPr>
          <w:rFonts w:hint="eastAsia" w:hAnsi="宋体" w:cs="宋体"/>
          <w:b/>
          <w:sz w:val="21"/>
          <w:szCs w:val="21"/>
        </w:rPr>
        <w:t>九、本项目招标在金华经济技术开发区管理委员会财政局监督下进行。</w:t>
      </w:r>
    </w:p>
    <w:p w14:paraId="29ADCFAB">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十、电子投标特别提醒</w:t>
      </w:r>
    </w:p>
    <w:p w14:paraId="33BD3EBC">
      <w:pPr>
        <w:snapToGrid w:val="0"/>
        <w:spacing w:line="500" w:lineRule="exact"/>
        <w:ind w:firstLine="420"/>
        <w:rPr>
          <w:rFonts w:hAnsi="宋体" w:cs="宋体"/>
          <w:sz w:val="21"/>
          <w:szCs w:val="21"/>
        </w:rPr>
      </w:pPr>
      <w:r>
        <w:rPr>
          <w:rFonts w:hint="eastAsia" w:hAnsi="宋体" w:cs="宋体"/>
          <w:sz w:val="21"/>
          <w:szCs w:val="21"/>
        </w:rPr>
        <w:t>1.请所有投标人在政采云系统准时参加线上开标活动，并且要求法定代表人或授权委托人全程在线。</w:t>
      </w:r>
    </w:p>
    <w:p w14:paraId="0CF26C9F">
      <w:pPr>
        <w:snapToGrid w:val="0"/>
        <w:spacing w:line="500" w:lineRule="exact"/>
        <w:ind w:firstLine="420"/>
        <w:rPr>
          <w:rFonts w:hAnsi="宋体" w:cs="宋体"/>
          <w:sz w:val="21"/>
          <w:szCs w:val="21"/>
        </w:rPr>
      </w:pPr>
      <w:r>
        <w:rPr>
          <w:rFonts w:hint="eastAsia" w:hAnsi="宋体" w:cs="宋体"/>
          <w:sz w:val="21"/>
          <w:szCs w:val="21"/>
        </w:rPr>
        <w:t>2.投标截止时间后，代理机构将线上开启解密，投标人需及时用CA锁在线解密，解密时间一般为半小时（解密时限由财政部门设置），逾期解密，投标人自行承担风险。</w:t>
      </w:r>
    </w:p>
    <w:p w14:paraId="37679F35">
      <w:pPr>
        <w:widowControl/>
        <w:snapToGrid w:val="0"/>
        <w:spacing w:line="500" w:lineRule="exact"/>
        <w:ind w:firstLine="420"/>
        <w:rPr>
          <w:rFonts w:hAnsi="宋体" w:cs="宋体"/>
          <w:sz w:val="21"/>
          <w:szCs w:val="21"/>
        </w:rPr>
      </w:pPr>
      <w:r>
        <w:rPr>
          <w:rFonts w:hint="eastAsia" w:hAnsi="宋体" w:cs="宋体"/>
          <w:sz w:val="21"/>
          <w:szCs w:val="21"/>
        </w:rPr>
        <w:t>3.解密响应文件的CA锁必须跟制作响应文件的CA锁为同一个，否则将导致解密失败。</w:t>
      </w:r>
    </w:p>
    <w:p w14:paraId="793A3CC0">
      <w:pPr>
        <w:widowControl/>
        <w:snapToGrid w:val="0"/>
        <w:spacing w:line="500" w:lineRule="exact"/>
        <w:ind w:firstLine="420"/>
        <w:rPr>
          <w:rFonts w:hAnsi="宋体" w:cs="宋体"/>
          <w:sz w:val="21"/>
          <w:szCs w:val="21"/>
        </w:rPr>
      </w:pPr>
      <w:r>
        <w:rPr>
          <w:rFonts w:hint="eastAsia" w:hAnsi="宋体" w:cs="宋体"/>
          <w:sz w:val="21"/>
        </w:rPr>
        <w:t>4.请务必确保投标文件制作客户端为最新版本，旧版本可能导致投标文件解密失败。</w:t>
      </w:r>
      <w:bookmarkStart w:id="77" w:name="_Toc351559944"/>
    </w:p>
    <w:p w14:paraId="5EDE0E4B">
      <w:pPr>
        <w:widowControl/>
        <w:snapToGrid w:val="0"/>
        <w:spacing w:line="500" w:lineRule="exact"/>
        <w:ind w:firstLine="420"/>
        <w:rPr>
          <w:rFonts w:hAnsi="宋体" w:cs="宋体"/>
          <w:sz w:val="21"/>
          <w:szCs w:val="21"/>
        </w:rPr>
      </w:pPr>
    </w:p>
    <w:p w14:paraId="25CA6FAE">
      <w:pPr>
        <w:widowControl/>
        <w:snapToGrid w:val="0"/>
        <w:spacing w:line="500" w:lineRule="exact"/>
        <w:ind w:firstLine="420"/>
        <w:rPr>
          <w:rFonts w:hAnsi="宋体" w:cs="宋体"/>
          <w:sz w:val="21"/>
          <w:szCs w:val="21"/>
        </w:rPr>
      </w:pPr>
    </w:p>
    <w:p w14:paraId="594C970B">
      <w:pPr>
        <w:pStyle w:val="49"/>
        <w:ind w:left="680"/>
        <w:rPr>
          <w:rFonts w:ascii="宋体" w:hAnsi="宋体" w:cs="宋体"/>
          <w:sz w:val="21"/>
          <w:szCs w:val="21"/>
        </w:rPr>
      </w:pPr>
    </w:p>
    <w:p w14:paraId="45DAEDC9">
      <w:pPr>
        <w:pStyle w:val="49"/>
        <w:ind w:left="680"/>
        <w:rPr>
          <w:rFonts w:ascii="宋体" w:hAnsi="宋体" w:cs="宋体"/>
          <w:sz w:val="21"/>
          <w:szCs w:val="21"/>
        </w:rPr>
      </w:pPr>
    </w:p>
    <w:p w14:paraId="73A4C09D">
      <w:pPr>
        <w:pStyle w:val="49"/>
        <w:ind w:left="680"/>
        <w:rPr>
          <w:rFonts w:ascii="宋体" w:hAnsi="宋体" w:cs="宋体"/>
          <w:sz w:val="21"/>
          <w:szCs w:val="21"/>
        </w:rPr>
      </w:pPr>
    </w:p>
    <w:p w14:paraId="33C7E810">
      <w:pPr>
        <w:pStyle w:val="49"/>
        <w:ind w:left="680"/>
        <w:rPr>
          <w:rFonts w:ascii="宋体" w:hAnsi="宋体" w:cs="宋体"/>
          <w:sz w:val="21"/>
          <w:szCs w:val="21"/>
        </w:rPr>
      </w:pPr>
    </w:p>
    <w:p w14:paraId="18438B95">
      <w:pPr>
        <w:rPr>
          <w:rFonts w:hAnsi="宋体" w:cs="宋体"/>
          <w:b/>
          <w:bCs/>
          <w:sz w:val="30"/>
          <w:szCs w:val="30"/>
        </w:rPr>
      </w:pPr>
      <w:bookmarkStart w:id="78" w:name="_Toc2772"/>
      <w:bookmarkStart w:id="79" w:name="_Toc5099"/>
      <w:bookmarkStart w:id="80" w:name="_Toc7835"/>
      <w:bookmarkStart w:id="81" w:name="_Toc18139"/>
      <w:bookmarkStart w:id="82" w:name="_Toc21969"/>
      <w:bookmarkStart w:id="83" w:name="_Toc16149"/>
      <w:bookmarkStart w:id="84" w:name="_Toc17234"/>
      <w:bookmarkStart w:id="85" w:name="_Toc12157"/>
      <w:bookmarkStart w:id="86" w:name="_Toc4267"/>
      <w:bookmarkStart w:id="87" w:name="_Toc29509"/>
      <w:r>
        <w:rPr>
          <w:rFonts w:hint="eastAsia" w:hAnsi="宋体" w:cs="宋体"/>
          <w:b/>
          <w:bCs/>
          <w:sz w:val="30"/>
          <w:szCs w:val="30"/>
        </w:rPr>
        <w:br w:type="page"/>
      </w:r>
    </w:p>
    <w:p w14:paraId="1A5285B6">
      <w:pPr>
        <w:widowControl/>
        <w:snapToGrid w:val="0"/>
        <w:spacing w:line="500" w:lineRule="exact"/>
        <w:ind w:firstLine="420"/>
        <w:jc w:val="center"/>
        <w:outlineLvl w:val="0"/>
        <w:rPr>
          <w:rFonts w:hAnsi="宋体" w:cs="宋体"/>
          <w:sz w:val="30"/>
          <w:szCs w:val="30"/>
        </w:rPr>
      </w:pPr>
      <w:bookmarkStart w:id="88" w:name="_Toc14214"/>
      <w:r>
        <w:rPr>
          <w:rFonts w:hint="eastAsia" w:hAnsi="宋体" w:cs="宋体"/>
          <w:b/>
          <w:bCs/>
          <w:sz w:val="30"/>
          <w:szCs w:val="30"/>
        </w:rPr>
        <w:t>第四章 评标办法及评分标准</w:t>
      </w:r>
      <w:bookmarkEnd w:id="77"/>
      <w:bookmarkEnd w:id="78"/>
      <w:bookmarkEnd w:id="79"/>
      <w:bookmarkEnd w:id="80"/>
      <w:bookmarkEnd w:id="81"/>
      <w:bookmarkEnd w:id="82"/>
      <w:bookmarkEnd w:id="83"/>
      <w:bookmarkEnd w:id="84"/>
      <w:bookmarkEnd w:id="85"/>
      <w:bookmarkEnd w:id="86"/>
      <w:bookmarkEnd w:id="87"/>
      <w:bookmarkEnd w:id="88"/>
    </w:p>
    <w:p w14:paraId="2A46C8DD">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为公正、公平、科学地选择中标人，根据《中华人民共和国政府采购法》等有关法律法规的规定，并结合本项目的实际，制定本办法。</w:t>
      </w:r>
    </w:p>
    <w:p w14:paraId="5A6C0BEE">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本办法仅适用本项目的评标。</w:t>
      </w:r>
    </w:p>
    <w:p w14:paraId="2ABF1736">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一、总则</w:t>
      </w:r>
    </w:p>
    <w:p w14:paraId="5EC8471E">
      <w:pPr>
        <w:autoSpaceDE/>
        <w:autoSpaceDN/>
        <w:adjustRightInd/>
        <w:spacing w:line="460" w:lineRule="exact"/>
        <w:ind w:firstLine="420" w:firstLineChars="200"/>
        <w:jc w:val="both"/>
        <w:rPr>
          <w:rFonts w:hAnsi="宋体" w:cs="宋体"/>
          <w:sz w:val="21"/>
          <w:szCs w:val="21"/>
        </w:rPr>
      </w:pPr>
      <w:r>
        <w:rPr>
          <w:rFonts w:hint="eastAsia" w:hAnsi="宋体" w:cs="宋体"/>
          <w:sz w:val="21"/>
          <w:szCs w:val="21"/>
        </w:rPr>
        <w:t>本次评标采用综合评分法，总分为100分，由价格分30分、技术商务分70分等二部分组成。合格投标人的评标得分为各项目汇总得分，中标候选资格按评标得分由高到低顺序排列，得分相同的，按投标报价由低到高顺序排列；汇总得分且投标报价均相同的，按“</w:t>
      </w:r>
      <w:r>
        <w:rPr>
          <w:rFonts w:hint="eastAsia" w:hAnsi="宋体" w:cs="宋体"/>
          <w:sz w:val="21"/>
          <w:szCs w:val="21"/>
          <w:lang w:bidi="ar"/>
        </w:rPr>
        <w:t>货物指标参数+</w:t>
      </w:r>
      <w:r>
        <w:rPr>
          <w:rFonts w:hint="eastAsia" w:hAnsi="宋体" w:cs="宋体"/>
          <w:sz w:val="21"/>
          <w:szCs w:val="21"/>
        </w:rPr>
        <w:t>功能演示”得分由高到低顺序排列决定。排名第一的投标人为中标候选人，排名第二的投标人为候补中标候选人……其他投标人中标候选资格以此类推。评分过程中采用四舍五入法，并保留小数2位。</w:t>
      </w:r>
    </w:p>
    <w:p w14:paraId="69E064D7">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投标人评标综合得分=价格分+技术商务分。</w:t>
      </w:r>
    </w:p>
    <w:p w14:paraId="2927613A">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技术商务分=（评审小组所有成员评分合计数）/（评审小组组成人员数）</w:t>
      </w:r>
    </w:p>
    <w:p w14:paraId="59897028">
      <w:pPr>
        <w:pStyle w:val="45"/>
        <w:adjustRightInd w:val="0"/>
        <w:snapToGrid w:val="0"/>
        <w:spacing w:before="0" w:beforeAutospacing="0" w:after="0" w:afterAutospacing="0" w:line="500" w:lineRule="exact"/>
        <w:ind w:firstLine="422" w:firstLineChars="200"/>
        <w:rPr>
          <w:rFonts w:ascii="宋体" w:cs="宋体"/>
          <w:b/>
          <w:bCs/>
          <w:lang w:bidi="ar"/>
        </w:rPr>
      </w:pPr>
      <w:r>
        <w:rPr>
          <w:rFonts w:hint="eastAsia" w:ascii="宋体" w:cs="宋体"/>
          <w:b/>
          <w:sz w:val="21"/>
          <w:szCs w:val="21"/>
        </w:rPr>
        <w:t>二、评审纪律和要求</w:t>
      </w:r>
    </w:p>
    <w:p w14:paraId="22D45DA5">
      <w:pPr>
        <w:autoSpaceDE/>
        <w:autoSpaceDN/>
        <w:snapToGrid w:val="0"/>
        <w:spacing w:line="500" w:lineRule="exact"/>
        <w:ind w:firstLine="420" w:firstLineChars="200"/>
        <w:rPr>
          <w:rFonts w:hAnsi="宋体" w:cs="宋体"/>
          <w:sz w:val="21"/>
          <w:szCs w:val="21"/>
        </w:rPr>
      </w:pPr>
      <w:r>
        <w:rPr>
          <w:rFonts w:hint="eastAsia" w:hAnsi="宋体" w:cs="宋体"/>
          <w:sz w:val="21"/>
          <w:szCs w:val="21"/>
        </w:rPr>
        <w:t>1.评审专家必须公平、公正评审，遵纪守法，客观、廉洁地履行职责。</w:t>
      </w:r>
    </w:p>
    <w:p w14:paraId="63D10830">
      <w:pPr>
        <w:autoSpaceDE/>
        <w:autoSpaceDN/>
        <w:snapToGrid w:val="0"/>
        <w:spacing w:line="500" w:lineRule="exact"/>
        <w:ind w:firstLine="420" w:firstLineChars="200"/>
        <w:rPr>
          <w:rFonts w:hAnsi="宋体" w:cs="宋体"/>
          <w:sz w:val="21"/>
          <w:szCs w:val="21"/>
        </w:rPr>
      </w:pPr>
      <w:r>
        <w:rPr>
          <w:rFonts w:hint="eastAsia" w:hAnsi="宋体" w:cs="宋体"/>
          <w:sz w:val="21"/>
          <w:szCs w:val="21"/>
        </w:rPr>
        <w:t>2.评审专家在评审开始前，应关闭并上交随身携带的各种通信工具。</w:t>
      </w:r>
    </w:p>
    <w:p w14:paraId="0ECA32B6">
      <w:pPr>
        <w:autoSpaceDE/>
        <w:autoSpaceDN/>
        <w:snapToGrid w:val="0"/>
        <w:spacing w:line="500" w:lineRule="exact"/>
        <w:ind w:firstLine="420" w:firstLineChars="200"/>
        <w:rPr>
          <w:rFonts w:hAnsi="宋体" w:cs="宋体"/>
          <w:sz w:val="21"/>
          <w:szCs w:val="21"/>
        </w:rPr>
      </w:pPr>
      <w:r>
        <w:rPr>
          <w:rFonts w:hint="eastAsia" w:hAnsi="宋体" w:cs="宋体"/>
          <w:sz w:val="21"/>
          <w:szCs w:val="21"/>
        </w:rPr>
        <w:t>3.评审专家在评审过程中，未经许可不得中途离开评审现场，不得迟到早退。</w:t>
      </w:r>
    </w:p>
    <w:p w14:paraId="2EB2F3A1">
      <w:pPr>
        <w:autoSpaceDE/>
        <w:autoSpaceDN/>
        <w:snapToGrid w:val="0"/>
        <w:spacing w:line="500" w:lineRule="exact"/>
        <w:ind w:firstLine="420" w:firstLineChars="200"/>
        <w:rPr>
          <w:rFonts w:hAnsi="宋体" w:cs="宋体"/>
          <w:sz w:val="21"/>
          <w:szCs w:val="21"/>
        </w:rPr>
      </w:pPr>
      <w:r>
        <w:rPr>
          <w:rFonts w:hint="eastAsia" w:hAnsi="宋体" w:cs="宋体"/>
          <w:sz w:val="21"/>
          <w:szCs w:val="21"/>
        </w:rPr>
        <w:t>4.评审专家和工作人员不得透露评审过程中的讨论情况和评审结果。</w:t>
      </w:r>
    </w:p>
    <w:p w14:paraId="516B2EA9">
      <w:pPr>
        <w:autoSpaceDE/>
        <w:autoSpaceDN/>
        <w:snapToGrid w:val="0"/>
        <w:spacing w:line="500" w:lineRule="exact"/>
        <w:ind w:firstLine="420" w:firstLineChars="200"/>
        <w:rPr>
          <w:rFonts w:hAnsi="宋体" w:cs="宋体"/>
          <w:sz w:val="21"/>
          <w:szCs w:val="21"/>
        </w:rPr>
      </w:pPr>
      <w:r>
        <w:rPr>
          <w:rFonts w:hint="eastAsia" w:hAnsi="宋体" w:cs="宋体"/>
          <w:sz w:val="21"/>
          <w:szCs w:val="21"/>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sz w:val="21"/>
          <w:szCs w:val="21"/>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sz w:val="21"/>
          <w:szCs w:val="21"/>
        </w:rPr>
        <w:t>。</w:t>
      </w:r>
    </w:p>
    <w:p w14:paraId="0009737E">
      <w:pPr>
        <w:autoSpaceDE/>
        <w:autoSpaceDN/>
        <w:snapToGrid w:val="0"/>
        <w:spacing w:line="500" w:lineRule="exact"/>
        <w:ind w:firstLine="420" w:firstLineChars="200"/>
        <w:rPr>
          <w:rFonts w:hAnsi="宋体" w:cs="宋体"/>
          <w:sz w:val="21"/>
          <w:szCs w:val="21"/>
        </w:rPr>
      </w:pPr>
      <w:r>
        <w:rPr>
          <w:rFonts w:hint="eastAsia" w:hAnsi="宋体" w:cs="宋体"/>
          <w:sz w:val="21"/>
          <w:szCs w:val="21"/>
        </w:rPr>
        <w:t>6.采购人、采购代理机构不得向评审委员会的评审专家做倾向性、误导性的解释或者说明。</w:t>
      </w:r>
    </w:p>
    <w:p w14:paraId="753109C9">
      <w:pPr>
        <w:autoSpaceDE/>
        <w:autoSpaceDN/>
        <w:snapToGrid w:val="0"/>
        <w:spacing w:line="500" w:lineRule="exact"/>
        <w:ind w:firstLine="420" w:firstLineChars="200"/>
        <w:rPr>
          <w:rFonts w:hAnsi="宋体" w:cs="宋体"/>
          <w:sz w:val="21"/>
          <w:szCs w:val="21"/>
        </w:rPr>
      </w:pPr>
      <w:r>
        <w:rPr>
          <w:rFonts w:hint="eastAsia" w:hAnsi="宋体" w:cs="宋体"/>
          <w:sz w:val="21"/>
          <w:szCs w:val="21"/>
        </w:rPr>
        <w:t>7.采购代理机构应当为评审专家提供必要的评审条件和相应的评审工作底稿，并严格按规定程序组织评审专家有步骤地进行项目评审，</w:t>
      </w:r>
      <w:r>
        <w:rPr>
          <w:rFonts w:hint="eastAsia" w:hAnsi="宋体" w:cs="宋体"/>
          <w:b/>
          <w:bCs/>
          <w:sz w:val="21"/>
          <w:szCs w:val="21"/>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sz w:val="21"/>
          <w:szCs w:val="21"/>
        </w:rPr>
        <w:t>。</w:t>
      </w:r>
    </w:p>
    <w:p w14:paraId="3EA321A3">
      <w:pPr>
        <w:autoSpaceDE/>
        <w:autoSpaceDN/>
        <w:snapToGrid w:val="0"/>
        <w:spacing w:line="500" w:lineRule="exact"/>
        <w:ind w:firstLine="420" w:firstLineChars="200"/>
        <w:rPr>
          <w:rFonts w:hAnsi="宋体" w:cs="宋体"/>
          <w:sz w:val="21"/>
          <w:szCs w:val="21"/>
        </w:rPr>
      </w:pPr>
      <w:r>
        <w:rPr>
          <w:rFonts w:hint="eastAsia" w:hAnsi="宋体" w:cs="宋体"/>
          <w:sz w:val="21"/>
          <w:szCs w:val="21"/>
        </w:rPr>
        <w:t>8.评审专家在评审过程中不得将自己的观点强加给其他评审专家，评审专家应自主发表见解，对评审意见承担个人责任。</w:t>
      </w:r>
    </w:p>
    <w:p w14:paraId="74C02F97">
      <w:pPr>
        <w:autoSpaceDE/>
        <w:autoSpaceDN/>
        <w:snapToGrid w:val="0"/>
        <w:spacing w:line="500" w:lineRule="exact"/>
        <w:ind w:firstLine="420" w:firstLineChars="200"/>
        <w:rPr>
          <w:rFonts w:hAnsi="宋体" w:cs="宋体"/>
          <w:sz w:val="21"/>
          <w:szCs w:val="21"/>
        </w:rPr>
      </w:pPr>
      <w:r>
        <w:rPr>
          <w:rFonts w:hint="eastAsia" w:hAnsi="宋体" w:cs="宋体"/>
          <w:sz w:val="21"/>
          <w:szCs w:val="21"/>
        </w:rPr>
        <w:t>9.</w:t>
      </w:r>
      <w:r>
        <w:rPr>
          <w:rFonts w:hint="eastAsia" w:hAnsi="宋体" w:cs="宋体"/>
          <w:b/>
          <w:bCs/>
          <w:sz w:val="21"/>
          <w:szCs w:val="21"/>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sz w:val="21"/>
          <w:szCs w:val="21"/>
        </w:rPr>
        <w:t>。</w:t>
      </w:r>
    </w:p>
    <w:p w14:paraId="41EBD39A">
      <w:pPr>
        <w:autoSpaceDE/>
        <w:autoSpaceDN/>
        <w:snapToGrid w:val="0"/>
        <w:spacing w:line="500" w:lineRule="exact"/>
        <w:ind w:firstLine="422" w:firstLineChars="200"/>
        <w:rPr>
          <w:rFonts w:hAnsi="宋体" w:cs="宋体"/>
          <w:b/>
          <w:bCs/>
          <w:sz w:val="21"/>
          <w:szCs w:val="21"/>
        </w:rPr>
      </w:pPr>
      <w:r>
        <w:rPr>
          <w:rFonts w:hint="eastAsia" w:hAnsi="宋体" w:cs="宋体"/>
          <w:b/>
          <w:bCs/>
          <w:sz w:val="21"/>
          <w:szCs w:val="21"/>
        </w:rPr>
        <w:t>10.评审专家应当独立、客观、公正地提出评审意见，不得带有倾向性，不得影响其他评审专家评审，并在评审报告上签字；如对评审报告有异议的，可在报告上签署不同意见，并说明理由，否则将视为同意。</w:t>
      </w:r>
    </w:p>
    <w:p w14:paraId="1590924E">
      <w:pPr>
        <w:autoSpaceDE/>
        <w:autoSpaceDN/>
        <w:snapToGrid w:val="0"/>
        <w:spacing w:line="500" w:lineRule="exact"/>
        <w:ind w:firstLine="422" w:firstLineChars="200"/>
        <w:rPr>
          <w:rFonts w:hAnsi="宋体" w:cs="宋体"/>
          <w:b/>
          <w:bCs/>
          <w:sz w:val="21"/>
          <w:szCs w:val="21"/>
        </w:rPr>
      </w:pPr>
      <w:r>
        <w:rPr>
          <w:rFonts w:hint="eastAsia" w:hAnsi="宋体" w:cs="宋体"/>
          <w:b/>
          <w:bCs/>
          <w:sz w:val="21"/>
          <w:szCs w:val="21"/>
        </w:rPr>
        <w:t>11.评审专家应当遵守评审工作纪律，不得泄露评审文件、评审情况和评审中获悉的商业秘密。</w:t>
      </w:r>
    </w:p>
    <w:p w14:paraId="2F318460">
      <w:pPr>
        <w:autoSpaceDE/>
        <w:autoSpaceDN/>
        <w:snapToGrid w:val="0"/>
        <w:spacing w:line="500" w:lineRule="exact"/>
        <w:ind w:firstLine="422" w:firstLineChars="200"/>
        <w:rPr>
          <w:rFonts w:hAnsi="宋体" w:cs="宋体"/>
          <w:b/>
          <w:bCs/>
          <w:sz w:val="21"/>
          <w:szCs w:val="21"/>
        </w:rPr>
      </w:pPr>
      <w:r>
        <w:rPr>
          <w:rFonts w:hint="eastAsia" w:hAnsi="宋体" w:cs="宋体"/>
          <w:b/>
          <w:bCs/>
          <w:sz w:val="21"/>
          <w:szCs w:val="21"/>
        </w:rPr>
        <w:t>评审委员会在评审过程中发现投标人有行贿、提供虚假材料或者串通等违法行为的，应当及时向财政部门报告。</w:t>
      </w:r>
    </w:p>
    <w:p w14:paraId="61830503">
      <w:pPr>
        <w:autoSpaceDE/>
        <w:autoSpaceDN/>
        <w:snapToGrid w:val="0"/>
        <w:spacing w:line="500" w:lineRule="exact"/>
        <w:ind w:firstLine="422" w:firstLineChars="200"/>
        <w:rPr>
          <w:rFonts w:hAnsi="宋体" w:cs="宋体"/>
          <w:b/>
          <w:bCs/>
          <w:sz w:val="21"/>
          <w:szCs w:val="21"/>
        </w:rPr>
      </w:pPr>
      <w:r>
        <w:rPr>
          <w:rFonts w:hint="eastAsia" w:hAnsi="宋体" w:cs="宋体"/>
          <w:b/>
          <w:bCs/>
          <w:sz w:val="21"/>
          <w:szCs w:val="21"/>
        </w:rPr>
        <w:t>12.招标文件内容违反国家有关强制性规定的，评审委员会应当停止评审并向采购代理机构说明情况。</w:t>
      </w:r>
    </w:p>
    <w:p w14:paraId="63772343">
      <w:pPr>
        <w:autoSpaceDE/>
        <w:autoSpaceDN/>
        <w:snapToGrid w:val="0"/>
        <w:spacing w:line="500" w:lineRule="exact"/>
        <w:ind w:firstLine="420" w:firstLineChars="200"/>
        <w:rPr>
          <w:rFonts w:hAnsi="宋体" w:cs="宋体"/>
          <w:sz w:val="21"/>
          <w:szCs w:val="21"/>
        </w:rPr>
      </w:pPr>
      <w:r>
        <w:rPr>
          <w:rFonts w:hint="eastAsia" w:hAnsi="宋体" w:cs="宋体"/>
          <w:sz w:val="21"/>
          <w:szCs w:val="21"/>
        </w:rPr>
        <w:t>13.评审专家应当配合采购代理机构答复投标人提出的质疑。</w:t>
      </w:r>
    </w:p>
    <w:p w14:paraId="05798A21">
      <w:pPr>
        <w:autoSpaceDE/>
        <w:autoSpaceDN/>
        <w:snapToGrid w:val="0"/>
        <w:spacing w:line="500" w:lineRule="exact"/>
        <w:ind w:firstLine="420" w:firstLineChars="200"/>
        <w:rPr>
          <w:rFonts w:hAnsi="宋体" w:cs="宋体"/>
          <w:sz w:val="21"/>
          <w:szCs w:val="21"/>
        </w:rPr>
      </w:pPr>
      <w:r>
        <w:rPr>
          <w:rFonts w:hint="eastAsia" w:hAnsi="宋体" w:cs="宋体"/>
          <w:sz w:val="21"/>
          <w:szCs w:val="21"/>
        </w:rPr>
        <w:t>14.评审专家应当配合财政部门的投诉处理工作。</w:t>
      </w:r>
    </w:p>
    <w:p w14:paraId="230CD833">
      <w:pPr>
        <w:autoSpaceDE/>
        <w:autoSpaceDN/>
        <w:snapToGrid w:val="0"/>
        <w:spacing w:line="500" w:lineRule="exact"/>
        <w:ind w:firstLine="420" w:firstLineChars="200"/>
        <w:rPr>
          <w:rFonts w:hAnsi="宋体" w:cs="宋体"/>
          <w:sz w:val="21"/>
          <w:szCs w:val="21"/>
        </w:rPr>
      </w:pPr>
      <w:r>
        <w:rPr>
          <w:rFonts w:hint="eastAsia" w:hAnsi="宋体" w:cs="宋体"/>
          <w:sz w:val="21"/>
          <w:szCs w:val="21"/>
        </w:rPr>
        <w:t>15.评审专家有如下行为之一的，责令改正，给予警告，可以并处一千元以下的罚款：</w:t>
      </w:r>
    </w:p>
    <w:p w14:paraId="26434F62">
      <w:pPr>
        <w:autoSpaceDE/>
        <w:autoSpaceDN/>
        <w:snapToGrid w:val="0"/>
        <w:spacing w:line="500" w:lineRule="exact"/>
        <w:ind w:firstLine="420" w:firstLineChars="200"/>
        <w:rPr>
          <w:rFonts w:hAnsi="宋体" w:cs="宋体"/>
          <w:sz w:val="21"/>
          <w:szCs w:val="21"/>
        </w:rPr>
      </w:pPr>
      <w:r>
        <w:rPr>
          <w:rFonts w:hint="eastAsia" w:hAnsi="宋体" w:cs="宋体"/>
          <w:sz w:val="21"/>
          <w:szCs w:val="21"/>
        </w:rPr>
        <w:t>①明知应当回避而未主动回避的；</w:t>
      </w:r>
    </w:p>
    <w:p w14:paraId="357CCE5A">
      <w:pPr>
        <w:autoSpaceDE/>
        <w:autoSpaceDN/>
        <w:snapToGrid w:val="0"/>
        <w:spacing w:line="500" w:lineRule="exact"/>
        <w:ind w:firstLine="420" w:firstLineChars="200"/>
        <w:rPr>
          <w:rFonts w:hAnsi="宋体" w:cs="宋体"/>
          <w:sz w:val="21"/>
          <w:szCs w:val="21"/>
        </w:rPr>
      </w:pPr>
      <w:r>
        <w:rPr>
          <w:rFonts w:hint="eastAsia" w:hAnsi="宋体" w:cs="宋体"/>
          <w:snapToGrid w:val="0"/>
          <w:sz w:val="21"/>
          <w:szCs w:val="21"/>
        </w:rPr>
        <w:t>②在得知自己为评审专家身份后至评审结束前时段内私下接触投标人的</w:t>
      </w:r>
      <w:r>
        <w:rPr>
          <w:rFonts w:hint="eastAsia" w:hAnsi="宋体" w:cs="宋体"/>
          <w:sz w:val="21"/>
          <w:szCs w:val="21"/>
        </w:rPr>
        <w:t>；</w:t>
      </w:r>
    </w:p>
    <w:p w14:paraId="6E3A2548">
      <w:pPr>
        <w:autoSpaceDE/>
        <w:autoSpaceDN/>
        <w:snapToGrid w:val="0"/>
        <w:spacing w:line="500" w:lineRule="exact"/>
        <w:ind w:firstLine="420" w:firstLineChars="200"/>
        <w:rPr>
          <w:rFonts w:hAnsi="宋体" w:cs="宋体"/>
          <w:sz w:val="21"/>
          <w:szCs w:val="21"/>
        </w:rPr>
      </w:pPr>
      <w:r>
        <w:rPr>
          <w:rFonts w:hint="eastAsia" w:hAnsi="宋体" w:cs="宋体"/>
          <w:sz w:val="21"/>
          <w:szCs w:val="21"/>
        </w:rPr>
        <w:t>③在评审过程中擅离职守，影响评审程序正常进行的；</w:t>
      </w:r>
    </w:p>
    <w:p w14:paraId="7EC37E25">
      <w:pPr>
        <w:autoSpaceDE/>
        <w:autoSpaceDN/>
        <w:snapToGrid w:val="0"/>
        <w:spacing w:line="500" w:lineRule="exact"/>
        <w:ind w:firstLine="420" w:firstLineChars="200"/>
        <w:rPr>
          <w:rFonts w:hAnsi="宋体" w:cs="宋体"/>
          <w:sz w:val="21"/>
          <w:szCs w:val="21"/>
        </w:rPr>
      </w:pPr>
      <w:r>
        <w:rPr>
          <w:rFonts w:hint="eastAsia" w:hAnsi="宋体" w:cs="宋体"/>
          <w:sz w:val="21"/>
          <w:szCs w:val="21"/>
        </w:rPr>
        <w:t>④在评审过程有明显不合理或者不正当倾向性的；</w:t>
      </w:r>
    </w:p>
    <w:p w14:paraId="38A62A82">
      <w:pPr>
        <w:autoSpaceDE/>
        <w:autoSpaceDN/>
        <w:snapToGrid w:val="0"/>
        <w:spacing w:line="500" w:lineRule="exact"/>
        <w:ind w:firstLine="420" w:firstLineChars="200"/>
        <w:rPr>
          <w:rFonts w:hAnsi="宋体" w:cs="宋体"/>
          <w:sz w:val="21"/>
          <w:szCs w:val="21"/>
        </w:rPr>
      </w:pPr>
      <w:r>
        <w:rPr>
          <w:rFonts w:hint="eastAsia" w:hAnsi="宋体" w:cs="宋体"/>
          <w:sz w:val="21"/>
          <w:szCs w:val="21"/>
        </w:rPr>
        <w:t>⑤未按招标文件规定的评审方法和标准进行评审的。</w:t>
      </w:r>
    </w:p>
    <w:p w14:paraId="23582EF2">
      <w:pPr>
        <w:autoSpaceDE/>
        <w:autoSpaceDN/>
        <w:snapToGrid w:val="0"/>
        <w:spacing w:line="500" w:lineRule="exact"/>
        <w:ind w:firstLine="420" w:firstLineChars="200"/>
        <w:rPr>
          <w:rFonts w:hAnsi="宋体" w:cs="宋体"/>
          <w:sz w:val="21"/>
          <w:szCs w:val="21"/>
        </w:rPr>
      </w:pPr>
      <w:r>
        <w:rPr>
          <w:rFonts w:hint="eastAsia" w:hAnsi="宋体" w:cs="宋体"/>
          <w:sz w:val="21"/>
          <w:szCs w:val="21"/>
        </w:rPr>
        <w:t>⑥上述①至⑤行为影响中标结果的，中标结果无效。</w:t>
      </w:r>
    </w:p>
    <w:p w14:paraId="1E48E67F">
      <w:pPr>
        <w:autoSpaceDE/>
        <w:autoSpaceDN/>
        <w:snapToGrid w:val="0"/>
        <w:spacing w:line="500" w:lineRule="exact"/>
        <w:ind w:firstLine="420" w:firstLineChars="200"/>
        <w:rPr>
          <w:rFonts w:hAnsi="宋体" w:cs="宋体"/>
          <w:sz w:val="21"/>
          <w:szCs w:val="21"/>
        </w:rPr>
      </w:pPr>
      <w:r>
        <w:rPr>
          <w:rFonts w:hint="eastAsia" w:hAnsi="宋体" w:cs="宋体"/>
          <w:sz w:val="21"/>
          <w:szCs w:val="21"/>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88F4ABD">
      <w:pPr>
        <w:autoSpaceDE/>
        <w:autoSpaceDN/>
        <w:snapToGrid w:val="0"/>
        <w:spacing w:line="500" w:lineRule="exact"/>
        <w:ind w:firstLine="420" w:firstLineChars="200"/>
        <w:rPr>
          <w:rFonts w:hAnsi="宋体" w:cs="宋体"/>
          <w:sz w:val="21"/>
          <w:szCs w:val="21"/>
        </w:rPr>
      </w:pPr>
      <w:r>
        <w:rPr>
          <w:rFonts w:hint="eastAsia" w:hAnsi="宋体" w:cs="宋体"/>
          <w:sz w:val="21"/>
          <w:szCs w:val="21"/>
        </w:rPr>
        <w:t>政府采购评审专家与投标人存在利害关系未回避的，处2万元以上5万元以下的罚款，禁止其参加政府采购评审活动。</w:t>
      </w:r>
    </w:p>
    <w:p w14:paraId="796B914C">
      <w:pPr>
        <w:autoSpaceDE/>
        <w:autoSpaceDN/>
        <w:snapToGrid w:val="0"/>
        <w:spacing w:line="500" w:lineRule="exact"/>
        <w:ind w:firstLine="420" w:firstLineChars="200"/>
        <w:rPr>
          <w:rFonts w:hAnsi="宋体" w:cs="宋体"/>
          <w:sz w:val="21"/>
          <w:szCs w:val="21"/>
        </w:rPr>
      </w:pPr>
      <w:r>
        <w:rPr>
          <w:rFonts w:hint="eastAsia" w:hAnsi="宋体" w:cs="宋体"/>
          <w:sz w:val="21"/>
          <w:szCs w:val="21"/>
        </w:rPr>
        <w:t>政府采购评审专家收受采购人、采购代理机构、投标人贿赂或者获取其他不正当利益，构成犯罪的，依法追究刑事责任；尚不构成犯罪的，处2万元以上5万元以下的罚款，禁止其参加政府采购评审活动。</w:t>
      </w:r>
    </w:p>
    <w:p w14:paraId="20A16BE8">
      <w:pPr>
        <w:autoSpaceDE/>
        <w:autoSpaceDN/>
        <w:snapToGrid w:val="0"/>
        <w:spacing w:line="500" w:lineRule="exact"/>
        <w:ind w:firstLine="420" w:firstLineChars="200"/>
        <w:rPr>
          <w:rFonts w:hAnsi="宋体" w:cs="宋体"/>
          <w:sz w:val="21"/>
          <w:szCs w:val="21"/>
        </w:rPr>
      </w:pPr>
      <w:r>
        <w:rPr>
          <w:rFonts w:hint="eastAsia" w:hAnsi="宋体" w:cs="宋体"/>
          <w:sz w:val="21"/>
          <w:szCs w:val="21"/>
        </w:rPr>
        <w:t>政府采购评审专家有上述违法行为的，其评审意见无效，不得获取评审费；有违法所得的，没收违法所得；给他人造成损失的，依法承担民事责任。</w:t>
      </w:r>
    </w:p>
    <w:p w14:paraId="0DC39C38">
      <w:pPr>
        <w:pStyle w:val="45"/>
        <w:adjustRightInd w:val="0"/>
        <w:snapToGrid w:val="0"/>
        <w:spacing w:before="0" w:beforeAutospacing="0" w:after="0" w:afterAutospacing="0" w:line="500" w:lineRule="exact"/>
        <w:ind w:firstLine="422" w:firstLineChars="200"/>
        <w:rPr>
          <w:rFonts w:ascii="宋体" w:cs="宋体"/>
          <w:b/>
          <w:sz w:val="21"/>
          <w:szCs w:val="21"/>
        </w:rPr>
      </w:pPr>
      <w:r>
        <w:rPr>
          <w:rFonts w:hint="eastAsia" w:ascii="宋体" w:cs="宋体"/>
          <w:b/>
          <w:sz w:val="21"/>
          <w:szCs w:val="21"/>
        </w:rPr>
        <w:t>三、评标定标时对政府采购政策的落实要求</w:t>
      </w:r>
    </w:p>
    <w:p w14:paraId="67E70391">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.采购项目需要落实的政府采购政策</w:t>
      </w:r>
    </w:p>
    <w:p w14:paraId="6A0FCDC4">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B58AF7A">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.2 支持绿色发展</w:t>
      </w:r>
    </w:p>
    <w:p w14:paraId="1E883B61">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68D9166">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B901DE">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.3支持中小企业发展</w:t>
      </w:r>
    </w:p>
    <w:p w14:paraId="2970A886">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CC83E89">
      <w:pPr>
        <w:pStyle w:val="45"/>
        <w:widowControl w:val="0"/>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bidi="ar"/>
        </w:rPr>
        <w:t>符合中小企业划分标准的个体工商户，在政府采购活动中视同中小企业。</w:t>
      </w:r>
    </w:p>
    <w:p w14:paraId="5F5B9EBB">
      <w:pPr>
        <w:pStyle w:val="45"/>
        <w:widowControl w:val="0"/>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.3.2在政府采购活动中，供应商提供的货物、工程或者服务符合下列情形的，享受中小企业扶持政策；</w:t>
      </w:r>
    </w:p>
    <w:p w14:paraId="1F651EE9">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.3.2.1在货物采购项目中，货物由中小企业制造，即货物由中小企业生产且使用该中小企业商号或者注册商标；</w:t>
      </w:r>
    </w:p>
    <w:p w14:paraId="2A60B5AE">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.3.2.2在工程采购项目中，工程由中小企业承建，即工程施工单位为中小企业；</w:t>
      </w:r>
    </w:p>
    <w:p w14:paraId="744844DD">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.3.2.3在服务采购项目中，服务由中小企业承接，即提供服务的人员为中小企业依照《中华人民共和国劳动合同法》订立劳动合同的从业人员。</w:t>
      </w:r>
    </w:p>
    <w:p w14:paraId="3830A006">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bidi="ar"/>
        </w:rPr>
        <w:t>在货物采购项目中，供应商提供的货物既有中小企业制造货物，也有大型企业制造货物的，不享受中小企业扶持政策。</w:t>
      </w:r>
    </w:p>
    <w:p w14:paraId="3E8E23B2">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bidi="ar"/>
        </w:rPr>
        <w:t>以联合体形式参加政府采购活动，联合体各方均为中小企业的，联合体视同中小企业。其中，联合体各方均为小微企业的，联合体视同小微企业。</w:t>
      </w:r>
    </w:p>
    <w:p w14:paraId="5E7CB7E1">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A52B1F0">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.3.4符合《关于促进残疾人就业政府采购政策的通知》（财库〔2017〕141号）规定的条件并提供《残疾人福利性单位声明函》（附件1）的残疾人福利性单位视同小型、微型企业。</w:t>
      </w:r>
    </w:p>
    <w:p w14:paraId="7C784A5B">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363959">
      <w:pPr>
        <w:pStyle w:val="45"/>
        <w:widowControl w:val="0"/>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DB55B0E">
      <w:pPr>
        <w:pStyle w:val="45"/>
        <w:widowControl w:val="0"/>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.3.7中小企业享受扶持政策获得政府采购合同的，小微企业不得将合同分包给大中型企业，中型企业不得将合同分包给大型企业。</w:t>
      </w:r>
    </w:p>
    <w:p w14:paraId="6DBFD88F">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.4支持创新发展</w:t>
      </w:r>
    </w:p>
    <w:p w14:paraId="674475CE">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.4.1 采购人优先采购被认定为首台套产品和“制造精品”的自主创新产品。</w:t>
      </w:r>
    </w:p>
    <w:p w14:paraId="6C89DE4D">
      <w:pPr>
        <w:pStyle w:val="45"/>
        <w:adjustRightInd w:val="0"/>
        <w:snapToGrid w:val="0"/>
        <w:spacing w:before="0" w:beforeAutospacing="0" w:after="0" w:afterAutospacing="0" w:line="500" w:lineRule="exact"/>
        <w:ind w:firstLine="420" w:firstLineChars="200"/>
        <w:rPr>
          <w:rFonts w:ascii="宋体" w:cs="宋体"/>
          <w:sz w:val="21"/>
          <w:szCs w:val="21"/>
          <w:lang w:bidi="ar"/>
        </w:rPr>
      </w:pPr>
      <w:r>
        <w:rPr>
          <w:rFonts w:hint="eastAsia" w:ascii="宋体" w:cs="宋体"/>
          <w:sz w:val="21"/>
          <w:szCs w:val="21"/>
          <w:lang w:val="en" w:bidi="ar"/>
        </w:rPr>
        <w:t>1</w:t>
      </w:r>
      <w:r>
        <w:rPr>
          <w:rFonts w:hint="eastAsia" w:ascii="宋体" w:cs="宋体"/>
          <w:sz w:val="21"/>
          <w:szCs w:val="21"/>
          <w:lang w:bidi="ar"/>
        </w:rPr>
        <w:t>.4.2</w:t>
      </w:r>
      <w:r>
        <w:rPr>
          <w:rFonts w:hint="eastAsia" w:ascii="宋体" w:cs="宋体"/>
          <w:b/>
          <w:bCs/>
          <w:sz w:val="21"/>
          <w:szCs w:val="21"/>
          <w:lang w:bidi="ar"/>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sz w:val="21"/>
          <w:szCs w:val="21"/>
          <w:lang w:bidi="ar"/>
        </w:rPr>
        <w:t>。</w:t>
      </w:r>
    </w:p>
    <w:p w14:paraId="5CF3FE63">
      <w:pPr>
        <w:autoSpaceDE/>
        <w:autoSpaceDN/>
        <w:adjustRightInd/>
        <w:spacing w:line="500" w:lineRule="exact"/>
        <w:ind w:firstLine="420" w:firstLineChars="200"/>
        <w:jc w:val="both"/>
        <w:rPr>
          <w:rFonts w:hAnsi="宋体" w:cs="宋体"/>
          <w:b/>
          <w:sz w:val="21"/>
          <w:szCs w:val="21"/>
        </w:rPr>
      </w:pPr>
      <w:r>
        <w:rPr>
          <w:rFonts w:hint="eastAsia" w:hAnsi="宋体" w:cs="宋体"/>
          <w:sz w:val="21"/>
          <w:szCs w:val="21"/>
          <w:lang w:val="en" w:bidi="ar"/>
        </w:rPr>
        <w:t>1</w:t>
      </w:r>
      <w:r>
        <w:rPr>
          <w:rFonts w:hint="eastAsia" w:hAnsi="宋体" w:cs="宋体"/>
          <w:sz w:val="21"/>
          <w:szCs w:val="21"/>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2C462639">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四、特别提示</w:t>
      </w:r>
    </w:p>
    <w:p w14:paraId="7C53516E">
      <w:pPr>
        <w:autoSpaceDE/>
        <w:autoSpaceDN/>
        <w:adjustRightInd/>
        <w:spacing w:line="500" w:lineRule="exact"/>
        <w:ind w:firstLine="420" w:firstLineChars="200"/>
        <w:jc w:val="both"/>
        <w:rPr>
          <w:rFonts w:hAnsi="宋体" w:cs="宋体"/>
          <w:bCs/>
          <w:sz w:val="21"/>
          <w:szCs w:val="21"/>
        </w:rPr>
      </w:pPr>
      <w:r>
        <w:rPr>
          <w:rFonts w:hint="eastAsia" w:hAnsi="宋体" w:cs="宋体"/>
          <w:bCs/>
          <w:sz w:val="21"/>
          <w:szCs w:val="21"/>
        </w:rPr>
        <w:t>根据中华人民共和国财政部令第87号文件第三十一条规定，使用综合评分法的采购项目，提供相同品牌产品（或同品牌核心产品）且通过资格审查、符合性审查的不同投标人参加同一合同项下投标的，按一家投标人计算，评审后综合得分最高的同品牌（或同品牌核心产品）投标人获得中标人推荐资格；评审后综合得分相同的，由招标人或者招标人委托评标委员会按照招标文件规定的方式确定一个投标人获得中标人推荐资格，招标文件未规定的采取随机抽取方式确定，其他同品牌（核心产品）投标人不作为中标候选人。评审后综合相同的,本项目将按随机抽取方式确定一个投标人获得中标人推荐资格。</w:t>
      </w:r>
    </w:p>
    <w:p w14:paraId="3A35D3B0">
      <w:pPr>
        <w:autoSpaceDE/>
        <w:autoSpaceDN/>
        <w:adjustRightInd/>
        <w:spacing w:line="500" w:lineRule="exact"/>
        <w:ind w:firstLine="422" w:firstLineChars="200"/>
        <w:jc w:val="both"/>
        <w:rPr>
          <w:rFonts w:hAnsi="宋体" w:cs="宋体"/>
          <w:b/>
          <w:sz w:val="21"/>
          <w:szCs w:val="21"/>
          <w:highlight w:val="none"/>
        </w:rPr>
      </w:pPr>
      <w:r>
        <w:rPr>
          <w:rFonts w:hint="eastAsia" w:hAnsi="宋体" w:cs="宋体"/>
          <w:b/>
          <w:sz w:val="21"/>
          <w:szCs w:val="21"/>
          <w:highlight w:val="none"/>
        </w:rPr>
        <w:t xml:space="preserve">核心产品：高清录播主机 </w:t>
      </w:r>
    </w:p>
    <w:p w14:paraId="6245874C">
      <w:pPr>
        <w:autoSpaceDE/>
        <w:autoSpaceDN/>
        <w:adjustRightInd/>
        <w:spacing w:line="500" w:lineRule="exact"/>
        <w:ind w:firstLine="422" w:firstLineChars="200"/>
        <w:jc w:val="both"/>
        <w:outlineLvl w:val="0"/>
        <w:rPr>
          <w:rFonts w:hAnsi="宋体" w:cs="宋体"/>
          <w:b/>
          <w:sz w:val="21"/>
          <w:szCs w:val="21"/>
        </w:rPr>
      </w:pPr>
      <w:bookmarkStart w:id="89" w:name="_Toc30745"/>
      <w:bookmarkStart w:id="90" w:name="_Toc6131"/>
      <w:r>
        <w:rPr>
          <w:rFonts w:hint="eastAsia" w:hAnsi="宋体" w:cs="宋体"/>
          <w:b/>
          <w:sz w:val="21"/>
          <w:szCs w:val="21"/>
        </w:rPr>
        <w:t>五、评标内容及标准</w:t>
      </w:r>
      <w:bookmarkEnd w:id="89"/>
      <w:bookmarkEnd w:id="90"/>
    </w:p>
    <w:p w14:paraId="2DDD8C44">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（一）价格分（30分）</w:t>
      </w:r>
    </w:p>
    <w:p w14:paraId="4350F08F">
      <w:pPr>
        <w:autoSpaceDE/>
        <w:autoSpaceDN/>
        <w:adjustRightInd/>
        <w:spacing w:line="460" w:lineRule="exact"/>
        <w:ind w:firstLine="420" w:firstLineChars="200"/>
        <w:jc w:val="both"/>
        <w:rPr>
          <w:rFonts w:hAnsi="宋体" w:cs="宋体"/>
          <w:sz w:val="21"/>
          <w:szCs w:val="21"/>
        </w:rPr>
      </w:pPr>
      <w:r>
        <w:rPr>
          <w:rFonts w:hint="eastAsia" w:hAnsi="宋体" w:cs="宋体"/>
          <w:sz w:val="21"/>
          <w:szCs w:val="21"/>
        </w:rPr>
        <w:t>1.价格分采用低价优先法计算，即：以满足招标文件要求且进行了政策性价格扣除后，以评审价格的最低价者定为评标基准价，其价格分为满分。其他投标人的价格分统一按照下列公式计算：</w:t>
      </w:r>
    </w:p>
    <w:p w14:paraId="6B9B1D2F">
      <w:pPr>
        <w:autoSpaceDE/>
        <w:autoSpaceDN/>
        <w:adjustRightInd/>
        <w:spacing w:line="460" w:lineRule="exact"/>
        <w:ind w:firstLine="422" w:firstLineChars="200"/>
        <w:jc w:val="both"/>
        <w:rPr>
          <w:rFonts w:hAnsi="宋体" w:cs="宋体"/>
          <w:b/>
          <w:sz w:val="21"/>
          <w:szCs w:val="21"/>
        </w:rPr>
      </w:pPr>
      <w:r>
        <w:rPr>
          <w:rFonts w:hint="eastAsia" w:hAnsi="宋体" w:cs="宋体"/>
          <w:b/>
          <w:sz w:val="21"/>
          <w:szCs w:val="21"/>
        </w:rPr>
        <w:t xml:space="preserve">其他投标人的价格分=（评标基准价/投标人评审价格）×30%×100 </w:t>
      </w:r>
    </w:p>
    <w:p w14:paraId="6EE3C405">
      <w:pPr>
        <w:autoSpaceDE/>
        <w:autoSpaceDN/>
        <w:adjustRightInd/>
        <w:spacing w:line="500" w:lineRule="exact"/>
        <w:ind w:firstLine="420" w:firstLineChars="200"/>
        <w:rPr>
          <w:sz w:val="21"/>
          <w:szCs w:val="21"/>
        </w:rPr>
      </w:pPr>
      <w:r>
        <w:rPr>
          <w:rFonts w:hint="eastAsia"/>
          <w:sz w:val="21"/>
          <w:szCs w:val="21"/>
        </w:rPr>
        <w:t>2.价格评审过程中，评标委员会认为</w:t>
      </w:r>
      <w:r>
        <w:rPr>
          <w:rFonts w:hint="eastAsia" w:hAnsi="宋体" w:cs="宋体"/>
          <w:sz w:val="21"/>
          <w:szCs w:val="21"/>
        </w:rPr>
        <w:t>投标人</w:t>
      </w:r>
      <w:r>
        <w:rPr>
          <w:rFonts w:hint="eastAsia"/>
          <w:sz w:val="21"/>
          <w:szCs w:val="21"/>
        </w:rPr>
        <w:t>的报价明显低于其他通过符合性审查投标人的报价且报价低于项目预算50%时，有可能影响产品（或服务、工程）质量或者不能诚信履约的，应当要求其在评标现场合理的时间内提供书面说明，以详细阐述不影响产品（或服务、工程）质量或者诚信履约的具体原因，必要时提交相关证明材料；</w:t>
      </w:r>
      <w:r>
        <w:rPr>
          <w:rFonts w:hint="eastAsia" w:hAnsi="宋体" w:cs="宋体"/>
          <w:sz w:val="21"/>
          <w:szCs w:val="21"/>
        </w:rPr>
        <w:t>投标人</w:t>
      </w:r>
      <w:r>
        <w:rPr>
          <w:rFonts w:hint="eastAsia"/>
          <w:sz w:val="21"/>
          <w:szCs w:val="21"/>
        </w:rPr>
        <w:t>不能证明其报价合理性的，评标委员会应当将其作为无效投标处理。在有效</w:t>
      </w:r>
      <w:r>
        <w:rPr>
          <w:rFonts w:hint="eastAsia" w:hAnsi="宋体" w:cs="宋体"/>
          <w:sz w:val="21"/>
          <w:szCs w:val="21"/>
        </w:rPr>
        <w:t>投标人</w:t>
      </w:r>
      <w:r>
        <w:rPr>
          <w:rFonts w:hint="eastAsia"/>
          <w:sz w:val="21"/>
          <w:szCs w:val="21"/>
        </w:rPr>
        <w:t>数满足法定人数的前提下，评标委员会依次确定满足招标文件要求且</w:t>
      </w:r>
      <w:r>
        <w:rPr>
          <w:rFonts w:hint="eastAsia" w:hAnsi="宋体" w:cs="宋体"/>
          <w:sz w:val="21"/>
          <w:szCs w:val="21"/>
        </w:rPr>
        <w:t>经政策性价格扣除后评审价格</w:t>
      </w:r>
      <w:r>
        <w:rPr>
          <w:rFonts w:hint="eastAsia"/>
          <w:sz w:val="21"/>
          <w:szCs w:val="21"/>
        </w:rPr>
        <w:t>最低的有效</w:t>
      </w:r>
      <w:r>
        <w:rPr>
          <w:rFonts w:hint="eastAsia" w:hAnsi="宋体" w:cs="宋体"/>
          <w:sz w:val="21"/>
          <w:szCs w:val="21"/>
        </w:rPr>
        <w:t>评审价格</w:t>
      </w:r>
      <w:r>
        <w:rPr>
          <w:rFonts w:hint="eastAsia"/>
          <w:sz w:val="21"/>
          <w:szCs w:val="21"/>
        </w:rPr>
        <w:t>为评标基准价。</w:t>
      </w:r>
    </w:p>
    <w:p w14:paraId="409A36C3">
      <w:pPr>
        <w:autoSpaceDE/>
        <w:autoSpaceDN/>
        <w:adjustRightInd/>
        <w:spacing w:line="460" w:lineRule="exact"/>
        <w:ind w:firstLine="422" w:firstLineChars="200"/>
        <w:jc w:val="both"/>
        <w:rPr>
          <w:rFonts w:hAnsi="宋体" w:cs="宋体"/>
          <w:b/>
          <w:sz w:val="21"/>
          <w:szCs w:val="21"/>
        </w:rPr>
      </w:pPr>
      <w:r>
        <w:rPr>
          <w:rFonts w:hint="eastAsia" w:hAnsi="宋体" w:cs="宋体"/>
          <w:b/>
          <w:sz w:val="21"/>
          <w:szCs w:val="21"/>
        </w:rPr>
        <w:t>3.</w:t>
      </w:r>
      <w:r>
        <w:rPr>
          <w:rFonts w:hint="eastAsia" w:hAnsi="宋体" w:cs="宋体"/>
          <w:b/>
          <w:bCs/>
          <w:sz w:val="21"/>
          <w:szCs w:val="21"/>
        </w:rPr>
        <w:t>投标人的投标报价超过招标人设定的上限价（最高限价），其价格标作无效标处理</w:t>
      </w:r>
      <w:r>
        <w:rPr>
          <w:rFonts w:hint="eastAsia" w:hAnsi="宋体" w:cs="宋体"/>
          <w:b/>
          <w:sz w:val="21"/>
          <w:szCs w:val="21"/>
        </w:rPr>
        <w:t>。</w:t>
      </w:r>
    </w:p>
    <w:p w14:paraId="7848FF3D">
      <w:pPr>
        <w:autoSpaceDE/>
        <w:autoSpaceDN/>
        <w:adjustRightInd/>
        <w:spacing w:line="460" w:lineRule="exact"/>
        <w:ind w:firstLine="422" w:firstLineChars="200"/>
        <w:jc w:val="both"/>
        <w:rPr>
          <w:rFonts w:hAnsi="宋体" w:cs="宋体"/>
          <w:b/>
          <w:bCs/>
          <w:sz w:val="21"/>
          <w:szCs w:val="21"/>
        </w:rPr>
      </w:pPr>
      <w:r>
        <w:rPr>
          <w:rFonts w:hint="eastAsia" w:hAnsi="宋体" w:cs="宋体"/>
          <w:b/>
          <w:sz w:val="21"/>
          <w:szCs w:val="21"/>
        </w:rPr>
        <w:t>4.</w:t>
      </w:r>
      <w:r>
        <w:rPr>
          <w:rFonts w:hint="eastAsia" w:hAnsi="宋体" w:cs="宋体"/>
          <w:b/>
          <w:bCs/>
          <w:sz w:val="21"/>
          <w:szCs w:val="21"/>
        </w:rPr>
        <w:t>依照《政府采购促进中小企业发展管理办法》、《财政部 民政部 中国残疾人联合会关于促进残疾人就业政府采购政策的通知》（财库〔2017〕141号）、《财政部、司法部关于政府采购支持监狱企业发展有关问题的通知》（财库〔2014〕68号）的规定，对符合相关要求的有效供应商，按照以下比例给予相应的价格扣除，以确定该供应商的报价评审价格：</w:t>
      </w:r>
    </w:p>
    <w:tbl>
      <w:tblPr>
        <w:tblStyle w:val="50"/>
        <w:tblW w:w="0" w:type="auto"/>
        <w:jc w:val="center"/>
        <w:tblLayout w:type="fixed"/>
        <w:tblCellMar>
          <w:top w:w="0" w:type="dxa"/>
          <w:left w:w="108" w:type="dxa"/>
          <w:bottom w:w="0" w:type="dxa"/>
          <w:right w:w="108" w:type="dxa"/>
        </w:tblCellMar>
      </w:tblPr>
      <w:tblGrid>
        <w:gridCol w:w="728"/>
        <w:gridCol w:w="3584"/>
        <w:gridCol w:w="1870"/>
        <w:gridCol w:w="2983"/>
      </w:tblGrid>
      <w:tr w14:paraId="67F5B80C">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0" w:type="dxa"/>
              <w:bottom w:w="0" w:type="dxa"/>
              <w:right w:w="0" w:type="dxa"/>
            </w:tcMar>
            <w:vAlign w:val="center"/>
          </w:tcPr>
          <w:p w14:paraId="0B07A5C3">
            <w:pPr>
              <w:spacing w:line="460" w:lineRule="exact"/>
              <w:ind w:left="149"/>
              <w:jc w:val="both"/>
              <w:rPr>
                <w:rFonts w:hAnsi="宋体" w:cs="宋体"/>
                <w:sz w:val="21"/>
                <w:szCs w:val="21"/>
              </w:rPr>
            </w:pPr>
            <w:r>
              <w:rPr>
                <w:rFonts w:hint="eastAsia" w:hAnsi="宋体" w:cs="宋体"/>
                <w:spacing w:val="-1"/>
                <w:sz w:val="21"/>
                <w:szCs w:val="21"/>
              </w:rPr>
              <w:t>序号</w:t>
            </w:r>
          </w:p>
        </w:tc>
        <w:tc>
          <w:tcPr>
            <w:tcW w:w="3584" w:type="dxa"/>
            <w:tcBorders>
              <w:top w:val="single" w:color="000000" w:sz="6" w:space="0"/>
              <w:left w:val="nil"/>
              <w:bottom w:val="single" w:color="000000" w:sz="6" w:space="0"/>
              <w:right w:val="single" w:color="000000" w:sz="6" w:space="0"/>
            </w:tcBorders>
            <w:shd w:val="clear" w:color="auto" w:fill="FFFFFF" w:themeFill="background1"/>
            <w:tcMar>
              <w:top w:w="0" w:type="dxa"/>
              <w:left w:w="0" w:type="dxa"/>
              <w:bottom w:w="0" w:type="dxa"/>
              <w:right w:w="0" w:type="dxa"/>
            </w:tcMar>
            <w:vAlign w:val="center"/>
          </w:tcPr>
          <w:p w14:paraId="0EF4BB82">
            <w:pPr>
              <w:spacing w:line="460" w:lineRule="exact"/>
              <w:jc w:val="center"/>
              <w:rPr>
                <w:rFonts w:hAnsi="宋体" w:cs="宋体"/>
                <w:sz w:val="21"/>
                <w:szCs w:val="21"/>
              </w:rPr>
            </w:pPr>
            <w:r>
              <w:rPr>
                <w:rFonts w:hint="eastAsia" w:hAnsi="宋体" w:cs="宋体"/>
                <w:spacing w:val="-1"/>
                <w:sz w:val="21"/>
                <w:szCs w:val="21"/>
              </w:rPr>
              <w:t>情形</w:t>
            </w:r>
          </w:p>
        </w:tc>
        <w:tc>
          <w:tcPr>
            <w:tcW w:w="1870" w:type="dxa"/>
            <w:tcBorders>
              <w:top w:val="single" w:color="000000" w:sz="6" w:space="0"/>
              <w:left w:val="nil"/>
              <w:bottom w:val="single" w:color="000000" w:sz="6" w:space="0"/>
              <w:right w:val="single" w:color="000000" w:sz="6" w:space="0"/>
            </w:tcBorders>
            <w:shd w:val="clear" w:color="auto" w:fill="FFFFFF" w:themeFill="background1"/>
            <w:tcMar>
              <w:top w:w="0" w:type="dxa"/>
              <w:left w:w="0" w:type="dxa"/>
              <w:bottom w:w="0" w:type="dxa"/>
              <w:right w:w="0" w:type="dxa"/>
            </w:tcMar>
            <w:vAlign w:val="center"/>
          </w:tcPr>
          <w:p w14:paraId="5234EE4F">
            <w:pPr>
              <w:spacing w:line="460" w:lineRule="exact"/>
              <w:jc w:val="center"/>
              <w:rPr>
                <w:rFonts w:hAnsi="宋体" w:cs="宋体"/>
                <w:sz w:val="21"/>
                <w:szCs w:val="21"/>
              </w:rPr>
            </w:pPr>
            <w:r>
              <w:rPr>
                <w:rFonts w:hint="eastAsia" w:hAnsi="宋体" w:cs="宋体"/>
                <w:spacing w:val="-1"/>
                <w:sz w:val="21"/>
                <w:szCs w:val="21"/>
              </w:rPr>
              <w:t>评审价格扣除比例</w:t>
            </w:r>
          </w:p>
        </w:tc>
        <w:tc>
          <w:tcPr>
            <w:tcW w:w="2983" w:type="dxa"/>
            <w:tcBorders>
              <w:top w:val="single" w:color="000000" w:sz="6" w:space="0"/>
              <w:left w:val="nil"/>
              <w:bottom w:val="single" w:color="000000" w:sz="6" w:space="0"/>
              <w:right w:val="single" w:color="000000" w:sz="6" w:space="0"/>
            </w:tcBorders>
            <w:shd w:val="clear" w:color="auto" w:fill="FFFFFF" w:themeFill="background1"/>
            <w:tcMar>
              <w:top w:w="0" w:type="dxa"/>
              <w:left w:w="0" w:type="dxa"/>
              <w:bottom w:w="0" w:type="dxa"/>
              <w:right w:w="0" w:type="dxa"/>
            </w:tcMar>
            <w:vAlign w:val="center"/>
          </w:tcPr>
          <w:p w14:paraId="2B5B18A5">
            <w:pPr>
              <w:spacing w:line="460" w:lineRule="exact"/>
              <w:jc w:val="center"/>
              <w:rPr>
                <w:rFonts w:hAnsi="宋体" w:cs="宋体"/>
                <w:sz w:val="21"/>
                <w:szCs w:val="21"/>
              </w:rPr>
            </w:pPr>
            <w:r>
              <w:rPr>
                <w:rFonts w:hint="eastAsia" w:hAnsi="宋体" w:cs="宋体"/>
                <w:spacing w:val="-1"/>
                <w:sz w:val="21"/>
                <w:szCs w:val="21"/>
              </w:rPr>
              <w:t>计算公式</w:t>
            </w:r>
          </w:p>
        </w:tc>
      </w:tr>
      <w:tr w14:paraId="6AAC2C86">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80402A1">
            <w:pPr>
              <w:spacing w:line="460" w:lineRule="exact"/>
              <w:jc w:val="center"/>
              <w:rPr>
                <w:rFonts w:hAnsi="宋体" w:cs="宋体"/>
                <w:sz w:val="21"/>
                <w:szCs w:val="21"/>
              </w:rPr>
            </w:pPr>
            <w:r>
              <w:rPr>
                <w:rFonts w:hint="eastAsia" w:hAnsi="宋体" w:cs="宋体"/>
                <w:spacing w:val="-1"/>
                <w:sz w:val="21"/>
                <w:szCs w:val="21"/>
              </w:rPr>
              <w:t>1</w:t>
            </w:r>
          </w:p>
        </w:tc>
        <w:tc>
          <w:tcPr>
            <w:tcW w:w="358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B19B2DC">
            <w:pPr>
              <w:spacing w:line="460" w:lineRule="exact"/>
              <w:ind w:left="107"/>
              <w:rPr>
                <w:rFonts w:hAnsi="宋体" w:cs="宋体"/>
                <w:sz w:val="21"/>
                <w:szCs w:val="21"/>
              </w:rPr>
            </w:pPr>
            <w:r>
              <w:rPr>
                <w:rFonts w:hint="eastAsia" w:hAnsi="宋体" w:cs="宋体"/>
                <w:sz w:val="21"/>
                <w:szCs w:val="21"/>
              </w:rPr>
              <w:t>投标人</w:t>
            </w:r>
            <w:r>
              <w:rPr>
                <w:rFonts w:hint="eastAsia" w:hAnsi="宋体" w:cs="宋体"/>
                <w:spacing w:val="-1"/>
                <w:sz w:val="21"/>
                <w:szCs w:val="21"/>
              </w:rPr>
              <w:t>所提供货物</w:t>
            </w:r>
            <w:r>
              <w:rPr>
                <w:rFonts w:hint="eastAsia" w:hAnsi="宋体" w:cs="宋体"/>
                <w:kern w:val="2"/>
                <w:sz w:val="21"/>
                <w:szCs w:val="21"/>
              </w:rPr>
              <w:t>全部由小型和微型企业生产且使用该小型和微型企业商号或者注册商标</w:t>
            </w:r>
          </w:p>
        </w:tc>
        <w:tc>
          <w:tcPr>
            <w:tcW w:w="187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EA736BC">
            <w:pPr>
              <w:spacing w:line="460" w:lineRule="exact"/>
              <w:ind w:left="108"/>
              <w:jc w:val="center"/>
              <w:rPr>
                <w:rFonts w:hAnsi="宋体" w:cs="宋体"/>
                <w:sz w:val="21"/>
                <w:szCs w:val="21"/>
              </w:rPr>
            </w:pPr>
            <w:r>
              <w:rPr>
                <w:rFonts w:hint="eastAsia" w:hAnsi="宋体" w:cs="宋体"/>
                <w:spacing w:val="-1"/>
                <w:sz w:val="21"/>
                <w:szCs w:val="21"/>
              </w:rPr>
              <w:t>10%</w:t>
            </w:r>
          </w:p>
        </w:tc>
        <w:tc>
          <w:tcPr>
            <w:tcW w:w="2983"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0974E50">
            <w:pPr>
              <w:spacing w:line="460" w:lineRule="exact"/>
              <w:ind w:left="108"/>
              <w:jc w:val="center"/>
              <w:rPr>
                <w:rFonts w:hAnsi="宋体" w:cs="宋体"/>
                <w:sz w:val="21"/>
                <w:szCs w:val="21"/>
              </w:rPr>
            </w:pPr>
            <w:r>
              <w:rPr>
                <w:rFonts w:hint="eastAsia" w:hAnsi="宋体" w:cs="宋体"/>
                <w:spacing w:val="-1"/>
                <w:sz w:val="21"/>
                <w:szCs w:val="21"/>
              </w:rPr>
              <w:t>评审价格＝投标报价×(1-10%)</w:t>
            </w:r>
          </w:p>
        </w:tc>
      </w:tr>
    </w:tbl>
    <w:p w14:paraId="145D5090">
      <w:pPr>
        <w:autoSpaceDE/>
        <w:autoSpaceDN/>
        <w:adjustRightInd/>
        <w:spacing w:line="460" w:lineRule="exact"/>
        <w:ind w:firstLine="420" w:firstLineChars="200"/>
        <w:jc w:val="both"/>
        <w:rPr>
          <w:rFonts w:hAnsi="宋体" w:cs="宋体"/>
          <w:sz w:val="21"/>
          <w:szCs w:val="21"/>
        </w:rPr>
      </w:pPr>
      <w:r>
        <w:rPr>
          <w:rFonts w:hint="eastAsia" w:hAnsi="宋体" w:cs="宋体"/>
          <w:sz w:val="21"/>
          <w:szCs w:val="21"/>
        </w:rPr>
        <w:t>注：①投标人所提供货物全部或部分由大型或中型企业制造，或使用大型或中型企业商号或者注册商标的，不享受以上评审价格扣除优惠；②“中小企业”是指在中华人民共和国境内依法设立，依据国务院批准的中小企业划分标准确定的中型企业、小型企业和微型企业，但与大企业的负责人为同一人，或者与大企业存在直接控股、管理关系的除外；本项目采购标的对应的中小企业划分标准所属行业为中小企业划型标准规定（工信部联企业〔2011〕300号）中的“工业”行业；③符合中小企业划分标准的个体工商户，在本项目采购活动中视同中小企业；④残疾人福利性单位或监狱企业视同小型、微型企业执行。</w:t>
      </w:r>
    </w:p>
    <w:p w14:paraId="20CE0746">
      <w:pPr>
        <w:numPr>
          <w:ilvl w:val="0"/>
          <w:numId w:val="2"/>
        </w:numPr>
        <w:autoSpaceDE/>
        <w:autoSpaceDN/>
        <w:adjustRightInd/>
        <w:spacing w:line="500" w:lineRule="exact"/>
        <w:ind w:firstLine="422" w:firstLineChars="200"/>
        <w:jc w:val="both"/>
        <w:rPr>
          <w:rFonts w:hAnsi="宋体" w:cs="宋体"/>
          <w:b/>
          <w:bCs/>
          <w:sz w:val="21"/>
          <w:szCs w:val="21"/>
        </w:rPr>
      </w:pPr>
      <w:r>
        <w:rPr>
          <w:rFonts w:hint="eastAsia" w:hAnsi="宋体" w:cs="宋体"/>
          <w:b/>
          <w:bCs/>
          <w:sz w:val="21"/>
          <w:szCs w:val="21"/>
        </w:rPr>
        <w:t>技术商务分（70分）</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477"/>
        <w:gridCol w:w="6499"/>
        <w:gridCol w:w="666"/>
      </w:tblGrid>
      <w:tr w14:paraId="7CED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Align w:val="center"/>
          </w:tcPr>
          <w:p w14:paraId="0F59F13D">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776" w:type="pct"/>
            <w:vAlign w:val="center"/>
          </w:tcPr>
          <w:p w14:paraId="7B657994">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评分项目</w:t>
            </w:r>
          </w:p>
        </w:tc>
        <w:tc>
          <w:tcPr>
            <w:tcW w:w="3414" w:type="pct"/>
            <w:vAlign w:val="center"/>
          </w:tcPr>
          <w:p w14:paraId="2A90C4CE">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350" w:type="pct"/>
            <w:vAlign w:val="center"/>
          </w:tcPr>
          <w:p w14:paraId="2088A3AA">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r>
      <w:tr w14:paraId="675A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58" w:type="pct"/>
            <w:vAlign w:val="center"/>
          </w:tcPr>
          <w:p w14:paraId="58569804">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bookmarkStart w:id="91" w:name="OLE_LINK1" w:colFirst="3" w:colLast="3"/>
            <w:bookmarkStart w:id="92" w:name="OLE_LINK2" w:colFirst="3" w:colLast="3"/>
            <w:r>
              <w:rPr>
                <w:rFonts w:hint="eastAsia" w:ascii="宋体" w:hAnsi="宋体" w:eastAsia="宋体" w:cs="宋体"/>
                <w:sz w:val="21"/>
                <w:szCs w:val="21"/>
                <w:highlight w:val="none"/>
              </w:rPr>
              <w:t>1</w:t>
            </w:r>
          </w:p>
        </w:tc>
        <w:tc>
          <w:tcPr>
            <w:tcW w:w="776" w:type="pct"/>
            <w:vAlign w:val="center"/>
          </w:tcPr>
          <w:p w14:paraId="51E3ECAB">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性能及技术指标</w:t>
            </w:r>
          </w:p>
        </w:tc>
        <w:tc>
          <w:tcPr>
            <w:tcW w:w="3414" w:type="pct"/>
            <w:vAlign w:val="center"/>
          </w:tcPr>
          <w:p w14:paraId="203770A1">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根据各投标人所投货物技术性能、功能以及对招标文件各项技术要求的逐项响应承诺等方面情况由评委进行评分。</w:t>
            </w:r>
          </w:p>
          <w:p w14:paraId="0E413B7F">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w:t>
            </w:r>
            <w:r>
              <w:rPr>
                <w:rFonts w:hint="eastAsia" w:hAnsi="宋体" w:cs="宋体"/>
                <w:sz w:val="21"/>
                <w:szCs w:val="21"/>
                <w:highlight w:val="none"/>
                <w:lang w:val="en-US" w:eastAsia="zh-CN" w:bidi="ar"/>
              </w:rPr>
              <w:t>.</w:t>
            </w:r>
            <w:r>
              <w:rPr>
                <w:rFonts w:hint="eastAsia" w:ascii="宋体" w:hAnsi="宋体" w:eastAsia="宋体" w:cs="宋体"/>
                <w:sz w:val="21"/>
                <w:szCs w:val="21"/>
                <w:highlight w:val="none"/>
                <w:lang w:bidi="ar"/>
              </w:rPr>
              <w:t>标▲的招标参数部分，完全满足或优于招标文件要求，得15分；每负偏离一项扣0.5分，扣完15分为止；</w:t>
            </w:r>
          </w:p>
          <w:p w14:paraId="7FBE3BA2">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w:t>
            </w:r>
            <w:r>
              <w:rPr>
                <w:rFonts w:hint="eastAsia" w:hAnsi="宋体" w:cs="宋体"/>
                <w:sz w:val="21"/>
                <w:szCs w:val="21"/>
                <w:highlight w:val="none"/>
                <w:lang w:val="en-US" w:eastAsia="zh-CN" w:bidi="ar"/>
              </w:rPr>
              <w:t>.</w:t>
            </w:r>
            <w:bookmarkStart w:id="122" w:name="_GoBack"/>
            <w:bookmarkEnd w:id="122"/>
            <w:r>
              <w:rPr>
                <w:rFonts w:hint="eastAsia" w:ascii="宋体" w:hAnsi="宋体" w:eastAsia="宋体" w:cs="宋体"/>
                <w:sz w:val="21"/>
                <w:szCs w:val="21"/>
                <w:highlight w:val="none"/>
                <w:lang w:bidi="ar"/>
              </w:rPr>
              <w:t>除标▲的其他招标参数部分，技术、性能指标或者辅助功能项目发生负偏离达20项（含）以上的，投标文件将被视为无效。</w:t>
            </w:r>
          </w:p>
          <w:p w14:paraId="17454A3E">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招标需求中需要提供相关佐证材料，参数或功能须在佐证材料内着重标注，须提供佐证材料扫描件，不提供作负偏离（扣分）处理。</w:t>
            </w:r>
          </w:p>
        </w:tc>
        <w:tc>
          <w:tcPr>
            <w:tcW w:w="350" w:type="pct"/>
            <w:vAlign w:val="center"/>
          </w:tcPr>
          <w:p w14:paraId="0DA4A2A6">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r>
      <w:tr w14:paraId="069D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 w:type="pct"/>
            <w:vAlign w:val="center"/>
          </w:tcPr>
          <w:p w14:paraId="780CE962">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76" w:type="pct"/>
            <w:vAlign w:val="center"/>
          </w:tcPr>
          <w:p w14:paraId="37DD03CD">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调研及整体设计方案</w:t>
            </w:r>
          </w:p>
        </w:tc>
        <w:tc>
          <w:tcPr>
            <w:tcW w:w="3414" w:type="pct"/>
            <w:vAlign w:val="center"/>
          </w:tcPr>
          <w:p w14:paraId="20AD7E6E">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针对本项目进行的项目需求调研及技术理解方案进行综合评价，对项目所需产品的技术服务理解和所能到达的使用目的深入透彻，调研及技术方案整体框架清晰，阐述内容主次分明。所阐述方案内容齐全、结构完整、表述准确、条理清晰,与需求完全吻合得5分，内容不合理的或者缺漏或者描述有欠缺的每处扣1分，累计扣完本项分值为止。</w:t>
            </w:r>
          </w:p>
        </w:tc>
        <w:tc>
          <w:tcPr>
            <w:tcW w:w="350" w:type="pct"/>
            <w:vAlign w:val="center"/>
          </w:tcPr>
          <w:p w14:paraId="2ABE1049">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r>
      <w:tr w14:paraId="7039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 w:type="pct"/>
            <w:vAlign w:val="center"/>
          </w:tcPr>
          <w:p w14:paraId="466C6364">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776" w:type="pct"/>
            <w:vAlign w:val="center"/>
          </w:tcPr>
          <w:p w14:paraId="49B3E71F">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权威认证</w:t>
            </w:r>
          </w:p>
        </w:tc>
        <w:tc>
          <w:tcPr>
            <w:tcW w:w="3414" w:type="pct"/>
            <w:vAlign w:val="center"/>
          </w:tcPr>
          <w:p w14:paraId="685E4E6D">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投标人具有诚信管理体系认证证书、业务连续性管理体系认证证书、信息技术服务标准符合性证书，信息技术服务管理体系证书每个证书得1分，共计4分。（需提供相关证明材料，未提供不得分）</w:t>
            </w:r>
          </w:p>
        </w:tc>
        <w:tc>
          <w:tcPr>
            <w:tcW w:w="350" w:type="pct"/>
            <w:vAlign w:val="center"/>
          </w:tcPr>
          <w:p w14:paraId="05A074B2">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r>
      <w:bookmarkEnd w:id="91"/>
      <w:tr w14:paraId="1F5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8" w:type="pct"/>
            <w:vAlign w:val="center"/>
          </w:tcPr>
          <w:p w14:paraId="2BDC48DD">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776" w:type="pct"/>
            <w:vMerge w:val="restart"/>
            <w:vAlign w:val="center"/>
          </w:tcPr>
          <w:p w14:paraId="03440319">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项目实施方案</w:t>
            </w:r>
          </w:p>
        </w:tc>
        <w:tc>
          <w:tcPr>
            <w:tcW w:w="3414" w:type="pct"/>
            <w:vAlign w:val="center"/>
          </w:tcPr>
          <w:p w14:paraId="624DAB93">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项目组织实施方案的科学性、合理性、规范性和可操作性情况打分：包括是否具有完备的管理组织、项目实施规范、是否有完善的质量管理体系。所阐述方案内容齐全、结构完整、表述准确、条理清晰,与需求完全吻合得2分，内容不合理的或者缺漏或者描述有欠缺的每处扣1分，累计扣完本项分值为止。</w:t>
            </w:r>
          </w:p>
        </w:tc>
        <w:tc>
          <w:tcPr>
            <w:tcW w:w="350" w:type="pct"/>
            <w:vAlign w:val="center"/>
          </w:tcPr>
          <w:p w14:paraId="2056C18D">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34E1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8" w:type="pct"/>
            <w:vAlign w:val="center"/>
          </w:tcPr>
          <w:p w14:paraId="45DE4BFE">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76" w:type="pct"/>
            <w:vMerge w:val="continue"/>
            <w:vAlign w:val="center"/>
          </w:tcPr>
          <w:p w14:paraId="30F61900">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p>
        </w:tc>
        <w:tc>
          <w:tcPr>
            <w:tcW w:w="3414" w:type="pct"/>
            <w:vAlign w:val="center"/>
          </w:tcPr>
          <w:p w14:paraId="5A8040EF">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项目进度安排及进度控制是否科学合理；人员职责分配情况是否健全等整体情况进行综合评分。所阐述方案内容齐全、结构完整、表述准确、条理清晰,与需求完全吻合得2分，内容不合理的或者缺漏或者描述有欠缺的每处扣1分，累计扣完本项分值为止。</w:t>
            </w:r>
          </w:p>
        </w:tc>
        <w:tc>
          <w:tcPr>
            <w:tcW w:w="350" w:type="pct"/>
            <w:vAlign w:val="center"/>
          </w:tcPr>
          <w:p w14:paraId="3FCCF6FB">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543E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8" w:type="pct"/>
            <w:vAlign w:val="center"/>
          </w:tcPr>
          <w:p w14:paraId="1FAA92B0">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776" w:type="pct"/>
            <w:vMerge w:val="continue"/>
            <w:vAlign w:val="center"/>
          </w:tcPr>
          <w:p w14:paraId="6AD7DEC5">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p>
        </w:tc>
        <w:tc>
          <w:tcPr>
            <w:tcW w:w="3414" w:type="pct"/>
            <w:vAlign w:val="center"/>
          </w:tcPr>
          <w:p w14:paraId="4D958BB0">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技术支持方案，根据方案的完整性、项目需求匹配性等情况评分。所阐述方案内容齐全、结构完整、表述准确、条理清晰,与需求完全吻合得2分，内容不合理的或者缺漏或者描述有欠缺的每处扣1分，累计扣完本项分值为止。</w:t>
            </w:r>
          </w:p>
        </w:tc>
        <w:tc>
          <w:tcPr>
            <w:tcW w:w="350" w:type="pct"/>
            <w:vAlign w:val="center"/>
          </w:tcPr>
          <w:p w14:paraId="1F18B77B">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4CAF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8" w:type="pct"/>
            <w:vAlign w:val="center"/>
          </w:tcPr>
          <w:p w14:paraId="0295A4FA">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776" w:type="pct"/>
            <w:vMerge w:val="continue"/>
            <w:vAlign w:val="center"/>
          </w:tcPr>
          <w:p w14:paraId="1EEEF7B0">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p>
        </w:tc>
        <w:tc>
          <w:tcPr>
            <w:tcW w:w="3414" w:type="pct"/>
            <w:vAlign w:val="center"/>
          </w:tcPr>
          <w:p w14:paraId="5B15B2BC">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人针对本项目的突发应急事件的处理预案是否合理、及时有效。应急服务措施及其他服务措施、承诺的内容。所阐述方案内容齐全、结构完整、表述准确、条理清晰,与需求完全吻合得2分，内容不合理的或者缺漏或者描述有欠缺的每处扣1分，累计扣完本项分值为止。</w:t>
            </w:r>
          </w:p>
        </w:tc>
        <w:tc>
          <w:tcPr>
            <w:tcW w:w="350" w:type="pct"/>
            <w:vAlign w:val="center"/>
          </w:tcPr>
          <w:p w14:paraId="14ED1E8A">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53FA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8" w:type="pct"/>
            <w:vAlign w:val="center"/>
          </w:tcPr>
          <w:p w14:paraId="167BCBFF">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776" w:type="pct"/>
            <w:vMerge w:val="continue"/>
            <w:vAlign w:val="center"/>
          </w:tcPr>
          <w:p w14:paraId="14525FCF">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p>
        </w:tc>
        <w:tc>
          <w:tcPr>
            <w:tcW w:w="3414" w:type="pct"/>
            <w:vAlign w:val="center"/>
          </w:tcPr>
          <w:p w14:paraId="2B3364D6">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针对本项目的功能测试方案，根据方案的合理性、可行性情况进行打分。所阐述方案内容齐全、结构完整、表述准确、条理清晰,与需求完全吻合得2分，内容不合理的或者缺漏或者描述有欠缺的每处扣1分，累计扣完本项分值为止。</w:t>
            </w:r>
          </w:p>
        </w:tc>
        <w:tc>
          <w:tcPr>
            <w:tcW w:w="350" w:type="pct"/>
            <w:vAlign w:val="center"/>
          </w:tcPr>
          <w:p w14:paraId="20828208">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32AB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8" w:type="pct"/>
            <w:vAlign w:val="center"/>
          </w:tcPr>
          <w:p w14:paraId="2933E314">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776" w:type="pct"/>
            <w:vMerge w:val="continue"/>
            <w:vAlign w:val="center"/>
          </w:tcPr>
          <w:p w14:paraId="464B80B8">
            <w:pPr>
              <w:keepNext w:val="0"/>
              <w:keepLines w:val="0"/>
              <w:pageBreakBefore w:val="0"/>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p>
        </w:tc>
        <w:tc>
          <w:tcPr>
            <w:tcW w:w="3414" w:type="pct"/>
            <w:vAlign w:val="center"/>
          </w:tcPr>
          <w:p w14:paraId="64764A3B">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评委根据投标人对本项目的了解情况及重点、难点分析及解决方案进行评分。所阐述方案内容齐全、结构完整、表述准确、条理清晰,与需求完全吻合得2分，内容不合理的或者缺漏或者描述有欠缺的每处扣1分，累计扣完本项分值为止。</w:t>
            </w:r>
          </w:p>
        </w:tc>
        <w:tc>
          <w:tcPr>
            <w:tcW w:w="350" w:type="pct"/>
            <w:vAlign w:val="center"/>
          </w:tcPr>
          <w:p w14:paraId="48C53EB1">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0D7C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Align w:val="center"/>
          </w:tcPr>
          <w:p w14:paraId="2DD7BBCF">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76" w:type="pct"/>
            <w:vAlign w:val="center"/>
          </w:tcPr>
          <w:p w14:paraId="036297F8">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售后服务</w:t>
            </w:r>
          </w:p>
        </w:tc>
        <w:tc>
          <w:tcPr>
            <w:tcW w:w="3414" w:type="pct"/>
            <w:vAlign w:val="center"/>
          </w:tcPr>
          <w:p w14:paraId="520266C2">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售后服务本地适应性的书面方案，须包括但不限于以下内容：服务标准；服务内容；服务人员安排（人员具有与采购产品检查、维修、维保相关的工作经验）；售后服务响应时间；巡检计划；投标人书面承诺在免费质保期内每年提供现场协助的时间，工作内容由采购人确定；投标人提供现有服务网点或承诺中标后本地化服务的投入计划方案。根据投标人提供的售后服务本地适应性书面方案内容进行评价，售后服务方案充分考虑实际需求，方案内容具有针对性，提出详细、具体、明确的服务流程、服务方式方法、服务效果，售后能力及服务响应及时，技术人员力量，充足</w:t>
            </w:r>
            <w:r>
              <w:rPr>
                <w:rFonts w:hint="eastAsia" w:ascii="宋体" w:hAnsi="宋体" w:eastAsia="宋体" w:cs="宋体"/>
                <w:kern w:val="2"/>
                <w:sz w:val="21"/>
                <w:szCs w:val="21"/>
                <w:highlight w:val="none"/>
              </w:rPr>
              <w:t>的得2分，</w:t>
            </w:r>
            <w:r>
              <w:rPr>
                <w:rFonts w:hint="eastAsia" w:ascii="宋体" w:hAnsi="宋体" w:eastAsia="宋体" w:cs="宋体"/>
                <w:sz w:val="21"/>
                <w:szCs w:val="21"/>
                <w:highlight w:val="none"/>
              </w:rPr>
              <w:t>内容不合理的或者缺漏或者描述有欠缺的每处扣1分，累计扣完本项分值为止。</w:t>
            </w:r>
          </w:p>
        </w:tc>
        <w:tc>
          <w:tcPr>
            <w:tcW w:w="350" w:type="pct"/>
            <w:vAlign w:val="center"/>
          </w:tcPr>
          <w:p w14:paraId="4D7C3022">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1416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Align w:val="center"/>
          </w:tcPr>
          <w:p w14:paraId="1266D775">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776" w:type="pct"/>
            <w:vMerge w:val="restart"/>
            <w:vAlign w:val="center"/>
          </w:tcPr>
          <w:p w14:paraId="00657C50">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项目团队成员</w:t>
            </w:r>
          </w:p>
        </w:tc>
        <w:tc>
          <w:tcPr>
            <w:tcW w:w="3414" w:type="pct"/>
            <w:vAlign w:val="center"/>
          </w:tcPr>
          <w:p w14:paraId="4ADB8F24">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投入的项目负责人具有信息系统项目管理师、一级建造师、系统架构设计师、数据库系统工程师、高级程序员的每个证书得1分，最高得5分。注：投标人须提供项目负责人的相关证书等证明材料及近半年内任意三个月任一一个月的在本单位社保缴纳证明复印件加盖公章，未提供证明材料不得分。</w:t>
            </w:r>
          </w:p>
        </w:tc>
        <w:tc>
          <w:tcPr>
            <w:tcW w:w="350" w:type="pct"/>
            <w:vAlign w:val="center"/>
          </w:tcPr>
          <w:p w14:paraId="1582830D">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r>
      <w:tr w14:paraId="252E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Align w:val="center"/>
          </w:tcPr>
          <w:p w14:paraId="5077E16B">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776" w:type="pct"/>
            <w:vMerge w:val="continue"/>
            <w:vAlign w:val="center"/>
          </w:tcPr>
          <w:p w14:paraId="0EFF2474">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p>
        </w:tc>
        <w:tc>
          <w:tcPr>
            <w:tcW w:w="3414" w:type="pct"/>
            <w:vAlign w:val="center"/>
          </w:tcPr>
          <w:p w14:paraId="15A8A93D">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投入的技术负责人（不兼任）具有高级工程师、信息系统项目管理师、CISP注册信息安全专业人员，每个证书得1分，最高得3分。注：投标人须提供技术负责人的相关证书等证明材料及近半年内任意三个月任一一个月的在本单位社保缴纳证明复印件加盖公章，未提供证明材料不得分。</w:t>
            </w:r>
          </w:p>
        </w:tc>
        <w:tc>
          <w:tcPr>
            <w:tcW w:w="350" w:type="pct"/>
            <w:vAlign w:val="center"/>
          </w:tcPr>
          <w:p w14:paraId="5F3D3C1B">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r>
      <w:tr w14:paraId="354D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Align w:val="center"/>
          </w:tcPr>
          <w:p w14:paraId="1AAE393D">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776" w:type="pct"/>
            <w:vMerge w:val="continue"/>
            <w:vAlign w:val="center"/>
          </w:tcPr>
          <w:p w14:paraId="43ABAED5">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p>
        </w:tc>
        <w:tc>
          <w:tcPr>
            <w:tcW w:w="3414" w:type="pct"/>
            <w:vAlign w:val="center"/>
          </w:tcPr>
          <w:p w14:paraId="764C40A6">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组成员（除项目经理、技术负责人以外）具有信息系统项目管理师、高级工程师（系统集成）、系统集成项目管理工程师、一级建造师的，每个证书得0.5分，最高得2分。注：投标人须提供相关人员证书等证明材料及近半年内任意三个月任一一个月的在本单位社保缴纳证明复印件加盖公章，同一人员及专业不重复计分，未提供证明材料不得分。</w:t>
            </w:r>
          </w:p>
        </w:tc>
        <w:tc>
          <w:tcPr>
            <w:tcW w:w="350" w:type="pct"/>
            <w:vAlign w:val="center"/>
          </w:tcPr>
          <w:p w14:paraId="74EF3BFB">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58DC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Align w:val="center"/>
          </w:tcPr>
          <w:p w14:paraId="30CC64CE">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776" w:type="pct"/>
            <w:vAlign w:val="center"/>
          </w:tcPr>
          <w:p w14:paraId="772BC6E8">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tc>
        <w:tc>
          <w:tcPr>
            <w:tcW w:w="3414" w:type="pct"/>
            <w:vAlign w:val="center"/>
          </w:tcPr>
          <w:p w14:paraId="638BFD1A">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2022年1月1日以来（时间以合同签订时间为准）同类业绩情况，每项业绩得1分，最多得3分。投标人未按要求提供合同复印件、或提供的合同复印件字迹模糊无法辨识的，该笔业绩均不予计分。有效业绩以评标委员会集体判定为准。</w:t>
            </w:r>
          </w:p>
        </w:tc>
        <w:tc>
          <w:tcPr>
            <w:tcW w:w="350" w:type="pct"/>
            <w:vAlign w:val="center"/>
          </w:tcPr>
          <w:p w14:paraId="79578519">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r>
      <w:tr w14:paraId="0F82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Align w:val="center"/>
          </w:tcPr>
          <w:p w14:paraId="37607EB6">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776" w:type="pct"/>
            <w:vAlign w:val="center"/>
          </w:tcPr>
          <w:p w14:paraId="1CFFD16F">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质保期</w:t>
            </w:r>
          </w:p>
        </w:tc>
        <w:tc>
          <w:tcPr>
            <w:tcW w:w="3414" w:type="pct"/>
            <w:vAlign w:val="center"/>
          </w:tcPr>
          <w:p w14:paraId="5142E40B">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整体质保期高于招标需求的，每增加1年得1分，最高得2分。</w:t>
            </w:r>
          </w:p>
        </w:tc>
        <w:tc>
          <w:tcPr>
            <w:tcW w:w="350" w:type="pct"/>
            <w:vAlign w:val="center"/>
          </w:tcPr>
          <w:p w14:paraId="11455942">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0C26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Align w:val="center"/>
          </w:tcPr>
          <w:p w14:paraId="420ED783">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776" w:type="pct"/>
            <w:vAlign w:val="center"/>
          </w:tcPr>
          <w:p w14:paraId="0985196F">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产品演示（视频演示）</w:t>
            </w:r>
          </w:p>
        </w:tc>
        <w:tc>
          <w:tcPr>
            <w:tcW w:w="3414" w:type="pct"/>
            <w:vAlign w:val="center"/>
          </w:tcPr>
          <w:p w14:paraId="2AF4BE38">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1.演示录播主机具备通过USB口直接输出音视频信号的能力，不需要视频采集卡即可实现钉钉会议，腾讯会议的便捷会议软件接入。（2分）</w:t>
            </w:r>
          </w:p>
          <w:p w14:paraId="0ADF4861">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演示AI课堂观察在课堂过程中持续捕捉学生的情况，结合学生的语音数据，针对学生站立、学生举手、补充发言三种场景进行截图留证，同时对于学生区域的综合行为情况以热力图的形式呈现不同区域的学生课堂积极性。演示通过AI视频分析功能实现课堂师生行为数据的精准采集，其中教师行为会分为提问、追问、发言、教师巡视、任务、操作大屏、PPT演示、目光注视、教师姿态、教师表情等多个维度体现。根据数据的丰富度进行打分（3分）。</w:t>
            </w:r>
          </w:p>
          <w:p w14:paraId="422DEE77">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演示区域已建设的同步课堂案例，应具备和区域内任意学校开展教供体结对活动，应具备课表推送到之江汇大课表功能，并验证以往开设同步课堂课例，课表，与已推送之江汇大课表信息进行对应，验证具备此功能。（3）</w:t>
            </w:r>
          </w:p>
          <w:p w14:paraId="2032659C">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4.为满足用户不同切换场景下的使用需求，系统需支持主讲画面AI智能紧跟、场景全自动智能切换模式，教师图像跟踪画面可支持五分像、七分像、全身像等多种模式。（2分）</w:t>
            </w:r>
          </w:p>
          <w:p w14:paraId="5D741E45">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5.演示高清摄像机锁定跟踪对象后，多人出现在拍摄画面中摄像机依然能精准识别锁定对象并持续跟踪拍摄，不会因为人多导致跟踪错误的情况。（3分）</w:t>
            </w:r>
          </w:p>
          <w:p w14:paraId="4EDED712">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6.为保护高清录播主机以及延长使用寿命：要求录播主机支持多种状态：关机模式、休眠模式、工作模式，满足用户在不同场景使用需求。（2分）</w:t>
            </w:r>
          </w:p>
          <w:p w14:paraId="523AFA32">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有欠缺或者未演示或演示不到位的每处扣</w:t>
            </w:r>
            <w:r>
              <w:rPr>
                <w:rFonts w:hint="eastAsia" w:ascii="宋体" w:hAnsi="宋体" w:eastAsia="宋体" w:cs="宋体"/>
                <w:sz w:val="21"/>
                <w:szCs w:val="21"/>
                <w:highlight w:val="none"/>
                <w:lang w:val="en-US" w:eastAsia="zh-CN"/>
              </w:rPr>
              <w:t>1分，</w:t>
            </w:r>
            <w:r>
              <w:rPr>
                <w:rFonts w:hint="eastAsia" w:ascii="宋体" w:hAnsi="宋体" w:eastAsia="宋体" w:cs="宋体"/>
                <w:sz w:val="21"/>
                <w:szCs w:val="21"/>
                <w:highlight w:val="none"/>
              </w:rPr>
              <w:t>累计扣完本项目分值为止。</w:t>
            </w:r>
          </w:p>
        </w:tc>
        <w:tc>
          <w:tcPr>
            <w:tcW w:w="350" w:type="pct"/>
            <w:vAlign w:val="center"/>
          </w:tcPr>
          <w:p w14:paraId="4B88DF3B">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r>
      <w:tr w14:paraId="2AF3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Align w:val="center"/>
          </w:tcPr>
          <w:p w14:paraId="7229DB39">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776" w:type="pct"/>
            <w:vAlign w:val="center"/>
          </w:tcPr>
          <w:p w14:paraId="7D7505E5">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政策分</w:t>
            </w:r>
          </w:p>
        </w:tc>
        <w:tc>
          <w:tcPr>
            <w:tcW w:w="3414" w:type="pct"/>
            <w:vAlign w:val="center"/>
          </w:tcPr>
          <w:p w14:paraId="2DD48ABB">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投标产品列入财政部、发展改革委、生态环境部等部门发布的节能产品品目清单（财库〔2019〕19号）且提供国家确定的认证机构出具的、处于有效期之内的节能产品认证证书及网页查询（http://www.ccgp.gov.cn/search/jnqdchaxun.htm）截图的，每项证书得0.5分。</w:t>
            </w:r>
          </w:p>
          <w:p w14:paraId="62EDB331">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投标产品列入财政部、发展改革委、生态环境部等部门发布的环境标志产品品目清单（财库〔2019〕18号）且提供国家确定的认证机构出具的、处于有效期之内的环境标志产品认证证书及网页查询（http://www.ccgp.gov.cn/search/hbqdchaxun.htm）截图的，每项证书得0.5分。</w:t>
            </w:r>
          </w:p>
          <w:p w14:paraId="631B5B92">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备注：须同时提供品目清单、认证证书复印件及网页查询截图，否则不得分。</w:t>
            </w:r>
          </w:p>
          <w:p w14:paraId="6312FC60">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投标人符合《政府采购货物和服务招标投标管理办法》第五条规定，属“节约能源、保护环境、扶持不发达地区和少数民族地区等”政府采购政策扶持对象的，提供相关证明材料和政策依据，根据其重要性每符合一项得0.5分。未提供相关证明材料的不得分。</w:t>
            </w:r>
          </w:p>
          <w:p w14:paraId="462F904C">
            <w:pPr>
              <w:keepNext w:val="0"/>
              <w:keepLines w:val="0"/>
              <w:pageBreakBefore w:val="0"/>
              <w:widowControl/>
              <w:kinsoku/>
              <w:wordWrap/>
              <w:overflowPunct/>
              <w:topLinePunct w:val="0"/>
              <w:bidi w:val="0"/>
              <w:snapToGrid w:val="0"/>
              <w:spacing w:line="460" w:lineRule="exac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本项累计最高</w:t>
            </w:r>
            <w:r>
              <w:rPr>
                <w:rFonts w:hint="eastAsia" w:hAnsi="宋体" w:cs="宋体"/>
                <w:sz w:val="21"/>
                <w:szCs w:val="21"/>
                <w:highlight w:val="none"/>
                <w:lang w:val="en-US" w:eastAsia="zh-CN"/>
              </w:rPr>
              <w:t>2</w:t>
            </w:r>
            <w:r>
              <w:rPr>
                <w:rFonts w:hint="eastAsia" w:ascii="宋体" w:hAnsi="宋体" w:eastAsia="宋体" w:cs="宋体"/>
                <w:sz w:val="21"/>
                <w:szCs w:val="21"/>
                <w:highlight w:val="none"/>
              </w:rPr>
              <w:t>分。</w:t>
            </w:r>
          </w:p>
        </w:tc>
        <w:tc>
          <w:tcPr>
            <w:tcW w:w="350" w:type="pct"/>
            <w:vAlign w:val="center"/>
          </w:tcPr>
          <w:p w14:paraId="78B573EC">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bookmarkEnd w:id="92"/>
      <w:tr w14:paraId="21CA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9" w:type="pct"/>
            <w:gridSpan w:val="3"/>
            <w:vAlign w:val="center"/>
          </w:tcPr>
          <w:p w14:paraId="1387816D">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350" w:type="pct"/>
            <w:vAlign w:val="center"/>
          </w:tcPr>
          <w:p w14:paraId="6C52C4A5">
            <w:pPr>
              <w:keepNext w:val="0"/>
              <w:keepLines w:val="0"/>
              <w:pageBreakBefore w:val="0"/>
              <w:widowControl/>
              <w:kinsoku/>
              <w:wordWrap/>
              <w:overflowPunct/>
              <w:topLinePunct w:val="0"/>
              <w:bidi w:val="0"/>
              <w:snapToGrid w:val="0"/>
              <w:spacing w:line="4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70</w:t>
            </w:r>
          </w:p>
        </w:tc>
      </w:tr>
    </w:tbl>
    <w:p w14:paraId="4F6B1EA6">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（三）技术商务分的计算</w:t>
      </w:r>
    </w:p>
    <w:p w14:paraId="24EB400A">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技术商务分按照评标委员会成员的独立评分结果汇总数后的算术平均分计算，计算公式为：</w:t>
      </w:r>
    </w:p>
    <w:p w14:paraId="2B6BA25B">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技术商务分=（评标委员会所有成员评分合计数）/（评标委员会组成人员数）</w:t>
      </w:r>
    </w:p>
    <w:p w14:paraId="06EBA5A6">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（四）定标原则</w:t>
      </w:r>
    </w:p>
    <w:p w14:paraId="25136458">
      <w:pPr>
        <w:tabs>
          <w:tab w:val="left" w:pos="0"/>
        </w:tabs>
        <w:snapToGrid w:val="0"/>
        <w:spacing w:line="500" w:lineRule="exact"/>
        <w:ind w:firstLine="420" w:firstLineChars="200"/>
        <w:rPr>
          <w:rFonts w:hAnsi="宋体" w:cs="宋体"/>
          <w:bCs/>
          <w:sz w:val="21"/>
          <w:szCs w:val="21"/>
        </w:rPr>
      </w:pPr>
      <w:r>
        <w:rPr>
          <w:rFonts w:hint="eastAsia" w:hAnsi="宋体" w:cs="宋体"/>
          <w:bCs/>
          <w:sz w:val="21"/>
          <w:szCs w:val="21"/>
        </w:rPr>
        <w:t>1.严格按照招标文件规定“综合评分法，得分最高者中标”的原则定标，法律法规或国家政策另有规定的从其规定。</w:t>
      </w:r>
    </w:p>
    <w:p w14:paraId="54781992">
      <w:pPr>
        <w:tabs>
          <w:tab w:val="left" w:pos="0"/>
        </w:tabs>
        <w:snapToGrid w:val="0"/>
        <w:spacing w:line="500" w:lineRule="exact"/>
        <w:ind w:firstLine="420" w:firstLineChars="200"/>
        <w:rPr>
          <w:rFonts w:hAnsi="宋体" w:cs="宋体"/>
          <w:bCs/>
          <w:sz w:val="21"/>
          <w:szCs w:val="21"/>
        </w:rPr>
      </w:pPr>
      <w:r>
        <w:rPr>
          <w:rFonts w:hint="eastAsia" w:hAnsi="宋体" w:cs="宋体"/>
          <w:bCs/>
          <w:sz w:val="21"/>
          <w:szCs w:val="21"/>
        </w:rPr>
        <w:t>2.经预中标结果公示期满无异议，中标候选人即成为中标人。</w:t>
      </w:r>
    </w:p>
    <w:p w14:paraId="23128F42">
      <w:pPr>
        <w:autoSpaceDE/>
        <w:autoSpaceDN/>
        <w:adjustRightInd/>
        <w:spacing w:line="500" w:lineRule="exact"/>
        <w:ind w:firstLine="422" w:firstLineChars="200"/>
        <w:jc w:val="both"/>
        <w:rPr>
          <w:rFonts w:hAnsi="宋体" w:cs="宋体"/>
          <w:b/>
          <w:sz w:val="21"/>
          <w:szCs w:val="21"/>
        </w:rPr>
      </w:pPr>
      <w:r>
        <w:rPr>
          <w:rFonts w:hint="eastAsia" w:hAnsi="宋体" w:cs="宋体"/>
          <w:b/>
          <w:sz w:val="21"/>
          <w:szCs w:val="21"/>
        </w:rPr>
        <w:t>（五）保密及其他注意事项</w:t>
      </w:r>
    </w:p>
    <w:p w14:paraId="0D35122E">
      <w:pPr>
        <w:autoSpaceDE/>
        <w:autoSpaceDN/>
        <w:adjustRightInd/>
        <w:spacing w:line="500" w:lineRule="exact"/>
        <w:ind w:firstLine="420" w:firstLineChars="200"/>
        <w:jc w:val="both"/>
        <w:rPr>
          <w:rFonts w:hAnsi="宋体" w:cs="宋体"/>
          <w:b/>
          <w:sz w:val="21"/>
          <w:szCs w:val="21"/>
        </w:rPr>
      </w:pPr>
      <w:r>
        <w:rPr>
          <w:rFonts w:hint="eastAsia" w:hAnsi="宋体" w:cs="宋体"/>
          <w:bCs/>
          <w:sz w:val="21"/>
          <w:szCs w:val="21"/>
        </w:rPr>
        <w:t>1.评标是招标过程中的重要环节，评标工作在评委会成员内独立进行。评标委员会将遵照评标原则，公正、公平、客观地对待所有投标人。</w:t>
      </w:r>
    </w:p>
    <w:p w14:paraId="55F1C3ED">
      <w:pPr>
        <w:tabs>
          <w:tab w:val="left" w:pos="0"/>
        </w:tabs>
        <w:snapToGrid w:val="0"/>
        <w:spacing w:line="500" w:lineRule="exact"/>
        <w:ind w:firstLine="420" w:firstLineChars="200"/>
        <w:rPr>
          <w:rFonts w:hAnsi="宋体" w:cs="宋体"/>
          <w:bCs/>
          <w:sz w:val="21"/>
          <w:szCs w:val="21"/>
        </w:rPr>
      </w:pPr>
      <w:r>
        <w:rPr>
          <w:rFonts w:hint="eastAsia" w:hAnsi="宋体" w:cs="宋体"/>
          <w:bCs/>
          <w:sz w:val="21"/>
          <w:szCs w:val="21"/>
        </w:rPr>
        <w:t>2.在开标、评标期间，投标人不得向评委询问评标情况，不得进行旨在影响评标结果的活动。</w:t>
      </w:r>
    </w:p>
    <w:p w14:paraId="274933BD">
      <w:pPr>
        <w:tabs>
          <w:tab w:val="left" w:pos="0"/>
        </w:tabs>
        <w:snapToGrid w:val="0"/>
        <w:spacing w:line="500" w:lineRule="exact"/>
        <w:ind w:firstLine="420" w:firstLineChars="200"/>
        <w:rPr>
          <w:rFonts w:hAnsi="宋体" w:cs="宋体"/>
          <w:bCs/>
          <w:sz w:val="21"/>
          <w:szCs w:val="21"/>
        </w:rPr>
      </w:pPr>
      <w:r>
        <w:rPr>
          <w:rFonts w:hint="eastAsia" w:hAnsi="宋体" w:cs="宋体"/>
          <w:bCs/>
          <w:sz w:val="21"/>
          <w:szCs w:val="21"/>
        </w:rPr>
        <w:t>3.为保证定标的公正性，在评标过程中，评委不得与投标人私下交换意见。在招标工作结束后与评标工作有接触的任何人，不得将评标情况外泄。</w:t>
      </w:r>
    </w:p>
    <w:p w14:paraId="273AC112">
      <w:pPr>
        <w:autoSpaceDE/>
        <w:autoSpaceDN/>
        <w:adjustRightInd/>
        <w:jc w:val="center"/>
        <w:outlineLvl w:val="0"/>
        <w:rPr>
          <w:rFonts w:hAnsi="宋体" w:cs="宋体"/>
          <w:sz w:val="30"/>
          <w:szCs w:val="30"/>
        </w:rPr>
      </w:pPr>
      <w:bookmarkStart w:id="93" w:name="_Toc351559945"/>
      <w:r>
        <w:rPr>
          <w:rFonts w:hint="eastAsia" w:hAnsi="宋体" w:cs="宋体"/>
          <w:b/>
          <w:kern w:val="2"/>
          <w:sz w:val="28"/>
          <w:szCs w:val="28"/>
        </w:rPr>
        <w:br w:type="page"/>
      </w:r>
      <w:bookmarkStart w:id="94" w:name="_Toc23189"/>
      <w:bookmarkStart w:id="95" w:name="_Toc19089"/>
      <w:bookmarkStart w:id="96" w:name="_Toc4007"/>
      <w:bookmarkStart w:id="97" w:name="_Toc20657"/>
      <w:bookmarkStart w:id="98" w:name="_Toc11747"/>
      <w:bookmarkStart w:id="99" w:name="_Toc8592"/>
      <w:bookmarkStart w:id="100" w:name="_Toc15048"/>
      <w:bookmarkStart w:id="101" w:name="_Toc2072"/>
      <w:bookmarkStart w:id="102" w:name="_Toc24339"/>
      <w:bookmarkStart w:id="103" w:name="_Toc13545"/>
      <w:bookmarkStart w:id="104" w:name="_Toc29298"/>
      <w:r>
        <w:rPr>
          <w:rFonts w:hint="eastAsia" w:hAnsi="宋体" w:cs="宋体"/>
          <w:b/>
          <w:bCs/>
          <w:sz w:val="30"/>
          <w:szCs w:val="30"/>
        </w:rPr>
        <w:t>第五章  合同文本</w:t>
      </w:r>
      <w:bookmarkEnd w:id="94"/>
      <w:bookmarkEnd w:id="95"/>
      <w:bookmarkEnd w:id="96"/>
      <w:bookmarkEnd w:id="97"/>
      <w:bookmarkEnd w:id="98"/>
      <w:bookmarkEnd w:id="99"/>
      <w:bookmarkEnd w:id="100"/>
      <w:bookmarkEnd w:id="101"/>
      <w:bookmarkEnd w:id="102"/>
      <w:bookmarkEnd w:id="103"/>
      <w:bookmarkEnd w:id="104"/>
    </w:p>
    <w:p w14:paraId="4D0EC542">
      <w:pPr>
        <w:autoSpaceDE/>
        <w:autoSpaceDN/>
        <w:adjustRightInd/>
        <w:snapToGrid w:val="0"/>
        <w:spacing w:line="450" w:lineRule="exact"/>
        <w:jc w:val="both"/>
        <w:rPr>
          <w:rFonts w:hAnsi="宋体" w:cs="宋体"/>
          <w:kern w:val="2"/>
          <w:sz w:val="21"/>
          <w:szCs w:val="21"/>
        </w:rPr>
      </w:pPr>
      <w:r>
        <w:rPr>
          <w:rFonts w:hint="eastAsia" w:hAnsi="宋体" w:cs="宋体"/>
          <w:kern w:val="2"/>
          <w:sz w:val="21"/>
          <w:szCs w:val="21"/>
        </w:rPr>
        <w:t>项目名称：                                       项目编号：</w:t>
      </w:r>
    </w:p>
    <w:p w14:paraId="50C97169">
      <w:pPr>
        <w:snapToGrid w:val="0"/>
        <w:spacing w:line="450" w:lineRule="exact"/>
        <w:jc w:val="both"/>
        <w:rPr>
          <w:rFonts w:hAnsi="宋体" w:cs="宋体"/>
          <w:sz w:val="21"/>
          <w:szCs w:val="21"/>
        </w:rPr>
      </w:pPr>
      <w:r>
        <w:rPr>
          <w:rFonts w:hint="eastAsia" w:hAnsi="宋体" w:cs="宋体"/>
          <w:spacing w:val="23"/>
          <w:sz w:val="21"/>
          <w:szCs w:val="21"/>
        </w:rPr>
        <w:t>甲方（采购人）：                    签订日期：</w:t>
      </w:r>
    </w:p>
    <w:p w14:paraId="2D8DE9ED">
      <w:pPr>
        <w:snapToGrid w:val="0"/>
        <w:spacing w:line="450" w:lineRule="exact"/>
        <w:jc w:val="both"/>
        <w:rPr>
          <w:rFonts w:hAnsi="宋体" w:cs="宋体"/>
          <w:spacing w:val="25"/>
          <w:sz w:val="21"/>
          <w:szCs w:val="21"/>
        </w:rPr>
      </w:pPr>
      <w:r>
        <w:rPr>
          <w:rFonts w:hint="eastAsia" w:hAnsi="宋体" w:cs="宋体"/>
          <w:kern w:val="2"/>
          <w:sz w:val="21"/>
          <w:szCs w:val="21"/>
        </w:rPr>
        <w:t>联系电话：</w:t>
      </w:r>
    </w:p>
    <w:p w14:paraId="2D6A0E72">
      <w:pPr>
        <w:snapToGrid w:val="0"/>
        <w:spacing w:line="450" w:lineRule="exact"/>
        <w:jc w:val="both"/>
        <w:rPr>
          <w:rFonts w:hAnsi="宋体" w:cs="宋体"/>
          <w:sz w:val="21"/>
          <w:szCs w:val="21"/>
        </w:rPr>
      </w:pPr>
      <w:r>
        <w:rPr>
          <w:rFonts w:hint="eastAsia" w:hAnsi="宋体" w:cs="宋体"/>
          <w:spacing w:val="25"/>
          <w:sz w:val="21"/>
          <w:szCs w:val="21"/>
        </w:rPr>
        <w:t>通讯地址</w:t>
      </w:r>
      <w:r>
        <w:rPr>
          <w:rFonts w:hint="eastAsia" w:hAnsi="宋体" w:cs="宋体"/>
          <w:sz w:val="21"/>
          <w:szCs w:val="21"/>
        </w:rPr>
        <w:t>：</w:t>
      </w:r>
    </w:p>
    <w:p w14:paraId="219EE96A">
      <w:pPr>
        <w:snapToGrid w:val="0"/>
        <w:spacing w:line="450" w:lineRule="exact"/>
        <w:jc w:val="both"/>
        <w:rPr>
          <w:rFonts w:hAnsi="宋体" w:cs="宋体"/>
          <w:sz w:val="21"/>
          <w:szCs w:val="21"/>
          <w:u w:val="single"/>
        </w:rPr>
      </w:pPr>
      <w:r>
        <w:rPr>
          <w:rFonts w:hint="eastAsia" w:hAnsi="宋体" w:cs="宋体"/>
          <w:spacing w:val="23"/>
          <w:sz w:val="21"/>
          <w:szCs w:val="21"/>
        </w:rPr>
        <w:t>乙方（中标人）：</w:t>
      </w:r>
    </w:p>
    <w:p w14:paraId="2D287E34">
      <w:pPr>
        <w:snapToGrid w:val="0"/>
        <w:spacing w:line="450" w:lineRule="exact"/>
        <w:jc w:val="both"/>
        <w:rPr>
          <w:rFonts w:hAnsi="宋体" w:cs="宋体"/>
          <w:spacing w:val="25"/>
          <w:sz w:val="21"/>
          <w:szCs w:val="21"/>
        </w:rPr>
      </w:pPr>
      <w:r>
        <w:rPr>
          <w:rFonts w:hint="eastAsia" w:hAnsi="宋体" w:cs="宋体"/>
          <w:kern w:val="2"/>
          <w:sz w:val="21"/>
          <w:szCs w:val="21"/>
        </w:rPr>
        <w:t>联系电话：</w:t>
      </w:r>
    </w:p>
    <w:p w14:paraId="44639C3D">
      <w:pPr>
        <w:snapToGrid w:val="0"/>
        <w:spacing w:line="450" w:lineRule="exact"/>
        <w:jc w:val="both"/>
        <w:rPr>
          <w:rFonts w:hAnsi="宋体" w:cs="宋体"/>
          <w:sz w:val="21"/>
          <w:szCs w:val="21"/>
        </w:rPr>
      </w:pPr>
      <w:r>
        <w:rPr>
          <w:rFonts w:hint="eastAsia" w:hAnsi="宋体" w:cs="宋体"/>
          <w:spacing w:val="25"/>
          <w:sz w:val="21"/>
          <w:szCs w:val="21"/>
        </w:rPr>
        <w:t>通讯地址</w:t>
      </w:r>
      <w:r>
        <w:rPr>
          <w:rFonts w:hint="eastAsia" w:hAnsi="宋体" w:cs="宋体"/>
          <w:sz w:val="21"/>
          <w:szCs w:val="21"/>
        </w:rPr>
        <w:t>：</w:t>
      </w:r>
    </w:p>
    <w:p w14:paraId="67E0BB60">
      <w:pPr>
        <w:spacing w:line="450" w:lineRule="exact"/>
        <w:ind w:firstLine="420" w:firstLineChars="200"/>
        <w:rPr>
          <w:rFonts w:hAnsi="宋体" w:cs="宋体"/>
          <w:sz w:val="21"/>
          <w:szCs w:val="21"/>
        </w:rPr>
      </w:pPr>
      <w:r>
        <w:rPr>
          <w:rFonts w:hint="eastAsia" w:hAnsi="宋体" w:cs="宋体"/>
          <w:sz w:val="21"/>
          <w:szCs w:val="21"/>
        </w:rPr>
        <w:t>甲、乙双方根据招标代理公司关于</w:t>
      </w:r>
      <w:r>
        <w:rPr>
          <w:rFonts w:hint="eastAsia" w:hAnsi="宋体" w:cs="宋体"/>
          <w:sz w:val="21"/>
          <w:szCs w:val="21"/>
          <w:u w:val="single"/>
        </w:rPr>
        <w:t xml:space="preserve">金华市婺城区罗埠镇中心小学录播教室改造项目 </w:t>
      </w:r>
      <w:r>
        <w:rPr>
          <w:rFonts w:hint="eastAsia" w:hAnsi="宋体" w:cs="宋体"/>
          <w:sz w:val="21"/>
          <w:szCs w:val="21"/>
        </w:rPr>
        <w:t>公开招标采购结果，签署本合同。依据《中华人民共和国民法典》及国家有关法律、法规，甲乙双方经平等协商，自愿签订本合同。</w:t>
      </w:r>
    </w:p>
    <w:p w14:paraId="4F185D3A">
      <w:pPr>
        <w:autoSpaceDE/>
        <w:autoSpaceDN/>
        <w:adjustRightInd/>
        <w:snapToGrid w:val="0"/>
        <w:spacing w:line="480" w:lineRule="exact"/>
        <w:ind w:firstLine="413" w:firstLineChars="196"/>
        <w:jc w:val="both"/>
        <w:rPr>
          <w:rFonts w:hAnsi="宋体" w:cs="宋体"/>
          <w:b/>
          <w:kern w:val="2"/>
          <w:sz w:val="21"/>
          <w:szCs w:val="21"/>
        </w:rPr>
      </w:pPr>
      <w:r>
        <w:rPr>
          <w:rFonts w:hint="eastAsia" w:hAnsi="宋体" w:cs="宋体"/>
          <w:b/>
          <w:kern w:val="2"/>
          <w:sz w:val="21"/>
          <w:szCs w:val="21"/>
        </w:rPr>
        <w:t>一、货物内容</w:t>
      </w:r>
    </w:p>
    <w:p w14:paraId="21BE7C22">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1.货物名称：</w:t>
      </w:r>
    </w:p>
    <w:p w14:paraId="3DEA9725">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2.型号规格：</w:t>
      </w:r>
    </w:p>
    <w:p w14:paraId="29BF7FCF">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3.技术参数：</w:t>
      </w:r>
    </w:p>
    <w:p w14:paraId="632560DF">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4.数量（单位）：</w:t>
      </w:r>
    </w:p>
    <w:p w14:paraId="7A884A3F">
      <w:pPr>
        <w:autoSpaceDE/>
        <w:autoSpaceDN/>
        <w:adjustRightInd/>
        <w:snapToGrid w:val="0"/>
        <w:spacing w:line="480" w:lineRule="exact"/>
        <w:ind w:firstLine="413" w:firstLineChars="196"/>
        <w:jc w:val="both"/>
        <w:rPr>
          <w:rFonts w:hAnsi="宋体" w:cs="宋体"/>
          <w:b/>
          <w:kern w:val="2"/>
          <w:sz w:val="21"/>
          <w:szCs w:val="21"/>
        </w:rPr>
      </w:pPr>
      <w:r>
        <w:rPr>
          <w:rFonts w:hint="eastAsia" w:hAnsi="宋体" w:cs="宋体"/>
          <w:b/>
          <w:kern w:val="2"/>
          <w:sz w:val="21"/>
          <w:szCs w:val="21"/>
        </w:rPr>
        <w:t>二、合同金额</w:t>
      </w:r>
    </w:p>
    <w:p w14:paraId="0A3E0E53">
      <w:pPr>
        <w:spacing w:line="460" w:lineRule="exact"/>
        <w:ind w:firstLine="420" w:firstLineChars="200"/>
        <w:jc w:val="both"/>
        <w:rPr>
          <w:rFonts w:hAnsi="宋体" w:cs="宋体"/>
          <w:sz w:val="21"/>
          <w:szCs w:val="21"/>
        </w:rPr>
      </w:pPr>
      <w:r>
        <w:rPr>
          <w:rFonts w:hint="eastAsia" w:hAnsi="宋体" w:cs="宋体"/>
          <w:sz w:val="21"/>
          <w:szCs w:val="21"/>
        </w:rPr>
        <w:t>本合同总金额为（大写）：_____________________元（￥_______________元）人民币。合同金额明细详见附件一</w:t>
      </w:r>
    </w:p>
    <w:p w14:paraId="0346012D">
      <w:pPr>
        <w:autoSpaceDE/>
        <w:autoSpaceDN/>
        <w:adjustRightInd/>
        <w:snapToGrid w:val="0"/>
        <w:spacing w:line="480" w:lineRule="exact"/>
        <w:ind w:firstLine="422" w:firstLineChars="200"/>
        <w:jc w:val="both"/>
        <w:rPr>
          <w:rFonts w:hAnsi="宋体" w:cs="宋体"/>
          <w:b/>
          <w:kern w:val="2"/>
          <w:sz w:val="21"/>
          <w:szCs w:val="21"/>
        </w:rPr>
      </w:pPr>
      <w:r>
        <w:rPr>
          <w:rFonts w:hint="eastAsia" w:hAnsi="宋体" w:cs="宋体"/>
          <w:b/>
          <w:kern w:val="2"/>
          <w:sz w:val="21"/>
          <w:szCs w:val="21"/>
        </w:rPr>
        <w:t>三、技术资料</w:t>
      </w:r>
    </w:p>
    <w:p w14:paraId="406DFE52">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1.乙方应按招标文件规定的时间向甲方提供使用货物的有关技术资料。</w:t>
      </w:r>
    </w:p>
    <w:p w14:paraId="740811C1">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1042B5">
      <w:pPr>
        <w:autoSpaceDE/>
        <w:autoSpaceDN/>
        <w:adjustRightInd/>
        <w:snapToGrid w:val="0"/>
        <w:spacing w:line="480" w:lineRule="exact"/>
        <w:ind w:firstLine="411" w:firstLineChars="196"/>
        <w:jc w:val="both"/>
        <w:rPr>
          <w:rFonts w:hAnsi="宋体" w:cs="宋体"/>
          <w:b/>
          <w:kern w:val="2"/>
          <w:sz w:val="21"/>
          <w:szCs w:val="21"/>
        </w:rPr>
      </w:pPr>
      <w:r>
        <w:rPr>
          <w:rFonts w:hint="eastAsia" w:hAnsi="宋体" w:cs="宋体"/>
          <w:sz w:val="21"/>
          <w:szCs w:val="21"/>
        </w:rPr>
        <w:t>四</w:t>
      </w:r>
      <w:r>
        <w:rPr>
          <w:rFonts w:hint="eastAsia" w:hAnsi="宋体" w:cs="宋体"/>
          <w:b/>
          <w:kern w:val="2"/>
          <w:sz w:val="21"/>
          <w:szCs w:val="21"/>
        </w:rPr>
        <w:t>、知识产权</w:t>
      </w:r>
    </w:p>
    <w:p w14:paraId="61B97E11">
      <w:pPr>
        <w:autoSpaceDE/>
        <w:autoSpaceDN/>
        <w:adjustRightInd/>
        <w:snapToGrid w:val="0"/>
        <w:spacing w:line="480" w:lineRule="exact"/>
        <w:ind w:firstLine="420" w:firstLineChars="200"/>
        <w:jc w:val="both"/>
        <w:rPr>
          <w:rFonts w:hAnsi="宋体" w:cs="宋体"/>
          <w:bCs/>
          <w:kern w:val="2"/>
          <w:sz w:val="21"/>
          <w:szCs w:val="21"/>
        </w:rPr>
      </w:pPr>
      <w:r>
        <w:rPr>
          <w:rFonts w:hint="eastAsia" w:hAnsi="宋体" w:cs="宋体"/>
          <w:kern w:val="2"/>
          <w:sz w:val="21"/>
          <w:szCs w:val="21"/>
        </w:rPr>
        <w:t>乙方应保证所提供的货物或其任何一部分均不会侵犯任何第三方的知识产权</w:t>
      </w:r>
      <w:r>
        <w:rPr>
          <w:rFonts w:hint="eastAsia" w:hAnsi="宋体" w:cs="宋体"/>
          <w:bCs/>
          <w:kern w:val="2"/>
          <w:sz w:val="21"/>
          <w:szCs w:val="21"/>
        </w:rPr>
        <w:t>。</w:t>
      </w:r>
    </w:p>
    <w:p w14:paraId="688755EE">
      <w:pPr>
        <w:autoSpaceDE/>
        <w:autoSpaceDN/>
        <w:adjustRightInd/>
        <w:snapToGrid w:val="0"/>
        <w:spacing w:line="480" w:lineRule="exact"/>
        <w:ind w:firstLine="413" w:firstLineChars="196"/>
        <w:jc w:val="both"/>
        <w:rPr>
          <w:rFonts w:hAnsi="宋体" w:cs="宋体"/>
          <w:kern w:val="2"/>
          <w:sz w:val="21"/>
          <w:szCs w:val="21"/>
          <w:u w:val="single"/>
        </w:rPr>
      </w:pPr>
      <w:r>
        <w:rPr>
          <w:rFonts w:hint="eastAsia" w:hAnsi="宋体" w:cs="宋体"/>
          <w:b/>
          <w:kern w:val="2"/>
          <w:sz w:val="21"/>
          <w:szCs w:val="21"/>
        </w:rPr>
        <w:t>五、产权担保</w:t>
      </w:r>
    </w:p>
    <w:p w14:paraId="35AC2859">
      <w:pPr>
        <w:autoSpaceDE/>
        <w:autoSpaceDN/>
        <w:adjustRightInd/>
        <w:snapToGrid w:val="0"/>
        <w:spacing w:line="480" w:lineRule="exact"/>
        <w:ind w:firstLine="420" w:firstLineChars="200"/>
        <w:jc w:val="both"/>
        <w:rPr>
          <w:rFonts w:hAnsi="宋体" w:cs="宋体"/>
          <w:kern w:val="2"/>
          <w:sz w:val="21"/>
          <w:szCs w:val="21"/>
          <w:u w:val="single"/>
        </w:rPr>
      </w:pPr>
      <w:r>
        <w:rPr>
          <w:rFonts w:hint="eastAsia" w:hAnsi="宋体" w:cs="宋体"/>
          <w:kern w:val="2"/>
          <w:sz w:val="21"/>
          <w:szCs w:val="21"/>
        </w:rPr>
        <w:t>乙方保证所交付的货物的所有权完全属于乙方且无任何抵押、查封等产权瑕疵。</w:t>
      </w:r>
    </w:p>
    <w:p w14:paraId="040A628E">
      <w:pPr>
        <w:autoSpaceDE/>
        <w:autoSpaceDN/>
        <w:adjustRightInd/>
        <w:snapToGrid w:val="0"/>
        <w:spacing w:line="500" w:lineRule="exact"/>
        <w:ind w:firstLine="413" w:firstLineChars="196"/>
        <w:jc w:val="both"/>
        <w:rPr>
          <w:rFonts w:hAnsi="宋体" w:cs="宋体"/>
          <w:b/>
          <w:kern w:val="2"/>
          <w:sz w:val="21"/>
          <w:szCs w:val="21"/>
        </w:rPr>
      </w:pPr>
      <w:r>
        <w:rPr>
          <w:rFonts w:hint="eastAsia" w:hAnsi="宋体" w:cs="宋体"/>
          <w:b/>
          <w:kern w:val="2"/>
          <w:sz w:val="21"/>
          <w:szCs w:val="21"/>
        </w:rPr>
        <w:t>六、转包或分包</w:t>
      </w:r>
    </w:p>
    <w:p w14:paraId="52B6CBA0">
      <w:pPr>
        <w:autoSpaceDE/>
        <w:autoSpaceDN/>
        <w:adjustRightInd/>
        <w:snapToGrid w:val="0"/>
        <w:spacing w:line="500" w:lineRule="exact"/>
        <w:ind w:firstLine="420" w:firstLineChars="200"/>
        <w:jc w:val="both"/>
        <w:rPr>
          <w:rFonts w:hAnsi="宋体" w:cs="宋体"/>
          <w:kern w:val="2"/>
          <w:sz w:val="21"/>
          <w:szCs w:val="21"/>
        </w:rPr>
      </w:pPr>
      <w:r>
        <w:rPr>
          <w:rFonts w:hint="eastAsia" w:hAnsi="宋体" w:cs="宋体"/>
          <w:kern w:val="2"/>
          <w:sz w:val="21"/>
          <w:szCs w:val="21"/>
        </w:rPr>
        <w:t>1.本合同范围的货物，应由乙方直接供应，不得转让他人供应；</w:t>
      </w:r>
    </w:p>
    <w:p w14:paraId="05ABD272">
      <w:pPr>
        <w:autoSpaceDE/>
        <w:autoSpaceDN/>
        <w:adjustRightInd/>
        <w:snapToGrid w:val="0"/>
        <w:spacing w:line="500" w:lineRule="exact"/>
        <w:ind w:firstLine="420" w:firstLineChars="200"/>
        <w:jc w:val="both"/>
        <w:rPr>
          <w:rFonts w:hAnsi="宋体" w:cs="宋体"/>
          <w:kern w:val="2"/>
          <w:sz w:val="21"/>
          <w:szCs w:val="21"/>
        </w:rPr>
      </w:pPr>
      <w:r>
        <w:rPr>
          <w:rFonts w:hint="eastAsia" w:hAnsi="宋体" w:cs="宋体"/>
          <w:kern w:val="2"/>
          <w:sz w:val="21"/>
          <w:szCs w:val="21"/>
        </w:rPr>
        <w:t>2.除非得到甲方的书面同意，乙方不得将本合同范围的货物全部或部分分包给他人供应；</w:t>
      </w:r>
    </w:p>
    <w:p w14:paraId="7EA8EFA6">
      <w:pPr>
        <w:autoSpaceDE/>
        <w:autoSpaceDN/>
        <w:adjustRightInd/>
        <w:snapToGrid w:val="0"/>
        <w:spacing w:line="500" w:lineRule="exact"/>
        <w:ind w:firstLine="420" w:firstLineChars="200"/>
        <w:jc w:val="both"/>
        <w:rPr>
          <w:rFonts w:hAnsi="宋体" w:cs="宋体"/>
          <w:kern w:val="2"/>
          <w:sz w:val="21"/>
          <w:szCs w:val="21"/>
        </w:rPr>
      </w:pPr>
      <w:r>
        <w:rPr>
          <w:rFonts w:hint="eastAsia" w:hAnsi="宋体" w:cs="宋体"/>
          <w:kern w:val="2"/>
          <w:sz w:val="21"/>
          <w:szCs w:val="21"/>
        </w:rPr>
        <w:t>3.如有转让和未经甲方同意的分包行为，甲方有权解除合同，没收履约保证金并追究乙方的违约责任。</w:t>
      </w:r>
    </w:p>
    <w:p w14:paraId="63A866F3">
      <w:pPr>
        <w:autoSpaceDE/>
        <w:autoSpaceDN/>
        <w:adjustRightInd/>
        <w:snapToGrid w:val="0"/>
        <w:spacing w:line="500" w:lineRule="exact"/>
        <w:ind w:firstLine="413" w:firstLineChars="196"/>
        <w:jc w:val="both"/>
        <w:rPr>
          <w:rFonts w:hAnsi="宋体" w:cs="宋体"/>
          <w:kern w:val="2"/>
          <w:sz w:val="21"/>
          <w:szCs w:val="21"/>
        </w:rPr>
      </w:pPr>
      <w:r>
        <w:rPr>
          <w:rFonts w:hint="eastAsia" w:hAnsi="宋体" w:cs="宋体"/>
          <w:b/>
          <w:kern w:val="2"/>
          <w:sz w:val="21"/>
          <w:szCs w:val="21"/>
        </w:rPr>
        <w:t>七、质保期</w:t>
      </w:r>
    </w:p>
    <w:p w14:paraId="74413D60">
      <w:pPr>
        <w:autoSpaceDE/>
        <w:autoSpaceDN/>
        <w:adjustRightInd/>
        <w:snapToGrid w:val="0"/>
        <w:spacing w:line="500" w:lineRule="exact"/>
        <w:ind w:firstLine="420" w:firstLineChars="200"/>
        <w:jc w:val="both"/>
        <w:rPr>
          <w:rFonts w:hAnsi="宋体" w:cs="宋体"/>
          <w:kern w:val="2"/>
          <w:sz w:val="21"/>
          <w:szCs w:val="21"/>
        </w:rPr>
      </w:pPr>
      <w:r>
        <w:rPr>
          <w:rFonts w:hint="eastAsia" w:hAnsi="宋体" w:cs="宋体"/>
          <w:kern w:val="2"/>
          <w:sz w:val="21"/>
          <w:szCs w:val="21"/>
        </w:rPr>
        <w:t>1. 质保期</w:t>
      </w:r>
      <w:r>
        <w:rPr>
          <w:rFonts w:hint="eastAsia" w:hAnsi="宋体" w:cs="宋体"/>
          <w:kern w:val="2"/>
          <w:sz w:val="21"/>
          <w:szCs w:val="21"/>
          <w:u w:val="single"/>
        </w:rPr>
        <w:t xml:space="preserve">     </w:t>
      </w:r>
      <w:r>
        <w:rPr>
          <w:rFonts w:hint="eastAsia" w:hAnsi="宋体" w:cs="宋体"/>
          <w:kern w:val="2"/>
          <w:sz w:val="21"/>
          <w:szCs w:val="21"/>
        </w:rPr>
        <w:t>年。</w:t>
      </w:r>
    </w:p>
    <w:p w14:paraId="03E51FE0">
      <w:pPr>
        <w:autoSpaceDE/>
        <w:autoSpaceDN/>
        <w:adjustRightInd/>
        <w:snapToGrid w:val="0"/>
        <w:spacing w:line="500" w:lineRule="exact"/>
        <w:ind w:firstLine="413" w:firstLineChars="196"/>
        <w:jc w:val="both"/>
        <w:rPr>
          <w:rFonts w:hAnsi="宋体" w:cs="宋体"/>
          <w:b/>
          <w:kern w:val="2"/>
          <w:sz w:val="21"/>
          <w:szCs w:val="21"/>
        </w:rPr>
      </w:pPr>
      <w:r>
        <w:rPr>
          <w:rFonts w:hint="eastAsia" w:hAnsi="宋体" w:cs="宋体"/>
          <w:b/>
          <w:kern w:val="2"/>
          <w:sz w:val="21"/>
          <w:szCs w:val="21"/>
        </w:rPr>
        <w:t>八、交货期、交货方式及交货地点</w:t>
      </w:r>
    </w:p>
    <w:p w14:paraId="44F09F70">
      <w:pPr>
        <w:autoSpaceDE/>
        <w:autoSpaceDN/>
        <w:adjustRightInd/>
        <w:snapToGrid w:val="0"/>
        <w:spacing w:line="480" w:lineRule="exact"/>
        <w:ind w:firstLine="420" w:firstLineChars="200"/>
        <w:jc w:val="both"/>
        <w:rPr>
          <w:rFonts w:hAnsi="宋体" w:cs="宋体"/>
          <w:bCs/>
          <w:kern w:val="2"/>
          <w:sz w:val="21"/>
          <w:szCs w:val="21"/>
        </w:rPr>
      </w:pPr>
      <w:r>
        <w:rPr>
          <w:rFonts w:hint="eastAsia" w:hAnsi="宋体" w:cs="宋体"/>
          <w:bCs/>
          <w:kern w:val="2"/>
          <w:sz w:val="21"/>
          <w:szCs w:val="21"/>
        </w:rPr>
        <w:t>1.交货期：</w:t>
      </w:r>
    </w:p>
    <w:p w14:paraId="75D15DFF">
      <w:pPr>
        <w:autoSpaceDE/>
        <w:autoSpaceDN/>
        <w:adjustRightInd/>
        <w:snapToGrid w:val="0"/>
        <w:spacing w:line="480" w:lineRule="exact"/>
        <w:ind w:firstLine="420" w:firstLineChars="200"/>
        <w:jc w:val="both"/>
        <w:rPr>
          <w:rFonts w:hAnsi="宋体" w:cs="宋体"/>
          <w:bCs/>
          <w:kern w:val="2"/>
          <w:sz w:val="21"/>
          <w:szCs w:val="21"/>
        </w:rPr>
      </w:pPr>
      <w:r>
        <w:rPr>
          <w:rFonts w:hint="eastAsia" w:hAnsi="宋体" w:cs="宋体"/>
          <w:bCs/>
          <w:kern w:val="2"/>
          <w:sz w:val="21"/>
          <w:szCs w:val="21"/>
        </w:rPr>
        <w:t>2.交货方式：</w:t>
      </w:r>
    </w:p>
    <w:p w14:paraId="1F23C4B1">
      <w:pPr>
        <w:autoSpaceDE/>
        <w:autoSpaceDN/>
        <w:adjustRightInd/>
        <w:snapToGrid w:val="0"/>
        <w:spacing w:line="480" w:lineRule="exact"/>
        <w:ind w:firstLine="420" w:firstLineChars="200"/>
        <w:jc w:val="both"/>
        <w:rPr>
          <w:rFonts w:hAnsi="宋体" w:cs="宋体"/>
          <w:b/>
          <w:kern w:val="2"/>
          <w:sz w:val="21"/>
          <w:szCs w:val="21"/>
        </w:rPr>
      </w:pPr>
      <w:r>
        <w:rPr>
          <w:rFonts w:hint="eastAsia" w:hAnsi="宋体" w:cs="宋体"/>
          <w:bCs/>
          <w:kern w:val="2"/>
          <w:sz w:val="21"/>
          <w:szCs w:val="21"/>
        </w:rPr>
        <w:t>3.交货地点：</w:t>
      </w:r>
    </w:p>
    <w:p w14:paraId="16CAFB3F">
      <w:pPr>
        <w:autoSpaceDE/>
        <w:autoSpaceDN/>
        <w:adjustRightInd/>
        <w:snapToGrid w:val="0"/>
        <w:spacing w:line="480" w:lineRule="exact"/>
        <w:ind w:firstLine="413" w:firstLineChars="196"/>
        <w:jc w:val="both"/>
        <w:rPr>
          <w:rFonts w:hAnsi="宋体" w:cs="宋体"/>
          <w:b/>
          <w:kern w:val="2"/>
          <w:sz w:val="21"/>
          <w:szCs w:val="21"/>
        </w:rPr>
      </w:pPr>
      <w:r>
        <w:rPr>
          <w:rFonts w:hint="eastAsia" w:hAnsi="宋体" w:cs="宋体"/>
          <w:b/>
          <w:kern w:val="2"/>
          <w:sz w:val="21"/>
          <w:szCs w:val="21"/>
        </w:rPr>
        <w:t>九、货款支付</w:t>
      </w:r>
    </w:p>
    <w:p w14:paraId="00421BE1">
      <w:pPr>
        <w:spacing w:line="500" w:lineRule="exact"/>
        <w:ind w:firstLine="420" w:firstLineChars="200"/>
        <w:rPr>
          <w:rFonts w:hAnsi="宋体" w:cs="宋体"/>
          <w:sz w:val="21"/>
          <w:szCs w:val="21"/>
        </w:rPr>
      </w:pPr>
      <w:r>
        <w:rPr>
          <w:rFonts w:hint="eastAsia" w:hAnsi="宋体" w:cs="宋体"/>
          <w:bCs/>
          <w:kern w:val="2"/>
          <w:sz w:val="21"/>
          <w:szCs w:val="21"/>
        </w:rPr>
        <w:t>1.付款方式：</w:t>
      </w:r>
      <w:r>
        <w:rPr>
          <w:rFonts w:hint="eastAsia" w:hAnsi="宋体" w:cs="宋体"/>
          <w:sz w:val="21"/>
          <w:szCs w:val="21"/>
          <w:lang w:val="zh-CN"/>
        </w:rPr>
        <w:t>合同签订</w:t>
      </w:r>
      <w:r>
        <w:rPr>
          <w:rFonts w:hint="eastAsia" w:hAnsi="宋体" w:cs="宋体"/>
          <w:sz w:val="21"/>
          <w:szCs w:val="21"/>
        </w:rPr>
        <w:t>且具备实施条件</w:t>
      </w:r>
      <w:r>
        <w:rPr>
          <w:rFonts w:hint="eastAsia" w:hAnsi="宋体" w:cs="宋体"/>
          <w:sz w:val="21"/>
          <w:szCs w:val="21"/>
          <w:lang w:val="zh-CN"/>
        </w:rPr>
        <w:t>后</w:t>
      </w:r>
      <w:r>
        <w:rPr>
          <w:rFonts w:hint="eastAsia" w:hAnsi="宋体" w:cs="宋体"/>
          <w:sz w:val="21"/>
          <w:szCs w:val="21"/>
        </w:rPr>
        <w:t>甲方</w:t>
      </w:r>
      <w:r>
        <w:rPr>
          <w:rFonts w:hint="eastAsia" w:hAnsi="宋体" w:cs="宋体"/>
          <w:sz w:val="21"/>
          <w:szCs w:val="21"/>
          <w:lang w:val="zh-CN"/>
        </w:rPr>
        <w:t>向</w:t>
      </w:r>
      <w:r>
        <w:rPr>
          <w:rFonts w:hint="eastAsia" w:hAnsi="宋体" w:cs="宋体"/>
          <w:sz w:val="21"/>
          <w:szCs w:val="21"/>
        </w:rPr>
        <w:t>乙方</w:t>
      </w:r>
      <w:r>
        <w:rPr>
          <w:rFonts w:hint="eastAsia" w:hAnsi="宋体" w:cs="宋体"/>
          <w:sz w:val="21"/>
          <w:szCs w:val="21"/>
          <w:lang w:val="zh-CN"/>
        </w:rPr>
        <w:t>支付合同金额</w:t>
      </w:r>
      <w:r>
        <w:rPr>
          <w:rFonts w:hint="eastAsia" w:hAnsi="宋体" w:cs="宋体"/>
          <w:sz w:val="21"/>
          <w:szCs w:val="21"/>
        </w:rPr>
        <w:t>4</w:t>
      </w:r>
      <w:r>
        <w:rPr>
          <w:rFonts w:hint="eastAsia" w:hAnsi="宋体" w:cs="宋体"/>
          <w:sz w:val="21"/>
          <w:szCs w:val="21"/>
          <w:lang w:val="zh-CN"/>
        </w:rPr>
        <w:t>0%</w:t>
      </w:r>
      <w:r>
        <w:rPr>
          <w:rFonts w:hint="eastAsia" w:hAnsi="宋体" w:cs="宋体"/>
          <w:sz w:val="21"/>
          <w:szCs w:val="21"/>
        </w:rPr>
        <w:t>的预付款；</w:t>
      </w:r>
    </w:p>
    <w:p w14:paraId="7381FB0C">
      <w:pPr>
        <w:snapToGrid w:val="0"/>
        <w:spacing w:line="460" w:lineRule="exact"/>
        <w:ind w:firstLine="420" w:firstLineChars="200"/>
        <w:rPr>
          <w:sz w:val="21"/>
          <w:szCs w:val="21"/>
        </w:rPr>
      </w:pPr>
      <w:r>
        <w:rPr>
          <w:rFonts w:hint="eastAsia" w:hAnsi="宋体" w:cs="宋体"/>
          <w:sz w:val="21"/>
          <w:szCs w:val="21"/>
        </w:rPr>
        <w:t>2.</w:t>
      </w:r>
      <w:r>
        <w:rPr>
          <w:rFonts w:hint="eastAsia"/>
          <w:sz w:val="21"/>
          <w:szCs w:val="21"/>
        </w:rPr>
        <w:t>全部货物安装完毕验收合格后甲方支付至合同金额的100%。</w:t>
      </w:r>
    </w:p>
    <w:p w14:paraId="4657A8B0">
      <w:pPr>
        <w:snapToGrid w:val="0"/>
        <w:spacing w:line="460" w:lineRule="exact"/>
        <w:ind w:firstLine="420" w:firstLineChars="200"/>
        <w:rPr>
          <w:sz w:val="21"/>
          <w:szCs w:val="21"/>
        </w:rPr>
      </w:pPr>
      <w:r>
        <w:rPr>
          <w:rFonts w:hint="eastAsia"/>
          <w:sz w:val="21"/>
          <w:szCs w:val="21"/>
        </w:rPr>
        <w:t>3.当采购数量与实际供货数量不一致时，以实际各供货产品数量乘以相应的中标单价进行结算。</w:t>
      </w:r>
    </w:p>
    <w:p w14:paraId="3C715ABC">
      <w:pPr>
        <w:spacing w:line="500" w:lineRule="exact"/>
        <w:ind w:firstLine="420" w:firstLineChars="200"/>
        <w:rPr>
          <w:rFonts w:hAnsi="宋体" w:cs="宋体"/>
          <w:sz w:val="21"/>
          <w:szCs w:val="21"/>
          <w:lang w:val="zh-CN"/>
        </w:rPr>
      </w:pPr>
      <w:r>
        <w:rPr>
          <w:rFonts w:hint="eastAsia"/>
          <w:sz w:val="21"/>
          <w:szCs w:val="21"/>
        </w:rPr>
        <w:t>4.结算费用时，乙方需开具正式税务发票</w:t>
      </w:r>
      <w:r>
        <w:rPr>
          <w:rFonts w:hint="eastAsia" w:hAnsi="宋体" w:cs="宋体"/>
          <w:sz w:val="21"/>
          <w:szCs w:val="21"/>
          <w:lang w:val="zh-CN"/>
        </w:rPr>
        <w:t>。</w:t>
      </w:r>
    </w:p>
    <w:p w14:paraId="038351BA">
      <w:pPr>
        <w:widowControl/>
        <w:autoSpaceDE/>
        <w:autoSpaceDN/>
        <w:adjustRightInd/>
        <w:spacing w:line="460" w:lineRule="exact"/>
        <w:ind w:firstLine="422" w:firstLineChars="200"/>
        <w:rPr>
          <w:rFonts w:hAnsi="宋体" w:cs="宋体"/>
          <w:bCs/>
          <w:kern w:val="2"/>
          <w:sz w:val="21"/>
          <w:szCs w:val="21"/>
        </w:rPr>
      </w:pPr>
      <w:r>
        <w:rPr>
          <w:rFonts w:hint="eastAsia" w:hAnsi="宋体" w:cs="宋体"/>
          <w:b/>
          <w:kern w:val="2"/>
          <w:sz w:val="21"/>
          <w:szCs w:val="21"/>
        </w:rPr>
        <w:t>十、税费</w:t>
      </w:r>
    </w:p>
    <w:p w14:paraId="06F957AF">
      <w:pPr>
        <w:autoSpaceDE/>
        <w:autoSpaceDN/>
        <w:adjustRightInd/>
        <w:snapToGrid w:val="0"/>
        <w:spacing w:line="480" w:lineRule="exact"/>
        <w:ind w:firstLine="420" w:firstLineChars="200"/>
        <w:jc w:val="both"/>
        <w:rPr>
          <w:rFonts w:hAnsi="宋体" w:cs="宋体"/>
          <w:bCs/>
          <w:kern w:val="2"/>
          <w:sz w:val="21"/>
          <w:szCs w:val="21"/>
        </w:rPr>
      </w:pPr>
      <w:r>
        <w:rPr>
          <w:rFonts w:hint="eastAsia" w:hAnsi="宋体" w:cs="宋体"/>
          <w:bCs/>
          <w:kern w:val="2"/>
          <w:sz w:val="21"/>
          <w:szCs w:val="21"/>
        </w:rPr>
        <w:t>本合同执行中相关的一切税费均由乙方负担。</w:t>
      </w:r>
    </w:p>
    <w:p w14:paraId="6D123CB7">
      <w:pPr>
        <w:autoSpaceDE/>
        <w:autoSpaceDN/>
        <w:adjustRightInd/>
        <w:snapToGrid w:val="0"/>
        <w:spacing w:line="480" w:lineRule="exact"/>
        <w:ind w:firstLine="413" w:firstLineChars="196"/>
        <w:jc w:val="both"/>
        <w:rPr>
          <w:rFonts w:hAnsi="宋体" w:cs="宋体"/>
          <w:kern w:val="2"/>
          <w:sz w:val="21"/>
          <w:szCs w:val="21"/>
        </w:rPr>
      </w:pPr>
      <w:r>
        <w:rPr>
          <w:rFonts w:hint="eastAsia" w:hAnsi="宋体" w:cs="宋体"/>
          <w:b/>
          <w:kern w:val="2"/>
          <w:sz w:val="21"/>
          <w:szCs w:val="21"/>
        </w:rPr>
        <w:t>十一、质量保证及售后服务</w:t>
      </w:r>
    </w:p>
    <w:p w14:paraId="120CDA31">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1.乙方应按招标文件规定的货物性能、技术要求、质量标准向甲方提供未经使用的全新产品。</w:t>
      </w:r>
    </w:p>
    <w:p w14:paraId="370B7511">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2.乙方提供的货物在质保期内因货物本身的质量问题发生故障，乙方应负责免费更换。对达不到技术要求者，根据实际情况，经双方协商，可按以下办法处理：</w:t>
      </w:r>
    </w:p>
    <w:p w14:paraId="2C9126E5">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（1）更换：由乙方承担所发生的全部费用。</w:t>
      </w:r>
    </w:p>
    <w:p w14:paraId="4916DC52">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（2）贬值处理：由甲乙双方合议定价。</w:t>
      </w:r>
    </w:p>
    <w:p w14:paraId="084F94AE">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（3）退货处理：乙方应退还甲方支付的合同款，同时应承担该货物的直接费用（运输、保险、检验、货款利息及银行手续费等）。</w:t>
      </w:r>
    </w:p>
    <w:p w14:paraId="2FCE165A">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3.如在使用过程中发生质量问题，乙方在接到甲方通知后在</w:t>
      </w:r>
      <w:r>
        <w:rPr>
          <w:rFonts w:hint="eastAsia" w:hAnsi="宋体" w:cs="宋体"/>
          <w:kern w:val="2"/>
          <w:sz w:val="21"/>
          <w:szCs w:val="21"/>
          <w:u w:val="single"/>
        </w:rPr>
        <w:t xml:space="preserve">   </w:t>
      </w:r>
      <w:r>
        <w:rPr>
          <w:rFonts w:hint="eastAsia" w:hAnsi="宋体" w:cs="宋体"/>
          <w:kern w:val="2"/>
          <w:sz w:val="21"/>
          <w:szCs w:val="21"/>
        </w:rPr>
        <w:t>小时内到达甲方现场。</w:t>
      </w:r>
    </w:p>
    <w:p w14:paraId="718325C2">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4.在质保期内，乙方应对货物出现的质量及安全问题负责处理解决并承担一切费用。</w:t>
      </w:r>
    </w:p>
    <w:p w14:paraId="7E5002EC">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5.上述的货物免费保修期为</w:t>
      </w:r>
      <w:r>
        <w:rPr>
          <w:rFonts w:hint="eastAsia" w:hAnsi="宋体" w:cs="宋体"/>
          <w:kern w:val="2"/>
          <w:sz w:val="21"/>
          <w:szCs w:val="21"/>
          <w:u w:val="single"/>
        </w:rPr>
        <w:t xml:space="preserve">   </w:t>
      </w:r>
      <w:r>
        <w:rPr>
          <w:rFonts w:hint="eastAsia" w:hAnsi="宋体" w:cs="宋体"/>
          <w:kern w:val="2"/>
          <w:sz w:val="21"/>
          <w:szCs w:val="21"/>
        </w:rPr>
        <w:t>年，因人为因素出现的故障不在免费保修范围内。超过保修期的机器设备，终身维修，维修时只收部件成本费。</w:t>
      </w:r>
    </w:p>
    <w:p w14:paraId="0CB78CB1">
      <w:pPr>
        <w:autoSpaceDE/>
        <w:autoSpaceDN/>
        <w:adjustRightInd/>
        <w:snapToGrid w:val="0"/>
        <w:spacing w:line="480" w:lineRule="exact"/>
        <w:ind w:firstLine="422" w:firstLineChars="200"/>
        <w:jc w:val="both"/>
        <w:rPr>
          <w:rFonts w:hAnsi="宋体" w:cs="宋体"/>
          <w:kern w:val="2"/>
          <w:sz w:val="21"/>
          <w:szCs w:val="21"/>
        </w:rPr>
      </w:pPr>
      <w:r>
        <w:rPr>
          <w:rFonts w:hint="eastAsia" w:hAnsi="宋体" w:cs="宋体"/>
          <w:b/>
          <w:kern w:val="2"/>
          <w:sz w:val="21"/>
          <w:szCs w:val="21"/>
        </w:rPr>
        <w:t>十二、验收</w:t>
      </w:r>
    </w:p>
    <w:p w14:paraId="7ABB24F0">
      <w:pPr>
        <w:autoSpaceDE/>
        <w:autoSpaceDN/>
        <w:adjustRightInd/>
        <w:snapToGrid w:val="0"/>
        <w:spacing w:line="480" w:lineRule="exact"/>
        <w:ind w:firstLine="420" w:firstLineChars="200"/>
        <w:rPr>
          <w:rFonts w:hAnsi="宋体" w:cs="宋体"/>
          <w:kern w:val="2"/>
          <w:sz w:val="21"/>
          <w:szCs w:val="21"/>
        </w:rPr>
      </w:pPr>
      <w:r>
        <w:rPr>
          <w:rFonts w:hint="eastAsia" w:hAnsi="宋体" w:cs="宋体"/>
          <w:kern w:val="2"/>
          <w:sz w:val="21"/>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97FA079">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2.乙方交货前应对产品作出全面检查和对验收文件进行整理，并列出清单，作为甲方收货验收和使用的技术条件依据，检验的结果应随货物交甲方。</w:t>
      </w:r>
    </w:p>
    <w:p w14:paraId="1707DF2F">
      <w:pPr>
        <w:autoSpaceDE/>
        <w:autoSpaceDN/>
        <w:adjustRightInd/>
        <w:snapToGrid w:val="0"/>
        <w:spacing w:line="480" w:lineRule="exact"/>
        <w:ind w:firstLine="411" w:firstLineChars="196"/>
        <w:jc w:val="both"/>
        <w:rPr>
          <w:rFonts w:hAnsi="宋体" w:cs="宋体"/>
          <w:b/>
          <w:kern w:val="2"/>
          <w:sz w:val="21"/>
          <w:szCs w:val="21"/>
        </w:rPr>
      </w:pPr>
      <w:r>
        <w:rPr>
          <w:rFonts w:hint="eastAsia" w:hAnsi="宋体" w:cs="宋体"/>
          <w:kern w:val="2"/>
          <w:sz w:val="21"/>
          <w:szCs w:val="21"/>
        </w:rPr>
        <w:t>3.验收时乙方必须在现场，验收完毕后做出验收结果报告。</w:t>
      </w:r>
    </w:p>
    <w:p w14:paraId="630E9BA5">
      <w:pPr>
        <w:autoSpaceDE/>
        <w:autoSpaceDN/>
        <w:adjustRightInd/>
        <w:snapToGrid w:val="0"/>
        <w:spacing w:line="480" w:lineRule="exact"/>
        <w:ind w:firstLine="413" w:firstLineChars="196"/>
        <w:jc w:val="both"/>
        <w:rPr>
          <w:rFonts w:hAnsi="宋体" w:cs="宋体"/>
          <w:b/>
          <w:kern w:val="2"/>
          <w:sz w:val="21"/>
          <w:szCs w:val="21"/>
        </w:rPr>
      </w:pPr>
      <w:r>
        <w:rPr>
          <w:rFonts w:hint="eastAsia" w:hAnsi="宋体" w:cs="宋体"/>
          <w:b/>
          <w:kern w:val="2"/>
          <w:sz w:val="21"/>
          <w:szCs w:val="21"/>
        </w:rPr>
        <w:t>十三、货物包装、发运及运输</w:t>
      </w:r>
    </w:p>
    <w:p w14:paraId="0ABCA8BE">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1.乙方应在货物发运前对其进行满足运输距离、防潮、防震、防锈和防破损装卸等要求包装，以保证货物安全运达甲方指定地点。</w:t>
      </w:r>
    </w:p>
    <w:p w14:paraId="54ECC758">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2.使用说明书、质量检验证明书以及清单一并附于货物内。</w:t>
      </w:r>
    </w:p>
    <w:p w14:paraId="354E1BEA">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3.乙方在货物发运手续办理完毕后24小时内或货到甲方48小时前通知甲方，以准备接货。</w:t>
      </w:r>
    </w:p>
    <w:p w14:paraId="358AF8AB">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4.货物在交付甲方前发生的风险均由乙方负责。</w:t>
      </w:r>
    </w:p>
    <w:p w14:paraId="610DFCE2">
      <w:pPr>
        <w:autoSpaceDE/>
        <w:autoSpaceDN/>
        <w:adjustRightInd/>
        <w:snapToGrid w:val="0"/>
        <w:spacing w:line="480" w:lineRule="exact"/>
        <w:ind w:right="26" w:firstLine="420" w:firstLineChars="200"/>
        <w:jc w:val="both"/>
        <w:rPr>
          <w:rFonts w:hAnsi="宋体" w:cs="宋体"/>
          <w:kern w:val="2"/>
          <w:sz w:val="21"/>
          <w:szCs w:val="21"/>
        </w:rPr>
      </w:pPr>
      <w:r>
        <w:rPr>
          <w:rFonts w:hint="eastAsia" w:hAnsi="宋体" w:cs="宋体"/>
          <w:kern w:val="2"/>
          <w:sz w:val="21"/>
          <w:szCs w:val="21"/>
        </w:rPr>
        <w:t>5.货物在规定的交付期限内由乙方送达甲方指定的地点视为交付，乙方同时需通知甲方货物已送达。</w:t>
      </w:r>
    </w:p>
    <w:p w14:paraId="29E8CB68">
      <w:pPr>
        <w:autoSpaceDE/>
        <w:autoSpaceDN/>
        <w:adjustRightInd/>
        <w:snapToGrid w:val="0"/>
        <w:spacing w:line="480" w:lineRule="exact"/>
        <w:ind w:firstLine="413" w:firstLineChars="196"/>
        <w:jc w:val="both"/>
        <w:rPr>
          <w:rFonts w:hAnsi="宋体" w:cs="宋体"/>
          <w:b/>
          <w:kern w:val="2"/>
          <w:sz w:val="21"/>
          <w:szCs w:val="21"/>
        </w:rPr>
      </w:pPr>
      <w:r>
        <w:rPr>
          <w:rFonts w:hint="eastAsia" w:hAnsi="宋体" w:cs="宋体"/>
          <w:b/>
          <w:kern w:val="2"/>
          <w:sz w:val="21"/>
          <w:szCs w:val="21"/>
        </w:rPr>
        <w:t>十四、违约责任</w:t>
      </w:r>
    </w:p>
    <w:p w14:paraId="3D1DDAC6">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1.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455142E7">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2.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9F8439">
      <w:pPr>
        <w:autoSpaceDE/>
        <w:autoSpaceDN/>
        <w:adjustRightInd/>
        <w:snapToGrid w:val="0"/>
        <w:spacing w:line="480" w:lineRule="exact"/>
        <w:ind w:firstLine="413" w:firstLineChars="196"/>
        <w:jc w:val="both"/>
        <w:rPr>
          <w:rFonts w:hAnsi="宋体" w:cs="宋体"/>
          <w:b/>
          <w:kern w:val="2"/>
          <w:sz w:val="21"/>
          <w:szCs w:val="21"/>
        </w:rPr>
      </w:pPr>
      <w:r>
        <w:rPr>
          <w:rFonts w:hint="eastAsia" w:hAnsi="宋体" w:cs="宋体"/>
          <w:b/>
          <w:kern w:val="2"/>
          <w:sz w:val="21"/>
          <w:szCs w:val="21"/>
        </w:rPr>
        <w:t>十五、不可抗力事件处理</w:t>
      </w:r>
    </w:p>
    <w:p w14:paraId="48052E9F">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1.在合同有效期内，任何一方因不可抗力事件导致不能履行合同，则合同履行期可延长，其延长期与不可抗力影响期相同。</w:t>
      </w:r>
    </w:p>
    <w:p w14:paraId="4C0FE2D1">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2.不可抗力事件发生后，应立即通知对方，并寄送有关权威机构出具的证明。</w:t>
      </w:r>
    </w:p>
    <w:p w14:paraId="44281397">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3.不可抗力事件延续120天以上，双方应通过友好协商，确定是否继续履行合同。</w:t>
      </w:r>
    </w:p>
    <w:p w14:paraId="352CF7B4">
      <w:pPr>
        <w:autoSpaceDE/>
        <w:autoSpaceDN/>
        <w:adjustRightInd/>
        <w:snapToGrid w:val="0"/>
        <w:spacing w:line="480" w:lineRule="exact"/>
        <w:ind w:firstLine="413" w:firstLineChars="196"/>
        <w:jc w:val="both"/>
        <w:rPr>
          <w:rFonts w:hAnsi="宋体" w:cs="宋体"/>
          <w:b/>
          <w:kern w:val="2"/>
          <w:sz w:val="21"/>
          <w:szCs w:val="21"/>
        </w:rPr>
      </w:pPr>
      <w:r>
        <w:rPr>
          <w:rFonts w:hint="eastAsia" w:hAnsi="宋体" w:cs="宋体"/>
          <w:b/>
          <w:kern w:val="2"/>
          <w:sz w:val="21"/>
          <w:szCs w:val="21"/>
        </w:rPr>
        <w:t>十六、</w:t>
      </w:r>
      <w:r>
        <w:rPr>
          <w:rFonts w:hint="eastAsia" w:hAnsi="宋体" w:cs="宋体"/>
          <w:b/>
          <w:bCs/>
          <w:kern w:val="2"/>
          <w:sz w:val="21"/>
          <w:szCs w:val="21"/>
        </w:rPr>
        <w:t>争议解决</w:t>
      </w:r>
    </w:p>
    <w:p w14:paraId="309F0E19">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双方在执行合同中所发生的一切争议，应通过协商解决。如协商不成，可向甲方所在地法院起诉。</w:t>
      </w:r>
    </w:p>
    <w:p w14:paraId="458AD44C">
      <w:pPr>
        <w:autoSpaceDE/>
        <w:autoSpaceDN/>
        <w:adjustRightInd/>
        <w:snapToGrid w:val="0"/>
        <w:spacing w:line="480" w:lineRule="exact"/>
        <w:ind w:firstLine="413" w:firstLineChars="196"/>
        <w:jc w:val="both"/>
        <w:rPr>
          <w:rFonts w:hAnsi="宋体" w:cs="宋体"/>
          <w:b/>
          <w:kern w:val="2"/>
          <w:sz w:val="21"/>
          <w:szCs w:val="21"/>
        </w:rPr>
      </w:pPr>
      <w:r>
        <w:rPr>
          <w:rFonts w:hint="eastAsia" w:hAnsi="宋体" w:cs="宋体"/>
          <w:b/>
          <w:kern w:val="2"/>
          <w:sz w:val="21"/>
          <w:szCs w:val="21"/>
        </w:rPr>
        <w:t>十七、合同生效及其它</w:t>
      </w:r>
    </w:p>
    <w:p w14:paraId="5CA9B485">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1.合同经双方法定代表人或授权代表签字并加盖单位公章后生效。</w:t>
      </w:r>
    </w:p>
    <w:p w14:paraId="630949E7">
      <w:pPr>
        <w:autoSpaceDE/>
        <w:autoSpaceDN/>
        <w:adjustRightInd/>
        <w:snapToGrid w:val="0"/>
        <w:spacing w:line="480" w:lineRule="exact"/>
        <w:ind w:firstLine="420" w:firstLineChars="200"/>
        <w:jc w:val="both"/>
        <w:rPr>
          <w:rFonts w:hAnsi="宋体" w:cs="宋体"/>
          <w:kern w:val="2"/>
          <w:sz w:val="21"/>
          <w:szCs w:val="21"/>
        </w:rPr>
      </w:pPr>
      <w:r>
        <w:rPr>
          <w:rFonts w:hint="eastAsia" w:hAnsi="宋体" w:cs="宋体"/>
          <w:kern w:val="2"/>
          <w:sz w:val="21"/>
          <w:szCs w:val="21"/>
        </w:rPr>
        <w:t>2.本合同未尽事宜，遵照《民法典》有关条文执行。</w:t>
      </w:r>
    </w:p>
    <w:p w14:paraId="4AA6767A">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3.本合同正本一式六份，具有同等法律效力，甲乙双方各执二份，采购代理机构二份。</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700"/>
        <w:gridCol w:w="3050"/>
      </w:tblGrid>
      <w:tr w14:paraId="4B7D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2880" w:type="dxa"/>
          </w:tcPr>
          <w:p w14:paraId="69A79A29">
            <w:pPr>
              <w:snapToGrid w:val="0"/>
              <w:spacing w:line="500" w:lineRule="exact"/>
              <w:rPr>
                <w:rFonts w:hAnsi="宋体" w:cs="宋体"/>
                <w:bCs/>
                <w:sz w:val="21"/>
                <w:szCs w:val="21"/>
              </w:rPr>
            </w:pPr>
            <w:r>
              <w:rPr>
                <w:rFonts w:hint="eastAsia" w:hAnsi="宋体" w:cs="宋体"/>
                <w:bCs/>
                <w:sz w:val="21"/>
                <w:szCs w:val="21"/>
              </w:rPr>
              <w:t>甲（采购）方</w:t>
            </w:r>
          </w:p>
          <w:p w14:paraId="04772D73">
            <w:pPr>
              <w:snapToGrid w:val="0"/>
              <w:spacing w:line="500" w:lineRule="exact"/>
              <w:rPr>
                <w:rFonts w:hAnsi="宋体" w:cs="宋体"/>
                <w:bCs/>
                <w:sz w:val="21"/>
                <w:szCs w:val="21"/>
              </w:rPr>
            </w:pPr>
            <w:r>
              <w:rPr>
                <w:rFonts w:hint="eastAsia" w:hAnsi="宋体" w:cs="宋体"/>
                <w:bCs/>
                <w:sz w:val="21"/>
                <w:szCs w:val="21"/>
              </w:rPr>
              <w:t>单位名称（章）：</w:t>
            </w:r>
          </w:p>
          <w:p w14:paraId="556ABCD7">
            <w:pPr>
              <w:snapToGrid w:val="0"/>
              <w:spacing w:line="500" w:lineRule="exact"/>
              <w:rPr>
                <w:rFonts w:hAnsi="宋体" w:cs="宋体"/>
                <w:bCs/>
                <w:sz w:val="21"/>
                <w:szCs w:val="21"/>
              </w:rPr>
            </w:pPr>
            <w:r>
              <w:rPr>
                <w:rFonts w:hint="eastAsia" w:hAnsi="宋体" w:cs="宋体"/>
                <w:bCs/>
                <w:sz w:val="21"/>
                <w:szCs w:val="21"/>
              </w:rPr>
              <w:t>单位地址：</w:t>
            </w:r>
          </w:p>
          <w:p w14:paraId="59D53911">
            <w:pPr>
              <w:snapToGrid w:val="0"/>
              <w:spacing w:line="500" w:lineRule="exact"/>
              <w:rPr>
                <w:rFonts w:hAnsi="宋体" w:cs="宋体"/>
                <w:bCs/>
                <w:sz w:val="21"/>
                <w:szCs w:val="21"/>
              </w:rPr>
            </w:pPr>
            <w:r>
              <w:rPr>
                <w:rFonts w:hint="eastAsia" w:hAnsi="宋体" w:cs="宋体"/>
                <w:bCs/>
                <w:sz w:val="21"/>
                <w:szCs w:val="21"/>
              </w:rPr>
              <w:t>法定代表人：</w:t>
            </w:r>
          </w:p>
          <w:p w14:paraId="20825324">
            <w:pPr>
              <w:snapToGrid w:val="0"/>
              <w:spacing w:line="500" w:lineRule="exact"/>
              <w:rPr>
                <w:rFonts w:hAnsi="宋体" w:cs="宋体"/>
                <w:bCs/>
                <w:sz w:val="21"/>
                <w:szCs w:val="21"/>
              </w:rPr>
            </w:pPr>
            <w:r>
              <w:rPr>
                <w:rFonts w:hint="eastAsia" w:hAnsi="宋体" w:cs="宋体"/>
                <w:bCs/>
                <w:sz w:val="21"/>
                <w:szCs w:val="21"/>
              </w:rPr>
              <w:t>委托代理人：</w:t>
            </w:r>
          </w:p>
          <w:p w14:paraId="0F5E69B7">
            <w:pPr>
              <w:snapToGrid w:val="0"/>
              <w:spacing w:line="500" w:lineRule="exact"/>
              <w:rPr>
                <w:rFonts w:hAnsi="宋体" w:cs="宋体"/>
                <w:bCs/>
                <w:sz w:val="21"/>
                <w:szCs w:val="21"/>
              </w:rPr>
            </w:pPr>
            <w:r>
              <w:rPr>
                <w:rFonts w:hint="eastAsia" w:hAnsi="宋体" w:cs="宋体"/>
                <w:bCs/>
                <w:sz w:val="21"/>
                <w:szCs w:val="21"/>
              </w:rPr>
              <w:t>电 话：</w:t>
            </w:r>
          </w:p>
          <w:p w14:paraId="64533E89">
            <w:pPr>
              <w:snapToGrid w:val="0"/>
              <w:spacing w:line="500" w:lineRule="exact"/>
              <w:rPr>
                <w:rFonts w:hAnsi="宋体" w:cs="宋体"/>
                <w:bCs/>
                <w:sz w:val="21"/>
                <w:szCs w:val="21"/>
              </w:rPr>
            </w:pPr>
            <w:r>
              <w:rPr>
                <w:rFonts w:hint="eastAsia" w:hAnsi="宋体" w:cs="宋体"/>
                <w:bCs/>
                <w:sz w:val="21"/>
                <w:szCs w:val="21"/>
              </w:rPr>
              <w:t>签订日期：  年 月 日</w:t>
            </w:r>
          </w:p>
        </w:tc>
        <w:tc>
          <w:tcPr>
            <w:tcW w:w="2700" w:type="dxa"/>
          </w:tcPr>
          <w:p w14:paraId="7A977BBD">
            <w:pPr>
              <w:snapToGrid w:val="0"/>
              <w:spacing w:line="500" w:lineRule="exact"/>
              <w:rPr>
                <w:rFonts w:hAnsi="宋体" w:cs="宋体"/>
                <w:bCs/>
                <w:sz w:val="21"/>
                <w:szCs w:val="21"/>
              </w:rPr>
            </w:pPr>
            <w:r>
              <w:rPr>
                <w:rFonts w:hint="eastAsia" w:hAnsi="宋体" w:cs="宋体"/>
                <w:bCs/>
                <w:sz w:val="21"/>
                <w:szCs w:val="21"/>
              </w:rPr>
              <w:t>乙（供货）方</w:t>
            </w:r>
          </w:p>
          <w:p w14:paraId="4DD91D89">
            <w:pPr>
              <w:snapToGrid w:val="0"/>
              <w:spacing w:line="500" w:lineRule="exact"/>
              <w:rPr>
                <w:rFonts w:hAnsi="宋体" w:cs="宋体"/>
                <w:bCs/>
                <w:sz w:val="21"/>
                <w:szCs w:val="21"/>
              </w:rPr>
            </w:pPr>
            <w:r>
              <w:rPr>
                <w:rFonts w:hint="eastAsia" w:hAnsi="宋体" w:cs="宋体"/>
                <w:bCs/>
                <w:sz w:val="21"/>
                <w:szCs w:val="21"/>
              </w:rPr>
              <w:t>单位名称（章）：</w:t>
            </w:r>
          </w:p>
          <w:p w14:paraId="29F609B9">
            <w:pPr>
              <w:snapToGrid w:val="0"/>
              <w:spacing w:line="500" w:lineRule="exact"/>
              <w:rPr>
                <w:rFonts w:hAnsi="宋体" w:cs="宋体"/>
                <w:bCs/>
                <w:sz w:val="21"/>
                <w:szCs w:val="21"/>
              </w:rPr>
            </w:pPr>
            <w:r>
              <w:rPr>
                <w:rFonts w:hint="eastAsia" w:hAnsi="宋体" w:cs="宋体"/>
                <w:bCs/>
                <w:sz w:val="21"/>
                <w:szCs w:val="21"/>
              </w:rPr>
              <w:t>单位地址：</w:t>
            </w:r>
          </w:p>
          <w:p w14:paraId="73F4B3C5">
            <w:pPr>
              <w:snapToGrid w:val="0"/>
              <w:spacing w:line="500" w:lineRule="exact"/>
              <w:rPr>
                <w:rFonts w:hAnsi="宋体" w:cs="宋体"/>
                <w:bCs/>
                <w:sz w:val="21"/>
                <w:szCs w:val="21"/>
              </w:rPr>
            </w:pPr>
            <w:r>
              <w:rPr>
                <w:rFonts w:hint="eastAsia" w:hAnsi="宋体" w:cs="宋体"/>
                <w:bCs/>
                <w:sz w:val="21"/>
                <w:szCs w:val="21"/>
              </w:rPr>
              <w:t>法定代表人：</w:t>
            </w:r>
          </w:p>
          <w:p w14:paraId="50CC09A7">
            <w:pPr>
              <w:snapToGrid w:val="0"/>
              <w:spacing w:line="500" w:lineRule="exact"/>
              <w:rPr>
                <w:rFonts w:hAnsi="宋体" w:cs="宋体"/>
                <w:bCs/>
                <w:sz w:val="21"/>
                <w:szCs w:val="21"/>
              </w:rPr>
            </w:pPr>
            <w:r>
              <w:rPr>
                <w:rFonts w:hint="eastAsia" w:hAnsi="宋体" w:cs="宋体"/>
                <w:bCs/>
                <w:sz w:val="21"/>
                <w:szCs w:val="21"/>
              </w:rPr>
              <w:t>委托代理人：</w:t>
            </w:r>
          </w:p>
          <w:p w14:paraId="4FF413E2">
            <w:pPr>
              <w:snapToGrid w:val="0"/>
              <w:spacing w:line="500" w:lineRule="exact"/>
              <w:rPr>
                <w:rFonts w:hAnsi="宋体" w:cs="宋体"/>
                <w:bCs/>
                <w:sz w:val="21"/>
                <w:szCs w:val="21"/>
              </w:rPr>
            </w:pPr>
            <w:r>
              <w:rPr>
                <w:rFonts w:hint="eastAsia" w:hAnsi="宋体" w:cs="宋体"/>
                <w:bCs/>
                <w:sz w:val="21"/>
                <w:szCs w:val="21"/>
              </w:rPr>
              <w:t>电 话：</w:t>
            </w:r>
          </w:p>
          <w:p w14:paraId="4DA8587F">
            <w:pPr>
              <w:snapToGrid w:val="0"/>
              <w:spacing w:line="500" w:lineRule="exact"/>
              <w:rPr>
                <w:rFonts w:hAnsi="宋体" w:cs="宋体"/>
                <w:bCs/>
                <w:sz w:val="21"/>
                <w:szCs w:val="21"/>
              </w:rPr>
            </w:pPr>
            <w:r>
              <w:rPr>
                <w:rFonts w:hint="eastAsia" w:hAnsi="宋体" w:cs="宋体"/>
                <w:bCs/>
                <w:sz w:val="21"/>
                <w:szCs w:val="21"/>
              </w:rPr>
              <w:t>开户银行：</w:t>
            </w:r>
          </w:p>
          <w:p w14:paraId="357C6754">
            <w:pPr>
              <w:snapToGrid w:val="0"/>
              <w:spacing w:line="500" w:lineRule="exact"/>
              <w:rPr>
                <w:rFonts w:hAnsi="宋体" w:cs="宋体"/>
                <w:bCs/>
                <w:sz w:val="21"/>
                <w:szCs w:val="21"/>
              </w:rPr>
            </w:pPr>
            <w:r>
              <w:rPr>
                <w:rFonts w:hint="eastAsia" w:hAnsi="宋体" w:cs="宋体"/>
                <w:bCs/>
                <w:sz w:val="21"/>
                <w:szCs w:val="21"/>
              </w:rPr>
              <w:t>账 号：</w:t>
            </w:r>
          </w:p>
          <w:p w14:paraId="31C2FB54">
            <w:pPr>
              <w:snapToGrid w:val="0"/>
              <w:spacing w:line="500" w:lineRule="exact"/>
              <w:rPr>
                <w:rFonts w:hAnsi="宋体" w:cs="宋体"/>
                <w:bCs/>
                <w:sz w:val="21"/>
                <w:szCs w:val="21"/>
              </w:rPr>
            </w:pPr>
            <w:r>
              <w:rPr>
                <w:rFonts w:hint="eastAsia" w:hAnsi="宋体" w:cs="宋体"/>
                <w:bCs/>
                <w:sz w:val="21"/>
                <w:szCs w:val="21"/>
              </w:rPr>
              <w:t>邮政编码：</w:t>
            </w:r>
          </w:p>
          <w:p w14:paraId="2E4A58EF">
            <w:pPr>
              <w:snapToGrid w:val="0"/>
              <w:spacing w:line="500" w:lineRule="exact"/>
              <w:rPr>
                <w:rFonts w:hAnsi="宋体" w:cs="宋体"/>
                <w:bCs/>
                <w:sz w:val="21"/>
                <w:szCs w:val="21"/>
              </w:rPr>
            </w:pPr>
            <w:r>
              <w:rPr>
                <w:rFonts w:hint="eastAsia" w:hAnsi="宋体" w:cs="宋体"/>
                <w:bCs/>
                <w:sz w:val="21"/>
                <w:szCs w:val="21"/>
              </w:rPr>
              <w:t>签订日期：   年 月 日</w:t>
            </w:r>
          </w:p>
        </w:tc>
        <w:tc>
          <w:tcPr>
            <w:tcW w:w="3050" w:type="dxa"/>
          </w:tcPr>
          <w:p w14:paraId="64198B91">
            <w:pPr>
              <w:snapToGrid w:val="0"/>
              <w:spacing w:line="500" w:lineRule="exact"/>
              <w:rPr>
                <w:rFonts w:hAnsi="宋体" w:cs="宋体"/>
                <w:bCs/>
                <w:sz w:val="21"/>
                <w:szCs w:val="21"/>
              </w:rPr>
            </w:pPr>
            <w:r>
              <w:rPr>
                <w:rFonts w:hint="eastAsia" w:hAnsi="宋体" w:cs="宋体"/>
                <w:bCs/>
                <w:sz w:val="21"/>
                <w:szCs w:val="21"/>
              </w:rPr>
              <w:t>采购代理机构意见：</w:t>
            </w:r>
          </w:p>
          <w:p w14:paraId="7ECD7771">
            <w:pPr>
              <w:snapToGrid w:val="0"/>
              <w:spacing w:line="500" w:lineRule="exact"/>
              <w:rPr>
                <w:rFonts w:hAnsi="宋体" w:cs="宋体"/>
                <w:bCs/>
                <w:sz w:val="21"/>
                <w:szCs w:val="21"/>
              </w:rPr>
            </w:pPr>
          </w:p>
          <w:p w14:paraId="666C6672">
            <w:pPr>
              <w:snapToGrid w:val="0"/>
              <w:spacing w:line="500" w:lineRule="exact"/>
              <w:ind w:firstLine="420" w:firstLineChars="200"/>
              <w:rPr>
                <w:rFonts w:hAnsi="宋体" w:cs="宋体"/>
                <w:bCs/>
                <w:sz w:val="21"/>
                <w:szCs w:val="21"/>
              </w:rPr>
            </w:pPr>
          </w:p>
          <w:p w14:paraId="0D65858D">
            <w:pPr>
              <w:snapToGrid w:val="0"/>
              <w:spacing w:line="500" w:lineRule="exact"/>
              <w:ind w:firstLine="1050" w:firstLineChars="500"/>
              <w:rPr>
                <w:rFonts w:hAnsi="宋体" w:cs="宋体"/>
                <w:bCs/>
                <w:sz w:val="21"/>
                <w:szCs w:val="21"/>
              </w:rPr>
            </w:pPr>
            <w:r>
              <w:rPr>
                <w:rFonts w:hint="eastAsia" w:hAnsi="宋体" w:cs="宋体"/>
                <w:bCs/>
                <w:sz w:val="21"/>
                <w:szCs w:val="21"/>
              </w:rPr>
              <w:t>年   月   日</w:t>
            </w:r>
          </w:p>
          <w:p w14:paraId="3D25F8CF">
            <w:pPr>
              <w:snapToGrid w:val="0"/>
              <w:spacing w:line="500" w:lineRule="exact"/>
              <w:rPr>
                <w:rFonts w:hAnsi="宋体" w:cs="宋体"/>
                <w:bCs/>
                <w:sz w:val="21"/>
                <w:szCs w:val="21"/>
              </w:rPr>
            </w:pPr>
          </w:p>
        </w:tc>
      </w:tr>
    </w:tbl>
    <w:p w14:paraId="16B233E9">
      <w:pPr>
        <w:autoSpaceDN/>
        <w:spacing w:line="460" w:lineRule="exact"/>
        <w:ind w:left="717" w:leftChars="211"/>
        <w:jc w:val="both"/>
        <w:textAlignment w:val="baseline"/>
        <w:rPr>
          <w:rFonts w:hAnsi="宋体" w:cs="宋体"/>
          <w:b/>
          <w:sz w:val="21"/>
          <w:szCs w:val="21"/>
          <w:lang w:bidi="ar"/>
        </w:rPr>
      </w:pPr>
    </w:p>
    <w:p w14:paraId="356CE4AE">
      <w:pPr>
        <w:autoSpaceDN/>
        <w:spacing w:line="460" w:lineRule="exact"/>
        <w:ind w:left="717" w:leftChars="211"/>
        <w:jc w:val="both"/>
        <w:textAlignment w:val="baseline"/>
        <w:rPr>
          <w:rFonts w:hAnsi="宋体" w:cs="宋体"/>
          <w:sz w:val="21"/>
          <w:szCs w:val="21"/>
        </w:rPr>
      </w:pPr>
      <w:r>
        <w:rPr>
          <w:rFonts w:hint="eastAsia" w:hAnsi="宋体" w:cs="宋体"/>
          <w:b/>
          <w:sz w:val="21"/>
          <w:szCs w:val="21"/>
          <w:lang w:bidi="ar"/>
        </w:rPr>
        <w:t>注：此合同样本仅作参考，采购人、供应商可根据采购项目的实际情况进行修改。</w:t>
      </w:r>
    </w:p>
    <w:bookmarkEnd w:id="93"/>
    <w:p w14:paraId="4250252A">
      <w:pPr>
        <w:pStyle w:val="48"/>
        <w:ind w:firstLine="240"/>
        <w:rPr>
          <w:rFonts w:ascii="宋体" w:hAnsi="宋体" w:cs="宋体"/>
          <w:kern w:val="2"/>
          <w:sz w:val="24"/>
        </w:rPr>
      </w:pPr>
      <w:bookmarkStart w:id="105" w:name="_Toc351559946"/>
    </w:p>
    <w:p w14:paraId="2229F95D">
      <w:pPr>
        <w:rPr>
          <w:rFonts w:hAnsi="宋体" w:cs="宋体"/>
          <w:kern w:val="2"/>
          <w:sz w:val="24"/>
        </w:rPr>
      </w:pPr>
    </w:p>
    <w:p w14:paraId="5FBA792B">
      <w:pPr>
        <w:pStyle w:val="48"/>
        <w:ind w:firstLine="240"/>
        <w:rPr>
          <w:rFonts w:ascii="宋体" w:hAnsi="宋体" w:cs="宋体"/>
          <w:kern w:val="2"/>
          <w:sz w:val="24"/>
        </w:rPr>
      </w:pPr>
    </w:p>
    <w:p w14:paraId="40C3BAE6">
      <w:pPr>
        <w:rPr>
          <w:rFonts w:hAnsi="宋体" w:cs="宋体"/>
          <w:sz w:val="30"/>
          <w:szCs w:val="30"/>
        </w:rPr>
      </w:pPr>
    </w:p>
    <w:p w14:paraId="47CD37C8">
      <w:pPr>
        <w:rPr>
          <w:rFonts w:hAnsi="宋体" w:cs="宋体"/>
          <w:sz w:val="30"/>
          <w:szCs w:val="30"/>
        </w:rPr>
      </w:pPr>
    </w:p>
    <w:p w14:paraId="2BB07B34">
      <w:pPr>
        <w:rPr>
          <w:rFonts w:hAnsi="宋体" w:cs="宋体"/>
          <w:sz w:val="30"/>
          <w:szCs w:val="30"/>
        </w:rPr>
      </w:pPr>
    </w:p>
    <w:p w14:paraId="581107B8">
      <w:pPr>
        <w:rPr>
          <w:rFonts w:hAnsi="宋体" w:cs="宋体"/>
          <w:sz w:val="30"/>
          <w:szCs w:val="30"/>
        </w:rPr>
      </w:pPr>
    </w:p>
    <w:p w14:paraId="09BE755D">
      <w:pPr>
        <w:pStyle w:val="2"/>
        <w:spacing w:line="360" w:lineRule="auto"/>
        <w:jc w:val="center"/>
        <w:rPr>
          <w:rFonts w:ascii="宋体" w:hAnsi="宋体" w:cs="宋体"/>
          <w:color w:val="auto"/>
          <w:sz w:val="30"/>
          <w:szCs w:val="30"/>
        </w:rPr>
      </w:pPr>
      <w:bookmarkStart w:id="106" w:name="_Toc24438"/>
      <w:bookmarkStart w:id="107" w:name="_Toc250"/>
      <w:bookmarkStart w:id="108" w:name="_Toc8875"/>
      <w:bookmarkStart w:id="109" w:name="_Toc30101"/>
      <w:bookmarkStart w:id="110" w:name="_Toc19043"/>
      <w:bookmarkStart w:id="111" w:name="_Toc13653"/>
      <w:bookmarkStart w:id="112" w:name="_Toc3946"/>
      <w:bookmarkStart w:id="113" w:name="_Toc3497"/>
      <w:bookmarkStart w:id="114" w:name="_Toc22248"/>
      <w:bookmarkStart w:id="115" w:name="_Toc6402"/>
      <w:bookmarkStart w:id="116" w:name="_Toc6690"/>
      <w:r>
        <w:rPr>
          <w:rFonts w:hint="eastAsia" w:ascii="宋体" w:hAnsi="宋体" w:cs="宋体"/>
          <w:color w:val="auto"/>
          <w:sz w:val="30"/>
          <w:szCs w:val="30"/>
        </w:rPr>
        <w:t>第六章　投标文件格式</w:t>
      </w:r>
      <w:bookmarkEnd w:id="106"/>
      <w:bookmarkEnd w:id="107"/>
      <w:bookmarkEnd w:id="108"/>
      <w:bookmarkEnd w:id="109"/>
      <w:bookmarkEnd w:id="110"/>
      <w:bookmarkEnd w:id="111"/>
      <w:bookmarkEnd w:id="112"/>
      <w:bookmarkEnd w:id="113"/>
      <w:bookmarkEnd w:id="114"/>
      <w:bookmarkEnd w:id="115"/>
      <w:bookmarkEnd w:id="116"/>
    </w:p>
    <w:p w14:paraId="32295511">
      <w:pPr>
        <w:snapToGrid w:val="0"/>
        <w:spacing w:before="317" w:beforeLines="50" w:after="50"/>
        <w:rPr>
          <w:rFonts w:hAnsi="宋体" w:cs="宋体"/>
          <w:sz w:val="24"/>
          <w:szCs w:val="24"/>
        </w:rPr>
      </w:pPr>
    </w:p>
    <w:p w14:paraId="7E0350E4">
      <w:pPr>
        <w:snapToGrid w:val="0"/>
        <w:spacing w:before="317" w:beforeLines="50" w:after="50"/>
        <w:jc w:val="center"/>
        <w:rPr>
          <w:rFonts w:hAnsi="宋体" w:cs="宋体"/>
          <w:sz w:val="24"/>
          <w:szCs w:val="24"/>
        </w:rPr>
      </w:pPr>
    </w:p>
    <w:p w14:paraId="3DE0EE31">
      <w:pPr>
        <w:snapToGrid w:val="0"/>
        <w:spacing w:before="317" w:beforeLines="50" w:after="50"/>
        <w:jc w:val="center"/>
        <w:rPr>
          <w:rFonts w:hAnsi="宋体" w:cs="宋体"/>
          <w:b/>
          <w:sz w:val="24"/>
          <w:szCs w:val="24"/>
        </w:rPr>
      </w:pPr>
      <w:r>
        <w:rPr>
          <w:rFonts w:hint="eastAsia" w:hAnsi="宋体" w:cs="宋体"/>
          <w:b/>
          <w:sz w:val="24"/>
          <w:szCs w:val="24"/>
        </w:rPr>
        <w:t>投标文件</w:t>
      </w:r>
    </w:p>
    <w:p w14:paraId="7F5D7133">
      <w:pPr>
        <w:snapToGrid w:val="0"/>
        <w:spacing w:before="317" w:beforeLines="50" w:after="50"/>
        <w:rPr>
          <w:rFonts w:hAnsi="宋体" w:cs="宋体"/>
          <w:sz w:val="24"/>
          <w:szCs w:val="24"/>
        </w:rPr>
      </w:pPr>
    </w:p>
    <w:p w14:paraId="5650A16C">
      <w:pPr>
        <w:snapToGrid w:val="0"/>
        <w:spacing w:line="460" w:lineRule="exact"/>
        <w:ind w:firstLine="480" w:firstLineChars="200"/>
        <w:rPr>
          <w:rFonts w:hAnsi="宋体" w:cs="宋体"/>
          <w:sz w:val="24"/>
          <w:szCs w:val="24"/>
        </w:rPr>
      </w:pPr>
      <w:r>
        <w:rPr>
          <w:rFonts w:hint="eastAsia" w:hAnsi="宋体" w:cs="宋体"/>
          <w:sz w:val="24"/>
          <w:szCs w:val="24"/>
        </w:rPr>
        <w:t xml:space="preserve">项目名称： </w:t>
      </w:r>
    </w:p>
    <w:p w14:paraId="2F9AB808">
      <w:pPr>
        <w:snapToGrid w:val="0"/>
        <w:spacing w:line="460" w:lineRule="exact"/>
        <w:ind w:firstLine="480" w:firstLineChars="200"/>
        <w:rPr>
          <w:rFonts w:hAnsi="宋体" w:cs="宋体"/>
          <w:sz w:val="24"/>
          <w:szCs w:val="24"/>
        </w:rPr>
      </w:pPr>
      <w:r>
        <w:rPr>
          <w:rFonts w:hint="eastAsia" w:hAnsi="宋体" w:cs="宋体"/>
          <w:sz w:val="24"/>
          <w:szCs w:val="24"/>
        </w:rPr>
        <w:t>项目编号：</w:t>
      </w:r>
    </w:p>
    <w:p w14:paraId="1DBDE4E5">
      <w:pPr>
        <w:snapToGrid w:val="0"/>
        <w:spacing w:line="460" w:lineRule="exact"/>
        <w:ind w:firstLine="480" w:firstLineChars="200"/>
        <w:rPr>
          <w:rFonts w:hAnsi="宋体" w:cs="宋体"/>
          <w:sz w:val="24"/>
          <w:szCs w:val="24"/>
        </w:rPr>
      </w:pPr>
      <w:r>
        <w:rPr>
          <w:rFonts w:hint="eastAsia" w:hAnsi="宋体" w:cs="宋体"/>
          <w:sz w:val="24"/>
          <w:szCs w:val="24"/>
        </w:rPr>
        <w:t>投标文件名称：资格文件、商务技术文件、报价文件</w:t>
      </w:r>
    </w:p>
    <w:p w14:paraId="4D1C0CD2">
      <w:pPr>
        <w:snapToGrid w:val="0"/>
        <w:spacing w:line="460" w:lineRule="exact"/>
        <w:ind w:firstLine="480" w:firstLineChars="200"/>
        <w:rPr>
          <w:rFonts w:hAnsi="宋体" w:cs="宋体"/>
          <w:sz w:val="24"/>
          <w:szCs w:val="24"/>
        </w:rPr>
      </w:pPr>
      <w:r>
        <w:rPr>
          <w:rFonts w:hint="eastAsia" w:hAnsi="宋体" w:cs="宋体"/>
          <w:sz w:val="24"/>
          <w:szCs w:val="24"/>
        </w:rPr>
        <w:t>投标人名称：</w:t>
      </w:r>
    </w:p>
    <w:p w14:paraId="2BF37EB8">
      <w:pPr>
        <w:snapToGrid w:val="0"/>
        <w:spacing w:line="460" w:lineRule="exact"/>
        <w:ind w:firstLine="480" w:firstLineChars="200"/>
        <w:rPr>
          <w:rFonts w:hAnsi="宋体" w:cs="宋体"/>
          <w:sz w:val="24"/>
          <w:szCs w:val="24"/>
        </w:rPr>
      </w:pPr>
      <w:r>
        <w:rPr>
          <w:rFonts w:hint="eastAsia" w:hAnsi="宋体" w:cs="宋体"/>
          <w:sz w:val="24"/>
          <w:szCs w:val="24"/>
        </w:rPr>
        <w:t>投标人地址：</w:t>
      </w:r>
    </w:p>
    <w:p w14:paraId="542E5C89">
      <w:pPr>
        <w:snapToGrid w:val="0"/>
        <w:spacing w:before="317" w:beforeLines="50" w:after="50"/>
        <w:ind w:firstLine="645"/>
        <w:jc w:val="center"/>
        <w:rPr>
          <w:rFonts w:hAnsi="宋体" w:cs="宋体"/>
          <w:sz w:val="24"/>
          <w:szCs w:val="24"/>
        </w:rPr>
      </w:pPr>
      <w:r>
        <w:rPr>
          <w:rFonts w:hint="eastAsia" w:hAnsi="宋体" w:cs="宋体"/>
          <w:sz w:val="24"/>
          <w:szCs w:val="24"/>
        </w:rPr>
        <w:t>年 月 日</w:t>
      </w:r>
    </w:p>
    <w:p w14:paraId="1A79AB24">
      <w:pPr>
        <w:widowControl/>
        <w:snapToGrid w:val="0"/>
        <w:spacing w:before="120" w:after="50"/>
        <w:rPr>
          <w:rFonts w:hAnsi="宋体" w:cs="宋体"/>
          <w:b/>
          <w:sz w:val="21"/>
        </w:rPr>
      </w:pPr>
      <w:r>
        <w:rPr>
          <w:rFonts w:hint="eastAsia" w:hAnsi="宋体" w:cs="宋体"/>
          <w:sz w:val="21"/>
          <w:szCs w:val="21"/>
        </w:rPr>
        <w:br w:type="page"/>
      </w:r>
      <w:r>
        <w:rPr>
          <w:rFonts w:hint="eastAsia" w:hAnsi="宋体" w:cs="宋体"/>
          <w:sz w:val="21"/>
          <w:szCs w:val="21"/>
        </w:rPr>
        <w:t xml:space="preserve">    </w:t>
      </w:r>
      <w:r>
        <w:rPr>
          <w:rFonts w:hint="eastAsia" w:hAnsi="宋体" w:cs="宋体"/>
          <w:b/>
          <w:sz w:val="24"/>
        </w:rPr>
        <w:t>（一）资格文件</w:t>
      </w:r>
    </w:p>
    <w:p w14:paraId="74AA3173">
      <w:pPr>
        <w:autoSpaceDE/>
        <w:autoSpaceDN/>
        <w:adjustRightInd/>
        <w:spacing w:line="460" w:lineRule="exact"/>
        <w:ind w:firstLine="482" w:firstLineChars="200"/>
        <w:jc w:val="both"/>
        <w:rPr>
          <w:rFonts w:hAnsi="宋体" w:cs="宋体"/>
          <w:sz w:val="21"/>
          <w:szCs w:val="21"/>
        </w:rPr>
      </w:pPr>
      <w:r>
        <w:rPr>
          <w:rFonts w:hint="eastAsia" w:hAnsi="宋体" w:cs="宋体"/>
          <w:b/>
          <w:sz w:val="24"/>
        </w:rPr>
        <w:t xml:space="preserve"> 资格文件目录</w:t>
      </w:r>
    </w:p>
    <w:p w14:paraId="111979FA">
      <w:pPr>
        <w:autoSpaceDE/>
        <w:autoSpaceDN/>
        <w:adjustRightInd/>
        <w:spacing w:line="500" w:lineRule="exact"/>
        <w:ind w:firstLine="420" w:firstLineChars="200"/>
        <w:rPr>
          <w:rFonts w:hAnsi="宋体" w:cs="宋体"/>
          <w:sz w:val="21"/>
          <w:szCs w:val="21"/>
        </w:rPr>
      </w:pPr>
      <w:r>
        <w:rPr>
          <w:rFonts w:hint="eastAsia" w:hAnsi="宋体" w:cs="宋体"/>
          <w:sz w:val="21"/>
          <w:szCs w:val="21"/>
        </w:rPr>
        <w:t>（1）有效期内的营业执照副本扫描件或复印件；</w:t>
      </w:r>
    </w:p>
    <w:p w14:paraId="7ABDC2D9">
      <w:pPr>
        <w:widowControl/>
        <w:autoSpaceDE/>
        <w:autoSpaceDN/>
        <w:adjustRightInd/>
        <w:spacing w:line="500" w:lineRule="exact"/>
        <w:ind w:firstLine="420" w:firstLineChars="200"/>
        <w:rPr>
          <w:rFonts w:hAnsi="宋体" w:cs="宋体"/>
          <w:sz w:val="21"/>
          <w:szCs w:val="21"/>
        </w:rPr>
      </w:pPr>
      <w:r>
        <w:rPr>
          <w:rFonts w:hint="eastAsia" w:hAnsi="宋体" w:cs="宋体"/>
          <w:sz w:val="21"/>
          <w:szCs w:val="21"/>
        </w:rPr>
        <w:t>（2）符合参加政府采购活动应当具备的一般条件的承诺函（格式见附件）。</w:t>
      </w:r>
    </w:p>
    <w:p w14:paraId="785F349C">
      <w:pPr>
        <w:widowControl/>
        <w:autoSpaceDE/>
        <w:autoSpaceDN/>
        <w:adjustRightInd/>
        <w:spacing w:line="500" w:lineRule="exact"/>
        <w:ind w:firstLine="420" w:firstLineChars="200"/>
        <w:rPr>
          <w:rFonts w:hAnsi="宋体" w:cs="宋体"/>
          <w:sz w:val="21"/>
          <w:szCs w:val="21"/>
        </w:rPr>
      </w:pPr>
    </w:p>
    <w:p w14:paraId="3DA3410F">
      <w:pPr>
        <w:autoSpaceDE/>
        <w:autoSpaceDN/>
        <w:adjustRightInd/>
        <w:snapToGrid w:val="0"/>
        <w:spacing w:line="500" w:lineRule="exact"/>
        <w:ind w:firstLine="420" w:firstLineChars="200"/>
        <w:rPr>
          <w:rFonts w:hAnsi="宋体" w:cs="宋体"/>
          <w:sz w:val="21"/>
          <w:szCs w:val="21"/>
        </w:rPr>
      </w:pPr>
    </w:p>
    <w:p w14:paraId="553E9D02">
      <w:pPr>
        <w:keepNext/>
        <w:keepLines/>
        <w:rPr>
          <w:rFonts w:hAnsi="宋体" w:cs="宋体"/>
          <w:sz w:val="21"/>
          <w:szCs w:val="21"/>
        </w:rPr>
      </w:pPr>
      <w:r>
        <w:rPr>
          <w:rFonts w:hint="eastAsia" w:hAnsi="宋体" w:cs="宋体"/>
          <w:sz w:val="24"/>
          <w:szCs w:val="24"/>
        </w:rPr>
        <w:br w:type="page"/>
      </w:r>
      <w:r>
        <w:rPr>
          <w:rFonts w:hint="eastAsia" w:hAnsi="宋体" w:cs="宋体"/>
          <w:sz w:val="24"/>
          <w:szCs w:val="24"/>
        </w:rPr>
        <w:t xml:space="preserve">                     </w:t>
      </w:r>
      <w:r>
        <w:rPr>
          <w:rFonts w:hint="eastAsia" w:hAnsi="宋体" w:cs="宋体"/>
          <w:b/>
          <w:bCs/>
          <w:sz w:val="21"/>
          <w:szCs w:val="21"/>
        </w:rPr>
        <w:t>1.有效期内的营业执照副本扫描件或复印件；</w:t>
      </w:r>
    </w:p>
    <w:p w14:paraId="1E5B2276">
      <w:pPr>
        <w:spacing w:line="500" w:lineRule="exact"/>
        <w:ind w:firstLine="480"/>
        <w:jc w:val="center"/>
        <w:rPr>
          <w:rFonts w:hAnsi="宋体" w:cs="宋体"/>
          <w:b/>
          <w:sz w:val="21"/>
          <w:szCs w:val="21"/>
        </w:rPr>
      </w:pPr>
    </w:p>
    <w:p w14:paraId="1572DB50">
      <w:pPr>
        <w:snapToGrid w:val="0"/>
        <w:spacing w:line="360" w:lineRule="auto"/>
        <w:ind w:right="480"/>
        <w:jc w:val="center"/>
        <w:rPr>
          <w:rFonts w:hAnsi="宋体" w:cs="宋体"/>
          <w:b/>
          <w:sz w:val="21"/>
          <w:szCs w:val="21"/>
        </w:rPr>
      </w:pPr>
      <w:r>
        <w:rPr>
          <w:rFonts w:hint="eastAsia" w:hAnsi="宋体" w:cs="宋体"/>
          <w:b/>
          <w:sz w:val="21"/>
          <w:szCs w:val="21"/>
        </w:rPr>
        <w:t>2.符合参加政府采购活动应当具备的一般条件的承诺函</w:t>
      </w:r>
    </w:p>
    <w:p w14:paraId="4E70B6AA">
      <w:pPr>
        <w:snapToGrid w:val="0"/>
        <w:spacing w:line="500" w:lineRule="exact"/>
        <w:rPr>
          <w:rFonts w:hAnsi="宋体" w:cs="宋体"/>
          <w:sz w:val="21"/>
          <w:szCs w:val="21"/>
        </w:rPr>
      </w:pPr>
      <w:r>
        <w:rPr>
          <w:rFonts w:hint="eastAsia" w:hAnsi="宋体" w:cs="宋体"/>
          <w:sz w:val="21"/>
          <w:szCs w:val="21"/>
        </w:rPr>
        <w:t>（采购人）、（采购代理机构）：</w:t>
      </w:r>
    </w:p>
    <w:p w14:paraId="534155E3">
      <w:pPr>
        <w:snapToGrid w:val="0"/>
        <w:spacing w:line="500" w:lineRule="exact"/>
        <w:ind w:firstLine="420" w:firstLineChars="200"/>
        <w:rPr>
          <w:rFonts w:hAnsi="宋体" w:cs="宋体"/>
          <w:sz w:val="21"/>
          <w:szCs w:val="21"/>
        </w:rPr>
      </w:pPr>
      <w:r>
        <w:rPr>
          <w:rFonts w:hint="eastAsia" w:hAnsi="宋体" w:cs="宋体"/>
          <w:sz w:val="21"/>
          <w:szCs w:val="21"/>
        </w:rPr>
        <w:t>我方参与（项目名称）【招标编号：（采购编号）】政府采购活动，郑重承诺：</w:t>
      </w:r>
    </w:p>
    <w:p w14:paraId="3E7B97E9">
      <w:pPr>
        <w:snapToGrid w:val="0"/>
        <w:spacing w:line="500" w:lineRule="exact"/>
        <w:ind w:firstLine="315" w:firstLineChars="150"/>
        <w:rPr>
          <w:rFonts w:hAnsi="宋体" w:cs="宋体"/>
          <w:sz w:val="21"/>
          <w:szCs w:val="21"/>
        </w:rPr>
      </w:pPr>
      <w:r>
        <w:rPr>
          <w:rFonts w:hint="eastAsia" w:hAnsi="宋体" w:cs="宋体"/>
          <w:sz w:val="21"/>
          <w:szCs w:val="21"/>
        </w:rPr>
        <w:t>（一）具备《中华人民共和国政府采购法》第二十二条第一款规定的条件：</w:t>
      </w:r>
    </w:p>
    <w:p w14:paraId="659DE00A">
      <w:pPr>
        <w:snapToGrid w:val="0"/>
        <w:spacing w:line="500" w:lineRule="exact"/>
        <w:ind w:firstLine="420" w:firstLineChars="200"/>
        <w:rPr>
          <w:rFonts w:hAnsi="宋体" w:cs="宋体"/>
          <w:sz w:val="21"/>
          <w:szCs w:val="21"/>
        </w:rPr>
      </w:pPr>
      <w:r>
        <w:rPr>
          <w:rFonts w:hint="eastAsia" w:hAnsi="宋体" w:cs="宋体"/>
          <w:sz w:val="21"/>
          <w:szCs w:val="21"/>
        </w:rPr>
        <w:t>1.具有独立承担民事责任的能力；</w:t>
      </w:r>
    </w:p>
    <w:p w14:paraId="2C1E1A91">
      <w:pPr>
        <w:snapToGrid w:val="0"/>
        <w:spacing w:line="500" w:lineRule="exact"/>
        <w:ind w:firstLine="420" w:firstLineChars="200"/>
        <w:rPr>
          <w:rFonts w:hAnsi="宋体" w:cs="宋体"/>
          <w:sz w:val="21"/>
          <w:szCs w:val="21"/>
        </w:rPr>
      </w:pPr>
      <w:r>
        <w:rPr>
          <w:rFonts w:hint="eastAsia" w:hAnsi="宋体" w:cs="宋体"/>
          <w:sz w:val="21"/>
          <w:szCs w:val="21"/>
        </w:rPr>
        <w:t xml:space="preserve">2.具有良好的商业信誉和健全的财务会计制度； </w:t>
      </w:r>
    </w:p>
    <w:p w14:paraId="4515F29F">
      <w:pPr>
        <w:snapToGrid w:val="0"/>
        <w:spacing w:line="500" w:lineRule="exact"/>
        <w:ind w:firstLine="420" w:firstLineChars="200"/>
        <w:rPr>
          <w:rFonts w:hAnsi="宋体" w:cs="宋体"/>
          <w:sz w:val="21"/>
          <w:szCs w:val="21"/>
        </w:rPr>
      </w:pPr>
      <w:r>
        <w:rPr>
          <w:rFonts w:hint="eastAsia" w:hAnsi="宋体" w:cs="宋体"/>
          <w:sz w:val="21"/>
          <w:szCs w:val="21"/>
        </w:rPr>
        <w:t>3.具有履行合同所必需的设备和专业技术能力；</w:t>
      </w:r>
    </w:p>
    <w:p w14:paraId="495692AF">
      <w:pPr>
        <w:snapToGrid w:val="0"/>
        <w:spacing w:line="500" w:lineRule="exact"/>
        <w:ind w:firstLine="420" w:firstLineChars="200"/>
        <w:rPr>
          <w:rFonts w:hAnsi="宋体" w:cs="宋体"/>
          <w:sz w:val="21"/>
          <w:szCs w:val="21"/>
        </w:rPr>
      </w:pPr>
      <w:r>
        <w:rPr>
          <w:rFonts w:hint="eastAsia" w:hAnsi="宋体" w:cs="宋体"/>
          <w:sz w:val="21"/>
          <w:szCs w:val="21"/>
        </w:rPr>
        <w:t>4.有依法缴纳税收和社会保障资金的良好记录；</w:t>
      </w:r>
    </w:p>
    <w:p w14:paraId="5F27E99C">
      <w:pPr>
        <w:snapToGrid w:val="0"/>
        <w:spacing w:line="500" w:lineRule="exact"/>
        <w:ind w:firstLine="420" w:firstLineChars="200"/>
        <w:rPr>
          <w:rFonts w:hAnsi="宋体" w:cs="宋体"/>
          <w:sz w:val="21"/>
          <w:szCs w:val="21"/>
        </w:rPr>
      </w:pPr>
      <w:r>
        <w:rPr>
          <w:rFonts w:hint="eastAsia" w:hAnsi="宋体" w:cs="宋体"/>
          <w:sz w:val="21"/>
          <w:szCs w:val="21"/>
        </w:rPr>
        <w:t>5.参加政府采购活动前三年内，在经营活动中没有重大违法记录；</w:t>
      </w:r>
    </w:p>
    <w:p w14:paraId="4FFFA94F">
      <w:pPr>
        <w:snapToGrid w:val="0"/>
        <w:spacing w:line="500" w:lineRule="exact"/>
        <w:ind w:firstLine="420" w:firstLineChars="200"/>
        <w:rPr>
          <w:rFonts w:hAnsi="宋体" w:cs="宋体"/>
          <w:sz w:val="21"/>
          <w:szCs w:val="21"/>
        </w:rPr>
      </w:pPr>
      <w:r>
        <w:rPr>
          <w:rFonts w:hint="eastAsia" w:hAnsi="宋体" w:cs="宋体"/>
          <w:sz w:val="21"/>
          <w:szCs w:val="21"/>
        </w:rPr>
        <w:t>6.具有法律、行政法规规定的其他条件。</w:t>
      </w:r>
    </w:p>
    <w:p w14:paraId="686B15F9">
      <w:pPr>
        <w:snapToGrid w:val="0"/>
        <w:spacing w:line="500" w:lineRule="exact"/>
        <w:ind w:firstLine="420" w:firstLineChars="200"/>
        <w:rPr>
          <w:rFonts w:hAnsi="宋体" w:cs="宋体"/>
          <w:sz w:val="21"/>
          <w:szCs w:val="21"/>
        </w:rPr>
      </w:pPr>
      <w:r>
        <w:rPr>
          <w:rFonts w:hint="eastAsia" w:hAnsi="宋体" w:cs="宋体"/>
          <w:sz w:val="21"/>
          <w:szCs w:val="21"/>
        </w:rPr>
        <w:t>（二）未被信用中国（www.creditchina.gov.cn）、中国政府采购网（www.ccgp.gov.cn）列入失信被执行人、重大税收违法案件当事人名单、政府采购严重违法失信行为记录名单。</w:t>
      </w:r>
    </w:p>
    <w:p w14:paraId="39EE768D">
      <w:pPr>
        <w:snapToGrid w:val="0"/>
        <w:spacing w:line="500" w:lineRule="exact"/>
        <w:ind w:firstLine="420" w:firstLineChars="200"/>
        <w:rPr>
          <w:rFonts w:hAnsi="宋体" w:cs="宋体"/>
          <w:sz w:val="21"/>
          <w:szCs w:val="21"/>
        </w:rPr>
      </w:pPr>
      <w:r>
        <w:rPr>
          <w:rFonts w:hint="eastAsia" w:hAnsi="宋体" w:cs="宋体"/>
          <w:sz w:val="21"/>
          <w:szCs w:val="21"/>
        </w:rPr>
        <w:t>（三）不存在以下情况：</w:t>
      </w:r>
    </w:p>
    <w:p w14:paraId="7ECAF10D">
      <w:pPr>
        <w:snapToGrid w:val="0"/>
        <w:spacing w:line="500" w:lineRule="exact"/>
        <w:ind w:firstLine="420" w:firstLineChars="200"/>
        <w:rPr>
          <w:rFonts w:hAnsi="宋体" w:cs="宋体"/>
          <w:sz w:val="21"/>
          <w:szCs w:val="21"/>
        </w:rPr>
      </w:pPr>
      <w:r>
        <w:rPr>
          <w:rFonts w:hint="eastAsia" w:hAnsi="宋体" w:cs="宋体"/>
          <w:sz w:val="21"/>
          <w:szCs w:val="21"/>
        </w:rPr>
        <w:t>1.单位负责人为同一人或者存在直接控股、管理关系的不同供应商参加同一合同项下的政府采购活动的；</w:t>
      </w:r>
    </w:p>
    <w:p w14:paraId="42F969BF">
      <w:pPr>
        <w:snapToGrid w:val="0"/>
        <w:spacing w:line="500" w:lineRule="exact"/>
        <w:ind w:firstLine="420" w:firstLineChars="200"/>
        <w:rPr>
          <w:rFonts w:hAnsi="宋体" w:cs="宋体"/>
          <w:sz w:val="21"/>
          <w:szCs w:val="21"/>
        </w:rPr>
      </w:pPr>
      <w:r>
        <w:rPr>
          <w:rFonts w:hint="eastAsia" w:hAnsi="宋体" w:cs="宋体"/>
          <w:sz w:val="21"/>
          <w:szCs w:val="21"/>
        </w:rPr>
        <w:t>2.为采购项目提供整体设计、规范编制或者项目管理、监理、检测等服务后再参加该采购项目的其他采购活动的。</w:t>
      </w:r>
    </w:p>
    <w:p w14:paraId="6D5BE2C7">
      <w:pPr>
        <w:snapToGrid w:val="0"/>
        <w:spacing w:line="500" w:lineRule="exact"/>
        <w:ind w:firstLine="4830" w:firstLineChars="2300"/>
        <w:rPr>
          <w:rFonts w:hAnsi="宋体" w:cs="宋体"/>
          <w:sz w:val="21"/>
          <w:szCs w:val="21"/>
        </w:rPr>
      </w:pPr>
      <w:r>
        <w:rPr>
          <w:rFonts w:hint="eastAsia" w:hAnsi="宋体" w:cs="宋体"/>
          <w:sz w:val="21"/>
          <w:szCs w:val="21"/>
          <w:lang w:val="zh-CN"/>
        </w:rPr>
        <w:t>投标人名称</w:t>
      </w:r>
      <w:r>
        <w:rPr>
          <w:rFonts w:hint="eastAsia" w:hAnsi="宋体" w:cs="宋体"/>
          <w:sz w:val="21"/>
          <w:szCs w:val="21"/>
        </w:rPr>
        <w:t>（盖章）</w:t>
      </w:r>
      <w:r>
        <w:rPr>
          <w:rFonts w:hint="eastAsia" w:hAnsi="宋体" w:cs="宋体"/>
          <w:sz w:val="21"/>
          <w:szCs w:val="21"/>
          <w:lang w:val="zh-CN"/>
        </w:rPr>
        <w:t>：</w:t>
      </w:r>
    </w:p>
    <w:p w14:paraId="4D1DE4ED">
      <w:pPr>
        <w:snapToGrid w:val="0"/>
        <w:spacing w:line="500" w:lineRule="exact"/>
        <w:rPr>
          <w:rFonts w:hAnsi="宋体" w:cs="宋体"/>
          <w:sz w:val="21"/>
          <w:szCs w:val="21"/>
        </w:rPr>
      </w:pPr>
      <w:r>
        <w:rPr>
          <w:rFonts w:hint="eastAsia" w:hAnsi="宋体" w:cs="宋体"/>
          <w:sz w:val="21"/>
          <w:szCs w:val="21"/>
          <w:lang w:val="zh-CN"/>
        </w:rPr>
        <w:t xml:space="preserve">                        </w:t>
      </w:r>
      <w:r>
        <w:rPr>
          <w:rFonts w:hint="eastAsia" w:hAnsi="宋体" w:cs="宋体"/>
          <w:sz w:val="21"/>
          <w:szCs w:val="21"/>
        </w:rPr>
        <w:t xml:space="preserve">                      </w:t>
      </w:r>
      <w:r>
        <w:rPr>
          <w:rFonts w:hint="eastAsia" w:hAnsi="宋体" w:cs="宋体"/>
          <w:sz w:val="21"/>
          <w:szCs w:val="21"/>
          <w:lang w:val="zh-CN"/>
        </w:rPr>
        <w:t>日期</w:t>
      </w:r>
      <w:r>
        <w:rPr>
          <w:rFonts w:hint="eastAsia" w:hAnsi="宋体" w:cs="宋体"/>
          <w:sz w:val="21"/>
          <w:szCs w:val="21"/>
        </w:rPr>
        <w:t xml:space="preserve">：  年  </w:t>
      </w:r>
      <w:r>
        <w:rPr>
          <w:rFonts w:hint="eastAsia" w:hAnsi="宋体" w:cs="宋体"/>
          <w:sz w:val="21"/>
          <w:szCs w:val="21"/>
          <w:lang w:val="zh-CN"/>
        </w:rPr>
        <w:t>月</w:t>
      </w:r>
      <w:r>
        <w:rPr>
          <w:rFonts w:hint="eastAsia" w:hAnsi="宋体" w:cs="宋体"/>
          <w:sz w:val="21"/>
          <w:szCs w:val="21"/>
        </w:rPr>
        <w:t xml:space="preserve">   </w:t>
      </w:r>
      <w:r>
        <w:rPr>
          <w:rFonts w:hint="eastAsia" w:hAnsi="宋体" w:cs="宋体"/>
          <w:sz w:val="21"/>
          <w:szCs w:val="21"/>
          <w:lang w:val="zh-CN"/>
        </w:rPr>
        <w:t>日</w:t>
      </w:r>
    </w:p>
    <w:p w14:paraId="114222AA">
      <w:pPr>
        <w:ind w:firstLine="420" w:firstLineChars="200"/>
        <w:rPr>
          <w:rFonts w:hAnsi="宋体" w:cs="宋体"/>
          <w:sz w:val="21"/>
          <w:szCs w:val="21"/>
        </w:rPr>
      </w:pPr>
    </w:p>
    <w:p w14:paraId="069A4793">
      <w:pPr>
        <w:ind w:firstLine="422" w:firstLineChars="200"/>
        <w:rPr>
          <w:rFonts w:hAnsi="宋体" w:cs="宋体"/>
          <w:b/>
          <w:bCs/>
          <w:sz w:val="21"/>
          <w:szCs w:val="21"/>
        </w:rPr>
      </w:pPr>
    </w:p>
    <w:p w14:paraId="14C936C0">
      <w:pPr>
        <w:ind w:firstLine="422" w:firstLineChars="200"/>
        <w:rPr>
          <w:rFonts w:hAnsi="宋体" w:cs="宋体"/>
          <w:b/>
          <w:bCs/>
          <w:sz w:val="21"/>
          <w:szCs w:val="21"/>
        </w:rPr>
      </w:pPr>
    </w:p>
    <w:p w14:paraId="1BA61EA7">
      <w:pPr>
        <w:spacing w:line="500" w:lineRule="exact"/>
        <w:rPr>
          <w:rFonts w:hAnsi="宋体" w:cs="宋体"/>
          <w:b/>
          <w:sz w:val="21"/>
          <w:szCs w:val="21"/>
        </w:rPr>
      </w:pPr>
    </w:p>
    <w:p w14:paraId="09DF92D3">
      <w:pPr>
        <w:snapToGrid w:val="0"/>
        <w:spacing w:line="360" w:lineRule="auto"/>
        <w:ind w:right="480"/>
        <w:jc w:val="center"/>
        <w:rPr>
          <w:rFonts w:hAnsi="宋体" w:cs="宋体"/>
          <w:b/>
          <w:sz w:val="21"/>
          <w:szCs w:val="21"/>
        </w:rPr>
      </w:pPr>
    </w:p>
    <w:p w14:paraId="630334EB">
      <w:pPr>
        <w:snapToGrid w:val="0"/>
        <w:spacing w:before="317" w:beforeLines="50" w:after="50"/>
        <w:rPr>
          <w:rFonts w:hAnsi="宋体" w:cs="宋体"/>
          <w:b/>
          <w:bCs/>
          <w:sz w:val="24"/>
        </w:rPr>
      </w:pPr>
      <w:r>
        <w:rPr>
          <w:rFonts w:hint="eastAsia" w:hAnsi="宋体" w:cs="宋体"/>
          <w:sz w:val="24"/>
        </w:rPr>
        <w:t xml:space="preserve">    </w:t>
      </w:r>
      <w:r>
        <w:rPr>
          <w:rFonts w:hint="eastAsia" w:hAnsi="宋体" w:cs="宋体"/>
          <w:b/>
          <w:bCs/>
          <w:sz w:val="24"/>
        </w:rPr>
        <w:t>（二）商务技术文件</w:t>
      </w:r>
    </w:p>
    <w:p w14:paraId="45D66591">
      <w:pPr>
        <w:autoSpaceDE/>
        <w:autoSpaceDN/>
        <w:adjustRightInd/>
        <w:spacing w:line="460" w:lineRule="exact"/>
        <w:ind w:firstLine="420" w:firstLineChars="200"/>
        <w:jc w:val="both"/>
        <w:rPr>
          <w:rFonts w:hAnsi="宋体" w:cs="宋体"/>
          <w:sz w:val="21"/>
          <w:szCs w:val="21"/>
        </w:rPr>
      </w:pPr>
      <w:r>
        <w:rPr>
          <w:rFonts w:hint="eastAsia" w:hAnsi="宋体" w:cs="宋体"/>
          <w:sz w:val="21"/>
          <w:szCs w:val="21"/>
        </w:rPr>
        <w:t>（1）投标人技术商务标自评得分汇总表；（格式内容参照技术商务评分表，格式见附件）；</w:t>
      </w:r>
    </w:p>
    <w:p w14:paraId="0E1C8732">
      <w:pPr>
        <w:autoSpaceDE/>
        <w:autoSpaceDN/>
        <w:adjustRightInd/>
        <w:spacing w:line="460" w:lineRule="exact"/>
        <w:ind w:firstLine="420" w:firstLineChars="200"/>
        <w:jc w:val="both"/>
        <w:rPr>
          <w:rFonts w:hAnsi="宋体" w:cs="宋体"/>
          <w:sz w:val="21"/>
          <w:szCs w:val="21"/>
        </w:rPr>
      </w:pPr>
      <w:r>
        <w:rPr>
          <w:rFonts w:hint="eastAsia" w:hAnsi="宋体" w:cs="宋体"/>
          <w:sz w:val="21"/>
          <w:szCs w:val="21"/>
        </w:rPr>
        <w:t>（2）投标人情况表（格式见附件）；</w:t>
      </w:r>
    </w:p>
    <w:p w14:paraId="3659B167">
      <w:pPr>
        <w:autoSpaceDE/>
        <w:autoSpaceDN/>
        <w:adjustRightInd/>
        <w:spacing w:line="500" w:lineRule="exact"/>
        <w:ind w:firstLine="420" w:firstLineChars="200"/>
        <w:rPr>
          <w:rFonts w:hAnsi="宋体" w:cs="宋体"/>
          <w:sz w:val="21"/>
          <w:szCs w:val="21"/>
        </w:rPr>
      </w:pPr>
      <w:r>
        <w:rPr>
          <w:rFonts w:hint="eastAsia" w:hAnsi="宋体" w:cs="宋体"/>
          <w:sz w:val="21"/>
          <w:szCs w:val="21"/>
        </w:rPr>
        <w:t>（3）</w:t>
      </w:r>
      <w:r>
        <w:rPr>
          <w:rFonts w:hint="eastAsia" w:hAnsi="宋体" w:cs="宋体"/>
          <w:sz w:val="21"/>
        </w:rPr>
        <w:t>法定代表人授权委托书</w:t>
      </w:r>
      <w:r>
        <w:rPr>
          <w:rFonts w:hint="eastAsia" w:hAnsi="宋体" w:cs="宋体"/>
          <w:sz w:val="21"/>
          <w:szCs w:val="21"/>
        </w:rPr>
        <w:t>（格式见附件）；</w:t>
      </w:r>
    </w:p>
    <w:p w14:paraId="31180109">
      <w:pPr>
        <w:autoSpaceDE/>
        <w:autoSpaceDN/>
        <w:adjustRightInd/>
        <w:spacing w:line="460" w:lineRule="exact"/>
        <w:ind w:firstLine="420" w:firstLineChars="200"/>
        <w:jc w:val="both"/>
        <w:rPr>
          <w:rFonts w:hAnsi="宋体" w:cs="宋体"/>
          <w:sz w:val="21"/>
          <w:szCs w:val="21"/>
        </w:rPr>
      </w:pPr>
      <w:r>
        <w:rPr>
          <w:rFonts w:hint="eastAsia" w:hAnsi="宋体" w:cs="宋体"/>
          <w:sz w:val="21"/>
          <w:szCs w:val="21"/>
        </w:rPr>
        <w:t>（4）2022年1月1日以来同类案例成功的业绩（响应供应商同类项目实施情况一览表、合同复印件、用户验收报告、用户评价）；</w:t>
      </w:r>
    </w:p>
    <w:p w14:paraId="2D582186">
      <w:pPr>
        <w:spacing w:line="460" w:lineRule="exact"/>
        <w:ind w:firstLine="420" w:firstLineChars="200"/>
        <w:rPr>
          <w:rFonts w:hAnsi="宋体" w:cs="宋体"/>
          <w:sz w:val="21"/>
          <w:szCs w:val="21"/>
        </w:rPr>
      </w:pPr>
      <w:r>
        <w:rPr>
          <w:rFonts w:hint="eastAsia" w:hAnsi="宋体" w:cs="宋体"/>
          <w:sz w:val="21"/>
          <w:szCs w:val="21"/>
        </w:rPr>
        <w:t>（5）服务要求响应表（格式见附件）；</w:t>
      </w:r>
    </w:p>
    <w:p w14:paraId="1AA77D32">
      <w:pPr>
        <w:snapToGrid w:val="0"/>
        <w:spacing w:line="440" w:lineRule="exact"/>
        <w:ind w:firstLine="420" w:firstLineChars="200"/>
        <w:rPr>
          <w:rFonts w:hAnsi="宋体" w:cs="宋体"/>
          <w:sz w:val="21"/>
          <w:szCs w:val="21"/>
        </w:rPr>
      </w:pPr>
      <w:r>
        <w:rPr>
          <w:rFonts w:hint="eastAsia" w:hAnsi="宋体" w:cs="宋体"/>
          <w:sz w:val="21"/>
          <w:szCs w:val="21"/>
        </w:rPr>
        <w:t>（6）对本项目总体要求的理解。包括：功能说明、性能指标及产品选型说明（质量、性能等方面进行比较和选择的理由及过程）</w:t>
      </w:r>
      <w:r>
        <w:rPr>
          <w:rFonts w:hint="eastAsia" w:hAnsi="宋体" w:cs="宋体"/>
          <w:sz w:val="21"/>
          <w:szCs w:val="21"/>
          <w:lang w:bidi="ar"/>
        </w:rPr>
        <w:t>。</w:t>
      </w:r>
    </w:p>
    <w:p w14:paraId="1CD0B448">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（7）产品配置清单（格式见附件）；</w:t>
      </w:r>
    </w:p>
    <w:p w14:paraId="614570B3">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 xml:space="preserve">（8）技术响应表（格式见附件）； </w:t>
      </w:r>
    </w:p>
    <w:p w14:paraId="0CFA08CF">
      <w:pPr>
        <w:autoSpaceDE/>
        <w:autoSpaceDN/>
        <w:adjustRightInd/>
        <w:spacing w:line="500" w:lineRule="exact"/>
        <w:ind w:firstLine="420" w:firstLineChars="200"/>
        <w:rPr>
          <w:rFonts w:hAnsi="宋体" w:cs="宋体"/>
          <w:sz w:val="21"/>
          <w:szCs w:val="21"/>
        </w:rPr>
      </w:pPr>
      <w:r>
        <w:rPr>
          <w:rFonts w:hint="eastAsia" w:hAnsi="宋体" w:cs="宋体"/>
          <w:sz w:val="21"/>
          <w:szCs w:val="21"/>
        </w:rPr>
        <w:t>（9）投标人的调试、安装施工方案，以及质量</w:t>
      </w:r>
      <w:r>
        <w:rPr>
          <w:rFonts w:hint="eastAsia" w:hAnsi="宋体" w:cs="宋体"/>
          <w:sz w:val="21"/>
          <w:szCs w:val="21"/>
          <w:lang w:bidi="ar"/>
        </w:rPr>
        <w:t>与工期保障措施；</w:t>
      </w:r>
    </w:p>
    <w:p w14:paraId="54E3ADC8">
      <w:pPr>
        <w:snapToGrid w:val="0"/>
        <w:spacing w:line="500" w:lineRule="exact"/>
        <w:ind w:firstLine="420" w:firstLineChars="200"/>
        <w:rPr>
          <w:rFonts w:hAnsi="宋体" w:cs="宋体"/>
          <w:sz w:val="21"/>
          <w:szCs w:val="21"/>
        </w:rPr>
      </w:pPr>
      <w:r>
        <w:rPr>
          <w:rFonts w:hint="eastAsia" w:hAnsi="宋体" w:cs="宋体"/>
          <w:sz w:val="21"/>
          <w:szCs w:val="21"/>
        </w:rPr>
        <w:t xml:space="preserve">（10）优惠条件：供应商承诺给予采购人的各种优惠条件，包括售后服务等方面的优惠； </w:t>
      </w:r>
    </w:p>
    <w:p w14:paraId="73DF3929">
      <w:pPr>
        <w:autoSpaceDE/>
        <w:autoSpaceDN/>
        <w:adjustRightInd/>
        <w:spacing w:line="500" w:lineRule="exact"/>
        <w:ind w:firstLine="420" w:firstLineChars="200"/>
        <w:rPr>
          <w:rFonts w:hAnsi="宋体" w:cs="宋体"/>
          <w:sz w:val="21"/>
          <w:szCs w:val="21"/>
        </w:rPr>
      </w:pPr>
      <w:r>
        <w:rPr>
          <w:rFonts w:hint="eastAsia" w:hAnsi="宋体" w:cs="宋体"/>
          <w:sz w:val="21"/>
          <w:szCs w:val="21"/>
        </w:rPr>
        <w:t>（11）项目验收方案；</w:t>
      </w:r>
    </w:p>
    <w:p w14:paraId="5B673AC5">
      <w:pPr>
        <w:autoSpaceDE/>
        <w:autoSpaceDN/>
        <w:adjustRightInd/>
        <w:spacing w:line="500" w:lineRule="exact"/>
        <w:ind w:firstLine="420" w:firstLineChars="200"/>
        <w:rPr>
          <w:rFonts w:hAnsi="宋体" w:cs="宋体"/>
          <w:sz w:val="21"/>
          <w:szCs w:val="21"/>
        </w:rPr>
      </w:pPr>
      <w:r>
        <w:rPr>
          <w:rFonts w:hint="eastAsia" w:hAnsi="宋体" w:cs="宋体"/>
          <w:sz w:val="21"/>
          <w:szCs w:val="21"/>
        </w:rPr>
        <w:t>（12）评分规则中涉及的所需提供的资料；</w:t>
      </w:r>
    </w:p>
    <w:p w14:paraId="20DC99E9">
      <w:pPr>
        <w:autoSpaceDE/>
        <w:autoSpaceDN/>
        <w:adjustRightInd/>
        <w:spacing w:line="500" w:lineRule="exact"/>
        <w:ind w:firstLine="420" w:firstLineChars="200"/>
        <w:jc w:val="both"/>
        <w:rPr>
          <w:rFonts w:hAnsi="宋体" w:cs="宋体"/>
          <w:sz w:val="21"/>
          <w:szCs w:val="21"/>
        </w:rPr>
      </w:pPr>
      <w:r>
        <w:rPr>
          <w:rFonts w:hint="eastAsia" w:hAnsi="宋体" w:cs="宋体"/>
          <w:sz w:val="21"/>
          <w:szCs w:val="21"/>
        </w:rPr>
        <w:t>（13）投标人需要说明的其他文件和说明（格式略）</w:t>
      </w:r>
    </w:p>
    <w:p w14:paraId="4EBCB445">
      <w:pPr>
        <w:autoSpaceDE/>
        <w:autoSpaceDN/>
        <w:adjustRightInd/>
        <w:spacing w:line="500" w:lineRule="exact"/>
        <w:ind w:firstLine="420" w:firstLineChars="200"/>
        <w:jc w:val="both"/>
        <w:rPr>
          <w:rFonts w:hAnsi="宋体" w:cs="宋体"/>
          <w:sz w:val="21"/>
          <w:szCs w:val="21"/>
        </w:rPr>
      </w:pPr>
    </w:p>
    <w:p w14:paraId="185805CE">
      <w:pPr>
        <w:autoSpaceDE/>
        <w:autoSpaceDN/>
        <w:adjustRightInd/>
        <w:spacing w:line="500" w:lineRule="exact"/>
        <w:ind w:firstLine="420" w:firstLineChars="200"/>
        <w:jc w:val="both"/>
        <w:rPr>
          <w:rFonts w:hAnsi="宋体" w:cs="宋体"/>
          <w:sz w:val="21"/>
          <w:szCs w:val="21"/>
        </w:rPr>
      </w:pPr>
    </w:p>
    <w:p w14:paraId="4EFC1F2A">
      <w:pPr>
        <w:autoSpaceDE/>
        <w:autoSpaceDN/>
        <w:adjustRightInd/>
        <w:spacing w:line="500" w:lineRule="exact"/>
        <w:ind w:firstLine="420" w:firstLineChars="200"/>
        <w:jc w:val="both"/>
        <w:rPr>
          <w:rFonts w:hAnsi="宋体" w:cs="宋体"/>
          <w:sz w:val="21"/>
          <w:szCs w:val="21"/>
        </w:rPr>
      </w:pPr>
    </w:p>
    <w:p w14:paraId="5F2CD7E9">
      <w:pPr>
        <w:autoSpaceDE/>
        <w:autoSpaceDN/>
        <w:adjustRightInd/>
        <w:spacing w:line="500" w:lineRule="exact"/>
        <w:ind w:firstLine="420" w:firstLineChars="200"/>
        <w:jc w:val="both"/>
        <w:rPr>
          <w:rFonts w:hAnsi="宋体" w:cs="宋体"/>
          <w:sz w:val="21"/>
          <w:szCs w:val="21"/>
        </w:rPr>
      </w:pPr>
    </w:p>
    <w:p w14:paraId="692D77F6">
      <w:pPr>
        <w:pStyle w:val="49"/>
        <w:ind w:left="680"/>
        <w:rPr>
          <w:rFonts w:ascii="宋体" w:hAnsi="宋体" w:cs="宋体"/>
          <w:sz w:val="21"/>
          <w:szCs w:val="21"/>
        </w:rPr>
      </w:pPr>
    </w:p>
    <w:p w14:paraId="6F605BAD">
      <w:pPr>
        <w:pStyle w:val="49"/>
        <w:ind w:left="680"/>
        <w:rPr>
          <w:rFonts w:ascii="宋体" w:hAnsi="宋体" w:cs="宋体"/>
          <w:sz w:val="21"/>
          <w:szCs w:val="21"/>
        </w:rPr>
      </w:pPr>
    </w:p>
    <w:p w14:paraId="0FB5C918">
      <w:pPr>
        <w:pStyle w:val="49"/>
        <w:ind w:left="680"/>
        <w:rPr>
          <w:rFonts w:ascii="宋体" w:hAnsi="宋体" w:cs="宋体"/>
          <w:sz w:val="21"/>
          <w:szCs w:val="21"/>
        </w:rPr>
      </w:pPr>
    </w:p>
    <w:p w14:paraId="3ABC7597">
      <w:pPr>
        <w:pStyle w:val="49"/>
        <w:ind w:left="680"/>
        <w:rPr>
          <w:rFonts w:ascii="宋体" w:hAnsi="宋体" w:cs="宋体"/>
          <w:sz w:val="21"/>
          <w:szCs w:val="21"/>
        </w:rPr>
      </w:pPr>
    </w:p>
    <w:p w14:paraId="726B9A32">
      <w:pPr>
        <w:pStyle w:val="49"/>
        <w:ind w:left="680"/>
        <w:rPr>
          <w:rFonts w:ascii="宋体" w:hAnsi="宋体" w:cs="宋体"/>
          <w:sz w:val="21"/>
          <w:szCs w:val="21"/>
        </w:rPr>
      </w:pPr>
    </w:p>
    <w:p w14:paraId="2B1D2959">
      <w:pPr>
        <w:pStyle w:val="49"/>
        <w:ind w:left="680"/>
        <w:rPr>
          <w:rFonts w:ascii="宋体" w:hAnsi="宋体" w:cs="宋体"/>
          <w:sz w:val="21"/>
          <w:szCs w:val="21"/>
        </w:rPr>
      </w:pPr>
    </w:p>
    <w:p w14:paraId="306C3703">
      <w:pPr>
        <w:snapToGrid w:val="0"/>
        <w:spacing w:before="50" w:after="50"/>
        <w:rPr>
          <w:rFonts w:hAnsi="宋体" w:cs="宋体"/>
          <w:b/>
          <w:sz w:val="24"/>
        </w:rPr>
      </w:pPr>
      <w:r>
        <w:rPr>
          <w:rFonts w:hint="eastAsia" w:hAnsi="宋体" w:cs="宋体"/>
          <w:b/>
          <w:sz w:val="24"/>
        </w:rPr>
        <w:t>1.投标人技术商务标自评得分汇总表（格式参照技术商务评分表，需标注对应页码）</w:t>
      </w:r>
    </w:p>
    <w:tbl>
      <w:tblPr>
        <w:tblStyle w:val="50"/>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485"/>
        <w:gridCol w:w="2190"/>
        <w:gridCol w:w="766"/>
        <w:gridCol w:w="1110"/>
        <w:gridCol w:w="2229"/>
      </w:tblGrid>
      <w:tr w14:paraId="7D8B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42" w:type="dxa"/>
            <w:vAlign w:val="center"/>
          </w:tcPr>
          <w:p w14:paraId="2F0176AD">
            <w:pPr>
              <w:widowControl/>
              <w:autoSpaceDE/>
              <w:autoSpaceDN/>
              <w:adjustRightInd/>
              <w:snapToGrid w:val="0"/>
              <w:spacing w:line="460" w:lineRule="exact"/>
              <w:jc w:val="center"/>
              <w:rPr>
                <w:rFonts w:hAnsi="宋体" w:cs="宋体"/>
                <w:sz w:val="21"/>
                <w:szCs w:val="21"/>
              </w:rPr>
            </w:pPr>
            <w:r>
              <w:rPr>
                <w:rFonts w:hint="eastAsia" w:hAnsi="宋体" w:cs="宋体"/>
                <w:sz w:val="21"/>
                <w:szCs w:val="21"/>
              </w:rPr>
              <w:t>序号</w:t>
            </w:r>
          </w:p>
        </w:tc>
        <w:tc>
          <w:tcPr>
            <w:tcW w:w="1485" w:type="dxa"/>
            <w:vAlign w:val="center"/>
          </w:tcPr>
          <w:p w14:paraId="71DF8982">
            <w:pPr>
              <w:widowControl/>
              <w:autoSpaceDE/>
              <w:autoSpaceDN/>
              <w:adjustRightInd/>
              <w:snapToGrid w:val="0"/>
              <w:spacing w:line="460" w:lineRule="exact"/>
              <w:jc w:val="center"/>
              <w:rPr>
                <w:rFonts w:hAnsi="宋体" w:cs="宋体"/>
                <w:sz w:val="21"/>
                <w:szCs w:val="21"/>
              </w:rPr>
            </w:pPr>
            <w:r>
              <w:rPr>
                <w:rFonts w:hint="eastAsia" w:hAnsi="宋体" w:cs="宋体"/>
                <w:sz w:val="21"/>
                <w:szCs w:val="21"/>
              </w:rPr>
              <w:t>评分项目</w:t>
            </w:r>
          </w:p>
        </w:tc>
        <w:tc>
          <w:tcPr>
            <w:tcW w:w="2190" w:type="dxa"/>
            <w:vAlign w:val="center"/>
          </w:tcPr>
          <w:p w14:paraId="7C3B34E4">
            <w:pPr>
              <w:widowControl/>
              <w:autoSpaceDE/>
              <w:autoSpaceDN/>
              <w:adjustRightInd/>
              <w:snapToGrid w:val="0"/>
              <w:spacing w:line="460" w:lineRule="exact"/>
              <w:jc w:val="center"/>
              <w:rPr>
                <w:rFonts w:hAnsi="宋体" w:cs="宋体"/>
                <w:sz w:val="21"/>
                <w:szCs w:val="21"/>
              </w:rPr>
            </w:pPr>
            <w:r>
              <w:rPr>
                <w:rFonts w:hint="eastAsia" w:hAnsi="宋体" w:cs="宋体"/>
                <w:sz w:val="21"/>
                <w:szCs w:val="21"/>
              </w:rPr>
              <w:t>评标要点及说明</w:t>
            </w:r>
          </w:p>
        </w:tc>
        <w:tc>
          <w:tcPr>
            <w:tcW w:w="766" w:type="dxa"/>
            <w:vAlign w:val="center"/>
          </w:tcPr>
          <w:p w14:paraId="7D7D9098">
            <w:pPr>
              <w:widowControl/>
              <w:autoSpaceDE/>
              <w:autoSpaceDN/>
              <w:adjustRightInd/>
              <w:snapToGrid w:val="0"/>
              <w:spacing w:line="460" w:lineRule="exact"/>
              <w:jc w:val="center"/>
              <w:rPr>
                <w:rFonts w:hAnsi="宋体" w:cs="宋体"/>
                <w:sz w:val="21"/>
                <w:szCs w:val="21"/>
              </w:rPr>
            </w:pPr>
            <w:r>
              <w:rPr>
                <w:rFonts w:hint="eastAsia" w:hAnsi="宋体" w:cs="宋体"/>
                <w:sz w:val="21"/>
                <w:szCs w:val="21"/>
              </w:rPr>
              <w:t>分值</w:t>
            </w:r>
          </w:p>
        </w:tc>
        <w:tc>
          <w:tcPr>
            <w:tcW w:w="1110" w:type="dxa"/>
            <w:vAlign w:val="center"/>
          </w:tcPr>
          <w:p w14:paraId="22C58246">
            <w:pPr>
              <w:widowControl/>
              <w:autoSpaceDE/>
              <w:autoSpaceDN/>
              <w:adjustRightInd/>
              <w:snapToGrid w:val="0"/>
              <w:spacing w:line="460" w:lineRule="exact"/>
              <w:jc w:val="center"/>
              <w:rPr>
                <w:rFonts w:hAnsi="宋体" w:cs="宋体"/>
                <w:sz w:val="21"/>
                <w:szCs w:val="21"/>
              </w:rPr>
            </w:pPr>
            <w:r>
              <w:rPr>
                <w:rFonts w:hint="eastAsia" w:hAnsi="宋体" w:cs="宋体"/>
                <w:sz w:val="21"/>
                <w:szCs w:val="21"/>
              </w:rPr>
              <w:t>自评分</w:t>
            </w:r>
          </w:p>
        </w:tc>
        <w:tc>
          <w:tcPr>
            <w:tcW w:w="2229" w:type="dxa"/>
            <w:vAlign w:val="center"/>
          </w:tcPr>
          <w:p w14:paraId="0309EE49">
            <w:pPr>
              <w:widowControl/>
              <w:autoSpaceDE/>
              <w:autoSpaceDN/>
              <w:adjustRightInd/>
              <w:snapToGrid w:val="0"/>
              <w:spacing w:line="460" w:lineRule="exact"/>
              <w:jc w:val="center"/>
              <w:rPr>
                <w:rFonts w:hAnsi="宋体" w:cs="宋体"/>
                <w:sz w:val="21"/>
                <w:szCs w:val="21"/>
              </w:rPr>
            </w:pPr>
            <w:r>
              <w:rPr>
                <w:rFonts w:hint="eastAsia" w:hAnsi="宋体" w:cs="宋体"/>
                <w:sz w:val="21"/>
                <w:szCs w:val="21"/>
              </w:rPr>
              <w:t>投标文件响应页码</w:t>
            </w:r>
          </w:p>
        </w:tc>
      </w:tr>
    </w:tbl>
    <w:p w14:paraId="2E9BEF6B">
      <w:pPr>
        <w:snapToGrid w:val="0"/>
        <w:spacing w:before="50" w:after="50"/>
        <w:rPr>
          <w:rFonts w:hAnsi="宋体" w:cs="宋体"/>
          <w:sz w:val="24"/>
        </w:rPr>
      </w:pPr>
    </w:p>
    <w:p w14:paraId="6619275A">
      <w:pPr>
        <w:snapToGrid w:val="0"/>
        <w:spacing w:before="50" w:after="50"/>
        <w:jc w:val="center"/>
        <w:rPr>
          <w:rFonts w:hAnsi="宋体" w:cs="宋体"/>
          <w:b/>
          <w:sz w:val="21"/>
          <w:szCs w:val="21"/>
        </w:rPr>
      </w:pPr>
      <w:r>
        <w:rPr>
          <w:rFonts w:hint="eastAsia" w:hAnsi="宋体" w:cs="宋体"/>
          <w:b/>
          <w:sz w:val="21"/>
          <w:szCs w:val="21"/>
        </w:rPr>
        <w:t>2.投标人情况介绍</w:t>
      </w:r>
    </w:p>
    <w:tbl>
      <w:tblPr>
        <w:tblStyle w:val="50"/>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28778D09">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FB585B2">
            <w:pPr>
              <w:spacing w:line="460" w:lineRule="exact"/>
              <w:jc w:val="center"/>
              <w:rPr>
                <w:rFonts w:hAnsi="宋体" w:cs="宋体"/>
                <w:sz w:val="21"/>
                <w:szCs w:val="21"/>
              </w:rPr>
            </w:pPr>
            <w:r>
              <w:rPr>
                <w:rFonts w:hint="eastAsia" w:hAnsi="宋体" w:cs="宋体"/>
                <w:sz w:val="21"/>
                <w:szCs w:val="21"/>
              </w:rPr>
              <w:t>单位名称</w:t>
            </w:r>
          </w:p>
        </w:tc>
        <w:tc>
          <w:tcPr>
            <w:tcW w:w="3443" w:type="dxa"/>
            <w:tcBorders>
              <w:top w:val="single" w:color="auto" w:sz="4" w:space="0"/>
              <w:left w:val="nil"/>
              <w:bottom w:val="single" w:color="auto" w:sz="4" w:space="0"/>
              <w:right w:val="single" w:color="auto" w:sz="4" w:space="0"/>
            </w:tcBorders>
            <w:vAlign w:val="center"/>
          </w:tcPr>
          <w:p w14:paraId="0D5FAE83">
            <w:pPr>
              <w:spacing w:line="460" w:lineRule="exact"/>
              <w:rPr>
                <w:rFonts w:hAnsi="宋体" w:cs="宋体"/>
                <w:sz w:val="21"/>
                <w:szCs w:val="21"/>
              </w:rPr>
            </w:pPr>
          </w:p>
        </w:tc>
        <w:tc>
          <w:tcPr>
            <w:tcW w:w="1527" w:type="dxa"/>
            <w:gridSpan w:val="2"/>
            <w:tcBorders>
              <w:top w:val="single" w:color="auto" w:sz="4" w:space="0"/>
              <w:left w:val="nil"/>
              <w:bottom w:val="single" w:color="auto" w:sz="4" w:space="0"/>
              <w:right w:val="single" w:color="auto" w:sz="4" w:space="0"/>
            </w:tcBorders>
            <w:vAlign w:val="center"/>
          </w:tcPr>
          <w:p w14:paraId="0F3C4DBF">
            <w:pPr>
              <w:spacing w:line="460" w:lineRule="exact"/>
              <w:jc w:val="center"/>
              <w:rPr>
                <w:rFonts w:hAnsi="宋体" w:cs="宋体"/>
                <w:sz w:val="21"/>
                <w:szCs w:val="21"/>
              </w:rPr>
            </w:pPr>
            <w:r>
              <w:rPr>
                <w:rFonts w:hint="eastAsia" w:hAnsi="宋体" w:cs="宋体"/>
                <w:sz w:val="21"/>
                <w:szCs w:val="21"/>
              </w:rPr>
              <w:t>注册资金</w:t>
            </w:r>
          </w:p>
        </w:tc>
        <w:tc>
          <w:tcPr>
            <w:tcW w:w="2500" w:type="dxa"/>
            <w:tcBorders>
              <w:top w:val="single" w:color="auto" w:sz="4" w:space="0"/>
              <w:left w:val="nil"/>
              <w:bottom w:val="single" w:color="auto" w:sz="4" w:space="0"/>
              <w:right w:val="single" w:color="auto" w:sz="4" w:space="0"/>
            </w:tcBorders>
            <w:vAlign w:val="center"/>
          </w:tcPr>
          <w:p w14:paraId="39FFEF55">
            <w:pPr>
              <w:spacing w:line="460" w:lineRule="exact"/>
              <w:rPr>
                <w:rFonts w:hAnsi="宋体" w:cs="宋体"/>
                <w:sz w:val="21"/>
                <w:szCs w:val="21"/>
              </w:rPr>
            </w:pPr>
          </w:p>
        </w:tc>
      </w:tr>
      <w:tr w14:paraId="583A0481">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E9069EA">
            <w:pPr>
              <w:spacing w:line="460" w:lineRule="exact"/>
              <w:jc w:val="center"/>
              <w:rPr>
                <w:rFonts w:hAnsi="宋体" w:cs="宋体"/>
                <w:sz w:val="21"/>
                <w:szCs w:val="21"/>
              </w:rPr>
            </w:pPr>
            <w:r>
              <w:rPr>
                <w:rFonts w:hint="eastAsia" w:hAnsi="宋体" w:cs="宋体"/>
                <w:sz w:val="21"/>
                <w:szCs w:val="21"/>
              </w:rPr>
              <w:t>单位详细地址</w:t>
            </w:r>
          </w:p>
        </w:tc>
        <w:tc>
          <w:tcPr>
            <w:tcW w:w="7470" w:type="dxa"/>
            <w:gridSpan w:val="4"/>
            <w:tcBorders>
              <w:top w:val="single" w:color="auto" w:sz="4" w:space="0"/>
              <w:left w:val="nil"/>
              <w:bottom w:val="single" w:color="auto" w:sz="4" w:space="0"/>
              <w:right w:val="single" w:color="auto" w:sz="4" w:space="0"/>
            </w:tcBorders>
            <w:vAlign w:val="center"/>
          </w:tcPr>
          <w:p w14:paraId="17F961CB">
            <w:pPr>
              <w:spacing w:line="460" w:lineRule="exact"/>
              <w:rPr>
                <w:rFonts w:hAnsi="宋体" w:cs="宋体"/>
                <w:sz w:val="21"/>
                <w:szCs w:val="21"/>
              </w:rPr>
            </w:pPr>
          </w:p>
        </w:tc>
      </w:tr>
      <w:tr w14:paraId="36671726">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D050A6F">
            <w:pPr>
              <w:spacing w:line="460" w:lineRule="exact"/>
              <w:jc w:val="center"/>
              <w:rPr>
                <w:rFonts w:hAnsi="宋体" w:cs="宋体"/>
                <w:sz w:val="21"/>
                <w:szCs w:val="21"/>
              </w:rPr>
            </w:pPr>
            <w:r>
              <w:rPr>
                <w:rFonts w:hint="eastAsia" w:hAnsi="宋体" w:cs="宋体"/>
                <w:sz w:val="21"/>
                <w:szCs w:val="21"/>
              </w:rPr>
              <w:t>营业执照注册号</w:t>
            </w:r>
          </w:p>
        </w:tc>
        <w:tc>
          <w:tcPr>
            <w:tcW w:w="7470" w:type="dxa"/>
            <w:gridSpan w:val="4"/>
            <w:tcBorders>
              <w:top w:val="single" w:color="auto" w:sz="4" w:space="0"/>
              <w:left w:val="nil"/>
              <w:bottom w:val="single" w:color="auto" w:sz="4" w:space="0"/>
              <w:right w:val="single" w:color="auto" w:sz="4" w:space="0"/>
            </w:tcBorders>
            <w:vAlign w:val="center"/>
          </w:tcPr>
          <w:p w14:paraId="0E24AE23">
            <w:pPr>
              <w:spacing w:line="460" w:lineRule="exact"/>
              <w:rPr>
                <w:rFonts w:hAnsi="宋体" w:cs="宋体"/>
                <w:sz w:val="21"/>
                <w:szCs w:val="21"/>
              </w:rPr>
            </w:pPr>
          </w:p>
        </w:tc>
      </w:tr>
      <w:tr w14:paraId="293C6D3C">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905D529">
            <w:pPr>
              <w:spacing w:line="460" w:lineRule="exact"/>
              <w:jc w:val="center"/>
              <w:rPr>
                <w:rFonts w:hAnsi="宋体" w:cs="宋体"/>
                <w:sz w:val="21"/>
                <w:szCs w:val="21"/>
              </w:rPr>
            </w:pPr>
            <w:r>
              <w:rPr>
                <w:rFonts w:hint="eastAsia" w:hAnsi="宋体" w:cs="宋体"/>
                <w:sz w:val="21"/>
                <w:szCs w:val="21"/>
              </w:rPr>
              <w:t>单位成立时间</w:t>
            </w:r>
          </w:p>
        </w:tc>
        <w:tc>
          <w:tcPr>
            <w:tcW w:w="4320" w:type="dxa"/>
            <w:gridSpan w:val="2"/>
            <w:tcBorders>
              <w:top w:val="single" w:color="auto" w:sz="4" w:space="0"/>
              <w:left w:val="nil"/>
              <w:bottom w:val="single" w:color="auto" w:sz="4" w:space="0"/>
              <w:right w:val="single" w:color="auto" w:sz="4" w:space="0"/>
            </w:tcBorders>
            <w:vAlign w:val="center"/>
          </w:tcPr>
          <w:p w14:paraId="0C4BDC4C">
            <w:pPr>
              <w:spacing w:line="460" w:lineRule="exact"/>
              <w:rPr>
                <w:rFonts w:hAnsi="宋体" w:cs="宋体"/>
                <w:sz w:val="21"/>
                <w:szCs w:val="21"/>
              </w:rPr>
            </w:pPr>
          </w:p>
        </w:tc>
        <w:tc>
          <w:tcPr>
            <w:tcW w:w="3150" w:type="dxa"/>
            <w:gridSpan w:val="2"/>
            <w:tcBorders>
              <w:top w:val="single" w:color="auto" w:sz="4" w:space="0"/>
              <w:left w:val="nil"/>
              <w:bottom w:val="single" w:color="auto" w:sz="4" w:space="0"/>
              <w:right w:val="single" w:color="auto" w:sz="4" w:space="0"/>
            </w:tcBorders>
            <w:vAlign w:val="center"/>
          </w:tcPr>
          <w:p w14:paraId="74D107ED">
            <w:pPr>
              <w:spacing w:line="460" w:lineRule="exact"/>
              <w:rPr>
                <w:rFonts w:hAnsi="宋体" w:cs="宋体"/>
                <w:sz w:val="21"/>
                <w:szCs w:val="21"/>
              </w:rPr>
            </w:pPr>
            <w:r>
              <w:rPr>
                <w:rFonts w:hint="eastAsia" w:hAnsi="宋体" w:cs="宋体"/>
                <w:sz w:val="21"/>
                <w:szCs w:val="21"/>
              </w:rPr>
              <w:t>固定资产净值：    （万元）</w:t>
            </w:r>
          </w:p>
        </w:tc>
      </w:tr>
      <w:tr w14:paraId="0D74F70D">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61E0574">
            <w:pPr>
              <w:spacing w:line="460" w:lineRule="exact"/>
              <w:jc w:val="center"/>
              <w:rPr>
                <w:rFonts w:hAnsi="宋体" w:cs="宋体"/>
                <w:sz w:val="21"/>
                <w:szCs w:val="21"/>
              </w:rPr>
            </w:pPr>
            <w:r>
              <w:rPr>
                <w:rFonts w:hint="eastAsia" w:hAnsi="宋体" w:cs="宋体"/>
                <w:sz w:val="21"/>
                <w:szCs w:val="21"/>
              </w:rPr>
              <w:t>获得相关资质证书情况</w:t>
            </w:r>
          </w:p>
        </w:tc>
        <w:tc>
          <w:tcPr>
            <w:tcW w:w="7470" w:type="dxa"/>
            <w:gridSpan w:val="4"/>
            <w:tcBorders>
              <w:top w:val="single" w:color="auto" w:sz="4" w:space="0"/>
              <w:left w:val="nil"/>
              <w:bottom w:val="single" w:color="auto" w:sz="4" w:space="0"/>
              <w:right w:val="single" w:color="auto" w:sz="4" w:space="0"/>
            </w:tcBorders>
            <w:vAlign w:val="center"/>
          </w:tcPr>
          <w:p w14:paraId="3EEC6B8E">
            <w:pPr>
              <w:spacing w:line="460" w:lineRule="exact"/>
              <w:rPr>
                <w:rFonts w:hAnsi="宋体" w:cs="宋体"/>
                <w:sz w:val="21"/>
                <w:szCs w:val="21"/>
              </w:rPr>
            </w:pPr>
          </w:p>
        </w:tc>
      </w:tr>
      <w:tr w14:paraId="5909B7F1">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166F5AA">
            <w:pPr>
              <w:spacing w:line="460" w:lineRule="exact"/>
              <w:jc w:val="center"/>
              <w:rPr>
                <w:rFonts w:hAnsi="宋体" w:cs="宋体"/>
                <w:sz w:val="21"/>
                <w:szCs w:val="21"/>
              </w:rPr>
            </w:pPr>
            <w:r>
              <w:rPr>
                <w:rFonts w:hint="eastAsia" w:hAnsi="宋体" w:cs="宋体"/>
                <w:sz w:val="21"/>
                <w:szCs w:val="21"/>
              </w:rPr>
              <w:t>法定代表人</w:t>
            </w:r>
          </w:p>
        </w:tc>
        <w:tc>
          <w:tcPr>
            <w:tcW w:w="7470" w:type="dxa"/>
            <w:gridSpan w:val="4"/>
            <w:tcBorders>
              <w:top w:val="single" w:color="auto" w:sz="4" w:space="0"/>
              <w:left w:val="nil"/>
              <w:bottom w:val="single" w:color="auto" w:sz="4" w:space="0"/>
              <w:right w:val="single" w:color="auto" w:sz="4" w:space="0"/>
            </w:tcBorders>
            <w:vAlign w:val="center"/>
          </w:tcPr>
          <w:p w14:paraId="28A8C862">
            <w:pPr>
              <w:spacing w:line="460" w:lineRule="exact"/>
              <w:rPr>
                <w:rFonts w:hAnsi="宋体" w:cs="宋体"/>
                <w:sz w:val="21"/>
                <w:szCs w:val="21"/>
              </w:rPr>
            </w:pPr>
            <w:r>
              <w:rPr>
                <w:rFonts w:hint="eastAsia" w:hAnsi="宋体" w:cs="宋体"/>
                <w:sz w:val="21"/>
                <w:szCs w:val="21"/>
              </w:rPr>
              <w:t xml:space="preserve">  姓名：          职务：           职称：</w:t>
            </w:r>
          </w:p>
        </w:tc>
      </w:tr>
      <w:tr w14:paraId="3FB522A4">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3650BDF">
            <w:pPr>
              <w:spacing w:line="460" w:lineRule="exact"/>
              <w:jc w:val="center"/>
              <w:rPr>
                <w:rFonts w:hAnsi="宋体" w:cs="宋体"/>
                <w:sz w:val="21"/>
                <w:szCs w:val="21"/>
              </w:rPr>
            </w:pPr>
            <w:r>
              <w:rPr>
                <w:rFonts w:hint="eastAsia" w:hAnsi="宋体" w:cs="宋体"/>
                <w:sz w:val="21"/>
                <w:szCs w:val="21"/>
              </w:rPr>
              <w:t>公司总经理</w:t>
            </w:r>
          </w:p>
        </w:tc>
        <w:tc>
          <w:tcPr>
            <w:tcW w:w="7470" w:type="dxa"/>
            <w:gridSpan w:val="4"/>
            <w:tcBorders>
              <w:top w:val="single" w:color="auto" w:sz="4" w:space="0"/>
              <w:left w:val="nil"/>
              <w:bottom w:val="single" w:color="auto" w:sz="4" w:space="0"/>
              <w:right w:val="single" w:color="auto" w:sz="4" w:space="0"/>
            </w:tcBorders>
            <w:vAlign w:val="center"/>
          </w:tcPr>
          <w:p w14:paraId="56304BAA">
            <w:pPr>
              <w:spacing w:line="460" w:lineRule="exact"/>
              <w:rPr>
                <w:rFonts w:hAnsi="宋体" w:cs="宋体"/>
                <w:sz w:val="21"/>
                <w:szCs w:val="21"/>
              </w:rPr>
            </w:pPr>
            <w:r>
              <w:rPr>
                <w:rFonts w:hint="eastAsia" w:hAnsi="宋体" w:cs="宋体"/>
                <w:sz w:val="21"/>
                <w:szCs w:val="21"/>
              </w:rPr>
              <w:t xml:space="preserve">  姓名：          职务：           职称： </w:t>
            </w:r>
          </w:p>
        </w:tc>
      </w:tr>
      <w:tr w14:paraId="4FD04699">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42B4C62">
            <w:pPr>
              <w:spacing w:line="460" w:lineRule="exact"/>
              <w:rPr>
                <w:rFonts w:hAnsi="宋体" w:cs="宋体"/>
                <w:sz w:val="21"/>
                <w:szCs w:val="21"/>
              </w:rPr>
            </w:pPr>
            <w:r>
              <w:rPr>
                <w:rFonts w:hint="eastAsia" w:hAnsi="宋体" w:cs="宋体"/>
                <w:sz w:val="21"/>
                <w:szCs w:val="21"/>
              </w:rPr>
              <w:t>职工人数</w:t>
            </w:r>
          </w:p>
        </w:tc>
        <w:tc>
          <w:tcPr>
            <w:tcW w:w="7470" w:type="dxa"/>
            <w:gridSpan w:val="4"/>
            <w:tcBorders>
              <w:top w:val="single" w:color="auto" w:sz="4" w:space="0"/>
              <w:left w:val="nil"/>
              <w:bottom w:val="single" w:color="auto" w:sz="4" w:space="0"/>
              <w:right w:val="single" w:color="auto" w:sz="4" w:space="0"/>
            </w:tcBorders>
            <w:vAlign w:val="center"/>
          </w:tcPr>
          <w:p w14:paraId="2F0535A3">
            <w:pPr>
              <w:spacing w:line="460" w:lineRule="exact"/>
              <w:rPr>
                <w:rFonts w:hAnsi="宋体" w:cs="宋体"/>
                <w:sz w:val="21"/>
                <w:szCs w:val="21"/>
              </w:rPr>
            </w:pPr>
          </w:p>
        </w:tc>
      </w:tr>
      <w:tr w14:paraId="56ACD269">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E21EA8C">
            <w:pPr>
              <w:spacing w:line="460" w:lineRule="exact"/>
              <w:rPr>
                <w:rFonts w:hAnsi="宋体" w:cs="宋体"/>
                <w:sz w:val="21"/>
                <w:szCs w:val="21"/>
              </w:rPr>
            </w:pPr>
            <w:r>
              <w:rPr>
                <w:rFonts w:hint="eastAsia" w:hAnsi="宋体" w:cs="宋体"/>
                <w:sz w:val="21"/>
                <w:szCs w:val="21"/>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vAlign w:val="center"/>
          </w:tcPr>
          <w:p w14:paraId="4EB14D80">
            <w:pPr>
              <w:spacing w:line="460" w:lineRule="exact"/>
              <w:rPr>
                <w:rFonts w:hAnsi="宋体" w:cs="宋体"/>
                <w:sz w:val="21"/>
                <w:szCs w:val="21"/>
              </w:rPr>
            </w:pPr>
          </w:p>
        </w:tc>
      </w:tr>
      <w:tr w14:paraId="11B087A7">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5679C55">
            <w:pPr>
              <w:spacing w:line="460" w:lineRule="exact"/>
              <w:jc w:val="center"/>
              <w:rPr>
                <w:rFonts w:hAnsi="宋体" w:cs="宋体"/>
                <w:sz w:val="21"/>
                <w:szCs w:val="21"/>
              </w:rPr>
            </w:pPr>
            <w:r>
              <w:rPr>
                <w:rFonts w:hint="eastAsia" w:hAnsi="宋体" w:cs="宋体"/>
                <w:sz w:val="21"/>
                <w:szCs w:val="21"/>
              </w:rPr>
              <w:t>联系方式</w:t>
            </w:r>
          </w:p>
        </w:tc>
        <w:tc>
          <w:tcPr>
            <w:tcW w:w="7470" w:type="dxa"/>
            <w:gridSpan w:val="4"/>
            <w:tcBorders>
              <w:top w:val="single" w:color="auto" w:sz="4" w:space="0"/>
              <w:left w:val="nil"/>
              <w:bottom w:val="single" w:color="auto" w:sz="4" w:space="0"/>
              <w:right w:val="single" w:color="auto" w:sz="4" w:space="0"/>
            </w:tcBorders>
            <w:vAlign w:val="center"/>
          </w:tcPr>
          <w:p w14:paraId="1658286C">
            <w:pPr>
              <w:spacing w:line="460" w:lineRule="exact"/>
              <w:rPr>
                <w:rFonts w:hAnsi="宋体" w:cs="宋体"/>
                <w:sz w:val="21"/>
                <w:szCs w:val="21"/>
              </w:rPr>
            </w:pPr>
            <w:r>
              <w:rPr>
                <w:rFonts w:hint="eastAsia" w:hAnsi="宋体" w:cs="宋体"/>
                <w:sz w:val="21"/>
                <w:szCs w:val="21"/>
              </w:rPr>
              <w:t>地址：            邮编：           电话：</w:t>
            </w:r>
          </w:p>
          <w:p w14:paraId="47421101">
            <w:pPr>
              <w:spacing w:line="460" w:lineRule="exact"/>
              <w:rPr>
                <w:rFonts w:hAnsi="宋体" w:cs="宋体"/>
                <w:sz w:val="21"/>
                <w:szCs w:val="21"/>
              </w:rPr>
            </w:pPr>
            <w:r>
              <w:rPr>
                <w:rFonts w:hint="eastAsia" w:hAnsi="宋体" w:cs="宋体"/>
                <w:sz w:val="21"/>
                <w:szCs w:val="21"/>
              </w:rPr>
              <w:t xml:space="preserve">传真： </w:t>
            </w:r>
          </w:p>
        </w:tc>
      </w:tr>
      <w:tr w14:paraId="4661BC72">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E08FEC1">
            <w:pPr>
              <w:spacing w:line="460" w:lineRule="exact"/>
              <w:jc w:val="center"/>
              <w:rPr>
                <w:rFonts w:hAnsi="宋体" w:cs="宋体"/>
                <w:sz w:val="21"/>
                <w:szCs w:val="21"/>
              </w:rPr>
            </w:pPr>
            <w:r>
              <w:rPr>
                <w:rFonts w:hint="eastAsia" w:hAnsi="宋体" w:cs="宋体"/>
                <w:sz w:val="21"/>
                <w:szCs w:val="21"/>
              </w:rPr>
              <w:t>开户银行</w:t>
            </w:r>
          </w:p>
        </w:tc>
        <w:tc>
          <w:tcPr>
            <w:tcW w:w="7470" w:type="dxa"/>
            <w:gridSpan w:val="4"/>
            <w:tcBorders>
              <w:top w:val="single" w:color="auto" w:sz="4" w:space="0"/>
              <w:left w:val="nil"/>
              <w:bottom w:val="single" w:color="auto" w:sz="4" w:space="0"/>
              <w:right w:val="single" w:color="auto" w:sz="4" w:space="0"/>
            </w:tcBorders>
            <w:vAlign w:val="center"/>
          </w:tcPr>
          <w:p w14:paraId="7C6C2BA5">
            <w:pPr>
              <w:spacing w:line="460" w:lineRule="exact"/>
              <w:rPr>
                <w:rFonts w:hAnsi="宋体" w:cs="宋体"/>
                <w:sz w:val="21"/>
                <w:szCs w:val="21"/>
              </w:rPr>
            </w:pPr>
            <w:r>
              <w:rPr>
                <w:rFonts w:hint="eastAsia" w:hAnsi="宋体" w:cs="宋体"/>
                <w:sz w:val="21"/>
                <w:szCs w:val="21"/>
              </w:rPr>
              <w:t>名称：</w:t>
            </w:r>
          </w:p>
          <w:p w14:paraId="78326F50">
            <w:pPr>
              <w:spacing w:line="460" w:lineRule="exact"/>
              <w:rPr>
                <w:rFonts w:hAnsi="宋体" w:cs="宋体"/>
                <w:sz w:val="21"/>
                <w:szCs w:val="21"/>
              </w:rPr>
            </w:pPr>
            <w:r>
              <w:rPr>
                <w:rFonts w:hint="eastAsia" w:hAnsi="宋体" w:cs="宋体"/>
                <w:sz w:val="21"/>
                <w:szCs w:val="21"/>
              </w:rPr>
              <w:t>账号：</w:t>
            </w:r>
          </w:p>
        </w:tc>
      </w:tr>
      <w:tr w14:paraId="2F6220DA">
        <w:tblPrEx>
          <w:tblCellMar>
            <w:top w:w="0" w:type="dxa"/>
            <w:left w:w="108" w:type="dxa"/>
            <w:bottom w:w="0" w:type="dxa"/>
            <w:right w:w="108" w:type="dxa"/>
          </w:tblCellMar>
        </w:tblPrEx>
        <w:trPr>
          <w:cantSplit/>
          <w:trHeight w:val="1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D3CFA10">
            <w:pPr>
              <w:spacing w:line="460" w:lineRule="exact"/>
              <w:jc w:val="center"/>
              <w:rPr>
                <w:rFonts w:hAnsi="宋体" w:cs="宋体"/>
                <w:sz w:val="21"/>
                <w:szCs w:val="21"/>
              </w:rPr>
            </w:pPr>
            <w:r>
              <w:rPr>
                <w:rFonts w:hint="eastAsia" w:hAnsi="宋体" w:cs="宋体"/>
                <w:sz w:val="21"/>
                <w:szCs w:val="21"/>
              </w:rPr>
              <w:t>公  司组  织</w:t>
            </w:r>
          </w:p>
          <w:p w14:paraId="0CE3A456">
            <w:pPr>
              <w:spacing w:line="460" w:lineRule="exact"/>
              <w:jc w:val="center"/>
              <w:rPr>
                <w:rFonts w:hAnsi="宋体" w:cs="宋体"/>
                <w:sz w:val="21"/>
                <w:szCs w:val="21"/>
              </w:rPr>
            </w:pPr>
            <w:r>
              <w:rPr>
                <w:rFonts w:hint="eastAsia" w:hAnsi="宋体" w:cs="宋体"/>
                <w:sz w:val="21"/>
                <w:szCs w:val="21"/>
              </w:rPr>
              <w:t>机  构框  图</w:t>
            </w:r>
          </w:p>
        </w:tc>
        <w:tc>
          <w:tcPr>
            <w:tcW w:w="7470" w:type="dxa"/>
            <w:gridSpan w:val="4"/>
            <w:tcBorders>
              <w:top w:val="single" w:color="auto" w:sz="4" w:space="0"/>
              <w:left w:val="nil"/>
              <w:bottom w:val="single" w:color="auto" w:sz="4" w:space="0"/>
              <w:right w:val="single" w:color="auto" w:sz="4" w:space="0"/>
            </w:tcBorders>
            <w:vAlign w:val="center"/>
          </w:tcPr>
          <w:p w14:paraId="785A1A8E">
            <w:pPr>
              <w:spacing w:line="460" w:lineRule="exact"/>
              <w:jc w:val="center"/>
              <w:rPr>
                <w:rFonts w:hAnsi="宋体" w:cs="宋体"/>
                <w:sz w:val="21"/>
                <w:szCs w:val="21"/>
              </w:rPr>
            </w:pPr>
          </w:p>
        </w:tc>
      </w:tr>
    </w:tbl>
    <w:p w14:paraId="08CE6067">
      <w:pPr>
        <w:spacing w:line="500" w:lineRule="exact"/>
        <w:rPr>
          <w:rFonts w:hAnsi="宋体" w:cs="宋体"/>
          <w:sz w:val="21"/>
          <w:szCs w:val="21"/>
        </w:rPr>
      </w:pPr>
      <w:r>
        <w:rPr>
          <w:rFonts w:hint="eastAsia" w:hAnsi="宋体" w:cs="宋体"/>
          <w:sz w:val="21"/>
          <w:szCs w:val="21"/>
        </w:rPr>
        <w:t>法定代表人或其授权代表签字：</w:t>
      </w:r>
    </w:p>
    <w:p w14:paraId="050649A6">
      <w:pPr>
        <w:spacing w:line="500" w:lineRule="exact"/>
        <w:rPr>
          <w:rFonts w:hAnsi="宋体" w:cs="宋体"/>
          <w:sz w:val="21"/>
          <w:szCs w:val="21"/>
        </w:rPr>
      </w:pPr>
      <w:r>
        <w:rPr>
          <w:rFonts w:hint="eastAsia" w:hAnsi="宋体" w:cs="宋体"/>
          <w:sz w:val="21"/>
          <w:szCs w:val="21"/>
        </w:rPr>
        <w:t xml:space="preserve">投标人全称（加盖公章）：                 </w:t>
      </w:r>
    </w:p>
    <w:p w14:paraId="0DD7CCF7">
      <w:pPr>
        <w:pStyle w:val="26"/>
        <w:spacing w:line="500" w:lineRule="exact"/>
        <w:rPr>
          <w:rFonts w:ascii="宋体" w:hAnsi="宋体" w:cs="宋体"/>
          <w:sz w:val="21"/>
        </w:rPr>
      </w:pPr>
      <w:r>
        <w:rPr>
          <w:rFonts w:hint="eastAsia" w:ascii="宋体" w:hAnsi="宋体" w:cs="宋体"/>
          <w:sz w:val="21"/>
        </w:rPr>
        <w:t xml:space="preserve">  日期：  年  月   日</w:t>
      </w:r>
    </w:p>
    <w:p w14:paraId="00E0B4A8">
      <w:pPr>
        <w:autoSpaceDN/>
        <w:snapToGrid w:val="0"/>
        <w:spacing w:line="500" w:lineRule="exact"/>
        <w:ind w:firstLine="420" w:firstLineChars="200"/>
        <w:jc w:val="both"/>
        <w:rPr>
          <w:rFonts w:hAnsi="宋体" w:cs="宋体"/>
          <w:sz w:val="21"/>
          <w:szCs w:val="21"/>
          <w:lang w:bidi="ar"/>
        </w:rPr>
      </w:pPr>
    </w:p>
    <w:p w14:paraId="127436A6">
      <w:pPr>
        <w:pStyle w:val="49"/>
        <w:ind w:left="680"/>
      </w:pPr>
    </w:p>
    <w:p w14:paraId="27CC0745">
      <w:pPr>
        <w:spacing w:line="500" w:lineRule="exact"/>
        <w:ind w:firstLine="480"/>
        <w:jc w:val="center"/>
        <w:rPr>
          <w:rFonts w:hAnsi="宋体" w:cs="宋体"/>
          <w:b/>
          <w:sz w:val="21"/>
          <w:szCs w:val="21"/>
        </w:rPr>
      </w:pPr>
      <w:r>
        <w:rPr>
          <w:rFonts w:hint="eastAsia" w:hAnsi="宋体" w:cs="宋体"/>
          <w:b/>
          <w:sz w:val="21"/>
          <w:szCs w:val="21"/>
        </w:rPr>
        <w:t>3.法定代表人授权委托书</w:t>
      </w:r>
    </w:p>
    <w:p w14:paraId="53670571">
      <w:pPr>
        <w:spacing w:line="500" w:lineRule="exact"/>
        <w:ind w:firstLine="480"/>
        <w:jc w:val="both"/>
        <w:rPr>
          <w:rFonts w:hAnsi="宋体" w:cs="宋体"/>
          <w:sz w:val="21"/>
          <w:szCs w:val="21"/>
        </w:rPr>
      </w:pPr>
    </w:p>
    <w:p w14:paraId="4D04BED1">
      <w:pPr>
        <w:spacing w:line="500" w:lineRule="exact"/>
        <w:ind w:firstLine="480"/>
        <w:jc w:val="both"/>
        <w:rPr>
          <w:rFonts w:hAnsi="宋体" w:cs="宋体"/>
          <w:sz w:val="21"/>
          <w:szCs w:val="21"/>
        </w:rPr>
      </w:pPr>
      <w:r>
        <w:rPr>
          <w:rFonts w:hint="eastAsia" w:hAnsi="宋体" w:cs="宋体"/>
          <w:sz w:val="21"/>
          <w:szCs w:val="21"/>
        </w:rPr>
        <w:t>致：</w:t>
      </w:r>
      <w:r>
        <w:rPr>
          <w:rFonts w:hint="eastAsia" w:hAnsi="宋体" w:cs="宋体"/>
          <w:sz w:val="21"/>
          <w:szCs w:val="21"/>
          <w:u w:val="single"/>
        </w:rPr>
        <w:t xml:space="preserve">               </w:t>
      </w:r>
      <w:r>
        <w:rPr>
          <w:rFonts w:hint="eastAsia" w:hAnsi="宋体" w:cs="宋体"/>
          <w:sz w:val="21"/>
          <w:szCs w:val="21"/>
        </w:rPr>
        <w:t>（招标采购单位名称）：</w:t>
      </w:r>
    </w:p>
    <w:p w14:paraId="32FAB93C">
      <w:pPr>
        <w:spacing w:line="500" w:lineRule="exact"/>
        <w:ind w:firstLine="480"/>
        <w:jc w:val="both"/>
        <w:rPr>
          <w:rFonts w:hAnsi="宋体" w:cs="宋体"/>
          <w:sz w:val="21"/>
          <w:szCs w:val="21"/>
        </w:rPr>
      </w:pPr>
      <w:r>
        <w:rPr>
          <w:rFonts w:hint="eastAsia" w:hAnsi="宋体" w:cs="宋体"/>
          <w:sz w:val="21"/>
          <w:szCs w:val="21"/>
        </w:rPr>
        <w:t>我</w:t>
      </w:r>
      <w:r>
        <w:rPr>
          <w:rFonts w:hint="eastAsia" w:hAnsi="宋体" w:cs="宋体"/>
          <w:sz w:val="21"/>
          <w:szCs w:val="21"/>
          <w:u w:val="single"/>
        </w:rPr>
        <w:t xml:space="preserve">               </w:t>
      </w:r>
      <w:r>
        <w:rPr>
          <w:rFonts w:hint="eastAsia" w:hAnsi="宋体" w:cs="宋体"/>
          <w:sz w:val="21"/>
          <w:szCs w:val="21"/>
        </w:rPr>
        <w:t>（姓名）系</w:t>
      </w:r>
      <w:r>
        <w:rPr>
          <w:rFonts w:hint="eastAsia" w:hAnsi="宋体" w:cs="宋体"/>
          <w:sz w:val="21"/>
          <w:szCs w:val="21"/>
          <w:u w:val="single"/>
        </w:rPr>
        <w:t xml:space="preserve">               </w:t>
      </w:r>
      <w:r>
        <w:rPr>
          <w:rFonts w:hint="eastAsia" w:hAnsi="宋体" w:cs="宋体"/>
          <w:sz w:val="21"/>
          <w:szCs w:val="21"/>
        </w:rPr>
        <w:t>（投标人名称）的法定代表人，现授权委托本单位在职职工</w:t>
      </w:r>
      <w:r>
        <w:rPr>
          <w:rFonts w:hint="eastAsia" w:hAnsi="宋体" w:cs="宋体"/>
          <w:sz w:val="21"/>
          <w:szCs w:val="21"/>
          <w:u w:val="single"/>
        </w:rPr>
        <w:t xml:space="preserve">              </w:t>
      </w:r>
      <w:r>
        <w:rPr>
          <w:rFonts w:hint="eastAsia" w:hAnsi="宋体" w:cs="宋体"/>
          <w:sz w:val="21"/>
          <w:szCs w:val="21"/>
        </w:rPr>
        <w:t>（姓名）以我方的名义参加</w:t>
      </w:r>
      <w:r>
        <w:rPr>
          <w:rFonts w:hint="eastAsia" w:hAnsi="宋体" w:cs="宋体"/>
          <w:sz w:val="21"/>
          <w:szCs w:val="21"/>
          <w:u w:val="single"/>
        </w:rPr>
        <w:t xml:space="preserve">               </w:t>
      </w:r>
      <w:r>
        <w:rPr>
          <w:rFonts w:hint="eastAsia" w:hAnsi="宋体" w:cs="宋体"/>
          <w:sz w:val="21"/>
          <w:szCs w:val="21"/>
        </w:rPr>
        <w:t>项目的投标活动，并代表我方全权办理针对上述项目的投标、开标、评标、签约等具体事务和签署相关文件。</w:t>
      </w:r>
    </w:p>
    <w:p w14:paraId="5D990E3F">
      <w:pPr>
        <w:spacing w:line="500" w:lineRule="exact"/>
        <w:ind w:firstLine="480"/>
        <w:jc w:val="both"/>
        <w:rPr>
          <w:rFonts w:hAnsi="宋体" w:cs="宋体"/>
          <w:sz w:val="21"/>
          <w:szCs w:val="21"/>
        </w:rPr>
      </w:pPr>
      <w:r>
        <w:rPr>
          <w:rFonts w:hint="eastAsia" w:hAnsi="宋体" w:cs="宋体"/>
          <w:sz w:val="21"/>
          <w:szCs w:val="21"/>
        </w:rPr>
        <w:t>我方对被授权人的签名事项负全部责任。</w:t>
      </w:r>
    </w:p>
    <w:p w14:paraId="6420FFFB">
      <w:pPr>
        <w:spacing w:line="500" w:lineRule="exact"/>
        <w:ind w:firstLine="480"/>
        <w:jc w:val="both"/>
        <w:rPr>
          <w:rFonts w:hAnsi="宋体" w:cs="宋体"/>
          <w:sz w:val="21"/>
          <w:szCs w:val="21"/>
        </w:rPr>
      </w:pPr>
      <w:r>
        <w:rPr>
          <w:rFonts w:hint="eastAsia" w:hAnsi="宋体" w:cs="宋体"/>
          <w:sz w:val="21"/>
          <w:szCs w:val="21"/>
          <w:u w:val="single"/>
        </w:rPr>
        <w:t>在撤销授权的书面通知以前，本授权书一直有效。</w:t>
      </w:r>
      <w:r>
        <w:rPr>
          <w:rFonts w:hint="eastAsia" w:hAnsi="宋体" w:cs="宋体"/>
          <w:sz w:val="21"/>
          <w:szCs w:val="21"/>
        </w:rPr>
        <w:t>被授权人在授权书有效期内签署的所有文件不因授权的撤销而失效。</w:t>
      </w:r>
    </w:p>
    <w:p w14:paraId="6CB929EB">
      <w:pPr>
        <w:spacing w:line="500" w:lineRule="exact"/>
        <w:ind w:firstLine="480"/>
        <w:jc w:val="both"/>
        <w:rPr>
          <w:rFonts w:hAnsi="宋体" w:cs="宋体"/>
          <w:sz w:val="21"/>
          <w:szCs w:val="21"/>
        </w:rPr>
      </w:pPr>
      <w:r>
        <w:rPr>
          <w:rFonts w:hint="eastAsia" w:hAnsi="宋体" w:cs="宋体"/>
          <w:sz w:val="21"/>
          <w:szCs w:val="21"/>
        </w:rPr>
        <w:t>被授权人无转委托权，特此委托。</w:t>
      </w:r>
    </w:p>
    <w:p w14:paraId="7BF0B21B">
      <w:pPr>
        <w:spacing w:line="500" w:lineRule="exact"/>
        <w:ind w:firstLine="480"/>
        <w:jc w:val="both"/>
        <w:rPr>
          <w:rFonts w:hAnsi="宋体" w:cs="宋体"/>
          <w:sz w:val="21"/>
          <w:szCs w:val="21"/>
        </w:rPr>
      </w:pPr>
    </w:p>
    <w:p w14:paraId="210A700B">
      <w:pPr>
        <w:spacing w:line="500" w:lineRule="exact"/>
        <w:ind w:firstLine="480"/>
        <w:jc w:val="both"/>
        <w:rPr>
          <w:rFonts w:hAnsi="宋体" w:cs="宋体"/>
          <w:sz w:val="21"/>
          <w:szCs w:val="21"/>
        </w:rPr>
      </w:pPr>
      <w:r>
        <w:rPr>
          <w:rFonts w:hint="eastAsia" w:hAnsi="宋体" w:cs="宋体"/>
          <w:sz w:val="21"/>
          <w:szCs w:val="21"/>
        </w:rPr>
        <w:t xml:space="preserve">被授权人（签字或盖章）：                法定代表人（签字或盖章）：          </w:t>
      </w:r>
    </w:p>
    <w:p w14:paraId="4DDC9B3D">
      <w:pPr>
        <w:spacing w:line="500" w:lineRule="exact"/>
        <w:ind w:firstLine="480"/>
        <w:jc w:val="both"/>
        <w:rPr>
          <w:rFonts w:hAnsi="宋体" w:cs="宋体"/>
          <w:sz w:val="21"/>
          <w:szCs w:val="21"/>
        </w:rPr>
      </w:pPr>
      <w:r>
        <w:rPr>
          <w:rFonts w:hint="eastAsia" w:hAnsi="宋体" w:cs="宋体"/>
          <w:sz w:val="21"/>
          <w:szCs w:val="21"/>
        </w:rPr>
        <w:t xml:space="preserve">职务：                                   职务：           </w:t>
      </w:r>
    </w:p>
    <w:p w14:paraId="043A97E4">
      <w:pPr>
        <w:spacing w:line="500" w:lineRule="exact"/>
        <w:ind w:firstLine="480"/>
        <w:jc w:val="both"/>
        <w:rPr>
          <w:rFonts w:hAnsi="宋体" w:cs="宋体"/>
          <w:sz w:val="21"/>
          <w:szCs w:val="21"/>
        </w:rPr>
      </w:pPr>
      <w:r>
        <w:rPr>
          <w:rFonts w:hint="eastAsia" w:hAnsi="宋体" w:cs="宋体"/>
          <w:sz w:val="21"/>
          <w:szCs w:val="21"/>
        </w:rPr>
        <w:t xml:space="preserve">被授权人身份证号码：                              </w:t>
      </w:r>
    </w:p>
    <w:p w14:paraId="69474266">
      <w:pPr>
        <w:spacing w:line="500" w:lineRule="exact"/>
        <w:ind w:firstLine="480"/>
        <w:jc w:val="both"/>
        <w:rPr>
          <w:rFonts w:hAnsi="宋体" w:cs="宋体"/>
          <w:sz w:val="21"/>
          <w:szCs w:val="21"/>
        </w:rPr>
      </w:pPr>
      <w:r>
        <w:rPr>
          <w:rFonts w:hint="eastAsia" w:hAnsi="宋体" w:cs="宋体"/>
          <w:sz w:val="21"/>
          <w:szCs w:val="21"/>
        </w:rPr>
        <w:t xml:space="preserve">                                     投标人公章：</w:t>
      </w:r>
    </w:p>
    <w:p w14:paraId="22CB4D88">
      <w:pPr>
        <w:spacing w:line="500" w:lineRule="exact"/>
        <w:ind w:firstLine="480"/>
        <w:jc w:val="both"/>
        <w:rPr>
          <w:rFonts w:hAnsi="宋体" w:cs="宋体"/>
          <w:sz w:val="21"/>
          <w:szCs w:val="21"/>
        </w:rPr>
      </w:pPr>
      <w:r>
        <w:rPr>
          <w:rFonts w:hint="eastAsia" w:hAnsi="宋体" w:cs="宋体"/>
          <w:sz w:val="21"/>
          <w:szCs w:val="21"/>
        </w:rPr>
        <w:t xml:space="preserve">                                        年    月    日</w:t>
      </w:r>
    </w:p>
    <w:p w14:paraId="3EB26BF2">
      <w:pPr>
        <w:spacing w:line="500" w:lineRule="exact"/>
        <w:ind w:firstLine="2520" w:firstLineChars="1200"/>
        <w:jc w:val="both"/>
        <w:rPr>
          <w:rFonts w:hAnsi="宋体" w:cs="宋体"/>
          <w:sz w:val="21"/>
          <w:szCs w:val="21"/>
          <w:u w:val="single"/>
        </w:rPr>
      </w:pPr>
    </w:p>
    <w:p w14:paraId="29810CC2">
      <w:pPr>
        <w:spacing w:line="500" w:lineRule="exact"/>
        <w:ind w:firstLine="480"/>
        <w:jc w:val="both"/>
        <w:rPr>
          <w:rFonts w:hAnsi="宋体" w:cs="宋体"/>
          <w:sz w:val="21"/>
          <w:szCs w:val="21"/>
        </w:rPr>
      </w:pPr>
      <w:r>
        <w:rPr>
          <w:rFonts w:hint="eastAsia" w:hAnsi="宋体" w:cs="宋体"/>
          <w:sz w:val="21"/>
          <w:szCs w:val="21"/>
        </w:rPr>
        <w:t>法定代表人身份证（正反面）复印件粘贴处</w:t>
      </w:r>
    </w:p>
    <w:p w14:paraId="389E8B9A">
      <w:pPr>
        <w:spacing w:line="500" w:lineRule="exact"/>
        <w:ind w:firstLine="480"/>
        <w:jc w:val="both"/>
        <w:rPr>
          <w:rFonts w:hAnsi="宋体" w:cs="宋体"/>
          <w:sz w:val="21"/>
          <w:szCs w:val="21"/>
        </w:rPr>
      </w:pPr>
    </w:p>
    <w:p w14:paraId="573112B8">
      <w:pPr>
        <w:spacing w:line="500" w:lineRule="exact"/>
        <w:ind w:firstLine="480"/>
        <w:jc w:val="both"/>
        <w:rPr>
          <w:rFonts w:hAnsi="宋体" w:cs="宋体"/>
          <w:sz w:val="21"/>
          <w:szCs w:val="21"/>
        </w:rPr>
      </w:pPr>
      <w:r>
        <w:rPr>
          <w:rFonts w:hint="eastAsia" w:hAnsi="宋体" w:cs="宋体"/>
          <w:sz w:val="21"/>
          <w:szCs w:val="21"/>
        </w:rPr>
        <w:t>授权代表身份证（正反面）复印件粘贴处</w:t>
      </w:r>
    </w:p>
    <w:p w14:paraId="20407AE2">
      <w:pPr>
        <w:spacing w:line="500" w:lineRule="exact"/>
        <w:jc w:val="both"/>
        <w:rPr>
          <w:rFonts w:hAnsi="宋体" w:cs="宋体"/>
          <w:sz w:val="21"/>
          <w:szCs w:val="21"/>
          <w:u w:val="single"/>
        </w:rPr>
      </w:pPr>
    </w:p>
    <w:p w14:paraId="10F43E6B">
      <w:pPr>
        <w:pStyle w:val="26"/>
        <w:spacing w:line="500" w:lineRule="exact"/>
        <w:rPr>
          <w:rFonts w:ascii="宋体" w:hAnsi="宋体" w:cs="宋体"/>
          <w:sz w:val="21"/>
          <w:u w:val="single"/>
        </w:rPr>
      </w:pPr>
    </w:p>
    <w:p w14:paraId="1C8B133C">
      <w:pPr>
        <w:pStyle w:val="26"/>
        <w:spacing w:line="500" w:lineRule="exact"/>
        <w:rPr>
          <w:rFonts w:ascii="宋体" w:hAnsi="宋体" w:cs="宋体"/>
          <w:sz w:val="21"/>
          <w:u w:val="single"/>
        </w:rPr>
      </w:pPr>
    </w:p>
    <w:p w14:paraId="7DDC284B">
      <w:pPr>
        <w:autoSpaceDN/>
        <w:snapToGrid w:val="0"/>
        <w:spacing w:line="500" w:lineRule="exact"/>
        <w:ind w:firstLine="422" w:firstLineChars="200"/>
        <w:jc w:val="both"/>
        <w:rPr>
          <w:rFonts w:hAnsi="宋体" w:cs="宋体"/>
          <w:sz w:val="21"/>
          <w:szCs w:val="21"/>
          <w:lang w:bidi="ar"/>
        </w:rPr>
      </w:pPr>
      <w:r>
        <w:rPr>
          <w:rFonts w:hint="eastAsia" w:hAnsi="宋体" w:cs="宋体"/>
          <w:b/>
          <w:bCs/>
          <w:sz w:val="21"/>
          <w:szCs w:val="21"/>
        </w:rPr>
        <w:br w:type="page"/>
      </w:r>
    </w:p>
    <w:p w14:paraId="70030244">
      <w:pPr>
        <w:snapToGrid w:val="0"/>
        <w:spacing w:before="50" w:after="50"/>
        <w:jc w:val="center"/>
        <w:rPr>
          <w:rFonts w:hAnsi="宋体" w:cs="宋体"/>
          <w:b/>
          <w:sz w:val="24"/>
        </w:rPr>
      </w:pPr>
      <w:r>
        <w:rPr>
          <w:rFonts w:hint="eastAsia" w:hAnsi="宋体" w:cs="宋体"/>
          <w:b/>
          <w:bCs/>
          <w:sz w:val="24"/>
        </w:rPr>
        <w:t>4.</w:t>
      </w:r>
      <w:r>
        <w:rPr>
          <w:rFonts w:hint="eastAsia" w:hAnsi="宋体" w:cs="宋体"/>
          <w:b/>
          <w:sz w:val="24"/>
        </w:rPr>
        <w:t>投标</w:t>
      </w:r>
      <w:r>
        <w:rPr>
          <w:rFonts w:hint="eastAsia" w:hAnsi="宋体" w:cs="宋体"/>
          <w:b/>
          <w:sz w:val="24"/>
          <w:szCs w:val="22"/>
        </w:rPr>
        <w:t>人2022年1月1日以来的</w:t>
      </w:r>
      <w:r>
        <w:rPr>
          <w:rFonts w:hint="eastAsia" w:hAnsi="宋体" w:cs="宋体"/>
          <w:b/>
          <w:sz w:val="24"/>
        </w:rPr>
        <w:t>同类项目业绩</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6233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04B7658">
            <w:pPr>
              <w:widowControl/>
              <w:snapToGrid w:val="0"/>
              <w:jc w:val="center"/>
              <w:rPr>
                <w:rFonts w:hAnsi="宋体" w:cs="宋体"/>
                <w:sz w:val="24"/>
                <w:szCs w:val="24"/>
              </w:rPr>
            </w:pPr>
            <w:r>
              <w:rPr>
                <w:rFonts w:hint="eastAsia" w:hAnsi="宋体" w:cs="宋体"/>
                <w:sz w:val="24"/>
                <w:szCs w:val="24"/>
              </w:rPr>
              <w:t>序号</w:t>
            </w:r>
          </w:p>
        </w:tc>
        <w:tc>
          <w:tcPr>
            <w:tcW w:w="1823" w:type="dxa"/>
            <w:tcBorders>
              <w:top w:val="single" w:color="auto" w:sz="4" w:space="0"/>
              <w:left w:val="single" w:color="auto" w:sz="4" w:space="0"/>
              <w:bottom w:val="single" w:color="auto" w:sz="4" w:space="0"/>
              <w:right w:val="single" w:color="auto" w:sz="4" w:space="0"/>
            </w:tcBorders>
            <w:vAlign w:val="center"/>
          </w:tcPr>
          <w:p w14:paraId="00FFD686">
            <w:pPr>
              <w:widowControl/>
              <w:snapToGrid w:val="0"/>
              <w:jc w:val="center"/>
              <w:rPr>
                <w:rFonts w:hAnsi="宋体" w:cs="宋体"/>
                <w:sz w:val="24"/>
                <w:szCs w:val="24"/>
              </w:rPr>
            </w:pPr>
            <w:r>
              <w:rPr>
                <w:rFonts w:hint="eastAsia" w:hAnsi="宋体" w:cs="宋体"/>
                <w:sz w:val="24"/>
                <w:szCs w:val="24"/>
              </w:rPr>
              <w:t>项 目 名 称</w:t>
            </w:r>
          </w:p>
        </w:tc>
        <w:tc>
          <w:tcPr>
            <w:tcW w:w="2324" w:type="dxa"/>
            <w:tcBorders>
              <w:top w:val="single" w:color="auto" w:sz="4" w:space="0"/>
              <w:left w:val="single" w:color="auto" w:sz="4" w:space="0"/>
              <w:bottom w:val="single" w:color="auto" w:sz="4" w:space="0"/>
              <w:right w:val="single" w:color="auto" w:sz="4" w:space="0"/>
            </w:tcBorders>
            <w:vAlign w:val="center"/>
          </w:tcPr>
          <w:p w14:paraId="70FF2078">
            <w:pPr>
              <w:widowControl/>
              <w:snapToGrid w:val="0"/>
              <w:jc w:val="center"/>
              <w:rPr>
                <w:rFonts w:hAnsi="宋体" w:cs="宋体"/>
                <w:sz w:val="24"/>
                <w:szCs w:val="24"/>
              </w:rPr>
            </w:pPr>
            <w:r>
              <w:rPr>
                <w:rFonts w:hint="eastAsia" w:hAnsi="宋体" w:cs="宋体"/>
                <w:sz w:val="24"/>
                <w:szCs w:val="24"/>
              </w:rPr>
              <w:t>项 目 概 况</w:t>
            </w:r>
          </w:p>
        </w:tc>
        <w:tc>
          <w:tcPr>
            <w:tcW w:w="1548" w:type="dxa"/>
            <w:tcBorders>
              <w:top w:val="single" w:color="auto" w:sz="4" w:space="0"/>
              <w:left w:val="single" w:color="auto" w:sz="4" w:space="0"/>
              <w:bottom w:val="single" w:color="auto" w:sz="4" w:space="0"/>
              <w:right w:val="single" w:color="auto" w:sz="4" w:space="0"/>
            </w:tcBorders>
            <w:vAlign w:val="center"/>
          </w:tcPr>
          <w:p w14:paraId="5D3BDE2E">
            <w:pPr>
              <w:widowControl/>
              <w:snapToGrid w:val="0"/>
              <w:jc w:val="center"/>
              <w:rPr>
                <w:rFonts w:hAnsi="宋体" w:cs="宋体"/>
                <w:sz w:val="24"/>
                <w:szCs w:val="24"/>
              </w:rPr>
            </w:pPr>
            <w:r>
              <w:rPr>
                <w:rFonts w:hint="eastAsia" w:hAnsi="宋体" w:cs="宋体"/>
                <w:sz w:val="24"/>
                <w:szCs w:val="24"/>
              </w:rPr>
              <w:t>起讫时间</w:t>
            </w:r>
          </w:p>
        </w:tc>
        <w:tc>
          <w:tcPr>
            <w:tcW w:w="1200" w:type="dxa"/>
            <w:tcBorders>
              <w:top w:val="single" w:color="auto" w:sz="4" w:space="0"/>
              <w:left w:val="single" w:color="auto" w:sz="4" w:space="0"/>
              <w:bottom w:val="single" w:color="auto" w:sz="4" w:space="0"/>
              <w:right w:val="single" w:color="auto" w:sz="4" w:space="0"/>
            </w:tcBorders>
            <w:vAlign w:val="center"/>
          </w:tcPr>
          <w:p w14:paraId="15FDAB45">
            <w:pPr>
              <w:widowControl/>
              <w:snapToGrid w:val="0"/>
              <w:jc w:val="center"/>
              <w:rPr>
                <w:rFonts w:hAnsi="宋体" w:cs="宋体"/>
                <w:sz w:val="24"/>
                <w:szCs w:val="24"/>
              </w:rPr>
            </w:pPr>
            <w:r>
              <w:rPr>
                <w:rFonts w:hint="eastAsia" w:hAnsi="宋体" w:cs="宋体"/>
                <w:sz w:val="24"/>
                <w:szCs w:val="24"/>
              </w:rPr>
              <w:t>合同金额</w:t>
            </w:r>
          </w:p>
        </w:tc>
        <w:tc>
          <w:tcPr>
            <w:tcW w:w="1479" w:type="dxa"/>
            <w:tcBorders>
              <w:top w:val="single" w:color="auto" w:sz="4" w:space="0"/>
              <w:left w:val="single" w:color="auto" w:sz="4" w:space="0"/>
              <w:bottom w:val="single" w:color="auto" w:sz="4" w:space="0"/>
              <w:right w:val="single" w:color="auto" w:sz="4" w:space="0"/>
            </w:tcBorders>
            <w:vAlign w:val="center"/>
          </w:tcPr>
          <w:p w14:paraId="5F2DBD3D">
            <w:pPr>
              <w:widowControl/>
              <w:snapToGrid w:val="0"/>
              <w:jc w:val="center"/>
              <w:rPr>
                <w:rFonts w:hAnsi="宋体" w:cs="宋体"/>
                <w:sz w:val="24"/>
                <w:szCs w:val="24"/>
              </w:rPr>
            </w:pPr>
            <w:r>
              <w:rPr>
                <w:rFonts w:hint="eastAsia" w:hAnsi="宋体" w:cs="宋体"/>
                <w:sz w:val="24"/>
                <w:szCs w:val="24"/>
              </w:rPr>
              <w:t>备注</w:t>
            </w:r>
          </w:p>
        </w:tc>
      </w:tr>
      <w:tr w14:paraId="565F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6F16B6C9">
            <w:pPr>
              <w:widowControl/>
              <w:snapToGrid w:val="0"/>
              <w:jc w:val="center"/>
              <w:rPr>
                <w:rFonts w:hAnsi="宋体" w:cs="宋体"/>
                <w:sz w:val="24"/>
                <w:szCs w:val="24"/>
              </w:rPr>
            </w:pPr>
            <w:r>
              <w:rPr>
                <w:rFonts w:hint="eastAsia" w:hAnsi="宋体" w:cs="宋体"/>
                <w:sz w:val="24"/>
                <w:szCs w:val="24"/>
              </w:rPr>
              <w:t> </w:t>
            </w:r>
          </w:p>
        </w:tc>
        <w:tc>
          <w:tcPr>
            <w:tcW w:w="1823" w:type="dxa"/>
            <w:tcBorders>
              <w:top w:val="single" w:color="auto" w:sz="4" w:space="0"/>
              <w:left w:val="single" w:color="auto" w:sz="4" w:space="0"/>
              <w:bottom w:val="single" w:color="auto" w:sz="4" w:space="0"/>
              <w:right w:val="single" w:color="auto" w:sz="4" w:space="0"/>
            </w:tcBorders>
            <w:vAlign w:val="center"/>
          </w:tcPr>
          <w:p w14:paraId="78E9AFD6">
            <w:pPr>
              <w:widowControl/>
              <w:snapToGrid w:val="0"/>
              <w:jc w:val="center"/>
              <w:rPr>
                <w:rFonts w:hAnsi="宋体" w:cs="宋体"/>
                <w:sz w:val="24"/>
                <w:szCs w:val="24"/>
              </w:rPr>
            </w:pPr>
            <w:r>
              <w:rPr>
                <w:rFonts w:hint="eastAsia" w:hAnsi="宋体" w:cs="宋体"/>
                <w:sz w:val="24"/>
                <w:szCs w:val="24"/>
              </w:rPr>
              <w:t> </w:t>
            </w:r>
          </w:p>
        </w:tc>
        <w:tc>
          <w:tcPr>
            <w:tcW w:w="2324" w:type="dxa"/>
            <w:tcBorders>
              <w:top w:val="single" w:color="auto" w:sz="4" w:space="0"/>
              <w:left w:val="single" w:color="auto" w:sz="4" w:space="0"/>
              <w:bottom w:val="single" w:color="auto" w:sz="4" w:space="0"/>
              <w:right w:val="single" w:color="auto" w:sz="4" w:space="0"/>
            </w:tcBorders>
          </w:tcPr>
          <w:p w14:paraId="726D7A8A">
            <w:pPr>
              <w:widowControl/>
              <w:snapToGrid w:val="0"/>
              <w:jc w:val="center"/>
              <w:rPr>
                <w:rFonts w:hAnsi="宋体" w:cs="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25C81B70">
            <w:pPr>
              <w:widowControl/>
              <w:snapToGrid w:val="0"/>
              <w:jc w:val="center"/>
              <w:rPr>
                <w:rFonts w:hAnsi="宋体" w:cs="宋体"/>
                <w:sz w:val="24"/>
                <w:szCs w:val="24"/>
              </w:rPr>
            </w:pPr>
            <w:r>
              <w:rPr>
                <w:rFonts w:hint="eastAsia" w:hAnsi="宋体" w:cs="宋体"/>
                <w:sz w:val="24"/>
                <w:szCs w:val="24"/>
              </w:rPr>
              <w:t> </w:t>
            </w:r>
          </w:p>
        </w:tc>
        <w:tc>
          <w:tcPr>
            <w:tcW w:w="1200" w:type="dxa"/>
            <w:tcBorders>
              <w:top w:val="single" w:color="auto" w:sz="4" w:space="0"/>
              <w:left w:val="single" w:color="auto" w:sz="4" w:space="0"/>
              <w:bottom w:val="single" w:color="auto" w:sz="4" w:space="0"/>
              <w:right w:val="single" w:color="auto" w:sz="4" w:space="0"/>
            </w:tcBorders>
            <w:vAlign w:val="center"/>
          </w:tcPr>
          <w:p w14:paraId="425DE716">
            <w:pPr>
              <w:widowControl/>
              <w:snapToGrid w:val="0"/>
              <w:jc w:val="center"/>
              <w:rPr>
                <w:rFonts w:hAnsi="宋体" w:cs="宋体"/>
                <w:sz w:val="24"/>
                <w:szCs w:val="24"/>
              </w:rPr>
            </w:pPr>
            <w:r>
              <w:rPr>
                <w:rFonts w:hint="eastAsia" w:hAnsi="宋体" w:cs="宋体"/>
                <w:sz w:val="24"/>
                <w:szCs w:val="24"/>
              </w:rPr>
              <w:t> </w:t>
            </w:r>
          </w:p>
        </w:tc>
        <w:tc>
          <w:tcPr>
            <w:tcW w:w="1479" w:type="dxa"/>
            <w:tcBorders>
              <w:top w:val="single" w:color="auto" w:sz="4" w:space="0"/>
              <w:left w:val="single" w:color="auto" w:sz="4" w:space="0"/>
              <w:bottom w:val="single" w:color="auto" w:sz="4" w:space="0"/>
              <w:right w:val="single" w:color="auto" w:sz="4" w:space="0"/>
            </w:tcBorders>
            <w:vAlign w:val="center"/>
          </w:tcPr>
          <w:p w14:paraId="0AB93EF1">
            <w:pPr>
              <w:widowControl/>
              <w:snapToGrid w:val="0"/>
              <w:jc w:val="center"/>
              <w:rPr>
                <w:rFonts w:hAnsi="宋体" w:cs="宋体"/>
                <w:sz w:val="24"/>
                <w:szCs w:val="24"/>
              </w:rPr>
            </w:pPr>
            <w:r>
              <w:rPr>
                <w:rFonts w:hint="eastAsia" w:hAnsi="宋体" w:cs="宋体"/>
                <w:sz w:val="24"/>
                <w:szCs w:val="24"/>
              </w:rPr>
              <w:t> </w:t>
            </w:r>
          </w:p>
        </w:tc>
      </w:tr>
      <w:tr w14:paraId="67D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1136768">
            <w:pPr>
              <w:widowControl/>
              <w:snapToGrid w:val="0"/>
              <w:jc w:val="center"/>
              <w:rPr>
                <w:rFonts w:hAnsi="宋体" w:cs="宋体"/>
                <w:sz w:val="24"/>
                <w:szCs w:val="24"/>
              </w:rPr>
            </w:pPr>
            <w:r>
              <w:rPr>
                <w:rFonts w:hint="eastAsia" w:hAnsi="宋体" w:cs="宋体"/>
                <w:sz w:val="24"/>
                <w:szCs w:val="24"/>
              </w:rPr>
              <w:t> </w:t>
            </w:r>
          </w:p>
        </w:tc>
        <w:tc>
          <w:tcPr>
            <w:tcW w:w="1823" w:type="dxa"/>
            <w:tcBorders>
              <w:top w:val="single" w:color="auto" w:sz="4" w:space="0"/>
              <w:left w:val="single" w:color="auto" w:sz="4" w:space="0"/>
              <w:bottom w:val="single" w:color="auto" w:sz="4" w:space="0"/>
              <w:right w:val="single" w:color="auto" w:sz="4" w:space="0"/>
            </w:tcBorders>
            <w:vAlign w:val="center"/>
          </w:tcPr>
          <w:p w14:paraId="077D2B51">
            <w:pPr>
              <w:widowControl/>
              <w:snapToGrid w:val="0"/>
              <w:jc w:val="center"/>
              <w:rPr>
                <w:rFonts w:hAnsi="宋体" w:cs="宋体"/>
                <w:sz w:val="24"/>
                <w:szCs w:val="24"/>
              </w:rPr>
            </w:pPr>
            <w:r>
              <w:rPr>
                <w:rFonts w:hint="eastAsia" w:hAnsi="宋体" w:cs="宋体"/>
                <w:sz w:val="24"/>
                <w:szCs w:val="24"/>
              </w:rPr>
              <w:t> </w:t>
            </w:r>
          </w:p>
        </w:tc>
        <w:tc>
          <w:tcPr>
            <w:tcW w:w="2324" w:type="dxa"/>
            <w:tcBorders>
              <w:top w:val="single" w:color="auto" w:sz="4" w:space="0"/>
              <w:left w:val="single" w:color="auto" w:sz="4" w:space="0"/>
              <w:bottom w:val="single" w:color="auto" w:sz="4" w:space="0"/>
              <w:right w:val="single" w:color="auto" w:sz="4" w:space="0"/>
            </w:tcBorders>
          </w:tcPr>
          <w:p w14:paraId="00A7A7ED">
            <w:pPr>
              <w:widowControl/>
              <w:snapToGrid w:val="0"/>
              <w:jc w:val="center"/>
              <w:rPr>
                <w:rFonts w:hAnsi="宋体" w:cs="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3106AAB7">
            <w:pPr>
              <w:widowControl/>
              <w:snapToGrid w:val="0"/>
              <w:jc w:val="center"/>
              <w:rPr>
                <w:rFonts w:hAnsi="宋体" w:cs="宋体"/>
                <w:sz w:val="24"/>
                <w:szCs w:val="24"/>
              </w:rPr>
            </w:pPr>
            <w:r>
              <w:rPr>
                <w:rFonts w:hint="eastAsia" w:hAnsi="宋体" w:cs="宋体"/>
                <w:sz w:val="24"/>
                <w:szCs w:val="24"/>
              </w:rPr>
              <w:t> </w:t>
            </w:r>
          </w:p>
        </w:tc>
        <w:tc>
          <w:tcPr>
            <w:tcW w:w="1200" w:type="dxa"/>
            <w:tcBorders>
              <w:top w:val="single" w:color="auto" w:sz="4" w:space="0"/>
              <w:left w:val="single" w:color="auto" w:sz="4" w:space="0"/>
              <w:bottom w:val="single" w:color="auto" w:sz="4" w:space="0"/>
              <w:right w:val="single" w:color="auto" w:sz="4" w:space="0"/>
            </w:tcBorders>
            <w:vAlign w:val="center"/>
          </w:tcPr>
          <w:p w14:paraId="20353E92">
            <w:pPr>
              <w:widowControl/>
              <w:snapToGrid w:val="0"/>
              <w:jc w:val="center"/>
              <w:rPr>
                <w:rFonts w:hAnsi="宋体" w:cs="宋体"/>
                <w:sz w:val="24"/>
                <w:szCs w:val="24"/>
              </w:rPr>
            </w:pPr>
            <w:r>
              <w:rPr>
                <w:rFonts w:hint="eastAsia" w:hAnsi="宋体" w:cs="宋体"/>
                <w:sz w:val="24"/>
                <w:szCs w:val="24"/>
              </w:rPr>
              <w:t> </w:t>
            </w:r>
          </w:p>
        </w:tc>
        <w:tc>
          <w:tcPr>
            <w:tcW w:w="1479" w:type="dxa"/>
            <w:tcBorders>
              <w:top w:val="single" w:color="auto" w:sz="4" w:space="0"/>
              <w:left w:val="single" w:color="auto" w:sz="4" w:space="0"/>
              <w:bottom w:val="single" w:color="auto" w:sz="4" w:space="0"/>
              <w:right w:val="single" w:color="auto" w:sz="4" w:space="0"/>
            </w:tcBorders>
            <w:vAlign w:val="center"/>
          </w:tcPr>
          <w:p w14:paraId="289E6687">
            <w:pPr>
              <w:widowControl/>
              <w:snapToGrid w:val="0"/>
              <w:jc w:val="center"/>
              <w:rPr>
                <w:rFonts w:hAnsi="宋体" w:cs="宋体"/>
                <w:sz w:val="24"/>
                <w:szCs w:val="24"/>
              </w:rPr>
            </w:pPr>
            <w:r>
              <w:rPr>
                <w:rFonts w:hint="eastAsia" w:hAnsi="宋体" w:cs="宋体"/>
                <w:sz w:val="24"/>
                <w:szCs w:val="24"/>
              </w:rPr>
              <w:t> </w:t>
            </w:r>
          </w:p>
        </w:tc>
      </w:tr>
      <w:tr w14:paraId="4A9C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65D723FF">
            <w:pPr>
              <w:widowControl/>
              <w:snapToGrid w:val="0"/>
              <w:jc w:val="center"/>
              <w:rPr>
                <w:rFonts w:hAnsi="宋体" w:cs="宋体"/>
                <w:sz w:val="24"/>
                <w:szCs w:val="24"/>
              </w:rPr>
            </w:pPr>
            <w:r>
              <w:rPr>
                <w:rFonts w:hint="eastAsia" w:hAnsi="宋体" w:cs="宋体"/>
                <w:sz w:val="24"/>
                <w:szCs w:val="24"/>
              </w:rPr>
              <w:t> </w:t>
            </w:r>
          </w:p>
        </w:tc>
        <w:tc>
          <w:tcPr>
            <w:tcW w:w="1823" w:type="dxa"/>
            <w:tcBorders>
              <w:top w:val="single" w:color="auto" w:sz="4" w:space="0"/>
              <w:left w:val="single" w:color="auto" w:sz="4" w:space="0"/>
              <w:bottom w:val="single" w:color="auto" w:sz="4" w:space="0"/>
              <w:right w:val="single" w:color="auto" w:sz="4" w:space="0"/>
            </w:tcBorders>
            <w:vAlign w:val="center"/>
          </w:tcPr>
          <w:p w14:paraId="61D37899">
            <w:pPr>
              <w:widowControl/>
              <w:snapToGrid w:val="0"/>
              <w:jc w:val="center"/>
              <w:rPr>
                <w:rFonts w:hAnsi="宋体" w:cs="宋体"/>
                <w:sz w:val="24"/>
                <w:szCs w:val="24"/>
              </w:rPr>
            </w:pPr>
            <w:r>
              <w:rPr>
                <w:rFonts w:hint="eastAsia" w:hAnsi="宋体" w:cs="宋体"/>
                <w:sz w:val="24"/>
                <w:szCs w:val="24"/>
              </w:rPr>
              <w:t> </w:t>
            </w:r>
          </w:p>
        </w:tc>
        <w:tc>
          <w:tcPr>
            <w:tcW w:w="2324" w:type="dxa"/>
            <w:tcBorders>
              <w:top w:val="single" w:color="auto" w:sz="4" w:space="0"/>
              <w:left w:val="single" w:color="auto" w:sz="4" w:space="0"/>
              <w:bottom w:val="single" w:color="auto" w:sz="4" w:space="0"/>
              <w:right w:val="single" w:color="auto" w:sz="4" w:space="0"/>
            </w:tcBorders>
          </w:tcPr>
          <w:p w14:paraId="3DE3032A">
            <w:pPr>
              <w:widowControl/>
              <w:snapToGrid w:val="0"/>
              <w:jc w:val="center"/>
              <w:rPr>
                <w:rFonts w:hAnsi="宋体" w:cs="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5E0F2078">
            <w:pPr>
              <w:widowControl/>
              <w:snapToGrid w:val="0"/>
              <w:jc w:val="center"/>
              <w:rPr>
                <w:rFonts w:hAnsi="宋体" w:cs="宋体"/>
                <w:sz w:val="24"/>
                <w:szCs w:val="24"/>
              </w:rPr>
            </w:pPr>
            <w:r>
              <w:rPr>
                <w:rFonts w:hint="eastAsia" w:hAnsi="宋体" w:cs="宋体"/>
                <w:sz w:val="24"/>
                <w:szCs w:val="24"/>
              </w:rPr>
              <w:t> </w:t>
            </w:r>
          </w:p>
        </w:tc>
        <w:tc>
          <w:tcPr>
            <w:tcW w:w="1200" w:type="dxa"/>
            <w:tcBorders>
              <w:top w:val="single" w:color="auto" w:sz="4" w:space="0"/>
              <w:left w:val="single" w:color="auto" w:sz="4" w:space="0"/>
              <w:bottom w:val="single" w:color="auto" w:sz="4" w:space="0"/>
              <w:right w:val="single" w:color="auto" w:sz="4" w:space="0"/>
            </w:tcBorders>
            <w:vAlign w:val="center"/>
          </w:tcPr>
          <w:p w14:paraId="4702AB4B">
            <w:pPr>
              <w:widowControl/>
              <w:snapToGrid w:val="0"/>
              <w:jc w:val="center"/>
              <w:rPr>
                <w:rFonts w:hAnsi="宋体" w:cs="宋体"/>
                <w:sz w:val="24"/>
                <w:szCs w:val="24"/>
              </w:rPr>
            </w:pPr>
            <w:r>
              <w:rPr>
                <w:rFonts w:hint="eastAsia" w:hAnsi="宋体" w:cs="宋体"/>
                <w:sz w:val="24"/>
                <w:szCs w:val="24"/>
              </w:rPr>
              <w:t> </w:t>
            </w:r>
          </w:p>
        </w:tc>
        <w:tc>
          <w:tcPr>
            <w:tcW w:w="1479" w:type="dxa"/>
            <w:tcBorders>
              <w:top w:val="single" w:color="auto" w:sz="4" w:space="0"/>
              <w:left w:val="single" w:color="auto" w:sz="4" w:space="0"/>
              <w:bottom w:val="single" w:color="auto" w:sz="4" w:space="0"/>
              <w:right w:val="single" w:color="auto" w:sz="4" w:space="0"/>
            </w:tcBorders>
            <w:vAlign w:val="center"/>
          </w:tcPr>
          <w:p w14:paraId="03A2646F">
            <w:pPr>
              <w:widowControl/>
              <w:snapToGrid w:val="0"/>
              <w:jc w:val="center"/>
              <w:rPr>
                <w:rFonts w:hAnsi="宋体" w:cs="宋体"/>
                <w:sz w:val="24"/>
                <w:szCs w:val="24"/>
              </w:rPr>
            </w:pPr>
            <w:r>
              <w:rPr>
                <w:rFonts w:hint="eastAsia" w:hAnsi="宋体" w:cs="宋体"/>
                <w:sz w:val="24"/>
                <w:szCs w:val="24"/>
              </w:rPr>
              <w:t> </w:t>
            </w:r>
          </w:p>
        </w:tc>
      </w:tr>
      <w:tr w14:paraId="5B6C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D1AFEA9">
            <w:pPr>
              <w:widowControl/>
              <w:snapToGrid w:val="0"/>
              <w:jc w:val="center"/>
              <w:rPr>
                <w:rFonts w:hAnsi="宋体" w:cs="宋体"/>
                <w:sz w:val="24"/>
                <w:szCs w:val="24"/>
              </w:rPr>
            </w:pPr>
            <w:r>
              <w:rPr>
                <w:rFonts w:hint="eastAsia" w:hAnsi="宋体" w:cs="宋体"/>
                <w:sz w:val="24"/>
                <w:szCs w:val="24"/>
              </w:rPr>
              <w:t> </w:t>
            </w:r>
          </w:p>
        </w:tc>
        <w:tc>
          <w:tcPr>
            <w:tcW w:w="1823" w:type="dxa"/>
            <w:tcBorders>
              <w:top w:val="single" w:color="auto" w:sz="4" w:space="0"/>
              <w:left w:val="single" w:color="auto" w:sz="4" w:space="0"/>
              <w:bottom w:val="single" w:color="auto" w:sz="4" w:space="0"/>
              <w:right w:val="single" w:color="auto" w:sz="4" w:space="0"/>
            </w:tcBorders>
            <w:vAlign w:val="center"/>
          </w:tcPr>
          <w:p w14:paraId="0E13F8A6">
            <w:pPr>
              <w:widowControl/>
              <w:snapToGrid w:val="0"/>
              <w:jc w:val="center"/>
              <w:rPr>
                <w:rFonts w:hAnsi="宋体" w:cs="宋体"/>
                <w:sz w:val="24"/>
                <w:szCs w:val="24"/>
              </w:rPr>
            </w:pPr>
            <w:r>
              <w:rPr>
                <w:rFonts w:hint="eastAsia" w:hAnsi="宋体" w:cs="宋体"/>
                <w:sz w:val="24"/>
                <w:szCs w:val="24"/>
              </w:rPr>
              <w:t> </w:t>
            </w:r>
          </w:p>
        </w:tc>
        <w:tc>
          <w:tcPr>
            <w:tcW w:w="2324" w:type="dxa"/>
            <w:tcBorders>
              <w:top w:val="single" w:color="auto" w:sz="4" w:space="0"/>
              <w:left w:val="single" w:color="auto" w:sz="4" w:space="0"/>
              <w:bottom w:val="single" w:color="auto" w:sz="4" w:space="0"/>
              <w:right w:val="single" w:color="auto" w:sz="4" w:space="0"/>
            </w:tcBorders>
          </w:tcPr>
          <w:p w14:paraId="43E5C7A3">
            <w:pPr>
              <w:widowControl/>
              <w:snapToGrid w:val="0"/>
              <w:jc w:val="center"/>
              <w:rPr>
                <w:rFonts w:hAnsi="宋体" w:cs="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0EC06DB1">
            <w:pPr>
              <w:widowControl/>
              <w:snapToGrid w:val="0"/>
              <w:jc w:val="center"/>
              <w:rPr>
                <w:rFonts w:hAnsi="宋体" w:cs="宋体"/>
                <w:sz w:val="24"/>
                <w:szCs w:val="24"/>
              </w:rPr>
            </w:pPr>
            <w:r>
              <w:rPr>
                <w:rFonts w:hint="eastAsia" w:hAnsi="宋体" w:cs="宋体"/>
                <w:sz w:val="24"/>
                <w:szCs w:val="24"/>
              </w:rPr>
              <w:t> </w:t>
            </w:r>
          </w:p>
        </w:tc>
        <w:tc>
          <w:tcPr>
            <w:tcW w:w="1200" w:type="dxa"/>
            <w:tcBorders>
              <w:top w:val="single" w:color="auto" w:sz="4" w:space="0"/>
              <w:left w:val="single" w:color="auto" w:sz="4" w:space="0"/>
              <w:bottom w:val="single" w:color="auto" w:sz="4" w:space="0"/>
              <w:right w:val="single" w:color="auto" w:sz="4" w:space="0"/>
            </w:tcBorders>
            <w:vAlign w:val="center"/>
          </w:tcPr>
          <w:p w14:paraId="2BF1AB9F">
            <w:pPr>
              <w:widowControl/>
              <w:snapToGrid w:val="0"/>
              <w:jc w:val="center"/>
              <w:rPr>
                <w:rFonts w:hAnsi="宋体" w:cs="宋体"/>
                <w:sz w:val="24"/>
                <w:szCs w:val="24"/>
              </w:rPr>
            </w:pPr>
            <w:r>
              <w:rPr>
                <w:rFonts w:hint="eastAsia" w:hAnsi="宋体" w:cs="宋体"/>
                <w:sz w:val="24"/>
                <w:szCs w:val="24"/>
              </w:rPr>
              <w:t> </w:t>
            </w:r>
          </w:p>
        </w:tc>
        <w:tc>
          <w:tcPr>
            <w:tcW w:w="1479" w:type="dxa"/>
            <w:tcBorders>
              <w:top w:val="single" w:color="auto" w:sz="4" w:space="0"/>
              <w:left w:val="single" w:color="auto" w:sz="4" w:space="0"/>
              <w:bottom w:val="single" w:color="auto" w:sz="4" w:space="0"/>
              <w:right w:val="single" w:color="auto" w:sz="4" w:space="0"/>
            </w:tcBorders>
            <w:vAlign w:val="center"/>
          </w:tcPr>
          <w:p w14:paraId="55A2CE7C">
            <w:pPr>
              <w:widowControl/>
              <w:snapToGrid w:val="0"/>
              <w:jc w:val="center"/>
              <w:rPr>
                <w:rFonts w:hAnsi="宋体" w:cs="宋体"/>
                <w:sz w:val="24"/>
                <w:szCs w:val="24"/>
              </w:rPr>
            </w:pPr>
            <w:r>
              <w:rPr>
                <w:rFonts w:hint="eastAsia" w:hAnsi="宋体" w:cs="宋体"/>
                <w:sz w:val="24"/>
                <w:szCs w:val="24"/>
              </w:rPr>
              <w:t> </w:t>
            </w:r>
          </w:p>
        </w:tc>
      </w:tr>
      <w:tr w14:paraId="5DD0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B953925">
            <w:pPr>
              <w:widowControl/>
              <w:snapToGrid w:val="0"/>
              <w:jc w:val="center"/>
              <w:rPr>
                <w:rFonts w:hAnsi="宋体" w:cs="宋体"/>
                <w:sz w:val="24"/>
                <w:szCs w:val="24"/>
              </w:rPr>
            </w:pPr>
            <w:r>
              <w:rPr>
                <w:rFonts w:hint="eastAsia" w:hAnsi="宋体" w:cs="宋体"/>
                <w:sz w:val="24"/>
                <w:szCs w:val="24"/>
              </w:rPr>
              <w:t> </w:t>
            </w:r>
          </w:p>
        </w:tc>
        <w:tc>
          <w:tcPr>
            <w:tcW w:w="1823" w:type="dxa"/>
            <w:tcBorders>
              <w:top w:val="single" w:color="auto" w:sz="4" w:space="0"/>
              <w:left w:val="single" w:color="auto" w:sz="4" w:space="0"/>
              <w:bottom w:val="single" w:color="auto" w:sz="4" w:space="0"/>
              <w:right w:val="single" w:color="auto" w:sz="4" w:space="0"/>
            </w:tcBorders>
            <w:vAlign w:val="center"/>
          </w:tcPr>
          <w:p w14:paraId="4D7740DD">
            <w:pPr>
              <w:widowControl/>
              <w:snapToGrid w:val="0"/>
              <w:jc w:val="center"/>
              <w:rPr>
                <w:rFonts w:hAnsi="宋体" w:cs="宋体"/>
                <w:sz w:val="24"/>
                <w:szCs w:val="24"/>
              </w:rPr>
            </w:pPr>
            <w:r>
              <w:rPr>
                <w:rFonts w:hint="eastAsia" w:hAnsi="宋体" w:cs="宋体"/>
                <w:sz w:val="24"/>
                <w:szCs w:val="24"/>
              </w:rPr>
              <w:t> </w:t>
            </w:r>
          </w:p>
        </w:tc>
        <w:tc>
          <w:tcPr>
            <w:tcW w:w="2324" w:type="dxa"/>
            <w:tcBorders>
              <w:top w:val="single" w:color="auto" w:sz="4" w:space="0"/>
              <w:left w:val="single" w:color="auto" w:sz="4" w:space="0"/>
              <w:bottom w:val="single" w:color="auto" w:sz="4" w:space="0"/>
              <w:right w:val="single" w:color="auto" w:sz="4" w:space="0"/>
            </w:tcBorders>
          </w:tcPr>
          <w:p w14:paraId="1BE308D8">
            <w:pPr>
              <w:widowControl/>
              <w:snapToGrid w:val="0"/>
              <w:jc w:val="center"/>
              <w:rPr>
                <w:rFonts w:hAnsi="宋体" w:cs="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41247029">
            <w:pPr>
              <w:widowControl/>
              <w:snapToGrid w:val="0"/>
              <w:jc w:val="center"/>
              <w:rPr>
                <w:rFonts w:hAnsi="宋体" w:cs="宋体"/>
                <w:sz w:val="24"/>
                <w:szCs w:val="24"/>
              </w:rPr>
            </w:pPr>
            <w:r>
              <w:rPr>
                <w:rFonts w:hint="eastAsia" w:hAnsi="宋体" w:cs="宋体"/>
                <w:sz w:val="24"/>
                <w:szCs w:val="24"/>
              </w:rPr>
              <w:t> </w:t>
            </w:r>
          </w:p>
        </w:tc>
        <w:tc>
          <w:tcPr>
            <w:tcW w:w="1200" w:type="dxa"/>
            <w:tcBorders>
              <w:top w:val="single" w:color="auto" w:sz="4" w:space="0"/>
              <w:left w:val="single" w:color="auto" w:sz="4" w:space="0"/>
              <w:bottom w:val="single" w:color="auto" w:sz="4" w:space="0"/>
              <w:right w:val="single" w:color="auto" w:sz="4" w:space="0"/>
            </w:tcBorders>
            <w:vAlign w:val="center"/>
          </w:tcPr>
          <w:p w14:paraId="204DA38F">
            <w:pPr>
              <w:widowControl/>
              <w:snapToGrid w:val="0"/>
              <w:jc w:val="center"/>
              <w:rPr>
                <w:rFonts w:hAnsi="宋体" w:cs="宋体"/>
                <w:sz w:val="24"/>
                <w:szCs w:val="24"/>
              </w:rPr>
            </w:pPr>
            <w:r>
              <w:rPr>
                <w:rFonts w:hint="eastAsia" w:hAnsi="宋体" w:cs="宋体"/>
                <w:sz w:val="24"/>
                <w:szCs w:val="24"/>
              </w:rPr>
              <w:t> </w:t>
            </w:r>
          </w:p>
        </w:tc>
        <w:tc>
          <w:tcPr>
            <w:tcW w:w="1479" w:type="dxa"/>
            <w:tcBorders>
              <w:top w:val="single" w:color="auto" w:sz="4" w:space="0"/>
              <w:left w:val="single" w:color="auto" w:sz="4" w:space="0"/>
              <w:bottom w:val="single" w:color="auto" w:sz="4" w:space="0"/>
              <w:right w:val="single" w:color="auto" w:sz="4" w:space="0"/>
            </w:tcBorders>
            <w:vAlign w:val="center"/>
          </w:tcPr>
          <w:p w14:paraId="656E14E3">
            <w:pPr>
              <w:widowControl/>
              <w:snapToGrid w:val="0"/>
              <w:jc w:val="center"/>
              <w:rPr>
                <w:rFonts w:hAnsi="宋体" w:cs="宋体"/>
                <w:sz w:val="24"/>
                <w:szCs w:val="24"/>
              </w:rPr>
            </w:pPr>
            <w:r>
              <w:rPr>
                <w:rFonts w:hint="eastAsia" w:hAnsi="宋体" w:cs="宋体"/>
                <w:sz w:val="24"/>
                <w:szCs w:val="24"/>
              </w:rPr>
              <w:t> </w:t>
            </w:r>
          </w:p>
        </w:tc>
      </w:tr>
      <w:tr w14:paraId="040E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6D966C93">
            <w:pPr>
              <w:widowControl/>
              <w:snapToGrid w:val="0"/>
              <w:jc w:val="center"/>
              <w:rPr>
                <w:rFonts w:hAnsi="宋体" w:cs="宋体"/>
                <w:sz w:val="24"/>
                <w:szCs w:val="24"/>
              </w:rPr>
            </w:pPr>
            <w:r>
              <w:rPr>
                <w:rFonts w:hint="eastAsia" w:hAnsi="宋体" w:cs="宋体"/>
                <w:sz w:val="24"/>
                <w:szCs w:val="24"/>
              </w:rPr>
              <w:t> </w:t>
            </w:r>
          </w:p>
        </w:tc>
        <w:tc>
          <w:tcPr>
            <w:tcW w:w="1823" w:type="dxa"/>
            <w:tcBorders>
              <w:top w:val="single" w:color="auto" w:sz="4" w:space="0"/>
              <w:left w:val="single" w:color="auto" w:sz="4" w:space="0"/>
              <w:bottom w:val="single" w:color="auto" w:sz="4" w:space="0"/>
              <w:right w:val="single" w:color="auto" w:sz="4" w:space="0"/>
            </w:tcBorders>
            <w:vAlign w:val="center"/>
          </w:tcPr>
          <w:p w14:paraId="5E686AAE">
            <w:pPr>
              <w:widowControl/>
              <w:snapToGrid w:val="0"/>
              <w:jc w:val="center"/>
              <w:rPr>
                <w:rFonts w:hAnsi="宋体" w:cs="宋体"/>
                <w:sz w:val="24"/>
                <w:szCs w:val="24"/>
              </w:rPr>
            </w:pPr>
            <w:r>
              <w:rPr>
                <w:rFonts w:hint="eastAsia" w:hAnsi="宋体" w:cs="宋体"/>
                <w:sz w:val="24"/>
                <w:szCs w:val="24"/>
              </w:rPr>
              <w:t> </w:t>
            </w:r>
          </w:p>
        </w:tc>
        <w:tc>
          <w:tcPr>
            <w:tcW w:w="2324" w:type="dxa"/>
            <w:tcBorders>
              <w:top w:val="single" w:color="auto" w:sz="4" w:space="0"/>
              <w:left w:val="single" w:color="auto" w:sz="4" w:space="0"/>
              <w:bottom w:val="single" w:color="auto" w:sz="4" w:space="0"/>
              <w:right w:val="single" w:color="auto" w:sz="4" w:space="0"/>
            </w:tcBorders>
          </w:tcPr>
          <w:p w14:paraId="79DE93C7">
            <w:pPr>
              <w:widowControl/>
              <w:snapToGrid w:val="0"/>
              <w:jc w:val="center"/>
              <w:rPr>
                <w:rFonts w:hAnsi="宋体" w:cs="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750F8853">
            <w:pPr>
              <w:widowControl/>
              <w:snapToGrid w:val="0"/>
              <w:jc w:val="center"/>
              <w:rPr>
                <w:rFonts w:hAnsi="宋体" w:cs="宋体"/>
                <w:sz w:val="24"/>
                <w:szCs w:val="24"/>
              </w:rPr>
            </w:pPr>
            <w:r>
              <w:rPr>
                <w:rFonts w:hint="eastAsia" w:hAnsi="宋体" w:cs="宋体"/>
                <w:sz w:val="24"/>
                <w:szCs w:val="24"/>
              </w:rPr>
              <w:t> </w:t>
            </w:r>
          </w:p>
        </w:tc>
        <w:tc>
          <w:tcPr>
            <w:tcW w:w="1200" w:type="dxa"/>
            <w:tcBorders>
              <w:top w:val="single" w:color="auto" w:sz="4" w:space="0"/>
              <w:left w:val="single" w:color="auto" w:sz="4" w:space="0"/>
              <w:bottom w:val="single" w:color="auto" w:sz="4" w:space="0"/>
              <w:right w:val="single" w:color="auto" w:sz="4" w:space="0"/>
            </w:tcBorders>
            <w:vAlign w:val="center"/>
          </w:tcPr>
          <w:p w14:paraId="0A65072D">
            <w:pPr>
              <w:widowControl/>
              <w:snapToGrid w:val="0"/>
              <w:jc w:val="center"/>
              <w:rPr>
                <w:rFonts w:hAnsi="宋体" w:cs="宋体"/>
                <w:sz w:val="24"/>
                <w:szCs w:val="24"/>
              </w:rPr>
            </w:pPr>
            <w:r>
              <w:rPr>
                <w:rFonts w:hint="eastAsia" w:hAnsi="宋体" w:cs="宋体"/>
                <w:sz w:val="24"/>
                <w:szCs w:val="24"/>
              </w:rPr>
              <w:t> </w:t>
            </w:r>
          </w:p>
        </w:tc>
        <w:tc>
          <w:tcPr>
            <w:tcW w:w="1479" w:type="dxa"/>
            <w:tcBorders>
              <w:top w:val="single" w:color="auto" w:sz="4" w:space="0"/>
              <w:left w:val="single" w:color="auto" w:sz="4" w:space="0"/>
              <w:bottom w:val="single" w:color="auto" w:sz="4" w:space="0"/>
              <w:right w:val="single" w:color="auto" w:sz="4" w:space="0"/>
            </w:tcBorders>
            <w:vAlign w:val="center"/>
          </w:tcPr>
          <w:p w14:paraId="72AA54B5">
            <w:pPr>
              <w:widowControl/>
              <w:snapToGrid w:val="0"/>
              <w:jc w:val="center"/>
              <w:rPr>
                <w:rFonts w:hAnsi="宋体" w:cs="宋体"/>
                <w:sz w:val="24"/>
                <w:szCs w:val="24"/>
              </w:rPr>
            </w:pPr>
            <w:r>
              <w:rPr>
                <w:rFonts w:hint="eastAsia" w:hAnsi="宋体" w:cs="宋体"/>
                <w:sz w:val="24"/>
                <w:szCs w:val="24"/>
              </w:rPr>
              <w:t> </w:t>
            </w:r>
          </w:p>
        </w:tc>
      </w:tr>
      <w:tr w14:paraId="0DFF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722F3968">
            <w:pPr>
              <w:widowControl/>
              <w:snapToGrid w:val="0"/>
              <w:jc w:val="center"/>
              <w:rPr>
                <w:rFonts w:hAnsi="宋体" w:cs="宋体"/>
                <w:sz w:val="24"/>
                <w:szCs w:val="24"/>
              </w:rPr>
            </w:pPr>
            <w:r>
              <w:rPr>
                <w:rFonts w:hint="eastAsia" w:hAnsi="宋体" w:cs="宋体"/>
                <w:sz w:val="24"/>
                <w:szCs w:val="24"/>
              </w:rPr>
              <w:t> </w:t>
            </w:r>
          </w:p>
        </w:tc>
        <w:tc>
          <w:tcPr>
            <w:tcW w:w="1823" w:type="dxa"/>
            <w:tcBorders>
              <w:top w:val="single" w:color="auto" w:sz="4" w:space="0"/>
              <w:left w:val="single" w:color="auto" w:sz="4" w:space="0"/>
              <w:bottom w:val="single" w:color="auto" w:sz="4" w:space="0"/>
              <w:right w:val="single" w:color="auto" w:sz="4" w:space="0"/>
            </w:tcBorders>
            <w:vAlign w:val="center"/>
          </w:tcPr>
          <w:p w14:paraId="44C75D38">
            <w:pPr>
              <w:widowControl/>
              <w:snapToGrid w:val="0"/>
              <w:jc w:val="center"/>
              <w:rPr>
                <w:rFonts w:hAnsi="宋体" w:cs="宋体"/>
                <w:sz w:val="24"/>
                <w:szCs w:val="24"/>
              </w:rPr>
            </w:pPr>
            <w:r>
              <w:rPr>
                <w:rFonts w:hint="eastAsia" w:hAnsi="宋体" w:cs="宋体"/>
                <w:sz w:val="24"/>
                <w:szCs w:val="24"/>
              </w:rPr>
              <w:t> </w:t>
            </w:r>
          </w:p>
        </w:tc>
        <w:tc>
          <w:tcPr>
            <w:tcW w:w="2324" w:type="dxa"/>
            <w:tcBorders>
              <w:top w:val="single" w:color="auto" w:sz="4" w:space="0"/>
              <w:left w:val="single" w:color="auto" w:sz="4" w:space="0"/>
              <w:bottom w:val="single" w:color="auto" w:sz="4" w:space="0"/>
              <w:right w:val="single" w:color="auto" w:sz="4" w:space="0"/>
            </w:tcBorders>
          </w:tcPr>
          <w:p w14:paraId="5160E0E0">
            <w:pPr>
              <w:widowControl/>
              <w:snapToGrid w:val="0"/>
              <w:jc w:val="center"/>
              <w:rPr>
                <w:rFonts w:hAnsi="宋体" w:cs="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72EBC59D">
            <w:pPr>
              <w:widowControl/>
              <w:snapToGrid w:val="0"/>
              <w:jc w:val="center"/>
              <w:rPr>
                <w:rFonts w:hAnsi="宋体" w:cs="宋体"/>
                <w:sz w:val="24"/>
                <w:szCs w:val="24"/>
              </w:rPr>
            </w:pPr>
            <w:r>
              <w:rPr>
                <w:rFonts w:hint="eastAsia" w:hAnsi="宋体" w:cs="宋体"/>
                <w:sz w:val="24"/>
                <w:szCs w:val="24"/>
              </w:rPr>
              <w:t> </w:t>
            </w:r>
          </w:p>
        </w:tc>
        <w:tc>
          <w:tcPr>
            <w:tcW w:w="1200" w:type="dxa"/>
            <w:tcBorders>
              <w:top w:val="single" w:color="auto" w:sz="4" w:space="0"/>
              <w:left w:val="single" w:color="auto" w:sz="4" w:space="0"/>
              <w:bottom w:val="single" w:color="auto" w:sz="4" w:space="0"/>
              <w:right w:val="single" w:color="auto" w:sz="4" w:space="0"/>
            </w:tcBorders>
            <w:vAlign w:val="center"/>
          </w:tcPr>
          <w:p w14:paraId="6E2360FF">
            <w:pPr>
              <w:widowControl/>
              <w:snapToGrid w:val="0"/>
              <w:jc w:val="center"/>
              <w:rPr>
                <w:rFonts w:hAnsi="宋体" w:cs="宋体"/>
                <w:sz w:val="24"/>
                <w:szCs w:val="24"/>
              </w:rPr>
            </w:pPr>
            <w:r>
              <w:rPr>
                <w:rFonts w:hint="eastAsia" w:hAnsi="宋体" w:cs="宋体"/>
                <w:sz w:val="24"/>
                <w:szCs w:val="24"/>
              </w:rPr>
              <w:t> </w:t>
            </w:r>
          </w:p>
        </w:tc>
        <w:tc>
          <w:tcPr>
            <w:tcW w:w="1479" w:type="dxa"/>
            <w:tcBorders>
              <w:top w:val="single" w:color="auto" w:sz="4" w:space="0"/>
              <w:left w:val="single" w:color="auto" w:sz="4" w:space="0"/>
              <w:bottom w:val="single" w:color="auto" w:sz="4" w:space="0"/>
              <w:right w:val="single" w:color="auto" w:sz="4" w:space="0"/>
            </w:tcBorders>
            <w:vAlign w:val="center"/>
          </w:tcPr>
          <w:p w14:paraId="0B98CF76">
            <w:pPr>
              <w:widowControl/>
              <w:snapToGrid w:val="0"/>
              <w:jc w:val="center"/>
              <w:rPr>
                <w:rFonts w:hAnsi="宋体" w:cs="宋体"/>
                <w:sz w:val="24"/>
                <w:szCs w:val="24"/>
              </w:rPr>
            </w:pPr>
            <w:r>
              <w:rPr>
                <w:rFonts w:hint="eastAsia" w:hAnsi="宋体" w:cs="宋体"/>
                <w:sz w:val="24"/>
                <w:szCs w:val="24"/>
              </w:rPr>
              <w:t> </w:t>
            </w:r>
          </w:p>
        </w:tc>
      </w:tr>
      <w:tr w14:paraId="2C99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E15D7D2">
            <w:pPr>
              <w:widowControl/>
              <w:snapToGrid w:val="0"/>
              <w:jc w:val="center"/>
              <w:rPr>
                <w:rFonts w:hAnsi="宋体" w:cs="宋体"/>
                <w:sz w:val="24"/>
                <w:szCs w:val="24"/>
              </w:rPr>
            </w:pPr>
            <w:r>
              <w:rPr>
                <w:rFonts w:hint="eastAsia" w:hAnsi="宋体" w:cs="宋体"/>
                <w:sz w:val="24"/>
                <w:szCs w:val="24"/>
              </w:rPr>
              <w:t> </w:t>
            </w:r>
          </w:p>
        </w:tc>
        <w:tc>
          <w:tcPr>
            <w:tcW w:w="1823" w:type="dxa"/>
            <w:tcBorders>
              <w:top w:val="single" w:color="auto" w:sz="4" w:space="0"/>
              <w:left w:val="single" w:color="auto" w:sz="4" w:space="0"/>
              <w:bottom w:val="single" w:color="auto" w:sz="4" w:space="0"/>
              <w:right w:val="single" w:color="auto" w:sz="4" w:space="0"/>
            </w:tcBorders>
            <w:vAlign w:val="center"/>
          </w:tcPr>
          <w:p w14:paraId="00F590E3">
            <w:pPr>
              <w:widowControl/>
              <w:snapToGrid w:val="0"/>
              <w:jc w:val="center"/>
              <w:rPr>
                <w:rFonts w:hAnsi="宋体" w:cs="宋体"/>
                <w:sz w:val="24"/>
                <w:szCs w:val="24"/>
              </w:rPr>
            </w:pPr>
            <w:r>
              <w:rPr>
                <w:rFonts w:hint="eastAsia" w:hAnsi="宋体" w:cs="宋体"/>
                <w:sz w:val="24"/>
                <w:szCs w:val="24"/>
              </w:rPr>
              <w:t> </w:t>
            </w:r>
          </w:p>
        </w:tc>
        <w:tc>
          <w:tcPr>
            <w:tcW w:w="2324" w:type="dxa"/>
            <w:tcBorders>
              <w:top w:val="single" w:color="auto" w:sz="4" w:space="0"/>
              <w:left w:val="single" w:color="auto" w:sz="4" w:space="0"/>
              <w:bottom w:val="single" w:color="auto" w:sz="4" w:space="0"/>
              <w:right w:val="single" w:color="auto" w:sz="4" w:space="0"/>
            </w:tcBorders>
          </w:tcPr>
          <w:p w14:paraId="0A098167">
            <w:pPr>
              <w:widowControl/>
              <w:snapToGrid w:val="0"/>
              <w:jc w:val="center"/>
              <w:rPr>
                <w:rFonts w:hAnsi="宋体" w:cs="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57482575">
            <w:pPr>
              <w:widowControl/>
              <w:snapToGrid w:val="0"/>
              <w:jc w:val="center"/>
              <w:rPr>
                <w:rFonts w:hAnsi="宋体" w:cs="宋体"/>
                <w:sz w:val="24"/>
                <w:szCs w:val="24"/>
              </w:rPr>
            </w:pPr>
            <w:r>
              <w:rPr>
                <w:rFonts w:hint="eastAsia" w:hAnsi="宋体" w:cs="宋体"/>
                <w:sz w:val="24"/>
                <w:szCs w:val="24"/>
              </w:rPr>
              <w:t> </w:t>
            </w:r>
          </w:p>
        </w:tc>
        <w:tc>
          <w:tcPr>
            <w:tcW w:w="1200" w:type="dxa"/>
            <w:tcBorders>
              <w:top w:val="single" w:color="auto" w:sz="4" w:space="0"/>
              <w:left w:val="single" w:color="auto" w:sz="4" w:space="0"/>
              <w:bottom w:val="single" w:color="auto" w:sz="4" w:space="0"/>
              <w:right w:val="single" w:color="auto" w:sz="4" w:space="0"/>
            </w:tcBorders>
            <w:vAlign w:val="center"/>
          </w:tcPr>
          <w:p w14:paraId="42E385AE">
            <w:pPr>
              <w:widowControl/>
              <w:snapToGrid w:val="0"/>
              <w:jc w:val="center"/>
              <w:rPr>
                <w:rFonts w:hAnsi="宋体" w:cs="宋体"/>
                <w:sz w:val="24"/>
                <w:szCs w:val="24"/>
              </w:rPr>
            </w:pPr>
            <w:r>
              <w:rPr>
                <w:rFonts w:hint="eastAsia" w:hAnsi="宋体" w:cs="宋体"/>
                <w:sz w:val="24"/>
                <w:szCs w:val="24"/>
              </w:rPr>
              <w:t> </w:t>
            </w:r>
          </w:p>
        </w:tc>
        <w:tc>
          <w:tcPr>
            <w:tcW w:w="1479" w:type="dxa"/>
            <w:tcBorders>
              <w:top w:val="single" w:color="auto" w:sz="4" w:space="0"/>
              <w:left w:val="single" w:color="auto" w:sz="4" w:space="0"/>
              <w:bottom w:val="single" w:color="auto" w:sz="4" w:space="0"/>
              <w:right w:val="single" w:color="auto" w:sz="4" w:space="0"/>
            </w:tcBorders>
            <w:vAlign w:val="center"/>
          </w:tcPr>
          <w:p w14:paraId="5AB7B1BD">
            <w:pPr>
              <w:widowControl/>
              <w:snapToGrid w:val="0"/>
              <w:jc w:val="center"/>
              <w:rPr>
                <w:rFonts w:hAnsi="宋体" w:cs="宋体"/>
                <w:sz w:val="24"/>
                <w:szCs w:val="24"/>
              </w:rPr>
            </w:pPr>
            <w:r>
              <w:rPr>
                <w:rFonts w:hint="eastAsia" w:hAnsi="宋体" w:cs="宋体"/>
                <w:sz w:val="24"/>
                <w:szCs w:val="24"/>
              </w:rPr>
              <w:t> </w:t>
            </w:r>
          </w:p>
        </w:tc>
      </w:tr>
      <w:tr w14:paraId="241A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55198A56">
            <w:pPr>
              <w:widowControl/>
              <w:snapToGrid w:val="0"/>
              <w:jc w:val="center"/>
              <w:rPr>
                <w:rFonts w:hAnsi="宋体" w:cs="宋体"/>
                <w:sz w:val="24"/>
                <w:szCs w:val="24"/>
              </w:rPr>
            </w:pPr>
            <w:r>
              <w:rPr>
                <w:rFonts w:hint="eastAsia" w:hAnsi="宋体" w:cs="宋体"/>
                <w:sz w:val="24"/>
                <w:szCs w:val="24"/>
              </w:rPr>
              <w:t> </w:t>
            </w:r>
          </w:p>
        </w:tc>
        <w:tc>
          <w:tcPr>
            <w:tcW w:w="1823" w:type="dxa"/>
            <w:tcBorders>
              <w:top w:val="single" w:color="auto" w:sz="4" w:space="0"/>
              <w:left w:val="single" w:color="auto" w:sz="4" w:space="0"/>
              <w:bottom w:val="single" w:color="auto" w:sz="4" w:space="0"/>
              <w:right w:val="single" w:color="auto" w:sz="4" w:space="0"/>
            </w:tcBorders>
            <w:vAlign w:val="center"/>
          </w:tcPr>
          <w:p w14:paraId="0F10EADE">
            <w:pPr>
              <w:widowControl/>
              <w:snapToGrid w:val="0"/>
              <w:jc w:val="center"/>
              <w:rPr>
                <w:rFonts w:hAnsi="宋体" w:cs="宋体"/>
                <w:sz w:val="24"/>
                <w:szCs w:val="24"/>
              </w:rPr>
            </w:pPr>
            <w:r>
              <w:rPr>
                <w:rFonts w:hint="eastAsia" w:hAnsi="宋体" w:cs="宋体"/>
                <w:sz w:val="24"/>
                <w:szCs w:val="24"/>
              </w:rPr>
              <w:t> </w:t>
            </w:r>
          </w:p>
        </w:tc>
        <w:tc>
          <w:tcPr>
            <w:tcW w:w="2324" w:type="dxa"/>
            <w:tcBorders>
              <w:top w:val="single" w:color="auto" w:sz="4" w:space="0"/>
              <w:left w:val="single" w:color="auto" w:sz="4" w:space="0"/>
              <w:bottom w:val="single" w:color="auto" w:sz="4" w:space="0"/>
              <w:right w:val="single" w:color="auto" w:sz="4" w:space="0"/>
            </w:tcBorders>
          </w:tcPr>
          <w:p w14:paraId="5AFF303A">
            <w:pPr>
              <w:widowControl/>
              <w:snapToGrid w:val="0"/>
              <w:jc w:val="center"/>
              <w:rPr>
                <w:rFonts w:hAnsi="宋体" w:cs="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722C7D01">
            <w:pPr>
              <w:widowControl/>
              <w:snapToGrid w:val="0"/>
              <w:jc w:val="center"/>
              <w:rPr>
                <w:rFonts w:hAnsi="宋体" w:cs="宋体"/>
                <w:sz w:val="24"/>
                <w:szCs w:val="24"/>
              </w:rPr>
            </w:pPr>
            <w:r>
              <w:rPr>
                <w:rFonts w:hint="eastAsia" w:hAnsi="宋体" w:cs="宋体"/>
                <w:sz w:val="24"/>
                <w:szCs w:val="24"/>
              </w:rPr>
              <w:t> </w:t>
            </w:r>
          </w:p>
        </w:tc>
        <w:tc>
          <w:tcPr>
            <w:tcW w:w="1200" w:type="dxa"/>
            <w:tcBorders>
              <w:top w:val="single" w:color="auto" w:sz="4" w:space="0"/>
              <w:left w:val="single" w:color="auto" w:sz="4" w:space="0"/>
              <w:bottom w:val="single" w:color="auto" w:sz="4" w:space="0"/>
              <w:right w:val="single" w:color="auto" w:sz="4" w:space="0"/>
            </w:tcBorders>
            <w:vAlign w:val="center"/>
          </w:tcPr>
          <w:p w14:paraId="245C1C2A">
            <w:pPr>
              <w:widowControl/>
              <w:snapToGrid w:val="0"/>
              <w:jc w:val="center"/>
              <w:rPr>
                <w:rFonts w:hAnsi="宋体" w:cs="宋体"/>
                <w:sz w:val="24"/>
                <w:szCs w:val="24"/>
              </w:rPr>
            </w:pPr>
            <w:r>
              <w:rPr>
                <w:rFonts w:hint="eastAsia" w:hAnsi="宋体" w:cs="宋体"/>
                <w:sz w:val="24"/>
                <w:szCs w:val="24"/>
              </w:rPr>
              <w:t> </w:t>
            </w:r>
          </w:p>
        </w:tc>
        <w:tc>
          <w:tcPr>
            <w:tcW w:w="1479" w:type="dxa"/>
            <w:tcBorders>
              <w:top w:val="single" w:color="auto" w:sz="4" w:space="0"/>
              <w:left w:val="single" w:color="auto" w:sz="4" w:space="0"/>
              <w:bottom w:val="single" w:color="auto" w:sz="4" w:space="0"/>
              <w:right w:val="single" w:color="auto" w:sz="4" w:space="0"/>
            </w:tcBorders>
            <w:vAlign w:val="center"/>
          </w:tcPr>
          <w:p w14:paraId="517DEEF4">
            <w:pPr>
              <w:widowControl/>
              <w:snapToGrid w:val="0"/>
              <w:jc w:val="center"/>
              <w:rPr>
                <w:rFonts w:hAnsi="宋体" w:cs="宋体"/>
                <w:sz w:val="24"/>
                <w:szCs w:val="24"/>
              </w:rPr>
            </w:pPr>
            <w:r>
              <w:rPr>
                <w:rFonts w:hint="eastAsia" w:hAnsi="宋体" w:cs="宋体"/>
                <w:sz w:val="24"/>
                <w:szCs w:val="24"/>
              </w:rPr>
              <w:t> </w:t>
            </w:r>
          </w:p>
        </w:tc>
      </w:tr>
    </w:tbl>
    <w:p w14:paraId="78055BD0">
      <w:pPr>
        <w:keepNext/>
        <w:rPr>
          <w:rFonts w:hAnsi="宋体" w:cs="宋体"/>
        </w:rPr>
      </w:pPr>
    </w:p>
    <w:p w14:paraId="7575E676">
      <w:pPr>
        <w:spacing w:line="500" w:lineRule="exact"/>
        <w:ind w:firstLine="478" w:firstLineChars="228"/>
        <w:rPr>
          <w:rFonts w:hAnsi="宋体" w:cs="宋体"/>
          <w:sz w:val="21"/>
          <w:szCs w:val="21"/>
        </w:rPr>
      </w:pPr>
      <w:r>
        <w:rPr>
          <w:rFonts w:hint="eastAsia" w:hAnsi="宋体" w:cs="宋体"/>
          <w:sz w:val="21"/>
          <w:szCs w:val="21"/>
        </w:rPr>
        <w:t>法定代表人或其授权代表签字：</w:t>
      </w:r>
    </w:p>
    <w:p w14:paraId="0B38D567">
      <w:pPr>
        <w:autoSpaceDE/>
        <w:autoSpaceDN/>
        <w:adjustRightInd/>
        <w:spacing w:line="500" w:lineRule="exact"/>
        <w:ind w:firstLine="630" w:firstLineChars="300"/>
        <w:rPr>
          <w:rFonts w:hAnsi="宋体" w:cs="宋体"/>
          <w:sz w:val="21"/>
          <w:szCs w:val="21"/>
        </w:rPr>
      </w:pPr>
      <w:r>
        <w:rPr>
          <w:rFonts w:hint="eastAsia" w:hAnsi="宋体" w:cs="宋体"/>
          <w:sz w:val="21"/>
          <w:szCs w:val="21"/>
        </w:rPr>
        <w:t xml:space="preserve">投标人全称（加盖公章）：                     </w:t>
      </w:r>
    </w:p>
    <w:p w14:paraId="4B273DB6">
      <w:pPr>
        <w:snapToGrid w:val="0"/>
        <w:spacing w:before="50" w:after="50" w:line="500" w:lineRule="exact"/>
        <w:ind w:firstLine="720" w:firstLineChars="300"/>
        <w:jc w:val="both"/>
        <w:rPr>
          <w:rFonts w:hAnsi="宋体" w:cs="宋体"/>
          <w:b/>
          <w:sz w:val="24"/>
        </w:rPr>
      </w:pPr>
      <w:r>
        <w:rPr>
          <w:rFonts w:hint="eastAsia" w:hAnsi="宋体" w:cs="宋体"/>
          <w:sz w:val="24"/>
          <w:szCs w:val="24"/>
        </w:rPr>
        <w:t>日期：   年  月   日</w:t>
      </w:r>
    </w:p>
    <w:p w14:paraId="37412A3F">
      <w:pPr>
        <w:jc w:val="center"/>
        <w:rPr>
          <w:rFonts w:hAnsi="宋体" w:cs="宋体"/>
          <w:b/>
          <w:sz w:val="21"/>
          <w:szCs w:val="21"/>
        </w:rPr>
      </w:pPr>
      <w:bookmarkStart w:id="117" w:name="_Toc354841327"/>
      <w:bookmarkStart w:id="118" w:name="_Toc295910890"/>
      <w:bookmarkStart w:id="119" w:name="_Toc296075064"/>
      <w:bookmarkStart w:id="120" w:name="_Toc295737642"/>
      <w:bookmarkStart w:id="121" w:name="_Toc296074353"/>
    </w:p>
    <w:p w14:paraId="0D5A8EF3">
      <w:pPr>
        <w:jc w:val="center"/>
        <w:rPr>
          <w:rFonts w:hAnsi="宋体" w:cs="宋体"/>
          <w:b/>
          <w:sz w:val="21"/>
          <w:szCs w:val="21"/>
        </w:rPr>
      </w:pPr>
    </w:p>
    <w:p w14:paraId="63F4F4EA">
      <w:pPr>
        <w:jc w:val="center"/>
        <w:rPr>
          <w:rFonts w:hAnsi="宋体" w:cs="宋体"/>
          <w:b/>
          <w:sz w:val="21"/>
          <w:szCs w:val="21"/>
        </w:rPr>
      </w:pPr>
    </w:p>
    <w:p w14:paraId="10E4BCE9">
      <w:pPr>
        <w:jc w:val="center"/>
        <w:rPr>
          <w:rFonts w:hAnsi="宋体" w:cs="宋体"/>
          <w:b/>
          <w:sz w:val="21"/>
          <w:szCs w:val="21"/>
        </w:rPr>
      </w:pPr>
    </w:p>
    <w:p w14:paraId="544F24C9">
      <w:pPr>
        <w:jc w:val="center"/>
        <w:rPr>
          <w:rFonts w:hAnsi="宋体" w:cs="宋体"/>
          <w:b/>
          <w:sz w:val="21"/>
          <w:szCs w:val="21"/>
        </w:rPr>
      </w:pPr>
    </w:p>
    <w:p w14:paraId="0126C9ED">
      <w:pPr>
        <w:jc w:val="center"/>
        <w:rPr>
          <w:rFonts w:hAnsi="宋体" w:cs="宋体"/>
          <w:b/>
          <w:sz w:val="21"/>
          <w:szCs w:val="21"/>
        </w:rPr>
      </w:pPr>
    </w:p>
    <w:p w14:paraId="6E5A0ED8">
      <w:pPr>
        <w:pStyle w:val="9"/>
        <w:rPr>
          <w:rFonts w:ascii="宋体" w:hAnsi="宋体" w:cs="宋体"/>
        </w:rPr>
      </w:pPr>
    </w:p>
    <w:p w14:paraId="49EBFD12">
      <w:pPr>
        <w:pBdr>
          <w:top w:val="none" w:color="auto" w:sz="0" w:space="1"/>
          <w:left w:val="none" w:color="auto" w:sz="0" w:space="4"/>
          <w:bottom w:val="none" w:color="auto" w:sz="0" w:space="1"/>
          <w:right w:val="none" w:color="auto" w:sz="0" w:space="4"/>
        </w:pBdr>
        <w:jc w:val="center"/>
        <w:rPr>
          <w:rFonts w:hAnsi="宋体" w:cs="宋体"/>
          <w:b/>
          <w:sz w:val="21"/>
          <w:szCs w:val="21"/>
        </w:rPr>
      </w:pPr>
    </w:p>
    <w:bookmarkEnd w:id="117"/>
    <w:bookmarkEnd w:id="118"/>
    <w:bookmarkEnd w:id="119"/>
    <w:bookmarkEnd w:id="120"/>
    <w:bookmarkEnd w:id="121"/>
    <w:p w14:paraId="66EDFAC9">
      <w:pPr>
        <w:jc w:val="center"/>
        <w:rPr>
          <w:rFonts w:hAnsi="宋体" w:cs="宋体"/>
          <w:b/>
          <w:sz w:val="21"/>
          <w:szCs w:val="21"/>
        </w:rPr>
      </w:pPr>
      <w:r>
        <w:rPr>
          <w:rFonts w:hint="eastAsia" w:hAnsi="宋体" w:cs="宋体"/>
          <w:b/>
          <w:sz w:val="21"/>
          <w:szCs w:val="21"/>
        </w:rPr>
        <w:t>5. 服务要求响应表</w:t>
      </w:r>
    </w:p>
    <w:tbl>
      <w:tblPr>
        <w:tblStyle w:val="50"/>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91"/>
        <w:gridCol w:w="3230"/>
        <w:gridCol w:w="1779"/>
      </w:tblGrid>
      <w:tr w14:paraId="7BDA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8" w:type="dxa"/>
            <w:vAlign w:val="center"/>
          </w:tcPr>
          <w:p w14:paraId="79D9AA60">
            <w:pPr>
              <w:spacing w:line="300" w:lineRule="auto"/>
              <w:jc w:val="center"/>
              <w:rPr>
                <w:rFonts w:hAnsi="宋体" w:cs="宋体"/>
                <w:sz w:val="21"/>
                <w:szCs w:val="21"/>
              </w:rPr>
            </w:pPr>
            <w:r>
              <w:rPr>
                <w:rFonts w:hint="eastAsia" w:hAnsi="宋体" w:cs="宋体"/>
                <w:sz w:val="21"/>
                <w:szCs w:val="21"/>
              </w:rPr>
              <w:t>服务项目</w:t>
            </w:r>
          </w:p>
        </w:tc>
        <w:tc>
          <w:tcPr>
            <w:tcW w:w="2791" w:type="dxa"/>
            <w:vAlign w:val="center"/>
          </w:tcPr>
          <w:p w14:paraId="12D57E06">
            <w:pPr>
              <w:spacing w:line="300" w:lineRule="auto"/>
              <w:jc w:val="center"/>
              <w:rPr>
                <w:rFonts w:hAnsi="宋体" w:cs="宋体"/>
                <w:sz w:val="21"/>
                <w:szCs w:val="21"/>
              </w:rPr>
            </w:pPr>
            <w:r>
              <w:rPr>
                <w:rFonts w:hint="eastAsia" w:hAnsi="宋体" w:cs="宋体"/>
                <w:sz w:val="21"/>
                <w:szCs w:val="21"/>
              </w:rPr>
              <w:t>招标采购文件的服务要求</w:t>
            </w:r>
          </w:p>
        </w:tc>
        <w:tc>
          <w:tcPr>
            <w:tcW w:w="3230" w:type="dxa"/>
            <w:vAlign w:val="center"/>
          </w:tcPr>
          <w:p w14:paraId="4E6F574B">
            <w:pPr>
              <w:spacing w:line="300" w:lineRule="auto"/>
              <w:jc w:val="center"/>
              <w:rPr>
                <w:rFonts w:hAnsi="宋体" w:cs="宋体"/>
                <w:sz w:val="21"/>
                <w:szCs w:val="21"/>
              </w:rPr>
            </w:pPr>
            <w:r>
              <w:rPr>
                <w:rFonts w:hint="eastAsia" w:hAnsi="宋体" w:cs="宋体"/>
                <w:sz w:val="21"/>
                <w:szCs w:val="21"/>
              </w:rPr>
              <w:t>投标文件的服务承诺</w:t>
            </w:r>
          </w:p>
        </w:tc>
        <w:tc>
          <w:tcPr>
            <w:tcW w:w="1779" w:type="dxa"/>
            <w:vAlign w:val="center"/>
          </w:tcPr>
          <w:p w14:paraId="524AB107">
            <w:pPr>
              <w:spacing w:line="300" w:lineRule="auto"/>
              <w:jc w:val="center"/>
              <w:rPr>
                <w:rFonts w:hAnsi="宋体" w:cs="宋体"/>
                <w:sz w:val="21"/>
                <w:szCs w:val="21"/>
              </w:rPr>
            </w:pPr>
            <w:r>
              <w:rPr>
                <w:rFonts w:hint="eastAsia" w:hAnsi="宋体" w:cs="宋体"/>
                <w:sz w:val="21"/>
                <w:szCs w:val="21"/>
              </w:rPr>
              <w:t>是否响应</w:t>
            </w:r>
          </w:p>
        </w:tc>
      </w:tr>
      <w:tr w14:paraId="31A8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4031A5EF">
            <w:pPr>
              <w:spacing w:line="300" w:lineRule="auto"/>
              <w:jc w:val="center"/>
              <w:rPr>
                <w:rFonts w:hAnsi="宋体" w:cs="宋体"/>
                <w:sz w:val="21"/>
                <w:szCs w:val="21"/>
              </w:rPr>
            </w:pPr>
          </w:p>
        </w:tc>
        <w:tc>
          <w:tcPr>
            <w:tcW w:w="2791" w:type="dxa"/>
            <w:vAlign w:val="center"/>
          </w:tcPr>
          <w:p w14:paraId="0F91D3B5">
            <w:pPr>
              <w:spacing w:line="300" w:lineRule="auto"/>
              <w:jc w:val="center"/>
              <w:rPr>
                <w:rFonts w:hAnsi="宋体" w:cs="宋体"/>
                <w:sz w:val="21"/>
                <w:szCs w:val="21"/>
              </w:rPr>
            </w:pPr>
          </w:p>
        </w:tc>
        <w:tc>
          <w:tcPr>
            <w:tcW w:w="3230" w:type="dxa"/>
            <w:vAlign w:val="center"/>
          </w:tcPr>
          <w:p w14:paraId="5AD1BE13">
            <w:pPr>
              <w:spacing w:line="300" w:lineRule="auto"/>
              <w:jc w:val="center"/>
              <w:rPr>
                <w:rFonts w:hAnsi="宋体" w:cs="宋体"/>
                <w:sz w:val="21"/>
                <w:szCs w:val="21"/>
              </w:rPr>
            </w:pPr>
          </w:p>
        </w:tc>
        <w:tc>
          <w:tcPr>
            <w:tcW w:w="1779" w:type="dxa"/>
            <w:vAlign w:val="center"/>
          </w:tcPr>
          <w:p w14:paraId="65AC841F">
            <w:pPr>
              <w:spacing w:line="300" w:lineRule="auto"/>
              <w:jc w:val="center"/>
              <w:rPr>
                <w:rFonts w:hAnsi="宋体" w:cs="宋体"/>
                <w:sz w:val="21"/>
                <w:szCs w:val="21"/>
              </w:rPr>
            </w:pPr>
          </w:p>
        </w:tc>
      </w:tr>
      <w:tr w14:paraId="261D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tcBorders>
              <w:bottom w:val="nil"/>
            </w:tcBorders>
            <w:vAlign w:val="center"/>
          </w:tcPr>
          <w:p w14:paraId="0E56C83E">
            <w:pPr>
              <w:spacing w:line="300" w:lineRule="auto"/>
              <w:jc w:val="center"/>
              <w:rPr>
                <w:rFonts w:hAnsi="宋体" w:cs="宋体"/>
                <w:sz w:val="21"/>
                <w:szCs w:val="21"/>
              </w:rPr>
            </w:pPr>
          </w:p>
        </w:tc>
        <w:tc>
          <w:tcPr>
            <w:tcW w:w="2791" w:type="dxa"/>
            <w:tcBorders>
              <w:bottom w:val="nil"/>
            </w:tcBorders>
            <w:vAlign w:val="center"/>
          </w:tcPr>
          <w:p w14:paraId="2676ACA8">
            <w:pPr>
              <w:spacing w:line="300" w:lineRule="auto"/>
              <w:jc w:val="center"/>
              <w:rPr>
                <w:rFonts w:hAnsi="宋体" w:cs="宋体"/>
                <w:sz w:val="21"/>
                <w:szCs w:val="21"/>
              </w:rPr>
            </w:pPr>
          </w:p>
        </w:tc>
        <w:tc>
          <w:tcPr>
            <w:tcW w:w="3230" w:type="dxa"/>
            <w:tcBorders>
              <w:bottom w:val="nil"/>
            </w:tcBorders>
            <w:vAlign w:val="center"/>
          </w:tcPr>
          <w:p w14:paraId="0DEE5AF1">
            <w:pPr>
              <w:spacing w:line="300" w:lineRule="auto"/>
              <w:jc w:val="center"/>
              <w:rPr>
                <w:rFonts w:hAnsi="宋体" w:cs="宋体"/>
                <w:sz w:val="21"/>
                <w:szCs w:val="21"/>
              </w:rPr>
            </w:pPr>
          </w:p>
        </w:tc>
        <w:tc>
          <w:tcPr>
            <w:tcW w:w="1779" w:type="dxa"/>
            <w:tcBorders>
              <w:bottom w:val="nil"/>
            </w:tcBorders>
            <w:vAlign w:val="center"/>
          </w:tcPr>
          <w:p w14:paraId="0A4262B6">
            <w:pPr>
              <w:spacing w:line="300" w:lineRule="auto"/>
              <w:jc w:val="center"/>
              <w:rPr>
                <w:rFonts w:hAnsi="宋体" w:cs="宋体"/>
                <w:sz w:val="21"/>
                <w:szCs w:val="21"/>
              </w:rPr>
            </w:pPr>
          </w:p>
        </w:tc>
      </w:tr>
      <w:tr w14:paraId="00C4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564EC1EC">
            <w:pPr>
              <w:spacing w:line="300" w:lineRule="auto"/>
              <w:jc w:val="center"/>
              <w:rPr>
                <w:rFonts w:hAnsi="宋体" w:cs="宋体"/>
                <w:sz w:val="21"/>
                <w:szCs w:val="21"/>
              </w:rPr>
            </w:pPr>
          </w:p>
        </w:tc>
        <w:tc>
          <w:tcPr>
            <w:tcW w:w="2791" w:type="dxa"/>
            <w:vAlign w:val="center"/>
          </w:tcPr>
          <w:p w14:paraId="056C8687">
            <w:pPr>
              <w:spacing w:line="300" w:lineRule="auto"/>
              <w:jc w:val="center"/>
              <w:rPr>
                <w:rFonts w:hAnsi="宋体" w:cs="宋体"/>
                <w:sz w:val="21"/>
                <w:szCs w:val="21"/>
              </w:rPr>
            </w:pPr>
          </w:p>
        </w:tc>
        <w:tc>
          <w:tcPr>
            <w:tcW w:w="3230" w:type="dxa"/>
            <w:vAlign w:val="center"/>
          </w:tcPr>
          <w:p w14:paraId="268D0932">
            <w:pPr>
              <w:spacing w:line="300" w:lineRule="auto"/>
              <w:jc w:val="center"/>
              <w:rPr>
                <w:rFonts w:hAnsi="宋体" w:cs="宋体"/>
                <w:sz w:val="21"/>
                <w:szCs w:val="21"/>
              </w:rPr>
            </w:pPr>
          </w:p>
        </w:tc>
        <w:tc>
          <w:tcPr>
            <w:tcW w:w="1779" w:type="dxa"/>
            <w:vAlign w:val="center"/>
          </w:tcPr>
          <w:p w14:paraId="6051F278">
            <w:pPr>
              <w:spacing w:line="300" w:lineRule="auto"/>
              <w:jc w:val="center"/>
              <w:rPr>
                <w:rFonts w:hAnsi="宋体" w:cs="宋体"/>
                <w:sz w:val="21"/>
                <w:szCs w:val="21"/>
              </w:rPr>
            </w:pPr>
          </w:p>
        </w:tc>
      </w:tr>
      <w:tr w14:paraId="3343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7EBF8D58">
            <w:pPr>
              <w:spacing w:line="300" w:lineRule="auto"/>
              <w:jc w:val="center"/>
              <w:rPr>
                <w:rFonts w:hAnsi="宋体" w:cs="宋体"/>
                <w:sz w:val="21"/>
                <w:szCs w:val="21"/>
              </w:rPr>
            </w:pPr>
          </w:p>
        </w:tc>
        <w:tc>
          <w:tcPr>
            <w:tcW w:w="2791" w:type="dxa"/>
            <w:vAlign w:val="center"/>
          </w:tcPr>
          <w:p w14:paraId="0AFA20F0">
            <w:pPr>
              <w:spacing w:line="300" w:lineRule="auto"/>
              <w:jc w:val="center"/>
              <w:rPr>
                <w:rFonts w:hAnsi="宋体" w:cs="宋体"/>
                <w:sz w:val="21"/>
                <w:szCs w:val="21"/>
              </w:rPr>
            </w:pPr>
          </w:p>
        </w:tc>
        <w:tc>
          <w:tcPr>
            <w:tcW w:w="3230" w:type="dxa"/>
            <w:vAlign w:val="center"/>
          </w:tcPr>
          <w:p w14:paraId="37AC7E4C">
            <w:pPr>
              <w:spacing w:line="300" w:lineRule="auto"/>
              <w:jc w:val="center"/>
              <w:rPr>
                <w:rFonts w:hAnsi="宋体" w:cs="宋体"/>
                <w:sz w:val="21"/>
                <w:szCs w:val="21"/>
              </w:rPr>
            </w:pPr>
          </w:p>
        </w:tc>
        <w:tc>
          <w:tcPr>
            <w:tcW w:w="1779" w:type="dxa"/>
            <w:vAlign w:val="center"/>
          </w:tcPr>
          <w:p w14:paraId="4990243F">
            <w:pPr>
              <w:spacing w:line="300" w:lineRule="auto"/>
              <w:jc w:val="center"/>
              <w:rPr>
                <w:rFonts w:hAnsi="宋体" w:cs="宋体"/>
                <w:sz w:val="21"/>
                <w:szCs w:val="21"/>
              </w:rPr>
            </w:pPr>
          </w:p>
        </w:tc>
      </w:tr>
      <w:tr w14:paraId="3E4A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4C7553B2">
            <w:pPr>
              <w:spacing w:line="300" w:lineRule="auto"/>
              <w:jc w:val="center"/>
              <w:rPr>
                <w:rFonts w:hAnsi="宋体" w:cs="宋体"/>
                <w:sz w:val="21"/>
                <w:szCs w:val="21"/>
              </w:rPr>
            </w:pPr>
          </w:p>
        </w:tc>
        <w:tc>
          <w:tcPr>
            <w:tcW w:w="2791" w:type="dxa"/>
            <w:vAlign w:val="center"/>
          </w:tcPr>
          <w:p w14:paraId="4BEA8EFB">
            <w:pPr>
              <w:spacing w:line="300" w:lineRule="auto"/>
              <w:jc w:val="center"/>
              <w:rPr>
                <w:rFonts w:hAnsi="宋体" w:cs="宋体"/>
                <w:sz w:val="21"/>
                <w:szCs w:val="21"/>
              </w:rPr>
            </w:pPr>
          </w:p>
        </w:tc>
        <w:tc>
          <w:tcPr>
            <w:tcW w:w="3230" w:type="dxa"/>
            <w:vAlign w:val="center"/>
          </w:tcPr>
          <w:p w14:paraId="187B7B28">
            <w:pPr>
              <w:spacing w:line="300" w:lineRule="auto"/>
              <w:jc w:val="center"/>
              <w:rPr>
                <w:rFonts w:hAnsi="宋体" w:cs="宋体"/>
                <w:sz w:val="21"/>
                <w:szCs w:val="21"/>
              </w:rPr>
            </w:pPr>
          </w:p>
        </w:tc>
        <w:tc>
          <w:tcPr>
            <w:tcW w:w="1779" w:type="dxa"/>
            <w:vAlign w:val="center"/>
          </w:tcPr>
          <w:p w14:paraId="58F2FEA0">
            <w:pPr>
              <w:spacing w:line="300" w:lineRule="auto"/>
              <w:jc w:val="center"/>
              <w:rPr>
                <w:rFonts w:hAnsi="宋体" w:cs="宋体"/>
                <w:sz w:val="21"/>
                <w:szCs w:val="21"/>
              </w:rPr>
            </w:pPr>
          </w:p>
        </w:tc>
      </w:tr>
      <w:tr w14:paraId="7DA6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7FE6C78C">
            <w:pPr>
              <w:spacing w:line="300" w:lineRule="auto"/>
              <w:jc w:val="center"/>
              <w:rPr>
                <w:rFonts w:hAnsi="宋体" w:cs="宋体"/>
                <w:sz w:val="21"/>
                <w:szCs w:val="21"/>
              </w:rPr>
            </w:pPr>
          </w:p>
        </w:tc>
        <w:tc>
          <w:tcPr>
            <w:tcW w:w="2791" w:type="dxa"/>
            <w:vAlign w:val="center"/>
          </w:tcPr>
          <w:p w14:paraId="35F68138">
            <w:pPr>
              <w:spacing w:line="300" w:lineRule="auto"/>
              <w:jc w:val="center"/>
              <w:rPr>
                <w:rFonts w:hAnsi="宋体" w:cs="宋体"/>
                <w:sz w:val="21"/>
                <w:szCs w:val="21"/>
              </w:rPr>
            </w:pPr>
          </w:p>
        </w:tc>
        <w:tc>
          <w:tcPr>
            <w:tcW w:w="3230" w:type="dxa"/>
            <w:vAlign w:val="center"/>
          </w:tcPr>
          <w:p w14:paraId="5F5CFB6A">
            <w:pPr>
              <w:spacing w:line="300" w:lineRule="auto"/>
              <w:jc w:val="center"/>
              <w:rPr>
                <w:rFonts w:hAnsi="宋体" w:cs="宋体"/>
                <w:sz w:val="21"/>
                <w:szCs w:val="21"/>
              </w:rPr>
            </w:pPr>
          </w:p>
        </w:tc>
        <w:tc>
          <w:tcPr>
            <w:tcW w:w="1779" w:type="dxa"/>
            <w:vAlign w:val="center"/>
          </w:tcPr>
          <w:p w14:paraId="02369187">
            <w:pPr>
              <w:spacing w:line="300" w:lineRule="auto"/>
              <w:jc w:val="center"/>
              <w:rPr>
                <w:rFonts w:hAnsi="宋体" w:cs="宋体"/>
                <w:sz w:val="21"/>
                <w:szCs w:val="21"/>
              </w:rPr>
            </w:pPr>
          </w:p>
        </w:tc>
      </w:tr>
      <w:tr w14:paraId="5A23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086BDA38">
            <w:pPr>
              <w:spacing w:line="300" w:lineRule="auto"/>
              <w:jc w:val="center"/>
              <w:rPr>
                <w:rFonts w:hAnsi="宋体" w:cs="宋体"/>
                <w:sz w:val="21"/>
                <w:szCs w:val="21"/>
              </w:rPr>
            </w:pPr>
          </w:p>
        </w:tc>
        <w:tc>
          <w:tcPr>
            <w:tcW w:w="2791" w:type="dxa"/>
            <w:vAlign w:val="center"/>
          </w:tcPr>
          <w:p w14:paraId="3933793E">
            <w:pPr>
              <w:spacing w:line="300" w:lineRule="auto"/>
              <w:jc w:val="center"/>
              <w:rPr>
                <w:rFonts w:hAnsi="宋体" w:cs="宋体"/>
                <w:sz w:val="21"/>
                <w:szCs w:val="21"/>
              </w:rPr>
            </w:pPr>
          </w:p>
        </w:tc>
        <w:tc>
          <w:tcPr>
            <w:tcW w:w="3230" w:type="dxa"/>
            <w:vAlign w:val="center"/>
          </w:tcPr>
          <w:p w14:paraId="433547F0">
            <w:pPr>
              <w:spacing w:line="300" w:lineRule="auto"/>
              <w:jc w:val="center"/>
              <w:rPr>
                <w:rFonts w:hAnsi="宋体" w:cs="宋体"/>
                <w:sz w:val="21"/>
                <w:szCs w:val="21"/>
              </w:rPr>
            </w:pPr>
          </w:p>
        </w:tc>
        <w:tc>
          <w:tcPr>
            <w:tcW w:w="1779" w:type="dxa"/>
            <w:vAlign w:val="center"/>
          </w:tcPr>
          <w:p w14:paraId="4786B93D">
            <w:pPr>
              <w:spacing w:line="300" w:lineRule="auto"/>
              <w:jc w:val="center"/>
              <w:rPr>
                <w:rFonts w:hAnsi="宋体" w:cs="宋体"/>
                <w:sz w:val="21"/>
                <w:szCs w:val="21"/>
              </w:rPr>
            </w:pPr>
          </w:p>
        </w:tc>
      </w:tr>
      <w:tr w14:paraId="3B50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356586C6">
            <w:pPr>
              <w:spacing w:line="300" w:lineRule="auto"/>
              <w:jc w:val="center"/>
              <w:rPr>
                <w:rFonts w:hAnsi="宋体" w:cs="宋体"/>
                <w:sz w:val="21"/>
                <w:szCs w:val="21"/>
              </w:rPr>
            </w:pPr>
          </w:p>
        </w:tc>
        <w:tc>
          <w:tcPr>
            <w:tcW w:w="2791" w:type="dxa"/>
            <w:vAlign w:val="center"/>
          </w:tcPr>
          <w:p w14:paraId="6D5A208D">
            <w:pPr>
              <w:spacing w:line="300" w:lineRule="auto"/>
              <w:jc w:val="center"/>
              <w:rPr>
                <w:rFonts w:hAnsi="宋体" w:cs="宋体"/>
                <w:sz w:val="21"/>
                <w:szCs w:val="21"/>
              </w:rPr>
            </w:pPr>
          </w:p>
        </w:tc>
        <w:tc>
          <w:tcPr>
            <w:tcW w:w="3230" w:type="dxa"/>
            <w:vAlign w:val="center"/>
          </w:tcPr>
          <w:p w14:paraId="03A36E97">
            <w:pPr>
              <w:spacing w:line="300" w:lineRule="auto"/>
              <w:jc w:val="center"/>
              <w:rPr>
                <w:rFonts w:hAnsi="宋体" w:cs="宋体"/>
                <w:sz w:val="21"/>
                <w:szCs w:val="21"/>
              </w:rPr>
            </w:pPr>
          </w:p>
        </w:tc>
        <w:tc>
          <w:tcPr>
            <w:tcW w:w="1779" w:type="dxa"/>
            <w:vAlign w:val="center"/>
          </w:tcPr>
          <w:p w14:paraId="520AA3B1">
            <w:pPr>
              <w:spacing w:line="300" w:lineRule="auto"/>
              <w:jc w:val="center"/>
              <w:rPr>
                <w:rFonts w:hAnsi="宋体" w:cs="宋体"/>
                <w:sz w:val="21"/>
                <w:szCs w:val="21"/>
              </w:rPr>
            </w:pPr>
          </w:p>
        </w:tc>
      </w:tr>
      <w:tr w14:paraId="43B0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1E1B9580">
            <w:pPr>
              <w:spacing w:line="300" w:lineRule="auto"/>
              <w:jc w:val="center"/>
              <w:rPr>
                <w:rFonts w:hAnsi="宋体" w:cs="宋体"/>
                <w:sz w:val="21"/>
                <w:szCs w:val="21"/>
              </w:rPr>
            </w:pPr>
          </w:p>
        </w:tc>
        <w:tc>
          <w:tcPr>
            <w:tcW w:w="2791" w:type="dxa"/>
            <w:vAlign w:val="center"/>
          </w:tcPr>
          <w:p w14:paraId="4EFEB7B0">
            <w:pPr>
              <w:spacing w:line="300" w:lineRule="auto"/>
              <w:jc w:val="center"/>
              <w:rPr>
                <w:rFonts w:hAnsi="宋体" w:cs="宋体"/>
                <w:sz w:val="21"/>
                <w:szCs w:val="21"/>
              </w:rPr>
            </w:pPr>
          </w:p>
        </w:tc>
        <w:tc>
          <w:tcPr>
            <w:tcW w:w="3230" w:type="dxa"/>
            <w:vAlign w:val="center"/>
          </w:tcPr>
          <w:p w14:paraId="75DC630C">
            <w:pPr>
              <w:spacing w:line="300" w:lineRule="auto"/>
              <w:jc w:val="center"/>
              <w:rPr>
                <w:rFonts w:hAnsi="宋体" w:cs="宋体"/>
                <w:sz w:val="21"/>
                <w:szCs w:val="21"/>
              </w:rPr>
            </w:pPr>
          </w:p>
        </w:tc>
        <w:tc>
          <w:tcPr>
            <w:tcW w:w="1779" w:type="dxa"/>
            <w:vAlign w:val="center"/>
          </w:tcPr>
          <w:p w14:paraId="44763A4B">
            <w:pPr>
              <w:spacing w:line="300" w:lineRule="auto"/>
              <w:jc w:val="center"/>
              <w:rPr>
                <w:rFonts w:hAnsi="宋体" w:cs="宋体"/>
                <w:sz w:val="21"/>
                <w:szCs w:val="21"/>
              </w:rPr>
            </w:pPr>
          </w:p>
        </w:tc>
      </w:tr>
    </w:tbl>
    <w:p w14:paraId="7C53F0E6">
      <w:pPr>
        <w:spacing w:line="300" w:lineRule="auto"/>
        <w:jc w:val="center"/>
        <w:rPr>
          <w:rFonts w:hAnsi="宋体" w:cs="宋体"/>
          <w:sz w:val="21"/>
          <w:szCs w:val="21"/>
        </w:rPr>
      </w:pPr>
    </w:p>
    <w:p w14:paraId="718254C1">
      <w:pPr>
        <w:spacing w:line="300" w:lineRule="auto"/>
        <w:rPr>
          <w:rFonts w:hAnsi="宋体" w:cs="宋体"/>
          <w:sz w:val="21"/>
          <w:szCs w:val="21"/>
        </w:rPr>
      </w:pPr>
      <w:r>
        <w:rPr>
          <w:rFonts w:hint="eastAsia" w:hAnsi="宋体" w:cs="宋体"/>
          <w:sz w:val="21"/>
          <w:szCs w:val="21"/>
        </w:rPr>
        <w:t>注：行数不够可自行添加，有偏离请在技术偏离表中详细说明。</w:t>
      </w:r>
    </w:p>
    <w:p w14:paraId="2CCF4A1E">
      <w:pPr>
        <w:spacing w:line="300" w:lineRule="auto"/>
        <w:rPr>
          <w:rFonts w:hAnsi="宋体" w:cs="宋体"/>
          <w:sz w:val="21"/>
          <w:szCs w:val="21"/>
        </w:rPr>
      </w:pPr>
      <w:r>
        <w:rPr>
          <w:rFonts w:hint="eastAsia" w:hAnsi="宋体" w:cs="宋体"/>
          <w:sz w:val="21"/>
          <w:szCs w:val="21"/>
        </w:rPr>
        <w:t xml:space="preserve">投标单位（盖章）：                </w:t>
      </w:r>
    </w:p>
    <w:p w14:paraId="7F7656B9">
      <w:pPr>
        <w:spacing w:line="300" w:lineRule="auto"/>
        <w:rPr>
          <w:rFonts w:hAnsi="宋体" w:cs="宋体"/>
          <w:sz w:val="21"/>
          <w:szCs w:val="21"/>
        </w:rPr>
      </w:pPr>
      <w:r>
        <w:rPr>
          <w:rFonts w:hint="eastAsia" w:hAnsi="宋体" w:cs="宋体"/>
          <w:sz w:val="21"/>
          <w:szCs w:val="21"/>
        </w:rPr>
        <w:t>法定代表人或其授权代表签字：</w:t>
      </w:r>
    </w:p>
    <w:p w14:paraId="6C5198F9">
      <w:pPr>
        <w:spacing w:line="300" w:lineRule="auto"/>
        <w:rPr>
          <w:rFonts w:hAnsi="宋体" w:cs="宋体"/>
        </w:rPr>
      </w:pPr>
      <w:r>
        <w:rPr>
          <w:rFonts w:hint="eastAsia" w:hAnsi="宋体" w:cs="宋体"/>
          <w:sz w:val="21"/>
          <w:szCs w:val="21"/>
        </w:rPr>
        <w:t xml:space="preserve">     年  月  日</w:t>
      </w:r>
    </w:p>
    <w:p w14:paraId="2BC205F3">
      <w:pPr>
        <w:snapToGrid w:val="0"/>
        <w:spacing w:line="440" w:lineRule="exact"/>
        <w:rPr>
          <w:rFonts w:hAnsi="宋体" w:cs="宋体"/>
          <w:sz w:val="21"/>
          <w:szCs w:val="21"/>
        </w:rPr>
      </w:pPr>
      <w:r>
        <w:rPr>
          <w:rFonts w:hint="eastAsia" w:hAnsi="宋体" w:cs="宋体"/>
          <w:sz w:val="21"/>
          <w:szCs w:val="21"/>
        </w:rPr>
        <w:t xml:space="preserve">   </w:t>
      </w:r>
    </w:p>
    <w:p w14:paraId="5B75211B">
      <w:pPr>
        <w:pStyle w:val="21"/>
        <w:rPr>
          <w:rFonts w:ascii="宋体" w:hAnsi="宋体" w:cs="宋体"/>
        </w:rPr>
      </w:pPr>
    </w:p>
    <w:p w14:paraId="351C8159">
      <w:pPr>
        <w:ind w:firstLine="210" w:firstLineChars="100"/>
        <w:rPr>
          <w:rFonts w:hAnsi="宋体" w:cs="宋体"/>
        </w:rPr>
      </w:pPr>
      <w:r>
        <w:rPr>
          <w:rFonts w:hint="eastAsia" w:hAnsi="宋体" w:cs="宋体"/>
          <w:sz w:val="21"/>
          <w:szCs w:val="21"/>
        </w:rPr>
        <w:t>6.对本项目总体要求的理解。包括：功能说明、性能指标及产品选型说明（质量、性能等方面进行比较和选择的理由及过程）</w:t>
      </w:r>
    </w:p>
    <w:p w14:paraId="71C8BBF2">
      <w:pPr>
        <w:snapToGrid w:val="0"/>
        <w:spacing w:before="50" w:after="317" w:afterLines="50"/>
        <w:jc w:val="center"/>
        <w:rPr>
          <w:rFonts w:hAnsi="宋体" w:cs="宋体"/>
          <w:b/>
          <w:sz w:val="28"/>
        </w:rPr>
      </w:pPr>
      <w:r>
        <w:rPr>
          <w:rFonts w:hint="eastAsia" w:hAnsi="宋体" w:cs="宋体"/>
          <w:b/>
          <w:sz w:val="28"/>
        </w:rPr>
        <w:t>7.产品配置清单格式：</w:t>
      </w:r>
    </w:p>
    <w:p w14:paraId="3AFABF4B">
      <w:pPr>
        <w:tabs>
          <w:tab w:val="left" w:pos="1418"/>
        </w:tabs>
        <w:snapToGrid w:val="0"/>
        <w:spacing w:before="50" w:after="50"/>
        <w:ind w:firstLine="210" w:firstLineChars="100"/>
        <w:rPr>
          <w:rFonts w:hAnsi="宋体" w:cs="宋体"/>
          <w:sz w:val="21"/>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A301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34CC07BC">
            <w:pPr>
              <w:snapToGrid w:val="0"/>
              <w:spacing w:before="50" w:after="50"/>
              <w:jc w:val="center"/>
              <w:rPr>
                <w:rFonts w:hAnsi="宋体" w:cs="宋体"/>
                <w:sz w:val="21"/>
                <w:szCs w:val="21"/>
              </w:rPr>
            </w:pPr>
            <w:r>
              <w:rPr>
                <w:rFonts w:hint="eastAsia" w:hAnsi="宋体" w:cs="宋体"/>
                <w:sz w:val="21"/>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72E6EAB">
            <w:pPr>
              <w:snapToGrid w:val="0"/>
              <w:spacing w:before="50" w:after="50"/>
              <w:jc w:val="center"/>
              <w:rPr>
                <w:rFonts w:hAnsi="宋体" w:cs="宋体"/>
                <w:sz w:val="21"/>
                <w:szCs w:val="21"/>
              </w:rPr>
            </w:pPr>
            <w:r>
              <w:rPr>
                <w:rFonts w:hint="eastAsia" w:hAnsi="宋体" w:cs="宋体"/>
                <w:sz w:val="21"/>
                <w:szCs w:val="21"/>
              </w:rPr>
              <w:t>产品名称</w:t>
            </w:r>
          </w:p>
        </w:tc>
        <w:tc>
          <w:tcPr>
            <w:tcW w:w="839" w:type="dxa"/>
            <w:tcBorders>
              <w:top w:val="single" w:color="auto" w:sz="4" w:space="0"/>
              <w:left w:val="single" w:color="auto" w:sz="4" w:space="0"/>
              <w:bottom w:val="single" w:color="auto" w:sz="4" w:space="0"/>
              <w:right w:val="single" w:color="auto" w:sz="4" w:space="0"/>
            </w:tcBorders>
            <w:vAlign w:val="center"/>
          </w:tcPr>
          <w:p w14:paraId="5E1CDE4C">
            <w:pPr>
              <w:snapToGrid w:val="0"/>
              <w:spacing w:before="50" w:after="50"/>
              <w:jc w:val="center"/>
              <w:rPr>
                <w:rFonts w:hAnsi="宋体" w:cs="宋体"/>
                <w:sz w:val="21"/>
                <w:szCs w:val="21"/>
              </w:rPr>
            </w:pPr>
            <w:r>
              <w:rPr>
                <w:rFonts w:hint="eastAsia" w:hAnsi="宋体" w:cs="宋体"/>
                <w:sz w:val="21"/>
                <w:szCs w:val="21"/>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60C3A62">
            <w:pPr>
              <w:snapToGrid w:val="0"/>
              <w:spacing w:before="50" w:after="50"/>
              <w:jc w:val="center"/>
              <w:rPr>
                <w:rFonts w:hAnsi="宋体" w:cs="宋体"/>
                <w:sz w:val="21"/>
                <w:szCs w:val="21"/>
              </w:rPr>
            </w:pPr>
            <w:r>
              <w:rPr>
                <w:rFonts w:hint="eastAsia" w:hAnsi="宋体" w:cs="宋体"/>
                <w:sz w:val="21"/>
                <w:szCs w:val="21"/>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7D181866">
            <w:pPr>
              <w:snapToGrid w:val="0"/>
              <w:spacing w:before="50" w:after="50"/>
              <w:jc w:val="center"/>
              <w:rPr>
                <w:rFonts w:hAnsi="宋体" w:cs="宋体"/>
                <w:sz w:val="21"/>
                <w:szCs w:val="21"/>
              </w:rPr>
            </w:pPr>
            <w:r>
              <w:rPr>
                <w:rFonts w:hint="eastAsia" w:hAnsi="宋体" w:cs="宋体"/>
                <w:sz w:val="21"/>
                <w:szCs w:val="21"/>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14:paraId="4A96CCDF">
            <w:pPr>
              <w:snapToGrid w:val="0"/>
              <w:spacing w:before="50" w:after="50"/>
              <w:jc w:val="center"/>
              <w:rPr>
                <w:rFonts w:hAnsi="宋体" w:cs="宋体"/>
                <w:sz w:val="21"/>
                <w:szCs w:val="21"/>
              </w:rPr>
            </w:pPr>
            <w:r>
              <w:rPr>
                <w:rFonts w:hint="eastAsia" w:hAnsi="宋体" w:cs="宋体"/>
                <w:sz w:val="21"/>
                <w:szCs w:val="21"/>
              </w:rPr>
              <w:t>性能及指标</w:t>
            </w:r>
          </w:p>
        </w:tc>
        <w:tc>
          <w:tcPr>
            <w:tcW w:w="1080" w:type="dxa"/>
            <w:tcBorders>
              <w:top w:val="single" w:color="auto" w:sz="4" w:space="0"/>
              <w:left w:val="single" w:color="auto" w:sz="4" w:space="0"/>
              <w:bottom w:val="single" w:color="auto" w:sz="4" w:space="0"/>
            </w:tcBorders>
            <w:vAlign w:val="center"/>
          </w:tcPr>
          <w:p w14:paraId="50F01D5F">
            <w:pPr>
              <w:snapToGrid w:val="0"/>
              <w:spacing w:before="50" w:after="50"/>
              <w:jc w:val="center"/>
              <w:rPr>
                <w:rFonts w:hAnsi="宋体" w:cs="宋体"/>
                <w:sz w:val="21"/>
                <w:szCs w:val="21"/>
              </w:rPr>
            </w:pPr>
            <w:r>
              <w:rPr>
                <w:rFonts w:hint="eastAsia" w:hAnsi="宋体" w:cs="宋体"/>
                <w:sz w:val="21"/>
                <w:szCs w:val="21"/>
              </w:rPr>
              <w:t>产地</w:t>
            </w:r>
          </w:p>
        </w:tc>
      </w:tr>
      <w:tr w14:paraId="30BFC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6C0B44A">
            <w:pPr>
              <w:snapToGrid w:val="0"/>
              <w:spacing w:before="50" w:after="50"/>
              <w:jc w:val="center"/>
              <w:rPr>
                <w:rFonts w:hAnsi="宋体" w:cs="宋体"/>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4C244B49">
            <w:pPr>
              <w:snapToGrid w:val="0"/>
              <w:spacing w:before="50" w:after="50"/>
              <w:jc w:val="center"/>
              <w:rPr>
                <w:rFonts w:hAnsi="宋体" w:cs="宋体"/>
                <w:sz w:val="21"/>
                <w:szCs w:val="21"/>
              </w:rPr>
            </w:pPr>
          </w:p>
          <w:p w14:paraId="78412CFE">
            <w:pPr>
              <w:snapToGrid w:val="0"/>
              <w:spacing w:before="50" w:after="50"/>
              <w:jc w:val="center"/>
              <w:rPr>
                <w:rFonts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28F26632">
            <w:pPr>
              <w:snapToGrid w:val="0"/>
              <w:spacing w:before="50" w:after="50"/>
              <w:jc w:val="center"/>
              <w:rPr>
                <w:rFonts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05693227">
            <w:pPr>
              <w:snapToGrid w:val="0"/>
              <w:spacing w:before="50" w:after="50"/>
              <w:jc w:val="center"/>
              <w:rPr>
                <w:rFonts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5E090440">
            <w:pPr>
              <w:snapToGrid w:val="0"/>
              <w:spacing w:before="50" w:after="50"/>
              <w:jc w:val="center"/>
              <w:rPr>
                <w:rFonts w:hAnsi="宋体" w:cs="宋体"/>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1AE25BDE">
            <w:pPr>
              <w:snapToGrid w:val="0"/>
              <w:spacing w:before="50" w:after="50"/>
              <w:jc w:val="center"/>
              <w:rPr>
                <w:rFonts w:hAnsi="宋体" w:cs="宋体"/>
                <w:sz w:val="21"/>
                <w:szCs w:val="21"/>
              </w:rPr>
            </w:pPr>
          </w:p>
        </w:tc>
        <w:tc>
          <w:tcPr>
            <w:tcW w:w="1080" w:type="dxa"/>
            <w:tcBorders>
              <w:top w:val="single" w:color="auto" w:sz="4" w:space="0"/>
              <w:left w:val="single" w:color="auto" w:sz="4" w:space="0"/>
              <w:bottom w:val="single" w:color="auto" w:sz="4" w:space="0"/>
            </w:tcBorders>
            <w:vAlign w:val="center"/>
          </w:tcPr>
          <w:p w14:paraId="49B35D88">
            <w:pPr>
              <w:snapToGrid w:val="0"/>
              <w:spacing w:before="50" w:after="50"/>
              <w:jc w:val="center"/>
              <w:rPr>
                <w:rFonts w:hAnsi="宋体" w:cs="宋体"/>
                <w:sz w:val="21"/>
                <w:szCs w:val="21"/>
              </w:rPr>
            </w:pPr>
          </w:p>
        </w:tc>
      </w:tr>
      <w:tr w14:paraId="260F5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3D917180">
            <w:pPr>
              <w:snapToGrid w:val="0"/>
              <w:spacing w:before="50" w:after="50"/>
              <w:jc w:val="center"/>
              <w:rPr>
                <w:rFonts w:hAnsi="宋体" w:cs="宋体"/>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57A1CD5C">
            <w:pPr>
              <w:snapToGrid w:val="0"/>
              <w:spacing w:before="50" w:after="50"/>
              <w:jc w:val="center"/>
              <w:rPr>
                <w:rFonts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00896B71">
            <w:pPr>
              <w:snapToGrid w:val="0"/>
              <w:spacing w:before="50" w:after="50"/>
              <w:jc w:val="center"/>
              <w:rPr>
                <w:rFonts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4D27A893">
            <w:pPr>
              <w:snapToGrid w:val="0"/>
              <w:spacing w:before="50" w:after="50"/>
              <w:jc w:val="center"/>
              <w:rPr>
                <w:rFonts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7DC6AE8E">
            <w:pPr>
              <w:snapToGrid w:val="0"/>
              <w:spacing w:before="50" w:after="50"/>
              <w:jc w:val="center"/>
              <w:rPr>
                <w:rFonts w:hAnsi="宋体" w:cs="宋体"/>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49328469">
            <w:pPr>
              <w:snapToGrid w:val="0"/>
              <w:spacing w:before="50" w:after="50"/>
              <w:jc w:val="center"/>
              <w:rPr>
                <w:rFonts w:hAnsi="宋体" w:cs="宋体"/>
                <w:sz w:val="21"/>
                <w:szCs w:val="21"/>
              </w:rPr>
            </w:pPr>
          </w:p>
        </w:tc>
        <w:tc>
          <w:tcPr>
            <w:tcW w:w="1080" w:type="dxa"/>
            <w:tcBorders>
              <w:top w:val="single" w:color="auto" w:sz="4" w:space="0"/>
              <w:left w:val="single" w:color="auto" w:sz="4" w:space="0"/>
              <w:bottom w:val="single" w:color="auto" w:sz="4" w:space="0"/>
            </w:tcBorders>
            <w:vAlign w:val="center"/>
          </w:tcPr>
          <w:p w14:paraId="50FBF9E3">
            <w:pPr>
              <w:snapToGrid w:val="0"/>
              <w:spacing w:before="50" w:after="50"/>
              <w:jc w:val="center"/>
              <w:rPr>
                <w:rFonts w:hAnsi="宋体" w:cs="宋体"/>
                <w:sz w:val="21"/>
                <w:szCs w:val="21"/>
              </w:rPr>
            </w:pPr>
          </w:p>
        </w:tc>
      </w:tr>
      <w:tr w14:paraId="087BF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436984B9">
            <w:pPr>
              <w:snapToGrid w:val="0"/>
              <w:spacing w:before="50" w:after="50"/>
              <w:jc w:val="center"/>
              <w:rPr>
                <w:rFonts w:hAnsi="宋体" w:cs="宋体"/>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2C7150DB">
            <w:pPr>
              <w:snapToGrid w:val="0"/>
              <w:spacing w:before="50" w:after="50"/>
              <w:jc w:val="center"/>
              <w:rPr>
                <w:rFonts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250DB087">
            <w:pPr>
              <w:snapToGrid w:val="0"/>
              <w:spacing w:before="50" w:after="50"/>
              <w:jc w:val="center"/>
              <w:rPr>
                <w:rFonts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48F0C8EC">
            <w:pPr>
              <w:snapToGrid w:val="0"/>
              <w:spacing w:before="50" w:after="50"/>
              <w:jc w:val="center"/>
              <w:rPr>
                <w:rFonts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5DC3B808">
            <w:pPr>
              <w:snapToGrid w:val="0"/>
              <w:spacing w:before="50" w:after="50"/>
              <w:jc w:val="center"/>
              <w:rPr>
                <w:rFonts w:hAnsi="宋体" w:cs="宋体"/>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6B5C48CB">
            <w:pPr>
              <w:snapToGrid w:val="0"/>
              <w:spacing w:before="50" w:after="50"/>
              <w:jc w:val="center"/>
              <w:rPr>
                <w:rFonts w:hAnsi="宋体" w:cs="宋体"/>
                <w:sz w:val="21"/>
                <w:szCs w:val="21"/>
              </w:rPr>
            </w:pPr>
          </w:p>
        </w:tc>
        <w:tc>
          <w:tcPr>
            <w:tcW w:w="1080" w:type="dxa"/>
            <w:tcBorders>
              <w:top w:val="single" w:color="auto" w:sz="4" w:space="0"/>
              <w:left w:val="single" w:color="auto" w:sz="4" w:space="0"/>
              <w:bottom w:val="single" w:color="auto" w:sz="4" w:space="0"/>
            </w:tcBorders>
            <w:vAlign w:val="center"/>
          </w:tcPr>
          <w:p w14:paraId="2E0E2CB3">
            <w:pPr>
              <w:snapToGrid w:val="0"/>
              <w:spacing w:before="50" w:after="50"/>
              <w:jc w:val="center"/>
              <w:rPr>
                <w:rFonts w:hAnsi="宋体" w:cs="宋体"/>
                <w:sz w:val="21"/>
                <w:szCs w:val="21"/>
              </w:rPr>
            </w:pPr>
          </w:p>
        </w:tc>
      </w:tr>
      <w:tr w14:paraId="70D69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D275844">
            <w:pPr>
              <w:snapToGrid w:val="0"/>
              <w:spacing w:before="50" w:after="50"/>
              <w:jc w:val="center"/>
              <w:rPr>
                <w:rFonts w:hAnsi="宋体" w:cs="宋体"/>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6D1B68CE">
            <w:pPr>
              <w:snapToGrid w:val="0"/>
              <w:spacing w:before="50" w:after="50"/>
              <w:jc w:val="center"/>
              <w:rPr>
                <w:rFonts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564355A0">
            <w:pPr>
              <w:snapToGrid w:val="0"/>
              <w:spacing w:before="50" w:after="50"/>
              <w:jc w:val="center"/>
              <w:rPr>
                <w:rFonts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1A3DE497">
            <w:pPr>
              <w:snapToGrid w:val="0"/>
              <w:spacing w:before="50" w:after="50"/>
              <w:jc w:val="center"/>
              <w:rPr>
                <w:rFonts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2D78DF40">
            <w:pPr>
              <w:snapToGrid w:val="0"/>
              <w:spacing w:before="50" w:after="50"/>
              <w:jc w:val="center"/>
              <w:rPr>
                <w:rFonts w:hAnsi="宋体" w:cs="宋体"/>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4B6E0B85">
            <w:pPr>
              <w:snapToGrid w:val="0"/>
              <w:spacing w:before="50" w:after="50"/>
              <w:jc w:val="center"/>
              <w:rPr>
                <w:rFonts w:hAnsi="宋体" w:cs="宋体"/>
                <w:sz w:val="21"/>
                <w:szCs w:val="21"/>
              </w:rPr>
            </w:pPr>
          </w:p>
        </w:tc>
        <w:tc>
          <w:tcPr>
            <w:tcW w:w="1080" w:type="dxa"/>
            <w:tcBorders>
              <w:top w:val="single" w:color="auto" w:sz="4" w:space="0"/>
              <w:left w:val="single" w:color="auto" w:sz="4" w:space="0"/>
              <w:bottom w:val="nil"/>
            </w:tcBorders>
            <w:vAlign w:val="center"/>
          </w:tcPr>
          <w:p w14:paraId="1DCAF862">
            <w:pPr>
              <w:snapToGrid w:val="0"/>
              <w:spacing w:before="50" w:after="50"/>
              <w:jc w:val="center"/>
              <w:rPr>
                <w:rFonts w:hAnsi="宋体" w:cs="宋体"/>
                <w:sz w:val="21"/>
                <w:szCs w:val="21"/>
              </w:rPr>
            </w:pPr>
          </w:p>
        </w:tc>
      </w:tr>
      <w:tr w14:paraId="1D91A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5CEAB3C">
            <w:pPr>
              <w:snapToGrid w:val="0"/>
              <w:spacing w:before="50" w:after="50"/>
              <w:jc w:val="center"/>
              <w:rPr>
                <w:rFonts w:hAnsi="宋体" w:cs="宋体"/>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10979DC5">
            <w:pPr>
              <w:snapToGrid w:val="0"/>
              <w:spacing w:before="50" w:after="50"/>
              <w:jc w:val="center"/>
              <w:rPr>
                <w:rFonts w:hAnsi="宋体" w:cs="宋体"/>
                <w:sz w:val="21"/>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223E45AF">
            <w:pPr>
              <w:snapToGrid w:val="0"/>
              <w:spacing w:before="50" w:after="50"/>
              <w:ind w:left="480" w:hanging="480"/>
              <w:jc w:val="center"/>
              <w:rPr>
                <w:rFonts w:hAnsi="宋体" w:cs="宋体"/>
                <w:sz w:val="21"/>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0502E320">
            <w:pPr>
              <w:snapToGrid w:val="0"/>
              <w:spacing w:before="50" w:after="50"/>
              <w:jc w:val="center"/>
              <w:rPr>
                <w:rFonts w:hAnsi="宋体" w:cs="宋体"/>
                <w:sz w:val="21"/>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5438984A">
            <w:pPr>
              <w:snapToGrid w:val="0"/>
              <w:spacing w:before="50" w:after="50"/>
              <w:jc w:val="center"/>
              <w:rPr>
                <w:rFonts w:hAnsi="宋体" w:cs="宋体"/>
                <w:sz w:val="21"/>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0C9BC5A6">
            <w:pPr>
              <w:snapToGrid w:val="0"/>
              <w:spacing w:before="50" w:after="50"/>
              <w:jc w:val="center"/>
              <w:rPr>
                <w:rFonts w:hAnsi="宋体" w:cs="宋体"/>
                <w:sz w:val="21"/>
                <w:szCs w:val="21"/>
              </w:rPr>
            </w:pPr>
          </w:p>
        </w:tc>
        <w:tc>
          <w:tcPr>
            <w:tcW w:w="1080" w:type="dxa"/>
            <w:tcBorders>
              <w:top w:val="single" w:color="auto" w:sz="4" w:space="0"/>
              <w:left w:val="single" w:color="auto" w:sz="4" w:space="0"/>
              <w:bottom w:val="single" w:color="auto" w:sz="4" w:space="0"/>
            </w:tcBorders>
            <w:vAlign w:val="center"/>
          </w:tcPr>
          <w:p w14:paraId="7F33A4B3">
            <w:pPr>
              <w:snapToGrid w:val="0"/>
              <w:spacing w:before="50" w:after="50"/>
              <w:jc w:val="center"/>
              <w:rPr>
                <w:rFonts w:hAnsi="宋体" w:cs="宋体"/>
                <w:sz w:val="21"/>
                <w:szCs w:val="21"/>
              </w:rPr>
            </w:pPr>
          </w:p>
        </w:tc>
      </w:tr>
    </w:tbl>
    <w:p w14:paraId="357F5E6E">
      <w:pPr>
        <w:snapToGrid w:val="0"/>
        <w:spacing w:before="50" w:after="50"/>
        <w:ind w:firstLine="210" w:firstLineChars="100"/>
        <w:rPr>
          <w:rFonts w:hAnsi="宋体" w:cs="宋体"/>
          <w:sz w:val="21"/>
          <w:szCs w:val="21"/>
        </w:rPr>
      </w:pPr>
    </w:p>
    <w:p w14:paraId="7E5EA774">
      <w:pPr>
        <w:snapToGrid w:val="0"/>
        <w:spacing w:before="50" w:after="50"/>
        <w:ind w:firstLine="210" w:firstLineChars="100"/>
        <w:rPr>
          <w:rFonts w:hAnsi="宋体" w:cs="宋体"/>
          <w:spacing w:val="20"/>
          <w:sz w:val="21"/>
          <w:szCs w:val="21"/>
          <w:u w:val="single"/>
        </w:rPr>
      </w:pPr>
      <w:r>
        <w:rPr>
          <w:rFonts w:hint="eastAsia" w:hAnsi="宋体" w:cs="宋体"/>
          <w:sz w:val="21"/>
          <w:szCs w:val="21"/>
        </w:rPr>
        <w:t>法定代表人或其</w:t>
      </w:r>
      <w:r>
        <w:rPr>
          <w:rFonts w:hint="eastAsia" w:hAnsi="宋体" w:cs="宋体"/>
          <w:spacing w:val="20"/>
          <w:sz w:val="21"/>
          <w:szCs w:val="21"/>
        </w:rPr>
        <w:t>授权代表签名：</w:t>
      </w:r>
    </w:p>
    <w:p w14:paraId="65C3B490">
      <w:pPr>
        <w:snapToGrid w:val="0"/>
        <w:spacing w:before="50" w:after="50"/>
        <w:ind w:firstLine="250" w:firstLineChars="100"/>
        <w:rPr>
          <w:rFonts w:hAnsi="宋体" w:cs="宋体"/>
          <w:spacing w:val="20"/>
          <w:sz w:val="21"/>
          <w:szCs w:val="21"/>
        </w:rPr>
      </w:pPr>
      <w:r>
        <w:rPr>
          <w:rFonts w:hint="eastAsia" w:hAnsi="宋体" w:cs="宋体"/>
          <w:spacing w:val="20"/>
          <w:sz w:val="21"/>
          <w:szCs w:val="21"/>
        </w:rPr>
        <w:t>投标单位盖章：</w:t>
      </w:r>
    </w:p>
    <w:p w14:paraId="51928630">
      <w:pPr>
        <w:snapToGrid w:val="0"/>
        <w:spacing w:before="50" w:after="50"/>
        <w:ind w:firstLine="250" w:firstLineChars="100"/>
        <w:rPr>
          <w:rFonts w:hAnsi="宋体" w:cs="宋体"/>
          <w:sz w:val="21"/>
          <w:szCs w:val="21"/>
        </w:rPr>
      </w:pPr>
      <w:r>
        <w:rPr>
          <w:rFonts w:hint="eastAsia" w:hAnsi="宋体" w:cs="宋体"/>
          <w:spacing w:val="20"/>
          <w:sz w:val="21"/>
          <w:szCs w:val="21"/>
        </w:rPr>
        <w:t>日期：</w:t>
      </w:r>
    </w:p>
    <w:p w14:paraId="6AFB3981">
      <w:pPr>
        <w:snapToGrid w:val="0"/>
        <w:spacing w:before="50" w:after="317" w:afterLines="50"/>
        <w:rPr>
          <w:rFonts w:hAnsi="宋体" w:cs="宋体"/>
          <w:sz w:val="21"/>
          <w:szCs w:val="21"/>
        </w:rPr>
      </w:pPr>
    </w:p>
    <w:p w14:paraId="085150DA">
      <w:pPr>
        <w:snapToGrid w:val="0"/>
        <w:spacing w:before="50" w:after="317" w:afterLines="50"/>
        <w:rPr>
          <w:rFonts w:hAnsi="宋体" w:cs="宋体"/>
          <w:sz w:val="21"/>
          <w:szCs w:val="21"/>
        </w:rPr>
      </w:pPr>
    </w:p>
    <w:p w14:paraId="10C1F57C">
      <w:pPr>
        <w:rPr>
          <w:rFonts w:hAnsi="宋体" w:cs="宋体"/>
          <w:sz w:val="21"/>
          <w:szCs w:val="21"/>
        </w:rPr>
      </w:pPr>
    </w:p>
    <w:p w14:paraId="175F4FFF">
      <w:pPr>
        <w:rPr>
          <w:rFonts w:hAnsi="宋体" w:cs="宋体"/>
          <w:sz w:val="21"/>
          <w:szCs w:val="21"/>
        </w:rPr>
      </w:pPr>
    </w:p>
    <w:p w14:paraId="450DF2F6">
      <w:pPr>
        <w:pStyle w:val="21"/>
        <w:rPr>
          <w:rFonts w:ascii="宋体" w:hAnsi="宋体" w:cs="宋体"/>
        </w:rPr>
      </w:pPr>
    </w:p>
    <w:p w14:paraId="2581AA78">
      <w:pPr>
        <w:snapToGrid w:val="0"/>
        <w:spacing w:before="50" w:after="317" w:afterLines="50"/>
        <w:jc w:val="center"/>
        <w:rPr>
          <w:rFonts w:hAnsi="宋体" w:cs="宋体"/>
          <w:b/>
          <w:sz w:val="28"/>
        </w:rPr>
      </w:pPr>
    </w:p>
    <w:p w14:paraId="6EF805DB">
      <w:pPr>
        <w:snapToGrid w:val="0"/>
        <w:spacing w:before="50" w:after="317" w:afterLines="50"/>
        <w:jc w:val="center"/>
        <w:rPr>
          <w:rFonts w:hAnsi="宋体" w:cs="宋体"/>
          <w:b/>
          <w:sz w:val="28"/>
        </w:rPr>
      </w:pPr>
    </w:p>
    <w:p w14:paraId="5E190D0E">
      <w:pPr>
        <w:snapToGrid w:val="0"/>
        <w:spacing w:before="50" w:after="317" w:afterLines="50"/>
        <w:jc w:val="center"/>
        <w:rPr>
          <w:rFonts w:hAnsi="宋体" w:cs="宋体"/>
          <w:b/>
          <w:sz w:val="28"/>
        </w:rPr>
      </w:pPr>
      <w:r>
        <w:rPr>
          <w:rFonts w:hint="eastAsia" w:hAnsi="宋体" w:cs="宋体"/>
          <w:b/>
          <w:sz w:val="28"/>
        </w:rPr>
        <w:t>8.技术响应表格式：</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7"/>
        <w:gridCol w:w="1794"/>
        <w:gridCol w:w="1794"/>
        <w:gridCol w:w="2753"/>
      </w:tblGrid>
      <w:tr w14:paraId="1CAD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22FD0722">
            <w:pPr>
              <w:snapToGrid w:val="0"/>
              <w:spacing w:line="360" w:lineRule="auto"/>
              <w:jc w:val="center"/>
              <w:rPr>
                <w:rFonts w:hAnsi="宋体" w:cs="宋体"/>
                <w:spacing w:val="20"/>
                <w:sz w:val="21"/>
                <w:szCs w:val="21"/>
              </w:rPr>
            </w:pPr>
            <w:r>
              <w:rPr>
                <w:rFonts w:hint="eastAsia" w:hAnsi="宋体" w:cs="宋体"/>
                <w:spacing w:val="20"/>
                <w:sz w:val="21"/>
                <w:szCs w:val="21"/>
              </w:rPr>
              <w:t>序号</w:t>
            </w:r>
          </w:p>
        </w:tc>
        <w:tc>
          <w:tcPr>
            <w:tcW w:w="1717" w:type="dxa"/>
            <w:vAlign w:val="center"/>
          </w:tcPr>
          <w:p w14:paraId="40721A83">
            <w:pPr>
              <w:snapToGrid w:val="0"/>
              <w:spacing w:line="360" w:lineRule="auto"/>
              <w:jc w:val="center"/>
              <w:rPr>
                <w:rFonts w:hAnsi="宋体" w:cs="宋体"/>
                <w:spacing w:val="20"/>
                <w:sz w:val="21"/>
                <w:szCs w:val="21"/>
              </w:rPr>
            </w:pPr>
            <w:r>
              <w:rPr>
                <w:rFonts w:hint="eastAsia" w:hAnsi="宋体" w:cs="宋体"/>
                <w:spacing w:val="20"/>
                <w:sz w:val="21"/>
                <w:szCs w:val="21"/>
              </w:rPr>
              <w:t>招标规格</w:t>
            </w:r>
          </w:p>
        </w:tc>
        <w:tc>
          <w:tcPr>
            <w:tcW w:w="1794" w:type="dxa"/>
            <w:vAlign w:val="center"/>
          </w:tcPr>
          <w:p w14:paraId="21D156DC">
            <w:pPr>
              <w:snapToGrid w:val="0"/>
              <w:spacing w:line="360" w:lineRule="auto"/>
              <w:jc w:val="center"/>
              <w:rPr>
                <w:rFonts w:hAnsi="宋体" w:cs="宋体"/>
                <w:spacing w:val="20"/>
                <w:sz w:val="21"/>
                <w:szCs w:val="21"/>
              </w:rPr>
            </w:pPr>
            <w:r>
              <w:rPr>
                <w:rFonts w:hint="eastAsia" w:hAnsi="宋体" w:cs="宋体"/>
                <w:spacing w:val="20"/>
                <w:sz w:val="21"/>
                <w:szCs w:val="21"/>
              </w:rPr>
              <w:t>投标规格</w:t>
            </w:r>
          </w:p>
        </w:tc>
        <w:tc>
          <w:tcPr>
            <w:tcW w:w="1794" w:type="dxa"/>
            <w:vAlign w:val="center"/>
          </w:tcPr>
          <w:p w14:paraId="6F88F182">
            <w:pPr>
              <w:snapToGrid w:val="0"/>
              <w:spacing w:line="360" w:lineRule="auto"/>
              <w:jc w:val="center"/>
              <w:rPr>
                <w:rFonts w:hAnsi="宋体" w:cs="宋体"/>
                <w:spacing w:val="20"/>
                <w:sz w:val="21"/>
                <w:szCs w:val="21"/>
              </w:rPr>
            </w:pPr>
            <w:r>
              <w:rPr>
                <w:rFonts w:hint="eastAsia" w:hAnsi="宋体" w:cs="宋体"/>
                <w:spacing w:val="20"/>
                <w:sz w:val="21"/>
                <w:szCs w:val="21"/>
              </w:rPr>
              <w:t>偏离</w:t>
            </w:r>
          </w:p>
        </w:tc>
        <w:tc>
          <w:tcPr>
            <w:tcW w:w="2753" w:type="dxa"/>
            <w:vAlign w:val="center"/>
          </w:tcPr>
          <w:p w14:paraId="7B532DA2">
            <w:pPr>
              <w:snapToGrid w:val="0"/>
              <w:spacing w:line="360" w:lineRule="auto"/>
              <w:jc w:val="center"/>
              <w:rPr>
                <w:rFonts w:hAnsi="宋体" w:cs="宋体"/>
                <w:spacing w:val="20"/>
                <w:sz w:val="21"/>
                <w:szCs w:val="21"/>
              </w:rPr>
            </w:pPr>
            <w:r>
              <w:rPr>
                <w:rFonts w:hint="eastAsia" w:hAnsi="宋体" w:cs="宋体"/>
                <w:spacing w:val="20"/>
                <w:sz w:val="21"/>
                <w:szCs w:val="21"/>
              </w:rPr>
              <w:t>说明</w:t>
            </w:r>
          </w:p>
        </w:tc>
      </w:tr>
      <w:tr w14:paraId="78AF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51FDB957">
            <w:pPr>
              <w:snapToGrid w:val="0"/>
              <w:spacing w:line="360" w:lineRule="auto"/>
              <w:jc w:val="center"/>
              <w:rPr>
                <w:rFonts w:hAnsi="宋体" w:cs="宋体"/>
                <w:spacing w:val="20"/>
                <w:sz w:val="21"/>
                <w:szCs w:val="21"/>
              </w:rPr>
            </w:pPr>
          </w:p>
        </w:tc>
        <w:tc>
          <w:tcPr>
            <w:tcW w:w="1717" w:type="dxa"/>
            <w:vAlign w:val="center"/>
          </w:tcPr>
          <w:p w14:paraId="546EF76D">
            <w:pPr>
              <w:snapToGrid w:val="0"/>
              <w:spacing w:line="360" w:lineRule="auto"/>
              <w:jc w:val="center"/>
              <w:rPr>
                <w:rFonts w:hAnsi="宋体" w:cs="宋体"/>
                <w:spacing w:val="20"/>
                <w:sz w:val="21"/>
                <w:szCs w:val="21"/>
              </w:rPr>
            </w:pPr>
          </w:p>
        </w:tc>
        <w:tc>
          <w:tcPr>
            <w:tcW w:w="1794" w:type="dxa"/>
            <w:vAlign w:val="center"/>
          </w:tcPr>
          <w:p w14:paraId="761E936B">
            <w:pPr>
              <w:snapToGrid w:val="0"/>
              <w:spacing w:line="360" w:lineRule="auto"/>
              <w:jc w:val="center"/>
              <w:rPr>
                <w:rFonts w:hAnsi="宋体" w:cs="宋体"/>
                <w:spacing w:val="20"/>
                <w:sz w:val="21"/>
                <w:szCs w:val="21"/>
              </w:rPr>
            </w:pPr>
          </w:p>
        </w:tc>
        <w:tc>
          <w:tcPr>
            <w:tcW w:w="1794" w:type="dxa"/>
            <w:vAlign w:val="center"/>
          </w:tcPr>
          <w:p w14:paraId="3E1ACCF9">
            <w:pPr>
              <w:snapToGrid w:val="0"/>
              <w:spacing w:line="360" w:lineRule="auto"/>
              <w:jc w:val="center"/>
              <w:rPr>
                <w:rFonts w:hAnsi="宋体" w:cs="宋体"/>
                <w:spacing w:val="20"/>
                <w:sz w:val="21"/>
                <w:szCs w:val="21"/>
              </w:rPr>
            </w:pPr>
          </w:p>
        </w:tc>
        <w:tc>
          <w:tcPr>
            <w:tcW w:w="2753" w:type="dxa"/>
            <w:vAlign w:val="center"/>
          </w:tcPr>
          <w:p w14:paraId="67A6841D">
            <w:pPr>
              <w:snapToGrid w:val="0"/>
              <w:spacing w:line="360" w:lineRule="auto"/>
              <w:jc w:val="center"/>
              <w:rPr>
                <w:rFonts w:hAnsi="宋体" w:cs="宋体"/>
                <w:spacing w:val="20"/>
                <w:sz w:val="21"/>
                <w:szCs w:val="21"/>
              </w:rPr>
            </w:pPr>
          </w:p>
        </w:tc>
      </w:tr>
      <w:tr w14:paraId="0120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24C72811">
            <w:pPr>
              <w:snapToGrid w:val="0"/>
              <w:spacing w:line="360" w:lineRule="auto"/>
              <w:jc w:val="center"/>
              <w:rPr>
                <w:rFonts w:hAnsi="宋体" w:cs="宋体"/>
                <w:spacing w:val="20"/>
                <w:sz w:val="21"/>
                <w:szCs w:val="21"/>
              </w:rPr>
            </w:pPr>
          </w:p>
        </w:tc>
        <w:tc>
          <w:tcPr>
            <w:tcW w:w="1717" w:type="dxa"/>
            <w:vAlign w:val="center"/>
          </w:tcPr>
          <w:p w14:paraId="57712D98">
            <w:pPr>
              <w:snapToGrid w:val="0"/>
              <w:spacing w:line="360" w:lineRule="auto"/>
              <w:jc w:val="center"/>
              <w:rPr>
                <w:rFonts w:hAnsi="宋体" w:cs="宋体"/>
                <w:spacing w:val="20"/>
                <w:sz w:val="21"/>
                <w:szCs w:val="21"/>
              </w:rPr>
            </w:pPr>
          </w:p>
        </w:tc>
        <w:tc>
          <w:tcPr>
            <w:tcW w:w="1794" w:type="dxa"/>
            <w:vAlign w:val="center"/>
          </w:tcPr>
          <w:p w14:paraId="1D600BFC">
            <w:pPr>
              <w:snapToGrid w:val="0"/>
              <w:spacing w:line="360" w:lineRule="auto"/>
              <w:jc w:val="center"/>
              <w:rPr>
                <w:rFonts w:hAnsi="宋体" w:cs="宋体"/>
                <w:spacing w:val="20"/>
                <w:sz w:val="21"/>
                <w:szCs w:val="21"/>
              </w:rPr>
            </w:pPr>
          </w:p>
        </w:tc>
        <w:tc>
          <w:tcPr>
            <w:tcW w:w="1794" w:type="dxa"/>
            <w:vAlign w:val="center"/>
          </w:tcPr>
          <w:p w14:paraId="527FA943">
            <w:pPr>
              <w:snapToGrid w:val="0"/>
              <w:spacing w:line="360" w:lineRule="auto"/>
              <w:jc w:val="center"/>
              <w:rPr>
                <w:rFonts w:hAnsi="宋体" w:cs="宋体"/>
                <w:spacing w:val="20"/>
                <w:sz w:val="21"/>
                <w:szCs w:val="21"/>
              </w:rPr>
            </w:pPr>
          </w:p>
        </w:tc>
        <w:tc>
          <w:tcPr>
            <w:tcW w:w="2753" w:type="dxa"/>
            <w:vAlign w:val="center"/>
          </w:tcPr>
          <w:p w14:paraId="5D394224">
            <w:pPr>
              <w:snapToGrid w:val="0"/>
              <w:spacing w:line="360" w:lineRule="auto"/>
              <w:jc w:val="center"/>
              <w:rPr>
                <w:rFonts w:hAnsi="宋体" w:cs="宋体"/>
                <w:spacing w:val="20"/>
                <w:sz w:val="21"/>
                <w:szCs w:val="21"/>
              </w:rPr>
            </w:pPr>
          </w:p>
        </w:tc>
      </w:tr>
      <w:tr w14:paraId="29D0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5924ADE4">
            <w:pPr>
              <w:snapToGrid w:val="0"/>
              <w:spacing w:line="360" w:lineRule="auto"/>
              <w:jc w:val="center"/>
              <w:rPr>
                <w:rFonts w:hAnsi="宋体" w:cs="宋体"/>
                <w:spacing w:val="20"/>
                <w:sz w:val="21"/>
                <w:szCs w:val="21"/>
              </w:rPr>
            </w:pPr>
          </w:p>
        </w:tc>
        <w:tc>
          <w:tcPr>
            <w:tcW w:w="1717" w:type="dxa"/>
            <w:vAlign w:val="center"/>
          </w:tcPr>
          <w:p w14:paraId="761DA310">
            <w:pPr>
              <w:snapToGrid w:val="0"/>
              <w:spacing w:line="360" w:lineRule="auto"/>
              <w:jc w:val="center"/>
              <w:rPr>
                <w:rFonts w:hAnsi="宋体" w:cs="宋体"/>
                <w:spacing w:val="20"/>
                <w:sz w:val="21"/>
                <w:szCs w:val="21"/>
              </w:rPr>
            </w:pPr>
          </w:p>
        </w:tc>
        <w:tc>
          <w:tcPr>
            <w:tcW w:w="1794" w:type="dxa"/>
            <w:vAlign w:val="center"/>
          </w:tcPr>
          <w:p w14:paraId="5DD49D54">
            <w:pPr>
              <w:snapToGrid w:val="0"/>
              <w:spacing w:line="360" w:lineRule="auto"/>
              <w:jc w:val="center"/>
              <w:rPr>
                <w:rFonts w:hAnsi="宋体" w:cs="宋体"/>
                <w:spacing w:val="20"/>
                <w:sz w:val="21"/>
                <w:szCs w:val="21"/>
              </w:rPr>
            </w:pPr>
          </w:p>
        </w:tc>
        <w:tc>
          <w:tcPr>
            <w:tcW w:w="1794" w:type="dxa"/>
            <w:vAlign w:val="center"/>
          </w:tcPr>
          <w:p w14:paraId="4F6AF1A3">
            <w:pPr>
              <w:snapToGrid w:val="0"/>
              <w:spacing w:line="360" w:lineRule="auto"/>
              <w:jc w:val="center"/>
              <w:rPr>
                <w:rFonts w:hAnsi="宋体" w:cs="宋体"/>
                <w:spacing w:val="20"/>
                <w:sz w:val="21"/>
                <w:szCs w:val="21"/>
              </w:rPr>
            </w:pPr>
          </w:p>
        </w:tc>
        <w:tc>
          <w:tcPr>
            <w:tcW w:w="2753" w:type="dxa"/>
            <w:vAlign w:val="center"/>
          </w:tcPr>
          <w:p w14:paraId="35CBB359">
            <w:pPr>
              <w:snapToGrid w:val="0"/>
              <w:spacing w:line="360" w:lineRule="auto"/>
              <w:jc w:val="center"/>
              <w:rPr>
                <w:rFonts w:hAnsi="宋体" w:cs="宋体"/>
                <w:spacing w:val="20"/>
                <w:sz w:val="21"/>
                <w:szCs w:val="21"/>
              </w:rPr>
            </w:pPr>
          </w:p>
        </w:tc>
      </w:tr>
      <w:tr w14:paraId="1028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55BA46D0">
            <w:pPr>
              <w:snapToGrid w:val="0"/>
              <w:spacing w:line="360" w:lineRule="auto"/>
              <w:jc w:val="center"/>
              <w:rPr>
                <w:rFonts w:hAnsi="宋体" w:cs="宋体"/>
                <w:spacing w:val="20"/>
                <w:sz w:val="21"/>
                <w:szCs w:val="21"/>
              </w:rPr>
            </w:pPr>
          </w:p>
        </w:tc>
        <w:tc>
          <w:tcPr>
            <w:tcW w:w="1717" w:type="dxa"/>
            <w:vAlign w:val="center"/>
          </w:tcPr>
          <w:p w14:paraId="4FA999D4">
            <w:pPr>
              <w:snapToGrid w:val="0"/>
              <w:spacing w:line="360" w:lineRule="auto"/>
              <w:jc w:val="center"/>
              <w:rPr>
                <w:rFonts w:hAnsi="宋体" w:cs="宋体"/>
                <w:spacing w:val="20"/>
                <w:sz w:val="21"/>
                <w:szCs w:val="21"/>
              </w:rPr>
            </w:pPr>
          </w:p>
        </w:tc>
        <w:tc>
          <w:tcPr>
            <w:tcW w:w="1794" w:type="dxa"/>
            <w:vAlign w:val="center"/>
          </w:tcPr>
          <w:p w14:paraId="55965557">
            <w:pPr>
              <w:snapToGrid w:val="0"/>
              <w:spacing w:line="360" w:lineRule="auto"/>
              <w:jc w:val="center"/>
              <w:rPr>
                <w:rFonts w:hAnsi="宋体" w:cs="宋体"/>
                <w:spacing w:val="20"/>
                <w:sz w:val="21"/>
                <w:szCs w:val="21"/>
              </w:rPr>
            </w:pPr>
          </w:p>
        </w:tc>
        <w:tc>
          <w:tcPr>
            <w:tcW w:w="1794" w:type="dxa"/>
            <w:vAlign w:val="center"/>
          </w:tcPr>
          <w:p w14:paraId="3236241E">
            <w:pPr>
              <w:snapToGrid w:val="0"/>
              <w:spacing w:line="360" w:lineRule="auto"/>
              <w:jc w:val="center"/>
              <w:rPr>
                <w:rFonts w:hAnsi="宋体" w:cs="宋体"/>
                <w:spacing w:val="20"/>
                <w:sz w:val="21"/>
                <w:szCs w:val="21"/>
              </w:rPr>
            </w:pPr>
          </w:p>
        </w:tc>
        <w:tc>
          <w:tcPr>
            <w:tcW w:w="2753" w:type="dxa"/>
            <w:vAlign w:val="center"/>
          </w:tcPr>
          <w:p w14:paraId="44F938ED">
            <w:pPr>
              <w:snapToGrid w:val="0"/>
              <w:spacing w:line="360" w:lineRule="auto"/>
              <w:jc w:val="center"/>
              <w:rPr>
                <w:rFonts w:hAnsi="宋体" w:cs="宋体"/>
                <w:spacing w:val="20"/>
                <w:sz w:val="21"/>
                <w:szCs w:val="21"/>
              </w:rPr>
            </w:pPr>
          </w:p>
        </w:tc>
      </w:tr>
      <w:tr w14:paraId="671B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71D17C2B">
            <w:pPr>
              <w:snapToGrid w:val="0"/>
              <w:spacing w:line="360" w:lineRule="auto"/>
              <w:jc w:val="center"/>
              <w:rPr>
                <w:rFonts w:hAnsi="宋体" w:cs="宋体"/>
                <w:spacing w:val="20"/>
                <w:sz w:val="21"/>
                <w:szCs w:val="21"/>
              </w:rPr>
            </w:pPr>
          </w:p>
        </w:tc>
        <w:tc>
          <w:tcPr>
            <w:tcW w:w="1717" w:type="dxa"/>
            <w:vAlign w:val="center"/>
          </w:tcPr>
          <w:p w14:paraId="798A89D3">
            <w:pPr>
              <w:snapToGrid w:val="0"/>
              <w:spacing w:line="360" w:lineRule="auto"/>
              <w:jc w:val="center"/>
              <w:rPr>
                <w:rFonts w:hAnsi="宋体" w:cs="宋体"/>
                <w:spacing w:val="20"/>
                <w:sz w:val="21"/>
                <w:szCs w:val="21"/>
              </w:rPr>
            </w:pPr>
          </w:p>
        </w:tc>
        <w:tc>
          <w:tcPr>
            <w:tcW w:w="1794" w:type="dxa"/>
            <w:vAlign w:val="center"/>
          </w:tcPr>
          <w:p w14:paraId="5B5817F2">
            <w:pPr>
              <w:snapToGrid w:val="0"/>
              <w:spacing w:line="360" w:lineRule="auto"/>
              <w:jc w:val="center"/>
              <w:rPr>
                <w:rFonts w:hAnsi="宋体" w:cs="宋体"/>
                <w:spacing w:val="20"/>
                <w:sz w:val="21"/>
                <w:szCs w:val="21"/>
              </w:rPr>
            </w:pPr>
          </w:p>
        </w:tc>
        <w:tc>
          <w:tcPr>
            <w:tcW w:w="1794" w:type="dxa"/>
            <w:vAlign w:val="center"/>
          </w:tcPr>
          <w:p w14:paraId="0B8E4895">
            <w:pPr>
              <w:snapToGrid w:val="0"/>
              <w:spacing w:line="360" w:lineRule="auto"/>
              <w:jc w:val="center"/>
              <w:rPr>
                <w:rFonts w:hAnsi="宋体" w:cs="宋体"/>
                <w:spacing w:val="20"/>
                <w:sz w:val="21"/>
                <w:szCs w:val="21"/>
              </w:rPr>
            </w:pPr>
          </w:p>
        </w:tc>
        <w:tc>
          <w:tcPr>
            <w:tcW w:w="2753" w:type="dxa"/>
            <w:vAlign w:val="center"/>
          </w:tcPr>
          <w:p w14:paraId="48C9DEFF">
            <w:pPr>
              <w:snapToGrid w:val="0"/>
              <w:spacing w:line="360" w:lineRule="auto"/>
              <w:jc w:val="center"/>
              <w:rPr>
                <w:rFonts w:hAnsi="宋体" w:cs="宋体"/>
                <w:spacing w:val="20"/>
                <w:sz w:val="21"/>
                <w:szCs w:val="21"/>
              </w:rPr>
            </w:pPr>
          </w:p>
        </w:tc>
      </w:tr>
    </w:tbl>
    <w:p w14:paraId="0ED90524">
      <w:pPr>
        <w:pStyle w:val="20"/>
        <w:rPr>
          <w:rFonts w:ascii="宋体" w:hAnsi="宋体" w:cs="宋体"/>
          <w:color w:val="auto"/>
          <w:sz w:val="21"/>
          <w:szCs w:val="21"/>
        </w:rPr>
      </w:pPr>
      <w:r>
        <w:rPr>
          <w:rFonts w:hint="eastAsia" w:ascii="宋体" w:hAnsi="宋体" w:cs="宋体"/>
          <w:color w:val="auto"/>
          <w:sz w:val="21"/>
          <w:szCs w:val="21"/>
        </w:rPr>
        <w:t>注：投标人应根据投标设备的性能指标、对照招标文件要求在“偏离情况”栏注明“正偏离”、“负偏离”或“无偏离”。</w:t>
      </w:r>
    </w:p>
    <w:p w14:paraId="5EB5256F">
      <w:pPr>
        <w:snapToGrid w:val="0"/>
        <w:spacing w:before="50" w:after="50"/>
        <w:rPr>
          <w:rFonts w:hAnsi="宋体" w:cs="宋体"/>
          <w:sz w:val="21"/>
          <w:szCs w:val="21"/>
        </w:rPr>
      </w:pPr>
      <w:r>
        <w:rPr>
          <w:rFonts w:hint="eastAsia" w:hAnsi="宋体" w:cs="宋体"/>
          <w:sz w:val="21"/>
          <w:szCs w:val="21"/>
        </w:rPr>
        <w:t>法定代表人或其授权代表签名：</w:t>
      </w:r>
    </w:p>
    <w:p w14:paraId="5398FB03">
      <w:pPr>
        <w:snapToGrid w:val="0"/>
        <w:spacing w:before="50" w:after="50"/>
        <w:rPr>
          <w:rFonts w:hAnsi="宋体" w:cs="宋体"/>
          <w:sz w:val="21"/>
          <w:szCs w:val="21"/>
        </w:rPr>
      </w:pPr>
      <w:r>
        <w:rPr>
          <w:rFonts w:hint="eastAsia" w:hAnsi="宋体" w:cs="宋体"/>
          <w:sz w:val="21"/>
          <w:szCs w:val="21"/>
        </w:rPr>
        <w:t>投标单位盖章：日期：</w:t>
      </w:r>
    </w:p>
    <w:p w14:paraId="06BB89FC">
      <w:pPr>
        <w:pStyle w:val="48"/>
        <w:ind w:firstLine="280"/>
        <w:rPr>
          <w:rFonts w:ascii="宋体" w:hAnsi="宋体" w:cs="宋体"/>
        </w:rPr>
      </w:pPr>
    </w:p>
    <w:p w14:paraId="34D5C982">
      <w:pPr>
        <w:rPr>
          <w:rFonts w:hAnsi="宋体" w:cs="宋体"/>
        </w:rPr>
      </w:pPr>
    </w:p>
    <w:p w14:paraId="033942DE">
      <w:pPr>
        <w:autoSpaceDE/>
        <w:autoSpaceDN/>
        <w:adjustRightInd/>
        <w:spacing w:line="500" w:lineRule="exact"/>
        <w:ind w:firstLine="422" w:firstLineChars="200"/>
        <w:jc w:val="both"/>
        <w:rPr>
          <w:rFonts w:hAnsi="宋体" w:cs="宋体"/>
          <w:b/>
          <w:bCs/>
          <w:sz w:val="21"/>
          <w:szCs w:val="21"/>
        </w:rPr>
      </w:pPr>
      <w:r>
        <w:rPr>
          <w:rFonts w:hint="eastAsia" w:hAnsi="宋体" w:cs="宋体"/>
          <w:b/>
          <w:bCs/>
          <w:sz w:val="21"/>
          <w:szCs w:val="21"/>
        </w:rPr>
        <w:t>9.投标人的调试、安装施工方案，以及质量</w:t>
      </w:r>
      <w:r>
        <w:rPr>
          <w:rFonts w:hint="eastAsia" w:hAnsi="宋体" w:cs="宋体"/>
          <w:b/>
          <w:bCs/>
          <w:sz w:val="21"/>
          <w:szCs w:val="21"/>
          <w:lang w:bidi="ar"/>
        </w:rPr>
        <w:t>与工期保障措施</w:t>
      </w:r>
      <w:r>
        <w:rPr>
          <w:rFonts w:hint="eastAsia" w:hAnsi="宋体" w:cs="宋体"/>
          <w:b/>
          <w:bCs/>
          <w:sz w:val="21"/>
          <w:szCs w:val="21"/>
        </w:rPr>
        <w:t>；</w:t>
      </w:r>
    </w:p>
    <w:p w14:paraId="6C3CA776">
      <w:pPr>
        <w:autoSpaceDE/>
        <w:autoSpaceDN/>
        <w:adjustRightInd/>
        <w:spacing w:line="500" w:lineRule="exact"/>
        <w:ind w:firstLine="422" w:firstLineChars="200"/>
        <w:rPr>
          <w:rFonts w:hAnsi="宋体" w:cs="宋体"/>
          <w:b/>
          <w:bCs/>
          <w:sz w:val="21"/>
          <w:szCs w:val="21"/>
        </w:rPr>
      </w:pPr>
    </w:p>
    <w:p w14:paraId="41C626B4">
      <w:pPr>
        <w:snapToGrid w:val="0"/>
        <w:spacing w:line="500" w:lineRule="exact"/>
        <w:ind w:firstLine="422" w:firstLineChars="200"/>
        <w:rPr>
          <w:rFonts w:hAnsi="宋体" w:cs="宋体"/>
          <w:b/>
          <w:bCs/>
          <w:sz w:val="21"/>
          <w:szCs w:val="21"/>
        </w:rPr>
      </w:pPr>
      <w:r>
        <w:rPr>
          <w:rFonts w:hint="eastAsia" w:hAnsi="宋体" w:cs="宋体"/>
          <w:b/>
          <w:bCs/>
          <w:sz w:val="21"/>
          <w:szCs w:val="21"/>
        </w:rPr>
        <w:t xml:space="preserve">10.优惠条件：供应商承诺给予采购人的各种优惠条件，包括售后服务等方面的优惠； </w:t>
      </w:r>
    </w:p>
    <w:p w14:paraId="1014C707">
      <w:pPr>
        <w:autoSpaceDE/>
        <w:autoSpaceDN/>
        <w:adjustRightInd/>
        <w:spacing w:line="500" w:lineRule="exact"/>
        <w:ind w:firstLine="422" w:firstLineChars="200"/>
        <w:rPr>
          <w:rFonts w:hAnsi="宋体" w:cs="宋体"/>
          <w:b/>
          <w:bCs/>
          <w:sz w:val="21"/>
          <w:szCs w:val="21"/>
        </w:rPr>
      </w:pPr>
    </w:p>
    <w:p w14:paraId="3A32014B">
      <w:pPr>
        <w:autoSpaceDE/>
        <w:autoSpaceDN/>
        <w:adjustRightInd/>
        <w:spacing w:line="500" w:lineRule="exact"/>
        <w:ind w:firstLine="422" w:firstLineChars="200"/>
        <w:rPr>
          <w:rFonts w:hAnsi="宋体" w:cs="宋体"/>
          <w:b/>
          <w:bCs/>
          <w:sz w:val="21"/>
          <w:szCs w:val="21"/>
        </w:rPr>
      </w:pPr>
      <w:r>
        <w:rPr>
          <w:rFonts w:hint="eastAsia" w:hAnsi="宋体" w:cs="宋体"/>
          <w:b/>
          <w:bCs/>
          <w:sz w:val="21"/>
          <w:szCs w:val="21"/>
        </w:rPr>
        <w:t>11.项目验收方案；</w:t>
      </w:r>
    </w:p>
    <w:p w14:paraId="548AD261">
      <w:pPr>
        <w:autoSpaceDE/>
        <w:autoSpaceDN/>
        <w:adjustRightInd/>
        <w:spacing w:line="500" w:lineRule="exact"/>
        <w:ind w:firstLine="422" w:firstLineChars="200"/>
        <w:rPr>
          <w:rFonts w:hAnsi="宋体" w:cs="宋体"/>
          <w:b/>
          <w:bCs/>
          <w:sz w:val="21"/>
          <w:szCs w:val="21"/>
        </w:rPr>
      </w:pPr>
    </w:p>
    <w:p w14:paraId="531A7AE5">
      <w:pPr>
        <w:autoSpaceDE/>
        <w:autoSpaceDN/>
        <w:adjustRightInd/>
        <w:spacing w:line="500" w:lineRule="exact"/>
        <w:ind w:firstLine="422" w:firstLineChars="200"/>
        <w:rPr>
          <w:rFonts w:hAnsi="宋体" w:cs="宋体"/>
          <w:b/>
          <w:bCs/>
          <w:sz w:val="21"/>
          <w:szCs w:val="21"/>
        </w:rPr>
      </w:pPr>
      <w:r>
        <w:rPr>
          <w:rFonts w:hint="eastAsia" w:hAnsi="宋体" w:cs="宋体"/>
          <w:b/>
          <w:bCs/>
          <w:sz w:val="21"/>
          <w:szCs w:val="21"/>
        </w:rPr>
        <w:t>12.评分规则中涉及的所需提供的资料；</w:t>
      </w:r>
    </w:p>
    <w:p w14:paraId="2F6C5543">
      <w:pPr>
        <w:autoSpaceDE/>
        <w:autoSpaceDN/>
        <w:adjustRightInd/>
        <w:spacing w:line="500" w:lineRule="exact"/>
        <w:ind w:firstLine="422" w:firstLineChars="200"/>
        <w:rPr>
          <w:rFonts w:hAnsi="宋体" w:cs="宋体"/>
          <w:b/>
          <w:bCs/>
          <w:sz w:val="21"/>
          <w:szCs w:val="21"/>
        </w:rPr>
      </w:pPr>
    </w:p>
    <w:p w14:paraId="2567F870">
      <w:pPr>
        <w:snapToGrid w:val="0"/>
        <w:spacing w:before="50" w:after="317" w:afterLines="50"/>
        <w:ind w:firstLine="422" w:firstLineChars="200"/>
        <w:rPr>
          <w:rFonts w:hAnsi="宋体" w:cs="宋体"/>
          <w:b/>
          <w:bCs/>
          <w:sz w:val="24"/>
        </w:rPr>
      </w:pPr>
      <w:r>
        <w:rPr>
          <w:rFonts w:hint="eastAsia" w:hAnsi="宋体" w:cs="宋体"/>
          <w:b/>
          <w:bCs/>
          <w:sz w:val="21"/>
          <w:szCs w:val="21"/>
        </w:rPr>
        <w:t>13.投标人需要说明的其他文件和说明（格式略）</w:t>
      </w:r>
    </w:p>
    <w:p w14:paraId="781FA5CD">
      <w:pPr>
        <w:pStyle w:val="67"/>
        <w:rPr>
          <w:rFonts w:ascii="宋体" w:hAnsi="宋体" w:cs="宋体"/>
          <w:b/>
          <w:color w:val="auto"/>
          <w:sz w:val="21"/>
          <w:szCs w:val="21"/>
        </w:rPr>
      </w:pPr>
    </w:p>
    <w:p w14:paraId="6E73DBEB">
      <w:pPr>
        <w:pStyle w:val="67"/>
        <w:rPr>
          <w:rFonts w:ascii="宋体" w:hAnsi="宋体" w:cs="宋体"/>
          <w:b/>
          <w:color w:val="auto"/>
          <w:sz w:val="21"/>
          <w:szCs w:val="21"/>
        </w:rPr>
      </w:pPr>
    </w:p>
    <w:p w14:paraId="71D255A8">
      <w:pPr>
        <w:pStyle w:val="67"/>
        <w:rPr>
          <w:rFonts w:ascii="宋体" w:hAnsi="宋体" w:cs="宋体"/>
          <w:b/>
          <w:color w:val="auto"/>
          <w:sz w:val="21"/>
          <w:szCs w:val="21"/>
        </w:rPr>
      </w:pPr>
    </w:p>
    <w:p w14:paraId="630156B1">
      <w:pPr>
        <w:spacing w:line="300" w:lineRule="auto"/>
        <w:rPr>
          <w:rFonts w:hAnsi="宋体" w:cs="宋体"/>
          <w:b/>
          <w:bCs/>
          <w:sz w:val="21"/>
          <w:szCs w:val="21"/>
        </w:rPr>
      </w:pPr>
      <w:r>
        <w:rPr>
          <w:rFonts w:hint="eastAsia" w:hAnsi="宋体" w:cs="宋体"/>
          <w:b/>
          <w:bCs/>
          <w:sz w:val="21"/>
          <w:szCs w:val="21"/>
        </w:rPr>
        <w:t>（三）报价文件部分</w:t>
      </w:r>
    </w:p>
    <w:p w14:paraId="6C44F6F0">
      <w:pPr>
        <w:snapToGrid w:val="0"/>
        <w:spacing w:line="500" w:lineRule="exact"/>
        <w:rPr>
          <w:rFonts w:hAnsi="宋体" w:cs="宋体"/>
          <w:sz w:val="21"/>
          <w:szCs w:val="21"/>
        </w:rPr>
      </w:pPr>
      <w:r>
        <w:rPr>
          <w:rFonts w:hint="eastAsia" w:hAnsi="宋体" w:cs="宋体"/>
          <w:sz w:val="21"/>
          <w:szCs w:val="21"/>
        </w:rPr>
        <w:t>1.投标函格式：</w:t>
      </w:r>
    </w:p>
    <w:p w14:paraId="698D5645">
      <w:pPr>
        <w:snapToGrid w:val="0"/>
        <w:spacing w:line="500" w:lineRule="exact"/>
        <w:jc w:val="center"/>
        <w:rPr>
          <w:rFonts w:hAnsi="宋体" w:cs="宋体"/>
          <w:b/>
          <w:sz w:val="21"/>
          <w:szCs w:val="21"/>
        </w:rPr>
      </w:pPr>
      <w:r>
        <w:rPr>
          <w:rFonts w:hint="eastAsia" w:hAnsi="宋体" w:cs="宋体"/>
          <w:b/>
          <w:sz w:val="21"/>
          <w:szCs w:val="21"/>
        </w:rPr>
        <w:t>投标函</w:t>
      </w:r>
    </w:p>
    <w:p w14:paraId="37DB01D2">
      <w:pPr>
        <w:snapToGrid w:val="0"/>
        <w:spacing w:line="500" w:lineRule="exact"/>
        <w:rPr>
          <w:rFonts w:hAnsi="宋体" w:cs="宋体"/>
          <w:sz w:val="21"/>
          <w:szCs w:val="21"/>
        </w:rPr>
      </w:pPr>
      <w:r>
        <w:rPr>
          <w:rFonts w:hint="eastAsia" w:hAnsi="宋体" w:cs="宋体"/>
          <w:sz w:val="21"/>
          <w:szCs w:val="21"/>
        </w:rPr>
        <w:t>致：_________（招标采购单位名称）：</w:t>
      </w:r>
    </w:p>
    <w:p w14:paraId="41907D7A">
      <w:pPr>
        <w:snapToGrid w:val="0"/>
        <w:spacing w:line="500" w:lineRule="exact"/>
        <w:ind w:firstLine="480"/>
        <w:rPr>
          <w:rFonts w:hAnsi="宋体" w:cs="宋体"/>
          <w:sz w:val="21"/>
          <w:szCs w:val="21"/>
        </w:rPr>
      </w:pPr>
      <w:r>
        <w:rPr>
          <w:rFonts w:hint="eastAsia" w:hAnsi="宋体" w:cs="宋体"/>
          <w:sz w:val="21"/>
          <w:szCs w:val="21"/>
        </w:rPr>
        <w:t>根据贵方为</w:t>
      </w:r>
      <w:r>
        <w:rPr>
          <w:rFonts w:hint="eastAsia" w:hAnsi="宋体" w:cs="宋体"/>
          <w:sz w:val="21"/>
          <w:szCs w:val="21"/>
          <w:u w:val="single"/>
        </w:rPr>
        <w:t xml:space="preserve">                  </w:t>
      </w:r>
      <w:r>
        <w:rPr>
          <w:rFonts w:hint="eastAsia" w:hAnsi="宋体" w:cs="宋体"/>
          <w:sz w:val="21"/>
          <w:szCs w:val="21"/>
        </w:rPr>
        <w:t>项目的招标公告/投标邀请书</w:t>
      </w:r>
    </w:p>
    <w:p w14:paraId="75686978">
      <w:pPr>
        <w:snapToGrid w:val="0"/>
        <w:spacing w:line="500" w:lineRule="exact"/>
        <w:rPr>
          <w:rFonts w:hAnsi="宋体" w:cs="宋体"/>
          <w:sz w:val="21"/>
          <w:szCs w:val="21"/>
        </w:rPr>
      </w:pPr>
      <w:r>
        <w:rPr>
          <w:rFonts w:hint="eastAsia" w:hAnsi="宋体" w:cs="宋体"/>
          <w:sz w:val="21"/>
          <w:szCs w:val="21"/>
        </w:rPr>
        <w:t>（项目编号：_______），签字代表_______（全名）经正式授权并代表投标人_________（投标人名称）提交文件。</w:t>
      </w:r>
    </w:p>
    <w:p w14:paraId="0F3367AF">
      <w:pPr>
        <w:snapToGrid w:val="0"/>
        <w:spacing w:line="500" w:lineRule="exact"/>
        <w:ind w:firstLine="420" w:firstLineChars="200"/>
        <w:rPr>
          <w:rFonts w:hAnsi="宋体" w:cs="宋体"/>
          <w:sz w:val="21"/>
          <w:szCs w:val="21"/>
        </w:rPr>
      </w:pPr>
      <w:r>
        <w:rPr>
          <w:rFonts w:hint="eastAsia" w:hAnsi="宋体" w:cs="宋体"/>
          <w:sz w:val="21"/>
          <w:szCs w:val="21"/>
        </w:rPr>
        <w:t>据此函，签字代表宣布同意如下：</w:t>
      </w:r>
    </w:p>
    <w:p w14:paraId="419D44D1">
      <w:pPr>
        <w:snapToGrid w:val="0"/>
        <w:spacing w:line="500" w:lineRule="exact"/>
        <w:ind w:firstLine="420" w:firstLineChars="200"/>
        <w:rPr>
          <w:rFonts w:hAnsi="宋体" w:cs="宋体"/>
          <w:sz w:val="21"/>
          <w:szCs w:val="21"/>
        </w:rPr>
      </w:pPr>
      <w:r>
        <w:rPr>
          <w:rFonts w:hint="eastAsia" w:hAnsi="宋体" w:cs="宋体"/>
          <w:sz w:val="21"/>
          <w:szCs w:val="21"/>
        </w:rPr>
        <w:t>1.我方自愿按照招标文件规定的各项要求向招标人提供产品和服务。投标报价总金额为</w:t>
      </w:r>
      <w:r>
        <w:rPr>
          <w:rFonts w:hint="eastAsia" w:hAnsi="宋体" w:cs="宋体"/>
          <w:sz w:val="21"/>
          <w:szCs w:val="21"/>
          <w:u w:val="single"/>
        </w:rPr>
        <w:t xml:space="preserve">      </w:t>
      </w:r>
      <w:r>
        <w:rPr>
          <w:rFonts w:hint="eastAsia" w:hAnsi="宋体" w:cs="宋体"/>
          <w:sz w:val="21"/>
          <w:szCs w:val="21"/>
        </w:rPr>
        <w:t>元，大写人民币</w:t>
      </w:r>
      <w:r>
        <w:rPr>
          <w:rFonts w:hint="eastAsia" w:hAnsi="宋体" w:cs="宋体"/>
          <w:sz w:val="21"/>
          <w:szCs w:val="21"/>
          <w:u w:val="single"/>
        </w:rPr>
        <w:t xml:space="preserve">                </w:t>
      </w:r>
      <w:r>
        <w:rPr>
          <w:rFonts w:hint="eastAsia" w:hAnsi="宋体" w:cs="宋体"/>
          <w:sz w:val="21"/>
          <w:szCs w:val="21"/>
        </w:rPr>
        <w:t>。</w:t>
      </w:r>
    </w:p>
    <w:p w14:paraId="4AD1F2EF">
      <w:pPr>
        <w:snapToGrid w:val="0"/>
        <w:spacing w:line="500" w:lineRule="exact"/>
        <w:ind w:firstLine="420" w:firstLineChars="200"/>
        <w:rPr>
          <w:rFonts w:hAnsi="宋体" w:cs="宋体"/>
          <w:sz w:val="21"/>
          <w:szCs w:val="21"/>
        </w:rPr>
      </w:pPr>
      <w:r>
        <w:rPr>
          <w:rFonts w:hint="eastAsia" w:hAnsi="宋体" w:cs="宋体"/>
          <w:sz w:val="21"/>
          <w:szCs w:val="21"/>
        </w:rPr>
        <w:t>2.我方已详细审查全部“招标文件”，包括修改文件（如有的话）以及全部参考资料和有关附件，已经了解我方对于招标文件、采购过程、采购结果有依法进行询问、质疑、投诉的权利及相关渠道和要求。</w:t>
      </w:r>
    </w:p>
    <w:p w14:paraId="0BE6F571">
      <w:pPr>
        <w:snapToGrid w:val="0"/>
        <w:spacing w:line="500" w:lineRule="exact"/>
        <w:ind w:firstLine="420" w:firstLineChars="200"/>
        <w:rPr>
          <w:rFonts w:hAnsi="宋体" w:cs="宋体"/>
          <w:sz w:val="21"/>
          <w:szCs w:val="21"/>
        </w:rPr>
      </w:pPr>
      <w:r>
        <w:rPr>
          <w:rFonts w:hint="eastAsia" w:hAnsi="宋体" w:cs="宋体"/>
          <w:sz w:val="21"/>
          <w:szCs w:val="21"/>
        </w:rPr>
        <w:t>3.我方在投标之前已经与贵方进行了充分的沟通，完全理解并接受招标文件的各项规定和要求，对招标文件的合理性、合法性不再有异议。</w:t>
      </w:r>
    </w:p>
    <w:p w14:paraId="0B17177F">
      <w:pPr>
        <w:snapToGrid w:val="0"/>
        <w:spacing w:line="500" w:lineRule="exact"/>
        <w:ind w:firstLine="420" w:firstLineChars="200"/>
        <w:rPr>
          <w:rFonts w:hAnsi="宋体" w:cs="宋体"/>
          <w:sz w:val="21"/>
          <w:szCs w:val="21"/>
        </w:rPr>
      </w:pPr>
      <w:r>
        <w:rPr>
          <w:rFonts w:hint="eastAsia" w:hAnsi="宋体" w:cs="宋体"/>
          <w:sz w:val="21"/>
          <w:szCs w:val="21"/>
        </w:rPr>
        <w:t>4.本投标有效期自开标截止日起_90_天。</w:t>
      </w:r>
    </w:p>
    <w:p w14:paraId="754B5838">
      <w:pPr>
        <w:snapToGrid w:val="0"/>
        <w:spacing w:line="500" w:lineRule="exact"/>
        <w:ind w:firstLine="420" w:firstLineChars="200"/>
        <w:rPr>
          <w:rFonts w:hAnsi="宋体" w:cs="宋体"/>
          <w:sz w:val="21"/>
          <w:szCs w:val="21"/>
        </w:rPr>
      </w:pPr>
      <w:r>
        <w:rPr>
          <w:rFonts w:hint="eastAsia" w:hAnsi="宋体" w:cs="宋体"/>
          <w:sz w:val="21"/>
          <w:szCs w:val="21"/>
        </w:rPr>
        <w:t>5.如中标，本投标文件至本项目合同履行完毕止均保持有效，本投标人将按“招标文件”及政府采购法律、法规的规定履行合同责任和义务。</w:t>
      </w:r>
    </w:p>
    <w:p w14:paraId="732C7AFF">
      <w:pPr>
        <w:snapToGrid w:val="0"/>
        <w:spacing w:line="500" w:lineRule="exact"/>
        <w:ind w:firstLine="420" w:firstLineChars="200"/>
        <w:rPr>
          <w:rFonts w:hAnsi="宋体" w:cs="宋体"/>
          <w:sz w:val="21"/>
          <w:szCs w:val="21"/>
        </w:rPr>
      </w:pPr>
      <w:r>
        <w:rPr>
          <w:rFonts w:hint="eastAsia" w:hAnsi="宋体" w:cs="宋体"/>
          <w:sz w:val="21"/>
          <w:szCs w:val="21"/>
        </w:rPr>
        <w:t>6.投标人同意按照贵方要求提供与投标有关的一切数据或资料。</w:t>
      </w:r>
    </w:p>
    <w:p w14:paraId="06F5E4A1">
      <w:pPr>
        <w:snapToGrid w:val="0"/>
        <w:spacing w:line="500" w:lineRule="exact"/>
        <w:ind w:firstLine="420" w:firstLineChars="200"/>
        <w:rPr>
          <w:rFonts w:hAnsi="宋体" w:cs="宋体"/>
          <w:sz w:val="21"/>
          <w:szCs w:val="21"/>
        </w:rPr>
      </w:pPr>
      <w:r>
        <w:rPr>
          <w:rFonts w:hint="eastAsia" w:hAnsi="宋体" w:cs="宋体"/>
          <w:sz w:val="21"/>
          <w:szCs w:val="21"/>
        </w:rPr>
        <w:t>7.与本投标有关的一切正式往来信函请寄：</w:t>
      </w:r>
    </w:p>
    <w:p w14:paraId="67B98721">
      <w:pPr>
        <w:snapToGrid w:val="0"/>
        <w:spacing w:line="500" w:lineRule="exact"/>
        <w:rPr>
          <w:rFonts w:hAnsi="宋体" w:cs="宋体"/>
          <w:sz w:val="21"/>
          <w:szCs w:val="21"/>
        </w:rPr>
      </w:pPr>
      <w:r>
        <w:rPr>
          <w:rFonts w:hint="eastAsia" w:hAnsi="宋体" w:cs="宋体"/>
          <w:sz w:val="21"/>
          <w:szCs w:val="21"/>
        </w:rPr>
        <w:t>地址：_______________邮编：__________电话：______________</w:t>
      </w:r>
    </w:p>
    <w:p w14:paraId="1611DF0A">
      <w:pPr>
        <w:snapToGrid w:val="0"/>
        <w:spacing w:line="500" w:lineRule="exact"/>
        <w:rPr>
          <w:rFonts w:hAnsi="宋体" w:cs="宋体"/>
          <w:sz w:val="21"/>
          <w:szCs w:val="21"/>
        </w:rPr>
      </w:pPr>
      <w:r>
        <w:rPr>
          <w:rFonts w:hint="eastAsia" w:hAnsi="宋体" w:cs="宋体"/>
          <w:sz w:val="21"/>
          <w:szCs w:val="21"/>
        </w:rPr>
        <w:t>传真：______________投标人代表姓名___________职务：_____________</w:t>
      </w:r>
    </w:p>
    <w:p w14:paraId="3B2F64DC">
      <w:pPr>
        <w:snapToGrid w:val="0"/>
        <w:spacing w:line="500" w:lineRule="exact"/>
        <w:rPr>
          <w:rFonts w:hAnsi="宋体" w:cs="宋体"/>
          <w:sz w:val="21"/>
          <w:szCs w:val="21"/>
        </w:rPr>
      </w:pPr>
      <w:r>
        <w:rPr>
          <w:rFonts w:hint="eastAsia" w:hAnsi="宋体" w:cs="宋体"/>
          <w:sz w:val="21"/>
          <w:szCs w:val="21"/>
        </w:rPr>
        <w:t>投标人名称（公章）:___________________</w:t>
      </w:r>
    </w:p>
    <w:p w14:paraId="3911AFE8">
      <w:pPr>
        <w:snapToGrid w:val="0"/>
        <w:spacing w:line="500" w:lineRule="exact"/>
        <w:rPr>
          <w:rFonts w:hAnsi="宋体" w:cs="宋体"/>
          <w:sz w:val="21"/>
          <w:szCs w:val="21"/>
        </w:rPr>
      </w:pPr>
      <w:r>
        <w:rPr>
          <w:rFonts w:hint="eastAsia" w:hAnsi="宋体" w:cs="宋体"/>
          <w:sz w:val="21"/>
          <w:szCs w:val="21"/>
        </w:rPr>
        <w:t>开户银行：___________________银行账号：___________________</w:t>
      </w:r>
    </w:p>
    <w:p w14:paraId="31601888">
      <w:pPr>
        <w:snapToGrid w:val="0"/>
        <w:spacing w:line="500" w:lineRule="exact"/>
        <w:rPr>
          <w:rFonts w:hAnsi="宋体" w:cs="宋体"/>
          <w:sz w:val="21"/>
          <w:szCs w:val="21"/>
        </w:rPr>
      </w:pPr>
      <w:r>
        <w:rPr>
          <w:rFonts w:hint="eastAsia" w:hAnsi="宋体" w:cs="宋体"/>
          <w:sz w:val="21"/>
          <w:szCs w:val="21"/>
        </w:rPr>
        <w:t>法定代表人或授权代表签名：___________日期：_____年___月___日</w:t>
      </w:r>
    </w:p>
    <w:p w14:paraId="6F991854">
      <w:pPr>
        <w:pStyle w:val="26"/>
        <w:snapToGrid w:val="0"/>
        <w:spacing w:before="295" w:after="295"/>
        <w:rPr>
          <w:rFonts w:ascii="宋体" w:hAnsi="宋体" w:cs="宋体"/>
        </w:rPr>
      </w:pPr>
    </w:p>
    <w:p w14:paraId="2EE5CFFC">
      <w:pPr>
        <w:pStyle w:val="26"/>
        <w:snapToGrid w:val="0"/>
        <w:spacing w:before="295" w:after="295"/>
        <w:rPr>
          <w:rFonts w:ascii="宋体" w:hAnsi="宋体" w:cs="宋体"/>
          <w:bCs/>
          <w:sz w:val="21"/>
        </w:rPr>
      </w:pPr>
      <w:r>
        <w:rPr>
          <w:rFonts w:hint="eastAsia" w:ascii="宋体" w:hAnsi="宋体" w:cs="宋体"/>
          <w:bCs/>
          <w:sz w:val="24"/>
        </w:rPr>
        <w:br w:type="page"/>
      </w:r>
    </w:p>
    <w:p w14:paraId="7E67E06C">
      <w:pPr>
        <w:snapToGrid w:val="0"/>
        <w:spacing w:before="50" w:after="50"/>
        <w:jc w:val="center"/>
        <w:rPr>
          <w:rFonts w:hAnsi="宋体" w:cs="宋体"/>
          <w:sz w:val="21"/>
          <w:szCs w:val="21"/>
        </w:rPr>
      </w:pPr>
      <w:r>
        <w:rPr>
          <w:rFonts w:hint="eastAsia" w:hAnsi="宋体" w:cs="宋体"/>
          <w:sz w:val="21"/>
          <w:szCs w:val="21"/>
        </w:rPr>
        <w:t>2.开标（报价）一览表</w:t>
      </w:r>
    </w:p>
    <w:tbl>
      <w:tblPr>
        <w:tblStyle w:val="50"/>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5"/>
        <w:gridCol w:w="7270"/>
      </w:tblGrid>
      <w:tr w14:paraId="4F156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025" w:type="dxa"/>
            <w:tcBorders>
              <w:top w:val="single" w:color="auto" w:sz="4" w:space="0"/>
              <w:left w:val="single" w:color="auto" w:sz="4" w:space="0"/>
              <w:bottom w:val="single" w:color="auto" w:sz="4" w:space="0"/>
              <w:right w:val="single" w:color="auto" w:sz="4" w:space="0"/>
            </w:tcBorders>
            <w:vAlign w:val="center"/>
          </w:tcPr>
          <w:p w14:paraId="0B04CDFA">
            <w:pPr>
              <w:snapToGrid w:val="0"/>
              <w:spacing w:line="460" w:lineRule="exact"/>
              <w:jc w:val="center"/>
              <w:rPr>
                <w:rFonts w:hAnsi="宋体" w:cs="宋体"/>
                <w:sz w:val="21"/>
                <w:szCs w:val="21"/>
              </w:rPr>
            </w:pPr>
            <w:r>
              <w:rPr>
                <w:rFonts w:hint="eastAsia" w:hAnsi="宋体" w:cs="宋体"/>
                <w:sz w:val="21"/>
                <w:szCs w:val="21"/>
              </w:rPr>
              <w:t>项目编号</w:t>
            </w:r>
          </w:p>
        </w:tc>
        <w:tc>
          <w:tcPr>
            <w:tcW w:w="7270" w:type="dxa"/>
            <w:tcBorders>
              <w:top w:val="single" w:color="auto" w:sz="4" w:space="0"/>
              <w:left w:val="single" w:color="auto" w:sz="4" w:space="0"/>
              <w:bottom w:val="single" w:color="auto" w:sz="4" w:space="0"/>
              <w:right w:val="single" w:color="auto" w:sz="4" w:space="0"/>
            </w:tcBorders>
          </w:tcPr>
          <w:p w14:paraId="585EA6D1">
            <w:pPr>
              <w:snapToGrid w:val="0"/>
              <w:spacing w:line="460" w:lineRule="exact"/>
              <w:jc w:val="center"/>
              <w:rPr>
                <w:rFonts w:hAnsi="宋体" w:cs="宋体"/>
                <w:sz w:val="21"/>
                <w:szCs w:val="21"/>
              </w:rPr>
            </w:pPr>
          </w:p>
        </w:tc>
      </w:tr>
      <w:tr w14:paraId="70093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2025" w:type="dxa"/>
            <w:tcBorders>
              <w:top w:val="single" w:color="auto" w:sz="4" w:space="0"/>
              <w:left w:val="single" w:color="auto" w:sz="4" w:space="0"/>
              <w:bottom w:val="single" w:color="auto" w:sz="4" w:space="0"/>
              <w:right w:val="single" w:color="auto" w:sz="4" w:space="0"/>
            </w:tcBorders>
            <w:vAlign w:val="center"/>
          </w:tcPr>
          <w:p w14:paraId="4B81DAC6">
            <w:pPr>
              <w:snapToGrid w:val="0"/>
              <w:spacing w:line="460" w:lineRule="exact"/>
              <w:jc w:val="center"/>
              <w:rPr>
                <w:rFonts w:hAnsi="宋体" w:cs="宋体"/>
                <w:sz w:val="21"/>
                <w:szCs w:val="21"/>
              </w:rPr>
            </w:pPr>
            <w:r>
              <w:rPr>
                <w:rFonts w:hint="eastAsia" w:hAnsi="宋体" w:cs="宋体"/>
                <w:sz w:val="21"/>
                <w:szCs w:val="21"/>
              </w:rPr>
              <w:t>投标项目名称</w:t>
            </w:r>
          </w:p>
        </w:tc>
        <w:tc>
          <w:tcPr>
            <w:tcW w:w="7270" w:type="dxa"/>
            <w:tcBorders>
              <w:top w:val="single" w:color="auto" w:sz="4" w:space="0"/>
              <w:left w:val="single" w:color="auto" w:sz="4" w:space="0"/>
              <w:bottom w:val="single" w:color="auto" w:sz="4" w:space="0"/>
              <w:right w:val="single" w:color="auto" w:sz="4" w:space="0"/>
            </w:tcBorders>
          </w:tcPr>
          <w:p w14:paraId="1F813A58">
            <w:pPr>
              <w:snapToGrid w:val="0"/>
              <w:spacing w:line="460" w:lineRule="exact"/>
              <w:jc w:val="center"/>
              <w:rPr>
                <w:rFonts w:hAnsi="宋体" w:cs="宋体"/>
                <w:sz w:val="21"/>
                <w:szCs w:val="21"/>
              </w:rPr>
            </w:pPr>
          </w:p>
        </w:tc>
      </w:tr>
      <w:tr w14:paraId="14330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5" w:hRule="atLeast"/>
        </w:trPr>
        <w:tc>
          <w:tcPr>
            <w:tcW w:w="2025" w:type="dxa"/>
            <w:tcBorders>
              <w:top w:val="nil"/>
            </w:tcBorders>
            <w:vAlign w:val="center"/>
          </w:tcPr>
          <w:p w14:paraId="74E5C978">
            <w:pPr>
              <w:spacing w:line="460" w:lineRule="exact"/>
              <w:jc w:val="center"/>
              <w:rPr>
                <w:rFonts w:hAnsi="宋体" w:cs="宋体"/>
                <w:sz w:val="21"/>
                <w:szCs w:val="21"/>
              </w:rPr>
            </w:pPr>
            <w:r>
              <w:rPr>
                <w:rFonts w:hint="eastAsia" w:hAnsi="宋体" w:cs="宋体"/>
                <w:sz w:val="21"/>
                <w:szCs w:val="21"/>
              </w:rPr>
              <w:t>投标报价</w:t>
            </w:r>
          </w:p>
        </w:tc>
        <w:tc>
          <w:tcPr>
            <w:tcW w:w="7270" w:type="dxa"/>
            <w:tcBorders>
              <w:top w:val="nil"/>
            </w:tcBorders>
            <w:vAlign w:val="center"/>
          </w:tcPr>
          <w:p w14:paraId="11AE85C8">
            <w:pPr>
              <w:spacing w:line="460" w:lineRule="exact"/>
              <w:ind w:firstLine="211" w:firstLineChars="100"/>
              <w:jc w:val="both"/>
              <w:rPr>
                <w:rFonts w:hAnsi="宋体" w:cs="宋体"/>
                <w:b/>
                <w:sz w:val="21"/>
                <w:szCs w:val="21"/>
              </w:rPr>
            </w:pPr>
          </w:p>
          <w:p w14:paraId="0BEB2A75">
            <w:pPr>
              <w:spacing w:line="460" w:lineRule="exact"/>
              <w:ind w:firstLine="211" w:firstLineChars="100"/>
              <w:jc w:val="both"/>
              <w:rPr>
                <w:rFonts w:hAnsi="宋体" w:cs="宋体"/>
                <w:b/>
                <w:sz w:val="21"/>
                <w:szCs w:val="21"/>
              </w:rPr>
            </w:pPr>
            <w:r>
              <w:rPr>
                <w:rFonts w:hint="eastAsia" w:hAnsi="宋体" w:cs="宋体"/>
                <w:b/>
                <w:sz w:val="21"/>
                <w:szCs w:val="21"/>
              </w:rPr>
              <w:t>小写：</w:t>
            </w:r>
            <w:r>
              <w:rPr>
                <w:rFonts w:hint="eastAsia" w:hAnsi="宋体" w:cs="宋体"/>
                <w:b/>
                <w:sz w:val="21"/>
                <w:szCs w:val="21"/>
                <w:u w:val="single"/>
              </w:rPr>
              <w:t xml:space="preserve">        </w:t>
            </w:r>
            <w:r>
              <w:rPr>
                <w:rFonts w:hint="eastAsia" w:hAnsi="宋体" w:cs="宋体"/>
                <w:b/>
                <w:sz w:val="21"/>
                <w:szCs w:val="21"/>
              </w:rPr>
              <w:t>元</w:t>
            </w:r>
          </w:p>
          <w:p w14:paraId="2AF95771">
            <w:pPr>
              <w:spacing w:line="460" w:lineRule="exact"/>
              <w:ind w:firstLine="211" w:firstLineChars="100"/>
              <w:jc w:val="both"/>
              <w:rPr>
                <w:rFonts w:hAnsi="宋体" w:cs="宋体"/>
                <w:b/>
                <w:sz w:val="21"/>
                <w:szCs w:val="21"/>
              </w:rPr>
            </w:pPr>
          </w:p>
          <w:p w14:paraId="34ED7739">
            <w:pPr>
              <w:spacing w:line="460" w:lineRule="exact"/>
              <w:ind w:firstLine="211" w:firstLineChars="100"/>
              <w:jc w:val="both"/>
              <w:rPr>
                <w:rFonts w:hAnsi="宋体" w:cs="宋体"/>
                <w:sz w:val="21"/>
                <w:szCs w:val="21"/>
              </w:rPr>
            </w:pPr>
            <w:r>
              <w:rPr>
                <w:rFonts w:hint="eastAsia" w:hAnsi="宋体" w:cs="宋体"/>
                <w:b/>
                <w:sz w:val="21"/>
                <w:szCs w:val="21"/>
              </w:rPr>
              <w:t>大写：人民币</w:t>
            </w:r>
          </w:p>
        </w:tc>
      </w:tr>
      <w:tr w14:paraId="4E22E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2" w:hRule="atLeast"/>
        </w:trPr>
        <w:tc>
          <w:tcPr>
            <w:tcW w:w="2025" w:type="dxa"/>
            <w:vAlign w:val="center"/>
          </w:tcPr>
          <w:p w14:paraId="61889836">
            <w:pPr>
              <w:snapToGrid w:val="0"/>
              <w:spacing w:line="400" w:lineRule="exact"/>
              <w:jc w:val="center"/>
              <w:rPr>
                <w:rFonts w:hAnsi="宋体" w:cs="宋体"/>
                <w:sz w:val="21"/>
                <w:szCs w:val="21"/>
              </w:rPr>
            </w:pPr>
            <w:r>
              <w:rPr>
                <w:rFonts w:hint="eastAsia" w:hAnsi="宋体" w:cs="宋体"/>
                <w:sz w:val="21"/>
                <w:szCs w:val="21"/>
              </w:rPr>
              <w:t>报价说明</w:t>
            </w:r>
          </w:p>
        </w:tc>
        <w:tc>
          <w:tcPr>
            <w:tcW w:w="7270" w:type="dxa"/>
            <w:vAlign w:val="center"/>
          </w:tcPr>
          <w:p w14:paraId="5B5E4861">
            <w:pPr>
              <w:widowControl/>
              <w:snapToGrid w:val="0"/>
              <w:spacing w:line="400" w:lineRule="exact"/>
              <w:jc w:val="both"/>
              <w:rPr>
                <w:rFonts w:hAnsi="宋体" w:cs="宋体"/>
                <w:sz w:val="21"/>
                <w:szCs w:val="21"/>
                <w:u w:val="single"/>
              </w:rPr>
            </w:pPr>
            <w:r>
              <w:rPr>
                <w:rFonts w:hint="eastAsia" w:hAnsi="宋体" w:cs="宋体"/>
                <w:sz w:val="21"/>
                <w:szCs w:val="21"/>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23D277E5">
      <w:pPr>
        <w:snapToGrid w:val="0"/>
        <w:spacing w:before="50" w:after="50" w:line="460" w:lineRule="exact"/>
        <w:rPr>
          <w:rFonts w:hAnsi="宋体" w:cs="宋体"/>
          <w:b/>
          <w:sz w:val="21"/>
          <w:szCs w:val="21"/>
        </w:rPr>
      </w:pPr>
      <w:r>
        <w:rPr>
          <w:rFonts w:hint="eastAsia" w:hAnsi="宋体" w:cs="宋体"/>
          <w:sz w:val="21"/>
          <w:szCs w:val="21"/>
        </w:rPr>
        <w:t xml:space="preserve"> </w:t>
      </w:r>
      <w:r>
        <w:rPr>
          <w:rFonts w:hint="eastAsia" w:hAnsi="宋体" w:cs="宋体"/>
          <w:b/>
          <w:sz w:val="21"/>
          <w:szCs w:val="21"/>
        </w:rPr>
        <w:t xml:space="preserve"> </w:t>
      </w:r>
      <w:r>
        <w:rPr>
          <w:rFonts w:hint="eastAsia" w:hAnsi="宋体" w:cs="宋体"/>
          <w:sz w:val="21"/>
          <w:szCs w:val="21"/>
        </w:rPr>
        <w:t>注：1.报价一经涂改，应在涂改处加盖单位公章或者由法定代表人或授权委托人签字或盖章，否则其投标作无效标处理。</w:t>
      </w:r>
    </w:p>
    <w:p w14:paraId="0AE85910">
      <w:pPr>
        <w:snapToGrid w:val="0"/>
        <w:spacing w:line="500" w:lineRule="exact"/>
        <w:jc w:val="both"/>
        <w:rPr>
          <w:rFonts w:hAnsi="宋体" w:cs="宋体"/>
          <w:sz w:val="21"/>
          <w:szCs w:val="21"/>
          <w:u w:val="single"/>
        </w:rPr>
      </w:pPr>
      <w:r>
        <w:rPr>
          <w:rFonts w:hint="eastAsia" w:hAnsi="宋体" w:cs="宋体"/>
          <w:b/>
          <w:bCs/>
          <w:sz w:val="21"/>
          <w:szCs w:val="21"/>
        </w:rPr>
        <w:t xml:space="preserve">   2.投标人不得进行影响产品（或服务、工程）质量或者诚信履约的恶意报价。投标人报价低于项目预算50%的，应当详细阐述不影响产品（或服务、工程）质量或者诚信履约的具体原因如下：</w:t>
      </w:r>
      <w:r>
        <w:rPr>
          <w:rFonts w:hint="eastAsia" w:hAnsi="宋体" w:cs="宋体"/>
          <w:sz w:val="21"/>
          <w:szCs w:val="21"/>
          <w:u w:val="single"/>
        </w:rPr>
        <w:t xml:space="preserve">    。</w:t>
      </w:r>
    </w:p>
    <w:p w14:paraId="408D119D">
      <w:pPr>
        <w:snapToGrid w:val="0"/>
        <w:spacing w:line="500" w:lineRule="exact"/>
        <w:jc w:val="both"/>
        <w:rPr>
          <w:rFonts w:hAnsi="宋体" w:cs="宋体"/>
          <w:sz w:val="21"/>
          <w:szCs w:val="21"/>
        </w:rPr>
      </w:pPr>
      <w:r>
        <w:rPr>
          <w:rFonts w:hint="eastAsia" w:hAnsi="宋体" w:cs="宋体"/>
          <w:sz w:val="21"/>
          <w:szCs w:val="21"/>
        </w:rPr>
        <w:t xml:space="preserve">投标单位（盖章）：                                 </w:t>
      </w:r>
    </w:p>
    <w:p w14:paraId="08E3374F">
      <w:pPr>
        <w:snapToGrid w:val="0"/>
        <w:spacing w:line="500" w:lineRule="exact"/>
        <w:jc w:val="both"/>
        <w:rPr>
          <w:rFonts w:hAnsi="宋体" w:cs="宋体"/>
          <w:sz w:val="21"/>
          <w:szCs w:val="21"/>
        </w:rPr>
      </w:pPr>
      <w:r>
        <w:rPr>
          <w:rFonts w:hint="eastAsia" w:hAnsi="宋体" w:cs="宋体"/>
          <w:sz w:val="21"/>
          <w:szCs w:val="21"/>
        </w:rPr>
        <w:t xml:space="preserve">法定代表人或其授权代表签字：                </w:t>
      </w:r>
    </w:p>
    <w:p w14:paraId="7DC2E445">
      <w:pPr>
        <w:snapToGrid w:val="0"/>
        <w:spacing w:line="500" w:lineRule="exact"/>
        <w:jc w:val="both"/>
        <w:rPr>
          <w:rFonts w:hAnsi="宋体" w:cs="宋体"/>
          <w:sz w:val="21"/>
          <w:szCs w:val="21"/>
        </w:rPr>
      </w:pPr>
      <w:r>
        <w:rPr>
          <w:rFonts w:hint="eastAsia" w:hAnsi="宋体" w:cs="宋体"/>
          <w:sz w:val="21"/>
          <w:szCs w:val="21"/>
        </w:rPr>
        <w:t xml:space="preserve">  年      月       日</w:t>
      </w:r>
    </w:p>
    <w:p w14:paraId="6E79DB9F">
      <w:pPr>
        <w:snapToGrid w:val="0"/>
        <w:spacing w:line="500" w:lineRule="exact"/>
        <w:ind w:firstLine="632" w:firstLineChars="300"/>
        <w:rPr>
          <w:rFonts w:hAnsi="宋体" w:cs="宋体"/>
          <w:b/>
          <w:sz w:val="21"/>
          <w:szCs w:val="21"/>
        </w:rPr>
      </w:pPr>
    </w:p>
    <w:bookmarkEnd w:id="105"/>
    <w:p w14:paraId="727A64F1">
      <w:pPr>
        <w:ind w:firstLine="723" w:firstLineChars="300"/>
        <w:rPr>
          <w:rFonts w:hAnsi="宋体" w:cs="宋体"/>
          <w:b/>
          <w:sz w:val="24"/>
        </w:rPr>
      </w:pPr>
    </w:p>
    <w:p w14:paraId="4AB4F9D3">
      <w:pPr>
        <w:ind w:firstLine="723" w:firstLineChars="300"/>
        <w:rPr>
          <w:rFonts w:hAnsi="宋体" w:cs="宋体"/>
          <w:b/>
          <w:sz w:val="24"/>
        </w:rPr>
      </w:pPr>
    </w:p>
    <w:p w14:paraId="1A14A871">
      <w:pPr>
        <w:ind w:firstLine="723" w:firstLineChars="300"/>
        <w:rPr>
          <w:rFonts w:hAnsi="宋体" w:cs="宋体"/>
          <w:b/>
          <w:sz w:val="24"/>
        </w:rPr>
      </w:pPr>
    </w:p>
    <w:p w14:paraId="7CC2FBF7">
      <w:pPr>
        <w:ind w:firstLine="723" w:firstLineChars="300"/>
        <w:rPr>
          <w:rFonts w:hAnsi="宋体" w:cs="宋体"/>
          <w:sz w:val="24"/>
          <w:szCs w:val="24"/>
        </w:rPr>
      </w:pPr>
      <w:r>
        <w:rPr>
          <w:rFonts w:hint="eastAsia" w:hAnsi="宋体" w:cs="宋体"/>
          <w:b/>
          <w:sz w:val="24"/>
        </w:rPr>
        <w:t>3.中小企业（或残疾人福利性单位、监狱企业）提供服务的资料</w:t>
      </w:r>
    </w:p>
    <w:p w14:paraId="6A8E2E1A">
      <w:pPr>
        <w:spacing w:line="360" w:lineRule="exact"/>
        <w:ind w:left="1418"/>
        <w:rPr>
          <w:rFonts w:hAnsi="宋体" w:cs="宋体"/>
          <w:sz w:val="21"/>
          <w:szCs w:val="21"/>
        </w:rPr>
      </w:pPr>
      <w:r>
        <w:rPr>
          <w:rFonts w:hint="eastAsia" w:hAnsi="宋体" w:cs="宋体"/>
          <w:spacing w:val="-1"/>
          <w:sz w:val="21"/>
          <w:szCs w:val="21"/>
        </w:rPr>
        <w:t>（投标人应完整提供以下资料，否则评审时将不能享受相应的价格折扣）</w:t>
      </w:r>
    </w:p>
    <w:p w14:paraId="750FB2F8">
      <w:pPr>
        <w:spacing w:line="360" w:lineRule="atLeast"/>
        <w:jc w:val="center"/>
        <w:rPr>
          <w:rFonts w:hAnsi="宋体" w:cs="宋体"/>
          <w:sz w:val="21"/>
          <w:szCs w:val="21"/>
          <w:lang w:bidi="ar"/>
        </w:rPr>
      </w:pPr>
      <w:r>
        <w:rPr>
          <w:rFonts w:hint="eastAsia" w:hAnsi="宋体" w:cs="宋体"/>
          <w:sz w:val="21"/>
          <w:szCs w:val="21"/>
          <w:lang w:bidi="ar"/>
        </w:rPr>
        <w:t>（1）中小企业声明函（货物类）</w:t>
      </w:r>
    </w:p>
    <w:p w14:paraId="56426723">
      <w:pPr>
        <w:spacing w:line="460" w:lineRule="exact"/>
        <w:ind w:firstLine="420" w:firstLineChars="200"/>
        <w:rPr>
          <w:rFonts w:hAnsi="宋体" w:cs="宋体"/>
          <w:sz w:val="21"/>
          <w:szCs w:val="21"/>
        </w:rPr>
      </w:pPr>
      <w:r>
        <w:rPr>
          <w:rFonts w:hint="eastAsia" w:hAnsi="宋体" w:cs="宋体"/>
          <w:sz w:val="21"/>
          <w:szCs w:val="21"/>
        </w:rPr>
        <w:t>本公司</w:t>
      </w:r>
      <w:r>
        <w:rPr>
          <w:rFonts w:hint="eastAsia" w:hAnsi="宋体" w:cs="宋体"/>
          <w:sz w:val="21"/>
          <w:szCs w:val="21"/>
          <w:highlight w:val="yellow"/>
        </w:rPr>
        <w:t>（联合体）</w:t>
      </w:r>
      <w:r>
        <w:rPr>
          <w:rFonts w:hint="eastAsia" w:hAnsi="宋体" w:cs="宋体"/>
          <w:sz w:val="21"/>
          <w:szCs w:val="21"/>
        </w:rPr>
        <w:t>郑重声明，根据《政府采购促进中小企业发展管理办法》（财库﹝2020﹞46 号）的规定，本公司</w:t>
      </w:r>
      <w:r>
        <w:rPr>
          <w:rFonts w:hint="eastAsia" w:hAnsi="宋体" w:cs="宋体"/>
          <w:sz w:val="21"/>
          <w:szCs w:val="21"/>
          <w:highlight w:val="yellow"/>
        </w:rPr>
        <w:t>（联合体）</w:t>
      </w:r>
      <w:r>
        <w:rPr>
          <w:rFonts w:hint="eastAsia" w:hAnsi="宋体" w:cs="宋体"/>
          <w:sz w:val="21"/>
          <w:szCs w:val="21"/>
        </w:rPr>
        <w:t>参加</w:t>
      </w:r>
      <w:r>
        <w:rPr>
          <w:rFonts w:hint="eastAsia" w:hAnsi="宋体" w:cs="宋体"/>
          <w:sz w:val="21"/>
          <w:szCs w:val="21"/>
          <w:u w:val="single"/>
        </w:rPr>
        <w:t>（单位名称）</w:t>
      </w:r>
      <w:r>
        <w:rPr>
          <w:rFonts w:hint="eastAsia" w:hAnsi="宋体" w:cs="宋体"/>
          <w:sz w:val="21"/>
          <w:szCs w:val="21"/>
        </w:rPr>
        <w:t>的</w:t>
      </w:r>
      <w:r>
        <w:rPr>
          <w:rFonts w:hint="eastAsia" w:hAnsi="宋体" w:cs="宋体"/>
          <w:sz w:val="21"/>
          <w:szCs w:val="21"/>
          <w:u w:val="single"/>
        </w:rPr>
        <w:t>（项目名称）</w:t>
      </w:r>
      <w:r>
        <w:rPr>
          <w:rFonts w:hint="eastAsia" w:hAnsi="宋体" w:cs="宋体"/>
          <w:sz w:val="21"/>
          <w:szCs w:val="21"/>
        </w:rPr>
        <w:t xml:space="preserve">采购活动，提供的货物全部由符合政策要求的中小企业制造。相关企业（含联合体中的中小企业、签订分包意向协议的中小企业） 的具体情况如下：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704"/>
        <w:gridCol w:w="1373"/>
        <w:gridCol w:w="1027"/>
        <w:gridCol w:w="1131"/>
        <w:gridCol w:w="1188"/>
        <w:gridCol w:w="1131"/>
        <w:gridCol w:w="2199"/>
      </w:tblGrid>
      <w:tr w14:paraId="5564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59" w:type="dxa"/>
            <w:vMerge w:val="restart"/>
            <w:vAlign w:val="center"/>
          </w:tcPr>
          <w:p w14:paraId="3C7BDFEC">
            <w:pPr>
              <w:spacing w:line="500" w:lineRule="exact"/>
              <w:jc w:val="center"/>
              <w:textAlignment w:val="auto"/>
              <w:rPr>
                <w:rFonts w:hAnsi="宋体"/>
                <w:sz w:val="21"/>
                <w:szCs w:val="21"/>
              </w:rPr>
            </w:pPr>
            <w:r>
              <w:rPr>
                <w:rFonts w:hint="eastAsia" w:hAnsi="宋体"/>
                <w:sz w:val="21"/>
                <w:szCs w:val="21"/>
              </w:rPr>
              <w:t>序号</w:t>
            </w:r>
          </w:p>
        </w:tc>
        <w:tc>
          <w:tcPr>
            <w:tcW w:w="704" w:type="dxa"/>
            <w:vMerge w:val="restart"/>
            <w:vAlign w:val="center"/>
          </w:tcPr>
          <w:p w14:paraId="44383F22">
            <w:pPr>
              <w:spacing w:line="500" w:lineRule="exact"/>
              <w:jc w:val="center"/>
              <w:textAlignment w:val="auto"/>
              <w:rPr>
                <w:rFonts w:hAnsi="宋体"/>
                <w:sz w:val="21"/>
                <w:szCs w:val="21"/>
              </w:rPr>
            </w:pPr>
            <w:r>
              <w:rPr>
                <w:rFonts w:hint="eastAsia" w:hAnsi="宋体"/>
                <w:sz w:val="21"/>
                <w:szCs w:val="21"/>
              </w:rPr>
              <w:t>标的名称</w:t>
            </w:r>
          </w:p>
        </w:tc>
        <w:tc>
          <w:tcPr>
            <w:tcW w:w="1373" w:type="dxa"/>
            <w:vMerge w:val="restart"/>
            <w:vAlign w:val="center"/>
          </w:tcPr>
          <w:p w14:paraId="0336E7CB">
            <w:pPr>
              <w:spacing w:line="500" w:lineRule="exact"/>
              <w:jc w:val="center"/>
              <w:textAlignment w:val="auto"/>
              <w:rPr>
                <w:rFonts w:hAnsi="宋体"/>
                <w:sz w:val="21"/>
                <w:szCs w:val="21"/>
              </w:rPr>
            </w:pPr>
            <w:r>
              <w:rPr>
                <w:rFonts w:hAnsi="宋体"/>
                <w:sz w:val="21"/>
                <w:szCs w:val="21"/>
              </w:rPr>
              <w:t>采购文件中明确的所属行业</w:t>
            </w:r>
          </w:p>
        </w:tc>
        <w:tc>
          <w:tcPr>
            <w:tcW w:w="6676" w:type="dxa"/>
            <w:gridSpan w:val="5"/>
            <w:vAlign w:val="center"/>
          </w:tcPr>
          <w:p w14:paraId="272AD486">
            <w:pPr>
              <w:spacing w:line="500" w:lineRule="exact"/>
              <w:jc w:val="center"/>
              <w:textAlignment w:val="auto"/>
              <w:rPr>
                <w:rFonts w:hAnsi="宋体"/>
                <w:sz w:val="21"/>
                <w:szCs w:val="21"/>
              </w:rPr>
            </w:pPr>
            <w:r>
              <w:rPr>
                <w:rFonts w:hAnsi="宋体"/>
                <w:sz w:val="21"/>
                <w:szCs w:val="21"/>
              </w:rPr>
              <w:t xml:space="preserve"> 制造商情况</w:t>
            </w:r>
          </w:p>
        </w:tc>
      </w:tr>
      <w:tr w14:paraId="3F9B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59" w:type="dxa"/>
            <w:vMerge w:val="continue"/>
            <w:vAlign w:val="center"/>
          </w:tcPr>
          <w:p w14:paraId="0DFB342A">
            <w:pPr>
              <w:spacing w:line="500" w:lineRule="exact"/>
              <w:jc w:val="center"/>
              <w:textAlignment w:val="auto"/>
              <w:rPr>
                <w:rFonts w:hAnsi="宋体"/>
                <w:sz w:val="21"/>
                <w:szCs w:val="21"/>
              </w:rPr>
            </w:pPr>
          </w:p>
        </w:tc>
        <w:tc>
          <w:tcPr>
            <w:tcW w:w="704" w:type="dxa"/>
            <w:vMerge w:val="continue"/>
            <w:vAlign w:val="center"/>
          </w:tcPr>
          <w:p w14:paraId="4E0E7F0B">
            <w:pPr>
              <w:spacing w:line="500" w:lineRule="exact"/>
              <w:jc w:val="center"/>
              <w:textAlignment w:val="auto"/>
              <w:rPr>
                <w:rFonts w:hAnsi="宋体"/>
                <w:sz w:val="21"/>
                <w:szCs w:val="21"/>
              </w:rPr>
            </w:pPr>
          </w:p>
        </w:tc>
        <w:tc>
          <w:tcPr>
            <w:tcW w:w="1373" w:type="dxa"/>
            <w:vMerge w:val="continue"/>
            <w:vAlign w:val="center"/>
          </w:tcPr>
          <w:p w14:paraId="7051CCC0">
            <w:pPr>
              <w:spacing w:line="500" w:lineRule="exact"/>
              <w:jc w:val="center"/>
              <w:textAlignment w:val="auto"/>
              <w:rPr>
                <w:rFonts w:hAnsi="宋体"/>
                <w:sz w:val="21"/>
                <w:szCs w:val="21"/>
              </w:rPr>
            </w:pPr>
          </w:p>
        </w:tc>
        <w:tc>
          <w:tcPr>
            <w:tcW w:w="1027" w:type="dxa"/>
            <w:vAlign w:val="center"/>
          </w:tcPr>
          <w:p w14:paraId="18F62AEC">
            <w:pPr>
              <w:spacing w:line="500" w:lineRule="exact"/>
              <w:jc w:val="center"/>
              <w:textAlignment w:val="auto"/>
              <w:rPr>
                <w:rFonts w:hAnsi="宋体"/>
                <w:sz w:val="21"/>
                <w:szCs w:val="21"/>
              </w:rPr>
            </w:pPr>
            <w:r>
              <w:rPr>
                <w:rFonts w:hAnsi="宋体"/>
                <w:sz w:val="21"/>
                <w:szCs w:val="21"/>
              </w:rPr>
              <w:t>制造商企业名称</w:t>
            </w:r>
            <w:r>
              <w:rPr>
                <w:rFonts w:hint="eastAsia" w:hAnsi="宋体"/>
                <w:sz w:val="21"/>
                <w:szCs w:val="21"/>
              </w:rPr>
              <w:t>及投标产品</w:t>
            </w:r>
            <w:r>
              <w:rPr>
                <w:rFonts w:hint="eastAsia" w:hAnsi="宋体" w:cs="宋体"/>
                <w:kern w:val="2"/>
                <w:sz w:val="21"/>
                <w:szCs w:val="21"/>
              </w:rPr>
              <w:t>注册商标</w:t>
            </w:r>
          </w:p>
        </w:tc>
        <w:tc>
          <w:tcPr>
            <w:tcW w:w="1131" w:type="dxa"/>
            <w:vAlign w:val="center"/>
          </w:tcPr>
          <w:p w14:paraId="0C33F086">
            <w:pPr>
              <w:spacing w:line="500" w:lineRule="exact"/>
              <w:jc w:val="center"/>
              <w:textAlignment w:val="auto"/>
              <w:rPr>
                <w:rFonts w:hAnsi="宋体"/>
                <w:sz w:val="21"/>
                <w:szCs w:val="21"/>
              </w:rPr>
            </w:pPr>
            <w:r>
              <w:rPr>
                <w:rFonts w:hAnsi="宋体"/>
                <w:sz w:val="21"/>
                <w:szCs w:val="21"/>
              </w:rPr>
              <w:t>从业人员</w:t>
            </w:r>
            <w:r>
              <w:rPr>
                <w:rFonts w:hint="eastAsia" w:hAnsi="宋体"/>
                <w:sz w:val="21"/>
                <w:szCs w:val="21"/>
              </w:rPr>
              <w:t>（人）</w:t>
            </w:r>
          </w:p>
        </w:tc>
        <w:tc>
          <w:tcPr>
            <w:tcW w:w="1188" w:type="dxa"/>
            <w:vAlign w:val="center"/>
          </w:tcPr>
          <w:p w14:paraId="1DA2F3A2">
            <w:pPr>
              <w:spacing w:line="500" w:lineRule="exact"/>
              <w:jc w:val="center"/>
              <w:textAlignment w:val="auto"/>
              <w:rPr>
                <w:rFonts w:hAnsi="宋体"/>
                <w:sz w:val="21"/>
                <w:szCs w:val="21"/>
              </w:rPr>
            </w:pPr>
            <w:r>
              <w:rPr>
                <w:rFonts w:hAnsi="宋体"/>
                <w:sz w:val="21"/>
                <w:szCs w:val="21"/>
              </w:rPr>
              <w:t>营业收入</w:t>
            </w:r>
            <w:r>
              <w:rPr>
                <w:rFonts w:hint="eastAsia" w:hAnsi="宋体"/>
                <w:sz w:val="21"/>
                <w:szCs w:val="21"/>
              </w:rPr>
              <w:t>（万元）</w:t>
            </w:r>
          </w:p>
        </w:tc>
        <w:tc>
          <w:tcPr>
            <w:tcW w:w="1131" w:type="dxa"/>
            <w:vAlign w:val="center"/>
          </w:tcPr>
          <w:p w14:paraId="1639DACC">
            <w:pPr>
              <w:spacing w:line="500" w:lineRule="exact"/>
              <w:jc w:val="center"/>
              <w:textAlignment w:val="auto"/>
              <w:rPr>
                <w:rFonts w:hAnsi="宋体"/>
                <w:sz w:val="21"/>
                <w:szCs w:val="21"/>
              </w:rPr>
            </w:pPr>
            <w:r>
              <w:rPr>
                <w:rFonts w:hAnsi="宋体"/>
                <w:sz w:val="21"/>
                <w:szCs w:val="21"/>
              </w:rPr>
              <w:t>资产总额</w:t>
            </w:r>
            <w:r>
              <w:rPr>
                <w:rFonts w:hint="eastAsia" w:hAnsi="宋体"/>
                <w:sz w:val="21"/>
                <w:szCs w:val="21"/>
              </w:rPr>
              <w:t>（万元）</w:t>
            </w:r>
          </w:p>
        </w:tc>
        <w:tc>
          <w:tcPr>
            <w:tcW w:w="2199" w:type="dxa"/>
            <w:vAlign w:val="center"/>
          </w:tcPr>
          <w:p w14:paraId="10BDC96C">
            <w:pPr>
              <w:spacing w:line="500" w:lineRule="exact"/>
              <w:jc w:val="center"/>
              <w:textAlignment w:val="auto"/>
              <w:rPr>
                <w:rFonts w:hAnsi="宋体"/>
                <w:sz w:val="21"/>
                <w:szCs w:val="21"/>
              </w:rPr>
            </w:pPr>
            <w:r>
              <w:rPr>
                <w:rFonts w:hint="eastAsia" w:hAnsi="宋体"/>
                <w:sz w:val="21"/>
                <w:szCs w:val="21"/>
              </w:rPr>
              <w:t>所属企业类型（填写：</w:t>
            </w:r>
            <w:r>
              <w:rPr>
                <w:rFonts w:hAnsi="宋体"/>
                <w:sz w:val="21"/>
                <w:szCs w:val="21"/>
              </w:rPr>
              <w:t>中型企业</w:t>
            </w:r>
            <w:r>
              <w:rPr>
                <w:rFonts w:hint="eastAsia" w:hAnsi="宋体"/>
                <w:sz w:val="21"/>
                <w:szCs w:val="21"/>
              </w:rPr>
              <w:t>（或）</w:t>
            </w:r>
            <w:r>
              <w:rPr>
                <w:rFonts w:hAnsi="宋体"/>
                <w:sz w:val="21"/>
                <w:szCs w:val="21"/>
              </w:rPr>
              <w:t>小型企业</w:t>
            </w:r>
            <w:r>
              <w:rPr>
                <w:rFonts w:hint="eastAsia" w:hAnsi="宋体"/>
                <w:sz w:val="21"/>
                <w:szCs w:val="21"/>
              </w:rPr>
              <w:t>（或）</w:t>
            </w:r>
            <w:r>
              <w:rPr>
                <w:rFonts w:hAnsi="宋体"/>
                <w:sz w:val="21"/>
                <w:szCs w:val="21"/>
              </w:rPr>
              <w:t>微型企业</w:t>
            </w:r>
            <w:r>
              <w:rPr>
                <w:rFonts w:hint="eastAsia" w:hAnsi="宋体"/>
                <w:sz w:val="21"/>
                <w:szCs w:val="21"/>
              </w:rPr>
              <w:t>）</w:t>
            </w:r>
          </w:p>
        </w:tc>
      </w:tr>
      <w:tr w14:paraId="3F68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015B9F78">
            <w:pPr>
              <w:spacing w:line="500" w:lineRule="exact"/>
              <w:jc w:val="both"/>
              <w:textAlignment w:val="auto"/>
              <w:rPr>
                <w:rFonts w:hAnsi="宋体"/>
                <w:sz w:val="21"/>
                <w:szCs w:val="21"/>
              </w:rPr>
            </w:pPr>
          </w:p>
        </w:tc>
        <w:tc>
          <w:tcPr>
            <w:tcW w:w="704" w:type="dxa"/>
          </w:tcPr>
          <w:p w14:paraId="7BEB5BB8">
            <w:pPr>
              <w:spacing w:line="500" w:lineRule="exact"/>
              <w:jc w:val="both"/>
              <w:textAlignment w:val="auto"/>
              <w:rPr>
                <w:rFonts w:hAnsi="宋体"/>
                <w:sz w:val="21"/>
                <w:szCs w:val="21"/>
              </w:rPr>
            </w:pPr>
          </w:p>
        </w:tc>
        <w:tc>
          <w:tcPr>
            <w:tcW w:w="1373" w:type="dxa"/>
            <w:vMerge w:val="restart"/>
            <w:vAlign w:val="center"/>
          </w:tcPr>
          <w:p w14:paraId="30766CFF">
            <w:pPr>
              <w:spacing w:line="500" w:lineRule="exact"/>
              <w:jc w:val="center"/>
              <w:textAlignment w:val="auto"/>
              <w:rPr>
                <w:rFonts w:hAnsi="宋体"/>
                <w:sz w:val="21"/>
                <w:szCs w:val="21"/>
              </w:rPr>
            </w:pPr>
            <w:r>
              <w:rPr>
                <w:rFonts w:hint="eastAsia" w:hAnsi="宋体"/>
                <w:sz w:val="21"/>
                <w:szCs w:val="21"/>
              </w:rPr>
              <w:t>工业 [不允许更改行业]</w:t>
            </w:r>
          </w:p>
        </w:tc>
        <w:tc>
          <w:tcPr>
            <w:tcW w:w="1027" w:type="dxa"/>
          </w:tcPr>
          <w:p w14:paraId="49454B8E">
            <w:pPr>
              <w:spacing w:line="500" w:lineRule="exact"/>
              <w:jc w:val="both"/>
              <w:textAlignment w:val="auto"/>
              <w:rPr>
                <w:rFonts w:hAnsi="宋体"/>
                <w:sz w:val="21"/>
                <w:szCs w:val="21"/>
              </w:rPr>
            </w:pPr>
          </w:p>
        </w:tc>
        <w:tc>
          <w:tcPr>
            <w:tcW w:w="1131" w:type="dxa"/>
          </w:tcPr>
          <w:p w14:paraId="746CEF49">
            <w:pPr>
              <w:spacing w:line="500" w:lineRule="exact"/>
              <w:jc w:val="both"/>
              <w:textAlignment w:val="auto"/>
              <w:rPr>
                <w:rFonts w:hAnsi="宋体"/>
                <w:sz w:val="21"/>
                <w:szCs w:val="21"/>
              </w:rPr>
            </w:pPr>
          </w:p>
        </w:tc>
        <w:tc>
          <w:tcPr>
            <w:tcW w:w="1188" w:type="dxa"/>
          </w:tcPr>
          <w:p w14:paraId="0A7B9061">
            <w:pPr>
              <w:spacing w:line="500" w:lineRule="exact"/>
              <w:jc w:val="both"/>
              <w:textAlignment w:val="auto"/>
              <w:rPr>
                <w:rFonts w:hAnsi="宋体"/>
                <w:sz w:val="21"/>
                <w:szCs w:val="21"/>
              </w:rPr>
            </w:pPr>
          </w:p>
        </w:tc>
        <w:tc>
          <w:tcPr>
            <w:tcW w:w="1131" w:type="dxa"/>
          </w:tcPr>
          <w:p w14:paraId="2ADB461A">
            <w:pPr>
              <w:spacing w:line="500" w:lineRule="exact"/>
              <w:jc w:val="both"/>
              <w:textAlignment w:val="auto"/>
              <w:rPr>
                <w:rFonts w:hAnsi="宋体"/>
                <w:sz w:val="21"/>
                <w:szCs w:val="21"/>
              </w:rPr>
            </w:pPr>
          </w:p>
        </w:tc>
        <w:tc>
          <w:tcPr>
            <w:tcW w:w="2199" w:type="dxa"/>
          </w:tcPr>
          <w:p w14:paraId="1B7C67BF">
            <w:pPr>
              <w:spacing w:line="500" w:lineRule="exact"/>
              <w:jc w:val="both"/>
              <w:textAlignment w:val="auto"/>
              <w:rPr>
                <w:rFonts w:hAnsi="宋体"/>
                <w:sz w:val="21"/>
                <w:szCs w:val="21"/>
              </w:rPr>
            </w:pPr>
          </w:p>
        </w:tc>
      </w:tr>
      <w:tr w14:paraId="7955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76B6BA47">
            <w:pPr>
              <w:spacing w:line="500" w:lineRule="exact"/>
              <w:jc w:val="both"/>
              <w:textAlignment w:val="auto"/>
              <w:rPr>
                <w:rFonts w:hAnsi="宋体"/>
                <w:sz w:val="21"/>
                <w:szCs w:val="21"/>
              </w:rPr>
            </w:pPr>
          </w:p>
        </w:tc>
        <w:tc>
          <w:tcPr>
            <w:tcW w:w="704" w:type="dxa"/>
          </w:tcPr>
          <w:p w14:paraId="64C71E3B">
            <w:pPr>
              <w:spacing w:line="500" w:lineRule="exact"/>
              <w:jc w:val="both"/>
              <w:textAlignment w:val="auto"/>
              <w:rPr>
                <w:rFonts w:hAnsi="宋体"/>
                <w:sz w:val="21"/>
                <w:szCs w:val="21"/>
              </w:rPr>
            </w:pPr>
          </w:p>
        </w:tc>
        <w:tc>
          <w:tcPr>
            <w:tcW w:w="1373" w:type="dxa"/>
            <w:vMerge w:val="continue"/>
          </w:tcPr>
          <w:p w14:paraId="3CEB433F">
            <w:pPr>
              <w:spacing w:line="500" w:lineRule="exact"/>
              <w:jc w:val="both"/>
              <w:textAlignment w:val="auto"/>
              <w:rPr>
                <w:rFonts w:hAnsi="宋体"/>
                <w:sz w:val="21"/>
                <w:szCs w:val="21"/>
              </w:rPr>
            </w:pPr>
          </w:p>
        </w:tc>
        <w:tc>
          <w:tcPr>
            <w:tcW w:w="1027" w:type="dxa"/>
          </w:tcPr>
          <w:p w14:paraId="4C1E1698">
            <w:pPr>
              <w:spacing w:line="500" w:lineRule="exact"/>
              <w:jc w:val="both"/>
              <w:textAlignment w:val="auto"/>
              <w:rPr>
                <w:rFonts w:hAnsi="宋体"/>
                <w:sz w:val="21"/>
                <w:szCs w:val="21"/>
              </w:rPr>
            </w:pPr>
          </w:p>
        </w:tc>
        <w:tc>
          <w:tcPr>
            <w:tcW w:w="1131" w:type="dxa"/>
          </w:tcPr>
          <w:p w14:paraId="1F7D9BE6">
            <w:pPr>
              <w:spacing w:line="500" w:lineRule="exact"/>
              <w:jc w:val="both"/>
              <w:textAlignment w:val="auto"/>
              <w:rPr>
                <w:rFonts w:hAnsi="宋体"/>
                <w:sz w:val="21"/>
                <w:szCs w:val="21"/>
              </w:rPr>
            </w:pPr>
          </w:p>
        </w:tc>
        <w:tc>
          <w:tcPr>
            <w:tcW w:w="1188" w:type="dxa"/>
          </w:tcPr>
          <w:p w14:paraId="5761A28E">
            <w:pPr>
              <w:spacing w:line="500" w:lineRule="exact"/>
              <w:jc w:val="both"/>
              <w:textAlignment w:val="auto"/>
              <w:rPr>
                <w:rFonts w:hAnsi="宋体"/>
                <w:sz w:val="21"/>
                <w:szCs w:val="21"/>
              </w:rPr>
            </w:pPr>
          </w:p>
        </w:tc>
        <w:tc>
          <w:tcPr>
            <w:tcW w:w="1131" w:type="dxa"/>
          </w:tcPr>
          <w:p w14:paraId="4E53A259">
            <w:pPr>
              <w:spacing w:line="500" w:lineRule="exact"/>
              <w:jc w:val="both"/>
              <w:textAlignment w:val="auto"/>
              <w:rPr>
                <w:rFonts w:hAnsi="宋体"/>
                <w:sz w:val="21"/>
                <w:szCs w:val="21"/>
              </w:rPr>
            </w:pPr>
          </w:p>
        </w:tc>
        <w:tc>
          <w:tcPr>
            <w:tcW w:w="2199" w:type="dxa"/>
          </w:tcPr>
          <w:p w14:paraId="7424E82A">
            <w:pPr>
              <w:spacing w:line="500" w:lineRule="exact"/>
              <w:jc w:val="both"/>
              <w:textAlignment w:val="auto"/>
              <w:rPr>
                <w:rFonts w:hAnsi="宋体"/>
                <w:sz w:val="21"/>
                <w:szCs w:val="21"/>
              </w:rPr>
            </w:pPr>
          </w:p>
        </w:tc>
      </w:tr>
      <w:tr w14:paraId="3757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45717001">
            <w:pPr>
              <w:spacing w:line="500" w:lineRule="exact"/>
              <w:jc w:val="both"/>
              <w:textAlignment w:val="auto"/>
              <w:rPr>
                <w:rFonts w:hAnsi="宋体"/>
                <w:sz w:val="21"/>
                <w:szCs w:val="21"/>
              </w:rPr>
            </w:pPr>
          </w:p>
        </w:tc>
        <w:tc>
          <w:tcPr>
            <w:tcW w:w="704" w:type="dxa"/>
          </w:tcPr>
          <w:p w14:paraId="4925649E">
            <w:pPr>
              <w:spacing w:line="500" w:lineRule="exact"/>
              <w:jc w:val="both"/>
              <w:textAlignment w:val="auto"/>
              <w:rPr>
                <w:rFonts w:hAnsi="宋体"/>
                <w:sz w:val="21"/>
                <w:szCs w:val="21"/>
              </w:rPr>
            </w:pPr>
          </w:p>
        </w:tc>
        <w:tc>
          <w:tcPr>
            <w:tcW w:w="1373" w:type="dxa"/>
            <w:vMerge w:val="continue"/>
          </w:tcPr>
          <w:p w14:paraId="548D313B">
            <w:pPr>
              <w:spacing w:line="500" w:lineRule="exact"/>
              <w:jc w:val="both"/>
              <w:textAlignment w:val="auto"/>
              <w:rPr>
                <w:rFonts w:hAnsi="宋体"/>
                <w:sz w:val="21"/>
                <w:szCs w:val="21"/>
              </w:rPr>
            </w:pPr>
          </w:p>
        </w:tc>
        <w:tc>
          <w:tcPr>
            <w:tcW w:w="1027" w:type="dxa"/>
          </w:tcPr>
          <w:p w14:paraId="17481A6C">
            <w:pPr>
              <w:spacing w:line="500" w:lineRule="exact"/>
              <w:jc w:val="both"/>
              <w:textAlignment w:val="auto"/>
              <w:rPr>
                <w:rFonts w:hAnsi="宋体"/>
                <w:sz w:val="21"/>
                <w:szCs w:val="21"/>
              </w:rPr>
            </w:pPr>
          </w:p>
        </w:tc>
        <w:tc>
          <w:tcPr>
            <w:tcW w:w="1131" w:type="dxa"/>
          </w:tcPr>
          <w:p w14:paraId="71C69B58">
            <w:pPr>
              <w:spacing w:line="500" w:lineRule="exact"/>
              <w:jc w:val="both"/>
              <w:textAlignment w:val="auto"/>
              <w:rPr>
                <w:rFonts w:hAnsi="宋体"/>
                <w:sz w:val="21"/>
                <w:szCs w:val="21"/>
              </w:rPr>
            </w:pPr>
          </w:p>
        </w:tc>
        <w:tc>
          <w:tcPr>
            <w:tcW w:w="1188" w:type="dxa"/>
          </w:tcPr>
          <w:p w14:paraId="3ADC7EF1">
            <w:pPr>
              <w:spacing w:line="500" w:lineRule="exact"/>
              <w:jc w:val="both"/>
              <w:textAlignment w:val="auto"/>
              <w:rPr>
                <w:rFonts w:hAnsi="宋体"/>
                <w:sz w:val="21"/>
                <w:szCs w:val="21"/>
              </w:rPr>
            </w:pPr>
          </w:p>
        </w:tc>
        <w:tc>
          <w:tcPr>
            <w:tcW w:w="1131" w:type="dxa"/>
          </w:tcPr>
          <w:p w14:paraId="19BEB34B">
            <w:pPr>
              <w:spacing w:line="500" w:lineRule="exact"/>
              <w:jc w:val="both"/>
              <w:textAlignment w:val="auto"/>
              <w:rPr>
                <w:rFonts w:hAnsi="宋体"/>
                <w:sz w:val="21"/>
                <w:szCs w:val="21"/>
              </w:rPr>
            </w:pPr>
          </w:p>
        </w:tc>
        <w:tc>
          <w:tcPr>
            <w:tcW w:w="2199" w:type="dxa"/>
          </w:tcPr>
          <w:p w14:paraId="22469045">
            <w:pPr>
              <w:spacing w:line="500" w:lineRule="exact"/>
              <w:jc w:val="both"/>
              <w:textAlignment w:val="auto"/>
              <w:rPr>
                <w:rFonts w:hAnsi="宋体"/>
                <w:sz w:val="21"/>
                <w:szCs w:val="21"/>
              </w:rPr>
            </w:pPr>
          </w:p>
        </w:tc>
      </w:tr>
      <w:tr w14:paraId="2B2A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077C968F">
            <w:pPr>
              <w:spacing w:line="500" w:lineRule="exact"/>
              <w:jc w:val="both"/>
              <w:textAlignment w:val="auto"/>
              <w:rPr>
                <w:rFonts w:hAnsi="宋体"/>
                <w:sz w:val="21"/>
                <w:szCs w:val="21"/>
              </w:rPr>
            </w:pPr>
          </w:p>
        </w:tc>
        <w:tc>
          <w:tcPr>
            <w:tcW w:w="704" w:type="dxa"/>
          </w:tcPr>
          <w:p w14:paraId="684E70C2">
            <w:pPr>
              <w:spacing w:line="500" w:lineRule="exact"/>
              <w:jc w:val="both"/>
              <w:textAlignment w:val="auto"/>
              <w:rPr>
                <w:rFonts w:hAnsi="宋体"/>
                <w:sz w:val="21"/>
                <w:szCs w:val="21"/>
              </w:rPr>
            </w:pPr>
          </w:p>
        </w:tc>
        <w:tc>
          <w:tcPr>
            <w:tcW w:w="1373" w:type="dxa"/>
            <w:vMerge w:val="continue"/>
          </w:tcPr>
          <w:p w14:paraId="6DBBE8C4">
            <w:pPr>
              <w:spacing w:line="500" w:lineRule="exact"/>
              <w:jc w:val="both"/>
              <w:textAlignment w:val="auto"/>
              <w:rPr>
                <w:rFonts w:hAnsi="宋体"/>
                <w:sz w:val="21"/>
                <w:szCs w:val="21"/>
              </w:rPr>
            </w:pPr>
          </w:p>
        </w:tc>
        <w:tc>
          <w:tcPr>
            <w:tcW w:w="1027" w:type="dxa"/>
          </w:tcPr>
          <w:p w14:paraId="0B4384BE">
            <w:pPr>
              <w:spacing w:line="500" w:lineRule="exact"/>
              <w:jc w:val="both"/>
              <w:textAlignment w:val="auto"/>
              <w:rPr>
                <w:rFonts w:hAnsi="宋体"/>
                <w:sz w:val="21"/>
                <w:szCs w:val="21"/>
              </w:rPr>
            </w:pPr>
          </w:p>
        </w:tc>
        <w:tc>
          <w:tcPr>
            <w:tcW w:w="1131" w:type="dxa"/>
          </w:tcPr>
          <w:p w14:paraId="5B52FFD5">
            <w:pPr>
              <w:spacing w:line="500" w:lineRule="exact"/>
              <w:jc w:val="both"/>
              <w:textAlignment w:val="auto"/>
              <w:rPr>
                <w:rFonts w:hAnsi="宋体"/>
                <w:sz w:val="21"/>
                <w:szCs w:val="21"/>
              </w:rPr>
            </w:pPr>
          </w:p>
        </w:tc>
        <w:tc>
          <w:tcPr>
            <w:tcW w:w="1188" w:type="dxa"/>
          </w:tcPr>
          <w:p w14:paraId="07762201">
            <w:pPr>
              <w:spacing w:line="500" w:lineRule="exact"/>
              <w:jc w:val="both"/>
              <w:textAlignment w:val="auto"/>
              <w:rPr>
                <w:rFonts w:hAnsi="宋体"/>
                <w:sz w:val="21"/>
                <w:szCs w:val="21"/>
              </w:rPr>
            </w:pPr>
          </w:p>
        </w:tc>
        <w:tc>
          <w:tcPr>
            <w:tcW w:w="1131" w:type="dxa"/>
          </w:tcPr>
          <w:p w14:paraId="76749B3D">
            <w:pPr>
              <w:spacing w:line="500" w:lineRule="exact"/>
              <w:jc w:val="both"/>
              <w:textAlignment w:val="auto"/>
              <w:rPr>
                <w:rFonts w:hAnsi="宋体"/>
                <w:sz w:val="21"/>
                <w:szCs w:val="21"/>
              </w:rPr>
            </w:pPr>
          </w:p>
        </w:tc>
        <w:tc>
          <w:tcPr>
            <w:tcW w:w="2199" w:type="dxa"/>
          </w:tcPr>
          <w:p w14:paraId="52F1D928">
            <w:pPr>
              <w:spacing w:line="500" w:lineRule="exact"/>
              <w:jc w:val="both"/>
              <w:textAlignment w:val="auto"/>
              <w:rPr>
                <w:rFonts w:hAnsi="宋体"/>
                <w:sz w:val="21"/>
                <w:szCs w:val="21"/>
              </w:rPr>
            </w:pPr>
          </w:p>
        </w:tc>
      </w:tr>
      <w:tr w14:paraId="7802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45502EB7">
            <w:pPr>
              <w:spacing w:line="500" w:lineRule="exact"/>
              <w:jc w:val="both"/>
              <w:textAlignment w:val="auto"/>
              <w:rPr>
                <w:rFonts w:hAnsi="宋体"/>
                <w:sz w:val="21"/>
                <w:szCs w:val="21"/>
              </w:rPr>
            </w:pPr>
            <w:r>
              <w:rPr>
                <w:rFonts w:hint="eastAsia" w:hAnsi="宋体"/>
                <w:sz w:val="21"/>
                <w:szCs w:val="21"/>
              </w:rPr>
              <w:t>……</w:t>
            </w:r>
          </w:p>
        </w:tc>
        <w:tc>
          <w:tcPr>
            <w:tcW w:w="704" w:type="dxa"/>
          </w:tcPr>
          <w:p w14:paraId="3CA3D851">
            <w:pPr>
              <w:spacing w:line="500" w:lineRule="exact"/>
              <w:jc w:val="both"/>
              <w:textAlignment w:val="auto"/>
              <w:rPr>
                <w:rFonts w:hAnsi="宋体"/>
                <w:sz w:val="21"/>
                <w:szCs w:val="21"/>
              </w:rPr>
            </w:pPr>
          </w:p>
        </w:tc>
        <w:tc>
          <w:tcPr>
            <w:tcW w:w="1373" w:type="dxa"/>
            <w:vMerge w:val="continue"/>
          </w:tcPr>
          <w:p w14:paraId="5F5F9BBA">
            <w:pPr>
              <w:spacing w:line="500" w:lineRule="exact"/>
              <w:jc w:val="both"/>
              <w:textAlignment w:val="auto"/>
              <w:rPr>
                <w:rFonts w:hAnsi="宋体"/>
                <w:sz w:val="21"/>
                <w:szCs w:val="21"/>
              </w:rPr>
            </w:pPr>
          </w:p>
        </w:tc>
        <w:tc>
          <w:tcPr>
            <w:tcW w:w="1027" w:type="dxa"/>
          </w:tcPr>
          <w:p w14:paraId="44D2296B">
            <w:pPr>
              <w:spacing w:line="500" w:lineRule="exact"/>
              <w:jc w:val="both"/>
              <w:textAlignment w:val="auto"/>
              <w:rPr>
                <w:rFonts w:hAnsi="宋体"/>
                <w:sz w:val="21"/>
                <w:szCs w:val="21"/>
              </w:rPr>
            </w:pPr>
          </w:p>
        </w:tc>
        <w:tc>
          <w:tcPr>
            <w:tcW w:w="1131" w:type="dxa"/>
          </w:tcPr>
          <w:p w14:paraId="5F8C703E">
            <w:pPr>
              <w:spacing w:line="500" w:lineRule="exact"/>
              <w:jc w:val="both"/>
              <w:textAlignment w:val="auto"/>
              <w:rPr>
                <w:rFonts w:hAnsi="宋体"/>
                <w:sz w:val="21"/>
                <w:szCs w:val="21"/>
              </w:rPr>
            </w:pPr>
          </w:p>
        </w:tc>
        <w:tc>
          <w:tcPr>
            <w:tcW w:w="1188" w:type="dxa"/>
          </w:tcPr>
          <w:p w14:paraId="68001B06">
            <w:pPr>
              <w:spacing w:line="500" w:lineRule="exact"/>
              <w:jc w:val="both"/>
              <w:textAlignment w:val="auto"/>
              <w:rPr>
                <w:rFonts w:hAnsi="宋体"/>
                <w:sz w:val="21"/>
                <w:szCs w:val="21"/>
              </w:rPr>
            </w:pPr>
          </w:p>
        </w:tc>
        <w:tc>
          <w:tcPr>
            <w:tcW w:w="1131" w:type="dxa"/>
          </w:tcPr>
          <w:p w14:paraId="6DF0AAF3">
            <w:pPr>
              <w:spacing w:line="500" w:lineRule="exact"/>
              <w:jc w:val="both"/>
              <w:textAlignment w:val="auto"/>
              <w:rPr>
                <w:rFonts w:hAnsi="宋体"/>
                <w:sz w:val="21"/>
                <w:szCs w:val="21"/>
              </w:rPr>
            </w:pPr>
          </w:p>
        </w:tc>
        <w:tc>
          <w:tcPr>
            <w:tcW w:w="2199" w:type="dxa"/>
          </w:tcPr>
          <w:p w14:paraId="00E48FAB">
            <w:pPr>
              <w:spacing w:line="500" w:lineRule="exact"/>
              <w:jc w:val="both"/>
              <w:textAlignment w:val="auto"/>
              <w:rPr>
                <w:rFonts w:hAnsi="宋体"/>
                <w:sz w:val="21"/>
                <w:szCs w:val="21"/>
              </w:rPr>
            </w:pPr>
          </w:p>
        </w:tc>
      </w:tr>
    </w:tbl>
    <w:p w14:paraId="09682680">
      <w:pPr>
        <w:spacing w:line="460" w:lineRule="exact"/>
        <w:ind w:firstLine="420" w:firstLineChars="200"/>
        <w:rPr>
          <w:rFonts w:hAnsi="宋体" w:cs="宋体"/>
          <w:sz w:val="21"/>
          <w:szCs w:val="21"/>
        </w:rPr>
      </w:pPr>
      <w:r>
        <w:rPr>
          <w:rFonts w:hint="eastAsia" w:hAnsi="宋体" w:cs="宋体"/>
          <w:sz w:val="21"/>
          <w:szCs w:val="21"/>
        </w:rPr>
        <w:t xml:space="preserve">以上企业，不属于大企业的分支机构，不存在控股股东为大企业的情形，也不存在与大企业的负责人为同一人的情形。 </w:t>
      </w:r>
    </w:p>
    <w:p w14:paraId="39F33A20">
      <w:pPr>
        <w:spacing w:line="460" w:lineRule="exact"/>
        <w:ind w:firstLine="420" w:firstLineChars="200"/>
        <w:rPr>
          <w:rFonts w:hAnsi="宋体" w:cs="宋体"/>
          <w:sz w:val="21"/>
          <w:szCs w:val="21"/>
        </w:rPr>
      </w:pPr>
      <w:r>
        <w:rPr>
          <w:rFonts w:hint="eastAsia" w:hAnsi="宋体" w:cs="宋体"/>
          <w:sz w:val="21"/>
          <w:szCs w:val="21"/>
        </w:rPr>
        <w:t xml:space="preserve">本企业对上述声明内容的真实性负责。如有虚假，将依法承担相应责任。 </w:t>
      </w:r>
    </w:p>
    <w:p w14:paraId="084BD040">
      <w:pPr>
        <w:spacing w:line="460" w:lineRule="exact"/>
        <w:ind w:firstLine="420" w:firstLineChars="200"/>
        <w:rPr>
          <w:rFonts w:hAnsi="宋体" w:cs="宋体"/>
          <w:sz w:val="21"/>
          <w:szCs w:val="21"/>
        </w:rPr>
      </w:pPr>
      <w:r>
        <w:rPr>
          <w:rFonts w:hint="eastAsia" w:hAnsi="宋体" w:cs="宋体"/>
          <w:sz w:val="21"/>
          <w:szCs w:val="21"/>
        </w:rPr>
        <w:t xml:space="preserve">企业名称（盖章）： </w:t>
      </w:r>
    </w:p>
    <w:p w14:paraId="30811516">
      <w:pPr>
        <w:spacing w:line="460" w:lineRule="exact"/>
        <w:ind w:firstLine="420" w:firstLineChars="200"/>
        <w:rPr>
          <w:rFonts w:hAnsi="宋体" w:cs="宋体"/>
          <w:sz w:val="21"/>
          <w:szCs w:val="21"/>
        </w:rPr>
      </w:pPr>
      <w:r>
        <w:rPr>
          <w:rFonts w:hint="eastAsia" w:hAnsi="宋体" w:cs="宋体"/>
          <w:sz w:val="21"/>
          <w:szCs w:val="21"/>
        </w:rPr>
        <w:t>日 期：</w:t>
      </w:r>
    </w:p>
    <w:p w14:paraId="58031EE9">
      <w:pPr>
        <w:snapToGrid w:val="0"/>
        <w:spacing w:line="460" w:lineRule="exact"/>
        <w:rPr>
          <w:rFonts w:hAnsi="宋体" w:cs="宋体"/>
          <w:kern w:val="2"/>
          <w:sz w:val="21"/>
          <w:szCs w:val="21"/>
        </w:rPr>
      </w:pPr>
      <w:r>
        <w:rPr>
          <w:rFonts w:hint="eastAsia" w:hAnsi="宋体" w:cs="宋体"/>
          <w:b/>
          <w:kern w:val="2"/>
          <w:sz w:val="21"/>
          <w:szCs w:val="21"/>
        </w:rPr>
        <w:t>填报说明：</w:t>
      </w:r>
      <w:r>
        <w:rPr>
          <w:rFonts w:hint="eastAsia" w:hAnsi="宋体" w:cs="宋体"/>
          <w:kern w:val="2"/>
          <w:sz w:val="21"/>
          <w:szCs w:val="21"/>
        </w:rPr>
        <w:t>①本声明函中“从业人员”、“营业收入”、“资产总额”填报上一年度数据，无上一年度数据的新成立企业可不填报。</w:t>
      </w:r>
    </w:p>
    <w:p w14:paraId="51E7EE9E">
      <w:pPr>
        <w:autoSpaceDE/>
        <w:autoSpaceDN/>
        <w:adjustRightInd/>
        <w:snapToGrid w:val="0"/>
        <w:spacing w:line="460" w:lineRule="exact"/>
        <w:ind w:firstLine="420" w:firstLineChars="200"/>
        <w:rPr>
          <w:rFonts w:hAnsi="宋体" w:cs="宋体"/>
          <w:sz w:val="21"/>
          <w:szCs w:val="21"/>
        </w:rPr>
      </w:pPr>
      <w:r>
        <w:rPr>
          <w:rFonts w:hint="eastAsia" w:hAnsi="宋体" w:cs="宋体"/>
          <w:kern w:val="2"/>
          <w:sz w:val="21"/>
          <w:szCs w:val="21"/>
        </w:rPr>
        <w:t>②本项目采购标的对应的中小企业划分标准所属行业为《中小企业划型标准规定》（工信部联企业〔2011〕300号）中的“工业”</w:t>
      </w:r>
      <w:r>
        <w:rPr>
          <w:rFonts w:hint="eastAsia" w:hAnsi="宋体" w:cs="宋体"/>
          <w:sz w:val="21"/>
          <w:szCs w:val="21"/>
        </w:rPr>
        <w:t>，划型标准如下：</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718"/>
        <w:gridCol w:w="1834"/>
        <w:gridCol w:w="1857"/>
        <w:gridCol w:w="2999"/>
      </w:tblGrid>
      <w:tr w14:paraId="7EB6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1FCB8F27">
            <w:pPr>
              <w:spacing w:line="460" w:lineRule="exact"/>
              <w:jc w:val="center"/>
              <w:textAlignment w:val="baseline"/>
              <w:rPr>
                <w:rFonts w:hAnsi="宋体" w:cs="宋体"/>
                <w:sz w:val="21"/>
                <w:szCs w:val="21"/>
              </w:rPr>
            </w:pPr>
            <w:r>
              <w:rPr>
                <w:rFonts w:hint="eastAsia" w:hAnsi="宋体" w:cs="宋体"/>
                <w:b/>
                <w:bCs/>
                <w:sz w:val="21"/>
                <w:szCs w:val="21"/>
              </w:rPr>
              <w:t>大、中、小、微企业划型标准对照表</w:t>
            </w:r>
          </w:p>
          <w:p w14:paraId="4AF9474B">
            <w:pPr>
              <w:spacing w:line="460" w:lineRule="exact"/>
              <w:jc w:val="center"/>
              <w:textAlignment w:val="baseline"/>
              <w:rPr>
                <w:rFonts w:hAnsi="宋体" w:cs="宋体"/>
                <w:sz w:val="21"/>
                <w:szCs w:val="21"/>
              </w:rPr>
            </w:pPr>
            <w:r>
              <w:rPr>
                <w:rFonts w:hint="eastAsia" w:hAnsi="宋体" w:cs="宋体"/>
                <w:sz w:val="21"/>
                <w:szCs w:val="21"/>
              </w:rPr>
              <w:t>所属行业：</w:t>
            </w:r>
            <w:r>
              <w:rPr>
                <w:rFonts w:hint="eastAsia" w:hAnsi="宋体" w:cs="宋体"/>
                <w:sz w:val="21"/>
                <w:szCs w:val="21"/>
                <w:u w:val="single"/>
              </w:rPr>
              <w:t>工业</w:t>
            </w:r>
          </w:p>
        </w:tc>
      </w:tr>
      <w:tr w14:paraId="6E63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748E24E8">
            <w:pPr>
              <w:spacing w:line="460" w:lineRule="exact"/>
              <w:jc w:val="center"/>
              <w:textAlignment w:val="baseline"/>
              <w:rPr>
                <w:rFonts w:hAnsi="宋体" w:cs="宋体"/>
                <w:sz w:val="21"/>
                <w:szCs w:val="21"/>
              </w:rPr>
            </w:pPr>
            <w:r>
              <w:rPr>
                <w:rFonts w:hint="eastAsia" w:hAnsi="宋体" w:cs="宋体"/>
                <w:sz w:val="21"/>
                <w:szCs w:val="21"/>
              </w:rPr>
              <w:t>序号</w:t>
            </w:r>
          </w:p>
        </w:tc>
        <w:tc>
          <w:tcPr>
            <w:tcW w:w="903" w:type="pct"/>
            <w:vAlign w:val="center"/>
          </w:tcPr>
          <w:p w14:paraId="40AC4777">
            <w:pPr>
              <w:widowControl/>
              <w:snapToGrid w:val="0"/>
              <w:spacing w:line="460" w:lineRule="exact"/>
              <w:jc w:val="center"/>
              <w:textAlignment w:val="center"/>
              <w:rPr>
                <w:rFonts w:hAnsi="宋体" w:cs="宋体"/>
                <w:sz w:val="21"/>
                <w:szCs w:val="21"/>
                <w:lang w:bidi="ar"/>
              </w:rPr>
            </w:pPr>
            <w:r>
              <w:rPr>
                <w:rFonts w:hint="eastAsia" w:hAnsi="宋体" w:cs="宋体"/>
                <w:sz w:val="21"/>
                <w:szCs w:val="21"/>
                <w:lang w:bidi="ar"/>
              </w:rPr>
              <w:t>从业人员X</w:t>
            </w:r>
          </w:p>
          <w:p w14:paraId="537405EB">
            <w:pPr>
              <w:widowControl/>
              <w:snapToGrid w:val="0"/>
              <w:spacing w:line="460" w:lineRule="exact"/>
              <w:jc w:val="center"/>
              <w:textAlignment w:val="center"/>
              <w:rPr>
                <w:rFonts w:hAnsi="宋体" w:cs="宋体"/>
                <w:sz w:val="21"/>
                <w:szCs w:val="21"/>
              </w:rPr>
            </w:pPr>
            <w:r>
              <w:rPr>
                <w:rFonts w:hint="eastAsia" w:hAnsi="宋体" w:cs="宋体"/>
                <w:sz w:val="21"/>
                <w:szCs w:val="21"/>
                <w:lang w:bidi="ar"/>
              </w:rPr>
              <w:t>（人）</w:t>
            </w:r>
          </w:p>
        </w:tc>
        <w:tc>
          <w:tcPr>
            <w:tcW w:w="964" w:type="pct"/>
            <w:vAlign w:val="center"/>
          </w:tcPr>
          <w:p w14:paraId="51D534C9">
            <w:pPr>
              <w:widowControl/>
              <w:snapToGrid w:val="0"/>
              <w:spacing w:line="460" w:lineRule="exact"/>
              <w:jc w:val="center"/>
              <w:textAlignment w:val="center"/>
              <w:rPr>
                <w:rFonts w:hAnsi="宋体" w:cs="宋体"/>
                <w:sz w:val="21"/>
                <w:szCs w:val="21"/>
                <w:lang w:bidi="ar"/>
              </w:rPr>
            </w:pPr>
            <w:r>
              <w:rPr>
                <w:rFonts w:hint="eastAsia" w:hAnsi="宋体" w:cs="宋体"/>
                <w:sz w:val="21"/>
                <w:szCs w:val="21"/>
                <w:lang w:bidi="ar"/>
              </w:rPr>
              <w:t>营业收入Y</w:t>
            </w:r>
          </w:p>
          <w:p w14:paraId="13CAF86A">
            <w:pPr>
              <w:widowControl/>
              <w:snapToGrid w:val="0"/>
              <w:spacing w:line="460" w:lineRule="exact"/>
              <w:jc w:val="center"/>
              <w:textAlignment w:val="center"/>
              <w:rPr>
                <w:rFonts w:hAnsi="宋体" w:cs="宋体"/>
                <w:sz w:val="21"/>
                <w:szCs w:val="21"/>
              </w:rPr>
            </w:pPr>
            <w:r>
              <w:rPr>
                <w:rFonts w:hint="eastAsia" w:hAnsi="宋体" w:cs="宋体"/>
                <w:sz w:val="21"/>
                <w:szCs w:val="21"/>
                <w:lang w:bidi="ar"/>
              </w:rPr>
              <w:t>（万元）</w:t>
            </w:r>
          </w:p>
        </w:tc>
        <w:tc>
          <w:tcPr>
            <w:tcW w:w="976" w:type="pct"/>
            <w:vAlign w:val="center"/>
          </w:tcPr>
          <w:p w14:paraId="5BE7111C">
            <w:pPr>
              <w:widowControl/>
              <w:snapToGrid w:val="0"/>
              <w:spacing w:line="460" w:lineRule="exact"/>
              <w:jc w:val="center"/>
              <w:textAlignment w:val="center"/>
              <w:rPr>
                <w:rFonts w:hAnsi="宋体" w:cs="宋体"/>
                <w:sz w:val="21"/>
                <w:szCs w:val="21"/>
                <w:lang w:bidi="ar"/>
              </w:rPr>
            </w:pPr>
            <w:r>
              <w:rPr>
                <w:rFonts w:hint="eastAsia" w:hAnsi="宋体" w:cs="宋体"/>
                <w:sz w:val="21"/>
                <w:szCs w:val="21"/>
                <w:lang w:bidi="ar"/>
              </w:rPr>
              <w:t>资产总额Z</w:t>
            </w:r>
          </w:p>
          <w:p w14:paraId="5C82B5C1">
            <w:pPr>
              <w:widowControl/>
              <w:snapToGrid w:val="0"/>
              <w:spacing w:line="460" w:lineRule="exact"/>
              <w:jc w:val="center"/>
              <w:textAlignment w:val="center"/>
              <w:rPr>
                <w:rFonts w:hAnsi="宋体" w:cs="宋体"/>
                <w:sz w:val="21"/>
                <w:szCs w:val="21"/>
              </w:rPr>
            </w:pPr>
            <w:r>
              <w:rPr>
                <w:rFonts w:hint="eastAsia" w:hAnsi="宋体" w:cs="宋体"/>
                <w:sz w:val="21"/>
                <w:szCs w:val="21"/>
                <w:lang w:bidi="ar"/>
              </w:rPr>
              <w:t>（万元）</w:t>
            </w:r>
          </w:p>
        </w:tc>
        <w:tc>
          <w:tcPr>
            <w:tcW w:w="1573" w:type="pct"/>
            <w:vAlign w:val="center"/>
          </w:tcPr>
          <w:p w14:paraId="608C58C6">
            <w:pPr>
              <w:spacing w:line="460" w:lineRule="exact"/>
              <w:jc w:val="center"/>
              <w:textAlignment w:val="baseline"/>
              <w:rPr>
                <w:rFonts w:hAnsi="宋体" w:cs="宋体"/>
                <w:sz w:val="21"/>
                <w:szCs w:val="21"/>
              </w:rPr>
            </w:pPr>
            <w:r>
              <w:rPr>
                <w:rFonts w:hint="eastAsia" w:hAnsi="宋体" w:cs="宋体"/>
                <w:sz w:val="21"/>
                <w:szCs w:val="21"/>
              </w:rPr>
              <w:t>对应企业类型</w:t>
            </w:r>
          </w:p>
        </w:tc>
      </w:tr>
      <w:tr w14:paraId="4C9F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1A11D5B3">
            <w:pPr>
              <w:spacing w:line="460" w:lineRule="exact"/>
              <w:jc w:val="center"/>
              <w:textAlignment w:val="baseline"/>
              <w:rPr>
                <w:rFonts w:hAnsi="宋体" w:cs="宋体"/>
                <w:sz w:val="21"/>
                <w:szCs w:val="21"/>
              </w:rPr>
            </w:pPr>
            <w:r>
              <w:rPr>
                <w:rFonts w:hint="eastAsia" w:hAnsi="宋体" w:cs="宋体"/>
                <w:sz w:val="21"/>
                <w:szCs w:val="21"/>
              </w:rPr>
              <w:t>1</w:t>
            </w:r>
          </w:p>
        </w:tc>
        <w:tc>
          <w:tcPr>
            <w:tcW w:w="903" w:type="pct"/>
            <w:vAlign w:val="center"/>
          </w:tcPr>
          <w:p w14:paraId="59449687">
            <w:pPr>
              <w:spacing w:line="460" w:lineRule="exact"/>
              <w:jc w:val="center"/>
              <w:textAlignment w:val="baseline"/>
              <w:rPr>
                <w:rFonts w:hAnsi="宋体" w:cs="宋体"/>
                <w:sz w:val="21"/>
                <w:szCs w:val="21"/>
              </w:rPr>
            </w:pPr>
            <w:r>
              <w:rPr>
                <w:rFonts w:hint="eastAsia" w:hAnsi="宋体" w:cs="宋体"/>
                <w:sz w:val="21"/>
                <w:szCs w:val="21"/>
              </w:rPr>
              <w:t>X ＜20</w:t>
            </w:r>
          </w:p>
        </w:tc>
        <w:tc>
          <w:tcPr>
            <w:tcW w:w="964" w:type="pct"/>
            <w:vAlign w:val="center"/>
          </w:tcPr>
          <w:p w14:paraId="731C7251">
            <w:pPr>
              <w:spacing w:line="460" w:lineRule="exact"/>
              <w:jc w:val="center"/>
              <w:textAlignment w:val="baseline"/>
              <w:rPr>
                <w:rFonts w:hAnsi="宋体" w:cs="宋体"/>
                <w:sz w:val="21"/>
                <w:szCs w:val="21"/>
              </w:rPr>
            </w:pPr>
            <w:r>
              <w:rPr>
                <w:rFonts w:hint="eastAsia" w:hAnsi="宋体" w:cs="宋体"/>
                <w:sz w:val="21"/>
                <w:szCs w:val="21"/>
              </w:rPr>
              <w:t>不限</w:t>
            </w:r>
          </w:p>
        </w:tc>
        <w:tc>
          <w:tcPr>
            <w:tcW w:w="976" w:type="pct"/>
            <w:vAlign w:val="center"/>
          </w:tcPr>
          <w:p w14:paraId="7C2FACED">
            <w:pPr>
              <w:spacing w:line="460" w:lineRule="exact"/>
              <w:jc w:val="center"/>
              <w:textAlignment w:val="baseline"/>
              <w:rPr>
                <w:rFonts w:hAnsi="宋体" w:cs="宋体"/>
                <w:sz w:val="21"/>
                <w:szCs w:val="21"/>
              </w:rPr>
            </w:pPr>
            <w:r>
              <w:rPr>
                <w:rFonts w:hint="eastAsia" w:hAnsi="宋体" w:cs="宋体"/>
                <w:sz w:val="21"/>
                <w:szCs w:val="21"/>
              </w:rPr>
              <w:t>不限</w:t>
            </w:r>
          </w:p>
        </w:tc>
        <w:tc>
          <w:tcPr>
            <w:tcW w:w="1573" w:type="pct"/>
            <w:vAlign w:val="center"/>
          </w:tcPr>
          <w:p w14:paraId="25C45CB1">
            <w:pPr>
              <w:spacing w:line="460" w:lineRule="exact"/>
              <w:jc w:val="center"/>
              <w:textAlignment w:val="baseline"/>
              <w:rPr>
                <w:rFonts w:hAnsi="宋体" w:cs="宋体"/>
                <w:sz w:val="21"/>
                <w:szCs w:val="21"/>
              </w:rPr>
            </w:pPr>
            <w:r>
              <w:rPr>
                <w:rFonts w:hint="eastAsia" w:hAnsi="宋体" w:cs="宋体"/>
                <w:sz w:val="21"/>
                <w:szCs w:val="21"/>
              </w:rPr>
              <w:t>微型</w:t>
            </w:r>
          </w:p>
        </w:tc>
      </w:tr>
      <w:tr w14:paraId="066D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0302B2C9">
            <w:pPr>
              <w:spacing w:line="460" w:lineRule="exact"/>
              <w:jc w:val="center"/>
              <w:textAlignment w:val="baseline"/>
              <w:rPr>
                <w:rFonts w:hAnsi="宋体" w:cs="宋体"/>
                <w:sz w:val="21"/>
                <w:szCs w:val="21"/>
              </w:rPr>
            </w:pPr>
            <w:r>
              <w:rPr>
                <w:rFonts w:hint="eastAsia" w:hAnsi="宋体" w:cs="宋体"/>
                <w:sz w:val="21"/>
                <w:szCs w:val="21"/>
              </w:rPr>
              <w:t>2</w:t>
            </w:r>
          </w:p>
        </w:tc>
        <w:tc>
          <w:tcPr>
            <w:tcW w:w="903" w:type="pct"/>
            <w:vAlign w:val="center"/>
          </w:tcPr>
          <w:p w14:paraId="1E1CC562">
            <w:pPr>
              <w:spacing w:line="460" w:lineRule="exact"/>
              <w:jc w:val="center"/>
              <w:textAlignment w:val="baseline"/>
              <w:rPr>
                <w:rFonts w:hAnsi="宋体" w:cs="宋体"/>
                <w:sz w:val="21"/>
                <w:szCs w:val="21"/>
              </w:rPr>
            </w:pPr>
            <w:r>
              <w:rPr>
                <w:rFonts w:hint="eastAsia" w:hAnsi="宋体" w:cs="宋体"/>
                <w:sz w:val="21"/>
                <w:szCs w:val="21"/>
              </w:rPr>
              <w:t>不限</w:t>
            </w:r>
          </w:p>
        </w:tc>
        <w:tc>
          <w:tcPr>
            <w:tcW w:w="964" w:type="pct"/>
            <w:vAlign w:val="center"/>
          </w:tcPr>
          <w:p w14:paraId="4E4E8117">
            <w:pPr>
              <w:spacing w:line="460" w:lineRule="exact"/>
              <w:jc w:val="center"/>
              <w:textAlignment w:val="baseline"/>
              <w:rPr>
                <w:rFonts w:hAnsi="宋体" w:cs="宋体"/>
                <w:sz w:val="21"/>
                <w:szCs w:val="21"/>
              </w:rPr>
            </w:pPr>
            <w:r>
              <w:rPr>
                <w:rFonts w:hint="eastAsia" w:hAnsi="宋体" w:cs="宋体"/>
                <w:sz w:val="21"/>
                <w:szCs w:val="21"/>
              </w:rPr>
              <w:t>Y ＜300</w:t>
            </w:r>
          </w:p>
        </w:tc>
        <w:tc>
          <w:tcPr>
            <w:tcW w:w="976" w:type="pct"/>
            <w:vAlign w:val="center"/>
          </w:tcPr>
          <w:p w14:paraId="1C25BA7B">
            <w:pPr>
              <w:spacing w:line="460" w:lineRule="exact"/>
              <w:jc w:val="center"/>
              <w:textAlignment w:val="baseline"/>
              <w:rPr>
                <w:rFonts w:hAnsi="宋体" w:cs="宋体"/>
                <w:sz w:val="21"/>
                <w:szCs w:val="21"/>
              </w:rPr>
            </w:pPr>
            <w:r>
              <w:rPr>
                <w:rFonts w:hint="eastAsia" w:hAnsi="宋体" w:cs="宋体"/>
                <w:sz w:val="21"/>
                <w:szCs w:val="21"/>
              </w:rPr>
              <w:t>不限</w:t>
            </w:r>
          </w:p>
        </w:tc>
        <w:tc>
          <w:tcPr>
            <w:tcW w:w="1573" w:type="pct"/>
            <w:vAlign w:val="center"/>
          </w:tcPr>
          <w:p w14:paraId="1033142F">
            <w:pPr>
              <w:spacing w:line="460" w:lineRule="exact"/>
              <w:jc w:val="center"/>
              <w:textAlignment w:val="baseline"/>
              <w:rPr>
                <w:rFonts w:hAnsi="宋体" w:cs="宋体"/>
                <w:sz w:val="21"/>
                <w:szCs w:val="21"/>
              </w:rPr>
            </w:pPr>
            <w:r>
              <w:rPr>
                <w:rFonts w:hint="eastAsia" w:hAnsi="宋体" w:cs="宋体"/>
                <w:sz w:val="21"/>
                <w:szCs w:val="21"/>
              </w:rPr>
              <w:t>微型</w:t>
            </w:r>
          </w:p>
        </w:tc>
      </w:tr>
      <w:tr w14:paraId="232A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5DCA0149">
            <w:pPr>
              <w:spacing w:line="460" w:lineRule="exact"/>
              <w:jc w:val="center"/>
              <w:textAlignment w:val="baseline"/>
              <w:rPr>
                <w:rFonts w:hAnsi="宋体" w:cs="宋体"/>
                <w:sz w:val="21"/>
                <w:szCs w:val="21"/>
              </w:rPr>
            </w:pPr>
            <w:r>
              <w:rPr>
                <w:rFonts w:hint="eastAsia" w:hAnsi="宋体" w:cs="宋体"/>
                <w:sz w:val="21"/>
                <w:szCs w:val="21"/>
              </w:rPr>
              <w:t>3</w:t>
            </w:r>
          </w:p>
        </w:tc>
        <w:tc>
          <w:tcPr>
            <w:tcW w:w="903" w:type="pct"/>
            <w:vAlign w:val="center"/>
          </w:tcPr>
          <w:p w14:paraId="167BC939">
            <w:pPr>
              <w:spacing w:line="460" w:lineRule="exact"/>
              <w:jc w:val="center"/>
              <w:textAlignment w:val="baseline"/>
              <w:rPr>
                <w:rFonts w:hAnsi="宋体" w:cs="宋体"/>
                <w:sz w:val="21"/>
                <w:szCs w:val="21"/>
              </w:rPr>
            </w:pPr>
            <w:r>
              <w:rPr>
                <w:rFonts w:hint="eastAsia" w:hAnsi="宋体" w:cs="宋体"/>
                <w:sz w:val="21"/>
                <w:szCs w:val="21"/>
              </w:rPr>
              <w:t>20≤ X ＜300</w:t>
            </w:r>
          </w:p>
        </w:tc>
        <w:tc>
          <w:tcPr>
            <w:tcW w:w="964" w:type="pct"/>
            <w:vAlign w:val="center"/>
          </w:tcPr>
          <w:p w14:paraId="46DE40F5">
            <w:pPr>
              <w:spacing w:line="460" w:lineRule="exact"/>
              <w:jc w:val="center"/>
              <w:textAlignment w:val="baseline"/>
              <w:rPr>
                <w:rFonts w:hAnsi="宋体" w:cs="宋体"/>
                <w:sz w:val="21"/>
                <w:szCs w:val="21"/>
              </w:rPr>
            </w:pPr>
            <w:r>
              <w:rPr>
                <w:rFonts w:hint="eastAsia" w:hAnsi="宋体" w:cs="宋体"/>
                <w:sz w:val="21"/>
                <w:szCs w:val="21"/>
              </w:rPr>
              <w:t>Y ≥300</w:t>
            </w:r>
          </w:p>
        </w:tc>
        <w:tc>
          <w:tcPr>
            <w:tcW w:w="976" w:type="pct"/>
            <w:vAlign w:val="center"/>
          </w:tcPr>
          <w:p w14:paraId="3A2EDB55">
            <w:pPr>
              <w:spacing w:line="460" w:lineRule="exact"/>
              <w:jc w:val="center"/>
              <w:textAlignment w:val="baseline"/>
              <w:rPr>
                <w:rFonts w:hAnsi="宋体" w:cs="宋体"/>
                <w:sz w:val="21"/>
                <w:szCs w:val="21"/>
              </w:rPr>
            </w:pPr>
            <w:r>
              <w:rPr>
                <w:rFonts w:hint="eastAsia" w:hAnsi="宋体" w:cs="宋体"/>
                <w:sz w:val="21"/>
                <w:szCs w:val="21"/>
              </w:rPr>
              <w:t>不限</w:t>
            </w:r>
          </w:p>
        </w:tc>
        <w:tc>
          <w:tcPr>
            <w:tcW w:w="1573" w:type="pct"/>
            <w:vAlign w:val="center"/>
          </w:tcPr>
          <w:p w14:paraId="5794E2EA">
            <w:pPr>
              <w:spacing w:line="460" w:lineRule="exact"/>
              <w:jc w:val="center"/>
              <w:textAlignment w:val="baseline"/>
              <w:rPr>
                <w:rFonts w:hAnsi="宋体" w:cs="宋体"/>
                <w:sz w:val="21"/>
                <w:szCs w:val="21"/>
              </w:rPr>
            </w:pPr>
            <w:r>
              <w:rPr>
                <w:rFonts w:hint="eastAsia" w:hAnsi="宋体" w:cs="宋体"/>
                <w:sz w:val="21"/>
                <w:szCs w:val="21"/>
              </w:rPr>
              <w:t>小型</w:t>
            </w:r>
          </w:p>
        </w:tc>
      </w:tr>
      <w:tr w14:paraId="6E40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1BA52D6F">
            <w:pPr>
              <w:spacing w:line="460" w:lineRule="exact"/>
              <w:jc w:val="center"/>
              <w:textAlignment w:val="baseline"/>
              <w:rPr>
                <w:rFonts w:hAnsi="宋体" w:cs="宋体"/>
                <w:sz w:val="21"/>
                <w:szCs w:val="21"/>
              </w:rPr>
            </w:pPr>
            <w:r>
              <w:rPr>
                <w:rFonts w:hint="eastAsia" w:hAnsi="宋体" w:cs="宋体"/>
                <w:sz w:val="21"/>
                <w:szCs w:val="21"/>
              </w:rPr>
              <w:t>4</w:t>
            </w:r>
          </w:p>
        </w:tc>
        <w:tc>
          <w:tcPr>
            <w:tcW w:w="903" w:type="pct"/>
            <w:vAlign w:val="center"/>
          </w:tcPr>
          <w:p w14:paraId="3D959BE4">
            <w:pPr>
              <w:spacing w:line="460" w:lineRule="exact"/>
              <w:jc w:val="center"/>
              <w:textAlignment w:val="baseline"/>
              <w:rPr>
                <w:rFonts w:hAnsi="宋体" w:cs="宋体"/>
                <w:sz w:val="21"/>
                <w:szCs w:val="21"/>
              </w:rPr>
            </w:pPr>
            <w:r>
              <w:rPr>
                <w:rFonts w:hint="eastAsia" w:hAnsi="宋体" w:cs="宋体"/>
                <w:sz w:val="21"/>
                <w:szCs w:val="21"/>
              </w:rPr>
              <w:t>X ≥20</w:t>
            </w:r>
          </w:p>
        </w:tc>
        <w:tc>
          <w:tcPr>
            <w:tcW w:w="964" w:type="pct"/>
            <w:vAlign w:val="center"/>
          </w:tcPr>
          <w:p w14:paraId="0D4FCA7D">
            <w:pPr>
              <w:spacing w:line="460" w:lineRule="exact"/>
              <w:jc w:val="center"/>
              <w:textAlignment w:val="baseline"/>
              <w:rPr>
                <w:rFonts w:hAnsi="宋体" w:cs="宋体"/>
                <w:sz w:val="21"/>
                <w:szCs w:val="21"/>
              </w:rPr>
            </w:pPr>
            <w:r>
              <w:rPr>
                <w:rFonts w:hint="eastAsia" w:hAnsi="宋体" w:cs="宋体"/>
                <w:sz w:val="21"/>
                <w:szCs w:val="21"/>
              </w:rPr>
              <w:t>300≤ Y ＜2000</w:t>
            </w:r>
          </w:p>
        </w:tc>
        <w:tc>
          <w:tcPr>
            <w:tcW w:w="976" w:type="pct"/>
            <w:vAlign w:val="center"/>
          </w:tcPr>
          <w:p w14:paraId="3F2F8A58">
            <w:pPr>
              <w:spacing w:line="460" w:lineRule="exact"/>
              <w:jc w:val="center"/>
              <w:textAlignment w:val="baseline"/>
              <w:rPr>
                <w:rFonts w:hAnsi="宋体" w:cs="宋体"/>
                <w:sz w:val="21"/>
                <w:szCs w:val="21"/>
              </w:rPr>
            </w:pPr>
            <w:r>
              <w:rPr>
                <w:rFonts w:hint="eastAsia" w:hAnsi="宋体" w:cs="宋体"/>
                <w:sz w:val="21"/>
                <w:szCs w:val="21"/>
              </w:rPr>
              <w:t>不限</w:t>
            </w:r>
          </w:p>
        </w:tc>
        <w:tc>
          <w:tcPr>
            <w:tcW w:w="1573" w:type="pct"/>
            <w:vAlign w:val="center"/>
          </w:tcPr>
          <w:p w14:paraId="0CE8D68B">
            <w:pPr>
              <w:spacing w:line="460" w:lineRule="exact"/>
              <w:jc w:val="center"/>
              <w:textAlignment w:val="baseline"/>
              <w:rPr>
                <w:rFonts w:hAnsi="宋体" w:cs="宋体"/>
                <w:sz w:val="21"/>
                <w:szCs w:val="21"/>
              </w:rPr>
            </w:pPr>
            <w:r>
              <w:rPr>
                <w:rFonts w:hint="eastAsia" w:hAnsi="宋体" w:cs="宋体"/>
                <w:sz w:val="21"/>
                <w:szCs w:val="21"/>
              </w:rPr>
              <w:t>小型</w:t>
            </w:r>
          </w:p>
        </w:tc>
      </w:tr>
      <w:tr w14:paraId="6167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7E612F67">
            <w:pPr>
              <w:spacing w:line="460" w:lineRule="exact"/>
              <w:jc w:val="center"/>
              <w:textAlignment w:val="baseline"/>
              <w:rPr>
                <w:rFonts w:hAnsi="宋体" w:cs="宋体"/>
                <w:sz w:val="21"/>
                <w:szCs w:val="21"/>
              </w:rPr>
            </w:pPr>
            <w:r>
              <w:rPr>
                <w:rFonts w:hint="eastAsia" w:hAnsi="宋体" w:cs="宋体"/>
                <w:sz w:val="21"/>
                <w:szCs w:val="21"/>
              </w:rPr>
              <w:t>5</w:t>
            </w:r>
          </w:p>
        </w:tc>
        <w:tc>
          <w:tcPr>
            <w:tcW w:w="903" w:type="pct"/>
            <w:vAlign w:val="center"/>
          </w:tcPr>
          <w:p w14:paraId="328BD9CF">
            <w:pPr>
              <w:spacing w:line="460" w:lineRule="exact"/>
              <w:jc w:val="center"/>
              <w:textAlignment w:val="baseline"/>
              <w:rPr>
                <w:rFonts w:hAnsi="宋体" w:cs="宋体"/>
                <w:sz w:val="21"/>
                <w:szCs w:val="21"/>
              </w:rPr>
            </w:pPr>
            <w:r>
              <w:rPr>
                <w:rFonts w:hint="eastAsia" w:hAnsi="宋体" w:cs="宋体"/>
                <w:sz w:val="21"/>
                <w:szCs w:val="21"/>
              </w:rPr>
              <w:t>300≤ X ＜1000</w:t>
            </w:r>
          </w:p>
        </w:tc>
        <w:tc>
          <w:tcPr>
            <w:tcW w:w="964" w:type="pct"/>
            <w:vAlign w:val="center"/>
          </w:tcPr>
          <w:p w14:paraId="4CC0C7AF">
            <w:pPr>
              <w:spacing w:line="460" w:lineRule="exact"/>
              <w:jc w:val="center"/>
              <w:textAlignment w:val="baseline"/>
              <w:rPr>
                <w:rFonts w:hAnsi="宋体" w:cs="宋体"/>
                <w:sz w:val="21"/>
                <w:szCs w:val="21"/>
              </w:rPr>
            </w:pPr>
            <w:r>
              <w:rPr>
                <w:rFonts w:hint="eastAsia" w:hAnsi="宋体" w:cs="宋体"/>
                <w:sz w:val="21"/>
                <w:szCs w:val="21"/>
              </w:rPr>
              <w:t>Y ≥2000</w:t>
            </w:r>
          </w:p>
        </w:tc>
        <w:tc>
          <w:tcPr>
            <w:tcW w:w="976" w:type="pct"/>
            <w:vAlign w:val="center"/>
          </w:tcPr>
          <w:p w14:paraId="07EAB462">
            <w:pPr>
              <w:spacing w:line="460" w:lineRule="exact"/>
              <w:jc w:val="center"/>
              <w:textAlignment w:val="baseline"/>
              <w:rPr>
                <w:rFonts w:hAnsi="宋体" w:cs="宋体"/>
                <w:sz w:val="21"/>
                <w:szCs w:val="21"/>
              </w:rPr>
            </w:pPr>
            <w:r>
              <w:rPr>
                <w:rFonts w:hint="eastAsia" w:hAnsi="宋体" w:cs="宋体"/>
                <w:sz w:val="21"/>
                <w:szCs w:val="21"/>
              </w:rPr>
              <w:t>不限</w:t>
            </w:r>
          </w:p>
        </w:tc>
        <w:tc>
          <w:tcPr>
            <w:tcW w:w="1573" w:type="pct"/>
            <w:vAlign w:val="center"/>
          </w:tcPr>
          <w:p w14:paraId="6769241C">
            <w:pPr>
              <w:spacing w:line="460" w:lineRule="exact"/>
              <w:jc w:val="center"/>
              <w:textAlignment w:val="baseline"/>
              <w:rPr>
                <w:rFonts w:hAnsi="宋体" w:cs="宋体"/>
                <w:sz w:val="21"/>
                <w:szCs w:val="21"/>
              </w:rPr>
            </w:pPr>
            <w:r>
              <w:rPr>
                <w:rFonts w:hint="eastAsia" w:hAnsi="宋体" w:cs="宋体"/>
                <w:sz w:val="21"/>
                <w:szCs w:val="21"/>
              </w:rPr>
              <w:t>中型</w:t>
            </w:r>
          </w:p>
        </w:tc>
      </w:tr>
      <w:tr w14:paraId="7CFF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54A84D75">
            <w:pPr>
              <w:spacing w:line="460" w:lineRule="exact"/>
              <w:jc w:val="center"/>
              <w:textAlignment w:val="baseline"/>
              <w:rPr>
                <w:rFonts w:hAnsi="宋体" w:cs="宋体"/>
                <w:sz w:val="21"/>
                <w:szCs w:val="21"/>
              </w:rPr>
            </w:pPr>
            <w:r>
              <w:rPr>
                <w:rFonts w:hint="eastAsia" w:hAnsi="宋体" w:cs="宋体"/>
                <w:sz w:val="21"/>
                <w:szCs w:val="21"/>
              </w:rPr>
              <w:t>6</w:t>
            </w:r>
          </w:p>
        </w:tc>
        <w:tc>
          <w:tcPr>
            <w:tcW w:w="903" w:type="pct"/>
            <w:vAlign w:val="center"/>
          </w:tcPr>
          <w:p w14:paraId="147E2DE8">
            <w:pPr>
              <w:spacing w:line="460" w:lineRule="exact"/>
              <w:jc w:val="center"/>
              <w:textAlignment w:val="baseline"/>
              <w:rPr>
                <w:rFonts w:hAnsi="宋体" w:cs="宋体"/>
                <w:sz w:val="21"/>
                <w:szCs w:val="21"/>
              </w:rPr>
            </w:pPr>
            <w:r>
              <w:rPr>
                <w:rFonts w:hint="eastAsia" w:hAnsi="宋体" w:cs="宋体"/>
                <w:sz w:val="21"/>
                <w:szCs w:val="21"/>
              </w:rPr>
              <w:t>X ≥300</w:t>
            </w:r>
          </w:p>
        </w:tc>
        <w:tc>
          <w:tcPr>
            <w:tcW w:w="964" w:type="pct"/>
            <w:vAlign w:val="center"/>
          </w:tcPr>
          <w:p w14:paraId="63A0091E">
            <w:pPr>
              <w:spacing w:line="460" w:lineRule="exact"/>
              <w:jc w:val="center"/>
              <w:textAlignment w:val="baseline"/>
              <w:rPr>
                <w:rFonts w:hAnsi="宋体" w:cs="宋体"/>
                <w:sz w:val="21"/>
                <w:szCs w:val="21"/>
              </w:rPr>
            </w:pPr>
            <w:r>
              <w:rPr>
                <w:rFonts w:hint="eastAsia" w:hAnsi="宋体" w:cs="宋体"/>
                <w:sz w:val="21"/>
                <w:szCs w:val="21"/>
              </w:rPr>
              <w:t>2000≤ Y ＜40000</w:t>
            </w:r>
          </w:p>
        </w:tc>
        <w:tc>
          <w:tcPr>
            <w:tcW w:w="976" w:type="pct"/>
            <w:vAlign w:val="center"/>
          </w:tcPr>
          <w:p w14:paraId="34B1CE0E">
            <w:pPr>
              <w:spacing w:line="460" w:lineRule="exact"/>
              <w:jc w:val="center"/>
              <w:textAlignment w:val="baseline"/>
              <w:rPr>
                <w:rFonts w:hAnsi="宋体" w:cs="宋体"/>
                <w:sz w:val="21"/>
                <w:szCs w:val="21"/>
              </w:rPr>
            </w:pPr>
            <w:r>
              <w:rPr>
                <w:rFonts w:hint="eastAsia" w:hAnsi="宋体" w:cs="宋体"/>
                <w:sz w:val="21"/>
                <w:szCs w:val="21"/>
              </w:rPr>
              <w:t>不限</w:t>
            </w:r>
          </w:p>
        </w:tc>
        <w:tc>
          <w:tcPr>
            <w:tcW w:w="1573" w:type="pct"/>
            <w:vAlign w:val="center"/>
          </w:tcPr>
          <w:p w14:paraId="6840D98D">
            <w:pPr>
              <w:spacing w:line="460" w:lineRule="exact"/>
              <w:jc w:val="center"/>
              <w:textAlignment w:val="baseline"/>
              <w:rPr>
                <w:rFonts w:hAnsi="宋体" w:cs="宋体"/>
                <w:sz w:val="21"/>
                <w:szCs w:val="21"/>
              </w:rPr>
            </w:pPr>
            <w:r>
              <w:rPr>
                <w:rFonts w:hint="eastAsia" w:hAnsi="宋体" w:cs="宋体"/>
                <w:sz w:val="21"/>
                <w:szCs w:val="21"/>
              </w:rPr>
              <w:t>中型</w:t>
            </w:r>
          </w:p>
        </w:tc>
      </w:tr>
      <w:tr w14:paraId="4EAA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3C2027C6">
            <w:pPr>
              <w:spacing w:line="460" w:lineRule="exact"/>
              <w:jc w:val="center"/>
              <w:textAlignment w:val="baseline"/>
              <w:rPr>
                <w:rFonts w:hAnsi="宋体" w:cs="宋体"/>
                <w:sz w:val="21"/>
                <w:szCs w:val="21"/>
              </w:rPr>
            </w:pPr>
            <w:r>
              <w:rPr>
                <w:rFonts w:hint="eastAsia" w:hAnsi="宋体" w:cs="宋体"/>
                <w:sz w:val="21"/>
                <w:szCs w:val="21"/>
              </w:rPr>
              <w:t>7</w:t>
            </w:r>
          </w:p>
        </w:tc>
        <w:tc>
          <w:tcPr>
            <w:tcW w:w="903" w:type="pct"/>
            <w:vAlign w:val="center"/>
          </w:tcPr>
          <w:p w14:paraId="016BB0F4">
            <w:pPr>
              <w:spacing w:line="460" w:lineRule="exact"/>
              <w:jc w:val="center"/>
              <w:textAlignment w:val="baseline"/>
              <w:rPr>
                <w:rFonts w:hAnsi="宋体" w:cs="宋体"/>
                <w:sz w:val="21"/>
                <w:szCs w:val="21"/>
              </w:rPr>
            </w:pPr>
            <w:r>
              <w:rPr>
                <w:rFonts w:hint="eastAsia" w:hAnsi="宋体" w:cs="宋体"/>
                <w:sz w:val="21"/>
                <w:szCs w:val="21"/>
              </w:rPr>
              <w:t>X ≥1000</w:t>
            </w:r>
          </w:p>
        </w:tc>
        <w:tc>
          <w:tcPr>
            <w:tcW w:w="964" w:type="pct"/>
            <w:vAlign w:val="center"/>
          </w:tcPr>
          <w:p w14:paraId="358C063B">
            <w:pPr>
              <w:spacing w:line="460" w:lineRule="exact"/>
              <w:jc w:val="center"/>
              <w:textAlignment w:val="baseline"/>
              <w:rPr>
                <w:rFonts w:hAnsi="宋体" w:cs="宋体"/>
                <w:sz w:val="21"/>
                <w:szCs w:val="21"/>
              </w:rPr>
            </w:pPr>
            <w:r>
              <w:rPr>
                <w:rFonts w:hint="eastAsia" w:hAnsi="宋体" w:cs="宋体"/>
                <w:sz w:val="21"/>
                <w:szCs w:val="21"/>
              </w:rPr>
              <w:t>Y ≥40000</w:t>
            </w:r>
          </w:p>
        </w:tc>
        <w:tc>
          <w:tcPr>
            <w:tcW w:w="976" w:type="pct"/>
            <w:vAlign w:val="center"/>
          </w:tcPr>
          <w:p w14:paraId="7290CF3D">
            <w:pPr>
              <w:spacing w:line="460" w:lineRule="exact"/>
              <w:jc w:val="center"/>
              <w:textAlignment w:val="baseline"/>
              <w:rPr>
                <w:rFonts w:hAnsi="宋体" w:cs="宋体"/>
                <w:sz w:val="21"/>
                <w:szCs w:val="21"/>
              </w:rPr>
            </w:pPr>
            <w:r>
              <w:rPr>
                <w:rFonts w:hint="eastAsia" w:hAnsi="宋体" w:cs="宋体"/>
                <w:sz w:val="21"/>
                <w:szCs w:val="21"/>
              </w:rPr>
              <w:t>不限</w:t>
            </w:r>
          </w:p>
        </w:tc>
        <w:tc>
          <w:tcPr>
            <w:tcW w:w="1573" w:type="pct"/>
            <w:vAlign w:val="center"/>
          </w:tcPr>
          <w:p w14:paraId="7B3027E0">
            <w:pPr>
              <w:spacing w:line="460" w:lineRule="exact"/>
              <w:jc w:val="center"/>
              <w:textAlignment w:val="baseline"/>
              <w:rPr>
                <w:rFonts w:hAnsi="宋体" w:cs="宋体"/>
                <w:sz w:val="21"/>
                <w:szCs w:val="21"/>
              </w:rPr>
            </w:pPr>
            <w:r>
              <w:rPr>
                <w:rFonts w:hint="eastAsia" w:hAnsi="宋体" w:cs="宋体"/>
                <w:sz w:val="21"/>
                <w:szCs w:val="21"/>
              </w:rPr>
              <w:t>大型</w:t>
            </w:r>
          </w:p>
        </w:tc>
      </w:tr>
      <w:tr w14:paraId="7F8E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638550EE">
            <w:pPr>
              <w:spacing w:line="460" w:lineRule="exact"/>
              <w:jc w:val="both"/>
              <w:textAlignment w:val="baseline"/>
              <w:rPr>
                <w:rFonts w:hAnsi="宋体" w:cs="宋体"/>
                <w:sz w:val="21"/>
                <w:szCs w:val="21"/>
              </w:rPr>
            </w:pPr>
            <w:r>
              <w:rPr>
                <w:rFonts w:hint="eastAsia" w:hAnsi="宋体" w:cs="宋体"/>
                <w:sz w:val="21"/>
                <w:szCs w:val="21"/>
              </w:rPr>
              <w:t>工业。从业人员1000人以下或营业收入40000万元以下的为中小微型企业。</w:t>
            </w:r>
          </w:p>
          <w:p w14:paraId="0F697A11">
            <w:pPr>
              <w:spacing w:line="460" w:lineRule="exact"/>
              <w:jc w:val="both"/>
              <w:textAlignment w:val="baseline"/>
              <w:rPr>
                <w:rFonts w:hAnsi="宋体" w:cs="宋体"/>
                <w:sz w:val="21"/>
                <w:szCs w:val="21"/>
              </w:rPr>
            </w:pPr>
            <w:r>
              <w:rPr>
                <w:rFonts w:hint="eastAsia" w:hAnsi="宋体" w:cs="宋体"/>
                <w:sz w:val="21"/>
                <w:szCs w:val="21"/>
              </w:rPr>
              <w:t>其中，从业人员300人及以上，且营业收入2000万元及以上的为中型企业；</w:t>
            </w:r>
          </w:p>
          <w:p w14:paraId="4E63C479">
            <w:pPr>
              <w:spacing w:line="460" w:lineRule="exact"/>
              <w:ind w:firstLine="630" w:firstLineChars="300"/>
              <w:jc w:val="both"/>
              <w:textAlignment w:val="baseline"/>
              <w:rPr>
                <w:rFonts w:hAnsi="宋体" w:cs="宋体"/>
                <w:sz w:val="21"/>
                <w:szCs w:val="21"/>
              </w:rPr>
            </w:pPr>
            <w:r>
              <w:rPr>
                <w:rFonts w:hint="eastAsia" w:hAnsi="宋体" w:cs="宋体"/>
                <w:sz w:val="21"/>
                <w:szCs w:val="21"/>
              </w:rPr>
              <w:t>从业人员20人及以上，且营业收入300万元及以上的为小型企业；</w:t>
            </w:r>
          </w:p>
          <w:p w14:paraId="070CDB70">
            <w:pPr>
              <w:spacing w:line="460" w:lineRule="exact"/>
              <w:ind w:firstLine="630" w:firstLineChars="300"/>
              <w:jc w:val="both"/>
              <w:textAlignment w:val="baseline"/>
              <w:rPr>
                <w:rFonts w:hAnsi="宋体" w:cs="宋体"/>
                <w:sz w:val="21"/>
                <w:szCs w:val="21"/>
              </w:rPr>
            </w:pPr>
            <w:r>
              <w:rPr>
                <w:rFonts w:hint="eastAsia" w:hAnsi="宋体" w:cs="宋体"/>
                <w:sz w:val="21"/>
                <w:szCs w:val="21"/>
              </w:rPr>
              <w:t>从业人员20人以下或营业收入300万元以下的为微型企业。</w:t>
            </w:r>
          </w:p>
        </w:tc>
      </w:tr>
    </w:tbl>
    <w:p w14:paraId="28B78F3D">
      <w:pPr>
        <w:snapToGrid w:val="0"/>
        <w:spacing w:line="460" w:lineRule="exact"/>
        <w:ind w:firstLine="420" w:firstLineChars="200"/>
        <w:rPr>
          <w:rFonts w:hAnsi="宋体" w:cs="宋体"/>
          <w:kern w:val="2"/>
          <w:sz w:val="21"/>
          <w:szCs w:val="21"/>
        </w:rPr>
      </w:pPr>
      <w:r>
        <w:rPr>
          <w:rFonts w:hint="eastAsia" w:hAnsi="宋体" w:cs="宋体"/>
          <w:kern w:val="2"/>
          <w:sz w:val="21"/>
          <w:szCs w:val="21"/>
        </w:rPr>
        <w:t>③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r>
        <w:rPr>
          <w:rFonts w:hint="eastAsia" w:hAnsi="宋体" w:cs="宋体"/>
          <w:sz w:val="21"/>
          <w:szCs w:val="21"/>
        </w:rPr>
        <w:t xml:space="preserve"> </w:t>
      </w:r>
    </w:p>
    <w:p w14:paraId="39C0AFAE">
      <w:pPr>
        <w:spacing w:line="500" w:lineRule="exact"/>
        <w:ind w:firstLine="680" w:firstLineChars="200"/>
        <w:rPr>
          <w:rFonts w:hAnsi="宋体" w:cs="宋体"/>
        </w:rPr>
      </w:pPr>
    </w:p>
    <w:p w14:paraId="43B9EDE5">
      <w:pPr>
        <w:spacing w:line="458" w:lineRule="exact"/>
        <w:jc w:val="center"/>
        <w:rPr>
          <w:rFonts w:hAnsi="宋体" w:cs="宋体"/>
          <w:sz w:val="21"/>
          <w:szCs w:val="21"/>
        </w:rPr>
      </w:pPr>
    </w:p>
    <w:p w14:paraId="09999FD2">
      <w:pPr>
        <w:spacing w:line="352" w:lineRule="exact"/>
        <w:jc w:val="center"/>
        <w:rPr>
          <w:rFonts w:hAnsi="宋体" w:cs="宋体"/>
          <w:sz w:val="21"/>
          <w:szCs w:val="21"/>
        </w:rPr>
      </w:pPr>
      <w:r>
        <w:rPr>
          <w:rFonts w:hint="eastAsia" w:hAnsi="宋体" w:cs="宋体"/>
          <w:sz w:val="21"/>
          <w:szCs w:val="21"/>
        </w:rPr>
        <w:t>（2）残疾人福利性单位声明函</w:t>
      </w:r>
    </w:p>
    <w:p w14:paraId="25CFA75C">
      <w:pPr>
        <w:pStyle w:val="71"/>
        <w:spacing w:line="500" w:lineRule="exact"/>
        <w:ind w:firstLine="601"/>
        <w:rPr>
          <w:rFonts w:hint="default" w:ascii="宋体" w:hAnsi="宋体" w:eastAsia="宋体" w:cs="宋体"/>
          <w:kern w:val="2"/>
          <w:szCs w:val="21"/>
        </w:rPr>
      </w:pPr>
      <w:r>
        <w:rPr>
          <w:rFonts w:ascii="宋体" w:hAnsi="宋体" w:eastAsia="宋体" w:cs="宋体"/>
          <w:kern w:val="2"/>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DD95C0">
      <w:pPr>
        <w:pStyle w:val="71"/>
        <w:spacing w:line="500" w:lineRule="exact"/>
        <w:ind w:firstLine="600"/>
        <w:rPr>
          <w:rFonts w:hint="default" w:ascii="宋体" w:hAnsi="宋体" w:eastAsia="宋体" w:cs="宋体"/>
          <w:kern w:val="2"/>
          <w:szCs w:val="21"/>
        </w:rPr>
      </w:pPr>
      <w:r>
        <w:rPr>
          <w:rFonts w:ascii="宋体" w:hAnsi="宋体" w:eastAsia="宋体" w:cs="宋体"/>
          <w:kern w:val="2"/>
          <w:szCs w:val="21"/>
        </w:rPr>
        <w:t>本单位对上述声明的真实性负责。如有虚假，将依法承担相应责任。</w:t>
      </w:r>
    </w:p>
    <w:p w14:paraId="4398555F">
      <w:pPr>
        <w:pStyle w:val="71"/>
        <w:spacing w:line="500" w:lineRule="exact"/>
        <w:rPr>
          <w:rFonts w:hint="default" w:ascii="宋体" w:hAnsi="宋体" w:eastAsia="宋体" w:cs="宋体"/>
          <w:spacing w:val="6"/>
          <w:szCs w:val="21"/>
        </w:rPr>
      </w:pPr>
    </w:p>
    <w:p w14:paraId="79425EE7">
      <w:pPr>
        <w:pStyle w:val="71"/>
        <w:spacing w:line="500" w:lineRule="exact"/>
        <w:ind w:right="1560" w:firstLine="600"/>
        <w:jc w:val="center"/>
        <w:rPr>
          <w:rFonts w:hint="default" w:ascii="宋体" w:hAnsi="宋体" w:eastAsia="宋体" w:cs="宋体"/>
          <w:kern w:val="2"/>
          <w:szCs w:val="21"/>
        </w:rPr>
      </w:pPr>
      <w:r>
        <w:rPr>
          <w:rFonts w:ascii="宋体" w:hAnsi="宋体" w:eastAsia="宋体" w:cs="宋体"/>
          <w:spacing w:val="6"/>
          <w:szCs w:val="21"/>
        </w:rPr>
        <w:t xml:space="preserve">               </w:t>
      </w:r>
      <w:r>
        <w:rPr>
          <w:rFonts w:ascii="宋体" w:hAnsi="宋体" w:eastAsia="宋体" w:cs="宋体"/>
          <w:kern w:val="2"/>
          <w:szCs w:val="21"/>
        </w:rPr>
        <w:t>单位名称（盖章）：</w:t>
      </w:r>
    </w:p>
    <w:p w14:paraId="7882ED8A">
      <w:pPr>
        <w:pStyle w:val="71"/>
        <w:spacing w:line="500" w:lineRule="exact"/>
        <w:ind w:right="1560" w:firstLine="600"/>
        <w:jc w:val="center"/>
        <w:rPr>
          <w:rFonts w:hint="default" w:ascii="宋体" w:hAnsi="宋体" w:eastAsia="宋体" w:cs="宋体"/>
          <w:kern w:val="2"/>
          <w:szCs w:val="21"/>
          <w:lang w:eastAsia="zh-CN"/>
        </w:rPr>
      </w:pPr>
      <w:r>
        <w:rPr>
          <w:rFonts w:ascii="宋体" w:hAnsi="宋体" w:eastAsia="宋体" w:cs="宋体"/>
          <w:kern w:val="2"/>
          <w:szCs w:val="21"/>
        </w:rPr>
        <w:t xml:space="preserve">       日  期：</w:t>
      </w:r>
    </w:p>
    <w:p w14:paraId="72B1FD2A">
      <w:pPr>
        <w:snapToGrid w:val="0"/>
        <w:spacing w:line="500" w:lineRule="exact"/>
        <w:jc w:val="center"/>
        <w:rPr>
          <w:rFonts w:hAnsi="宋体" w:cs="宋体"/>
          <w:sz w:val="21"/>
          <w:szCs w:val="21"/>
        </w:rPr>
      </w:pPr>
    </w:p>
    <w:p w14:paraId="762E504B">
      <w:pPr>
        <w:snapToGrid w:val="0"/>
        <w:spacing w:line="500" w:lineRule="exact"/>
        <w:jc w:val="center"/>
        <w:rPr>
          <w:rFonts w:hAnsi="宋体" w:cs="宋体"/>
          <w:sz w:val="21"/>
          <w:szCs w:val="21"/>
        </w:rPr>
      </w:pPr>
    </w:p>
    <w:p w14:paraId="47EBB86C">
      <w:pPr>
        <w:snapToGrid w:val="0"/>
        <w:spacing w:line="500" w:lineRule="exact"/>
        <w:jc w:val="center"/>
        <w:rPr>
          <w:rFonts w:hAnsi="宋体" w:cs="宋体"/>
          <w:sz w:val="21"/>
          <w:szCs w:val="21"/>
        </w:rPr>
      </w:pPr>
    </w:p>
    <w:p w14:paraId="37F20312">
      <w:pPr>
        <w:snapToGrid w:val="0"/>
        <w:spacing w:line="500" w:lineRule="exact"/>
        <w:jc w:val="center"/>
        <w:rPr>
          <w:rFonts w:hAnsi="宋体" w:cs="宋体"/>
          <w:sz w:val="21"/>
          <w:szCs w:val="21"/>
        </w:rPr>
      </w:pPr>
      <w:r>
        <w:rPr>
          <w:rFonts w:hint="eastAsia" w:hAnsi="宋体" w:cs="宋体"/>
          <w:sz w:val="21"/>
          <w:szCs w:val="21"/>
        </w:rPr>
        <w:t>（3）监狱企业证明文件</w:t>
      </w:r>
    </w:p>
    <w:p w14:paraId="16B9F98F">
      <w:pPr>
        <w:widowControl/>
        <w:snapToGrid w:val="0"/>
        <w:spacing w:line="500" w:lineRule="exact"/>
        <w:ind w:firstLine="420" w:firstLineChars="200"/>
        <w:rPr>
          <w:rFonts w:hAnsi="宋体" w:cs="宋体"/>
          <w:sz w:val="21"/>
          <w:szCs w:val="21"/>
        </w:rPr>
      </w:pPr>
      <w:r>
        <w:rPr>
          <w:rFonts w:hint="eastAsia" w:hAnsi="宋体" w:cs="宋体"/>
          <w:sz w:val="21"/>
          <w:szCs w:val="21"/>
          <w:lang w:bidi="ar"/>
        </w:rPr>
        <w:t>监狱企业参加政府采购活动时，应当提供由省级以上监狱管理局、戒毒管理局（含新疆生产建设兵团）出具的属于监狱企业的证明文件。</w:t>
      </w:r>
    </w:p>
    <w:p w14:paraId="45A93FBA">
      <w:pPr>
        <w:spacing w:line="458" w:lineRule="exact"/>
        <w:rPr>
          <w:rFonts w:hAnsi="宋体" w:cs="宋体"/>
          <w:sz w:val="21"/>
          <w:szCs w:val="21"/>
        </w:rPr>
      </w:pPr>
    </w:p>
    <w:p w14:paraId="086FC47A">
      <w:pPr>
        <w:tabs>
          <w:tab w:val="left" w:pos="1485"/>
        </w:tabs>
        <w:spacing w:line="500" w:lineRule="exact"/>
        <w:rPr>
          <w:rFonts w:hAnsi="宋体" w:cs="宋体"/>
          <w:sz w:val="21"/>
          <w:szCs w:val="21"/>
        </w:rPr>
      </w:pPr>
    </w:p>
    <w:p w14:paraId="05434971">
      <w:pPr>
        <w:rPr>
          <w:rFonts w:hAnsi="宋体" w:cs="宋体"/>
          <w:sz w:val="21"/>
          <w:szCs w:val="21"/>
        </w:rPr>
      </w:pPr>
    </w:p>
    <w:p w14:paraId="2E778ED8">
      <w:pPr>
        <w:pStyle w:val="49"/>
        <w:ind w:left="680"/>
        <w:rPr>
          <w:rFonts w:ascii="宋体" w:hAnsi="宋体" w:cs="宋体"/>
          <w:sz w:val="21"/>
          <w:szCs w:val="21"/>
        </w:rPr>
      </w:pPr>
    </w:p>
    <w:p w14:paraId="32ECD237">
      <w:pPr>
        <w:pStyle w:val="49"/>
        <w:ind w:left="680"/>
        <w:rPr>
          <w:rFonts w:ascii="宋体" w:hAnsi="宋体" w:cs="宋体"/>
          <w:sz w:val="21"/>
          <w:szCs w:val="21"/>
        </w:rPr>
      </w:pPr>
    </w:p>
    <w:p w14:paraId="46153E84">
      <w:pPr>
        <w:pStyle w:val="49"/>
        <w:ind w:left="680"/>
        <w:rPr>
          <w:rFonts w:ascii="宋体" w:hAnsi="宋体" w:cs="宋体"/>
          <w:sz w:val="21"/>
          <w:szCs w:val="21"/>
        </w:rPr>
      </w:pPr>
    </w:p>
    <w:p w14:paraId="4D9EA1CD">
      <w:pPr>
        <w:pStyle w:val="49"/>
        <w:ind w:left="680"/>
        <w:rPr>
          <w:rFonts w:ascii="宋体" w:hAnsi="宋体" w:cs="宋体"/>
          <w:sz w:val="21"/>
          <w:szCs w:val="21"/>
        </w:rPr>
      </w:pPr>
    </w:p>
    <w:p w14:paraId="4A25ABDB">
      <w:pPr>
        <w:pStyle w:val="49"/>
        <w:ind w:left="680"/>
        <w:rPr>
          <w:rFonts w:ascii="宋体" w:hAnsi="宋体" w:cs="宋体"/>
          <w:sz w:val="21"/>
          <w:szCs w:val="21"/>
        </w:rPr>
      </w:pPr>
    </w:p>
    <w:p w14:paraId="787903E6">
      <w:pPr>
        <w:pStyle w:val="49"/>
        <w:ind w:left="680"/>
        <w:rPr>
          <w:rFonts w:ascii="宋体" w:hAnsi="宋体" w:cs="宋体"/>
          <w:sz w:val="21"/>
          <w:szCs w:val="21"/>
        </w:rPr>
      </w:pPr>
    </w:p>
    <w:p w14:paraId="0ECAEE20">
      <w:pPr>
        <w:pStyle w:val="49"/>
        <w:ind w:left="680"/>
        <w:rPr>
          <w:rFonts w:ascii="宋体" w:hAnsi="宋体" w:cs="宋体"/>
          <w:sz w:val="21"/>
          <w:szCs w:val="21"/>
        </w:rPr>
      </w:pPr>
    </w:p>
    <w:p w14:paraId="602D855C">
      <w:pPr>
        <w:pStyle w:val="49"/>
        <w:ind w:left="680"/>
        <w:rPr>
          <w:rFonts w:ascii="宋体" w:hAnsi="宋体" w:cs="宋体"/>
          <w:sz w:val="21"/>
          <w:szCs w:val="21"/>
        </w:rPr>
      </w:pPr>
    </w:p>
    <w:p w14:paraId="7A5246DB">
      <w:pPr>
        <w:pStyle w:val="49"/>
        <w:ind w:left="680"/>
        <w:rPr>
          <w:rFonts w:ascii="宋体" w:hAnsi="宋体" w:cs="宋体"/>
          <w:sz w:val="21"/>
          <w:szCs w:val="21"/>
        </w:rPr>
      </w:pPr>
    </w:p>
    <w:p w14:paraId="38BA4494">
      <w:pPr>
        <w:pStyle w:val="49"/>
        <w:ind w:left="680"/>
        <w:rPr>
          <w:rFonts w:ascii="宋体" w:hAnsi="宋体" w:cs="宋体"/>
          <w:sz w:val="21"/>
          <w:szCs w:val="21"/>
        </w:rPr>
      </w:pPr>
    </w:p>
    <w:p w14:paraId="6941D8BF">
      <w:pPr>
        <w:pStyle w:val="49"/>
        <w:ind w:left="680"/>
        <w:rPr>
          <w:rFonts w:ascii="宋体" w:hAnsi="宋体" w:cs="宋体"/>
          <w:sz w:val="21"/>
          <w:szCs w:val="21"/>
        </w:rPr>
      </w:pPr>
    </w:p>
    <w:p w14:paraId="12EDDF4E">
      <w:pPr>
        <w:pStyle w:val="26"/>
        <w:snapToGrid w:val="0"/>
        <w:spacing w:before="295" w:after="295"/>
        <w:jc w:val="center"/>
        <w:rPr>
          <w:rFonts w:ascii="宋体" w:hAnsi="宋体" w:cs="宋体"/>
          <w:sz w:val="21"/>
        </w:rPr>
      </w:pPr>
      <w:r>
        <w:rPr>
          <w:rFonts w:hint="eastAsia" w:ascii="宋体" w:hAnsi="宋体" w:cs="宋体"/>
          <w:sz w:val="21"/>
        </w:rPr>
        <w:t>4.投标报价明细表</w:t>
      </w:r>
    </w:p>
    <w:p w14:paraId="2E188C0A">
      <w:pPr>
        <w:pStyle w:val="26"/>
        <w:snapToGrid w:val="0"/>
        <w:spacing w:before="295" w:after="295"/>
        <w:ind w:firstLine="6090" w:firstLineChars="2900"/>
        <w:jc w:val="both"/>
        <w:rPr>
          <w:rFonts w:ascii="宋体" w:hAnsi="宋体" w:cs="宋体"/>
          <w:sz w:val="21"/>
        </w:rPr>
      </w:pPr>
    </w:p>
    <w:p w14:paraId="40362B62">
      <w:pPr>
        <w:pStyle w:val="26"/>
        <w:snapToGrid w:val="0"/>
        <w:spacing w:before="295" w:after="295"/>
        <w:rPr>
          <w:rFonts w:ascii="宋体" w:hAnsi="宋体" w:cs="宋体"/>
          <w:sz w:val="21"/>
        </w:rPr>
      </w:pPr>
      <w:r>
        <w:rPr>
          <w:rFonts w:hint="eastAsia" w:ascii="宋体" w:hAnsi="宋体" w:cs="宋体"/>
          <w:sz w:val="21"/>
        </w:rPr>
        <w:t>项目名称：                                   项目编号：           金额单位：人民币（元）</w:t>
      </w:r>
    </w:p>
    <w:tbl>
      <w:tblPr>
        <w:tblStyle w:val="50"/>
        <w:tblW w:w="10153"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1579"/>
        <w:gridCol w:w="1522"/>
        <w:gridCol w:w="1328"/>
        <w:gridCol w:w="1034"/>
        <w:gridCol w:w="1181"/>
        <w:gridCol w:w="1328"/>
        <w:gridCol w:w="1509"/>
      </w:tblGrid>
      <w:tr w14:paraId="080A8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346E190F">
            <w:pPr>
              <w:tabs>
                <w:tab w:val="left" w:pos="1418"/>
              </w:tabs>
              <w:snapToGrid w:val="0"/>
              <w:spacing w:before="50" w:after="50" w:line="460" w:lineRule="exact"/>
              <w:jc w:val="center"/>
              <w:rPr>
                <w:rFonts w:hAnsi="宋体"/>
                <w:sz w:val="21"/>
                <w:szCs w:val="21"/>
              </w:rPr>
            </w:pPr>
            <w:r>
              <w:rPr>
                <w:rFonts w:hint="eastAsia" w:hAnsi="宋体"/>
                <w:sz w:val="21"/>
                <w:szCs w:val="21"/>
              </w:rPr>
              <w:t>序号</w:t>
            </w:r>
          </w:p>
        </w:tc>
        <w:tc>
          <w:tcPr>
            <w:tcW w:w="1516" w:type="dxa"/>
            <w:tcBorders>
              <w:top w:val="single" w:color="auto" w:sz="4" w:space="0"/>
              <w:left w:val="single" w:color="auto" w:sz="4" w:space="0"/>
              <w:bottom w:val="single" w:color="auto" w:sz="4" w:space="0"/>
              <w:right w:val="single" w:color="auto" w:sz="4" w:space="0"/>
            </w:tcBorders>
            <w:vAlign w:val="center"/>
          </w:tcPr>
          <w:p w14:paraId="5EB972D6">
            <w:pPr>
              <w:tabs>
                <w:tab w:val="left" w:pos="1418"/>
              </w:tabs>
              <w:snapToGrid w:val="0"/>
              <w:spacing w:before="50" w:after="50" w:line="460" w:lineRule="exact"/>
              <w:jc w:val="center"/>
              <w:rPr>
                <w:rFonts w:hAnsi="宋体"/>
                <w:sz w:val="21"/>
                <w:szCs w:val="21"/>
              </w:rPr>
            </w:pPr>
            <w:r>
              <w:rPr>
                <w:rFonts w:hint="eastAsia" w:hAnsi="宋体"/>
                <w:sz w:val="21"/>
                <w:szCs w:val="21"/>
              </w:rPr>
              <w:t>设备名称</w:t>
            </w:r>
          </w:p>
        </w:tc>
        <w:tc>
          <w:tcPr>
            <w:tcW w:w="1461" w:type="dxa"/>
            <w:tcBorders>
              <w:top w:val="single" w:color="auto" w:sz="4" w:space="0"/>
              <w:left w:val="single" w:color="auto" w:sz="4" w:space="0"/>
              <w:bottom w:val="single" w:color="auto" w:sz="4" w:space="0"/>
              <w:right w:val="single" w:color="auto" w:sz="4" w:space="0"/>
            </w:tcBorders>
            <w:vAlign w:val="center"/>
          </w:tcPr>
          <w:p w14:paraId="1E49669A">
            <w:pPr>
              <w:pStyle w:val="82"/>
              <w:snapToGrid w:val="0"/>
              <w:spacing w:before="50" w:after="50" w:line="460" w:lineRule="exact"/>
              <w:rPr>
                <w:rFonts w:ascii="宋体" w:hAnsi="宋体" w:eastAsia="宋体"/>
                <w:spacing w:val="0"/>
                <w:sz w:val="21"/>
                <w:szCs w:val="21"/>
              </w:rPr>
            </w:pPr>
            <w:r>
              <w:rPr>
                <w:rFonts w:ascii="宋体" w:hAnsi="宋体" w:eastAsia="宋体"/>
                <w:spacing w:val="0"/>
                <w:sz w:val="21"/>
                <w:szCs w:val="21"/>
              </w:rPr>
              <w:t>品牌</w:t>
            </w:r>
          </w:p>
        </w:tc>
        <w:tc>
          <w:tcPr>
            <w:tcW w:w="1275" w:type="dxa"/>
            <w:tcBorders>
              <w:top w:val="single" w:color="auto" w:sz="4" w:space="0"/>
              <w:left w:val="single" w:color="auto" w:sz="4" w:space="0"/>
              <w:bottom w:val="single" w:color="auto" w:sz="4" w:space="0"/>
              <w:right w:val="single" w:color="auto" w:sz="4" w:space="0"/>
            </w:tcBorders>
            <w:vAlign w:val="center"/>
          </w:tcPr>
          <w:p w14:paraId="40B72207">
            <w:pPr>
              <w:tabs>
                <w:tab w:val="left" w:pos="1418"/>
              </w:tabs>
              <w:snapToGrid w:val="0"/>
              <w:spacing w:before="50" w:after="50" w:line="460" w:lineRule="exact"/>
              <w:jc w:val="center"/>
              <w:rPr>
                <w:rFonts w:hAnsi="宋体"/>
                <w:sz w:val="21"/>
                <w:szCs w:val="21"/>
              </w:rPr>
            </w:pPr>
            <w:r>
              <w:rPr>
                <w:rFonts w:hint="eastAsia" w:hAnsi="宋体"/>
                <w:sz w:val="21"/>
                <w:szCs w:val="21"/>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14:paraId="697CE9DD">
            <w:pPr>
              <w:tabs>
                <w:tab w:val="left" w:pos="1418"/>
              </w:tabs>
              <w:snapToGrid w:val="0"/>
              <w:spacing w:before="50" w:after="50" w:line="460" w:lineRule="exact"/>
              <w:jc w:val="center"/>
              <w:rPr>
                <w:rFonts w:hAnsi="宋体"/>
                <w:sz w:val="21"/>
                <w:szCs w:val="21"/>
              </w:rPr>
            </w:pPr>
            <w:r>
              <w:rPr>
                <w:rFonts w:hint="eastAsia" w:hAnsi="宋体"/>
                <w:sz w:val="21"/>
                <w:szCs w:val="21"/>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14:paraId="56E55A1E">
            <w:pPr>
              <w:tabs>
                <w:tab w:val="left" w:pos="1418"/>
              </w:tabs>
              <w:snapToGrid w:val="0"/>
              <w:spacing w:before="50" w:after="50" w:line="460" w:lineRule="exact"/>
              <w:jc w:val="center"/>
              <w:rPr>
                <w:rFonts w:hAnsi="宋体"/>
                <w:sz w:val="21"/>
                <w:szCs w:val="21"/>
              </w:rPr>
            </w:pPr>
            <w:r>
              <w:rPr>
                <w:rFonts w:hint="eastAsia" w:hAnsi="宋体"/>
                <w:sz w:val="21"/>
                <w:szCs w:val="21"/>
              </w:rPr>
              <w:t>单价</w:t>
            </w:r>
          </w:p>
        </w:tc>
        <w:tc>
          <w:tcPr>
            <w:tcW w:w="1275" w:type="dxa"/>
            <w:tcBorders>
              <w:top w:val="single" w:color="auto" w:sz="4" w:space="0"/>
              <w:left w:val="single" w:color="auto" w:sz="4" w:space="0"/>
              <w:bottom w:val="single" w:color="auto" w:sz="4" w:space="0"/>
              <w:right w:val="single" w:color="auto" w:sz="4" w:space="0"/>
            </w:tcBorders>
            <w:vAlign w:val="center"/>
          </w:tcPr>
          <w:p w14:paraId="42A1621B">
            <w:pPr>
              <w:tabs>
                <w:tab w:val="left" w:pos="1418"/>
              </w:tabs>
              <w:snapToGrid w:val="0"/>
              <w:spacing w:before="50" w:after="50" w:line="460" w:lineRule="exact"/>
              <w:jc w:val="center"/>
              <w:rPr>
                <w:rFonts w:hAnsi="宋体"/>
                <w:sz w:val="21"/>
                <w:szCs w:val="21"/>
              </w:rPr>
            </w:pPr>
            <w:r>
              <w:rPr>
                <w:rFonts w:hint="eastAsia" w:hAnsi="宋体"/>
                <w:sz w:val="21"/>
                <w:szCs w:val="21"/>
              </w:rPr>
              <w:t>金额</w:t>
            </w:r>
          </w:p>
        </w:tc>
        <w:tc>
          <w:tcPr>
            <w:tcW w:w="1449" w:type="dxa"/>
            <w:tcBorders>
              <w:top w:val="single" w:color="auto" w:sz="4" w:space="0"/>
              <w:left w:val="single" w:color="auto" w:sz="4" w:space="0"/>
              <w:bottom w:val="single" w:color="auto" w:sz="4" w:space="0"/>
              <w:right w:val="single" w:color="auto" w:sz="4" w:space="0"/>
            </w:tcBorders>
            <w:vAlign w:val="center"/>
          </w:tcPr>
          <w:p w14:paraId="25997E28">
            <w:pPr>
              <w:tabs>
                <w:tab w:val="left" w:pos="1418"/>
              </w:tabs>
              <w:snapToGrid w:val="0"/>
              <w:spacing w:before="50" w:after="50" w:line="460" w:lineRule="exact"/>
              <w:jc w:val="center"/>
              <w:rPr>
                <w:rFonts w:hAnsi="宋体"/>
                <w:sz w:val="21"/>
                <w:szCs w:val="21"/>
              </w:rPr>
            </w:pPr>
            <w:r>
              <w:rPr>
                <w:rFonts w:hint="eastAsia" w:hAnsi="宋体"/>
                <w:sz w:val="21"/>
                <w:szCs w:val="21"/>
              </w:rPr>
              <w:t>备注</w:t>
            </w:r>
          </w:p>
        </w:tc>
      </w:tr>
      <w:tr w14:paraId="00FC1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14:paraId="2AE11763">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5F1E7A55">
            <w:pPr>
              <w:snapToGrid w:val="0"/>
              <w:spacing w:line="460" w:lineRule="exact"/>
              <w:jc w:val="center"/>
              <w:rPr>
                <w:rFonts w:hAnsi="宋体"/>
                <w:b/>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14:paraId="3975BBAD">
            <w:pPr>
              <w:snapToGrid w:val="0"/>
              <w:spacing w:line="460" w:lineRule="exact"/>
              <w:jc w:val="center"/>
              <w:rPr>
                <w:rFonts w:hAnsi="宋体"/>
                <w:b/>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41B9BDA3">
            <w:pPr>
              <w:snapToGrid w:val="0"/>
              <w:spacing w:line="460" w:lineRule="exact"/>
              <w:jc w:val="center"/>
              <w:rPr>
                <w:rFonts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187E8EB3">
            <w:pPr>
              <w:snapToGrid w:val="0"/>
              <w:spacing w:line="460" w:lineRule="exact"/>
              <w:jc w:val="center"/>
              <w:rPr>
                <w:rFonts w:hAnsi="宋体"/>
                <w:b/>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32936BA">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4526259C">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335BE4E7">
            <w:pPr>
              <w:tabs>
                <w:tab w:val="left" w:pos="1418"/>
              </w:tabs>
              <w:snapToGrid w:val="0"/>
              <w:spacing w:before="50" w:after="50" w:line="460" w:lineRule="exact"/>
              <w:jc w:val="center"/>
              <w:rPr>
                <w:rFonts w:hAnsi="宋体"/>
                <w:sz w:val="21"/>
                <w:szCs w:val="21"/>
              </w:rPr>
            </w:pPr>
          </w:p>
        </w:tc>
      </w:tr>
      <w:tr w14:paraId="4899A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14:paraId="3C22CACC">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1CC2AD29">
            <w:pPr>
              <w:snapToGrid w:val="0"/>
              <w:spacing w:line="460" w:lineRule="exact"/>
              <w:jc w:val="center"/>
              <w:rPr>
                <w:rFonts w:hAnsi="宋体"/>
                <w:b/>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14:paraId="47B60427">
            <w:pPr>
              <w:snapToGrid w:val="0"/>
              <w:spacing w:line="460" w:lineRule="exact"/>
              <w:jc w:val="center"/>
              <w:rPr>
                <w:rFonts w:hAnsi="宋体"/>
                <w:b/>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03217F7F">
            <w:pPr>
              <w:snapToGrid w:val="0"/>
              <w:spacing w:line="460" w:lineRule="exact"/>
              <w:jc w:val="center"/>
              <w:rPr>
                <w:rFonts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89504FB">
            <w:pPr>
              <w:snapToGrid w:val="0"/>
              <w:spacing w:line="460" w:lineRule="exact"/>
              <w:jc w:val="center"/>
              <w:rPr>
                <w:rFonts w:hAnsi="宋体"/>
                <w:b/>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0E5D116">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02004402">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50DE4468">
            <w:pPr>
              <w:tabs>
                <w:tab w:val="left" w:pos="1418"/>
              </w:tabs>
              <w:snapToGrid w:val="0"/>
              <w:spacing w:before="50" w:after="50" w:line="460" w:lineRule="exact"/>
              <w:jc w:val="center"/>
              <w:rPr>
                <w:rFonts w:hAnsi="宋体"/>
                <w:sz w:val="21"/>
                <w:szCs w:val="21"/>
              </w:rPr>
            </w:pPr>
          </w:p>
        </w:tc>
      </w:tr>
      <w:tr w14:paraId="7C0F0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14:paraId="3CCA8EC1">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tcPr>
          <w:p w14:paraId="6192408B">
            <w:pPr>
              <w:tabs>
                <w:tab w:val="left" w:pos="1418"/>
              </w:tabs>
              <w:snapToGrid w:val="0"/>
              <w:spacing w:before="50" w:after="50" w:line="460" w:lineRule="exact"/>
              <w:jc w:val="center"/>
              <w:rPr>
                <w:rFonts w:hAnsi="宋体"/>
                <w:sz w:val="21"/>
                <w:szCs w:val="21"/>
              </w:rPr>
            </w:pPr>
          </w:p>
        </w:tc>
        <w:tc>
          <w:tcPr>
            <w:tcW w:w="1461" w:type="dxa"/>
            <w:tcBorders>
              <w:top w:val="single" w:color="auto" w:sz="4" w:space="0"/>
              <w:left w:val="single" w:color="auto" w:sz="4" w:space="0"/>
              <w:bottom w:val="single" w:color="auto" w:sz="4" w:space="0"/>
              <w:right w:val="single" w:color="auto" w:sz="4" w:space="0"/>
            </w:tcBorders>
          </w:tcPr>
          <w:p w14:paraId="3E9255F0">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7C569F2E">
            <w:pPr>
              <w:tabs>
                <w:tab w:val="left" w:pos="1418"/>
              </w:tabs>
              <w:snapToGrid w:val="0"/>
              <w:spacing w:before="50" w:after="50" w:line="460" w:lineRule="exact"/>
              <w:jc w:val="center"/>
              <w:rPr>
                <w:rFonts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14:paraId="0A470A60">
            <w:pPr>
              <w:tabs>
                <w:tab w:val="left" w:pos="1418"/>
              </w:tabs>
              <w:snapToGrid w:val="0"/>
              <w:spacing w:before="50" w:after="50" w:line="460" w:lineRule="exact"/>
              <w:jc w:val="center"/>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F0EF47A">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216E7F90">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4A3AB9C4">
            <w:pPr>
              <w:tabs>
                <w:tab w:val="left" w:pos="1418"/>
              </w:tabs>
              <w:snapToGrid w:val="0"/>
              <w:spacing w:before="50" w:after="50" w:line="460" w:lineRule="exact"/>
              <w:jc w:val="center"/>
              <w:rPr>
                <w:rFonts w:hAnsi="宋体"/>
                <w:sz w:val="21"/>
                <w:szCs w:val="21"/>
              </w:rPr>
            </w:pPr>
          </w:p>
        </w:tc>
      </w:tr>
      <w:tr w14:paraId="1E79E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14:paraId="3EC9DE76">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tcPr>
          <w:p w14:paraId="59E18822">
            <w:pPr>
              <w:tabs>
                <w:tab w:val="left" w:pos="1418"/>
              </w:tabs>
              <w:snapToGrid w:val="0"/>
              <w:spacing w:before="50" w:after="50" w:line="460" w:lineRule="exact"/>
              <w:jc w:val="center"/>
              <w:rPr>
                <w:rFonts w:hAnsi="宋体"/>
                <w:sz w:val="21"/>
                <w:szCs w:val="21"/>
              </w:rPr>
            </w:pPr>
          </w:p>
        </w:tc>
        <w:tc>
          <w:tcPr>
            <w:tcW w:w="1461" w:type="dxa"/>
            <w:tcBorders>
              <w:top w:val="single" w:color="auto" w:sz="4" w:space="0"/>
              <w:left w:val="single" w:color="auto" w:sz="4" w:space="0"/>
              <w:bottom w:val="single" w:color="auto" w:sz="4" w:space="0"/>
              <w:right w:val="single" w:color="auto" w:sz="4" w:space="0"/>
            </w:tcBorders>
          </w:tcPr>
          <w:p w14:paraId="526547E2">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6213655F">
            <w:pPr>
              <w:tabs>
                <w:tab w:val="left" w:pos="1418"/>
              </w:tabs>
              <w:snapToGrid w:val="0"/>
              <w:spacing w:before="50" w:after="50" w:line="460" w:lineRule="exact"/>
              <w:jc w:val="center"/>
              <w:rPr>
                <w:rFonts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14:paraId="6EE546EA">
            <w:pPr>
              <w:tabs>
                <w:tab w:val="left" w:pos="1418"/>
              </w:tabs>
              <w:snapToGrid w:val="0"/>
              <w:spacing w:before="50" w:after="50" w:line="460" w:lineRule="exact"/>
              <w:jc w:val="center"/>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C73B498">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FB8229E">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581C2818">
            <w:pPr>
              <w:tabs>
                <w:tab w:val="left" w:pos="1418"/>
              </w:tabs>
              <w:snapToGrid w:val="0"/>
              <w:spacing w:before="50" w:after="50" w:line="460" w:lineRule="exact"/>
              <w:jc w:val="center"/>
              <w:rPr>
                <w:rFonts w:hAnsi="宋体"/>
                <w:sz w:val="21"/>
                <w:szCs w:val="21"/>
              </w:rPr>
            </w:pPr>
          </w:p>
        </w:tc>
      </w:tr>
      <w:tr w14:paraId="3D123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14:paraId="3A820B97">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tcPr>
          <w:p w14:paraId="0CB8B591">
            <w:pPr>
              <w:tabs>
                <w:tab w:val="left" w:pos="1418"/>
              </w:tabs>
              <w:snapToGrid w:val="0"/>
              <w:spacing w:before="50" w:after="50" w:line="460" w:lineRule="exact"/>
              <w:jc w:val="center"/>
              <w:rPr>
                <w:rFonts w:hAnsi="宋体"/>
                <w:sz w:val="21"/>
                <w:szCs w:val="21"/>
              </w:rPr>
            </w:pPr>
          </w:p>
        </w:tc>
        <w:tc>
          <w:tcPr>
            <w:tcW w:w="1461" w:type="dxa"/>
            <w:tcBorders>
              <w:top w:val="single" w:color="auto" w:sz="4" w:space="0"/>
              <w:left w:val="single" w:color="auto" w:sz="4" w:space="0"/>
              <w:bottom w:val="single" w:color="auto" w:sz="4" w:space="0"/>
              <w:right w:val="single" w:color="auto" w:sz="4" w:space="0"/>
            </w:tcBorders>
          </w:tcPr>
          <w:p w14:paraId="059BEAF0">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6DA12F4F">
            <w:pPr>
              <w:tabs>
                <w:tab w:val="left" w:pos="1418"/>
              </w:tabs>
              <w:snapToGrid w:val="0"/>
              <w:spacing w:before="50" w:after="50" w:line="460" w:lineRule="exact"/>
              <w:jc w:val="center"/>
              <w:rPr>
                <w:rFonts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14:paraId="6F2A2AC9">
            <w:pPr>
              <w:tabs>
                <w:tab w:val="left" w:pos="1418"/>
              </w:tabs>
              <w:snapToGrid w:val="0"/>
              <w:spacing w:before="50" w:after="50" w:line="460" w:lineRule="exact"/>
              <w:jc w:val="center"/>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713B048E">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05C00A73">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1773241E">
            <w:pPr>
              <w:tabs>
                <w:tab w:val="left" w:pos="1418"/>
              </w:tabs>
              <w:snapToGrid w:val="0"/>
              <w:spacing w:before="50" w:after="50" w:line="460" w:lineRule="exact"/>
              <w:jc w:val="center"/>
              <w:rPr>
                <w:rFonts w:hAnsi="宋体"/>
                <w:sz w:val="21"/>
                <w:szCs w:val="21"/>
              </w:rPr>
            </w:pPr>
          </w:p>
        </w:tc>
      </w:tr>
      <w:tr w14:paraId="6790B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14:paraId="072F5662">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tcPr>
          <w:p w14:paraId="79DBD78F">
            <w:pPr>
              <w:tabs>
                <w:tab w:val="left" w:pos="1418"/>
              </w:tabs>
              <w:snapToGrid w:val="0"/>
              <w:spacing w:before="50" w:after="50" w:line="460" w:lineRule="exact"/>
              <w:jc w:val="center"/>
              <w:rPr>
                <w:rFonts w:hAnsi="宋体"/>
                <w:sz w:val="21"/>
                <w:szCs w:val="21"/>
              </w:rPr>
            </w:pPr>
          </w:p>
        </w:tc>
        <w:tc>
          <w:tcPr>
            <w:tcW w:w="1461" w:type="dxa"/>
            <w:tcBorders>
              <w:top w:val="single" w:color="auto" w:sz="4" w:space="0"/>
              <w:left w:val="single" w:color="auto" w:sz="4" w:space="0"/>
              <w:bottom w:val="single" w:color="auto" w:sz="4" w:space="0"/>
              <w:right w:val="single" w:color="auto" w:sz="4" w:space="0"/>
            </w:tcBorders>
          </w:tcPr>
          <w:p w14:paraId="3CC41D83">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7986A1D5">
            <w:pPr>
              <w:tabs>
                <w:tab w:val="left" w:pos="1418"/>
              </w:tabs>
              <w:snapToGrid w:val="0"/>
              <w:spacing w:before="50" w:after="50" w:line="460" w:lineRule="exact"/>
              <w:jc w:val="center"/>
              <w:rPr>
                <w:rFonts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14:paraId="2D58E9DF">
            <w:pPr>
              <w:tabs>
                <w:tab w:val="left" w:pos="1418"/>
              </w:tabs>
              <w:snapToGrid w:val="0"/>
              <w:spacing w:before="50" w:after="50" w:line="460" w:lineRule="exact"/>
              <w:jc w:val="center"/>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D539A8E">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336DEB16">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0CE61DB4">
            <w:pPr>
              <w:tabs>
                <w:tab w:val="left" w:pos="1418"/>
              </w:tabs>
              <w:snapToGrid w:val="0"/>
              <w:spacing w:before="50" w:after="50" w:line="460" w:lineRule="exact"/>
              <w:jc w:val="center"/>
              <w:rPr>
                <w:rFonts w:hAnsi="宋体"/>
                <w:sz w:val="21"/>
                <w:szCs w:val="21"/>
              </w:rPr>
            </w:pPr>
          </w:p>
        </w:tc>
      </w:tr>
      <w:tr w14:paraId="52500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14:paraId="4E708906">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tcPr>
          <w:p w14:paraId="01EDAD4B">
            <w:pPr>
              <w:tabs>
                <w:tab w:val="left" w:pos="1418"/>
              </w:tabs>
              <w:snapToGrid w:val="0"/>
              <w:spacing w:before="50" w:after="50" w:line="460" w:lineRule="exact"/>
              <w:jc w:val="center"/>
              <w:rPr>
                <w:rFonts w:hAnsi="宋体"/>
                <w:sz w:val="21"/>
                <w:szCs w:val="21"/>
              </w:rPr>
            </w:pPr>
          </w:p>
        </w:tc>
        <w:tc>
          <w:tcPr>
            <w:tcW w:w="1461" w:type="dxa"/>
            <w:tcBorders>
              <w:top w:val="single" w:color="auto" w:sz="4" w:space="0"/>
              <w:left w:val="single" w:color="auto" w:sz="4" w:space="0"/>
              <w:bottom w:val="single" w:color="auto" w:sz="4" w:space="0"/>
              <w:right w:val="single" w:color="auto" w:sz="4" w:space="0"/>
            </w:tcBorders>
          </w:tcPr>
          <w:p w14:paraId="1F95A71A">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21D07F9">
            <w:pPr>
              <w:tabs>
                <w:tab w:val="left" w:pos="1418"/>
              </w:tabs>
              <w:snapToGrid w:val="0"/>
              <w:spacing w:before="50" w:after="50" w:line="460" w:lineRule="exact"/>
              <w:jc w:val="center"/>
              <w:rPr>
                <w:rFonts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14:paraId="2E2FC95A">
            <w:pPr>
              <w:tabs>
                <w:tab w:val="left" w:pos="1418"/>
              </w:tabs>
              <w:snapToGrid w:val="0"/>
              <w:spacing w:before="50" w:after="50" w:line="460" w:lineRule="exact"/>
              <w:jc w:val="center"/>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F7D57A4">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63286F6A">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126220A7">
            <w:pPr>
              <w:tabs>
                <w:tab w:val="left" w:pos="1418"/>
              </w:tabs>
              <w:snapToGrid w:val="0"/>
              <w:spacing w:before="50" w:after="50" w:line="460" w:lineRule="exact"/>
              <w:jc w:val="center"/>
              <w:rPr>
                <w:rFonts w:hAnsi="宋体"/>
                <w:sz w:val="21"/>
                <w:szCs w:val="21"/>
              </w:rPr>
            </w:pPr>
          </w:p>
        </w:tc>
      </w:tr>
      <w:tr w14:paraId="686D5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left w:val="single" w:color="auto" w:sz="4" w:space="0"/>
              <w:bottom w:val="single" w:color="auto" w:sz="4" w:space="0"/>
              <w:right w:val="single" w:color="auto" w:sz="4" w:space="0"/>
            </w:tcBorders>
          </w:tcPr>
          <w:p w14:paraId="0A7FE6C8">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tcPr>
          <w:p w14:paraId="005D8995">
            <w:pPr>
              <w:tabs>
                <w:tab w:val="left" w:pos="1418"/>
              </w:tabs>
              <w:snapToGrid w:val="0"/>
              <w:spacing w:before="50" w:after="50" w:line="460" w:lineRule="exact"/>
              <w:jc w:val="center"/>
              <w:rPr>
                <w:rFonts w:hAnsi="宋体"/>
                <w:sz w:val="21"/>
                <w:szCs w:val="21"/>
              </w:rPr>
            </w:pPr>
          </w:p>
        </w:tc>
        <w:tc>
          <w:tcPr>
            <w:tcW w:w="1461" w:type="dxa"/>
            <w:tcBorders>
              <w:top w:val="single" w:color="auto" w:sz="4" w:space="0"/>
              <w:left w:val="single" w:color="auto" w:sz="4" w:space="0"/>
              <w:bottom w:val="single" w:color="auto" w:sz="4" w:space="0"/>
              <w:right w:val="single" w:color="auto" w:sz="4" w:space="0"/>
            </w:tcBorders>
          </w:tcPr>
          <w:p w14:paraId="3DF8CEFF">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27E75B3B">
            <w:pPr>
              <w:tabs>
                <w:tab w:val="left" w:pos="1418"/>
              </w:tabs>
              <w:snapToGrid w:val="0"/>
              <w:spacing w:before="50" w:after="50" w:line="460" w:lineRule="exact"/>
              <w:jc w:val="center"/>
              <w:rPr>
                <w:rFonts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14:paraId="7D57B3B6">
            <w:pPr>
              <w:tabs>
                <w:tab w:val="left" w:pos="1418"/>
              </w:tabs>
              <w:snapToGrid w:val="0"/>
              <w:spacing w:before="50" w:after="50" w:line="460" w:lineRule="exact"/>
              <w:jc w:val="center"/>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7B451F78">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17E9EB2E">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3056B54E">
            <w:pPr>
              <w:tabs>
                <w:tab w:val="left" w:pos="1418"/>
              </w:tabs>
              <w:snapToGrid w:val="0"/>
              <w:spacing w:before="50" w:after="50" w:line="460" w:lineRule="exact"/>
              <w:jc w:val="center"/>
              <w:rPr>
                <w:rFonts w:hAnsi="宋体"/>
                <w:sz w:val="21"/>
                <w:szCs w:val="21"/>
              </w:rPr>
            </w:pPr>
          </w:p>
        </w:tc>
      </w:tr>
      <w:tr w14:paraId="5FBC7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left w:val="single" w:color="auto" w:sz="4" w:space="0"/>
              <w:bottom w:val="single" w:color="auto" w:sz="4" w:space="0"/>
              <w:right w:val="single" w:color="auto" w:sz="4" w:space="0"/>
            </w:tcBorders>
          </w:tcPr>
          <w:p w14:paraId="1535132D">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tcPr>
          <w:p w14:paraId="59340460">
            <w:pPr>
              <w:tabs>
                <w:tab w:val="left" w:pos="1418"/>
              </w:tabs>
              <w:snapToGrid w:val="0"/>
              <w:spacing w:before="50" w:after="50" w:line="460" w:lineRule="exact"/>
              <w:jc w:val="center"/>
              <w:rPr>
                <w:rFonts w:hAnsi="宋体"/>
                <w:sz w:val="21"/>
                <w:szCs w:val="21"/>
              </w:rPr>
            </w:pPr>
            <w:r>
              <w:rPr>
                <w:rFonts w:hAnsi="宋体"/>
                <w:sz w:val="21"/>
                <w:szCs w:val="21"/>
              </w:rPr>
              <w:t>……</w:t>
            </w:r>
          </w:p>
        </w:tc>
        <w:tc>
          <w:tcPr>
            <w:tcW w:w="1461" w:type="dxa"/>
            <w:tcBorders>
              <w:top w:val="single" w:color="auto" w:sz="4" w:space="0"/>
              <w:left w:val="single" w:color="auto" w:sz="4" w:space="0"/>
              <w:bottom w:val="single" w:color="auto" w:sz="4" w:space="0"/>
              <w:right w:val="single" w:color="auto" w:sz="4" w:space="0"/>
            </w:tcBorders>
          </w:tcPr>
          <w:p w14:paraId="7CA58A00">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2654F9C6">
            <w:pPr>
              <w:tabs>
                <w:tab w:val="left" w:pos="1418"/>
              </w:tabs>
              <w:snapToGrid w:val="0"/>
              <w:spacing w:before="50" w:after="50" w:line="460" w:lineRule="exact"/>
              <w:jc w:val="center"/>
              <w:rPr>
                <w:rFonts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14:paraId="6B1BD7E0">
            <w:pPr>
              <w:tabs>
                <w:tab w:val="left" w:pos="1418"/>
              </w:tabs>
              <w:snapToGrid w:val="0"/>
              <w:spacing w:before="50" w:after="50" w:line="460" w:lineRule="exact"/>
              <w:jc w:val="center"/>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79B3F27">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3EB6158C">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3B4266AC">
            <w:pPr>
              <w:tabs>
                <w:tab w:val="left" w:pos="1418"/>
              </w:tabs>
              <w:snapToGrid w:val="0"/>
              <w:spacing w:before="50" w:after="50" w:line="460" w:lineRule="exact"/>
              <w:jc w:val="center"/>
              <w:rPr>
                <w:rFonts w:hAnsi="宋体"/>
                <w:sz w:val="21"/>
                <w:szCs w:val="21"/>
              </w:rPr>
            </w:pPr>
          </w:p>
        </w:tc>
      </w:tr>
      <w:tr w14:paraId="39BE1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44" w:type="dxa"/>
            <w:tcBorders>
              <w:top w:val="single" w:color="auto" w:sz="4" w:space="0"/>
              <w:left w:val="single" w:color="auto" w:sz="4" w:space="0"/>
              <w:bottom w:val="single" w:color="auto" w:sz="4" w:space="0"/>
              <w:right w:val="single" w:color="auto" w:sz="4" w:space="0"/>
            </w:tcBorders>
          </w:tcPr>
          <w:p w14:paraId="20355FD3">
            <w:pPr>
              <w:tabs>
                <w:tab w:val="left" w:pos="1418"/>
              </w:tabs>
              <w:snapToGrid w:val="0"/>
              <w:spacing w:before="50" w:after="50" w:line="460" w:lineRule="exact"/>
              <w:jc w:val="center"/>
              <w:rPr>
                <w:rFonts w:hAnsi="宋体"/>
                <w:sz w:val="21"/>
                <w:szCs w:val="21"/>
              </w:rPr>
            </w:pPr>
          </w:p>
        </w:tc>
        <w:tc>
          <w:tcPr>
            <w:tcW w:w="1516" w:type="dxa"/>
            <w:tcBorders>
              <w:top w:val="single" w:color="auto" w:sz="4" w:space="0"/>
              <w:left w:val="single" w:color="auto" w:sz="4" w:space="0"/>
              <w:bottom w:val="single" w:color="auto" w:sz="4" w:space="0"/>
              <w:right w:val="single" w:color="auto" w:sz="4" w:space="0"/>
            </w:tcBorders>
          </w:tcPr>
          <w:p w14:paraId="7EFFC5DA">
            <w:pPr>
              <w:tabs>
                <w:tab w:val="left" w:pos="1418"/>
              </w:tabs>
              <w:snapToGrid w:val="0"/>
              <w:spacing w:before="50" w:after="50" w:line="460" w:lineRule="exact"/>
              <w:jc w:val="center"/>
              <w:rPr>
                <w:rFonts w:hAnsi="宋体"/>
                <w:sz w:val="21"/>
                <w:szCs w:val="21"/>
              </w:rPr>
            </w:pPr>
            <w:r>
              <w:rPr>
                <w:rFonts w:hint="eastAsia" w:hAnsi="宋体"/>
                <w:sz w:val="21"/>
                <w:szCs w:val="21"/>
              </w:rPr>
              <w:t>专用耗材</w:t>
            </w:r>
          </w:p>
        </w:tc>
        <w:tc>
          <w:tcPr>
            <w:tcW w:w="1461" w:type="dxa"/>
            <w:tcBorders>
              <w:top w:val="single" w:color="auto" w:sz="4" w:space="0"/>
              <w:left w:val="single" w:color="auto" w:sz="4" w:space="0"/>
              <w:bottom w:val="single" w:color="auto" w:sz="4" w:space="0"/>
              <w:right w:val="single" w:color="auto" w:sz="4" w:space="0"/>
            </w:tcBorders>
          </w:tcPr>
          <w:p w14:paraId="518B7186">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1624866D">
            <w:pPr>
              <w:tabs>
                <w:tab w:val="left" w:pos="1418"/>
              </w:tabs>
              <w:snapToGrid w:val="0"/>
              <w:spacing w:before="50" w:after="50" w:line="460" w:lineRule="exact"/>
              <w:jc w:val="center"/>
              <w:rPr>
                <w:rFonts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14:paraId="2342E1C2">
            <w:pPr>
              <w:tabs>
                <w:tab w:val="left" w:pos="1418"/>
              </w:tabs>
              <w:snapToGrid w:val="0"/>
              <w:spacing w:before="50" w:after="50" w:line="460" w:lineRule="exact"/>
              <w:jc w:val="center"/>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DC2484E">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3906B4BB">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6C943CA5">
            <w:pPr>
              <w:tabs>
                <w:tab w:val="left" w:pos="1418"/>
              </w:tabs>
              <w:snapToGrid w:val="0"/>
              <w:spacing w:before="50" w:after="50" w:line="460" w:lineRule="exact"/>
              <w:jc w:val="center"/>
              <w:rPr>
                <w:rFonts w:hAnsi="宋体"/>
                <w:sz w:val="21"/>
                <w:szCs w:val="21"/>
              </w:rPr>
            </w:pPr>
          </w:p>
        </w:tc>
      </w:tr>
      <w:tr w14:paraId="3C9F6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44" w:type="dxa"/>
            <w:tcBorders>
              <w:top w:val="single" w:color="auto" w:sz="4" w:space="0"/>
              <w:left w:val="single" w:color="auto" w:sz="4" w:space="0"/>
              <w:bottom w:val="single" w:color="auto" w:sz="4" w:space="0"/>
              <w:right w:val="single" w:color="auto" w:sz="4" w:space="0"/>
            </w:tcBorders>
          </w:tcPr>
          <w:p w14:paraId="2519DCFC">
            <w:pPr>
              <w:tabs>
                <w:tab w:val="left" w:pos="1418"/>
              </w:tabs>
              <w:snapToGrid w:val="0"/>
              <w:spacing w:before="50" w:after="50" w:line="460" w:lineRule="exact"/>
              <w:jc w:val="center"/>
              <w:rPr>
                <w:rFonts w:hAnsi="宋体"/>
                <w:sz w:val="21"/>
                <w:szCs w:val="21"/>
              </w:rPr>
            </w:pPr>
          </w:p>
        </w:tc>
        <w:tc>
          <w:tcPr>
            <w:tcW w:w="4252" w:type="dxa"/>
            <w:gridSpan w:val="3"/>
            <w:tcBorders>
              <w:top w:val="single" w:color="auto" w:sz="4" w:space="0"/>
              <w:left w:val="single" w:color="auto" w:sz="4" w:space="0"/>
              <w:bottom w:val="single" w:color="auto" w:sz="4" w:space="0"/>
              <w:right w:val="single" w:color="auto" w:sz="4" w:space="0"/>
            </w:tcBorders>
          </w:tcPr>
          <w:p w14:paraId="3EEE39BF">
            <w:pPr>
              <w:tabs>
                <w:tab w:val="left" w:pos="1418"/>
              </w:tabs>
              <w:snapToGrid w:val="0"/>
              <w:spacing w:before="50" w:after="50" w:line="460" w:lineRule="exact"/>
              <w:jc w:val="center"/>
              <w:rPr>
                <w:rFonts w:hAnsi="宋体"/>
                <w:sz w:val="21"/>
                <w:szCs w:val="21"/>
              </w:rPr>
            </w:pPr>
            <w:r>
              <w:rPr>
                <w:rFonts w:hint="eastAsia" w:hAnsi="宋体"/>
                <w:sz w:val="21"/>
                <w:szCs w:val="21"/>
              </w:rPr>
              <w:t>相关费用</w:t>
            </w:r>
          </w:p>
        </w:tc>
        <w:tc>
          <w:tcPr>
            <w:tcW w:w="993" w:type="dxa"/>
            <w:tcBorders>
              <w:top w:val="single" w:color="auto" w:sz="4" w:space="0"/>
              <w:left w:val="single" w:color="auto" w:sz="4" w:space="0"/>
              <w:bottom w:val="single" w:color="auto" w:sz="4" w:space="0"/>
              <w:right w:val="single" w:color="auto" w:sz="4" w:space="0"/>
            </w:tcBorders>
          </w:tcPr>
          <w:p w14:paraId="6FFA60E5">
            <w:pPr>
              <w:tabs>
                <w:tab w:val="left" w:pos="1418"/>
              </w:tabs>
              <w:snapToGrid w:val="0"/>
              <w:spacing w:before="50" w:after="50" w:line="460" w:lineRule="exact"/>
              <w:jc w:val="center"/>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5BB70E7">
            <w:pPr>
              <w:tabs>
                <w:tab w:val="left" w:pos="1418"/>
              </w:tabs>
              <w:snapToGrid w:val="0"/>
              <w:spacing w:before="50" w:after="50" w:line="460" w:lineRule="exact"/>
              <w:jc w:val="center"/>
              <w:rPr>
                <w:rFonts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14:paraId="0DEAF004">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660D5546">
            <w:pPr>
              <w:tabs>
                <w:tab w:val="left" w:pos="1418"/>
              </w:tabs>
              <w:snapToGrid w:val="0"/>
              <w:spacing w:before="50" w:after="50" w:line="460" w:lineRule="exact"/>
              <w:jc w:val="center"/>
              <w:rPr>
                <w:rFonts w:hAnsi="宋体"/>
                <w:sz w:val="21"/>
                <w:szCs w:val="21"/>
              </w:rPr>
            </w:pPr>
          </w:p>
        </w:tc>
      </w:tr>
      <w:tr w14:paraId="72AAC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23" w:type="dxa"/>
            <w:gridSpan w:val="6"/>
            <w:tcBorders>
              <w:top w:val="single" w:color="auto" w:sz="4" w:space="0"/>
              <w:left w:val="single" w:color="auto" w:sz="4" w:space="0"/>
              <w:bottom w:val="single" w:color="auto" w:sz="4" w:space="0"/>
              <w:right w:val="single" w:color="auto" w:sz="4" w:space="0"/>
            </w:tcBorders>
          </w:tcPr>
          <w:p w14:paraId="70F3F96C">
            <w:pPr>
              <w:tabs>
                <w:tab w:val="left" w:pos="1418"/>
              </w:tabs>
              <w:snapToGrid w:val="0"/>
              <w:spacing w:before="50" w:after="50" w:line="460" w:lineRule="exact"/>
              <w:jc w:val="center"/>
              <w:rPr>
                <w:rFonts w:hAnsi="宋体"/>
                <w:sz w:val="21"/>
                <w:szCs w:val="21"/>
              </w:rPr>
            </w:pPr>
            <w:r>
              <w:rPr>
                <w:rFonts w:hint="eastAsia" w:hAnsi="宋体"/>
                <w:sz w:val="21"/>
                <w:szCs w:val="21"/>
              </w:rPr>
              <w:t>投标总价</w:t>
            </w:r>
          </w:p>
        </w:tc>
        <w:tc>
          <w:tcPr>
            <w:tcW w:w="1275" w:type="dxa"/>
            <w:tcBorders>
              <w:top w:val="single" w:color="auto" w:sz="4" w:space="0"/>
              <w:left w:val="single" w:color="auto" w:sz="4" w:space="0"/>
              <w:bottom w:val="single" w:color="auto" w:sz="4" w:space="0"/>
              <w:right w:val="single" w:color="auto" w:sz="4" w:space="0"/>
            </w:tcBorders>
          </w:tcPr>
          <w:p w14:paraId="2466DB1A">
            <w:pPr>
              <w:tabs>
                <w:tab w:val="left" w:pos="1418"/>
              </w:tabs>
              <w:snapToGrid w:val="0"/>
              <w:spacing w:before="50" w:after="50" w:line="460" w:lineRule="exact"/>
              <w:jc w:val="center"/>
              <w:rPr>
                <w:rFonts w:hAnsi="宋体"/>
                <w:sz w:val="21"/>
                <w:szCs w:val="21"/>
              </w:rPr>
            </w:pPr>
          </w:p>
        </w:tc>
        <w:tc>
          <w:tcPr>
            <w:tcW w:w="1449" w:type="dxa"/>
            <w:tcBorders>
              <w:top w:val="single" w:color="auto" w:sz="4" w:space="0"/>
              <w:left w:val="single" w:color="auto" w:sz="4" w:space="0"/>
              <w:bottom w:val="single" w:color="auto" w:sz="4" w:space="0"/>
              <w:right w:val="single" w:color="auto" w:sz="4" w:space="0"/>
            </w:tcBorders>
          </w:tcPr>
          <w:p w14:paraId="28147E7B">
            <w:pPr>
              <w:tabs>
                <w:tab w:val="left" w:pos="1418"/>
              </w:tabs>
              <w:snapToGrid w:val="0"/>
              <w:spacing w:before="50" w:after="50" w:line="460" w:lineRule="exact"/>
              <w:jc w:val="center"/>
              <w:rPr>
                <w:rFonts w:hAnsi="宋体"/>
                <w:sz w:val="21"/>
                <w:szCs w:val="21"/>
              </w:rPr>
            </w:pPr>
          </w:p>
        </w:tc>
      </w:tr>
    </w:tbl>
    <w:p w14:paraId="29DAB7F5">
      <w:pPr>
        <w:tabs>
          <w:tab w:val="left" w:pos="1418"/>
        </w:tabs>
        <w:snapToGrid w:val="0"/>
        <w:spacing w:before="50" w:after="50"/>
        <w:ind w:left="1418" w:hanging="567"/>
        <w:jc w:val="center"/>
        <w:rPr>
          <w:rFonts w:hAnsi="宋体" w:cs="宋体"/>
          <w:sz w:val="21"/>
          <w:szCs w:val="21"/>
        </w:rPr>
      </w:pPr>
    </w:p>
    <w:p w14:paraId="4A329354">
      <w:pPr>
        <w:snapToGrid w:val="0"/>
        <w:spacing w:before="50" w:after="50" w:line="460" w:lineRule="exact"/>
        <w:ind w:left="-99" w:leftChars="-29" w:right="-1323" w:rightChars="-389" w:firstLine="420" w:firstLineChars="200"/>
        <w:rPr>
          <w:rFonts w:hAnsi="宋体" w:cs="宋体"/>
          <w:sz w:val="21"/>
          <w:szCs w:val="21"/>
        </w:rPr>
      </w:pPr>
      <w:r>
        <w:rPr>
          <w:rFonts w:hint="eastAsia" w:hAnsi="宋体" w:cs="宋体"/>
          <w:sz w:val="21"/>
          <w:szCs w:val="21"/>
        </w:rPr>
        <w:t>法定代表人或授权代表（签字或盖章）：</w:t>
      </w:r>
    </w:p>
    <w:p w14:paraId="5565E0C7">
      <w:pPr>
        <w:snapToGrid w:val="0"/>
        <w:spacing w:before="50" w:after="50" w:line="460" w:lineRule="exact"/>
        <w:ind w:left="-99" w:leftChars="-29" w:right="-1323" w:rightChars="-389" w:firstLine="420" w:firstLineChars="200"/>
        <w:rPr>
          <w:rFonts w:hAnsi="宋体" w:cs="宋体"/>
          <w:sz w:val="21"/>
          <w:szCs w:val="21"/>
        </w:rPr>
      </w:pPr>
      <w:r>
        <w:rPr>
          <w:rFonts w:hint="eastAsia" w:hAnsi="宋体" w:cs="宋体"/>
          <w:sz w:val="21"/>
          <w:szCs w:val="21"/>
        </w:rPr>
        <w:t xml:space="preserve">投标人名称（盖章）：                                             </w:t>
      </w:r>
    </w:p>
    <w:p w14:paraId="4DF8BA91">
      <w:pPr>
        <w:pStyle w:val="48"/>
        <w:ind w:firstLine="210"/>
        <w:rPr>
          <w:rFonts w:ascii="宋体" w:hAnsi="宋体" w:cs="宋体"/>
          <w:sz w:val="21"/>
          <w:szCs w:val="21"/>
        </w:rPr>
      </w:pPr>
      <w:r>
        <w:rPr>
          <w:rFonts w:hint="eastAsia" w:ascii="宋体" w:hAnsi="宋体" w:cs="宋体"/>
          <w:sz w:val="21"/>
        </w:rPr>
        <w:t>日期：   年   月    日</w:t>
      </w:r>
    </w:p>
    <w:p w14:paraId="44715DD5">
      <w:pPr>
        <w:rPr>
          <w:rFonts w:hAnsi="宋体" w:cs="宋体"/>
        </w:rPr>
      </w:pPr>
    </w:p>
    <w:sectPr>
      <w:footerReference r:id="rId9" w:type="first"/>
      <w:footerReference r:id="rId8" w:type="default"/>
      <w:pgSz w:w="11906" w:h="16838"/>
      <w:pgMar w:top="1440" w:right="1304" w:bottom="1440" w:left="1304" w:header="567" w:footer="964" w:gutter="0"/>
      <w:pgNumType w:start="1"/>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Book Antiqua">
    <w:panose1 w:val="02040602050305030304"/>
    <w:charset w:val="00"/>
    <w:family w:val="roman"/>
    <w:pitch w:val="default"/>
    <w:sig w:usb0="00000287" w:usb1="00000000" w:usb2="00000000" w:usb3="00000000" w:csb0="2000009F" w:csb1="DFD70000"/>
  </w:font>
  <w:font w:name="汉仪仿宋简">
    <w:altName w:val="Malgun Gothic Semilight"/>
    <w:panose1 w:val="00000000000000000000"/>
    <w:charset w:val="86"/>
    <w:family w:val="modern"/>
    <w:pitch w:val="default"/>
    <w:sig w:usb0="00000000" w:usb1="00000000" w:usb2="00000002" w:usb3="00000000" w:csb0="00040000" w:csb1="00000000"/>
  </w:font>
  <w:font w:name="Malgun Gothic Semilight">
    <w:panose1 w:val="020B0502040204020203"/>
    <w:charset w:val="86"/>
    <w:family w:val="auto"/>
    <w:pitch w:val="default"/>
    <w:sig w:usb0="900002AF" w:usb1="01D77CFB" w:usb2="00000012" w:usb3="00000000" w:csb0="203E01BD" w:csb1="D7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722C">
    <w:pPr>
      <w:pStyle w:val="32"/>
      <w:framePr w:w="607" w:h="430" w:hRule="exact" w:wrap="around" w:vAnchor="text" w:hAnchor="page" w:x="8905" w:y="-58"/>
      <w:ind w:right="360"/>
      <w:rPr>
        <w:rStyle w:val="54"/>
      </w:rPr>
    </w:pPr>
  </w:p>
  <w:p w14:paraId="5E565840">
    <w:pPr>
      <w:pStyle w:val="32"/>
      <w:framePr w:wrap="around" w:vAnchor="text" w:hAnchor="page" w:x="15730" w:y="74"/>
      <w:ind w:right="360"/>
      <w:rPr>
        <w:rStyle w:val="54"/>
      </w:rPr>
    </w:pPr>
  </w:p>
  <w:p w14:paraId="7DD782F8">
    <w:pPr>
      <w:pStyle w:val="3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7159">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DBE8">
    <w:pPr>
      <w:pStyle w:val="32"/>
      <w:framePr w:w="607" w:h="430" w:hRule="exact" w:wrap="around" w:vAnchor="text" w:hAnchor="page" w:x="8905" w:y="-58"/>
      <w:ind w:right="360"/>
      <w:rPr>
        <w:rStyle w:val="5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28284D">
                          <w:pPr>
                            <w:pStyle w:val="32"/>
                            <w:rPr>
                              <w:rStyle w:val="54"/>
                            </w:rPr>
                          </w:pPr>
                          <w:r>
                            <w:fldChar w:fldCharType="begin"/>
                          </w:r>
                          <w:r>
                            <w:rPr>
                              <w:rStyle w:val="54"/>
                            </w:rPr>
                            <w:instrText xml:space="preserve">PAGE  </w:instrText>
                          </w:r>
                          <w:r>
                            <w:fldChar w:fldCharType="separate"/>
                          </w:r>
                          <w:r>
                            <w:rPr>
                              <w:rStyle w:val="54"/>
                            </w:rPr>
                            <w:t>76</w:t>
                          </w:r>
                          <w:r>
                            <w:fldChar w:fldCharType="end"/>
                          </w:r>
                        </w:p>
                        <w:p w14:paraId="080AD6B5"/>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OA+LzAEAAJcDAAAOAAAAAAAAAAEAIAAAAB4BAABkcnMvZTJv&#10;RG9jLnhtbFBLBQYAAAAABgAGAFkBAABcBQAAAAA=&#10;">
              <v:fill on="f" focussize="0,0"/>
              <v:stroke on="f"/>
              <v:imagedata o:title=""/>
              <o:lock v:ext="edit" aspectratio="f"/>
              <v:textbox inset="0mm,0mm,0mm,0mm" style="mso-fit-shape-to-text:t;">
                <w:txbxContent>
                  <w:p w14:paraId="5228284D">
                    <w:pPr>
                      <w:pStyle w:val="32"/>
                      <w:rPr>
                        <w:rStyle w:val="54"/>
                      </w:rPr>
                    </w:pPr>
                    <w:r>
                      <w:fldChar w:fldCharType="begin"/>
                    </w:r>
                    <w:r>
                      <w:rPr>
                        <w:rStyle w:val="54"/>
                      </w:rPr>
                      <w:instrText xml:space="preserve">PAGE  </w:instrText>
                    </w:r>
                    <w:r>
                      <w:fldChar w:fldCharType="separate"/>
                    </w:r>
                    <w:r>
                      <w:rPr>
                        <w:rStyle w:val="54"/>
                      </w:rPr>
                      <w:t>76</w:t>
                    </w:r>
                    <w:r>
                      <w:fldChar w:fldCharType="end"/>
                    </w:r>
                  </w:p>
                  <w:p w14:paraId="080AD6B5"/>
                </w:txbxContent>
              </v:textbox>
            </v:shape>
          </w:pict>
        </mc:Fallback>
      </mc:AlternateContent>
    </w:r>
  </w:p>
  <w:p w14:paraId="65E56DD5">
    <w:pPr>
      <w:pStyle w:val="32"/>
      <w:framePr w:wrap="around" w:vAnchor="text" w:hAnchor="page" w:x="15730" w:y="74"/>
      <w:ind w:right="360"/>
      <w:rPr>
        <w:rStyle w:val="54"/>
      </w:rPr>
    </w:pPr>
  </w:p>
  <w:p w14:paraId="5B6EDC28">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3FCE0">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CB9530D">
                          <w:pPr>
                            <w:pStyle w:val="3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4BNl+zAEAAJcDAAAOAAAAAAAAAAEAIAAAAB4BAABkcnMvZTJv&#10;RG9jLnhtbFBLBQYAAAAABgAGAFkBAABcBQAAAAA=&#10;">
              <v:fill on="f" focussize="0,0"/>
              <v:stroke on="f"/>
              <v:imagedata o:title=""/>
              <o:lock v:ext="edit" aspectratio="f"/>
              <v:textbox inset="0mm,0mm,0mm,0mm" style="mso-fit-shape-to-text:t;">
                <w:txbxContent>
                  <w:p w14:paraId="6CB9530D">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B97B">
    <w:pPr>
      <w:pStyle w:val="34"/>
      <w:pBdr>
        <w:bottom w:val="single" w:color="auto" w:sz="6" w:space="0"/>
      </w:pBdr>
    </w:pPr>
    <w:r>
      <w:rPr>
        <w:rFonts w:hint="eastAsia"/>
      </w:rPr>
      <w:t>金华市天盈招标代理有限公司</w:t>
    </w:r>
  </w:p>
  <w:p w14:paraId="3B9C3AC1">
    <w:pPr>
      <w:pStyle w:val="34"/>
      <w:pBdr>
        <w:bottom w:val="single" w:color="auto" w:sz="6" w:space="0"/>
      </w:pBdr>
      <w:rPr>
        <w:rFonts w:hint="eastAsia" w:eastAsia="宋体"/>
        <w:color w:val="000000"/>
        <w:lang w:eastAsia="zh-CN"/>
      </w:rPr>
    </w:pPr>
    <w:r>
      <w:rPr>
        <w:rFonts w:hint="eastAsia"/>
      </w:rPr>
      <w:t>项目编号：</w:t>
    </w:r>
    <w:r>
      <w:rPr>
        <w:rFonts w:hint="eastAsia"/>
        <w:lang w:eastAsia="zh-CN"/>
      </w:rPr>
      <w:t>TY2025-HW145-ZFCG145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E2F9">
    <w:pPr>
      <w:pStyle w:val="34"/>
      <w:pBdr>
        <w:bottom w:val="single" w:color="auto" w:sz="6" w:space="0"/>
      </w:pBdr>
    </w:pPr>
    <w:r>
      <w:rPr>
        <w:rFonts w:hint="eastAsia"/>
      </w:rPr>
      <w:t>金华市天盈招标代理有限公司</w:t>
    </w:r>
  </w:p>
  <w:p w14:paraId="1B74C0CD">
    <w:pPr>
      <w:pStyle w:val="34"/>
      <w:pBdr>
        <w:bottom w:val="single" w:color="auto" w:sz="6" w:space="0"/>
      </w:pBdr>
      <w:rPr>
        <w:rFonts w:hint="eastAsia" w:eastAsia="宋体"/>
        <w:lang w:eastAsia="zh-CN"/>
      </w:rPr>
    </w:pPr>
    <w:r>
      <w:rPr>
        <w:rFonts w:hint="eastAsia"/>
      </w:rPr>
      <w:t>项目编号：</w:t>
    </w:r>
    <w:r>
      <w:rPr>
        <w:rFonts w:hint="eastAsia"/>
        <w:lang w:eastAsia="zh-CN"/>
      </w:rPr>
      <w:t>TY2025-HW145-ZFCG145</w:t>
    </w:r>
  </w:p>
  <w:p w14:paraId="4EE76DC7">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4AD5">
    <w:pPr>
      <w:pStyle w:val="34"/>
      <w:pBdr>
        <w:bottom w:val="single" w:color="auto" w:sz="6" w:space="0"/>
      </w:pBdr>
    </w:pPr>
    <w:r>
      <w:rPr>
        <w:rFonts w:hint="eastAsia"/>
      </w:rPr>
      <w:t>金华市天盈招标代理有限公司</w:t>
    </w:r>
  </w:p>
  <w:p w14:paraId="5BA8A9C4">
    <w:pPr>
      <w:pStyle w:val="34"/>
      <w:pBdr>
        <w:bottom w:val="single" w:color="auto" w:sz="6" w:space="0"/>
      </w:pBdr>
      <w:rPr>
        <w:rFonts w:hint="eastAsia" w:eastAsia="宋体"/>
        <w:lang w:eastAsia="zh-CN"/>
      </w:rPr>
    </w:pPr>
    <w:r>
      <w:rPr>
        <w:rFonts w:hint="eastAsia"/>
      </w:rPr>
      <w:t>项目编号：</w:t>
    </w:r>
    <w:r>
      <w:rPr>
        <w:rFonts w:hint="eastAsia"/>
        <w:lang w:eastAsia="zh-CN"/>
      </w:rPr>
      <w:t>TY2025-HW145-ZFCG145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4B1E5889"/>
    <w:multiLevelType w:val="singleLevel"/>
    <w:tmpl w:val="4B1E5889"/>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70"/>
  <w:drawingGridVerticalSpacing w:val="317"/>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xY2JhM2JjMzgwNjlhYmI0ZGQwYTQ4ZmNhYjRhZjYifQ=="/>
    <w:docVar w:name="KSO_WPS_MARK_KEY" w:val="710a1726-dc00-4729-9a1e-614c1dd6054f"/>
  </w:docVars>
  <w:rsids>
    <w:rsidRoot w:val="00172A27"/>
    <w:rsid w:val="000005B4"/>
    <w:rsid w:val="00000D0C"/>
    <w:rsid w:val="0000215B"/>
    <w:rsid w:val="00003612"/>
    <w:rsid w:val="00003641"/>
    <w:rsid w:val="00003972"/>
    <w:rsid w:val="00004C9F"/>
    <w:rsid w:val="00005649"/>
    <w:rsid w:val="000059AC"/>
    <w:rsid w:val="00005F6F"/>
    <w:rsid w:val="000061FA"/>
    <w:rsid w:val="000075A6"/>
    <w:rsid w:val="00007727"/>
    <w:rsid w:val="00007AC9"/>
    <w:rsid w:val="00007DDF"/>
    <w:rsid w:val="00010215"/>
    <w:rsid w:val="0001098B"/>
    <w:rsid w:val="00010ADA"/>
    <w:rsid w:val="00010D0A"/>
    <w:rsid w:val="0001153E"/>
    <w:rsid w:val="00011D51"/>
    <w:rsid w:val="00011F6E"/>
    <w:rsid w:val="000120A0"/>
    <w:rsid w:val="00012E6A"/>
    <w:rsid w:val="00013616"/>
    <w:rsid w:val="00014CF0"/>
    <w:rsid w:val="00014FC5"/>
    <w:rsid w:val="00015130"/>
    <w:rsid w:val="000154F4"/>
    <w:rsid w:val="000157A4"/>
    <w:rsid w:val="000157C0"/>
    <w:rsid w:val="0001584B"/>
    <w:rsid w:val="00015F06"/>
    <w:rsid w:val="000162CB"/>
    <w:rsid w:val="000169DC"/>
    <w:rsid w:val="00016A63"/>
    <w:rsid w:val="00016E51"/>
    <w:rsid w:val="00017056"/>
    <w:rsid w:val="00017368"/>
    <w:rsid w:val="00017F1D"/>
    <w:rsid w:val="0002005F"/>
    <w:rsid w:val="00020F1F"/>
    <w:rsid w:val="00020F7A"/>
    <w:rsid w:val="00022040"/>
    <w:rsid w:val="0002306F"/>
    <w:rsid w:val="00023542"/>
    <w:rsid w:val="00023604"/>
    <w:rsid w:val="00023E43"/>
    <w:rsid w:val="00024041"/>
    <w:rsid w:val="0002467A"/>
    <w:rsid w:val="000246F6"/>
    <w:rsid w:val="0002556F"/>
    <w:rsid w:val="00025DC0"/>
    <w:rsid w:val="00026007"/>
    <w:rsid w:val="000263D5"/>
    <w:rsid w:val="0002723D"/>
    <w:rsid w:val="00027707"/>
    <w:rsid w:val="0002796A"/>
    <w:rsid w:val="00030709"/>
    <w:rsid w:val="00030EFD"/>
    <w:rsid w:val="00031156"/>
    <w:rsid w:val="0003137B"/>
    <w:rsid w:val="000326D8"/>
    <w:rsid w:val="000331C3"/>
    <w:rsid w:val="00033B08"/>
    <w:rsid w:val="00033BB6"/>
    <w:rsid w:val="00033CD2"/>
    <w:rsid w:val="00034324"/>
    <w:rsid w:val="00034538"/>
    <w:rsid w:val="00034E51"/>
    <w:rsid w:val="00035DE1"/>
    <w:rsid w:val="00035F7F"/>
    <w:rsid w:val="000362C9"/>
    <w:rsid w:val="00036453"/>
    <w:rsid w:val="000366E1"/>
    <w:rsid w:val="00036CD0"/>
    <w:rsid w:val="0003794F"/>
    <w:rsid w:val="000401AC"/>
    <w:rsid w:val="00040816"/>
    <w:rsid w:val="00040BC7"/>
    <w:rsid w:val="00041E17"/>
    <w:rsid w:val="000421E2"/>
    <w:rsid w:val="000423D3"/>
    <w:rsid w:val="00042AF4"/>
    <w:rsid w:val="000432B0"/>
    <w:rsid w:val="00043394"/>
    <w:rsid w:val="00043A00"/>
    <w:rsid w:val="00043B3E"/>
    <w:rsid w:val="00044039"/>
    <w:rsid w:val="00044112"/>
    <w:rsid w:val="00044604"/>
    <w:rsid w:val="00044A92"/>
    <w:rsid w:val="00044C4F"/>
    <w:rsid w:val="00045C7F"/>
    <w:rsid w:val="00045D2E"/>
    <w:rsid w:val="00045EBA"/>
    <w:rsid w:val="000461BC"/>
    <w:rsid w:val="00046BA4"/>
    <w:rsid w:val="00046F6F"/>
    <w:rsid w:val="00047580"/>
    <w:rsid w:val="00047EA0"/>
    <w:rsid w:val="00047EB5"/>
    <w:rsid w:val="0005009C"/>
    <w:rsid w:val="00050109"/>
    <w:rsid w:val="00050DE5"/>
    <w:rsid w:val="00051992"/>
    <w:rsid w:val="00051B47"/>
    <w:rsid w:val="00051B65"/>
    <w:rsid w:val="000520AA"/>
    <w:rsid w:val="00052146"/>
    <w:rsid w:val="00052762"/>
    <w:rsid w:val="00053022"/>
    <w:rsid w:val="0005441C"/>
    <w:rsid w:val="0005470F"/>
    <w:rsid w:val="000549C1"/>
    <w:rsid w:val="00055908"/>
    <w:rsid w:val="00056A25"/>
    <w:rsid w:val="00057798"/>
    <w:rsid w:val="00060E80"/>
    <w:rsid w:val="000618FC"/>
    <w:rsid w:val="00061F7E"/>
    <w:rsid w:val="00062846"/>
    <w:rsid w:val="00062EA2"/>
    <w:rsid w:val="00064659"/>
    <w:rsid w:val="00064778"/>
    <w:rsid w:val="000648C0"/>
    <w:rsid w:val="00064D0B"/>
    <w:rsid w:val="000650F7"/>
    <w:rsid w:val="0006534D"/>
    <w:rsid w:val="000656A6"/>
    <w:rsid w:val="000659A4"/>
    <w:rsid w:val="00065A01"/>
    <w:rsid w:val="00066644"/>
    <w:rsid w:val="00067359"/>
    <w:rsid w:val="00067B51"/>
    <w:rsid w:val="000714A5"/>
    <w:rsid w:val="00071536"/>
    <w:rsid w:val="00071699"/>
    <w:rsid w:val="00072C30"/>
    <w:rsid w:val="0007310C"/>
    <w:rsid w:val="00073FBF"/>
    <w:rsid w:val="0007401A"/>
    <w:rsid w:val="00074656"/>
    <w:rsid w:val="0007487D"/>
    <w:rsid w:val="00074D42"/>
    <w:rsid w:val="0007518E"/>
    <w:rsid w:val="000751A5"/>
    <w:rsid w:val="00075466"/>
    <w:rsid w:val="000759E6"/>
    <w:rsid w:val="0007668B"/>
    <w:rsid w:val="000766FC"/>
    <w:rsid w:val="00076E22"/>
    <w:rsid w:val="000771C1"/>
    <w:rsid w:val="000771FF"/>
    <w:rsid w:val="00077C54"/>
    <w:rsid w:val="00080AC4"/>
    <w:rsid w:val="00080BA2"/>
    <w:rsid w:val="00081468"/>
    <w:rsid w:val="00081AEA"/>
    <w:rsid w:val="000820F9"/>
    <w:rsid w:val="0008256E"/>
    <w:rsid w:val="000831A4"/>
    <w:rsid w:val="00083A5C"/>
    <w:rsid w:val="00083D53"/>
    <w:rsid w:val="00084027"/>
    <w:rsid w:val="000841D4"/>
    <w:rsid w:val="000841D8"/>
    <w:rsid w:val="00084868"/>
    <w:rsid w:val="00084BFB"/>
    <w:rsid w:val="00084DB0"/>
    <w:rsid w:val="0008552A"/>
    <w:rsid w:val="00085DDC"/>
    <w:rsid w:val="0008751A"/>
    <w:rsid w:val="000877F3"/>
    <w:rsid w:val="00090170"/>
    <w:rsid w:val="00090267"/>
    <w:rsid w:val="00090B81"/>
    <w:rsid w:val="0009217A"/>
    <w:rsid w:val="00092836"/>
    <w:rsid w:val="00092A18"/>
    <w:rsid w:val="00092AC7"/>
    <w:rsid w:val="00093399"/>
    <w:rsid w:val="00093A21"/>
    <w:rsid w:val="00093A8C"/>
    <w:rsid w:val="0009429E"/>
    <w:rsid w:val="00094888"/>
    <w:rsid w:val="00095C70"/>
    <w:rsid w:val="00095C81"/>
    <w:rsid w:val="00095D49"/>
    <w:rsid w:val="00096534"/>
    <w:rsid w:val="000A0043"/>
    <w:rsid w:val="000A07B9"/>
    <w:rsid w:val="000A0B64"/>
    <w:rsid w:val="000A16EC"/>
    <w:rsid w:val="000A31C7"/>
    <w:rsid w:val="000A3D80"/>
    <w:rsid w:val="000A4EC7"/>
    <w:rsid w:val="000A5339"/>
    <w:rsid w:val="000A5724"/>
    <w:rsid w:val="000A57FA"/>
    <w:rsid w:val="000A5A85"/>
    <w:rsid w:val="000A6055"/>
    <w:rsid w:val="000A65B7"/>
    <w:rsid w:val="000A681F"/>
    <w:rsid w:val="000A6C41"/>
    <w:rsid w:val="000A6C75"/>
    <w:rsid w:val="000A7C5C"/>
    <w:rsid w:val="000B0172"/>
    <w:rsid w:val="000B0297"/>
    <w:rsid w:val="000B11ED"/>
    <w:rsid w:val="000B169A"/>
    <w:rsid w:val="000B19D1"/>
    <w:rsid w:val="000B2C16"/>
    <w:rsid w:val="000B3383"/>
    <w:rsid w:val="000B3604"/>
    <w:rsid w:val="000B397F"/>
    <w:rsid w:val="000B4013"/>
    <w:rsid w:val="000B411D"/>
    <w:rsid w:val="000B45CC"/>
    <w:rsid w:val="000B5B13"/>
    <w:rsid w:val="000B5E63"/>
    <w:rsid w:val="000B61F7"/>
    <w:rsid w:val="000B630D"/>
    <w:rsid w:val="000B67FF"/>
    <w:rsid w:val="000B7FD5"/>
    <w:rsid w:val="000C0301"/>
    <w:rsid w:val="000C0631"/>
    <w:rsid w:val="000C0BFE"/>
    <w:rsid w:val="000C0EB7"/>
    <w:rsid w:val="000C1588"/>
    <w:rsid w:val="000C15E4"/>
    <w:rsid w:val="000C2471"/>
    <w:rsid w:val="000C24D0"/>
    <w:rsid w:val="000C279A"/>
    <w:rsid w:val="000C2E06"/>
    <w:rsid w:val="000C3055"/>
    <w:rsid w:val="000C4116"/>
    <w:rsid w:val="000C41A0"/>
    <w:rsid w:val="000C4702"/>
    <w:rsid w:val="000C49C2"/>
    <w:rsid w:val="000C5323"/>
    <w:rsid w:val="000C55F2"/>
    <w:rsid w:val="000C58BF"/>
    <w:rsid w:val="000C58D1"/>
    <w:rsid w:val="000C5D53"/>
    <w:rsid w:val="000C6415"/>
    <w:rsid w:val="000C6467"/>
    <w:rsid w:val="000C760C"/>
    <w:rsid w:val="000C7A2B"/>
    <w:rsid w:val="000D02C5"/>
    <w:rsid w:val="000D10AB"/>
    <w:rsid w:val="000D118C"/>
    <w:rsid w:val="000D1794"/>
    <w:rsid w:val="000D2BFC"/>
    <w:rsid w:val="000D2E18"/>
    <w:rsid w:val="000D39F3"/>
    <w:rsid w:val="000D3B9C"/>
    <w:rsid w:val="000D44F3"/>
    <w:rsid w:val="000D46DA"/>
    <w:rsid w:val="000D4890"/>
    <w:rsid w:val="000D4899"/>
    <w:rsid w:val="000D4965"/>
    <w:rsid w:val="000D499A"/>
    <w:rsid w:val="000D4A17"/>
    <w:rsid w:val="000D4E9B"/>
    <w:rsid w:val="000D57FD"/>
    <w:rsid w:val="000D60A5"/>
    <w:rsid w:val="000D65D3"/>
    <w:rsid w:val="000D6688"/>
    <w:rsid w:val="000D6DFB"/>
    <w:rsid w:val="000D6F12"/>
    <w:rsid w:val="000D760C"/>
    <w:rsid w:val="000E1F10"/>
    <w:rsid w:val="000E2601"/>
    <w:rsid w:val="000E2F08"/>
    <w:rsid w:val="000E3268"/>
    <w:rsid w:val="000E3507"/>
    <w:rsid w:val="000E397B"/>
    <w:rsid w:val="000E3C64"/>
    <w:rsid w:val="000E4907"/>
    <w:rsid w:val="000E52C2"/>
    <w:rsid w:val="000E696B"/>
    <w:rsid w:val="000E6A3C"/>
    <w:rsid w:val="000E6C8F"/>
    <w:rsid w:val="000E6D26"/>
    <w:rsid w:val="000E6FDF"/>
    <w:rsid w:val="000E6FFA"/>
    <w:rsid w:val="000E79F2"/>
    <w:rsid w:val="000E7C0A"/>
    <w:rsid w:val="000F0DCE"/>
    <w:rsid w:val="000F18BB"/>
    <w:rsid w:val="000F18C1"/>
    <w:rsid w:val="000F1AEE"/>
    <w:rsid w:val="000F1DE2"/>
    <w:rsid w:val="000F228B"/>
    <w:rsid w:val="000F2B0C"/>
    <w:rsid w:val="000F2DE7"/>
    <w:rsid w:val="000F38F8"/>
    <w:rsid w:val="000F47B8"/>
    <w:rsid w:val="000F4929"/>
    <w:rsid w:val="000F537E"/>
    <w:rsid w:val="000F53EE"/>
    <w:rsid w:val="000F57DF"/>
    <w:rsid w:val="000F5F58"/>
    <w:rsid w:val="000F641D"/>
    <w:rsid w:val="000F6F5C"/>
    <w:rsid w:val="000F76F6"/>
    <w:rsid w:val="00100808"/>
    <w:rsid w:val="0010167C"/>
    <w:rsid w:val="0010174C"/>
    <w:rsid w:val="00101B07"/>
    <w:rsid w:val="00101EBA"/>
    <w:rsid w:val="00102572"/>
    <w:rsid w:val="00102B24"/>
    <w:rsid w:val="00102E06"/>
    <w:rsid w:val="00102E18"/>
    <w:rsid w:val="00103266"/>
    <w:rsid w:val="00103381"/>
    <w:rsid w:val="001040D8"/>
    <w:rsid w:val="001041AD"/>
    <w:rsid w:val="00104582"/>
    <w:rsid w:val="00104AD6"/>
    <w:rsid w:val="00105197"/>
    <w:rsid w:val="00105439"/>
    <w:rsid w:val="001054AB"/>
    <w:rsid w:val="00105DF6"/>
    <w:rsid w:val="00106C3C"/>
    <w:rsid w:val="00106DE3"/>
    <w:rsid w:val="00106E1F"/>
    <w:rsid w:val="0010717D"/>
    <w:rsid w:val="001073D1"/>
    <w:rsid w:val="00107482"/>
    <w:rsid w:val="00107BE5"/>
    <w:rsid w:val="00107BEB"/>
    <w:rsid w:val="00110057"/>
    <w:rsid w:val="00110305"/>
    <w:rsid w:val="00110C3B"/>
    <w:rsid w:val="001112EA"/>
    <w:rsid w:val="00111670"/>
    <w:rsid w:val="00111990"/>
    <w:rsid w:val="00111ABC"/>
    <w:rsid w:val="001125CC"/>
    <w:rsid w:val="0011338B"/>
    <w:rsid w:val="0011339C"/>
    <w:rsid w:val="00113825"/>
    <w:rsid w:val="001147E8"/>
    <w:rsid w:val="00114D14"/>
    <w:rsid w:val="00115E0B"/>
    <w:rsid w:val="00120511"/>
    <w:rsid w:val="00120721"/>
    <w:rsid w:val="00120BB2"/>
    <w:rsid w:val="00120D30"/>
    <w:rsid w:val="00120F6F"/>
    <w:rsid w:val="001212CB"/>
    <w:rsid w:val="00121612"/>
    <w:rsid w:val="00121A55"/>
    <w:rsid w:val="00121F4E"/>
    <w:rsid w:val="001220B1"/>
    <w:rsid w:val="00122B21"/>
    <w:rsid w:val="00122E43"/>
    <w:rsid w:val="00122EF4"/>
    <w:rsid w:val="00123223"/>
    <w:rsid w:val="00123580"/>
    <w:rsid w:val="001243E3"/>
    <w:rsid w:val="00124770"/>
    <w:rsid w:val="00124B45"/>
    <w:rsid w:val="00125738"/>
    <w:rsid w:val="00125F1F"/>
    <w:rsid w:val="00125FA8"/>
    <w:rsid w:val="001267D8"/>
    <w:rsid w:val="001313DA"/>
    <w:rsid w:val="00131A88"/>
    <w:rsid w:val="00131B57"/>
    <w:rsid w:val="00131E90"/>
    <w:rsid w:val="0013232F"/>
    <w:rsid w:val="001325B3"/>
    <w:rsid w:val="00132EAC"/>
    <w:rsid w:val="00133646"/>
    <w:rsid w:val="00133ADF"/>
    <w:rsid w:val="00134537"/>
    <w:rsid w:val="001349BA"/>
    <w:rsid w:val="00134E70"/>
    <w:rsid w:val="00134FB5"/>
    <w:rsid w:val="00135C72"/>
    <w:rsid w:val="00136733"/>
    <w:rsid w:val="00137146"/>
    <w:rsid w:val="0013748E"/>
    <w:rsid w:val="00137BA3"/>
    <w:rsid w:val="00137DB4"/>
    <w:rsid w:val="001409B8"/>
    <w:rsid w:val="00140BDB"/>
    <w:rsid w:val="00141125"/>
    <w:rsid w:val="00141417"/>
    <w:rsid w:val="0014187D"/>
    <w:rsid w:val="001418E2"/>
    <w:rsid w:val="001425F4"/>
    <w:rsid w:val="00142613"/>
    <w:rsid w:val="00142760"/>
    <w:rsid w:val="00143758"/>
    <w:rsid w:val="00143AF4"/>
    <w:rsid w:val="00143BC2"/>
    <w:rsid w:val="00143D37"/>
    <w:rsid w:val="00144091"/>
    <w:rsid w:val="00144E17"/>
    <w:rsid w:val="00144F43"/>
    <w:rsid w:val="00146179"/>
    <w:rsid w:val="001464C8"/>
    <w:rsid w:val="00146699"/>
    <w:rsid w:val="00146A2C"/>
    <w:rsid w:val="00146ACF"/>
    <w:rsid w:val="00146DC4"/>
    <w:rsid w:val="00147A6D"/>
    <w:rsid w:val="00150A43"/>
    <w:rsid w:val="0015194D"/>
    <w:rsid w:val="001527A2"/>
    <w:rsid w:val="001531B2"/>
    <w:rsid w:val="0015397C"/>
    <w:rsid w:val="00154D03"/>
    <w:rsid w:val="0015519E"/>
    <w:rsid w:val="00155977"/>
    <w:rsid w:val="00155F34"/>
    <w:rsid w:val="00156425"/>
    <w:rsid w:val="001565E4"/>
    <w:rsid w:val="00156C6C"/>
    <w:rsid w:val="00156FF2"/>
    <w:rsid w:val="001570C7"/>
    <w:rsid w:val="00157A19"/>
    <w:rsid w:val="00157F7F"/>
    <w:rsid w:val="00157F93"/>
    <w:rsid w:val="001602DE"/>
    <w:rsid w:val="00160681"/>
    <w:rsid w:val="00160B0D"/>
    <w:rsid w:val="00160B64"/>
    <w:rsid w:val="00161D42"/>
    <w:rsid w:val="0016229E"/>
    <w:rsid w:val="0016247F"/>
    <w:rsid w:val="0016304F"/>
    <w:rsid w:val="00163838"/>
    <w:rsid w:val="00163EB4"/>
    <w:rsid w:val="00164559"/>
    <w:rsid w:val="00164C3F"/>
    <w:rsid w:val="00164CD2"/>
    <w:rsid w:val="00165B58"/>
    <w:rsid w:val="00166B7D"/>
    <w:rsid w:val="00166DEF"/>
    <w:rsid w:val="001700AD"/>
    <w:rsid w:val="001727B0"/>
    <w:rsid w:val="0017286B"/>
    <w:rsid w:val="00172A27"/>
    <w:rsid w:val="00173546"/>
    <w:rsid w:val="00173F5B"/>
    <w:rsid w:val="0017432D"/>
    <w:rsid w:val="00174489"/>
    <w:rsid w:val="0017571A"/>
    <w:rsid w:val="00176066"/>
    <w:rsid w:val="00176A60"/>
    <w:rsid w:val="00176F1C"/>
    <w:rsid w:val="00177166"/>
    <w:rsid w:val="001778F0"/>
    <w:rsid w:val="00177990"/>
    <w:rsid w:val="00177BD1"/>
    <w:rsid w:val="00180D44"/>
    <w:rsid w:val="00180E0C"/>
    <w:rsid w:val="00181794"/>
    <w:rsid w:val="00181F10"/>
    <w:rsid w:val="00181F41"/>
    <w:rsid w:val="00182677"/>
    <w:rsid w:val="001836DF"/>
    <w:rsid w:val="00183D08"/>
    <w:rsid w:val="00183ECA"/>
    <w:rsid w:val="00184E79"/>
    <w:rsid w:val="001851B0"/>
    <w:rsid w:val="001853E7"/>
    <w:rsid w:val="001856C3"/>
    <w:rsid w:val="00185795"/>
    <w:rsid w:val="00186C7C"/>
    <w:rsid w:val="00187912"/>
    <w:rsid w:val="00190005"/>
    <w:rsid w:val="00190385"/>
    <w:rsid w:val="00190665"/>
    <w:rsid w:val="0019090F"/>
    <w:rsid w:val="00190B6B"/>
    <w:rsid w:val="00191016"/>
    <w:rsid w:val="0019110F"/>
    <w:rsid w:val="00191230"/>
    <w:rsid w:val="00191605"/>
    <w:rsid w:val="00192795"/>
    <w:rsid w:val="00192AB6"/>
    <w:rsid w:val="00193401"/>
    <w:rsid w:val="00193898"/>
    <w:rsid w:val="00193E34"/>
    <w:rsid w:val="00194FE5"/>
    <w:rsid w:val="00195996"/>
    <w:rsid w:val="001971E2"/>
    <w:rsid w:val="001978E6"/>
    <w:rsid w:val="00197A2D"/>
    <w:rsid w:val="00197E65"/>
    <w:rsid w:val="001A0ABA"/>
    <w:rsid w:val="001A1244"/>
    <w:rsid w:val="001A1CBB"/>
    <w:rsid w:val="001A22D0"/>
    <w:rsid w:val="001A23B6"/>
    <w:rsid w:val="001A2EF3"/>
    <w:rsid w:val="001A2F0E"/>
    <w:rsid w:val="001A2F35"/>
    <w:rsid w:val="001A3564"/>
    <w:rsid w:val="001A36C2"/>
    <w:rsid w:val="001A39CE"/>
    <w:rsid w:val="001A4250"/>
    <w:rsid w:val="001A4923"/>
    <w:rsid w:val="001A4A2E"/>
    <w:rsid w:val="001A5138"/>
    <w:rsid w:val="001A518D"/>
    <w:rsid w:val="001A582C"/>
    <w:rsid w:val="001A59E6"/>
    <w:rsid w:val="001A5AF9"/>
    <w:rsid w:val="001A5B8F"/>
    <w:rsid w:val="001A5C63"/>
    <w:rsid w:val="001A66B8"/>
    <w:rsid w:val="001A723A"/>
    <w:rsid w:val="001A7390"/>
    <w:rsid w:val="001A77F5"/>
    <w:rsid w:val="001A79C4"/>
    <w:rsid w:val="001B06F3"/>
    <w:rsid w:val="001B0C39"/>
    <w:rsid w:val="001B1D19"/>
    <w:rsid w:val="001B2237"/>
    <w:rsid w:val="001B254F"/>
    <w:rsid w:val="001B311A"/>
    <w:rsid w:val="001B31B5"/>
    <w:rsid w:val="001B33E8"/>
    <w:rsid w:val="001B3509"/>
    <w:rsid w:val="001B3EC8"/>
    <w:rsid w:val="001B4BCB"/>
    <w:rsid w:val="001B4BD0"/>
    <w:rsid w:val="001B52D3"/>
    <w:rsid w:val="001B5651"/>
    <w:rsid w:val="001B565A"/>
    <w:rsid w:val="001B63D8"/>
    <w:rsid w:val="001B6448"/>
    <w:rsid w:val="001B6684"/>
    <w:rsid w:val="001C1169"/>
    <w:rsid w:val="001C1556"/>
    <w:rsid w:val="001C1716"/>
    <w:rsid w:val="001C17B5"/>
    <w:rsid w:val="001C1E01"/>
    <w:rsid w:val="001C3A02"/>
    <w:rsid w:val="001C41C6"/>
    <w:rsid w:val="001C5007"/>
    <w:rsid w:val="001C518D"/>
    <w:rsid w:val="001C5341"/>
    <w:rsid w:val="001C5550"/>
    <w:rsid w:val="001C576A"/>
    <w:rsid w:val="001C58AE"/>
    <w:rsid w:val="001C5997"/>
    <w:rsid w:val="001C5C1B"/>
    <w:rsid w:val="001C5DA9"/>
    <w:rsid w:val="001C5F11"/>
    <w:rsid w:val="001C6EAF"/>
    <w:rsid w:val="001C758B"/>
    <w:rsid w:val="001C7DC0"/>
    <w:rsid w:val="001C7E4C"/>
    <w:rsid w:val="001D0389"/>
    <w:rsid w:val="001D2174"/>
    <w:rsid w:val="001D3EC4"/>
    <w:rsid w:val="001D47A3"/>
    <w:rsid w:val="001D541A"/>
    <w:rsid w:val="001D5753"/>
    <w:rsid w:val="001D64BB"/>
    <w:rsid w:val="001D6529"/>
    <w:rsid w:val="001D675E"/>
    <w:rsid w:val="001D6E9B"/>
    <w:rsid w:val="001D70DB"/>
    <w:rsid w:val="001D7C5D"/>
    <w:rsid w:val="001D7D78"/>
    <w:rsid w:val="001E1FD0"/>
    <w:rsid w:val="001E2657"/>
    <w:rsid w:val="001E3B88"/>
    <w:rsid w:val="001E4529"/>
    <w:rsid w:val="001E72FD"/>
    <w:rsid w:val="001E73C8"/>
    <w:rsid w:val="001F045B"/>
    <w:rsid w:val="001F0D7C"/>
    <w:rsid w:val="001F1241"/>
    <w:rsid w:val="001F1C7C"/>
    <w:rsid w:val="001F1E22"/>
    <w:rsid w:val="001F2428"/>
    <w:rsid w:val="001F2A69"/>
    <w:rsid w:val="001F3953"/>
    <w:rsid w:val="001F3BC3"/>
    <w:rsid w:val="001F43BC"/>
    <w:rsid w:val="001F444D"/>
    <w:rsid w:val="001F44A5"/>
    <w:rsid w:val="001F5433"/>
    <w:rsid w:val="001F5B9D"/>
    <w:rsid w:val="001F5EC6"/>
    <w:rsid w:val="001F6383"/>
    <w:rsid w:val="001F64BC"/>
    <w:rsid w:val="001F6D82"/>
    <w:rsid w:val="001F6E77"/>
    <w:rsid w:val="001F7464"/>
    <w:rsid w:val="001F785A"/>
    <w:rsid w:val="001F78BC"/>
    <w:rsid w:val="001F7996"/>
    <w:rsid w:val="001F7C30"/>
    <w:rsid w:val="00200CEE"/>
    <w:rsid w:val="00202603"/>
    <w:rsid w:val="00202682"/>
    <w:rsid w:val="002027A3"/>
    <w:rsid w:val="00202C9F"/>
    <w:rsid w:val="00202D3F"/>
    <w:rsid w:val="0020317A"/>
    <w:rsid w:val="0020347B"/>
    <w:rsid w:val="00203685"/>
    <w:rsid w:val="00204F86"/>
    <w:rsid w:val="0020558D"/>
    <w:rsid w:val="00205856"/>
    <w:rsid w:val="00205BF3"/>
    <w:rsid w:val="00206442"/>
    <w:rsid w:val="00206C03"/>
    <w:rsid w:val="00206F02"/>
    <w:rsid w:val="00206F72"/>
    <w:rsid w:val="0020760D"/>
    <w:rsid w:val="0020764E"/>
    <w:rsid w:val="00207692"/>
    <w:rsid w:val="00207865"/>
    <w:rsid w:val="002079C7"/>
    <w:rsid w:val="002103BE"/>
    <w:rsid w:val="002110A6"/>
    <w:rsid w:val="00211874"/>
    <w:rsid w:val="00211DAF"/>
    <w:rsid w:val="00212C52"/>
    <w:rsid w:val="00212E83"/>
    <w:rsid w:val="00213C69"/>
    <w:rsid w:val="00213D8D"/>
    <w:rsid w:val="00213EFB"/>
    <w:rsid w:val="002149F8"/>
    <w:rsid w:val="00214A06"/>
    <w:rsid w:val="00214B45"/>
    <w:rsid w:val="002152FC"/>
    <w:rsid w:val="002156E2"/>
    <w:rsid w:val="00215857"/>
    <w:rsid w:val="002161D5"/>
    <w:rsid w:val="00216456"/>
    <w:rsid w:val="0021710C"/>
    <w:rsid w:val="00217129"/>
    <w:rsid w:val="00217373"/>
    <w:rsid w:val="00217B7E"/>
    <w:rsid w:val="00217C68"/>
    <w:rsid w:val="002201EB"/>
    <w:rsid w:val="002206E7"/>
    <w:rsid w:val="00221F90"/>
    <w:rsid w:val="00223274"/>
    <w:rsid w:val="002233A2"/>
    <w:rsid w:val="00223718"/>
    <w:rsid w:val="00223FAD"/>
    <w:rsid w:val="0022422A"/>
    <w:rsid w:val="002246A9"/>
    <w:rsid w:val="002254B3"/>
    <w:rsid w:val="00225948"/>
    <w:rsid w:val="00226055"/>
    <w:rsid w:val="002262F3"/>
    <w:rsid w:val="0022662B"/>
    <w:rsid w:val="0022752D"/>
    <w:rsid w:val="002275EA"/>
    <w:rsid w:val="00230119"/>
    <w:rsid w:val="002323B9"/>
    <w:rsid w:val="00232672"/>
    <w:rsid w:val="00233493"/>
    <w:rsid w:val="00233D0B"/>
    <w:rsid w:val="00233D90"/>
    <w:rsid w:val="00234957"/>
    <w:rsid w:val="002352A4"/>
    <w:rsid w:val="002354AB"/>
    <w:rsid w:val="00235595"/>
    <w:rsid w:val="00235639"/>
    <w:rsid w:val="00236111"/>
    <w:rsid w:val="00237933"/>
    <w:rsid w:val="002379DB"/>
    <w:rsid w:val="002404A5"/>
    <w:rsid w:val="002418C6"/>
    <w:rsid w:val="00241ECB"/>
    <w:rsid w:val="002420F5"/>
    <w:rsid w:val="002421FD"/>
    <w:rsid w:val="0024277E"/>
    <w:rsid w:val="00243070"/>
    <w:rsid w:val="002431E0"/>
    <w:rsid w:val="002433D2"/>
    <w:rsid w:val="002433D3"/>
    <w:rsid w:val="0024349E"/>
    <w:rsid w:val="00243814"/>
    <w:rsid w:val="00243D88"/>
    <w:rsid w:val="0024449D"/>
    <w:rsid w:val="00244841"/>
    <w:rsid w:val="00244F64"/>
    <w:rsid w:val="00245010"/>
    <w:rsid w:val="0024544E"/>
    <w:rsid w:val="002456FE"/>
    <w:rsid w:val="0024673A"/>
    <w:rsid w:val="00246747"/>
    <w:rsid w:val="002472C2"/>
    <w:rsid w:val="002478B2"/>
    <w:rsid w:val="00247B2C"/>
    <w:rsid w:val="002502ED"/>
    <w:rsid w:val="00251745"/>
    <w:rsid w:val="002519A7"/>
    <w:rsid w:val="00251D70"/>
    <w:rsid w:val="00251F32"/>
    <w:rsid w:val="00252795"/>
    <w:rsid w:val="00252AA2"/>
    <w:rsid w:val="00252E76"/>
    <w:rsid w:val="002533AB"/>
    <w:rsid w:val="00253947"/>
    <w:rsid w:val="00253975"/>
    <w:rsid w:val="00253AC2"/>
    <w:rsid w:val="00253CE4"/>
    <w:rsid w:val="00254C35"/>
    <w:rsid w:val="0025500C"/>
    <w:rsid w:val="002551A0"/>
    <w:rsid w:val="00255E72"/>
    <w:rsid w:val="00257111"/>
    <w:rsid w:val="00257AB6"/>
    <w:rsid w:val="00257B2C"/>
    <w:rsid w:val="00257E53"/>
    <w:rsid w:val="00260176"/>
    <w:rsid w:val="00260FE6"/>
    <w:rsid w:val="002613C9"/>
    <w:rsid w:val="00261905"/>
    <w:rsid w:val="00261F61"/>
    <w:rsid w:val="00262221"/>
    <w:rsid w:val="0026251B"/>
    <w:rsid w:val="002629B7"/>
    <w:rsid w:val="0026327D"/>
    <w:rsid w:val="00263B0A"/>
    <w:rsid w:val="00263D51"/>
    <w:rsid w:val="002641AE"/>
    <w:rsid w:val="0026465A"/>
    <w:rsid w:val="00264A0E"/>
    <w:rsid w:val="00264B7E"/>
    <w:rsid w:val="00265B4F"/>
    <w:rsid w:val="00265ECA"/>
    <w:rsid w:val="00266B48"/>
    <w:rsid w:val="00266C18"/>
    <w:rsid w:val="00266C93"/>
    <w:rsid w:val="00267076"/>
    <w:rsid w:val="002673D9"/>
    <w:rsid w:val="00267424"/>
    <w:rsid w:val="00267AA4"/>
    <w:rsid w:val="00267E20"/>
    <w:rsid w:val="00270057"/>
    <w:rsid w:val="0027098C"/>
    <w:rsid w:val="00270DE2"/>
    <w:rsid w:val="00271200"/>
    <w:rsid w:val="00271653"/>
    <w:rsid w:val="0027259F"/>
    <w:rsid w:val="002727D0"/>
    <w:rsid w:val="00272B46"/>
    <w:rsid w:val="00272DC8"/>
    <w:rsid w:val="00272F6E"/>
    <w:rsid w:val="00273F6B"/>
    <w:rsid w:val="00273F90"/>
    <w:rsid w:val="00274517"/>
    <w:rsid w:val="00274960"/>
    <w:rsid w:val="00274CC9"/>
    <w:rsid w:val="00275018"/>
    <w:rsid w:val="002751CA"/>
    <w:rsid w:val="0027524B"/>
    <w:rsid w:val="00275257"/>
    <w:rsid w:val="00275589"/>
    <w:rsid w:val="00275A03"/>
    <w:rsid w:val="0027654B"/>
    <w:rsid w:val="00277373"/>
    <w:rsid w:val="00281179"/>
    <w:rsid w:val="0028168C"/>
    <w:rsid w:val="002819B0"/>
    <w:rsid w:val="00282768"/>
    <w:rsid w:val="002830B3"/>
    <w:rsid w:val="00283BCF"/>
    <w:rsid w:val="00284094"/>
    <w:rsid w:val="00284A81"/>
    <w:rsid w:val="00284FAC"/>
    <w:rsid w:val="00285230"/>
    <w:rsid w:val="00285A2F"/>
    <w:rsid w:val="00285E44"/>
    <w:rsid w:val="00286139"/>
    <w:rsid w:val="00286189"/>
    <w:rsid w:val="00286E44"/>
    <w:rsid w:val="0028721A"/>
    <w:rsid w:val="002875BA"/>
    <w:rsid w:val="002876A6"/>
    <w:rsid w:val="0028779D"/>
    <w:rsid w:val="002900E5"/>
    <w:rsid w:val="00290C94"/>
    <w:rsid w:val="0029123D"/>
    <w:rsid w:val="0029170E"/>
    <w:rsid w:val="002917E2"/>
    <w:rsid w:val="00291E47"/>
    <w:rsid w:val="002937F7"/>
    <w:rsid w:val="00293C9B"/>
    <w:rsid w:val="002959FB"/>
    <w:rsid w:val="00295C22"/>
    <w:rsid w:val="00295DEB"/>
    <w:rsid w:val="00295E58"/>
    <w:rsid w:val="00295EA3"/>
    <w:rsid w:val="0029619E"/>
    <w:rsid w:val="00296934"/>
    <w:rsid w:val="002971D1"/>
    <w:rsid w:val="00297AC7"/>
    <w:rsid w:val="00297F82"/>
    <w:rsid w:val="002A0849"/>
    <w:rsid w:val="002A12A0"/>
    <w:rsid w:val="002A18ED"/>
    <w:rsid w:val="002A2EE4"/>
    <w:rsid w:val="002A2F3B"/>
    <w:rsid w:val="002A3614"/>
    <w:rsid w:val="002A364D"/>
    <w:rsid w:val="002A376F"/>
    <w:rsid w:val="002A3C87"/>
    <w:rsid w:val="002A49C7"/>
    <w:rsid w:val="002A4A54"/>
    <w:rsid w:val="002A546F"/>
    <w:rsid w:val="002A58FB"/>
    <w:rsid w:val="002A5D7C"/>
    <w:rsid w:val="002A6D63"/>
    <w:rsid w:val="002A6E16"/>
    <w:rsid w:val="002A70E8"/>
    <w:rsid w:val="002A741A"/>
    <w:rsid w:val="002A7874"/>
    <w:rsid w:val="002B0828"/>
    <w:rsid w:val="002B085F"/>
    <w:rsid w:val="002B1154"/>
    <w:rsid w:val="002B2238"/>
    <w:rsid w:val="002B2244"/>
    <w:rsid w:val="002B2AB0"/>
    <w:rsid w:val="002B2C06"/>
    <w:rsid w:val="002B2CE1"/>
    <w:rsid w:val="002B2F68"/>
    <w:rsid w:val="002B3342"/>
    <w:rsid w:val="002B4271"/>
    <w:rsid w:val="002B4A20"/>
    <w:rsid w:val="002B5A41"/>
    <w:rsid w:val="002B7432"/>
    <w:rsid w:val="002B7FF7"/>
    <w:rsid w:val="002C0342"/>
    <w:rsid w:val="002C0896"/>
    <w:rsid w:val="002C1124"/>
    <w:rsid w:val="002C1B6E"/>
    <w:rsid w:val="002C1BCB"/>
    <w:rsid w:val="002C2579"/>
    <w:rsid w:val="002C2B8D"/>
    <w:rsid w:val="002C31BA"/>
    <w:rsid w:val="002C3426"/>
    <w:rsid w:val="002C35E6"/>
    <w:rsid w:val="002C3B80"/>
    <w:rsid w:val="002C44FD"/>
    <w:rsid w:val="002C4688"/>
    <w:rsid w:val="002C4EFB"/>
    <w:rsid w:val="002C51CD"/>
    <w:rsid w:val="002C521B"/>
    <w:rsid w:val="002C5450"/>
    <w:rsid w:val="002C557A"/>
    <w:rsid w:val="002C5DAD"/>
    <w:rsid w:val="002C612A"/>
    <w:rsid w:val="002C6404"/>
    <w:rsid w:val="002C653C"/>
    <w:rsid w:val="002C7007"/>
    <w:rsid w:val="002C7E2A"/>
    <w:rsid w:val="002D0C00"/>
    <w:rsid w:val="002D0E75"/>
    <w:rsid w:val="002D0EB8"/>
    <w:rsid w:val="002D113B"/>
    <w:rsid w:val="002D1187"/>
    <w:rsid w:val="002D137B"/>
    <w:rsid w:val="002D1E41"/>
    <w:rsid w:val="002D1FCD"/>
    <w:rsid w:val="002D218B"/>
    <w:rsid w:val="002D287C"/>
    <w:rsid w:val="002D2ADE"/>
    <w:rsid w:val="002D2D36"/>
    <w:rsid w:val="002D2EFB"/>
    <w:rsid w:val="002D308A"/>
    <w:rsid w:val="002D30BA"/>
    <w:rsid w:val="002D35C7"/>
    <w:rsid w:val="002D37D9"/>
    <w:rsid w:val="002D39A4"/>
    <w:rsid w:val="002D42BF"/>
    <w:rsid w:val="002D45D6"/>
    <w:rsid w:val="002D462F"/>
    <w:rsid w:val="002D472D"/>
    <w:rsid w:val="002D4BB7"/>
    <w:rsid w:val="002D4E6F"/>
    <w:rsid w:val="002D5250"/>
    <w:rsid w:val="002D5565"/>
    <w:rsid w:val="002D59B1"/>
    <w:rsid w:val="002D5BFF"/>
    <w:rsid w:val="002D602D"/>
    <w:rsid w:val="002D7E99"/>
    <w:rsid w:val="002E0427"/>
    <w:rsid w:val="002E10C4"/>
    <w:rsid w:val="002E1809"/>
    <w:rsid w:val="002E22CB"/>
    <w:rsid w:val="002E2FC5"/>
    <w:rsid w:val="002E311A"/>
    <w:rsid w:val="002E31B9"/>
    <w:rsid w:val="002E3412"/>
    <w:rsid w:val="002E3B63"/>
    <w:rsid w:val="002E3DC2"/>
    <w:rsid w:val="002E3F8D"/>
    <w:rsid w:val="002E40D8"/>
    <w:rsid w:val="002E48D5"/>
    <w:rsid w:val="002E58F7"/>
    <w:rsid w:val="002E6497"/>
    <w:rsid w:val="002E6521"/>
    <w:rsid w:val="002E6D25"/>
    <w:rsid w:val="002E6DAF"/>
    <w:rsid w:val="002E6E03"/>
    <w:rsid w:val="002E6EC0"/>
    <w:rsid w:val="002E70F4"/>
    <w:rsid w:val="002E73EA"/>
    <w:rsid w:val="002E74ED"/>
    <w:rsid w:val="002F0271"/>
    <w:rsid w:val="002F0DD3"/>
    <w:rsid w:val="002F0EC9"/>
    <w:rsid w:val="002F0F22"/>
    <w:rsid w:val="002F119F"/>
    <w:rsid w:val="002F12F2"/>
    <w:rsid w:val="002F13EC"/>
    <w:rsid w:val="002F19E2"/>
    <w:rsid w:val="002F2049"/>
    <w:rsid w:val="002F211F"/>
    <w:rsid w:val="002F23B5"/>
    <w:rsid w:val="002F249E"/>
    <w:rsid w:val="002F2E3B"/>
    <w:rsid w:val="002F3079"/>
    <w:rsid w:val="002F31E6"/>
    <w:rsid w:val="002F324D"/>
    <w:rsid w:val="002F3843"/>
    <w:rsid w:val="002F41D3"/>
    <w:rsid w:val="002F637A"/>
    <w:rsid w:val="002F720F"/>
    <w:rsid w:val="002F7382"/>
    <w:rsid w:val="002F7B03"/>
    <w:rsid w:val="003006D5"/>
    <w:rsid w:val="00300E94"/>
    <w:rsid w:val="00301586"/>
    <w:rsid w:val="00302215"/>
    <w:rsid w:val="00302AFD"/>
    <w:rsid w:val="00302BF4"/>
    <w:rsid w:val="003036AD"/>
    <w:rsid w:val="0030428F"/>
    <w:rsid w:val="00304572"/>
    <w:rsid w:val="0030509A"/>
    <w:rsid w:val="00305629"/>
    <w:rsid w:val="00305A04"/>
    <w:rsid w:val="00305ADC"/>
    <w:rsid w:val="00306046"/>
    <w:rsid w:val="003060F3"/>
    <w:rsid w:val="0030660B"/>
    <w:rsid w:val="00307996"/>
    <w:rsid w:val="0030799F"/>
    <w:rsid w:val="00310CFB"/>
    <w:rsid w:val="00310D5B"/>
    <w:rsid w:val="00310DA1"/>
    <w:rsid w:val="00311289"/>
    <w:rsid w:val="003112C3"/>
    <w:rsid w:val="0031145F"/>
    <w:rsid w:val="00311ADD"/>
    <w:rsid w:val="0031308F"/>
    <w:rsid w:val="00313415"/>
    <w:rsid w:val="00313A71"/>
    <w:rsid w:val="00313AFE"/>
    <w:rsid w:val="00313FD6"/>
    <w:rsid w:val="00314265"/>
    <w:rsid w:val="003149D0"/>
    <w:rsid w:val="00314E8A"/>
    <w:rsid w:val="00315588"/>
    <w:rsid w:val="00315F9A"/>
    <w:rsid w:val="003161CF"/>
    <w:rsid w:val="003166D4"/>
    <w:rsid w:val="0031706E"/>
    <w:rsid w:val="00317D9E"/>
    <w:rsid w:val="00317EBF"/>
    <w:rsid w:val="00320395"/>
    <w:rsid w:val="00320B22"/>
    <w:rsid w:val="003211FA"/>
    <w:rsid w:val="0032191E"/>
    <w:rsid w:val="003227D6"/>
    <w:rsid w:val="00323C1A"/>
    <w:rsid w:val="00323CAC"/>
    <w:rsid w:val="00323EDC"/>
    <w:rsid w:val="00324062"/>
    <w:rsid w:val="00324FD1"/>
    <w:rsid w:val="0032606A"/>
    <w:rsid w:val="0032622C"/>
    <w:rsid w:val="0032664E"/>
    <w:rsid w:val="003267EC"/>
    <w:rsid w:val="00326A80"/>
    <w:rsid w:val="0032729D"/>
    <w:rsid w:val="0032787E"/>
    <w:rsid w:val="00330DAD"/>
    <w:rsid w:val="00331676"/>
    <w:rsid w:val="0033171F"/>
    <w:rsid w:val="003326E2"/>
    <w:rsid w:val="00332BE8"/>
    <w:rsid w:val="00333279"/>
    <w:rsid w:val="00333579"/>
    <w:rsid w:val="003352DC"/>
    <w:rsid w:val="003358EA"/>
    <w:rsid w:val="00335E6D"/>
    <w:rsid w:val="00335F20"/>
    <w:rsid w:val="00336112"/>
    <w:rsid w:val="0033622E"/>
    <w:rsid w:val="00336248"/>
    <w:rsid w:val="003362A4"/>
    <w:rsid w:val="003369AC"/>
    <w:rsid w:val="00336A16"/>
    <w:rsid w:val="0033759D"/>
    <w:rsid w:val="003414D2"/>
    <w:rsid w:val="003428B8"/>
    <w:rsid w:val="00342A93"/>
    <w:rsid w:val="00343CF1"/>
    <w:rsid w:val="00344986"/>
    <w:rsid w:val="00344C32"/>
    <w:rsid w:val="0034517B"/>
    <w:rsid w:val="003451B9"/>
    <w:rsid w:val="003455FE"/>
    <w:rsid w:val="00345C0C"/>
    <w:rsid w:val="00346B98"/>
    <w:rsid w:val="003477B3"/>
    <w:rsid w:val="003500E1"/>
    <w:rsid w:val="003501DA"/>
    <w:rsid w:val="0035070B"/>
    <w:rsid w:val="00350858"/>
    <w:rsid w:val="00350945"/>
    <w:rsid w:val="00350949"/>
    <w:rsid w:val="00350A22"/>
    <w:rsid w:val="00350D75"/>
    <w:rsid w:val="00350F64"/>
    <w:rsid w:val="003512EC"/>
    <w:rsid w:val="00351805"/>
    <w:rsid w:val="003522E8"/>
    <w:rsid w:val="003525D2"/>
    <w:rsid w:val="00352F27"/>
    <w:rsid w:val="00353751"/>
    <w:rsid w:val="00353827"/>
    <w:rsid w:val="00353D86"/>
    <w:rsid w:val="00354851"/>
    <w:rsid w:val="00354AE7"/>
    <w:rsid w:val="00354CE9"/>
    <w:rsid w:val="00355772"/>
    <w:rsid w:val="00355D1F"/>
    <w:rsid w:val="00355F85"/>
    <w:rsid w:val="0035652A"/>
    <w:rsid w:val="00356756"/>
    <w:rsid w:val="00356C98"/>
    <w:rsid w:val="00356F65"/>
    <w:rsid w:val="00357B6F"/>
    <w:rsid w:val="0036055B"/>
    <w:rsid w:val="00360DBB"/>
    <w:rsid w:val="003613A3"/>
    <w:rsid w:val="00361414"/>
    <w:rsid w:val="003616AE"/>
    <w:rsid w:val="0036188F"/>
    <w:rsid w:val="003618A3"/>
    <w:rsid w:val="00361D13"/>
    <w:rsid w:val="00363589"/>
    <w:rsid w:val="003636B6"/>
    <w:rsid w:val="00365000"/>
    <w:rsid w:val="0036534A"/>
    <w:rsid w:val="003653A7"/>
    <w:rsid w:val="0036613B"/>
    <w:rsid w:val="00366904"/>
    <w:rsid w:val="00366EB6"/>
    <w:rsid w:val="003672F4"/>
    <w:rsid w:val="00367BA7"/>
    <w:rsid w:val="00370383"/>
    <w:rsid w:val="00370400"/>
    <w:rsid w:val="00370C6F"/>
    <w:rsid w:val="00370CB1"/>
    <w:rsid w:val="00371545"/>
    <w:rsid w:val="00371711"/>
    <w:rsid w:val="00371BBF"/>
    <w:rsid w:val="00371C72"/>
    <w:rsid w:val="00371CB2"/>
    <w:rsid w:val="0037212D"/>
    <w:rsid w:val="00372265"/>
    <w:rsid w:val="0037228D"/>
    <w:rsid w:val="003722CE"/>
    <w:rsid w:val="00372908"/>
    <w:rsid w:val="00373630"/>
    <w:rsid w:val="00373B9A"/>
    <w:rsid w:val="00373F45"/>
    <w:rsid w:val="003741C3"/>
    <w:rsid w:val="003756F7"/>
    <w:rsid w:val="003763C0"/>
    <w:rsid w:val="00376C34"/>
    <w:rsid w:val="00376FD4"/>
    <w:rsid w:val="00377BCA"/>
    <w:rsid w:val="00380202"/>
    <w:rsid w:val="00380900"/>
    <w:rsid w:val="00381001"/>
    <w:rsid w:val="00381026"/>
    <w:rsid w:val="00381459"/>
    <w:rsid w:val="00381481"/>
    <w:rsid w:val="00381641"/>
    <w:rsid w:val="0038197A"/>
    <w:rsid w:val="00382800"/>
    <w:rsid w:val="00383884"/>
    <w:rsid w:val="00384125"/>
    <w:rsid w:val="0038434C"/>
    <w:rsid w:val="00384839"/>
    <w:rsid w:val="0038670C"/>
    <w:rsid w:val="003908DF"/>
    <w:rsid w:val="00392469"/>
    <w:rsid w:val="003924F4"/>
    <w:rsid w:val="003929A6"/>
    <w:rsid w:val="00392D0A"/>
    <w:rsid w:val="0039432F"/>
    <w:rsid w:val="0039471F"/>
    <w:rsid w:val="00394CD6"/>
    <w:rsid w:val="00395A20"/>
    <w:rsid w:val="00397A26"/>
    <w:rsid w:val="003A1085"/>
    <w:rsid w:val="003A1348"/>
    <w:rsid w:val="003A1CB0"/>
    <w:rsid w:val="003A24D1"/>
    <w:rsid w:val="003A2A3F"/>
    <w:rsid w:val="003A318F"/>
    <w:rsid w:val="003A347A"/>
    <w:rsid w:val="003A3E80"/>
    <w:rsid w:val="003A406A"/>
    <w:rsid w:val="003A45CE"/>
    <w:rsid w:val="003A496E"/>
    <w:rsid w:val="003A4EE5"/>
    <w:rsid w:val="003A50AF"/>
    <w:rsid w:val="003A5E72"/>
    <w:rsid w:val="003A60A1"/>
    <w:rsid w:val="003A6D06"/>
    <w:rsid w:val="003A6D56"/>
    <w:rsid w:val="003A6FC3"/>
    <w:rsid w:val="003A7025"/>
    <w:rsid w:val="003A7496"/>
    <w:rsid w:val="003B0505"/>
    <w:rsid w:val="003B10CB"/>
    <w:rsid w:val="003B1143"/>
    <w:rsid w:val="003B1354"/>
    <w:rsid w:val="003B1407"/>
    <w:rsid w:val="003B1891"/>
    <w:rsid w:val="003B1EEC"/>
    <w:rsid w:val="003B28EF"/>
    <w:rsid w:val="003B32DC"/>
    <w:rsid w:val="003B34D5"/>
    <w:rsid w:val="003B4295"/>
    <w:rsid w:val="003B4E4D"/>
    <w:rsid w:val="003B639C"/>
    <w:rsid w:val="003B77D1"/>
    <w:rsid w:val="003C0360"/>
    <w:rsid w:val="003C0A07"/>
    <w:rsid w:val="003C1380"/>
    <w:rsid w:val="003C18F4"/>
    <w:rsid w:val="003C21C4"/>
    <w:rsid w:val="003C2348"/>
    <w:rsid w:val="003C296D"/>
    <w:rsid w:val="003C2BD2"/>
    <w:rsid w:val="003C350A"/>
    <w:rsid w:val="003C36E7"/>
    <w:rsid w:val="003C42CE"/>
    <w:rsid w:val="003C4317"/>
    <w:rsid w:val="003C4D16"/>
    <w:rsid w:val="003C68F3"/>
    <w:rsid w:val="003C7F23"/>
    <w:rsid w:val="003D085B"/>
    <w:rsid w:val="003D0C23"/>
    <w:rsid w:val="003D100E"/>
    <w:rsid w:val="003D168A"/>
    <w:rsid w:val="003D17BB"/>
    <w:rsid w:val="003D1B10"/>
    <w:rsid w:val="003D230B"/>
    <w:rsid w:val="003D231E"/>
    <w:rsid w:val="003D2B4A"/>
    <w:rsid w:val="003D4630"/>
    <w:rsid w:val="003D49BF"/>
    <w:rsid w:val="003D51C5"/>
    <w:rsid w:val="003D52A2"/>
    <w:rsid w:val="003D5F9D"/>
    <w:rsid w:val="003D6063"/>
    <w:rsid w:val="003D61C9"/>
    <w:rsid w:val="003D686B"/>
    <w:rsid w:val="003D6DF0"/>
    <w:rsid w:val="003D71D1"/>
    <w:rsid w:val="003D758B"/>
    <w:rsid w:val="003D768B"/>
    <w:rsid w:val="003E00B1"/>
    <w:rsid w:val="003E01EC"/>
    <w:rsid w:val="003E052E"/>
    <w:rsid w:val="003E064B"/>
    <w:rsid w:val="003E15B6"/>
    <w:rsid w:val="003E3418"/>
    <w:rsid w:val="003E3A96"/>
    <w:rsid w:val="003E3C86"/>
    <w:rsid w:val="003E4158"/>
    <w:rsid w:val="003E4353"/>
    <w:rsid w:val="003E474B"/>
    <w:rsid w:val="003E6540"/>
    <w:rsid w:val="003E664A"/>
    <w:rsid w:val="003E68ED"/>
    <w:rsid w:val="003E74F2"/>
    <w:rsid w:val="003E7546"/>
    <w:rsid w:val="003E7D5E"/>
    <w:rsid w:val="003F03E4"/>
    <w:rsid w:val="003F0809"/>
    <w:rsid w:val="003F0D4D"/>
    <w:rsid w:val="003F1465"/>
    <w:rsid w:val="003F1466"/>
    <w:rsid w:val="003F1A1E"/>
    <w:rsid w:val="003F2DA4"/>
    <w:rsid w:val="003F44D1"/>
    <w:rsid w:val="003F4CFE"/>
    <w:rsid w:val="003F59E6"/>
    <w:rsid w:val="003F70A2"/>
    <w:rsid w:val="003F70C9"/>
    <w:rsid w:val="003F7386"/>
    <w:rsid w:val="003F7AB4"/>
    <w:rsid w:val="004001B5"/>
    <w:rsid w:val="00400731"/>
    <w:rsid w:val="004008FD"/>
    <w:rsid w:val="00400B50"/>
    <w:rsid w:val="0040107C"/>
    <w:rsid w:val="00401965"/>
    <w:rsid w:val="004020F7"/>
    <w:rsid w:val="004024A3"/>
    <w:rsid w:val="0040254B"/>
    <w:rsid w:val="0040255F"/>
    <w:rsid w:val="004026A4"/>
    <w:rsid w:val="00403017"/>
    <w:rsid w:val="004032F6"/>
    <w:rsid w:val="004036B4"/>
    <w:rsid w:val="0040375E"/>
    <w:rsid w:val="004048FD"/>
    <w:rsid w:val="00404BDA"/>
    <w:rsid w:val="00404DA7"/>
    <w:rsid w:val="00405392"/>
    <w:rsid w:val="004062EB"/>
    <w:rsid w:val="004064D5"/>
    <w:rsid w:val="0040691B"/>
    <w:rsid w:val="00407645"/>
    <w:rsid w:val="00407DEC"/>
    <w:rsid w:val="00410D44"/>
    <w:rsid w:val="00410F21"/>
    <w:rsid w:val="0041166F"/>
    <w:rsid w:val="00411ED7"/>
    <w:rsid w:val="00411FE6"/>
    <w:rsid w:val="00412015"/>
    <w:rsid w:val="0041268D"/>
    <w:rsid w:val="00414CE8"/>
    <w:rsid w:val="00415AC8"/>
    <w:rsid w:val="00416281"/>
    <w:rsid w:val="004167D9"/>
    <w:rsid w:val="00416856"/>
    <w:rsid w:val="00417285"/>
    <w:rsid w:val="00417E20"/>
    <w:rsid w:val="0042011D"/>
    <w:rsid w:val="0042046C"/>
    <w:rsid w:val="00420685"/>
    <w:rsid w:val="004207AD"/>
    <w:rsid w:val="00421273"/>
    <w:rsid w:val="0042132E"/>
    <w:rsid w:val="0042217E"/>
    <w:rsid w:val="00422254"/>
    <w:rsid w:val="004223A9"/>
    <w:rsid w:val="0042252D"/>
    <w:rsid w:val="00422E88"/>
    <w:rsid w:val="00423161"/>
    <w:rsid w:val="0042425B"/>
    <w:rsid w:val="0042484D"/>
    <w:rsid w:val="00424B8A"/>
    <w:rsid w:val="00424C21"/>
    <w:rsid w:val="004255CB"/>
    <w:rsid w:val="00425ADC"/>
    <w:rsid w:val="00425E2B"/>
    <w:rsid w:val="00426AD8"/>
    <w:rsid w:val="00426BAB"/>
    <w:rsid w:val="00426C8B"/>
    <w:rsid w:val="00426E6D"/>
    <w:rsid w:val="00427708"/>
    <w:rsid w:val="00427DD4"/>
    <w:rsid w:val="004305B7"/>
    <w:rsid w:val="00430D23"/>
    <w:rsid w:val="00430D2E"/>
    <w:rsid w:val="0043104B"/>
    <w:rsid w:val="00431B3E"/>
    <w:rsid w:val="004326F8"/>
    <w:rsid w:val="0043291D"/>
    <w:rsid w:val="004333E9"/>
    <w:rsid w:val="0043368C"/>
    <w:rsid w:val="0043371F"/>
    <w:rsid w:val="00433922"/>
    <w:rsid w:val="00433D7B"/>
    <w:rsid w:val="00433F9B"/>
    <w:rsid w:val="00434072"/>
    <w:rsid w:val="004340B0"/>
    <w:rsid w:val="00434A69"/>
    <w:rsid w:val="0043531F"/>
    <w:rsid w:val="00435AC9"/>
    <w:rsid w:val="004377F3"/>
    <w:rsid w:val="004406EF"/>
    <w:rsid w:val="004407D3"/>
    <w:rsid w:val="004407F1"/>
    <w:rsid w:val="00440B9E"/>
    <w:rsid w:val="00442200"/>
    <w:rsid w:val="00442E84"/>
    <w:rsid w:val="004443FF"/>
    <w:rsid w:val="00444C11"/>
    <w:rsid w:val="0044551F"/>
    <w:rsid w:val="0044559E"/>
    <w:rsid w:val="004456F4"/>
    <w:rsid w:val="00446D95"/>
    <w:rsid w:val="0044733C"/>
    <w:rsid w:val="00447369"/>
    <w:rsid w:val="00447C4C"/>
    <w:rsid w:val="00450312"/>
    <w:rsid w:val="0045073B"/>
    <w:rsid w:val="00450FFE"/>
    <w:rsid w:val="00451CA2"/>
    <w:rsid w:val="0045214B"/>
    <w:rsid w:val="00452C04"/>
    <w:rsid w:val="00452E17"/>
    <w:rsid w:val="00452F85"/>
    <w:rsid w:val="004533F9"/>
    <w:rsid w:val="00453A1C"/>
    <w:rsid w:val="00453ADE"/>
    <w:rsid w:val="004541D7"/>
    <w:rsid w:val="0045562B"/>
    <w:rsid w:val="00455B3E"/>
    <w:rsid w:val="00455CB0"/>
    <w:rsid w:val="0045614A"/>
    <w:rsid w:val="0045655E"/>
    <w:rsid w:val="00456C9E"/>
    <w:rsid w:val="00457F21"/>
    <w:rsid w:val="00460182"/>
    <w:rsid w:val="004601BC"/>
    <w:rsid w:val="004619DA"/>
    <w:rsid w:val="00461B29"/>
    <w:rsid w:val="00461D56"/>
    <w:rsid w:val="00462220"/>
    <w:rsid w:val="004622C9"/>
    <w:rsid w:val="004622D1"/>
    <w:rsid w:val="0046268F"/>
    <w:rsid w:val="004628C0"/>
    <w:rsid w:val="00463602"/>
    <w:rsid w:val="00464B25"/>
    <w:rsid w:val="00464B79"/>
    <w:rsid w:val="004650DB"/>
    <w:rsid w:val="00465175"/>
    <w:rsid w:val="0046611E"/>
    <w:rsid w:val="00466280"/>
    <w:rsid w:val="00466F89"/>
    <w:rsid w:val="004671F9"/>
    <w:rsid w:val="00467701"/>
    <w:rsid w:val="0047028F"/>
    <w:rsid w:val="00470D65"/>
    <w:rsid w:val="00471206"/>
    <w:rsid w:val="00471C99"/>
    <w:rsid w:val="00472240"/>
    <w:rsid w:val="00472850"/>
    <w:rsid w:val="004746F1"/>
    <w:rsid w:val="0047498C"/>
    <w:rsid w:val="00474EBE"/>
    <w:rsid w:val="00474F3D"/>
    <w:rsid w:val="00475126"/>
    <w:rsid w:val="0047655C"/>
    <w:rsid w:val="004765C3"/>
    <w:rsid w:val="00476618"/>
    <w:rsid w:val="00476BD4"/>
    <w:rsid w:val="00477187"/>
    <w:rsid w:val="004775A3"/>
    <w:rsid w:val="00477955"/>
    <w:rsid w:val="00477B0D"/>
    <w:rsid w:val="00477B6A"/>
    <w:rsid w:val="00480384"/>
    <w:rsid w:val="00481535"/>
    <w:rsid w:val="004818B3"/>
    <w:rsid w:val="00482861"/>
    <w:rsid w:val="0048292D"/>
    <w:rsid w:val="00483BB3"/>
    <w:rsid w:val="00483FB0"/>
    <w:rsid w:val="00485041"/>
    <w:rsid w:val="0048565A"/>
    <w:rsid w:val="004858F0"/>
    <w:rsid w:val="00485BE9"/>
    <w:rsid w:val="00485C7F"/>
    <w:rsid w:val="004866B0"/>
    <w:rsid w:val="00486A96"/>
    <w:rsid w:val="00486B2F"/>
    <w:rsid w:val="00486CDE"/>
    <w:rsid w:val="00486CF8"/>
    <w:rsid w:val="0048747C"/>
    <w:rsid w:val="0048759E"/>
    <w:rsid w:val="0048773E"/>
    <w:rsid w:val="00487921"/>
    <w:rsid w:val="00487A23"/>
    <w:rsid w:val="00487DBF"/>
    <w:rsid w:val="0049105B"/>
    <w:rsid w:val="00491B59"/>
    <w:rsid w:val="00491B9E"/>
    <w:rsid w:val="0049200B"/>
    <w:rsid w:val="004934D7"/>
    <w:rsid w:val="00493ECE"/>
    <w:rsid w:val="00493F18"/>
    <w:rsid w:val="004943F5"/>
    <w:rsid w:val="0049493F"/>
    <w:rsid w:val="00494A98"/>
    <w:rsid w:val="00494CF9"/>
    <w:rsid w:val="0049523A"/>
    <w:rsid w:val="00495C97"/>
    <w:rsid w:val="00495F4F"/>
    <w:rsid w:val="004960DA"/>
    <w:rsid w:val="0049634E"/>
    <w:rsid w:val="00496427"/>
    <w:rsid w:val="0049653F"/>
    <w:rsid w:val="004967F8"/>
    <w:rsid w:val="00496982"/>
    <w:rsid w:val="00497006"/>
    <w:rsid w:val="004970EA"/>
    <w:rsid w:val="004A0339"/>
    <w:rsid w:val="004A0ECF"/>
    <w:rsid w:val="004A127B"/>
    <w:rsid w:val="004A1AE8"/>
    <w:rsid w:val="004A1D34"/>
    <w:rsid w:val="004A1DAA"/>
    <w:rsid w:val="004A1EFF"/>
    <w:rsid w:val="004A26A6"/>
    <w:rsid w:val="004A26B8"/>
    <w:rsid w:val="004A3823"/>
    <w:rsid w:val="004A4241"/>
    <w:rsid w:val="004A5243"/>
    <w:rsid w:val="004A579C"/>
    <w:rsid w:val="004A743E"/>
    <w:rsid w:val="004A75B2"/>
    <w:rsid w:val="004A78DB"/>
    <w:rsid w:val="004A79BC"/>
    <w:rsid w:val="004A7DA4"/>
    <w:rsid w:val="004A7F1E"/>
    <w:rsid w:val="004A7F8E"/>
    <w:rsid w:val="004B00BA"/>
    <w:rsid w:val="004B0D36"/>
    <w:rsid w:val="004B268C"/>
    <w:rsid w:val="004B2E48"/>
    <w:rsid w:val="004B37B0"/>
    <w:rsid w:val="004B3A71"/>
    <w:rsid w:val="004B41A8"/>
    <w:rsid w:val="004B4B50"/>
    <w:rsid w:val="004B574A"/>
    <w:rsid w:val="004B601E"/>
    <w:rsid w:val="004B61AC"/>
    <w:rsid w:val="004B65A3"/>
    <w:rsid w:val="004B6850"/>
    <w:rsid w:val="004B7137"/>
    <w:rsid w:val="004B7638"/>
    <w:rsid w:val="004B7C50"/>
    <w:rsid w:val="004C0799"/>
    <w:rsid w:val="004C154A"/>
    <w:rsid w:val="004C1FC6"/>
    <w:rsid w:val="004C2041"/>
    <w:rsid w:val="004C2643"/>
    <w:rsid w:val="004C2F0A"/>
    <w:rsid w:val="004C2F45"/>
    <w:rsid w:val="004C3338"/>
    <w:rsid w:val="004C47D9"/>
    <w:rsid w:val="004C490D"/>
    <w:rsid w:val="004C5009"/>
    <w:rsid w:val="004C5A83"/>
    <w:rsid w:val="004C5DE3"/>
    <w:rsid w:val="004C6509"/>
    <w:rsid w:val="004C6D0E"/>
    <w:rsid w:val="004C7D0D"/>
    <w:rsid w:val="004C7D14"/>
    <w:rsid w:val="004C7DA9"/>
    <w:rsid w:val="004D0D55"/>
    <w:rsid w:val="004D0EC7"/>
    <w:rsid w:val="004D0F62"/>
    <w:rsid w:val="004D2502"/>
    <w:rsid w:val="004D2ACE"/>
    <w:rsid w:val="004D2AEC"/>
    <w:rsid w:val="004D2BEA"/>
    <w:rsid w:val="004D2CDB"/>
    <w:rsid w:val="004D2F15"/>
    <w:rsid w:val="004D3F7A"/>
    <w:rsid w:val="004D436D"/>
    <w:rsid w:val="004D47A8"/>
    <w:rsid w:val="004D4D70"/>
    <w:rsid w:val="004D5B21"/>
    <w:rsid w:val="004D5BDA"/>
    <w:rsid w:val="004D628E"/>
    <w:rsid w:val="004D682A"/>
    <w:rsid w:val="004D69E8"/>
    <w:rsid w:val="004D7085"/>
    <w:rsid w:val="004D731E"/>
    <w:rsid w:val="004E0431"/>
    <w:rsid w:val="004E0B4A"/>
    <w:rsid w:val="004E105E"/>
    <w:rsid w:val="004E116B"/>
    <w:rsid w:val="004E21EC"/>
    <w:rsid w:val="004E2333"/>
    <w:rsid w:val="004E25EE"/>
    <w:rsid w:val="004E3724"/>
    <w:rsid w:val="004E3811"/>
    <w:rsid w:val="004E3F53"/>
    <w:rsid w:val="004E4191"/>
    <w:rsid w:val="004E4351"/>
    <w:rsid w:val="004E43AA"/>
    <w:rsid w:val="004E4608"/>
    <w:rsid w:val="004E49C9"/>
    <w:rsid w:val="004E4E50"/>
    <w:rsid w:val="004E650F"/>
    <w:rsid w:val="004E7408"/>
    <w:rsid w:val="004E7B5F"/>
    <w:rsid w:val="004F0413"/>
    <w:rsid w:val="004F0B90"/>
    <w:rsid w:val="004F0F80"/>
    <w:rsid w:val="004F1373"/>
    <w:rsid w:val="004F1A7A"/>
    <w:rsid w:val="004F26AD"/>
    <w:rsid w:val="004F2CA5"/>
    <w:rsid w:val="004F30CE"/>
    <w:rsid w:val="004F403F"/>
    <w:rsid w:val="004F4EB1"/>
    <w:rsid w:val="004F4FD7"/>
    <w:rsid w:val="004F5FED"/>
    <w:rsid w:val="004F610A"/>
    <w:rsid w:val="004F6B89"/>
    <w:rsid w:val="004F6CEC"/>
    <w:rsid w:val="004F77C3"/>
    <w:rsid w:val="004F7CEE"/>
    <w:rsid w:val="005001CD"/>
    <w:rsid w:val="005004CC"/>
    <w:rsid w:val="00500703"/>
    <w:rsid w:val="00500799"/>
    <w:rsid w:val="005008E5"/>
    <w:rsid w:val="00500A7B"/>
    <w:rsid w:val="00500A99"/>
    <w:rsid w:val="005012E4"/>
    <w:rsid w:val="00501500"/>
    <w:rsid w:val="00502525"/>
    <w:rsid w:val="00502591"/>
    <w:rsid w:val="005026D0"/>
    <w:rsid w:val="0050276A"/>
    <w:rsid w:val="00502A93"/>
    <w:rsid w:val="00503A44"/>
    <w:rsid w:val="00504277"/>
    <w:rsid w:val="005053FD"/>
    <w:rsid w:val="00505E59"/>
    <w:rsid w:val="0050771D"/>
    <w:rsid w:val="00507784"/>
    <w:rsid w:val="005077CC"/>
    <w:rsid w:val="00507D73"/>
    <w:rsid w:val="00510E5C"/>
    <w:rsid w:val="00511455"/>
    <w:rsid w:val="00511599"/>
    <w:rsid w:val="00511BD9"/>
    <w:rsid w:val="0051278B"/>
    <w:rsid w:val="00512C92"/>
    <w:rsid w:val="00512EC7"/>
    <w:rsid w:val="005136F9"/>
    <w:rsid w:val="005137F8"/>
    <w:rsid w:val="00513BCA"/>
    <w:rsid w:val="00514600"/>
    <w:rsid w:val="00514B47"/>
    <w:rsid w:val="00514E23"/>
    <w:rsid w:val="005161EE"/>
    <w:rsid w:val="005165CC"/>
    <w:rsid w:val="005169B1"/>
    <w:rsid w:val="00516B4A"/>
    <w:rsid w:val="00517318"/>
    <w:rsid w:val="0051764B"/>
    <w:rsid w:val="0052005F"/>
    <w:rsid w:val="0052054D"/>
    <w:rsid w:val="00520B31"/>
    <w:rsid w:val="00520B9A"/>
    <w:rsid w:val="00520D80"/>
    <w:rsid w:val="00521B25"/>
    <w:rsid w:val="00521B75"/>
    <w:rsid w:val="00521BFD"/>
    <w:rsid w:val="005220CB"/>
    <w:rsid w:val="005222C5"/>
    <w:rsid w:val="00522400"/>
    <w:rsid w:val="005224F9"/>
    <w:rsid w:val="00522D5A"/>
    <w:rsid w:val="0052341F"/>
    <w:rsid w:val="00523736"/>
    <w:rsid w:val="00523D53"/>
    <w:rsid w:val="00523E89"/>
    <w:rsid w:val="00524339"/>
    <w:rsid w:val="00524D5F"/>
    <w:rsid w:val="005255D6"/>
    <w:rsid w:val="005258AF"/>
    <w:rsid w:val="00525CBA"/>
    <w:rsid w:val="005262FE"/>
    <w:rsid w:val="00526D8B"/>
    <w:rsid w:val="00527459"/>
    <w:rsid w:val="00527822"/>
    <w:rsid w:val="005278F7"/>
    <w:rsid w:val="00527924"/>
    <w:rsid w:val="00527BD6"/>
    <w:rsid w:val="00527ECC"/>
    <w:rsid w:val="0053056B"/>
    <w:rsid w:val="00530A07"/>
    <w:rsid w:val="00530D6F"/>
    <w:rsid w:val="00531834"/>
    <w:rsid w:val="00531E58"/>
    <w:rsid w:val="00531F45"/>
    <w:rsid w:val="005328ED"/>
    <w:rsid w:val="00532F72"/>
    <w:rsid w:val="00533276"/>
    <w:rsid w:val="005338E5"/>
    <w:rsid w:val="00533D5E"/>
    <w:rsid w:val="0053468E"/>
    <w:rsid w:val="005348A4"/>
    <w:rsid w:val="00534B51"/>
    <w:rsid w:val="00534C37"/>
    <w:rsid w:val="00534EF6"/>
    <w:rsid w:val="00535653"/>
    <w:rsid w:val="00535AD5"/>
    <w:rsid w:val="00535CEA"/>
    <w:rsid w:val="005362BC"/>
    <w:rsid w:val="00536351"/>
    <w:rsid w:val="005364D7"/>
    <w:rsid w:val="00536F6B"/>
    <w:rsid w:val="00537752"/>
    <w:rsid w:val="005404ED"/>
    <w:rsid w:val="0054153C"/>
    <w:rsid w:val="00541F78"/>
    <w:rsid w:val="0054268F"/>
    <w:rsid w:val="00542E15"/>
    <w:rsid w:val="0054360F"/>
    <w:rsid w:val="005451CF"/>
    <w:rsid w:val="00545A46"/>
    <w:rsid w:val="00545DA9"/>
    <w:rsid w:val="00546714"/>
    <w:rsid w:val="005469A6"/>
    <w:rsid w:val="005479AB"/>
    <w:rsid w:val="00547BC2"/>
    <w:rsid w:val="00550874"/>
    <w:rsid w:val="00550E15"/>
    <w:rsid w:val="00551363"/>
    <w:rsid w:val="00551E95"/>
    <w:rsid w:val="005525BC"/>
    <w:rsid w:val="005529E6"/>
    <w:rsid w:val="00553035"/>
    <w:rsid w:val="0055311F"/>
    <w:rsid w:val="00553F13"/>
    <w:rsid w:val="00554673"/>
    <w:rsid w:val="0055541E"/>
    <w:rsid w:val="00555690"/>
    <w:rsid w:val="005556D0"/>
    <w:rsid w:val="0055593A"/>
    <w:rsid w:val="0055634F"/>
    <w:rsid w:val="0055664F"/>
    <w:rsid w:val="00556864"/>
    <w:rsid w:val="005569E0"/>
    <w:rsid w:val="00557169"/>
    <w:rsid w:val="005572DE"/>
    <w:rsid w:val="005572F3"/>
    <w:rsid w:val="005575D3"/>
    <w:rsid w:val="00557832"/>
    <w:rsid w:val="00560182"/>
    <w:rsid w:val="0056128A"/>
    <w:rsid w:val="00561358"/>
    <w:rsid w:val="00561AE3"/>
    <w:rsid w:val="005623C5"/>
    <w:rsid w:val="005640B6"/>
    <w:rsid w:val="00564B38"/>
    <w:rsid w:val="00565676"/>
    <w:rsid w:val="00565E58"/>
    <w:rsid w:val="00566FF2"/>
    <w:rsid w:val="005679E4"/>
    <w:rsid w:val="00571169"/>
    <w:rsid w:val="00572852"/>
    <w:rsid w:val="00572E04"/>
    <w:rsid w:val="005730D1"/>
    <w:rsid w:val="00573CA5"/>
    <w:rsid w:val="005748B1"/>
    <w:rsid w:val="00574AE0"/>
    <w:rsid w:val="00574AE5"/>
    <w:rsid w:val="00574C60"/>
    <w:rsid w:val="0057552E"/>
    <w:rsid w:val="005761BE"/>
    <w:rsid w:val="0057735C"/>
    <w:rsid w:val="0058018B"/>
    <w:rsid w:val="00580761"/>
    <w:rsid w:val="00580B0C"/>
    <w:rsid w:val="00580D3D"/>
    <w:rsid w:val="00580DF7"/>
    <w:rsid w:val="00580E5E"/>
    <w:rsid w:val="0058156E"/>
    <w:rsid w:val="00581C78"/>
    <w:rsid w:val="005822D4"/>
    <w:rsid w:val="00582B50"/>
    <w:rsid w:val="00583651"/>
    <w:rsid w:val="00584DCF"/>
    <w:rsid w:val="00584EBE"/>
    <w:rsid w:val="005851BA"/>
    <w:rsid w:val="005861D3"/>
    <w:rsid w:val="0058657A"/>
    <w:rsid w:val="005866E6"/>
    <w:rsid w:val="0058690C"/>
    <w:rsid w:val="00586ADB"/>
    <w:rsid w:val="00586C44"/>
    <w:rsid w:val="0058720F"/>
    <w:rsid w:val="00587210"/>
    <w:rsid w:val="005872CD"/>
    <w:rsid w:val="00587581"/>
    <w:rsid w:val="0058782E"/>
    <w:rsid w:val="00587894"/>
    <w:rsid w:val="00587FFA"/>
    <w:rsid w:val="0059007E"/>
    <w:rsid w:val="00590635"/>
    <w:rsid w:val="0059097A"/>
    <w:rsid w:val="005913BD"/>
    <w:rsid w:val="00592252"/>
    <w:rsid w:val="00592463"/>
    <w:rsid w:val="0059271E"/>
    <w:rsid w:val="005929FB"/>
    <w:rsid w:val="00592FDB"/>
    <w:rsid w:val="00593926"/>
    <w:rsid w:val="00593B09"/>
    <w:rsid w:val="00593B2B"/>
    <w:rsid w:val="00593F61"/>
    <w:rsid w:val="00593FCC"/>
    <w:rsid w:val="00594F85"/>
    <w:rsid w:val="005962E4"/>
    <w:rsid w:val="005966F3"/>
    <w:rsid w:val="00597192"/>
    <w:rsid w:val="00597BAC"/>
    <w:rsid w:val="00597D75"/>
    <w:rsid w:val="00597FEF"/>
    <w:rsid w:val="005A0383"/>
    <w:rsid w:val="005A060D"/>
    <w:rsid w:val="005A0811"/>
    <w:rsid w:val="005A0D3C"/>
    <w:rsid w:val="005A0ED9"/>
    <w:rsid w:val="005A1409"/>
    <w:rsid w:val="005A1574"/>
    <w:rsid w:val="005A1BC5"/>
    <w:rsid w:val="005A2B40"/>
    <w:rsid w:val="005A2CC6"/>
    <w:rsid w:val="005A3331"/>
    <w:rsid w:val="005A3FA4"/>
    <w:rsid w:val="005A45A7"/>
    <w:rsid w:val="005A4B13"/>
    <w:rsid w:val="005A50E2"/>
    <w:rsid w:val="005A5833"/>
    <w:rsid w:val="005A58C6"/>
    <w:rsid w:val="005A5EE3"/>
    <w:rsid w:val="005A68EF"/>
    <w:rsid w:val="005A6970"/>
    <w:rsid w:val="005A6BBE"/>
    <w:rsid w:val="005A6FCB"/>
    <w:rsid w:val="005A7060"/>
    <w:rsid w:val="005A7239"/>
    <w:rsid w:val="005A78FF"/>
    <w:rsid w:val="005B02BF"/>
    <w:rsid w:val="005B0B5B"/>
    <w:rsid w:val="005B0D6B"/>
    <w:rsid w:val="005B27B0"/>
    <w:rsid w:val="005B2A38"/>
    <w:rsid w:val="005B2AD5"/>
    <w:rsid w:val="005B34C0"/>
    <w:rsid w:val="005B4A48"/>
    <w:rsid w:val="005B6BE9"/>
    <w:rsid w:val="005B73C4"/>
    <w:rsid w:val="005B7CEF"/>
    <w:rsid w:val="005B7EDA"/>
    <w:rsid w:val="005C0606"/>
    <w:rsid w:val="005C102D"/>
    <w:rsid w:val="005C19E7"/>
    <w:rsid w:val="005C228E"/>
    <w:rsid w:val="005C25A4"/>
    <w:rsid w:val="005C274C"/>
    <w:rsid w:val="005C2F08"/>
    <w:rsid w:val="005C326F"/>
    <w:rsid w:val="005C3CAB"/>
    <w:rsid w:val="005C49FF"/>
    <w:rsid w:val="005C529A"/>
    <w:rsid w:val="005C5AF7"/>
    <w:rsid w:val="005C630F"/>
    <w:rsid w:val="005C646C"/>
    <w:rsid w:val="005C692D"/>
    <w:rsid w:val="005C6E2A"/>
    <w:rsid w:val="005C7C75"/>
    <w:rsid w:val="005C7FC5"/>
    <w:rsid w:val="005D1116"/>
    <w:rsid w:val="005D16E5"/>
    <w:rsid w:val="005D1D97"/>
    <w:rsid w:val="005D22FF"/>
    <w:rsid w:val="005D26E0"/>
    <w:rsid w:val="005D42E8"/>
    <w:rsid w:val="005D4603"/>
    <w:rsid w:val="005D498F"/>
    <w:rsid w:val="005D4CF7"/>
    <w:rsid w:val="005D4FED"/>
    <w:rsid w:val="005D5982"/>
    <w:rsid w:val="005D5984"/>
    <w:rsid w:val="005D5AB7"/>
    <w:rsid w:val="005D7A25"/>
    <w:rsid w:val="005D7FFD"/>
    <w:rsid w:val="005E222F"/>
    <w:rsid w:val="005E22B7"/>
    <w:rsid w:val="005E27B9"/>
    <w:rsid w:val="005E3393"/>
    <w:rsid w:val="005E371C"/>
    <w:rsid w:val="005E3E7F"/>
    <w:rsid w:val="005E43A4"/>
    <w:rsid w:val="005E6635"/>
    <w:rsid w:val="005E6A95"/>
    <w:rsid w:val="005E76FD"/>
    <w:rsid w:val="005E7A6F"/>
    <w:rsid w:val="005E7E62"/>
    <w:rsid w:val="005F0D5D"/>
    <w:rsid w:val="005F1187"/>
    <w:rsid w:val="005F1836"/>
    <w:rsid w:val="005F2051"/>
    <w:rsid w:val="005F2351"/>
    <w:rsid w:val="005F24F1"/>
    <w:rsid w:val="005F24FD"/>
    <w:rsid w:val="005F33D0"/>
    <w:rsid w:val="005F3DAD"/>
    <w:rsid w:val="005F4EBB"/>
    <w:rsid w:val="005F5915"/>
    <w:rsid w:val="005F5975"/>
    <w:rsid w:val="005F5C78"/>
    <w:rsid w:val="005F6162"/>
    <w:rsid w:val="005F6636"/>
    <w:rsid w:val="005F6B7A"/>
    <w:rsid w:val="005F6C24"/>
    <w:rsid w:val="005F7C9C"/>
    <w:rsid w:val="00600B81"/>
    <w:rsid w:val="00600DB2"/>
    <w:rsid w:val="0060190A"/>
    <w:rsid w:val="006020E1"/>
    <w:rsid w:val="00602671"/>
    <w:rsid w:val="006026B1"/>
    <w:rsid w:val="0060353D"/>
    <w:rsid w:val="0060361F"/>
    <w:rsid w:val="00603B76"/>
    <w:rsid w:val="006042B0"/>
    <w:rsid w:val="006046DF"/>
    <w:rsid w:val="00604C36"/>
    <w:rsid w:val="00605442"/>
    <w:rsid w:val="006059B9"/>
    <w:rsid w:val="0060617F"/>
    <w:rsid w:val="00606219"/>
    <w:rsid w:val="00606256"/>
    <w:rsid w:val="00606321"/>
    <w:rsid w:val="00606C86"/>
    <w:rsid w:val="00607051"/>
    <w:rsid w:val="006075B0"/>
    <w:rsid w:val="00607D8B"/>
    <w:rsid w:val="00607E8C"/>
    <w:rsid w:val="00610100"/>
    <w:rsid w:val="0061071F"/>
    <w:rsid w:val="00611397"/>
    <w:rsid w:val="0061164B"/>
    <w:rsid w:val="00611794"/>
    <w:rsid w:val="00611B49"/>
    <w:rsid w:val="00612797"/>
    <w:rsid w:val="006131B3"/>
    <w:rsid w:val="006134F3"/>
    <w:rsid w:val="00613590"/>
    <w:rsid w:val="00614175"/>
    <w:rsid w:val="0061529F"/>
    <w:rsid w:val="00615AF4"/>
    <w:rsid w:val="00615B30"/>
    <w:rsid w:val="00617170"/>
    <w:rsid w:val="00617181"/>
    <w:rsid w:val="0061781A"/>
    <w:rsid w:val="00617B42"/>
    <w:rsid w:val="00617FFE"/>
    <w:rsid w:val="00620A0F"/>
    <w:rsid w:val="00620B88"/>
    <w:rsid w:val="00621454"/>
    <w:rsid w:val="006214F4"/>
    <w:rsid w:val="00621597"/>
    <w:rsid w:val="0062190C"/>
    <w:rsid w:val="00621BF3"/>
    <w:rsid w:val="0062329D"/>
    <w:rsid w:val="006232B8"/>
    <w:rsid w:val="00623D75"/>
    <w:rsid w:val="00624392"/>
    <w:rsid w:val="00624DF5"/>
    <w:rsid w:val="00627400"/>
    <w:rsid w:val="00627674"/>
    <w:rsid w:val="00627B61"/>
    <w:rsid w:val="006304AC"/>
    <w:rsid w:val="00630993"/>
    <w:rsid w:val="00630A04"/>
    <w:rsid w:val="00631838"/>
    <w:rsid w:val="00631C7C"/>
    <w:rsid w:val="00632209"/>
    <w:rsid w:val="0063246D"/>
    <w:rsid w:val="00632971"/>
    <w:rsid w:val="00632B96"/>
    <w:rsid w:val="00632CEE"/>
    <w:rsid w:val="0063529C"/>
    <w:rsid w:val="00635643"/>
    <w:rsid w:val="00635AB3"/>
    <w:rsid w:val="00635BD5"/>
    <w:rsid w:val="00636A5A"/>
    <w:rsid w:val="00636E64"/>
    <w:rsid w:val="0063717D"/>
    <w:rsid w:val="006402FF"/>
    <w:rsid w:val="006410FC"/>
    <w:rsid w:val="0064113B"/>
    <w:rsid w:val="00641429"/>
    <w:rsid w:val="00641CBB"/>
    <w:rsid w:val="00642B6A"/>
    <w:rsid w:val="006437A9"/>
    <w:rsid w:val="006437C8"/>
    <w:rsid w:val="00643B33"/>
    <w:rsid w:val="00643C1E"/>
    <w:rsid w:val="006451A3"/>
    <w:rsid w:val="00645A2E"/>
    <w:rsid w:val="00645D3B"/>
    <w:rsid w:val="00645F6E"/>
    <w:rsid w:val="00646DD2"/>
    <w:rsid w:val="00647B38"/>
    <w:rsid w:val="00647F9F"/>
    <w:rsid w:val="00650056"/>
    <w:rsid w:val="00650BD0"/>
    <w:rsid w:val="0065111C"/>
    <w:rsid w:val="006511CF"/>
    <w:rsid w:val="006517EE"/>
    <w:rsid w:val="00651929"/>
    <w:rsid w:val="00651C13"/>
    <w:rsid w:val="006521E9"/>
    <w:rsid w:val="00652BBD"/>
    <w:rsid w:val="00652E34"/>
    <w:rsid w:val="00653232"/>
    <w:rsid w:val="00653B05"/>
    <w:rsid w:val="006548CF"/>
    <w:rsid w:val="00654B5A"/>
    <w:rsid w:val="00655735"/>
    <w:rsid w:val="006559C6"/>
    <w:rsid w:val="00656140"/>
    <w:rsid w:val="0065621F"/>
    <w:rsid w:val="0065653C"/>
    <w:rsid w:val="00656E0F"/>
    <w:rsid w:val="00657234"/>
    <w:rsid w:val="006576F9"/>
    <w:rsid w:val="00657852"/>
    <w:rsid w:val="00657962"/>
    <w:rsid w:val="006579D8"/>
    <w:rsid w:val="00660735"/>
    <w:rsid w:val="0066082C"/>
    <w:rsid w:val="00660DF6"/>
    <w:rsid w:val="006618EE"/>
    <w:rsid w:val="006621CC"/>
    <w:rsid w:val="0066285D"/>
    <w:rsid w:val="006641F9"/>
    <w:rsid w:val="006649F7"/>
    <w:rsid w:val="006652CA"/>
    <w:rsid w:val="00665588"/>
    <w:rsid w:val="00665B46"/>
    <w:rsid w:val="00666386"/>
    <w:rsid w:val="00666AE1"/>
    <w:rsid w:val="006671DA"/>
    <w:rsid w:val="006675A2"/>
    <w:rsid w:val="006675F2"/>
    <w:rsid w:val="00667E02"/>
    <w:rsid w:val="00670149"/>
    <w:rsid w:val="006706D3"/>
    <w:rsid w:val="006707FE"/>
    <w:rsid w:val="00671354"/>
    <w:rsid w:val="00671B33"/>
    <w:rsid w:val="00671B7E"/>
    <w:rsid w:val="00672F26"/>
    <w:rsid w:val="00673B1B"/>
    <w:rsid w:val="00674B26"/>
    <w:rsid w:val="00674CBB"/>
    <w:rsid w:val="006752EC"/>
    <w:rsid w:val="00675E63"/>
    <w:rsid w:val="00676357"/>
    <w:rsid w:val="00676410"/>
    <w:rsid w:val="00676767"/>
    <w:rsid w:val="00676EE3"/>
    <w:rsid w:val="006772B7"/>
    <w:rsid w:val="006776D5"/>
    <w:rsid w:val="00677A0E"/>
    <w:rsid w:val="0068037D"/>
    <w:rsid w:val="00680907"/>
    <w:rsid w:val="00680AA8"/>
    <w:rsid w:val="00680C61"/>
    <w:rsid w:val="00681409"/>
    <w:rsid w:val="006816D1"/>
    <w:rsid w:val="00681791"/>
    <w:rsid w:val="00681C65"/>
    <w:rsid w:val="00682182"/>
    <w:rsid w:val="006824DA"/>
    <w:rsid w:val="0068295D"/>
    <w:rsid w:val="00683297"/>
    <w:rsid w:val="006835B2"/>
    <w:rsid w:val="006836B4"/>
    <w:rsid w:val="00683EDA"/>
    <w:rsid w:val="0068405E"/>
    <w:rsid w:val="006841FB"/>
    <w:rsid w:val="0068441D"/>
    <w:rsid w:val="00684B63"/>
    <w:rsid w:val="00686568"/>
    <w:rsid w:val="00686836"/>
    <w:rsid w:val="00686C24"/>
    <w:rsid w:val="0068757C"/>
    <w:rsid w:val="00687F43"/>
    <w:rsid w:val="00690612"/>
    <w:rsid w:val="00690787"/>
    <w:rsid w:val="00691677"/>
    <w:rsid w:val="00691B12"/>
    <w:rsid w:val="006921DD"/>
    <w:rsid w:val="00692486"/>
    <w:rsid w:val="00692666"/>
    <w:rsid w:val="00693233"/>
    <w:rsid w:val="006938E8"/>
    <w:rsid w:val="00693CF7"/>
    <w:rsid w:val="00693F86"/>
    <w:rsid w:val="006942A6"/>
    <w:rsid w:val="00694AA1"/>
    <w:rsid w:val="006956F7"/>
    <w:rsid w:val="00695E20"/>
    <w:rsid w:val="00696097"/>
    <w:rsid w:val="00696EC8"/>
    <w:rsid w:val="0069704C"/>
    <w:rsid w:val="00697735"/>
    <w:rsid w:val="00697A4C"/>
    <w:rsid w:val="00697E58"/>
    <w:rsid w:val="006A0C9B"/>
    <w:rsid w:val="006A0CA6"/>
    <w:rsid w:val="006A0EC1"/>
    <w:rsid w:val="006A13B6"/>
    <w:rsid w:val="006A19B9"/>
    <w:rsid w:val="006A1EC1"/>
    <w:rsid w:val="006A291D"/>
    <w:rsid w:val="006A2B05"/>
    <w:rsid w:val="006A3437"/>
    <w:rsid w:val="006A3528"/>
    <w:rsid w:val="006A3716"/>
    <w:rsid w:val="006A3AE2"/>
    <w:rsid w:val="006A3BEB"/>
    <w:rsid w:val="006A4F5F"/>
    <w:rsid w:val="006A51D2"/>
    <w:rsid w:val="006A56A2"/>
    <w:rsid w:val="006A5A04"/>
    <w:rsid w:val="006A5BA4"/>
    <w:rsid w:val="006A5F04"/>
    <w:rsid w:val="006A630B"/>
    <w:rsid w:val="006A6AEC"/>
    <w:rsid w:val="006A7B2D"/>
    <w:rsid w:val="006A7B31"/>
    <w:rsid w:val="006B111F"/>
    <w:rsid w:val="006B11C4"/>
    <w:rsid w:val="006B1A4D"/>
    <w:rsid w:val="006B1BAE"/>
    <w:rsid w:val="006B25DE"/>
    <w:rsid w:val="006B2BDF"/>
    <w:rsid w:val="006B39B2"/>
    <w:rsid w:val="006B3C6F"/>
    <w:rsid w:val="006B4038"/>
    <w:rsid w:val="006B4967"/>
    <w:rsid w:val="006B5555"/>
    <w:rsid w:val="006B57F7"/>
    <w:rsid w:val="006B5963"/>
    <w:rsid w:val="006B5BDE"/>
    <w:rsid w:val="006B7420"/>
    <w:rsid w:val="006B7E0E"/>
    <w:rsid w:val="006B7FC3"/>
    <w:rsid w:val="006C0371"/>
    <w:rsid w:val="006C054C"/>
    <w:rsid w:val="006C05E3"/>
    <w:rsid w:val="006C10A1"/>
    <w:rsid w:val="006C15E9"/>
    <w:rsid w:val="006C18A8"/>
    <w:rsid w:val="006C2415"/>
    <w:rsid w:val="006C2433"/>
    <w:rsid w:val="006C2BD0"/>
    <w:rsid w:val="006C2F49"/>
    <w:rsid w:val="006C3050"/>
    <w:rsid w:val="006C3919"/>
    <w:rsid w:val="006C40DF"/>
    <w:rsid w:val="006C46A0"/>
    <w:rsid w:val="006C6117"/>
    <w:rsid w:val="006C6FD3"/>
    <w:rsid w:val="006C7DDB"/>
    <w:rsid w:val="006D0190"/>
    <w:rsid w:val="006D0FA9"/>
    <w:rsid w:val="006D13E6"/>
    <w:rsid w:val="006D1BDB"/>
    <w:rsid w:val="006D2F42"/>
    <w:rsid w:val="006D3E19"/>
    <w:rsid w:val="006D42F1"/>
    <w:rsid w:val="006D485F"/>
    <w:rsid w:val="006D49BC"/>
    <w:rsid w:val="006D504C"/>
    <w:rsid w:val="006D5448"/>
    <w:rsid w:val="006D5E83"/>
    <w:rsid w:val="006D6ABB"/>
    <w:rsid w:val="006D6B83"/>
    <w:rsid w:val="006D7A85"/>
    <w:rsid w:val="006D7A91"/>
    <w:rsid w:val="006D7C7E"/>
    <w:rsid w:val="006E1000"/>
    <w:rsid w:val="006E173D"/>
    <w:rsid w:val="006E1B89"/>
    <w:rsid w:val="006E1F8C"/>
    <w:rsid w:val="006E243F"/>
    <w:rsid w:val="006E28BF"/>
    <w:rsid w:val="006E2FF3"/>
    <w:rsid w:val="006E3113"/>
    <w:rsid w:val="006E4761"/>
    <w:rsid w:val="006E4D7A"/>
    <w:rsid w:val="006E4E8E"/>
    <w:rsid w:val="006E4F55"/>
    <w:rsid w:val="006E4F5A"/>
    <w:rsid w:val="006E500A"/>
    <w:rsid w:val="006E5273"/>
    <w:rsid w:val="006E61CA"/>
    <w:rsid w:val="006E6931"/>
    <w:rsid w:val="006E6951"/>
    <w:rsid w:val="006E7688"/>
    <w:rsid w:val="006E79ED"/>
    <w:rsid w:val="006E7A7B"/>
    <w:rsid w:val="006F18F7"/>
    <w:rsid w:val="006F18FE"/>
    <w:rsid w:val="006F26EA"/>
    <w:rsid w:val="006F32D2"/>
    <w:rsid w:val="006F42B9"/>
    <w:rsid w:val="006F4CEF"/>
    <w:rsid w:val="006F5335"/>
    <w:rsid w:val="006F5BB0"/>
    <w:rsid w:val="006F6F2C"/>
    <w:rsid w:val="00700185"/>
    <w:rsid w:val="007001E2"/>
    <w:rsid w:val="007003C6"/>
    <w:rsid w:val="00700443"/>
    <w:rsid w:val="0070052E"/>
    <w:rsid w:val="0070080C"/>
    <w:rsid w:val="00700F26"/>
    <w:rsid w:val="0070122B"/>
    <w:rsid w:val="0070140A"/>
    <w:rsid w:val="00702549"/>
    <w:rsid w:val="007030AE"/>
    <w:rsid w:val="007030E9"/>
    <w:rsid w:val="007039B2"/>
    <w:rsid w:val="007050B2"/>
    <w:rsid w:val="00705162"/>
    <w:rsid w:val="007059DD"/>
    <w:rsid w:val="00705D91"/>
    <w:rsid w:val="00705E68"/>
    <w:rsid w:val="00706640"/>
    <w:rsid w:val="007079F2"/>
    <w:rsid w:val="00710380"/>
    <w:rsid w:val="00710A43"/>
    <w:rsid w:val="00710F92"/>
    <w:rsid w:val="0071186A"/>
    <w:rsid w:val="007129C7"/>
    <w:rsid w:val="00712B66"/>
    <w:rsid w:val="00712F31"/>
    <w:rsid w:val="00712F6E"/>
    <w:rsid w:val="00713A91"/>
    <w:rsid w:val="00714C5E"/>
    <w:rsid w:val="00714E6C"/>
    <w:rsid w:val="00715431"/>
    <w:rsid w:val="00715A2E"/>
    <w:rsid w:val="00715E6A"/>
    <w:rsid w:val="00716E5C"/>
    <w:rsid w:val="007170C0"/>
    <w:rsid w:val="00717328"/>
    <w:rsid w:val="00717464"/>
    <w:rsid w:val="00717628"/>
    <w:rsid w:val="007177A8"/>
    <w:rsid w:val="00717A58"/>
    <w:rsid w:val="00717F04"/>
    <w:rsid w:val="007200EC"/>
    <w:rsid w:val="0072089B"/>
    <w:rsid w:val="00720CB6"/>
    <w:rsid w:val="00721585"/>
    <w:rsid w:val="0072212D"/>
    <w:rsid w:val="00722765"/>
    <w:rsid w:val="00722AAE"/>
    <w:rsid w:val="00722C7A"/>
    <w:rsid w:val="007246B8"/>
    <w:rsid w:val="00724782"/>
    <w:rsid w:val="007249E1"/>
    <w:rsid w:val="00725441"/>
    <w:rsid w:val="007254FB"/>
    <w:rsid w:val="007263C6"/>
    <w:rsid w:val="0072683A"/>
    <w:rsid w:val="00726A6F"/>
    <w:rsid w:val="00727364"/>
    <w:rsid w:val="00727797"/>
    <w:rsid w:val="007300BD"/>
    <w:rsid w:val="007308E6"/>
    <w:rsid w:val="007310EC"/>
    <w:rsid w:val="007319D7"/>
    <w:rsid w:val="00731B11"/>
    <w:rsid w:val="00732644"/>
    <w:rsid w:val="007326C3"/>
    <w:rsid w:val="0073328C"/>
    <w:rsid w:val="00733875"/>
    <w:rsid w:val="007341C7"/>
    <w:rsid w:val="007343D6"/>
    <w:rsid w:val="00734616"/>
    <w:rsid w:val="00734C27"/>
    <w:rsid w:val="007360A6"/>
    <w:rsid w:val="00736177"/>
    <w:rsid w:val="00736D97"/>
    <w:rsid w:val="007371A9"/>
    <w:rsid w:val="007375E0"/>
    <w:rsid w:val="0073782A"/>
    <w:rsid w:val="0074011A"/>
    <w:rsid w:val="007411E9"/>
    <w:rsid w:val="00741CDE"/>
    <w:rsid w:val="00741F82"/>
    <w:rsid w:val="007429FD"/>
    <w:rsid w:val="007437CC"/>
    <w:rsid w:val="00743D80"/>
    <w:rsid w:val="0074462D"/>
    <w:rsid w:val="00744C7D"/>
    <w:rsid w:val="0074533E"/>
    <w:rsid w:val="00745BE4"/>
    <w:rsid w:val="00745D39"/>
    <w:rsid w:val="0074619A"/>
    <w:rsid w:val="007461F7"/>
    <w:rsid w:val="00746301"/>
    <w:rsid w:val="007463DD"/>
    <w:rsid w:val="0074719F"/>
    <w:rsid w:val="00747543"/>
    <w:rsid w:val="007475B0"/>
    <w:rsid w:val="0074763E"/>
    <w:rsid w:val="00747829"/>
    <w:rsid w:val="00750410"/>
    <w:rsid w:val="0075099F"/>
    <w:rsid w:val="00750D92"/>
    <w:rsid w:val="0075205E"/>
    <w:rsid w:val="007521A8"/>
    <w:rsid w:val="0075298F"/>
    <w:rsid w:val="00753C43"/>
    <w:rsid w:val="00753FF3"/>
    <w:rsid w:val="0075469A"/>
    <w:rsid w:val="00754CB5"/>
    <w:rsid w:val="007557A1"/>
    <w:rsid w:val="00755A33"/>
    <w:rsid w:val="00756955"/>
    <w:rsid w:val="00756D48"/>
    <w:rsid w:val="00756E18"/>
    <w:rsid w:val="00757460"/>
    <w:rsid w:val="007575FE"/>
    <w:rsid w:val="00757A2C"/>
    <w:rsid w:val="0076114B"/>
    <w:rsid w:val="0076132A"/>
    <w:rsid w:val="00761B0B"/>
    <w:rsid w:val="007621FD"/>
    <w:rsid w:val="007626F6"/>
    <w:rsid w:val="00762934"/>
    <w:rsid w:val="007632D6"/>
    <w:rsid w:val="0076340A"/>
    <w:rsid w:val="00763A6F"/>
    <w:rsid w:val="00763F0B"/>
    <w:rsid w:val="0076503F"/>
    <w:rsid w:val="00765374"/>
    <w:rsid w:val="00765827"/>
    <w:rsid w:val="00765857"/>
    <w:rsid w:val="00765899"/>
    <w:rsid w:val="00765A0F"/>
    <w:rsid w:val="00765C43"/>
    <w:rsid w:val="007661D5"/>
    <w:rsid w:val="00766A3B"/>
    <w:rsid w:val="0076720A"/>
    <w:rsid w:val="007708A3"/>
    <w:rsid w:val="007709EF"/>
    <w:rsid w:val="00770B72"/>
    <w:rsid w:val="00772DFB"/>
    <w:rsid w:val="00773221"/>
    <w:rsid w:val="00773474"/>
    <w:rsid w:val="0077360A"/>
    <w:rsid w:val="0077388E"/>
    <w:rsid w:val="00773C7B"/>
    <w:rsid w:val="00773E5B"/>
    <w:rsid w:val="00773F1E"/>
    <w:rsid w:val="007740D0"/>
    <w:rsid w:val="00774156"/>
    <w:rsid w:val="00774706"/>
    <w:rsid w:val="0077503D"/>
    <w:rsid w:val="0077532F"/>
    <w:rsid w:val="00775394"/>
    <w:rsid w:val="007755DC"/>
    <w:rsid w:val="007757AB"/>
    <w:rsid w:val="00775B43"/>
    <w:rsid w:val="00775E98"/>
    <w:rsid w:val="0077637D"/>
    <w:rsid w:val="00776490"/>
    <w:rsid w:val="00777DED"/>
    <w:rsid w:val="00777E2F"/>
    <w:rsid w:val="00780131"/>
    <w:rsid w:val="007802F1"/>
    <w:rsid w:val="0078075B"/>
    <w:rsid w:val="007808C9"/>
    <w:rsid w:val="00780A89"/>
    <w:rsid w:val="00780BDE"/>
    <w:rsid w:val="00780CE4"/>
    <w:rsid w:val="00781BF7"/>
    <w:rsid w:val="00782130"/>
    <w:rsid w:val="007824FB"/>
    <w:rsid w:val="00782671"/>
    <w:rsid w:val="00782ED3"/>
    <w:rsid w:val="007837EA"/>
    <w:rsid w:val="00783888"/>
    <w:rsid w:val="00783E87"/>
    <w:rsid w:val="007841D3"/>
    <w:rsid w:val="00784CFF"/>
    <w:rsid w:val="00784EF0"/>
    <w:rsid w:val="007853D9"/>
    <w:rsid w:val="007853ED"/>
    <w:rsid w:val="0078600F"/>
    <w:rsid w:val="007868FA"/>
    <w:rsid w:val="00786A5D"/>
    <w:rsid w:val="0078739B"/>
    <w:rsid w:val="00787584"/>
    <w:rsid w:val="00787FF6"/>
    <w:rsid w:val="00790026"/>
    <w:rsid w:val="0079022E"/>
    <w:rsid w:val="00790549"/>
    <w:rsid w:val="00790B7D"/>
    <w:rsid w:val="00791384"/>
    <w:rsid w:val="007913AD"/>
    <w:rsid w:val="007913E2"/>
    <w:rsid w:val="00791666"/>
    <w:rsid w:val="0079279B"/>
    <w:rsid w:val="00792902"/>
    <w:rsid w:val="007929BF"/>
    <w:rsid w:val="00793B07"/>
    <w:rsid w:val="00793BE8"/>
    <w:rsid w:val="007957C0"/>
    <w:rsid w:val="007959F7"/>
    <w:rsid w:val="00795A6C"/>
    <w:rsid w:val="007962B1"/>
    <w:rsid w:val="00797370"/>
    <w:rsid w:val="007976A0"/>
    <w:rsid w:val="00797A23"/>
    <w:rsid w:val="00797E8D"/>
    <w:rsid w:val="007A039F"/>
    <w:rsid w:val="007A0617"/>
    <w:rsid w:val="007A0E7E"/>
    <w:rsid w:val="007A1620"/>
    <w:rsid w:val="007A22A0"/>
    <w:rsid w:val="007A24DE"/>
    <w:rsid w:val="007A268C"/>
    <w:rsid w:val="007A271C"/>
    <w:rsid w:val="007A284A"/>
    <w:rsid w:val="007A2E9C"/>
    <w:rsid w:val="007A30DB"/>
    <w:rsid w:val="007A3E1E"/>
    <w:rsid w:val="007A4DA6"/>
    <w:rsid w:val="007A5468"/>
    <w:rsid w:val="007A606E"/>
    <w:rsid w:val="007A6577"/>
    <w:rsid w:val="007A68E1"/>
    <w:rsid w:val="007A7E73"/>
    <w:rsid w:val="007B05F3"/>
    <w:rsid w:val="007B0A1C"/>
    <w:rsid w:val="007B0CF7"/>
    <w:rsid w:val="007B230E"/>
    <w:rsid w:val="007B260E"/>
    <w:rsid w:val="007B270B"/>
    <w:rsid w:val="007B2B72"/>
    <w:rsid w:val="007B3185"/>
    <w:rsid w:val="007B31B9"/>
    <w:rsid w:val="007B39D3"/>
    <w:rsid w:val="007B3A13"/>
    <w:rsid w:val="007B462E"/>
    <w:rsid w:val="007B48C2"/>
    <w:rsid w:val="007B4D20"/>
    <w:rsid w:val="007B5A0F"/>
    <w:rsid w:val="007B5B63"/>
    <w:rsid w:val="007B5DCE"/>
    <w:rsid w:val="007B6E13"/>
    <w:rsid w:val="007B6E3A"/>
    <w:rsid w:val="007B7812"/>
    <w:rsid w:val="007B7A71"/>
    <w:rsid w:val="007B7D1A"/>
    <w:rsid w:val="007C0102"/>
    <w:rsid w:val="007C0E67"/>
    <w:rsid w:val="007C16A8"/>
    <w:rsid w:val="007C1832"/>
    <w:rsid w:val="007C1A84"/>
    <w:rsid w:val="007C1F46"/>
    <w:rsid w:val="007C2171"/>
    <w:rsid w:val="007C22DD"/>
    <w:rsid w:val="007C36E7"/>
    <w:rsid w:val="007C46E8"/>
    <w:rsid w:val="007C4CFE"/>
    <w:rsid w:val="007C4EB7"/>
    <w:rsid w:val="007C5701"/>
    <w:rsid w:val="007C6631"/>
    <w:rsid w:val="007C68A2"/>
    <w:rsid w:val="007C6E93"/>
    <w:rsid w:val="007C6EF5"/>
    <w:rsid w:val="007C7112"/>
    <w:rsid w:val="007D02A0"/>
    <w:rsid w:val="007D077A"/>
    <w:rsid w:val="007D0896"/>
    <w:rsid w:val="007D19EF"/>
    <w:rsid w:val="007D1EE3"/>
    <w:rsid w:val="007D2DBA"/>
    <w:rsid w:val="007D4296"/>
    <w:rsid w:val="007D43C3"/>
    <w:rsid w:val="007D4516"/>
    <w:rsid w:val="007D46ED"/>
    <w:rsid w:val="007D4CEA"/>
    <w:rsid w:val="007D5C2A"/>
    <w:rsid w:val="007D604A"/>
    <w:rsid w:val="007D60D8"/>
    <w:rsid w:val="007D6852"/>
    <w:rsid w:val="007D68B9"/>
    <w:rsid w:val="007D6D4F"/>
    <w:rsid w:val="007D7026"/>
    <w:rsid w:val="007D76B8"/>
    <w:rsid w:val="007E057F"/>
    <w:rsid w:val="007E05CD"/>
    <w:rsid w:val="007E0C59"/>
    <w:rsid w:val="007E1251"/>
    <w:rsid w:val="007E131B"/>
    <w:rsid w:val="007E1B88"/>
    <w:rsid w:val="007E21C7"/>
    <w:rsid w:val="007E227A"/>
    <w:rsid w:val="007E29D0"/>
    <w:rsid w:val="007E4120"/>
    <w:rsid w:val="007E45E0"/>
    <w:rsid w:val="007E4813"/>
    <w:rsid w:val="007E748A"/>
    <w:rsid w:val="007E76B3"/>
    <w:rsid w:val="007E7D86"/>
    <w:rsid w:val="007F077D"/>
    <w:rsid w:val="007F0CCF"/>
    <w:rsid w:val="007F1089"/>
    <w:rsid w:val="007F10F6"/>
    <w:rsid w:val="007F1363"/>
    <w:rsid w:val="007F1C59"/>
    <w:rsid w:val="007F24EC"/>
    <w:rsid w:val="007F277B"/>
    <w:rsid w:val="007F2994"/>
    <w:rsid w:val="007F3053"/>
    <w:rsid w:val="007F3707"/>
    <w:rsid w:val="007F398A"/>
    <w:rsid w:val="007F4BC1"/>
    <w:rsid w:val="007F4BDD"/>
    <w:rsid w:val="007F4D76"/>
    <w:rsid w:val="007F5ACC"/>
    <w:rsid w:val="007F60F8"/>
    <w:rsid w:val="007F767B"/>
    <w:rsid w:val="007F7914"/>
    <w:rsid w:val="007F7C0C"/>
    <w:rsid w:val="007F7FEA"/>
    <w:rsid w:val="008002D9"/>
    <w:rsid w:val="008003EC"/>
    <w:rsid w:val="00800922"/>
    <w:rsid w:val="00800FE1"/>
    <w:rsid w:val="00801372"/>
    <w:rsid w:val="00801486"/>
    <w:rsid w:val="00801E43"/>
    <w:rsid w:val="00803008"/>
    <w:rsid w:val="008031F7"/>
    <w:rsid w:val="008032DA"/>
    <w:rsid w:val="008040DF"/>
    <w:rsid w:val="0080428D"/>
    <w:rsid w:val="00805947"/>
    <w:rsid w:val="008079AC"/>
    <w:rsid w:val="00807D94"/>
    <w:rsid w:val="00807F47"/>
    <w:rsid w:val="008108A0"/>
    <w:rsid w:val="00810952"/>
    <w:rsid w:val="00810F8A"/>
    <w:rsid w:val="0081119C"/>
    <w:rsid w:val="00811F99"/>
    <w:rsid w:val="00812909"/>
    <w:rsid w:val="00812A07"/>
    <w:rsid w:val="00813201"/>
    <w:rsid w:val="00813392"/>
    <w:rsid w:val="0081357F"/>
    <w:rsid w:val="0081382C"/>
    <w:rsid w:val="008138D4"/>
    <w:rsid w:val="008139E3"/>
    <w:rsid w:val="00813B41"/>
    <w:rsid w:val="00815DDE"/>
    <w:rsid w:val="008169A8"/>
    <w:rsid w:val="00816E1C"/>
    <w:rsid w:val="008175C0"/>
    <w:rsid w:val="0081799D"/>
    <w:rsid w:val="00817CB2"/>
    <w:rsid w:val="00817DAB"/>
    <w:rsid w:val="00817F96"/>
    <w:rsid w:val="008200C3"/>
    <w:rsid w:val="008204D2"/>
    <w:rsid w:val="00821031"/>
    <w:rsid w:val="00821287"/>
    <w:rsid w:val="0082165F"/>
    <w:rsid w:val="00821740"/>
    <w:rsid w:val="00821991"/>
    <w:rsid w:val="00821DEE"/>
    <w:rsid w:val="00821E5E"/>
    <w:rsid w:val="00822D24"/>
    <w:rsid w:val="00822DA6"/>
    <w:rsid w:val="008231DD"/>
    <w:rsid w:val="008239D7"/>
    <w:rsid w:val="00823D68"/>
    <w:rsid w:val="00824CFE"/>
    <w:rsid w:val="00824F68"/>
    <w:rsid w:val="008254C9"/>
    <w:rsid w:val="00825711"/>
    <w:rsid w:val="008263B0"/>
    <w:rsid w:val="00826914"/>
    <w:rsid w:val="00826DE8"/>
    <w:rsid w:val="00827311"/>
    <w:rsid w:val="00827716"/>
    <w:rsid w:val="00827F6E"/>
    <w:rsid w:val="0083061A"/>
    <w:rsid w:val="00830DE8"/>
    <w:rsid w:val="00831944"/>
    <w:rsid w:val="00831978"/>
    <w:rsid w:val="00831A9F"/>
    <w:rsid w:val="00831DEF"/>
    <w:rsid w:val="00832D19"/>
    <w:rsid w:val="00832D88"/>
    <w:rsid w:val="00833743"/>
    <w:rsid w:val="00833947"/>
    <w:rsid w:val="00833DE7"/>
    <w:rsid w:val="00834738"/>
    <w:rsid w:val="00834870"/>
    <w:rsid w:val="00834A74"/>
    <w:rsid w:val="008350D6"/>
    <w:rsid w:val="0083576B"/>
    <w:rsid w:val="00835947"/>
    <w:rsid w:val="00835B6E"/>
    <w:rsid w:val="00836160"/>
    <w:rsid w:val="00836C79"/>
    <w:rsid w:val="008375D4"/>
    <w:rsid w:val="00837886"/>
    <w:rsid w:val="008378BE"/>
    <w:rsid w:val="00837D77"/>
    <w:rsid w:val="00837F1B"/>
    <w:rsid w:val="00840084"/>
    <w:rsid w:val="008405B2"/>
    <w:rsid w:val="00840A92"/>
    <w:rsid w:val="00840AB6"/>
    <w:rsid w:val="0084106E"/>
    <w:rsid w:val="00841C53"/>
    <w:rsid w:val="00842411"/>
    <w:rsid w:val="00842799"/>
    <w:rsid w:val="00842EF7"/>
    <w:rsid w:val="00843030"/>
    <w:rsid w:val="008430A3"/>
    <w:rsid w:val="00843389"/>
    <w:rsid w:val="008438FC"/>
    <w:rsid w:val="00844171"/>
    <w:rsid w:val="008452A8"/>
    <w:rsid w:val="00845F4B"/>
    <w:rsid w:val="00845F57"/>
    <w:rsid w:val="008461B5"/>
    <w:rsid w:val="00846794"/>
    <w:rsid w:val="00846B1E"/>
    <w:rsid w:val="00846B24"/>
    <w:rsid w:val="00846E08"/>
    <w:rsid w:val="00846F1E"/>
    <w:rsid w:val="0084771E"/>
    <w:rsid w:val="0085039D"/>
    <w:rsid w:val="0085055E"/>
    <w:rsid w:val="0085095C"/>
    <w:rsid w:val="00850B3B"/>
    <w:rsid w:val="008513AF"/>
    <w:rsid w:val="008514B3"/>
    <w:rsid w:val="00851922"/>
    <w:rsid w:val="00851C23"/>
    <w:rsid w:val="008521DD"/>
    <w:rsid w:val="00852C18"/>
    <w:rsid w:val="00852F5C"/>
    <w:rsid w:val="0085411D"/>
    <w:rsid w:val="00854152"/>
    <w:rsid w:val="008545D5"/>
    <w:rsid w:val="008556E5"/>
    <w:rsid w:val="00855B8A"/>
    <w:rsid w:val="008561B5"/>
    <w:rsid w:val="00856A6B"/>
    <w:rsid w:val="00856E17"/>
    <w:rsid w:val="008570C8"/>
    <w:rsid w:val="00857240"/>
    <w:rsid w:val="00857C87"/>
    <w:rsid w:val="00857CD6"/>
    <w:rsid w:val="008606EE"/>
    <w:rsid w:val="00860E19"/>
    <w:rsid w:val="0086147B"/>
    <w:rsid w:val="008617BC"/>
    <w:rsid w:val="00861FB2"/>
    <w:rsid w:val="00862EF6"/>
    <w:rsid w:val="00863197"/>
    <w:rsid w:val="00863972"/>
    <w:rsid w:val="008647B1"/>
    <w:rsid w:val="0086541F"/>
    <w:rsid w:val="008660D4"/>
    <w:rsid w:val="00866290"/>
    <w:rsid w:val="00866615"/>
    <w:rsid w:val="008667CA"/>
    <w:rsid w:val="00866DB6"/>
    <w:rsid w:val="00867543"/>
    <w:rsid w:val="00867942"/>
    <w:rsid w:val="00867BFF"/>
    <w:rsid w:val="0087047F"/>
    <w:rsid w:val="00871422"/>
    <w:rsid w:val="008725E7"/>
    <w:rsid w:val="008743C9"/>
    <w:rsid w:val="00874732"/>
    <w:rsid w:val="008748B6"/>
    <w:rsid w:val="008749DC"/>
    <w:rsid w:val="0087536B"/>
    <w:rsid w:val="00875560"/>
    <w:rsid w:val="00876932"/>
    <w:rsid w:val="00876FCB"/>
    <w:rsid w:val="008771E4"/>
    <w:rsid w:val="00880000"/>
    <w:rsid w:val="0088030A"/>
    <w:rsid w:val="008804F0"/>
    <w:rsid w:val="00881E14"/>
    <w:rsid w:val="008821F3"/>
    <w:rsid w:val="00882A30"/>
    <w:rsid w:val="00882AD4"/>
    <w:rsid w:val="00882B5F"/>
    <w:rsid w:val="00882E34"/>
    <w:rsid w:val="00882FE4"/>
    <w:rsid w:val="00883FA8"/>
    <w:rsid w:val="00884612"/>
    <w:rsid w:val="00884A83"/>
    <w:rsid w:val="00884D7B"/>
    <w:rsid w:val="00884E9E"/>
    <w:rsid w:val="00885184"/>
    <w:rsid w:val="008853B1"/>
    <w:rsid w:val="008861BF"/>
    <w:rsid w:val="00886B7E"/>
    <w:rsid w:val="00887C00"/>
    <w:rsid w:val="008903C3"/>
    <w:rsid w:val="008904F2"/>
    <w:rsid w:val="008914FF"/>
    <w:rsid w:val="0089221B"/>
    <w:rsid w:val="008922A3"/>
    <w:rsid w:val="0089289F"/>
    <w:rsid w:val="00893CD5"/>
    <w:rsid w:val="008949D4"/>
    <w:rsid w:val="00894E2A"/>
    <w:rsid w:val="00894EA2"/>
    <w:rsid w:val="00895507"/>
    <w:rsid w:val="00895720"/>
    <w:rsid w:val="00895C90"/>
    <w:rsid w:val="00896580"/>
    <w:rsid w:val="00897211"/>
    <w:rsid w:val="00897327"/>
    <w:rsid w:val="0089751C"/>
    <w:rsid w:val="00897890"/>
    <w:rsid w:val="00897F4B"/>
    <w:rsid w:val="008A075E"/>
    <w:rsid w:val="008A2ABE"/>
    <w:rsid w:val="008A2C63"/>
    <w:rsid w:val="008A2CC5"/>
    <w:rsid w:val="008A4A5B"/>
    <w:rsid w:val="008A4C50"/>
    <w:rsid w:val="008A5BBD"/>
    <w:rsid w:val="008A5C22"/>
    <w:rsid w:val="008A5E47"/>
    <w:rsid w:val="008A6754"/>
    <w:rsid w:val="008A7E43"/>
    <w:rsid w:val="008A7F5D"/>
    <w:rsid w:val="008B00C2"/>
    <w:rsid w:val="008B044E"/>
    <w:rsid w:val="008B082D"/>
    <w:rsid w:val="008B0B5F"/>
    <w:rsid w:val="008B176B"/>
    <w:rsid w:val="008B219F"/>
    <w:rsid w:val="008B21C1"/>
    <w:rsid w:val="008B3EF9"/>
    <w:rsid w:val="008B4248"/>
    <w:rsid w:val="008B42FF"/>
    <w:rsid w:val="008B46D4"/>
    <w:rsid w:val="008B4C3F"/>
    <w:rsid w:val="008B4D4A"/>
    <w:rsid w:val="008B5A8B"/>
    <w:rsid w:val="008B6DC3"/>
    <w:rsid w:val="008B7172"/>
    <w:rsid w:val="008B7641"/>
    <w:rsid w:val="008B79A0"/>
    <w:rsid w:val="008B7E61"/>
    <w:rsid w:val="008C0840"/>
    <w:rsid w:val="008C0D30"/>
    <w:rsid w:val="008C15DC"/>
    <w:rsid w:val="008C1D31"/>
    <w:rsid w:val="008C26B1"/>
    <w:rsid w:val="008C28FD"/>
    <w:rsid w:val="008C2D11"/>
    <w:rsid w:val="008C2EE2"/>
    <w:rsid w:val="008C2EFF"/>
    <w:rsid w:val="008C30EA"/>
    <w:rsid w:val="008C35F6"/>
    <w:rsid w:val="008C37B4"/>
    <w:rsid w:val="008C3853"/>
    <w:rsid w:val="008C4A61"/>
    <w:rsid w:val="008C5523"/>
    <w:rsid w:val="008C62EA"/>
    <w:rsid w:val="008C67FF"/>
    <w:rsid w:val="008D0282"/>
    <w:rsid w:val="008D04DE"/>
    <w:rsid w:val="008D0C0A"/>
    <w:rsid w:val="008D1217"/>
    <w:rsid w:val="008D152F"/>
    <w:rsid w:val="008D2E4E"/>
    <w:rsid w:val="008D3831"/>
    <w:rsid w:val="008D3E96"/>
    <w:rsid w:val="008D3EAE"/>
    <w:rsid w:val="008D4ABB"/>
    <w:rsid w:val="008D5092"/>
    <w:rsid w:val="008D523F"/>
    <w:rsid w:val="008D5692"/>
    <w:rsid w:val="008D59AA"/>
    <w:rsid w:val="008D6447"/>
    <w:rsid w:val="008D73B2"/>
    <w:rsid w:val="008D749D"/>
    <w:rsid w:val="008D7762"/>
    <w:rsid w:val="008D7E8B"/>
    <w:rsid w:val="008E078E"/>
    <w:rsid w:val="008E1C7C"/>
    <w:rsid w:val="008E1F48"/>
    <w:rsid w:val="008E26B7"/>
    <w:rsid w:val="008E28AD"/>
    <w:rsid w:val="008E307B"/>
    <w:rsid w:val="008E3B2E"/>
    <w:rsid w:val="008E3C39"/>
    <w:rsid w:val="008E3D6E"/>
    <w:rsid w:val="008E4361"/>
    <w:rsid w:val="008E53A1"/>
    <w:rsid w:val="008E567A"/>
    <w:rsid w:val="008E62D1"/>
    <w:rsid w:val="008E6707"/>
    <w:rsid w:val="008E6893"/>
    <w:rsid w:val="008E70B3"/>
    <w:rsid w:val="008E72E1"/>
    <w:rsid w:val="008E7A83"/>
    <w:rsid w:val="008E7CEF"/>
    <w:rsid w:val="008E7D44"/>
    <w:rsid w:val="008F06C3"/>
    <w:rsid w:val="008F0FE1"/>
    <w:rsid w:val="008F134A"/>
    <w:rsid w:val="008F1678"/>
    <w:rsid w:val="008F1DED"/>
    <w:rsid w:val="008F2081"/>
    <w:rsid w:val="008F242F"/>
    <w:rsid w:val="008F252B"/>
    <w:rsid w:val="008F2646"/>
    <w:rsid w:val="008F26FB"/>
    <w:rsid w:val="008F3BCC"/>
    <w:rsid w:val="008F3C3B"/>
    <w:rsid w:val="008F4272"/>
    <w:rsid w:val="008F4E80"/>
    <w:rsid w:val="008F5528"/>
    <w:rsid w:val="008F5609"/>
    <w:rsid w:val="008F5A93"/>
    <w:rsid w:val="008F5F20"/>
    <w:rsid w:val="008F6991"/>
    <w:rsid w:val="008F727C"/>
    <w:rsid w:val="008F79D9"/>
    <w:rsid w:val="00901194"/>
    <w:rsid w:val="00901E22"/>
    <w:rsid w:val="009029E4"/>
    <w:rsid w:val="00902CC9"/>
    <w:rsid w:val="00902D64"/>
    <w:rsid w:val="00903881"/>
    <w:rsid w:val="00903E77"/>
    <w:rsid w:val="009042A8"/>
    <w:rsid w:val="00904726"/>
    <w:rsid w:val="00904921"/>
    <w:rsid w:val="009057EE"/>
    <w:rsid w:val="00905950"/>
    <w:rsid w:val="00905990"/>
    <w:rsid w:val="0090663B"/>
    <w:rsid w:val="00907092"/>
    <w:rsid w:val="009077AC"/>
    <w:rsid w:val="009077F6"/>
    <w:rsid w:val="00911482"/>
    <w:rsid w:val="00911A7E"/>
    <w:rsid w:val="00911C88"/>
    <w:rsid w:val="009120FC"/>
    <w:rsid w:val="009131A4"/>
    <w:rsid w:val="009131D5"/>
    <w:rsid w:val="00913256"/>
    <w:rsid w:val="009144E9"/>
    <w:rsid w:val="0091452B"/>
    <w:rsid w:val="00914ED5"/>
    <w:rsid w:val="009151A6"/>
    <w:rsid w:val="00915376"/>
    <w:rsid w:val="00915F5D"/>
    <w:rsid w:val="00916366"/>
    <w:rsid w:val="00916533"/>
    <w:rsid w:val="009168E1"/>
    <w:rsid w:val="009176CD"/>
    <w:rsid w:val="009177F2"/>
    <w:rsid w:val="00917E53"/>
    <w:rsid w:val="00920667"/>
    <w:rsid w:val="00920897"/>
    <w:rsid w:val="00920BAA"/>
    <w:rsid w:val="00921383"/>
    <w:rsid w:val="00921CE8"/>
    <w:rsid w:val="00921E06"/>
    <w:rsid w:val="00921E7C"/>
    <w:rsid w:val="0092208F"/>
    <w:rsid w:val="0092297A"/>
    <w:rsid w:val="00923349"/>
    <w:rsid w:val="00923AD0"/>
    <w:rsid w:val="009249F6"/>
    <w:rsid w:val="00924FB9"/>
    <w:rsid w:val="0092540E"/>
    <w:rsid w:val="00925CE9"/>
    <w:rsid w:val="00926A0F"/>
    <w:rsid w:val="009273E5"/>
    <w:rsid w:val="0092751B"/>
    <w:rsid w:val="0092763A"/>
    <w:rsid w:val="0092778F"/>
    <w:rsid w:val="00930C82"/>
    <w:rsid w:val="009311CB"/>
    <w:rsid w:val="00931235"/>
    <w:rsid w:val="00931831"/>
    <w:rsid w:val="0093221E"/>
    <w:rsid w:val="0093286F"/>
    <w:rsid w:val="009334DC"/>
    <w:rsid w:val="00933C63"/>
    <w:rsid w:val="0093402E"/>
    <w:rsid w:val="0093405E"/>
    <w:rsid w:val="009345F8"/>
    <w:rsid w:val="00934D50"/>
    <w:rsid w:val="00934FA1"/>
    <w:rsid w:val="00935305"/>
    <w:rsid w:val="0093546D"/>
    <w:rsid w:val="00936260"/>
    <w:rsid w:val="00936337"/>
    <w:rsid w:val="009368D8"/>
    <w:rsid w:val="00936A7D"/>
    <w:rsid w:val="009376A0"/>
    <w:rsid w:val="009376D6"/>
    <w:rsid w:val="00940176"/>
    <w:rsid w:val="00940192"/>
    <w:rsid w:val="0094022B"/>
    <w:rsid w:val="00940533"/>
    <w:rsid w:val="009405BC"/>
    <w:rsid w:val="00940659"/>
    <w:rsid w:val="00940FA8"/>
    <w:rsid w:val="009414F5"/>
    <w:rsid w:val="009419F3"/>
    <w:rsid w:val="00941A61"/>
    <w:rsid w:val="00941D6C"/>
    <w:rsid w:val="00942BAB"/>
    <w:rsid w:val="009435C4"/>
    <w:rsid w:val="009439E4"/>
    <w:rsid w:val="00943A50"/>
    <w:rsid w:val="00943DF2"/>
    <w:rsid w:val="00944E56"/>
    <w:rsid w:val="00946A3F"/>
    <w:rsid w:val="00946F41"/>
    <w:rsid w:val="00947255"/>
    <w:rsid w:val="00947CF0"/>
    <w:rsid w:val="009503C0"/>
    <w:rsid w:val="009514AE"/>
    <w:rsid w:val="009518DE"/>
    <w:rsid w:val="009519D3"/>
    <w:rsid w:val="0095321C"/>
    <w:rsid w:val="00955D05"/>
    <w:rsid w:val="00955E34"/>
    <w:rsid w:val="00957AA3"/>
    <w:rsid w:val="0096019F"/>
    <w:rsid w:val="009604B9"/>
    <w:rsid w:val="009615FB"/>
    <w:rsid w:val="00961635"/>
    <w:rsid w:val="009616A2"/>
    <w:rsid w:val="00961FBE"/>
    <w:rsid w:val="00962232"/>
    <w:rsid w:val="009629B8"/>
    <w:rsid w:val="00962EB1"/>
    <w:rsid w:val="00963640"/>
    <w:rsid w:val="00963D16"/>
    <w:rsid w:val="00963F77"/>
    <w:rsid w:val="00963F8F"/>
    <w:rsid w:val="00964456"/>
    <w:rsid w:val="00964717"/>
    <w:rsid w:val="00965090"/>
    <w:rsid w:val="009652EB"/>
    <w:rsid w:val="0097009C"/>
    <w:rsid w:val="00970784"/>
    <w:rsid w:val="00970E46"/>
    <w:rsid w:val="00971342"/>
    <w:rsid w:val="00971347"/>
    <w:rsid w:val="00971615"/>
    <w:rsid w:val="0097259F"/>
    <w:rsid w:val="0097279E"/>
    <w:rsid w:val="00972A77"/>
    <w:rsid w:val="00973F0E"/>
    <w:rsid w:val="00974589"/>
    <w:rsid w:val="009749EC"/>
    <w:rsid w:val="00974EDF"/>
    <w:rsid w:val="0097518D"/>
    <w:rsid w:val="00975386"/>
    <w:rsid w:val="0097581E"/>
    <w:rsid w:val="00975AD7"/>
    <w:rsid w:val="009762D9"/>
    <w:rsid w:val="0097637A"/>
    <w:rsid w:val="00976B20"/>
    <w:rsid w:val="00977C33"/>
    <w:rsid w:val="009816B7"/>
    <w:rsid w:val="00981FE9"/>
    <w:rsid w:val="009820A1"/>
    <w:rsid w:val="00982190"/>
    <w:rsid w:val="00983538"/>
    <w:rsid w:val="00984916"/>
    <w:rsid w:val="00985241"/>
    <w:rsid w:val="009858CE"/>
    <w:rsid w:val="009858DB"/>
    <w:rsid w:val="00985B82"/>
    <w:rsid w:val="00986291"/>
    <w:rsid w:val="009862FA"/>
    <w:rsid w:val="00986F98"/>
    <w:rsid w:val="00990103"/>
    <w:rsid w:val="00990AAD"/>
    <w:rsid w:val="00990EB5"/>
    <w:rsid w:val="00992A00"/>
    <w:rsid w:val="00992C4C"/>
    <w:rsid w:val="00992CF6"/>
    <w:rsid w:val="00992F29"/>
    <w:rsid w:val="009933CF"/>
    <w:rsid w:val="009933E3"/>
    <w:rsid w:val="009942AF"/>
    <w:rsid w:val="009946CE"/>
    <w:rsid w:val="00994993"/>
    <w:rsid w:val="0099508B"/>
    <w:rsid w:val="0099598B"/>
    <w:rsid w:val="009959EA"/>
    <w:rsid w:val="0099621C"/>
    <w:rsid w:val="009965E1"/>
    <w:rsid w:val="00996C7C"/>
    <w:rsid w:val="00997611"/>
    <w:rsid w:val="009A0375"/>
    <w:rsid w:val="009A091D"/>
    <w:rsid w:val="009A145A"/>
    <w:rsid w:val="009A1922"/>
    <w:rsid w:val="009A19BA"/>
    <w:rsid w:val="009A2188"/>
    <w:rsid w:val="009A2505"/>
    <w:rsid w:val="009A2F3A"/>
    <w:rsid w:val="009A2F8F"/>
    <w:rsid w:val="009A3AE9"/>
    <w:rsid w:val="009A3E50"/>
    <w:rsid w:val="009A3FD9"/>
    <w:rsid w:val="009A4FC7"/>
    <w:rsid w:val="009A60D1"/>
    <w:rsid w:val="009A64F5"/>
    <w:rsid w:val="009A6DEB"/>
    <w:rsid w:val="009A72A6"/>
    <w:rsid w:val="009A7E30"/>
    <w:rsid w:val="009B06AA"/>
    <w:rsid w:val="009B0B62"/>
    <w:rsid w:val="009B10C6"/>
    <w:rsid w:val="009B1986"/>
    <w:rsid w:val="009B2102"/>
    <w:rsid w:val="009B2444"/>
    <w:rsid w:val="009B25D8"/>
    <w:rsid w:val="009B2C65"/>
    <w:rsid w:val="009B3202"/>
    <w:rsid w:val="009B328B"/>
    <w:rsid w:val="009B3C6E"/>
    <w:rsid w:val="009B4859"/>
    <w:rsid w:val="009B5ACB"/>
    <w:rsid w:val="009B6885"/>
    <w:rsid w:val="009B68A0"/>
    <w:rsid w:val="009B74B3"/>
    <w:rsid w:val="009C04F9"/>
    <w:rsid w:val="009C07E3"/>
    <w:rsid w:val="009C1087"/>
    <w:rsid w:val="009C12DC"/>
    <w:rsid w:val="009C1544"/>
    <w:rsid w:val="009C252D"/>
    <w:rsid w:val="009C25CA"/>
    <w:rsid w:val="009C3D10"/>
    <w:rsid w:val="009C4520"/>
    <w:rsid w:val="009C4A8D"/>
    <w:rsid w:val="009C4BD2"/>
    <w:rsid w:val="009C5047"/>
    <w:rsid w:val="009C5274"/>
    <w:rsid w:val="009C5437"/>
    <w:rsid w:val="009C5CF7"/>
    <w:rsid w:val="009C6067"/>
    <w:rsid w:val="009C607F"/>
    <w:rsid w:val="009C6640"/>
    <w:rsid w:val="009C66A0"/>
    <w:rsid w:val="009C6D6F"/>
    <w:rsid w:val="009C793F"/>
    <w:rsid w:val="009D0835"/>
    <w:rsid w:val="009D0957"/>
    <w:rsid w:val="009D0D67"/>
    <w:rsid w:val="009D0DB0"/>
    <w:rsid w:val="009D0EBA"/>
    <w:rsid w:val="009D0F48"/>
    <w:rsid w:val="009D1E7F"/>
    <w:rsid w:val="009D2F78"/>
    <w:rsid w:val="009D3025"/>
    <w:rsid w:val="009D3465"/>
    <w:rsid w:val="009D3605"/>
    <w:rsid w:val="009D3F2E"/>
    <w:rsid w:val="009D456F"/>
    <w:rsid w:val="009D47A5"/>
    <w:rsid w:val="009D6988"/>
    <w:rsid w:val="009D6D20"/>
    <w:rsid w:val="009E03DA"/>
    <w:rsid w:val="009E0C21"/>
    <w:rsid w:val="009E16B8"/>
    <w:rsid w:val="009E3008"/>
    <w:rsid w:val="009E3020"/>
    <w:rsid w:val="009E354A"/>
    <w:rsid w:val="009E38AA"/>
    <w:rsid w:val="009E3AC3"/>
    <w:rsid w:val="009E42F4"/>
    <w:rsid w:val="009E43B5"/>
    <w:rsid w:val="009E45D8"/>
    <w:rsid w:val="009E56E2"/>
    <w:rsid w:val="009E665D"/>
    <w:rsid w:val="009E6DCA"/>
    <w:rsid w:val="009E79D3"/>
    <w:rsid w:val="009E7E0D"/>
    <w:rsid w:val="009F0194"/>
    <w:rsid w:val="009F02AA"/>
    <w:rsid w:val="009F0676"/>
    <w:rsid w:val="009F091C"/>
    <w:rsid w:val="009F09D7"/>
    <w:rsid w:val="009F0F2C"/>
    <w:rsid w:val="009F105B"/>
    <w:rsid w:val="009F1B6E"/>
    <w:rsid w:val="009F2475"/>
    <w:rsid w:val="009F2B61"/>
    <w:rsid w:val="009F2B72"/>
    <w:rsid w:val="009F348D"/>
    <w:rsid w:val="009F4265"/>
    <w:rsid w:val="009F4567"/>
    <w:rsid w:val="009F49CD"/>
    <w:rsid w:val="009F4E69"/>
    <w:rsid w:val="009F4EAD"/>
    <w:rsid w:val="009F6EE5"/>
    <w:rsid w:val="009F6FE8"/>
    <w:rsid w:val="00A000D6"/>
    <w:rsid w:val="00A01091"/>
    <w:rsid w:val="00A015C2"/>
    <w:rsid w:val="00A017A7"/>
    <w:rsid w:val="00A01915"/>
    <w:rsid w:val="00A020C0"/>
    <w:rsid w:val="00A021B0"/>
    <w:rsid w:val="00A02402"/>
    <w:rsid w:val="00A0250B"/>
    <w:rsid w:val="00A02A38"/>
    <w:rsid w:val="00A02B2A"/>
    <w:rsid w:val="00A02BA7"/>
    <w:rsid w:val="00A03506"/>
    <w:rsid w:val="00A038DC"/>
    <w:rsid w:val="00A03C42"/>
    <w:rsid w:val="00A04BC5"/>
    <w:rsid w:val="00A056F2"/>
    <w:rsid w:val="00A05CBB"/>
    <w:rsid w:val="00A0759D"/>
    <w:rsid w:val="00A077BA"/>
    <w:rsid w:val="00A102A4"/>
    <w:rsid w:val="00A123DC"/>
    <w:rsid w:val="00A12C52"/>
    <w:rsid w:val="00A13588"/>
    <w:rsid w:val="00A13774"/>
    <w:rsid w:val="00A14887"/>
    <w:rsid w:val="00A14D8C"/>
    <w:rsid w:val="00A156CC"/>
    <w:rsid w:val="00A15810"/>
    <w:rsid w:val="00A158B0"/>
    <w:rsid w:val="00A15BA4"/>
    <w:rsid w:val="00A16382"/>
    <w:rsid w:val="00A16862"/>
    <w:rsid w:val="00A16919"/>
    <w:rsid w:val="00A17084"/>
    <w:rsid w:val="00A176AF"/>
    <w:rsid w:val="00A1799C"/>
    <w:rsid w:val="00A17DB4"/>
    <w:rsid w:val="00A20022"/>
    <w:rsid w:val="00A209F1"/>
    <w:rsid w:val="00A2119F"/>
    <w:rsid w:val="00A218A4"/>
    <w:rsid w:val="00A21999"/>
    <w:rsid w:val="00A2370E"/>
    <w:rsid w:val="00A23BDC"/>
    <w:rsid w:val="00A249A2"/>
    <w:rsid w:val="00A257F1"/>
    <w:rsid w:val="00A26CEE"/>
    <w:rsid w:val="00A278EF"/>
    <w:rsid w:val="00A27D4E"/>
    <w:rsid w:val="00A30108"/>
    <w:rsid w:val="00A30385"/>
    <w:rsid w:val="00A3067C"/>
    <w:rsid w:val="00A3093F"/>
    <w:rsid w:val="00A30DFE"/>
    <w:rsid w:val="00A31C8B"/>
    <w:rsid w:val="00A326D3"/>
    <w:rsid w:val="00A32863"/>
    <w:rsid w:val="00A32F72"/>
    <w:rsid w:val="00A33272"/>
    <w:rsid w:val="00A33577"/>
    <w:rsid w:val="00A3383A"/>
    <w:rsid w:val="00A33848"/>
    <w:rsid w:val="00A3594F"/>
    <w:rsid w:val="00A35F0D"/>
    <w:rsid w:val="00A3609E"/>
    <w:rsid w:val="00A36A45"/>
    <w:rsid w:val="00A371DA"/>
    <w:rsid w:val="00A37909"/>
    <w:rsid w:val="00A40055"/>
    <w:rsid w:val="00A408DC"/>
    <w:rsid w:val="00A4146E"/>
    <w:rsid w:val="00A4153C"/>
    <w:rsid w:val="00A41D9C"/>
    <w:rsid w:val="00A42656"/>
    <w:rsid w:val="00A42919"/>
    <w:rsid w:val="00A436C6"/>
    <w:rsid w:val="00A44497"/>
    <w:rsid w:val="00A444A4"/>
    <w:rsid w:val="00A452CF"/>
    <w:rsid w:val="00A458E2"/>
    <w:rsid w:val="00A45EF4"/>
    <w:rsid w:val="00A4605B"/>
    <w:rsid w:val="00A46069"/>
    <w:rsid w:val="00A4644D"/>
    <w:rsid w:val="00A465F6"/>
    <w:rsid w:val="00A46617"/>
    <w:rsid w:val="00A46651"/>
    <w:rsid w:val="00A46B6B"/>
    <w:rsid w:val="00A46E59"/>
    <w:rsid w:val="00A4702B"/>
    <w:rsid w:val="00A4789A"/>
    <w:rsid w:val="00A50122"/>
    <w:rsid w:val="00A5037D"/>
    <w:rsid w:val="00A50EB2"/>
    <w:rsid w:val="00A51655"/>
    <w:rsid w:val="00A51AD0"/>
    <w:rsid w:val="00A51EE0"/>
    <w:rsid w:val="00A5215D"/>
    <w:rsid w:val="00A52891"/>
    <w:rsid w:val="00A52D58"/>
    <w:rsid w:val="00A533F7"/>
    <w:rsid w:val="00A5398D"/>
    <w:rsid w:val="00A54B61"/>
    <w:rsid w:val="00A55F7C"/>
    <w:rsid w:val="00A563F7"/>
    <w:rsid w:val="00A56E71"/>
    <w:rsid w:val="00A57353"/>
    <w:rsid w:val="00A57358"/>
    <w:rsid w:val="00A60F97"/>
    <w:rsid w:val="00A61CE8"/>
    <w:rsid w:val="00A61FFD"/>
    <w:rsid w:val="00A62421"/>
    <w:rsid w:val="00A625DC"/>
    <w:rsid w:val="00A62C2D"/>
    <w:rsid w:val="00A63AA6"/>
    <w:rsid w:val="00A63CBF"/>
    <w:rsid w:val="00A64237"/>
    <w:rsid w:val="00A64DA4"/>
    <w:rsid w:val="00A654F1"/>
    <w:rsid w:val="00A655AE"/>
    <w:rsid w:val="00A65EF1"/>
    <w:rsid w:val="00A70B03"/>
    <w:rsid w:val="00A70ECA"/>
    <w:rsid w:val="00A71081"/>
    <w:rsid w:val="00A71984"/>
    <w:rsid w:val="00A7266C"/>
    <w:rsid w:val="00A72E6C"/>
    <w:rsid w:val="00A733B3"/>
    <w:rsid w:val="00A733CC"/>
    <w:rsid w:val="00A74151"/>
    <w:rsid w:val="00A7440C"/>
    <w:rsid w:val="00A7447D"/>
    <w:rsid w:val="00A74611"/>
    <w:rsid w:val="00A746C7"/>
    <w:rsid w:val="00A75467"/>
    <w:rsid w:val="00A754E3"/>
    <w:rsid w:val="00A75592"/>
    <w:rsid w:val="00A76C7F"/>
    <w:rsid w:val="00A77C07"/>
    <w:rsid w:val="00A77CAD"/>
    <w:rsid w:val="00A77F18"/>
    <w:rsid w:val="00A81663"/>
    <w:rsid w:val="00A81778"/>
    <w:rsid w:val="00A81E53"/>
    <w:rsid w:val="00A823FC"/>
    <w:rsid w:val="00A82A93"/>
    <w:rsid w:val="00A82BFF"/>
    <w:rsid w:val="00A831D6"/>
    <w:rsid w:val="00A835AE"/>
    <w:rsid w:val="00A83E23"/>
    <w:rsid w:val="00A83EC9"/>
    <w:rsid w:val="00A85A5F"/>
    <w:rsid w:val="00A868CC"/>
    <w:rsid w:val="00A86BD4"/>
    <w:rsid w:val="00A86EC2"/>
    <w:rsid w:val="00A87800"/>
    <w:rsid w:val="00A87D89"/>
    <w:rsid w:val="00A87FF7"/>
    <w:rsid w:val="00A9082F"/>
    <w:rsid w:val="00A908C5"/>
    <w:rsid w:val="00A90C9C"/>
    <w:rsid w:val="00A90E41"/>
    <w:rsid w:val="00A90EC9"/>
    <w:rsid w:val="00A911F7"/>
    <w:rsid w:val="00A9176B"/>
    <w:rsid w:val="00A91CFA"/>
    <w:rsid w:val="00A9215D"/>
    <w:rsid w:val="00A9218E"/>
    <w:rsid w:val="00A92E19"/>
    <w:rsid w:val="00A931A2"/>
    <w:rsid w:val="00A93201"/>
    <w:rsid w:val="00A935DA"/>
    <w:rsid w:val="00A94131"/>
    <w:rsid w:val="00A94C62"/>
    <w:rsid w:val="00A95175"/>
    <w:rsid w:val="00A958E1"/>
    <w:rsid w:val="00A969BD"/>
    <w:rsid w:val="00A96BE6"/>
    <w:rsid w:val="00AA0115"/>
    <w:rsid w:val="00AA15AA"/>
    <w:rsid w:val="00AA1C3D"/>
    <w:rsid w:val="00AA2DEF"/>
    <w:rsid w:val="00AA34B7"/>
    <w:rsid w:val="00AA3701"/>
    <w:rsid w:val="00AA4EE6"/>
    <w:rsid w:val="00AA50B0"/>
    <w:rsid w:val="00AA547B"/>
    <w:rsid w:val="00AA66C5"/>
    <w:rsid w:val="00AA72B9"/>
    <w:rsid w:val="00AA774A"/>
    <w:rsid w:val="00AB0553"/>
    <w:rsid w:val="00AB079C"/>
    <w:rsid w:val="00AB0E23"/>
    <w:rsid w:val="00AB0E6C"/>
    <w:rsid w:val="00AB0F6D"/>
    <w:rsid w:val="00AB151C"/>
    <w:rsid w:val="00AB1982"/>
    <w:rsid w:val="00AB1F12"/>
    <w:rsid w:val="00AB405B"/>
    <w:rsid w:val="00AB4910"/>
    <w:rsid w:val="00AB5DAF"/>
    <w:rsid w:val="00AB6022"/>
    <w:rsid w:val="00AC078D"/>
    <w:rsid w:val="00AC16CA"/>
    <w:rsid w:val="00AC1732"/>
    <w:rsid w:val="00AC175D"/>
    <w:rsid w:val="00AC18D5"/>
    <w:rsid w:val="00AC195A"/>
    <w:rsid w:val="00AC1DA8"/>
    <w:rsid w:val="00AC2676"/>
    <w:rsid w:val="00AC2BCE"/>
    <w:rsid w:val="00AC3381"/>
    <w:rsid w:val="00AC3F7A"/>
    <w:rsid w:val="00AC3F8E"/>
    <w:rsid w:val="00AC421F"/>
    <w:rsid w:val="00AC46E8"/>
    <w:rsid w:val="00AC47E6"/>
    <w:rsid w:val="00AC48CC"/>
    <w:rsid w:val="00AC4FE8"/>
    <w:rsid w:val="00AC5D20"/>
    <w:rsid w:val="00AC7628"/>
    <w:rsid w:val="00AD0A1C"/>
    <w:rsid w:val="00AD0C22"/>
    <w:rsid w:val="00AD0FCF"/>
    <w:rsid w:val="00AD17A1"/>
    <w:rsid w:val="00AD1854"/>
    <w:rsid w:val="00AD21AC"/>
    <w:rsid w:val="00AD2C82"/>
    <w:rsid w:val="00AD4438"/>
    <w:rsid w:val="00AD4FC4"/>
    <w:rsid w:val="00AD51C0"/>
    <w:rsid w:val="00AD525E"/>
    <w:rsid w:val="00AD6293"/>
    <w:rsid w:val="00AD6B6E"/>
    <w:rsid w:val="00AD72C5"/>
    <w:rsid w:val="00AD76E0"/>
    <w:rsid w:val="00AE092F"/>
    <w:rsid w:val="00AE0D43"/>
    <w:rsid w:val="00AE1659"/>
    <w:rsid w:val="00AE1844"/>
    <w:rsid w:val="00AE27D2"/>
    <w:rsid w:val="00AE417D"/>
    <w:rsid w:val="00AE4505"/>
    <w:rsid w:val="00AE4A0C"/>
    <w:rsid w:val="00AE4AE7"/>
    <w:rsid w:val="00AE55CB"/>
    <w:rsid w:val="00AE63C5"/>
    <w:rsid w:val="00AE6456"/>
    <w:rsid w:val="00AE6679"/>
    <w:rsid w:val="00AE6CB2"/>
    <w:rsid w:val="00AE6F9D"/>
    <w:rsid w:val="00AE6FBB"/>
    <w:rsid w:val="00AE741B"/>
    <w:rsid w:val="00AE7747"/>
    <w:rsid w:val="00AE7B53"/>
    <w:rsid w:val="00AE7B90"/>
    <w:rsid w:val="00AF0049"/>
    <w:rsid w:val="00AF017F"/>
    <w:rsid w:val="00AF17A4"/>
    <w:rsid w:val="00AF18AA"/>
    <w:rsid w:val="00AF237C"/>
    <w:rsid w:val="00AF24F6"/>
    <w:rsid w:val="00AF2999"/>
    <w:rsid w:val="00AF2EF7"/>
    <w:rsid w:val="00AF2FFB"/>
    <w:rsid w:val="00AF31D4"/>
    <w:rsid w:val="00AF334A"/>
    <w:rsid w:val="00AF5E5D"/>
    <w:rsid w:val="00AF5E82"/>
    <w:rsid w:val="00AF7B7E"/>
    <w:rsid w:val="00B0004B"/>
    <w:rsid w:val="00B00BD6"/>
    <w:rsid w:val="00B013DA"/>
    <w:rsid w:val="00B01ECA"/>
    <w:rsid w:val="00B021A9"/>
    <w:rsid w:val="00B02540"/>
    <w:rsid w:val="00B027DD"/>
    <w:rsid w:val="00B0343A"/>
    <w:rsid w:val="00B036A3"/>
    <w:rsid w:val="00B03952"/>
    <w:rsid w:val="00B03C1F"/>
    <w:rsid w:val="00B04164"/>
    <w:rsid w:val="00B0489C"/>
    <w:rsid w:val="00B04E2E"/>
    <w:rsid w:val="00B0506D"/>
    <w:rsid w:val="00B054DB"/>
    <w:rsid w:val="00B067F3"/>
    <w:rsid w:val="00B069CA"/>
    <w:rsid w:val="00B06B15"/>
    <w:rsid w:val="00B107AD"/>
    <w:rsid w:val="00B108FE"/>
    <w:rsid w:val="00B10AEC"/>
    <w:rsid w:val="00B10B28"/>
    <w:rsid w:val="00B10C27"/>
    <w:rsid w:val="00B110B8"/>
    <w:rsid w:val="00B114F4"/>
    <w:rsid w:val="00B11B47"/>
    <w:rsid w:val="00B11EEF"/>
    <w:rsid w:val="00B12074"/>
    <w:rsid w:val="00B12233"/>
    <w:rsid w:val="00B123BA"/>
    <w:rsid w:val="00B128B4"/>
    <w:rsid w:val="00B12A56"/>
    <w:rsid w:val="00B138D8"/>
    <w:rsid w:val="00B1391F"/>
    <w:rsid w:val="00B139D0"/>
    <w:rsid w:val="00B13EC4"/>
    <w:rsid w:val="00B14A9A"/>
    <w:rsid w:val="00B14EE2"/>
    <w:rsid w:val="00B15EBD"/>
    <w:rsid w:val="00B202BE"/>
    <w:rsid w:val="00B2106D"/>
    <w:rsid w:val="00B2115B"/>
    <w:rsid w:val="00B212DD"/>
    <w:rsid w:val="00B21508"/>
    <w:rsid w:val="00B21D8B"/>
    <w:rsid w:val="00B22860"/>
    <w:rsid w:val="00B22CEB"/>
    <w:rsid w:val="00B231CD"/>
    <w:rsid w:val="00B23D24"/>
    <w:rsid w:val="00B24C58"/>
    <w:rsid w:val="00B260C1"/>
    <w:rsid w:val="00B260DD"/>
    <w:rsid w:val="00B26643"/>
    <w:rsid w:val="00B269F7"/>
    <w:rsid w:val="00B26A84"/>
    <w:rsid w:val="00B26BA6"/>
    <w:rsid w:val="00B27590"/>
    <w:rsid w:val="00B27B6F"/>
    <w:rsid w:val="00B27C05"/>
    <w:rsid w:val="00B30216"/>
    <w:rsid w:val="00B30447"/>
    <w:rsid w:val="00B30551"/>
    <w:rsid w:val="00B30F81"/>
    <w:rsid w:val="00B310D1"/>
    <w:rsid w:val="00B3111C"/>
    <w:rsid w:val="00B3166D"/>
    <w:rsid w:val="00B317B9"/>
    <w:rsid w:val="00B31AA3"/>
    <w:rsid w:val="00B31F15"/>
    <w:rsid w:val="00B323C8"/>
    <w:rsid w:val="00B32474"/>
    <w:rsid w:val="00B32B61"/>
    <w:rsid w:val="00B33616"/>
    <w:rsid w:val="00B33F2A"/>
    <w:rsid w:val="00B371BF"/>
    <w:rsid w:val="00B37AAA"/>
    <w:rsid w:val="00B40A23"/>
    <w:rsid w:val="00B4148B"/>
    <w:rsid w:val="00B41A20"/>
    <w:rsid w:val="00B41C09"/>
    <w:rsid w:val="00B41F07"/>
    <w:rsid w:val="00B4205B"/>
    <w:rsid w:val="00B426F6"/>
    <w:rsid w:val="00B42DA7"/>
    <w:rsid w:val="00B43DA9"/>
    <w:rsid w:val="00B44D35"/>
    <w:rsid w:val="00B455A8"/>
    <w:rsid w:val="00B46071"/>
    <w:rsid w:val="00B4621A"/>
    <w:rsid w:val="00B523CD"/>
    <w:rsid w:val="00B53528"/>
    <w:rsid w:val="00B53887"/>
    <w:rsid w:val="00B53DC4"/>
    <w:rsid w:val="00B54D12"/>
    <w:rsid w:val="00B55E3D"/>
    <w:rsid w:val="00B5681F"/>
    <w:rsid w:val="00B56B77"/>
    <w:rsid w:val="00B57208"/>
    <w:rsid w:val="00B573A5"/>
    <w:rsid w:val="00B5786F"/>
    <w:rsid w:val="00B60145"/>
    <w:rsid w:val="00B61078"/>
    <w:rsid w:val="00B61C61"/>
    <w:rsid w:val="00B623AF"/>
    <w:rsid w:val="00B626C7"/>
    <w:rsid w:val="00B627E1"/>
    <w:rsid w:val="00B62D75"/>
    <w:rsid w:val="00B62F53"/>
    <w:rsid w:val="00B6320E"/>
    <w:rsid w:val="00B63BC8"/>
    <w:rsid w:val="00B642BF"/>
    <w:rsid w:val="00B64705"/>
    <w:rsid w:val="00B64841"/>
    <w:rsid w:val="00B6491A"/>
    <w:rsid w:val="00B64BA9"/>
    <w:rsid w:val="00B655A1"/>
    <w:rsid w:val="00B6571A"/>
    <w:rsid w:val="00B6617F"/>
    <w:rsid w:val="00B67592"/>
    <w:rsid w:val="00B6773D"/>
    <w:rsid w:val="00B678C9"/>
    <w:rsid w:val="00B7154F"/>
    <w:rsid w:val="00B71890"/>
    <w:rsid w:val="00B71A6F"/>
    <w:rsid w:val="00B71AA8"/>
    <w:rsid w:val="00B71E46"/>
    <w:rsid w:val="00B72402"/>
    <w:rsid w:val="00B7249A"/>
    <w:rsid w:val="00B72B66"/>
    <w:rsid w:val="00B72C7D"/>
    <w:rsid w:val="00B72CE6"/>
    <w:rsid w:val="00B72EA0"/>
    <w:rsid w:val="00B733D7"/>
    <w:rsid w:val="00B736C1"/>
    <w:rsid w:val="00B7370A"/>
    <w:rsid w:val="00B7399D"/>
    <w:rsid w:val="00B73E6B"/>
    <w:rsid w:val="00B74044"/>
    <w:rsid w:val="00B74106"/>
    <w:rsid w:val="00B74695"/>
    <w:rsid w:val="00B74855"/>
    <w:rsid w:val="00B74AED"/>
    <w:rsid w:val="00B74C20"/>
    <w:rsid w:val="00B75274"/>
    <w:rsid w:val="00B753F5"/>
    <w:rsid w:val="00B75696"/>
    <w:rsid w:val="00B7577C"/>
    <w:rsid w:val="00B75991"/>
    <w:rsid w:val="00B75A3D"/>
    <w:rsid w:val="00B75C7F"/>
    <w:rsid w:val="00B76037"/>
    <w:rsid w:val="00B761E9"/>
    <w:rsid w:val="00B76563"/>
    <w:rsid w:val="00B7682E"/>
    <w:rsid w:val="00B77E2F"/>
    <w:rsid w:val="00B80509"/>
    <w:rsid w:val="00B80966"/>
    <w:rsid w:val="00B8105F"/>
    <w:rsid w:val="00B8141D"/>
    <w:rsid w:val="00B8182D"/>
    <w:rsid w:val="00B82AC3"/>
    <w:rsid w:val="00B82C8B"/>
    <w:rsid w:val="00B82CE3"/>
    <w:rsid w:val="00B83272"/>
    <w:rsid w:val="00B8391E"/>
    <w:rsid w:val="00B84DD3"/>
    <w:rsid w:val="00B84E10"/>
    <w:rsid w:val="00B8542B"/>
    <w:rsid w:val="00B854A1"/>
    <w:rsid w:val="00B858A4"/>
    <w:rsid w:val="00B858E4"/>
    <w:rsid w:val="00B85AC8"/>
    <w:rsid w:val="00B86403"/>
    <w:rsid w:val="00B8659F"/>
    <w:rsid w:val="00B8677A"/>
    <w:rsid w:val="00B86880"/>
    <w:rsid w:val="00B87052"/>
    <w:rsid w:val="00B87AF1"/>
    <w:rsid w:val="00B87CF2"/>
    <w:rsid w:val="00B9063C"/>
    <w:rsid w:val="00B90671"/>
    <w:rsid w:val="00B90B1C"/>
    <w:rsid w:val="00B91366"/>
    <w:rsid w:val="00B9191B"/>
    <w:rsid w:val="00B928C5"/>
    <w:rsid w:val="00B92CEA"/>
    <w:rsid w:val="00B93D83"/>
    <w:rsid w:val="00B93DA6"/>
    <w:rsid w:val="00B93F03"/>
    <w:rsid w:val="00B944D5"/>
    <w:rsid w:val="00B94539"/>
    <w:rsid w:val="00B94F1D"/>
    <w:rsid w:val="00B9524E"/>
    <w:rsid w:val="00B9584C"/>
    <w:rsid w:val="00B95CE4"/>
    <w:rsid w:val="00B95DCE"/>
    <w:rsid w:val="00B971FA"/>
    <w:rsid w:val="00B976A3"/>
    <w:rsid w:val="00B97921"/>
    <w:rsid w:val="00BA0046"/>
    <w:rsid w:val="00BA0646"/>
    <w:rsid w:val="00BA064C"/>
    <w:rsid w:val="00BA09D4"/>
    <w:rsid w:val="00BA13E1"/>
    <w:rsid w:val="00BA1CE8"/>
    <w:rsid w:val="00BA1F63"/>
    <w:rsid w:val="00BA266B"/>
    <w:rsid w:val="00BA284E"/>
    <w:rsid w:val="00BA2EE4"/>
    <w:rsid w:val="00BA5278"/>
    <w:rsid w:val="00BA5788"/>
    <w:rsid w:val="00BA59B0"/>
    <w:rsid w:val="00BA60A8"/>
    <w:rsid w:val="00BA61E3"/>
    <w:rsid w:val="00BA796A"/>
    <w:rsid w:val="00BA7CF9"/>
    <w:rsid w:val="00BB001D"/>
    <w:rsid w:val="00BB00EA"/>
    <w:rsid w:val="00BB1992"/>
    <w:rsid w:val="00BB1FB9"/>
    <w:rsid w:val="00BB3475"/>
    <w:rsid w:val="00BB3866"/>
    <w:rsid w:val="00BB3EB4"/>
    <w:rsid w:val="00BB40F1"/>
    <w:rsid w:val="00BB4361"/>
    <w:rsid w:val="00BB4828"/>
    <w:rsid w:val="00BB5EC9"/>
    <w:rsid w:val="00BB6AD3"/>
    <w:rsid w:val="00BB745C"/>
    <w:rsid w:val="00BB7663"/>
    <w:rsid w:val="00BB7784"/>
    <w:rsid w:val="00BB7FB8"/>
    <w:rsid w:val="00BC0598"/>
    <w:rsid w:val="00BC0C36"/>
    <w:rsid w:val="00BC19B7"/>
    <w:rsid w:val="00BC3BA0"/>
    <w:rsid w:val="00BC5146"/>
    <w:rsid w:val="00BC5D70"/>
    <w:rsid w:val="00BC67E5"/>
    <w:rsid w:val="00BC6A4E"/>
    <w:rsid w:val="00BC7A3D"/>
    <w:rsid w:val="00BD004E"/>
    <w:rsid w:val="00BD0A28"/>
    <w:rsid w:val="00BD1A63"/>
    <w:rsid w:val="00BD1E6F"/>
    <w:rsid w:val="00BD223E"/>
    <w:rsid w:val="00BD3615"/>
    <w:rsid w:val="00BD3811"/>
    <w:rsid w:val="00BD3817"/>
    <w:rsid w:val="00BD3997"/>
    <w:rsid w:val="00BD3A1A"/>
    <w:rsid w:val="00BD3B28"/>
    <w:rsid w:val="00BD40C6"/>
    <w:rsid w:val="00BD43F2"/>
    <w:rsid w:val="00BD43F3"/>
    <w:rsid w:val="00BD4412"/>
    <w:rsid w:val="00BD5A21"/>
    <w:rsid w:val="00BD660B"/>
    <w:rsid w:val="00BD68AC"/>
    <w:rsid w:val="00BD71F5"/>
    <w:rsid w:val="00BD7276"/>
    <w:rsid w:val="00BD79A0"/>
    <w:rsid w:val="00BD7C2E"/>
    <w:rsid w:val="00BE0555"/>
    <w:rsid w:val="00BE1666"/>
    <w:rsid w:val="00BE2AD0"/>
    <w:rsid w:val="00BE3E0D"/>
    <w:rsid w:val="00BE40EB"/>
    <w:rsid w:val="00BE4367"/>
    <w:rsid w:val="00BE475F"/>
    <w:rsid w:val="00BE6013"/>
    <w:rsid w:val="00BE6777"/>
    <w:rsid w:val="00BE6959"/>
    <w:rsid w:val="00BE6AA1"/>
    <w:rsid w:val="00BE6DD6"/>
    <w:rsid w:val="00BE77D0"/>
    <w:rsid w:val="00BE7A03"/>
    <w:rsid w:val="00BE7A06"/>
    <w:rsid w:val="00BE7F3A"/>
    <w:rsid w:val="00BE7F43"/>
    <w:rsid w:val="00BE7F87"/>
    <w:rsid w:val="00BF068A"/>
    <w:rsid w:val="00BF1B3C"/>
    <w:rsid w:val="00BF1B74"/>
    <w:rsid w:val="00BF1F54"/>
    <w:rsid w:val="00BF248C"/>
    <w:rsid w:val="00BF28DB"/>
    <w:rsid w:val="00BF2E6A"/>
    <w:rsid w:val="00BF3006"/>
    <w:rsid w:val="00BF3C10"/>
    <w:rsid w:val="00BF4086"/>
    <w:rsid w:val="00BF4595"/>
    <w:rsid w:val="00BF47D6"/>
    <w:rsid w:val="00BF5021"/>
    <w:rsid w:val="00BF5B75"/>
    <w:rsid w:val="00BF6518"/>
    <w:rsid w:val="00BF666E"/>
    <w:rsid w:val="00BF66FC"/>
    <w:rsid w:val="00BF6DB4"/>
    <w:rsid w:val="00BF7A25"/>
    <w:rsid w:val="00BF7A5C"/>
    <w:rsid w:val="00C004E0"/>
    <w:rsid w:val="00C0051E"/>
    <w:rsid w:val="00C00ADF"/>
    <w:rsid w:val="00C01ACD"/>
    <w:rsid w:val="00C01E36"/>
    <w:rsid w:val="00C024CB"/>
    <w:rsid w:val="00C0286C"/>
    <w:rsid w:val="00C02DFE"/>
    <w:rsid w:val="00C02E04"/>
    <w:rsid w:val="00C03CFF"/>
    <w:rsid w:val="00C0478D"/>
    <w:rsid w:val="00C049F6"/>
    <w:rsid w:val="00C053BC"/>
    <w:rsid w:val="00C05697"/>
    <w:rsid w:val="00C05C45"/>
    <w:rsid w:val="00C05DDD"/>
    <w:rsid w:val="00C0610C"/>
    <w:rsid w:val="00C0631A"/>
    <w:rsid w:val="00C064C8"/>
    <w:rsid w:val="00C0680E"/>
    <w:rsid w:val="00C06D04"/>
    <w:rsid w:val="00C06D4E"/>
    <w:rsid w:val="00C07273"/>
    <w:rsid w:val="00C072B1"/>
    <w:rsid w:val="00C076D9"/>
    <w:rsid w:val="00C10051"/>
    <w:rsid w:val="00C11AC1"/>
    <w:rsid w:val="00C11EB7"/>
    <w:rsid w:val="00C1263D"/>
    <w:rsid w:val="00C13B80"/>
    <w:rsid w:val="00C14159"/>
    <w:rsid w:val="00C14687"/>
    <w:rsid w:val="00C147F6"/>
    <w:rsid w:val="00C14A4C"/>
    <w:rsid w:val="00C14A8C"/>
    <w:rsid w:val="00C15622"/>
    <w:rsid w:val="00C16B32"/>
    <w:rsid w:val="00C177AF"/>
    <w:rsid w:val="00C201DE"/>
    <w:rsid w:val="00C20613"/>
    <w:rsid w:val="00C20694"/>
    <w:rsid w:val="00C208A2"/>
    <w:rsid w:val="00C20BD5"/>
    <w:rsid w:val="00C20EF0"/>
    <w:rsid w:val="00C2194B"/>
    <w:rsid w:val="00C21AB7"/>
    <w:rsid w:val="00C21E79"/>
    <w:rsid w:val="00C21F40"/>
    <w:rsid w:val="00C22213"/>
    <w:rsid w:val="00C2223D"/>
    <w:rsid w:val="00C24592"/>
    <w:rsid w:val="00C26E78"/>
    <w:rsid w:val="00C274AA"/>
    <w:rsid w:val="00C27711"/>
    <w:rsid w:val="00C27782"/>
    <w:rsid w:val="00C30D23"/>
    <w:rsid w:val="00C310B2"/>
    <w:rsid w:val="00C31438"/>
    <w:rsid w:val="00C31763"/>
    <w:rsid w:val="00C318E5"/>
    <w:rsid w:val="00C31A8A"/>
    <w:rsid w:val="00C31B33"/>
    <w:rsid w:val="00C320C6"/>
    <w:rsid w:val="00C32C65"/>
    <w:rsid w:val="00C3337C"/>
    <w:rsid w:val="00C33408"/>
    <w:rsid w:val="00C34042"/>
    <w:rsid w:val="00C342C8"/>
    <w:rsid w:val="00C35598"/>
    <w:rsid w:val="00C35663"/>
    <w:rsid w:val="00C358DA"/>
    <w:rsid w:val="00C3634B"/>
    <w:rsid w:val="00C36AD1"/>
    <w:rsid w:val="00C36E72"/>
    <w:rsid w:val="00C37644"/>
    <w:rsid w:val="00C40052"/>
    <w:rsid w:val="00C401B9"/>
    <w:rsid w:val="00C40970"/>
    <w:rsid w:val="00C4139C"/>
    <w:rsid w:val="00C41D40"/>
    <w:rsid w:val="00C4218C"/>
    <w:rsid w:val="00C422B4"/>
    <w:rsid w:val="00C42437"/>
    <w:rsid w:val="00C429FE"/>
    <w:rsid w:val="00C42A95"/>
    <w:rsid w:val="00C42C97"/>
    <w:rsid w:val="00C434C2"/>
    <w:rsid w:val="00C4368B"/>
    <w:rsid w:val="00C4564F"/>
    <w:rsid w:val="00C456D2"/>
    <w:rsid w:val="00C457F0"/>
    <w:rsid w:val="00C4593F"/>
    <w:rsid w:val="00C45A29"/>
    <w:rsid w:val="00C45A61"/>
    <w:rsid w:val="00C4634C"/>
    <w:rsid w:val="00C466DD"/>
    <w:rsid w:val="00C46E34"/>
    <w:rsid w:val="00C4748C"/>
    <w:rsid w:val="00C50263"/>
    <w:rsid w:val="00C512DF"/>
    <w:rsid w:val="00C5160D"/>
    <w:rsid w:val="00C51628"/>
    <w:rsid w:val="00C5266C"/>
    <w:rsid w:val="00C53095"/>
    <w:rsid w:val="00C53D1A"/>
    <w:rsid w:val="00C53EE4"/>
    <w:rsid w:val="00C54124"/>
    <w:rsid w:val="00C54944"/>
    <w:rsid w:val="00C54957"/>
    <w:rsid w:val="00C551EB"/>
    <w:rsid w:val="00C5536F"/>
    <w:rsid w:val="00C55BCF"/>
    <w:rsid w:val="00C56226"/>
    <w:rsid w:val="00C56277"/>
    <w:rsid w:val="00C56E43"/>
    <w:rsid w:val="00C56F84"/>
    <w:rsid w:val="00C5723F"/>
    <w:rsid w:val="00C57A77"/>
    <w:rsid w:val="00C57FB3"/>
    <w:rsid w:val="00C60379"/>
    <w:rsid w:val="00C60794"/>
    <w:rsid w:val="00C60DF9"/>
    <w:rsid w:val="00C614C5"/>
    <w:rsid w:val="00C614CE"/>
    <w:rsid w:val="00C61810"/>
    <w:rsid w:val="00C631AB"/>
    <w:rsid w:val="00C63523"/>
    <w:rsid w:val="00C64E03"/>
    <w:rsid w:val="00C66C40"/>
    <w:rsid w:val="00C675F3"/>
    <w:rsid w:val="00C679E7"/>
    <w:rsid w:val="00C67DAE"/>
    <w:rsid w:val="00C7114B"/>
    <w:rsid w:val="00C7119A"/>
    <w:rsid w:val="00C71508"/>
    <w:rsid w:val="00C7158E"/>
    <w:rsid w:val="00C7179B"/>
    <w:rsid w:val="00C71EC2"/>
    <w:rsid w:val="00C72664"/>
    <w:rsid w:val="00C72DB6"/>
    <w:rsid w:val="00C73B87"/>
    <w:rsid w:val="00C73D14"/>
    <w:rsid w:val="00C74244"/>
    <w:rsid w:val="00C74D92"/>
    <w:rsid w:val="00C74DEB"/>
    <w:rsid w:val="00C75871"/>
    <w:rsid w:val="00C75AFA"/>
    <w:rsid w:val="00C765D4"/>
    <w:rsid w:val="00C770BC"/>
    <w:rsid w:val="00C775A0"/>
    <w:rsid w:val="00C8035F"/>
    <w:rsid w:val="00C8096D"/>
    <w:rsid w:val="00C809E4"/>
    <w:rsid w:val="00C822DD"/>
    <w:rsid w:val="00C82C06"/>
    <w:rsid w:val="00C8346C"/>
    <w:rsid w:val="00C835F1"/>
    <w:rsid w:val="00C83FCD"/>
    <w:rsid w:val="00C84B64"/>
    <w:rsid w:val="00C84D53"/>
    <w:rsid w:val="00C851A3"/>
    <w:rsid w:val="00C856BD"/>
    <w:rsid w:val="00C8619C"/>
    <w:rsid w:val="00C8635E"/>
    <w:rsid w:val="00C864CB"/>
    <w:rsid w:val="00C869B9"/>
    <w:rsid w:val="00C8773B"/>
    <w:rsid w:val="00C87B7B"/>
    <w:rsid w:val="00C87BC4"/>
    <w:rsid w:val="00C87CDB"/>
    <w:rsid w:val="00C87F6D"/>
    <w:rsid w:val="00C90209"/>
    <w:rsid w:val="00C90290"/>
    <w:rsid w:val="00C90679"/>
    <w:rsid w:val="00C907AF"/>
    <w:rsid w:val="00C912E0"/>
    <w:rsid w:val="00C916EB"/>
    <w:rsid w:val="00C91A22"/>
    <w:rsid w:val="00C91E12"/>
    <w:rsid w:val="00C91F5C"/>
    <w:rsid w:val="00C925C9"/>
    <w:rsid w:val="00C92B9E"/>
    <w:rsid w:val="00C92EDD"/>
    <w:rsid w:val="00C9301B"/>
    <w:rsid w:val="00C938B5"/>
    <w:rsid w:val="00C93DE4"/>
    <w:rsid w:val="00CA0409"/>
    <w:rsid w:val="00CA0876"/>
    <w:rsid w:val="00CA18A0"/>
    <w:rsid w:val="00CA1E40"/>
    <w:rsid w:val="00CA2CAC"/>
    <w:rsid w:val="00CA41DB"/>
    <w:rsid w:val="00CA4F51"/>
    <w:rsid w:val="00CA526A"/>
    <w:rsid w:val="00CA56EF"/>
    <w:rsid w:val="00CA572D"/>
    <w:rsid w:val="00CA6002"/>
    <w:rsid w:val="00CA6B9D"/>
    <w:rsid w:val="00CA70BA"/>
    <w:rsid w:val="00CA7181"/>
    <w:rsid w:val="00CA7E40"/>
    <w:rsid w:val="00CA7F24"/>
    <w:rsid w:val="00CB0023"/>
    <w:rsid w:val="00CB0062"/>
    <w:rsid w:val="00CB0ECE"/>
    <w:rsid w:val="00CB2843"/>
    <w:rsid w:val="00CB296C"/>
    <w:rsid w:val="00CB3070"/>
    <w:rsid w:val="00CB391C"/>
    <w:rsid w:val="00CB3A5F"/>
    <w:rsid w:val="00CB3C7A"/>
    <w:rsid w:val="00CB3D98"/>
    <w:rsid w:val="00CB4C4D"/>
    <w:rsid w:val="00CB56FC"/>
    <w:rsid w:val="00CB5D35"/>
    <w:rsid w:val="00CB655D"/>
    <w:rsid w:val="00CB6C83"/>
    <w:rsid w:val="00CB6D7E"/>
    <w:rsid w:val="00CB6E06"/>
    <w:rsid w:val="00CB6F85"/>
    <w:rsid w:val="00CB705E"/>
    <w:rsid w:val="00CB72BB"/>
    <w:rsid w:val="00CB7D83"/>
    <w:rsid w:val="00CC07A1"/>
    <w:rsid w:val="00CC0B66"/>
    <w:rsid w:val="00CC15FC"/>
    <w:rsid w:val="00CC17D3"/>
    <w:rsid w:val="00CC1AD3"/>
    <w:rsid w:val="00CC1F18"/>
    <w:rsid w:val="00CC236E"/>
    <w:rsid w:val="00CC293D"/>
    <w:rsid w:val="00CC3461"/>
    <w:rsid w:val="00CC3633"/>
    <w:rsid w:val="00CC3D17"/>
    <w:rsid w:val="00CC44CB"/>
    <w:rsid w:val="00CC4854"/>
    <w:rsid w:val="00CC4C9A"/>
    <w:rsid w:val="00CC5118"/>
    <w:rsid w:val="00CC5963"/>
    <w:rsid w:val="00CC659C"/>
    <w:rsid w:val="00CC6AF0"/>
    <w:rsid w:val="00CC6B8C"/>
    <w:rsid w:val="00CC6E5B"/>
    <w:rsid w:val="00CC745A"/>
    <w:rsid w:val="00CC7A6C"/>
    <w:rsid w:val="00CD00DC"/>
    <w:rsid w:val="00CD07AE"/>
    <w:rsid w:val="00CD0E60"/>
    <w:rsid w:val="00CD0FC7"/>
    <w:rsid w:val="00CD1972"/>
    <w:rsid w:val="00CD1999"/>
    <w:rsid w:val="00CD22A0"/>
    <w:rsid w:val="00CD2B22"/>
    <w:rsid w:val="00CD3584"/>
    <w:rsid w:val="00CD3B14"/>
    <w:rsid w:val="00CD4081"/>
    <w:rsid w:val="00CD4262"/>
    <w:rsid w:val="00CD49E9"/>
    <w:rsid w:val="00CD4BE8"/>
    <w:rsid w:val="00CD4CD7"/>
    <w:rsid w:val="00CD55B3"/>
    <w:rsid w:val="00CD5846"/>
    <w:rsid w:val="00CD667A"/>
    <w:rsid w:val="00CD6EC9"/>
    <w:rsid w:val="00CD78B3"/>
    <w:rsid w:val="00CD7B66"/>
    <w:rsid w:val="00CD7CB4"/>
    <w:rsid w:val="00CE000A"/>
    <w:rsid w:val="00CE06EF"/>
    <w:rsid w:val="00CE085D"/>
    <w:rsid w:val="00CE090A"/>
    <w:rsid w:val="00CE1222"/>
    <w:rsid w:val="00CE181F"/>
    <w:rsid w:val="00CE1CC3"/>
    <w:rsid w:val="00CE1DF3"/>
    <w:rsid w:val="00CE25C6"/>
    <w:rsid w:val="00CE4A4E"/>
    <w:rsid w:val="00CE502E"/>
    <w:rsid w:val="00CE57C0"/>
    <w:rsid w:val="00CE5AB2"/>
    <w:rsid w:val="00CE617C"/>
    <w:rsid w:val="00CE61E7"/>
    <w:rsid w:val="00CE6A59"/>
    <w:rsid w:val="00CE72E4"/>
    <w:rsid w:val="00CE74DA"/>
    <w:rsid w:val="00CE7B9D"/>
    <w:rsid w:val="00CE7C99"/>
    <w:rsid w:val="00CE7D9F"/>
    <w:rsid w:val="00CF0CFA"/>
    <w:rsid w:val="00CF0F38"/>
    <w:rsid w:val="00CF0F5F"/>
    <w:rsid w:val="00CF1622"/>
    <w:rsid w:val="00CF2716"/>
    <w:rsid w:val="00CF2D60"/>
    <w:rsid w:val="00CF2E62"/>
    <w:rsid w:val="00CF32FA"/>
    <w:rsid w:val="00CF3C38"/>
    <w:rsid w:val="00CF3CDD"/>
    <w:rsid w:val="00CF41DF"/>
    <w:rsid w:val="00CF4396"/>
    <w:rsid w:val="00CF4731"/>
    <w:rsid w:val="00CF4B82"/>
    <w:rsid w:val="00CF4F52"/>
    <w:rsid w:val="00CF5A68"/>
    <w:rsid w:val="00CF5A8B"/>
    <w:rsid w:val="00CF5BA0"/>
    <w:rsid w:val="00CF6235"/>
    <w:rsid w:val="00CF6645"/>
    <w:rsid w:val="00D00F0A"/>
    <w:rsid w:val="00D01280"/>
    <w:rsid w:val="00D012F9"/>
    <w:rsid w:val="00D01DFA"/>
    <w:rsid w:val="00D02272"/>
    <w:rsid w:val="00D02635"/>
    <w:rsid w:val="00D03BCB"/>
    <w:rsid w:val="00D04A53"/>
    <w:rsid w:val="00D04E25"/>
    <w:rsid w:val="00D05621"/>
    <w:rsid w:val="00D06102"/>
    <w:rsid w:val="00D06E74"/>
    <w:rsid w:val="00D0762C"/>
    <w:rsid w:val="00D07B57"/>
    <w:rsid w:val="00D107EC"/>
    <w:rsid w:val="00D11652"/>
    <w:rsid w:val="00D11CEB"/>
    <w:rsid w:val="00D11E74"/>
    <w:rsid w:val="00D121BF"/>
    <w:rsid w:val="00D1382F"/>
    <w:rsid w:val="00D13BD4"/>
    <w:rsid w:val="00D156B9"/>
    <w:rsid w:val="00D15DDA"/>
    <w:rsid w:val="00D15E98"/>
    <w:rsid w:val="00D15EF4"/>
    <w:rsid w:val="00D166BD"/>
    <w:rsid w:val="00D166F8"/>
    <w:rsid w:val="00D1762A"/>
    <w:rsid w:val="00D17BEC"/>
    <w:rsid w:val="00D17F76"/>
    <w:rsid w:val="00D20A68"/>
    <w:rsid w:val="00D20E5B"/>
    <w:rsid w:val="00D21558"/>
    <w:rsid w:val="00D21EEF"/>
    <w:rsid w:val="00D221FC"/>
    <w:rsid w:val="00D22351"/>
    <w:rsid w:val="00D231FF"/>
    <w:rsid w:val="00D23EAC"/>
    <w:rsid w:val="00D24041"/>
    <w:rsid w:val="00D25860"/>
    <w:rsid w:val="00D26094"/>
    <w:rsid w:val="00D2646C"/>
    <w:rsid w:val="00D26BE5"/>
    <w:rsid w:val="00D277A3"/>
    <w:rsid w:val="00D27CD4"/>
    <w:rsid w:val="00D30856"/>
    <w:rsid w:val="00D30B82"/>
    <w:rsid w:val="00D30BAC"/>
    <w:rsid w:val="00D313BD"/>
    <w:rsid w:val="00D3179F"/>
    <w:rsid w:val="00D318A2"/>
    <w:rsid w:val="00D31A78"/>
    <w:rsid w:val="00D31AF7"/>
    <w:rsid w:val="00D3346B"/>
    <w:rsid w:val="00D343B5"/>
    <w:rsid w:val="00D34EB1"/>
    <w:rsid w:val="00D35EF8"/>
    <w:rsid w:val="00D3686B"/>
    <w:rsid w:val="00D4119C"/>
    <w:rsid w:val="00D41BE8"/>
    <w:rsid w:val="00D42F23"/>
    <w:rsid w:val="00D4347E"/>
    <w:rsid w:val="00D4515D"/>
    <w:rsid w:val="00D45542"/>
    <w:rsid w:val="00D458C0"/>
    <w:rsid w:val="00D45A74"/>
    <w:rsid w:val="00D45A9A"/>
    <w:rsid w:val="00D46A33"/>
    <w:rsid w:val="00D47001"/>
    <w:rsid w:val="00D50D88"/>
    <w:rsid w:val="00D510ED"/>
    <w:rsid w:val="00D51280"/>
    <w:rsid w:val="00D51BA0"/>
    <w:rsid w:val="00D51E1B"/>
    <w:rsid w:val="00D51E4C"/>
    <w:rsid w:val="00D52543"/>
    <w:rsid w:val="00D52CD8"/>
    <w:rsid w:val="00D54239"/>
    <w:rsid w:val="00D546E9"/>
    <w:rsid w:val="00D5530B"/>
    <w:rsid w:val="00D553AE"/>
    <w:rsid w:val="00D553DD"/>
    <w:rsid w:val="00D5665F"/>
    <w:rsid w:val="00D56EF3"/>
    <w:rsid w:val="00D572DC"/>
    <w:rsid w:val="00D57499"/>
    <w:rsid w:val="00D5753E"/>
    <w:rsid w:val="00D57CDE"/>
    <w:rsid w:val="00D57D1F"/>
    <w:rsid w:val="00D6022F"/>
    <w:rsid w:val="00D602BE"/>
    <w:rsid w:val="00D6037F"/>
    <w:rsid w:val="00D6054A"/>
    <w:rsid w:val="00D61064"/>
    <w:rsid w:val="00D612D3"/>
    <w:rsid w:val="00D61312"/>
    <w:rsid w:val="00D618AC"/>
    <w:rsid w:val="00D62EAE"/>
    <w:rsid w:val="00D63D92"/>
    <w:rsid w:val="00D648D7"/>
    <w:rsid w:val="00D66952"/>
    <w:rsid w:val="00D70F5A"/>
    <w:rsid w:val="00D713AA"/>
    <w:rsid w:val="00D71A10"/>
    <w:rsid w:val="00D71C1F"/>
    <w:rsid w:val="00D71D09"/>
    <w:rsid w:val="00D722DF"/>
    <w:rsid w:val="00D741D5"/>
    <w:rsid w:val="00D744DE"/>
    <w:rsid w:val="00D74B1F"/>
    <w:rsid w:val="00D74C61"/>
    <w:rsid w:val="00D74F48"/>
    <w:rsid w:val="00D75725"/>
    <w:rsid w:val="00D759C1"/>
    <w:rsid w:val="00D75DC2"/>
    <w:rsid w:val="00D764AE"/>
    <w:rsid w:val="00D766FD"/>
    <w:rsid w:val="00D76ED4"/>
    <w:rsid w:val="00D770CE"/>
    <w:rsid w:val="00D77892"/>
    <w:rsid w:val="00D801B7"/>
    <w:rsid w:val="00D8042A"/>
    <w:rsid w:val="00D807DD"/>
    <w:rsid w:val="00D81276"/>
    <w:rsid w:val="00D81C38"/>
    <w:rsid w:val="00D81E77"/>
    <w:rsid w:val="00D82B1B"/>
    <w:rsid w:val="00D82D6E"/>
    <w:rsid w:val="00D8346F"/>
    <w:rsid w:val="00D839FD"/>
    <w:rsid w:val="00D8462F"/>
    <w:rsid w:val="00D84B86"/>
    <w:rsid w:val="00D84F82"/>
    <w:rsid w:val="00D85AE3"/>
    <w:rsid w:val="00D85D2B"/>
    <w:rsid w:val="00D8632C"/>
    <w:rsid w:val="00D865D8"/>
    <w:rsid w:val="00D86A5C"/>
    <w:rsid w:val="00D86B09"/>
    <w:rsid w:val="00D8718E"/>
    <w:rsid w:val="00D87879"/>
    <w:rsid w:val="00D87D71"/>
    <w:rsid w:val="00D908EA"/>
    <w:rsid w:val="00D90DF3"/>
    <w:rsid w:val="00D90E13"/>
    <w:rsid w:val="00D91A66"/>
    <w:rsid w:val="00D92A83"/>
    <w:rsid w:val="00D93978"/>
    <w:rsid w:val="00D939CD"/>
    <w:rsid w:val="00D93BB6"/>
    <w:rsid w:val="00D93F44"/>
    <w:rsid w:val="00D9432B"/>
    <w:rsid w:val="00D94E18"/>
    <w:rsid w:val="00D94FFF"/>
    <w:rsid w:val="00D959D2"/>
    <w:rsid w:val="00D95BAC"/>
    <w:rsid w:val="00D961B0"/>
    <w:rsid w:val="00D962C1"/>
    <w:rsid w:val="00D96C03"/>
    <w:rsid w:val="00D96CB2"/>
    <w:rsid w:val="00D977B4"/>
    <w:rsid w:val="00D97BC0"/>
    <w:rsid w:val="00D97D0C"/>
    <w:rsid w:val="00DA00D0"/>
    <w:rsid w:val="00DA08A4"/>
    <w:rsid w:val="00DA0CED"/>
    <w:rsid w:val="00DA10F5"/>
    <w:rsid w:val="00DA122A"/>
    <w:rsid w:val="00DA164F"/>
    <w:rsid w:val="00DA1967"/>
    <w:rsid w:val="00DA253B"/>
    <w:rsid w:val="00DA38E3"/>
    <w:rsid w:val="00DA4847"/>
    <w:rsid w:val="00DA4B11"/>
    <w:rsid w:val="00DA4F01"/>
    <w:rsid w:val="00DA51C9"/>
    <w:rsid w:val="00DA528A"/>
    <w:rsid w:val="00DA55DB"/>
    <w:rsid w:val="00DA5671"/>
    <w:rsid w:val="00DA5C27"/>
    <w:rsid w:val="00DA68F3"/>
    <w:rsid w:val="00DA6A95"/>
    <w:rsid w:val="00DA6B52"/>
    <w:rsid w:val="00DA6D22"/>
    <w:rsid w:val="00DA7312"/>
    <w:rsid w:val="00DA7757"/>
    <w:rsid w:val="00DB040C"/>
    <w:rsid w:val="00DB053A"/>
    <w:rsid w:val="00DB0926"/>
    <w:rsid w:val="00DB0FF9"/>
    <w:rsid w:val="00DB16D0"/>
    <w:rsid w:val="00DB2269"/>
    <w:rsid w:val="00DB2308"/>
    <w:rsid w:val="00DB3ED8"/>
    <w:rsid w:val="00DB4773"/>
    <w:rsid w:val="00DB52A8"/>
    <w:rsid w:val="00DB5B9F"/>
    <w:rsid w:val="00DB5F6B"/>
    <w:rsid w:val="00DB6C93"/>
    <w:rsid w:val="00DB6ECB"/>
    <w:rsid w:val="00DB7B08"/>
    <w:rsid w:val="00DC0BA5"/>
    <w:rsid w:val="00DC1D9A"/>
    <w:rsid w:val="00DC2F60"/>
    <w:rsid w:val="00DC337E"/>
    <w:rsid w:val="00DC513C"/>
    <w:rsid w:val="00DC5455"/>
    <w:rsid w:val="00DC6A9A"/>
    <w:rsid w:val="00DC7EB0"/>
    <w:rsid w:val="00DD0C5B"/>
    <w:rsid w:val="00DD1C06"/>
    <w:rsid w:val="00DD1C3E"/>
    <w:rsid w:val="00DD1EC4"/>
    <w:rsid w:val="00DD2944"/>
    <w:rsid w:val="00DD2A76"/>
    <w:rsid w:val="00DD2AEF"/>
    <w:rsid w:val="00DD3491"/>
    <w:rsid w:val="00DD35C8"/>
    <w:rsid w:val="00DD366C"/>
    <w:rsid w:val="00DD377F"/>
    <w:rsid w:val="00DD3C2D"/>
    <w:rsid w:val="00DD5364"/>
    <w:rsid w:val="00DD5383"/>
    <w:rsid w:val="00DD5F5C"/>
    <w:rsid w:val="00DD6083"/>
    <w:rsid w:val="00DD61CD"/>
    <w:rsid w:val="00DD61EC"/>
    <w:rsid w:val="00DD758A"/>
    <w:rsid w:val="00DD774B"/>
    <w:rsid w:val="00DD7E52"/>
    <w:rsid w:val="00DD7F38"/>
    <w:rsid w:val="00DE0C4B"/>
    <w:rsid w:val="00DE121E"/>
    <w:rsid w:val="00DE1414"/>
    <w:rsid w:val="00DE17C0"/>
    <w:rsid w:val="00DE2490"/>
    <w:rsid w:val="00DE25BA"/>
    <w:rsid w:val="00DE28CB"/>
    <w:rsid w:val="00DE3512"/>
    <w:rsid w:val="00DE35EA"/>
    <w:rsid w:val="00DE418C"/>
    <w:rsid w:val="00DE41AD"/>
    <w:rsid w:val="00DE4611"/>
    <w:rsid w:val="00DE54A7"/>
    <w:rsid w:val="00DE555E"/>
    <w:rsid w:val="00DE57DA"/>
    <w:rsid w:val="00DE62A6"/>
    <w:rsid w:val="00DE6411"/>
    <w:rsid w:val="00DE668C"/>
    <w:rsid w:val="00DE6B47"/>
    <w:rsid w:val="00DF0139"/>
    <w:rsid w:val="00DF0CAD"/>
    <w:rsid w:val="00DF0EBD"/>
    <w:rsid w:val="00DF10D8"/>
    <w:rsid w:val="00DF13AE"/>
    <w:rsid w:val="00DF1499"/>
    <w:rsid w:val="00DF1C55"/>
    <w:rsid w:val="00DF2F7F"/>
    <w:rsid w:val="00DF3A00"/>
    <w:rsid w:val="00DF464B"/>
    <w:rsid w:val="00DF5136"/>
    <w:rsid w:val="00DF5563"/>
    <w:rsid w:val="00DF56BE"/>
    <w:rsid w:val="00DF5FDB"/>
    <w:rsid w:val="00DF6BA3"/>
    <w:rsid w:val="00DF6F77"/>
    <w:rsid w:val="00DF767D"/>
    <w:rsid w:val="00DF76D9"/>
    <w:rsid w:val="00E00232"/>
    <w:rsid w:val="00E006EE"/>
    <w:rsid w:val="00E00C51"/>
    <w:rsid w:val="00E013BC"/>
    <w:rsid w:val="00E01808"/>
    <w:rsid w:val="00E01B55"/>
    <w:rsid w:val="00E02006"/>
    <w:rsid w:val="00E026CD"/>
    <w:rsid w:val="00E026D8"/>
    <w:rsid w:val="00E02E6B"/>
    <w:rsid w:val="00E0319A"/>
    <w:rsid w:val="00E03388"/>
    <w:rsid w:val="00E03F9F"/>
    <w:rsid w:val="00E045FF"/>
    <w:rsid w:val="00E0471B"/>
    <w:rsid w:val="00E04D4D"/>
    <w:rsid w:val="00E04FD3"/>
    <w:rsid w:val="00E051CD"/>
    <w:rsid w:val="00E052D8"/>
    <w:rsid w:val="00E058E1"/>
    <w:rsid w:val="00E05A22"/>
    <w:rsid w:val="00E068A0"/>
    <w:rsid w:val="00E07049"/>
    <w:rsid w:val="00E073E6"/>
    <w:rsid w:val="00E1046B"/>
    <w:rsid w:val="00E106EF"/>
    <w:rsid w:val="00E1103F"/>
    <w:rsid w:val="00E1131E"/>
    <w:rsid w:val="00E11908"/>
    <w:rsid w:val="00E11986"/>
    <w:rsid w:val="00E11C27"/>
    <w:rsid w:val="00E11EA5"/>
    <w:rsid w:val="00E12636"/>
    <w:rsid w:val="00E12D0F"/>
    <w:rsid w:val="00E12EF6"/>
    <w:rsid w:val="00E132DC"/>
    <w:rsid w:val="00E13766"/>
    <w:rsid w:val="00E1409A"/>
    <w:rsid w:val="00E147C6"/>
    <w:rsid w:val="00E14824"/>
    <w:rsid w:val="00E14CA9"/>
    <w:rsid w:val="00E14CEA"/>
    <w:rsid w:val="00E14D77"/>
    <w:rsid w:val="00E15057"/>
    <w:rsid w:val="00E15B12"/>
    <w:rsid w:val="00E15CB0"/>
    <w:rsid w:val="00E15FC5"/>
    <w:rsid w:val="00E16CB7"/>
    <w:rsid w:val="00E201A5"/>
    <w:rsid w:val="00E201E1"/>
    <w:rsid w:val="00E203E8"/>
    <w:rsid w:val="00E209F0"/>
    <w:rsid w:val="00E21145"/>
    <w:rsid w:val="00E215BC"/>
    <w:rsid w:val="00E21EE7"/>
    <w:rsid w:val="00E23157"/>
    <w:rsid w:val="00E23615"/>
    <w:rsid w:val="00E23965"/>
    <w:rsid w:val="00E23A7E"/>
    <w:rsid w:val="00E23D25"/>
    <w:rsid w:val="00E254D1"/>
    <w:rsid w:val="00E25DA9"/>
    <w:rsid w:val="00E269E4"/>
    <w:rsid w:val="00E27EDD"/>
    <w:rsid w:val="00E30D13"/>
    <w:rsid w:val="00E30FB6"/>
    <w:rsid w:val="00E31234"/>
    <w:rsid w:val="00E312A8"/>
    <w:rsid w:val="00E319E8"/>
    <w:rsid w:val="00E31E14"/>
    <w:rsid w:val="00E330D6"/>
    <w:rsid w:val="00E33160"/>
    <w:rsid w:val="00E33194"/>
    <w:rsid w:val="00E336F5"/>
    <w:rsid w:val="00E33793"/>
    <w:rsid w:val="00E33953"/>
    <w:rsid w:val="00E34796"/>
    <w:rsid w:val="00E34BCF"/>
    <w:rsid w:val="00E35D53"/>
    <w:rsid w:val="00E3609E"/>
    <w:rsid w:val="00E360B8"/>
    <w:rsid w:val="00E36C0D"/>
    <w:rsid w:val="00E373C5"/>
    <w:rsid w:val="00E37E19"/>
    <w:rsid w:val="00E4026A"/>
    <w:rsid w:val="00E4043F"/>
    <w:rsid w:val="00E40717"/>
    <w:rsid w:val="00E40FF9"/>
    <w:rsid w:val="00E42D62"/>
    <w:rsid w:val="00E4400D"/>
    <w:rsid w:val="00E44218"/>
    <w:rsid w:val="00E46482"/>
    <w:rsid w:val="00E476C0"/>
    <w:rsid w:val="00E501A4"/>
    <w:rsid w:val="00E502B4"/>
    <w:rsid w:val="00E51841"/>
    <w:rsid w:val="00E525F1"/>
    <w:rsid w:val="00E52C53"/>
    <w:rsid w:val="00E5320F"/>
    <w:rsid w:val="00E53310"/>
    <w:rsid w:val="00E53934"/>
    <w:rsid w:val="00E53CD6"/>
    <w:rsid w:val="00E54FA2"/>
    <w:rsid w:val="00E56396"/>
    <w:rsid w:val="00E56EC2"/>
    <w:rsid w:val="00E5729B"/>
    <w:rsid w:val="00E57345"/>
    <w:rsid w:val="00E607C5"/>
    <w:rsid w:val="00E609EF"/>
    <w:rsid w:val="00E60C99"/>
    <w:rsid w:val="00E614FF"/>
    <w:rsid w:val="00E61BD3"/>
    <w:rsid w:val="00E65A57"/>
    <w:rsid w:val="00E660DF"/>
    <w:rsid w:val="00E665CB"/>
    <w:rsid w:val="00E66E52"/>
    <w:rsid w:val="00E6742D"/>
    <w:rsid w:val="00E67759"/>
    <w:rsid w:val="00E708A1"/>
    <w:rsid w:val="00E70AEC"/>
    <w:rsid w:val="00E719BC"/>
    <w:rsid w:val="00E71F3A"/>
    <w:rsid w:val="00E7216A"/>
    <w:rsid w:val="00E726BB"/>
    <w:rsid w:val="00E72826"/>
    <w:rsid w:val="00E72AC0"/>
    <w:rsid w:val="00E72B77"/>
    <w:rsid w:val="00E72CB3"/>
    <w:rsid w:val="00E72F87"/>
    <w:rsid w:val="00E73546"/>
    <w:rsid w:val="00E737C8"/>
    <w:rsid w:val="00E747C2"/>
    <w:rsid w:val="00E74AB0"/>
    <w:rsid w:val="00E7552F"/>
    <w:rsid w:val="00E755C9"/>
    <w:rsid w:val="00E757B1"/>
    <w:rsid w:val="00E75E37"/>
    <w:rsid w:val="00E75FF4"/>
    <w:rsid w:val="00E7600B"/>
    <w:rsid w:val="00E762DA"/>
    <w:rsid w:val="00E76BFC"/>
    <w:rsid w:val="00E777C6"/>
    <w:rsid w:val="00E7790E"/>
    <w:rsid w:val="00E77A2E"/>
    <w:rsid w:val="00E77DD0"/>
    <w:rsid w:val="00E80011"/>
    <w:rsid w:val="00E803E1"/>
    <w:rsid w:val="00E80472"/>
    <w:rsid w:val="00E81232"/>
    <w:rsid w:val="00E81EC8"/>
    <w:rsid w:val="00E81FFB"/>
    <w:rsid w:val="00E8271E"/>
    <w:rsid w:val="00E82B62"/>
    <w:rsid w:val="00E82FB2"/>
    <w:rsid w:val="00E8405D"/>
    <w:rsid w:val="00E84230"/>
    <w:rsid w:val="00E856C0"/>
    <w:rsid w:val="00E858FF"/>
    <w:rsid w:val="00E86329"/>
    <w:rsid w:val="00E86405"/>
    <w:rsid w:val="00E86620"/>
    <w:rsid w:val="00E86D18"/>
    <w:rsid w:val="00E870B3"/>
    <w:rsid w:val="00E87C58"/>
    <w:rsid w:val="00E87F3C"/>
    <w:rsid w:val="00E90532"/>
    <w:rsid w:val="00E90750"/>
    <w:rsid w:val="00E90FA7"/>
    <w:rsid w:val="00E91993"/>
    <w:rsid w:val="00E91E3B"/>
    <w:rsid w:val="00E92498"/>
    <w:rsid w:val="00E9272E"/>
    <w:rsid w:val="00E92816"/>
    <w:rsid w:val="00E92EA8"/>
    <w:rsid w:val="00E9351F"/>
    <w:rsid w:val="00E939E1"/>
    <w:rsid w:val="00E94032"/>
    <w:rsid w:val="00E94303"/>
    <w:rsid w:val="00E948C6"/>
    <w:rsid w:val="00E9733C"/>
    <w:rsid w:val="00E9744D"/>
    <w:rsid w:val="00E9771C"/>
    <w:rsid w:val="00E97828"/>
    <w:rsid w:val="00E97E26"/>
    <w:rsid w:val="00EA0B46"/>
    <w:rsid w:val="00EA0F80"/>
    <w:rsid w:val="00EA0FCE"/>
    <w:rsid w:val="00EA1842"/>
    <w:rsid w:val="00EA1C66"/>
    <w:rsid w:val="00EA21DB"/>
    <w:rsid w:val="00EA2893"/>
    <w:rsid w:val="00EA2AAA"/>
    <w:rsid w:val="00EA2F26"/>
    <w:rsid w:val="00EA3813"/>
    <w:rsid w:val="00EA3A45"/>
    <w:rsid w:val="00EA3DF2"/>
    <w:rsid w:val="00EA46D7"/>
    <w:rsid w:val="00EA4764"/>
    <w:rsid w:val="00EA4E3D"/>
    <w:rsid w:val="00EA4F2A"/>
    <w:rsid w:val="00EA50B6"/>
    <w:rsid w:val="00EA52E3"/>
    <w:rsid w:val="00EA54E6"/>
    <w:rsid w:val="00EA572F"/>
    <w:rsid w:val="00EA5931"/>
    <w:rsid w:val="00EA5D2A"/>
    <w:rsid w:val="00EA6573"/>
    <w:rsid w:val="00EA6D10"/>
    <w:rsid w:val="00EA71AA"/>
    <w:rsid w:val="00EA74BF"/>
    <w:rsid w:val="00EA7F20"/>
    <w:rsid w:val="00EB0204"/>
    <w:rsid w:val="00EB0872"/>
    <w:rsid w:val="00EB0EC7"/>
    <w:rsid w:val="00EB10EA"/>
    <w:rsid w:val="00EB21C9"/>
    <w:rsid w:val="00EB2EDC"/>
    <w:rsid w:val="00EB3985"/>
    <w:rsid w:val="00EB3BDF"/>
    <w:rsid w:val="00EB416B"/>
    <w:rsid w:val="00EB4194"/>
    <w:rsid w:val="00EB4797"/>
    <w:rsid w:val="00EB4D50"/>
    <w:rsid w:val="00EB5BF7"/>
    <w:rsid w:val="00EB6C20"/>
    <w:rsid w:val="00EB74D2"/>
    <w:rsid w:val="00EC04E5"/>
    <w:rsid w:val="00EC0633"/>
    <w:rsid w:val="00EC06AC"/>
    <w:rsid w:val="00EC101A"/>
    <w:rsid w:val="00EC2530"/>
    <w:rsid w:val="00EC27A6"/>
    <w:rsid w:val="00EC2BA9"/>
    <w:rsid w:val="00EC2F06"/>
    <w:rsid w:val="00EC3EBA"/>
    <w:rsid w:val="00EC4332"/>
    <w:rsid w:val="00EC62B5"/>
    <w:rsid w:val="00EC63C4"/>
    <w:rsid w:val="00EC66FE"/>
    <w:rsid w:val="00EC6EF9"/>
    <w:rsid w:val="00EC6F86"/>
    <w:rsid w:val="00EC70A4"/>
    <w:rsid w:val="00EC78BD"/>
    <w:rsid w:val="00EC7CB5"/>
    <w:rsid w:val="00ED078C"/>
    <w:rsid w:val="00ED0846"/>
    <w:rsid w:val="00ED0EE9"/>
    <w:rsid w:val="00ED1EFF"/>
    <w:rsid w:val="00ED2290"/>
    <w:rsid w:val="00ED2C3E"/>
    <w:rsid w:val="00ED30C4"/>
    <w:rsid w:val="00ED389A"/>
    <w:rsid w:val="00ED3BEA"/>
    <w:rsid w:val="00ED3E76"/>
    <w:rsid w:val="00ED43FA"/>
    <w:rsid w:val="00ED48B0"/>
    <w:rsid w:val="00ED4F04"/>
    <w:rsid w:val="00ED5826"/>
    <w:rsid w:val="00ED585D"/>
    <w:rsid w:val="00ED6517"/>
    <w:rsid w:val="00ED6901"/>
    <w:rsid w:val="00ED6C2F"/>
    <w:rsid w:val="00ED77FE"/>
    <w:rsid w:val="00EE0367"/>
    <w:rsid w:val="00EE0554"/>
    <w:rsid w:val="00EE0C44"/>
    <w:rsid w:val="00EE0C96"/>
    <w:rsid w:val="00EE1512"/>
    <w:rsid w:val="00EE2614"/>
    <w:rsid w:val="00EE26D6"/>
    <w:rsid w:val="00EE2AFE"/>
    <w:rsid w:val="00EE30B0"/>
    <w:rsid w:val="00EE369D"/>
    <w:rsid w:val="00EE3BDF"/>
    <w:rsid w:val="00EE4115"/>
    <w:rsid w:val="00EE4419"/>
    <w:rsid w:val="00EE4596"/>
    <w:rsid w:val="00EE4DBB"/>
    <w:rsid w:val="00EE52D9"/>
    <w:rsid w:val="00EE57DE"/>
    <w:rsid w:val="00EE5BA2"/>
    <w:rsid w:val="00EE5C8B"/>
    <w:rsid w:val="00EE60C3"/>
    <w:rsid w:val="00EE6CE3"/>
    <w:rsid w:val="00EE75B2"/>
    <w:rsid w:val="00EE77ED"/>
    <w:rsid w:val="00EF037C"/>
    <w:rsid w:val="00EF0E4C"/>
    <w:rsid w:val="00EF104B"/>
    <w:rsid w:val="00EF159A"/>
    <w:rsid w:val="00EF18CE"/>
    <w:rsid w:val="00EF33C8"/>
    <w:rsid w:val="00EF384C"/>
    <w:rsid w:val="00EF439F"/>
    <w:rsid w:val="00EF441B"/>
    <w:rsid w:val="00EF4432"/>
    <w:rsid w:val="00EF4ABA"/>
    <w:rsid w:val="00EF4C06"/>
    <w:rsid w:val="00EF4EEB"/>
    <w:rsid w:val="00EF54B1"/>
    <w:rsid w:val="00EF58B8"/>
    <w:rsid w:val="00EF5C9C"/>
    <w:rsid w:val="00EF6A28"/>
    <w:rsid w:val="00EF6F2C"/>
    <w:rsid w:val="00EF7550"/>
    <w:rsid w:val="00EF7634"/>
    <w:rsid w:val="00EF7781"/>
    <w:rsid w:val="00EF7786"/>
    <w:rsid w:val="00EF7D05"/>
    <w:rsid w:val="00F0023B"/>
    <w:rsid w:val="00F002C7"/>
    <w:rsid w:val="00F00A9B"/>
    <w:rsid w:val="00F01103"/>
    <w:rsid w:val="00F0134D"/>
    <w:rsid w:val="00F02005"/>
    <w:rsid w:val="00F04428"/>
    <w:rsid w:val="00F05916"/>
    <w:rsid w:val="00F05966"/>
    <w:rsid w:val="00F05EC7"/>
    <w:rsid w:val="00F064DD"/>
    <w:rsid w:val="00F069E4"/>
    <w:rsid w:val="00F06DBC"/>
    <w:rsid w:val="00F07A5A"/>
    <w:rsid w:val="00F07C34"/>
    <w:rsid w:val="00F1079F"/>
    <w:rsid w:val="00F10ED9"/>
    <w:rsid w:val="00F11C14"/>
    <w:rsid w:val="00F11EB9"/>
    <w:rsid w:val="00F12027"/>
    <w:rsid w:val="00F12411"/>
    <w:rsid w:val="00F128F0"/>
    <w:rsid w:val="00F12A01"/>
    <w:rsid w:val="00F12E4F"/>
    <w:rsid w:val="00F13DA3"/>
    <w:rsid w:val="00F13FA6"/>
    <w:rsid w:val="00F14799"/>
    <w:rsid w:val="00F14B57"/>
    <w:rsid w:val="00F154BC"/>
    <w:rsid w:val="00F160EC"/>
    <w:rsid w:val="00F1663A"/>
    <w:rsid w:val="00F16EAE"/>
    <w:rsid w:val="00F172B8"/>
    <w:rsid w:val="00F17919"/>
    <w:rsid w:val="00F2001D"/>
    <w:rsid w:val="00F20163"/>
    <w:rsid w:val="00F218C2"/>
    <w:rsid w:val="00F21B86"/>
    <w:rsid w:val="00F21C66"/>
    <w:rsid w:val="00F22156"/>
    <w:rsid w:val="00F222D7"/>
    <w:rsid w:val="00F22C0D"/>
    <w:rsid w:val="00F23481"/>
    <w:rsid w:val="00F239FD"/>
    <w:rsid w:val="00F23C8E"/>
    <w:rsid w:val="00F24739"/>
    <w:rsid w:val="00F24744"/>
    <w:rsid w:val="00F24CB0"/>
    <w:rsid w:val="00F25686"/>
    <w:rsid w:val="00F25850"/>
    <w:rsid w:val="00F2596C"/>
    <w:rsid w:val="00F25EDA"/>
    <w:rsid w:val="00F26C84"/>
    <w:rsid w:val="00F272CA"/>
    <w:rsid w:val="00F2764B"/>
    <w:rsid w:val="00F27CB5"/>
    <w:rsid w:val="00F27CC2"/>
    <w:rsid w:val="00F303F2"/>
    <w:rsid w:val="00F30AEA"/>
    <w:rsid w:val="00F30FA5"/>
    <w:rsid w:val="00F31433"/>
    <w:rsid w:val="00F31C10"/>
    <w:rsid w:val="00F32A8F"/>
    <w:rsid w:val="00F33F1A"/>
    <w:rsid w:val="00F34378"/>
    <w:rsid w:val="00F34675"/>
    <w:rsid w:val="00F348EC"/>
    <w:rsid w:val="00F3559F"/>
    <w:rsid w:val="00F35A1D"/>
    <w:rsid w:val="00F360A5"/>
    <w:rsid w:val="00F360FF"/>
    <w:rsid w:val="00F36444"/>
    <w:rsid w:val="00F366A3"/>
    <w:rsid w:val="00F36AEE"/>
    <w:rsid w:val="00F36BC1"/>
    <w:rsid w:val="00F40416"/>
    <w:rsid w:val="00F4084B"/>
    <w:rsid w:val="00F40C87"/>
    <w:rsid w:val="00F40E6D"/>
    <w:rsid w:val="00F4121B"/>
    <w:rsid w:val="00F41517"/>
    <w:rsid w:val="00F418A6"/>
    <w:rsid w:val="00F41ED4"/>
    <w:rsid w:val="00F42207"/>
    <w:rsid w:val="00F42A0A"/>
    <w:rsid w:val="00F42D04"/>
    <w:rsid w:val="00F43155"/>
    <w:rsid w:val="00F435E3"/>
    <w:rsid w:val="00F43E5A"/>
    <w:rsid w:val="00F44B6C"/>
    <w:rsid w:val="00F44FD6"/>
    <w:rsid w:val="00F461A9"/>
    <w:rsid w:val="00F46523"/>
    <w:rsid w:val="00F46843"/>
    <w:rsid w:val="00F46B5D"/>
    <w:rsid w:val="00F47B47"/>
    <w:rsid w:val="00F5017F"/>
    <w:rsid w:val="00F50626"/>
    <w:rsid w:val="00F50730"/>
    <w:rsid w:val="00F513E8"/>
    <w:rsid w:val="00F51724"/>
    <w:rsid w:val="00F518BD"/>
    <w:rsid w:val="00F52BC8"/>
    <w:rsid w:val="00F5301A"/>
    <w:rsid w:val="00F53205"/>
    <w:rsid w:val="00F5345F"/>
    <w:rsid w:val="00F534E7"/>
    <w:rsid w:val="00F53E19"/>
    <w:rsid w:val="00F54535"/>
    <w:rsid w:val="00F5466C"/>
    <w:rsid w:val="00F54915"/>
    <w:rsid w:val="00F5663D"/>
    <w:rsid w:val="00F569C2"/>
    <w:rsid w:val="00F5794B"/>
    <w:rsid w:val="00F57A5C"/>
    <w:rsid w:val="00F6097A"/>
    <w:rsid w:val="00F61AF7"/>
    <w:rsid w:val="00F61E19"/>
    <w:rsid w:val="00F62487"/>
    <w:rsid w:val="00F624E2"/>
    <w:rsid w:val="00F62D8E"/>
    <w:rsid w:val="00F65338"/>
    <w:rsid w:val="00F65622"/>
    <w:rsid w:val="00F661ED"/>
    <w:rsid w:val="00F679BD"/>
    <w:rsid w:val="00F7072F"/>
    <w:rsid w:val="00F709A7"/>
    <w:rsid w:val="00F70D5B"/>
    <w:rsid w:val="00F7184F"/>
    <w:rsid w:val="00F71AD8"/>
    <w:rsid w:val="00F73129"/>
    <w:rsid w:val="00F73269"/>
    <w:rsid w:val="00F734AC"/>
    <w:rsid w:val="00F734B4"/>
    <w:rsid w:val="00F73505"/>
    <w:rsid w:val="00F73678"/>
    <w:rsid w:val="00F73C38"/>
    <w:rsid w:val="00F745F4"/>
    <w:rsid w:val="00F746BB"/>
    <w:rsid w:val="00F74A75"/>
    <w:rsid w:val="00F763F5"/>
    <w:rsid w:val="00F77321"/>
    <w:rsid w:val="00F7792E"/>
    <w:rsid w:val="00F77CC6"/>
    <w:rsid w:val="00F801C4"/>
    <w:rsid w:val="00F80F6C"/>
    <w:rsid w:val="00F811DE"/>
    <w:rsid w:val="00F812A1"/>
    <w:rsid w:val="00F818AA"/>
    <w:rsid w:val="00F83E20"/>
    <w:rsid w:val="00F84C6F"/>
    <w:rsid w:val="00F84D10"/>
    <w:rsid w:val="00F84E00"/>
    <w:rsid w:val="00F853B6"/>
    <w:rsid w:val="00F854A0"/>
    <w:rsid w:val="00F86576"/>
    <w:rsid w:val="00F86D9C"/>
    <w:rsid w:val="00F86E56"/>
    <w:rsid w:val="00F8710C"/>
    <w:rsid w:val="00F8713C"/>
    <w:rsid w:val="00F8716A"/>
    <w:rsid w:val="00F8719F"/>
    <w:rsid w:val="00F873CD"/>
    <w:rsid w:val="00F874FA"/>
    <w:rsid w:val="00F876CB"/>
    <w:rsid w:val="00F900D2"/>
    <w:rsid w:val="00F909DD"/>
    <w:rsid w:val="00F90CD2"/>
    <w:rsid w:val="00F90ECE"/>
    <w:rsid w:val="00F9101B"/>
    <w:rsid w:val="00F939C3"/>
    <w:rsid w:val="00F93AF2"/>
    <w:rsid w:val="00F94200"/>
    <w:rsid w:val="00F94E9E"/>
    <w:rsid w:val="00F960A2"/>
    <w:rsid w:val="00F97603"/>
    <w:rsid w:val="00F97880"/>
    <w:rsid w:val="00F97F67"/>
    <w:rsid w:val="00FA00AB"/>
    <w:rsid w:val="00FA0190"/>
    <w:rsid w:val="00FA1252"/>
    <w:rsid w:val="00FA16D5"/>
    <w:rsid w:val="00FA1951"/>
    <w:rsid w:val="00FA1E06"/>
    <w:rsid w:val="00FA36FE"/>
    <w:rsid w:val="00FA3C83"/>
    <w:rsid w:val="00FA50AC"/>
    <w:rsid w:val="00FA52D9"/>
    <w:rsid w:val="00FA5501"/>
    <w:rsid w:val="00FA584F"/>
    <w:rsid w:val="00FA5F8B"/>
    <w:rsid w:val="00FA6048"/>
    <w:rsid w:val="00FA619A"/>
    <w:rsid w:val="00FA6A72"/>
    <w:rsid w:val="00FA7AC8"/>
    <w:rsid w:val="00FB01F1"/>
    <w:rsid w:val="00FB04B4"/>
    <w:rsid w:val="00FB0CD8"/>
    <w:rsid w:val="00FB0D7F"/>
    <w:rsid w:val="00FB0E46"/>
    <w:rsid w:val="00FB2637"/>
    <w:rsid w:val="00FB2A66"/>
    <w:rsid w:val="00FB2F17"/>
    <w:rsid w:val="00FB339B"/>
    <w:rsid w:val="00FB4573"/>
    <w:rsid w:val="00FB5835"/>
    <w:rsid w:val="00FB6A30"/>
    <w:rsid w:val="00FB719F"/>
    <w:rsid w:val="00FB7BB9"/>
    <w:rsid w:val="00FC1110"/>
    <w:rsid w:val="00FC1377"/>
    <w:rsid w:val="00FC13B0"/>
    <w:rsid w:val="00FC18A6"/>
    <w:rsid w:val="00FC19FE"/>
    <w:rsid w:val="00FC2464"/>
    <w:rsid w:val="00FC24F1"/>
    <w:rsid w:val="00FC280D"/>
    <w:rsid w:val="00FC28B6"/>
    <w:rsid w:val="00FC31AE"/>
    <w:rsid w:val="00FC3880"/>
    <w:rsid w:val="00FC3D2B"/>
    <w:rsid w:val="00FC3FC6"/>
    <w:rsid w:val="00FC4319"/>
    <w:rsid w:val="00FC44C9"/>
    <w:rsid w:val="00FC454E"/>
    <w:rsid w:val="00FC477B"/>
    <w:rsid w:val="00FC4D9D"/>
    <w:rsid w:val="00FC54C9"/>
    <w:rsid w:val="00FC5DE2"/>
    <w:rsid w:val="00FC6166"/>
    <w:rsid w:val="00FC659A"/>
    <w:rsid w:val="00FC6AF7"/>
    <w:rsid w:val="00FC7025"/>
    <w:rsid w:val="00FC7107"/>
    <w:rsid w:val="00FC7FE2"/>
    <w:rsid w:val="00FD0027"/>
    <w:rsid w:val="00FD0266"/>
    <w:rsid w:val="00FD0E0E"/>
    <w:rsid w:val="00FD12C1"/>
    <w:rsid w:val="00FD1D01"/>
    <w:rsid w:val="00FD2433"/>
    <w:rsid w:val="00FD2E5B"/>
    <w:rsid w:val="00FD3223"/>
    <w:rsid w:val="00FD35A8"/>
    <w:rsid w:val="00FD3B30"/>
    <w:rsid w:val="00FD4176"/>
    <w:rsid w:val="00FD4A89"/>
    <w:rsid w:val="00FD7AAC"/>
    <w:rsid w:val="00FE02D3"/>
    <w:rsid w:val="00FE02F6"/>
    <w:rsid w:val="00FE0835"/>
    <w:rsid w:val="00FE0F06"/>
    <w:rsid w:val="00FE111A"/>
    <w:rsid w:val="00FE13B7"/>
    <w:rsid w:val="00FE1833"/>
    <w:rsid w:val="00FE1CEA"/>
    <w:rsid w:val="00FE2371"/>
    <w:rsid w:val="00FE33F2"/>
    <w:rsid w:val="00FE3B4D"/>
    <w:rsid w:val="00FE3DC5"/>
    <w:rsid w:val="00FE4877"/>
    <w:rsid w:val="00FE4BA0"/>
    <w:rsid w:val="00FE4D79"/>
    <w:rsid w:val="00FE4E14"/>
    <w:rsid w:val="00FE55B3"/>
    <w:rsid w:val="00FE576A"/>
    <w:rsid w:val="00FE5C54"/>
    <w:rsid w:val="00FE5DD3"/>
    <w:rsid w:val="00FE61CC"/>
    <w:rsid w:val="00FE6C00"/>
    <w:rsid w:val="00FE7A60"/>
    <w:rsid w:val="00FF0096"/>
    <w:rsid w:val="00FF023D"/>
    <w:rsid w:val="00FF02A0"/>
    <w:rsid w:val="00FF0356"/>
    <w:rsid w:val="00FF0B14"/>
    <w:rsid w:val="00FF0D27"/>
    <w:rsid w:val="00FF0E9F"/>
    <w:rsid w:val="00FF110A"/>
    <w:rsid w:val="00FF1893"/>
    <w:rsid w:val="00FF1B9B"/>
    <w:rsid w:val="00FF2200"/>
    <w:rsid w:val="00FF22FC"/>
    <w:rsid w:val="00FF29E5"/>
    <w:rsid w:val="00FF2B9E"/>
    <w:rsid w:val="00FF30DF"/>
    <w:rsid w:val="00FF3603"/>
    <w:rsid w:val="00FF3E9F"/>
    <w:rsid w:val="00FF4504"/>
    <w:rsid w:val="00FF4A17"/>
    <w:rsid w:val="00FF4B79"/>
    <w:rsid w:val="00FF5587"/>
    <w:rsid w:val="00FF5A88"/>
    <w:rsid w:val="00FF684D"/>
    <w:rsid w:val="00FF6CC8"/>
    <w:rsid w:val="00FF6F49"/>
    <w:rsid w:val="00FF7055"/>
    <w:rsid w:val="00FF787C"/>
    <w:rsid w:val="00FF7C54"/>
    <w:rsid w:val="015B52EB"/>
    <w:rsid w:val="016E7DED"/>
    <w:rsid w:val="0175413A"/>
    <w:rsid w:val="01946C76"/>
    <w:rsid w:val="01F23D45"/>
    <w:rsid w:val="020F1EA4"/>
    <w:rsid w:val="0235431F"/>
    <w:rsid w:val="028A6705"/>
    <w:rsid w:val="02D037B2"/>
    <w:rsid w:val="02DC251E"/>
    <w:rsid w:val="02E90077"/>
    <w:rsid w:val="02F46B86"/>
    <w:rsid w:val="02F561BC"/>
    <w:rsid w:val="03011ECF"/>
    <w:rsid w:val="038A64A1"/>
    <w:rsid w:val="039D18E6"/>
    <w:rsid w:val="03C52BEB"/>
    <w:rsid w:val="04001E75"/>
    <w:rsid w:val="041D5FFA"/>
    <w:rsid w:val="048551AA"/>
    <w:rsid w:val="048A5A1B"/>
    <w:rsid w:val="049F0298"/>
    <w:rsid w:val="04BF30A6"/>
    <w:rsid w:val="04C74770"/>
    <w:rsid w:val="054502A8"/>
    <w:rsid w:val="055572C6"/>
    <w:rsid w:val="055F0975"/>
    <w:rsid w:val="0599158D"/>
    <w:rsid w:val="05C637CE"/>
    <w:rsid w:val="05D9472B"/>
    <w:rsid w:val="05F17DCE"/>
    <w:rsid w:val="066D2B9B"/>
    <w:rsid w:val="06781A50"/>
    <w:rsid w:val="06BB1477"/>
    <w:rsid w:val="06C70A28"/>
    <w:rsid w:val="06DD2F24"/>
    <w:rsid w:val="070457D8"/>
    <w:rsid w:val="074E646C"/>
    <w:rsid w:val="0761221C"/>
    <w:rsid w:val="076B35DE"/>
    <w:rsid w:val="077010BF"/>
    <w:rsid w:val="07A16838"/>
    <w:rsid w:val="07B1140D"/>
    <w:rsid w:val="07B7062C"/>
    <w:rsid w:val="07ED44BE"/>
    <w:rsid w:val="08446EC4"/>
    <w:rsid w:val="085F6C1D"/>
    <w:rsid w:val="0864660C"/>
    <w:rsid w:val="089A529D"/>
    <w:rsid w:val="089E2D75"/>
    <w:rsid w:val="08BE3E25"/>
    <w:rsid w:val="08F42A39"/>
    <w:rsid w:val="08F43FF8"/>
    <w:rsid w:val="09007936"/>
    <w:rsid w:val="09214FC6"/>
    <w:rsid w:val="09314259"/>
    <w:rsid w:val="09716378"/>
    <w:rsid w:val="09AD2157"/>
    <w:rsid w:val="09BF20E9"/>
    <w:rsid w:val="0A1C2B05"/>
    <w:rsid w:val="0A225C7A"/>
    <w:rsid w:val="0A303EC3"/>
    <w:rsid w:val="0A7205DA"/>
    <w:rsid w:val="0AD26B4D"/>
    <w:rsid w:val="0B150DBA"/>
    <w:rsid w:val="0B2343E8"/>
    <w:rsid w:val="0B38404A"/>
    <w:rsid w:val="0B625136"/>
    <w:rsid w:val="0B8276B3"/>
    <w:rsid w:val="0BD157FE"/>
    <w:rsid w:val="0BE449F4"/>
    <w:rsid w:val="0C285D20"/>
    <w:rsid w:val="0C430B50"/>
    <w:rsid w:val="0C503983"/>
    <w:rsid w:val="0C605560"/>
    <w:rsid w:val="0C902DBA"/>
    <w:rsid w:val="0CA92646"/>
    <w:rsid w:val="0CBC42F9"/>
    <w:rsid w:val="0CBD198D"/>
    <w:rsid w:val="0CD512FB"/>
    <w:rsid w:val="0D006A41"/>
    <w:rsid w:val="0D1E3C8C"/>
    <w:rsid w:val="0D2327C7"/>
    <w:rsid w:val="0D3A347C"/>
    <w:rsid w:val="0D865199"/>
    <w:rsid w:val="0D9F7809"/>
    <w:rsid w:val="0DFD2EC2"/>
    <w:rsid w:val="0E5700E2"/>
    <w:rsid w:val="0E5C1FCB"/>
    <w:rsid w:val="0E820826"/>
    <w:rsid w:val="0E8E60D1"/>
    <w:rsid w:val="0EDE0CEC"/>
    <w:rsid w:val="0EE146E5"/>
    <w:rsid w:val="0EF177F4"/>
    <w:rsid w:val="0F153424"/>
    <w:rsid w:val="0F2B249C"/>
    <w:rsid w:val="0F3F429D"/>
    <w:rsid w:val="0F724E3C"/>
    <w:rsid w:val="0F7667E1"/>
    <w:rsid w:val="0F946D68"/>
    <w:rsid w:val="0FA43FFC"/>
    <w:rsid w:val="1006446F"/>
    <w:rsid w:val="1029260B"/>
    <w:rsid w:val="102E4F10"/>
    <w:rsid w:val="10613C9B"/>
    <w:rsid w:val="10B2641F"/>
    <w:rsid w:val="10C41DB6"/>
    <w:rsid w:val="10DF0360"/>
    <w:rsid w:val="112D30D5"/>
    <w:rsid w:val="113413B0"/>
    <w:rsid w:val="115C6989"/>
    <w:rsid w:val="116B5B74"/>
    <w:rsid w:val="117A6C6B"/>
    <w:rsid w:val="11A96B4F"/>
    <w:rsid w:val="12095857"/>
    <w:rsid w:val="122C027D"/>
    <w:rsid w:val="127C1E3F"/>
    <w:rsid w:val="12816876"/>
    <w:rsid w:val="12A84AB1"/>
    <w:rsid w:val="12A85BB1"/>
    <w:rsid w:val="12AE5C77"/>
    <w:rsid w:val="12CD11AB"/>
    <w:rsid w:val="12FF28F2"/>
    <w:rsid w:val="131E6CE5"/>
    <w:rsid w:val="13273CCC"/>
    <w:rsid w:val="13325B24"/>
    <w:rsid w:val="1342406E"/>
    <w:rsid w:val="13536C53"/>
    <w:rsid w:val="13743C7E"/>
    <w:rsid w:val="13833F28"/>
    <w:rsid w:val="13915879"/>
    <w:rsid w:val="13CB100B"/>
    <w:rsid w:val="14164AE9"/>
    <w:rsid w:val="14196BF0"/>
    <w:rsid w:val="142369F3"/>
    <w:rsid w:val="145F5307"/>
    <w:rsid w:val="146F1D7A"/>
    <w:rsid w:val="14AA5727"/>
    <w:rsid w:val="14B860E1"/>
    <w:rsid w:val="14C31248"/>
    <w:rsid w:val="15145B9D"/>
    <w:rsid w:val="15724983"/>
    <w:rsid w:val="158373A2"/>
    <w:rsid w:val="1585488A"/>
    <w:rsid w:val="15C43439"/>
    <w:rsid w:val="15DF7791"/>
    <w:rsid w:val="161C6FBD"/>
    <w:rsid w:val="16712BA1"/>
    <w:rsid w:val="169615FB"/>
    <w:rsid w:val="16BC43FC"/>
    <w:rsid w:val="16F073D2"/>
    <w:rsid w:val="16F972E0"/>
    <w:rsid w:val="170B1EA5"/>
    <w:rsid w:val="173979C2"/>
    <w:rsid w:val="173F2A13"/>
    <w:rsid w:val="1762315A"/>
    <w:rsid w:val="17661B08"/>
    <w:rsid w:val="17851FD1"/>
    <w:rsid w:val="17B61B95"/>
    <w:rsid w:val="18194E5B"/>
    <w:rsid w:val="18316564"/>
    <w:rsid w:val="183A5F45"/>
    <w:rsid w:val="188320E8"/>
    <w:rsid w:val="18AA5C6C"/>
    <w:rsid w:val="18C070DC"/>
    <w:rsid w:val="18E977E2"/>
    <w:rsid w:val="19492D9B"/>
    <w:rsid w:val="19787650"/>
    <w:rsid w:val="19C56402"/>
    <w:rsid w:val="19DB16CB"/>
    <w:rsid w:val="19E73B4D"/>
    <w:rsid w:val="19F15F01"/>
    <w:rsid w:val="1A011B96"/>
    <w:rsid w:val="1A882685"/>
    <w:rsid w:val="1AA6291A"/>
    <w:rsid w:val="1AB86BAD"/>
    <w:rsid w:val="1AF23D50"/>
    <w:rsid w:val="1B0D22B7"/>
    <w:rsid w:val="1B704F5A"/>
    <w:rsid w:val="1B7735C6"/>
    <w:rsid w:val="1BB2226C"/>
    <w:rsid w:val="1BBC6AEF"/>
    <w:rsid w:val="1BC0342B"/>
    <w:rsid w:val="1BEA548C"/>
    <w:rsid w:val="1BFB3C89"/>
    <w:rsid w:val="1C566498"/>
    <w:rsid w:val="1C63306D"/>
    <w:rsid w:val="1CB201D8"/>
    <w:rsid w:val="1CD46DC5"/>
    <w:rsid w:val="1CDA15AB"/>
    <w:rsid w:val="1D0637F3"/>
    <w:rsid w:val="1D1E53EE"/>
    <w:rsid w:val="1D754E95"/>
    <w:rsid w:val="1D9C5A3C"/>
    <w:rsid w:val="1DD01430"/>
    <w:rsid w:val="1DD261D8"/>
    <w:rsid w:val="1DE026A3"/>
    <w:rsid w:val="1DEC54EC"/>
    <w:rsid w:val="1E1460F1"/>
    <w:rsid w:val="1E2B45A7"/>
    <w:rsid w:val="1E37428D"/>
    <w:rsid w:val="1E6E0897"/>
    <w:rsid w:val="1E90231B"/>
    <w:rsid w:val="1EB84076"/>
    <w:rsid w:val="1EEA2C41"/>
    <w:rsid w:val="1EFA48BB"/>
    <w:rsid w:val="1FAE475F"/>
    <w:rsid w:val="20446BFF"/>
    <w:rsid w:val="20FA1CCE"/>
    <w:rsid w:val="21305D6B"/>
    <w:rsid w:val="21617F9F"/>
    <w:rsid w:val="217D7535"/>
    <w:rsid w:val="21D85F9F"/>
    <w:rsid w:val="21E346E2"/>
    <w:rsid w:val="222D7967"/>
    <w:rsid w:val="22307E2A"/>
    <w:rsid w:val="22EE1B76"/>
    <w:rsid w:val="22F37D36"/>
    <w:rsid w:val="231257C9"/>
    <w:rsid w:val="231A57A9"/>
    <w:rsid w:val="23297F12"/>
    <w:rsid w:val="23804912"/>
    <w:rsid w:val="23931F66"/>
    <w:rsid w:val="23B470A1"/>
    <w:rsid w:val="23E3479C"/>
    <w:rsid w:val="24374EB9"/>
    <w:rsid w:val="246062EC"/>
    <w:rsid w:val="24967F5F"/>
    <w:rsid w:val="24CE594B"/>
    <w:rsid w:val="25270BB7"/>
    <w:rsid w:val="257F09F3"/>
    <w:rsid w:val="25824BFC"/>
    <w:rsid w:val="25951FC5"/>
    <w:rsid w:val="259F18D3"/>
    <w:rsid w:val="25A22A6B"/>
    <w:rsid w:val="25A42208"/>
    <w:rsid w:val="25A613A6"/>
    <w:rsid w:val="25FF5B44"/>
    <w:rsid w:val="264A12F9"/>
    <w:rsid w:val="26506346"/>
    <w:rsid w:val="26904567"/>
    <w:rsid w:val="26AA5F44"/>
    <w:rsid w:val="26F75030"/>
    <w:rsid w:val="272E5E18"/>
    <w:rsid w:val="274577C2"/>
    <w:rsid w:val="276E2D1B"/>
    <w:rsid w:val="277B611C"/>
    <w:rsid w:val="27EC3350"/>
    <w:rsid w:val="27FD5441"/>
    <w:rsid w:val="280F17BD"/>
    <w:rsid w:val="28106F71"/>
    <w:rsid w:val="28743668"/>
    <w:rsid w:val="28870D98"/>
    <w:rsid w:val="28AC55C6"/>
    <w:rsid w:val="2908513C"/>
    <w:rsid w:val="290B7C29"/>
    <w:rsid w:val="29542CC5"/>
    <w:rsid w:val="296E45B5"/>
    <w:rsid w:val="29BD4FDE"/>
    <w:rsid w:val="29EE476C"/>
    <w:rsid w:val="2A090F19"/>
    <w:rsid w:val="2A511628"/>
    <w:rsid w:val="2A80304A"/>
    <w:rsid w:val="2A8719D2"/>
    <w:rsid w:val="2AF94565"/>
    <w:rsid w:val="2B04334A"/>
    <w:rsid w:val="2B293A52"/>
    <w:rsid w:val="2B317991"/>
    <w:rsid w:val="2B9220D0"/>
    <w:rsid w:val="2BB05DAB"/>
    <w:rsid w:val="2BCC17CB"/>
    <w:rsid w:val="2BDB0403"/>
    <w:rsid w:val="2C237394"/>
    <w:rsid w:val="2C6B15B6"/>
    <w:rsid w:val="2C717544"/>
    <w:rsid w:val="2CC34063"/>
    <w:rsid w:val="2CD809DF"/>
    <w:rsid w:val="2D146F8E"/>
    <w:rsid w:val="2D1D4122"/>
    <w:rsid w:val="2D8C0B81"/>
    <w:rsid w:val="2DA11543"/>
    <w:rsid w:val="2DDD2580"/>
    <w:rsid w:val="2DE6649A"/>
    <w:rsid w:val="2E111BA8"/>
    <w:rsid w:val="2E3C71BE"/>
    <w:rsid w:val="2E3E4026"/>
    <w:rsid w:val="2E9B0538"/>
    <w:rsid w:val="2EBD0B2A"/>
    <w:rsid w:val="2F124C61"/>
    <w:rsid w:val="2F126BFA"/>
    <w:rsid w:val="2F565C65"/>
    <w:rsid w:val="2F7D6315"/>
    <w:rsid w:val="2F821415"/>
    <w:rsid w:val="2FC13BB7"/>
    <w:rsid w:val="301A7CA0"/>
    <w:rsid w:val="30942D6F"/>
    <w:rsid w:val="30B13439"/>
    <w:rsid w:val="310E43A0"/>
    <w:rsid w:val="311C10D7"/>
    <w:rsid w:val="311C4218"/>
    <w:rsid w:val="31263FFA"/>
    <w:rsid w:val="31406C84"/>
    <w:rsid w:val="316D2EB7"/>
    <w:rsid w:val="31A35E21"/>
    <w:rsid w:val="31B732C3"/>
    <w:rsid w:val="31C972B1"/>
    <w:rsid w:val="31F478E9"/>
    <w:rsid w:val="32513EDC"/>
    <w:rsid w:val="32B25B2C"/>
    <w:rsid w:val="32CA7C4D"/>
    <w:rsid w:val="32FA5B5D"/>
    <w:rsid w:val="33475D93"/>
    <w:rsid w:val="338F44F8"/>
    <w:rsid w:val="3397037B"/>
    <w:rsid w:val="33A64FB2"/>
    <w:rsid w:val="33B10C4D"/>
    <w:rsid w:val="33B27235"/>
    <w:rsid w:val="33C10429"/>
    <w:rsid w:val="33F02396"/>
    <w:rsid w:val="34140EA1"/>
    <w:rsid w:val="343018AE"/>
    <w:rsid w:val="34312F30"/>
    <w:rsid w:val="34773E9B"/>
    <w:rsid w:val="34795D5D"/>
    <w:rsid w:val="34965F32"/>
    <w:rsid w:val="34A409EA"/>
    <w:rsid w:val="34CC7160"/>
    <w:rsid w:val="34D114FE"/>
    <w:rsid w:val="350C6DC6"/>
    <w:rsid w:val="35195B42"/>
    <w:rsid w:val="354D7D86"/>
    <w:rsid w:val="3592207D"/>
    <w:rsid w:val="35B52861"/>
    <w:rsid w:val="35BA2CBE"/>
    <w:rsid w:val="35DD6145"/>
    <w:rsid w:val="36BE50F4"/>
    <w:rsid w:val="36EE315B"/>
    <w:rsid w:val="36F164AE"/>
    <w:rsid w:val="370D2FE1"/>
    <w:rsid w:val="370F76FD"/>
    <w:rsid w:val="3710508A"/>
    <w:rsid w:val="37170F30"/>
    <w:rsid w:val="37501D7A"/>
    <w:rsid w:val="37A1138F"/>
    <w:rsid w:val="37A442EA"/>
    <w:rsid w:val="37A70966"/>
    <w:rsid w:val="37BB18F6"/>
    <w:rsid w:val="37C75187"/>
    <w:rsid w:val="37CC37DB"/>
    <w:rsid w:val="37D72575"/>
    <w:rsid w:val="385C1855"/>
    <w:rsid w:val="38883C0B"/>
    <w:rsid w:val="38D728CB"/>
    <w:rsid w:val="38FA6BB4"/>
    <w:rsid w:val="38FF7C7A"/>
    <w:rsid w:val="39175A59"/>
    <w:rsid w:val="392A0E82"/>
    <w:rsid w:val="392D4ED8"/>
    <w:rsid w:val="39DC2D27"/>
    <w:rsid w:val="3A7E410A"/>
    <w:rsid w:val="3A8A0CA3"/>
    <w:rsid w:val="3AF85D0E"/>
    <w:rsid w:val="3AFF0413"/>
    <w:rsid w:val="3B3008E5"/>
    <w:rsid w:val="3B455DE4"/>
    <w:rsid w:val="3B80020A"/>
    <w:rsid w:val="3B850194"/>
    <w:rsid w:val="3B9C06C1"/>
    <w:rsid w:val="3BEB1475"/>
    <w:rsid w:val="3BF13813"/>
    <w:rsid w:val="3C035BF0"/>
    <w:rsid w:val="3C0E61D6"/>
    <w:rsid w:val="3C24446C"/>
    <w:rsid w:val="3C766214"/>
    <w:rsid w:val="3C991F43"/>
    <w:rsid w:val="3CA12326"/>
    <w:rsid w:val="3CD97561"/>
    <w:rsid w:val="3CF47D66"/>
    <w:rsid w:val="3E20597F"/>
    <w:rsid w:val="3E2B12C1"/>
    <w:rsid w:val="3E3A1504"/>
    <w:rsid w:val="3E572D08"/>
    <w:rsid w:val="3E6D17A8"/>
    <w:rsid w:val="3EBD717E"/>
    <w:rsid w:val="3ED12B9E"/>
    <w:rsid w:val="3EE41D9C"/>
    <w:rsid w:val="3EF5563F"/>
    <w:rsid w:val="3F1A404E"/>
    <w:rsid w:val="3F243FBA"/>
    <w:rsid w:val="3F30708E"/>
    <w:rsid w:val="3F47667F"/>
    <w:rsid w:val="3F5A0927"/>
    <w:rsid w:val="3F821AAD"/>
    <w:rsid w:val="3FA550A3"/>
    <w:rsid w:val="3FB23473"/>
    <w:rsid w:val="3FB31600"/>
    <w:rsid w:val="3FB85CBF"/>
    <w:rsid w:val="3FFB94C5"/>
    <w:rsid w:val="3FFC1167"/>
    <w:rsid w:val="4032497A"/>
    <w:rsid w:val="406313A5"/>
    <w:rsid w:val="406902F7"/>
    <w:rsid w:val="408C23A5"/>
    <w:rsid w:val="40962F10"/>
    <w:rsid w:val="411A40CC"/>
    <w:rsid w:val="413D156A"/>
    <w:rsid w:val="413F49F8"/>
    <w:rsid w:val="417B6F7C"/>
    <w:rsid w:val="418036D2"/>
    <w:rsid w:val="41886BB1"/>
    <w:rsid w:val="41A41AB6"/>
    <w:rsid w:val="41B7206A"/>
    <w:rsid w:val="423678D9"/>
    <w:rsid w:val="4253528A"/>
    <w:rsid w:val="427B6EAC"/>
    <w:rsid w:val="429720F1"/>
    <w:rsid w:val="42DC79F3"/>
    <w:rsid w:val="43265BB0"/>
    <w:rsid w:val="434540EF"/>
    <w:rsid w:val="436151BF"/>
    <w:rsid w:val="43715D8B"/>
    <w:rsid w:val="43761230"/>
    <w:rsid w:val="43FA6480"/>
    <w:rsid w:val="44153159"/>
    <w:rsid w:val="44444E8A"/>
    <w:rsid w:val="444D6DC4"/>
    <w:rsid w:val="4458601E"/>
    <w:rsid w:val="44A130E5"/>
    <w:rsid w:val="44AC2148"/>
    <w:rsid w:val="44BD3DB1"/>
    <w:rsid w:val="44BF379D"/>
    <w:rsid w:val="44FC5B23"/>
    <w:rsid w:val="45235E97"/>
    <w:rsid w:val="45277C55"/>
    <w:rsid w:val="453F2812"/>
    <w:rsid w:val="45461E4E"/>
    <w:rsid w:val="45C9097F"/>
    <w:rsid w:val="45FA7080"/>
    <w:rsid w:val="46362724"/>
    <w:rsid w:val="46431EDC"/>
    <w:rsid w:val="46697469"/>
    <w:rsid w:val="468B77B0"/>
    <w:rsid w:val="46A62917"/>
    <w:rsid w:val="46B05A1F"/>
    <w:rsid w:val="46B30A16"/>
    <w:rsid w:val="46F46CD2"/>
    <w:rsid w:val="47134FE8"/>
    <w:rsid w:val="4751497F"/>
    <w:rsid w:val="476B5921"/>
    <w:rsid w:val="47A44169"/>
    <w:rsid w:val="47F367DF"/>
    <w:rsid w:val="481C6658"/>
    <w:rsid w:val="48201648"/>
    <w:rsid w:val="48531B40"/>
    <w:rsid w:val="48752263"/>
    <w:rsid w:val="488E4C19"/>
    <w:rsid w:val="48977D09"/>
    <w:rsid w:val="48B167B2"/>
    <w:rsid w:val="48CB0416"/>
    <w:rsid w:val="48E85FA4"/>
    <w:rsid w:val="490F2953"/>
    <w:rsid w:val="491318AF"/>
    <w:rsid w:val="49392509"/>
    <w:rsid w:val="49471AED"/>
    <w:rsid w:val="4958476A"/>
    <w:rsid w:val="495A2786"/>
    <w:rsid w:val="496B0D1A"/>
    <w:rsid w:val="4970518C"/>
    <w:rsid w:val="49C02F57"/>
    <w:rsid w:val="49F726BA"/>
    <w:rsid w:val="4A207FA8"/>
    <w:rsid w:val="4A5D7178"/>
    <w:rsid w:val="4A653DAC"/>
    <w:rsid w:val="4A670FC1"/>
    <w:rsid w:val="4A6A453D"/>
    <w:rsid w:val="4A877F3D"/>
    <w:rsid w:val="4A964267"/>
    <w:rsid w:val="4AA56A1B"/>
    <w:rsid w:val="4AC25C75"/>
    <w:rsid w:val="4AD64A5E"/>
    <w:rsid w:val="4ADA6548"/>
    <w:rsid w:val="4AEF0C90"/>
    <w:rsid w:val="4AF5323B"/>
    <w:rsid w:val="4AFD4332"/>
    <w:rsid w:val="4B187071"/>
    <w:rsid w:val="4B243B3D"/>
    <w:rsid w:val="4B3410A0"/>
    <w:rsid w:val="4B4A3EAB"/>
    <w:rsid w:val="4BC5784C"/>
    <w:rsid w:val="4BF73ABB"/>
    <w:rsid w:val="4C152702"/>
    <w:rsid w:val="4C156D39"/>
    <w:rsid w:val="4C1F0E5E"/>
    <w:rsid w:val="4C39077D"/>
    <w:rsid w:val="4C5941D4"/>
    <w:rsid w:val="4C5D5057"/>
    <w:rsid w:val="4C63329F"/>
    <w:rsid w:val="4C7125F9"/>
    <w:rsid w:val="4CBC5767"/>
    <w:rsid w:val="4CE17D68"/>
    <w:rsid w:val="4CEB65B0"/>
    <w:rsid w:val="4CF23FF2"/>
    <w:rsid w:val="4CF431C6"/>
    <w:rsid w:val="4D06420E"/>
    <w:rsid w:val="4D2074D1"/>
    <w:rsid w:val="4D2821A1"/>
    <w:rsid w:val="4D8E361A"/>
    <w:rsid w:val="4D8F5013"/>
    <w:rsid w:val="4E4677F9"/>
    <w:rsid w:val="4E73410D"/>
    <w:rsid w:val="4E8237BA"/>
    <w:rsid w:val="4EE94BA0"/>
    <w:rsid w:val="4EFB60F2"/>
    <w:rsid w:val="4F2212D8"/>
    <w:rsid w:val="4F451285"/>
    <w:rsid w:val="4F6E2A45"/>
    <w:rsid w:val="4F714D78"/>
    <w:rsid w:val="4F7732E3"/>
    <w:rsid w:val="4FC13398"/>
    <w:rsid w:val="50080A30"/>
    <w:rsid w:val="500F3C56"/>
    <w:rsid w:val="503A5393"/>
    <w:rsid w:val="509363B4"/>
    <w:rsid w:val="50B214FA"/>
    <w:rsid w:val="50CC4385"/>
    <w:rsid w:val="511013F5"/>
    <w:rsid w:val="51247909"/>
    <w:rsid w:val="512C0E07"/>
    <w:rsid w:val="51B23518"/>
    <w:rsid w:val="51E83400"/>
    <w:rsid w:val="525F5585"/>
    <w:rsid w:val="52614E59"/>
    <w:rsid w:val="527A6FAB"/>
    <w:rsid w:val="52912188"/>
    <w:rsid w:val="529201CD"/>
    <w:rsid w:val="52C15D02"/>
    <w:rsid w:val="52D6599B"/>
    <w:rsid w:val="52E91785"/>
    <w:rsid w:val="52F76A7C"/>
    <w:rsid w:val="53050A32"/>
    <w:rsid w:val="530D0E18"/>
    <w:rsid w:val="53417B32"/>
    <w:rsid w:val="53540D68"/>
    <w:rsid w:val="53784016"/>
    <w:rsid w:val="53CA553A"/>
    <w:rsid w:val="53EE27D4"/>
    <w:rsid w:val="53F8742E"/>
    <w:rsid w:val="5422191A"/>
    <w:rsid w:val="54430630"/>
    <w:rsid w:val="546B6463"/>
    <w:rsid w:val="54A42A14"/>
    <w:rsid w:val="54B25E40"/>
    <w:rsid w:val="54B7033E"/>
    <w:rsid w:val="54EC049D"/>
    <w:rsid w:val="55246D0D"/>
    <w:rsid w:val="5532745F"/>
    <w:rsid w:val="553A4C28"/>
    <w:rsid w:val="55442971"/>
    <w:rsid w:val="555070E2"/>
    <w:rsid w:val="55563EB3"/>
    <w:rsid w:val="557D09FE"/>
    <w:rsid w:val="55913CA7"/>
    <w:rsid w:val="55A158CA"/>
    <w:rsid w:val="55A3210E"/>
    <w:rsid w:val="55C91D87"/>
    <w:rsid w:val="55E66029"/>
    <w:rsid w:val="55FC037D"/>
    <w:rsid w:val="55FE9EDB"/>
    <w:rsid w:val="567F0EB9"/>
    <w:rsid w:val="56961C67"/>
    <w:rsid w:val="56983EB7"/>
    <w:rsid w:val="56F52014"/>
    <w:rsid w:val="571C68B6"/>
    <w:rsid w:val="571F1E19"/>
    <w:rsid w:val="572D7A56"/>
    <w:rsid w:val="575B26B9"/>
    <w:rsid w:val="575F734E"/>
    <w:rsid w:val="57BF5437"/>
    <w:rsid w:val="57C41CA4"/>
    <w:rsid w:val="57C44B08"/>
    <w:rsid w:val="57CF3250"/>
    <w:rsid w:val="57D77378"/>
    <w:rsid w:val="57EB75F1"/>
    <w:rsid w:val="57EE3633"/>
    <w:rsid w:val="57F66214"/>
    <w:rsid w:val="57FD09DF"/>
    <w:rsid w:val="580018C4"/>
    <w:rsid w:val="580E7831"/>
    <w:rsid w:val="58104EF2"/>
    <w:rsid w:val="5854137A"/>
    <w:rsid w:val="589E28FE"/>
    <w:rsid w:val="58B73EDF"/>
    <w:rsid w:val="58DE6470"/>
    <w:rsid w:val="59213623"/>
    <w:rsid w:val="592356A3"/>
    <w:rsid w:val="597D22F9"/>
    <w:rsid w:val="597E1D61"/>
    <w:rsid w:val="59B0384A"/>
    <w:rsid w:val="59C8075D"/>
    <w:rsid w:val="59D2366D"/>
    <w:rsid w:val="59DE1001"/>
    <w:rsid w:val="5A05584B"/>
    <w:rsid w:val="5A14433F"/>
    <w:rsid w:val="5A546307"/>
    <w:rsid w:val="5A562470"/>
    <w:rsid w:val="5A812943"/>
    <w:rsid w:val="5AF23EA8"/>
    <w:rsid w:val="5B5A50C0"/>
    <w:rsid w:val="5B5A58DD"/>
    <w:rsid w:val="5B95255A"/>
    <w:rsid w:val="5BBC0AED"/>
    <w:rsid w:val="5BF1724E"/>
    <w:rsid w:val="5C02145B"/>
    <w:rsid w:val="5C4001D5"/>
    <w:rsid w:val="5C413AE7"/>
    <w:rsid w:val="5C5C1C9E"/>
    <w:rsid w:val="5C5E00F3"/>
    <w:rsid w:val="5C7E485A"/>
    <w:rsid w:val="5CBA4AB1"/>
    <w:rsid w:val="5CFA60F2"/>
    <w:rsid w:val="5D2F7311"/>
    <w:rsid w:val="5D334CF3"/>
    <w:rsid w:val="5D395350"/>
    <w:rsid w:val="5D78428A"/>
    <w:rsid w:val="5D906D45"/>
    <w:rsid w:val="5D9B37C9"/>
    <w:rsid w:val="5DB838B9"/>
    <w:rsid w:val="5DD21301"/>
    <w:rsid w:val="5E264629"/>
    <w:rsid w:val="5E265C9E"/>
    <w:rsid w:val="5E782320"/>
    <w:rsid w:val="5E89042C"/>
    <w:rsid w:val="5F0A45FB"/>
    <w:rsid w:val="5F0F3F48"/>
    <w:rsid w:val="5F3C5434"/>
    <w:rsid w:val="5F427DC1"/>
    <w:rsid w:val="5F9C5E7F"/>
    <w:rsid w:val="5F9E46B3"/>
    <w:rsid w:val="5FD6271A"/>
    <w:rsid w:val="60300161"/>
    <w:rsid w:val="60377F76"/>
    <w:rsid w:val="605A7970"/>
    <w:rsid w:val="60672270"/>
    <w:rsid w:val="60783D50"/>
    <w:rsid w:val="60C04D76"/>
    <w:rsid w:val="60E9182C"/>
    <w:rsid w:val="60FC79C9"/>
    <w:rsid w:val="615157EB"/>
    <w:rsid w:val="61694A3B"/>
    <w:rsid w:val="61AF0ED0"/>
    <w:rsid w:val="61D05207"/>
    <w:rsid w:val="61D706AC"/>
    <w:rsid w:val="61E02939"/>
    <w:rsid w:val="62372395"/>
    <w:rsid w:val="625C66EF"/>
    <w:rsid w:val="625F7E1E"/>
    <w:rsid w:val="62630A6C"/>
    <w:rsid w:val="626B1AB8"/>
    <w:rsid w:val="62714F3F"/>
    <w:rsid w:val="62885C85"/>
    <w:rsid w:val="62D729AA"/>
    <w:rsid w:val="631953C1"/>
    <w:rsid w:val="631E0968"/>
    <w:rsid w:val="632E2B36"/>
    <w:rsid w:val="633327F6"/>
    <w:rsid w:val="634B193A"/>
    <w:rsid w:val="63E03861"/>
    <w:rsid w:val="6418474F"/>
    <w:rsid w:val="64200D0C"/>
    <w:rsid w:val="6446196A"/>
    <w:rsid w:val="644E7F26"/>
    <w:rsid w:val="64577A52"/>
    <w:rsid w:val="64832C93"/>
    <w:rsid w:val="64910A0E"/>
    <w:rsid w:val="64FF649B"/>
    <w:rsid w:val="65332E12"/>
    <w:rsid w:val="65567863"/>
    <w:rsid w:val="656603E9"/>
    <w:rsid w:val="6580162D"/>
    <w:rsid w:val="65A96541"/>
    <w:rsid w:val="65CA728C"/>
    <w:rsid w:val="65DE197D"/>
    <w:rsid w:val="66157FDD"/>
    <w:rsid w:val="66495594"/>
    <w:rsid w:val="664E2A8E"/>
    <w:rsid w:val="66B5498F"/>
    <w:rsid w:val="66B718D7"/>
    <w:rsid w:val="66B912B0"/>
    <w:rsid w:val="66F3057E"/>
    <w:rsid w:val="66F571FE"/>
    <w:rsid w:val="67226A1F"/>
    <w:rsid w:val="67381EF6"/>
    <w:rsid w:val="67412DF6"/>
    <w:rsid w:val="67A10713"/>
    <w:rsid w:val="67B53825"/>
    <w:rsid w:val="67BE1C68"/>
    <w:rsid w:val="67BE2E21"/>
    <w:rsid w:val="67D2105B"/>
    <w:rsid w:val="67D2709E"/>
    <w:rsid w:val="67DD018E"/>
    <w:rsid w:val="680B6ACA"/>
    <w:rsid w:val="68126ECA"/>
    <w:rsid w:val="682D7585"/>
    <w:rsid w:val="68403003"/>
    <w:rsid w:val="686E3643"/>
    <w:rsid w:val="68784AF7"/>
    <w:rsid w:val="689632C4"/>
    <w:rsid w:val="68E951A3"/>
    <w:rsid w:val="68F12AE9"/>
    <w:rsid w:val="68F24489"/>
    <w:rsid w:val="68F92E15"/>
    <w:rsid w:val="695E2516"/>
    <w:rsid w:val="698A6F34"/>
    <w:rsid w:val="69AC37CA"/>
    <w:rsid w:val="69D739F6"/>
    <w:rsid w:val="69DB131F"/>
    <w:rsid w:val="69E564FE"/>
    <w:rsid w:val="69FD1936"/>
    <w:rsid w:val="6A0F7F4D"/>
    <w:rsid w:val="6A34524E"/>
    <w:rsid w:val="6A692040"/>
    <w:rsid w:val="6A6D2503"/>
    <w:rsid w:val="6A827E47"/>
    <w:rsid w:val="6AEE4391"/>
    <w:rsid w:val="6B120133"/>
    <w:rsid w:val="6B2E694C"/>
    <w:rsid w:val="6B454EC0"/>
    <w:rsid w:val="6B9464F2"/>
    <w:rsid w:val="6B964304"/>
    <w:rsid w:val="6BC45FE4"/>
    <w:rsid w:val="6BC8755E"/>
    <w:rsid w:val="6C1219A5"/>
    <w:rsid w:val="6C2C777A"/>
    <w:rsid w:val="6C7761FD"/>
    <w:rsid w:val="6C99462E"/>
    <w:rsid w:val="6C9D31EB"/>
    <w:rsid w:val="6CA65170"/>
    <w:rsid w:val="6CAC72F7"/>
    <w:rsid w:val="6CCF360D"/>
    <w:rsid w:val="6CE46C32"/>
    <w:rsid w:val="6D11346F"/>
    <w:rsid w:val="6D8D2B4F"/>
    <w:rsid w:val="6D9810F4"/>
    <w:rsid w:val="6DB17D4F"/>
    <w:rsid w:val="6DB5342F"/>
    <w:rsid w:val="6E4E0530"/>
    <w:rsid w:val="6E8410EE"/>
    <w:rsid w:val="6EAC168D"/>
    <w:rsid w:val="6EB6525B"/>
    <w:rsid w:val="6ECD33F5"/>
    <w:rsid w:val="6ED23E59"/>
    <w:rsid w:val="6FA12783"/>
    <w:rsid w:val="6FA903EB"/>
    <w:rsid w:val="6FCE61FB"/>
    <w:rsid w:val="702E50FA"/>
    <w:rsid w:val="70455722"/>
    <w:rsid w:val="70AB4A08"/>
    <w:rsid w:val="70D939A2"/>
    <w:rsid w:val="710A2B98"/>
    <w:rsid w:val="711A6C1F"/>
    <w:rsid w:val="71573413"/>
    <w:rsid w:val="71A016C0"/>
    <w:rsid w:val="71AC14EA"/>
    <w:rsid w:val="71F41218"/>
    <w:rsid w:val="71FE2A1B"/>
    <w:rsid w:val="720E669D"/>
    <w:rsid w:val="72194580"/>
    <w:rsid w:val="723D25AF"/>
    <w:rsid w:val="72793441"/>
    <w:rsid w:val="728A2B98"/>
    <w:rsid w:val="728A5A2B"/>
    <w:rsid w:val="72A44BC2"/>
    <w:rsid w:val="72A57C1E"/>
    <w:rsid w:val="72B86869"/>
    <w:rsid w:val="72E15F67"/>
    <w:rsid w:val="735A4A4D"/>
    <w:rsid w:val="73955EF8"/>
    <w:rsid w:val="73BD2E3B"/>
    <w:rsid w:val="73C81C8A"/>
    <w:rsid w:val="73D301C7"/>
    <w:rsid w:val="740261C7"/>
    <w:rsid w:val="740A6CA7"/>
    <w:rsid w:val="74464594"/>
    <w:rsid w:val="7476022A"/>
    <w:rsid w:val="74C94DB4"/>
    <w:rsid w:val="750B43F1"/>
    <w:rsid w:val="75107E41"/>
    <w:rsid w:val="75795EB8"/>
    <w:rsid w:val="75BC22EF"/>
    <w:rsid w:val="75C8312A"/>
    <w:rsid w:val="75DC3020"/>
    <w:rsid w:val="76021450"/>
    <w:rsid w:val="76310BBF"/>
    <w:rsid w:val="7691545E"/>
    <w:rsid w:val="76C10199"/>
    <w:rsid w:val="774265BC"/>
    <w:rsid w:val="77737259"/>
    <w:rsid w:val="777B0DEF"/>
    <w:rsid w:val="77BB75AD"/>
    <w:rsid w:val="77C110E7"/>
    <w:rsid w:val="77EF7D5D"/>
    <w:rsid w:val="78546B92"/>
    <w:rsid w:val="78784A78"/>
    <w:rsid w:val="78A31C7D"/>
    <w:rsid w:val="78AC7721"/>
    <w:rsid w:val="78BD484E"/>
    <w:rsid w:val="78CA2A0B"/>
    <w:rsid w:val="78CD3B44"/>
    <w:rsid w:val="790A3A91"/>
    <w:rsid w:val="790C2C38"/>
    <w:rsid w:val="79302E24"/>
    <w:rsid w:val="793D77A5"/>
    <w:rsid w:val="794762A8"/>
    <w:rsid w:val="799F3014"/>
    <w:rsid w:val="79AE385E"/>
    <w:rsid w:val="79EE4229"/>
    <w:rsid w:val="79F71A7C"/>
    <w:rsid w:val="7A26753D"/>
    <w:rsid w:val="7A822D05"/>
    <w:rsid w:val="7A9711E2"/>
    <w:rsid w:val="7AA77543"/>
    <w:rsid w:val="7AD524B0"/>
    <w:rsid w:val="7ADA0EC1"/>
    <w:rsid w:val="7B621A1E"/>
    <w:rsid w:val="7BAED21D"/>
    <w:rsid w:val="7BBB4D2B"/>
    <w:rsid w:val="7C854352"/>
    <w:rsid w:val="7CBB770E"/>
    <w:rsid w:val="7CCA3477"/>
    <w:rsid w:val="7CD75AB7"/>
    <w:rsid w:val="7CE54755"/>
    <w:rsid w:val="7CE62D26"/>
    <w:rsid w:val="7CF21453"/>
    <w:rsid w:val="7CFB685F"/>
    <w:rsid w:val="7D00333D"/>
    <w:rsid w:val="7D97797F"/>
    <w:rsid w:val="7D9C1BC8"/>
    <w:rsid w:val="7D9E457C"/>
    <w:rsid w:val="7DD16CFD"/>
    <w:rsid w:val="7DD26138"/>
    <w:rsid w:val="7DF63D4E"/>
    <w:rsid w:val="7DFA7D8C"/>
    <w:rsid w:val="7E01361D"/>
    <w:rsid w:val="7E1311CC"/>
    <w:rsid w:val="7E350094"/>
    <w:rsid w:val="7E4E71BE"/>
    <w:rsid w:val="7E6D055E"/>
    <w:rsid w:val="7E7F715F"/>
    <w:rsid w:val="7E843F12"/>
    <w:rsid w:val="7EBB576E"/>
    <w:rsid w:val="7EC37910"/>
    <w:rsid w:val="7F0D6F25"/>
    <w:rsid w:val="7F1B5CEA"/>
    <w:rsid w:val="7F3240D1"/>
    <w:rsid w:val="7F6552DA"/>
    <w:rsid w:val="7F782629"/>
    <w:rsid w:val="7F800FD7"/>
    <w:rsid w:val="7F996B80"/>
    <w:rsid w:val="7FA921F3"/>
    <w:rsid w:val="7FC39A9D"/>
    <w:rsid w:val="7FCC7958"/>
    <w:rsid w:val="E7FBE7C0"/>
    <w:rsid w:val="EAFD1560"/>
    <w:rsid w:val="FCE0B9A1"/>
    <w:rsid w:val="FF9FB699"/>
    <w:rsid w:val="FFADE161"/>
    <w:rsid w:val="FFFB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34"/>
      <w:lang w:val="en-US" w:eastAsia="zh-CN" w:bidi="ar-SA"/>
    </w:rPr>
  </w:style>
  <w:style w:type="paragraph" w:styleId="2">
    <w:name w:val="heading 1"/>
    <w:basedOn w:val="1"/>
    <w:next w:val="1"/>
    <w:autoRedefine/>
    <w:qFormat/>
    <w:uiPriority w:val="0"/>
    <w:pPr>
      <w:keepNext/>
      <w:outlineLvl w:val="0"/>
    </w:pPr>
    <w:rPr>
      <w:rFonts w:ascii="Times New Roman"/>
      <w:b/>
      <w:bCs/>
      <w:color w:val="000000"/>
      <w:sz w:val="24"/>
    </w:rPr>
  </w:style>
  <w:style w:type="paragraph" w:styleId="3">
    <w:name w:val="heading 2"/>
    <w:basedOn w:val="1"/>
    <w:next w:val="4"/>
    <w:link w:val="98"/>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9"/>
    <w:autoRedefine/>
    <w:qFormat/>
    <w:uiPriority w:val="0"/>
    <w:pPr>
      <w:keepNext/>
      <w:keepLines/>
      <w:autoSpaceDE/>
      <w:autoSpaceDN/>
      <w:spacing w:before="260" w:after="260" w:line="416" w:lineRule="atLeast"/>
      <w:jc w:val="both"/>
      <w:outlineLvl w:val="2"/>
    </w:pPr>
    <w:rPr>
      <w:rFonts w:ascii="Times New Roman"/>
      <w:b/>
      <w:sz w:val="32"/>
    </w:rPr>
  </w:style>
  <w:style w:type="paragraph" w:styleId="6">
    <w:name w:val="heading 4"/>
    <w:basedOn w:val="1"/>
    <w:next w:val="1"/>
    <w:qFormat/>
    <w:uiPriority w:val="0"/>
    <w:pPr>
      <w:keepNext/>
      <w:keepLines/>
      <w:autoSpaceDE/>
      <w:autoSpaceDN/>
      <w:adjustRightInd/>
      <w:spacing w:before="280" w:after="290" w:line="376" w:lineRule="auto"/>
      <w:jc w:val="both"/>
      <w:outlineLvl w:val="3"/>
    </w:pPr>
    <w:rPr>
      <w:rFonts w:ascii="Arial" w:hAnsi="Arial" w:eastAsia="黑体"/>
      <w:b/>
      <w:kern w:val="2"/>
      <w:sz w:val="28"/>
    </w:rPr>
  </w:style>
  <w:style w:type="paragraph" w:styleId="7">
    <w:name w:val="heading 5"/>
    <w:basedOn w:val="1"/>
    <w:next w:val="1"/>
    <w:autoRedefine/>
    <w:qFormat/>
    <w:uiPriority w:val="0"/>
    <w:pPr>
      <w:keepNext/>
      <w:keepLines/>
      <w:autoSpaceDE/>
      <w:autoSpaceDN/>
      <w:adjustRightInd/>
      <w:spacing w:before="280" w:after="290" w:line="376" w:lineRule="auto"/>
      <w:jc w:val="both"/>
      <w:outlineLvl w:val="4"/>
    </w:pPr>
    <w:rPr>
      <w:rFonts w:ascii="Times New Roman"/>
      <w:b/>
      <w:kern w:val="2"/>
      <w:sz w:val="28"/>
    </w:rPr>
  </w:style>
  <w:style w:type="paragraph" w:styleId="8">
    <w:name w:val="heading 6"/>
    <w:basedOn w:val="1"/>
    <w:next w:val="9"/>
    <w:autoRedefine/>
    <w:qFormat/>
    <w:uiPriority w:val="0"/>
    <w:pPr>
      <w:keepNext/>
      <w:keepLines/>
      <w:autoSpaceDE/>
      <w:autoSpaceDN/>
      <w:adjustRightInd/>
      <w:spacing w:before="240" w:after="64" w:line="320" w:lineRule="auto"/>
      <w:jc w:val="both"/>
      <w:outlineLvl w:val="5"/>
    </w:pPr>
    <w:rPr>
      <w:rFonts w:ascii="Arial" w:hAnsi="Arial" w:eastAsia="黑体"/>
      <w:b/>
      <w:kern w:val="2"/>
      <w:sz w:val="24"/>
    </w:rPr>
  </w:style>
  <w:style w:type="paragraph" w:styleId="11">
    <w:name w:val="heading 7"/>
    <w:basedOn w:val="1"/>
    <w:next w:val="9"/>
    <w:autoRedefine/>
    <w:qFormat/>
    <w:uiPriority w:val="0"/>
    <w:pPr>
      <w:keepNext/>
      <w:keepLines/>
      <w:autoSpaceDE/>
      <w:autoSpaceDN/>
      <w:adjustRightInd/>
      <w:spacing w:before="240" w:after="64" w:line="320" w:lineRule="auto"/>
      <w:jc w:val="both"/>
      <w:outlineLvl w:val="6"/>
    </w:pPr>
    <w:rPr>
      <w:rFonts w:ascii="Times New Roman"/>
      <w:b/>
      <w:kern w:val="2"/>
      <w:sz w:val="24"/>
    </w:rPr>
  </w:style>
  <w:style w:type="paragraph" w:styleId="12">
    <w:name w:val="heading 8"/>
    <w:basedOn w:val="1"/>
    <w:next w:val="9"/>
    <w:autoRedefine/>
    <w:qFormat/>
    <w:uiPriority w:val="0"/>
    <w:pPr>
      <w:keepNext/>
      <w:keepLines/>
      <w:autoSpaceDE/>
      <w:autoSpaceDN/>
      <w:adjustRightInd/>
      <w:spacing w:before="240" w:after="64" w:line="320" w:lineRule="auto"/>
      <w:jc w:val="both"/>
      <w:outlineLvl w:val="7"/>
    </w:pPr>
    <w:rPr>
      <w:rFonts w:ascii="Arial" w:hAnsi="Arial" w:eastAsia="黑体"/>
      <w:kern w:val="2"/>
      <w:sz w:val="24"/>
    </w:rPr>
  </w:style>
  <w:style w:type="paragraph" w:styleId="13">
    <w:name w:val="heading 9"/>
    <w:basedOn w:val="1"/>
    <w:next w:val="9"/>
    <w:autoRedefine/>
    <w:qFormat/>
    <w:uiPriority w:val="0"/>
    <w:pPr>
      <w:keepNext/>
      <w:keepLines/>
      <w:autoSpaceDE/>
      <w:autoSpaceDN/>
      <w:adjustRightInd/>
      <w:spacing w:before="240" w:after="64" w:line="320" w:lineRule="auto"/>
      <w:jc w:val="both"/>
      <w:outlineLvl w:val="8"/>
    </w:pPr>
    <w:rPr>
      <w:rFonts w:ascii="Arial" w:hAnsi="Arial" w:eastAsia="黑体"/>
      <w:kern w:val="2"/>
      <w:sz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2字符"/>
    <w:basedOn w:val="1"/>
    <w:autoRedefine/>
    <w:qFormat/>
    <w:uiPriority w:val="0"/>
    <w:pPr>
      <w:widowControl/>
    </w:pPr>
  </w:style>
  <w:style w:type="paragraph" w:styleId="9">
    <w:name w:val="Normal Indent"/>
    <w:basedOn w:val="1"/>
    <w:next w:val="10"/>
    <w:autoRedefine/>
    <w:qFormat/>
    <w:uiPriority w:val="0"/>
    <w:pPr>
      <w:autoSpaceDE/>
      <w:autoSpaceDN/>
      <w:adjustRightInd/>
      <w:ind w:firstLine="420"/>
      <w:jc w:val="both"/>
    </w:pPr>
    <w:rPr>
      <w:rFonts w:ascii="Times New Roman"/>
      <w:kern w:val="2"/>
      <w:sz w:val="21"/>
    </w:rPr>
  </w:style>
  <w:style w:type="paragraph" w:styleId="10">
    <w:name w:val="Body Text Indent"/>
    <w:basedOn w:val="1"/>
    <w:next w:val="1"/>
    <w:autoRedefine/>
    <w:qFormat/>
    <w:uiPriority w:val="0"/>
    <w:pPr>
      <w:adjustRightInd/>
      <w:ind w:firstLine="900"/>
      <w:jc w:val="both"/>
    </w:pPr>
    <w:rPr>
      <w:rFonts w:ascii="Times New Roman"/>
      <w:kern w:val="2"/>
      <w:sz w:val="28"/>
    </w:rPr>
  </w:style>
  <w:style w:type="paragraph" w:styleId="14">
    <w:name w:val="toc 7"/>
    <w:basedOn w:val="1"/>
    <w:next w:val="1"/>
    <w:autoRedefine/>
    <w:qFormat/>
    <w:uiPriority w:val="0"/>
    <w:pPr>
      <w:ind w:left="2040"/>
    </w:pPr>
    <w:rPr>
      <w:rFonts w:ascii="Times New Roman"/>
      <w:sz w:val="18"/>
      <w:szCs w:val="18"/>
    </w:rPr>
  </w:style>
  <w:style w:type="paragraph" w:styleId="15">
    <w:name w:val="table of authorities"/>
    <w:basedOn w:val="1"/>
    <w:next w:val="1"/>
    <w:autoRedefine/>
    <w:unhideWhenUsed/>
    <w:qFormat/>
    <w:uiPriority w:val="99"/>
    <w:pPr>
      <w:ind w:left="420" w:leftChars="200"/>
    </w:pPr>
  </w:style>
  <w:style w:type="paragraph" w:styleId="16">
    <w:name w:val="List Number"/>
    <w:basedOn w:val="1"/>
    <w:autoRedefine/>
    <w:qFormat/>
    <w:uiPriority w:val="0"/>
    <w:pPr>
      <w:widowControl/>
      <w:tabs>
        <w:tab w:val="left" w:pos="454"/>
        <w:tab w:val="left" w:pos="720"/>
        <w:tab w:val="left" w:pos="927"/>
      </w:tabs>
      <w:autoSpaceDE/>
      <w:autoSpaceDN/>
      <w:adjustRightInd/>
      <w:spacing w:after="50" w:afterLines="50"/>
      <w:ind w:left="454" w:hanging="284"/>
    </w:pPr>
    <w:rPr>
      <w:rFonts w:ascii="Times New Roman"/>
      <w:sz w:val="24"/>
    </w:rPr>
  </w:style>
  <w:style w:type="paragraph" w:styleId="17">
    <w:name w:val="caption"/>
    <w:basedOn w:val="1"/>
    <w:next w:val="1"/>
    <w:autoRedefine/>
    <w:qFormat/>
    <w:uiPriority w:val="0"/>
    <w:pPr>
      <w:spacing w:before="152" w:after="160"/>
    </w:pPr>
    <w:rPr>
      <w:rFonts w:ascii="Arial" w:hAnsi="Arial" w:eastAsia="黑体"/>
    </w:rPr>
  </w:style>
  <w:style w:type="paragraph" w:styleId="18">
    <w:name w:val="Document Map"/>
    <w:basedOn w:val="1"/>
    <w:autoRedefine/>
    <w:qFormat/>
    <w:uiPriority w:val="0"/>
    <w:pPr>
      <w:shd w:val="clear" w:color="auto" w:fill="000080"/>
    </w:pPr>
    <w:rPr>
      <w:rFonts w:ascii="Times New Roman"/>
    </w:rPr>
  </w:style>
  <w:style w:type="paragraph" w:styleId="19">
    <w:name w:val="annotation text"/>
    <w:basedOn w:val="1"/>
    <w:link w:val="100"/>
    <w:autoRedefine/>
    <w:qFormat/>
    <w:uiPriority w:val="0"/>
  </w:style>
  <w:style w:type="paragraph" w:styleId="20">
    <w:name w:val="Body Text 3"/>
    <w:basedOn w:val="1"/>
    <w:autoRedefine/>
    <w:qFormat/>
    <w:uiPriority w:val="0"/>
    <w:pPr>
      <w:spacing w:line="640" w:lineRule="atLeast"/>
    </w:pPr>
    <w:rPr>
      <w:rFonts w:ascii="Times New Roman"/>
      <w:color w:val="000000"/>
      <w:sz w:val="28"/>
    </w:rPr>
  </w:style>
  <w:style w:type="paragraph" w:styleId="21">
    <w:name w:val="Body Text"/>
    <w:basedOn w:val="1"/>
    <w:autoRedefine/>
    <w:qFormat/>
    <w:uiPriority w:val="0"/>
    <w:rPr>
      <w:rFonts w:ascii="Times New Roman"/>
      <w:sz w:val="28"/>
    </w:rPr>
  </w:style>
  <w:style w:type="paragraph" w:styleId="22">
    <w:name w:val="List 2"/>
    <w:basedOn w:val="1"/>
    <w:autoRedefine/>
    <w:qFormat/>
    <w:uiPriority w:val="0"/>
    <w:pPr>
      <w:ind w:left="100" w:leftChars="200" w:hanging="200" w:hangingChars="200"/>
    </w:pPr>
    <w:rPr>
      <w:rFonts w:ascii="Times New Roman"/>
    </w:rPr>
  </w:style>
  <w:style w:type="paragraph" w:styleId="23">
    <w:name w:val="Block Text"/>
    <w:basedOn w:val="1"/>
    <w:autoRedefine/>
    <w:unhideWhenUsed/>
    <w:qFormat/>
    <w:uiPriority w:val="99"/>
    <w:pPr>
      <w:spacing w:line="300" w:lineRule="auto"/>
      <w:ind w:left="958" w:right="-120" w:rightChars="-120"/>
    </w:pPr>
    <w:rPr>
      <w:rFonts w:hAnsi="宋体"/>
      <w:sz w:val="28"/>
    </w:rPr>
  </w:style>
  <w:style w:type="paragraph" w:styleId="24">
    <w:name w:val="toc 5"/>
    <w:basedOn w:val="1"/>
    <w:next w:val="1"/>
    <w:autoRedefine/>
    <w:qFormat/>
    <w:uiPriority w:val="0"/>
    <w:pPr>
      <w:ind w:left="1360"/>
    </w:pPr>
    <w:rPr>
      <w:rFonts w:ascii="Times New Roman"/>
      <w:sz w:val="18"/>
      <w:szCs w:val="18"/>
    </w:rPr>
  </w:style>
  <w:style w:type="paragraph" w:styleId="25">
    <w:name w:val="toc 3"/>
    <w:basedOn w:val="1"/>
    <w:next w:val="1"/>
    <w:autoRedefine/>
    <w:qFormat/>
    <w:uiPriority w:val="0"/>
    <w:pPr>
      <w:ind w:left="680"/>
    </w:pPr>
    <w:rPr>
      <w:rFonts w:ascii="Times New Roman"/>
      <w:i/>
      <w:iCs/>
      <w:sz w:val="20"/>
    </w:rPr>
  </w:style>
  <w:style w:type="paragraph" w:styleId="26">
    <w:name w:val="Plain Text"/>
    <w:basedOn w:val="1"/>
    <w:next w:val="1"/>
    <w:autoRedefine/>
    <w:qFormat/>
    <w:uiPriority w:val="0"/>
    <w:rPr>
      <w:rFonts w:ascii="Times New Roman" w:hAnsi="Courier New" w:cs="Courier New"/>
      <w:szCs w:val="21"/>
    </w:rPr>
  </w:style>
  <w:style w:type="paragraph" w:styleId="27">
    <w:name w:val="toc 8"/>
    <w:basedOn w:val="1"/>
    <w:next w:val="1"/>
    <w:autoRedefine/>
    <w:qFormat/>
    <w:uiPriority w:val="0"/>
    <w:pPr>
      <w:ind w:left="2380"/>
    </w:pPr>
    <w:rPr>
      <w:rFonts w:ascii="Times New Roman"/>
      <w:sz w:val="18"/>
      <w:szCs w:val="18"/>
    </w:rPr>
  </w:style>
  <w:style w:type="paragraph" w:styleId="28">
    <w:name w:val="Date"/>
    <w:basedOn w:val="1"/>
    <w:next w:val="1"/>
    <w:autoRedefine/>
    <w:qFormat/>
    <w:uiPriority w:val="0"/>
    <w:pPr>
      <w:jc w:val="both"/>
    </w:pPr>
    <w:rPr>
      <w:rFonts w:ascii="Times New Roman"/>
      <w:sz w:val="28"/>
    </w:rPr>
  </w:style>
  <w:style w:type="paragraph" w:styleId="29">
    <w:name w:val="Body Text Indent 2"/>
    <w:basedOn w:val="1"/>
    <w:autoRedefine/>
    <w:qFormat/>
    <w:uiPriority w:val="0"/>
    <w:pPr>
      <w:autoSpaceDE/>
      <w:autoSpaceDN/>
      <w:adjustRightInd/>
      <w:spacing w:line="360" w:lineRule="auto"/>
      <w:ind w:firstLine="720"/>
      <w:jc w:val="both"/>
    </w:pPr>
    <w:rPr>
      <w:rFonts w:ascii="Times New Roman"/>
      <w:kern w:val="2"/>
      <w:sz w:val="28"/>
    </w:rPr>
  </w:style>
  <w:style w:type="paragraph" w:styleId="30">
    <w:name w:val="endnote text"/>
    <w:basedOn w:val="1"/>
    <w:autoRedefine/>
    <w:qFormat/>
    <w:uiPriority w:val="0"/>
    <w:rPr>
      <w:rFonts w:ascii="Times New Roman"/>
      <w:sz w:val="21"/>
    </w:rPr>
  </w:style>
  <w:style w:type="paragraph" w:styleId="31">
    <w:name w:val="Balloon Text"/>
    <w:basedOn w:val="1"/>
    <w:autoRedefine/>
    <w:qFormat/>
    <w:uiPriority w:val="0"/>
    <w:rPr>
      <w:rFonts w:ascii="Times New Roman"/>
      <w:sz w:val="18"/>
      <w:szCs w:val="18"/>
    </w:rPr>
  </w:style>
  <w:style w:type="paragraph" w:styleId="32">
    <w:name w:val="footer"/>
    <w:basedOn w:val="1"/>
    <w:autoRedefine/>
    <w:qFormat/>
    <w:uiPriority w:val="0"/>
    <w:pPr>
      <w:tabs>
        <w:tab w:val="center" w:pos="4140"/>
        <w:tab w:val="right" w:pos="8300"/>
      </w:tabs>
      <w:snapToGrid w:val="0"/>
    </w:pPr>
    <w:rPr>
      <w:rFonts w:ascii="Times New Roman"/>
      <w:sz w:val="18"/>
    </w:rPr>
  </w:style>
  <w:style w:type="paragraph" w:styleId="33">
    <w:name w:val="envelope return"/>
    <w:basedOn w:val="1"/>
    <w:qFormat/>
    <w:uiPriority w:val="0"/>
    <w:pPr>
      <w:snapToGrid w:val="0"/>
    </w:pPr>
    <w:rPr>
      <w:rFonts w:ascii="Arial" w:hAnsi="Arial"/>
    </w:rPr>
  </w:style>
  <w:style w:type="paragraph" w:styleId="34">
    <w:name w:val="header"/>
    <w:basedOn w:val="1"/>
    <w:autoRedefine/>
    <w:qFormat/>
    <w:uiPriority w:val="0"/>
    <w:pPr>
      <w:pBdr>
        <w:bottom w:val="single" w:color="000000" w:sz="6" w:space="1"/>
      </w:pBdr>
      <w:tabs>
        <w:tab w:val="center" w:pos="4140"/>
        <w:tab w:val="right" w:pos="8300"/>
      </w:tabs>
      <w:snapToGrid w:val="0"/>
      <w:jc w:val="center"/>
    </w:pPr>
    <w:rPr>
      <w:rFonts w:ascii="Times New Roman"/>
      <w:sz w:val="18"/>
    </w:rPr>
  </w:style>
  <w:style w:type="paragraph" w:styleId="35">
    <w:name w:val="toc 1"/>
    <w:basedOn w:val="1"/>
    <w:next w:val="1"/>
    <w:autoRedefine/>
    <w:qFormat/>
    <w:uiPriority w:val="0"/>
    <w:pPr>
      <w:spacing w:before="120" w:after="120"/>
    </w:pPr>
    <w:rPr>
      <w:rFonts w:ascii="Times New Roman"/>
      <w:b/>
      <w:bCs/>
      <w:caps/>
      <w:sz w:val="20"/>
    </w:rPr>
  </w:style>
  <w:style w:type="paragraph" w:styleId="36">
    <w:name w:val="toc 4"/>
    <w:basedOn w:val="1"/>
    <w:next w:val="1"/>
    <w:autoRedefine/>
    <w:qFormat/>
    <w:uiPriority w:val="0"/>
    <w:pPr>
      <w:ind w:left="1020"/>
    </w:pPr>
    <w:rPr>
      <w:rFonts w:ascii="Times New Roman"/>
      <w:sz w:val="18"/>
      <w:szCs w:val="18"/>
    </w:rPr>
  </w:style>
  <w:style w:type="paragraph" w:styleId="37">
    <w:name w:val="Subtitle"/>
    <w:basedOn w:val="1"/>
    <w:autoRedefine/>
    <w:qFormat/>
    <w:uiPriority w:val="11"/>
    <w:pPr>
      <w:spacing w:before="240" w:after="60" w:line="312" w:lineRule="auto"/>
      <w:jc w:val="center"/>
      <w:outlineLvl w:val="1"/>
    </w:pPr>
    <w:rPr>
      <w:rFonts w:ascii="Cambria" w:hAnsi="Cambria" w:eastAsia="Cambria"/>
      <w:b/>
      <w:bCs/>
      <w:kern w:val="28"/>
      <w:sz w:val="32"/>
      <w:szCs w:val="32"/>
    </w:rPr>
  </w:style>
  <w:style w:type="paragraph" w:styleId="38">
    <w:name w:val="List"/>
    <w:basedOn w:val="1"/>
    <w:autoRedefine/>
    <w:qFormat/>
    <w:uiPriority w:val="0"/>
    <w:pPr>
      <w:ind w:left="200" w:hanging="200" w:hangingChars="200"/>
    </w:pPr>
    <w:rPr>
      <w:rFonts w:ascii="Times New Roman"/>
    </w:rPr>
  </w:style>
  <w:style w:type="paragraph" w:styleId="39">
    <w:name w:val="footnote text"/>
    <w:basedOn w:val="1"/>
    <w:autoRedefine/>
    <w:qFormat/>
    <w:uiPriority w:val="0"/>
    <w:pPr>
      <w:snapToGrid w:val="0"/>
    </w:pPr>
    <w:rPr>
      <w:rFonts w:ascii="Times New Roman"/>
      <w:sz w:val="18"/>
    </w:rPr>
  </w:style>
  <w:style w:type="paragraph" w:styleId="40">
    <w:name w:val="toc 6"/>
    <w:basedOn w:val="1"/>
    <w:next w:val="1"/>
    <w:autoRedefine/>
    <w:qFormat/>
    <w:uiPriority w:val="0"/>
    <w:pPr>
      <w:ind w:left="1700"/>
    </w:pPr>
    <w:rPr>
      <w:rFonts w:ascii="Times New Roman"/>
      <w:sz w:val="18"/>
      <w:szCs w:val="18"/>
    </w:rPr>
  </w:style>
  <w:style w:type="paragraph" w:styleId="41">
    <w:name w:val="Body Text Indent 3"/>
    <w:basedOn w:val="1"/>
    <w:autoRedefine/>
    <w:qFormat/>
    <w:uiPriority w:val="0"/>
    <w:pPr>
      <w:autoSpaceDE/>
      <w:autoSpaceDN/>
      <w:adjustRightInd/>
      <w:spacing w:line="360" w:lineRule="auto"/>
      <w:ind w:firstLine="540"/>
      <w:jc w:val="both"/>
    </w:pPr>
    <w:rPr>
      <w:rFonts w:ascii="Times New Roman"/>
      <w:kern w:val="2"/>
      <w:sz w:val="28"/>
    </w:rPr>
  </w:style>
  <w:style w:type="paragraph" w:styleId="42">
    <w:name w:val="toc 2"/>
    <w:basedOn w:val="1"/>
    <w:next w:val="1"/>
    <w:autoRedefine/>
    <w:qFormat/>
    <w:uiPriority w:val="0"/>
    <w:pPr>
      <w:tabs>
        <w:tab w:val="right" w:leader="dot" w:pos="9440"/>
      </w:tabs>
      <w:spacing w:line="380" w:lineRule="atLeast"/>
      <w:ind w:right="-133" w:rightChars="-39"/>
      <w:jc w:val="both"/>
    </w:pPr>
    <w:rPr>
      <w:rFonts w:ascii="Times New Roman"/>
      <w:smallCaps/>
      <w:color w:val="000000"/>
      <w:sz w:val="21"/>
      <w:szCs w:val="21"/>
    </w:rPr>
  </w:style>
  <w:style w:type="paragraph" w:styleId="43">
    <w:name w:val="toc 9"/>
    <w:basedOn w:val="1"/>
    <w:next w:val="1"/>
    <w:autoRedefine/>
    <w:qFormat/>
    <w:uiPriority w:val="0"/>
    <w:pPr>
      <w:ind w:left="2720"/>
    </w:pPr>
    <w:rPr>
      <w:rFonts w:ascii="Times New Roman"/>
      <w:sz w:val="18"/>
      <w:szCs w:val="18"/>
    </w:rPr>
  </w:style>
  <w:style w:type="paragraph" w:styleId="44">
    <w:name w:val="Body Text 2"/>
    <w:basedOn w:val="1"/>
    <w:autoRedefine/>
    <w:qFormat/>
    <w:uiPriority w:val="0"/>
    <w:pPr>
      <w:jc w:val="both"/>
    </w:pPr>
    <w:rPr>
      <w:rFonts w:ascii="Times New Roman"/>
      <w:sz w:val="28"/>
    </w:rPr>
  </w:style>
  <w:style w:type="paragraph" w:styleId="45">
    <w:name w:val="Normal (Web)"/>
    <w:basedOn w:val="1"/>
    <w:link w:val="101"/>
    <w:autoRedefine/>
    <w:qFormat/>
    <w:uiPriority w:val="99"/>
    <w:pPr>
      <w:widowControl/>
      <w:autoSpaceDE/>
      <w:autoSpaceDN/>
      <w:adjustRightInd/>
      <w:spacing w:before="100" w:beforeAutospacing="1" w:after="100" w:afterAutospacing="1"/>
    </w:pPr>
    <w:rPr>
      <w:rFonts w:ascii="Times New Roman" w:hAnsi="宋体"/>
      <w:sz w:val="24"/>
      <w:szCs w:val="24"/>
    </w:rPr>
  </w:style>
  <w:style w:type="paragraph" w:styleId="46">
    <w:name w:val="Title"/>
    <w:basedOn w:val="1"/>
    <w:next w:val="1"/>
    <w:autoRedefine/>
    <w:qFormat/>
    <w:uiPriority w:val="0"/>
    <w:pPr>
      <w:spacing w:before="240" w:after="60"/>
      <w:jc w:val="center"/>
      <w:outlineLvl w:val="0"/>
    </w:pPr>
    <w:rPr>
      <w:rFonts w:ascii="Cambria" w:hAnsi="Cambria"/>
      <w:b/>
      <w:bCs/>
      <w:sz w:val="32"/>
      <w:szCs w:val="32"/>
    </w:rPr>
  </w:style>
  <w:style w:type="paragraph" w:styleId="47">
    <w:name w:val="annotation subject"/>
    <w:basedOn w:val="19"/>
    <w:next w:val="19"/>
    <w:autoRedefine/>
    <w:qFormat/>
    <w:uiPriority w:val="0"/>
    <w:rPr>
      <w:rFonts w:ascii="Times New Roman"/>
      <w:b/>
      <w:bCs/>
    </w:rPr>
  </w:style>
  <w:style w:type="paragraph" w:styleId="48">
    <w:name w:val="Body Text First Indent"/>
    <w:basedOn w:val="21"/>
    <w:autoRedefine/>
    <w:qFormat/>
    <w:uiPriority w:val="0"/>
    <w:pPr>
      <w:ind w:firstLine="420" w:firstLineChars="100"/>
    </w:pPr>
  </w:style>
  <w:style w:type="paragraph" w:styleId="49">
    <w:name w:val="Body Text First Indent 2"/>
    <w:basedOn w:val="10"/>
    <w:autoRedefine/>
    <w:qFormat/>
    <w:uiPriority w:val="0"/>
    <w:pPr>
      <w:spacing w:after="120"/>
      <w:ind w:left="420" w:leftChars="200" w:firstLine="420"/>
    </w:pPr>
  </w:style>
  <w:style w:type="table" w:styleId="51">
    <w:name w:val="Table Grid"/>
    <w:basedOn w:val="50"/>
    <w:qFormat/>
    <w:uiPriority w:val="0"/>
    <w:pPr>
      <w:widowControl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rFonts w:ascii="Times New Roman" w:hAnsi="Times New Roman" w:eastAsia="宋体" w:cs="Times New Roman"/>
      <w:b/>
      <w:bCs/>
    </w:rPr>
  </w:style>
  <w:style w:type="character" w:styleId="54">
    <w:name w:val="page number"/>
    <w:autoRedefine/>
    <w:qFormat/>
    <w:uiPriority w:val="0"/>
    <w:rPr>
      <w:rFonts w:ascii="Times New Roman" w:hAnsi="Times New Roman" w:eastAsia="宋体" w:cs="Times New Roman"/>
    </w:rPr>
  </w:style>
  <w:style w:type="character" w:styleId="55">
    <w:name w:val="Emphasis"/>
    <w:basedOn w:val="52"/>
    <w:qFormat/>
    <w:uiPriority w:val="20"/>
    <w:rPr>
      <w:i/>
    </w:rPr>
  </w:style>
  <w:style w:type="character" w:styleId="56">
    <w:name w:val="Hyperlink"/>
    <w:autoRedefine/>
    <w:qFormat/>
    <w:uiPriority w:val="0"/>
    <w:rPr>
      <w:rFonts w:ascii="Times New Roman" w:hAnsi="Times New Roman" w:eastAsia="宋体" w:cs="Times New Roman"/>
      <w:color w:val="0000FF"/>
      <w:u w:val="single"/>
    </w:rPr>
  </w:style>
  <w:style w:type="character" w:styleId="57">
    <w:name w:val="annotation reference"/>
    <w:autoRedefine/>
    <w:qFormat/>
    <w:uiPriority w:val="0"/>
    <w:rPr>
      <w:rFonts w:ascii="Times New Roman" w:hAnsi="Times New Roman" w:eastAsia="宋体" w:cs="Times New Roman"/>
      <w:sz w:val="21"/>
    </w:rPr>
  </w:style>
  <w:style w:type="character" w:styleId="58">
    <w:name w:val="footnote reference"/>
    <w:autoRedefine/>
    <w:qFormat/>
    <w:uiPriority w:val="0"/>
    <w:rPr>
      <w:rFonts w:ascii="Times New Roman" w:hAnsi="Times New Roman" w:eastAsia="宋体" w:cs="Times New Roman"/>
      <w:vertAlign w:val="superscript"/>
    </w:rPr>
  </w:style>
  <w:style w:type="paragraph" w:customStyle="1" w:styleId="59">
    <w:name w:val="xl53"/>
    <w:basedOn w:val="1"/>
    <w:next w:val="1"/>
    <w:autoRedefine/>
    <w:qFormat/>
    <w:uiPriority w:val="0"/>
    <w:pPr>
      <w:spacing w:before="280" w:after="280" w:line="100" w:lineRule="exact"/>
      <w:jc w:val="center"/>
    </w:pPr>
    <w:rPr>
      <w:b/>
      <w:sz w:val="20"/>
    </w:rPr>
  </w:style>
  <w:style w:type="paragraph" w:customStyle="1" w:styleId="60">
    <w:name w:val="样式1"/>
    <w:qFormat/>
    <w:uiPriority w:val="0"/>
    <w:pPr>
      <w:widowControl w:val="0"/>
      <w:spacing w:before="240" w:after="120" w:line="360" w:lineRule="auto"/>
      <w:jc w:val="both"/>
    </w:pPr>
    <w:rPr>
      <w:rFonts w:ascii="Times New Roman" w:hAnsi="宋体" w:eastAsia="宋体" w:cs="Times New Roman"/>
      <w:kern w:val="2"/>
      <w:sz w:val="28"/>
      <w:szCs w:val="28"/>
      <w:lang w:val="en-US" w:eastAsia="zh-CN" w:bidi="ar-SA"/>
    </w:rPr>
  </w:style>
  <w:style w:type="paragraph" w:customStyle="1" w:styleId="61">
    <w:name w:val="BodyTextIndent"/>
    <w:basedOn w:val="1"/>
    <w:next w:val="1"/>
    <w:autoRedefine/>
    <w:qFormat/>
    <w:uiPriority w:val="0"/>
    <w:pPr>
      <w:ind w:firstLine="900"/>
      <w:jc w:val="both"/>
    </w:pPr>
    <w:rPr>
      <w:rFonts w:ascii="Times New Roman"/>
      <w:kern w:val="2"/>
      <w:sz w:val="28"/>
    </w:rPr>
  </w:style>
  <w:style w:type="paragraph" w:customStyle="1" w:styleId="62">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3">
    <w:name w:val="默认段落字体 Para Char Char Char Char Char Char Char Char Char1 Char Char Char Char"/>
    <w:basedOn w:val="1"/>
    <w:autoRedefine/>
    <w:qFormat/>
    <w:uiPriority w:val="0"/>
    <w:pPr>
      <w:autoSpaceDE/>
      <w:autoSpaceDN/>
      <w:adjustRightInd/>
      <w:jc w:val="both"/>
    </w:pPr>
    <w:rPr>
      <w:rFonts w:ascii="Tahoma" w:hAnsi="Tahoma"/>
      <w:kern w:val="2"/>
      <w:sz w:val="24"/>
    </w:rPr>
  </w:style>
  <w:style w:type="paragraph" w:customStyle="1" w:styleId="64">
    <w:name w:val="F-正文"/>
    <w:qFormat/>
    <w:uiPriority w:val="0"/>
    <w:pPr>
      <w:spacing w:line="560" w:lineRule="exact"/>
      <w:jc w:val="both"/>
    </w:pPr>
    <w:rPr>
      <w:rFonts w:ascii="Times" w:hAnsi="Times" w:eastAsia="仿宋" w:cs="Times New Roman"/>
      <w:kern w:val="2"/>
      <w:sz w:val="24"/>
      <w:lang w:val="en-US" w:eastAsia="zh-CN" w:bidi="ar-SA"/>
    </w:rPr>
  </w:style>
  <w:style w:type="paragraph" w:customStyle="1" w:styleId="65">
    <w:name w:val="正文段"/>
    <w:basedOn w:val="1"/>
    <w:autoRedefine/>
    <w:qFormat/>
    <w:uiPriority w:val="0"/>
    <w:pPr>
      <w:widowControl/>
      <w:autoSpaceDE/>
      <w:autoSpaceDN/>
      <w:adjustRightInd/>
      <w:snapToGrid w:val="0"/>
      <w:spacing w:after="50" w:afterLines="50"/>
      <w:ind w:firstLine="200" w:firstLineChars="200"/>
      <w:jc w:val="both"/>
    </w:pPr>
    <w:rPr>
      <w:rFonts w:ascii="Times New Roman"/>
      <w:sz w:val="24"/>
    </w:rPr>
  </w:style>
  <w:style w:type="paragraph" w:customStyle="1" w:styleId="66">
    <w:name w:val="Char Char Char Char"/>
    <w:basedOn w:val="1"/>
    <w:autoRedefine/>
    <w:qFormat/>
    <w:uiPriority w:val="0"/>
    <w:pPr>
      <w:autoSpaceDE/>
      <w:autoSpaceDN/>
      <w:adjustRightInd/>
      <w:jc w:val="both"/>
    </w:pPr>
    <w:rPr>
      <w:rFonts w:ascii="Times New Roman"/>
    </w:rPr>
  </w:style>
  <w:style w:type="paragraph" w:customStyle="1" w:styleId="6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xl35"/>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paragraph" w:customStyle="1" w:styleId="69">
    <w:name w:val="ZW"/>
    <w:basedOn w:val="1"/>
    <w:autoRedefine/>
    <w:qFormat/>
    <w:uiPriority w:val="0"/>
    <w:pPr>
      <w:spacing w:line="580" w:lineRule="exact"/>
      <w:ind w:firstLine="560"/>
    </w:pPr>
    <w:rPr>
      <w:rFonts w:ascii="仿宋_GB2312" w:hAnsi="仿宋_GB2312" w:eastAsia="仿宋_GB2312" w:cs="宋体"/>
      <w:sz w:val="28"/>
      <w:szCs w:val="36"/>
    </w:rPr>
  </w:style>
  <w:style w:type="paragraph" w:customStyle="1" w:styleId="70">
    <w:name w:val="一级标题"/>
    <w:basedOn w:val="1"/>
    <w:next w:val="21"/>
    <w:autoRedefine/>
    <w:qFormat/>
    <w:uiPriority w:val="0"/>
    <w:pPr>
      <w:outlineLvl w:val="0"/>
    </w:pPr>
    <w:rPr>
      <w:b/>
      <w:bCs/>
      <w:sz w:val="32"/>
    </w:rPr>
  </w:style>
  <w:style w:type="paragraph" w:customStyle="1" w:styleId="71">
    <w:name w:val="p0"/>
    <w:basedOn w:val="1"/>
    <w:autoRedefine/>
    <w:qFormat/>
    <w:uiPriority w:val="0"/>
    <w:pPr>
      <w:widowControl/>
      <w:autoSpaceDE/>
      <w:autoSpaceDN/>
      <w:adjustRightInd/>
      <w:jc w:val="both"/>
    </w:pPr>
    <w:rPr>
      <w:rFonts w:hint="eastAsia" w:ascii="Courier" w:hAnsi="Courier" w:eastAsia="MingLiU"/>
      <w:sz w:val="21"/>
      <w:lang w:eastAsia="zh-TW"/>
    </w:rPr>
  </w:style>
  <w:style w:type="paragraph" w:customStyle="1" w:styleId="72">
    <w:name w:val="BodyText1I2"/>
    <w:basedOn w:val="61"/>
    <w:next w:val="1"/>
    <w:qFormat/>
    <w:uiPriority w:val="0"/>
    <w:pPr>
      <w:spacing w:after="120"/>
      <w:ind w:left="420" w:leftChars="200" w:firstLine="420"/>
    </w:pPr>
    <w:rPr>
      <w:sz w:val="21"/>
      <w:szCs w:val="21"/>
    </w:rPr>
  </w:style>
  <w:style w:type="paragraph" w:customStyle="1" w:styleId="73">
    <w:name w:val="样式 正文文本缩进 + 首行缩进:  2 字符 行距: 1.5 倍行距"/>
    <w:basedOn w:val="10"/>
    <w:autoRedefine/>
    <w:qFormat/>
    <w:uiPriority w:val="0"/>
    <w:pPr>
      <w:spacing w:line="360" w:lineRule="auto"/>
      <w:ind w:firstLine="482" w:firstLineChars="200"/>
    </w:pPr>
    <w:rPr>
      <w:rFonts w:cs="宋体"/>
      <w:b/>
    </w:rPr>
  </w:style>
  <w:style w:type="paragraph" w:customStyle="1" w:styleId="74">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5">
    <w:name w:val="表格内容"/>
    <w:basedOn w:val="1"/>
    <w:autoRedefine/>
    <w:qFormat/>
    <w:uiPriority w:val="3"/>
    <w:pPr>
      <w:widowControl/>
      <w:jc w:val="center"/>
    </w:pPr>
    <w:rPr>
      <w:sz w:val="24"/>
      <w:szCs w:val="28"/>
    </w:rPr>
  </w:style>
  <w:style w:type="paragraph" w:customStyle="1" w:styleId="76">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7">
    <w:name w:val="样式K"/>
    <w:basedOn w:val="21"/>
    <w:autoRedefine/>
    <w:qFormat/>
    <w:uiPriority w:val="0"/>
    <w:pPr>
      <w:autoSpaceDE/>
      <w:autoSpaceDN/>
      <w:adjustRightInd/>
    </w:pPr>
    <w:rPr>
      <w:rFonts w:ascii="仿宋_GB2312" w:hAnsi="Book Antiqua" w:eastAsia="仿宋_GB2312"/>
      <w:kern w:val="2"/>
      <w:sz w:val="24"/>
      <w:szCs w:val="24"/>
    </w:rPr>
  </w:style>
  <w:style w:type="paragraph" w:customStyle="1" w:styleId="78">
    <w:name w:val="正文－恩普"/>
    <w:basedOn w:val="9"/>
    <w:qFormat/>
    <w:uiPriority w:val="0"/>
    <w:pPr>
      <w:widowControl/>
      <w:spacing w:line="360" w:lineRule="auto"/>
      <w:ind w:firstLine="480" w:firstLineChars="200"/>
      <w:jc w:val="left"/>
    </w:pPr>
    <w:rPr>
      <w:kern w:val="0"/>
      <w:sz w:val="24"/>
    </w:rPr>
  </w:style>
  <w:style w:type="paragraph" w:customStyle="1" w:styleId="79">
    <w:name w:val="样式2"/>
    <w:basedOn w:val="1"/>
    <w:next w:val="1"/>
    <w:autoRedefine/>
    <w:qFormat/>
    <w:uiPriority w:val="0"/>
    <w:pPr>
      <w:autoSpaceDE/>
      <w:autoSpaceDN/>
      <w:adjustRightInd/>
      <w:ind w:firstLine="420" w:firstLineChars="200"/>
      <w:jc w:val="both"/>
    </w:pPr>
    <w:rPr>
      <w:rFonts w:ascii="Calibri" w:hAnsi="Calibri"/>
      <w:kern w:val="2"/>
      <w:sz w:val="21"/>
      <w:szCs w:val="22"/>
    </w:rPr>
  </w:style>
  <w:style w:type="paragraph" w:customStyle="1" w:styleId="80">
    <w:name w:val="2"/>
    <w:basedOn w:val="1"/>
    <w:next w:val="21"/>
    <w:autoRedefine/>
    <w:qFormat/>
    <w:uiPriority w:val="0"/>
    <w:rPr>
      <w:rFonts w:ascii="Times New Roman"/>
      <w:sz w:val="28"/>
    </w:rPr>
  </w:style>
  <w:style w:type="paragraph" w:customStyle="1" w:styleId="81">
    <w:name w:val="Char Char Char Char Char Char Char Char Char Char"/>
    <w:basedOn w:val="1"/>
    <w:autoRedefine/>
    <w:qFormat/>
    <w:uiPriority w:val="0"/>
    <w:pPr>
      <w:autoSpaceDE/>
      <w:autoSpaceDN/>
      <w:adjustRightInd/>
      <w:jc w:val="both"/>
    </w:pPr>
    <w:rPr>
      <w:rFonts w:ascii="Tahoma" w:hAnsi="Tahoma"/>
      <w:kern w:val="2"/>
      <w:sz w:val="24"/>
    </w:rPr>
  </w:style>
  <w:style w:type="paragraph" w:customStyle="1" w:styleId="82">
    <w:name w:val="表内文字"/>
    <w:basedOn w:val="1"/>
    <w:autoRedefine/>
    <w:qFormat/>
    <w:uiPriority w:val="0"/>
    <w:pPr>
      <w:tabs>
        <w:tab w:val="left" w:pos="1418"/>
      </w:tabs>
      <w:autoSpaceDE/>
      <w:autoSpaceDN/>
      <w:adjustRightInd/>
      <w:spacing w:line="360" w:lineRule="auto"/>
      <w:jc w:val="center"/>
    </w:pPr>
    <w:rPr>
      <w:rFonts w:ascii="仿宋_GB2312" w:eastAsia="仿宋_GB2312"/>
      <w:spacing w:val="-20"/>
      <w:sz w:val="24"/>
      <w:szCs w:val="24"/>
    </w:rPr>
  </w:style>
  <w:style w:type="paragraph" w:customStyle="1" w:styleId="83">
    <w:name w:val="_Style 2"/>
    <w:basedOn w:val="1"/>
    <w:autoRedefine/>
    <w:qFormat/>
    <w:uiPriority w:val="0"/>
    <w:pPr>
      <w:ind w:firstLine="200" w:firstLineChars="200"/>
    </w:pPr>
    <w:rPr>
      <w:rFonts w:ascii="Calibri" w:hAnsi="Calibri"/>
      <w:sz w:val="28"/>
    </w:rPr>
  </w:style>
  <w:style w:type="paragraph" w:customStyle="1" w:styleId="84">
    <w:name w:val="默认段落字体 Para Char Char Char Char Char Char Char"/>
    <w:basedOn w:val="1"/>
    <w:autoRedefine/>
    <w:qFormat/>
    <w:uiPriority w:val="0"/>
    <w:pPr>
      <w:autoSpaceDE/>
      <w:autoSpaceDN/>
      <w:adjustRightInd/>
      <w:jc w:val="both"/>
    </w:pPr>
    <w:rPr>
      <w:rFonts w:ascii="Tahoma" w:hAnsi="Tahoma"/>
      <w:kern w:val="2"/>
      <w:sz w:val="24"/>
    </w:rPr>
  </w:style>
  <w:style w:type="paragraph" w:customStyle="1" w:styleId="85">
    <w:name w:val="潘"/>
    <w:basedOn w:val="1"/>
    <w:autoRedefine/>
    <w:qFormat/>
    <w:uiPriority w:val="0"/>
    <w:pPr>
      <w:widowControl/>
      <w:autoSpaceDE/>
      <w:autoSpaceDN/>
      <w:adjustRightInd/>
      <w:snapToGrid w:val="0"/>
      <w:spacing w:line="240" w:lineRule="atLeast"/>
      <w:jc w:val="both"/>
    </w:pPr>
    <w:rPr>
      <w:rFonts w:ascii="Arial" w:hAnsi="Arial" w:cs="Arial"/>
      <w:b/>
      <w:bCs/>
      <w:sz w:val="21"/>
      <w:szCs w:val="21"/>
    </w:rPr>
  </w:style>
  <w:style w:type="paragraph" w:customStyle="1" w:styleId="86">
    <w:name w:val="Char Char Char Char Char Char Char"/>
    <w:basedOn w:val="1"/>
    <w:autoRedefine/>
    <w:qFormat/>
    <w:uiPriority w:val="0"/>
    <w:pPr>
      <w:autoSpaceDE/>
      <w:autoSpaceDN/>
      <w:adjustRightInd/>
      <w:jc w:val="both"/>
    </w:pPr>
    <w:rPr>
      <w:rFonts w:ascii="Times New Roman"/>
      <w:kern w:val="2"/>
      <w:sz w:val="21"/>
    </w:rPr>
  </w:style>
  <w:style w:type="paragraph" w:customStyle="1" w:styleId="87">
    <w:name w:val="正文段落"/>
    <w:basedOn w:val="1"/>
    <w:autoRedefine/>
    <w:qFormat/>
    <w:uiPriority w:val="0"/>
    <w:pPr>
      <w:spacing w:line="360" w:lineRule="auto"/>
      <w:ind w:firstLine="200" w:firstLineChars="200"/>
      <w:jc w:val="both"/>
    </w:pPr>
    <w:rPr>
      <w:rFonts w:ascii="Times New Roman"/>
      <w:kern w:val="2"/>
      <w:sz w:val="24"/>
      <w:szCs w:val="24"/>
    </w:rPr>
  </w:style>
  <w:style w:type="paragraph" w:customStyle="1" w:styleId="88">
    <w:name w:val="Char2"/>
    <w:basedOn w:val="18"/>
    <w:next w:val="1"/>
    <w:autoRedefine/>
    <w:qFormat/>
    <w:uiPriority w:val="0"/>
    <w:pPr>
      <w:autoSpaceDE/>
      <w:autoSpaceDN/>
      <w:adjustRightInd/>
      <w:jc w:val="both"/>
    </w:pPr>
    <w:rPr>
      <w:kern w:val="2"/>
      <w:sz w:val="21"/>
    </w:rPr>
  </w:style>
  <w:style w:type="paragraph" w:customStyle="1" w:styleId="89">
    <w:name w:val="_Style 85"/>
    <w:basedOn w:val="1"/>
    <w:autoRedefine/>
    <w:qFormat/>
    <w:uiPriority w:val="0"/>
    <w:pPr>
      <w:widowControl/>
      <w:autoSpaceDE/>
      <w:autoSpaceDN/>
      <w:adjustRightInd/>
      <w:ind w:firstLine="420" w:firstLineChars="200"/>
    </w:pPr>
    <w:rPr>
      <w:rFonts w:ascii="Times New Roman" w:hAnsi="宋体" w:cs="宋体"/>
      <w:color w:val="000000"/>
      <w:sz w:val="24"/>
      <w:szCs w:val="24"/>
    </w:rPr>
  </w:style>
  <w:style w:type="paragraph" w:customStyle="1" w:styleId="90">
    <w:name w:val="Char"/>
    <w:basedOn w:val="1"/>
    <w:autoRedefine/>
    <w:qFormat/>
    <w:uiPriority w:val="0"/>
    <w:pPr>
      <w:autoSpaceDE/>
      <w:autoSpaceDN/>
      <w:adjustRightInd/>
      <w:jc w:val="both"/>
    </w:pPr>
    <w:rPr>
      <w:rFonts w:ascii="Tahoma" w:hAnsi="Tahoma"/>
      <w:kern w:val="2"/>
      <w:sz w:val="24"/>
    </w:rPr>
  </w:style>
  <w:style w:type="paragraph" w:customStyle="1" w:styleId="91">
    <w:name w:val="0-正文"/>
    <w:basedOn w:val="1"/>
    <w:autoRedefine/>
    <w:qFormat/>
    <w:uiPriority w:val="0"/>
    <w:pPr>
      <w:autoSpaceDE/>
      <w:autoSpaceDN/>
      <w:adjustRightInd/>
      <w:spacing w:line="360" w:lineRule="auto"/>
      <w:ind w:firstLine="420" w:firstLineChars="200"/>
      <w:jc w:val="both"/>
    </w:pPr>
    <w:rPr>
      <w:rFonts w:ascii="汉仪仿宋简" w:hAnsi="仿宋"/>
      <w:sz w:val="24"/>
      <w:szCs w:val="28"/>
    </w:rPr>
  </w:style>
  <w:style w:type="paragraph" w:customStyle="1" w:styleId="92">
    <w:name w:val="列出段落2"/>
    <w:basedOn w:val="1"/>
    <w:autoRedefine/>
    <w:qFormat/>
    <w:uiPriority w:val="0"/>
    <w:pPr>
      <w:autoSpaceDE/>
      <w:autoSpaceDN/>
      <w:adjustRightInd/>
      <w:ind w:firstLine="420" w:firstLineChars="200"/>
      <w:jc w:val="both"/>
    </w:pPr>
    <w:rPr>
      <w:rFonts w:ascii="Calibri" w:hAnsi="Calibri" w:eastAsia="PMingLiU"/>
      <w:kern w:val="2"/>
      <w:sz w:val="21"/>
      <w:szCs w:val="22"/>
    </w:rPr>
  </w:style>
  <w:style w:type="paragraph" w:customStyle="1" w:styleId="93">
    <w:name w:val="列出段落1"/>
    <w:basedOn w:val="1"/>
    <w:autoRedefine/>
    <w:qFormat/>
    <w:uiPriority w:val="0"/>
    <w:pPr>
      <w:ind w:firstLine="420"/>
      <w:jc w:val="both"/>
    </w:pPr>
    <w:rPr>
      <w:rFonts w:ascii="Calibri" w:hAnsi="Calibri"/>
      <w:kern w:val="2"/>
      <w:sz w:val="21"/>
      <w:szCs w:val="21"/>
    </w:rPr>
  </w:style>
  <w:style w:type="paragraph" w:customStyle="1" w:styleId="94">
    <w:name w:val="正文一"/>
    <w:basedOn w:val="1"/>
    <w:autoRedefine/>
    <w:qFormat/>
    <w:uiPriority w:val="0"/>
    <w:pPr>
      <w:widowControl/>
      <w:spacing w:line="360" w:lineRule="auto"/>
      <w:ind w:firstLine="480" w:firstLineChars="200"/>
    </w:pPr>
    <w:rPr>
      <w:lang w:bidi="he-IL"/>
    </w:rPr>
  </w:style>
  <w:style w:type="paragraph" w:customStyle="1" w:styleId="95">
    <w:name w:val="正文2"/>
    <w:basedOn w:val="1"/>
    <w:autoRedefine/>
    <w:qFormat/>
    <w:uiPriority w:val="0"/>
    <w:pPr>
      <w:spacing w:before="156" w:line="360" w:lineRule="auto"/>
      <w:ind w:firstLine="510" w:firstLineChars="200"/>
    </w:pPr>
  </w:style>
  <w:style w:type="paragraph" w:customStyle="1" w:styleId="96">
    <w:name w:val="纯文本1"/>
    <w:basedOn w:val="95"/>
    <w:autoRedefine/>
    <w:qFormat/>
    <w:uiPriority w:val="99"/>
    <w:rPr>
      <w:rFonts w:hAnsi="Courier New" w:eastAsia="Times New Roman"/>
      <w:sz w:val="26"/>
    </w:rPr>
  </w:style>
  <w:style w:type="paragraph" w:customStyle="1" w:styleId="97">
    <w:name w:val="LG正文"/>
    <w:basedOn w:val="9"/>
    <w:autoRedefine/>
    <w:qFormat/>
    <w:uiPriority w:val="0"/>
    <w:pPr>
      <w:adjustRightInd w:val="0"/>
      <w:snapToGrid w:val="0"/>
      <w:ind w:firstLine="200"/>
    </w:pPr>
    <w:rPr>
      <w:rFonts w:eastAsia="仿宋"/>
      <w:sz w:val="30"/>
      <w:szCs w:val="22"/>
    </w:rPr>
  </w:style>
  <w:style w:type="character" w:customStyle="1" w:styleId="98">
    <w:name w:val="标题 2 字符"/>
    <w:link w:val="3"/>
    <w:qFormat/>
    <w:uiPriority w:val="0"/>
    <w:rPr>
      <w:rFonts w:ascii="Arial" w:hAnsi="Arial" w:eastAsia="黑体" w:cs="Times New Roman"/>
      <w:b/>
      <w:bCs/>
      <w:sz w:val="32"/>
      <w:szCs w:val="32"/>
    </w:rPr>
  </w:style>
  <w:style w:type="character" w:customStyle="1" w:styleId="99">
    <w:name w:val="标题 3 字符"/>
    <w:link w:val="5"/>
    <w:autoRedefine/>
    <w:qFormat/>
    <w:uiPriority w:val="0"/>
    <w:rPr>
      <w:rFonts w:ascii="Times New Roman" w:hAnsi="Times New Roman" w:eastAsia="宋体" w:cs="Times New Roman"/>
      <w:b/>
      <w:sz w:val="32"/>
    </w:rPr>
  </w:style>
  <w:style w:type="character" w:customStyle="1" w:styleId="100">
    <w:name w:val="批注文字 字符"/>
    <w:link w:val="19"/>
    <w:autoRedefine/>
    <w:qFormat/>
    <w:uiPriority w:val="0"/>
    <w:rPr>
      <w:rFonts w:ascii="宋体" w:hAnsi="Times New Roman" w:eastAsia="宋体" w:cs="Times New Roman"/>
      <w:sz w:val="34"/>
    </w:rPr>
  </w:style>
  <w:style w:type="character" w:customStyle="1" w:styleId="101">
    <w:name w:val="普通(网站) 字符"/>
    <w:link w:val="45"/>
    <w:autoRedefine/>
    <w:qFormat/>
    <w:uiPriority w:val="0"/>
    <w:rPr>
      <w:rFonts w:hAnsi="宋体"/>
      <w:sz w:val="24"/>
      <w:szCs w:val="24"/>
    </w:rPr>
  </w:style>
  <w:style w:type="character" w:customStyle="1" w:styleId="102">
    <w:name w:val="正文文本 3 Char"/>
    <w:autoRedefine/>
    <w:qFormat/>
    <w:uiPriority w:val="0"/>
    <w:rPr>
      <w:rFonts w:ascii="宋体" w:hAnsi="Times New Roman" w:eastAsia="宋体" w:cs="Times New Roman"/>
      <w:color w:val="000000"/>
      <w:sz w:val="28"/>
    </w:rPr>
  </w:style>
  <w:style w:type="character" w:customStyle="1" w:styleId="103">
    <w:name w:val="页脚 Char"/>
    <w:autoRedefine/>
    <w:qFormat/>
    <w:uiPriority w:val="0"/>
    <w:rPr>
      <w:rFonts w:ascii="宋体" w:hAnsi="Times New Roman" w:eastAsia="宋体" w:cs="Times New Roman"/>
      <w:sz w:val="18"/>
    </w:rPr>
  </w:style>
  <w:style w:type="character" w:customStyle="1" w:styleId="104">
    <w:name w:val="font71"/>
    <w:autoRedefine/>
    <w:qFormat/>
    <w:uiPriority w:val="0"/>
    <w:rPr>
      <w:rFonts w:hint="eastAsia" w:ascii="宋体" w:hAnsi="宋体" w:eastAsia="宋体" w:cs="宋体"/>
      <w:color w:val="000000"/>
      <w:sz w:val="24"/>
      <w:szCs w:val="24"/>
      <w:u w:val="none"/>
    </w:rPr>
  </w:style>
  <w:style w:type="character" w:customStyle="1" w:styleId="105">
    <w:name w:val="标题 1 Char"/>
    <w:autoRedefine/>
    <w:qFormat/>
    <w:uiPriority w:val="0"/>
    <w:rPr>
      <w:rFonts w:ascii="宋体" w:hAnsi="Times New Roman" w:eastAsia="宋体" w:cs="Times New Roman"/>
      <w:b/>
      <w:color w:val="000000"/>
      <w:sz w:val="24"/>
    </w:rPr>
  </w:style>
  <w:style w:type="character" w:customStyle="1" w:styleId="106">
    <w:name w:val="apple-converted-space"/>
    <w:autoRedefine/>
    <w:qFormat/>
    <w:uiPriority w:val="0"/>
    <w:rPr>
      <w:rFonts w:ascii="Times New Roman" w:hAnsi="Times New Roman" w:eastAsia="宋体" w:cs="Times New Roman"/>
    </w:rPr>
  </w:style>
  <w:style w:type="character" w:customStyle="1" w:styleId="107">
    <w:name w:val="普通文字 Char Char2"/>
    <w:autoRedefine/>
    <w:qFormat/>
    <w:uiPriority w:val="0"/>
    <w:rPr>
      <w:rFonts w:ascii="宋体" w:hAnsi="Courier New" w:eastAsia="宋体" w:cs="Courier New"/>
      <w:sz w:val="34"/>
      <w:szCs w:val="21"/>
      <w:lang w:val="en-US" w:eastAsia="zh-CN" w:bidi="ar-SA"/>
    </w:rPr>
  </w:style>
  <w:style w:type="character" w:customStyle="1" w:styleId="108">
    <w:name w:val="font11"/>
    <w:basedOn w:val="52"/>
    <w:autoRedefine/>
    <w:qFormat/>
    <w:uiPriority w:val="0"/>
    <w:rPr>
      <w:rFonts w:hint="eastAsia" w:ascii="宋体" w:hAnsi="宋体" w:cs="宋体"/>
      <w:color w:val="000000"/>
      <w:sz w:val="20"/>
      <w:szCs w:val="20"/>
      <w:u w:val="none"/>
    </w:rPr>
  </w:style>
  <w:style w:type="character" w:customStyle="1" w:styleId="109">
    <w:name w:val="font81"/>
    <w:basedOn w:val="52"/>
    <w:autoRedefine/>
    <w:qFormat/>
    <w:uiPriority w:val="0"/>
    <w:rPr>
      <w:rFonts w:ascii="Arial" w:hAnsi="Arial" w:cs="Arial"/>
      <w:color w:val="000000"/>
      <w:sz w:val="20"/>
      <w:szCs w:val="20"/>
      <w:u w:val="none"/>
    </w:rPr>
  </w:style>
  <w:style w:type="character" w:customStyle="1" w:styleId="11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111">
    <w:name w:val="font41"/>
    <w:autoRedefine/>
    <w:qFormat/>
    <w:uiPriority w:val="0"/>
    <w:rPr>
      <w:rFonts w:hint="default" w:ascii="Times New Roman" w:hAnsi="Times New Roman" w:eastAsia="宋体" w:cs="Times New Roman"/>
      <w:color w:val="000000"/>
      <w:sz w:val="24"/>
      <w:szCs w:val="24"/>
      <w:u w:val="none"/>
    </w:rPr>
  </w:style>
  <w:style w:type="character" w:customStyle="1" w:styleId="112">
    <w:name w:val="font21"/>
    <w:basedOn w:val="52"/>
    <w:autoRedefine/>
    <w:qFormat/>
    <w:uiPriority w:val="0"/>
    <w:rPr>
      <w:rFonts w:hint="eastAsia" w:ascii="宋体" w:hAnsi="宋体" w:eastAsia="宋体"/>
      <w:color w:val="000000"/>
      <w:sz w:val="22"/>
      <w:szCs w:val="22"/>
      <w:u w:val="none"/>
    </w:rPr>
  </w:style>
  <w:style w:type="character" w:customStyle="1" w:styleId="113">
    <w:name w:val="font61"/>
    <w:autoRedefine/>
    <w:qFormat/>
    <w:uiPriority w:val="0"/>
    <w:rPr>
      <w:rFonts w:hint="eastAsia" w:ascii="宋体" w:hAnsi="宋体" w:eastAsia="宋体" w:cs="宋体"/>
      <w:color w:val="000000"/>
      <w:sz w:val="24"/>
      <w:szCs w:val="24"/>
      <w:u w:val="none"/>
    </w:rPr>
  </w:style>
  <w:style w:type="character" w:customStyle="1" w:styleId="114">
    <w:name w:val="font01"/>
    <w:basedOn w:val="52"/>
    <w:autoRedefine/>
    <w:qFormat/>
    <w:uiPriority w:val="0"/>
    <w:rPr>
      <w:rFonts w:hint="eastAsia" w:ascii="宋体" w:hAnsi="宋体" w:eastAsia="宋体" w:cs="宋体"/>
      <w:color w:val="000000"/>
      <w:sz w:val="24"/>
      <w:szCs w:val="24"/>
      <w:u w:val="none"/>
    </w:rPr>
  </w:style>
  <w:style w:type="character" w:customStyle="1" w:styleId="115">
    <w:name w:val="页眉 Char"/>
    <w:autoRedefine/>
    <w:qFormat/>
    <w:uiPriority w:val="0"/>
    <w:rPr>
      <w:rFonts w:ascii="宋体" w:hAnsi="Times New Roman" w:eastAsia="宋体" w:cs="Times New Roman"/>
      <w:sz w:val="18"/>
    </w:rPr>
  </w:style>
  <w:style w:type="character" w:customStyle="1" w:styleId="116">
    <w:name w:val="font31"/>
    <w:autoRedefine/>
    <w:qFormat/>
    <w:uiPriority w:val="0"/>
    <w:rPr>
      <w:rFonts w:hint="default" w:ascii="Times New Roman" w:hAnsi="Times New Roman" w:eastAsia="宋体" w:cs="Times New Roman"/>
      <w:color w:val="000000"/>
      <w:sz w:val="24"/>
      <w:szCs w:val="24"/>
      <w:u w:val="none"/>
    </w:rPr>
  </w:style>
  <w:style w:type="character" w:customStyle="1" w:styleId="117">
    <w:name w:val="纯文本 Char"/>
    <w:autoRedefine/>
    <w:qFormat/>
    <w:uiPriority w:val="0"/>
    <w:rPr>
      <w:rFonts w:ascii="宋体" w:hAnsi="Courier New" w:eastAsia="宋体" w:cs="Courier New"/>
      <w:sz w:val="34"/>
      <w:szCs w:val="21"/>
      <w:lang w:val="en-US" w:eastAsia="zh-CN" w:bidi="ar-SA"/>
    </w:rPr>
  </w:style>
  <w:style w:type="character" w:customStyle="1" w:styleId="118">
    <w:name w:val="Char Char"/>
    <w:autoRedefine/>
    <w:qFormat/>
    <w:uiPriority w:val="0"/>
    <w:rPr>
      <w:rFonts w:ascii="宋体" w:hAnsi="宋体" w:eastAsia="宋体" w:cs="Times New Roman"/>
      <w:sz w:val="24"/>
      <w:szCs w:val="24"/>
      <w:lang w:val="en-US" w:eastAsia="zh-CN" w:bidi="ar-SA"/>
    </w:rPr>
  </w:style>
  <w:style w:type="character" w:customStyle="1" w:styleId="119">
    <w:name w:val="font51"/>
    <w:basedOn w:val="52"/>
    <w:autoRedefine/>
    <w:qFormat/>
    <w:uiPriority w:val="0"/>
    <w:rPr>
      <w:rFonts w:hint="default" w:ascii="Arial" w:hAnsi="Arial" w:cs="Arial"/>
      <w:color w:val="000000"/>
      <w:sz w:val="20"/>
      <w:szCs w:val="20"/>
      <w:u w:val="none"/>
    </w:rPr>
  </w:style>
  <w:style w:type="character" w:customStyle="1" w:styleId="120">
    <w:name w:val="正文文本 Char"/>
    <w:autoRedefine/>
    <w:qFormat/>
    <w:uiPriority w:val="0"/>
    <w:rPr>
      <w:rFonts w:ascii="宋体" w:hAnsi="Times New Roman" w:eastAsia="宋体"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4349</Words>
  <Characters>5102</Characters>
  <Lines>460</Lines>
  <Paragraphs>129</Paragraphs>
  <TotalTime>39</TotalTime>
  <ScaleCrop>false</ScaleCrop>
  <LinksUpToDate>false</LinksUpToDate>
  <CharactersWithSpaces>5290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2025-07-03T08:18:00Z</dcterms:created>
  <dc:creator>dell</dc:creator>
  <cp:lastModifiedBy>Lee</cp:lastModifiedBy>
  <cp:lastPrinted>2023-02-03T00:08:00Z</cp:lastPrinted>
  <dcterms:modified xsi:type="dcterms:W3CDTF">2025-07-16T04:44:57Z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784D7B2824774513BC6C030E49D9799C_13</vt:lpwstr>
  </property>
  <property fmtid="{D5CDD505-2E9C-101B-9397-08002B2CF9AE}" pid="4" name="KSOTemplateDocerSaveRecord">
    <vt:lpwstr>eyJoZGlkIjoiNzIxY2JhM2JjMzgwNjlhYmI0ZGQwYTQ4ZmNhYjRhZjYiLCJ1c2VySWQiOiIyMDQ0NzE4ODIifQ==</vt:lpwstr>
  </property>
</Properties>
</file>