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BAAF9">
      <w:pPr>
        <w:pStyle w:val="64"/>
        <w:ind w:firstLine="0"/>
        <w:rPr>
          <w:rFonts w:hAnsi="宋体" w:cs="宋体"/>
          <w:color w:val="auto"/>
          <w:highlight w:val="none"/>
          <w:lang w:val="zh-CN"/>
        </w:rPr>
      </w:pPr>
    </w:p>
    <w:p w14:paraId="590F5E90">
      <w:pPr>
        <w:jc w:val="center"/>
        <w:rPr>
          <w:rFonts w:hAnsi="宋体" w:cs="宋体"/>
          <w:color w:val="auto"/>
          <w:sz w:val="18"/>
          <w:szCs w:val="18"/>
          <w:highlight w:val="none"/>
          <w:lang w:val="zh-CN"/>
        </w:rPr>
      </w:pPr>
      <w:r>
        <w:rPr>
          <w:rFonts w:hint="eastAsia" w:hAnsi="宋体" w:cs="宋体"/>
          <w:b/>
          <w:bCs/>
          <w:color w:val="auto"/>
          <w:sz w:val="48"/>
          <w:szCs w:val="48"/>
          <w:highlight w:val="none"/>
          <w:lang w:val="zh-CN"/>
        </w:rPr>
        <w:t>金华市财政局2025年度预算管理一体化（预算执行）现场服务及省厅金财工程系统运维项目</w:t>
      </w:r>
    </w:p>
    <w:p w14:paraId="5B964EA5">
      <w:pPr>
        <w:rPr>
          <w:rFonts w:hAnsi="宋体" w:cs="宋体"/>
          <w:color w:val="auto"/>
          <w:sz w:val="18"/>
          <w:szCs w:val="18"/>
          <w:highlight w:val="none"/>
          <w:lang w:val="zh-CN"/>
        </w:rPr>
      </w:pPr>
    </w:p>
    <w:p w14:paraId="7925152F">
      <w:pPr>
        <w:rPr>
          <w:rFonts w:hAnsi="宋体" w:cs="宋体"/>
          <w:color w:val="auto"/>
          <w:sz w:val="18"/>
          <w:szCs w:val="18"/>
          <w:highlight w:val="none"/>
          <w:lang w:val="zh-CN"/>
        </w:rPr>
      </w:pPr>
    </w:p>
    <w:p w14:paraId="2D98BF48">
      <w:pPr>
        <w:pStyle w:val="45"/>
        <w:ind w:firstLine="280"/>
        <w:rPr>
          <w:rFonts w:hAnsi="宋体" w:cs="宋体"/>
          <w:color w:val="auto"/>
          <w:highlight w:val="none"/>
          <w:lang w:val="zh-CN"/>
        </w:rPr>
      </w:pPr>
    </w:p>
    <w:p w14:paraId="5F9A0488">
      <w:pPr>
        <w:pStyle w:val="45"/>
        <w:ind w:firstLine="0" w:firstLineChars="0"/>
        <w:rPr>
          <w:rFonts w:hAnsi="宋体" w:cs="宋体"/>
          <w:color w:val="auto"/>
          <w:highlight w:val="none"/>
          <w:lang w:val="zh-CN"/>
        </w:rPr>
      </w:pPr>
    </w:p>
    <w:p w14:paraId="0B79AAE0">
      <w:pPr>
        <w:pStyle w:val="34"/>
        <w:numPr>
          <w:ilvl w:val="255"/>
          <w:numId w:val="0"/>
        </w:numPr>
        <w:rPr>
          <w:color w:val="auto"/>
          <w:highlight w:val="none"/>
          <w:lang w:val="zh-CN"/>
        </w:rPr>
      </w:pPr>
    </w:p>
    <w:p w14:paraId="708E6511">
      <w:pPr>
        <w:rPr>
          <w:color w:val="auto"/>
          <w:highlight w:val="none"/>
          <w:lang w:val="zh-CN"/>
        </w:rPr>
      </w:pPr>
    </w:p>
    <w:p w14:paraId="30CC7D56">
      <w:pPr>
        <w:pStyle w:val="45"/>
        <w:ind w:firstLine="280"/>
        <w:rPr>
          <w:rFonts w:hAnsi="宋体" w:cs="宋体"/>
          <w:color w:val="auto"/>
          <w:highlight w:val="none"/>
          <w:lang w:val="zh-CN"/>
        </w:rPr>
      </w:pPr>
    </w:p>
    <w:p w14:paraId="1A46EA2E">
      <w:pPr>
        <w:jc w:val="center"/>
        <w:rPr>
          <w:rFonts w:hAnsi="宋体" w:cs="宋体"/>
          <w:b/>
          <w:bCs/>
          <w:color w:val="auto"/>
          <w:sz w:val="48"/>
          <w:szCs w:val="48"/>
          <w:highlight w:val="none"/>
          <w:lang w:val="zh-CN"/>
        </w:rPr>
      </w:pPr>
      <w:r>
        <w:rPr>
          <w:rFonts w:hint="eastAsia" w:hAnsi="宋体" w:cs="宋体"/>
          <w:b/>
          <w:bCs/>
          <w:color w:val="auto"/>
          <w:sz w:val="48"/>
          <w:szCs w:val="48"/>
          <w:highlight w:val="none"/>
          <w:lang w:val="zh-CN"/>
        </w:rPr>
        <w:t>竞争性磋商文件</w:t>
      </w:r>
    </w:p>
    <w:p w14:paraId="19F5E854">
      <w:pPr>
        <w:rPr>
          <w:rFonts w:hAnsi="宋体" w:cs="宋体"/>
          <w:color w:val="auto"/>
          <w:sz w:val="18"/>
          <w:szCs w:val="18"/>
          <w:highlight w:val="none"/>
          <w:lang w:val="zh-CN"/>
        </w:rPr>
      </w:pPr>
    </w:p>
    <w:p w14:paraId="39B5A5B3">
      <w:pPr>
        <w:pStyle w:val="2"/>
        <w:ind w:left="680"/>
        <w:rPr>
          <w:rFonts w:ascii="宋体" w:hAnsi="宋体"/>
          <w:color w:val="auto"/>
          <w:highlight w:val="none"/>
          <w:lang w:val="zh-CN"/>
        </w:rPr>
      </w:pPr>
    </w:p>
    <w:p w14:paraId="5D590361">
      <w:pPr>
        <w:pStyle w:val="45"/>
        <w:ind w:firstLine="281"/>
        <w:rPr>
          <w:rFonts w:hAnsi="宋体" w:cs="宋体"/>
          <w:b/>
          <w:bCs/>
          <w:color w:val="auto"/>
          <w:szCs w:val="21"/>
          <w:highlight w:val="none"/>
          <w:lang w:val="zh-CN"/>
        </w:rPr>
      </w:pPr>
    </w:p>
    <w:p w14:paraId="602A6A65">
      <w:pPr>
        <w:pStyle w:val="45"/>
        <w:ind w:firstLine="281"/>
        <w:rPr>
          <w:rFonts w:hAnsi="宋体" w:cs="宋体"/>
          <w:b/>
          <w:bCs/>
          <w:color w:val="auto"/>
          <w:szCs w:val="21"/>
          <w:highlight w:val="none"/>
          <w:lang w:val="zh-CN"/>
        </w:rPr>
      </w:pPr>
    </w:p>
    <w:p w14:paraId="717B8DC4">
      <w:pPr>
        <w:pStyle w:val="34"/>
        <w:numPr>
          <w:ilvl w:val="255"/>
          <w:numId w:val="0"/>
        </w:numPr>
        <w:ind w:left="420"/>
        <w:rPr>
          <w:color w:val="auto"/>
          <w:highlight w:val="none"/>
          <w:lang w:val="zh-CN"/>
        </w:rPr>
      </w:pPr>
    </w:p>
    <w:p w14:paraId="46898DA1">
      <w:pPr>
        <w:rPr>
          <w:rFonts w:hAnsi="宋体" w:cs="宋体"/>
          <w:b/>
          <w:bCs/>
          <w:color w:val="auto"/>
          <w:sz w:val="28"/>
          <w:szCs w:val="28"/>
          <w:highlight w:val="none"/>
          <w:lang w:val="zh-CN"/>
        </w:rPr>
      </w:pPr>
    </w:p>
    <w:p w14:paraId="03C4438F">
      <w:pPr>
        <w:rPr>
          <w:rFonts w:hAnsi="宋体" w:cs="宋体"/>
          <w:color w:val="auto"/>
          <w:highlight w:val="none"/>
          <w:lang w:val="zh-CN"/>
        </w:rPr>
      </w:pPr>
    </w:p>
    <w:p w14:paraId="4F28AB27">
      <w:pPr>
        <w:pStyle w:val="24"/>
        <w:snapToGrid w:val="0"/>
        <w:spacing w:before="120" w:after="120" w:line="360" w:lineRule="auto"/>
        <w:ind w:firstLine="602" w:firstLineChars="200"/>
        <w:rPr>
          <w:rFonts w:hAnsi="宋体" w:cs="宋体"/>
          <w:b/>
          <w:bCs/>
          <w:color w:val="auto"/>
          <w:sz w:val="30"/>
          <w:szCs w:val="30"/>
          <w:highlight w:val="none"/>
        </w:rPr>
      </w:pPr>
      <w:r>
        <w:rPr>
          <w:rFonts w:hint="eastAsia" w:hAnsi="宋体" w:cs="宋体"/>
          <w:b/>
          <w:bCs/>
          <w:color w:val="auto"/>
          <w:sz w:val="30"/>
          <w:szCs w:val="30"/>
          <w:highlight w:val="none"/>
        </w:rPr>
        <w:t>项目编号:  TY2025-FW120-ZFCG120</w:t>
      </w:r>
    </w:p>
    <w:p w14:paraId="6B7812DF">
      <w:pPr>
        <w:pStyle w:val="24"/>
        <w:snapToGrid w:val="0"/>
        <w:spacing w:before="120" w:after="120" w:line="360" w:lineRule="auto"/>
        <w:ind w:firstLine="602" w:firstLineChars="200"/>
        <w:rPr>
          <w:rFonts w:hAnsi="宋体" w:cs="宋体"/>
          <w:b/>
          <w:bCs/>
          <w:color w:val="auto"/>
          <w:sz w:val="30"/>
          <w:szCs w:val="30"/>
          <w:highlight w:val="none"/>
        </w:rPr>
      </w:pPr>
      <w:r>
        <w:rPr>
          <w:rFonts w:hint="eastAsia" w:hAnsi="宋体" w:cs="宋体"/>
          <w:b/>
          <w:bCs/>
          <w:color w:val="auto"/>
          <w:sz w:val="30"/>
          <w:szCs w:val="30"/>
          <w:highlight w:val="none"/>
        </w:rPr>
        <w:t>采购单位： 金华市财政局</w:t>
      </w:r>
    </w:p>
    <w:p w14:paraId="3201F49B">
      <w:pPr>
        <w:pStyle w:val="24"/>
        <w:snapToGrid w:val="0"/>
        <w:spacing w:before="120" w:after="120" w:line="360" w:lineRule="auto"/>
        <w:ind w:firstLine="602" w:firstLineChars="200"/>
        <w:rPr>
          <w:rFonts w:hAnsi="宋体" w:cs="宋体"/>
          <w:b/>
          <w:bCs/>
          <w:color w:val="auto"/>
          <w:sz w:val="30"/>
          <w:szCs w:val="30"/>
          <w:highlight w:val="none"/>
        </w:rPr>
      </w:pPr>
      <w:r>
        <w:rPr>
          <w:rFonts w:hint="eastAsia" w:hAnsi="宋体" w:cs="宋体"/>
          <w:b/>
          <w:bCs/>
          <w:color w:val="auto"/>
          <w:sz w:val="30"/>
          <w:szCs w:val="30"/>
          <w:highlight w:val="none"/>
        </w:rPr>
        <w:t>代理机构:  金华市天盈招标代理有限公司</w:t>
      </w:r>
    </w:p>
    <w:p w14:paraId="3453D6E7">
      <w:pPr>
        <w:pStyle w:val="24"/>
        <w:snapToGrid w:val="0"/>
        <w:spacing w:before="120" w:after="120" w:line="360" w:lineRule="auto"/>
        <w:ind w:firstLine="602" w:firstLineChars="200"/>
        <w:rPr>
          <w:rFonts w:hAnsi="宋体" w:cs="宋体"/>
          <w:b/>
          <w:color w:val="auto"/>
          <w:sz w:val="30"/>
          <w:szCs w:val="48"/>
          <w:highlight w:val="none"/>
        </w:rPr>
      </w:pPr>
      <w:r>
        <w:rPr>
          <w:rFonts w:hint="eastAsia" w:hAnsi="宋体" w:cs="宋体"/>
          <w:b/>
          <w:bCs/>
          <w:color w:val="auto"/>
          <w:sz w:val="30"/>
          <w:szCs w:val="30"/>
          <w:highlight w:val="none"/>
        </w:rPr>
        <w:t xml:space="preserve">监管单位： </w:t>
      </w:r>
      <w:r>
        <w:rPr>
          <w:rFonts w:hint="eastAsia" w:hAnsi="宋体" w:cs="宋体"/>
          <w:b/>
          <w:color w:val="auto"/>
          <w:sz w:val="30"/>
          <w:szCs w:val="48"/>
          <w:highlight w:val="none"/>
        </w:rPr>
        <w:t>金华市财政局政府采购监管处</w:t>
      </w:r>
    </w:p>
    <w:p w14:paraId="1C514AC9">
      <w:pPr>
        <w:spacing w:line="480" w:lineRule="exact"/>
        <w:jc w:val="center"/>
        <w:rPr>
          <w:rFonts w:hAnsi="宋体" w:cs="宋体"/>
          <w:color w:val="auto"/>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bookmarkStart w:id="0" w:name="_Toc237182500"/>
      <w:r>
        <w:rPr>
          <w:rFonts w:hint="eastAsia" w:hAnsi="宋体" w:cs="宋体"/>
          <w:b/>
          <w:bCs/>
          <w:color w:val="auto"/>
          <w:sz w:val="32"/>
          <w:szCs w:val="32"/>
          <w:highlight w:val="none"/>
          <w:lang w:val="zh-CN"/>
        </w:rPr>
        <w:t>2 0 2 5 年 6 月</w:t>
      </w:r>
    </w:p>
    <w:p w14:paraId="40BAAA1B">
      <w:pPr>
        <w:jc w:val="center"/>
        <w:rPr>
          <w:rFonts w:hAnsi="宋体" w:cs="宋体"/>
          <w:b/>
          <w:color w:val="auto"/>
          <w:highlight w:val="none"/>
        </w:rPr>
      </w:pPr>
      <w:r>
        <w:rPr>
          <w:rFonts w:hint="eastAsia" w:hAnsi="宋体" w:cs="宋体"/>
          <w:b/>
          <w:color w:val="auto"/>
          <w:highlight w:val="none"/>
        </w:rPr>
        <w:t>目        录</w:t>
      </w:r>
    </w:p>
    <w:p w14:paraId="7973AF19">
      <w:pPr>
        <w:pStyle w:val="2"/>
        <w:ind w:left="680"/>
        <w:rPr>
          <w:rFonts w:ascii="宋体" w:hAnsi="宋体"/>
          <w:color w:val="auto"/>
          <w:highlight w:val="none"/>
        </w:rPr>
      </w:pPr>
    </w:p>
    <w:p w14:paraId="0381717F">
      <w:pPr>
        <w:pStyle w:val="32"/>
        <w:tabs>
          <w:tab w:val="right" w:leader="dot" w:pos="9746"/>
        </w:tabs>
        <w:spacing w:line="500" w:lineRule="exact"/>
        <w:rPr>
          <w:rFonts w:ascii="宋体" w:hAnsi="宋体" w:cs="宋体"/>
          <w:color w:val="auto"/>
          <w:sz w:val="21"/>
          <w:szCs w:val="21"/>
          <w:highlight w:val="none"/>
        </w:rPr>
      </w:pPr>
      <w:r>
        <w:rPr>
          <w:rStyle w:val="55"/>
          <w:rFonts w:hint="eastAsia" w:cs="宋体"/>
          <w:color w:val="auto"/>
          <w:highlight w:val="none"/>
        </w:rPr>
        <w:fldChar w:fldCharType="begin" w:fldLock="1"/>
      </w:r>
      <w:r>
        <w:rPr>
          <w:rStyle w:val="55"/>
          <w:rFonts w:hint="eastAsia" w:ascii="宋体" w:hAnsi="宋体" w:cs="宋体"/>
          <w:color w:val="auto"/>
          <w:sz w:val="21"/>
          <w:szCs w:val="21"/>
          <w:highlight w:val="none"/>
        </w:rPr>
        <w:instrText xml:space="preserve">TOC \o "1-3" \h \z \u</w:instrText>
      </w:r>
      <w:r>
        <w:rPr>
          <w:rStyle w:val="55"/>
          <w:rFonts w:hint="eastAsia" w:cs="宋体"/>
          <w:color w:val="auto"/>
          <w:highlight w:val="none"/>
        </w:rPr>
        <w:fldChar w:fldCharType="separate"/>
      </w:r>
      <w:r>
        <w:rPr>
          <w:color w:val="auto"/>
          <w:highlight w:val="none"/>
        </w:rPr>
        <w:fldChar w:fldCharType="begin" w:fldLock="1"/>
      </w:r>
      <w:r>
        <w:rPr>
          <w:color w:val="auto"/>
          <w:highlight w:val="none"/>
        </w:rPr>
        <w:instrText xml:space="preserve"> HYPERLINK \l "_Toc19807" </w:instrText>
      </w:r>
      <w:r>
        <w:rPr>
          <w:color w:val="auto"/>
          <w:highlight w:val="none"/>
        </w:rPr>
        <w:fldChar w:fldCharType="separate"/>
      </w:r>
      <w:r>
        <w:rPr>
          <w:rFonts w:hint="eastAsia" w:ascii="宋体" w:hAnsi="宋体" w:cs="宋体"/>
          <w:color w:val="auto"/>
          <w:sz w:val="21"/>
          <w:szCs w:val="21"/>
          <w:highlight w:val="none"/>
        </w:rPr>
        <w:t>第一部分 竞争性磋商公告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fldLock="1"/>
      </w:r>
      <w:r>
        <w:rPr>
          <w:rFonts w:hint="eastAsia" w:ascii="宋体" w:hAnsi="宋体" w:cs="宋体"/>
          <w:color w:val="auto"/>
          <w:sz w:val="21"/>
          <w:szCs w:val="21"/>
          <w:highlight w:val="none"/>
        </w:rPr>
        <w:instrText xml:space="preserve"> PAGEREF _Toc19807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74F5890">
      <w:pPr>
        <w:pStyle w:val="32"/>
        <w:tabs>
          <w:tab w:val="right" w:leader="dot" w:pos="9746"/>
        </w:tabs>
        <w:spacing w:line="500" w:lineRule="exact"/>
        <w:rPr>
          <w:rFonts w:ascii="宋体" w:hAnsi="宋体" w:cs="宋体"/>
          <w:color w:val="auto"/>
          <w:sz w:val="21"/>
          <w:szCs w:val="21"/>
          <w:highlight w:val="none"/>
        </w:rPr>
      </w:pPr>
      <w:r>
        <w:rPr>
          <w:color w:val="auto"/>
          <w:highlight w:val="none"/>
        </w:rPr>
        <w:fldChar w:fldCharType="begin" w:fldLock="1"/>
      </w:r>
      <w:r>
        <w:rPr>
          <w:color w:val="auto"/>
          <w:highlight w:val="none"/>
        </w:rPr>
        <w:instrText xml:space="preserve"> HYPERLINK \l "_Toc26561" </w:instrText>
      </w:r>
      <w:r>
        <w:rPr>
          <w:color w:val="auto"/>
          <w:highlight w:val="none"/>
        </w:rPr>
        <w:fldChar w:fldCharType="separate"/>
      </w:r>
      <w:r>
        <w:rPr>
          <w:rFonts w:hint="eastAsia" w:ascii="宋体" w:hAnsi="宋体" w:cs="宋体"/>
          <w:color w:val="auto"/>
          <w:sz w:val="21"/>
          <w:szCs w:val="21"/>
          <w:highlight w:val="none"/>
        </w:rPr>
        <w:t>第二部分  采购需求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fldLock="1"/>
      </w:r>
      <w:r>
        <w:rPr>
          <w:rFonts w:hint="eastAsia" w:ascii="宋体" w:hAnsi="宋体" w:cs="宋体"/>
          <w:color w:val="auto"/>
          <w:sz w:val="21"/>
          <w:szCs w:val="21"/>
          <w:highlight w:val="none"/>
        </w:rPr>
        <w:instrText xml:space="preserve"> PAGEREF _Toc26561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BAD47C">
      <w:pPr>
        <w:pStyle w:val="32"/>
        <w:tabs>
          <w:tab w:val="right" w:leader="dot" w:pos="9746"/>
        </w:tabs>
        <w:spacing w:line="500" w:lineRule="exact"/>
        <w:rPr>
          <w:rFonts w:ascii="宋体" w:hAnsi="宋体" w:cs="宋体"/>
          <w:color w:val="auto"/>
          <w:sz w:val="21"/>
          <w:szCs w:val="21"/>
          <w:highlight w:val="none"/>
        </w:rPr>
      </w:pPr>
      <w:r>
        <w:rPr>
          <w:color w:val="auto"/>
          <w:highlight w:val="none"/>
        </w:rPr>
        <w:fldChar w:fldCharType="begin" w:fldLock="1"/>
      </w:r>
      <w:r>
        <w:rPr>
          <w:color w:val="auto"/>
          <w:highlight w:val="none"/>
        </w:rPr>
        <w:instrText xml:space="preserve"> HYPERLINK \l "_Toc1073" </w:instrText>
      </w:r>
      <w:r>
        <w:rPr>
          <w:color w:val="auto"/>
          <w:highlight w:val="none"/>
        </w:rPr>
        <w:fldChar w:fldCharType="separate"/>
      </w:r>
      <w:r>
        <w:rPr>
          <w:rFonts w:hint="eastAsia" w:ascii="宋体" w:hAnsi="宋体" w:cs="宋体"/>
          <w:color w:val="auto"/>
          <w:sz w:val="21"/>
          <w:szCs w:val="21"/>
          <w:highlight w:val="none"/>
        </w:rPr>
        <w:t>第三部分  响应供应商须知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fldLock="1"/>
      </w:r>
      <w:r>
        <w:rPr>
          <w:rFonts w:hint="eastAsia" w:ascii="宋体" w:hAnsi="宋体" w:cs="宋体"/>
          <w:color w:val="auto"/>
          <w:sz w:val="21"/>
          <w:szCs w:val="21"/>
          <w:highlight w:val="none"/>
        </w:rPr>
        <w:instrText xml:space="preserve"> PAGEREF _Toc1073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604D54C">
      <w:pPr>
        <w:pStyle w:val="32"/>
        <w:tabs>
          <w:tab w:val="right" w:leader="dot" w:pos="9746"/>
        </w:tabs>
        <w:spacing w:line="500" w:lineRule="exact"/>
        <w:rPr>
          <w:rFonts w:ascii="宋体" w:hAnsi="宋体" w:cs="宋体"/>
          <w:color w:val="auto"/>
          <w:sz w:val="21"/>
          <w:szCs w:val="21"/>
          <w:highlight w:val="none"/>
        </w:rPr>
      </w:pPr>
      <w:r>
        <w:rPr>
          <w:color w:val="auto"/>
          <w:highlight w:val="none"/>
        </w:rPr>
        <w:fldChar w:fldCharType="begin" w:fldLock="1"/>
      </w:r>
      <w:r>
        <w:rPr>
          <w:color w:val="auto"/>
          <w:highlight w:val="none"/>
        </w:rPr>
        <w:instrText xml:space="preserve"> HYPERLINK \l "_Toc7235" </w:instrText>
      </w:r>
      <w:r>
        <w:rPr>
          <w:color w:val="auto"/>
          <w:highlight w:val="none"/>
        </w:rPr>
        <w:fldChar w:fldCharType="separate"/>
      </w:r>
      <w:r>
        <w:rPr>
          <w:rFonts w:hint="eastAsia" w:ascii="宋体" w:hAnsi="宋体" w:cs="宋体"/>
          <w:color w:val="auto"/>
          <w:sz w:val="21"/>
          <w:szCs w:val="21"/>
          <w:highlight w:val="none"/>
        </w:rPr>
        <w:t>第四部分  磋商办法及评分标准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fldLock="1"/>
      </w:r>
      <w:r>
        <w:rPr>
          <w:rFonts w:hint="eastAsia" w:ascii="宋体" w:hAnsi="宋体" w:cs="宋体"/>
          <w:color w:val="auto"/>
          <w:sz w:val="21"/>
          <w:szCs w:val="21"/>
          <w:highlight w:val="none"/>
        </w:rPr>
        <w:instrText xml:space="preserve"> PAGEREF _Toc7235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98323AE">
      <w:pPr>
        <w:pStyle w:val="32"/>
        <w:tabs>
          <w:tab w:val="right" w:leader="dot" w:pos="9746"/>
        </w:tabs>
        <w:spacing w:line="500" w:lineRule="exact"/>
        <w:rPr>
          <w:rFonts w:ascii="宋体" w:hAnsi="宋体" w:cs="宋体"/>
          <w:color w:val="auto"/>
          <w:sz w:val="21"/>
          <w:szCs w:val="21"/>
          <w:highlight w:val="none"/>
        </w:rPr>
      </w:pPr>
      <w:r>
        <w:rPr>
          <w:color w:val="auto"/>
          <w:highlight w:val="none"/>
        </w:rPr>
        <w:fldChar w:fldCharType="begin" w:fldLock="1"/>
      </w:r>
      <w:r>
        <w:rPr>
          <w:color w:val="auto"/>
          <w:highlight w:val="none"/>
        </w:rPr>
        <w:instrText xml:space="preserve"> HYPERLINK \l "_Toc10853" </w:instrText>
      </w:r>
      <w:r>
        <w:rPr>
          <w:color w:val="auto"/>
          <w:highlight w:val="none"/>
        </w:rPr>
        <w:fldChar w:fldCharType="separate"/>
      </w:r>
      <w:r>
        <w:rPr>
          <w:rFonts w:hint="eastAsia" w:ascii="宋体" w:hAnsi="宋体" w:cs="宋体"/>
          <w:color w:val="auto"/>
          <w:sz w:val="21"/>
          <w:szCs w:val="21"/>
          <w:highlight w:val="none"/>
        </w:rPr>
        <w:t>第五部分  合同主要条款</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fldLock="1"/>
      </w:r>
      <w:r>
        <w:rPr>
          <w:rFonts w:hint="eastAsia" w:ascii="宋体" w:hAnsi="宋体" w:cs="宋体"/>
          <w:color w:val="auto"/>
          <w:sz w:val="21"/>
          <w:szCs w:val="21"/>
          <w:highlight w:val="none"/>
        </w:rPr>
        <w:instrText xml:space="preserve"> PAGEREF _Toc10853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A0E09E5">
      <w:pPr>
        <w:pStyle w:val="32"/>
        <w:tabs>
          <w:tab w:val="right" w:leader="dot" w:pos="9746"/>
        </w:tabs>
        <w:spacing w:line="500" w:lineRule="exact"/>
        <w:rPr>
          <w:color w:val="auto"/>
          <w:highlight w:val="none"/>
        </w:rPr>
      </w:pPr>
      <w:r>
        <w:rPr>
          <w:color w:val="auto"/>
          <w:highlight w:val="none"/>
        </w:rPr>
        <w:fldChar w:fldCharType="begin" w:fldLock="1"/>
      </w:r>
      <w:r>
        <w:rPr>
          <w:color w:val="auto"/>
          <w:highlight w:val="none"/>
        </w:rPr>
        <w:instrText xml:space="preserve"> HYPERLINK \l "_Toc19691" </w:instrText>
      </w:r>
      <w:r>
        <w:rPr>
          <w:color w:val="auto"/>
          <w:highlight w:val="none"/>
        </w:rPr>
        <w:fldChar w:fldCharType="separate"/>
      </w:r>
      <w:r>
        <w:rPr>
          <w:rFonts w:hint="eastAsia" w:ascii="宋体" w:hAnsi="宋体" w:cs="宋体"/>
          <w:color w:val="auto"/>
          <w:sz w:val="21"/>
          <w:szCs w:val="21"/>
          <w:highlight w:val="none"/>
        </w:rPr>
        <w:t>第六部分  递交的响应文件格式范例</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fldLock="1"/>
      </w:r>
      <w:r>
        <w:rPr>
          <w:rFonts w:hint="eastAsia" w:ascii="宋体" w:hAnsi="宋体" w:cs="宋体"/>
          <w:color w:val="auto"/>
          <w:sz w:val="21"/>
          <w:szCs w:val="21"/>
          <w:highlight w:val="none"/>
        </w:rPr>
        <w:instrText xml:space="preserve"> PAGEREF _Toc19691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4A61816">
      <w:pPr>
        <w:snapToGrid w:val="0"/>
        <w:spacing w:line="480" w:lineRule="auto"/>
        <w:jc w:val="both"/>
        <w:rPr>
          <w:rFonts w:hAnsi="宋体" w:cs="宋体"/>
          <w:color w:val="auto"/>
          <w:sz w:val="21"/>
          <w:szCs w:val="21"/>
          <w:highlight w:val="none"/>
        </w:rPr>
      </w:pPr>
      <w:r>
        <w:rPr>
          <w:rFonts w:hint="eastAsia" w:hAnsi="宋体" w:cs="宋体"/>
          <w:color w:val="auto"/>
          <w:sz w:val="21"/>
          <w:szCs w:val="21"/>
          <w:highlight w:val="none"/>
        </w:rPr>
        <w:fldChar w:fldCharType="end"/>
      </w:r>
    </w:p>
    <w:p w14:paraId="3A0A07EC">
      <w:pPr>
        <w:snapToGrid w:val="0"/>
        <w:spacing w:line="480" w:lineRule="auto"/>
        <w:jc w:val="both"/>
        <w:rPr>
          <w:rFonts w:hAnsi="宋体" w:cs="宋体"/>
          <w:b/>
          <w:color w:val="auto"/>
          <w:sz w:val="21"/>
          <w:highlight w:val="none"/>
        </w:rPr>
      </w:pPr>
      <w:r>
        <w:rPr>
          <w:rFonts w:hint="eastAsia"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463DAFA9">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举报电话：</w:t>
      </w:r>
    </w:p>
    <w:p w14:paraId="75F5CDCC">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市扫黑办  0579-82495227</w:t>
      </w:r>
    </w:p>
    <w:p w14:paraId="6AF7DE17">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市公安局  110、0579-82512110</w:t>
      </w:r>
    </w:p>
    <w:p w14:paraId="7FA2099B">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市检察院  0579-82537082</w:t>
      </w:r>
    </w:p>
    <w:p w14:paraId="022C77C1">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 法 院  0579-82688725</w:t>
      </w:r>
    </w:p>
    <w:p w14:paraId="0905ADA7">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市公共资源交易管理办公室  0579-82469285</w:t>
      </w:r>
    </w:p>
    <w:p w14:paraId="7E710305">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市公共资源交易中心  0579-83187211</w:t>
      </w:r>
    </w:p>
    <w:p w14:paraId="43D37AEF">
      <w:pPr>
        <w:spacing w:line="480" w:lineRule="auto"/>
        <w:ind w:firstLine="211" w:firstLineChars="100"/>
        <w:jc w:val="both"/>
        <w:rPr>
          <w:rFonts w:hAnsi="宋体" w:cs="宋体"/>
          <w:b/>
          <w:bCs/>
          <w:color w:val="auto"/>
          <w:sz w:val="21"/>
          <w:szCs w:val="21"/>
          <w:highlight w:val="none"/>
        </w:rPr>
      </w:pPr>
      <w:bookmarkStart w:id="1" w:name="_Toc237414001"/>
      <w:bookmarkStart w:id="2" w:name="_Toc237413905"/>
      <w:bookmarkStart w:id="3" w:name="_Toc237189781"/>
      <w:bookmarkStart w:id="4" w:name="_Toc237340100"/>
      <w:bookmarkStart w:id="5" w:name="_Toc237193452"/>
      <w:r>
        <w:rPr>
          <w:rFonts w:hint="eastAsia" w:hAnsi="宋体" w:cs="宋体"/>
          <w:b/>
          <w:bCs/>
          <w:color w:val="auto"/>
          <w:sz w:val="21"/>
          <w:szCs w:val="21"/>
          <w:highlight w:val="none"/>
        </w:rPr>
        <w:t>温馨提示：</w:t>
      </w:r>
    </w:p>
    <w:p w14:paraId="424AA479">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响应供应商不得向采购人、政府采购工作人员、磋商小组专家行贿，违者一经查实，将列入政府采购黑名单！</w:t>
      </w:r>
    </w:p>
    <w:p w14:paraId="3D0EE5F5">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响应供应商可在政采云平台（http://zfcg.czt.zj.gov.cn/）进行免费注册成为正式供应商，具体详见网站响应供应商注册要求，否则将无法参加投标。</w:t>
      </w:r>
    </w:p>
    <w:p w14:paraId="23F92B8B">
      <w:pPr>
        <w:tabs>
          <w:tab w:val="left" w:pos="0"/>
        </w:tabs>
        <w:spacing w:line="380" w:lineRule="exact"/>
        <w:ind w:left="562"/>
        <w:jc w:val="both"/>
        <w:rPr>
          <w:rFonts w:hAnsi="宋体" w:cs="宋体"/>
          <w:b/>
          <w:color w:val="auto"/>
          <w:sz w:val="21"/>
          <w:szCs w:val="21"/>
          <w:highlight w:val="none"/>
        </w:rPr>
      </w:pPr>
      <w:r>
        <w:rPr>
          <w:rFonts w:hint="eastAsia" w:hAnsi="宋体" w:cs="宋体"/>
          <w:b/>
          <w:color w:val="auto"/>
          <w:sz w:val="21"/>
          <w:szCs w:val="21"/>
          <w:highlight w:val="none"/>
        </w:rPr>
        <w:t>（注：请认真阅读此竞争性磋商文件，并按规定制作磋商响应文件，否则我们的努力将是徒劳。）</w:t>
      </w:r>
    </w:p>
    <w:p w14:paraId="177B6F33">
      <w:pPr>
        <w:tabs>
          <w:tab w:val="left" w:pos="0"/>
        </w:tabs>
        <w:spacing w:line="380" w:lineRule="exact"/>
        <w:ind w:left="562"/>
        <w:jc w:val="both"/>
        <w:rPr>
          <w:rFonts w:hAnsi="宋体" w:cs="宋体"/>
          <w:b/>
          <w:color w:val="auto"/>
          <w:sz w:val="21"/>
          <w:szCs w:val="21"/>
          <w:highlight w:val="none"/>
        </w:rPr>
        <w:sectPr>
          <w:footerReference r:id="rId8" w:type="default"/>
          <w:pgSz w:w="11906" w:h="16838"/>
          <w:pgMar w:top="1440" w:right="1080" w:bottom="1440" w:left="1080" w:header="851" w:footer="992" w:gutter="0"/>
          <w:pgNumType w:start="1"/>
          <w:cols w:space="425" w:num="1"/>
          <w:docGrid w:type="lines" w:linePitch="312" w:charSpace="0"/>
        </w:sectPr>
      </w:pPr>
    </w:p>
    <w:bookmarkEnd w:id="0"/>
    <w:bookmarkEnd w:id="1"/>
    <w:bookmarkEnd w:id="2"/>
    <w:bookmarkEnd w:id="3"/>
    <w:bookmarkEnd w:id="4"/>
    <w:bookmarkEnd w:id="5"/>
    <w:p w14:paraId="508512AA">
      <w:pPr>
        <w:pStyle w:val="6"/>
        <w:spacing w:line="360" w:lineRule="auto"/>
        <w:jc w:val="center"/>
        <w:rPr>
          <w:rFonts w:hAnsi="宋体" w:cs="宋体"/>
          <w:color w:val="auto"/>
          <w:sz w:val="30"/>
          <w:szCs w:val="30"/>
          <w:highlight w:val="none"/>
        </w:rPr>
      </w:pPr>
      <w:bookmarkStart w:id="6" w:name="_Toc237182501"/>
      <w:bookmarkStart w:id="7" w:name="_Toc205638623"/>
      <w:bookmarkStart w:id="8" w:name="_Toc237340101"/>
      <w:bookmarkStart w:id="9" w:name="_Toc264211065"/>
      <w:bookmarkStart w:id="10" w:name="_Toc256977533"/>
      <w:bookmarkStart w:id="11" w:name="_Toc237176505"/>
      <w:bookmarkStart w:id="12" w:name="_Toc295737623"/>
      <w:bookmarkStart w:id="13" w:name="_Toc217289129"/>
      <w:bookmarkStart w:id="14" w:name="_Toc237189782"/>
      <w:bookmarkStart w:id="15" w:name="_Toc237413906"/>
      <w:bookmarkStart w:id="16" w:name="_Toc295910871"/>
      <w:bookmarkStart w:id="17" w:name="_Toc184785918"/>
      <w:bookmarkStart w:id="18" w:name="_Toc265065977"/>
      <w:bookmarkStart w:id="19" w:name="_Toc296074334"/>
      <w:bookmarkStart w:id="20" w:name="_Toc237193453"/>
      <w:bookmarkStart w:id="21" w:name="_Toc237414002"/>
      <w:bookmarkStart w:id="22" w:name="_Toc30124"/>
      <w:bookmarkStart w:id="23" w:name="_Toc19807"/>
      <w:r>
        <w:rPr>
          <w:rFonts w:hint="eastAsia" w:hAnsi="宋体" w:cs="宋体"/>
          <w:color w:val="auto"/>
          <w:sz w:val="30"/>
          <w:szCs w:val="30"/>
          <w:highlight w:val="none"/>
        </w:rPr>
        <w:t>第一部分</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hAnsi="宋体" w:cs="宋体"/>
          <w:color w:val="auto"/>
          <w:sz w:val="30"/>
          <w:szCs w:val="30"/>
          <w:highlight w:val="none"/>
        </w:rPr>
        <w:t xml:space="preserve"> 竞争性磋商公告</w:t>
      </w:r>
      <w:bookmarkEnd w:id="22"/>
      <w:bookmarkEnd w:id="23"/>
    </w:p>
    <w:p w14:paraId="509504A4">
      <w:pPr>
        <w:pBdr>
          <w:top w:val="single" w:color="auto" w:sz="4" w:space="1"/>
          <w:left w:val="single" w:color="auto" w:sz="4" w:space="4"/>
          <w:bottom w:val="single" w:color="auto" w:sz="4" w:space="1"/>
          <w:right w:val="single" w:color="auto" w:sz="4" w:space="4"/>
        </w:pBdr>
        <w:snapToGrid w:val="0"/>
        <w:spacing w:line="42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项目概况</w:t>
      </w:r>
    </w:p>
    <w:p w14:paraId="3138C1D6">
      <w:pPr>
        <w:pBdr>
          <w:top w:val="single" w:color="auto" w:sz="4" w:space="1"/>
          <w:left w:val="single" w:color="auto" w:sz="4" w:space="4"/>
          <w:bottom w:val="single" w:color="auto" w:sz="4" w:space="1"/>
          <w:right w:val="single" w:color="auto" w:sz="4" w:space="4"/>
        </w:pBdr>
        <w:spacing w:line="42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金华市财政局关于金华市财政局2025年度预算管理一体化（预算执行）现场服务及省厅金财工程系统运维项目的潜在供应商应在浙江省“政采云”平台获取</w:t>
      </w:r>
      <w:r>
        <w:rPr>
          <w:rFonts w:hint="eastAsia" w:hAnsi="宋体" w:cs="宋体"/>
          <w:b/>
          <w:bCs/>
          <w:color w:val="auto"/>
          <w:sz w:val="21"/>
          <w:szCs w:val="21"/>
          <w:highlight w:val="none"/>
        </w:rPr>
        <w:t>磋商采购文件</w:t>
      </w:r>
      <w:r>
        <w:rPr>
          <w:rFonts w:hint="eastAsia" w:hAnsi="宋体" w:cs="宋体"/>
          <w:color w:val="auto"/>
          <w:sz w:val="21"/>
          <w:szCs w:val="21"/>
          <w:highlight w:val="none"/>
        </w:rPr>
        <w:t>，并于</w:t>
      </w:r>
      <w:r>
        <w:rPr>
          <w:rFonts w:hint="eastAsia" w:hAnsi="宋体" w:cs="宋体"/>
          <w:color w:val="auto"/>
          <w:sz w:val="21"/>
          <w:szCs w:val="21"/>
          <w:highlight w:val="none"/>
          <w:u w:val="single"/>
        </w:rPr>
        <w:t xml:space="preserve"> 2025年</w:t>
      </w:r>
      <w:r>
        <w:rPr>
          <w:rFonts w:hint="eastAsia" w:hAnsi="宋体" w:cs="宋体"/>
          <w:color w:val="auto"/>
          <w:sz w:val="21"/>
          <w:szCs w:val="21"/>
          <w:highlight w:val="none"/>
          <w:u w:val="single"/>
          <w:lang w:val="en-US" w:eastAsia="zh-CN"/>
        </w:rPr>
        <w:t>7</w:t>
      </w:r>
      <w:r>
        <w:rPr>
          <w:rFonts w:hint="eastAsia" w:hAnsi="宋体" w:cs="宋体"/>
          <w:color w:val="auto"/>
          <w:sz w:val="21"/>
          <w:szCs w:val="21"/>
          <w:highlight w:val="none"/>
          <w:u w:val="single"/>
        </w:rPr>
        <w:t>月</w:t>
      </w:r>
      <w:r>
        <w:rPr>
          <w:rFonts w:hint="eastAsia" w:hAnsi="宋体" w:cs="宋体"/>
          <w:color w:val="auto"/>
          <w:sz w:val="21"/>
          <w:szCs w:val="21"/>
          <w:highlight w:val="none"/>
          <w:u w:val="single"/>
          <w:lang w:val="en-US" w:eastAsia="zh-CN"/>
        </w:rPr>
        <w:t>07</w:t>
      </w:r>
      <w:r>
        <w:rPr>
          <w:rFonts w:hint="eastAsia" w:hAnsi="宋体" w:cs="宋体"/>
          <w:color w:val="auto"/>
          <w:sz w:val="21"/>
          <w:szCs w:val="21"/>
          <w:highlight w:val="none"/>
          <w:u w:val="single"/>
        </w:rPr>
        <w:t>日</w:t>
      </w:r>
      <w:r>
        <w:rPr>
          <w:rFonts w:hint="eastAsia" w:hAnsi="宋体" w:cs="宋体"/>
          <w:bCs/>
          <w:color w:val="auto"/>
          <w:sz w:val="21"/>
          <w:szCs w:val="21"/>
          <w:highlight w:val="none"/>
          <w:u w:val="single"/>
          <w:lang w:val="en-US" w:eastAsia="zh-CN"/>
        </w:rPr>
        <w:t>14</w:t>
      </w:r>
      <w:r>
        <w:rPr>
          <w:rFonts w:hint="eastAsia" w:hAnsi="宋体" w:cs="宋体"/>
          <w:bCs/>
          <w:color w:val="auto"/>
          <w:sz w:val="21"/>
          <w:szCs w:val="21"/>
          <w:highlight w:val="none"/>
          <w:u w:val="single"/>
        </w:rPr>
        <w:t>点30分（</w:t>
      </w:r>
      <w:r>
        <w:rPr>
          <w:rFonts w:hint="eastAsia" w:hAnsi="宋体" w:cs="宋体"/>
          <w:bCs/>
          <w:color w:val="auto"/>
          <w:sz w:val="21"/>
          <w:szCs w:val="21"/>
          <w:highlight w:val="none"/>
        </w:rPr>
        <w:t>北京时间）前上传</w:t>
      </w:r>
      <w:r>
        <w:rPr>
          <w:rFonts w:hint="eastAsia" w:hAnsi="宋体" w:cs="宋体"/>
          <w:color w:val="auto"/>
          <w:sz w:val="21"/>
          <w:szCs w:val="21"/>
          <w:highlight w:val="none"/>
        </w:rPr>
        <w:t>磋商响应文件。</w:t>
      </w:r>
    </w:p>
    <w:p w14:paraId="7E8E042A">
      <w:pPr>
        <w:pStyle w:val="42"/>
        <w:shd w:val="clear" w:color="auto" w:fill="FFFFFF"/>
        <w:adjustRightInd w:val="0"/>
        <w:snapToGrid w:val="0"/>
        <w:spacing w:before="0" w:beforeAutospacing="0" w:after="0" w:afterAutospacing="0" w:line="500" w:lineRule="exact"/>
        <w:rPr>
          <w:color w:val="auto"/>
          <w:sz w:val="21"/>
          <w:szCs w:val="21"/>
          <w:highlight w:val="none"/>
        </w:rPr>
      </w:pPr>
      <w:r>
        <w:rPr>
          <w:rFonts w:hint="eastAsia"/>
          <w:b/>
          <w:bCs/>
          <w:color w:val="auto"/>
          <w:sz w:val="21"/>
          <w:szCs w:val="21"/>
          <w:highlight w:val="none"/>
        </w:rPr>
        <w:t>一、项目基本情况</w:t>
      </w:r>
    </w:p>
    <w:p w14:paraId="29CA2C8C">
      <w:pPr>
        <w:pStyle w:val="42"/>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项目编号：TY2025-FW120-ZFCG120</w:t>
      </w:r>
    </w:p>
    <w:p w14:paraId="56503289">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政府采购计划文号：[2025]1575号</w:t>
      </w:r>
    </w:p>
    <w:p w14:paraId="6FE173F5">
      <w:pPr>
        <w:pStyle w:val="42"/>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 xml:space="preserve">采购组织类型：分散采购委托代理 </w:t>
      </w:r>
    </w:p>
    <w:p w14:paraId="58CA91DD">
      <w:pPr>
        <w:pStyle w:val="42"/>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项目名称：金华市财政局2025年度预算管理一体化（预算执行）现场服务及省厅金财工程系统运维项目 </w:t>
      </w:r>
    </w:p>
    <w:p w14:paraId="4C16E2C4">
      <w:pPr>
        <w:pStyle w:val="42"/>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采购方式：竞争性磋商</w:t>
      </w:r>
    </w:p>
    <w:p w14:paraId="1676151E">
      <w:pPr>
        <w:pStyle w:val="42"/>
        <w:shd w:val="clear" w:color="auto" w:fill="FFFFFF"/>
        <w:snapToGrid w:val="0"/>
        <w:spacing w:beforeAutospacing="0" w:afterAutospacing="0" w:line="500" w:lineRule="exact"/>
        <w:ind w:firstLine="420" w:firstLineChars="200"/>
        <w:rPr>
          <w:color w:val="auto"/>
          <w:sz w:val="21"/>
          <w:szCs w:val="21"/>
          <w:highlight w:val="none"/>
        </w:rPr>
      </w:pPr>
      <w:r>
        <w:rPr>
          <w:rFonts w:hint="eastAsia"/>
          <w:color w:val="auto"/>
          <w:sz w:val="21"/>
          <w:szCs w:val="21"/>
          <w:highlight w:val="none"/>
        </w:rPr>
        <w:t>预算金额（人民币）：83.954万元</w:t>
      </w:r>
    </w:p>
    <w:p w14:paraId="5BC6E777">
      <w:pPr>
        <w:pStyle w:val="42"/>
        <w:shd w:val="clear" w:color="auto" w:fill="FFFFFF"/>
        <w:snapToGrid w:val="0"/>
        <w:spacing w:beforeAutospacing="0" w:afterAutospacing="0" w:line="500" w:lineRule="exact"/>
        <w:ind w:firstLine="420" w:firstLineChars="200"/>
        <w:rPr>
          <w:color w:val="auto"/>
          <w:sz w:val="21"/>
          <w:szCs w:val="21"/>
          <w:highlight w:val="none"/>
        </w:rPr>
      </w:pPr>
      <w:r>
        <w:rPr>
          <w:rFonts w:hint="eastAsia"/>
          <w:color w:val="auto"/>
          <w:sz w:val="21"/>
          <w:szCs w:val="21"/>
          <w:highlight w:val="none"/>
        </w:rPr>
        <w:t>最高限价（人民币）：83.954万元</w:t>
      </w:r>
    </w:p>
    <w:p w14:paraId="6FEB4062">
      <w:pPr>
        <w:pStyle w:val="42"/>
        <w:shd w:val="clear" w:color="auto" w:fill="FFFFFF"/>
        <w:adjustRightInd w:val="0"/>
        <w:snapToGrid w:val="0"/>
        <w:spacing w:before="0" w:beforeAutospacing="0" w:after="0" w:afterAutospacing="0" w:line="500" w:lineRule="exact"/>
        <w:ind w:firstLine="210" w:firstLineChars="100"/>
        <w:rPr>
          <w:color w:val="auto"/>
          <w:sz w:val="21"/>
          <w:szCs w:val="21"/>
          <w:highlight w:val="none"/>
        </w:rPr>
      </w:pPr>
      <w:r>
        <w:rPr>
          <w:rFonts w:hint="eastAsia"/>
          <w:color w:val="auto"/>
          <w:sz w:val="21"/>
          <w:szCs w:val="21"/>
          <w:highlight w:val="none"/>
        </w:rPr>
        <w:t xml:space="preserve">  采购需求：</w:t>
      </w:r>
    </w:p>
    <w:tbl>
      <w:tblPr>
        <w:tblStyle w:val="46"/>
        <w:tblW w:w="509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490"/>
        <w:gridCol w:w="3179"/>
        <w:gridCol w:w="808"/>
        <w:gridCol w:w="1232"/>
        <w:gridCol w:w="1280"/>
      </w:tblGrid>
      <w:tr w14:paraId="3F33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1" w:type="pct"/>
            <w:vAlign w:val="center"/>
          </w:tcPr>
          <w:p w14:paraId="288D2F34">
            <w:pPr>
              <w:snapToGrid w:val="0"/>
              <w:spacing w:line="360" w:lineRule="exact"/>
              <w:ind w:left="105" w:leftChars="31"/>
              <w:jc w:val="center"/>
              <w:rPr>
                <w:rFonts w:hAnsi="宋体" w:cs="宋体"/>
                <w:b/>
                <w:color w:val="auto"/>
                <w:sz w:val="21"/>
                <w:highlight w:val="none"/>
              </w:rPr>
            </w:pPr>
            <w:r>
              <w:rPr>
                <w:rFonts w:hint="eastAsia" w:hAnsi="宋体" w:cs="宋体"/>
                <w:b/>
                <w:color w:val="auto"/>
                <w:sz w:val="21"/>
                <w:highlight w:val="none"/>
              </w:rPr>
              <w:t>序号</w:t>
            </w:r>
          </w:p>
        </w:tc>
        <w:tc>
          <w:tcPr>
            <w:tcW w:w="857" w:type="pct"/>
            <w:vAlign w:val="center"/>
          </w:tcPr>
          <w:p w14:paraId="70B35B9F">
            <w:pPr>
              <w:snapToGrid w:val="0"/>
              <w:spacing w:line="360" w:lineRule="exact"/>
              <w:ind w:firstLine="103" w:firstLineChars="49"/>
              <w:jc w:val="center"/>
              <w:rPr>
                <w:rFonts w:hAnsi="宋体" w:cs="宋体"/>
                <w:b/>
                <w:color w:val="auto"/>
                <w:sz w:val="21"/>
                <w:highlight w:val="none"/>
              </w:rPr>
            </w:pPr>
            <w:r>
              <w:rPr>
                <w:rFonts w:hint="eastAsia" w:hAnsi="宋体" w:cs="宋体"/>
                <w:b/>
                <w:color w:val="auto"/>
                <w:sz w:val="21"/>
                <w:highlight w:val="none"/>
              </w:rPr>
              <w:t>项目内容</w:t>
            </w:r>
          </w:p>
        </w:tc>
        <w:tc>
          <w:tcPr>
            <w:tcW w:w="1829" w:type="pct"/>
            <w:vAlign w:val="center"/>
          </w:tcPr>
          <w:p w14:paraId="27142962">
            <w:pPr>
              <w:snapToGrid w:val="0"/>
              <w:spacing w:line="360" w:lineRule="exact"/>
              <w:ind w:firstLine="207" w:firstLineChars="98"/>
              <w:jc w:val="center"/>
              <w:rPr>
                <w:rFonts w:hAnsi="宋体" w:cs="宋体"/>
                <w:b/>
                <w:color w:val="auto"/>
                <w:sz w:val="21"/>
                <w:highlight w:val="none"/>
              </w:rPr>
            </w:pPr>
            <w:r>
              <w:rPr>
                <w:rFonts w:hint="eastAsia" w:hAnsi="宋体" w:cs="宋体"/>
                <w:b/>
                <w:color w:val="auto"/>
                <w:sz w:val="21"/>
                <w:highlight w:val="none"/>
              </w:rPr>
              <w:t>技术要求</w:t>
            </w:r>
          </w:p>
        </w:tc>
        <w:tc>
          <w:tcPr>
            <w:tcW w:w="465" w:type="pct"/>
            <w:vAlign w:val="center"/>
          </w:tcPr>
          <w:p w14:paraId="2444792C">
            <w:pPr>
              <w:snapToGrid w:val="0"/>
              <w:spacing w:line="360" w:lineRule="exact"/>
              <w:jc w:val="center"/>
              <w:rPr>
                <w:rFonts w:hAnsi="宋体" w:cs="宋体"/>
                <w:b/>
                <w:color w:val="auto"/>
                <w:sz w:val="21"/>
                <w:highlight w:val="none"/>
              </w:rPr>
            </w:pPr>
            <w:r>
              <w:rPr>
                <w:rFonts w:hint="eastAsia" w:hAnsi="宋体" w:cs="宋体"/>
                <w:b/>
                <w:color w:val="auto"/>
                <w:sz w:val="21"/>
                <w:highlight w:val="none"/>
              </w:rPr>
              <w:t>服务单位</w:t>
            </w:r>
          </w:p>
        </w:tc>
        <w:tc>
          <w:tcPr>
            <w:tcW w:w="709" w:type="pct"/>
            <w:vAlign w:val="center"/>
          </w:tcPr>
          <w:p w14:paraId="173FAAC7">
            <w:pPr>
              <w:snapToGrid w:val="0"/>
              <w:spacing w:line="360" w:lineRule="exact"/>
              <w:jc w:val="center"/>
              <w:rPr>
                <w:rFonts w:hAnsi="宋体" w:cs="宋体"/>
                <w:b/>
                <w:color w:val="auto"/>
                <w:sz w:val="21"/>
                <w:highlight w:val="none"/>
              </w:rPr>
            </w:pPr>
            <w:r>
              <w:rPr>
                <w:rFonts w:hint="eastAsia" w:hAnsi="宋体" w:cs="宋体"/>
                <w:b/>
                <w:color w:val="auto"/>
                <w:sz w:val="21"/>
                <w:highlight w:val="none"/>
              </w:rPr>
              <w:t>服务期限</w:t>
            </w:r>
          </w:p>
        </w:tc>
        <w:tc>
          <w:tcPr>
            <w:tcW w:w="736" w:type="pct"/>
            <w:vAlign w:val="center"/>
          </w:tcPr>
          <w:p w14:paraId="47E48092">
            <w:pPr>
              <w:snapToGrid w:val="0"/>
              <w:spacing w:line="360" w:lineRule="exact"/>
              <w:jc w:val="center"/>
              <w:rPr>
                <w:rFonts w:hAnsi="宋体" w:cs="宋体"/>
                <w:b/>
                <w:color w:val="auto"/>
                <w:sz w:val="21"/>
                <w:highlight w:val="none"/>
              </w:rPr>
            </w:pPr>
            <w:r>
              <w:rPr>
                <w:rFonts w:hint="eastAsia" w:hAnsi="宋体" w:cs="宋体"/>
                <w:b/>
                <w:color w:val="auto"/>
                <w:sz w:val="21"/>
                <w:highlight w:val="none"/>
              </w:rPr>
              <w:t>最高限价</w:t>
            </w:r>
          </w:p>
          <w:p w14:paraId="0AD60EC2">
            <w:pPr>
              <w:snapToGrid w:val="0"/>
              <w:spacing w:line="360" w:lineRule="exact"/>
              <w:jc w:val="center"/>
              <w:rPr>
                <w:rFonts w:hAnsi="宋体" w:cs="宋体"/>
                <w:b/>
                <w:color w:val="auto"/>
                <w:sz w:val="21"/>
                <w:highlight w:val="none"/>
              </w:rPr>
            </w:pPr>
            <w:r>
              <w:rPr>
                <w:rFonts w:hint="eastAsia" w:hAnsi="宋体" w:cs="宋体"/>
                <w:b/>
                <w:color w:val="auto"/>
                <w:sz w:val="21"/>
                <w:highlight w:val="none"/>
              </w:rPr>
              <w:t>（人民币）</w:t>
            </w:r>
          </w:p>
        </w:tc>
      </w:tr>
      <w:tr w14:paraId="6967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01" w:type="pct"/>
            <w:vAlign w:val="center"/>
          </w:tcPr>
          <w:p w14:paraId="669EBB33">
            <w:pPr>
              <w:snapToGrid w:val="0"/>
              <w:spacing w:line="360" w:lineRule="exact"/>
              <w:ind w:left="105" w:leftChars="31"/>
              <w:jc w:val="center"/>
              <w:rPr>
                <w:rFonts w:hAnsi="宋体" w:cs="宋体"/>
                <w:b/>
                <w:color w:val="auto"/>
                <w:sz w:val="21"/>
                <w:highlight w:val="none"/>
              </w:rPr>
            </w:pPr>
            <w:r>
              <w:rPr>
                <w:rFonts w:hint="eastAsia" w:hAnsi="宋体" w:cs="宋体"/>
                <w:b/>
                <w:color w:val="auto"/>
                <w:sz w:val="21"/>
                <w:highlight w:val="none"/>
              </w:rPr>
              <w:t>1</w:t>
            </w:r>
          </w:p>
        </w:tc>
        <w:tc>
          <w:tcPr>
            <w:tcW w:w="857" w:type="pct"/>
            <w:vAlign w:val="center"/>
          </w:tcPr>
          <w:p w14:paraId="2D4D7464">
            <w:pPr>
              <w:pStyle w:val="42"/>
              <w:shd w:val="clear" w:color="auto" w:fill="FFFFFF"/>
              <w:spacing w:line="360" w:lineRule="exact"/>
              <w:jc w:val="center"/>
              <w:rPr>
                <w:color w:val="auto"/>
                <w:sz w:val="21"/>
                <w:szCs w:val="21"/>
                <w:highlight w:val="none"/>
              </w:rPr>
            </w:pPr>
            <w:r>
              <w:rPr>
                <w:rFonts w:hint="eastAsia"/>
                <w:color w:val="auto"/>
                <w:sz w:val="21"/>
                <w:szCs w:val="21"/>
                <w:highlight w:val="none"/>
              </w:rPr>
              <w:t>2025年度预算管理一体化（预算执行）现场服务及省厅金财工程系统运维</w:t>
            </w:r>
          </w:p>
        </w:tc>
        <w:tc>
          <w:tcPr>
            <w:tcW w:w="1829" w:type="pct"/>
            <w:vAlign w:val="center"/>
          </w:tcPr>
          <w:p w14:paraId="1C3B5302">
            <w:pPr>
              <w:numPr>
                <w:ilvl w:val="255"/>
                <w:numId w:val="0"/>
              </w:numPr>
              <w:snapToGrid w:val="0"/>
              <w:spacing w:line="460" w:lineRule="exact"/>
              <w:textAlignment w:val="auto"/>
              <w:rPr>
                <w:rFonts w:hAnsi="宋体" w:cs="宋体"/>
                <w:color w:val="auto"/>
                <w:sz w:val="21"/>
                <w:szCs w:val="21"/>
                <w:highlight w:val="none"/>
              </w:rPr>
            </w:pPr>
            <w:r>
              <w:rPr>
                <w:rFonts w:hint="eastAsia" w:hAnsi="宋体" w:cs="宋体"/>
                <w:color w:val="auto"/>
                <w:sz w:val="21"/>
                <w:szCs w:val="21"/>
                <w:highlight w:val="none"/>
              </w:rPr>
              <w:t>保障预算管理一体化系统的日常运维工作，包含基础信息管理、 指标管理、用款计划、支付管理、总会计账务核算、资金申拨、预算单位门户、动态监控、政府采购、单位账户管理、核算云等子系统。具体详见采购文件“第二部分  采购需求”。</w:t>
            </w:r>
          </w:p>
        </w:tc>
        <w:tc>
          <w:tcPr>
            <w:tcW w:w="465" w:type="pct"/>
            <w:vAlign w:val="center"/>
          </w:tcPr>
          <w:p w14:paraId="14E5B9C9">
            <w:pPr>
              <w:snapToGrid w:val="0"/>
              <w:spacing w:line="360" w:lineRule="exact"/>
              <w:jc w:val="center"/>
              <w:rPr>
                <w:rFonts w:hAnsi="宋体" w:cs="宋体"/>
                <w:color w:val="auto"/>
                <w:sz w:val="21"/>
                <w:highlight w:val="none"/>
              </w:rPr>
            </w:pPr>
            <w:r>
              <w:rPr>
                <w:rFonts w:hint="eastAsia" w:hAnsi="宋体" w:cs="宋体"/>
                <w:color w:val="auto"/>
                <w:sz w:val="21"/>
                <w:highlight w:val="none"/>
              </w:rPr>
              <w:t>1家</w:t>
            </w:r>
          </w:p>
        </w:tc>
        <w:tc>
          <w:tcPr>
            <w:tcW w:w="709" w:type="pct"/>
            <w:vAlign w:val="center"/>
          </w:tcPr>
          <w:p w14:paraId="293E1302">
            <w:pPr>
              <w:spacing w:line="500" w:lineRule="exact"/>
              <w:rPr>
                <w:rFonts w:hAnsi="宋体" w:cs="宋体"/>
                <w:color w:val="auto"/>
                <w:sz w:val="21"/>
                <w:highlight w:val="none"/>
              </w:rPr>
            </w:pPr>
            <w:r>
              <w:rPr>
                <w:rFonts w:hint="eastAsia" w:hAnsi="宋体" w:cs="宋体"/>
                <w:color w:val="auto"/>
                <w:sz w:val="21"/>
                <w:szCs w:val="21"/>
                <w:highlight w:val="none"/>
              </w:rPr>
              <w:t>合同签订之日起1年（合同另有规定的按合同规定期限履行）</w:t>
            </w:r>
          </w:p>
        </w:tc>
        <w:tc>
          <w:tcPr>
            <w:tcW w:w="736" w:type="pct"/>
            <w:vAlign w:val="center"/>
          </w:tcPr>
          <w:p w14:paraId="5D849ECC">
            <w:pPr>
              <w:snapToGrid w:val="0"/>
              <w:spacing w:line="360" w:lineRule="exact"/>
              <w:jc w:val="center"/>
              <w:rPr>
                <w:rFonts w:hAnsi="宋体" w:cs="宋体"/>
                <w:color w:val="auto"/>
                <w:sz w:val="21"/>
                <w:szCs w:val="21"/>
                <w:highlight w:val="none"/>
              </w:rPr>
            </w:pPr>
          </w:p>
          <w:p w14:paraId="7401F09A">
            <w:pPr>
              <w:pStyle w:val="2"/>
              <w:ind w:left="0" w:leftChars="0" w:firstLine="0"/>
              <w:rPr>
                <w:color w:val="auto"/>
                <w:highlight w:val="none"/>
              </w:rPr>
            </w:pPr>
            <w:r>
              <w:rPr>
                <w:rFonts w:hint="eastAsia" w:hAnsi="宋体"/>
                <w:color w:val="auto"/>
                <w:highlight w:val="none"/>
              </w:rPr>
              <w:t>83.954万元</w:t>
            </w:r>
          </w:p>
        </w:tc>
      </w:tr>
    </w:tbl>
    <w:p w14:paraId="4881047C">
      <w:pPr>
        <w:adjustRightInd/>
        <w:spacing w:line="460" w:lineRule="exact"/>
        <w:rPr>
          <w:rFonts w:hAnsi="宋体" w:cs="宋体"/>
          <w:color w:val="auto"/>
          <w:sz w:val="21"/>
          <w:szCs w:val="21"/>
          <w:highlight w:val="none"/>
        </w:rPr>
      </w:pPr>
      <w:r>
        <w:rPr>
          <w:rFonts w:hint="eastAsia" w:hAnsi="宋体" w:cs="宋体"/>
          <w:color w:val="auto"/>
          <w:sz w:val="21"/>
          <w:szCs w:val="21"/>
          <w:highlight w:val="none"/>
        </w:rPr>
        <w:t xml:space="preserve">  </w:t>
      </w:r>
      <w:r>
        <w:rPr>
          <w:rFonts w:hint="eastAsia" w:hAnsi="宋体" w:cs="宋体"/>
          <w:b/>
          <w:bCs/>
          <w:color w:val="auto"/>
          <w:sz w:val="21"/>
          <w:szCs w:val="21"/>
          <w:highlight w:val="none"/>
        </w:rPr>
        <w:t>二、申请人的资格要求：</w:t>
      </w:r>
    </w:p>
    <w:p w14:paraId="2A3B5765">
      <w:pPr>
        <w:tabs>
          <w:tab w:val="left" w:pos="1260"/>
        </w:tabs>
        <w:snapToGrid w:val="0"/>
        <w:spacing w:line="42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满足《中华人民共和国政府采购法》第二十二条规定；未被“信用中国”（www.creditchina.gov.cn）、中国政府采购网（www.ccgp.gov.cn）等列入失信被执行人、重大税收违法案件当事人名单、政府采购严重违法失信行为记录名单等政府采购黑名单。</w:t>
      </w:r>
    </w:p>
    <w:p w14:paraId="17579D4B">
      <w:pPr>
        <w:tabs>
          <w:tab w:val="left" w:pos="1260"/>
        </w:tabs>
        <w:autoSpaceDE/>
        <w:autoSpaceDN/>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2.落实政策：</w:t>
      </w:r>
    </w:p>
    <w:p w14:paraId="2D8C07CE">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（1）落实政府采购政策需满足的资格要求：</w:t>
      </w:r>
    </w:p>
    <w:p w14:paraId="111CB07F">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☐无；</w:t>
      </w:r>
    </w:p>
    <w:p w14:paraId="3E2C180E">
      <w:pPr>
        <w:snapToGrid w:val="0"/>
        <w:spacing w:line="500" w:lineRule="exact"/>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sym w:font="Wingdings" w:char="F0FE"/>
      </w:r>
      <w:r>
        <w:rPr>
          <w:rFonts w:hint="eastAsia" w:hAnsi="宋体" w:cs="宋体"/>
          <w:color w:val="auto"/>
          <w:sz w:val="21"/>
          <w:szCs w:val="21"/>
          <w:highlight w:val="none"/>
        </w:rPr>
        <w:t>专门面向中小企业</w:t>
      </w:r>
      <w:r>
        <w:rPr>
          <w:rFonts w:hint="eastAsia" w:hAnsi="宋体" w:cs="宋体"/>
          <w:color w:val="auto"/>
          <w:sz w:val="21"/>
          <w:szCs w:val="21"/>
          <w:highlight w:val="none"/>
          <w:lang w:eastAsia="zh-CN"/>
        </w:rPr>
        <w:t>：</w:t>
      </w:r>
      <w:bookmarkStart w:id="184" w:name="_GoBack"/>
      <w:bookmarkEnd w:id="184"/>
    </w:p>
    <w:p w14:paraId="3D9E4F27">
      <w:pPr>
        <w:snapToGrid w:val="0"/>
        <w:spacing w:line="500" w:lineRule="exact"/>
        <w:ind w:firstLine="840" w:firstLineChars="400"/>
        <w:rPr>
          <w:rFonts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货物全部由符合政策要求的中小企业制造，提供中小企业声明函；</w:t>
      </w:r>
    </w:p>
    <w:p w14:paraId="27288A58">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☐货物全部由符合政策要求的小微企业制造，提供中小企业声明函；</w:t>
      </w:r>
    </w:p>
    <w:p w14:paraId="38F21B36">
      <w:pPr>
        <w:spacing w:line="500" w:lineRule="exact"/>
        <w:ind w:firstLine="840" w:firstLineChars="400"/>
        <w:rPr>
          <w:rFonts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工程全部由符合政策要求的中小企业承接，提供中小企业声明函；</w:t>
      </w:r>
    </w:p>
    <w:p w14:paraId="5C390EE5">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☐工程全部由符合政策要求的小微企业承接，提供中小企业声明函；</w:t>
      </w:r>
    </w:p>
    <w:p w14:paraId="65559702">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sym w:font="Wingdings" w:char="F0FE"/>
      </w:r>
      <w:r>
        <w:rPr>
          <w:rFonts w:hint="eastAsia" w:hAnsi="宋体" w:cs="宋体"/>
          <w:b/>
          <w:bCs/>
          <w:color w:val="auto"/>
          <w:sz w:val="21"/>
          <w:szCs w:val="21"/>
          <w:highlight w:val="none"/>
        </w:rPr>
        <w:t>服务全部由符合政策要求的中小企业承接，提供中小企业声明函；</w:t>
      </w:r>
    </w:p>
    <w:p w14:paraId="7ECA6BBA">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☐服务全部由符合政策要求的小微企业承接，提供中小企业声明函；</w:t>
      </w:r>
    </w:p>
    <w:p w14:paraId="6D14EDE3">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7CEC3199">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3.本项目的其它特定资格要求:无</w:t>
      </w:r>
    </w:p>
    <w:p w14:paraId="70FE8512">
      <w:pPr>
        <w:tabs>
          <w:tab w:val="left" w:pos="1260"/>
        </w:tabs>
        <w:autoSpaceDE/>
        <w:autoSpaceDN/>
        <w:adjustRightInd/>
        <w:spacing w:line="500" w:lineRule="exact"/>
        <w:ind w:firstLine="420" w:firstLineChars="200"/>
        <w:jc w:val="both"/>
        <w:textAlignment w:val="auto"/>
        <w:rPr>
          <w:rFonts w:hAnsi="宋体" w:cs="宋体"/>
          <w:b/>
          <w:color w:val="auto"/>
          <w:sz w:val="21"/>
          <w:szCs w:val="21"/>
          <w:highlight w:val="none"/>
        </w:rPr>
      </w:pPr>
      <w:r>
        <w:rPr>
          <w:rFonts w:hint="eastAsia" w:hAnsi="宋体" w:cs="宋体"/>
          <w:bCs/>
          <w:color w:val="auto"/>
          <w:sz w:val="21"/>
          <w:szCs w:val="21"/>
          <w:highlight w:val="none"/>
        </w:rPr>
        <w:t>4</w:t>
      </w:r>
      <w:r>
        <w:rPr>
          <w:rFonts w:hint="eastAsia" w:hAnsi="宋体" w:cs="宋体"/>
          <w:b/>
          <w:color w:val="auto"/>
          <w:sz w:val="21"/>
          <w:szCs w:val="21"/>
          <w:highlight w:val="none"/>
        </w:rPr>
        <w:t>.</w:t>
      </w:r>
      <w:r>
        <w:rPr>
          <w:rFonts w:hint="eastAsia" w:hAnsi="宋体" w:cs="宋体"/>
          <w:color w:val="auto"/>
          <w:sz w:val="21"/>
          <w:szCs w:val="21"/>
          <w:highlight w:val="none"/>
        </w:rPr>
        <w:t>本项目不接受供应商以联合体形式参加磋商采购。</w:t>
      </w:r>
    </w:p>
    <w:p w14:paraId="69F802FC">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三、获取磋商文件（</w:t>
      </w:r>
      <w:r>
        <w:rPr>
          <w:rFonts w:hint="eastAsia" w:hAnsi="宋体" w:cs="宋体"/>
          <w:color w:val="auto"/>
          <w:sz w:val="21"/>
          <w:szCs w:val="21"/>
          <w:highlight w:val="none"/>
          <w:shd w:val="clear" w:color="auto" w:fill="FFFFFF"/>
        </w:rPr>
        <w:t>采购文件</w:t>
      </w:r>
      <w:r>
        <w:rPr>
          <w:rFonts w:hint="eastAsia" w:hAnsi="宋体" w:cs="宋体"/>
          <w:b/>
          <w:color w:val="auto"/>
          <w:sz w:val="21"/>
          <w:szCs w:val="21"/>
          <w:highlight w:val="none"/>
        </w:rPr>
        <w:t>）</w:t>
      </w:r>
    </w:p>
    <w:p w14:paraId="33026BE9">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1.时间：本项目公告发布之日起至2025年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07</w:t>
      </w:r>
      <w:r>
        <w:rPr>
          <w:rFonts w:hint="eastAsia" w:hAnsi="宋体" w:cs="宋体"/>
          <w:color w:val="auto"/>
          <w:sz w:val="21"/>
          <w:szCs w:val="21"/>
          <w:highlight w:val="none"/>
        </w:rPr>
        <w:t>日，每天上午 00:00至12:00 ，下午12:00至23:59（北京时间）</w:t>
      </w:r>
    </w:p>
    <w:p w14:paraId="0DB84EA4">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2. 采购文件获取地址及方式</w:t>
      </w:r>
    </w:p>
    <w:p w14:paraId="0B82106B">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（1）获取地址（网址）：政采云平台线上获取（</w:t>
      </w:r>
      <w:r>
        <w:rPr>
          <w:rFonts w:hint="eastAsia"/>
          <w:color w:val="auto"/>
          <w:highlight w:val="none"/>
        </w:rPr>
        <w:t>https://www.zcygov.cn）</w:t>
      </w:r>
      <w:r>
        <w:rPr>
          <w:rFonts w:hint="eastAsia"/>
          <w:color w:val="auto"/>
          <w:sz w:val="21"/>
          <w:szCs w:val="21"/>
          <w:highlight w:val="none"/>
          <w:shd w:val="clear" w:color="auto" w:fill="FFFFFF"/>
        </w:rPr>
        <w:t>。</w:t>
      </w:r>
    </w:p>
    <w:p w14:paraId="5BF9A3C2">
      <w:pPr>
        <w:pStyle w:val="42"/>
        <w:spacing w:before="0" w:beforeAutospacing="0" w:after="0" w:afterAutospacing="0" w:line="500" w:lineRule="exact"/>
        <w:rPr>
          <w:color w:val="auto"/>
          <w:highlight w:val="none"/>
        </w:rPr>
      </w:pPr>
      <w:r>
        <w:rPr>
          <w:rFonts w:hint="eastAsia"/>
          <w:color w:val="auto"/>
          <w:sz w:val="21"/>
          <w:szCs w:val="21"/>
          <w:highlight w:val="none"/>
          <w:shd w:val="clear" w:color="auto" w:fill="FFFFFF"/>
        </w:rPr>
        <w:t>   （2）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w:t>
      </w:r>
    </w:p>
    <w:p w14:paraId="3AB3D6A2">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（3）售价（元）：0 </w:t>
      </w:r>
    </w:p>
    <w:p w14:paraId="0812C7C3">
      <w:pPr>
        <w:spacing w:line="500" w:lineRule="exact"/>
        <w:ind w:firstLine="422" w:firstLineChars="200"/>
        <w:rPr>
          <w:rStyle w:val="49"/>
          <w:rFonts w:hAnsi="宋体" w:cs="宋体"/>
          <w:bCs w:val="0"/>
          <w:color w:val="auto"/>
          <w:sz w:val="24"/>
          <w:szCs w:val="24"/>
          <w:highlight w:val="none"/>
        </w:rPr>
      </w:pPr>
      <w:r>
        <w:rPr>
          <w:rStyle w:val="49"/>
          <w:rFonts w:hint="eastAsia" w:hAnsi="宋体" w:cs="宋体"/>
          <w:color w:val="auto"/>
          <w:sz w:val="21"/>
          <w:szCs w:val="21"/>
          <w:highlight w:val="none"/>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2ACBBCDF">
      <w:pPr>
        <w:autoSpaceDE/>
        <w:autoSpaceDN/>
        <w:adjustRightInd/>
        <w:spacing w:line="500" w:lineRule="exact"/>
        <w:ind w:firstLine="422" w:firstLineChars="200"/>
        <w:jc w:val="both"/>
        <w:textAlignment w:val="auto"/>
        <w:rPr>
          <w:rFonts w:hAnsi="宋体" w:cs="宋体"/>
          <w:color w:val="auto"/>
          <w:highlight w:val="none"/>
        </w:rPr>
      </w:pPr>
      <w:r>
        <w:rPr>
          <w:rStyle w:val="49"/>
          <w:rFonts w:hint="eastAsia" w:hAnsi="宋体" w:cs="宋体"/>
          <w:color w:val="auto"/>
          <w:sz w:val="21"/>
          <w:szCs w:val="21"/>
          <w:highlight w:val="none"/>
        </w:rPr>
        <w:t>（2）采购代理机构将拒绝接受非报名人的投标文件（即“磋商响应文件”，下同）。</w:t>
      </w:r>
    </w:p>
    <w:p w14:paraId="28A5FEE7">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bookmarkStart w:id="24" w:name="_Toc28359005"/>
      <w:bookmarkStart w:id="25" w:name="_Toc28359082"/>
      <w:bookmarkStart w:id="26" w:name="_Toc35393793"/>
      <w:bookmarkStart w:id="27" w:name="_Toc35393624"/>
      <w:r>
        <w:rPr>
          <w:rFonts w:hint="eastAsia" w:hAnsi="宋体" w:cs="宋体"/>
          <w:b/>
          <w:color w:val="auto"/>
          <w:sz w:val="21"/>
          <w:szCs w:val="21"/>
          <w:highlight w:val="none"/>
        </w:rPr>
        <w:t>四、提交磋商响应文件</w:t>
      </w:r>
      <w:bookmarkEnd w:id="24"/>
      <w:bookmarkEnd w:id="25"/>
      <w:r>
        <w:rPr>
          <w:rFonts w:hint="eastAsia" w:hAnsi="宋体" w:cs="宋体"/>
          <w:b/>
          <w:color w:val="auto"/>
          <w:sz w:val="21"/>
          <w:szCs w:val="21"/>
          <w:highlight w:val="none"/>
        </w:rPr>
        <w:t>截止时间、开启时间和地点</w:t>
      </w:r>
      <w:bookmarkEnd w:id="26"/>
      <w:bookmarkEnd w:id="27"/>
    </w:p>
    <w:p w14:paraId="15A4E9C9">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1.提交磋商响应文件截止时间：2025年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07</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14</w:t>
      </w:r>
      <w:r>
        <w:rPr>
          <w:rFonts w:hint="eastAsia" w:hAnsi="宋体" w:cs="宋体"/>
          <w:color w:val="auto"/>
          <w:sz w:val="21"/>
          <w:szCs w:val="21"/>
          <w:highlight w:val="none"/>
        </w:rPr>
        <w:t>：30时（北京时间）</w:t>
      </w:r>
    </w:p>
    <w:p w14:paraId="42580B58">
      <w:pPr>
        <w:pStyle w:val="42"/>
        <w:spacing w:before="0" w:beforeAutospacing="0" w:after="0" w:afterAutospacing="0" w:line="500" w:lineRule="exact"/>
        <w:rPr>
          <w:color w:val="auto"/>
          <w:sz w:val="21"/>
          <w:szCs w:val="21"/>
          <w:highlight w:val="none"/>
        </w:rPr>
      </w:pPr>
      <w:r>
        <w:rPr>
          <w:rFonts w:hint="eastAsia"/>
          <w:color w:val="auto"/>
          <w:sz w:val="21"/>
          <w:szCs w:val="21"/>
          <w:highlight w:val="none"/>
          <w:shd w:val="clear" w:color="auto" w:fill="FFFFFF"/>
        </w:rPr>
        <w:t>投标地点（网址）：通过浙江政府采购网政府采购云平台实行在线投标响应（即“在线磋商响应”）。</w:t>
      </w:r>
    </w:p>
    <w:p w14:paraId="6FE6349A">
      <w:pPr>
        <w:pStyle w:val="42"/>
        <w:spacing w:before="0" w:beforeAutospacing="0" w:after="0" w:afterAutospacing="0" w:line="500" w:lineRule="exact"/>
        <w:rPr>
          <w:color w:val="auto"/>
          <w:sz w:val="21"/>
          <w:szCs w:val="21"/>
          <w:highlight w:val="none"/>
        </w:rPr>
      </w:pPr>
      <w:r>
        <w:rPr>
          <w:rFonts w:hint="eastAsia"/>
          <w:color w:val="auto"/>
          <w:sz w:val="21"/>
          <w:szCs w:val="21"/>
          <w:highlight w:val="none"/>
          <w:shd w:val="clear" w:color="auto" w:fill="FFFFFF"/>
        </w:rPr>
        <w:t>   开</w:t>
      </w:r>
      <w:r>
        <w:rPr>
          <w:rFonts w:hint="eastAsia"/>
          <w:color w:val="auto"/>
          <w:sz w:val="21"/>
          <w:szCs w:val="21"/>
          <w:highlight w:val="none"/>
        </w:rPr>
        <w:t>启</w:t>
      </w:r>
      <w:r>
        <w:rPr>
          <w:rFonts w:hint="eastAsia"/>
          <w:color w:val="auto"/>
          <w:sz w:val="21"/>
          <w:szCs w:val="21"/>
          <w:highlight w:val="none"/>
          <w:shd w:val="clear" w:color="auto" w:fill="FFFFFF"/>
        </w:rPr>
        <w:t>时间：</w:t>
      </w:r>
      <w:r>
        <w:rPr>
          <w:rFonts w:hint="eastAsia"/>
          <w:color w:val="auto"/>
          <w:sz w:val="21"/>
          <w:szCs w:val="21"/>
          <w:highlight w:val="none"/>
        </w:rPr>
        <w:t>2025年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07</w:t>
      </w:r>
      <w:r>
        <w:rPr>
          <w:rFonts w:hint="eastAsia"/>
          <w:color w:val="auto"/>
          <w:sz w:val="21"/>
          <w:szCs w:val="21"/>
          <w:highlight w:val="none"/>
        </w:rPr>
        <w:t>日</w:t>
      </w:r>
      <w:r>
        <w:rPr>
          <w:rFonts w:hint="eastAsia"/>
          <w:color w:val="auto"/>
          <w:sz w:val="21"/>
          <w:szCs w:val="21"/>
          <w:highlight w:val="none"/>
          <w:lang w:val="en-US" w:eastAsia="zh-CN"/>
        </w:rPr>
        <w:t>14</w:t>
      </w:r>
      <w:r>
        <w:rPr>
          <w:rFonts w:hint="eastAsia"/>
          <w:color w:val="auto"/>
          <w:sz w:val="21"/>
          <w:szCs w:val="21"/>
          <w:highlight w:val="none"/>
        </w:rPr>
        <w:t>：30时</w:t>
      </w:r>
      <w:r>
        <w:rPr>
          <w:rFonts w:hint="eastAsia"/>
          <w:color w:val="auto"/>
          <w:sz w:val="21"/>
          <w:szCs w:val="21"/>
          <w:highlight w:val="none"/>
          <w:shd w:val="clear" w:color="auto" w:fill="FFFFFF"/>
        </w:rPr>
        <w:t>（北京时间）</w:t>
      </w:r>
    </w:p>
    <w:p w14:paraId="24631F76">
      <w:pPr>
        <w:pStyle w:val="42"/>
        <w:spacing w:before="0" w:beforeAutospacing="0" w:after="0" w:afterAutospacing="0" w:line="500" w:lineRule="exact"/>
        <w:rPr>
          <w:color w:val="auto"/>
          <w:sz w:val="21"/>
          <w:szCs w:val="21"/>
          <w:highlight w:val="none"/>
        </w:rPr>
      </w:pPr>
      <w:r>
        <w:rPr>
          <w:rFonts w:hint="eastAsia"/>
          <w:color w:val="auto"/>
          <w:sz w:val="21"/>
          <w:szCs w:val="21"/>
          <w:highlight w:val="none"/>
          <w:shd w:val="clear" w:color="auto" w:fill="FFFFFF"/>
        </w:rPr>
        <w:t>   开</w:t>
      </w:r>
      <w:r>
        <w:rPr>
          <w:rFonts w:hint="eastAsia"/>
          <w:color w:val="auto"/>
          <w:sz w:val="21"/>
          <w:szCs w:val="21"/>
          <w:highlight w:val="none"/>
        </w:rPr>
        <w:t>启</w:t>
      </w:r>
      <w:r>
        <w:rPr>
          <w:rFonts w:hint="eastAsia"/>
          <w:color w:val="auto"/>
          <w:sz w:val="21"/>
          <w:szCs w:val="21"/>
          <w:highlight w:val="none"/>
          <w:shd w:val="clear" w:color="auto" w:fill="FFFFFF"/>
        </w:rPr>
        <w:t>地点（网址）：</w:t>
      </w:r>
      <w:r>
        <w:rPr>
          <w:rFonts w:hint="eastAsia"/>
          <w:color w:val="auto"/>
          <w:sz w:val="21"/>
          <w:szCs w:val="21"/>
          <w:highlight w:val="none"/>
        </w:rPr>
        <w:t>金华市双龙南街858号金华财富大厦（金华市行政服务中心新办事大厅4楼开标1室），本项目</w:t>
      </w:r>
      <w:r>
        <w:rPr>
          <w:rFonts w:hint="eastAsia"/>
          <w:color w:val="auto"/>
          <w:sz w:val="21"/>
          <w:szCs w:val="21"/>
          <w:highlight w:val="none"/>
          <w:shd w:val="clear" w:color="auto" w:fill="FFFFFF"/>
        </w:rPr>
        <w:t>通过浙江政府采购网政府采</w:t>
      </w:r>
      <w:r>
        <w:rPr>
          <w:rFonts w:hint="eastAsia"/>
          <w:color w:val="auto"/>
          <w:sz w:val="21"/>
          <w:szCs w:val="21"/>
          <w:highlight w:val="none"/>
        </w:rPr>
        <w:t>购云平台在线开标，</w:t>
      </w:r>
      <w:r>
        <w:rPr>
          <w:rStyle w:val="49"/>
          <w:rFonts w:hint="eastAsia"/>
          <w:b w:val="0"/>
          <w:bCs w:val="0"/>
          <w:color w:val="auto"/>
          <w:sz w:val="21"/>
          <w:szCs w:val="21"/>
          <w:highlight w:val="none"/>
        </w:rPr>
        <w:t>供应商无需到开标现场，但须准时在线参加，直至评审结束。</w:t>
      </w:r>
      <w:r>
        <w:rPr>
          <w:rFonts w:hint="eastAsia"/>
          <w:color w:val="auto"/>
          <w:sz w:val="21"/>
          <w:szCs w:val="21"/>
          <w:highlight w:val="none"/>
        </w:rPr>
        <w:t>开标截止时间后30分钟以内供应商登录“政采云”平台，用“项目采购-开标评标”功能进行解密投标文件。若供应商在规定时间内投标文件无法解密或解密失败（含未提交），则投标无效。</w:t>
      </w:r>
    </w:p>
    <w:p w14:paraId="3C8C2A95">
      <w:pPr>
        <w:pStyle w:val="42"/>
        <w:spacing w:before="0" w:beforeAutospacing="0" w:after="0" w:afterAutospacing="0" w:line="500" w:lineRule="exact"/>
        <w:ind w:firstLine="422" w:firstLineChars="200"/>
        <w:jc w:val="both"/>
        <w:rPr>
          <w:color w:val="auto"/>
          <w:sz w:val="21"/>
          <w:szCs w:val="21"/>
          <w:highlight w:val="none"/>
        </w:rPr>
      </w:pPr>
      <w:bookmarkStart w:id="28" w:name="_Toc35393625"/>
      <w:bookmarkStart w:id="29" w:name="_Toc35393794"/>
      <w:bookmarkStart w:id="30" w:name="_Toc28359007"/>
      <w:bookmarkStart w:id="31" w:name="_Toc28359084"/>
      <w:r>
        <w:rPr>
          <w:rStyle w:val="49"/>
          <w:rFonts w:hint="eastAsia"/>
          <w:color w:val="auto"/>
          <w:sz w:val="21"/>
          <w:szCs w:val="21"/>
          <w:highlight w:val="none"/>
          <w:shd w:val="clear" w:color="auto" w:fill="FFFFFF"/>
        </w:rPr>
        <w:t>五、公告期限及其他事项</w:t>
      </w:r>
    </w:p>
    <w:p w14:paraId="46E48E5C">
      <w:pPr>
        <w:tabs>
          <w:tab w:val="left" w:pos="1260"/>
        </w:tabs>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37A0D888">
      <w:pPr>
        <w:tabs>
          <w:tab w:val="left" w:pos="1260"/>
        </w:tabs>
        <w:autoSpaceDE/>
        <w:autoSpaceDN/>
        <w:adjustRightInd/>
        <w:spacing w:line="500" w:lineRule="exact"/>
        <w:ind w:firstLine="420" w:firstLineChars="200"/>
        <w:jc w:val="both"/>
        <w:textAlignment w:val="auto"/>
        <w:rPr>
          <w:rStyle w:val="49"/>
          <w:rFonts w:hAnsi="宋体" w:cs="宋体"/>
          <w:color w:val="auto"/>
          <w:sz w:val="21"/>
          <w:szCs w:val="21"/>
          <w:highlight w:val="none"/>
        </w:rPr>
      </w:pPr>
      <w:r>
        <w:rPr>
          <w:rFonts w:hint="eastAsia" w:hAnsi="宋体" w:cs="宋体"/>
          <w:bCs/>
          <w:color w:val="auto"/>
          <w:sz w:val="21"/>
          <w:szCs w:val="21"/>
          <w:highlight w:val="none"/>
        </w:rPr>
        <w:t>2.根据《浙江省政府采购供应商注册及诚信管理暂行办法》(浙财采监【2009】28号)文件，请各投标供应商及时办理浙江政府采购网“政府采购供应商注册”手续。如成交供应商未在浙江省政府采购网正式注册入库的，采购代理机构将暂缓发出成交通知书，因此造成的后果由该供应商承担。</w:t>
      </w:r>
    </w:p>
    <w:p w14:paraId="1E39B937">
      <w:pPr>
        <w:spacing w:line="500" w:lineRule="exact"/>
        <w:ind w:firstLine="420" w:firstLineChars="200"/>
        <w:jc w:val="both"/>
        <w:rPr>
          <w:rFonts w:hAnsi="宋体" w:cs="宋体"/>
          <w:color w:val="auto"/>
          <w:sz w:val="21"/>
          <w:szCs w:val="21"/>
          <w:highlight w:val="none"/>
        </w:rPr>
      </w:pPr>
      <w:r>
        <w:rPr>
          <w:rStyle w:val="49"/>
          <w:rFonts w:hint="eastAsia" w:hAnsi="宋体" w:cs="宋体"/>
          <w:b w:val="0"/>
          <w:bCs w:val="0"/>
          <w:color w:val="auto"/>
          <w:sz w:val="21"/>
          <w:szCs w:val="21"/>
          <w:highlight w:val="none"/>
        </w:rPr>
        <w:t>3.供</w:t>
      </w:r>
      <w:r>
        <w:rPr>
          <w:rFonts w:hint="eastAsia" w:hAnsi="宋体" w:cs="宋体"/>
          <w:color w:val="auto"/>
          <w:sz w:val="21"/>
          <w:szCs w:val="21"/>
          <w:highlight w:val="none"/>
        </w:rPr>
        <w:t>应商注册网址：</w:t>
      </w:r>
      <w:r>
        <w:rPr>
          <w:rFonts w:hint="eastAsia" w:hAnsi="宋体" w:cs="宋体"/>
          <w:color w:val="auto"/>
          <w:kern w:val="2"/>
          <w:sz w:val="21"/>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hAnsi="宋体" w:cs="宋体"/>
          <w:color w:val="auto"/>
          <w:sz w:val="21"/>
          <w:highlight w:val="none"/>
        </w:rPr>
        <w:t>https://middle.zcygov.cn/settle-front/#/registry</w:t>
      </w:r>
      <w:r>
        <w:rPr>
          <w:rFonts w:hint="eastAsia" w:hAnsi="宋体" w:cs="宋体"/>
          <w:color w:val="auto"/>
          <w:sz w:val="21"/>
          <w:highlight w:val="none"/>
        </w:rPr>
        <w:fldChar w:fldCharType="end"/>
      </w:r>
    </w:p>
    <w:p w14:paraId="51C193AA">
      <w:pPr>
        <w:tabs>
          <w:tab w:val="left" w:pos="1260"/>
        </w:tabs>
        <w:autoSpaceDE/>
        <w:autoSpaceDN/>
        <w:adjustRightInd/>
        <w:spacing w:line="500" w:lineRule="exact"/>
        <w:ind w:firstLine="422" w:firstLineChars="200"/>
        <w:jc w:val="both"/>
        <w:textAlignment w:val="auto"/>
        <w:rPr>
          <w:rFonts w:hAnsi="宋体" w:cs="宋体"/>
          <w:color w:val="auto"/>
          <w:sz w:val="21"/>
          <w:szCs w:val="21"/>
          <w:highlight w:val="none"/>
          <w:shd w:val="clear" w:color="auto" w:fill="FFFFFF"/>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14:paraId="58A4A4D8">
      <w:pPr>
        <w:spacing w:line="500" w:lineRule="exact"/>
        <w:ind w:firstLine="422" w:firstLineChars="200"/>
        <w:rPr>
          <w:rFonts w:hAnsi="宋体" w:cs="宋体"/>
          <w:b/>
          <w:color w:val="auto"/>
          <w:sz w:val="21"/>
          <w:szCs w:val="21"/>
          <w:highlight w:val="none"/>
        </w:rPr>
      </w:pPr>
      <w:r>
        <w:rPr>
          <w:rStyle w:val="49"/>
          <w:rFonts w:hint="eastAsia"/>
          <w:color w:val="auto"/>
          <w:sz w:val="21"/>
          <w:szCs w:val="21"/>
          <w:highlight w:val="none"/>
          <w:shd w:val="clear" w:color="auto" w:fill="FFFFFF"/>
        </w:rPr>
        <w:t>七、</w:t>
      </w:r>
      <w:r>
        <w:rPr>
          <w:rFonts w:hint="eastAsia" w:hAnsi="宋体" w:cs="宋体"/>
          <w:b/>
          <w:color w:val="auto"/>
          <w:sz w:val="21"/>
          <w:szCs w:val="21"/>
          <w:highlight w:val="none"/>
        </w:rPr>
        <w:t>其他补充事宜</w:t>
      </w:r>
    </w:p>
    <w:p w14:paraId="4185B122">
      <w:pPr>
        <w:tabs>
          <w:tab w:val="left" w:pos="1260"/>
        </w:tabs>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FCF30B8">
      <w:pPr>
        <w:tabs>
          <w:tab w:val="left" w:pos="1260"/>
        </w:tabs>
        <w:autoSpaceDE/>
        <w:autoSpaceDN/>
        <w:adjustRightInd/>
        <w:spacing w:line="500" w:lineRule="exact"/>
        <w:ind w:firstLine="420" w:firstLineChars="200"/>
        <w:textAlignment w:val="auto"/>
        <w:rPr>
          <w:rFonts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CE55F0">
      <w:pPr>
        <w:pStyle w:val="42"/>
        <w:snapToGrid w:val="0"/>
        <w:spacing w:before="0" w:beforeAutospacing="0" w:after="0" w:afterAutospacing="0" w:line="500" w:lineRule="exact"/>
        <w:ind w:firstLine="420" w:firstLineChars="200"/>
        <w:rPr>
          <w:rStyle w:val="49"/>
          <w:b w:val="0"/>
          <w:bCs w:val="0"/>
          <w:color w:val="auto"/>
          <w:sz w:val="21"/>
          <w:szCs w:val="21"/>
          <w:highlight w:val="none"/>
          <w:shd w:val="clear" w:color="auto" w:fill="FFFFFF"/>
        </w:rPr>
      </w:pPr>
      <w:r>
        <w:rPr>
          <w:rFonts w:hint="eastAsia"/>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6AC7705D">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4.其他事项：见招标文件。 </w:t>
      </w:r>
    </w:p>
    <w:p w14:paraId="23C30303">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 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14:paraId="08BBB131">
      <w:pPr>
        <w:widowControl/>
        <w:tabs>
          <w:tab w:val="left" w:pos="1260"/>
        </w:tabs>
        <w:autoSpaceDE/>
        <w:autoSpaceDN/>
        <w:adjustRightInd/>
        <w:spacing w:line="500" w:lineRule="exact"/>
        <w:ind w:firstLine="420"/>
        <w:jc w:val="both"/>
        <w:textAlignment w:val="auto"/>
        <w:rPr>
          <w:rFonts w:hAnsi="宋体" w:cs="宋体"/>
          <w:bCs/>
          <w:color w:val="auto"/>
          <w:sz w:val="21"/>
          <w:szCs w:val="21"/>
          <w:highlight w:val="none"/>
        </w:rPr>
      </w:pPr>
      <w:r>
        <w:rPr>
          <w:rFonts w:hint="eastAsia" w:hAnsi="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0A2542E">
      <w:pPr>
        <w:widowControl/>
        <w:tabs>
          <w:tab w:val="left" w:pos="1260"/>
        </w:tabs>
        <w:autoSpaceDE/>
        <w:autoSpaceDN/>
        <w:adjustRightInd/>
        <w:spacing w:line="500" w:lineRule="exact"/>
        <w:ind w:firstLine="420"/>
        <w:jc w:val="both"/>
        <w:textAlignment w:val="auto"/>
        <w:rPr>
          <w:rFonts w:hAnsi="宋体" w:cs="宋体"/>
          <w:b/>
          <w:color w:val="auto"/>
          <w:sz w:val="21"/>
          <w:szCs w:val="21"/>
          <w:highlight w:val="none"/>
        </w:rPr>
      </w:pPr>
      <w:r>
        <w:rPr>
          <w:rFonts w:hint="eastAsia" w:hAnsi="宋体" w:cs="宋体"/>
          <w:b/>
          <w:color w:val="auto"/>
          <w:sz w:val="21"/>
          <w:szCs w:val="21"/>
          <w:highlight w:val="none"/>
        </w:rPr>
        <w:t>政府采购金融服务提示：</w:t>
      </w:r>
    </w:p>
    <w:p w14:paraId="5CB38B70">
      <w:pPr>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为扩大政府采购金融服务面，除政采云网上金融服务合作银行外，金华市范围增加线下合作银行两家，具体信息如下：</w:t>
      </w:r>
    </w:p>
    <w:p w14:paraId="25F58A40">
      <w:pPr>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金华银行文创支行   联系人：姜  峰   联系电话： 13905792828   0579-82479020</w:t>
      </w:r>
    </w:p>
    <w:p w14:paraId="5477B703">
      <w:pPr>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浙商银行金华分行   联系人：朱晨祥   联系电话： 15857978811   0579-82999581</w:t>
      </w:r>
    </w:p>
    <w:p w14:paraId="4E37F305">
      <w:pPr>
        <w:pStyle w:val="42"/>
        <w:spacing w:before="0" w:beforeAutospacing="0" w:after="0" w:afterAutospacing="0" w:line="500" w:lineRule="exact"/>
        <w:ind w:firstLine="422" w:firstLineChars="200"/>
        <w:rPr>
          <w:color w:val="auto"/>
          <w:sz w:val="21"/>
          <w:szCs w:val="21"/>
          <w:highlight w:val="none"/>
        </w:rPr>
      </w:pPr>
      <w:r>
        <w:rPr>
          <w:rFonts w:hint="eastAsia"/>
          <w:b/>
          <w:color w:val="auto"/>
          <w:sz w:val="21"/>
          <w:szCs w:val="21"/>
          <w:highlight w:val="none"/>
        </w:rPr>
        <w:t>八、</w:t>
      </w:r>
      <w:r>
        <w:rPr>
          <w:rStyle w:val="49"/>
          <w:rFonts w:hint="eastAsia"/>
          <w:color w:val="auto"/>
          <w:sz w:val="21"/>
          <w:szCs w:val="21"/>
          <w:highlight w:val="none"/>
          <w:shd w:val="clear" w:color="auto" w:fill="FFFFFF"/>
        </w:rPr>
        <w:t>电子投标事项特别说明</w:t>
      </w:r>
    </w:p>
    <w:p w14:paraId="3C069535">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1.本项目实行电子投标，磋商响应供应商应按照本项目采购文件和政采云平台的要求编制、加密并递交响应文件。供应商在使用系统进行磋商响应的过程中遇到涉及平台使用的任何问题，可致电政采云平台技术支持热线咨询，联系方式：400-881-7190。</w:t>
      </w:r>
    </w:p>
    <w:p w14:paraId="10793D73">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2.供应商应在开标前完成 CA 数字证书办理。（办理流程详见http://zfcg.czt.zj.gov.cn/bidClientTemplate/2019-05-27/12945.html）。完成 CA 数字证书办理预计一周左右，建议各供应商抓紧时间办理。</w:t>
      </w:r>
    </w:p>
    <w:p w14:paraId="683176EF">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3.供应商通过政采云平台“电子交易客户端”制作响应文件，电子投标工具请供应商自行前往浙江省政府采购网下载并安装，（下载网址： http://zfcg.czt.zj.gov.cn/bidClientTemplate/2019-05-27/12946.html）。</w:t>
      </w:r>
    </w:p>
    <w:p w14:paraId="7FA247F3">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4.供应商将加密的电子版响应文件于磋商响应截止时间前上传到政采云系统中。</w:t>
      </w:r>
    </w:p>
    <w:p w14:paraId="18126239">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14:paraId="4AC553A6">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注：建议使用谷歌浏览器，使用其他浏览器可能发生无法解密等未知情况。</w:t>
      </w:r>
    </w:p>
    <w:p w14:paraId="6E961281">
      <w:pPr>
        <w:pStyle w:val="42"/>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6.供应商应当在磋商响应截止时间前完成电子响应文件的传输递交，并可以补充、修改或者撤回电子响应文件。补充或者修改电子响应文件的，应当先行撤回原文件，补充、修改后重新传输递交。磋商响应截止时间前未完成传输的，视为撤回响应文件。磋商响应截止时间后送达的磋商响应、响应文件，将被政采云平台拒收。</w:t>
      </w:r>
      <w:bookmarkEnd w:id="28"/>
      <w:bookmarkEnd w:id="29"/>
      <w:bookmarkEnd w:id="30"/>
      <w:bookmarkEnd w:id="31"/>
    </w:p>
    <w:p w14:paraId="09D53860">
      <w:pPr>
        <w:rPr>
          <w:rFonts w:hAnsi="宋体" w:cs="宋体"/>
          <w:color w:val="auto"/>
          <w:sz w:val="24"/>
          <w:szCs w:val="24"/>
          <w:highlight w:val="none"/>
        </w:rPr>
      </w:pPr>
      <w:r>
        <w:rPr>
          <w:rFonts w:hint="eastAsia" w:hAnsi="宋体" w:cs="宋体"/>
          <w:b/>
          <w:bCs/>
          <w:color w:val="auto"/>
          <w:sz w:val="24"/>
          <w:szCs w:val="24"/>
          <w:highlight w:val="none"/>
        </w:rPr>
        <w:t xml:space="preserve">    九、对本次采购提出询问、质疑、投诉，请按以下方式联系。</w:t>
      </w:r>
      <w:r>
        <w:rPr>
          <w:rFonts w:hint="eastAsia" w:hAnsi="宋体" w:cs="宋体"/>
          <w:color w:val="auto"/>
          <w:sz w:val="24"/>
          <w:szCs w:val="24"/>
          <w:highlight w:val="none"/>
        </w:rPr>
        <w:t>　　　　　　　　　　　　</w:t>
      </w:r>
    </w:p>
    <w:p w14:paraId="7C2492CD">
      <w:pPr>
        <w:pStyle w:val="42"/>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highlight w:val="none"/>
        </w:rPr>
        <w:t>   </w:t>
      </w:r>
      <w:r>
        <w:rPr>
          <w:rFonts w:hint="eastAsia"/>
          <w:color w:val="auto"/>
          <w:sz w:val="21"/>
          <w:szCs w:val="21"/>
          <w:highlight w:val="none"/>
        </w:rPr>
        <w:t>1.采购人信息</w:t>
      </w:r>
    </w:p>
    <w:p w14:paraId="07443068">
      <w:pPr>
        <w:pStyle w:val="42"/>
        <w:shd w:val="clear" w:color="auto" w:fill="FFFFFF"/>
        <w:adjustRightInd w:val="0"/>
        <w:snapToGrid w:val="0"/>
        <w:spacing w:before="0" w:beforeAutospacing="0" w:after="0" w:afterAutospacing="0" w:line="500" w:lineRule="exact"/>
        <w:rPr>
          <w:color w:val="auto"/>
          <w:kern w:val="2"/>
          <w:sz w:val="21"/>
          <w:szCs w:val="21"/>
          <w:highlight w:val="none"/>
        </w:rPr>
      </w:pPr>
      <w:r>
        <w:rPr>
          <w:rFonts w:hint="eastAsia"/>
          <w:color w:val="auto"/>
          <w:sz w:val="21"/>
          <w:szCs w:val="21"/>
          <w:highlight w:val="none"/>
        </w:rPr>
        <w:t>   名 称：</w:t>
      </w:r>
      <w:r>
        <w:rPr>
          <w:rFonts w:hint="eastAsia"/>
          <w:color w:val="auto"/>
          <w:kern w:val="2"/>
          <w:sz w:val="21"/>
          <w:szCs w:val="21"/>
          <w:highlight w:val="none"/>
        </w:rPr>
        <w:t>金华市财政局  　　　　　　　　　　　</w:t>
      </w:r>
    </w:p>
    <w:p w14:paraId="3226E68C">
      <w:pPr>
        <w:pStyle w:val="42"/>
        <w:shd w:val="clear" w:color="auto" w:fill="FFFFFF"/>
        <w:adjustRightInd w:val="0"/>
        <w:snapToGrid w:val="0"/>
        <w:spacing w:before="0" w:beforeAutospacing="0" w:after="0" w:afterAutospacing="0" w:line="500" w:lineRule="exact"/>
        <w:rPr>
          <w:color w:val="auto"/>
          <w:kern w:val="2"/>
          <w:sz w:val="21"/>
          <w:szCs w:val="21"/>
          <w:highlight w:val="none"/>
        </w:rPr>
      </w:pPr>
      <w:r>
        <w:rPr>
          <w:rFonts w:hint="eastAsia"/>
          <w:color w:val="auto"/>
          <w:kern w:val="2"/>
          <w:sz w:val="21"/>
          <w:szCs w:val="21"/>
          <w:highlight w:val="none"/>
        </w:rPr>
        <w:t>    地 址：</w:t>
      </w:r>
      <w:r>
        <w:rPr>
          <w:rFonts w:hint="eastAsia"/>
          <w:color w:val="auto"/>
          <w:sz w:val="21"/>
          <w:szCs w:val="21"/>
          <w:highlight w:val="none"/>
        </w:rPr>
        <w:t>金华市双龙南街801号</w:t>
      </w:r>
      <w:r>
        <w:rPr>
          <w:rFonts w:hint="eastAsia"/>
          <w:color w:val="auto"/>
          <w:kern w:val="2"/>
          <w:sz w:val="21"/>
          <w:szCs w:val="21"/>
          <w:highlight w:val="none"/>
        </w:rPr>
        <w:t>  　</w:t>
      </w:r>
    </w:p>
    <w:p w14:paraId="55BE267A">
      <w:pPr>
        <w:pStyle w:val="42"/>
        <w:shd w:val="clear" w:color="auto" w:fill="FFFFFF"/>
        <w:adjustRightInd w:val="0"/>
        <w:snapToGrid w:val="0"/>
        <w:spacing w:before="0" w:beforeAutospacing="0" w:after="0" w:afterAutospacing="0" w:line="500" w:lineRule="exact"/>
        <w:rPr>
          <w:color w:val="auto"/>
          <w:kern w:val="2"/>
          <w:sz w:val="21"/>
          <w:szCs w:val="21"/>
          <w:highlight w:val="none"/>
        </w:rPr>
      </w:pPr>
      <w:r>
        <w:rPr>
          <w:rFonts w:hint="eastAsia"/>
          <w:color w:val="auto"/>
          <w:kern w:val="2"/>
          <w:sz w:val="21"/>
          <w:szCs w:val="21"/>
          <w:highlight w:val="none"/>
        </w:rPr>
        <w:t>   项目联系人（询问）： 冯先生　　　　　　　　　　</w:t>
      </w:r>
    </w:p>
    <w:p w14:paraId="5B4A1740">
      <w:pPr>
        <w:pStyle w:val="42"/>
        <w:shd w:val="clear" w:color="auto" w:fill="FFFFFF"/>
        <w:adjustRightInd w:val="0"/>
        <w:spacing w:before="0" w:beforeAutospacing="0" w:after="0" w:afterAutospacing="0" w:line="500" w:lineRule="exact"/>
        <w:rPr>
          <w:color w:val="auto"/>
          <w:sz w:val="21"/>
          <w:szCs w:val="21"/>
          <w:highlight w:val="none"/>
        </w:rPr>
      </w:pPr>
      <w:r>
        <w:rPr>
          <w:rFonts w:hint="eastAsia"/>
          <w:color w:val="auto"/>
          <w:kern w:val="2"/>
          <w:sz w:val="21"/>
          <w:szCs w:val="21"/>
          <w:highlight w:val="none"/>
        </w:rPr>
        <w:t>   项目联系方式（询问）：</w:t>
      </w:r>
      <w:r>
        <w:rPr>
          <w:rFonts w:hint="eastAsia"/>
          <w:color w:val="auto"/>
          <w:sz w:val="21"/>
          <w:szCs w:val="21"/>
          <w:highlight w:val="none"/>
        </w:rPr>
        <w:t>0579-82468782</w:t>
      </w:r>
    </w:p>
    <w:p w14:paraId="72F011BA">
      <w:pPr>
        <w:shd w:val="clear" w:color="auto" w:fill="FFFFFF"/>
        <w:tabs>
          <w:tab w:val="left" w:pos="1260"/>
        </w:tabs>
        <w:adjustRightInd/>
        <w:snapToGrid w:val="0"/>
        <w:spacing w:line="500" w:lineRule="exact"/>
        <w:ind w:firstLine="315" w:firstLineChars="150"/>
        <w:jc w:val="both"/>
        <w:rPr>
          <w:rFonts w:hAnsi="宋体" w:cs="宋体"/>
          <w:color w:val="auto"/>
          <w:kern w:val="2"/>
          <w:sz w:val="21"/>
          <w:szCs w:val="21"/>
          <w:highlight w:val="none"/>
        </w:rPr>
      </w:pPr>
      <w:r>
        <w:rPr>
          <w:rFonts w:hint="eastAsia" w:hAnsi="宋体" w:cs="宋体"/>
          <w:color w:val="auto"/>
          <w:kern w:val="2"/>
          <w:sz w:val="21"/>
          <w:szCs w:val="21"/>
          <w:highlight w:val="none"/>
        </w:rPr>
        <w:t> 质疑联系人（询问）：</w:t>
      </w:r>
      <w:r>
        <w:rPr>
          <w:rFonts w:hint="eastAsia" w:hAnsi="宋体" w:cs="宋体"/>
          <w:color w:val="auto"/>
          <w:kern w:val="2"/>
          <w:sz w:val="21"/>
          <w:szCs w:val="21"/>
          <w:highlight w:val="none"/>
          <w:lang w:val="en-US" w:eastAsia="zh-CN"/>
        </w:rPr>
        <w:t>曹先生</w:t>
      </w:r>
      <w:r>
        <w:rPr>
          <w:rFonts w:hint="eastAsia" w:hAnsi="宋体" w:cs="宋体"/>
          <w:color w:val="auto"/>
          <w:kern w:val="2"/>
          <w:sz w:val="21"/>
          <w:szCs w:val="21"/>
          <w:highlight w:val="none"/>
        </w:rPr>
        <w:t>   　　</w:t>
      </w:r>
    </w:p>
    <w:p w14:paraId="5EFB6CCF">
      <w:pPr>
        <w:shd w:val="clear" w:color="auto" w:fill="FFFFFF"/>
        <w:tabs>
          <w:tab w:val="left" w:pos="1260"/>
        </w:tabs>
        <w:adjustRightInd/>
        <w:snapToGrid w:val="0"/>
        <w:spacing w:line="500" w:lineRule="exact"/>
        <w:ind w:firstLine="525" w:firstLineChars="250"/>
        <w:jc w:val="both"/>
        <w:rPr>
          <w:rFonts w:hAnsi="宋体" w:cs="宋体"/>
          <w:color w:val="auto"/>
          <w:kern w:val="2"/>
          <w:sz w:val="21"/>
          <w:szCs w:val="21"/>
          <w:highlight w:val="none"/>
        </w:rPr>
      </w:pPr>
      <w:r>
        <w:rPr>
          <w:rFonts w:hint="eastAsia" w:hAnsi="宋体" w:cs="宋体"/>
          <w:color w:val="auto"/>
          <w:kern w:val="2"/>
          <w:sz w:val="21"/>
          <w:szCs w:val="21"/>
          <w:highlight w:val="none"/>
        </w:rPr>
        <w:t>质疑联系方式（询问）：</w:t>
      </w:r>
      <w:r>
        <w:rPr>
          <w:rFonts w:hint="eastAsia" w:hAnsi="宋体" w:cs="宋体"/>
          <w:color w:val="auto"/>
          <w:sz w:val="21"/>
          <w:szCs w:val="21"/>
          <w:highlight w:val="none"/>
        </w:rPr>
        <w:t xml:space="preserve">0579-82468782 </w:t>
      </w:r>
    </w:p>
    <w:p w14:paraId="797EB223">
      <w:pPr>
        <w:shd w:val="clear" w:color="auto" w:fill="FFFFFF"/>
        <w:tabs>
          <w:tab w:val="left" w:pos="1260"/>
        </w:tabs>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2.采购代理机构信息</w:t>
      </w:r>
    </w:p>
    <w:p w14:paraId="70EFF7E9">
      <w:pPr>
        <w:pStyle w:val="42"/>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名 称： </w:t>
      </w:r>
      <w:r>
        <w:rPr>
          <w:rStyle w:val="137"/>
          <w:rFonts w:hint="eastAsia"/>
          <w:color w:val="auto"/>
          <w:sz w:val="21"/>
          <w:szCs w:val="21"/>
          <w:highlight w:val="none"/>
        </w:rPr>
        <w:t>金华市天盈招标代理有限公司</w:t>
      </w:r>
      <w:r>
        <w:rPr>
          <w:rFonts w:hint="eastAsia"/>
          <w:color w:val="auto"/>
          <w:sz w:val="21"/>
          <w:szCs w:val="21"/>
          <w:highlight w:val="none"/>
        </w:rPr>
        <w:t> 　　　　　　　　　　　</w:t>
      </w:r>
    </w:p>
    <w:p w14:paraId="25553A27">
      <w:pPr>
        <w:pStyle w:val="42"/>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地 址： </w:t>
      </w:r>
      <w:r>
        <w:rPr>
          <w:rStyle w:val="137"/>
          <w:rFonts w:hint="eastAsia"/>
          <w:color w:val="auto"/>
          <w:sz w:val="21"/>
          <w:szCs w:val="21"/>
          <w:highlight w:val="none"/>
        </w:rPr>
        <w:t>金华市婺城区建业东路168号</w:t>
      </w:r>
    </w:p>
    <w:p w14:paraId="5C2CBFB4">
      <w:pPr>
        <w:pStyle w:val="42"/>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项目联系人（询问）：汪兰华 　   　　　　　　　　　　　</w:t>
      </w:r>
    </w:p>
    <w:p w14:paraId="689119CE">
      <w:pPr>
        <w:pStyle w:val="42"/>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项目联系方式（询问）：0579-82474058</w:t>
      </w:r>
    </w:p>
    <w:p w14:paraId="5880BDC1">
      <w:pPr>
        <w:shd w:val="clear" w:color="auto" w:fill="FFFFFF"/>
        <w:tabs>
          <w:tab w:val="left" w:pos="1260"/>
        </w:tabs>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质疑联系人（询问）：夏翰宇  　　</w:t>
      </w:r>
    </w:p>
    <w:p w14:paraId="48B7D921">
      <w:pPr>
        <w:tabs>
          <w:tab w:val="left" w:pos="1260"/>
        </w:tabs>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质疑联系方式（询问）：0579-82474058</w:t>
      </w:r>
    </w:p>
    <w:p w14:paraId="3395067E">
      <w:pPr>
        <w:pStyle w:val="42"/>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3.同级政府采购监督管理部门</w:t>
      </w:r>
    </w:p>
    <w:p w14:paraId="5D40311D">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名称：金华市财政局政府采购监管处　　　　　　　　　　　</w:t>
      </w:r>
    </w:p>
    <w:p w14:paraId="185BAFB5">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联系人 ：徐老师 </w:t>
      </w:r>
    </w:p>
    <w:p w14:paraId="138A922B">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地址：金华市双龙南街801号 　</w:t>
      </w:r>
    </w:p>
    <w:p w14:paraId="217E957F">
      <w:pPr>
        <w:pStyle w:val="42"/>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监督投诉电话：0579-82468735</w:t>
      </w:r>
    </w:p>
    <w:p w14:paraId="090495D4">
      <w:pPr>
        <w:pStyle w:val="42"/>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br w:type="page"/>
      </w:r>
    </w:p>
    <w:p w14:paraId="39D1935B">
      <w:pPr>
        <w:pStyle w:val="6"/>
        <w:spacing w:line="360" w:lineRule="auto"/>
        <w:ind w:left="360" w:leftChars="106" w:firstLine="2714" w:firstLineChars="901"/>
        <w:rPr>
          <w:rFonts w:hAnsi="宋体" w:cs="宋体"/>
          <w:color w:val="auto"/>
          <w:sz w:val="30"/>
          <w:szCs w:val="30"/>
          <w:highlight w:val="none"/>
        </w:rPr>
      </w:pPr>
      <w:bookmarkStart w:id="32" w:name="_Toc26561"/>
      <w:bookmarkStart w:id="33" w:name="_Toc30797"/>
      <w:bookmarkStart w:id="34" w:name="_Toc217289130"/>
      <w:bookmarkStart w:id="35" w:name="_Toc184785919"/>
      <w:bookmarkStart w:id="36" w:name="_Toc237176506"/>
      <w:bookmarkStart w:id="37" w:name="_Toc237189783"/>
      <w:bookmarkStart w:id="38" w:name="_Toc237414003"/>
      <w:bookmarkStart w:id="39" w:name="_Toc264211066"/>
      <w:bookmarkStart w:id="40" w:name="_Toc237182502"/>
      <w:bookmarkStart w:id="41" w:name="_Toc295910872"/>
      <w:bookmarkStart w:id="42" w:name="_Toc296074335"/>
      <w:bookmarkStart w:id="43" w:name="_Toc237193454"/>
      <w:bookmarkStart w:id="44" w:name="_Toc295737624"/>
      <w:bookmarkStart w:id="45" w:name="_Toc256977534"/>
      <w:bookmarkStart w:id="46" w:name="_Toc237340102"/>
      <w:bookmarkStart w:id="47" w:name="_Toc265065978"/>
      <w:bookmarkStart w:id="48" w:name="_Toc237413907"/>
      <w:r>
        <w:rPr>
          <w:rFonts w:hint="eastAsia" w:hAnsi="宋体" w:cs="宋体"/>
          <w:color w:val="auto"/>
          <w:sz w:val="30"/>
          <w:szCs w:val="30"/>
          <w:highlight w:val="none"/>
        </w:rPr>
        <w:t>第二部分  采购需求</w:t>
      </w:r>
      <w:bookmarkEnd w:id="32"/>
      <w:bookmarkEnd w:id="33"/>
    </w:p>
    <w:p w14:paraId="38697799">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49" w:name="_Toc7224"/>
      <w:bookmarkStart w:id="50" w:name="_Toc118209206"/>
      <w:bookmarkStart w:id="51" w:name="_Toc5905"/>
      <w:r>
        <w:rPr>
          <w:rFonts w:hint="eastAsia" w:ascii="宋体" w:hAnsi="宋体" w:eastAsia="宋体" w:cs="宋体"/>
          <w:color w:val="auto"/>
          <w:sz w:val="21"/>
          <w:szCs w:val="21"/>
          <w:highlight w:val="none"/>
        </w:rPr>
        <w:t>项目背景</w:t>
      </w:r>
      <w:bookmarkEnd w:id="49"/>
    </w:p>
    <w:p w14:paraId="2F7057D4">
      <w:pPr>
        <w:autoSpaceDE/>
        <w:autoSpaceDN/>
        <w:adjustRightInd/>
        <w:spacing w:line="500" w:lineRule="exact"/>
        <w:ind w:firstLine="630" w:firstLineChars="300"/>
        <w:textAlignment w:val="auto"/>
        <w:rPr>
          <w:rFonts w:hAnsi="宋体" w:cs="宋体"/>
          <w:color w:val="auto"/>
          <w:sz w:val="21"/>
          <w:szCs w:val="21"/>
          <w:highlight w:val="none"/>
        </w:rPr>
      </w:pPr>
      <w:r>
        <w:rPr>
          <w:rFonts w:hint="eastAsia" w:hAnsi="宋体" w:cs="宋体"/>
          <w:color w:val="auto"/>
          <w:sz w:val="21"/>
          <w:szCs w:val="21"/>
          <w:highlight w:val="none"/>
        </w:rPr>
        <w:t>2019年，财政部下发了《关于印发《财政信息系统集中化推进工作方案》的通知》（财办[2019]30号）（文件1）、《财政信息化三年重点工作规划》（财办[2019]34号）（文件2）、《财政核心业务一体化系统实施方案》（财办[2019]35号）（文件3）三个重要文件，要求以省级单位为主体建设以预算管理一体化系统为基础、集中化部署为手段、大数据应用为途径、财政云平台为支撑的现代财政信息化体系，实现财政资金的全生命周期管理和动态监控。同年，浙江省财政厅印发了《关于加快系统整合推进财政核心业务系统一体化的通知》（浙数财办[2019]9号）（文件4），为浙江省财政预算管理一体化系统建设及推进工作提出了指导意见。经过三年的系统建设，浙江省财政厅已经为全省财政业务建立了一体化业务门户，以一套基础信息、多个业务系统协同、地方与省厅互联互通的模式服务地、县市和区财政业务。预算云、核算云、政采云、资产云等已经先后推广应用到全省。</w:t>
      </w:r>
    </w:p>
    <w:p w14:paraId="6474F053">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根据浙江省财政厅数字财政建设要求和数字财政总体规划，2021年11月金华市本级被纳入到全省首批全面推广应用预算管理一体化地市级单位。同年12月,金华市财政局全面启动了预算管理一体化系统实施和行政事业单位财务核算上云建设项目，并在2022年1月1日成功进行业务系统整体切换，内容包括基础信息管理、预算编制、项目库管理、指标调整及调剂、用款计划、支付管理、会计核算、动态监控等业务子系统。同时，原部署在我局本地服务器上的由省厅建设的《金财工程（市县版）系统》作为《预算管理一体化》系统的应急系统，在特殊情况下（如：网络异常、服务器异常等导致财政和预算单位用户无法正常访问一体化系统进行资金支付的情况）替代一体化系统进行财政资金支付。为保障预算管理一体化系统和相关业务软件稳定运行、财政及各行政事业单位预算执行业务顺利开展，特实施本采购项目。</w:t>
      </w:r>
    </w:p>
    <w:p w14:paraId="5B1ACB49">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52" w:name="_Toc91075813"/>
      <w:bookmarkStart w:id="53" w:name="_Toc3563"/>
      <w:r>
        <w:rPr>
          <w:rFonts w:hint="eastAsia" w:ascii="宋体" w:hAnsi="宋体" w:eastAsia="宋体" w:cs="宋体"/>
          <w:color w:val="auto"/>
          <w:sz w:val="21"/>
          <w:szCs w:val="21"/>
          <w:highlight w:val="none"/>
        </w:rPr>
        <w:t>项目目标</w:t>
      </w:r>
      <w:bookmarkEnd w:id="52"/>
      <w:bookmarkEnd w:id="53"/>
    </w:p>
    <w:p w14:paraId="4475DEC8">
      <w:pPr>
        <w:numPr>
          <w:ilvl w:val="255"/>
          <w:numId w:val="0"/>
        </w:numPr>
        <w:tabs>
          <w:tab w:val="left" w:pos="1020"/>
        </w:tabs>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1.保障预算管理一体化系统的日常运维工作，包含基础信息管理、 指标管理、用款计划、支付管理、总会计账务核算、资金申拨、预算单位门户、动态监控、政府采购、单位账户管理、核算云等子系统；</w:t>
      </w:r>
    </w:p>
    <w:p w14:paraId="6BA153DF">
      <w:pPr>
        <w:numPr>
          <w:ilvl w:val="255"/>
          <w:numId w:val="0"/>
        </w:numPr>
        <w:tabs>
          <w:tab w:val="left" w:pos="1020"/>
        </w:tabs>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2.配合浙江省厅预算管理一体化推广应用工作，保障新增业务模块能顺利实施及应用；</w:t>
      </w:r>
    </w:p>
    <w:p w14:paraId="7EFABAB7">
      <w:pPr>
        <w:numPr>
          <w:ilvl w:val="255"/>
          <w:numId w:val="0"/>
        </w:numPr>
        <w:tabs>
          <w:tab w:val="left" w:pos="1020"/>
        </w:tabs>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3.保障浙江省厅金财工程（市县版）本地部署系统（暨预算管理一体化应急系统）的各业务模块版本与浙江省厅一致以及下行业务数据的及时性，使应急系统在特殊情况下的能够进行切换和运行。</w:t>
      </w:r>
    </w:p>
    <w:p w14:paraId="65176F7F">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54" w:name="_Toc32188"/>
      <w:bookmarkStart w:id="55" w:name="_Toc91075814"/>
      <w:bookmarkStart w:id="56" w:name="_Toc319799023"/>
      <w:bookmarkStart w:id="57" w:name="_Toc218437371"/>
      <w:bookmarkStart w:id="58" w:name="_Toc139091051"/>
      <w:bookmarkStart w:id="59" w:name="_Toc49134497"/>
      <w:bookmarkStart w:id="60" w:name="_Toc28058702"/>
      <w:bookmarkStart w:id="61" w:name="_Toc8200057"/>
      <w:bookmarkStart w:id="62" w:name="_Toc387688449"/>
      <w:bookmarkStart w:id="63" w:name="_Toc34820012"/>
      <w:bookmarkStart w:id="64" w:name="_Toc151836278"/>
      <w:r>
        <w:rPr>
          <w:rFonts w:hint="eastAsia" w:ascii="宋体" w:hAnsi="宋体" w:eastAsia="宋体" w:cs="宋体"/>
          <w:color w:val="auto"/>
          <w:sz w:val="21"/>
          <w:szCs w:val="21"/>
          <w:highlight w:val="none"/>
        </w:rPr>
        <w:t>服务期限</w:t>
      </w:r>
      <w:bookmarkEnd w:id="54"/>
      <w:bookmarkEnd w:id="55"/>
    </w:p>
    <w:p w14:paraId="403D6C19">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本项目服务期限为合同签订之日起一年（合同另有规定的按合同规定期限履行）。</w:t>
      </w:r>
    </w:p>
    <w:bookmarkEnd w:id="56"/>
    <w:bookmarkEnd w:id="57"/>
    <w:bookmarkEnd w:id="58"/>
    <w:bookmarkEnd w:id="59"/>
    <w:bookmarkEnd w:id="60"/>
    <w:bookmarkEnd w:id="61"/>
    <w:bookmarkEnd w:id="62"/>
    <w:bookmarkEnd w:id="63"/>
    <w:bookmarkEnd w:id="64"/>
    <w:p w14:paraId="29DF471E">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65" w:name="_Toc91075815"/>
      <w:bookmarkStart w:id="66" w:name="_Toc18680"/>
      <w:r>
        <w:rPr>
          <w:rFonts w:hint="eastAsia" w:ascii="宋体" w:hAnsi="宋体" w:eastAsia="宋体" w:cs="宋体"/>
          <w:color w:val="auto"/>
          <w:sz w:val="21"/>
          <w:szCs w:val="21"/>
          <w:highlight w:val="none"/>
        </w:rPr>
        <w:t>服务</w:t>
      </w:r>
      <w:bookmarkEnd w:id="65"/>
      <w:r>
        <w:rPr>
          <w:rFonts w:hint="eastAsia" w:ascii="宋体" w:hAnsi="宋体" w:eastAsia="宋体" w:cs="宋体"/>
          <w:color w:val="auto"/>
          <w:sz w:val="21"/>
          <w:szCs w:val="21"/>
          <w:highlight w:val="none"/>
        </w:rPr>
        <w:t>内容</w:t>
      </w:r>
      <w:bookmarkEnd w:id="66"/>
    </w:p>
    <w:p w14:paraId="7EE979B1">
      <w:pPr>
        <w:pStyle w:val="7"/>
        <w:numPr>
          <w:ilvl w:val="0"/>
          <w:numId w:val="4"/>
        </w:numPr>
        <w:spacing w:before="0" w:after="0" w:line="500" w:lineRule="exact"/>
        <w:rPr>
          <w:rFonts w:ascii="宋体" w:hAnsi="宋体" w:eastAsia="宋体" w:cs="宋体"/>
          <w:color w:val="auto"/>
          <w:sz w:val="21"/>
          <w:szCs w:val="21"/>
          <w:highlight w:val="none"/>
        </w:rPr>
      </w:pPr>
      <w:bookmarkStart w:id="67" w:name="_Toc6894"/>
      <w:r>
        <w:rPr>
          <w:rFonts w:hint="eastAsia" w:ascii="宋体" w:hAnsi="宋体" w:eastAsia="宋体" w:cs="宋体"/>
          <w:color w:val="auto"/>
          <w:sz w:val="21"/>
          <w:szCs w:val="21"/>
          <w:highlight w:val="none"/>
        </w:rPr>
        <w:t>预算管理一体化现场服务</w:t>
      </w:r>
      <w:bookmarkEnd w:id="67"/>
    </w:p>
    <w:p w14:paraId="4F0371AE">
      <w:pPr>
        <w:autoSpaceDE/>
        <w:autoSpaceDN/>
        <w:adjustRightInd/>
        <w:spacing w:line="500" w:lineRule="exact"/>
        <w:ind w:firstLine="420" w:firstLineChars="200"/>
        <w:textAlignment w:val="auto"/>
        <w:rPr>
          <w:rFonts w:hAnsi="宋体" w:cs="宋体"/>
          <w:color w:val="auto"/>
          <w:sz w:val="21"/>
          <w:szCs w:val="21"/>
          <w:highlight w:val="none"/>
        </w:rPr>
      </w:pPr>
      <w:bookmarkStart w:id="68" w:name="_Toc91075816"/>
      <w:bookmarkStart w:id="69" w:name="_Toc8200046"/>
      <w:bookmarkStart w:id="70" w:name="_Toc319799014"/>
      <w:r>
        <w:rPr>
          <w:rFonts w:hint="eastAsia" w:hAnsi="宋体" w:cs="宋体"/>
          <w:color w:val="auto"/>
          <w:sz w:val="21"/>
          <w:szCs w:val="21"/>
          <w:highlight w:val="none"/>
        </w:rPr>
        <w:t>建立一支专业、高效的团队服务于金华市本级各行政、事业单位，主要职责为协助各单位使用预算管理一体化系统，完成系统范围内的各项财务工作和任务。具体包括但不限于以下几点：</w:t>
      </w:r>
    </w:p>
    <w:p w14:paraId="376BBE9E">
      <w:pPr>
        <w:numPr>
          <w:ilvl w:val="255"/>
          <w:numId w:val="0"/>
        </w:numPr>
        <w:autoSpaceDE/>
        <w:autoSpaceDN/>
        <w:adjustRightInd/>
        <w:spacing w:line="500" w:lineRule="exact"/>
        <w:textAlignment w:val="auto"/>
        <w:rPr>
          <w:rFonts w:hAnsi="宋体" w:cs="宋体"/>
          <w:color w:val="auto"/>
          <w:sz w:val="21"/>
          <w:szCs w:val="21"/>
          <w:highlight w:val="none"/>
        </w:rPr>
      </w:pPr>
      <w:r>
        <w:rPr>
          <w:rFonts w:hint="eastAsia" w:hAnsi="宋体" w:cs="宋体"/>
          <w:b/>
          <w:bCs/>
          <w:color w:val="auto"/>
          <w:sz w:val="21"/>
          <w:szCs w:val="21"/>
          <w:highlight w:val="none"/>
        </w:rPr>
        <w:t>1.现场指导</w:t>
      </w:r>
    </w:p>
    <w:p w14:paraId="46A1BA1E">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服务团队、人员原则上归采购人管理，应常驻或错时驻点金华市局办公，及时解决系统运行问题和应对业务高峰期工作，服务期间考勤及工作需听从采购人领导安排。现场服务人员不参与财政业务，只负责相关业务系统的维护和现场服务（针对预算管理一体化系统及核算云系统市本级行政预算单位用户）工作。如有涉及到业务数据调整等问题，需业务科室书面写明原因，并经过数字中心签字同意。现场服务工程师需提供如下工作内容：</w:t>
      </w:r>
    </w:p>
    <w:p w14:paraId="19513F00">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① 按要求做好系统应用过程中相关问题受理、确认、记录、分析，并协助解决；</w:t>
      </w:r>
    </w:p>
    <w:p w14:paraId="5C2048F2">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② 协助管理员进行基础数据配置和业务相关设置；</w:t>
      </w:r>
    </w:p>
    <w:p w14:paraId="135CF765">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③ 进行错误数据查询，以及因业务变更或要素变更而需进行的数据处理；</w:t>
      </w:r>
    </w:p>
    <w:p w14:paraId="7145DDCB">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④ 按照要求进行数据备份；</w:t>
      </w:r>
    </w:p>
    <w:p w14:paraId="66EFD847">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⑤ 完成服务日志、服务报告、项目技术服务会议纪要、服务周报等服务类文档。</w:t>
      </w:r>
    </w:p>
    <w:p w14:paraId="7B82D17E">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⑥ 客户需求受理并与第三方公司进行沟通确认、并跟进问题处理情况及时反馈；</w:t>
      </w:r>
    </w:p>
    <w:p w14:paraId="262BA718">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⑦ 接受采购方安排的其他相关工作。</w:t>
      </w:r>
    </w:p>
    <w:p w14:paraId="4BAADA22">
      <w:pPr>
        <w:numPr>
          <w:ilvl w:val="255"/>
          <w:numId w:val="0"/>
        </w:numPr>
        <w:autoSpaceDE/>
        <w:autoSpaceDN/>
        <w:adjustRightInd/>
        <w:spacing w:line="500" w:lineRule="exact"/>
        <w:textAlignment w:val="auto"/>
        <w:rPr>
          <w:rFonts w:hAnsi="宋体" w:cs="宋体"/>
          <w:b/>
          <w:bCs/>
          <w:color w:val="auto"/>
          <w:sz w:val="21"/>
          <w:szCs w:val="21"/>
          <w:highlight w:val="none"/>
        </w:rPr>
      </w:pPr>
      <w:r>
        <w:rPr>
          <w:rFonts w:hint="eastAsia" w:hAnsi="宋体" w:cs="宋体"/>
          <w:b/>
          <w:bCs/>
          <w:color w:val="auto"/>
          <w:sz w:val="21"/>
          <w:szCs w:val="21"/>
          <w:highlight w:val="none"/>
        </w:rPr>
        <w:t>2.远程答疑</w:t>
      </w:r>
    </w:p>
    <w:p w14:paraId="1CB72688">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服务团队开通热线电话，耐心细致的对用户提出的问题进行解答，做好软件应用指导工作；充分利用QQ群、微信群等及时通讯工具，做到专人、专事、专群。</w:t>
      </w:r>
    </w:p>
    <w:p w14:paraId="60E3740E">
      <w:pPr>
        <w:numPr>
          <w:ilvl w:val="255"/>
          <w:numId w:val="0"/>
        </w:numPr>
        <w:autoSpaceDE/>
        <w:autoSpaceDN/>
        <w:adjustRightInd/>
        <w:spacing w:line="500" w:lineRule="exact"/>
        <w:textAlignment w:val="auto"/>
        <w:rPr>
          <w:rFonts w:hAnsi="宋体" w:cs="宋体"/>
          <w:b/>
          <w:bCs/>
          <w:color w:val="auto"/>
          <w:sz w:val="21"/>
          <w:szCs w:val="21"/>
          <w:highlight w:val="none"/>
        </w:rPr>
      </w:pPr>
      <w:r>
        <w:rPr>
          <w:rFonts w:hint="eastAsia" w:hAnsi="宋体" w:cs="宋体"/>
          <w:b/>
          <w:bCs/>
          <w:color w:val="auto"/>
          <w:sz w:val="21"/>
          <w:szCs w:val="21"/>
          <w:highlight w:val="none"/>
        </w:rPr>
        <w:t>3.业务培训</w:t>
      </w:r>
    </w:p>
    <w:p w14:paraId="371C70BA">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成交人及时修订（或补充）培训资料与业务系统同步；配合采购方做好软件培训工作，提供相应师资力量。</w:t>
      </w:r>
    </w:p>
    <w:p w14:paraId="52D0D1EC">
      <w:pPr>
        <w:numPr>
          <w:ilvl w:val="255"/>
          <w:numId w:val="0"/>
        </w:numPr>
        <w:autoSpaceDE/>
        <w:autoSpaceDN/>
        <w:adjustRightInd/>
        <w:spacing w:line="500" w:lineRule="exact"/>
        <w:textAlignment w:val="auto"/>
        <w:rPr>
          <w:rFonts w:hAnsi="宋体" w:cs="宋体"/>
          <w:b/>
          <w:bCs/>
          <w:color w:val="auto"/>
          <w:sz w:val="21"/>
          <w:szCs w:val="21"/>
          <w:highlight w:val="none"/>
        </w:rPr>
      </w:pPr>
      <w:r>
        <w:rPr>
          <w:rFonts w:hint="eastAsia" w:hAnsi="宋体" w:cs="宋体"/>
          <w:b/>
          <w:bCs/>
          <w:color w:val="auto"/>
          <w:sz w:val="21"/>
          <w:szCs w:val="21"/>
          <w:highlight w:val="none"/>
        </w:rPr>
        <w:t>4.疑难问题处理</w:t>
      </w:r>
    </w:p>
    <w:p w14:paraId="04006F69">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能及时联系省财政厅及支持单位联系人，解决处理各预算单位财务报销过程中发现的问题，必要时提供问题解决方案和技术支持。</w:t>
      </w:r>
      <w:bookmarkEnd w:id="68"/>
    </w:p>
    <w:p w14:paraId="1EEEB787">
      <w:pPr>
        <w:numPr>
          <w:ilvl w:val="255"/>
          <w:numId w:val="0"/>
        </w:numPr>
        <w:autoSpaceDE/>
        <w:autoSpaceDN/>
        <w:adjustRightInd/>
        <w:spacing w:line="500" w:lineRule="exact"/>
        <w:textAlignment w:val="auto"/>
        <w:rPr>
          <w:rFonts w:hAnsi="宋体" w:cs="宋体"/>
          <w:b/>
          <w:bCs/>
          <w:color w:val="auto"/>
          <w:sz w:val="21"/>
          <w:szCs w:val="21"/>
          <w:highlight w:val="none"/>
        </w:rPr>
      </w:pPr>
      <w:r>
        <w:rPr>
          <w:rFonts w:hint="eastAsia" w:hAnsi="宋体" w:cs="宋体"/>
          <w:b/>
          <w:bCs/>
          <w:color w:val="auto"/>
          <w:sz w:val="21"/>
          <w:szCs w:val="21"/>
          <w:highlight w:val="none"/>
        </w:rPr>
        <w:t>5.业务范围</w:t>
      </w:r>
    </w:p>
    <w:tbl>
      <w:tblPr>
        <w:tblStyle w:val="4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4"/>
        <w:gridCol w:w="1595"/>
        <w:gridCol w:w="5680"/>
      </w:tblGrid>
      <w:tr w14:paraId="18128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0" w:type="pct"/>
            <w:vAlign w:val="center"/>
          </w:tcPr>
          <w:p w14:paraId="0B538CBF">
            <w:pPr>
              <w:spacing w:line="500" w:lineRule="exact"/>
              <w:jc w:val="center"/>
              <w:rPr>
                <w:rFonts w:hAnsi="宋体" w:cs="宋体"/>
                <w:b/>
                <w:bCs/>
                <w:color w:val="auto"/>
                <w:sz w:val="21"/>
                <w:szCs w:val="21"/>
                <w:highlight w:val="none"/>
              </w:rPr>
            </w:pPr>
            <w:r>
              <w:rPr>
                <w:rFonts w:hint="eastAsia" w:hAnsi="宋体" w:cs="宋体"/>
                <w:b/>
                <w:bCs/>
                <w:color w:val="auto"/>
                <w:sz w:val="21"/>
                <w:szCs w:val="21"/>
                <w:highlight w:val="none"/>
              </w:rPr>
              <w:t>大类</w:t>
            </w:r>
          </w:p>
        </w:tc>
        <w:tc>
          <w:tcPr>
            <w:tcW w:w="936" w:type="pct"/>
            <w:vAlign w:val="center"/>
          </w:tcPr>
          <w:p w14:paraId="352D1C38">
            <w:pPr>
              <w:spacing w:line="500" w:lineRule="exact"/>
              <w:jc w:val="center"/>
              <w:rPr>
                <w:rFonts w:hAnsi="宋体" w:cs="宋体"/>
                <w:b/>
                <w:bCs/>
                <w:color w:val="auto"/>
                <w:sz w:val="21"/>
                <w:szCs w:val="21"/>
                <w:highlight w:val="none"/>
              </w:rPr>
            </w:pPr>
            <w:r>
              <w:rPr>
                <w:rFonts w:hint="eastAsia" w:hAnsi="宋体" w:cs="宋体"/>
                <w:b/>
                <w:bCs/>
                <w:color w:val="auto"/>
                <w:sz w:val="21"/>
                <w:szCs w:val="21"/>
                <w:highlight w:val="none"/>
              </w:rPr>
              <w:t>业务说明</w:t>
            </w:r>
          </w:p>
        </w:tc>
        <w:tc>
          <w:tcPr>
            <w:tcW w:w="3333" w:type="pct"/>
            <w:vAlign w:val="center"/>
          </w:tcPr>
          <w:p w14:paraId="3C01B420">
            <w:pPr>
              <w:spacing w:line="500" w:lineRule="exact"/>
              <w:jc w:val="center"/>
              <w:rPr>
                <w:rFonts w:hAnsi="宋体" w:cs="宋体"/>
                <w:b/>
                <w:bCs/>
                <w:color w:val="auto"/>
                <w:sz w:val="21"/>
                <w:szCs w:val="21"/>
                <w:highlight w:val="none"/>
              </w:rPr>
            </w:pPr>
            <w:r>
              <w:rPr>
                <w:rFonts w:hint="eastAsia" w:hAnsi="宋体" w:cs="宋体"/>
                <w:b/>
                <w:bCs/>
                <w:color w:val="auto"/>
                <w:sz w:val="21"/>
                <w:szCs w:val="21"/>
                <w:highlight w:val="none"/>
              </w:rPr>
              <w:t>业务分解</w:t>
            </w:r>
          </w:p>
        </w:tc>
      </w:tr>
      <w:tr w14:paraId="38785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5664260D">
            <w:pPr>
              <w:pStyle w:val="97"/>
              <w:tabs>
                <w:tab w:val="left" w:pos="680"/>
              </w:tabs>
              <w:spacing w:line="500" w:lineRule="exact"/>
              <w:ind w:firstLine="0" w:firstLineChars="0"/>
              <w:jc w:val="center"/>
              <w:rPr>
                <w:rFonts w:ascii="宋体" w:hAnsi="宋体" w:cs="宋体"/>
                <w:color w:val="auto"/>
                <w:sz w:val="21"/>
                <w:szCs w:val="21"/>
                <w:highlight w:val="none"/>
              </w:rPr>
            </w:pPr>
            <w:bookmarkStart w:id="71" w:name="_Toc91075821"/>
            <w:r>
              <w:rPr>
                <w:rFonts w:hint="eastAsia" w:ascii="宋体" w:hAnsi="宋体" w:cs="宋体"/>
                <w:bCs/>
                <w:color w:val="auto"/>
                <w:sz w:val="21"/>
                <w:szCs w:val="21"/>
                <w:highlight w:val="none"/>
              </w:rPr>
              <w:t>基础信息管理</w:t>
            </w:r>
          </w:p>
        </w:tc>
        <w:tc>
          <w:tcPr>
            <w:tcW w:w="936" w:type="pct"/>
            <w:vAlign w:val="center"/>
          </w:tcPr>
          <w:p w14:paraId="7EAC1CBB">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基础信息管理</w:t>
            </w:r>
          </w:p>
        </w:tc>
        <w:tc>
          <w:tcPr>
            <w:tcW w:w="3333" w:type="pct"/>
          </w:tcPr>
          <w:p w14:paraId="17849656">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a.创建新年度帐套 </w:t>
            </w:r>
          </w:p>
          <w:p w14:paraId="48886438">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b.进行年度结转业务功能 </w:t>
            </w:r>
          </w:p>
          <w:p w14:paraId="638D4E5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c.要素结转后往年数据对应 </w:t>
            </w:r>
          </w:p>
          <w:p w14:paraId="3ECBC5EE">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d.年度结转技术支持 </w:t>
            </w:r>
          </w:p>
          <w:p w14:paraId="54DD4A6B">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e.注册添加新的应用系统 </w:t>
            </w:r>
          </w:p>
          <w:p w14:paraId="38A79077">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f.增加业务选项及维护 </w:t>
            </w:r>
          </w:p>
          <w:p w14:paraId="74E31B2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g.增加系统参数及维护 </w:t>
            </w:r>
          </w:p>
          <w:p w14:paraId="66BC30DD">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h.要素维护管理 </w:t>
            </w:r>
          </w:p>
          <w:p w14:paraId="2AAD2DCD">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i.及时修改因特定数据暴露的系统缺陷 </w:t>
            </w:r>
          </w:p>
          <w:p w14:paraId="772C7C03">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j.数据备份服务：定期备份系统数据 </w:t>
            </w:r>
          </w:p>
          <w:p w14:paraId="3F6A753E">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k.完成驻场服务维护日志、远程、现场服务报告、项目技术服务会议纪要、等服务类文档。 </w:t>
            </w:r>
          </w:p>
          <w:p w14:paraId="303E5F30">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l.系统缺陷及新需求的收集、整理 </w:t>
            </w:r>
          </w:p>
          <w:p w14:paraId="3B90B912">
            <w:pPr>
              <w:widowControl/>
              <w:autoSpaceDE/>
              <w:adjustRightInd/>
              <w:spacing w:line="500" w:lineRule="exact"/>
              <w:jc w:val="both"/>
              <w:rPr>
                <w:rFonts w:hAnsi="宋体" w:cs="宋体"/>
                <w:bCs/>
                <w:color w:val="auto"/>
                <w:kern w:val="2"/>
                <w:sz w:val="21"/>
                <w:szCs w:val="21"/>
                <w:highlight w:val="none"/>
              </w:rPr>
            </w:pPr>
            <w:r>
              <w:rPr>
                <w:rFonts w:hint="eastAsia" w:hAnsi="宋体" w:cs="宋体"/>
                <w:bCs/>
                <w:color w:val="auto"/>
                <w:sz w:val="21"/>
                <w:szCs w:val="21"/>
                <w:highlight w:val="none"/>
              </w:rPr>
              <w:t xml:space="preserve">m.其他相关工作 </w:t>
            </w:r>
          </w:p>
        </w:tc>
      </w:tr>
      <w:tr w14:paraId="434A6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617EC24D">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指标管理</w:t>
            </w:r>
          </w:p>
        </w:tc>
        <w:tc>
          <w:tcPr>
            <w:tcW w:w="936" w:type="pct"/>
            <w:vAlign w:val="center"/>
          </w:tcPr>
          <w:p w14:paraId="4FE553C9">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指标管理</w:t>
            </w:r>
          </w:p>
        </w:tc>
        <w:tc>
          <w:tcPr>
            <w:tcW w:w="3333" w:type="pct"/>
          </w:tcPr>
          <w:p w14:paraId="5000253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a.技术支持日志记录</w:t>
            </w:r>
          </w:p>
          <w:p w14:paraId="513B8A74">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b.用户问题确认、重现、跟踪、分析 </w:t>
            </w:r>
          </w:p>
          <w:p w14:paraId="07F634D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c.后台运行环境模拟 </w:t>
            </w:r>
          </w:p>
          <w:p w14:paraId="7B98089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d.后台源代码级跟踪支持 </w:t>
            </w:r>
          </w:p>
          <w:p w14:paraId="3AEEF462">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e.后台数据库跟踪支持 </w:t>
            </w:r>
          </w:p>
          <w:p w14:paraId="396A5025">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f.对出现的问题及时从数据、代码层面提供快速解决方案 </w:t>
            </w:r>
          </w:p>
          <w:p w14:paraId="31D5A9CC">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g.及时修正各种数据异常 </w:t>
            </w:r>
          </w:p>
          <w:p w14:paraId="5C1AD4EB">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h.及时修改因特定数据暴露的系统缺陷 </w:t>
            </w:r>
          </w:p>
          <w:p w14:paraId="546A4F35">
            <w:pPr>
              <w:pStyle w:val="97"/>
              <w:tabs>
                <w:tab w:val="left" w:pos="680"/>
              </w:tabs>
              <w:spacing w:line="500" w:lineRule="exact"/>
              <w:ind w:firstLine="0"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i.根据业务需要从数据库层面提供相关业务数据的查询统计等工作(如审计数据支持)。 </w:t>
            </w:r>
          </w:p>
        </w:tc>
      </w:tr>
      <w:tr w14:paraId="33C9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6E2E8309">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用款计划</w:t>
            </w:r>
          </w:p>
        </w:tc>
        <w:tc>
          <w:tcPr>
            <w:tcW w:w="936" w:type="pct"/>
            <w:vAlign w:val="center"/>
          </w:tcPr>
          <w:p w14:paraId="4EEE4EA5">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用款计划</w:t>
            </w:r>
          </w:p>
        </w:tc>
        <w:tc>
          <w:tcPr>
            <w:tcW w:w="3333" w:type="pct"/>
          </w:tcPr>
          <w:p w14:paraId="1DAEBB5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a.地市年终结转支持 </w:t>
            </w:r>
          </w:p>
          <w:p w14:paraId="7B09FD7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b.用款计划电子凭证功能维护 </w:t>
            </w:r>
          </w:p>
          <w:p w14:paraId="22014787">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c.用款计划数据归集维护 </w:t>
            </w:r>
          </w:p>
          <w:p w14:paraId="685DFF8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d.用款计划会计核算接口维护 </w:t>
            </w:r>
          </w:p>
          <w:p w14:paraId="4B27FEEF">
            <w:pPr>
              <w:widowControl/>
              <w:autoSpaceDE/>
              <w:adjustRightInd/>
              <w:spacing w:line="500" w:lineRule="exact"/>
              <w:jc w:val="both"/>
              <w:rPr>
                <w:rFonts w:hAnsi="宋体" w:cs="宋体"/>
                <w:bCs/>
                <w:color w:val="auto"/>
                <w:kern w:val="2"/>
                <w:sz w:val="21"/>
                <w:szCs w:val="21"/>
                <w:highlight w:val="none"/>
              </w:rPr>
            </w:pPr>
            <w:r>
              <w:rPr>
                <w:rFonts w:hint="eastAsia" w:hAnsi="宋体" w:cs="宋体"/>
                <w:bCs/>
                <w:color w:val="auto"/>
                <w:sz w:val="21"/>
                <w:szCs w:val="21"/>
                <w:highlight w:val="none"/>
              </w:rPr>
              <w:t xml:space="preserve">e.用款计划每年年底都需要进行年终结转工作，需要依次进行需求调研、整理分析 </w:t>
            </w:r>
          </w:p>
        </w:tc>
      </w:tr>
      <w:tr w14:paraId="5B95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22F0FA0B">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支付管理</w:t>
            </w:r>
          </w:p>
        </w:tc>
        <w:tc>
          <w:tcPr>
            <w:tcW w:w="936" w:type="pct"/>
            <w:vAlign w:val="center"/>
          </w:tcPr>
          <w:p w14:paraId="577A1EE6">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支付管理</w:t>
            </w:r>
          </w:p>
        </w:tc>
        <w:tc>
          <w:tcPr>
            <w:tcW w:w="3333" w:type="pct"/>
          </w:tcPr>
          <w:p w14:paraId="131B98D5">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a.支付数据一致性检查及处理 </w:t>
            </w:r>
          </w:p>
          <w:p w14:paraId="286470F4">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b.进行年度结转业务功能维护 </w:t>
            </w:r>
          </w:p>
          <w:p w14:paraId="64615DFA">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c.年度结转技术支持 </w:t>
            </w:r>
          </w:p>
          <w:p w14:paraId="46114AD4">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d.数据归集支持 </w:t>
            </w:r>
          </w:p>
          <w:p w14:paraId="4465957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e.结合电子凭证库，对支付电子化进行维护 </w:t>
            </w:r>
          </w:p>
          <w:p w14:paraId="5E1B64FA">
            <w:pPr>
              <w:pStyle w:val="97"/>
              <w:tabs>
                <w:tab w:val="left" w:pos="680"/>
              </w:tabs>
              <w:spacing w:line="500" w:lineRule="exact"/>
              <w:ind w:firstLine="0"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f.根据业务需要从数据库层面提供相关业务数据的查询统计等工作(如审计数据支持)</w:t>
            </w:r>
          </w:p>
        </w:tc>
      </w:tr>
      <w:tr w14:paraId="733BB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48C2F613">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政府采购</w:t>
            </w:r>
          </w:p>
        </w:tc>
        <w:tc>
          <w:tcPr>
            <w:tcW w:w="936" w:type="pct"/>
            <w:vAlign w:val="center"/>
          </w:tcPr>
          <w:p w14:paraId="40E723E8">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政府采购</w:t>
            </w:r>
          </w:p>
        </w:tc>
        <w:tc>
          <w:tcPr>
            <w:tcW w:w="3333" w:type="pct"/>
          </w:tcPr>
          <w:p w14:paraId="572FA906">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a.政府采购（内网）系统初始化及实施，包括需求调研、整理分析以及相应的开发修改 </w:t>
            </w:r>
          </w:p>
          <w:p w14:paraId="084F8F9D">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b.政府采购（内网）实施部署及升级</w:t>
            </w:r>
          </w:p>
          <w:p w14:paraId="2775F6BC">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c.数据归集支持</w:t>
            </w:r>
          </w:p>
          <w:p w14:paraId="09C1EDE0">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d.内外网数据交互运行维护及交互数据处理</w:t>
            </w:r>
          </w:p>
          <w:p w14:paraId="04EDD972">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e.及时修正各种数据异常 </w:t>
            </w:r>
          </w:p>
          <w:p w14:paraId="359D6E25">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f.及时修改因特定数据暴露的系统缺陷 </w:t>
            </w:r>
          </w:p>
          <w:p w14:paraId="4837E0A1">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g.根据业务需要从数据库层面提供相关业务数据的查询统计等工作(审计数据支持、业务数据处理、数据统计（确认书、合同）) </w:t>
            </w:r>
          </w:p>
          <w:p w14:paraId="7549EC6D">
            <w:pPr>
              <w:widowControl/>
              <w:autoSpaceDE/>
              <w:adjustRightInd/>
              <w:spacing w:line="500" w:lineRule="exact"/>
              <w:jc w:val="both"/>
              <w:rPr>
                <w:rFonts w:hAnsi="宋体" w:cs="宋体"/>
                <w:bCs/>
                <w:color w:val="auto"/>
                <w:kern w:val="2"/>
                <w:sz w:val="21"/>
                <w:szCs w:val="21"/>
                <w:highlight w:val="none"/>
              </w:rPr>
            </w:pPr>
            <w:r>
              <w:rPr>
                <w:rFonts w:hint="eastAsia" w:hAnsi="宋体" w:cs="宋体"/>
                <w:bCs/>
                <w:color w:val="auto"/>
                <w:sz w:val="21"/>
                <w:szCs w:val="21"/>
                <w:highlight w:val="none"/>
              </w:rPr>
              <w:t>h.政府采购由本地分布式部署迁移至省厅集中部署系统环境的相关工作</w:t>
            </w:r>
          </w:p>
        </w:tc>
      </w:tr>
      <w:tr w14:paraId="6CF6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3A4A6152">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总会计账务</w:t>
            </w:r>
          </w:p>
        </w:tc>
        <w:tc>
          <w:tcPr>
            <w:tcW w:w="936" w:type="pct"/>
            <w:vAlign w:val="center"/>
          </w:tcPr>
          <w:p w14:paraId="387DF106">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总会计账务</w:t>
            </w:r>
          </w:p>
        </w:tc>
        <w:tc>
          <w:tcPr>
            <w:tcW w:w="3333" w:type="pct"/>
          </w:tcPr>
          <w:p w14:paraId="070700F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a.会计账套、会计科目的需求调研、设置及初始化工作</w:t>
            </w:r>
          </w:p>
          <w:p w14:paraId="2D1E45AC">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b.总会计账务系统的实施部署</w:t>
            </w:r>
          </w:p>
          <w:p w14:paraId="544D8DC0">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c.数据归集的业务数据支持</w:t>
            </w:r>
          </w:p>
          <w:p w14:paraId="670982F1">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d.查询报表的需求调研，自定义报表的编制工作</w:t>
            </w:r>
          </w:p>
          <w:p w14:paraId="201E34D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e.及时修正各种数据异常 </w:t>
            </w:r>
          </w:p>
          <w:p w14:paraId="4F39893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f.及时修改因特定数据暴露的系统缺陷 </w:t>
            </w:r>
          </w:p>
          <w:p w14:paraId="0BA98B27">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g.根据业务需要从数据库层面提供相关业务数据的查询统计等工作</w:t>
            </w:r>
          </w:p>
          <w:p w14:paraId="2C1DC110">
            <w:pPr>
              <w:widowControl/>
              <w:autoSpaceDE/>
              <w:adjustRightInd/>
              <w:spacing w:line="500" w:lineRule="exact"/>
              <w:jc w:val="both"/>
              <w:rPr>
                <w:rFonts w:hAnsi="宋体" w:cs="宋体"/>
                <w:bCs/>
                <w:color w:val="auto"/>
                <w:kern w:val="2"/>
                <w:sz w:val="21"/>
                <w:szCs w:val="21"/>
                <w:highlight w:val="none"/>
              </w:rPr>
            </w:pPr>
            <w:r>
              <w:rPr>
                <w:rFonts w:hint="eastAsia" w:hAnsi="宋体" w:cs="宋体"/>
                <w:bCs/>
                <w:color w:val="auto"/>
                <w:sz w:val="21"/>
                <w:szCs w:val="21"/>
                <w:highlight w:val="none"/>
              </w:rPr>
              <w:t>h.系统由本地分布式部署迁移至省厅集中部署系统环境的相关工作</w:t>
            </w:r>
          </w:p>
        </w:tc>
      </w:tr>
      <w:tr w14:paraId="27110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67B52B11">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资金申拨</w:t>
            </w:r>
          </w:p>
        </w:tc>
        <w:tc>
          <w:tcPr>
            <w:tcW w:w="936" w:type="pct"/>
            <w:vAlign w:val="center"/>
          </w:tcPr>
          <w:p w14:paraId="72AF10ED">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资金申拨</w:t>
            </w:r>
          </w:p>
        </w:tc>
        <w:tc>
          <w:tcPr>
            <w:tcW w:w="3333" w:type="pct"/>
          </w:tcPr>
          <w:p w14:paraId="56CE7CCA">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a.资金申拨系统初始化及实施，包括需求调研、整理分析以及相应的开发修改 </w:t>
            </w:r>
          </w:p>
          <w:p w14:paraId="3D55B22B">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b.资金申拨实施部署及升级</w:t>
            </w:r>
          </w:p>
          <w:p w14:paraId="4B35F55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c.资金申拨拨付数据归集支持</w:t>
            </w:r>
          </w:p>
          <w:p w14:paraId="627540B7">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d.电子凭证库数据交互运行维护及交互数据处理</w:t>
            </w:r>
          </w:p>
          <w:p w14:paraId="64D45C0D">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e.及时修正各种数据异常 </w:t>
            </w:r>
          </w:p>
          <w:p w14:paraId="3401385E">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f.及时修改因特定数据暴露的系统缺陷 </w:t>
            </w:r>
          </w:p>
          <w:p w14:paraId="041B262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g.根据业务需要从数据库层面提供相关业务数据的查询统计等工作 </w:t>
            </w:r>
          </w:p>
          <w:p w14:paraId="231DD269">
            <w:pPr>
              <w:widowControl/>
              <w:autoSpaceDE/>
              <w:adjustRightInd/>
              <w:spacing w:line="500" w:lineRule="exact"/>
              <w:jc w:val="both"/>
              <w:rPr>
                <w:rFonts w:hAnsi="宋体" w:cs="宋体"/>
                <w:bCs/>
                <w:color w:val="auto"/>
                <w:kern w:val="2"/>
                <w:sz w:val="21"/>
                <w:szCs w:val="21"/>
                <w:highlight w:val="none"/>
              </w:rPr>
            </w:pPr>
            <w:r>
              <w:rPr>
                <w:rFonts w:hint="eastAsia" w:hAnsi="宋体" w:cs="宋体"/>
                <w:bCs/>
                <w:color w:val="auto"/>
                <w:sz w:val="21"/>
                <w:szCs w:val="21"/>
                <w:highlight w:val="none"/>
              </w:rPr>
              <w:t>h.系统由本地分布式部署迁移至省厅集中部署系统环境的相关工作</w:t>
            </w:r>
          </w:p>
        </w:tc>
      </w:tr>
      <w:tr w14:paraId="40B1A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1774553D">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单位银行账户</w:t>
            </w:r>
          </w:p>
        </w:tc>
        <w:tc>
          <w:tcPr>
            <w:tcW w:w="936" w:type="pct"/>
            <w:vAlign w:val="center"/>
          </w:tcPr>
          <w:p w14:paraId="1DC2AD0C">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单位银行账户</w:t>
            </w:r>
          </w:p>
        </w:tc>
        <w:tc>
          <w:tcPr>
            <w:tcW w:w="3333" w:type="pct"/>
          </w:tcPr>
          <w:p w14:paraId="4AA4E81C">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a.存量银行账户信息的数据归集支持</w:t>
            </w:r>
          </w:p>
          <w:p w14:paraId="77FA515F">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b.及时修正各种数据异常 </w:t>
            </w:r>
          </w:p>
          <w:p w14:paraId="74C1DD13">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c.及时修改因特定数据暴露的系统缺陷 </w:t>
            </w:r>
          </w:p>
          <w:p w14:paraId="4D7FF27B">
            <w:pPr>
              <w:widowControl/>
              <w:autoSpaceDE/>
              <w:adjustRightInd/>
              <w:spacing w:line="500" w:lineRule="exact"/>
              <w:jc w:val="both"/>
              <w:rPr>
                <w:rFonts w:hAnsi="宋体" w:cs="宋体"/>
                <w:color w:val="auto"/>
                <w:sz w:val="21"/>
                <w:szCs w:val="21"/>
                <w:highlight w:val="none"/>
              </w:rPr>
            </w:pPr>
            <w:r>
              <w:rPr>
                <w:rFonts w:hint="eastAsia" w:hAnsi="宋体" w:cs="宋体"/>
                <w:bCs/>
                <w:color w:val="auto"/>
                <w:sz w:val="21"/>
                <w:szCs w:val="21"/>
                <w:highlight w:val="none"/>
              </w:rPr>
              <w:t>d.政府采购由本地分布式部署迁移至省厅集中部署系统环境的相关工作</w:t>
            </w:r>
          </w:p>
        </w:tc>
      </w:tr>
      <w:tr w14:paraId="0898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7E4CFA83">
            <w:pPr>
              <w:pStyle w:val="97"/>
              <w:tabs>
                <w:tab w:val="left" w:pos="680"/>
              </w:tabs>
              <w:spacing w:line="500" w:lineRule="exact"/>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支付动态监控</w:t>
            </w:r>
          </w:p>
        </w:tc>
        <w:tc>
          <w:tcPr>
            <w:tcW w:w="936" w:type="pct"/>
            <w:vAlign w:val="center"/>
          </w:tcPr>
          <w:p w14:paraId="7F5F8BD0">
            <w:pPr>
              <w:pStyle w:val="97"/>
              <w:tabs>
                <w:tab w:val="left" w:pos="680"/>
              </w:tabs>
              <w:spacing w:line="500" w:lineRule="exact"/>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支付动态监控</w:t>
            </w:r>
          </w:p>
        </w:tc>
        <w:tc>
          <w:tcPr>
            <w:tcW w:w="3333" w:type="pct"/>
          </w:tcPr>
          <w:p w14:paraId="5CD7BFF9">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 xml:space="preserve">a.年终业务数据结转及技术支持，如预警规则相关信息、预算单位相关信息以及相关监控数据 </w:t>
            </w:r>
          </w:p>
          <w:p w14:paraId="74C1973C">
            <w:pPr>
              <w:widowControl/>
              <w:autoSpaceDE/>
              <w:adjustRightInd/>
              <w:spacing w:line="500" w:lineRule="exact"/>
              <w:jc w:val="both"/>
              <w:rPr>
                <w:rFonts w:hAnsi="宋体" w:cs="宋体"/>
                <w:color w:val="auto"/>
                <w:sz w:val="21"/>
                <w:szCs w:val="21"/>
                <w:highlight w:val="none"/>
              </w:rPr>
            </w:pPr>
            <w:r>
              <w:rPr>
                <w:rFonts w:hint="eastAsia" w:hAnsi="宋体" w:cs="宋体"/>
                <w:bCs/>
                <w:color w:val="auto"/>
                <w:sz w:val="21"/>
                <w:szCs w:val="21"/>
                <w:highlight w:val="none"/>
              </w:rPr>
              <w:t xml:space="preserve">b.数据归集支持 </w:t>
            </w:r>
          </w:p>
        </w:tc>
      </w:tr>
      <w:tr w14:paraId="6E5B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42049672">
            <w:pPr>
              <w:spacing w:line="500" w:lineRule="exact"/>
              <w:jc w:val="center"/>
              <w:rPr>
                <w:rFonts w:hAnsi="宋体" w:cs="宋体"/>
                <w:color w:val="auto"/>
                <w:sz w:val="21"/>
                <w:szCs w:val="21"/>
                <w:highlight w:val="none"/>
              </w:rPr>
            </w:pPr>
            <w:r>
              <w:rPr>
                <w:rFonts w:hint="eastAsia" w:hAnsi="宋体" w:cs="宋体"/>
                <w:color w:val="auto"/>
                <w:sz w:val="21"/>
                <w:szCs w:val="21"/>
                <w:highlight w:val="none"/>
              </w:rPr>
              <w:t>核算云</w:t>
            </w:r>
          </w:p>
        </w:tc>
        <w:tc>
          <w:tcPr>
            <w:tcW w:w="936" w:type="pct"/>
            <w:vAlign w:val="center"/>
          </w:tcPr>
          <w:p w14:paraId="260C8162">
            <w:pPr>
              <w:spacing w:line="500" w:lineRule="exact"/>
              <w:rPr>
                <w:rFonts w:hAnsi="宋体" w:cs="宋体"/>
                <w:color w:val="auto"/>
                <w:sz w:val="21"/>
                <w:szCs w:val="21"/>
                <w:highlight w:val="none"/>
              </w:rPr>
            </w:pPr>
            <w:r>
              <w:rPr>
                <w:rFonts w:hint="eastAsia" w:hAnsi="宋体" w:cs="宋体"/>
                <w:color w:val="auto"/>
                <w:sz w:val="21"/>
                <w:szCs w:val="21"/>
                <w:highlight w:val="none"/>
              </w:rPr>
              <w:t>核算云</w:t>
            </w:r>
          </w:p>
        </w:tc>
        <w:tc>
          <w:tcPr>
            <w:tcW w:w="3333" w:type="pct"/>
            <w:vAlign w:val="center"/>
          </w:tcPr>
          <w:p w14:paraId="33385317">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a.年终结转和月结</w:t>
            </w:r>
          </w:p>
          <w:p w14:paraId="34925354">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b.凭证制证和管理</w:t>
            </w:r>
          </w:p>
          <w:p w14:paraId="0CB21BEB">
            <w:pPr>
              <w:widowControl/>
              <w:autoSpaceDE/>
              <w:adjustRightInd/>
              <w:spacing w:line="500" w:lineRule="exact"/>
              <w:jc w:val="both"/>
              <w:rPr>
                <w:rFonts w:hAnsi="宋体" w:cs="宋体"/>
                <w:bCs/>
                <w:color w:val="auto"/>
                <w:sz w:val="21"/>
                <w:szCs w:val="21"/>
                <w:highlight w:val="none"/>
              </w:rPr>
            </w:pPr>
            <w:r>
              <w:rPr>
                <w:rFonts w:hint="eastAsia" w:hAnsi="宋体" w:cs="宋体"/>
                <w:bCs/>
                <w:color w:val="auto"/>
                <w:sz w:val="21"/>
                <w:szCs w:val="21"/>
                <w:highlight w:val="none"/>
              </w:rPr>
              <w:t>c.会计报表管理</w:t>
            </w:r>
          </w:p>
          <w:p w14:paraId="576096CA">
            <w:pPr>
              <w:widowControl/>
              <w:autoSpaceDE/>
              <w:adjustRightInd/>
              <w:spacing w:line="500" w:lineRule="exact"/>
              <w:jc w:val="both"/>
              <w:rPr>
                <w:rFonts w:hAnsi="宋体" w:cs="宋体"/>
                <w:color w:val="auto"/>
                <w:sz w:val="21"/>
                <w:szCs w:val="21"/>
                <w:highlight w:val="none"/>
              </w:rPr>
            </w:pPr>
            <w:r>
              <w:rPr>
                <w:rFonts w:hint="eastAsia" w:hAnsi="宋体" w:cs="宋体"/>
                <w:bCs/>
                <w:color w:val="auto"/>
                <w:sz w:val="21"/>
                <w:szCs w:val="21"/>
                <w:highlight w:val="none"/>
              </w:rPr>
              <w:t>d.会计电子化凭证推送</w:t>
            </w:r>
          </w:p>
        </w:tc>
      </w:tr>
      <w:tr w14:paraId="758D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30" w:type="pct"/>
            <w:vAlign w:val="center"/>
          </w:tcPr>
          <w:p w14:paraId="36FC01E7">
            <w:pPr>
              <w:spacing w:line="500" w:lineRule="exact"/>
              <w:jc w:val="center"/>
              <w:rPr>
                <w:rFonts w:hAnsi="宋体" w:cs="宋体"/>
                <w:color w:val="auto"/>
                <w:sz w:val="21"/>
                <w:szCs w:val="21"/>
                <w:highlight w:val="none"/>
              </w:rPr>
            </w:pPr>
            <w:r>
              <w:rPr>
                <w:rFonts w:hint="eastAsia" w:hAnsi="宋体" w:cs="宋体"/>
                <w:color w:val="auto"/>
                <w:sz w:val="21"/>
                <w:szCs w:val="21"/>
                <w:highlight w:val="none"/>
              </w:rPr>
              <w:t>相关业务</w:t>
            </w:r>
          </w:p>
        </w:tc>
        <w:tc>
          <w:tcPr>
            <w:tcW w:w="936" w:type="pct"/>
            <w:vAlign w:val="center"/>
          </w:tcPr>
          <w:p w14:paraId="73468D7E">
            <w:pPr>
              <w:spacing w:line="500" w:lineRule="exact"/>
              <w:jc w:val="center"/>
              <w:rPr>
                <w:rFonts w:hAnsi="宋体" w:cs="宋体"/>
                <w:color w:val="auto"/>
                <w:sz w:val="21"/>
                <w:szCs w:val="21"/>
                <w:highlight w:val="none"/>
              </w:rPr>
            </w:pPr>
          </w:p>
        </w:tc>
        <w:tc>
          <w:tcPr>
            <w:tcW w:w="3333" w:type="pct"/>
            <w:vAlign w:val="center"/>
          </w:tcPr>
          <w:p w14:paraId="60AE2E5E">
            <w:pPr>
              <w:spacing w:line="500" w:lineRule="exact"/>
              <w:rPr>
                <w:rFonts w:hAnsi="宋体" w:cs="宋体"/>
                <w:color w:val="auto"/>
                <w:sz w:val="21"/>
                <w:szCs w:val="21"/>
                <w:highlight w:val="none"/>
              </w:rPr>
            </w:pPr>
            <w:r>
              <w:rPr>
                <w:rFonts w:hint="eastAsia" w:hAnsi="宋体" w:cs="宋体"/>
                <w:color w:val="auto"/>
                <w:sz w:val="21"/>
                <w:szCs w:val="21"/>
                <w:highlight w:val="none"/>
              </w:rPr>
              <w:t>除以上业务外，涉及预算管理一体化（预算执行）的其他业务。</w:t>
            </w:r>
          </w:p>
        </w:tc>
      </w:tr>
      <w:bookmarkEnd w:id="69"/>
    </w:tbl>
    <w:p w14:paraId="63FB8B7A">
      <w:pPr>
        <w:numPr>
          <w:ilvl w:val="255"/>
          <w:numId w:val="0"/>
        </w:numPr>
        <w:autoSpaceDE/>
        <w:autoSpaceDN/>
        <w:adjustRightInd/>
        <w:spacing w:line="500" w:lineRule="exact"/>
        <w:ind w:firstLine="211" w:firstLineChars="100"/>
        <w:textAlignment w:val="auto"/>
        <w:rPr>
          <w:rFonts w:hAnsi="宋体" w:cs="宋体"/>
          <w:color w:val="auto"/>
          <w:sz w:val="21"/>
          <w:szCs w:val="21"/>
          <w:highlight w:val="none"/>
        </w:rPr>
      </w:pPr>
      <w:r>
        <w:rPr>
          <w:rFonts w:hint="eastAsia" w:hAnsi="宋体" w:cs="宋体"/>
          <w:b/>
          <w:bCs/>
          <w:color w:val="auto"/>
          <w:sz w:val="21"/>
          <w:szCs w:val="21"/>
          <w:highlight w:val="none"/>
        </w:rPr>
        <w:t>6.其他内容</w:t>
      </w:r>
    </w:p>
    <w:p w14:paraId="5CECA084">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① 除保障性维护外，单位财务核算云还包含部分升级改造工作；</w:t>
      </w:r>
    </w:p>
    <w:p w14:paraId="1AF81BF1">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② 运维期间，应协助市局做好各服务单位业务需求或系统缺陷的收集、整理、需求确认、分析及设计、开发。其中：开发工作量在2人周内的应予以免费支持；</w:t>
      </w:r>
    </w:p>
    <w:p w14:paraId="41A9655E">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③ 因数据量的增加、系统环境的升级、特殊业务和业务高峰期等原因引起的必要的性能优化；</w:t>
      </w:r>
    </w:p>
    <w:p w14:paraId="6D13AD57">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④ 自定义报表的需求采集及报表编制工作；</w:t>
      </w:r>
    </w:p>
    <w:p w14:paraId="6A3EC64D">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⑤ 保障省厅核算数据归集一致性的相关后台升级与开发；</w:t>
      </w:r>
    </w:p>
    <w:p w14:paraId="24128691">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⑥ 运维小组需按月报送运维报告；</w:t>
      </w:r>
    </w:p>
    <w:p w14:paraId="1515C80B">
      <w:pPr>
        <w:autoSpaceDE/>
        <w:autoSpaceDN/>
        <w:adjustRightInd/>
        <w:spacing w:line="500" w:lineRule="exact"/>
        <w:ind w:left="296" w:hanging="296" w:hangingChars="141"/>
        <w:textAlignment w:val="auto"/>
        <w:rPr>
          <w:rFonts w:hAnsi="宋体" w:cs="宋体"/>
          <w:color w:val="auto"/>
          <w:sz w:val="21"/>
          <w:szCs w:val="21"/>
          <w:highlight w:val="none"/>
        </w:rPr>
      </w:pPr>
      <w:r>
        <w:rPr>
          <w:rFonts w:hint="eastAsia" w:hAnsi="宋体" w:cs="宋体"/>
          <w:color w:val="auto"/>
          <w:sz w:val="21"/>
          <w:szCs w:val="21"/>
          <w:highlight w:val="none"/>
        </w:rPr>
        <w:t>⑦ 其他有利于预算管理一体化推广应用、业务开展的相关运维工作。</w:t>
      </w:r>
    </w:p>
    <w:p w14:paraId="39291CCA">
      <w:pPr>
        <w:pStyle w:val="7"/>
        <w:numPr>
          <w:ilvl w:val="0"/>
          <w:numId w:val="4"/>
        </w:numPr>
        <w:spacing w:before="0" w:after="0" w:line="500" w:lineRule="exact"/>
        <w:rPr>
          <w:rFonts w:ascii="宋体" w:hAnsi="宋体" w:eastAsia="宋体" w:cs="宋体"/>
          <w:color w:val="auto"/>
          <w:sz w:val="21"/>
          <w:szCs w:val="21"/>
          <w:highlight w:val="none"/>
        </w:rPr>
      </w:pPr>
      <w:bookmarkStart w:id="72" w:name="_Toc16130"/>
      <w:r>
        <w:rPr>
          <w:rFonts w:hint="eastAsia" w:ascii="宋体" w:hAnsi="宋体" w:eastAsia="宋体" w:cs="宋体"/>
          <w:color w:val="auto"/>
          <w:sz w:val="21"/>
          <w:szCs w:val="21"/>
          <w:highlight w:val="none"/>
        </w:rPr>
        <w:t>浙江省厅金财工程（市县版）系统（暨预算管理一体化应急系统）运维</w:t>
      </w:r>
      <w:bookmarkEnd w:id="72"/>
    </w:p>
    <w:p w14:paraId="2DB8059C">
      <w:pPr>
        <w:numPr>
          <w:ilvl w:val="255"/>
          <w:numId w:val="0"/>
        </w:numPr>
        <w:autoSpaceDE/>
        <w:autoSpaceDN/>
        <w:adjustRightInd/>
        <w:spacing w:line="500" w:lineRule="exact"/>
        <w:textAlignment w:val="auto"/>
        <w:rPr>
          <w:rFonts w:hAnsi="宋体" w:cs="宋体"/>
          <w:color w:val="auto"/>
          <w:sz w:val="21"/>
          <w:szCs w:val="21"/>
          <w:highlight w:val="none"/>
        </w:rPr>
      </w:pPr>
      <w:r>
        <w:rPr>
          <w:rFonts w:hint="eastAsia" w:hAnsi="宋体" w:cs="宋体"/>
          <w:b/>
          <w:bCs/>
          <w:color w:val="auto"/>
          <w:sz w:val="21"/>
          <w:szCs w:val="21"/>
          <w:highlight w:val="none"/>
        </w:rPr>
        <w:t>1.运维内容</w:t>
      </w:r>
    </w:p>
    <w:p w14:paraId="49588F67">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浙江省厅金财工程（市县版）系统运维工作是为响应浙江省财政厅预算管理一体化系统应急预案而设立，工作内容主要是保障特殊情况下（主要指网络异常、预算管理一体化系统瘫痪等）正常开展财政资金的支付工作，并能在故障恢复后对已发生业务在预算管理一体化系统中进行数据恢复。包含但不限于以下模块的系统升级、数据同步、应急切换以及数据恢复工作：</w:t>
      </w:r>
    </w:p>
    <w:p w14:paraId="57260EEA">
      <w:pPr>
        <w:numPr>
          <w:ilvl w:val="0"/>
          <w:numId w:val="5"/>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基础资料</w:t>
      </w:r>
    </w:p>
    <w:p w14:paraId="41B72E4D">
      <w:pPr>
        <w:numPr>
          <w:ilvl w:val="0"/>
          <w:numId w:val="5"/>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指标管理</w:t>
      </w:r>
    </w:p>
    <w:p w14:paraId="4E416388">
      <w:pPr>
        <w:numPr>
          <w:ilvl w:val="0"/>
          <w:numId w:val="5"/>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支付管理</w:t>
      </w:r>
    </w:p>
    <w:p w14:paraId="524A9A37">
      <w:pPr>
        <w:numPr>
          <w:ilvl w:val="0"/>
          <w:numId w:val="5"/>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资金申拨</w:t>
      </w:r>
    </w:p>
    <w:p w14:paraId="260E65AB">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根据浙江省财政厅预算管理一体化业务应急预案，浙江省厅一体化系统（市县版）运维工作含以下几点要求：</w:t>
      </w:r>
    </w:p>
    <w:p w14:paraId="37FB18B6">
      <w:pPr>
        <w:numPr>
          <w:ilvl w:val="0"/>
          <w:numId w:val="6"/>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保障浙江省厅金财工程（市县版）系统版本与浙江省厅一致，并正常运行；</w:t>
      </w:r>
    </w:p>
    <w:p w14:paraId="7650712F">
      <w:pPr>
        <w:numPr>
          <w:ilvl w:val="0"/>
          <w:numId w:val="6"/>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保障与浙江省厅一体化业务数据通道的正常运转和数据同步工作正常化；</w:t>
      </w:r>
    </w:p>
    <w:p w14:paraId="219E6978">
      <w:pPr>
        <w:numPr>
          <w:ilvl w:val="0"/>
          <w:numId w:val="6"/>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应急预案实施及业务切换。在紧急情况发生、预算管理一体化系统无法进行正常业务，并且收到浙江省财政厅应急预案启动指令时，及时做出应急响应，确保我局财政管理业务和市本级各单位财务活动正常开展；</w:t>
      </w:r>
    </w:p>
    <w:p w14:paraId="7B2312B5">
      <w:pPr>
        <w:numPr>
          <w:ilvl w:val="0"/>
          <w:numId w:val="6"/>
        </w:numPr>
        <w:tabs>
          <w:tab w:val="left" w:pos="340"/>
        </w:tabs>
        <w:spacing w:line="500" w:lineRule="exact"/>
        <w:ind w:left="0" w:firstLine="255"/>
        <w:rPr>
          <w:rFonts w:hAnsi="宋体" w:cs="宋体"/>
          <w:color w:val="auto"/>
          <w:sz w:val="21"/>
          <w:szCs w:val="21"/>
          <w:highlight w:val="none"/>
        </w:rPr>
      </w:pPr>
      <w:r>
        <w:rPr>
          <w:rFonts w:hint="eastAsia" w:hAnsi="宋体" w:cs="宋体"/>
          <w:color w:val="auto"/>
          <w:sz w:val="21"/>
          <w:szCs w:val="21"/>
          <w:highlight w:val="none"/>
        </w:rPr>
        <w:t>保障《预算管理一体化》系统恢复后，在应急系统中生产的业务数据能及时恢复到《预算管理一体化》系统中。</w:t>
      </w:r>
    </w:p>
    <w:p w14:paraId="7A50BDF0">
      <w:pPr>
        <w:numPr>
          <w:ilvl w:val="255"/>
          <w:numId w:val="0"/>
        </w:numPr>
        <w:autoSpaceDE/>
        <w:autoSpaceDN/>
        <w:adjustRightInd/>
        <w:spacing w:line="500" w:lineRule="exact"/>
        <w:textAlignment w:val="auto"/>
        <w:rPr>
          <w:rFonts w:hAnsi="宋体" w:cs="宋体"/>
          <w:b/>
          <w:color w:val="auto"/>
          <w:sz w:val="21"/>
          <w:szCs w:val="21"/>
          <w:highlight w:val="none"/>
        </w:rPr>
      </w:pPr>
      <w:r>
        <w:rPr>
          <w:rFonts w:hint="eastAsia" w:hAnsi="宋体" w:cs="宋体"/>
          <w:b/>
          <w:color w:val="auto"/>
          <w:sz w:val="21"/>
          <w:szCs w:val="21"/>
          <w:highlight w:val="none"/>
        </w:rPr>
        <w:t>2.运维方式</w:t>
      </w:r>
    </w:p>
    <w:p w14:paraId="2403FDB7">
      <w:pPr>
        <w:autoSpaceDE/>
        <w:autoSpaceDN/>
        <w:adjustRightInd/>
        <w:spacing w:line="500" w:lineRule="exact"/>
        <w:ind w:firstLine="420" w:firstLineChars="200"/>
        <w:textAlignment w:val="auto"/>
        <w:rPr>
          <w:rFonts w:hAnsi="宋体" w:cs="宋体"/>
          <w:color w:val="auto"/>
          <w:kern w:val="2"/>
          <w:sz w:val="21"/>
          <w:szCs w:val="21"/>
          <w:highlight w:val="none"/>
        </w:rPr>
      </w:pPr>
      <w:r>
        <w:rPr>
          <w:rFonts w:hint="eastAsia" w:hAnsi="宋体" w:cs="宋体"/>
          <w:color w:val="auto"/>
          <w:kern w:val="2"/>
          <w:sz w:val="21"/>
          <w:szCs w:val="21"/>
          <w:highlight w:val="none"/>
        </w:rPr>
        <w:t>运维方式包括：保障性维护和适应性维护。</w:t>
      </w:r>
    </w:p>
    <w:p w14:paraId="35E97685">
      <w:pPr>
        <w:numPr>
          <w:ilvl w:val="0"/>
          <w:numId w:val="7"/>
        </w:numPr>
        <w:tabs>
          <w:tab w:val="left" w:pos="340"/>
        </w:tabs>
        <w:spacing w:line="500" w:lineRule="exact"/>
        <w:ind w:left="0" w:firstLine="255"/>
        <w:rPr>
          <w:rFonts w:hAnsi="宋体" w:cs="宋体"/>
          <w:color w:val="auto"/>
          <w:kern w:val="2"/>
          <w:sz w:val="21"/>
          <w:szCs w:val="21"/>
          <w:highlight w:val="none"/>
        </w:rPr>
      </w:pPr>
      <w:r>
        <w:rPr>
          <w:rFonts w:hint="eastAsia" w:hAnsi="宋体" w:cs="宋体"/>
          <w:color w:val="auto"/>
          <w:sz w:val="21"/>
          <w:szCs w:val="21"/>
          <w:highlight w:val="none"/>
        </w:rPr>
        <w:t>保障性</w:t>
      </w:r>
      <w:r>
        <w:rPr>
          <w:rFonts w:hint="eastAsia" w:hAnsi="宋体" w:cs="宋体"/>
          <w:color w:val="auto"/>
          <w:kern w:val="2"/>
          <w:sz w:val="21"/>
          <w:szCs w:val="21"/>
          <w:highlight w:val="none"/>
        </w:rPr>
        <w:t>维护：</w:t>
      </w:r>
    </w:p>
    <w:p w14:paraId="31A84CAC">
      <w:pPr>
        <w:numPr>
          <w:ilvl w:val="0"/>
          <w:numId w:val="8"/>
        </w:numPr>
        <w:tabs>
          <w:tab w:val="left" w:pos="340"/>
        </w:tabs>
        <w:spacing w:line="500" w:lineRule="exact"/>
        <w:ind w:firstLine="0"/>
        <w:rPr>
          <w:rFonts w:hAnsi="宋体" w:cs="宋体"/>
          <w:color w:val="auto"/>
          <w:kern w:val="2"/>
          <w:sz w:val="21"/>
          <w:szCs w:val="21"/>
          <w:highlight w:val="none"/>
        </w:rPr>
      </w:pPr>
      <w:r>
        <w:rPr>
          <w:rFonts w:hint="eastAsia" w:hAnsi="宋体" w:cs="宋体"/>
          <w:color w:val="auto"/>
          <w:kern w:val="2"/>
          <w:sz w:val="21"/>
          <w:szCs w:val="21"/>
          <w:highlight w:val="none"/>
        </w:rPr>
        <w:t>运维期间，应保障应急系统7x24小时运行，每周对服务器设备硬件、操作系统及软件运行环境进行检查，及时发现问题并解决；</w:t>
      </w:r>
    </w:p>
    <w:p w14:paraId="6C0D0217">
      <w:pPr>
        <w:numPr>
          <w:ilvl w:val="0"/>
          <w:numId w:val="8"/>
        </w:numPr>
        <w:tabs>
          <w:tab w:val="left" w:pos="340"/>
        </w:tabs>
        <w:spacing w:line="500" w:lineRule="exact"/>
        <w:ind w:firstLine="0"/>
        <w:rPr>
          <w:rFonts w:hAnsi="宋体" w:cs="宋体"/>
          <w:color w:val="auto"/>
          <w:kern w:val="2"/>
          <w:sz w:val="21"/>
          <w:szCs w:val="21"/>
          <w:highlight w:val="none"/>
        </w:rPr>
      </w:pPr>
      <w:r>
        <w:rPr>
          <w:rFonts w:hint="eastAsia" w:hAnsi="宋体" w:cs="宋体"/>
          <w:color w:val="auto"/>
          <w:kern w:val="2"/>
          <w:sz w:val="21"/>
          <w:szCs w:val="21"/>
          <w:highlight w:val="none"/>
        </w:rPr>
        <w:t>定时检查业务系统性能，及时调整和优化数据处理过程，要求重要业务响应时间为秒级，提高系统用户的使用体验；</w:t>
      </w:r>
    </w:p>
    <w:p w14:paraId="00CF0115">
      <w:pPr>
        <w:numPr>
          <w:ilvl w:val="0"/>
          <w:numId w:val="8"/>
        </w:numPr>
        <w:tabs>
          <w:tab w:val="left" w:pos="340"/>
        </w:tabs>
        <w:spacing w:line="500" w:lineRule="exact"/>
        <w:ind w:firstLine="0"/>
        <w:rPr>
          <w:rFonts w:hAnsi="宋体" w:cs="宋体"/>
          <w:color w:val="auto"/>
          <w:kern w:val="2"/>
          <w:sz w:val="21"/>
          <w:szCs w:val="21"/>
          <w:highlight w:val="none"/>
        </w:rPr>
      </w:pPr>
      <w:r>
        <w:rPr>
          <w:rFonts w:hint="eastAsia" w:hAnsi="宋体" w:cs="宋体"/>
          <w:color w:val="auto"/>
          <w:kern w:val="2"/>
          <w:sz w:val="21"/>
          <w:szCs w:val="21"/>
          <w:highlight w:val="none"/>
        </w:rPr>
        <w:t>及时修正软件运行错误；</w:t>
      </w:r>
    </w:p>
    <w:p w14:paraId="0C646FE6">
      <w:pPr>
        <w:numPr>
          <w:ilvl w:val="0"/>
          <w:numId w:val="7"/>
        </w:numPr>
        <w:tabs>
          <w:tab w:val="left" w:pos="340"/>
        </w:tabs>
        <w:spacing w:line="500" w:lineRule="exact"/>
        <w:ind w:left="0" w:firstLine="255"/>
        <w:rPr>
          <w:rFonts w:hAnsi="宋体" w:cs="宋体"/>
          <w:color w:val="auto"/>
          <w:kern w:val="2"/>
          <w:sz w:val="21"/>
          <w:szCs w:val="21"/>
          <w:highlight w:val="none"/>
        </w:rPr>
      </w:pPr>
      <w:r>
        <w:rPr>
          <w:rFonts w:hint="eastAsia" w:hAnsi="宋体" w:cs="宋体"/>
          <w:color w:val="auto"/>
          <w:sz w:val="21"/>
          <w:szCs w:val="21"/>
          <w:highlight w:val="none"/>
        </w:rPr>
        <w:t>适应性</w:t>
      </w:r>
      <w:r>
        <w:rPr>
          <w:rFonts w:hint="eastAsia" w:hAnsi="宋体" w:cs="宋体"/>
          <w:color w:val="auto"/>
          <w:kern w:val="2"/>
          <w:sz w:val="21"/>
          <w:szCs w:val="21"/>
          <w:highlight w:val="none"/>
        </w:rPr>
        <w:t>维护</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程序功能适应金华市财政的业务需要的变化，对软件功能及时进行适应性的开发调整，为金华市财政数据分析、报表归集提供数据支持。</w:t>
      </w:r>
    </w:p>
    <w:p w14:paraId="4CA8D112">
      <w:pPr>
        <w:numPr>
          <w:ilvl w:val="0"/>
          <w:numId w:val="7"/>
        </w:numPr>
        <w:tabs>
          <w:tab w:val="left" w:pos="340"/>
        </w:tabs>
        <w:spacing w:line="500" w:lineRule="exact"/>
        <w:ind w:left="0" w:firstLine="255"/>
        <w:rPr>
          <w:rFonts w:hAnsi="宋体" w:cs="宋体"/>
          <w:color w:val="auto"/>
          <w:kern w:val="2"/>
          <w:sz w:val="21"/>
          <w:szCs w:val="21"/>
          <w:highlight w:val="none"/>
        </w:rPr>
      </w:pPr>
      <w:r>
        <w:rPr>
          <w:rFonts w:hint="eastAsia" w:hAnsi="宋体" w:cs="宋体"/>
          <w:color w:val="auto"/>
          <w:kern w:val="2"/>
          <w:sz w:val="21"/>
          <w:szCs w:val="21"/>
          <w:highlight w:val="none"/>
        </w:rPr>
        <w:t>用户培训</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 xml:space="preserve">按采购人要求，对预算单位进行线上软件功能培训，系统适应性的功能迭代更新形成操作文档，通过QQ、微信、钉订、视频培训等多种方式，能让预算单位操作人员熟练的使用应急系统软件。 </w:t>
      </w:r>
    </w:p>
    <w:p w14:paraId="6F17E767">
      <w:pPr>
        <w:numPr>
          <w:ilvl w:val="0"/>
          <w:numId w:val="7"/>
        </w:numPr>
        <w:tabs>
          <w:tab w:val="left" w:pos="340"/>
        </w:tabs>
        <w:spacing w:line="500" w:lineRule="exact"/>
        <w:ind w:left="0" w:firstLine="255"/>
        <w:rPr>
          <w:rFonts w:hAnsi="宋体" w:cs="宋体"/>
          <w:color w:val="auto"/>
          <w:sz w:val="21"/>
          <w:szCs w:val="21"/>
          <w:highlight w:val="none"/>
        </w:rPr>
      </w:pPr>
      <w:r>
        <w:rPr>
          <w:rFonts w:hint="eastAsia" w:hAnsi="宋体" w:cs="宋体"/>
          <w:color w:val="auto"/>
          <w:kern w:val="2"/>
          <w:sz w:val="21"/>
          <w:szCs w:val="21"/>
          <w:highlight w:val="none"/>
        </w:rPr>
        <w:t>运维方式</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提供驻场服务、现场服务、远程服务、电话服务等多种形式。</w:t>
      </w:r>
      <w:r>
        <w:rPr>
          <w:rFonts w:hint="eastAsia" w:hAnsi="宋体" w:cs="宋体"/>
          <w:color w:val="auto"/>
          <w:sz w:val="21"/>
          <w:szCs w:val="21"/>
          <w:highlight w:val="none"/>
        </w:rPr>
        <w:t>运维小组需按月报送运维报告；</w:t>
      </w:r>
    </w:p>
    <w:p w14:paraId="676534B0">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73" w:name="_Toc9745"/>
      <w:r>
        <w:rPr>
          <w:rFonts w:hint="eastAsia" w:ascii="宋体" w:hAnsi="宋体" w:eastAsia="宋体" w:cs="宋体"/>
          <w:color w:val="auto"/>
          <w:sz w:val="21"/>
          <w:szCs w:val="21"/>
          <w:highlight w:val="none"/>
        </w:rPr>
        <w:t>人员要求</w:t>
      </w:r>
      <w:bookmarkEnd w:id="71"/>
      <w:bookmarkEnd w:id="73"/>
    </w:p>
    <w:p w14:paraId="64DFF27F">
      <w:pPr>
        <w:spacing w:line="500" w:lineRule="exact"/>
        <w:ind w:firstLine="420"/>
        <w:rPr>
          <w:rFonts w:hAnsi="宋体" w:cs="宋体"/>
          <w:color w:val="auto"/>
          <w:sz w:val="21"/>
          <w:szCs w:val="21"/>
          <w:highlight w:val="none"/>
        </w:rPr>
      </w:pPr>
      <w:r>
        <w:rPr>
          <w:rFonts w:hint="eastAsia" w:hAnsi="宋体" w:cs="宋体"/>
          <w:color w:val="auto"/>
          <w:sz w:val="21"/>
          <w:szCs w:val="21"/>
          <w:highlight w:val="none"/>
        </w:rPr>
        <w:t>为保障项目服务质量，要求成交人提供一支专业服务团队提供项目保障服务，包含项目经理、服务工程师、开发工程师若干名。</w:t>
      </w:r>
    </w:p>
    <w:p w14:paraId="19349E17">
      <w:pPr>
        <w:numPr>
          <w:ilvl w:val="255"/>
          <w:numId w:val="0"/>
        </w:numPr>
        <w:spacing w:line="500" w:lineRule="exact"/>
        <w:rPr>
          <w:rFonts w:hAnsi="宋体" w:cs="宋体"/>
          <w:color w:val="auto"/>
          <w:sz w:val="21"/>
          <w:szCs w:val="21"/>
          <w:highlight w:val="none"/>
        </w:rPr>
      </w:pPr>
      <w:r>
        <w:rPr>
          <w:rFonts w:hint="eastAsia" w:hAnsi="宋体" w:cs="宋体"/>
          <w:color w:val="auto"/>
          <w:sz w:val="21"/>
          <w:szCs w:val="21"/>
          <w:highlight w:val="none"/>
        </w:rPr>
        <w:t>1.项目经理</w:t>
      </w:r>
    </w:p>
    <w:p w14:paraId="19EF60BD">
      <w:pPr>
        <w:spacing w:line="500" w:lineRule="exact"/>
        <w:ind w:firstLine="480"/>
        <w:rPr>
          <w:rFonts w:hAnsi="宋体" w:cs="宋体"/>
          <w:color w:val="auto"/>
          <w:sz w:val="21"/>
          <w:szCs w:val="21"/>
          <w:highlight w:val="none"/>
        </w:rPr>
      </w:pPr>
      <w:r>
        <w:rPr>
          <w:rFonts w:hint="eastAsia" w:hAnsi="宋体" w:cs="宋体"/>
          <w:color w:val="auto"/>
          <w:sz w:val="21"/>
          <w:szCs w:val="21"/>
          <w:highlight w:val="none"/>
        </w:rPr>
        <w:t>现场项目经理1名，需全程跟踪管理该项目。应具备财政业务运维服务项目管理经验，熟知预算管理一体化系统、核算系统及相关业务知识、政策法规。具备良好的沟通能力、项目管理能力，能协调工程师、用户相关资源把握项目进度，按质按量完成项目工作。</w:t>
      </w:r>
    </w:p>
    <w:p w14:paraId="7F535BBA">
      <w:pPr>
        <w:numPr>
          <w:ilvl w:val="255"/>
          <w:numId w:val="0"/>
        </w:numPr>
        <w:spacing w:line="500" w:lineRule="exact"/>
        <w:rPr>
          <w:rFonts w:hAnsi="宋体" w:cs="宋体"/>
          <w:color w:val="auto"/>
          <w:sz w:val="21"/>
          <w:szCs w:val="21"/>
          <w:highlight w:val="none"/>
        </w:rPr>
      </w:pPr>
      <w:r>
        <w:rPr>
          <w:rFonts w:hint="eastAsia" w:hAnsi="宋体" w:cs="宋体"/>
          <w:color w:val="auto"/>
          <w:sz w:val="21"/>
          <w:szCs w:val="21"/>
          <w:highlight w:val="none"/>
        </w:rPr>
        <w:t>2.现场服务工程师</w:t>
      </w:r>
    </w:p>
    <w:p w14:paraId="06642D53">
      <w:pPr>
        <w:spacing w:line="500" w:lineRule="exact"/>
        <w:ind w:firstLine="420"/>
        <w:rPr>
          <w:rFonts w:hAnsi="宋体" w:cs="宋体"/>
          <w:color w:val="auto"/>
          <w:sz w:val="21"/>
          <w:szCs w:val="21"/>
          <w:highlight w:val="none"/>
        </w:rPr>
      </w:pPr>
      <w:r>
        <w:rPr>
          <w:rFonts w:hint="eastAsia" w:hAnsi="宋体" w:cs="宋体"/>
          <w:color w:val="auto"/>
          <w:sz w:val="21"/>
          <w:szCs w:val="21"/>
          <w:highlight w:val="none"/>
        </w:rPr>
        <w:t>▲ 以保障预算管理一体化工作顺利开展为目标的现场服务工程师人数不少于3名，应具备熟悉财政业务基础知识，熟练掌握相关业务流程；具有省厅《预算管理一体化》系统相关软件实施、维护经验；良好的沟通能力和执行力；有专业的服务意识和责任心，并能对用户业务管理和数据严格保密。以保障省厅金财工程（市县版）系统正常运行为目标的现场服务工程师不少于1名，应具备熟悉财政业务基础知识，熟练掌握相关业务流程；具有省版金财工程一体化系统相关软件实施、维护经验；良好的沟通能力和执行力；有专业的服务意识和责任心，并能对用户业务管理和数据严格保密。</w:t>
      </w:r>
    </w:p>
    <w:p w14:paraId="68D161EB">
      <w:pPr>
        <w:numPr>
          <w:ilvl w:val="255"/>
          <w:numId w:val="0"/>
        </w:numPr>
        <w:spacing w:line="500" w:lineRule="exact"/>
        <w:rPr>
          <w:rFonts w:hAnsi="宋体" w:cs="宋体"/>
          <w:color w:val="auto"/>
          <w:sz w:val="21"/>
          <w:szCs w:val="21"/>
          <w:highlight w:val="none"/>
        </w:rPr>
      </w:pPr>
      <w:r>
        <w:rPr>
          <w:rFonts w:hint="eastAsia" w:hAnsi="宋体" w:cs="宋体"/>
          <w:color w:val="auto"/>
          <w:sz w:val="21"/>
          <w:szCs w:val="21"/>
          <w:highlight w:val="none"/>
        </w:rPr>
        <w:t>3.开发工程师</w:t>
      </w:r>
    </w:p>
    <w:p w14:paraId="275DB238">
      <w:pPr>
        <w:spacing w:line="500" w:lineRule="exact"/>
        <w:ind w:firstLine="420"/>
        <w:rPr>
          <w:rFonts w:hAnsi="宋体" w:cs="宋体"/>
          <w:color w:val="auto"/>
          <w:sz w:val="21"/>
          <w:szCs w:val="21"/>
          <w:highlight w:val="none"/>
        </w:rPr>
      </w:pPr>
      <w:r>
        <w:rPr>
          <w:rFonts w:hint="eastAsia" w:hAnsi="宋体" w:cs="宋体"/>
          <w:color w:val="auto"/>
          <w:sz w:val="21"/>
          <w:szCs w:val="21"/>
          <w:highlight w:val="none"/>
        </w:rPr>
        <w:t>若干名，采用弹性制度，应熟知核算云平台和“金财工程”业务框架，熟悉预算管理一体化系统数据归集软件版本，具备预算管理一体化、核算云系统开发、升级改造经验；有专业的服务意识和责任心，并能对用户业务管理和数据严格保密。</w:t>
      </w:r>
    </w:p>
    <w:p w14:paraId="7A2B3871">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74" w:name="_Toc91075822"/>
      <w:bookmarkStart w:id="75" w:name="_Toc21358"/>
      <w:r>
        <w:rPr>
          <w:rFonts w:hint="eastAsia" w:ascii="宋体" w:hAnsi="宋体" w:eastAsia="宋体" w:cs="宋体"/>
          <w:color w:val="auto"/>
          <w:sz w:val="21"/>
          <w:szCs w:val="21"/>
          <w:highlight w:val="none"/>
        </w:rPr>
        <w:t>保密要求</w:t>
      </w:r>
      <w:bookmarkEnd w:id="74"/>
      <w:bookmarkEnd w:id="75"/>
    </w:p>
    <w:p w14:paraId="61C0A513">
      <w:pPr>
        <w:spacing w:line="500" w:lineRule="exact"/>
        <w:ind w:firstLine="420"/>
        <w:rPr>
          <w:rFonts w:hAnsi="宋体" w:cs="宋体"/>
          <w:color w:val="auto"/>
          <w:sz w:val="21"/>
          <w:szCs w:val="21"/>
          <w:highlight w:val="none"/>
        </w:rPr>
      </w:pPr>
      <w:r>
        <w:rPr>
          <w:rFonts w:hint="eastAsia" w:hAnsi="宋体" w:cs="宋体"/>
          <w:color w:val="auto"/>
          <w:sz w:val="21"/>
          <w:szCs w:val="21"/>
          <w:highlight w:val="none"/>
        </w:rPr>
        <w:t>▲ 中标商获取成交资格后须与采购人签订保密协议，并承担在服务过程中接触的技术情报和数据资料的保密责任。与本项目有关的资料及数据中涉及国家秘密的内容，均要求按照《国家保密法》及相关法律法规执行。中标商在服务过程中所涉及的所有资料（包括：文字、图纸、电子数据）均须承担保密责任，除为项目服务本身使用外，不得作其它用途，任何未经采购单位同意的拷贝、修改、传播、公开发布等行为都将承担法律责任。</w:t>
      </w:r>
    </w:p>
    <w:bookmarkEnd w:id="70"/>
    <w:p w14:paraId="6BB907D5">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76" w:name="_Toc20071"/>
      <w:r>
        <w:rPr>
          <w:rFonts w:hint="eastAsia" w:ascii="宋体" w:hAnsi="宋体" w:eastAsia="宋体" w:cs="宋体"/>
          <w:color w:val="auto"/>
          <w:sz w:val="21"/>
          <w:szCs w:val="21"/>
          <w:highlight w:val="none"/>
        </w:rPr>
        <w:t>服务能力展示</w:t>
      </w:r>
      <w:bookmarkEnd w:id="76"/>
    </w:p>
    <w:p w14:paraId="02A5643E">
      <w:pPr>
        <w:spacing w:line="500" w:lineRule="exact"/>
        <w:ind w:firstLine="420"/>
        <w:rPr>
          <w:rFonts w:hAnsi="宋体" w:cs="宋体"/>
          <w:color w:val="auto"/>
          <w:sz w:val="21"/>
          <w:szCs w:val="21"/>
          <w:highlight w:val="none"/>
        </w:rPr>
      </w:pPr>
      <w:r>
        <w:rPr>
          <w:rFonts w:hint="eastAsia" w:hAnsi="宋体" w:cs="宋体"/>
          <w:color w:val="auto"/>
          <w:sz w:val="21"/>
          <w:szCs w:val="21"/>
          <w:highlight w:val="none"/>
        </w:rPr>
        <w:t>▲要求响应供应商提供业务软件实际操作视频（“演示U盘”）：演示财政预算管理业务相关软件（模块）的功能操作。操作的功能点应包括：</w:t>
      </w:r>
    </w:p>
    <w:tbl>
      <w:tblPr>
        <w:tblStyle w:val="47"/>
        <w:tblW w:w="4967" w:type="pct"/>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2102"/>
        <w:gridCol w:w="4285"/>
      </w:tblGrid>
      <w:tr w14:paraId="172D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28" w:type="pct"/>
            <w:vAlign w:val="center"/>
          </w:tcPr>
          <w:p w14:paraId="1210DA80">
            <w:pPr>
              <w:autoSpaceDE/>
              <w:autoSpaceDN/>
              <w:adjustRightInd/>
              <w:spacing w:line="500" w:lineRule="exact"/>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业务名称</w:t>
            </w:r>
          </w:p>
        </w:tc>
        <w:tc>
          <w:tcPr>
            <w:tcW w:w="1241" w:type="pct"/>
            <w:vAlign w:val="center"/>
          </w:tcPr>
          <w:p w14:paraId="3863D290">
            <w:pPr>
              <w:autoSpaceDE/>
              <w:autoSpaceDN/>
              <w:adjustRightInd/>
              <w:spacing w:line="500" w:lineRule="exact"/>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所属应用</w:t>
            </w:r>
          </w:p>
        </w:tc>
        <w:tc>
          <w:tcPr>
            <w:tcW w:w="2530" w:type="pct"/>
            <w:vAlign w:val="center"/>
          </w:tcPr>
          <w:p w14:paraId="033C590F">
            <w:pPr>
              <w:autoSpaceDE/>
              <w:autoSpaceDN/>
              <w:adjustRightInd/>
              <w:spacing w:line="500" w:lineRule="exact"/>
              <w:jc w:val="center"/>
              <w:textAlignment w:val="auto"/>
              <w:rPr>
                <w:rFonts w:hAnsi="宋体" w:cs="宋体"/>
                <w:b/>
                <w:bCs/>
                <w:color w:val="auto"/>
                <w:sz w:val="21"/>
                <w:szCs w:val="21"/>
                <w:highlight w:val="none"/>
              </w:rPr>
            </w:pPr>
            <w:r>
              <w:rPr>
                <w:rFonts w:hint="eastAsia" w:hAnsi="宋体" w:cs="宋体"/>
                <w:b/>
                <w:bCs/>
                <w:color w:val="auto"/>
                <w:sz w:val="21"/>
                <w:szCs w:val="21"/>
                <w:highlight w:val="none"/>
              </w:rPr>
              <w:t>要求</w:t>
            </w:r>
          </w:p>
        </w:tc>
      </w:tr>
      <w:tr w14:paraId="5E4E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003BDCB5">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单位基础信息维护</w:t>
            </w:r>
          </w:p>
        </w:tc>
        <w:tc>
          <w:tcPr>
            <w:tcW w:w="1241" w:type="pct"/>
            <w:vAlign w:val="center"/>
          </w:tcPr>
          <w:p w14:paraId="41F270CF">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预算管理一体化系统</w:t>
            </w:r>
          </w:p>
        </w:tc>
        <w:tc>
          <w:tcPr>
            <w:tcW w:w="2530" w:type="pct"/>
            <w:vAlign w:val="center"/>
          </w:tcPr>
          <w:p w14:paraId="16AC39DC">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能够进入预算管理一体化系统进行单位基本信息的维护，账户维护等。</w:t>
            </w:r>
          </w:p>
        </w:tc>
      </w:tr>
      <w:tr w14:paraId="1920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056698D9">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人员、岗位维护</w:t>
            </w:r>
          </w:p>
        </w:tc>
        <w:tc>
          <w:tcPr>
            <w:tcW w:w="1241" w:type="pct"/>
            <w:vAlign w:val="center"/>
          </w:tcPr>
          <w:p w14:paraId="2ECC9394">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基础资料</w:t>
            </w:r>
          </w:p>
        </w:tc>
        <w:tc>
          <w:tcPr>
            <w:tcW w:w="2530" w:type="pct"/>
            <w:vAlign w:val="center"/>
          </w:tcPr>
          <w:p w14:paraId="72DE7B3B">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能够进入省版一体化系统进行单位人员、岗位的维护与调整。</w:t>
            </w:r>
          </w:p>
        </w:tc>
      </w:tr>
      <w:tr w14:paraId="3376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13DE7D4F">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授权支付</w:t>
            </w:r>
          </w:p>
        </w:tc>
        <w:tc>
          <w:tcPr>
            <w:tcW w:w="1241" w:type="pct"/>
            <w:vAlign w:val="center"/>
          </w:tcPr>
          <w:p w14:paraId="17D56765">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预算管理一体化系统</w:t>
            </w:r>
          </w:p>
        </w:tc>
        <w:tc>
          <w:tcPr>
            <w:tcW w:w="2530" w:type="pct"/>
            <w:vAlign w:val="center"/>
          </w:tcPr>
          <w:p w14:paraId="3660E665">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能够进入预算管理一体化系统为单位编制授权支付报销凭证，并审核通过。</w:t>
            </w:r>
          </w:p>
        </w:tc>
      </w:tr>
      <w:tr w14:paraId="1481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783C932F">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直接支付</w:t>
            </w:r>
          </w:p>
        </w:tc>
        <w:tc>
          <w:tcPr>
            <w:tcW w:w="1241" w:type="pct"/>
            <w:vAlign w:val="center"/>
          </w:tcPr>
          <w:p w14:paraId="1FF2707A">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预算管理一体化系统</w:t>
            </w:r>
          </w:p>
        </w:tc>
        <w:tc>
          <w:tcPr>
            <w:tcW w:w="2530" w:type="pct"/>
            <w:vAlign w:val="center"/>
          </w:tcPr>
          <w:p w14:paraId="7D1C666F">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能够进入预算管理一体化系统为单位编制直接支付报销凭证，并审核通过。</w:t>
            </w:r>
          </w:p>
        </w:tc>
      </w:tr>
      <w:tr w14:paraId="0EC9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1351A721">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数据同步</w:t>
            </w:r>
          </w:p>
        </w:tc>
        <w:tc>
          <w:tcPr>
            <w:tcW w:w="1241" w:type="pct"/>
            <w:vAlign w:val="center"/>
          </w:tcPr>
          <w:p w14:paraId="68FADE4A">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数据上下行系统</w:t>
            </w:r>
          </w:p>
        </w:tc>
        <w:tc>
          <w:tcPr>
            <w:tcW w:w="2530" w:type="pct"/>
            <w:vAlign w:val="center"/>
          </w:tcPr>
          <w:p w14:paraId="77961BD8">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能够同步省版一体化系统和预算管理一体化系统数据。</w:t>
            </w:r>
          </w:p>
        </w:tc>
      </w:tr>
      <w:tr w14:paraId="7F6A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498C2D34">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本地支付数据核算凭证同步</w:t>
            </w:r>
          </w:p>
        </w:tc>
        <w:tc>
          <w:tcPr>
            <w:tcW w:w="1241" w:type="pct"/>
            <w:vAlign w:val="center"/>
          </w:tcPr>
          <w:p w14:paraId="72173B61">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核算云</w:t>
            </w:r>
          </w:p>
        </w:tc>
        <w:tc>
          <w:tcPr>
            <w:tcW w:w="2530" w:type="pct"/>
            <w:vAlign w:val="center"/>
          </w:tcPr>
          <w:p w14:paraId="52A6305C">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能够导入报销凭证到核算系统并制作财务凭证。</w:t>
            </w:r>
          </w:p>
        </w:tc>
      </w:tr>
      <w:tr w14:paraId="6DD9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49AAE440">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核算数据查询</w:t>
            </w:r>
          </w:p>
        </w:tc>
        <w:tc>
          <w:tcPr>
            <w:tcW w:w="1241" w:type="pct"/>
            <w:vAlign w:val="center"/>
          </w:tcPr>
          <w:p w14:paraId="401086CE">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核算云</w:t>
            </w:r>
          </w:p>
        </w:tc>
        <w:tc>
          <w:tcPr>
            <w:tcW w:w="2530" w:type="pct"/>
            <w:vAlign w:val="center"/>
          </w:tcPr>
          <w:p w14:paraId="12C11D92">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能够进行凭证查询及财务报表功能。</w:t>
            </w:r>
          </w:p>
        </w:tc>
      </w:tr>
      <w:tr w14:paraId="696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vAlign w:val="center"/>
          </w:tcPr>
          <w:p w14:paraId="049899F9">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电子会计档案查询</w:t>
            </w:r>
          </w:p>
        </w:tc>
        <w:tc>
          <w:tcPr>
            <w:tcW w:w="1241" w:type="pct"/>
            <w:vAlign w:val="center"/>
          </w:tcPr>
          <w:p w14:paraId="7A53B84C">
            <w:pPr>
              <w:autoSpaceDE/>
              <w:autoSpaceDN/>
              <w:adjustRightInd/>
              <w:spacing w:line="50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核算云</w:t>
            </w:r>
          </w:p>
        </w:tc>
        <w:tc>
          <w:tcPr>
            <w:tcW w:w="2530" w:type="pct"/>
            <w:vAlign w:val="center"/>
          </w:tcPr>
          <w:p w14:paraId="4DB25350">
            <w:pPr>
              <w:autoSpaceDE/>
              <w:autoSpaceDN/>
              <w:adjustRightInd/>
              <w:spacing w:line="500" w:lineRule="exact"/>
              <w:textAlignment w:val="auto"/>
              <w:rPr>
                <w:rFonts w:hAnsi="宋体" w:cs="宋体"/>
                <w:color w:val="auto"/>
                <w:sz w:val="21"/>
                <w:szCs w:val="21"/>
                <w:highlight w:val="none"/>
              </w:rPr>
            </w:pPr>
            <w:r>
              <w:rPr>
                <w:rFonts w:hint="eastAsia" w:hAnsi="宋体" w:cs="宋体"/>
                <w:color w:val="auto"/>
                <w:sz w:val="21"/>
                <w:szCs w:val="21"/>
                <w:highlight w:val="none"/>
              </w:rPr>
              <w:t>能够进行电子档案的凭证生成及查询功能。</w:t>
            </w:r>
          </w:p>
        </w:tc>
      </w:tr>
    </w:tbl>
    <w:p w14:paraId="5E0A3B55">
      <w:pPr>
        <w:pStyle w:val="7"/>
        <w:numPr>
          <w:ilvl w:val="0"/>
          <w:numId w:val="3"/>
        </w:numPr>
        <w:spacing w:before="0" w:after="0" w:line="500" w:lineRule="exact"/>
        <w:ind w:left="0" w:firstLine="0"/>
        <w:rPr>
          <w:rFonts w:ascii="宋体" w:hAnsi="宋体" w:eastAsia="宋体" w:cs="宋体"/>
          <w:color w:val="auto"/>
          <w:sz w:val="21"/>
          <w:szCs w:val="21"/>
          <w:highlight w:val="none"/>
        </w:rPr>
      </w:pPr>
      <w:bookmarkStart w:id="77" w:name="_Toc5182"/>
      <w:r>
        <w:rPr>
          <w:rFonts w:hint="eastAsia" w:ascii="宋体" w:hAnsi="宋体" w:eastAsia="宋体" w:cs="宋体"/>
          <w:color w:val="auto"/>
          <w:sz w:val="21"/>
          <w:szCs w:val="21"/>
          <w:highlight w:val="none"/>
        </w:rPr>
        <w:t>付款方式及其他</w:t>
      </w:r>
      <w:bookmarkEnd w:id="77"/>
    </w:p>
    <w:p w14:paraId="5D9408F0">
      <w:pPr>
        <w:pStyle w:val="7"/>
        <w:numPr>
          <w:ilvl w:val="255"/>
          <w:numId w:val="0"/>
        </w:numPr>
        <w:spacing w:before="0" w:after="0"/>
        <w:ind w:firstLine="420" w:firstLineChars="200"/>
        <w:rPr>
          <w:rFonts w:ascii="宋体" w:hAnsi="宋体" w:eastAsia="宋体" w:cs="宋体"/>
          <w:b w:val="0"/>
          <w:bCs w:val="0"/>
          <w:color w:val="auto"/>
          <w:sz w:val="21"/>
          <w:szCs w:val="21"/>
          <w:highlight w:val="none"/>
        </w:rPr>
      </w:pPr>
      <w:bookmarkStart w:id="78" w:name="_Toc7844"/>
      <w:r>
        <w:rPr>
          <w:rFonts w:hint="eastAsia" w:ascii="宋体" w:hAnsi="宋体" w:eastAsia="宋体" w:cs="宋体"/>
          <w:b w:val="0"/>
          <w:bCs w:val="0"/>
          <w:color w:val="auto"/>
          <w:sz w:val="21"/>
          <w:szCs w:val="21"/>
          <w:highlight w:val="none"/>
        </w:rPr>
        <w:t>1.该项目采用分期付款：合同签订且具备实施条件后7个工作日内支付合同总价的50%；维护期满支付合同总价的50%。</w:t>
      </w:r>
      <w:bookmarkEnd w:id="78"/>
    </w:p>
    <w:p w14:paraId="6C564EE5">
      <w:pPr>
        <w:widowControl/>
        <w:autoSpaceDE/>
        <w:autoSpaceDN/>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2.办理结算时，成交人须按采购人要求提供正式的税务发票，并凭税务发票付款等相关资料。</w:t>
      </w:r>
    </w:p>
    <w:p w14:paraId="033377E0">
      <w:pPr>
        <w:wordWrap w:val="0"/>
        <w:snapToGrid w:val="0"/>
        <w:spacing w:line="500" w:lineRule="exact"/>
        <w:ind w:firstLine="422" w:firstLineChars="200"/>
        <w:rPr>
          <w:rFonts w:hAnsi="宋体" w:cs="宋体"/>
          <w:color w:val="auto"/>
          <w:sz w:val="21"/>
          <w:szCs w:val="21"/>
          <w:highlight w:val="none"/>
          <w:lang w:val="zh-CN"/>
        </w:rPr>
      </w:pPr>
      <w:r>
        <w:rPr>
          <w:rFonts w:hint="eastAsia" w:hAnsi="宋体" w:cs="宋体"/>
          <w:b/>
          <w:bCs/>
          <w:color w:val="auto"/>
          <w:sz w:val="21"/>
          <w:szCs w:val="21"/>
          <w:highlight w:val="none"/>
        </w:rPr>
        <w:t>备注：</w:t>
      </w:r>
      <w:r>
        <w:rPr>
          <w:rFonts w:ascii="Calibri" w:hAnsi="Calibri" w:cs="Calibri"/>
          <w:color w:val="auto"/>
          <w:sz w:val="21"/>
          <w:szCs w:val="21"/>
          <w:highlight w:val="none"/>
        </w:rPr>
        <w:t>①</w:t>
      </w:r>
      <w:r>
        <w:rPr>
          <w:rFonts w:hint="eastAsia" w:hAnsi="宋体" w:cs="宋体"/>
          <w:color w:val="auto"/>
          <w:sz w:val="21"/>
          <w:szCs w:val="21"/>
          <w:highlight w:val="none"/>
        </w:rPr>
        <w:t>如在签订合同时，成交人明确表示无需预付款或者主动要求降低预付款比例的，可降低预付款比例。</w:t>
      </w:r>
      <w:r>
        <w:rPr>
          <w:rFonts w:ascii="Calibri" w:hAnsi="Calibri" w:cs="Calibri"/>
          <w:color w:val="auto"/>
          <w:sz w:val="21"/>
          <w:szCs w:val="21"/>
          <w:highlight w:val="none"/>
        </w:rPr>
        <w:t>②</w:t>
      </w:r>
      <w:r>
        <w:rPr>
          <w:rFonts w:hint="eastAsia" w:hAnsi="宋体" w:cs="宋体"/>
          <w:color w:val="auto"/>
          <w:sz w:val="21"/>
          <w:szCs w:val="21"/>
          <w:highlight w:val="none"/>
          <w:lang w:val="zh-CN"/>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r>
        <w:rPr>
          <w:rFonts w:hint="eastAsia" w:hAnsi="宋体" w:cs="宋体"/>
          <w:color w:val="auto"/>
          <w:sz w:val="21"/>
          <w:szCs w:val="21"/>
          <w:highlight w:val="none"/>
        </w:rPr>
        <w:t>）</w:t>
      </w:r>
    </w:p>
    <w:p w14:paraId="3E0E0F60">
      <w:pPr>
        <w:pStyle w:val="8"/>
        <w:spacing w:before="0" w:after="0" w:line="500" w:lineRule="exact"/>
        <w:ind w:firstLine="422" w:firstLineChars="200"/>
        <w:rPr>
          <w:rFonts w:ascii="宋体" w:hAnsi="宋体" w:cs="宋体"/>
          <w:bCs/>
          <w:color w:val="auto"/>
          <w:sz w:val="21"/>
          <w:szCs w:val="21"/>
          <w:highlight w:val="none"/>
        </w:rPr>
      </w:pPr>
      <w:bookmarkStart w:id="79" w:name="_Toc11046"/>
      <w:r>
        <w:rPr>
          <w:rFonts w:hint="eastAsia" w:ascii="宋体" w:hAnsi="宋体" w:cs="宋体"/>
          <w:bCs/>
          <w:color w:val="auto"/>
          <w:sz w:val="21"/>
          <w:szCs w:val="21"/>
          <w:highlight w:val="none"/>
        </w:rPr>
        <w:t>3.转包、分包</w:t>
      </w:r>
      <w:bookmarkEnd w:id="79"/>
    </w:p>
    <w:p w14:paraId="1F6F71E4">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严禁成交单位在未经招采购人批准的情况下，将本项目转包、分包给其他单位或个人。</w:t>
      </w:r>
    </w:p>
    <w:bookmarkEnd w:id="50"/>
    <w:p w14:paraId="74AB4B9C">
      <w:pPr>
        <w:pStyle w:val="6"/>
        <w:keepNext w:val="0"/>
        <w:pageBreakBefore/>
        <w:spacing w:line="360" w:lineRule="auto"/>
        <w:jc w:val="center"/>
        <w:rPr>
          <w:rFonts w:hAnsi="宋体" w:cs="宋体"/>
          <w:color w:val="auto"/>
          <w:sz w:val="30"/>
          <w:szCs w:val="30"/>
          <w:highlight w:val="none"/>
        </w:rPr>
      </w:pPr>
      <w:bookmarkStart w:id="80" w:name="_Toc1073"/>
      <w:r>
        <w:rPr>
          <w:rFonts w:hint="eastAsia" w:hAnsi="宋体" w:cs="宋体"/>
          <w:color w:val="auto"/>
          <w:sz w:val="30"/>
          <w:szCs w:val="30"/>
          <w:highlight w:val="none"/>
        </w:rPr>
        <w:t>第三部分</w:t>
      </w:r>
      <w:bookmarkEnd w:id="34"/>
      <w:bookmarkEnd w:id="35"/>
      <w:bookmarkEnd w:id="36"/>
      <w:r>
        <w:rPr>
          <w:rFonts w:hint="eastAsia" w:hAnsi="宋体" w:cs="宋体"/>
          <w:color w:val="auto"/>
          <w:sz w:val="30"/>
          <w:szCs w:val="30"/>
          <w:highlight w:val="none"/>
        </w:rPr>
        <w:t xml:space="preserve">  响应供应商须知</w:t>
      </w:r>
      <w:bookmarkEnd w:id="37"/>
      <w:bookmarkEnd w:id="38"/>
      <w:bookmarkEnd w:id="39"/>
      <w:bookmarkEnd w:id="40"/>
      <w:bookmarkEnd w:id="41"/>
      <w:bookmarkEnd w:id="42"/>
      <w:bookmarkEnd w:id="43"/>
      <w:bookmarkEnd w:id="44"/>
      <w:bookmarkEnd w:id="45"/>
      <w:bookmarkEnd w:id="46"/>
      <w:bookmarkEnd w:id="47"/>
      <w:bookmarkEnd w:id="48"/>
      <w:bookmarkEnd w:id="51"/>
      <w:bookmarkEnd w:id="80"/>
    </w:p>
    <w:p w14:paraId="450622DF">
      <w:pPr>
        <w:snapToGrid w:val="0"/>
        <w:spacing w:beforeLines="50" w:afterLines="50" w:line="276" w:lineRule="auto"/>
        <w:ind w:left="238"/>
        <w:jc w:val="center"/>
        <w:outlineLvl w:val="1"/>
        <w:rPr>
          <w:rFonts w:hAnsi="宋体" w:cs="宋体"/>
          <w:b/>
          <w:color w:val="auto"/>
          <w:sz w:val="30"/>
          <w:szCs w:val="30"/>
          <w:highlight w:val="none"/>
        </w:rPr>
      </w:pPr>
      <w:bookmarkStart w:id="81" w:name="_Toc30749"/>
      <w:bookmarkStart w:id="82" w:name="_Toc421647255"/>
      <w:bookmarkStart w:id="83" w:name="_Toc519072689"/>
      <w:bookmarkStart w:id="84" w:name="_Toc14409"/>
      <w:bookmarkStart w:id="85" w:name="_Toc374366047"/>
      <w:r>
        <w:rPr>
          <w:rFonts w:hint="eastAsia" w:hAnsi="宋体" w:cs="宋体"/>
          <w:b/>
          <w:color w:val="auto"/>
          <w:sz w:val="30"/>
          <w:szCs w:val="30"/>
          <w:highlight w:val="none"/>
        </w:rPr>
        <w:t>前附表</w:t>
      </w:r>
      <w:bookmarkEnd w:id="81"/>
      <w:bookmarkEnd w:id="82"/>
      <w:bookmarkEnd w:id="83"/>
      <w:bookmarkEnd w:id="84"/>
      <w:bookmarkEnd w:id="85"/>
    </w:p>
    <w:tbl>
      <w:tblPr>
        <w:tblStyle w:val="46"/>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222"/>
        <w:gridCol w:w="6656"/>
      </w:tblGrid>
      <w:tr w14:paraId="554C9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1E8BE12F">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8878" w:type="dxa"/>
            <w:gridSpan w:val="2"/>
            <w:tcBorders>
              <w:top w:val="single" w:color="auto" w:sz="4" w:space="0"/>
              <w:left w:val="single" w:color="auto" w:sz="4" w:space="0"/>
              <w:bottom w:val="single" w:color="auto" w:sz="4" w:space="0"/>
            </w:tcBorders>
            <w:vAlign w:val="center"/>
          </w:tcPr>
          <w:p w14:paraId="242103D0">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内容、要求</w:t>
            </w:r>
          </w:p>
        </w:tc>
      </w:tr>
      <w:tr w14:paraId="662BB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14:paraId="6A37C9C7">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8878" w:type="dxa"/>
            <w:gridSpan w:val="2"/>
            <w:tcBorders>
              <w:top w:val="single" w:color="auto" w:sz="4" w:space="0"/>
              <w:left w:val="single" w:color="auto" w:sz="4" w:space="0"/>
              <w:bottom w:val="single" w:color="auto" w:sz="4" w:space="0"/>
            </w:tcBorders>
            <w:vAlign w:val="center"/>
          </w:tcPr>
          <w:p w14:paraId="0EDE3228">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项目名称：金华市财政局2025年度预算管理一体化（预算执行）现场服务及省厅金财工程系统运维项目</w:t>
            </w:r>
          </w:p>
        </w:tc>
      </w:tr>
      <w:tr w14:paraId="593E6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14:paraId="07427743">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8878" w:type="dxa"/>
            <w:gridSpan w:val="2"/>
            <w:tcBorders>
              <w:top w:val="single" w:color="auto" w:sz="4" w:space="0"/>
              <w:left w:val="single" w:color="auto" w:sz="4" w:space="0"/>
              <w:bottom w:val="single" w:color="auto" w:sz="4" w:space="0"/>
            </w:tcBorders>
            <w:vAlign w:val="center"/>
          </w:tcPr>
          <w:p w14:paraId="3E102A2F">
            <w:pPr>
              <w:snapToGrid w:val="0"/>
              <w:spacing w:line="460" w:lineRule="exact"/>
              <w:rPr>
                <w:rFonts w:hAnsi="宋体" w:cs="宋体"/>
                <w:b/>
                <w:color w:val="auto"/>
                <w:sz w:val="21"/>
                <w:szCs w:val="21"/>
                <w:highlight w:val="none"/>
              </w:rPr>
            </w:pPr>
            <w:r>
              <w:rPr>
                <w:rFonts w:hint="eastAsia" w:hAnsi="宋体" w:cs="宋体"/>
                <w:b/>
                <w:color w:val="auto"/>
                <w:sz w:val="21"/>
                <w:szCs w:val="21"/>
                <w:highlight w:val="none"/>
              </w:rPr>
              <w:t>磋商报价及费用：</w:t>
            </w:r>
          </w:p>
          <w:p w14:paraId="3DC4C9DE">
            <w:pPr>
              <w:spacing w:line="460" w:lineRule="exact"/>
              <w:rPr>
                <w:rFonts w:hAnsi="宋体" w:cs="宋体"/>
                <w:color w:val="auto"/>
                <w:sz w:val="21"/>
                <w:szCs w:val="21"/>
                <w:highlight w:val="none"/>
              </w:rPr>
            </w:pPr>
            <w:r>
              <w:rPr>
                <w:rFonts w:hint="eastAsia" w:hAnsi="宋体" w:cs="宋体"/>
                <w:color w:val="auto"/>
                <w:sz w:val="21"/>
                <w:szCs w:val="21"/>
                <w:highlight w:val="none"/>
              </w:rPr>
              <w:t>1.本项目竞争性磋商应以人民币报价；</w:t>
            </w:r>
          </w:p>
          <w:p w14:paraId="33051233">
            <w:pPr>
              <w:snapToGrid w:val="0"/>
              <w:spacing w:line="460" w:lineRule="exact"/>
              <w:rPr>
                <w:rFonts w:hAnsi="宋体" w:cs="宋体"/>
                <w:b/>
                <w:color w:val="auto"/>
                <w:sz w:val="21"/>
                <w:szCs w:val="21"/>
                <w:highlight w:val="none"/>
              </w:rPr>
            </w:pPr>
            <w:r>
              <w:rPr>
                <w:rFonts w:hint="eastAsia" w:hAnsi="宋体" w:cs="宋体"/>
                <w:b/>
                <w:color w:val="auto"/>
                <w:sz w:val="21"/>
                <w:szCs w:val="21"/>
                <w:highlight w:val="none"/>
              </w:rPr>
              <w:t>2.不论磋商结果如何，响应供应商均应自行承担所有与竞争性磋商有关的全部费用；</w:t>
            </w:r>
          </w:p>
          <w:p w14:paraId="6A3C7D2F">
            <w:pPr>
              <w:snapToGrid w:val="0"/>
              <w:spacing w:line="460" w:lineRule="exact"/>
              <w:rPr>
                <w:rFonts w:hAnsi="宋体" w:cs="宋体"/>
                <w:color w:val="auto"/>
                <w:sz w:val="21"/>
                <w:szCs w:val="21"/>
                <w:highlight w:val="none"/>
              </w:rPr>
            </w:pPr>
            <w:r>
              <w:rPr>
                <w:rFonts w:hint="eastAsia" w:hAnsi="宋体" w:cs="宋体"/>
                <w:b/>
                <w:color w:val="auto"/>
                <w:sz w:val="21"/>
                <w:szCs w:val="21"/>
                <w:highlight w:val="none"/>
              </w:rPr>
              <w:t>3.响应供应商取得成交资格后，须向招标代理机构支付合同金额1.5%的采购代理服务费，成交人在收到成交通知书的同时向招标代理机构以银行转账等形式支付采购代理服务费：</w:t>
            </w:r>
            <w:r>
              <w:rPr>
                <w:rFonts w:hint="eastAsia" w:cs="宋体"/>
                <w:b/>
                <w:color w:val="auto"/>
                <w:sz w:val="21"/>
                <w:szCs w:val="21"/>
                <w:highlight w:val="none"/>
              </w:rPr>
              <w:t>户名：金华市天盈招标代理有限公司  开户银行：</w:t>
            </w:r>
            <w:r>
              <w:rPr>
                <w:rFonts w:hint="eastAsia" w:cs="宋体"/>
                <w:b/>
                <w:bCs/>
                <w:color w:val="auto"/>
                <w:sz w:val="21"/>
                <w:szCs w:val="21"/>
                <w:highlight w:val="none"/>
              </w:rPr>
              <w:t>杭州银行股份有限公司金华分行，银行账号：3307041060000093980，行号：313338062027</w:t>
            </w:r>
            <w:r>
              <w:rPr>
                <w:rFonts w:hint="eastAsia" w:cs="宋体"/>
                <w:b/>
                <w:color w:val="auto"/>
                <w:sz w:val="21"/>
                <w:szCs w:val="21"/>
                <w:highlight w:val="none"/>
              </w:rPr>
              <w:t>。</w:t>
            </w:r>
            <w:r>
              <w:rPr>
                <w:rFonts w:hint="eastAsia" w:hAnsi="宋体" w:cs="宋体"/>
                <w:b/>
                <w:color w:val="auto"/>
                <w:sz w:val="21"/>
                <w:szCs w:val="21"/>
                <w:highlight w:val="none"/>
              </w:rPr>
              <w:t>（汇款用途请注明“采购代理服务费”及项目编号）</w:t>
            </w:r>
          </w:p>
        </w:tc>
      </w:tr>
      <w:tr w14:paraId="7170D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FE50272">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8878" w:type="dxa"/>
            <w:gridSpan w:val="2"/>
            <w:tcBorders>
              <w:top w:val="single" w:color="auto" w:sz="4" w:space="0"/>
              <w:left w:val="single" w:color="auto" w:sz="4" w:space="0"/>
              <w:bottom w:val="single" w:color="auto" w:sz="4" w:space="0"/>
            </w:tcBorders>
            <w:vAlign w:val="center"/>
          </w:tcPr>
          <w:p w14:paraId="1D9C4945">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答疑与澄清：</w:t>
            </w:r>
          </w:p>
          <w:p w14:paraId="17142F67">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响应供应商如认为磋商采购文件表述不清晰、存在歧视性、排他性或者其他违法内容的，应当于磋商响应文件递交截止时间5日前，以书面形式要求磋商采购单位作出书面解释、澄清；磋商采购单位将于磋商响应文件递交截止时间5日前答疑；答疑内容是磋商采购文件的组成部分，并将以书面形式送达所有已报名的响应供应商；因其他紧急情况影响本项目正常磋商采购活动的，磋商采购单位将于磋商响应文件递交截止日期3天前书面通知所有已报名的响应供应商。</w:t>
            </w:r>
          </w:p>
        </w:tc>
      </w:tr>
      <w:tr w14:paraId="4123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6589158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4</w:t>
            </w:r>
          </w:p>
        </w:tc>
        <w:tc>
          <w:tcPr>
            <w:tcW w:w="8878" w:type="dxa"/>
            <w:gridSpan w:val="2"/>
            <w:tcBorders>
              <w:top w:val="single" w:color="auto" w:sz="4" w:space="0"/>
              <w:left w:val="single" w:color="auto" w:sz="4" w:space="0"/>
              <w:bottom w:val="single" w:color="auto" w:sz="4" w:space="0"/>
            </w:tcBorders>
            <w:vAlign w:val="center"/>
          </w:tcPr>
          <w:p w14:paraId="08576E3F">
            <w:pPr>
              <w:widowControl/>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政策落实：</w:t>
            </w:r>
          </w:p>
          <w:p w14:paraId="12E69435">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588A98FB">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EC4D23D">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（1）项目预算（人民币）：</w:t>
            </w:r>
            <w:r>
              <w:rPr>
                <w:rFonts w:hint="eastAsia"/>
                <w:color w:val="auto"/>
                <w:sz w:val="21"/>
                <w:szCs w:val="21"/>
                <w:highlight w:val="none"/>
              </w:rPr>
              <w:t>83.954万元</w:t>
            </w:r>
            <w:r>
              <w:rPr>
                <w:rFonts w:hint="eastAsia" w:hAnsi="宋体" w:cs="宋体"/>
                <w:color w:val="auto"/>
                <w:sz w:val="21"/>
                <w:szCs w:val="21"/>
                <w:highlight w:val="none"/>
              </w:rPr>
              <w:t>；</w:t>
            </w:r>
          </w:p>
          <w:p w14:paraId="4A3BD2A5">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②    </w:t>
            </w:r>
            <w:r>
              <w:rPr>
                <w:rFonts w:hint="eastAsia" w:hAnsi="宋体" w:cs="宋体"/>
                <w:color w:val="auto"/>
                <w:sz w:val="21"/>
                <w:szCs w:val="21"/>
                <w:highlight w:val="none"/>
              </w:rPr>
              <w:t>（①货物类/②服务类/③工程类）</w:t>
            </w:r>
          </w:p>
          <w:p w14:paraId="148206FB">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rPr>
              <w:t xml:space="preserve">  软件和信息技术服务业  </w:t>
            </w:r>
            <w:r>
              <w:rPr>
                <w:rFonts w:hint="eastAsia" w:hAnsi="宋体" w:cs="宋体"/>
                <w:color w:val="auto"/>
                <w:sz w:val="21"/>
                <w:szCs w:val="21"/>
                <w:highlight w:val="none"/>
              </w:rPr>
              <w:t>（具体根据《中小企业划型标准规定》执行）</w:t>
            </w:r>
          </w:p>
          <w:p w14:paraId="7ADE2426">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是  </w:t>
            </w:r>
            <w:r>
              <w:rPr>
                <w:rFonts w:hint="eastAsia" w:hAnsi="宋体" w:cs="宋体"/>
                <w:color w:val="auto"/>
                <w:sz w:val="21"/>
                <w:szCs w:val="21"/>
                <w:highlight w:val="none"/>
              </w:rPr>
              <w:t>（是/否）属于预留份额专门面向中小企业采购的项目。</w:t>
            </w:r>
          </w:p>
          <w:p w14:paraId="27543E05">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（5）上述第4项中确定为“是”的采购项目，预留份额通过</w:t>
            </w:r>
            <w:r>
              <w:rPr>
                <w:rFonts w:hint="eastAsia" w:hAnsi="宋体" w:cs="宋体"/>
                <w:color w:val="auto"/>
                <w:sz w:val="21"/>
                <w:szCs w:val="21"/>
                <w:highlight w:val="none"/>
                <w:u w:val="single"/>
              </w:rPr>
              <w:t xml:space="preserve">  （①）  </w:t>
            </w:r>
            <w:r>
              <w:rPr>
                <w:rFonts w:hint="eastAsia" w:hAnsi="宋体" w:cs="宋体"/>
                <w:color w:val="auto"/>
                <w:sz w:val="21"/>
                <w:szCs w:val="21"/>
                <w:highlight w:val="none"/>
              </w:rPr>
              <w:t>措施进行：</w:t>
            </w:r>
          </w:p>
          <w:p w14:paraId="524DDDCF">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14:paraId="53AE5535">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(比例)； </w:t>
            </w:r>
          </w:p>
          <w:p w14:paraId="2439927C">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(比例)分包给一家或者多家中小企业。</w:t>
            </w:r>
          </w:p>
          <w:p w14:paraId="24317601">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专门面向中小企业采购的项目或者标项，不再执行价格评审优惠的扶持政策。</w:t>
            </w:r>
          </w:p>
          <w:p w14:paraId="69CE9D37">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3B79F0CE">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14:paraId="3AEB4B2A">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3.节能产品、环境标志产品的优先采购政策</w:t>
            </w:r>
          </w:p>
          <w:p w14:paraId="10066F5F">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14:paraId="7A61A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51DACCD9">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5</w:t>
            </w:r>
          </w:p>
        </w:tc>
        <w:tc>
          <w:tcPr>
            <w:tcW w:w="8878" w:type="dxa"/>
            <w:gridSpan w:val="2"/>
            <w:tcBorders>
              <w:top w:val="single" w:color="auto" w:sz="4" w:space="0"/>
              <w:left w:val="single" w:color="auto" w:sz="4" w:space="0"/>
              <w:bottom w:val="single" w:color="auto" w:sz="4" w:space="0"/>
            </w:tcBorders>
            <w:vAlign w:val="center"/>
          </w:tcPr>
          <w:p w14:paraId="10EBA363">
            <w:pPr>
              <w:snapToGrid w:val="0"/>
              <w:spacing w:line="460" w:lineRule="exact"/>
              <w:rPr>
                <w:rFonts w:hAnsi="宋体" w:cs="宋体"/>
                <w:color w:val="auto"/>
                <w:sz w:val="21"/>
                <w:szCs w:val="21"/>
                <w:highlight w:val="none"/>
              </w:rPr>
            </w:pPr>
            <w:r>
              <w:rPr>
                <w:rFonts w:hint="eastAsia" w:hAnsi="宋体" w:cs="宋体"/>
                <w:b/>
                <w:bCs/>
                <w:color w:val="auto"/>
                <w:sz w:val="21"/>
                <w:szCs w:val="21"/>
                <w:highlight w:val="none"/>
              </w:rPr>
              <w:t>信用查询：</w:t>
            </w:r>
          </w:p>
          <w:p w14:paraId="078D1422">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6B541213">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495417DD">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27C964C1">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7E4996E3">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9908953">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（5）联合体成员任意一方存在不良信用记录的，视同联合体存在不良信用记录。（注：本项目不接受联合体投标）</w:t>
            </w:r>
          </w:p>
        </w:tc>
      </w:tr>
      <w:tr w14:paraId="5C203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40EDE16B">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6</w:t>
            </w:r>
          </w:p>
        </w:tc>
        <w:tc>
          <w:tcPr>
            <w:tcW w:w="2222" w:type="dxa"/>
            <w:tcBorders>
              <w:top w:val="single" w:color="auto" w:sz="4" w:space="0"/>
              <w:left w:val="single" w:color="auto" w:sz="4" w:space="0"/>
              <w:bottom w:val="single" w:color="auto" w:sz="4" w:space="0"/>
            </w:tcBorders>
            <w:vAlign w:val="center"/>
          </w:tcPr>
          <w:p w14:paraId="44519C3F">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656" w:type="dxa"/>
            <w:tcBorders>
              <w:top w:val="single" w:color="auto" w:sz="4" w:space="0"/>
              <w:left w:val="single" w:color="auto" w:sz="4" w:space="0"/>
              <w:bottom w:val="single" w:color="auto" w:sz="4" w:space="0"/>
            </w:tcBorders>
            <w:vAlign w:val="center"/>
          </w:tcPr>
          <w:p w14:paraId="51F9A23A">
            <w:pPr>
              <w:snapToGrid w:val="0"/>
              <w:spacing w:line="460" w:lineRule="exact"/>
              <w:rPr>
                <w:rFonts w:hAnsi="宋体" w:cs="宋体"/>
                <w:color w:val="auto"/>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按所属行业为“软件和信息技术服务业”。</w:t>
            </w:r>
          </w:p>
        </w:tc>
      </w:tr>
      <w:tr w14:paraId="660EA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27936F69">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7</w:t>
            </w:r>
          </w:p>
        </w:tc>
        <w:tc>
          <w:tcPr>
            <w:tcW w:w="2222" w:type="dxa"/>
            <w:tcBorders>
              <w:top w:val="single" w:color="auto" w:sz="4" w:space="0"/>
              <w:left w:val="single" w:color="auto" w:sz="4" w:space="0"/>
              <w:bottom w:val="single" w:color="auto" w:sz="4" w:space="0"/>
            </w:tcBorders>
            <w:vAlign w:val="center"/>
          </w:tcPr>
          <w:p w14:paraId="5A2A2DBD">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节能产品</w:t>
            </w:r>
          </w:p>
        </w:tc>
        <w:tc>
          <w:tcPr>
            <w:tcW w:w="6656" w:type="dxa"/>
            <w:tcBorders>
              <w:top w:val="single" w:color="auto" w:sz="4" w:space="0"/>
              <w:left w:val="single" w:color="auto" w:sz="4" w:space="0"/>
              <w:bottom w:val="single" w:color="auto" w:sz="4" w:space="0"/>
            </w:tcBorders>
            <w:vAlign w:val="center"/>
          </w:tcPr>
          <w:p w14:paraId="25E4FCBB">
            <w:pPr>
              <w:snapToGrid w:val="0"/>
              <w:spacing w:line="460" w:lineRule="exact"/>
              <w:rPr>
                <w:rFonts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51D49CCC">
            <w:pPr>
              <w:pStyle w:val="106"/>
              <w:adjustRightInd w:val="0"/>
              <w:snapToGrid w:val="0"/>
              <w:spacing w:before="0" w:line="460" w:lineRule="exact"/>
              <w:ind w:firstLine="0" w:firstLineChars="0"/>
              <w:jc w:val="left"/>
              <w:rPr>
                <w:rFonts w:ascii="宋体" w:hAnsi="宋体" w:eastAsia="宋体" w:cs="宋体"/>
                <w:color w:val="auto"/>
                <w:sz w:val="21"/>
                <w:highlight w:val="none"/>
              </w:rPr>
            </w:pPr>
            <w:r>
              <w:rPr>
                <w:rFonts w:hint="eastAsia" w:ascii="宋体" w:hAnsi="宋体" w:eastAsia="宋体" w:cs="宋体"/>
                <w:color w:val="auto"/>
                <w:sz w:val="21"/>
                <w:highlight w:val="none"/>
              </w:rPr>
              <w:t>□ 优先采购节能产品</w:t>
            </w:r>
          </w:p>
          <w:p w14:paraId="410E83F6">
            <w:pPr>
              <w:snapToGrid w:val="0"/>
              <w:spacing w:line="460" w:lineRule="exact"/>
              <w:rPr>
                <w:rFonts w:hAnsi="宋体" w:cs="宋体"/>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14:paraId="0A80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32E5A99B">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8</w:t>
            </w:r>
          </w:p>
        </w:tc>
        <w:tc>
          <w:tcPr>
            <w:tcW w:w="2222" w:type="dxa"/>
            <w:tcBorders>
              <w:top w:val="single" w:color="auto" w:sz="4" w:space="0"/>
              <w:left w:val="single" w:color="auto" w:sz="4" w:space="0"/>
              <w:bottom w:val="single" w:color="auto" w:sz="4" w:space="0"/>
            </w:tcBorders>
            <w:vAlign w:val="center"/>
          </w:tcPr>
          <w:p w14:paraId="1DA0E20C">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656" w:type="dxa"/>
            <w:tcBorders>
              <w:top w:val="single" w:color="auto" w:sz="4" w:space="0"/>
              <w:left w:val="single" w:color="auto" w:sz="4" w:space="0"/>
              <w:bottom w:val="single" w:color="auto" w:sz="4" w:space="0"/>
            </w:tcBorders>
            <w:vAlign w:val="center"/>
          </w:tcPr>
          <w:p w14:paraId="3C738B82">
            <w:pPr>
              <w:pStyle w:val="106"/>
              <w:adjustRightInd w:val="0"/>
              <w:snapToGrid w:val="0"/>
              <w:spacing w:before="0" w:line="460" w:lineRule="exact"/>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优先采购环境标志产品</w:t>
            </w:r>
          </w:p>
          <w:p w14:paraId="2866C5C1">
            <w:pPr>
              <w:snapToGrid w:val="0"/>
              <w:spacing w:line="460" w:lineRule="exact"/>
              <w:rPr>
                <w:rFonts w:hAnsi="宋体" w:cs="宋体"/>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14:paraId="28B1D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1D372092">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9</w:t>
            </w:r>
          </w:p>
        </w:tc>
        <w:tc>
          <w:tcPr>
            <w:tcW w:w="8878" w:type="dxa"/>
            <w:gridSpan w:val="2"/>
            <w:tcBorders>
              <w:top w:val="single" w:color="auto" w:sz="4" w:space="0"/>
              <w:left w:val="single" w:color="auto" w:sz="4" w:space="0"/>
              <w:bottom w:val="single" w:color="auto" w:sz="4" w:space="0"/>
            </w:tcBorders>
            <w:vAlign w:val="center"/>
          </w:tcPr>
          <w:p w14:paraId="5B03D2C3">
            <w:p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磋商响应文件（磋商响应文件）的递交：</w:t>
            </w:r>
          </w:p>
          <w:p w14:paraId="74BBE143">
            <w:p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本项目磋商响应文件分资格文件、商务技术文件、报价文件三部分。磋商响应供应商应以以下方式递交磋商响应文件：</w:t>
            </w:r>
          </w:p>
          <w:p w14:paraId="0FE998E7">
            <w:pPr>
              <w:numPr>
                <w:ilvl w:val="255"/>
                <w:numId w:val="0"/>
              </w:num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★1.本项目实行“网上电子磋商响应、电子评标”，磋商响应供应商应于磋商响应截止时间前在“政采云”（ 电子交易客户端）上传输、递交电子版磋商响应文件（包括资格文件、商务技术文件和报价文件）；</w:t>
            </w:r>
          </w:p>
          <w:p w14:paraId="32A8DB4C">
            <w:pPr>
              <w:numPr>
                <w:ilvl w:val="255"/>
                <w:numId w:val="0"/>
              </w:num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2.本磋商响应文件所涉及的法定代表人或其授权代表签字或盖章的内容，如果磋商响应供应商没有法定代表人电子签章，涉及到法定代表人或其授权代表签字或盖章的内容，磋商响应供应商可以线下签字或盖章后扫描上传。</w:t>
            </w:r>
          </w:p>
          <w:p w14:paraId="5DD2957A">
            <w:pPr>
              <w:tabs>
                <w:tab w:val="left" w:pos="1260"/>
              </w:tabs>
              <w:spacing w:line="460" w:lineRule="exact"/>
              <w:rPr>
                <w:color w:val="auto"/>
                <w:highlight w:val="none"/>
              </w:rPr>
            </w:pPr>
            <w:r>
              <w:rPr>
                <w:rFonts w:hint="eastAsia" w:hAnsi="宋体" w:cs="宋体"/>
                <w:color w:val="auto"/>
                <w:sz w:val="21"/>
                <w:szCs w:val="21"/>
                <w:highlight w:val="none"/>
              </w:rPr>
              <w:t>3.“演示电子光盘或U盘”的提交时间及地址：投标人应当在2025年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07</w:t>
            </w:r>
            <w:r>
              <w:rPr>
                <w:rFonts w:hint="eastAsia" w:hAnsi="宋体" w:cs="宋体"/>
                <w:color w:val="auto"/>
                <w:sz w:val="21"/>
                <w:szCs w:val="21"/>
                <w:highlight w:val="none"/>
              </w:rPr>
              <w:t>日1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：00时前将“演示U盘”按要求密封送交到金华市天盈招标代理有限公司二楼办公室七（</w:t>
            </w:r>
            <w:r>
              <w:rPr>
                <w:rStyle w:val="137"/>
                <w:rFonts w:hint="eastAsia"/>
                <w:color w:val="auto"/>
                <w:sz w:val="21"/>
                <w:szCs w:val="21"/>
                <w:highlight w:val="none"/>
              </w:rPr>
              <w:t>金华市婺城区建业东路168号</w:t>
            </w:r>
            <w:r>
              <w:rPr>
                <w:rFonts w:hint="eastAsia" w:hAnsi="宋体" w:cs="宋体"/>
                <w:color w:val="auto"/>
                <w:sz w:val="21"/>
                <w:szCs w:val="21"/>
                <w:highlight w:val="none"/>
              </w:rPr>
              <w:t xml:space="preserve">）。逾期送达的将不予受理，未密封的将予以拒收。（注：“演示U盘”提交后一律不退。） </w:t>
            </w:r>
          </w:p>
        </w:tc>
      </w:tr>
      <w:tr w14:paraId="0578E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6317D7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878" w:type="dxa"/>
            <w:gridSpan w:val="2"/>
            <w:tcBorders>
              <w:top w:val="single" w:color="auto" w:sz="4" w:space="0"/>
              <w:left w:val="single" w:color="auto" w:sz="4" w:space="0"/>
              <w:bottom w:val="single" w:color="auto" w:sz="4" w:space="0"/>
            </w:tcBorders>
            <w:vAlign w:val="center"/>
          </w:tcPr>
          <w:p w14:paraId="2132BE16">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投标截止时间及地点：</w:t>
            </w:r>
          </w:p>
          <w:p w14:paraId="44740C43">
            <w:pPr>
              <w:snapToGrid w:val="0"/>
              <w:spacing w:line="460" w:lineRule="exact"/>
              <w:rPr>
                <w:rFonts w:hAnsi="宋体" w:cs="宋体"/>
                <w:bCs/>
                <w:color w:val="auto"/>
                <w:sz w:val="21"/>
                <w:szCs w:val="21"/>
                <w:highlight w:val="none"/>
              </w:rPr>
            </w:pPr>
            <w:r>
              <w:rPr>
                <w:rFonts w:hint="eastAsia" w:hAnsi="宋体" w:cs="宋体"/>
                <w:color w:val="auto"/>
                <w:sz w:val="21"/>
                <w:szCs w:val="21"/>
                <w:highlight w:val="none"/>
              </w:rPr>
              <w:t>供应商应当在投标截止时间前在“政采云”（电子交易平台）上自行上传加密的电子投标（响应）文件。投标截止时间后递交的电子投标（响应）文件，将被政采云平台拒收。</w:t>
            </w:r>
          </w:p>
        </w:tc>
      </w:tr>
      <w:tr w14:paraId="0CF3F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32C2F227">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878" w:type="dxa"/>
            <w:gridSpan w:val="2"/>
            <w:tcBorders>
              <w:top w:val="single" w:color="auto" w:sz="4" w:space="0"/>
              <w:left w:val="single" w:color="auto" w:sz="4" w:space="0"/>
              <w:bottom w:val="single" w:color="auto" w:sz="4" w:space="0"/>
            </w:tcBorders>
            <w:vAlign w:val="center"/>
          </w:tcPr>
          <w:p w14:paraId="0C690996">
            <w:pPr>
              <w:snapToGrid w:val="0"/>
              <w:spacing w:line="46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开标时间及地点：2025年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07</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14</w:t>
            </w:r>
            <w:r>
              <w:rPr>
                <w:rFonts w:hint="eastAsia" w:hAnsi="宋体" w:cs="宋体"/>
                <w:color w:val="auto"/>
                <w:sz w:val="21"/>
                <w:szCs w:val="21"/>
                <w:highlight w:val="none"/>
              </w:rPr>
              <w:t>：30时，金华市双龙南街858号金华财富大厦（金华市行政服务中心新办事大厅4楼开标1室）</w:t>
            </w:r>
          </w:p>
          <w:p w14:paraId="45434B29">
            <w:pPr>
              <w:snapToGrid w:val="0"/>
              <w:spacing w:line="460" w:lineRule="exact"/>
              <w:jc w:val="both"/>
              <w:textAlignment w:val="bottom"/>
              <w:rPr>
                <w:rFonts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w:t>
            </w:r>
            <w:r>
              <w:rPr>
                <w:rFonts w:hint="eastAsia" w:hAnsi="宋体" w:cs="宋体"/>
                <w:bCs/>
                <w:color w:val="auto"/>
                <w:sz w:val="21"/>
                <w:szCs w:val="21"/>
                <w:highlight w:val="none"/>
              </w:rPr>
              <w:t>磋商响应文件</w:t>
            </w:r>
            <w:r>
              <w:rPr>
                <w:rFonts w:hint="eastAsia" w:hAnsi="宋体" w:cs="宋体"/>
                <w:color w:val="auto"/>
                <w:sz w:val="21"/>
                <w:szCs w:val="21"/>
                <w:highlight w:val="none"/>
              </w:rPr>
              <w:t>，磋商响应供应商须在解密时限内完成解密，解密时限为30分钟，磋商响应供应商在规定的时间内都已解密完成，则系统自动结束解密，采购代理机构开启</w:t>
            </w:r>
            <w:r>
              <w:rPr>
                <w:rFonts w:hint="eastAsia" w:hAnsi="宋体" w:cs="宋体"/>
                <w:bCs/>
                <w:color w:val="auto"/>
                <w:sz w:val="21"/>
                <w:szCs w:val="21"/>
                <w:highlight w:val="none"/>
              </w:rPr>
              <w:t>磋商响应文件</w:t>
            </w:r>
            <w:r>
              <w:rPr>
                <w:rFonts w:hint="eastAsia" w:hAnsi="宋体" w:cs="宋体"/>
                <w:color w:val="auto"/>
                <w:sz w:val="21"/>
                <w:szCs w:val="21"/>
                <w:highlight w:val="none"/>
              </w:rPr>
              <w:t>；除另有规定外，磋商响应供应商未能在约定的解密时限内完成解密的，系统将默认其自动放弃投标。</w:t>
            </w:r>
          </w:p>
        </w:tc>
      </w:tr>
      <w:tr w14:paraId="7DDCC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14:paraId="3893CA6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12</w:t>
            </w:r>
          </w:p>
        </w:tc>
        <w:tc>
          <w:tcPr>
            <w:tcW w:w="8878" w:type="dxa"/>
            <w:gridSpan w:val="2"/>
            <w:tcBorders>
              <w:top w:val="single" w:color="auto" w:sz="4" w:space="0"/>
              <w:left w:val="single" w:color="auto" w:sz="4" w:space="0"/>
              <w:bottom w:val="single" w:color="auto" w:sz="4" w:space="0"/>
            </w:tcBorders>
            <w:vAlign w:val="center"/>
          </w:tcPr>
          <w:p w14:paraId="5465CC86">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磋商办法：综合评分法</w:t>
            </w:r>
          </w:p>
        </w:tc>
      </w:tr>
      <w:tr w14:paraId="1098A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14:paraId="49B100F1">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878" w:type="dxa"/>
            <w:gridSpan w:val="2"/>
            <w:tcBorders>
              <w:top w:val="single" w:color="auto" w:sz="4" w:space="0"/>
              <w:left w:val="single" w:color="auto" w:sz="4" w:space="0"/>
              <w:bottom w:val="single" w:color="auto" w:sz="4" w:space="0"/>
            </w:tcBorders>
            <w:vAlign w:val="center"/>
          </w:tcPr>
          <w:p w14:paraId="7DF80E6C">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履约保证金：本项目无须缴纳履约保证金。</w:t>
            </w:r>
          </w:p>
        </w:tc>
      </w:tr>
      <w:tr w14:paraId="4243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bottom w:val="single" w:color="auto" w:sz="4" w:space="0"/>
              <w:right w:val="single" w:color="auto" w:sz="4" w:space="0"/>
            </w:tcBorders>
            <w:vAlign w:val="center"/>
          </w:tcPr>
          <w:p w14:paraId="572F7F84">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878" w:type="dxa"/>
            <w:gridSpan w:val="2"/>
            <w:tcBorders>
              <w:top w:val="single" w:color="auto" w:sz="4" w:space="0"/>
              <w:left w:val="single" w:color="auto" w:sz="4" w:space="0"/>
              <w:bottom w:val="single" w:color="auto" w:sz="4" w:space="0"/>
            </w:tcBorders>
            <w:vAlign w:val="center"/>
          </w:tcPr>
          <w:p w14:paraId="3113FFED">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磋商结果公示：浙江政府采购网http://zfcg.czt.zj.gov.cn/)</w:t>
            </w:r>
          </w:p>
        </w:tc>
      </w:tr>
      <w:tr w14:paraId="12BEF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14:paraId="33CFD150">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878" w:type="dxa"/>
            <w:gridSpan w:val="2"/>
            <w:tcBorders>
              <w:top w:val="single" w:color="auto" w:sz="4" w:space="0"/>
              <w:left w:val="single" w:color="auto" w:sz="4" w:space="0"/>
              <w:bottom w:val="single" w:color="auto" w:sz="4" w:space="0"/>
            </w:tcBorders>
            <w:vAlign w:val="center"/>
          </w:tcPr>
          <w:p w14:paraId="47FCE66B">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签订合同时间：成交通知书发出后20日内。</w:t>
            </w:r>
          </w:p>
        </w:tc>
      </w:tr>
      <w:tr w14:paraId="06657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14:paraId="5CC805B3">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878" w:type="dxa"/>
            <w:gridSpan w:val="2"/>
            <w:tcBorders>
              <w:top w:val="single" w:color="auto" w:sz="4" w:space="0"/>
              <w:left w:val="single" w:color="auto" w:sz="4" w:space="0"/>
              <w:bottom w:val="single" w:color="auto" w:sz="4" w:space="0"/>
            </w:tcBorders>
            <w:vAlign w:val="center"/>
          </w:tcPr>
          <w:p w14:paraId="110E292D">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磋商响应文件有效期：90天。</w:t>
            </w:r>
          </w:p>
        </w:tc>
      </w:tr>
      <w:tr w14:paraId="18895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14:paraId="29E33EBB">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878" w:type="dxa"/>
            <w:gridSpan w:val="2"/>
            <w:tcBorders>
              <w:top w:val="single" w:color="auto" w:sz="4" w:space="0"/>
              <w:left w:val="single" w:color="auto" w:sz="4" w:space="0"/>
              <w:bottom w:val="single" w:color="auto" w:sz="4" w:space="0"/>
            </w:tcBorders>
            <w:vAlign w:val="center"/>
          </w:tcPr>
          <w:p w14:paraId="422BA596">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解释：本磋商采购文件的解释权属于磋商采购单位。</w:t>
            </w:r>
          </w:p>
        </w:tc>
      </w:tr>
    </w:tbl>
    <w:p w14:paraId="05339E21">
      <w:pPr>
        <w:pStyle w:val="6"/>
        <w:rPr>
          <w:color w:val="auto"/>
          <w:highlight w:val="none"/>
        </w:rPr>
      </w:pPr>
      <w:bookmarkStart w:id="86" w:name="_Toc28037"/>
      <w:bookmarkStart w:id="87" w:name="_Toc184785920"/>
      <w:bookmarkStart w:id="88" w:name="_Toc217289131"/>
      <w:bookmarkStart w:id="89" w:name="_Toc237176507"/>
      <w:r>
        <w:rPr>
          <w:rFonts w:hint="eastAsia"/>
          <w:color w:val="auto"/>
          <w:highlight w:val="none"/>
        </w:rPr>
        <w:t>一 .总  则</w:t>
      </w:r>
      <w:bookmarkEnd w:id="86"/>
    </w:p>
    <w:p w14:paraId="5410C2AE">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（一） 适用范围</w:t>
      </w:r>
    </w:p>
    <w:p w14:paraId="5AD86EBA">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磋商文件适用于金华市财政局2025年度预算管理一体化（预算执行）现场服务及省厅金财工程系统运维项目的竞争性磋商采购、磋商响应、确定成交人、验收、合同履约、付款等行为（法律、法规另有规定的，从其规定）。</w:t>
      </w:r>
    </w:p>
    <w:p w14:paraId="626BAF7F">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（二）定义</w:t>
      </w:r>
    </w:p>
    <w:p w14:paraId="57BA4F51">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1.磋商采购单位系指组织本次竞争性磋商采购的政府采购代理机构和采购单位（“采购人”）。</w:t>
      </w:r>
    </w:p>
    <w:p w14:paraId="7AEB57BA">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b/>
          <w:bCs/>
          <w:color w:val="auto"/>
          <w:sz w:val="21"/>
          <w:szCs w:val="21"/>
          <w:highlight w:val="none"/>
        </w:rPr>
        <w:t>“响应供应商”（又称“投标人”）</w:t>
      </w:r>
      <w:r>
        <w:rPr>
          <w:rFonts w:hint="eastAsia" w:hAnsi="宋体" w:cs="宋体"/>
          <w:color w:val="auto"/>
          <w:sz w:val="21"/>
          <w:szCs w:val="21"/>
          <w:highlight w:val="none"/>
        </w:rPr>
        <w:t>系指响应采购方的采购需求并向磋商采购单位提交</w:t>
      </w:r>
      <w:r>
        <w:rPr>
          <w:rFonts w:hint="eastAsia" w:hAnsi="宋体" w:cs="宋体"/>
          <w:b/>
          <w:bCs/>
          <w:color w:val="auto"/>
          <w:sz w:val="21"/>
          <w:szCs w:val="21"/>
          <w:highlight w:val="none"/>
        </w:rPr>
        <w:t>磋商响应文件（又称“投标文件”）</w:t>
      </w:r>
      <w:r>
        <w:rPr>
          <w:rFonts w:hint="eastAsia" w:hAnsi="宋体" w:cs="宋体"/>
          <w:color w:val="auto"/>
          <w:sz w:val="21"/>
          <w:szCs w:val="21"/>
          <w:highlight w:val="none"/>
        </w:rPr>
        <w:t>的单位或个人。</w:t>
      </w:r>
    </w:p>
    <w:p w14:paraId="32CB9F30">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3.“服务”系指采购文件规定供应商须承担的2025年度预算管理一体化（预算执行）现场服务及省厅金财工程系统运维服务以及有关的伴随服务。</w:t>
      </w:r>
    </w:p>
    <w:p w14:paraId="0E3410E4">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4.“项目”系指响应供应商按磋商采购文件规定向采购人提供的专业服务和项目成果。</w:t>
      </w:r>
    </w:p>
    <w:p w14:paraId="451453A5">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5.“书面形式”包括信函、传真、电报等。</w:t>
      </w:r>
    </w:p>
    <w:p w14:paraId="70907D2F">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6.“★”系指实质性要求条款，</w:t>
      </w:r>
      <w:r>
        <w:rPr>
          <w:rFonts w:hint="eastAsia" w:hAnsi="宋体" w:cs="宋体"/>
          <w:color w:val="auto"/>
          <w:sz w:val="21"/>
          <w:highlight w:val="none"/>
        </w:rPr>
        <w:t>“▲”</w:t>
      </w:r>
      <w:r>
        <w:rPr>
          <w:rFonts w:hint="eastAsia" w:hAnsi="宋体" w:cs="宋体"/>
          <w:color w:val="auto"/>
          <w:sz w:val="21"/>
          <w:szCs w:val="21"/>
          <w:highlight w:val="none"/>
        </w:rPr>
        <w:t>系指</w:t>
      </w:r>
      <w:r>
        <w:rPr>
          <w:rFonts w:hint="eastAsia" w:hAnsi="宋体" w:cs="宋体"/>
          <w:color w:val="auto"/>
          <w:sz w:val="21"/>
          <w:highlight w:val="none"/>
        </w:rPr>
        <w:t>重</w:t>
      </w:r>
      <w:r>
        <w:rPr>
          <w:rFonts w:hint="eastAsia" w:hAnsi="宋体" w:cs="宋体"/>
          <w:color w:val="auto"/>
          <w:sz w:val="21"/>
          <w:szCs w:val="21"/>
          <w:highlight w:val="none"/>
        </w:rPr>
        <w:t>要条款。</w:t>
      </w:r>
    </w:p>
    <w:p w14:paraId="0BB975F6">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（三）采购方式</w:t>
      </w:r>
    </w:p>
    <w:p w14:paraId="5D752E2E">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本次采购采用竞争性磋商方式进行。</w:t>
      </w:r>
    </w:p>
    <w:p w14:paraId="2CB68078">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（四）磋商委托</w:t>
      </w:r>
    </w:p>
    <w:p w14:paraId="7AA0871A">
      <w:pPr>
        <w:autoSpaceDE/>
        <w:autoSpaceDN/>
        <w:adjustRightInd/>
        <w:spacing w:line="500" w:lineRule="exact"/>
        <w:ind w:firstLine="525" w:firstLineChars="250"/>
        <w:jc w:val="both"/>
        <w:textAlignment w:val="auto"/>
        <w:rPr>
          <w:rFonts w:hAnsi="宋体" w:cs="宋体"/>
          <w:b/>
          <w:color w:val="auto"/>
          <w:sz w:val="21"/>
          <w:szCs w:val="21"/>
          <w:highlight w:val="none"/>
        </w:rPr>
      </w:pPr>
      <w:r>
        <w:rPr>
          <w:rFonts w:hint="eastAsia" w:hAnsi="宋体" w:cs="宋体"/>
          <w:color w:val="auto"/>
          <w:sz w:val="21"/>
          <w:szCs w:val="21"/>
          <w:highlight w:val="none"/>
        </w:rPr>
        <w:t>响应供应商代表须携带有效身份证件。如响应供应商代表不是法定代表人（或单位负责人），须有法定代表人（或单位负责人）出具的授权委托书（正本用原件，副本用复印件）。</w:t>
      </w:r>
    </w:p>
    <w:p w14:paraId="16A6F77A">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（五）磋商费用</w:t>
      </w:r>
    </w:p>
    <w:p w14:paraId="75D1457C">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不论磋商结果如何，响应供应商均应自行承担所有与本次竞争性磋商有关的全部费用（磋商采购文件有相反规定除外）。</w:t>
      </w:r>
    </w:p>
    <w:p w14:paraId="62063824">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（六）联合体的竞争性磋商</w:t>
      </w:r>
    </w:p>
    <w:p w14:paraId="3360D524">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本项目不接受供应商以联合体形式参与磋商。</w:t>
      </w:r>
    </w:p>
    <w:p w14:paraId="291E079F">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（七）转包与分包</w:t>
      </w:r>
    </w:p>
    <w:p w14:paraId="3777D6BA">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1.本项目不允许转包。</w:t>
      </w:r>
    </w:p>
    <w:p w14:paraId="60125953">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2.非经采购单位允许，本项目不可以分包。</w:t>
      </w:r>
    </w:p>
    <w:p w14:paraId="4113B72C">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（八）特别说明：</w:t>
      </w:r>
    </w:p>
    <w:p w14:paraId="2082F8DC">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多家供应商参加竞争性磋商，如其中两家或两家以上供应商的法定代表人（或单位负责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磋商小组集体决定。</w:t>
      </w:r>
    </w:p>
    <w:p w14:paraId="387F18B6">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响应供应商参加竞争性磋商所使用的资格、信誉、荣誉、业绩与企业认证必须为本单位（或本投标联合体）所拥有。响应供应商参加竞争性磋商所使用的采购项目实施人员必须为本单位（或本投标联合体）员工。</w:t>
      </w:r>
    </w:p>
    <w:p w14:paraId="53143658">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响应供应商应仔细阅读磋商采购文件的所有内容，按照磋商采购文件的要求提交磋商响应文件。响应供应商必须对磋商响应文件所提供的全部资料的真实性承担法律责任，并无条件接受采购代理机构、采购人及政府采购监督管理部门等对其中任何资料进行核实的要求。</w:t>
      </w:r>
    </w:p>
    <w:p w14:paraId="01DC1C56">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4.“政采云”平台运营机构，以及与该机构有直接控股或者管理关系可能影响采购公正性的任何单位和个人，不得在该平台进行的政府采购项目电子交易中投标、响应政府采购项目。</w:t>
      </w:r>
    </w:p>
    <w:p w14:paraId="38F1C8E3">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响应供应商在竞争性磋商采购活动中提供任何虚假材料均视为无效，并将报请监管部门查处；成交后发现的,成交供应商须根据我国的相关法律法规进行处罚，且民事赔偿并不免除违法响应供应商的行政与刑事责任。</w:t>
      </w:r>
    </w:p>
    <w:p w14:paraId="1046B2BD">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（九）质疑和投诉</w:t>
      </w:r>
    </w:p>
    <w:p w14:paraId="518789D3">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响应供应商认为磋商采购文件、磋商采购过程或成交结果使自己的合法权益受到损害的，应当在知道或者应知其权益受到损害之日起七个工作日内，以书面形式向采购人、采购代理机构提出质疑。响应供应商对磋商采购人的质疑答复不满意或者磋商采购人未在规定时间内作出答复的，可以在答复期满后十五个工作日内向同级采购监管部门投诉。</w:t>
      </w:r>
    </w:p>
    <w:p w14:paraId="4100672F">
      <w:pPr>
        <w:autoSpaceDE/>
        <w:autoSpaceDN/>
        <w:adjustRightInd/>
        <w:spacing w:line="500" w:lineRule="exact"/>
        <w:ind w:firstLine="420" w:firstLineChars="200"/>
        <w:jc w:val="both"/>
        <w:rPr>
          <w:rFonts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财库【2014】214号《政府采购竞争性磋商采购方式管理暂行办法》等的规定，并分别采用财政部发布的《政府采购供应商质疑函范本》和《政府采购供应商投诉书范本》等书面形式，质疑书、投诉书均应明确阐述磋商采购文件、磋商采购过程或成交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188E99BF">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3.响应供应商</w:t>
      </w:r>
      <w:r>
        <w:rPr>
          <w:rFonts w:hint="eastAsia" w:hAnsi="宋体" w:cs="宋体"/>
          <w:color w:val="auto"/>
          <w:sz w:val="21"/>
          <w:szCs w:val="21"/>
          <w:highlight w:val="none"/>
          <w:lang w:val="zh-CN"/>
        </w:rPr>
        <w:t>须在法定质疑期内一次性提出针对同一采购程序环节的质疑。未按上述要求提供的质疑函，采购代理机构有权不予受理。</w:t>
      </w:r>
    </w:p>
    <w:p w14:paraId="3D81EFF1">
      <w:pPr>
        <w:pStyle w:val="6"/>
        <w:rPr>
          <w:color w:val="auto"/>
          <w:highlight w:val="none"/>
        </w:rPr>
      </w:pPr>
      <w:bookmarkStart w:id="90" w:name="_Toc27580"/>
      <w:r>
        <w:rPr>
          <w:rFonts w:hint="eastAsia"/>
          <w:color w:val="auto"/>
          <w:highlight w:val="none"/>
        </w:rPr>
        <w:t>二．磋商文件</w:t>
      </w:r>
      <w:bookmarkEnd w:id="90"/>
    </w:p>
    <w:p w14:paraId="4C886E4E">
      <w:pPr>
        <w:pStyle w:val="97"/>
        <w:numPr>
          <w:ilvl w:val="0"/>
          <w:numId w:val="9"/>
        </w:numPr>
        <w:spacing w:line="460" w:lineRule="exact"/>
        <w:ind w:firstLineChars="0"/>
        <w:rPr>
          <w:rFonts w:ascii="宋体" w:hAnsi="宋体" w:cs="宋体"/>
          <w:b/>
          <w:color w:val="auto"/>
          <w:szCs w:val="21"/>
          <w:highlight w:val="none"/>
        </w:rPr>
      </w:pPr>
      <w:r>
        <w:rPr>
          <w:rFonts w:hint="eastAsia" w:ascii="宋体" w:hAnsi="宋体" w:cs="宋体"/>
          <w:b/>
          <w:color w:val="auto"/>
          <w:szCs w:val="21"/>
          <w:highlight w:val="none"/>
        </w:rPr>
        <w:t>磋商文件的构成。本磋商文件由以下部分组成：</w:t>
      </w:r>
    </w:p>
    <w:p w14:paraId="37C686D2">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1.竞争性磋商公告</w:t>
      </w:r>
    </w:p>
    <w:p w14:paraId="084EB832">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2.采购需求</w:t>
      </w:r>
    </w:p>
    <w:p w14:paraId="24CD170B">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3.响应供应商须知</w:t>
      </w:r>
    </w:p>
    <w:p w14:paraId="692CA0B3">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4.磋商办法及评分标准</w:t>
      </w:r>
    </w:p>
    <w:p w14:paraId="123082D2">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5.合同主要条款</w:t>
      </w:r>
    </w:p>
    <w:p w14:paraId="4AF37F98">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6.递交的响应文件格式范例</w:t>
      </w:r>
    </w:p>
    <w:p w14:paraId="77B7D54C">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7.本项目磋商采购文件的澄清、答复、修改、补充的内容（如有）</w:t>
      </w:r>
    </w:p>
    <w:p w14:paraId="7EA79723">
      <w:pPr>
        <w:autoSpaceDE/>
        <w:autoSpaceDN/>
        <w:adjustRightInd/>
        <w:spacing w:line="500" w:lineRule="exact"/>
        <w:ind w:firstLine="211" w:firstLineChars="100"/>
        <w:jc w:val="both"/>
        <w:textAlignment w:val="auto"/>
        <w:rPr>
          <w:rFonts w:hAnsi="宋体" w:cs="宋体"/>
          <w:b/>
          <w:color w:val="auto"/>
          <w:sz w:val="21"/>
          <w:szCs w:val="21"/>
          <w:highlight w:val="none"/>
        </w:rPr>
      </w:pPr>
      <w:r>
        <w:rPr>
          <w:rFonts w:hint="eastAsia" w:hAnsi="宋体" w:cs="宋体"/>
          <w:b/>
          <w:color w:val="auto"/>
          <w:sz w:val="21"/>
          <w:szCs w:val="21"/>
          <w:highlight w:val="none"/>
        </w:rPr>
        <w:t>（二）响应供应商的风险</w:t>
      </w:r>
    </w:p>
    <w:p w14:paraId="6872989F">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1.响应供应商没有按照磋商采购文件要求提供全部资料，或者响应供应商没有对磋商采购文件在各方面作出实质性响应是响应供应商的风险，并可能导致其递交的磋商响应文件被拒绝。</w:t>
      </w:r>
    </w:p>
    <w:p w14:paraId="2A1D8008">
      <w:pPr>
        <w:pStyle w:val="2"/>
        <w:spacing w:after="0" w:line="500" w:lineRule="exact"/>
        <w:ind w:left="0" w:leftChars="0" w:firstLineChars="200"/>
        <w:jc w:val="left"/>
        <w:rPr>
          <w:rFonts w:ascii="宋体" w:hAnsi="宋体"/>
          <w:color w:val="auto"/>
          <w:kern w:val="0"/>
          <w:highlight w:val="none"/>
        </w:rPr>
      </w:pPr>
      <w:r>
        <w:rPr>
          <w:rFonts w:hint="eastAsia" w:ascii="宋体" w:hAnsi="宋体"/>
          <w:color w:val="auto"/>
          <w:kern w:val="0"/>
          <w:highlight w:val="none"/>
        </w:rPr>
        <w:t>2.采购人、采购代理机构不保证所有已完成报名的供应商都符合资格要求。</w:t>
      </w:r>
    </w:p>
    <w:p w14:paraId="317BEBDF">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（三）磋商采购文件的澄清与修改</w:t>
      </w:r>
    </w:p>
    <w:p w14:paraId="0FD700E7">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1.响应供应商应认真阅读本磋商采购文件，发现其中有误或有不合理要求的，响应供应商必须在</w:t>
      </w:r>
      <w:r>
        <w:rPr>
          <w:rFonts w:hint="eastAsia" w:hAnsi="宋体" w:cs="宋体"/>
          <w:b/>
          <w:color w:val="auto"/>
          <w:sz w:val="21"/>
          <w:szCs w:val="21"/>
          <w:highlight w:val="none"/>
        </w:rPr>
        <w:t>磋商响应文件递交截止时间5日前以书面形式要求磋商采购单位澄清。</w:t>
      </w:r>
      <w:r>
        <w:rPr>
          <w:rFonts w:hint="eastAsia" w:hAnsi="宋体" w:cs="宋体"/>
          <w:color w:val="auto"/>
          <w:sz w:val="21"/>
          <w:szCs w:val="21"/>
          <w:highlight w:val="none"/>
        </w:rPr>
        <w:t>采购代理机构对已发出的磋商采购文件进行必要澄清、答复、修改或补充的，应当在磋商采购文件要求提交磋商响应文件截止时间5日前，在财政部门指定的政府采购信息发布媒体上发布更正公告，并以书面形式通知所有磋商采购文件收受人。</w:t>
      </w:r>
    </w:p>
    <w:p w14:paraId="3BFD59A8">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2.采购代理机构必须以书面形式答复响应供应商要求澄清的问题，并将不包含问题来源的答复书面通知所有购买磋商采购文件的响应供应商；除书面答复以外的其他澄清方式及澄清内容均无效。</w:t>
      </w:r>
    </w:p>
    <w:p w14:paraId="6E2A0615">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3.磋商采购文件澄清、答复、修改、补充的内容为磋商采购文件的组成部分。当磋商采购文件与磋商采购文件的答复、澄清、修改、补充通知就同一内容的表述不一致时，以最后发出的书面文件为准。</w:t>
      </w:r>
    </w:p>
    <w:p w14:paraId="2EE96BFA">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4.磋商采购文件的澄清、答复、修改或补充都应该通过本代理机构以法定形式发布，采购人非通过本机构，不得擅自澄清、答复、修改或补充磋商采购文件。</w:t>
      </w:r>
    </w:p>
    <w:p w14:paraId="3166C3AB">
      <w:pPr>
        <w:pStyle w:val="6"/>
        <w:rPr>
          <w:color w:val="auto"/>
          <w:highlight w:val="none"/>
        </w:rPr>
      </w:pPr>
      <w:bookmarkStart w:id="91" w:name="_Toc8199"/>
      <w:r>
        <w:rPr>
          <w:rFonts w:hint="eastAsia"/>
          <w:color w:val="auto"/>
          <w:highlight w:val="none"/>
        </w:rPr>
        <w:t>三．磋商响应文件的编制</w:t>
      </w:r>
      <w:bookmarkEnd w:id="91"/>
    </w:p>
    <w:p w14:paraId="6A6CEE3F">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（一）磋商响应文件的组成</w:t>
      </w:r>
    </w:p>
    <w:p w14:paraId="7825ACB3">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1.磋商响应文件为电子投标文件。</w:t>
      </w:r>
    </w:p>
    <w:p w14:paraId="0EEDCAF0">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hint="eastAsia" w:hAnsi="宋体"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）及本采购文件要求制作、加密并递交；</w:t>
      </w:r>
    </w:p>
    <w:p w14:paraId="50CDA876">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（二）投标文件的组成</w:t>
      </w:r>
    </w:p>
    <w:p w14:paraId="77FB494F">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磋商响应文件（电子投标文件）由资格文件、商务技术响应文件和价格响应文件三部分组成。</w:t>
      </w:r>
    </w:p>
    <w:p w14:paraId="65CA37C4">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磋商响应文件（电子投标文件）中所须加盖公章部分均采用CA签章。</w:t>
      </w:r>
    </w:p>
    <w:p w14:paraId="15AF94A6">
      <w:pPr>
        <w:snapToGrid w:val="0"/>
        <w:spacing w:line="50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注：本项目磋商响应价格的信息只允许出现在“价格响应文件”中，不得出现在资格文件、商务技术响应文件中。</w:t>
      </w:r>
    </w:p>
    <w:p w14:paraId="387DBB34">
      <w:pPr>
        <w:snapToGrid w:val="0"/>
        <w:spacing w:line="460" w:lineRule="atLeast"/>
        <w:ind w:firstLine="422" w:firstLineChars="200"/>
        <w:textAlignment w:val="bottom"/>
        <w:rPr>
          <w:rFonts w:hAnsi="宋体" w:cs="宋体"/>
          <w:color w:val="auto"/>
          <w:highlight w:val="none"/>
        </w:rPr>
      </w:pPr>
      <w:r>
        <w:rPr>
          <w:rFonts w:hint="eastAsia" w:hAnsi="宋体" w:cs="宋体"/>
          <w:b/>
          <w:color w:val="auto"/>
          <w:sz w:val="21"/>
          <w:szCs w:val="21"/>
          <w:highlight w:val="none"/>
        </w:rPr>
        <w:t>1.资格文件部分</w:t>
      </w:r>
    </w:p>
    <w:p w14:paraId="1FFECCA8">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（1）有效期内的营业执照扫描件或复印件（复印件加盖有效公章）</w:t>
      </w:r>
    </w:p>
    <w:p w14:paraId="00CA58F5">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（2）符合参加政府采购活动应当具备的一般条件的承诺函（格式见附件）；</w:t>
      </w:r>
    </w:p>
    <w:p w14:paraId="30270D75">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（3）落实政府采购政策需满足的资格要求（格式见附件）；</w:t>
      </w:r>
    </w:p>
    <w:p w14:paraId="1D2C14A6">
      <w:pPr>
        <w:autoSpaceDE/>
        <w:autoSpaceDN/>
        <w:adjustRightInd/>
        <w:spacing w:line="460" w:lineRule="exact"/>
        <w:ind w:firstLine="422" w:firstLineChars="200"/>
        <w:jc w:val="both"/>
        <w:textAlignment w:val="auto"/>
        <w:rPr>
          <w:rFonts w:hAnsi="宋体" w:cs="宋体"/>
          <w:color w:val="auto"/>
          <w:sz w:val="21"/>
          <w:szCs w:val="21"/>
          <w:highlight w:val="none"/>
        </w:rPr>
      </w:pPr>
      <w:r>
        <w:rPr>
          <w:rFonts w:hint="eastAsia" w:hAnsi="宋体" w:cs="宋体"/>
          <w:b/>
          <w:color w:val="auto"/>
          <w:sz w:val="21"/>
          <w:szCs w:val="21"/>
          <w:highlight w:val="none"/>
        </w:rPr>
        <w:t>2.商务技术响应文件</w:t>
      </w:r>
    </w:p>
    <w:p w14:paraId="082A970A">
      <w:pPr>
        <w:pStyle w:val="124"/>
        <w:spacing w:line="460" w:lineRule="exact"/>
        <w:ind w:left="420" w:firstLine="0" w:firstLineChars="0"/>
        <w:textAlignment w:val="bottom"/>
        <w:rPr>
          <w:rFonts w:hAnsi="宋体" w:cs="宋体"/>
          <w:color w:val="auto"/>
          <w:sz w:val="21"/>
          <w:szCs w:val="21"/>
          <w:highlight w:val="none"/>
        </w:rPr>
      </w:pPr>
      <w:r>
        <w:rPr>
          <w:rFonts w:hint="eastAsia" w:ascii="宋体" w:hAnsi="宋体" w:cs="宋体"/>
          <w:color w:val="auto"/>
          <w:sz w:val="21"/>
          <w:szCs w:val="21"/>
          <w:highlight w:val="none"/>
        </w:rPr>
        <w:t>（1）响应供应商技术商务标自评得分汇总表；（格式内容参照技术商务评分表，格式见附件）；</w:t>
      </w:r>
    </w:p>
    <w:p w14:paraId="652A2E17">
      <w:pPr>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（2）法定代表人资格证明书及法定代表人授权委托书 （由法定代表人直接参加磋商并对相应文件签署的，只需提供前者 ）；</w:t>
      </w:r>
    </w:p>
    <w:p w14:paraId="2E1069FF">
      <w:pPr>
        <w:pStyle w:val="97"/>
        <w:snapToGrid w:val="0"/>
        <w:spacing w:line="460" w:lineRule="exact"/>
        <w:ind w:left="420" w:firstLine="0" w:firstLineChars="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（3）响应供应商情况表；（格式见附件）</w:t>
      </w:r>
    </w:p>
    <w:p w14:paraId="522698BF">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（4）服务条款对比表；（格式见附件）</w:t>
      </w:r>
    </w:p>
    <w:p w14:paraId="60B2EA8A">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（5）拟投入本项目的服务团队人员表；（格式见附件）</w:t>
      </w:r>
    </w:p>
    <w:p w14:paraId="480D75F3">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（6）商务条款偏离表；（格式见附件）</w:t>
      </w:r>
    </w:p>
    <w:p w14:paraId="3B475BAC">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（7）响应供应商2022年1月1日以来至今同类项目服务业绩（提供合同复印件加盖单位公章，格式见附件）；</w:t>
      </w:r>
    </w:p>
    <w:p w14:paraId="120CC2D7">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color w:val="auto"/>
          <w:sz w:val="21"/>
          <w:szCs w:val="21"/>
          <w:highlight w:val="none"/>
        </w:rPr>
        <w:t>（8）</w:t>
      </w:r>
      <w:r>
        <w:rPr>
          <w:rFonts w:hint="eastAsia" w:hAnsi="宋体" w:cs="宋体"/>
          <w:bCs/>
          <w:color w:val="auto"/>
          <w:sz w:val="21"/>
          <w:szCs w:val="21"/>
          <w:highlight w:val="none"/>
        </w:rPr>
        <w:t>针对本项目的详细服务方案（格式自拟）；</w:t>
      </w:r>
    </w:p>
    <w:p w14:paraId="07A96CA0">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14:paraId="2A2B0E12">
      <w:pPr>
        <w:spacing w:line="500" w:lineRule="exact"/>
        <w:ind w:firstLine="420" w:firstLineChars="200"/>
        <w:rPr>
          <w:rFonts w:hAnsi="宋体" w:cs="宋体"/>
          <w:color w:val="auto"/>
          <w:highlight w:val="none"/>
        </w:rPr>
      </w:pPr>
      <w:r>
        <w:rPr>
          <w:rFonts w:hint="eastAsia" w:hAnsi="宋体" w:cs="宋体"/>
          <w:bCs/>
          <w:color w:val="auto"/>
          <w:sz w:val="21"/>
          <w:szCs w:val="21"/>
          <w:highlight w:val="none"/>
        </w:rPr>
        <w:t>②实施方案</w:t>
      </w:r>
    </w:p>
    <w:p w14:paraId="604E1DDB">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（9）响应供应商</w:t>
      </w:r>
      <w:r>
        <w:rPr>
          <w:rFonts w:hint="eastAsia" w:hAnsi="宋体" w:cs="宋体"/>
          <w:bCs/>
          <w:color w:val="auto"/>
          <w:sz w:val="21"/>
          <w:szCs w:val="21"/>
          <w:highlight w:val="none"/>
        </w:rPr>
        <w:t>针对本项目的优惠条件及合理化建议</w:t>
      </w:r>
      <w:r>
        <w:rPr>
          <w:rFonts w:hint="eastAsia" w:hAnsi="宋体" w:cs="宋体"/>
          <w:color w:val="auto"/>
          <w:sz w:val="21"/>
          <w:szCs w:val="21"/>
          <w:highlight w:val="none"/>
        </w:rPr>
        <w:t>；</w:t>
      </w:r>
    </w:p>
    <w:p w14:paraId="3FEB6CEC">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（10）评分规则中涉及的所需提供的资料；</w:t>
      </w:r>
    </w:p>
    <w:p w14:paraId="1BE1C9BA">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（11）磋商响应供应商需要说明的其他文件和说明（格式自拟）。</w:t>
      </w:r>
    </w:p>
    <w:p w14:paraId="6A506594">
      <w:pPr>
        <w:autoSpaceDE/>
        <w:autoSpaceDN/>
        <w:adjustRightInd/>
        <w:spacing w:line="500" w:lineRule="exact"/>
        <w:ind w:firstLine="422" w:firstLineChars="200"/>
        <w:jc w:val="both"/>
        <w:textAlignment w:val="auto"/>
        <w:rPr>
          <w:rFonts w:hAnsi="宋体" w:cs="宋体"/>
          <w:b/>
          <w:color w:val="auto"/>
          <w:kern w:val="2"/>
          <w:sz w:val="21"/>
          <w:szCs w:val="21"/>
          <w:highlight w:val="none"/>
        </w:rPr>
      </w:pPr>
      <w:r>
        <w:rPr>
          <w:rFonts w:hint="eastAsia" w:hAnsi="宋体" w:cs="宋体"/>
          <w:b/>
          <w:color w:val="auto"/>
          <w:kern w:val="2"/>
          <w:sz w:val="21"/>
          <w:szCs w:val="21"/>
          <w:highlight w:val="none"/>
        </w:rPr>
        <w:t>（★</w:t>
      </w:r>
      <w:r>
        <w:rPr>
          <w:rFonts w:hint="eastAsia" w:hAnsi="宋体" w:cs="宋体"/>
          <w:b/>
          <w:color w:val="auto"/>
          <w:sz w:val="21"/>
          <w:szCs w:val="21"/>
          <w:highlight w:val="none"/>
        </w:rPr>
        <w:t>商务技术响应文件</w:t>
      </w:r>
      <w:r>
        <w:rPr>
          <w:rFonts w:hint="eastAsia" w:hAnsi="宋体" w:cs="宋体"/>
          <w:b/>
          <w:color w:val="auto"/>
          <w:kern w:val="2"/>
          <w:sz w:val="21"/>
          <w:szCs w:val="21"/>
          <w:highlight w:val="none"/>
        </w:rPr>
        <w:t>中不能出现报价信息）</w:t>
      </w:r>
    </w:p>
    <w:p w14:paraId="6E5972F6">
      <w:pPr>
        <w:autoSpaceDE/>
        <w:autoSpaceDN/>
        <w:adjustRightInd/>
        <w:spacing w:line="48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3.价格响应文件部分</w:t>
      </w:r>
    </w:p>
    <w:p w14:paraId="4298CB49">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（1）磋商响应函（加盖公章）（格式见附件）；</w:t>
      </w:r>
    </w:p>
    <w:p w14:paraId="0A5E188D">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（2）开标（报价）一览表（加盖公章）（格式见附件）；</w:t>
      </w:r>
    </w:p>
    <w:p w14:paraId="256D59DB">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（3）供应商针对报价需要说明的其他文件和说明（格式自拟）。</w:t>
      </w:r>
    </w:p>
    <w:p w14:paraId="02EC0019">
      <w:pPr>
        <w:autoSpaceDE/>
        <w:autoSpaceDN/>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备注：供应商必须按后附表规定的格式完整、清晰、正确的填写，磋商报价一览表中不得填报有选择性的报价方案。</w:t>
      </w:r>
    </w:p>
    <w:p w14:paraId="142EAB55">
      <w:pPr>
        <w:autoSpaceDE/>
        <w:autoSpaceDN/>
        <w:adjustRightInd/>
        <w:spacing w:line="46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（三）磋商响应文件的语言及计量</w:t>
      </w:r>
    </w:p>
    <w:p w14:paraId="71E6A13F">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★1.磋商响应文件以及供应商与磋商采购单位就有关磋商事宜的所有来往函电，均应以中文汉语书写。除签名、盖章、专用名称等特殊情形外，以中文汉语以外的文字表述的磋商响应文件视同未提供。</w:t>
      </w:r>
    </w:p>
    <w:p w14:paraId="157EB0C1">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★2.计量单位：磋商采购文件已有明确规定的，使用磋商采购文件规定的计量单位；磋商采购文件没有规定的，应采用中华人民共和国法定计量单位（货币单位：人民币元），否则视同未响应。</w:t>
      </w:r>
    </w:p>
    <w:p w14:paraId="552E793D">
      <w:pPr>
        <w:autoSpaceDE/>
        <w:autoSpaceDN/>
        <w:adjustRightInd/>
        <w:spacing w:line="46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（四）磋商报价</w:t>
      </w:r>
    </w:p>
    <w:p w14:paraId="1EBE52C0">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1.磋商报价应按竞争性磋商采购文件中相关附表格式填写。</w:t>
      </w:r>
    </w:p>
    <w:p w14:paraId="11353A96">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最终磋商报价是履行合同的最终结算总价，系指磋商文件所确定采购范围内全部运维服务工作内容的价格表现，应包含运维服务过程中产生的人员工资、福利、员工社保（包括养老、工伤、失业、医疗等）、保险费用、服务设备设施、用品工具的购置费、管理费用、售后服务费、培训费、验收费、采购代理费</w:t>
      </w:r>
      <w:r>
        <w:rPr>
          <w:rStyle w:val="143"/>
          <w:rFonts w:hint="eastAsia" w:hAnsi="宋体" w:cs="宋体"/>
          <w:color w:val="auto"/>
          <w:sz w:val="21"/>
          <w:szCs w:val="21"/>
          <w:highlight w:val="none"/>
        </w:rPr>
        <w:t>等整个项目的一切税金和费用</w:t>
      </w:r>
      <w:r>
        <w:rPr>
          <w:rFonts w:hint="eastAsia" w:hAnsi="宋体" w:cs="宋体"/>
          <w:color w:val="auto"/>
          <w:sz w:val="21"/>
          <w:highlight w:val="none"/>
        </w:rPr>
        <w:t>。</w:t>
      </w:r>
      <w:r>
        <w:rPr>
          <w:rFonts w:hint="eastAsia" w:hAnsi="宋体" w:cs="宋体"/>
          <w:color w:val="auto"/>
          <w:sz w:val="21"/>
          <w:szCs w:val="21"/>
          <w:highlight w:val="none"/>
        </w:rPr>
        <w:t>磋商响应供应商须充分考虑实际服务内容和需求，针对自身实际情况，核算所需的成本及合理的利润，自行报价，结算时由磋商供应商开具正式发票。</w:t>
      </w:r>
    </w:p>
    <w:p w14:paraId="21A78419">
      <w:pPr>
        <w:widowControl/>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3.本项目竞争性磋商报价高于最高限价的报价将作无效报价处理。</w:t>
      </w:r>
    </w:p>
    <w:p w14:paraId="7FDA3639">
      <w:pPr>
        <w:autoSpaceDE/>
        <w:autoSpaceDN/>
        <w:adjustRightInd/>
        <w:snapToGrid w:val="0"/>
        <w:spacing w:line="500" w:lineRule="exact"/>
        <w:ind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4.首次磋商报价</w:t>
      </w:r>
    </w:p>
    <w:p w14:paraId="535A5735">
      <w:pPr>
        <w:autoSpaceDE/>
        <w:autoSpaceDN/>
        <w:adjustRightInd/>
        <w:snapToGrid w:val="0"/>
        <w:spacing w:line="500" w:lineRule="exact"/>
        <w:ind w:firstLine="420" w:firstLineChars="200"/>
        <w:textAlignment w:val="auto"/>
        <w:rPr>
          <w:rFonts w:hAnsi="宋体" w:cs="宋体"/>
          <w:color w:val="auto"/>
          <w:sz w:val="21"/>
          <w:szCs w:val="21"/>
          <w:highlight w:val="none"/>
        </w:rPr>
      </w:pPr>
      <w:r>
        <w:rPr>
          <w:rFonts w:hint="eastAsia" w:hAnsi="宋体" w:cs="宋体"/>
          <w:bCs/>
          <w:color w:val="auto"/>
          <w:sz w:val="21"/>
          <w:szCs w:val="21"/>
          <w:highlight w:val="none"/>
        </w:rPr>
        <w:t>★（1）</w:t>
      </w:r>
      <w:r>
        <w:rPr>
          <w:rFonts w:hint="eastAsia" w:hAnsi="宋体" w:cs="宋体"/>
          <w:b/>
          <w:color w:val="auto"/>
          <w:sz w:val="21"/>
          <w:szCs w:val="21"/>
          <w:highlight w:val="none"/>
        </w:rPr>
        <w:t>供应商在价格响应文件中应就本项目的服务费进行首次磋商报价</w:t>
      </w:r>
      <w:r>
        <w:rPr>
          <w:rFonts w:hint="eastAsia" w:hAnsi="宋体" w:cs="宋体"/>
          <w:bCs/>
          <w:color w:val="auto"/>
          <w:sz w:val="21"/>
          <w:szCs w:val="21"/>
          <w:highlight w:val="none"/>
        </w:rPr>
        <w:t>。供</w:t>
      </w:r>
      <w:r>
        <w:rPr>
          <w:rFonts w:hint="eastAsia" w:hAnsi="宋体" w:cs="宋体"/>
          <w:color w:val="auto"/>
          <w:sz w:val="21"/>
          <w:szCs w:val="21"/>
          <w:highlight w:val="none"/>
        </w:rPr>
        <w:t>应商应结合自身综合实力、市场行情、本项目具体特点和技术要求进行首次磋商报价。</w:t>
      </w:r>
    </w:p>
    <w:p w14:paraId="1BF550D9">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（2）磋商响应文件只允许有一个首次磋商报价。</w:t>
      </w:r>
    </w:p>
    <w:p w14:paraId="631C16E1">
      <w:pPr>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5.最终磋商报价</w:t>
      </w:r>
    </w:p>
    <w:p w14:paraId="75623E9E">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在磋商谈判过程中，磋商小组可与供应商进行多轮谈判、磋商；供应商应按磋商小组要求</w:t>
      </w:r>
      <w:r>
        <w:rPr>
          <w:rFonts w:hint="eastAsia" w:hAnsi="宋体" w:cs="宋体"/>
          <w:color w:val="auto"/>
          <w:sz w:val="21"/>
          <w:szCs w:val="21"/>
          <w:highlight w:val="none"/>
          <w:shd w:val="clear" w:color="auto" w:fill="FFFFFF"/>
        </w:rPr>
        <w:t>在规定时间内进行最终</w:t>
      </w:r>
      <w:r>
        <w:rPr>
          <w:rFonts w:hint="eastAsia" w:hAnsi="宋体" w:cs="宋体"/>
          <w:color w:val="auto"/>
          <w:sz w:val="21"/>
          <w:szCs w:val="21"/>
          <w:highlight w:val="none"/>
        </w:rPr>
        <w:t>磋商</w:t>
      </w:r>
      <w:r>
        <w:rPr>
          <w:rFonts w:hint="eastAsia" w:hAnsi="宋体" w:cs="宋体"/>
          <w:color w:val="auto"/>
          <w:sz w:val="21"/>
          <w:szCs w:val="21"/>
          <w:highlight w:val="none"/>
          <w:shd w:val="clear" w:color="auto" w:fill="FFFFFF"/>
        </w:rPr>
        <w:t>报价</w:t>
      </w:r>
      <w:r>
        <w:rPr>
          <w:rFonts w:hint="eastAsia" w:hAnsi="宋体" w:cs="宋体"/>
          <w:color w:val="auto"/>
          <w:sz w:val="21"/>
          <w:szCs w:val="21"/>
          <w:highlight w:val="none"/>
        </w:rPr>
        <w:t>，被认可并接受的最终磋商报价是履行合同的服务结算总价。</w:t>
      </w:r>
    </w:p>
    <w:p w14:paraId="176AEA39">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（五）磋商响应文件的有效期</w:t>
      </w:r>
    </w:p>
    <w:p w14:paraId="482B6A37">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★1.自磋商响应文件递交截止日起90天磋商响应文件应保持有效。有效期不足的磋商响应文件将被拒绝。</w:t>
      </w:r>
    </w:p>
    <w:p w14:paraId="7602A447">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2.在特殊情况下，磋商采购单位可与供应商协商延长磋商响应文件的有效期，这种要求和答复均以书面形式进行。</w:t>
      </w:r>
    </w:p>
    <w:p w14:paraId="49DE0155">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 xml:space="preserve">3.响应供应商可拒绝接受延期要求。同意延长有效期的供应商不能以此为由修改磋商响应文件。 </w:t>
      </w:r>
    </w:p>
    <w:p w14:paraId="5D3EC27A">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4.成交供应商的磋商响应文件自磋商之日起至合同履行完毕止均应保持有效。</w:t>
      </w:r>
    </w:p>
    <w:p w14:paraId="5D4CF8F2">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（六）磋商响应文件的签署和份数</w:t>
      </w:r>
    </w:p>
    <w:p w14:paraId="79DCFD9F">
      <w:pPr>
        <w:widowControl/>
        <w:snapToGrid w:val="0"/>
        <w:spacing w:line="460" w:lineRule="exact"/>
        <w:ind w:firstLine="420"/>
        <w:rPr>
          <w:rFonts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w:t>
      </w:r>
      <w:r>
        <w:rPr>
          <w:rFonts w:hint="eastAsia" w:hAnsi="宋体" w:cs="宋体"/>
          <w:color w:val="auto"/>
          <w:sz w:val="21"/>
          <w:szCs w:val="21"/>
          <w:highlight w:val="none"/>
        </w:rPr>
        <w:t>磋商响应文件（投标文件）</w:t>
      </w:r>
      <w:r>
        <w:rPr>
          <w:rFonts w:hint="eastAsia" w:hAnsi="宋体" w:cs="宋体"/>
          <w:color w:val="auto"/>
          <w:sz w:val="21"/>
          <w:highlight w:val="none"/>
        </w:rPr>
        <w:t>部分：</w:t>
      </w:r>
    </w:p>
    <w:p w14:paraId="2F541A53">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供应商应根据“政采云供应商项目采购-电子交易操作指南”及本采购文件规定的格式和顺序编制电子投标文件并进行关联定位。</w:t>
      </w:r>
    </w:p>
    <w:p w14:paraId="562EAB25">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（七）磋商响应文件（投标文件）的包装、递交、修改和撤回</w:t>
      </w:r>
    </w:p>
    <w:p w14:paraId="4C4CA8EE">
      <w:pPr>
        <w:widowControl/>
        <w:autoSpaceDE/>
        <w:autoSpaceDN/>
        <w:adjustRightInd/>
        <w:snapToGrid w:val="0"/>
        <w:spacing w:line="460" w:lineRule="exact"/>
        <w:ind w:firstLine="42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1．供应商应当在投标截止时间前在“政采云”（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14:paraId="33EE00EF">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 供应商未在“政采云”（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14:paraId="72BEB005">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5C90907">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14:paraId="445472E4">
      <w:pPr>
        <w:autoSpaceDE/>
        <w:autoSpaceDN/>
        <w:adjustRightInd/>
        <w:spacing w:line="500" w:lineRule="exact"/>
        <w:ind w:firstLine="211" w:firstLineChars="100"/>
        <w:jc w:val="both"/>
        <w:textAlignment w:val="auto"/>
        <w:rPr>
          <w:rFonts w:hAnsi="宋体" w:cs="宋体"/>
          <w:b/>
          <w:color w:val="auto"/>
          <w:sz w:val="21"/>
          <w:szCs w:val="21"/>
          <w:highlight w:val="none"/>
        </w:rPr>
      </w:pPr>
      <w:r>
        <w:rPr>
          <w:rFonts w:hint="eastAsia" w:hAnsi="宋体" w:cs="宋体"/>
          <w:b/>
          <w:color w:val="auto"/>
          <w:sz w:val="21"/>
          <w:szCs w:val="21"/>
          <w:highlight w:val="none"/>
        </w:rPr>
        <w:t>（八）磋商响应文件无效的情形</w:t>
      </w:r>
    </w:p>
    <w:p w14:paraId="24D4D52C">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实质上没有响应磋商采购文件要求的磋商响应文件将被视为无效。响应供应商不得通过修正或撤销不合要求的偏离或保留从而使其磋商响应文件成为实质上响应采购人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采购文件要求的，应认定其为无效。响应供应商修改、补正磋商响应文件后，不影响磋商小组对其磋商响应文件所做的评价和评分结果。</w:t>
      </w:r>
    </w:p>
    <w:p w14:paraId="2BB81D7A">
      <w:pPr>
        <w:autoSpaceDE/>
        <w:autoSpaceDN/>
        <w:adjustRightInd/>
        <w:spacing w:line="500" w:lineRule="exact"/>
        <w:ind w:firstLine="420" w:firstLineChars="200"/>
        <w:jc w:val="both"/>
        <w:textAlignment w:val="auto"/>
        <w:rPr>
          <w:rFonts w:hAnsi="宋体" w:cs="宋体"/>
          <w:color w:val="auto"/>
          <w:sz w:val="21"/>
          <w:szCs w:val="21"/>
          <w:highlight w:val="none"/>
        </w:rPr>
      </w:pPr>
    </w:p>
    <w:p w14:paraId="1CB3A2CB">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1.在符合性审查和商务评审时，如发现下列情形之一的，磋商响应文件将被视为无效：</w:t>
      </w:r>
    </w:p>
    <w:p w14:paraId="4073DB13">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（1）资格证明文件不全的，或者不符合磋商采购文件标明的资格要求的；</w:t>
      </w:r>
    </w:p>
    <w:p w14:paraId="34880A80">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（2）磋商响应文件无法定代表人或其授权代表签字，或未提供法定代表人授权委托书或者填写项目不齐全的；</w:t>
      </w:r>
    </w:p>
    <w:p w14:paraId="71FAE431">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（3）磋商响应代表人未能出具身份证明或与法定代表人授权委托人身份不符的；</w:t>
      </w:r>
    </w:p>
    <w:p w14:paraId="0E2CBE68">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（4）磋商响应文件格式不规范、项目不齐全或者内容虚假的；</w:t>
      </w:r>
    </w:p>
    <w:p w14:paraId="36F1CBB5">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（5）磋商响应文件的实质性内容未使用中文表述、意思表述不明确、前后矛盾或者使用计量单位不符合招标文件要求的（经评标委员会认定并允许其当场更正的笔误除外）；</w:t>
      </w:r>
    </w:p>
    <w:p w14:paraId="4FAA8D6F">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（6）磋商响应有效期、服务时间、付款方式等商务条款不能满足磋商采购文件要求的；</w:t>
      </w:r>
    </w:p>
    <w:p w14:paraId="434B9ADF">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（7）电子磋商响应文件解密失败的；</w:t>
      </w:r>
    </w:p>
    <w:p w14:paraId="6EC6BA37">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（8）未实质性响应磋商采购文件要求或者磋商响应文件有采购方不能接受的附加条件的。</w:t>
      </w:r>
    </w:p>
    <w:p w14:paraId="7F0E9E49">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2.在技术评审时，如发现下列情形之一的，磋商响应文件将被视为无效：</w:t>
      </w:r>
    </w:p>
    <w:p w14:paraId="7C4E704B">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（1）不符合法律、法规和磋商采购文件中规定的其他实质性要求的（评标委员会一致认定）的；</w:t>
      </w:r>
    </w:p>
    <w:p w14:paraId="7245B236">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（2）明显不符合招标文件服务要求、服务质量标准，或者与磋商采购文件中标“★”的服务要求项目发生实质性偏离的；</w:t>
      </w:r>
    </w:p>
    <w:p w14:paraId="7559A84B">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（3）允许偏离的技术、性能指标或者辅助功能项目发生负偏离达10项（含）以上的；</w:t>
      </w:r>
    </w:p>
    <w:p w14:paraId="57D7E865">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（4）磋商响应技术方案不明确，存在一个或一个以上备选（替代）投标方案的；</w:t>
      </w:r>
    </w:p>
    <w:p w14:paraId="1BD0EF0C">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（5）与其他参加本次磋商响应供应商的投磋商响应文件（技术文件）的文字表述内容相同连续20行以上或者差错相同2处以上的。</w:t>
      </w:r>
    </w:p>
    <w:p w14:paraId="6B1BBE30">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3.在报价评审时，如发现下列情形之一的，磋商响应文件将被视为无效：</w:t>
      </w:r>
    </w:p>
    <w:p w14:paraId="03C2D887">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（1）未采用人民币报价或者未按照招标文件标明的币种报价的；</w:t>
      </w:r>
    </w:p>
    <w:p w14:paraId="46C144AD">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（2）磋商响应报价具有选择性，或者开标价格与投标文件承诺的优惠（折扣）价格不一致且未按要求进行修正的；</w:t>
      </w:r>
    </w:p>
    <w:p w14:paraId="2EDE20D2">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（3）磋商响应报价明细表总额与开标（报价）一览表总价不一致，且响应供应商拒绝按磋商采购文件规定的方式进行错误修正的；</w:t>
      </w:r>
    </w:p>
    <w:p w14:paraId="5178163C">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（4）磋商响应供应商的报价超过最高限价的；</w:t>
      </w:r>
    </w:p>
    <w:p w14:paraId="21DAD434">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5）评标委员会一致认为将获得中标候选资格的磋商响应供应商报价或某些分项报价明显不合理，有降低质量、不能诚信履约的可能，且该磋商响应供应商未在规定期限内作出解释，或所作解释不合理，经评标委员会取得一致意见后，确定该磋商响应供应商无效的；</w:t>
      </w:r>
    </w:p>
    <w:p w14:paraId="11AD82A5">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6）磋商响应供应商在线制作磋商响应文件时《开标（报价）一览表》中填写的金额与解密后“电子加密投标文件”中《开标（报价）一览表》填写的金额不一致的，以解密后“电子加密投标文件”中《开标（报价）一览表》填写的金额为准，磋商响应供应商拒绝接受此调整的，按无效投标处理；</w:t>
      </w:r>
    </w:p>
    <w:p w14:paraId="6EE1A729">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4.参加同一个标项的供应商存在下列情形之一的，投标无效：</w:t>
      </w:r>
    </w:p>
    <w:p w14:paraId="68862E2B">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（1）不同磋商响应供应商的响应文件由同一单位或者个人编制（同一IP地址上传投标、响应文件）；</w:t>
      </w:r>
    </w:p>
    <w:p w14:paraId="10C39B1D">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（2）不同磋商响应供应商的电子磋商响应文件上传计算机的网卡MAC地址或硬盘序列号等硬件信息相同的；</w:t>
      </w:r>
    </w:p>
    <w:p w14:paraId="3E20D07B">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（3）上传的电子磋商响应文件若出现使用本项目其他磋商响应供应商的数字证书加密的，或者加盖本项目其他磋商供应商的电子印章的；</w:t>
      </w:r>
    </w:p>
    <w:p w14:paraId="295D32E5">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（4）不同投标人联系人为同一人或不同联系人的联系电话一致的；</w:t>
      </w:r>
    </w:p>
    <w:p w14:paraId="2E650E71">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（5）磋商响应供应商的的响应文件相互混装；</w:t>
      </w:r>
    </w:p>
    <w:p w14:paraId="16A6115E">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（6）磋商响应供应商的响应文件异常一致；</w:t>
      </w:r>
    </w:p>
    <w:p w14:paraId="057DDADF">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（7）磋商响应供应商的响应保证金从同一账户转出；</w:t>
      </w:r>
    </w:p>
    <w:p w14:paraId="3F1AB89F">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（8）磋商响应供应商委托同一单位或个人办理磋商响应事宜。</w:t>
      </w:r>
    </w:p>
    <w:p w14:paraId="4F5BE61F">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5.被拒绝的磋商响应文件为无效响应文件。</w:t>
      </w:r>
    </w:p>
    <w:p w14:paraId="4748EB67">
      <w:pPr>
        <w:autoSpaceDE/>
        <w:autoSpaceDN/>
        <w:adjustRightInd/>
        <w:spacing w:line="480" w:lineRule="exact"/>
        <w:ind w:firstLine="316" w:firstLineChars="150"/>
        <w:jc w:val="both"/>
        <w:textAlignment w:val="auto"/>
        <w:rPr>
          <w:rFonts w:cs="宋体"/>
          <w:b/>
          <w:color w:val="auto"/>
          <w:sz w:val="21"/>
          <w:szCs w:val="21"/>
          <w:highlight w:val="none"/>
        </w:rPr>
      </w:pPr>
      <w:r>
        <w:rPr>
          <w:rFonts w:hint="eastAsia" w:cs="宋体"/>
          <w:b/>
          <w:color w:val="auto"/>
          <w:sz w:val="21"/>
          <w:szCs w:val="21"/>
          <w:highlight w:val="none"/>
        </w:rPr>
        <w:t>四、磋商流程</w:t>
      </w:r>
    </w:p>
    <w:p w14:paraId="4054FF53">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（一）磋商准备</w:t>
      </w:r>
    </w:p>
    <w:p w14:paraId="4C133A81">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采购代理机构将在规定的时间和地点举行磋商会议，响应供应商的法定代表人（或单位负责人）或其授权代表应参加磋商会议并签到。响应供应商的法定代表人（或单位负责人）或其授权代表未按时签到的，视同放弃磋商活动的监督权利、认可磋商结果。</w:t>
      </w:r>
    </w:p>
    <w:p w14:paraId="2F68CDEC">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（二）磋商程序</w:t>
      </w:r>
    </w:p>
    <w:p w14:paraId="544AF627">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1.磋商会议由采购代理机构主持，主持人宣布磋商会议开始；</w:t>
      </w:r>
    </w:p>
    <w:p w14:paraId="51BEC59A">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2.在开标后投标供应商登录“政采云”平台，用“项目采购-开标评标”功能进行解密（磋商响应文件）投标文件。若投标供应商在规定时间内无法解密或解密失败的，视为投标文件撤回。</w:t>
      </w:r>
    </w:p>
    <w:p w14:paraId="63ADD4B3">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color w:val="auto"/>
          <w:sz w:val="21"/>
          <w:szCs w:val="21"/>
          <w:highlight w:val="none"/>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hAnsi="宋体" w:cs="宋体"/>
          <w:bCs/>
          <w:color w:val="auto"/>
          <w:sz w:val="21"/>
          <w:szCs w:val="21"/>
          <w:highlight w:val="none"/>
        </w:rPr>
        <w:t>商务技术文件和报价文件的评审。</w:t>
      </w:r>
    </w:p>
    <w:p w14:paraId="5F8D199A">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4. 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14:paraId="2ECD1B58">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5. 商务技术文件评分结束后，然后在线开启报价文件，进行价格磋商，要求供应商提交最后报价。</w:t>
      </w:r>
    </w:p>
    <w:p w14:paraId="0F699656">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6.商务技术文件评审结果在线公布后，在线开启最后报价，并由评标委员会进行报价评审。</w:t>
      </w:r>
    </w:p>
    <w:p w14:paraId="6BFD055B">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7. 综合评审结果在线公布各供应商得分汇总，并在线提交（宣布）成交候选人。</w:t>
      </w:r>
    </w:p>
    <w:p w14:paraId="031680AB">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8. 评审结束后，代理机构宣布开标结束，并公布采购结果。</w:t>
      </w:r>
    </w:p>
    <w:p w14:paraId="5A9550C2">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注：政采云公司如对电子化开标及评审程序有调整的，按调整后的程序操作。</w:t>
      </w:r>
    </w:p>
    <w:p w14:paraId="3A123512">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五、磋商规则</w:t>
      </w:r>
    </w:p>
    <w:p w14:paraId="1D81CB22">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（一）组建磋商小组</w:t>
      </w:r>
    </w:p>
    <w:p w14:paraId="01EDFF24">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和采购代理机构将根据本项目的特点依法组建磋商小组，磋商小组由磋商采购人和有关技术、经济等方面三名或以上单数的专家组成，其中技术、经济等方面的专家不少于成员总数的三分之二。专家统一在政府采购专家管理系统（政采云）的专家库中随机抽取。</w:t>
      </w:r>
    </w:p>
    <w:p w14:paraId="449810E8">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（二）磋商的方式</w:t>
      </w:r>
    </w:p>
    <w:p w14:paraId="7F830BA4">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本项目采用不公开方式磋商，磋商的依据为磋商采购文件和磋商响应文件。</w:t>
      </w:r>
    </w:p>
    <w:p w14:paraId="61396821">
      <w:pPr>
        <w:pStyle w:val="63"/>
        <w:adjustRightInd w:val="0"/>
        <w:snapToGrid w:val="0"/>
        <w:spacing w:before="0" w:line="500" w:lineRule="exact"/>
        <w:ind w:firstLine="422"/>
        <w:jc w:val="left"/>
        <w:rPr>
          <w:rFonts w:ascii="宋体" w:hAnsi="宋体" w:cs="宋体"/>
          <w:b/>
          <w:color w:val="auto"/>
          <w:sz w:val="21"/>
          <w:szCs w:val="21"/>
          <w:highlight w:val="none"/>
        </w:rPr>
      </w:pPr>
      <w:r>
        <w:rPr>
          <w:rFonts w:hint="eastAsia" w:ascii="宋体" w:hAnsi="宋体" w:cs="宋体"/>
          <w:b/>
          <w:color w:val="auto"/>
          <w:sz w:val="21"/>
          <w:szCs w:val="21"/>
          <w:highlight w:val="none"/>
        </w:rPr>
        <w:t>（三）磋商响应文件鉴定</w:t>
      </w:r>
    </w:p>
    <w:p w14:paraId="3986BFDF">
      <w:pPr>
        <w:pStyle w:val="63"/>
        <w:adjustRightInd w:val="0"/>
        <w:snapToGrid w:val="0"/>
        <w:spacing w:before="0" w:line="50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1.在磋商前，磋商小组对每份</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进行符合性等方面的预审，如</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被确认为无效，采购代理机构将及时通知该供应商。</w:t>
      </w:r>
    </w:p>
    <w:p w14:paraId="76ABC815">
      <w:pPr>
        <w:pStyle w:val="63"/>
        <w:adjustRightInd w:val="0"/>
        <w:snapToGrid w:val="0"/>
        <w:spacing w:before="0" w:line="50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2.就本条款而言，实质上响应要求的</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，应该与文件的规定主要要求、条件、条款和规范相符，无显著差异或保留。</w:t>
      </w:r>
    </w:p>
    <w:p w14:paraId="198E2334">
      <w:pPr>
        <w:pStyle w:val="63"/>
        <w:adjustRightInd w:val="0"/>
        <w:snapToGrid w:val="0"/>
        <w:spacing w:before="0" w:line="50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3.如果</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实质上不响应磋商采购文件的要求，不允许通过修正或撤销不符合要求的差异或保留，使之成为具有响应性。</w:t>
      </w:r>
    </w:p>
    <w:p w14:paraId="3AD8E56D">
      <w:pPr>
        <w:pStyle w:val="63"/>
        <w:adjustRightInd w:val="0"/>
        <w:snapToGrid w:val="0"/>
        <w:spacing w:before="0" w:line="46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4.磋商响应文件中开标（报价）一览表内容与磋商响应文件中相应内容不一致的，以开标（报价）一览表为准；</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的大写金额和小写金额不一致的，以大写金额为准；总价金额与按单价汇总金额不一致的，以单价金额计算结果为准；单价金额小数点或者百分比有明显错位的，以开标（报价）一览表的总价为准，并修改单价；对不同文字文本</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的解释发生异议的，以中文文本为准。同时出现两种以上不一致的，按照前款规定的顺序修正。修正后的报价经响应供应商确认后产生约束力，供应商不确认的，其磋商报价无效。</w:t>
      </w:r>
    </w:p>
    <w:p w14:paraId="6986E763">
      <w:pPr>
        <w:pStyle w:val="24"/>
        <w:snapToGrid w:val="0"/>
        <w:spacing w:line="500" w:lineRule="exact"/>
        <w:ind w:firstLine="422" w:firstLineChars="200"/>
        <w:rPr>
          <w:rFonts w:hAnsi="宋体" w:cs="宋体"/>
          <w:b/>
          <w:color w:val="auto"/>
          <w:sz w:val="21"/>
          <w:highlight w:val="none"/>
        </w:rPr>
      </w:pPr>
      <w:r>
        <w:rPr>
          <w:rFonts w:hint="eastAsia" w:hAnsi="宋体" w:cs="宋体"/>
          <w:b/>
          <w:color w:val="auto"/>
          <w:sz w:val="21"/>
          <w:highlight w:val="none"/>
        </w:rPr>
        <w:t>（四）磋商原则</w:t>
      </w:r>
    </w:p>
    <w:p w14:paraId="238D71C7">
      <w:pPr>
        <w:pStyle w:val="24"/>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1.竞争优选。</w:t>
      </w:r>
    </w:p>
    <w:p w14:paraId="13A37880">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2.坚持公开、公平、公正、科学合理的原则。</w:t>
      </w:r>
    </w:p>
    <w:p w14:paraId="7B3CD600">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3.价格合理，方案</w:t>
      </w:r>
      <w:r>
        <w:rPr>
          <w:rFonts w:hint="eastAsia" w:hAnsi="宋体" w:cs="宋体"/>
          <w:color w:val="auto"/>
          <w:sz w:val="21"/>
          <w:szCs w:val="21"/>
          <w:highlight w:val="none"/>
        </w:rPr>
        <w:t>、</w:t>
      </w:r>
      <w:r>
        <w:rPr>
          <w:rFonts w:hint="eastAsia" w:hAnsi="宋体" w:cs="宋体"/>
          <w:color w:val="auto"/>
          <w:sz w:val="21"/>
          <w:szCs w:val="21"/>
          <w:highlight w:val="none"/>
          <w:lang w:val="zh-CN"/>
        </w:rPr>
        <w:t>产品先进可行。</w:t>
      </w:r>
    </w:p>
    <w:p w14:paraId="54D9EFCA">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4.反对不正当竞争。</w:t>
      </w:r>
    </w:p>
    <w:p w14:paraId="5C8D9FEE">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5.磋商小组将遵循评审原则的前提下，对供应商提供的</w:t>
      </w:r>
      <w:r>
        <w:rPr>
          <w:rFonts w:hint="eastAsia" w:hAnsi="宋体" w:cs="宋体"/>
          <w:color w:val="auto"/>
          <w:sz w:val="21"/>
          <w:szCs w:val="21"/>
          <w:highlight w:val="none"/>
        </w:rPr>
        <w:t>货物及</w:t>
      </w:r>
      <w:r>
        <w:rPr>
          <w:rFonts w:hint="eastAsia" w:hAnsi="宋体" w:cs="宋体"/>
          <w:color w:val="auto"/>
          <w:sz w:val="21"/>
          <w:szCs w:val="21"/>
          <w:highlight w:val="none"/>
          <w:lang w:val="zh-CN"/>
        </w:rPr>
        <w:t>服务、磋商价格、履约能力等进行分析。</w:t>
      </w:r>
    </w:p>
    <w:p w14:paraId="466A5438">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6.客观、公正对待所有供应商，对所有磋商评价，均采用相同的程序和标准。</w:t>
      </w:r>
    </w:p>
    <w:p w14:paraId="2531709D">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7.在磋商响应期间，供应商不得向磋商小组成员询问磋商情况，不得进行旨在影响磋商结果的活动，否则将废除其磋商资格。</w:t>
      </w:r>
    </w:p>
    <w:p w14:paraId="7C2E77DC">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8.在磋商过程中，磋商小组成员不得与供应商私下交换意见，在竞争性磋商工作结束后，凡与磋商情况有接触的人不得将磋商情况扩散出磋商小组成员之外。</w:t>
      </w:r>
    </w:p>
    <w:p w14:paraId="2FA3E273">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9.采购人不向未成交人解释未成交原因，不退还磋商响应文件。</w:t>
      </w:r>
    </w:p>
    <w:p w14:paraId="45261527">
      <w:pPr>
        <w:pStyle w:val="24"/>
        <w:snapToGrid w:val="0"/>
        <w:spacing w:line="500" w:lineRule="exact"/>
        <w:ind w:firstLine="422" w:firstLineChars="200"/>
        <w:rPr>
          <w:rFonts w:hAnsi="宋体" w:cs="宋体"/>
          <w:b/>
          <w:color w:val="auto"/>
          <w:sz w:val="21"/>
          <w:highlight w:val="none"/>
          <w:lang w:val="zh-CN"/>
        </w:rPr>
      </w:pPr>
      <w:r>
        <w:rPr>
          <w:rFonts w:hint="eastAsia" w:hAnsi="宋体" w:cs="宋体"/>
          <w:b/>
          <w:color w:val="auto"/>
          <w:sz w:val="21"/>
          <w:highlight w:val="none"/>
        </w:rPr>
        <w:t>（五）</w:t>
      </w:r>
      <w:r>
        <w:rPr>
          <w:rFonts w:hint="eastAsia" w:hAnsi="宋体" w:cs="宋体"/>
          <w:b/>
          <w:color w:val="auto"/>
          <w:sz w:val="21"/>
          <w:highlight w:val="none"/>
          <w:lang w:val="zh-CN"/>
        </w:rPr>
        <w:t>磋商程序</w:t>
      </w:r>
    </w:p>
    <w:p w14:paraId="4A8B5A39">
      <w:pPr>
        <w:tabs>
          <w:tab w:val="left" w:pos="0"/>
        </w:tabs>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1.根据公开、公平、公正、诚信科学的原则，组织竞争性磋商采购。</w:t>
      </w:r>
    </w:p>
    <w:p w14:paraId="0C2D0FF4">
      <w:pPr>
        <w:tabs>
          <w:tab w:val="left" w:pos="0"/>
        </w:tabs>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2.具体工作流程：</w:t>
      </w:r>
    </w:p>
    <w:p w14:paraId="6C2BE9C5">
      <w:pPr>
        <w:tabs>
          <w:tab w:val="left" w:pos="0"/>
        </w:tabs>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（1）磋商小组所有成员应当集中与单一供应商分别进行磋商，并给予所有参加磋商的供应商平等的磋商机会。</w:t>
      </w:r>
    </w:p>
    <w:p w14:paraId="3957B33D">
      <w:pPr>
        <w:tabs>
          <w:tab w:val="left" w:pos="0"/>
        </w:tabs>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（2）在磋商过程中，磋商小组可以根据磋商采购文件和磋商情况实质性变动采购需求中的技术、服务要求以及合同草案条款。实质性变动的内容，须经采购人代表确认。</w:t>
      </w:r>
    </w:p>
    <w:p w14:paraId="4B58FECD">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（3）磋商采购文件作出的实质性变动是磋商采购文件的有效组成部分，磋商小组应当及时以书面形式同时通知所有参加磋商的供应商。</w:t>
      </w:r>
    </w:p>
    <w:p w14:paraId="435AC5A6">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（4）供应商应当按照磋商采购文件的变动情况和磋商小组的要求重新提交响应文件，并由其法定代表人或授权代表签字或者加盖公章。由授权代表签字的，应当附法定代表人授权书。</w:t>
      </w:r>
    </w:p>
    <w:p w14:paraId="534D068D">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（六）最后报价</w:t>
      </w:r>
    </w:p>
    <w:p w14:paraId="24094C88">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1.磋商结束后，磋商小组应当要求所有实质性响应的供应商在规定时间内提交最后报价。</w:t>
      </w:r>
    </w:p>
    <w:p w14:paraId="65812D1B">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2.最后报价是磋商响应文件的有效组成部分。</w:t>
      </w:r>
    </w:p>
    <w:p w14:paraId="2F0B162B">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3.已提交磋商响应文件的供应商，在提交最后报价之前，若因磋商文件实质性变动导致供应商无法满足采购需求的，允许供应商退出磋商。</w:t>
      </w:r>
    </w:p>
    <w:p w14:paraId="772225A1">
      <w:pPr>
        <w:pStyle w:val="24"/>
        <w:snapToGrid w:val="0"/>
        <w:spacing w:line="500" w:lineRule="exact"/>
        <w:ind w:firstLine="420" w:firstLineChars="200"/>
        <w:rPr>
          <w:rFonts w:hAnsi="宋体" w:cs="宋体"/>
          <w:bCs/>
          <w:color w:val="auto"/>
          <w:sz w:val="21"/>
          <w:highlight w:val="none"/>
        </w:rPr>
      </w:pPr>
      <w:r>
        <w:rPr>
          <w:rFonts w:hint="eastAsia" w:hAnsi="宋体" w:cs="宋体"/>
          <w:color w:val="auto"/>
          <w:sz w:val="21"/>
          <w:highlight w:val="none"/>
        </w:rPr>
        <w:t>4.资信商务技术文件评审结果在线公布后，采购代理机构将在线开启最后报价。</w:t>
      </w:r>
    </w:p>
    <w:p w14:paraId="62A8917D">
      <w:pPr>
        <w:tabs>
          <w:tab w:val="left" w:pos="0"/>
        </w:tabs>
        <w:spacing w:line="500" w:lineRule="exact"/>
        <w:ind w:firstLine="422" w:firstLineChars="200"/>
        <w:rPr>
          <w:rFonts w:hAnsi="宋体" w:cs="宋体"/>
          <w:color w:val="auto"/>
          <w:sz w:val="21"/>
          <w:szCs w:val="21"/>
          <w:highlight w:val="none"/>
          <w:lang w:val="zh-CN"/>
        </w:rPr>
      </w:pPr>
      <w:r>
        <w:rPr>
          <w:rFonts w:hint="eastAsia" w:hAnsi="宋体" w:cs="宋体"/>
          <w:b/>
          <w:bCs/>
          <w:color w:val="auto"/>
          <w:sz w:val="21"/>
          <w:szCs w:val="21"/>
          <w:highlight w:val="none"/>
        </w:rPr>
        <w:t>（七） 磋商办法。</w:t>
      </w:r>
      <w:r>
        <w:rPr>
          <w:rFonts w:hint="eastAsia" w:hAnsi="宋体" w:cs="宋体"/>
          <w:color w:val="auto"/>
          <w:sz w:val="21"/>
          <w:szCs w:val="21"/>
          <w:highlight w:val="none"/>
        </w:rPr>
        <w:t>具体磋商内容及评分标准等详见《第四部分：磋商办法及评分标准》。</w:t>
      </w:r>
    </w:p>
    <w:p w14:paraId="3ADE78D2">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（八）磋商过程的监控</w:t>
      </w:r>
    </w:p>
    <w:p w14:paraId="6ECB1D45">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本项目磋商过程实行全程录音、录像监控，响应供应商在磋商过程中所进行的试图影响磋商结果的不公正活动，可能导致其磋商采购活动被拒绝。</w:t>
      </w:r>
    </w:p>
    <w:p w14:paraId="57B0B65D">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（九）中止电子交易活动的情形</w:t>
      </w:r>
    </w:p>
    <w:p w14:paraId="22692A8F">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磋商过程中出现以下情形，导致电子交易平台无法正常运行，或者无法保证电子交易的公平、公正和安全时，中止电子交易活动：</w:t>
      </w:r>
    </w:p>
    <w:p w14:paraId="39A6A2CA">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5C2CABE6">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71DB1F6D">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35F6F8B7">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7F438713">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43D22773">
      <w:pPr>
        <w:autoSpaceDE/>
        <w:autoSpaceDN/>
        <w:adjustRightInd/>
        <w:spacing w:line="500" w:lineRule="exact"/>
        <w:ind w:firstLine="420" w:firstLineChars="200"/>
        <w:jc w:val="both"/>
        <w:textAlignment w:val="auto"/>
        <w:rPr>
          <w:rFonts w:hAnsi="宋体" w:cs="宋体"/>
          <w:color w:val="auto"/>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56CFE252">
      <w:pPr>
        <w:autoSpaceDE/>
        <w:autoSpaceDN/>
        <w:adjustRightInd/>
        <w:spacing w:line="500" w:lineRule="exact"/>
        <w:ind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六．确定成交人</w:t>
      </w:r>
    </w:p>
    <w:p w14:paraId="7BC6F0CF">
      <w:pPr>
        <w:snapToGrid w:val="0"/>
        <w:spacing w:line="460" w:lineRule="exact"/>
        <w:ind w:firstLine="417" w:firstLineChars="199"/>
        <w:rPr>
          <w:rFonts w:hAnsi="宋体" w:cs="宋体"/>
          <w:color w:val="auto"/>
          <w:sz w:val="21"/>
          <w:szCs w:val="21"/>
          <w:highlight w:val="none"/>
        </w:rPr>
      </w:pPr>
      <w:r>
        <w:rPr>
          <w:rFonts w:hint="eastAsia" w:hAnsi="宋体" w:cs="宋体"/>
          <w:color w:val="auto"/>
          <w:sz w:val="21"/>
          <w:szCs w:val="21"/>
          <w:highlight w:val="none"/>
        </w:rPr>
        <w:t>1.磋商小组将根据磋商采购文件和有关规定，履行评审工作职责，以《磋商办法及评分标准》为标准，全面衡量各供应商对磋商文件的响应情况。对实质上响应磋商文件的供应商，以打分的方法，排出推荐成交的供应商的先后顺序，并按顺序提出授标建议。评审结果报经采购人同意，最终确定成交人。</w:t>
      </w:r>
    </w:p>
    <w:p w14:paraId="160F59B3">
      <w:pPr>
        <w:snapToGrid w:val="0"/>
        <w:spacing w:line="460" w:lineRule="exact"/>
        <w:ind w:firstLine="411" w:firstLineChars="196"/>
        <w:rPr>
          <w:rFonts w:hAnsi="宋体" w:cs="宋体"/>
          <w:b/>
          <w:color w:val="auto"/>
          <w:sz w:val="21"/>
          <w:szCs w:val="21"/>
          <w:highlight w:val="none"/>
        </w:rPr>
      </w:pPr>
      <w:r>
        <w:rPr>
          <w:rFonts w:hint="eastAsia" w:hAnsi="宋体" w:cs="宋体"/>
          <w:color w:val="auto"/>
          <w:sz w:val="21"/>
          <w:szCs w:val="21"/>
          <w:highlight w:val="none"/>
        </w:rPr>
        <w:t>2.采购人应当根据磋商小组推荐的顺序确定成交人，不得在磋商小组推荐的成交候选人以外确定成交人。</w:t>
      </w:r>
    </w:p>
    <w:p w14:paraId="6D8FCFA1">
      <w:pPr>
        <w:autoSpaceDE/>
        <w:autoSpaceDN/>
        <w:adjustRightInd/>
        <w:spacing w:line="46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3.采购代理机构在磋商结束后2个工作日内将磋商报告交采购人确认。</w:t>
      </w:r>
    </w:p>
    <w:p w14:paraId="481070B2">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4.响应供应商对磋商结果无异议的，采购人应在收到磋商报告后5个工作日内对磋商结果进行确认。如有响应供应商对磋商结果提出质疑的，采购人可在质疑处理完毕后确定成交供应商。</w:t>
      </w:r>
    </w:p>
    <w:p w14:paraId="197382E6">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5.磋商结果公示期：1个工作日。</w:t>
      </w:r>
    </w:p>
    <w:p w14:paraId="13FEDB77">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6.磋商结果公示的同时采购代理机构以书面形式发出《成交通知书》。</w:t>
      </w:r>
    </w:p>
    <w:p w14:paraId="3BC9E257">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七、合同授予</w:t>
      </w:r>
    </w:p>
    <w:p w14:paraId="77141F0A">
      <w:pPr>
        <w:pStyle w:val="3"/>
        <w:adjustRightInd w:val="0"/>
        <w:snapToGrid w:val="0"/>
        <w:spacing w:line="5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1.合同的签订</w:t>
      </w:r>
    </w:p>
    <w:p w14:paraId="7117AD51">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1.1除不可抗力等特殊情况外，采购人原则上应当在成交通知书发出之日起20日内，与成交人按照采购文件确定的事项签订政府采购合同，并在签订之日起2个工作日内将政府采购合同在浙江政府采购网上公告。</w:t>
      </w:r>
    </w:p>
    <w:p w14:paraId="78197762">
      <w:pPr>
        <w:pStyle w:val="63"/>
        <w:adjustRightInd w:val="0"/>
        <w:snapToGrid w:val="0"/>
        <w:spacing w:before="0" w:line="50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1D590E88">
      <w:pPr>
        <w:pStyle w:val="63"/>
        <w:adjustRightInd w:val="0"/>
        <w:snapToGrid w:val="0"/>
        <w:spacing w:before="0" w:line="5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1.3如签订合同并生效后，供应商无故拒绝或延期，除按照合同条款处理外，列入不良行为记录一次，并给予通报。</w:t>
      </w:r>
    </w:p>
    <w:p w14:paraId="4EB12817">
      <w:pPr>
        <w:pStyle w:val="63"/>
        <w:adjustRightInd w:val="0"/>
        <w:snapToGrid w:val="0"/>
        <w:spacing w:before="0" w:line="5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1.4成交人拒绝与采购人签订合同的，采购人可以按照评审报告推荐的中标或者成交候选人名单排序，确定下一候选人为成交人，也可以重新开展政府采购活动。</w:t>
      </w:r>
    </w:p>
    <w:p w14:paraId="19F36DD1">
      <w:pPr>
        <w:pStyle w:val="63"/>
        <w:adjustRightInd w:val="0"/>
        <w:snapToGrid w:val="0"/>
        <w:spacing w:before="0" w:line="5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1.5采购合同由采购人与成交人根据采购文件、磋商响应文件等内容通过政府采购电子交易平台在线签订，自动备案。</w:t>
      </w:r>
    </w:p>
    <w:p w14:paraId="1336CDB0">
      <w:pPr>
        <w:pStyle w:val="63"/>
        <w:adjustRightInd w:val="0"/>
        <w:snapToGrid w:val="0"/>
        <w:spacing w:before="0" w:line="50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1.6政府采购货物和服务项目不得收取质量保证金。政府采购工程以及与工程建设有关的货物、服务，采用招标方式采购的，按国家和省有关规定执行。</w:t>
      </w:r>
    </w:p>
    <w:p w14:paraId="228E054B">
      <w:pPr>
        <w:pStyle w:val="3"/>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2.预付款</w:t>
      </w:r>
    </w:p>
    <w:p w14:paraId="1221A75A">
      <w:pPr>
        <w:tabs>
          <w:tab w:val="left" w:pos="0"/>
        </w:tabs>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1EE37392">
      <w:pPr>
        <w:tabs>
          <w:tab w:val="left" w:pos="0"/>
        </w:tabs>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本项目合同签订生效且具备实施条件</w:t>
      </w:r>
      <w:r>
        <w:rPr>
          <w:rFonts w:hint="eastAsia" w:hAnsi="宋体" w:cs="宋体"/>
          <w:color w:val="auto"/>
          <w:sz w:val="21"/>
          <w:szCs w:val="21"/>
          <w:highlight w:val="none"/>
          <w:lang w:val="zh-CN"/>
        </w:rPr>
        <w:t>入场工作</w:t>
      </w:r>
      <w:r>
        <w:rPr>
          <w:rFonts w:hint="eastAsia" w:hAnsi="宋体" w:cs="宋体"/>
          <w:color w:val="auto"/>
          <w:sz w:val="21"/>
          <w:szCs w:val="21"/>
          <w:highlight w:val="none"/>
        </w:rPr>
        <w:t>后7个工作日内采购人支付成交人合同金额的</w:t>
      </w:r>
      <w:r>
        <w:rPr>
          <w:rFonts w:hint="eastAsia" w:hAnsi="宋体" w:cs="宋体"/>
          <w:b/>
          <w:bCs/>
          <w:color w:val="auto"/>
          <w:sz w:val="21"/>
          <w:szCs w:val="21"/>
          <w:highlight w:val="none"/>
        </w:rPr>
        <w:t>50%</w:t>
      </w:r>
      <w:r>
        <w:rPr>
          <w:rFonts w:hint="eastAsia" w:hAnsi="宋体" w:cs="宋体"/>
          <w:color w:val="auto"/>
          <w:sz w:val="21"/>
          <w:szCs w:val="21"/>
          <w:highlight w:val="none"/>
        </w:rPr>
        <w:t>作为预付款，但在签订合同时，</w:t>
      </w:r>
      <w:r>
        <w:rPr>
          <w:rFonts w:hint="eastAsia" w:hAnsi="宋体" w:cs="宋体"/>
          <w:bCs/>
          <w:color w:val="auto"/>
          <w:sz w:val="21"/>
          <w:szCs w:val="21"/>
          <w:highlight w:val="none"/>
        </w:rPr>
        <w:t>成交人</w:t>
      </w:r>
      <w:r>
        <w:rPr>
          <w:rFonts w:hint="eastAsia" w:hAnsi="宋体" w:cs="宋体"/>
          <w:color w:val="auto"/>
          <w:sz w:val="21"/>
          <w:szCs w:val="21"/>
          <w:highlight w:val="none"/>
        </w:rPr>
        <w:t>明确表示无需预付款或者主动要求降低预付款比例的，可降低预付款比例，且须在合同签订前与采购人沟通确定，并提供无需预付款或者降低预付款比例的承诺，双方就此条款可对合同中的支付方式进行调整。</w:t>
      </w:r>
    </w:p>
    <w:p w14:paraId="70EBCF31">
      <w:pPr>
        <w:pStyle w:val="3"/>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3.资金支付</w:t>
      </w:r>
    </w:p>
    <w:p w14:paraId="0D5EE7C2">
      <w:pPr>
        <w:pStyle w:val="3"/>
        <w:adjustRightInd w:val="0"/>
        <w:snapToGrid w:val="0"/>
        <w:spacing w:line="500" w:lineRule="exact"/>
        <w:ind w:firstLine="422" w:firstLineChars="200"/>
        <w:jc w:val="left"/>
        <w:rPr>
          <w:rFonts w:ascii="宋体" w:hAnsi="宋体" w:cs="宋体"/>
          <w:color w:val="auto"/>
          <w:sz w:val="21"/>
          <w:szCs w:val="21"/>
          <w:highlight w:val="none"/>
        </w:rPr>
      </w:pPr>
      <w:r>
        <w:rPr>
          <w:rFonts w:hint="eastAsia" w:ascii="宋体" w:hAnsi="宋体" w:cs="宋体"/>
          <w:b/>
          <w:color w:val="auto"/>
          <w:sz w:val="21"/>
          <w:szCs w:val="21"/>
          <w:highlight w:val="none"/>
        </w:rPr>
        <w:t>采购人应当及时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采购人对于满足合同约定支付条件的，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人不得以机构变动、人员更替、政策调整、单位放假、履行内部付款流程，或者在合同未作约定的情况下以等待竣工验收批复、决算审计等为由迟延付款。迟延支付中小企业款项的，供应商可要求采购人支付逾期利息。</w:t>
      </w:r>
    </w:p>
    <w:p w14:paraId="5E715D30">
      <w:pPr>
        <w:tabs>
          <w:tab w:val="left" w:pos="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本项目的资金支付按本磋商采购文件“第二部分 采购需求”之“付款方式”执行并在合同中进行约定。</w:t>
      </w:r>
    </w:p>
    <w:p w14:paraId="431438B2">
      <w:pPr>
        <w:snapToGrid w:val="0"/>
        <w:spacing w:line="500" w:lineRule="exact"/>
        <w:ind w:firstLine="422" w:firstLineChars="200"/>
        <w:rPr>
          <w:rFonts w:hAnsi="宋体" w:cs="宋体"/>
          <w:b/>
          <w:bCs/>
          <w:color w:val="auto"/>
          <w:sz w:val="21"/>
          <w:szCs w:val="21"/>
          <w:highlight w:val="none"/>
        </w:rPr>
      </w:pPr>
      <w:r>
        <w:rPr>
          <w:rFonts w:hint="eastAsia" w:hAnsi="宋体" w:cs="宋体"/>
          <w:b/>
          <w:color w:val="auto"/>
          <w:sz w:val="21"/>
          <w:szCs w:val="21"/>
          <w:highlight w:val="none"/>
        </w:rPr>
        <w:t>八、项目验收</w:t>
      </w:r>
    </w:p>
    <w:p w14:paraId="147576D5">
      <w:pPr>
        <w:tabs>
          <w:tab w:val="left" w:pos="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F59DB3">
      <w:pPr>
        <w:tabs>
          <w:tab w:val="left" w:pos="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3909F13C">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69B675">
      <w:pPr>
        <w:autoSpaceDE/>
        <w:autoSpaceDN/>
        <w:snapToGrid w:val="0"/>
        <w:spacing w:line="500" w:lineRule="exact"/>
        <w:ind w:firstLine="420" w:firstLineChars="200"/>
        <w:textAlignment w:val="auto"/>
        <w:rPr>
          <w:rFonts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14:paraId="4659519E">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14:paraId="23409EF8">
      <w:pPr>
        <w:autoSpaceDE/>
        <w:autoSpaceDN/>
        <w:adjustRightInd/>
        <w:spacing w:line="500" w:lineRule="exact"/>
        <w:ind w:firstLine="420" w:firstLineChars="200"/>
        <w:jc w:val="both"/>
        <w:textAlignment w:val="auto"/>
        <w:rPr>
          <w:rFonts w:hAnsi="宋体" w:cs="宋体"/>
          <w:b/>
          <w:color w:val="auto"/>
          <w:sz w:val="24"/>
          <w:szCs w:val="24"/>
          <w:highlight w:val="none"/>
        </w:rPr>
      </w:pPr>
      <w:bookmarkStart w:id="92" w:name="_Toc20376"/>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92"/>
    </w:p>
    <w:p w14:paraId="71DF3854">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九、电子投标特别提醒</w:t>
      </w:r>
    </w:p>
    <w:p w14:paraId="4B7615FB">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1.请所有供应商在政采云系统准时参加线上开标活动,并且要求法定代表人或授权委托人全程在线。</w:t>
      </w:r>
    </w:p>
    <w:p w14:paraId="412EF106">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2.磋商响应截止时间后，代理机构将线上开启解密，供应商需及时用CA锁在线解密，解密时间一般为半小时（解密时限由财政部门设置），逾期解密，供应商自行承担风险。</w:t>
      </w:r>
    </w:p>
    <w:p w14:paraId="7BFCB114">
      <w:pPr>
        <w:snapToGrid w:val="0"/>
        <w:spacing w:line="500" w:lineRule="exact"/>
        <w:ind w:firstLine="420"/>
        <w:rPr>
          <w:rFonts w:hAnsi="宋体" w:cs="宋体"/>
          <w:color w:val="auto"/>
          <w:sz w:val="21"/>
          <w:highlight w:val="none"/>
        </w:rPr>
      </w:pPr>
      <w:r>
        <w:rPr>
          <w:rFonts w:hint="eastAsia" w:hAnsi="宋体" w:cs="宋体"/>
          <w:color w:val="auto"/>
          <w:sz w:val="21"/>
          <w:highlight w:val="none"/>
        </w:rPr>
        <w:t>3.解密响应文件的CA锁必须跟制作响应文件的CA锁为同一个，否则将导致解密失败。</w:t>
      </w:r>
    </w:p>
    <w:p w14:paraId="22C8E285">
      <w:pPr>
        <w:snapToGrid w:val="0"/>
        <w:spacing w:line="500" w:lineRule="exact"/>
        <w:ind w:firstLine="420"/>
        <w:rPr>
          <w:rFonts w:hAnsi="宋体" w:cs="宋体"/>
          <w:color w:val="auto"/>
          <w:highlight w:val="none"/>
        </w:rPr>
      </w:pPr>
      <w:r>
        <w:rPr>
          <w:rFonts w:hint="eastAsia" w:hAnsi="宋体" w:cs="宋体"/>
          <w:bCs/>
          <w:color w:val="auto"/>
          <w:sz w:val="21"/>
          <w:szCs w:val="21"/>
          <w:highlight w:val="none"/>
        </w:rPr>
        <w:t>4.请务必确保</w:t>
      </w:r>
      <w:r>
        <w:rPr>
          <w:rFonts w:hint="eastAsia" w:hAnsi="宋体" w:cs="宋体"/>
          <w:color w:val="auto"/>
          <w:sz w:val="21"/>
          <w:highlight w:val="none"/>
        </w:rPr>
        <w:t>响应文件</w:t>
      </w:r>
      <w:r>
        <w:rPr>
          <w:rFonts w:hint="eastAsia" w:hAnsi="宋体" w:cs="宋体"/>
          <w:bCs/>
          <w:color w:val="auto"/>
          <w:sz w:val="21"/>
          <w:szCs w:val="21"/>
          <w:highlight w:val="none"/>
        </w:rPr>
        <w:t>制作客户端为最新版本，旧版本可能导致</w:t>
      </w:r>
      <w:r>
        <w:rPr>
          <w:rFonts w:hint="eastAsia" w:hAnsi="宋体" w:cs="宋体"/>
          <w:color w:val="auto"/>
          <w:sz w:val="21"/>
          <w:highlight w:val="none"/>
        </w:rPr>
        <w:t>响应</w:t>
      </w:r>
      <w:r>
        <w:rPr>
          <w:rFonts w:hint="eastAsia" w:hAnsi="宋体" w:cs="宋体"/>
          <w:bCs/>
          <w:color w:val="auto"/>
          <w:sz w:val="21"/>
          <w:szCs w:val="21"/>
          <w:highlight w:val="none"/>
        </w:rPr>
        <w:t>文件解密失</w:t>
      </w:r>
      <w:r>
        <w:rPr>
          <w:rFonts w:hint="eastAsia" w:hAnsi="宋体" w:cs="宋体"/>
          <w:bCs/>
          <w:color w:val="auto"/>
          <w:sz w:val="21"/>
          <w:szCs w:val="22"/>
          <w:highlight w:val="none"/>
        </w:rPr>
        <w:t>败。</w:t>
      </w:r>
    </w:p>
    <w:p w14:paraId="04329FED">
      <w:pPr>
        <w:widowControl/>
        <w:autoSpaceDE/>
        <w:autoSpaceDN/>
        <w:adjustRightInd/>
        <w:textAlignment w:val="auto"/>
        <w:rPr>
          <w:rFonts w:hAnsi="宋体" w:cs="宋体"/>
          <w:color w:val="auto"/>
          <w:highlight w:val="none"/>
        </w:rPr>
      </w:pPr>
      <w:r>
        <w:rPr>
          <w:rFonts w:hint="eastAsia" w:hAnsi="宋体" w:cs="宋体"/>
          <w:color w:val="auto"/>
          <w:highlight w:val="none"/>
        </w:rPr>
        <w:br w:type="page"/>
      </w:r>
    </w:p>
    <w:bookmarkEnd w:id="87"/>
    <w:bookmarkEnd w:id="88"/>
    <w:bookmarkEnd w:id="89"/>
    <w:p w14:paraId="73A46159">
      <w:pPr>
        <w:pStyle w:val="6"/>
        <w:spacing w:line="480" w:lineRule="exact"/>
        <w:jc w:val="center"/>
        <w:rPr>
          <w:rFonts w:hAnsi="宋体" w:cs="宋体"/>
          <w:color w:val="auto"/>
          <w:sz w:val="30"/>
          <w:szCs w:val="30"/>
          <w:highlight w:val="none"/>
        </w:rPr>
      </w:pPr>
      <w:bookmarkStart w:id="93" w:name="_Toc7235"/>
      <w:bookmarkStart w:id="94" w:name="_Toc14625"/>
      <w:bookmarkStart w:id="95" w:name="_Toc354841320"/>
      <w:bookmarkStart w:id="96" w:name="_Toc295910882"/>
      <w:bookmarkStart w:id="97" w:name="_Toc265065988"/>
      <w:bookmarkStart w:id="98" w:name="_Toc237193456"/>
      <w:bookmarkStart w:id="99" w:name="_Toc295737634"/>
      <w:bookmarkStart w:id="100" w:name="_Toc296074345"/>
      <w:bookmarkStart w:id="101" w:name="_Toc237189785"/>
      <w:bookmarkStart w:id="102" w:name="_Toc237340112"/>
      <w:bookmarkStart w:id="103" w:name="_Toc237413918"/>
      <w:bookmarkStart w:id="104" w:name="_Toc237414013"/>
      <w:bookmarkStart w:id="105" w:name="_Toc256977544"/>
      <w:bookmarkStart w:id="106" w:name="_Toc264211076"/>
      <w:r>
        <w:rPr>
          <w:rFonts w:hint="eastAsia" w:hAnsi="宋体" w:cs="宋体"/>
          <w:color w:val="auto"/>
          <w:sz w:val="30"/>
          <w:szCs w:val="30"/>
          <w:highlight w:val="none"/>
        </w:rPr>
        <w:t>第四部分  磋商办法及评分标准</w:t>
      </w:r>
      <w:bookmarkEnd w:id="93"/>
      <w:bookmarkEnd w:id="94"/>
      <w:bookmarkEnd w:id="95"/>
    </w:p>
    <w:p w14:paraId="719A520E">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为公正、公平、科学地选择成交供应商，按照《中华人民共和国政府采购法》等有关法律法规的规定，并结合本项目的实际，制定本办法。</w:t>
      </w:r>
    </w:p>
    <w:p w14:paraId="024E3898">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本办法适用本项目的磋商。</w:t>
      </w:r>
    </w:p>
    <w:p w14:paraId="23AC891F">
      <w:pPr>
        <w:pStyle w:val="42"/>
        <w:adjustRightInd w:val="0"/>
        <w:snapToGrid w:val="0"/>
        <w:spacing w:before="0" w:beforeAutospacing="0" w:after="0" w:afterAutospacing="0" w:line="500" w:lineRule="exact"/>
        <w:ind w:firstLine="422" w:firstLineChars="200"/>
        <w:rPr>
          <w:b/>
          <w:bCs/>
          <w:color w:val="auto"/>
          <w:highlight w:val="none"/>
        </w:rPr>
      </w:pPr>
      <w:r>
        <w:rPr>
          <w:rFonts w:hint="eastAsia"/>
          <w:b/>
          <w:color w:val="auto"/>
          <w:sz w:val="21"/>
          <w:szCs w:val="21"/>
          <w:highlight w:val="none"/>
        </w:rPr>
        <w:t>一、评审纪律和要求</w:t>
      </w:r>
    </w:p>
    <w:p w14:paraId="3D0F3F33">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7B9B6C1E">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6A5C1738">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2437E49A">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3B796BD4">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供应商竞争性谈判响应文件的合规性、完整性和有效性进行审查、比较和评估，其中对供应商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竞争性谈判响应文件的，可询问供应商，并允许供应商进行陈述申辩，但不允许其对偏离条款进行补充、修正或撤回</w:t>
      </w:r>
      <w:r>
        <w:rPr>
          <w:rFonts w:hint="eastAsia" w:hAnsi="宋体" w:cs="宋体"/>
          <w:color w:val="auto"/>
          <w:sz w:val="21"/>
          <w:szCs w:val="21"/>
          <w:highlight w:val="none"/>
        </w:rPr>
        <w:t>。</w:t>
      </w:r>
    </w:p>
    <w:p w14:paraId="2C137227">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6.采购人、采购代理机构不得向评审委员会的评审专家做倾向性、误导性的解释或者说明。</w:t>
      </w:r>
    </w:p>
    <w:p w14:paraId="287CDFBE">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14:paraId="1FBB9AFB">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30FED0F9">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成交人的合法依据，评审委员会应当如实、客观地反映评审情况，按招标文件的评审办法和细则的规定推荐成交候选人，说明推荐理由，并重点对成交候选人的技术、服务和价格等情况进行评价和比较。如排名第一的供应商报价为最高报价的，评审报告中须对其报价的合理性等进行分析和特别说明</w:t>
      </w:r>
      <w:r>
        <w:rPr>
          <w:rFonts w:hint="eastAsia" w:hAnsi="宋体" w:cs="宋体"/>
          <w:color w:val="auto"/>
          <w:sz w:val="21"/>
          <w:szCs w:val="21"/>
          <w:highlight w:val="none"/>
        </w:rPr>
        <w:t>。</w:t>
      </w:r>
    </w:p>
    <w:p w14:paraId="4C74C85C">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D7657D6">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38AD13DA">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评审委员会在评审过程中发现供应商有行贿、提供虚假材料或者串通等违法行为的，应当及时向财政部门报告。</w:t>
      </w:r>
    </w:p>
    <w:p w14:paraId="1E9F127D">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635560A6">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13.评审专家应当配合采购代理机构答复供应商提出的质疑。</w:t>
      </w:r>
    </w:p>
    <w:p w14:paraId="721BDA3A">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2DDEE597">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1D2426FD">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①明知应当回避而未主动回避的；</w:t>
      </w:r>
    </w:p>
    <w:p w14:paraId="2A1D3A0A">
      <w:pPr>
        <w:autoSpaceDE/>
        <w:autoSpaceDN/>
        <w:snapToGrid w:val="0"/>
        <w:spacing w:line="500" w:lineRule="exact"/>
        <w:ind w:firstLine="376" w:firstLineChars="200"/>
        <w:textAlignment w:val="auto"/>
        <w:rPr>
          <w:rFonts w:hAnsi="宋体" w:cs="宋体"/>
          <w:color w:val="auto"/>
          <w:sz w:val="21"/>
          <w:szCs w:val="21"/>
          <w:highlight w:val="none"/>
        </w:rPr>
      </w:pPr>
      <w:r>
        <w:rPr>
          <w:rFonts w:hint="eastAsia" w:hAnsi="宋体" w:cs="宋体"/>
          <w:snapToGrid w:val="0"/>
          <w:color w:val="auto"/>
          <w:spacing w:val="-11"/>
          <w:sz w:val="21"/>
          <w:szCs w:val="21"/>
          <w:highlight w:val="none"/>
        </w:rPr>
        <w:t>②在得知自己为评审专家身份后至评审结束前时段内私下接触供应商的</w:t>
      </w:r>
      <w:r>
        <w:rPr>
          <w:rFonts w:hint="eastAsia" w:hAnsi="宋体" w:cs="宋体"/>
          <w:color w:val="auto"/>
          <w:sz w:val="21"/>
          <w:szCs w:val="21"/>
          <w:highlight w:val="none"/>
        </w:rPr>
        <w:t>；</w:t>
      </w:r>
    </w:p>
    <w:p w14:paraId="72BF9241">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1C4BEB2A">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48F4DFF2">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412FBA79">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⑥上述①至⑤行为影响成交结果的，成交结果无效。</w:t>
      </w:r>
    </w:p>
    <w:p w14:paraId="39CC53F5">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E24E5CA">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政府采购评审专家与供应商存在利害关系未回避的，处2万元以上5万元以下的罚款，禁止其参加政府采购评审活动。</w:t>
      </w:r>
    </w:p>
    <w:p w14:paraId="6B5F7AB1">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政府采购评审专家收受采购人、采购代理机构、供应商贿赂或者获取其他不正当利益，构成犯罪的，依法追究刑事责任；尚不构成犯罪的，处2万元以上5万元以下的罚款，禁止其参加政府采购评审活动。</w:t>
      </w:r>
    </w:p>
    <w:p w14:paraId="72063AB8">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6857D6F5">
      <w:pPr>
        <w:pStyle w:val="42"/>
        <w:adjustRightInd w:val="0"/>
        <w:snapToGrid w:val="0"/>
        <w:spacing w:before="0" w:beforeAutospacing="0" w:after="0" w:afterAutospacing="0" w:line="500" w:lineRule="exact"/>
        <w:ind w:firstLine="422" w:firstLineChars="200"/>
        <w:rPr>
          <w:b/>
          <w:color w:val="auto"/>
          <w:sz w:val="21"/>
          <w:szCs w:val="21"/>
          <w:highlight w:val="none"/>
        </w:rPr>
      </w:pPr>
      <w:r>
        <w:rPr>
          <w:rFonts w:hint="eastAsia"/>
          <w:b/>
          <w:color w:val="auto"/>
          <w:sz w:val="21"/>
          <w:szCs w:val="21"/>
          <w:highlight w:val="none"/>
        </w:rPr>
        <w:t>二、评标定标时对政府采购政策的落实要求</w:t>
      </w:r>
    </w:p>
    <w:p w14:paraId="19C6E1AB">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1.采购项目需要落实的政府采购政策</w:t>
      </w:r>
    </w:p>
    <w:p w14:paraId="12DC8DD6">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402D779">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1.2 支持绿色发展</w:t>
      </w:r>
    </w:p>
    <w:p w14:paraId="59F1A5B9">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CEA8B65">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A9E6B89">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1.3支持中小企业发展</w:t>
      </w:r>
    </w:p>
    <w:p w14:paraId="09B8705E">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FE1ABBE">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符合中小企业划分标准的个体工商户，在政府采购活动中视同中小企业。</w:t>
      </w:r>
    </w:p>
    <w:p w14:paraId="2DBBCF00">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1.3.2在政府采购活动中，供应商提供的货物、工程或者服务符合下列情形的，享受中小企业扶持政策：</w:t>
      </w:r>
    </w:p>
    <w:p w14:paraId="20926859">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1.3.2.1在货物采购项目中，货物由中小企业制造，即货物由中小企业生产且使用该中小企业商号或者注册商标；</w:t>
      </w:r>
    </w:p>
    <w:p w14:paraId="04ABBABC">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1.3.2.2在工程采购项目中，工程由中小企业承建，即工程施工单位为中小企业；</w:t>
      </w:r>
    </w:p>
    <w:p w14:paraId="7F797885">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1.3.2.3在服务采购项目中，服务由中小企业承接，即提供服务的人员为中小企业依照《中华人民共和国劳动合同法》订立劳动合同的从业人员。</w:t>
      </w:r>
    </w:p>
    <w:p w14:paraId="40D895C7">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在货物采购项目中，供应商提供的货物既有中小企业制造货物，也有大型企业制造货物的，不享受中小企业扶持政策。</w:t>
      </w:r>
    </w:p>
    <w:p w14:paraId="0371E5B8">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以联合体形式参加政府采购活动，联合体各方均为中小企业的，联合体视同中小企业。其中，联合体各方均为小微企业的，联合体视同小微企业。</w:t>
      </w:r>
    </w:p>
    <w:p w14:paraId="2D8C5D9F">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041E969">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1.3.4符合《关于促进残疾人就业政府采购政策的通知》（财库〔2017〕141号）规定的条件并提供《残疾人福利性单位声明函》的残疾人福利性单位视同小型、微型企业；</w:t>
      </w:r>
    </w:p>
    <w:p w14:paraId="4ADC8E9E">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6BD76E">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DBEFEF6">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1.3.7中小企业享受扶持政策获得政府采购合同的，小微企业不得将合同分包给大中型企业，中型企业不得将合同分包给大型企业。</w:t>
      </w:r>
    </w:p>
    <w:p w14:paraId="6B96C5AF">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1.4支持创新发展</w:t>
      </w:r>
    </w:p>
    <w:p w14:paraId="7147DB47">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1.4.1 采购人优先采购被认定为首台套产品和“制造精品”的自主创新产品。</w:t>
      </w:r>
    </w:p>
    <w:p w14:paraId="7F04D707">
      <w:pPr>
        <w:pStyle w:val="42"/>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1.4.2</w:t>
      </w:r>
      <w:r>
        <w:rPr>
          <w:rFonts w:hint="eastAsia"/>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color w:val="auto"/>
          <w:sz w:val="21"/>
          <w:szCs w:val="21"/>
          <w:highlight w:val="none"/>
        </w:rPr>
        <w:t>。</w:t>
      </w:r>
    </w:p>
    <w:p w14:paraId="23FF6287">
      <w:pPr>
        <w:autoSpaceDE/>
        <w:autoSpaceDN/>
        <w:adjustRightInd/>
        <w:spacing w:line="500" w:lineRule="exact"/>
        <w:ind w:firstLine="420" w:firstLineChars="200"/>
        <w:jc w:val="both"/>
        <w:textAlignment w:val="auto"/>
        <w:rPr>
          <w:rFonts w:hAnsi="宋体" w:cs="宋体"/>
          <w:b/>
          <w:color w:val="auto"/>
          <w:sz w:val="21"/>
          <w:szCs w:val="21"/>
          <w:highlight w:val="none"/>
        </w:rPr>
      </w:pPr>
      <w:bookmarkStart w:id="107" w:name="_Toc15807"/>
      <w:r>
        <w:rPr>
          <w:rFonts w:hint="eastAsia" w:hAnsi="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hint="eastAsia" w:hAnsi="宋体" w:cs="宋体"/>
          <w:bCs/>
          <w:color w:val="auto"/>
          <w:sz w:val="21"/>
          <w:szCs w:val="21"/>
          <w:highlight w:val="none"/>
        </w:rPr>
        <w:t>https://zfcg. czt.zj. gov.cn/</w:t>
      </w:r>
      <w:r>
        <w:rPr>
          <w:rFonts w:hint="eastAsia" w:hAnsi="宋体" w:cs="宋体"/>
          <w:color w:val="auto"/>
          <w:sz w:val="21"/>
          <w:szCs w:val="21"/>
          <w:highlight w:val="none"/>
        </w:rPr>
        <w:t xml:space="preserve">)的中小企业信用融资栏目了解相关信息。 </w:t>
      </w:r>
      <w:r>
        <w:rPr>
          <w:rFonts w:hint="eastAsia" w:hAnsi="宋体" w:cs="宋体"/>
          <w:bCs/>
          <w:color w:val="auto"/>
          <w:sz w:val="21"/>
          <w:szCs w:val="21"/>
          <w:highlight w:val="none"/>
        </w:rPr>
        <w:t>供应商可以通过浙江政府采购网(https://zfcg. czt.zj. gov.cn/)首页的“政采云金融服务”模块进入申请，还可以通过政府采购云平台(https://www.zcygov.cn/)首页的“金融服务”模块进入申请。</w:t>
      </w:r>
      <w:bookmarkEnd w:id="107"/>
    </w:p>
    <w:p w14:paraId="5FF34802">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三、磋商内容及标准</w:t>
      </w:r>
    </w:p>
    <w:p w14:paraId="0398F2BF">
      <w:pPr>
        <w:autoSpaceDE/>
        <w:autoSpaceDN/>
        <w:adjustRightInd/>
        <w:spacing w:line="500" w:lineRule="exact"/>
        <w:ind w:firstLine="422" w:firstLineChars="200"/>
        <w:jc w:val="both"/>
        <w:textAlignment w:val="auto"/>
        <w:rPr>
          <w:rFonts w:hAnsi="宋体" w:cs="宋体"/>
          <w:color w:val="auto"/>
          <w:sz w:val="21"/>
          <w:szCs w:val="21"/>
          <w:highlight w:val="none"/>
        </w:rPr>
      </w:pPr>
      <w:r>
        <w:rPr>
          <w:rFonts w:hint="eastAsia" w:hAnsi="宋体" w:cs="宋体"/>
          <w:b/>
          <w:color w:val="auto"/>
          <w:sz w:val="21"/>
          <w:szCs w:val="21"/>
          <w:highlight w:val="none"/>
        </w:rPr>
        <w:t>1.本次磋商采用综合评分法</w:t>
      </w:r>
      <w:r>
        <w:rPr>
          <w:rFonts w:hint="eastAsia" w:hAnsi="宋体" w:cs="宋体"/>
          <w:color w:val="auto"/>
          <w:sz w:val="21"/>
          <w:szCs w:val="21"/>
          <w:highlight w:val="none"/>
        </w:rPr>
        <w:t>，总分为100分，由</w:t>
      </w:r>
      <w:r>
        <w:rPr>
          <w:rFonts w:hint="eastAsia" w:hAnsi="宋体" w:cs="宋体"/>
          <w:b/>
          <w:color w:val="auto"/>
          <w:sz w:val="21"/>
          <w:szCs w:val="21"/>
          <w:highlight w:val="none"/>
        </w:rPr>
        <w:t>价格分（磋商报价得分）15分、技术商务分85分</w:t>
      </w:r>
      <w:r>
        <w:rPr>
          <w:rFonts w:hint="eastAsia" w:hAnsi="宋体" w:cs="宋体"/>
          <w:color w:val="auto"/>
          <w:sz w:val="21"/>
          <w:szCs w:val="21"/>
          <w:highlight w:val="none"/>
        </w:rPr>
        <w:t>二部分组成。合格响应供应商的磋商得分为各项目汇总得分，成交候选资格按磋商汇总得分由高到低顺序排列；汇总得分相同的，按价格分由高到低顺序排列。排名第一的响应供应商为成交候选人，排名第二的响应供应商为候补成交候选人……其他响应供应商成交候选资格依此类推。评分过程中采用四舍五入法，并保留小数2位。</w:t>
      </w:r>
    </w:p>
    <w:p w14:paraId="58491B25">
      <w:pPr>
        <w:autoSpaceDE/>
        <w:autoSpaceDN/>
        <w:adjustRightInd/>
        <w:spacing w:line="500" w:lineRule="exact"/>
        <w:ind w:firstLine="420" w:firstLineChars="200"/>
        <w:jc w:val="both"/>
        <w:textAlignment w:val="auto"/>
        <w:rPr>
          <w:rFonts w:hAnsi="宋体" w:cs="宋体"/>
          <w:b/>
          <w:color w:val="auto"/>
          <w:sz w:val="21"/>
          <w:szCs w:val="21"/>
          <w:highlight w:val="none"/>
        </w:rPr>
      </w:pPr>
      <w:r>
        <w:rPr>
          <w:rFonts w:hint="eastAsia" w:hAnsi="宋体" w:cs="宋体"/>
          <w:color w:val="auto"/>
          <w:sz w:val="21"/>
          <w:szCs w:val="21"/>
          <w:highlight w:val="none"/>
        </w:rPr>
        <w:t>响应供应商磋商综合得分=价格分+技术商务分</w:t>
      </w:r>
    </w:p>
    <w:p w14:paraId="0402D064">
      <w:pPr>
        <w:autoSpaceDE/>
        <w:autoSpaceDN/>
        <w:adjustRightInd/>
        <w:spacing w:line="46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2.价格分:</w:t>
      </w:r>
      <w:r>
        <w:rPr>
          <w:rFonts w:hint="eastAsia" w:hAnsi="宋体" w:cs="宋体"/>
          <w:color w:val="auto"/>
          <w:sz w:val="21"/>
          <w:szCs w:val="21"/>
          <w:highlight w:val="none"/>
        </w:rPr>
        <w:t>价格分采用低价优先法计算，即：以满足招标文件要求且最终磋商报价最低价者定为磋商基准价，其价格分为满分。其他合格响应供应商的价格分统一按照下列公式计算：</w:t>
      </w:r>
    </w:p>
    <w:p w14:paraId="14C10A41">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其他合格响应供应商的价格分=（磋商基准价/该供应商的最终磋商报价）×15%×100</w:t>
      </w:r>
    </w:p>
    <w:p w14:paraId="3ACE7B11">
      <w:pPr>
        <w:numPr>
          <w:ilvl w:val="255"/>
          <w:numId w:val="0"/>
        </w:numPr>
        <w:autoSpaceDE/>
        <w:autoSpaceDN/>
        <w:adjustRightInd/>
        <w:spacing w:line="460" w:lineRule="exact"/>
        <w:ind w:left="142" w:firstLine="210" w:firstLineChars="100"/>
        <w:jc w:val="both"/>
        <w:rPr>
          <w:rFonts w:hAnsi="宋体" w:cs="宋体"/>
          <w:bCs/>
          <w:color w:val="auto"/>
          <w:sz w:val="21"/>
          <w:szCs w:val="21"/>
          <w:highlight w:val="none"/>
        </w:rPr>
      </w:pPr>
      <w:r>
        <w:rPr>
          <w:rFonts w:hint="eastAsia" w:hAnsi="宋体" w:cs="宋体"/>
          <w:bCs/>
          <w:color w:val="auto"/>
          <w:sz w:val="21"/>
          <w:szCs w:val="21"/>
          <w:highlight w:val="none"/>
        </w:rPr>
        <w:t>3.磋商小组认为响应供应商的报价明显低于其他通过符合性审查响应供应商的报价且报价低于最高限价50%时，有可能影响服务质量或者不能诚信履约的，将要求其在磋商现场（在线）合理的时间内提供书面说明，必要时提交相关证明材料；响应供应商不能证明其报价合理性的，磋商小组可将其作为无效响应文件处理。</w:t>
      </w:r>
    </w:p>
    <w:p w14:paraId="1D626D0E">
      <w:pPr>
        <w:autoSpaceDE/>
        <w:autoSpaceDN/>
        <w:adjustRightInd/>
        <w:spacing w:line="500" w:lineRule="exact"/>
        <w:ind w:firstLine="211" w:firstLineChars="100"/>
        <w:jc w:val="both"/>
        <w:textAlignment w:val="auto"/>
        <w:rPr>
          <w:rFonts w:hAnsi="宋体" w:cs="宋体"/>
          <w:bCs/>
          <w:color w:val="auto"/>
          <w:sz w:val="21"/>
          <w:szCs w:val="21"/>
          <w:highlight w:val="none"/>
        </w:rPr>
      </w:pPr>
      <w:r>
        <w:rPr>
          <w:rFonts w:hint="eastAsia" w:hAnsi="宋体" w:cs="Arial"/>
          <w:b/>
          <w:color w:val="auto"/>
          <w:sz w:val="21"/>
          <w:szCs w:val="21"/>
          <w:highlight w:val="none"/>
        </w:rPr>
        <w:t>4.本项目为专门面向中小</w:t>
      </w:r>
      <w:r>
        <w:rPr>
          <w:rFonts w:hint="eastAsia" w:hAnsi="宋体"/>
          <w:b/>
          <w:color w:val="auto"/>
          <w:sz w:val="21"/>
          <w:szCs w:val="21"/>
          <w:highlight w:val="none"/>
        </w:rPr>
        <w:t>企业采购的项目，不再执行价格评审优惠的扶持政策。</w:t>
      </w:r>
    </w:p>
    <w:p w14:paraId="619B72DD">
      <w:pPr>
        <w:pStyle w:val="2"/>
        <w:numPr>
          <w:ilvl w:val="255"/>
          <w:numId w:val="0"/>
        </w:numPr>
        <w:adjustRightInd w:val="0"/>
        <w:snapToGrid w:val="0"/>
        <w:spacing w:after="0" w:line="500" w:lineRule="exact"/>
        <w:ind w:left="142"/>
        <w:rPr>
          <w:rFonts w:ascii="宋体" w:hAnsi="宋体"/>
          <w:b/>
          <w:color w:val="auto"/>
          <w:highlight w:val="none"/>
        </w:rPr>
      </w:pPr>
      <w:r>
        <w:rPr>
          <w:rFonts w:hint="eastAsia" w:ascii="宋体" w:hAnsi="宋体"/>
          <w:b/>
          <w:color w:val="auto"/>
          <w:highlight w:val="none"/>
        </w:rPr>
        <w:t>5.技术商务分评分标准(85分)</w:t>
      </w:r>
    </w:p>
    <w:tbl>
      <w:tblPr>
        <w:tblStyle w:val="46"/>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5"/>
        <w:gridCol w:w="1583"/>
        <w:gridCol w:w="1380"/>
        <w:gridCol w:w="4615"/>
        <w:gridCol w:w="617"/>
      </w:tblGrid>
      <w:tr w14:paraId="5251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75" w:type="dxa"/>
            <w:vAlign w:val="center"/>
          </w:tcPr>
          <w:p w14:paraId="51356D23">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583" w:type="dxa"/>
            <w:vAlign w:val="center"/>
          </w:tcPr>
          <w:p w14:paraId="2CB026B4">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分项内容</w:t>
            </w:r>
          </w:p>
        </w:tc>
        <w:tc>
          <w:tcPr>
            <w:tcW w:w="5995" w:type="dxa"/>
            <w:gridSpan w:val="2"/>
            <w:vAlign w:val="center"/>
          </w:tcPr>
          <w:p w14:paraId="0DA91301">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评分说明</w:t>
            </w:r>
          </w:p>
        </w:tc>
        <w:tc>
          <w:tcPr>
            <w:tcW w:w="617" w:type="dxa"/>
            <w:vAlign w:val="center"/>
          </w:tcPr>
          <w:p w14:paraId="354FB61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分值</w:t>
            </w:r>
          </w:p>
        </w:tc>
      </w:tr>
      <w:tr w14:paraId="5558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dxa"/>
            <w:vAlign w:val="center"/>
          </w:tcPr>
          <w:p w14:paraId="64215C0A">
            <w:pPr>
              <w:shd w:val="clear" w:color="auto" w:fill="FFFFFF"/>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1583" w:type="dxa"/>
            <w:vAlign w:val="center"/>
          </w:tcPr>
          <w:p w14:paraId="0333D08A">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业绩</w:t>
            </w:r>
          </w:p>
        </w:tc>
        <w:tc>
          <w:tcPr>
            <w:tcW w:w="5995" w:type="dxa"/>
            <w:gridSpan w:val="2"/>
            <w:vAlign w:val="center"/>
          </w:tcPr>
          <w:p w14:paraId="19FA9E35">
            <w:pPr>
              <w:spacing w:line="460" w:lineRule="exact"/>
              <w:rPr>
                <w:rFonts w:hAnsi="宋体" w:cs="宋体"/>
                <w:color w:val="auto"/>
                <w:sz w:val="21"/>
                <w:szCs w:val="21"/>
                <w:highlight w:val="none"/>
              </w:rPr>
            </w:pPr>
            <w:r>
              <w:rPr>
                <w:rFonts w:hint="eastAsia" w:hAnsi="宋体" w:cs="宋体"/>
                <w:color w:val="auto"/>
                <w:sz w:val="21"/>
                <w:szCs w:val="21"/>
                <w:highlight w:val="none"/>
              </w:rPr>
              <w:t>供应商2022年1月1日以来有同类系统运行维护服务项目业绩的，每个合同业绩得0.5分，最高得1.5分。（须提供合同复印件并加盖单位公章或中标通知书）</w:t>
            </w:r>
          </w:p>
        </w:tc>
        <w:tc>
          <w:tcPr>
            <w:tcW w:w="617" w:type="dxa"/>
            <w:vAlign w:val="center"/>
          </w:tcPr>
          <w:p w14:paraId="5DBCC087">
            <w:pPr>
              <w:shd w:val="clear" w:color="auto" w:fill="FFFFFF"/>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r>
      <w:tr w14:paraId="6081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dxa"/>
            <w:vMerge w:val="restart"/>
            <w:vAlign w:val="center"/>
          </w:tcPr>
          <w:p w14:paraId="58D2AA2D">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2</w:t>
            </w:r>
          </w:p>
        </w:tc>
        <w:tc>
          <w:tcPr>
            <w:tcW w:w="1583" w:type="dxa"/>
            <w:vMerge w:val="restart"/>
            <w:vAlign w:val="center"/>
          </w:tcPr>
          <w:p w14:paraId="2F4C4F98">
            <w:pPr>
              <w:shd w:val="clear" w:color="auto" w:fill="FFFFFF"/>
              <w:spacing w:line="460" w:lineRule="exact"/>
              <w:jc w:val="center"/>
              <w:rPr>
                <w:rFonts w:hAnsi="宋体" w:cs="宋体"/>
                <w:color w:val="auto"/>
                <w:sz w:val="21"/>
                <w:szCs w:val="21"/>
                <w:highlight w:val="none"/>
              </w:rPr>
            </w:pPr>
            <w:r>
              <w:rPr>
                <w:rFonts w:hint="eastAsia" w:hAnsi="宋体" w:cs="宋体"/>
                <w:color w:val="auto"/>
                <w:sz w:val="21"/>
                <w:szCs w:val="21"/>
                <w:highlight w:val="none"/>
              </w:rPr>
              <w:t>供应商</w:t>
            </w:r>
            <w:r>
              <w:rPr>
                <w:rFonts w:hint="eastAsia" w:hAnsi="宋体" w:cs="宋体"/>
                <w:bCs/>
                <w:color w:val="auto"/>
                <w:sz w:val="21"/>
                <w:szCs w:val="21"/>
                <w:highlight w:val="none"/>
              </w:rPr>
              <w:t>资质</w:t>
            </w:r>
            <w:r>
              <w:rPr>
                <w:rFonts w:hint="eastAsia" w:hAnsi="宋体" w:cs="宋体"/>
                <w:color w:val="auto"/>
                <w:sz w:val="21"/>
                <w:szCs w:val="21"/>
                <w:highlight w:val="none"/>
              </w:rPr>
              <w:t>情况</w:t>
            </w:r>
          </w:p>
        </w:tc>
        <w:tc>
          <w:tcPr>
            <w:tcW w:w="5995" w:type="dxa"/>
            <w:gridSpan w:val="2"/>
            <w:vAlign w:val="center"/>
          </w:tcPr>
          <w:p w14:paraId="5A57AFF9">
            <w:pPr>
              <w:snapToGrid w:val="0"/>
              <w:spacing w:line="460" w:lineRule="exact"/>
              <w:jc w:val="both"/>
              <w:rPr>
                <w:rFonts w:hAnsi="宋体" w:cs="宋体"/>
                <w:color w:val="auto"/>
                <w:sz w:val="21"/>
                <w:szCs w:val="21"/>
                <w:highlight w:val="none"/>
              </w:rPr>
            </w:pPr>
            <w:r>
              <w:rPr>
                <w:rFonts w:hint="eastAsia" w:hAnsi="宋体" w:cs="宋体"/>
                <w:color w:val="auto"/>
                <w:sz w:val="21"/>
                <w:szCs w:val="21"/>
                <w:highlight w:val="none"/>
              </w:rPr>
              <w:t>供应商</w:t>
            </w:r>
            <w:r>
              <w:rPr>
                <w:rFonts w:hint="eastAsia" w:hAnsi="宋体" w:cs="宋体"/>
                <w:bCs/>
                <w:color w:val="auto"/>
                <w:sz w:val="21"/>
                <w:szCs w:val="21"/>
                <w:highlight w:val="none"/>
              </w:rPr>
              <w:t>具备</w:t>
            </w:r>
            <w:r>
              <w:rPr>
                <w:rFonts w:hint="eastAsia" w:hAnsi="宋体" w:cs="宋体"/>
                <w:color w:val="auto"/>
                <w:sz w:val="21"/>
                <w:szCs w:val="21"/>
                <w:highlight w:val="none"/>
              </w:rPr>
              <w:t>信息安全体系认证证书、</w:t>
            </w:r>
            <w:r>
              <w:rPr>
                <w:rFonts w:hint="eastAsia" w:hAnsi="宋体" w:cs="宋体"/>
                <w:bCs/>
                <w:color w:val="auto"/>
                <w:sz w:val="21"/>
                <w:szCs w:val="21"/>
                <w:highlight w:val="none"/>
              </w:rPr>
              <w:t>技术服务体系认证证书、</w:t>
            </w:r>
            <w:r>
              <w:rPr>
                <w:rFonts w:hint="eastAsia" w:hAnsi="宋体" w:cs="宋体"/>
                <w:color w:val="auto"/>
                <w:sz w:val="21"/>
                <w:szCs w:val="21"/>
                <w:highlight w:val="none"/>
              </w:rPr>
              <w:t>质量管理体系认证证书，每证得1分，最高得3分。</w:t>
            </w:r>
          </w:p>
        </w:tc>
        <w:tc>
          <w:tcPr>
            <w:tcW w:w="617" w:type="dxa"/>
            <w:vAlign w:val="center"/>
          </w:tcPr>
          <w:p w14:paraId="21FB2383">
            <w:pPr>
              <w:snapToGrid w:val="0"/>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3</w:t>
            </w:r>
          </w:p>
        </w:tc>
      </w:tr>
      <w:tr w14:paraId="3FE0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2" w:hRule="atLeast"/>
          <w:jc w:val="center"/>
        </w:trPr>
        <w:tc>
          <w:tcPr>
            <w:tcW w:w="675" w:type="dxa"/>
            <w:vMerge w:val="continue"/>
            <w:vAlign w:val="center"/>
          </w:tcPr>
          <w:p w14:paraId="02569D6F">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6C3DE4B9">
            <w:pPr>
              <w:shd w:val="clear" w:color="auto" w:fill="FFFFFF"/>
              <w:spacing w:line="460" w:lineRule="exact"/>
              <w:jc w:val="center"/>
              <w:rPr>
                <w:rFonts w:hAnsi="宋体" w:cs="宋体"/>
                <w:color w:val="auto"/>
                <w:sz w:val="21"/>
                <w:szCs w:val="21"/>
                <w:highlight w:val="none"/>
              </w:rPr>
            </w:pPr>
          </w:p>
        </w:tc>
        <w:tc>
          <w:tcPr>
            <w:tcW w:w="5995" w:type="dxa"/>
            <w:gridSpan w:val="2"/>
            <w:vAlign w:val="center"/>
          </w:tcPr>
          <w:p w14:paraId="42F849FB">
            <w:pPr>
              <w:snapToGrid w:val="0"/>
              <w:spacing w:line="460" w:lineRule="exact"/>
              <w:jc w:val="both"/>
              <w:rPr>
                <w:rFonts w:hAnsi="宋体" w:cs="宋体"/>
                <w:color w:val="auto"/>
                <w:sz w:val="21"/>
                <w:szCs w:val="21"/>
                <w:highlight w:val="none"/>
              </w:rPr>
            </w:pPr>
            <w:r>
              <w:rPr>
                <w:rFonts w:hint="eastAsia" w:hAnsi="宋体" w:cs="宋体"/>
                <w:color w:val="auto"/>
                <w:sz w:val="21"/>
                <w:szCs w:val="21"/>
                <w:highlight w:val="none"/>
              </w:rPr>
              <w:t>供应商具有软件企业认证证书得2分。</w:t>
            </w:r>
          </w:p>
        </w:tc>
        <w:tc>
          <w:tcPr>
            <w:tcW w:w="617" w:type="dxa"/>
            <w:vAlign w:val="center"/>
          </w:tcPr>
          <w:p w14:paraId="265479F1">
            <w:pPr>
              <w:snapToGrid w:val="0"/>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2</w:t>
            </w:r>
          </w:p>
        </w:tc>
      </w:tr>
      <w:tr w14:paraId="728D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dxa"/>
            <w:vMerge w:val="restart"/>
            <w:vAlign w:val="center"/>
          </w:tcPr>
          <w:p w14:paraId="32C14DBF">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3</w:t>
            </w:r>
          </w:p>
        </w:tc>
        <w:tc>
          <w:tcPr>
            <w:tcW w:w="1583" w:type="dxa"/>
            <w:vMerge w:val="restart"/>
            <w:vAlign w:val="center"/>
          </w:tcPr>
          <w:p w14:paraId="6DA45280">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实施方案</w:t>
            </w:r>
          </w:p>
        </w:tc>
        <w:tc>
          <w:tcPr>
            <w:tcW w:w="5995" w:type="dxa"/>
            <w:gridSpan w:val="2"/>
            <w:vAlign w:val="center"/>
          </w:tcPr>
          <w:p w14:paraId="5847D01C">
            <w:pPr>
              <w:pStyle w:val="42"/>
              <w:spacing w:beforeAutospacing="0" w:after="0" w:afterAutospacing="0" w:line="460" w:lineRule="exact"/>
              <w:rPr>
                <w:color w:val="auto"/>
                <w:sz w:val="21"/>
                <w:szCs w:val="21"/>
                <w:highlight w:val="none"/>
              </w:rPr>
            </w:pPr>
            <w:r>
              <w:rPr>
                <w:rFonts w:hint="eastAsia"/>
                <w:color w:val="auto"/>
                <w:sz w:val="21"/>
                <w:szCs w:val="21"/>
                <w:highlight w:val="none"/>
              </w:rPr>
              <w:t>对本项目需要完成的工作目标和工作任务的理解，形成本项目的整体工作思路和相应的系统运维服务框架，最高得6分；有缺陷或不合理的每处扣1分，扣完为止。</w:t>
            </w:r>
          </w:p>
        </w:tc>
        <w:tc>
          <w:tcPr>
            <w:tcW w:w="617" w:type="dxa"/>
            <w:vAlign w:val="center"/>
          </w:tcPr>
          <w:p w14:paraId="61C2AC0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6</w:t>
            </w:r>
          </w:p>
        </w:tc>
      </w:tr>
      <w:tr w14:paraId="65FC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jc w:val="center"/>
        </w:trPr>
        <w:tc>
          <w:tcPr>
            <w:tcW w:w="675" w:type="dxa"/>
            <w:vMerge w:val="continue"/>
            <w:vAlign w:val="center"/>
          </w:tcPr>
          <w:p w14:paraId="4F976C23">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1716276B">
            <w:pPr>
              <w:pStyle w:val="2"/>
              <w:spacing w:after="0" w:line="460" w:lineRule="exact"/>
              <w:ind w:left="0" w:leftChars="0" w:firstLine="0"/>
              <w:jc w:val="center"/>
              <w:rPr>
                <w:rFonts w:ascii="宋体" w:hAnsi="宋体"/>
                <w:color w:val="auto"/>
                <w:highlight w:val="none"/>
              </w:rPr>
            </w:pPr>
          </w:p>
        </w:tc>
        <w:tc>
          <w:tcPr>
            <w:tcW w:w="5995" w:type="dxa"/>
            <w:gridSpan w:val="2"/>
            <w:vAlign w:val="center"/>
          </w:tcPr>
          <w:p w14:paraId="4A0CCF61">
            <w:pPr>
              <w:spacing w:line="460" w:lineRule="exact"/>
              <w:rPr>
                <w:rFonts w:hAnsi="宋体" w:cs="宋体"/>
                <w:color w:val="auto"/>
                <w:sz w:val="21"/>
                <w:szCs w:val="21"/>
                <w:highlight w:val="none"/>
              </w:rPr>
            </w:pPr>
            <w:r>
              <w:rPr>
                <w:rFonts w:hint="eastAsia" w:hAnsi="宋体" w:cs="宋体"/>
                <w:color w:val="auto"/>
                <w:sz w:val="21"/>
                <w:szCs w:val="21"/>
                <w:highlight w:val="none"/>
              </w:rPr>
              <w:t>信息系统运行维护的技术方案合理、可行性，最高得</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分</w:t>
            </w:r>
            <w:r>
              <w:rPr>
                <w:rFonts w:hint="eastAsia"/>
                <w:color w:val="auto"/>
                <w:sz w:val="21"/>
                <w:szCs w:val="21"/>
                <w:highlight w:val="none"/>
              </w:rPr>
              <w:t>；有缺陷或不合理的每处扣1分，扣完为止</w:t>
            </w:r>
            <w:r>
              <w:rPr>
                <w:rFonts w:hint="eastAsia" w:hAnsi="宋体" w:cs="宋体"/>
                <w:color w:val="auto"/>
                <w:sz w:val="21"/>
                <w:szCs w:val="21"/>
                <w:highlight w:val="none"/>
              </w:rPr>
              <w:t>。</w:t>
            </w:r>
          </w:p>
        </w:tc>
        <w:tc>
          <w:tcPr>
            <w:tcW w:w="617" w:type="dxa"/>
            <w:vAlign w:val="center"/>
          </w:tcPr>
          <w:p w14:paraId="0574900F">
            <w:pPr>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7</w:t>
            </w:r>
          </w:p>
        </w:tc>
      </w:tr>
      <w:tr w14:paraId="2F30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dxa"/>
            <w:vMerge w:val="continue"/>
            <w:vAlign w:val="center"/>
          </w:tcPr>
          <w:p w14:paraId="5D681FD5">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61293E6F">
            <w:pPr>
              <w:pStyle w:val="2"/>
              <w:spacing w:after="0" w:line="460" w:lineRule="exact"/>
              <w:ind w:left="0" w:leftChars="0" w:firstLine="0"/>
              <w:jc w:val="center"/>
              <w:rPr>
                <w:rFonts w:ascii="宋体" w:hAnsi="宋体"/>
                <w:color w:val="auto"/>
                <w:highlight w:val="none"/>
              </w:rPr>
            </w:pPr>
          </w:p>
        </w:tc>
        <w:tc>
          <w:tcPr>
            <w:tcW w:w="5995" w:type="dxa"/>
            <w:gridSpan w:val="2"/>
            <w:vAlign w:val="center"/>
          </w:tcPr>
          <w:p w14:paraId="45086E2E">
            <w:pPr>
              <w:spacing w:line="460" w:lineRule="exact"/>
              <w:rPr>
                <w:rFonts w:hAnsi="宋体" w:cs="宋体"/>
                <w:color w:val="auto"/>
                <w:sz w:val="21"/>
                <w:szCs w:val="21"/>
                <w:highlight w:val="none"/>
              </w:rPr>
            </w:pPr>
            <w:r>
              <w:rPr>
                <w:rFonts w:hint="eastAsia" w:hAnsi="宋体" w:cs="宋体"/>
                <w:color w:val="auto"/>
                <w:sz w:val="21"/>
                <w:szCs w:val="21"/>
                <w:highlight w:val="none"/>
              </w:rPr>
              <w:t>项目采购需求满足程度响应情况，根据供应商对采购需求响应情况进行评分，满分</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分</w:t>
            </w:r>
            <w:r>
              <w:rPr>
                <w:rFonts w:hint="eastAsia"/>
                <w:color w:val="auto"/>
                <w:sz w:val="21"/>
                <w:szCs w:val="21"/>
                <w:highlight w:val="none"/>
              </w:rPr>
              <w:t>；有负偏离或不响应的每处扣1分，扣完为止</w:t>
            </w:r>
            <w:r>
              <w:rPr>
                <w:rFonts w:hint="eastAsia" w:hAnsi="宋体" w:cs="宋体"/>
                <w:color w:val="auto"/>
                <w:sz w:val="21"/>
                <w:szCs w:val="21"/>
                <w:highlight w:val="none"/>
              </w:rPr>
              <w:t>。</w:t>
            </w:r>
          </w:p>
        </w:tc>
        <w:tc>
          <w:tcPr>
            <w:tcW w:w="617" w:type="dxa"/>
            <w:vAlign w:val="center"/>
          </w:tcPr>
          <w:p w14:paraId="38C570C4">
            <w:pPr>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7</w:t>
            </w:r>
          </w:p>
        </w:tc>
      </w:tr>
      <w:tr w14:paraId="1396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dxa"/>
            <w:vMerge w:val="continue"/>
            <w:vAlign w:val="center"/>
          </w:tcPr>
          <w:p w14:paraId="21F2CA43">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54F4BD06">
            <w:pPr>
              <w:pStyle w:val="2"/>
              <w:spacing w:after="0" w:line="460" w:lineRule="exact"/>
              <w:ind w:left="0" w:leftChars="0" w:firstLine="0"/>
              <w:jc w:val="center"/>
              <w:rPr>
                <w:rFonts w:ascii="宋体" w:hAnsi="宋体"/>
                <w:color w:val="auto"/>
                <w:highlight w:val="none"/>
              </w:rPr>
            </w:pPr>
          </w:p>
        </w:tc>
        <w:tc>
          <w:tcPr>
            <w:tcW w:w="5995" w:type="dxa"/>
            <w:gridSpan w:val="2"/>
            <w:vAlign w:val="center"/>
          </w:tcPr>
          <w:p w14:paraId="6E569CB9">
            <w:pPr>
              <w:spacing w:line="460" w:lineRule="exact"/>
              <w:rPr>
                <w:rFonts w:hAnsi="宋体" w:cs="宋体"/>
                <w:color w:val="auto"/>
                <w:sz w:val="21"/>
                <w:szCs w:val="21"/>
                <w:highlight w:val="none"/>
              </w:rPr>
            </w:pPr>
            <w:r>
              <w:rPr>
                <w:rFonts w:hint="eastAsia" w:hAnsi="宋体" w:cs="宋体"/>
                <w:color w:val="auto"/>
                <w:sz w:val="21"/>
                <w:szCs w:val="21"/>
                <w:highlight w:val="none"/>
              </w:rPr>
              <w:t>对项目的理解情况（背景、现状、存在问题的理解程度）以及是否全面熟知本次项目系统运维的总体背景及总体目标的实现，满分6分</w:t>
            </w:r>
            <w:r>
              <w:rPr>
                <w:rFonts w:hint="eastAsia"/>
                <w:color w:val="auto"/>
                <w:sz w:val="21"/>
                <w:szCs w:val="21"/>
                <w:highlight w:val="none"/>
              </w:rPr>
              <w:t>；有缺陷或不足的每处扣1分，扣完为止</w:t>
            </w:r>
            <w:r>
              <w:rPr>
                <w:rFonts w:hint="eastAsia" w:hAnsi="宋体" w:cs="宋体"/>
                <w:color w:val="auto"/>
                <w:sz w:val="21"/>
                <w:szCs w:val="21"/>
                <w:highlight w:val="none"/>
              </w:rPr>
              <w:t>。</w:t>
            </w:r>
          </w:p>
        </w:tc>
        <w:tc>
          <w:tcPr>
            <w:tcW w:w="617" w:type="dxa"/>
            <w:vAlign w:val="center"/>
          </w:tcPr>
          <w:p w14:paraId="5737EF3F">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6</w:t>
            </w:r>
          </w:p>
        </w:tc>
      </w:tr>
      <w:tr w14:paraId="47C3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dxa"/>
            <w:vMerge w:val="continue"/>
            <w:vAlign w:val="center"/>
          </w:tcPr>
          <w:p w14:paraId="2861076E">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4B52EEA8">
            <w:pPr>
              <w:pStyle w:val="2"/>
              <w:spacing w:after="0" w:line="460" w:lineRule="exact"/>
              <w:ind w:left="0" w:leftChars="0" w:firstLine="0"/>
              <w:jc w:val="center"/>
              <w:rPr>
                <w:rFonts w:ascii="宋体" w:hAnsi="宋体"/>
                <w:color w:val="auto"/>
                <w:highlight w:val="none"/>
              </w:rPr>
            </w:pPr>
          </w:p>
        </w:tc>
        <w:tc>
          <w:tcPr>
            <w:tcW w:w="5995" w:type="dxa"/>
            <w:gridSpan w:val="2"/>
            <w:vAlign w:val="center"/>
          </w:tcPr>
          <w:p w14:paraId="0C6DEF41">
            <w:pPr>
              <w:spacing w:line="460" w:lineRule="exact"/>
              <w:rPr>
                <w:rFonts w:hAnsi="宋体" w:cs="宋体"/>
                <w:color w:val="auto"/>
                <w:sz w:val="21"/>
                <w:szCs w:val="21"/>
                <w:highlight w:val="none"/>
              </w:rPr>
            </w:pPr>
            <w:r>
              <w:rPr>
                <w:rFonts w:hint="eastAsia" w:hAnsi="宋体" w:cs="宋体"/>
                <w:color w:val="auto"/>
                <w:sz w:val="21"/>
                <w:szCs w:val="21"/>
                <w:highlight w:val="none"/>
              </w:rPr>
              <w:t>突发事件应急保障措施是否具有针对性、可靠性，最高得5分</w:t>
            </w:r>
            <w:r>
              <w:rPr>
                <w:rFonts w:hint="eastAsia"/>
                <w:color w:val="auto"/>
                <w:sz w:val="21"/>
                <w:szCs w:val="21"/>
                <w:highlight w:val="none"/>
              </w:rPr>
              <w:t>；有缺陷或不足的每处扣1分，扣完为止</w:t>
            </w:r>
            <w:r>
              <w:rPr>
                <w:rFonts w:hint="eastAsia" w:hAnsi="宋体" w:cs="宋体"/>
                <w:color w:val="auto"/>
                <w:sz w:val="21"/>
                <w:szCs w:val="21"/>
                <w:highlight w:val="none"/>
              </w:rPr>
              <w:t>。</w:t>
            </w:r>
          </w:p>
        </w:tc>
        <w:tc>
          <w:tcPr>
            <w:tcW w:w="617" w:type="dxa"/>
            <w:vAlign w:val="center"/>
          </w:tcPr>
          <w:p w14:paraId="3F96703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5</w:t>
            </w:r>
          </w:p>
        </w:tc>
      </w:tr>
      <w:tr w14:paraId="489D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675" w:type="dxa"/>
            <w:vMerge w:val="restart"/>
            <w:vAlign w:val="center"/>
          </w:tcPr>
          <w:p w14:paraId="3AEC6416">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4</w:t>
            </w:r>
          </w:p>
        </w:tc>
        <w:tc>
          <w:tcPr>
            <w:tcW w:w="1583" w:type="dxa"/>
            <w:vMerge w:val="restart"/>
            <w:vAlign w:val="center"/>
          </w:tcPr>
          <w:p w14:paraId="630D9FCE">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系统功能演示</w:t>
            </w:r>
          </w:p>
          <w:p w14:paraId="306F4284">
            <w:pPr>
              <w:pStyle w:val="2"/>
              <w:spacing w:after="0" w:line="460" w:lineRule="exact"/>
              <w:ind w:left="0" w:leftChars="0" w:firstLine="0"/>
              <w:jc w:val="center"/>
              <w:rPr>
                <w:rFonts w:ascii="宋体" w:hAnsi="宋体"/>
                <w:color w:val="auto"/>
                <w:highlight w:val="none"/>
              </w:rPr>
            </w:pPr>
          </w:p>
        </w:tc>
        <w:tc>
          <w:tcPr>
            <w:tcW w:w="1380" w:type="dxa"/>
            <w:vAlign w:val="center"/>
          </w:tcPr>
          <w:p w14:paraId="067F2B63">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单位基础信息维护</w:t>
            </w:r>
          </w:p>
        </w:tc>
        <w:tc>
          <w:tcPr>
            <w:tcW w:w="4615" w:type="dxa"/>
            <w:vAlign w:val="center"/>
          </w:tcPr>
          <w:p w14:paraId="40AE6BFB">
            <w:pPr>
              <w:autoSpaceDE/>
              <w:autoSpaceDN/>
              <w:adjustRightIn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能够进入预算管理一体化系统进行单位基本信息的维护，账户维护等。</w:t>
            </w:r>
          </w:p>
        </w:tc>
        <w:tc>
          <w:tcPr>
            <w:tcW w:w="617" w:type="dxa"/>
            <w:vAlign w:val="center"/>
          </w:tcPr>
          <w:p w14:paraId="519E93A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4C2C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jc w:val="center"/>
        </w:trPr>
        <w:tc>
          <w:tcPr>
            <w:tcW w:w="675" w:type="dxa"/>
            <w:vMerge w:val="continue"/>
            <w:vAlign w:val="center"/>
          </w:tcPr>
          <w:p w14:paraId="19DF51BC">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2E4B9396">
            <w:pPr>
              <w:pStyle w:val="2"/>
              <w:spacing w:after="0" w:line="460" w:lineRule="exact"/>
              <w:ind w:left="0" w:leftChars="0" w:firstLine="0"/>
              <w:jc w:val="center"/>
              <w:rPr>
                <w:rFonts w:ascii="宋体" w:hAnsi="宋体"/>
                <w:color w:val="auto"/>
                <w:highlight w:val="none"/>
              </w:rPr>
            </w:pPr>
          </w:p>
        </w:tc>
        <w:tc>
          <w:tcPr>
            <w:tcW w:w="1380" w:type="dxa"/>
            <w:vAlign w:val="center"/>
          </w:tcPr>
          <w:p w14:paraId="6417F4F6">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人员、岗位维护</w:t>
            </w:r>
          </w:p>
        </w:tc>
        <w:tc>
          <w:tcPr>
            <w:tcW w:w="4615" w:type="dxa"/>
            <w:vAlign w:val="center"/>
          </w:tcPr>
          <w:p w14:paraId="04FC6DBF">
            <w:pPr>
              <w:autoSpaceDE/>
              <w:autoSpaceDN/>
              <w:adjustRightIn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能够进入省版一体化系统进行单位人员、岗位的维护与调整。</w:t>
            </w:r>
          </w:p>
        </w:tc>
        <w:tc>
          <w:tcPr>
            <w:tcW w:w="617" w:type="dxa"/>
            <w:vAlign w:val="center"/>
          </w:tcPr>
          <w:p w14:paraId="35BCE6A2">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6204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jc w:val="center"/>
        </w:trPr>
        <w:tc>
          <w:tcPr>
            <w:tcW w:w="675" w:type="dxa"/>
            <w:vMerge w:val="continue"/>
            <w:vAlign w:val="center"/>
          </w:tcPr>
          <w:p w14:paraId="4F5D9414">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5AE47B98">
            <w:pPr>
              <w:pStyle w:val="2"/>
              <w:spacing w:after="0" w:line="460" w:lineRule="exact"/>
              <w:ind w:left="0" w:leftChars="0" w:firstLine="0"/>
              <w:jc w:val="center"/>
              <w:rPr>
                <w:rFonts w:ascii="宋体" w:hAnsi="宋体"/>
                <w:color w:val="auto"/>
                <w:highlight w:val="none"/>
              </w:rPr>
            </w:pPr>
          </w:p>
        </w:tc>
        <w:tc>
          <w:tcPr>
            <w:tcW w:w="1380" w:type="dxa"/>
            <w:vAlign w:val="center"/>
          </w:tcPr>
          <w:p w14:paraId="1B1C678A">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授权支付</w:t>
            </w:r>
          </w:p>
        </w:tc>
        <w:tc>
          <w:tcPr>
            <w:tcW w:w="4615" w:type="dxa"/>
            <w:vAlign w:val="center"/>
          </w:tcPr>
          <w:p w14:paraId="10BB29F4">
            <w:pPr>
              <w:autoSpaceDE/>
              <w:autoSpaceDN/>
              <w:adjustRightIn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能够进入预算管理一体化系统为单位编制授权支付报销凭证，并审核通过。</w:t>
            </w:r>
          </w:p>
        </w:tc>
        <w:tc>
          <w:tcPr>
            <w:tcW w:w="617" w:type="dxa"/>
            <w:vAlign w:val="center"/>
          </w:tcPr>
          <w:p w14:paraId="4EB32AB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1157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jc w:val="center"/>
        </w:trPr>
        <w:tc>
          <w:tcPr>
            <w:tcW w:w="675" w:type="dxa"/>
            <w:vMerge w:val="continue"/>
            <w:vAlign w:val="center"/>
          </w:tcPr>
          <w:p w14:paraId="24719510">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2FB79221">
            <w:pPr>
              <w:pStyle w:val="2"/>
              <w:spacing w:after="0" w:line="460" w:lineRule="exact"/>
              <w:ind w:left="0" w:leftChars="0" w:firstLine="0"/>
              <w:jc w:val="center"/>
              <w:rPr>
                <w:rFonts w:ascii="宋体" w:hAnsi="宋体"/>
                <w:color w:val="auto"/>
                <w:highlight w:val="none"/>
              </w:rPr>
            </w:pPr>
          </w:p>
        </w:tc>
        <w:tc>
          <w:tcPr>
            <w:tcW w:w="1380" w:type="dxa"/>
            <w:vAlign w:val="center"/>
          </w:tcPr>
          <w:p w14:paraId="44FDEFB3">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直接支付</w:t>
            </w:r>
          </w:p>
        </w:tc>
        <w:tc>
          <w:tcPr>
            <w:tcW w:w="4615" w:type="dxa"/>
            <w:vAlign w:val="center"/>
          </w:tcPr>
          <w:p w14:paraId="398DD601">
            <w:pPr>
              <w:autoSpaceDE/>
              <w:autoSpaceDN/>
              <w:adjustRightIn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能够进入预算管理一体化系统为单位编制直接支付报销凭证，并审核通过。</w:t>
            </w:r>
          </w:p>
        </w:tc>
        <w:tc>
          <w:tcPr>
            <w:tcW w:w="617" w:type="dxa"/>
            <w:vAlign w:val="center"/>
          </w:tcPr>
          <w:p w14:paraId="47D796B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054C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jc w:val="center"/>
        </w:trPr>
        <w:tc>
          <w:tcPr>
            <w:tcW w:w="675" w:type="dxa"/>
            <w:vMerge w:val="continue"/>
            <w:vAlign w:val="center"/>
          </w:tcPr>
          <w:p w14:paraId="03E56528">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07A5B410">
            <w:pPr>
              <w:pStyle w:val="2"/>
              <w:spacing w:after="0" w:line="460" w:lineRule="exact"/>
              <w:ind w:left="0" w:leftChars="0" w:firstLine="0"/>
              <w:jc w:val="center"/>
              <w:rPr>
                <w:rFonts w:ascii="宋体" w:hAnsi="宋体"/>
                <w:color w:val="auto"/>
                <w:highlight w:val="none"/>
              </w:rPr>
            </w:pPr>
          </w:p>
        </w:tc>
        <w:tc>
          <w:tcPr>
            <w:tcW w:w="1380" w:type="dxa"/>
            <w:vAlign w:val="center"/>
          </w:tcPr>
          <w:p w14:paraId="312270A6">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数据同步</w:t>
            </w:r>
          </w:p>
        </w:tc>
        <w:tc>
          <w:tcPr>
            <w:tcW w:w="4615" w:type="dxa"/>
            <w:vAlign w:val="center"/>
          </w:tcPr>
          <w:p w14:paraId="10049B47">
            <w:pPr>
              <w:autoSpaceDE/>
              <w:autoSpaceDN/>
              <w:adjustRightIn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能够同步省版一体化系统和预算管理一体化系统数据。</w:t>
            </w:r>
          </w:p>
        </w:tc>
        <w:tc>
          <w:tcPr>
            <w:tcW w:w="617" w:type="dxa"/>
            <w:vAlign w:val="center"/>
          </w:tcPr>
          <w:p w14:paraId="59D3C975">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378F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jc w:val="center"/>
        </w:trPr>
        <w:tc>
          <w:tcPr>
            <w:tcW w:w="675" w:type="dxa"/>
            <w:vMerge w:val="continue"/>
            <w:vAlign w:val="center"/>
          </w:tcPr>
          <w:p w14:paraId="6EF324A0">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35F8680F">
            <w:pPr>
              <w:pStyle w:val="2"/>
              <w:spacing w:after="0" w:line="460" w:lineRule="exact"/>
              <w:ind w:left="0" w:leftChars="0" w:firstLine="0"/>
              <w:jc w:val="center"/>
              <w:rPr>
                <w:rFonts w:ascii="宋体" w:hAnsi="宋体"/>
                <w:color w:val="auto"/>
                <w:highlight w:val="none"/>
              </w:rPr>
            </w:pPr>
          </w:p>
        </w:tc>
        <w:tc>
          <w:tcPr>
            <w:tcW w:w="1380" w:type="dxa"/>
            <w:vAlign w:val="center"/>
          </w:tcPr>
          <w:p w14:paraId="17B4F044">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本地支付数据核算凭证同步</w:t>
            </w:r>
          </w:p>
        </w:tc>
        <w:tc>
          <w:tcPr>
            <w:tcW w:w="4615" w:type="dxa"/>
            <w:vAlign w:val="center"/>
          </w:tcPr>
          <w:p w14:paraId="6E3B547C">
            <w:pPr>
              <w:autoSpaceDE/>
              <w:autoSpaceDN/>
              <w:adjustRightIn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能够导入报销凭证到核算系统并制作财务凭证。</w:t>
            </w:r>
          </w:p>
        </w:tc>
        <w:tc>
          <w:tcPr>
            <w:tcW w:w="617" w:type="dxa"/>
            <w:vAlign w:val="center"/>
          </w:tcPr>
          <w:p w14:paraId="67EB010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7C51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jc w:val="center"/>
        </w:trPr>
        <w:tc>
          <w:tcPr>
            <w:tcW w:w="675" w:type="dxa"/>
            <w:vMerge w:val="continue"/>
            <w:vAlign w:val="center"/>
          </w:tcPr>
          <w:p w14:paraId="4FFFB4F1">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012E4C66">
            <w:pPr>
              <w:pStyle w:val="2"/>
              <w:spacing w:after="0" w:line="460" w:lineRule="exact"/>
              <w:ind w:left="0" w:leftChars="0" w:firstLine="0"/>
              <w:jc w:val="center"/>
              <w:rPr>
                <w:rFonts w:ascii="宋体" w:hAnsi="宋体"/>
                <w:color w:val="auto"/>
                <w:highlight w:val="none"/>
              </w:rPr>
            </w:pPr>
          </w:p>
        </w:tc>
        <w:tc>
          <w:tcPr>
            <w:tcW w:w="1380" w:type="dxa"/>
            <w:vAlign w:val="center"/>
          </w:tcPr>
          <w:p w14:paraId="33951C2D">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核算数据查询</w:t>
            </w:r>
          </w:p>
        </w:tc>
        <w:tc>
          <w:tcPr>
            <w:tcW w:w="4615" w:type="dxa"/>
            <w:vAlign w:val="center"/>
          </w:tcPr>
          <w:p w14:paraId="2F6E31E7">
            <w:pPr>
              <w:autoSpaceDE/>
              <w:autoSpaceDN/>
              <w:adjustRightIn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能够进行凭证查询及财务报表功能。</w:t>
            </w:r>
          </w:p>
        </w:tc>
        <w:tc>
          <w:tcPr>
            <w:tcW w:w="617" w:type="dxa"/>
            <w:vAlign w:val="center"/>
          </w:tcPr>
          <w:p w14:paraId="2D6B9CFB">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7C2B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jc w:val="center"/>
        </w:trPr>
        <w:tc>
          <w:tcPr>
            <w:tcW w:w="675" w:type="dxa"/>
            <w:vMerge w:val="continue"/>
            <w:vAlign w:val="center"/>
          </w:tcPr>
          <w:p w14:paraId="7968BA04">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6069D709">
            <w:pPr>
              <w:pStyle w:val="2"/>
              <w:spacing w:after="0" w:line="460" w:lineRule="exact"/>
              <w:ind w:left="0" w:leftChars="0" w:firstLine="0"/>
              <w:jc w:val="center"/>
              <w:rPr>
                <w:rFonts w:ascii="宋体" w:hAnsi="宋体"/>
                <w:color w:val="auto"/>
                <w:highlight w:val="none"/>
              </w:rPr>
            </w:pPr>
          </w:p>
        </w:tc>
        <w:tc>
          <w:tcPr>
            <w:tcW w:w="1380" w:type="dxa"/>
            <w:vAlign w:val="center"/>
          </w:tcPr>
          <w:p w14:paraId="1B3398BD">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电子会计档案查询</w:t>
            </w:r>
          </w:p>
        </w:tc>
        <w:tc>
          <w:tcPr>
            <w:tcW w:w="4615" w:type="dxa"/>
            <w:vAlign w:val="center"/>
          </w:tcPr>
          <w:p w14:paraId="4345E20C">
            <w:pPr>
              <w:autoSpaceDE/>
              <w:autoSpaceDN/>
              <w:adjustRightInd/>
              <w:spacing w:line="460" w:lineRule="exact"/>
              <w:textAlignment w:val="auto"/>
              <w:rPr>
                <w:rFonts w:hAnsi="宋体" w:cs="宋体"/>
                <w:color w:val="auto"/>
                <w:sz w:val="21"/>
                <w:szCs w:val="21"/>
                <w:highlight w:val="none"/>
              </w:rPr>
            </w:pPr>
            <w:r>
              <w:rPr>
                <w:rFonts w:hint="eastAsia" w:hAnsi="宋体" w:cs="宋体"/>
                <w:color w:val="auto"/>
                <w:sz w:val="21"/>
                <w:szCs w:val="21"/>
                <w:highlight w:val="none"/>
              </w:rPr>
              <w:t>能够进行电子档案的凭证生成及查询功能。</w:t>
            </w:r>
          </w:p>
        </w:tc>
        <w:tc>
          <w:tcPr>
            <w:tcW w:w="617" w:type="dxa"/>
            <w:vAlign w:val="center"/>
          </w:tcPr>
          <w:p w14:paraId="1ADE61D8">
            <w:pPr>
              <w:autoSpaceDE/>
              <w:autoSpaceDN/>
              <w:adjustRightInd/>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2</w:t>
            </w:r>
          </w:p>
        </w:tc>
      </w:tr>
      <w:tr w14:paraId="2F77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75" w:type="dxa"/>
            <w:vMerge w:val="continue"/>
            <w:vAlign w:val="center"/>
          </w:tcPr>
          <w:p w14:paraId="6E727E94">
            <w:pPr>
              <w:pStyle w:val="2"/>
              <w:spacing w:after="0" w:line="460" w:lineRule="exact"/>
              <w:ind w:left="0" w:leftChars="0" w:firstLine="0"/>
              <w:jc w:val="center"/>
              <w:rPr>
                <w:rFonts w:ascii="宋体" w:hAnsi="宋体"/>
                <w:color w:val="auto"/>
                <w:highlight w:val="none"/>
              </w:rPr>
            </w:pPr>
          </w:p>
        </w:tc>
        <w:tc>
          <w:tcPr>
            <w:tcW w:w="1583" w:type="dxa"/>
            <w:vMerge w:val="continue"/>
            <w:vAlign w:val="center"/>
          </w:tcPr>
          <w:p w14:paraId="6EF0638F">
            <w:pPr>
              <w:pStyle w:val="2"/>
              <w:spacing w:after="0" w:line="460" w:lineRule="exact"/>
              <w:ind w:left="0" w:leftChars="0" w:firstLine="0"/>
              <w:jc w:val="center"/>
              <w:rPr>
                <w:rFonts w:ascii="宋体" w:hAnsi="宋体"/>
                <w:color w:val="auto"/>
                <w:highlight w:val="none"/>
              </w:rPr>
            </w:pPr>
          </w:p>
        </w:tc>
        <w:tc>
          <w:tcPr>
            <w:tcW w:w="6612" w:type="dxa"/>
            <w:gridSpan w:val="3"/>
            <w:vAlign w:val="center"/>
          </w:tcPr>
          <w:p w14:paraId="65669CB4">
            <w:pPr>
              <w:snapToGrid w:val="0"/>
              <w:spacing w:line="460" w:lineRule="exact"/>
              <w:rPr>
                <w:rFonts w:hAnsi="宋体" w:cs="宋体"/>
                <w:color w:val="auto"/>
                <w:sz w:val="21"/>
                <w:szCs w:val="21"/>
                <w:highlight w:val="none"/>
              </w:rPr>
            </w:pPr>
            <w:r>
              <w:rPr>
                <w:rFonts w:hint="eastAsia" w:hAnsi="宋体" w:cs="宋体"/>
                <w:b/>
                <w:bCs/>
                <w:color w:val="auto"/>
                <w:sz w:val="21"/>
                <w:szCs w:val="21"/>
                <w:highlight w:val="none"/>
              </w:rPr>
              <w:t>以上功能演示应依据供应商真实系统演示录像，根据演示情况酌情打分，无演示或非真实系统演示不给分，每个供应商演示时间不超过15分钟。</w:t>
            </w:r>
          </w:p>
        </w:tc>
      </w:tr>
      <w:tr w14:paraId="773D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0" w:hRule="atLeast"/>
          <w:jc w:val="center"/>
        </w:trPr>
        <w:tc>
          <w:tcPr>
            <w:tcW w:w="675" w:type="dxa"/>
            <w:vAlign w:val="center"/>
          </w:tcPr>
          <w:p w14:paraId="0D345C05">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5</w:t>
            </w:r>
          </w:p>
        </w:tc>
        <w:tc>
          <w:tcPr>
            <w:tcW w:w="1583" w:type="dxa"/>
            <w:vAlign w:val="center"/>
          </w:tcPr>
          <w:p w14:paraId="74566EAF">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运维团队</w:t>
            </w:r>
          </w:p>
        </w:tc>
        <w:tc>
          <w:tcPr>
            <w:tcW w:w="5995" w:type="dxa"/>
            <w:gridSpan w:val="2"/>
            <w:vAlign w:val="center"/>
          </w:tcPr>
          <w:p w14:paraId="11AE09C6">
            <w:pPr>
              <w:pStyle w:val="42"/>
              <w:numPr>
                <w:ilvl w:val="255"/>
                <w:numId w:val="0"/>
              </w:numPr>
              <w:spacing w:beforeAutospacing="0" w:after="0" w:afterAutospacing="0" w:line="460" w:lineRule="exact"/>
              <w:rPr>
                <w:bCs/>
                <w:color w:val="auto"/>
                <w:sz w:val="21"/>
                <w:szCs w:val="21"/>
                <w:highlight w:val="none"/>
              </w:rPr>
            </w:pPr>
            <w:r>
              <w:rPr>
                <w:rFonts w:hint="eastAsia"/>
                <w:bCs/>
                <w:color w:val="auto"/>
                <w:sz w:val="21"/>
                <w:szCs w:val="21"/>
                <w:highlight w:val="none"/>
              </w:rPr>
              <w:t>1.供应商提供现场服务工程师方案中，驻场人员的人数满足磋商文件要求得5分；专业素质（提供相关资质、资格、学历证书资料）（0-3分）、提供类似项目服务经验的（0-2分）、岗位责任与职责分工是否明确（0-3分）由专家进行评分，符合条件的本项目最高得13分。</w:t>
            </w:r>
          </w:p>
          <w:p w14:paraId="73A40B99">
            <w:pPr>
              <w:pStyle w:val="42"/>
              <w:numPr>
                <w:ilvl w:val="255"/>
                <w:numId w:val="0"/>
              </w:numPr>
              <w:spacing w:beforeAutospacing="0" w:after="0" w:afterAutospacing="0" w:line="460" w:lineRule="exact"/>
              <w:rPr>
                <w:color w:val="auto"/>
                <w:sz w:val="21"/>
                <w:szCs w:val="21"/>
                <w:highlight w:val="none"/>
              </w:rPr>
            </w:pPr>
            <w:r>
              <w:rPr>
                <w:rFonts w:hint="eastAsia"/>
                <w:bCs/>
                <w:color w:val="auto"/>
                <w:sz w:val="21"/>
                <w:szCs w:val="21"/>
                <w:highlight w:val="none"/>
              </w:rPr>
              <w:t>2.供应商为本项目配备的项目经理具有信息系统项目管理师认证的得2分；提供服务的其他人员中具有软件信息类中级及以上资格，且具有2年以上工作经验的，每人得1分，最高3分。 符合上述条件的本项目最高得5分。</w:t>
            </w:r>
            <w:r>
              <w:rPr>
                <w:rFonts w:hint="eastAsia"/>
                <w:color w:val="auto"/>
                <w:sz w:val="21"/>
                <w:szCs w:val="21"/>
                <w:highlight w:val="none"/>
              </w:rPr>
              <w:t xml:space="preserve"> </w:t>
            </w:r>
          </w:p>
          <w:p w14:paraId="7D1EE2DF">
            <w:pPr>
              <w:pStyle w:val="42"/>
              <w:numPr>
                <w:ilvl w:val="255"/>
                <w:numId w:val="0"/>
              </w:numPr>
              <w:spacing w:beforeAutospacing="0" w:after="0" w:afterAutospacing="0" w:line="460" w:lineRule="exact"/>
              <w:rPr>
                <w:color w:val="auto"/>
                <w:sz w:val="21"/>
                <w:szCs w:val="21"/>
                <w:highlight w:val="none"/>
              </w:rPr>
            </w:pPr>
            <w:r>
              <w:rPr>
                <w:rFonts w:hint="eastAsia"/>
                <w:color w:val="auto"/>
                <w:sz w:val="21"/>
                <w:szCs w:val="21"/>
                <w:highlight w:val="none"/>
              </w:rPr>
              <w:t>以上人员应为单位在职人员，需提供相关证书复印件及近一季度社保缴纳证明文件（</w:t>
            </w:r>
            <w:r>
              <w:rPr>
                <w:rFonts w:hint="eastAsia"/>
                <w:b/>
                <w:bCs/>
                <w:color w:val="auto"/>
                <w:sz w:val="21"/>
                <w:szCs w:val="21"/>
                <w:highlight w:val="none"/>
              </w:rPr>
              <w:t>未提供的不得分</w:t>
            </w:r>
            <w:r>
              <w:rPr>
                <w:rFonts w:hint="eastAsia"/>
                <w:color w:val="auto"/>
                <w:sz w:val="21"/>
                <w:szCs w:val="21"/>
                <w:highlight w:val="none"/>
              </w:rPr>
              <w:t>），同一人不重复计分。</w:t>
            </w:r>
          </w:p>
        </w:tc>
        <w:tc>
          <w:tcPr>
            <w:tcW w:w="617" w:type="dxa"/>
            <w:vAlign w:val="center"/>
          </w:tcPr>
          <w:p w14:paraId="3BBE96B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18</w:t>
            </w:r>
          </w:p>
        </w:tc>
      </w:tr>
      <w:tr w14:paraId="6340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jc w:val="center"/>
        </w:trPr>
        <w:tc>
          <w:tcPr>
            <w:tcW w:w="675" w:type="dxa"/>
            <w:vAlign w:val="center"/>
          </w:tcPr>
          <w:p w14:paraId="6F59615B">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6</w:t>
            </w:r>
          </w:p>
        </w:tc>
        <w:tc>
          <w:tcPr>
            <w:tcW w:w="1583" w:type="dxa"/>
            <w:vAlign w:val="center"/>
          </w:tcPr>
          <w:p w14:paraId="26B0C437">
            <w:pPr>
              <w:shd w:val="clear" w:color="auto" w:fill="FFFFFF"/>
              <w:spacing w:line="460" w:lineRule="exact"/>
              <w:jc w:val="center"/>
              <w:rPr>
                <w:rFonts w:hAnsi="宋体" w:cs="宋体"/>
                <w:color w:val="auto"/>
                <w:sz w:val="21"/>
                <w:szCs w:val="21"/>
                <w:highlight w:val="none"/>
              </w:rPr>
            </w:pPr>
            <w:r>
              <w:rPr>
                <w:rFonts w:hint="eastAsia" w:hAnsi="宋体" w:cs="宋体"/>
                <w:color w:val="auto"/>
                <w:sz w:val="21"/>
                <w:szCs w:val="21"/>
                <w:highlight w:val="none"/>
              </w:rPr>
              <w:t>培训方案</w:t>
            </w:r>
          </w:p>
        </w:tc>
        <w:tc>
          <w:tcPr>
            <w:tcW w:w="5995" w:type="dxa"/>
            <w:gridSpan w:val="2"/>
            <w:vAlign w:val="center"/>
          </w:tcPr>
          <w:p w14:paraId="3094F53D">
            <w:pPr>
              <w:spacing w:line="460" w:lineRule="exact"/>
              <w:rPr>
                <w:rFonts w:hAnsi="宋体" w:cs="宋体"/>
                <w:color w:val="auto"/>
                <w:sz w:val="21"/>
                <w:szCs w:val="21"/>
                <w:highlight w:val="none"/>
              </w:rPr>
            </w:pPr>
            <w:r>
              <w:rPr>
                <w:rFonts w:hint="eastAsia" w:hAnsi="宋体" w:cs="宋体"/>
                <w:color w:val="auto"/>
                <w:sz w:val="21"/>
                <w:szCs w:val="21"/>
                <w:highlight w:val="none"/>
              </w:rPr>
              <w:t>根据培训内容、培训方式、师资力量、培训时间安排的实用性、可行性及合理性评分，最高得4分</w:t>
            </w:r>
            <w:r>
              <w:rPr>
                <w:rFonts w:hint="eastAsia"/>
                <w:color w:val="auto"/>
                <w:sz w:val="21"/>
                <w:szCs w:val="21"/>
                <w:highlight w:val="none"/>
              </w:rPr>
              <w:t>；有缺陷或不足的每处扣1分，扣完为止</w:t>
            </w:r>
            <w:r>
              <w:rPr>
                <w:rFonts w:hint="eastAsia" w:hAnsi="宋体" w:cs="宋体"/>
                <w:color w:val="auto"/>
                <w:sz w:val="21"/>
                <w:szCs w:val="21"/>
                <w:highlight w:val="none"/>
              </w:rPr>
              <w:t>。</w:t>
            </w:r>
          </w:p>
        </w:tc>
        <w:tc>
          <w:tcPr>
            <w:tcW w:w="617" w:type="dxa"/>
            <w:vAlign w:val="center"/>
          </w:tcPr>
          <w:p w14:paraId="72838557">
            <w:pPr>
              <w:spacing w:line="460" w:lineRule="exact"/>
              <w:jc w:val="center"/>
              <w:rPr>
                <w:rFonts w:hAnsi="宋体" w:cs="宋体"/>
                <w:color w:val="auto"/>
                <w:sz w:val="21"/>
                <w:szCs w:val="21"/>
                <w:highlight w:val="none"/>
                <w:shd w:val="clear" w:color="auto" w:fill="FFFFFF"/>
              </w:rPr>
            </w:pPr>
            <w:r>
              <w:rPr>
                <w:rFonts w:hint="eastAsia" w:hAnsi="宋体" w:cs="宋体"/>
                <w:color w:val="auto"/>
                <w:sz w:val="21"/>
                <w:szCs w:val="21"/>
                <w:highlight w:val="none"/>
                <w:shd w:val="clear" w:color="auto" w:fill="FFFFFF"/>
              </w:rPr>
              <w:t>4</w:t>
            </w:r>
          </w:p>
        </w:tc>
      </w:tr>
      <w:tr w14:paraId="75AB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675" w:type="dxa"/>
            <w:vAlign w:val="center"/>
          </w:tcPr>
          <w:p w14:paraId="60FB8FC9">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7</w:t>
            </w:r>
          </w:p>
        </w:tc>
        <w:tc>
          <w:tcPr>
            <w:tcW w:w="1583" w:type="dxa"/>
            <w:vAlign w:val="center"/>
          </w:tcPr>
          <w:p w14:paraId="3DC6C382">
            <w:pPr>
              <w:shd w:val="clear" w:color="auto" w:fill="FFFFFF"/>
              <w:spacing w:line="460" w:lineRule="exact"/>
              <w:jc w:val="center"/>
              <w:rPr>
                <w:rFonts w:hAnsi="宋体" w:cs="宋体"/>
                <w:color w:val="auto"/>
                <w:sz w:val="21"/>
                <w:szCs w:val="21"/>
                <w:highlight w:val="none"/>
              </w:rPr>
            </w:pPr>
            <w:r>
              <w:rPr>
                <w:rFonts w:hint="eastAsia" w:hAnsi="宋体" w:cs="宋体"/>
                <w:color w:val="auto"/>
                <w:sz w:val="21"/>
                <w:szCs w:val="21"/>
                <w:highlight w:val="none"/>
              </w:rPr>
              <w:t>服务响应</w:t>
            </w:r>
          </w:p>
        </w:tc>
        <w:tc>
          <w:tcPr>
            <w:tcW w:w="5995" w:type="dxa"/>
            <w:gridSpan w:val="2"/>
            <w:vAlign w:val="center"/>
          </w:tcPr>
          <w:p w14:paraId="73896B0C">
            <w:pPr>
              <w:spacing w:line="460" w:lineRule="exact"/>
              <w:rPr>
                <w:rFonts w:hAnsi="宋体" w:cs="宋体"/>
                <w:color w:val="auto"/>
                <w:sz w:val="21"/>
                <w:szCs w:val="21"/>
                <w:highlight w:val="none"/>
              </w:rPr>
            </w:pPr>
            <w:r>
              <w:rPr>
                <w:rFonts w:hint="eastAsia" w:hAnsi="宋体" w:cs="宋体"/>
                <w:color w:val="auto"/>
                <w:sz w:val="21"/>
                <w:szCs w:val="21"/>
                <w:highlight w:val="none"/>
              </w:rPr>
              <w:t>售后服务、维护计划的响应情况（对用户故障响应、处理方式等），满分5分</w:t>
            </w:r>
            <w:r>
              <w:rPr>
                <w:rFonts w:hint="eastAsia"/>
                <w:color w:val="auto"/>
                <w:sz w:val="21"/>
                <w:szCs w:val="21"/>
                <w:highlight w:val="none"/>
              </w:rPr>
              <w:t>；有缺陷或不足的每处扣1分，扣完为止</w:t>
            </w:r>
            <w:r>
              <w:rPr>
                <w:rFonts w:hint="eastAsia" w:hAnsi="宋体" w:cs="宋体"/>
                <w:color w:val="auto"/>
                <w:sz w:val="21"/>
                <w:szCs w:val="21"/>
                <w:highlight w:val="none"/>
              </w:rPr>
              <w:t>。</w:t>
            </w:r>
          </w:p>
        </w:tc>
        <w:tc>
          <w:tcPr>
            <w:tcW w:w="617" w:type="dxa"/>
            <w:vAlign w:val="center"/>
          </w:tcPr>
          <w:p w14:paraId="5A4B25DF">
            <w:pPr>
              <w:spacing w:line="460" w:lineRule="exact"/>
              <w:jc w:val="center"/>
              <w:rPr>
                <w:rFonts w:hAnsi="宋体" w:cs="宋体"/>
                <w:color w:val="auto"/>
                <w:sz w:val="21"/>
                <w:szCs w:val="21"/>
                <w:highlight w:val="none"/>
                <w:shd w:val="clear" w:color="auto" w:fill="FFFFFF"/>
              </w:rPr>
            </w:pPr>
            <w:r>
              <w:rPr>
                <w:rFonts w:hint="eastAsia" w:hAnsi="宋体" w:cs="宋体"/>
                <w:color w:val="auto"/>
                <w:sz w:val="21"/>
                <w:szCs w:val="21"/>
                <w:highlight w:val="none"/>
                <w:shd w:val="clear" w:color="auto" w:fill="FFFFFF"/>
              </w:rPr>
              <w:t>5</w:t>
            </w:r>
          </w:p>
        </w:tc>
      </w:tr>
      <w:tr w14:paraId="61EB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jc w:val="center"/>
        </w:trPr>
        <w:tc>
          <w:tcPr>
            <w:tcW w:w="675" w:type="dxa"/>
            <w:vAlign w:val="center"/>
          </w:tcPr>
          <w:p w14:paraId="27248F51">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8</w:t>
            </w:r>
          </w:p>
        </w:tc>
        <w:tc>
          <w:tcPr>
            <w:tcW w:w="1583" w:type="dxa"/>
            <w:vAlign w:val="center"/>
          </w:tcPr>
          <w:p w14:paraId="70A7B427">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合理化建议</w:t>
            </w:r>
          </w:p>
        </w:tc>
        <w:tc>
          <w:tcPr>
            <w:tcW w:w="5995" w:type="dxa"/>
            <w:gridSpan w:val="2"/>
            <w:vAlign w:val="center"/>
          </w:tcPr>
          <w:p w14:paraId="3A54BAB2">
            <w:pPr>
              <w:shd w:val="clear" w:color="auto" w:fill="FFFFFF"/>
              <w:spacing w:line="460" w:lineRule="exact"/>
              <w:rPr>
                <w:rFonts w:hAnsi="宋体" w:cs="宋体"/>
                <w:color w:val="auto"/>
                <w:sz w:val="21"/>
                <w:szCs w:val="21"/>
                <w:highlight w:val="none"/>
              </w:rPr>
            </w:pPr>
            <w:r>
              <w:rPr>
                <w:rFonts w:hint="eastAsia" w:hAnsi="宋体" w:cs="宋体"/>
                <w:color w:val="auto"/>
                <w:sz w:val="21"/>
                <w:szCs w:val="21"/>
                <w:highlight w:val="none"/>
              </w:rPr>
              <w:t>根据合理化建议的合理性与有效性，最高得2分。</w:t>
            </w:r>
          </w:p>
        </w:tc>
        <w:tc>
          <w:tcPr>
            <w:tcW w:w="617" w:type="dxa"/>
            <w:vAlign w:val="center"/>
          </w:tcPr>
          <w:p w14:paraId="1A9AFDDD">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399C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jc w:val="center"/>
        </w:trPr>
        <w:tc>
          <w:tcPr>
            <w:tcW w:w="675" w:type="dxa"/>
            <w:vAlign w:val="center"/>
          </w:tcPr>
          <w:p w14:paraId="17A1A263">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9</w:t>
            </w:r>
          </w:p>
        </w:tc>
        <w:tc>
          <w:tcPr>
            <w:tcW w:w="1583" w:type="dxa"/>
            <w:vAlign w:val="center"/>
          </w:tcPr>
          <w:p w14:paraId="47C9B9AD">
            <w:pPr>
              <w:pStyle w:val="2"/>
              <w:spacing w:after="0" w:line="460" w:lineRule="exact"/>
              <w:ind w:left="0" w:leftChars="0" w:firstLine="0"/>
              <w:jc w:val="center"/>
              <w:rPr>
                <w:rFonts w:ascii="宋体" w:hAnsi="宋体"/>
                <w:color w:val="auto"/>
                <w:highlight w:val="none"/>
              </w:rPr>
            </w:pPr>
            <w:r>
              <w:rPr>
                <w:rFonts w:hint="eastAsia" w:ascii="宋体" w:hAnsi="宋体"/>
                <w:color w:val="auto"/>
                <w:highlight w:val="none"/>
              </w:rPr>
              <w:t>政策分</w:t>
            </w:r>
          </w:p>
        </w:tc>
        <w:tc>
          <w:tcPr>
            <w:tcW w:w="5995" w:type="dxa"/>
            <w:gridSpan w:val="2"/>
            <w:vAlign w:val="center"/>
          </w:tcPr>
          <w:p w14:paraId="393851C3">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响应供应商或供应产品符合《政府采购货物和服务招标投标管理办法》或其它法规规定，属“节能环保”、“采购国货”、“扶持不发达地区和少数民族地区”、“乡村振兴”等政府采购政策功能落实对象的，提供相关证明材料和政策依据，每符合一项得0.5分，最高可得2.5分；未提供相关证明材料的不得分。（提供相关证明材料和政策依据备查）</w:t>
            </w:r>
          </w:p>
        </w:tc>
        <w:tc>
          <w:tcPr>
            <w:tcW w:w="617" w:type="dxa"/>
            <w:vAlign w:val="center"/>
          </w:tcPr>
          <w:p w14:paraId="61045A26">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2.5</w:t>
            </w:r>
          </w:p>
        </w:tc>
      </w:tr>
      <w:tr w14:paraId="5392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253" w:type="dxa"/>
            <w:gridSpan w:val="4"/>
            <w:vAlign w:val="center"/>
          </w:tcPr>
          <w:p w14:paraId="63DF417F">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合计</w:t>
            </w:r>
          </w:p>
        </w:tc>
        <w:tc>
          <w:tcPr>
            <w:tcW w:w="617" w:type="dxa"/>
            <w:vAlign w:val="center"/>
          </w:tcPr>
          <w:p w14:paraId="57E8E819">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85</w:t>
            </w:r>
          </w:p>
        </w:tc>
      </w:tr>
    </w:tbl>
    <w:p w14:paraId="604AD068">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四、技术商务分的计算</w:t>
      </w:r>
    </w:p>
    <w:p w14:paraId="0ABC0E54">
      <w:pPr>
        <w:autoSpaceDE/>
        <w:autoSpaceDN/>
        <w:adjustRightInd/>
        <w:spacing w:line="44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技术商务分按照磋商小组评判专家成员的独立评分结果汇总数后的算术平均分计算，计算公式：技术商务分=（磋商小组所有成员评分合计数）/（磋商小组组成人员数）。</w:t>
      </w:r>
    </w:p>
    <w:p w14:paraId="19D890AF">
      <w:pPr>
        <w:autoSpaceDE/>
        <w:autoSpaceDN/>
        <w:adjustRightInd/>
        <w:spacing w:line="44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五、成交原则</w:t>
      </w:r>
    </w:p>
    <w:p w14:paraId="7E04DF4A">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1.严格按照采购文件规定“综合评分法，得分最高者成交”的原则确定成交供应商，法律法规和国家政策另有规定的从其规定。</w:t>
      </w:r>
    </w:p>
    <w:p w14:paraId="6D5A9EFD">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2.经成交结果公示期满无异议，成交候选供应商即成为成交供应商。</w:t>
      </w:r>
    </w:p>
    <w:p w14:paraId="2ED6A580">
      <w:pPr>
        <w:autoSpaceDE/>
        <w:autoSpaceDN/>
        <w:adjustRightInd/>
        <w:spacing w:line="44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六、保密及其它注意事项</w:t>
      </w:r>
    </w:p>
    <w:p w14:paraId="30F9F9E3">
      <w:pPr>
        <w:autoSpaceDE/>
        <w:autoSpaceDN/>
        <w:adjustRightInd/>
        <w:spacing w:line="440" w:lineRule="exact"/>
        <w:ind w:firstLine="420" w:firstLineChars="200"/>
        <w:jc w:val="both"/>
        <w:textAlignment w:val="auto"/>
        <w:rPr>
          <w:rFonts w:hAnsi="宋体" w:cs="宋体"/>
          <w:b/>
          <w:color w:val="auto"/>
          <w:sz w:val="21"/>
          <w:szCs w:val="21"/>
          <w:highlight w:val="none"/>
        </w:rPr>
      </w:pPr>
      <w:r>
        <w:rPr>
          <w:rFonts w:hint="eastAsia" w:hAnsi="宋体" w:cs="宋体"/>
          <w:bCs/>
          <w:color w:val="auto"/>
          <w:sz w:val="21"/>
          <w:szCs w:val="21"/>
          <w:highlight w:val="none"/>
        </w:rPr>
        <w:t>1.评审是磋商过程中的重要环节，评审工作在磋商小组成员内独立进行。磋商小组将遵照评分原则，公正、公平、客观地对待所有供应商。</w:t>
      </w:r>
    </w:p>
    <w:p w14:paraId="4DDF5B4D">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2.在磋商期间，供应商不得向磋商小组询问评分情况，不得进行旨在影响磋商评审结果的活动。</w:t>
      </w:r>
    </w:p>
    <w:p w14:paraId="3488B23E">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3.为保证确定成交人的公正性，在磋商评审过程中，磋商小组成员不得与供应商私下交换意见。在磋商工作结束后与磋商评审工作有接触的任何人，不得将评分情况外泄。</w:t>
      </w:r>
    </w:p>
    <w:p w14:paraId="367B327F">
      <w:pPr>
        <w:rPr>
          <w:rFonts w:hAnsi="宋体" w:cs="宋体"/>
          <w:color w:val="auto"/>
          <w:highlight w:val="none"/>
        </w:rPr>
      </w:pPr>
      <w:bookmarkStart w:id="108" w:name="_Toc19020"/>
      <w:r>
        <w:rPr>
          <w:rFonts w:hint="eastAsia" w:hAnsi="宋体" w:cs="宋体"/>
          <w:color w:val="auto"/>
          <w:highlight w:val="none"/>
        </w:rPr>
        <w:br w:type="page"/>
      </w:r>
    </w:p>
    <w:p w14:paraId="0B6B6880">
      <w:pPr>
        <w:pStyle w:val="6"/>
        <w:spacing w:beforeLines="50" w:afterLines="50" w:line="360" w:lineRule="auto"/>
        <w:jc w:val="center"/>
        <w:rPr>
          <w:rFonts w:hAnsi="宋体" w:cs="宋体"/>
          <w:color w:val="auto"/>
          <w:sz w:val="32"/>
          <w:szCs w:val="32"/>
          <w:highlight w:val="none"/>
        </w:rPr>
      </w:pPr>
      <w:bookmarkStart w:id="109" w:name="_Toc10853"/>
      <w:r>
        <w:rPr>
          <w:rFonts w:hint="eastAsia" w:hAnsi="宋体" w:cs="宋体"/>
          <w:color w:val="auto"/>
          <w:sz w:val="32"/>
          <w:szCs w:val="32"/>
          <w:highlight w:val="none"/>
        </w:rPr>
        <w:t>第五部分  合同主要条款</w:t>
      </w:r>
      <w:bookmarkEnd w:id="108"/>
      <w:bookmarkEnd w:id="109"/>
    </w:p>
    <w:bookmarkEnd w:id="96"/>
    <w:bookmarkEnd w:id="97"/>
    <w:bookmarkEnd w:id="98"/>
    <w:bookmarkEnd w:id="99"/>
    <w:bookmarkEnd w:id="100"/>
    <w:bookmarkEnd w:id="101"/>
    <w:bookmarkEnd w:id="102"/>
    <w:bookmarkEnd w:id="103"/>
    <w:bookmarkEnd w:id="104"/>
    <w:bookmarkEnd w:id="105"/>
    <w:bookmarkEnd w:id="106"/>
    <w:p w14:paraId="011F849E">
      <w:pPr>
        <w:keepNext/>
        <w:jc w:val="center"/>
        <w:rPr>
          <w:rFonts w:hAnsi="宋体" w:cs="宋体"/>
          <w:color w:val="auto"/>
          <w:kern w:val="2"/>
          <w:sz w:val="28"/>
          <w:szCs w:val="28"/>
          <w:highlight w:val="none"/>
        </w:rPr>
      </w:pPr>
      <w:bookmarkStart w:id="110" w:name="_Toc22550"/>
      <w:bookmarkStart w:id="111" w:name="_Toc237182505"/>
      <w:bookmarkStart w:id="112" w:name="_Toc184785934"/>
      <w:bookmarkStart w:id="113" w:name="_Toc237189786"/>
      <w:bookmarkStart w:id="114" w:name="_Toc237176512"/>
      <w:bookmarkStart w:id="115" w:name="_Toc237414014"/>
      <w:bookmarkStart w:id="116" w:name="_Toc237193457"/>
      <w:bookmarkStart w:id="117" w:name="_Toc296074346"/>
      <w:bookmarkStart w:id="118" w:name="_Toc295737635"/>
      <w:bookmarkStart w:id="119" w:name="_Toc217289136"/>
      <w:bookmarkStart w:id="120" w:name="_Toc499294825"/>
      <w:bookmarkStart w:id="121" w:name="_Toc237413919"/>
      <w:bookmarkStart w:id="122" w:name="_Toc295910883"/>
      <w:bookmarkStart w:id="123" w:name="_Toc264211077"/>
      <w:bookmarkStart w:id="124" w:name="_Toc265065989"/>
      <w:bookmarkStart w:id="125" w:name="_Toc237340113"/>
      <w:bookmarkStart w:id="126" w:name="_Toc256977545"/>
      <w:r>
        <w:rPr>
          <w:rFonts w:hint="eastAsia" w:hAnsi="宋体" w:cs="宋体"/>
          <w:color w:val="auto"/>
          <w:kern w:val="2"/>
          <w:sz w:val="28"/>
          <w:szCs w:val="28"/>
          <w:highlight w:val="none"/>
        </w:rPr>
        <w:t>（以甲、乙双方签订的正式合同为准）</w:t>
      </w:r>
      <w:bookmarkEnd w:id="110"/>
    </w:p>
    <w:p w14:paraId="6649E2B2">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项目名称：                                         </w:t>
      </w:r>
    </w:p>
    <w:p w14:paraId="46A3819A">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项目编号：</w:t>
      </w:r>
    </w:p>
    <w:p w14:paraId="0F693F8B">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甲方（采购方）： </w:t>
      </w:r>
    </w:p>
    <w:p w14:paraId="672900CD">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乙方（供应商）： </w:t>
      </w:r>
    </w:p>
    <w:p w14:paraId="64368BE0">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甲、乙双方根据</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w:t>
      </w:r>
      <w:r>
        <w:rPr>
          <w:rFonts w:hint="eastAsia" w:hAnsi="宋体" w:cs="宋体"/>
          <w:color w:val="auto"/>
          <w:kern w:val="2"/>
          <w:sz w:val="21"/>
          <w:highlight w:val="none"/>
        </w:rPr>
        <w:t>竞争性磋商采购</w:t>
      </w:r>
      <w:r>
        <w:rPr>
          <w:rFonts w:hint="eastAsia" w:hAnsi="宋体" w:cs="宋体"/>
          <w:color w:val="auto"/>
          <w:sz w:val="21"/>
          <w:szCs w:val="21"/>
          <w:highlight w:val="none"/>
        </w:rPr>
        <w:t>的结果，签署本合同。</w:t>
      </w:r>
    </w:p>
    <w:p w14:paraId="382E8453">
      <w:pPr>
        <w:autoSpaceDE/>
        <w:adjustRightInd/>
        <w:spacing w:line="500" w:lineRule="exact"/>
        <w:ind w:firstLine="422" w:firstLineChars="200"/>
        <w:contextualSpacing/>
        <w:jc w:val="both"/>
        <w:rPr>
          <w:rFonts w:hAnsi="宋体" w:cs="宋体"/>
          <w:b/>
          <w:color w:val="auto"/>
          <w:sz w:val="21"/>
          <w:szCs w:val="21"/>
          <w:highlight w:val="none"/>
        </w:rPr>
      </w:pPr>
      <w:r>
        <w:rPr>
          <w:rFonts w:hint="eastAsia" w:hAnsi="宋体" w:cs="宋体"/>
          <w:b/>
          <w:bCs/>
          <w:color w:val="auto"/>
          <w:sz w:val="21"/>
          <w:szCs w:val="21"/>
          <w:highlight w:val="none"/>
        </w:rPr>
        <w:t>一、</w:t>
      </w:r>
      <w:r>
        <w:rPr>
          <w:rFonts w:hint="eastAsia" w:hAnsi="宋体" w:cs="宋体"/>
          <w:b/>
          <w:color w:val="auto"/>
          <w:sz w:val="21"/>
          <w:szCs w:val="21"/>
          <w:highlight w:val="none"/>
        </w:rPr>
        <w:t>下列文件为本合同不可分割部分：</w:t>
      </w:r>
    </w:p>
    <w:p w14:paraId="02F143D5">
      <w:pPr>
        <w:autoSpaceDE/>
        <w:adjustRightInd/>
        <w:spacing w:line="500" w:lineRule="exact"/>
        <w:ind w:firstLine="420" w:firstLineChars="200"/>
        <w:contextualSpacing/>
        <w:jc w:val="both"/>
        <w:rPr>
          <w:rFonts w:hAnsi="宋体" w:cs="宋体"/>
          <w:color w:val="auto"/>
          <w:sz w:val="21"/>
          <w:szCs w:val="21"/>
          <w:highlight w:val="none"/>
        </w:rPr>
      </w:pPr>
      <w:r>
        <w:rPr>
          <w:rFonts w:hint="eastAsia" w:hAnsi="宋体" w:cs="宋体"/>
          <w:color w:val="auto"/>
          <w:sz w:val="21"/>
          <w:szCs w:val="21"/>
          <w:highlight w:val="none"/>
        </w:rPr>
        <w:t>1.成交通知书；</w:t>
      </w:r>
    </w:p>
    <w:p w14:paraId="737CD436">
      <w:pPr>
        <w:autoSpaceDE/>
        <w:adjustRightInd/>
        <w:spacing w:line="500" w:lineRule="exact"/>
        <w:ind w:firstLine="420" w:firstLineChars="200"/>
        <w:contextualSpacing/>
        <w:jc w:val="both"/>
        <w:rPr>
          <w:rFonts w:hAnsi="宋体" w:cs="宋体"/>
          <w:color w:val="auto"/>
          <w:sz w:val="21"/>
          <w:szCs w:val="21"/>
          <w:highlight w:val="none"/>
        </w:rPr>
      </w:pPr>
      <w:r>
        <w:rPr>
          <w:rFonts w:hint="eastAsia" w:hAnsi="宋体" w:cs="宋体"/>
          <w:color w:val="auto"/>
          <w:sz w:val="21"/>
          <w:szCs w:val="21"/>
          <w:highlight w:val="none"/>
        </w:rPr>
        <w:t>2.乙方的磋商响应文件。</w:t>
      </w:r>
    </w:p>
    <w:p w14:paraId="1CBB0531">
      <w:pPr>
        <w:autoSpaceDE/>
        <w:adjustRightInd/>
        <w:spacing w:line="500" w:lineRule="exact"/>
        <w:ind w:firstLine="420" w:firstLineChars="200"/>
        <w:contextualSpacing/>
        <w:jc w:val="both"/>
        <w:rPr>
          <w:rFonts w:hAnsi="宋体" w:cs="宋体"/>
          <w:color w:val="auto"/>
          <w:sz w:val="21"/>
          <w:szCs w:val="21"/>
          <w:highlight w:val="none"/>
        </w:rPr>
      </w:pPr>
      <w:r>
        <w:rPr>
          <w:rFonts w:hint="eastAsia" w:hAnsi="宋体" w:cs="宋体"/>
          <w:color w:val="auto"/>
          <w:sz w:val="21"/>
          <w:szCs w:val="21"/>
          <w:highlight w:val="none"/>
        </w:rPr>
        <w:t>3.甲方的磋商采购文件。</w:t>
      </w:r>
    </w:p>
    <w:p w14:paraId="157D0A74">
      <w:pPr>
        <w:autoSpaceDE/>
        <w:adjustRightInd/>
        <w:spacing w:line="500" w:lineRule="exact"/>
        <w:ind w:firstLine="420" w:firstLineChars="200"/>
        <w:contextualSpacing/>
        <w:jc w:val="both"/>
        <w:rPr>
          <w:rFonts w:hAnsi="宋体" w:cs="宋体"/>
          <w:b/>
          <w:color w:val="auto"/>
          <w:sz w:val="21"/>
          <w:szCs w:val="21"/>
          <w:highlight w:val="none"/>
        </w:rPr>
      </w:pPr>
      <w:r>
        <w:rPr>
          <w:rFonts w:hint="eastAsia" w:hAnsi="宋体" w:cs="宋体"/>
          <w:color w:val="auto"/>
          <w:sz w:val="21"/>
          <w:szCs w:val="21"/>
          <w:highlight w:val="none"/>
        </w:rPr>
        <w:t>4.乙方在磋商过程中所作的其它承诺、声明、书面澄清等。</w:t>
      </w:r>
    </w:p>
    <w:p w14:paraId="0714E7D7">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二、服务内容：</w:t>
      </w:r>
      <w:r>
        <w:rPr>
          <w:rFonts w:hint="eastAsia" w:hAnsi="宋体" w:cs="宋体"/>
          <w:color w:val="auto"/>
          <w:sz w:val="21"/>
          <w:szCs w:val="21"/>
          <w:highlight w:val="none"/>
          <w:u w:val="single"/>
        </w:rPr>
        <w:t>乙方为甲方提供</w:t>
      </w:r>
      <w:r>
        <w:rPr>
          <w:rFonts w:hint="eastAsia" w:hAnsi="宋体" w:cs="宋体"/>
          <w:color w:val="auto"/>
          <w:spacing w:val="-3"/>
          <w:sz w:val="21"/>
          <w:szCs w:val="21"/>
          <w:highlight w:val="none"/>
          <w:u w:val="single"/>
        </w:rPr>
        <w:t xml:space="preserve">                                      </w:t>
      </w:r>
      <w:r>
        <w:rPr>
          <w:rFonts w:hint="eastAsia" w:hAnsi="宋体" w:cs="宋体"/>
          <w:color w:val="auto"/>
          <w:spacing w:val="-3"/>
          <w:sz w:val="21"/>
          <w:szCs w:val="21"/>
          <w:highlight w:val="none"/>
        </w:rPr>
        <w:t xml:space="preserve"> 。服务范围详见本项目</w:t>
      </w:r>
      <w:r>
        <w:rPr>
          <w:rFonts w:hint="eastAsia" w:hAnsi="宋体" w:cs="宋体"/>
          <w:color w:val="auto"/>
          <w:kern w:val="2"/>
          <w:sz w:val="21"/>
          <w:highlight w:val="none"/>
        </w:rPr>
        <w:t>竞争性磋商采购</w:t>
      </w:r>
      <w:r>
        <w:rPr>
          <w:rFonts w:hint="eastAsia" w:hAnsi="宋体" w:cs="宋体"/>
          <w:color w:val="auto"/>
          <w:spacing w:val="-3"/>
          <w:sz w:val="21"/>
          <w:szCs w:val="21"/>
          <w:highlight w:val="none"/>
        </w:rPr>
        <w:t>文件。</w:t>
      </w:r>
      <w:r>
        <w:rPr>
          <w:rFonts w:hint="eastAsia" w:hAnsi="宋体" w:cs="宋体"/>
          <w:color w:val="auto"/>
          <w:sz w:val="21"/>
          <w:szCs w:val="21"/>
          <w:highlight w:val="none"/>
        </w:rPr>
        <w:t xml:space="preserve">                                             。</w:t>
      </w:r>
    </w:p>
    <w:p w14:paraId="338BE3A7">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三、合同金额</w:t>
      </w:r>
    </w:p>
    <w:p w14:paraId="3F9165C0">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本合同总金额为（大写）：____________________________________元（￥_______________元）人民币。</w:t>
      </w:r>
    </w:p>
    <w:p w14:paraId="232B19C1">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四、服务要求：满足竞争性磋商采购文件的要求。</w:t>
      </w:r>
    </w:p>
    <w:p w14:paraId="20D13358">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五、成果要求：满足竞争性磋商采购文件的要求。</w:t>
      </w:r>
    </w:p>
    <w:p w14:paraId="63461E6B">
      <w:pPr>
        <w:spacing w:line="460" w:lineRule="exact"/>
        <w:ind w:firstLine="422" w:firstLineChars="200"/>
        <w:jc w:val="both"/>
        <w:rPr>
          <w:rFonts w:hAnsi="宋体" w:cs="宋体"/>
          <w:color w:val="auto"/>
          <w:highlight w:val="none"/>
        </w:rPr>
      </w:pPr>
      <w:r>
        <w:rPr>
          <w:rFonts w:hint="eastAsia" w:hAnsi="宋体" w:cs="宋体"/>
          <w:b/>
          <w:color w:val="auto"/>
          <w:sz w:val="21"/>
          <w:szCs w:val="21"/>
          <w:highlight w:val="none"/>
        </w:rPr>
        <w:t>六、时间进度要求：满足竞争性磋商采购文件的要求。</w:t>
      </w:r>
    </w:p>
    <w:p w14:paraId="5468FC11">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七、知识产权</w:t>
      </w:r>
    </w:p>
    <w:p w14:paraId="7F5F28EF">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1.乙方应保证提供服务过程中不会侵犯任何第三方的知识产权。</w:t>
      </w:r>
    </w:p>
    <w:p w14:paraId="6907684C">
      <w:pPr>
        <w:spacing w:line="460" w:lineRule="exact"/>
        <w:ind w:firstLine="420" w:firstLineChars="200"/>
        <w:jc w:val="both"/>
        <w:rPr>
          <w:rFonts w:hAnsi="宋体" w:cs="宋体"/>
          <w:b/>
          <w:color w:val="auto"/>
          <w:sz w:val="21"/>
          <w:szCs w:val="21"/>
          <w:highlight w:val="none"/>
        </w:rPr>
      </w:pPr>
      <w:r>
        <w:rPr>
          <w:rFonts w:hint="eastAsia" w:hAnsi="宋体" w:cs="宋体"/>
          <w:color w:val="auto"/>
          <w:sz w:val="21"/>
          <w:szCs w:val="21"/>
          <w:highlight w:val="none"/>
        </w:rPr>
        <w:t>2.本次项目成果所有权和使用权均属于甲方。未经甲方书面同意，乙方不得向任何单位和个人转让和使用本项目成果，否则承担由此产生的一切法律和经济责任。</w:t>
      </w:r>
    </w:p>
    <w:p w14:paraId="52A53DE9">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八、转包或分包</w:t>
      </w:r>
    </w:p>
    <w:p w14:paraId="0F24CE1E">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乙方不得向他人转让成交项目，也不得将成交项目肢解后分别向他人转让，也不得将成交项目的部分非主体、非关键性工作分包给他人完成。</w:t>
      </w:r>
    </w:p>
    <w:p w14:paraId="559F797E">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九、合同履行时间、履行方式及履行地点</w:t>
      </w:r>
    </w:p>
    <w:p w14:paraId="5D29DEF5">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1.履行时间：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7082344F">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2.履行方式：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66118FE3">
      <w:pPr>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3.履行地点：</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0CD9A6AC">
      <w:pPr>
        <w:spacing w:line="460" w:lineRule="exact"/>
        <w:ind w:firstLine="420" w:firstLineChars="200"/>
        <w:rPr>
          <w:rFonts w:hAnsi="宋体" w:cs="宋体"/>
          <w:color w:val="auto"/>
          <w:highlight w:val="none"/>
        </w:rPr>
      </w:pPr>
      <w:r>
        <w:rPr>
          <w:rFonts w:hint="eastAsia" w:hAnsi="宋体" w:cs="宋体"/>
          <w:color w:val="auto"/>
          <w:sz w:val="21"/>
          <w:szCs w:val="21"/>
          <w:highlight w:val="none"/>
        </w:rPr>
        <w:t>4.履约保证金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5CF7E506">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十、付款方式：满足磋商文件的要求。</w:t>
      </w:r>
    </w:p>
    <w:p w14:paraId="48F580D5">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十一、税费</w:t>
      </w:r>
    </w:p>
    <w:p w14:paraId="3A827A01">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本合同执行中相关的一切税费均由乙方负担。</w:t>
      </w:r>
    </w:p>
    <w:p w14:paraId="3EE9F188">
      <w:pPr>
        <w:spacing w:line="46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十二、质量保证及后续服务</w:t>
      </w:r>
    </w:p>
    <w:p w14:paraId="65D094AB">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1.乙方应按</w:t>
      </w:r>
      <w:r>
        <w:rPr>
          <w:rFonts w:hint="eastAsia" w:hAnsi="宋体" w:cs="宋体"/>
          <w:color w:val="auto"/>
          <w:kern w:val="2"/>
          <w:sz w:val="21"/>
          <w:highlight w:val="none"/>
        </w:rPr>
        <w:t>竞争性磋商采购</w:t>
      </w:r>
      <w:r>
        <w:rPr>
          <w:rFonts w:hint="eastAsia" w:hAnsi="宋体" w:cs="宋体"/>
          <w:color w:val="auto"/>
          <w:sz w:val="21"/>
          <w:szCs w:val="21"/>
          <w:highlight w:val="none"/>
        </w:rPr>
        <w:t>文件规定向甲方提供服务。</w:t>
      </w:r>
    </w:p>
    <w:p w14:paraId="2EC86317">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2.乙方提供的服务成果得不到评审专家认可的，乙方应负责免费提供后续服务，直到得到评审专家评审认可为止。对达不到要求者，根据实际情况，经双方协商，可按以下办法处理：</w:t>
      </w:r>
    </w:p>
    <w:p w14:paraId="0C99346C">
      <w:pPr>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①重做：由乙方承担所发生的全部费用。</w:t>
      </w:r>
    </w:p>
    <w:p w14:paraId="7BE5D29D">
      <w:pPr>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②贬值处理：由甲乙双方合议定价。</w:t>
      </w:r>
    </w:p>
    <w:p w14:paraId="211BD3D0">
      <w:pPr>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③解除合同。</w:t>
      </w:r>
    </w:p>
    <w:p w14:paraId="6D3D169E">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3.在履约保证期内，乙方应对出现的质量及安全问题负责处理解决并承担一切费用。</w:t>
      </w:r>
    </w:p>
    <w:p w14:paraId="3E925FFC">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4.合同履行完毕后，如发现存在缺失、错误或其他原因需对项目成果进行调整或修改的，乙方需负责免费对项目成果进行调整或修改。</w:t>
      </w:r>
    </w:p>
    <w:p w14:paraId="68031131">
      <w:pPr>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十三、违约责任</w:t>
      </w:r>
    </w:p>
    <w:p w14:paraId="761A7CF4">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1.甲方无正当理由拒绝接受服务的，甲方向乙方偿付合同款项百分之五作为违约金。</w:t>
      </w:r>
    </w:p>
    <w:p w14:paraId="640F7BD6">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2.甲方无故逾期验收和办理款项支付手续的,甲方应按逾期付款总额每日万分之五向乙方支付违约金。</w:t>
      </w:r>
    </w:p>
    <w:p w14:paraId="31FA965A">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3.乙方逾期提供服务的，每日向甲方支付千分之六违约金。 </w:t>
      </w:r>
    </w:p>
    <w:p w14:paraId="2DFAF46B">
      <w:pPr>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十四、不可抗力事件处理</w:t>
      </w:r>
    </w:p>
    <w:p w14:paraId="4E78D5AF">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1.在合同有效期内，任何一方因不可抗力事件导致不能履行合同，则合同履行期可延长，其延长期与不可抗力影响期相同。</w:t>
      </w:r>
    </w:p>
    <w:p w14:paraId="085279A8">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2.不可抗力事件发生后，应立即通知对方，并寄送有关权威机构出具的证明。</w:t>
      </w:r>
    </w:p>
    <w:p w14:paraId="6C6AF881">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3.不可抗力事件延续120天以上，双方应通过友好协商，确定是否继续履行合同。</w:t>
      </w:r>
    </w:p>
    <w:p w14:paraId="1703B1D4">
      <w:pPr>
        <w:pStyle w:val="2"/>
        <w:spacing w:after="0" w:line="500" w:lineRule="exact"/>
        <w:ind w:left="0" w:leftChars="0" w:firstLine="0"/>
        <w:rPr>
          <w:rFonts w:ascii="宋体" w:hAnsi="宋体"/>
          <w:color w:val="auto"/>
          <w:highlight w:val="none"/>
        </w:rPr>
      </w:pPr>
      <w:r>
        <w:rPr>
          <w:rFonts w:hint="eastAsia" w:ascii="宋体" w:hAnsi="宋体"/>
          <w:color w:val="auto"/>
          <w:highlight w:val="none"/>
        </w:rPr>
        <w:t xml:space="preserve">    4. 如有必要，经双方协商，本合同可延长，但不超过2年。</w:t>
      </w:r>
    </w:p>
    <w:p w14:paraId="64BBBC1B">
      <w:pPr>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十五、争议解决</w:t>
      </w:r>
    </w:p>
    <w:p w14:paraId="62C01A6B">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双方在执行合同中所发生的一切争议，应通过协商解决。如协商不成，可向甲方所在地法院起诉。</w:t>
      </w:r>
    </w:p>
    <w:p w14:paraId="19C4B8CA">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十六、合同生效及其它</w:t>
      </w:r>
    </w:p>
    <w:p w14:paraId="241B3AD7">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1.合同经双方法定代表人或授权代表签字并加盖单位公章后生效。</w:t>
      </w:r>
    </w:p>
    <w:p w14:paraId="56A94106">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2.本合同未尽事宜，遵照有关条文执行。</w:t>
      </w:r>
    </w:p>
    <w:p w14:paraId="2A93A174">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3.本合同正本一式陆份，具有同等法律效力，甲乙双方各执二份，代理机构二份（用于备案及资料归集）。</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14:paraId="778C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3226" w:type="dxa"/>
            <w:tcBorders>
              <w:top w:val="single" w:color="auto" w:sz="4" w:space="0"/>
              <w:left w:val="single" w:color="auto" w:sz="4" w:space="0"/>
              <w:right w:val="single" w:color="auto" w:sz="4" w:space="0"/>
            </w:tcBorders>
          </w:tcPr>
          <w:p w14:paraId="580EAF3D">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甲方单位名称（章）：</w:t>
            </w:r>
          </w:p>
          <w:p w14:paraId="4B8A6CEF">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单位地址：</w:t>
            </w:r>
          </w:p>
          <w:p w14:paraId="5086804D">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法定代表人：</w:t>
            </w:r>
          </w:p>
          <w:p w14:paraId="5080A786">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委托代理人：</w:t>
            </w:r>
          </w:p>
          <w:p w14:paraId="1F7D3B5F">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电 话：</w:t>
            </w:r>
          </w:p>
          <w:p w14:paraId="663833C9">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开户银行：</w:t>
            </w:r>
          </w:p>
          <w:p w14:paraId="131FEDD8">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账 号：</w:t>
            </w:r>
          </w:p>
          <w:p w14:paraId="0C333337">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邮政编码：</w:t>
            </w:r>
          </w:p>
        </w:tc>
        <w:tc>
          <w:tcPr>
            <w:tcW w:w="3407" w:type="dxa"/>
            <w:tcBorders>
              <w:top w:val="single" w:color="auto" w:sz="4" w:space="0"/>
              <w:left w:val="single" w:color="auto" w:sz="4" w:space="0"/>
              <w:right w:val="single" w:color="auto" w:sz="4" w:space="0"/>
            </w:tcBorders>
          </w:tcPr>
          <w:p w14:paraId="232DE7EE">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乙方单位名称（章）：</w:t>
            </w:r>
          </w:p>
          <w:p w14:paraId="14CF7792">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单位地址：</w:t>
            </w:r>
          </w:p>
          <w:p w14:paraId="7AB06D7C">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法定代表人：</w:t>
            </w:r>
          </w:p>
          <w:p w14:paraId="2D053979">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委托代理人：</w:t>
            </w:r>
          </w:p>
          <w:p w14:paraId="7C49FE16">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电 话：</w:t>
            </w:r>
          </w:p>
          <w:p w14:paraId="09F0F58F">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开户银行：</w:t>
            </w:r>
          </w:p>
          <w:p w14:paraId="41174318">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账 号：</w:t>
            </w:r>
          </w:p>
          <w:p w14:paraId="1D6BB9CF">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邮政编码：</w:t>
            </w:r>
          </w:p>
        </w:tc>
        <w:tc>
          <w:tcPr>
            <w:tcW w:w="2723" w:type="dxa"/>
            <w:tcBorders>
              <w:top w:val="single" w:color="auto" w:sz="4" w:space="0"/>
              <w:left w:val="single" w:color="auto" w:sz="4" w:space="0"/>
              <w:right w:val="single" w:color="auto" w:sz="4" w:space="0"/>
            </w:tcBorders>
          </w:tcPr>
          <w:p w14:paraId="435F46BB">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采购代理机构意见：</w:t>
            </w:r>
          </w:p>
          <w:p w14:paraId="7A93698C">
            <w:pPr>
              <w:spacing w:line="460" w:lineRule="exact"/>
              <w:ind w:right="-170" w:rightChars="-50"/>
              <w:rPr>
                <w:rFonts w:hAnsi="宋体" w:cs="宋体"/>
                <w:bCs/>
                <w:color w:val="auto"/>
                <w:sz w:val="21"/>
                <w:szCs w:val="21"/>
                <w:highlight w:val="none"/>
              </w:rPr>
            </w:pPr>
          </w:p>
          <w:p w14:paraId="2077BFC9">
            <w:pPr>
              <w:spacing w:line="460" w:lineRule="exact"/>
              <w:ind w:firstLine="1260" w:firstLineChars="600"/>
              <w:jc w:val="both"/>
              <w:rPr>
                <w:rFonts w:hAnsi="宋体" w:cs="宋体"/>
                <w:bCs/>
                <w:color w:val="auto"/>
                <w:sz w:val="21"/>
                <w:szCs w:val="21"/>
                <w:highlight w:val="none"/>
              </w:rPr>
            </w:pPr>
            <w:r>
              <w:rPr>
                <w:rFonts w:hint="eastAsia" w:hAnsi="宋体" w:cs="宋体"/>
                <w:bCs/>
                <w:color w:val="auto"/>
                <w:sz w:val="21"/>
                <w:szCs w:val="21"/>
                <w:highlight w:val="none"/>
              </w:rPr>
              <w:t>年  月  日</w:t>
            </w:r>
          </w:p>
        </w:tc>
      </w:tr>
    </w:tbl>
    <w:p w14:paraId="762B4EC0">
      <w:pPr>
        <w:autoSpaceDE/>
        <w:autoSpaceDN/>
        <w:adjustRightInd/>
        <w:snapToGrid w:val="0"/>
        <w:spacing w:line="480" w:lineRule="exact"/>
        <w:ind w:firstLine="420" w:firstLineChars="200"/>
        <w:jc w:val="both"/>
        <w:textAlignment w:val="auto"/>
        <w:rPr>
          <w:rFonts w:hAnsi="宋体" w:cs="宋体"/>
          <w:color w:val="auto"/>
          <w:kern w:val="2"/>
          <w:sz w:val="21"/>
          <w:highlight w:val="none"/>
        </w:rPr>
      </w:pPr>
    </w:p>
    <w:p w14:paraId="2731AEC5">
      <w:pPr>
        <w:pStyle w:val="45"/>
        <w:ind w:firstLine="211"/>
        <w:rPr>
          <w:rFonts w:hAnsi="宋体" w:cs="宋体"/>
          <w:color w:val="auto"/>
          <w:highlight w:val="none"/>
        </w:rPr>
      </w:pPr>
      <w:r>
        <w:rPr>
          <w:rFonts w:hint="eastAsia" w:hAnsi="宋体" w:cs="宋体"/>
          <w:b/>
          <w:color w:val="auto"/>
          <w:sz w:val="21"/>
          <w:szCs w:val="21"/>
          <w:highlight w:val="none"/>
        </w:rPr>
        <w:t>注：此合同样本仅作参考，采购人、供应商可根据采购项目的实际情况进行修改。</w:t>
      </w:r>
    </w:p>
    <w:p w14:paraId="1709CEA5">
      <w:pPr>
        <w:widowControl/>
        <w:autoSpaceDE/>
        <w:autoSpaceDN/>
        <w:adjustRightInd/>
        <w:textAlignment w:val="auto"/>
        <w:rPr>
          <w:rFonts w:hAnsi="宋体" w:cs="宋体"/>
          <w:color w:val="auto"/>
          <w:sz w:val="28"/>
          <w:highlight w:val="none"/>
        </w:rPr>
      </w:pPr>
      <w:r>
        <w:rPr>
          <w:rFonts w:hint="eastAsia" w:hAnsi="宋体" w:cs="宋体"/>
          <w:color w:val="auto"/>
          <w:highlight w:val="none"/>
        </w:rPr>
        <w:br w:type="page"/>
      </w:r>
    </w:p>
    <w:p w14:paraId="7EFBA55E">
      <w:pPr>
        <w:pStyle w:val="45"/>
        <w:ind w:firstLine="280"/>
        <w:rPr>
          <w:rFonts w:hAnsi="宋体" w:cs="宋体"/>
          <w:color w:val="auto"/>
          <w:highlight w:val="none"/>
        </w:rPr>
      </w:pPr>
    </w:p>
    <w:p w14:paraId="561CB801">
      <w:pPr>
        <w:pStyle w:val="6"/>
        <w:spacing w:beforeLines="50" w:afterLines="50" w:line="360" w:lineRule="auto"/>
        <w:jc w:val="center"/>
        <w:rPr>
          <w:rFonts w:hAnsi="宋体" w:cs="宋体"/>
          <w:color w:val="auto"/>
          <w:sz w:val="32"/>
          <w:szCs w:val="32"/>
          <w:highlight w:val="none"/>
        </w:rPr>
      </w:pPr>
      <w:bookmarkStart w:id="127" w:name="_Toc28934"/>
      <w:bookmarkStart w:id="128" w:name="_Toc19691"/>
      <w:r>
        <w:rPr>
          <w:rFonts w:hint="eastAsia" w:hAnsi="宋体" w:cs="宋体"/>
          <w:color w:val="auto"/>
          <w:sz w:val="32"/>
          <w:szCs w:val="32"/>
          <w:highlight w:val="none"/>
        </w:rPr>
        <w:t>第六部分</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hAnsi="宋体" w:cs="宋体"/>
          <w:color w:val="auto"/>
          <w:sz w:val="32"/>
          <w:szCs w:val="32"/>
          <w:highlight w:val="none"/>
        </w:rPr>
        <w:t xml:space="preserve">  递交的响应文件格式范例</w:t>
      </w:r>
      <w:bookmarkEnd w:id="127"/>
      <w:bookmarkEnd w:id="128"/>
    </w:p>
    <w:p w14:paraId="6BFAD924">
      <w:pPr>
        <w:snapToGrid w:val="0"/>
        <w:spacing w:beforeLines="50" w:after="50"/>
        <w:jc w:val="center"/>
        <w:rPr>
          <w:rFonts w:hAnsi="宋体" w:cs="宋体"/>
          <w:color w:val="auto"/>
          <w:sz w:val="21"/>
          <w:szCs w:val="21"/>
          <w:highlight w:val="none"/>
        </w:rPr>
      </w:pPr>
      <w:bookmarkStart w:id="129" w:name="_Toc237193458"/>
      <w:bookmarkStart w:id="130" w:name="_Toc217289137"/>
      <w:bookmarkStart w:id="131" w:name="_Toc184785935"/>
      <w:bookmarkStart w:id="132" w:name="_Toc237340114"/>
      <w:bookmarkStart w:id="133" w:name="_Toc237414015"/>
      <w:bookmarkStart w:id="134" w:name="_Toc296074347"/>
      <w:bookmarkStart w:id="135" w:name="_Toc264211078"/>
      <w:bookmarkStart w:id="136" w:name="_Toc237176513"/>
      <w:bookmarkStart w:id="137" w:name="_Toc499294826"/>
      <w:bookmarkStart w:id="138" w:name="_Toc265065990"/>
      <w:bookmarkStart w:id="139" w:name="_Toc295737636"/>
      <w:bookmarkStart w:id="140" w:name="_Toc295910884"/>
      <w:bookmarkStart w:id="141" w:name="_Toc256977546"/>
      <w:bookmarkStart w:id="142" w:name="_Toc237189787"/>
      <w:bookmarkStart w:id="143" w:name="_Toc237182506"/>
      <w:bookmarkStart w:id="144" w:name="_Toc374366051"/>
      <w:bookmarkStart w:id="145" w:name="_Toc237413920"/>
    </w:p>
    <w:p w14:paraId="616162ED">
      <w:pPr>
        <w:snapToGrid w:val="0"/>
        <w:spacing w:beforeLines="50" w:after="50"/>
        <w:jc w:val="center"/>
        <w:rPr>
          <w:rFonts w:hAnsi="宋体" w:cs="宋体"/>
          <w:color w:val="auto"/>
          <w:sz w:val="30"/>
          <w:szCs w:val="30"/>
          <w:highlight w:val="none"/>
        </w:rPr>
      </w:pPr>
      <w:r>
        <w:rPr>
          <w:rFonts w:hint="eastAsia" w:hAnsi="宋体" w:cs="宋体"/>
          <w:color w:val="auto"/>
          <w:sz w:val="30"/>
          <w:szCs w:val="30"/>
          <w:highlight w:val="none"/>
        </w:rPr>
        <w:t>竞争性磋商响应文件</w:t>
      </w:r>
    </w:p>
    <w:p w14:paraId="11AD6B34">
      <w:pPr>
        <w:snapToGrid w:val="0"/>
        <w:spacing w:beforeLines="50" w:after="50"/>
        <w:rPr>
          <w:rFonts w:hAnsi="宋体" w:cs="宋体"/>
          <w:color w:val="auto"/>
          <w:sz w:val="30"/>
          <w:szCs w:val="30"/>
          <w:highlight w:val="none"/>
        </w:rPr>
      </w:pPr>
    </w:p>
    <w:p w14:paraId="5AD6BAAA">
      <w:pPr>
        <w:snapToGrid w:val="0"/>
        <w:spacing w:beforeLines="50" w:after="50"/>
        <w:ind w:left="1676" w:leftChars="140" w:hanging="1200" w:hangingChars="500"/>
        <w:rPr>
          <w:rFonts w:hAnsi="宋体" w:cs="宋体"/>
          <w:color w:val="auto"/>
          <w:sz w:val="24"/>
          <w:szCs w:val="24"/>
          <w:highlight w:val="none"/>
        </w:rPr>
      </w:pPr>
      <w:r>
        <w:rPr>
          <w:rFonts w:hint="eastAsia" w:hAnsi="宋体" w:cs="宋体"/>
          <w:color w:val="auto"/>
          <w:sz w:val="24"/>
          <w:szCs w:val="24"/>
          <w:highlight w:val="none"/>
        </w:rPr>
        <w:t>项目名称：</w:t>
      </w:r>
    </w:p>
    <w:p w14:paraId="7AF6A289">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项目编号：</w:t>
      </w:r>
    </w:p>
    <w:p w14:paraId="10CD9C46">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磋商响应文件名称：资格文件、商务技术文件或报价文件</w:t>
      </w:r>
    </w:p>
    <w:p w14:paraId="3EF5CFC3">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响应供应商名称：</w:t>
      </w:r>
    </w:p>
    <w:p w14:paraId="4B45F7CA">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响应供应商地址：</w:t>
      </w:r>
    </w:p>
    <w:p w14:paraId="25857260">
      <w:pPr>
        <w:snapToGrid w:val="0"/>
        <w:spacing w:beforeLines="50" w:after="50"/>
        <w:ind w:firstLine="2160" w:firstLineChars="900"/>
        <w:rPr>
          <w:rFonts w:hAnsi="宋体" w:cs="宋体"/>
          <w:color w:val="auto"/>
          <w:sz w:val="24"/>
          <w:szCs w:val="24"/>
          <w:highlight w:val="none"/>
        </w:rPr>
      </w:pPr>
    </w:p>
    <w:p w14:paraId="61EDCFC4">
      <w:pPr>
        <w:snapToGrid w:val="0"/>
        <w:spacing w:beforeLines="50" w:after="50"/>
        <w:ind w:firstLine="2160" w:firstLineChars="900"/>
        <w:rPr>
          <w:rFonts w:hAnsi="宋体" w:cs="宋体"/>
          <w:color w:val="auto"/>
          <w:sz w:val="24"/>
          <w:szCs w:val="24"/>
          <w:highlight w:val="none"/>
        </w:rPr>
      </w:pPr>
    </w:p>
    <w:p w14:paraId="41E96657">
      <w:pPr>
        <w:snapToGrid w:val="0"/>
        <w:spacing w:beforeLines="50" w:after="50"/>
        <w:ind w:firstLine="2160" w:firstLineChars="900"/>
        <w:rPr>
          <w:rFonts w:hAnsi="宋体" w:cs="宋体"/>
          <w:color w:val="auto"/>
          <w:sz w:val="24"/>
          <w:szCs w:val="24"/>
          <w:highlight w:val="none"/>
        </w:rPr>
      </w:pPr>
      <w:r>
        <w:rPr>
          <w:rFonts w:hint="eastAsia" w:hAnsi="宋体" w:cs="宋体"/>
          <w:color w:val="auto"/>
          <w:sz w:val="24"/>
          <w:szCs w:val="24"/>
          <w:highlight w:val="none"/>
        </w:rPr>
        <w:t>年  月  日</w:t>
      </w:r>
    </w:p>
    <w:p w14:paraId="32B9CD8A">
      <w:pPr>
        <w:snapToGrid w:val="0"/>
        <w:spacing w:beforeLines="50" w:after="50"/>
        <w:ind w:firstLine="2160" w:firstLineChars="900"/>
        <w:rPr>
          <w:rFonts w:hAnsi="宋体" w:cs="宋体"/>
          <w:color w:val="auto"/>
          <w:sz w:val="24"/>
          <w:szCs w:val="24"/>
          <w:highlight w:val="none"/>
        </w:rPr>
      </w:pPr>
    </w:p>
    <w:p w14:paraId="42607564">
      <w:pPr>
        <w:snapToGrid w:val="0"/>
        <w:spacing w:beforeLines="50" w:after="50"/>
        <w:ind w:firstLine="2160" w:firstLineChars="900"/>
        <w:rPr>
          <w:rFonts w:hAnsi="宋体" w:cs="宋体"/>
          <w:color w:val="auto"/>
          <w:sz w:val="24"/>
          <w:szCs w:val="24"/>
          <w:highlight w:val="none"/>
        </w:rPr>
      </w:pPr>
    </w:p>
    <w:p w14:paraId="14DA9F9F">
      <w:pPr>
        <w:snapToGrid w:val="0"/>
        <w:spacing w:before="50" w:after="50"/>
        <w:rPr>
          <w:rFonts w:hAnsi="宋体" w:cs="宋体"/>
          <w:b/>
          <w:color w:val="auto"/>
          <w:sz w:val="22"/>
          <w:szCs w:val="21"/>
          <w:highlight w:val="none"/>
        </w:rPr>
      </w:pPr>
    </w:p>
    <w:p w14:paraId="404E9014">
      <w:pPr>
        <w:snapToGrid w:val="0"/>
        <w:spacing w:before="50" w:after="50"/>
        <w:ind w:left="720"/>
        <w:rPr>
          <w:rFonts w:hAnsi="宋体" w:cs="宋体"/>
          <w:b/>
          <w:color w:val="auto"/>
          <w:sz w:val="22"/>
          <w:szCs w:val="21"/>
          <w:highlight w:val="none"/>
        </w:rPr>
      </w:pPr>
      <w:r>
        <w:rPr>
          <w:rFonts w:hint="eastAsia" w:hAnsi="宋体" w:cs="宋体"/>
          <w:b/>
          <w:color w:val="auto"/>
          <w:sz w:val="22"/>
          <w:szCs w:val="21"/>
          <w:highlight w:val="none"/>
        </w:rPr>
        <w:br w:type="page"/>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0A732FF8">
      <w:pPr>
        <w:snapToGrid w:val="0"/>
        <w:spacing w:line="460" w:lineRule="atLeast"/>
        <w:ind w:firstLine="442" w:firstLineChars="200"/>
        <w:textAlignment w:val="bottom"/>
        <w:rPr>
          <w:rFonts w:hAnsi="宋体" w:cs="宋体"/>
          <w:color w:val="auto"/>
          <w:highlight w:val="none"/>
        </w:rPr>
      </w:pPr>
      <w:r>
        <w:rPr>
          <w:rFonts w:hint="eastAsia" w:hAnsi="宋体" w:cs="宋体"/>
          <w:b/>
          <w:color w:val="auto"/>
          <w:sz w:val="22"/>
          <w:szCs w:val="22"/>
          <w:highlight w:val="none"/>
        </w:rPr>
        <w:t>（一）资格文件部分</w:t>
      </w:r>
    </w:p>
    <w:p w14:paraId="3BA4EC75">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（1）有效期内的营业执照扫描件或复印件（复印件加盖有效公章）</w:t>
      </w:r>
    </w:p>
    <w:p w14:paraId="4C7E4F5C">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（2）符合参加政府采购活动应当具备的一般条件的承诺函）（格式见附件）；</w:t>
      </w:r>
    </w:p>
    <w:p w14:paraId="53FBE55F">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（3）落实政府采购政策需满足的资格要求（格式见附件）；</w:t>
      </w:r>
    </w:p>
    <w:p w14:paraId="6C8069DF">
      <w:pPr>
        <w:widowControl/>
        <w:autoSpaceDE/>
        <w:autoSpaceDN/>
        <w:adjustRightInd/>
        <w:spacing w:line="500" w:lineRule="exact"/>
        <w:ind w:firstLine="420" w:firstLineChars="200"/>
        <w:textAlignment w:val="auto"/>
        <w:rPr>
          <w:rFonts w:hAnsi="宋体" w:cs="宋体"/>
          <w:color w:val="auto"/>
          <w:sz w:val="21"/>
          <w:szCs w:val="21"/>
          <w:highlight w:val="none"/>
        </w:rPr>
      </w:pPr>
    </w:p>
    <w:p w14:paraId="4DC0DB9E">
      <w:pPr>
        <w:rPr>
          <w:rFonts w:hAnsi="宋体" w:cs="宋体"/>
          <w:b/>
          <w:color w:val="auto"/>
          <w:sz w:val="24"/>
          <w:szCs w:val="24"/>
          <w:highlight w:val="none"/>
        </w:rPr>
      </w:pPr>
    </w:p>
    <w:p w14:paraId="5B2CB6C9">
      <w:pPr>
        <w:pStyle w:val="2"/>
        <w:ind w:left="680"/>
        <w:rPr>
          <w:rFonts w:ascii="宋体" w:hAnsi="宋体"/>
          <w:b/>
          <w:color w:val="auto"/>
          <w:sz w:val="24"/>
          <w:szCs w:val="24"/>
          <w:highlight w:val="none"/>
        </w:rPr>
      </w:pPr>
    </w:p>
    <w:p w14:paraId="6F3059A2">
      <w:pPr>
        <w:pStyle w:val="5"/>
        <w:rPr>
          <w:rFonts w:hAnsi="宋体" w:cs="宋体"/>
          <w:color w:val="auto"/>
          <w:sz w:val="24"/>
          <w:szCs w:val="24"/>
          <w:highlight w:val="none"/>
        </w:rPr>
      </w:pPr>
    </w:p>
    <w:p w14:paraId="7D656F65">
      <w:pPr>
        <w:rPr>
          <w:rFonts w:hAnsi="宋体" w:cs="宋体"/>
          <w:b/>
          <w:color w:val="auto"/>
          <w:sz w:val="24"/>
          <w:szCs w:val="24"/>
          <w:highlight w:val="none"/>
        </w:rPr>
      </w:pPr>
    </w:p>
    <w:p w14:paraId="613715E6">
      <w:pPr>
        <w:pStyle w:val="2"/>
        <w:ind w:left="680"/>
        <w:rPr>
          <w:rFonts w:ascii="宋体" w:hAnsi="宋体"/>
          <w:b/>
          <w:color w:val="auto"/>
          <w:sz w:val="24"/>
          <w:szCs w:val="24"/>
          <w:highlight w:val="none"/>
        </w:rPr>
      </w:pPr>
    </w:p>
    <w:p w14:paraId="547A9940">
      <w:pPr>
        <w:pStyle w:val="5"/>
        <w:rPr>
          <w:rFonts w:hAnsi="宋体" w:cs="宋体"/>
          <w:color w:val="auto"/>
          <w:sz w:val="24"/>
          <w:szCs w:val="24"/>
          <w:highlight w:val="none"/>
        </w:rPr>
      </w:pPr>
    </w:p>
    <w:p w14:paraId="3EEEAB63">
      <w:pPr>
        <w:rPr>
          <w:rFonts w:hAnsi="宋体" w:cs="宋体"/>
          <w:b/>
          <w:color w:val="auto"/>
          <w:sz w:val="24"/>
          <w:szCs w:val="24"/>
          <w:highlight w:val="none"/>
        </w:rPr>
      </w:pPr>
    </w:p>
    <w:p w14:paraId="2A72E237">
      <w:pPr>
        <w:pStyle w:val="2"/>
        <w:ind w:left="680"/>
        <w:rPr>
          <w:rFonts w:ascii="宋体" w:hAnsi="宋体"/>
          <w:b/>
          <w:color w:val="auto"/>
          <w:sz w:val="24"/>
          <w:szCs w:val="24"/>
          <w:highlight w:val="none"/>
        </w:rPr>
      </w:pPr>
    </w:p>
    <w:p w14:paraId="36AFEE4D">
      <w:pPr>
        <w:pStyle w:val="5"/>
        <w:rPr>
          <w:rFonts w:hAnsi="宋体" w:cs="宋体"/>
          <w:color w:val="auto"/>
          <w:sz w:val="24"/>
          <w:szCs w:val="24"/>
          <w:highlight w:val="none"/>
        </w:rPr>
      </w:pPr>
    </w:p>
    <w:p w14:paraId="5C59F89A">
      <w:pPr>
        <w:rPr>
          <w:rFonts w:hAnsi="宋体" w:cs="宋体"/>
          <w:b/>
          <w:color w:val="auto"/>
          <w:sz w:val="24"/>
          <w:szCs w:val="24"/>
          <w:highlight w:val="none"/>
        </w:rPr>
      </w:pPr>
    </w:p>
    <w:p w14:paraId="5CCFDA5A">
      <w:pPr>
        <w:pStyle w:val="2"/>
        <w:ind w:left="680"/>
        <w:rPr>
          <w:rFonts w:ascii="宋体" w:hAnsi="宋体"/>
          <w:b/>
          <w:color w:val="auto"/>
          <w:sz w:val="24"/>
          <w:szCs w:val="24"/>
          <w:highlight w:val="none"/>
        </w:rPr>
      </w:pPr>
    </w:p>
    <w:p w14:paraId="6875D403">
      <w:pPr>
        <w:pStyle w:val="5"/>
        <w:rPr>
          <w:rFonts w:hAnsi="宋体" w:cs="宋体"/>
          <w:color w:val="auto"/>
          <w:sz w:val="24"/>
          <w:szCs w:val="24"/>
          <w:highlight w:val="none"/>
        </w:rPr>
      </w:pPr>
    </w:p>
    <w:p w14:paraId="0410A081">
      <w:pPr>
        <w:rPr>
          <w:rFonts w:hAnsi="宋体" w:cs="宋体"/>
          <w:color w:val="auto"/>
          <w:sz w:val="24"/>
          <w:szCs w:val="24"/>
          <w:highlight w:val="none"/>
        </w:rPr>
      </w:pPr>
    </w:p>
    <w:p w14:paraId="7E65C216">
      <w:pPr>
        <w:pStyle w:val="2"/>
        <w:ind w:left="680"/>
        <w:rPr>
          <w:rFonts w:ascii="宋体" w:hAnsi="宋体"/>
          <w:color w:val="auto"/>
          <w:sz w:val="24"/>
          <w:szCs w:val="24"/>
          <w:highlight w:val="none"/>
        </w:rPr>
      </w:pPr>
    </w:p>
    <w:p w14:paraId="72E0CA38">
      <w:pPr>
        <w:rPr>
          <w:rFonts w:hAnsi="宋体" w:cs="宋体"/>
          <w:color w:val="auto"/>
          <w:sz w:val="24"/>
          <w:szCs w:val="24"/>
          <w:highlight w:val="none"/>
        </w:rPr>
      </w:pPr>
    </w:p>
    <w:p w14:paraId="26DC0A27">
      <w:pPr>
        <w:rPr>
          <w:rFonts w:hAnsi="宋体" w:cs="宋体"/>
          <w:color w:val="auto"/>
          <w:highlight w:val="none"/>
        </w:rPr>
      </w:pPr>
    </w:p>
    <w:p w14:paraId="48327ECA">
      <w:pPr>
        <w:spacing w:line="360" w:lineRule="auto"/>
        <w:jc w:val="both"/>
        <w:rPr>
          <w:rFonts w:hAnsi="宋体" w:cs="宋体"/>
          <w:b/>
          <w:color w:val="auto"/>
          <w:sz w:val="24"/>
          <w:szCs w:val="24"/>
          <w:highlight w:val="none"/>
        </w:rPr>
      </w:pPr>
    </w:p>
    <w:p w14:paraId="73C9EEA1">
      <w:pPr>
        <w:rPr>
          <w:rFonts w:hAnsi="宋体" w:cs="宋体"/>
          <w:b/>
          <w:color w:val="auto"/>
          <w:sz w:val="24"/>
          <w:szCs w:val="24"/>
          <w:highlight w:val="none"/>
        </w:rPr>
      </w:pPr>
      <w:r>
        <w:rPr>
          <w:rFonts w:hint="eastAsia" w:hAnsi="宋体" w:cs="宋体"/>
          <w:b/>
          <w:color w:val="auto"/>
          <w:sz w:val="24"/>
          <w:szCs w:val="24"/>
          <w:highlight w:val="none"/>
        </w:rPr>
        <w:br w:type="page"/>
      </w:r>
    </w:p>
    <w:p w14:paraId="751AFEAA">
      <w:pPr>
        <w:spacing w:line="360" w:lineRule="auto"/>
        <w:jc w:val="both"/>
        <w:rPr>
          <w:rFonts w:hAnsi="宋体" w:cs="宋体"/>
          <w:b/>
          <w:color w:val="auto"/>
          <w:sz w:val="28"/>
          <w:highlight w:val="none"/>
        </w:rPr>
      </w:pPr>
      <w:r>
        <w:rPr>
          <w:rFonts w:hint="eastAsia" w:hAnsi="宋体" w:cs="宋体"/>
          <w:b/>
          <w:color w:val="auto"/>
          <w:sz w:val="24"/>
          <w:szCs w:val="24"/>
          <w:highlight w:val="none"/>
        </w:rPr>
        <w:t>1.有效期内的营业执照及其他相关资质证书（复印件加盖有效公章）；</w:t>
      </w:r>
      <w:bookmarkStart w:id="146" w:name="_Toc5496_WPSOffice_Level1"/>
      <w:bookmarkStart w:id="147" w:name="_Toc2571_WPSOffice_Level1"/>
      <w:bookmarkStart w:id="148" w:name="_Toc9179_WPSOffice_Level1"/>
      <w:bookmarkStart w:id="149" w:name="_Toc374366059"/>
    </w:p>
    <w:bookmarkEnd w:id="146"/>
    <w:bookmarkEnd w:id="147"/>
    <w:bookmarkEnd w:id="148"/>
    <w:p w14:paraId="195CE4C6">
      <w:pPr>
        <w:pStyle w:val="5"/>
        <w:rPr>
          <w:rFonts w:hAnsi="宋体" w:cs="宋体"/>
          <w:color w:val="auto"/>
          <w:highlight w:val="none"/>
        </w:rPr>
      </w:pPr>
    </w:p>
    <w:p w14:paraId="3DBE03C1">
      <w:pPr>
        <w:snapToGrid w:val="0"/>
        <w:spacing w:line="360" w:lineRule="auto"/>
        <w:ind w:right="480"/>
        <w:jc w:val="center"/>
        <w:rPr>
          <w:rFonts w:hAnsi="宋体" w:cs="宋体"/>
          <w:b/>
          <w:color w:val="auto"/>
          <w:sz w:val="24"/>
          <w:szCs w:val="22"/>
          <w:highlight w:val="none"/>
        </w:rPr>
      </w:pPr>
    </w:p>
    <w:p w14:paraId="1B8543AF">
      <w:pPr>
        <w:snapToGrid w:val="0"/>
        <w:spacing w:line="360" w:lineRule="auto"/>
        <w:ind w:right="480"/>
        <w:jc w:val="center"/>
        <w:rPr>
          <w:rFonts w:hAnsi="宋体" w:cs="宋体"/>
          <w:b/>
          <w:color w:val="auto"/>
          <w:sz w:val="32"/>
          <w:szCs w:val="32"/>
          <w:highlight w:val="none"/>
        </w:rPr>
      </w:pPr>
      <w:r>
        <w:rPr>
          <w:rFonts w:hint="eastAsia" w:hAnsi="宋体" w:cs="宋体"/>
          <w:b/>
          <w:color w:val="auto"/>
          <w:sz w:val="24"/>
          <w:szCs w:val="22"/>
          <w:highlight w:val="none"/>
        </w:rPr>
        <w:t>2.符合参加政府采购活动应当具备的一般条件的承诺函</w:t>
      </w:r>
    </w:p>
    <w:p w14:paraId="64C5BD13">
      <w:pPr>
        <w:snapToGrid w:val="0"/>
        <w:spacing w:line="500" w:lineRule="exact"/>
        <w:rPr>
          <w:rFonts w:hAnsi="宋体" w:cs="宋体"/>
          <w:color w:val="auto"/>
          <w:sz w:val="24"/>
          <w:szCs w:val="24"/>
          <w:highlight w:val="none"/>
        </w:rPr>
      </w:pPr>
      <w:r>
        <w:rPr>
          <w:rFonts w:hint="eastAsia" w:hAnsi="宋体" w:cs="宋体"/>
          <w:color w:val="auto"/>
          <w:sz w:val="24"/>
          <w:szCs w:val="24"/>
          <w:highlight w:val="none"/>
        </w:rPr>
        <w:t>（采购人）、（采购代理机构）：</w:t>
      </w:r>
    </w:p>
    <w:p w14:paraId="473E7A0C">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我方参与（项目名称）【招标编号：（采购编号）】政府采购活动，郑重承诺：</w:t>
      </w:r>
    </w:p>
    <w:p w14:paraId="333A7C0B">
      <w:pPr>
        <w:snapToGrid w:val="0"/>
        <w:spacing w:line="500" w:lineRule="exact"/>
        <w:ind w:firstLine="360" w:firstLineChars="150"/>
        <w:rPr>
          <w:rFonts w:hAnsi="宋体" w:cs="宋体"/>
          <w:color w:val="auto"/>
          <w:sz w:val="24"/>
          <w:szCs w:val="24"/>
          <w:highlight w:val="none"/>
        </w:rPr>
      </w:pPr>
      <w:r>
        <w:rPr>
          <w:rFonts w:hint="eastAsia" w:hAnsi="宋体" w:cs="宋体"/>
          <w:color w:val="auto"/>
          <w:sz w:val="24"/>
          <w:szCs w:val="24"/>
          <w:highlight w:val="none"/>
        </w:rPr>
        <w:t>（一）具备《中华人民共和国政府采购法》第二十二条第一款规定的条件：</w:t>
      </w:r>
    </w:p>
    <w:p w14:paraId="392627A4">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1.具有独立承担民事责任的能力；</w:t>
      </w:r>
    </w:p>
    <w:p w14:paraId="4CE83814">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2.具有良好的商业信誉和健全的财务会计制度； </w:t>
      </w:r>
    </w:p>
    <w:p w14:paraId="7D23C9FC">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14:paraId="07D0B183">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14:paraId="5367D17E">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5.参加政府采购活动前三年内，在经营活动中没有重大违法记录；</w:t>
      </w:r>
    </w:p>
    <w:p w14:paraId="3BE34033">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6.具有法律、行政法规规定的其他条件。</w:t>
      </w:r>
    </w:p>
    <w:p w14:paraId="4CB1A74B">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0357162E">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（三）不存在以下情况：</w:t>
      </w:r>
    </w:p>
    <w:p w14:paraId="0598D151">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1.单位负责人为同一人或者存在直接控股、管理关系的不同供应商参加同一合同项下的政府采购活动的；</w:t>
      </w:r>
    </w:p>
    <w:p w14:paraId="57D7FB2A">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2.为采购项目提供整体设计、规范编制或者项目管理、监理、检测等服务后再参加该采购项目的其他采购活动的。</w:t>
      </w:r>
    </w:p>
    <w:p w14:paraId="1BC61C7A">
      <w:pPr>
        <w:snapToGrid w:val="0"/>
        <w:spacing w:line="500" w:lineRule="exact"/>
        <w:ind w:firstLine="5520" w:firstLineChars="2300"/>
        <w:rPr>
          <w:rFonts w:hAnsi="宋体" w:cs="宋体"/>
          <w:color w:val="auto"/>
          <w:sz w:val="24"/>
          <w:szCs w:val="24"/>
          <w:highlight w:val="none"/>
        </w:rPr>
      </w:pPr>
      <w:r>
        <w:rPr>
          <w:rFonts w:hint="eastAsia" w:hAnsi="宋体" w:cs="宋体"/>
          <w:color w:val="auto"/>
          <w:sz w:val="24"/>
          <w:szCs w:val="24"/>
          <w:highlight w:val="none"/>
          <w:lang w:val="zh-CN"/>
        </w:rPr>
        <w:t>供应商名称</w:t>
      </w:r>
      <w:r>
        <w:rPr>
          <w:rFonts w:hint="eastAsia" w:hAnsi="宋体" w:cs="宋体"/>
          <w:color w:val="auto"/>
          <w:sz w:val="24"/>
          <w:szCs w:val="24"/>
          <w:highlight w:val="none"/>
        </w:rPr>
        <w:t>（公章）</w:t>
      </w:r>
      <w:r>
        <w:rPr>
          <w:rFonts w:hint="eastAsia" w:hAnsi="宋体" w:cs="宋体"/>
          <w:color w:val="auto"/>
          <w:sz w:val="24"/>
          <w:szCs w:val="24"/>
          <w:highlight w:val="none"/>
          <w:lang w:val="zh-CN"/>
        </w:rPr>
        <w:t>：</w:t>
      </w:r>
    </w:p>
    <w:p w14:paraId="42A895D2">
      <w:pPr>
        <w:snapToGrid w:val="0"/>
        <w:spacing w:line="500" w:lineRule="exact"/>
        <w:rPr>
          <w:rFonts w:hAnsi="宋体" w:cs="宋体"/>
          <w:color w:val="auto"/>
          <w:sz w:val="24"/>
          <w:szCs w:val="24"/>
          <w:highlight w:val="none"/>
        </w:rPr>
      </w:pPr>
      <w:r>
        <w:rPr>
          <w:rFonts w:hint="eastAsia" w:hAnsi="宋体" w:cs="宋体"/>
          <w:color w:val="auto"/>
          <w:sz w:val="24"/>
          <w:szCs w:val="24"/>
          <w:highlight w:val="none"/>
          <w:lang w:val="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日期</w:t>
      </w:r>
      <w:r>
        <w:rPr>
          <w:rFonts w:hint="eastAsia" w:hAnsi="宋体" w:cs="宋体"/>
          <w:color w:val="auto"/>
          <w:sz w:val="24"/>
          <w:szCs w:val="24"/>
          <w:highlight w:val="none"/>
        </w:rPr>
        <w:t xml:space="preserve">：  年  </w:t>
      </w:r>
      <w:r>
        <w:rPr>
          <w:rFonts w:hint="eastAsia" w:hAnsi="宋体" w:cs="宋体"/>
          <w:color w:val="auto"/>
          <w:sz w:val="24"/>
          <w:szCs w:val="24"/>
          <w:highlight w:val="none"/>
          <w:lang w:val="zh-CN"/>
        </w:rPr>
        <w:t>月</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w:t>
      </w:r>
    </w:p>
    <w:p w14:paraId="319A2542">
      <w:pPr>
        <w:ind w:firstLine="630" w:firstLineChars="300"/>
        <w:rPr>
          <w:rFonts w:hAnsi="宋体" w:cs="宋体"/>
          <w:color w:val="auto"/>
          <w:sz w:val="21"/>
          <w:szCs w:val="21"/>
          <w:highlight w:val="none"/>
        </w:rPr>
      </w:pPr>
    </w:p>
    <w:p w14:paraId="20AEBC15">
      <w:pPr>
        <w:pStyle w:val="2"/>
        <w:ind w:left="680"/>
        <w:rPr>
          <w:rFonts w:ascii="宋体" w:hAnsi="宋体"/>
          <w:color w:val="auto"/>
          <w:highlight w:val="none"/>
        </w:rPr>
      </w:pPr>
    </w:p>
    <w:p w14:paraId="001F08AE">
      <w:pPr>
        <w:snapToGrid w:val="0"/>
        <w:spacing w:before="50" w:after="50"/>
        <w:ind w:right="-1323" w:rightChars="-389"/>
        <w:rPr>
          <w:rFonts w:hAnsi="宋体" w:cs="宋体"/>
          <w:color w:val="auto"/>
          <w:sz w:val="21"/>
          <w:szCs w:val="21"/>
          <w:highlight w:val="none"/>
        </w:rPr>
      </w:pPr>
    </w:p>
    <w:p w14:paraId="733C2660">
      <w:pPr>
        <w:pStyle w:val="2"/>
        <w:ind w:left="680"/>
        <w:rPr>
          <w:rFonts w:ascii="宋体" w:hAnsi="宋体"/>
          <w:color w:val="auto"/>
          <w:highlight w:val="none"/>
        </w:rPr>
      </w:pPr>
    </w:p>
    <w:p w14:paraId="6BC76471">
      <w:pPr>
        <w:pStyle w:val="5"/>
        <w:rPr>
          <w:rFonts w:hAnsi="宋体" w:cs="宋体"/>
          <w:color w:val="auto"/>
          <w:highlight w:val="none"/>
        </w:rPr>
      </w:pPr>
    </w:p>
    <w:p w14:paraId="207A5148">
      <w:pPr>
        <w:snapToGrid w:val="0"/>
        <w:spacing w:line="500" w:lineRule="exact"/>
        <w:ind w:right="480"/>
        <w:jc w:val="center"/>
        <w:rPr>
          <w:rFonts w:hAnsi="宋体" w:cs="宋体"/>
          <w:b/>
          <w:color w:val="auto"/>
          <w:sz w:val="24"/>
          <w:szCs w:val="22"/>
          <w:highlight w:val="none"/>
        </w:rPr>
      </w:pPr>
      <w:r>
        <w:rPr>
          <w:rFonts w:hint="eastAsia" w:hAnsi="宋体" w:cs="宋体"/>
          <w:b/>
          <w:color w:val="auto"/>
          <w:sz w:val="24"/>
          <w:szCs w:val="22"/>
          <w:highlight w:val="none"/>
        </w:rPr>
        <w:t>3.落实政府采购政策需满足的资格要求</w:t>
      </w:r>
    </w:p>
    <w:p w14:paraId="56B28074">
      <w:pPr>
        <w:spacing w:line="500" w:lineRule="exact"/>
        <w:rPr>
          <w:rFonts w:hAnsi="宋体" w:cs="宋体"/>
          <w:b/>
          <w:color w:val="auto"/>
          <w:sz w:val="24"/>
          <w:highlight w:val="none"/>
        </w:rPr>
      </w:pPr>
      <w:r>
        <w:rPr>
          <w:rFonts w:hint="eastAsia" w:hAnsi="宋体" w:cs="宋体"/>
          <w:b/>
          <w:bCs/>
          <w:color w:val="auto"/>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hAnsi="宋体" w:cs="宋体"/>
          <w:color w:val="auto"/>
          <w:sz w:val="21"/>
          <w:szCs w:val="21"/>
          <w:highlight w:val="none"/>
        </w:rPr>
        <w:t>。</w:t>
      </w:r>
    </w:p>
    <w:p w14:paraId="584913D9">
      <w:pPr>
        <w:tabs>
          <w:tab w:val="left" w:pos="8621"/>
          <w:tab w:val="left" w:pos="9341"/>
        </w:tabs>
        <w:snapToGrid w:val="0"/>
        <w:spacing w:line="500" w:lineRule="exact"/>
        <w:ind w:firstLine="5271" w:firstLineChars="2500"/>
        <w:rPr>
          <w:rFonts w:hAnsi="宋体" w:cs="宋体"/>
          <w:b/>
          <w:color w:val="auto"/>
          <w:sz w:val="21"/>
          <w:szCs w:val="21"/>
          <w:highlight w:val="none"/>
        </w:rPr>
      </w:pPr>
    </w:p>
    <w:p w14:paraId="2F76DF6F">
      <w:pPr>
        <w:pStyle w:val="2"/>
        <w:spacing w:after="0" w:line="500" w:lineRule="exact"/>
        <w:ind w:left="0" w:leftChars="0" w:firstLine="440"/>
        <w:jc w:val="center"/>
        <w:rPr>
          <w:rFonts w:ascii="宋体" w:hAnsi="宋体"/>
          <w:color w:val="auto"/>
          <w:sz w:val="22"/>
          <w:szCs w:val="22"/>
          <w:highlight w:val="none"/>
        </w:rPr>
      </w:pPr>
      <w:r>
        <w:rPr>
          <w:rFonts w:hint="eastAsia" w:ascii="宋体" w:hAnsi="宋体"/>
          <w:color w:val="auto"/>
          <w:sz w:val="22"/>
          <w:szCs w:val="22"/>
          <w:highlight w:val="none"/>
        </w:rPr>
        <w:t>（1）中小企业声明函（工程、服务）</w:t>
      </w:r>
    </w:p>
    <w:p w14:paraId="664C0759">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本公司郑重声明，根据《政府采购促进中小企业发展管理办法》（财库﹝2020﹞46 号）的规定，本公司参加</w:t>
      </w:r>
      <w:r>
        <w:rPr>
          <w:rFonts w:hint="eastAsia" w:ascii="宋体" w:hAnsi="宋体"/>
          <w:color w:val="auto"/>
          <w:sz w:val="22"/>
          <w:szCs w:val="22"/>
          <w:highlight w:val="none"/>
          <w:u w:val="single"/>
        </w:rPr>
        <w:t xml:space="preserve">（采购单位名称）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（项目名称）     </w:t>
      </w:r>
      <w:r>
        <w:rPr>
          <w:rFonts w:hint="eastAsia"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37A0767">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u w:val="single"/>
        </w:rPr>
        <w:t xml:space="preserve">（标的名称） </w:t>
      </w:r>
      <w:r>
        <w:rPr>
          <w:rFonts w:hint="eastAsia" w:ascii="宋体" w:hAnsi="宋体"/>
          <w:color w:val="auto"/>
          <w:sz w:val="22"/>
          <w:szCs w:val="22"/>
          <w:highlight w:val="none"/>
        </w:rPr>
        <w:t>，属于</w:t>
      </w:r>
      <w:r>
        <w:rPr>
          <w:rFonts w:hint="eastAsia" w:ascii="宋体" w:hAnsi="宋体"/>
          <w:color w:val="auto"/>
          <w:sz w:val="22"/>
          <w:szCs w:val="22"/>
          <w:highlight w:val="none"/>
          <w:u w:val="single"/>
        </w:rPr>
        <w:t>（采购文件中明确的所属行业）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万元①，属于</w:t>
      </w:r>
      <w:r>
        <w:rPr>
          <w:rFonts w:hint="eastAsia" w:ascii="宋体" w:hAnsi="宋体"/>
          <w:color w:val="auto"/>
          <w:sz w:val="22"/>
          <w:szCs w:val="22"/>
          <w:highlight w:val="none"/>
          <w:u w:val="single"/>
        </w:rPr>
        <w:t>（中型企业、小型企业、微型企业）</w:t>
      </w:r>
      <w:r>
        <w:rPr>
          <w:rFonts w:hint="eastAsia" w:ascii="宋体" w:hAnsi="宋体"/>
          <w:color w:val="auto"/>
          <w:sz w:val="22"/>
          <w:szCs w:val="22"/>
          <w:highlight w:val="none"/>
        </w:rPr>
        <w:t xml:space="preserve">； </w:t>
      </w:r>
    </w:p>
    <w:p w14:paraId="6A191594">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u w:val="single"/>
        </w:rPr>
        <w:t xml:space="preserve">（标的名称） </w:t>
      </w:r>
      <w:r>
        <w:rPr>
          <w:rFonts w:hint="eastAsia" w:ascii="宋体" w:hAnsi="宋体"/>
          <w:color w:val="auto"/>
          <w:sz w:val="22"/>
          <w:szCs w:val="22"/>
          <w:highlight w:val="none"/>
        </w:rPr>
        <w:t>，属于</w:t>
      </w:r>
      <w:r>
        <w:rPr>
          <w:rFonts w:hint="eastAsia" w:ascii="宋体" w:hAnsi="宋体"/>
          <w:color w:val="auto"/>
          <w:sz w:val="22"/>
          <w:szCs w:val="22"/>
          <w:highlight w:val="none"/>
          <w:u w:val="single"/>
        </w:rPr>
        <w:t>（采购文件中明确的所属行业）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万元，属于</w:t>
      </w:r>
      <w:r>
        <w:rPr>
          <w:rFonts w:hint="eastAsia" w:ascii="宋体" w:hAnsi="宋体"/>
          <w:color w:val="auto"/>
          <w:sz w:val="22"/>
          <w:szCs w:val="22"/>
          <w:highlight w:val="none"/>
          <w:u w:val="single"/>
        </w:rPr>
        <w:t>（中型企业、小型企业、微型企业）</w:t>
      </w:r>
      <w:r>
        <w:rPr>
          <w:rFonts w:hint="eastAsia" w:ascii="宋体" w:hAnsi="宋体"/>
          <w:color w:val="auto"/>
          <w:sz w:val="22"/>
          <w:szCs w:val="22"/>
          <w:highlight w:val="none"/>
        </w:rPr>
        <w:t xml:space="preserve">； </w:t>
      </w:r>
    </w:p>
    <w:p w14:paraId="115E7765">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 </w:t>
      </w:r>
    </w:p>
    <w:p w14:paraId="57F429AA">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以上企业，不属于大企业的分支机构，不存在控股股东为大企业的情形，也不存在与大企业的负责人为同一人的情形。 </w:t>
      </w:r>
    </w:p>
    <w:p w14:paraId="5F79927D">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本企业对上述声明内容的真实性负责。如有虚假，将依法承担相应责任。 </w:t>
      </w:r>
    </w:p>
    <w:p w14:paraId="7B72E5B0">
      <w:pPr>
        <w:pStyle w:val="2"/>
        <w:spacing w:after="0" w:line="500" w:lineRule="exact"/>
        <w:ind w:left="0" w:leftChars="0" w:firstLine="440"/>
        <w:rPr>
          <w:rFonts w:ascii="宋体" w:hAnsi="宋体"/>
          <w:color w:val="auto"/>
          <w:sz w:val="22"/>
          <w:szCs w:val="22"/>
          <w:highlight w:val="none"/>
        </w:rPr>
      </w:pPr>
    </w:p>
    <w:p w14:paraId="3AA7DC96">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企业名称（盖章）： </w:t>
      </w:r>
    </w:p>
    <w:p w14:paraId="5ACDD0BA">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日 期： </w:t>
      </w:r>
    </w:p>
    <w:p w14:paraId="27EFA863">
      <w:pPr>
        <w:pStyle w:val="2"/>
        <w:spacing w:after="0" w:line="500" w:lineRule="exact"/>
        <w:ind w:left="0" w:leftChars="0" w:firstLine="442"/>
        <w:rPr>
          <w:rFonts w:ascii="宋体" w:hAnsi="宋体"/>
          <w:color w:val="auto"/>
          <w:sz w:val="22"/>
          <w:szCs w:val="22"/>
          <w:highlight w:val="none"/>
        </w:rPr>
      </w:pPr>
      <w:r>
        <w:rPr>
          <w:rFonts w:hint="eastAsia" w:ascii="宋体" w:hAnsi="宋体"/>
          <w:b/>
          <w:color w:val="auto"/>
          <w:sz w:val="22"/>
          <w:szCs w:val="22"/>
          <w:highlight w:val="none"/>
        </w:rPr>
        <w:t>填报说明：</w:t>
      </w:r>
      <w:r>
        <w:rPr>
          <w:rFonts w:hint="eastAsia" w:ascii="宋体" w:hAnsi="宋体"/>
          <w:color w:val="auto"/>
          <w:sz w:val="22"/>
          <w:szCs w:val="22"/>
          <w:highlight w:val="none"/>
        </w:rPr>
        <w:t>①本声明函中“从业人员”、“营业收入”、“资产总额”填报上一年度数据，无上一年度数据的新成立企业可不填报。</w:t>
      </w:r>
    </w:p>
    <w:p w14:paraId="5BF47971">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②本项目采购标的对应的中小企业划分标准所属行业为《中小企业划型标准规定》（工信部联企业〔2011〕300号）中的“软件和信息技术服务业”，划型标准为：从业人员300人以下或营业收入10000万元以下的为中小微型企业。其中，从业人员100人及以上，且营业收入10000万元以上的为中型企业；从业人员10人及以上，且营业收入50万元及以上的为小型企业；从业人员10人以下或营业收入50万元以下的为微型企业。</w:t>
      </w:r>
    </w:p>
    <w:p w14:paraId="3945F00C">
      <w:pPr>
        <w:pStyle w:val="2"/>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③供应商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347254BA">
      <w:pPr>
        <w:snapToGrid w:val="0"/>
        <w:spacing w:line="500" w:lineRule="exact"/>
        <w:jc w:val="center"/>
        <w:rPr>
          <w:rFonts w:hAnsi="宋体" w:cs="宋体"/>
          <w:color w:val="auto"/>
          <w:sz w:val="22"/>
          <w:szCs w:val="22"/>
          <w:highlight w:val="none"/>
        </w:rPr>
      </w:pPr>
    </w:p>
    <w:p w14:paraId="3EC2E4BC">
      <w:pPr>
        <w:snapToGrid w:val="0"/>
        <w:spacing w:line="500" w:lineRule="exact"/>
        <w:jc w:val="center"/>
        <w:rPr>
          <w:rFonts w:hAnsi="宋体" w:cs="宋体"/>
          <w:color w:val="auto"/>
          <w:sz w:val="22"/>
          <w:szCs w:val="22"/>
          <w:highlight w:val="none"/>
        </w:rPr>
      </w:pPr>
      <w:r>
        <w:rPr>
          <w:rFonts w:hint="eastAsia" w:hAnsi="宋体" w:cs="宋体"/>
          <w:color w:val="auto"/>
          <w:sz w:val="22"/>
          <w:szCs w:val="22"/>
          <w:highlight w:val="none"/>
        </w:rPr>
        <w:t>（2）残疾人福利性单位声明函</w:t>
      </w:r>
    </w:p>
    <w:p w14:paraId="641A4CF7">
      <w:pPr>
        <w:pStyle w:val="121"/>
        <w:spacing w:line="500" w:lineRule="exact"/>
        <w:ind w:firstLine="601"/>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7053BF">
      <w:pPr>
        <w:pStyle w:val="121"/>
        <w:spacing w:line="500" w:lineRule="exact"/>
        <w:ind w:firstLine="600"/>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本单位对上述声明的真实性负责。如有虚假，将依法承担相应责任。</w:t>
      </w:r>
    </w:p>
    <w:p w14:paraId="147C96C3">
      <w:pPr>
        <w:pStyle w:val="121"/>
        <w:spacing w:line="500" w:lineRule="exact"/>
        <w:rPr>
          <w:rFonts w:ascii="宋体" w:hAnsi="宋体" w:eastAsia="宋体" w:cs="宋体"/>
          <w:color w:val="auto"/>
          <w:spacing w:val="6"/>
          <w:sz w:val="22"/>
          <w:highlight w:val="none"/>
        </w:rPr>
      </w:pPr>
    </w:p>
    <w:p w14:paraId="6718E7D2">
      <w:pPr>
        <w:pStyle w:val="121"/>
        <w:spacing w:line="500" w:lineRule="exact"/>
        <w:ind w:right="1560" w:firstLine="600"/>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单位名称（盖章）：</w:t>
      </w:r>
    </w:p>
    <w:p w14:paraId="017B8B4A">
      <w:pPr>
        <w:pStyle w:val="121"/>
        <w:spacing w:line="500" w:lineRule="exact"/>
        <w:ind w:right="1560" w:firstLine="600"/>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日期：</w:t>
      </w:r>
    </w:p>
    <w:p w14:paraId="7CDF326D">
      <w:pPr>
        <w:spacing w:line="500" w:lineRule="exact"/>
        <w:ind w:firstLine="436" w:firstLineChars="200"/>
        <w:jc w:val="center"/>
        <w:rPr>
          <w:rFonts w:hAnsi="宋体" w:cs="宋体"/>
          <w:color w:val="auto"/>
          <w:spacing w:val="-1"/>
          <w:sz w:val="22"/>
          <w:szCs w:val="22"/>
          <w:highlight w:val="none"/>
        </w:rPr>
      </w:pPr>
    </w:p>
    <w:p w14:paraId="4D7DEB7D">
      <w:pPr>
        <w:spacing w:line="500" w:lineRule="exact"/>
        <w:ind w:firstLine="436" w:firstLineChars="200"/>
        <w:jc w:val="center"/>
        <w:rPr>
          <w:rFonts w:hAnsi="宋体" w:cs="宋体"/>
          <w:color w:val="auto"/>
          <w:spacing w:val="-1"/>
          <w:sz w:val="22"/>
          <w:szCs w:val="22"/>
          <w:highlight w:val="none"/>
        </w:rPr>
      </w:pPr>
    </w:p>
    <w:p w14:paraId="043A49A8">
      <w:pPr>
        <w:spacing w:line="500" w:lineRule="exact"/>
        <w:ind w:firstLine="436" w:firstLineChars="200"/>
        <w:jc w:val="center"/>
        <w:rPr>
          <w:rFonts w:hAnsi="宋体" w:cs="宋体"/>
          <w:color w:val="auto"/>
          <w:spacing w:val="-1"/>
          <w:sz w:val="22"/>
          <w:szCs w:val="22"/>
          <w:highlight w:val="none"/>
        </w:rPr>
      </w:pPr>
      <w:r>
        <w:rPr>
          <w:rFonts w:hint="eastAsia" w:hAnsi="宋体" w:cs="宋体"/>
          <w:color w:val="auto"/>
          <w:spacing w:val="-1"/>
          <w:sz w:val="22"/>
          <w:szCs w:val="22"/>
          <w:highlight w:val="none"/>
        </w:rPr>
        <w:t>（3）监狱企业证明文件</w:t>
      </w:r>
    </w:p>
    <w:p w14:paraId="15B3B97F">
      <w:pPr>
        <w:snapToGrid w:val="0"/>
        <w:spacing w:line="500" w:lineRule="exact"/>
        <w:ind w:firstLine="654" w:firstLineChars="300"/>
        <w:rPr>
          <w:rFonts w:hAnsi="宋体" w:cs="宋体"/>
          <w:color w:val="auto"/>
          <w:sz w:val="22"/>
          <w:szCs w:val="22"/>
          <w:highlight w:val="none"/>
        </w:rPr>
      </w:pPr>
      <w:r>
        <w:rPr>
          <w:rFonts w:hint="eastAsia" w:hAnsi="宋体" w:cs="宋体"/>
          <w:color w:val="auto"/>
          <w:spacing w:val="-1"/>
          <w:sz w:val="22"/>
          <w:szCs w:val="22"/>
          <w:highlight w:val="none"/>
        </w:rPr>
        <w:t>监狱企业参加政府采购活动时，应当提供由省级以上监狱管理局、戒毒管理局（含新疆生产建设兵团）出具的属于监狱企业的证明文件。</w:t>
      </w:r>
    </w:p>
    <w:p w14:paraId="7C7A3772">
      <w:pPr>
        <w:widowControl/>
        <w:rPr>
          <w:rFonts w:hAnsi="宋体" w:cs="宋体"/>
          <w:b/>
          <w:color w:val="auto"/>
          <w:sz w:val="24"/>
          <w:highlight w:val="none"/>
        </w:rPr>
      </w:pPr>
      <w:bookmarkStart w:id="150" w:name="_Toc637_WPSOffice_Level1"/>
      <w:bookmarkStart w:id="151" w:name="_Toc15336_WPSOffice_Level1"/>
      <w:bookmarkStart w:id="152" w:name="_Toc5760_WPSOffice_Level1"/>
      <w:r>
        <w:rPr>
          <w:rFonts w:hint="eastAsia" w:hAnsi="宋体" w:cs="宋体"/>
          <w:b/>
          <w:color w:val="auto"/>
          <w:sz w:val="24"/>
          <w:highlight w:val="none"/>
        </w:rPr>
        <w:br w:type="page"/>
      </w:r>
    </w:p>
    <w:p w14:paraId="0769C906">
      <w:pPr>
        <w:widowControl/>
        <w:snapToGrid w:val="0"/>
        <w:spacing w:before="120" w:after="50"/>
        <w:rPr>
          <w:rFonts w:hAnsi="宋体" w:cs="宋体"/>
          <w:b/>
          <w:color w:val="auto"/>
          <w:sz w:val="24"/>
          <w:highlight w:val="none"/>
        </w:rPr>
      </w:pPr>
      <w:r>
        <w:rPr>
          <w:rFonts w:hint="eastAsia" w:hAnsi="宋体" w:cs="宋体"/>
          <w:b/>
          <w:color w:val="auto"/>
          <w:sz w:val="24"/>
          <w:highlight w:val="none"/>
        </w:rPr>
        <w:t>（二）商务技术响应文件（参考格式）</w:t>
      </w:r>
    </w:p>
    <w:p w14:paraId="5615FF60">
      <w:pPr>
        <w:snapToGrid w:val="0"/>
        <w:spacing w:before="50" w:after="50"/>
        <w:rPr>
          <w:rFonts w:hAnsi="宋体" w:cs="宋体"/>
          <w:b/>
          <w:color w:val="auto"/>
          <w:sz w:val="24"/>
          <w:highlight w:val="none"/>
        </w:rPr>
      </w:pPr>
    </w:p>
    <w:p w14:paraId="1D214C1B">
      <w:pPr>
        <w:pStyle w:val="24"/>
        <w:snapToGrid w:val="0"/>
        <w:jc w:val="center"/>
        <w:rPr>
          <w:rFonts w:hAnsi="宋体" w:cs="宋体"/>
          <w:b/>
          <w:color w:val="auto"/>
          <w:sz w:val="28"/>
          <w:szCs w:val="20"/>
          <w:highlight w:val="none"/>
        </w:rPr>
      </w:pPr>
    </w:p>
    <w:p w14:paraId="79800257">
      <w:pPr>
        <w:pStyle w:val="124"/>
        <w:spacing w:line="460" w:lineRule="exact"/>
        <w:ind w:left="420" w:firstLine="0" w:firstLineChars="0"/>
        <w:textAlignment w:val="bottom"/>
        <w:rPr>
          <w:rFonts w:hAnsi="宋体" w:cs="宋体"/>
          <w:color w:val="auto"/>
          <w:sz w:val="21"/>
          <w:szCs w:val="21"/>
          <w:highlight w:val="none"/>
        </w:rPr>
      </w:pPr>
      <w:r>
        <w:rPr>
          <w:rFonts w:hint="eastAsia" w:ascii="宋体" w:hAnsi="宋体" w:cs="宋体"/>
          <w:color w:val="auto"/>
          <w:sz w:val="21"/>
          <w:szCs w:val="21"/>
          <w:highlight w:val="none"/>
        </w:rPr>
        <w:t>（1）响应供应商技术商务标自评得分汇总表；（格式内容参照技术商务评分表，格式见附件）；</w:t>
      </w:r>
    </w:p>
    <w:p w14:paraId="0B56666E">
      <w:pPr>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（2）法定代表人资格证明书及法定代表人授权委托书 （由法定代表人直接参加谈判并对相应文件签署的，只需提供前者 ）；</w:t>
      </w:r>
    </w:p>
    <w:p w14:paraId="361B488A">
      <w:pPr>
        <w:pStyle w:val="97"/>
        <w:snapToGrid w:val="0"/>
        <w:spacing w:line="460" w:lineRule="exact"/>
        <w:ind w:left="420" w:firstLine="0" w:firstLineChars="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（3）响应供应商情况表；（格式见附件）</w:t>
      </w:r>
    </w:p>
    <w:p w14:paraId="0079A503">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（4）服务条款对比表；（格式见附件）</w:t>
      </w:r>
    </w:p>
    <w:p w14:paraId="79AD2467">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（5）拟投入本项目的服务团队人员表；（格式见附件）</w:t>
      </w:r>
    </w:p>
    <w:p w14:paraId="70432495">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（6）商务条款偏离表；（格式见附件）</w:t>
      </w:r>
    </w:p>
    <w:p w14:paraId="233B777C">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（7）响应供应商2022年1月1日以来至今同类项目服务业绩（提供合同复印件加盖单位公章，格式见附件）；</w:t>
      </w:r>
    </w:p>
    <w:p w14:paraId="5898C0AF">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color w:val="auto"/>
          <w:sz w:val="21"/>
          <w:szCs w:val="21"/>
          <w:highlight w:val="none"/>
        </w:rPr>
        <w:t>（8）</w:t>
      </w:r>
      <w:r>
        <w:rPr>
          <w:rFonts w:hint="eastAsia" w:hAnsi="宋体" w:cs="宋体"/>
          <w:bCs/>
          <w:color w:val="auto"/>
          <w:sz w:val="21"/>
          <w:szCs w:val="21"/>
          <w:highlight w:val="none"/>
        </w:rPr>
        <w:t>针对本项目的详细服务方案（格式自拟）；</w:t>
      </w:r>
    </w:p>
    <w:p w14:paraId="71EAD1CE">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14:paraId="73F1517F">
      <w:pPr>
        <w:spacing w:line="500" w:lineRule="exact"/>
        <w:ind w:firstLine="420" w:firstLineChars="200"/>
        <w:rPr>
          <w:rFonts w:hAnsi="宋体" w:cs="宋体"/>
          <w:color w:val="auto"/>
          <w:highlight w:val="none"/>
        </w:rPr>
      </w:pPr>
      <w:r>
        <w:rPr>
          <w:rFonts w:hint="eastAsia" w:hAnsi="宋体" w:cs="宋体"/>
          <w:bCs/>
          <w:color w:val="auto"/>
          <w:sz w:val="21"/>
          <w:szCs w:val="21"/>
          <w:highlight w:val="none"/>
        </w:rPr>
        <w:t>②实施方案</w:t>
      </w:r>
    </w:p>
    <w:p w14:paraId="71ADB281">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（9）响应供应商</w:t>
      </w:r>
      <w:r>
        <w:rPr>
          <w:rFonts w:hint="eastAsia" w:hAnsi="宋体" w:cs="宋体"/>
          <w:bCs/>
          <w:color w:val="auto"/>
          <w:sz w:val="21"/>
          <w:szCs w:val="21"/>
          <w:highlight w:val="none"/>
        </w:rPr>
        <w:t>针对本项目的优惠条件及合理化建议</w:t>
      </w:r>
      <w:r>
        <w:rPr>
          <w:rFonts w:hint="eastAsia" w:hAnsi="宋体" w:cs="宋体"/>
          <w:color w:val="auto"/>
          <w:sz w:val="21"/>
          <w:szCs w:val="21"/>
          <w:highlight w:val="none"/>
        </w:rPr>
        <w:t>；</w:t>
      </w:r>
    </w:p>
    <w:p w14:paraId="4D228720">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（10）评分规则中涉及的所需提供的资料；</w:t>
      </w:r>
    </w:p>
    <w:p w14:paraId="77ADAE8C">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（11）磋商响应供应商需要说明的其他文件和说明（格式自拟）。</w:t>
      </w:r>
    </w:p>
    <w:p w14:paraId="08726F15">
      <w:pPr>
        <w:autoSpaceDE/>
        <w:autoSpaceDN/>
        <w:adjustRightInd/>
        <w:spacing w:line="500" w:lineRule="exact"/>
        <w:ind w:firstLine="422" w:firstLineChars="200"/>
        <w:jc w:val="both"/>
        <w:textAlignment w:val="auto"/>
        <w:rPr>
          <w:rFonts w:hAnsi="宋体" w:cs="宋体"/>
          <w:b/>
          <w:color w:val="auto"/>
          <w:kern w:val="2"/>
          <w:sz w:val="21"/>
          <w:szCs w:val="21"/>
          <w:highlight w:val="none"/>
        </w:rPr>
      </w:pPr>
      <w:r>
        <w:rPr>
          <w:rFonts w:hint="eastAsia" w:hAnsi="宋体" w:cs="宋体"/>
          <w:b/>
          <w:color w:val="auto"/>
          <w:kern w:val="2"/>
          <w:sz w:val="21"/>
          <w:szCs w:val="21"/>
          <w:highlight w:val="none"/>
        </w:rPr>
        <w:t>（★</w:t>
      </w:r>
      <w:r>
        <w:rPr>
          <w:rFonts w:hint="eastAsia" w:hAnsi="宋体" w:cs="宋体"/>
          <w:b/>
          <w:color w:val="auto"/>
          <w:sz w:val="21"/>
          <w:szCs w:val="21"/>
          <w:highlight w:val="none"/>
        </w:rPr>
        <w:t>商务技术响应文件</w:t>
      </w:r>
      <w:r>
        <w:rPr>
          <w:rFonts w:hint="eastAsia" w:hAnsi="宋体" w:cs="宋体"/>
          <w:b/>
          <w:color w:val="auto"/>
          <w:kern w:val="2"/>
          <w:sz w:val="21"/>
          <w:szCs w:val="21"/>
          <w:highlight w:val="none"/>
        </w:rPr>
        <w:t>中不能出现报价信息）</w:t>
      </w:r>
    </w:p>
    <w:p w14:paraId="3376018D">
      <w:pPr>
        <w:pStyle w:val="24"/>
        <w:snapToGrid w:val="0"/>
        <w:jc w:val="center"/>
        <w:rPr>
          <w:rFonts w:hAnsi="宋体" w:cs="宋体"/>
          <w:b/>
          <w:color w:val="auto"/>
          <w:sz w:val="28"/>
          <w:szCs w:val="20"/>
          <w:highlight w:val="none"/>
        </w:rPr>
      </w:pPr>
    </w:p>
    <w:p w14:paraId="17E3BB89">
      <w:pPr>
        <w:snapToGrid w:val="0"/>
        <w:spacing w:before="50" w:after="50"/>
        <w:rPr>
          <w:rFonts w:hAnsi="宋体" w:cs="宋体"/>
          <w:b/>
          <w:color w:val="auto"/>
          <w:sz w:val="24"/>
          <w:highlight w:val="none"/>
        </w:rPr>
      </w:pPr>
      <w:r>
        <w:rPr>
          <w:rFonts w:hint="eastAsia" w:hAnsi="宋体" w:cs="宋体"/>
          <w:b/>
          <w:color w:val="auto"/>
          <w:sz w:val="28"/>
          <w:highlight w:val="none"/>
        </w:rPr>
        <w:br w:type="page"/>
      </w:r>
      <w:r>
        <w:rPr>
          <w:rFonts w:hint="eastAsia" w:hAnsi="宋体" w:cs="宋体"/>
          <w:b/>
          <w:color w:val="auto"/>
          <w:sz w:val="24"/>
          <w:highlight w:val="none"/>
        </w:rPr>
        <w:t>1.供应商商务技术响应文件自评得分汇总表（内容参照技术商务评分表，需标注对应页码）</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1399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0E66E288">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序号</w:t>
            </w:r>
          </w:p>
        </w:tc>
        <w:tc>
          <w:tcPr>
            <w:tcW w:w="1485" w:type="dxa"/>
            <w:vAlign w:val="center"/>
          </w:tcPr>
          <w:p w14:paraId="1F4CDDDE">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评分项目</w:t>
            </w:r>
          </w:p>
        </w:tc>
        <w:tc>
          <w:tcPr>
            <w:tcW w:w="2190" w:type="dxa"/>
            <w:vAlign w:val="center"/>
          </w:tcPr>
          <w:p w14:paraId="382C7258">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评标要点及说明</w:t>
            </w:r>
          </w:p>
        </w:tc>
        <w:tc>
          <w:tcPr>
            <w:tcW w:w="766" w:type="dxa"/>
            <w:vAlign w:val="center"/>
          </w:tcPr>
          <w:p w14:paraId="6AF771AF">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分值</w:t>
            </w:r>
          </w:p>
        </w:tc>
        <w:tc>
          <w:tcPr>
            <w:tcW w:w="1110" w:type="dxa"/>
            <w:vAlign w:val="center"/>
          </w:tcPr>
          <w:p w14:paraId="5DD9CA6C">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自评分</w:t>
            </w:r>
          </w:p>
        </w:tc>
        <w:tc>
          <w:tcPr>
            <w:tcW w:w="1937" w:type="dxa"/>
            <w:vAlign w:val="center"/>
          </w:tcPr>
          <w:p w14:paraId="4FFFAA91">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磋商响应文件响应页码</w:t>
            </w:r>
          </w:p>
        </w:tc>
      </w:tr>
    </w:tbl>
    <w:p w14:paraId="6FEFE19A">
      <w:pPr>
        <w:widowControl/>
        <w:autoSpaceDE/>
        <w:autoSpaceDN/>
        <w:adjustRightInd/>
        <w:textAlignment w:val="auto"/>
        <w:rPr>
          <w:rFonts w:hAnsi="宋体" w:cs="宋体"/>
          <w:b/>
          <w:color w:val="auto"/>
          <w:sz w:val="28"/>
          <w:highlight w:val="none"/>
        </w:rPr>
      </w:pPr>
    </w:p>
    <w:p w14:paraId="54443BEA">
      <w:pPr>
        <w:pStyle w:val="24"/>
        <w:snapToGrid w:val="0"/>
        <w:jc w:val="center"/>
        <w:rPr>
          <w:rFonts w:hAnsi="宋体" w:cs="宋体"/>
          <w:b/>
          <w:color w:val="auto"/>
          <w:sz w:val="28"/>
          <w:szCs w:val="20"/>
          <w:highlight w:val="none"/>
        </w:rPr>
      </w:pPr>
    </w:p>
    <w:p w14:paraId="164D06B9">
      <w:pPr>
        <w:spacing w:line="360" w:lineRule="auto"/>
        <w:jc w:val="both"/>
        <w:rPr>
          <w:rFonts w:hAnsi="宋体" w:cs="宋体"/>
          <w:b/>
          <w:color w:val="auto"/>
          <w:sz w:val="24"/>
          <w:szCs w:val="24"/>
          <w:highlight w:val="none"/>
        </w:rPr>
      </w:pPr>
    </w:p>
    <w:p w14:paraId="5919A1CC">
      <w:pPr>
        <w:spacing w:line="360" w:lineRule="auto"/>
        <w:jc w:val="both"/>
        <w:rPr>
          <w:rFonts w:hAnsi="宋体" w:cs="宋体"/>
          <w:b/>
          <w:color w:val="auto"/>
          <w:sz w:val="24"/>
          <w:szCs w:val="24"/>
          <w:highlight w:val="none"/>
        </w:rPr>
      </w:pPr>
      <w:r>
        <w:rPr>
          <w:rFonts w:hint="eastAsia" w:hAnsi="宋体" w:cs="宋体"/>
          <w:b/>
          <w:color w:val="auto"/>
          <w:sz w:val="24"/>
          <w:szCs w:val="24"/>
          <w:highlight w:val="none"/>
        </w:rPr>
        <w:t>2.法定代表人资格证明书及法定代表人授权委托书 （由法定代表人直接参加谈判并对相应文件签署的，只需提供前者 ）；</w:t>
      </w:r>
    </w:p>
    <w:p w14:paraId="04A345C8">
      <w:pPr>
        <w:snapToGrid w:val="0"/>
        <w:spacing w:before="50" w:after="50"/>
        <w:jc w:val="center"/>
        <w:rPr>
          <w:rFonts w:hAnsi="宋体" w:cs="宋体"/>
          <w:b/>
          <w:color w:val="auto"/>
          <w:sz w:val="28"/>
          <w:highlight w:val="none"/>
        </w:rPr>
      </w:pPr>
    </w:p>
    <w:p w14:paraId="08838B84">
      <w:pPr>
        <w:spacing w:line="300" w:lineRule="auto"/>
        <w:jc w:val="center"/>
        <w:rPr>
          <w:rFonts w:hAnsi="宋体" w:cs="宋体"/>
          <w:b/>
          <w:bCs/>
          <w:color w:val="auto"/>
          <w:sz w:val="24"/>
          <w:szCs w:val="24"/>
          <w:highlight w:val="none"/>
        </w:rPr>
      </w:pPr>
      <w:r>
        <w:rPr>
          <w:rFonts w:hint="eastAsia" w:hAnsi="宋体" w:cs="宋体"/>
          <w:b/>
          <w:bCs/>
          <w:color w:val="auto"/>
          <w:sz w:val="24"/>
          <w:szCs w:val="24"/>
          <w:highlight w:val="none"/>
        </w:rPr>
        <w:t>法定代表人资格证明书</w:t>
      </w:r>
    </w:p>
    <w:p w14:paraId="121CBC2B">
      <w:pPr>
        <w:jc w:val="center"/>
        <w:rPr>
          <w:rFonts w:hAnsi="宋体" w:cs="宋体"/>
          <w:color w:val="auto"/>
          <w:sz w:val="24"/>
          <w:szCs w:val="24"/>
          <w:highlight w:val="none"/>
        </w:rPr>
      </w:pPr>
    </w:p>
    <w:p w14:paraId="4F70960F">
      <w:pPr>
        <w:spacing w:line="360" w:lineRule="auto"/>
        <w:textAlignment w:val="auto"/>
        <w:rPr>
          <w:rFonts w:hAnsi="宋体" w:cs="宋体"/>
          <w:color w:val="auto"/>
          <w:sz w:val="24"/>
          <w:highlight w:val="none"/>
        </w:rPr>
      </w:pPr>
    </w:p>
    <w:p w14:paraId="3F5CABE8">
      <w:pPr>
        <w:spacing w:line="360" w:lineRule="auto"/>
        <w:textAlignment w:val="auto"/>
        <w:rPr>
          <w:rFonts w:hAnsi="宋体" w:cs="宋体"/>
          <w:color w:val="auto"/>
          <w:sz w:val="24"/>
          <w:szCs w:val="24"/>
          <w:highlight w:val="none"/>
          <w:u w:val="single"/>
        </w:rPr>
      </w:pPr>
      <w:r>
        <w:rPr>
          <w:rFonts w:hint="eastAsia" w:hAnsi="宋体" w:cs="宋体"/>
          <w:color w:val="auto"/>
          <w:sz w:val="24"/>
          <w:szCs w:val="24"/>
          <w:highlight w:val="none"/>
        </w:rPr>
        <w:t>供应商名称：</w:t>
      </w:r>
      <w:r>
        <w:rPr>
          <w:rFonts w:hint="eastAsia" w:hAnsi="宋体" w:cs="宋体"/>
          <w:color w:val="auto"/>
          <w:sz w:val="24"/>
          <w:szCs w:val="24"/>
          <w:highlight w:val="none"/>
          <w:u w:val="single"/>
        </w:rPr>
        <w:t xml:space="preserve">                               </w:t>
      </w:r>
    </w:p>
    <w:p w14:paraId="788681F9">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单位性质：</w:t>
      </w:r>
      <w:r>
        <w:rPr>
          <w:rFonts w:hint="eastAsia" w:hAnsi="宋体" w:cs="宋体"/>
          <w:color w:val="auto"/>
          <w:sz w:val="24"/>
          <w:szCs w:val="24"/>
          <w:highlight w:val="none"/>
          <w:u w:val="single"/>
        </w:rPr>
        <w:t xml:space="preserve">                                 </w:t>
      </w:r>
    </w:p>
    <w:p w14:paraId="61931162">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p>
    <w:p w14:paraId="440D3892">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成立时间：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037B321A">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经营期限：</w:t>
      </w:r>
      <w:r>
        <w:rPr>
          <w:rFonts w:hint="eastAsia" w:hAnsi="宋体" w:cs="宋体"/>
          <w:color w:val="auto"/>
          <w:sz w:val="24"/>
          <w:szCs w:val="24"/>
          <w:highlight w:val="none"/>
          <w:u w:val="single"/>
        </w:rPr>
        <w:t xml:space="preserve">                                 </w:t>
      </w:r>
    </w:p>
    <w:p w14:paraId="1834BF67">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(供应商名称)                </w:t>
      </w:r>
      <w:r>
        <w:rPr>
          <w:rFonts w:hint="eastAsia" w:hAnsi="宋体" w:cs="宋体"/>
          <w:color w:val="auto"/>
          <w:sz w:val="24"/>
          <w:szCs w:val="24"/>
          <w:highlight w:val="none"/>
        </w:rPr>
        <w:t>的法定代表人。</w:t>
      </w:r>
    </w:p>
    <w:p w14:paraId="026E85FE">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特此证明。</w:t>
      </w:r>
    </w:p>
    <w:p w14:paraId="0BBF8701">
      <w:pPr>
        <w:spacing w:line="360" w:lineRule="auto"/>
        <w:ind w:firstLine="5280" w:firstLineChars="2200"/>
        <w:textAlignment w:val="auto"/>
        <w:rPr>
          <w:rFonts w:hAnsi="宋体" w:cs="宋体"/>
          <w:color w:val="auto"/>
          <w:sz w:val="24"/>
          <w:szCs w:val="24"/>
          <w:highlight w:val="none"/>
        </w:rPr>
      </w:pPr>
    </w:p>
    <w:p w14:paraId="3FD2F468">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1DBF1F1C">
      <w:pPr>
        <w:spacing w:line="360" w:lineRule="auto"/>
        <w:ind w:firstLine="5280" w:firstLineChars="2200"/>
        <w:textAlignment w:val="auto"/>
        <w:rPr>
          <w:rFonts w:hAnsi="宋体" w:cs="宋体"/>
          <w:color w:val="auto"/>
          <w:sz w:val="24"/>
          <w:szCs w:val="24"/>
          <w:highlight w:val="none"/>
        </w:rPr>
      </w:pPr>
    </w:p>
    <w:p w14:paraId="1B0E979F">
      <w:pPr>
        <w:spacing w:line="360" w:lineRule="auto"/>
        <w:ind w:firstLine="5280" w:firstLineChars="2200"/>
        <w:textAlignment w:val="auto"/>
        <w:rPr>
          <w:rFonts w:hAnsi="宋体" w:cs="宋体"/>
          <w:color w:val="auto"/>
          <w:sz w:val="24"/>
          <w:szCs w:val="24"/>
          <w:highlight w:val="none"/>
        </w:rPr>
      </w:pPr>
    </w:p>
    <w:p w14:paraId="38B9AD70">
      <w:pPr>
        <w:spacing w:line="360" w:lineRule="auto"/>
        <w:ind w:firstLine="5280" w:firstLineChars="2200"/>
        <w:textAlignment w:val="auto"/>
        <w:rPr>
          <w:rFonts w:hAnsi="宋体" w:cs="宋体"/>
          <w:color w:val="auto"/>
          <w:sz w:val="24"/>
          <w:szCs w:val="24"/>
          <w:highlight w:val="none"/>
        </w:rPr>
      </w:pPr>
      <w:r>
        <w:rPr>
          <w:rFonts w:hint="eastAsia" w:hAnsi="宋体" w:cs="宋体"/>
          <w:color w:val="auto"/>
          <w:sz w:val="24"/>
          <w:szCs w:val="24"/>
          <w:highlight w:val="none"/>
        </w:rPr>
        <w:t>供应商： (单位公章)</w:t>
      </w:r>
    </w:p>
    <w:p w14:paraId="42BF0C5D">
      <w:pPr>
        <w:spacing w:line="360" w:lineRule="auto"/>
        <w:jc w:val="center"/>
        <w:rPr>
          <w:rFonts w:hAnsi="宋体" w:cs="宋体"/>
          <w:color w:val="auto"/>
          <w:sz w:val="24"/>
          <w:szCs w:val="24"/>
          <w:highlight w:val="none"/>
        </w:rPr>
      </w:pPr>
      <w:r>
        <w:rPr>
          <w:rFonts w:hint="eastAsia" w:hAnsi="宋体" w:cs="宋体"/>
          <w:color w:val="auto"/>
          <w:sz w:val="24"/>
          <w:szCs w:val="24"/>
          <w:highlight w:val="none"/>
        </w:rPr>
        <w:t xml:space="preserve">                               日  期：  年  月  日</w:t>
      </w:r>
    </w:p>
    <w:p w14:paraId="7163F347">
      <w:pPr>
        <w:rPr>
          <w:rFonts w:hAnsi="宋体" w:cs="宋体"/>
          <w:color w:val="auto"/>
          <w:highlight w:val="none"/>
        </w:rPr>
      </w:pPr>
    </w:p>
    <w:p w14:paraId="67A0D33D">
      <w:pPr>
        <w:snapToGrid w:val="0"/>
        <w:spacing w:before="50" w:after="50"/>
        <w:jc w:val="center"/>
        <w:rPr>
          <w:rFonts w:hAnsi="宋体" w:cs="宋体"/>
          <w:b/>
          <w:color w:val="auto"/>
          <w:sz w:val="28"/>
          <w:highlight w:val="none"/>
        </w:rPr>
      </w:pPr>
    </w:p>
    <w:p w14:paraId="4A877F43">
      <w:pPr>
        <w:snapToGrid w:val="0"/>
        <w:spacing w:before="50" w:after="50"/>
        <w:jc w:val="center"/>
        <w:rPr>
          <w:rFonts w:hAnsi="宋体" w:cs="宋体"/>
          <w:b/>
          <w:color w:val="auto"/>
          <w:sz w:val="28"/>
          <w:highlight w:val="none"/>
        </w:rPr>
      </w:pPr>
      <w:r>
        <w:rPr>
          <w:rFonts w:hint="eastAsia" w:hAnsi="宋体" w:cs="宋体"/>
          <w:b/>
          <w:color w:val="auto"/>
          <w:sz w:val="28"/>
          <w:highlight w:val="none"/>
        </w:rPr>
        <w:br w:type="page"/>
      </w:r>
    </w:p>
    <w:p w14:paraId="18ADE2E5">
      <w:pPr>
        <w:snapToGrid w:val="0"/>
        <w:spacing w:before="50" w:after="50"/>
        <w:jc w:val="center"/>
        <w:rPr>
          <w:rFonts w:hAnsi="宋体" w:cs="宋体"/>
          <w:b/>
          <w:color w:val="auto"/>
          <w:sz w:val="28"/>
          <w:highlight w:val="none"/>
        </w:rPr>
      </w:pPr>
    </w:p>
    <w:p w14:paraId="48DB6474">
      <w:pPr>
        <w:snapToGrid w:val="0"/>
        <w:spacing w:before="50" w:after="50"/>
        <w:jc w:val="center"/>
        <w:rPr>
          <w:rFonts w:hAnsi="宋体" w:cs="宋体"/>
          <w:b/>
          <w:color w:val="auto"/>
          <w:sz w:val="28"/>
          <w:highlight w:val="none"/>
        </w:rPr>
      </w:pPr>
      <w:r>
        <w:rPr>
          <w:rFonts w:hint="eastAsia" w:hAnsi="宋体" w:cs="宋体"/>
          <w:b/>
          <w:color w:val="auto"/>
          <w:sz w:val="28"/>
          <w:highlight w:val="none"/>
        </w:rPr>
        <w:t>法定代表人授权委托书</w:t>
      </w:r>
    </w:p>
    <w:p w14:paraId="4030AD78">
      <w:pPr>
        <w:spacing w:line="360" w:lineRule="auto"/>
        <w:rPr>
          <w:rFonts w:hAnsi="宋体" w:cs="宋体"/>
          <w:color w:val="auto"/>
          <w:sz w:val="24"/>
          <w:szCs w:val="24"/>
          <w:highlight w:val="none"/>
        </w:rPr>
      </w:pPr>
    </w:p>
    <w:p w14:paraId="3EA63E23">
      <w:pPr>
        <w:spacing w:line="360" w:lineRule="auto"/>
        <w:rPr>
          <w:rFonts w:hAnsi="宋体" w:cs="宋体"/>
          <w:color w:val="auto"/>
          <w:sz w:val="24"/>
          <w:szCs w:val="24"/>
          <w:highlight w:val="none"/>
        </w:rPr>
      </w:pPr>
      <w:r>
        <w:rPr>
          <w:rFonts w:hint="eastAsia" w:hAnsi="宋体" w:cs="宋体"/>
          <w:color w:val="auto"/>
          <w:sz w:val="24"/>
          <w:szCs w:val="24"/>
          <w:highlight w:val="none"/>
        </w:rPr>
        <w:t>_______ （采购人）：</w:t>
      </w:r>
    </w:p>
    <w:p w14:paraId="69A5B5EC">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响应供应商名称）法定代表人（或单位负责人）------------------------授----------------（全权代表姓名）为全权代表，参加贵公司组织的-----------------------采购活动，全权处理采购活动中的一切事宜。</w:t>
      </w:r>
    </w:p>
    <w:p w14:paraId="7C293623">
      <w:pPr>
        <w:spacing w:line="400" w:lineRule="exact"/>
        <w:rPr>
          <w:rFonts w:hAnsi="宋体" w:cs="宋体"/>
          <w:color w:val="auto"/>
          <w:sz w:val="24"/>
          <w:szCs w:val="24"/>
          <w:highlight w:val="none"/>
        </w:rPr>
      </w:pPr>
    </w:p>
    <w:p w14:paraId="366E1529">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附：</w:t>
      </w:r>
    </w:p>
    <w:p w14:paraId="7B983DCB">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 xml:space="preserve">姓名____________职务_______身份证号码_________________ </w:t>
      </w:r>
    </w:p>
    <w:p w14:paraId="4AB9B093">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 xml:space="preserve">详细通讯地址________________________邮政编码__________________ </w:t>
      </w:r>
    </w:p>
    <w:p w14:paraId="5ED85E31">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 xml:space="preserve">电话__________________传真_____________________ </w:t>
      </w:r>
    </w:p>
    <w:p w14:paraId="68FC90C8">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手机__________________电子邮箱_________________</w:t>
      </w:r>
    </w:p>
    <w:p w14:paraId="72249320">
      <w:pPr>
        <w:autoSpaceDE/>
        <w:autoSpaceDN/>
        <w:adjustRightInd/>
        <w:spacing w:line="500" w:lineRule="exact"/>
        <w:jc w:val="both"/>
        <w:textAlignment w:val="auto"/>
        <w:rPr>
          <w:rFonts w:hAnsi="宋体" w:cs="宋体"/>
          <w:color w:val="auto"/>
          <w:sz w:val="24"/>
          <w:szCs w:val="24"/>
          <w:highlight w:val="none"/>
        </w:rPr>
      </w:pPr>
    </w:p>
    <w:p w14:paraId="2156CC28">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法定代表人（或单位负责人）身份证（正反面）复印件粘贴处：</w:t>
      </w:r>
    </w:p>
    <w:p w14:paraId="457F65AF">
      <w:pPr>
        <w:autoSpaceDE/>
        <w:autoSpaceDN/>
        <w:adjustRightInd/>
        <w:spacing w:line="500" w:lineRule="exact"/>
        <w:jc w:val="both"/>
        <w:textAlignment w:val="auto"/>
        <w:rPr>
          <w:rFonts w:hAnsi="宋体" w:cs="宋体"/>
          <w:color w:val="auto"/>
          <w:sz w:val="24"/>
          <w:szCs w:val="24"/>
          <w:highlight w:val="none"/>
        </w:rPr>
      </w:pPr>
    </w:p>
    <w:p w14:paraId="6B679520">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授权代表身份证（正反面）复印件粘贴处：</w:t>
      </w:r>
    </w:p>
    <w:p w14:paraId="43B9A166">
      <w:pPr>
        <w:autoSpaceDE/>
        <w:autoSpaceDN/>
        <w:adjustRightInd/>
        <w:spacing w:line="500" w:lineRule="exact"/>
        <w:jc w:val="both"/>
        <w:textAlignment w:val="auto"/>
        <w:rPr>
          <w:rFonts w:hAnsi="宋体" w:cs="宋体"/>
          <w:color w:val="auto"/>
          <w:sz w:val="24"/>
          <w:szCs w:val="24"/>
          <w:highlight w:val="none"/>
        </w:rPr>
      </w:pPr>
    </w:p>
    <w:p w14:paraId="3E222F0E">
      <w:pPr>
        <w:autoSpaceDE/>
        <w:autoSpaceDN/>
        <w:adjustRightInd/>
        <w:spacing w:line="500" w:lineRule="exact"/>
        <w:ind w:firstLine="4320" w:firstLineChars="1800"/>
        <w:jc w:val="both"/>
        <w:textAlignment w:val="auto"/>
        <w:rPr>
          <w:rFonts w:hAnsi="宋体" w:cs="宋体"/>
          <w:color w:val="auto"/>
          <w:sz w:val="24"/>
          <w:szCs w:val="24"/>
          <w:highlight w:val="none"/>
        </w:rPr>
      </w:pPr>
      <w:r>
        <w:rPr>
          <w:rFonts w:hint="eastAsia" w:hAnsi="宋体" w:cs="宋体"/>
          <w:color w:val="auto"/>
          <w:sz w:val="24"/>
          <w:szCs w:val="24"/>
          <w:highlight w:val="none"/>
        </w:rPr>
        <w:t>单位名称（公章）：     </w:t>
      </w:r>
    </w:p>
    <w:p w14:paraId="2CD13A73">
      <w:pPr>
        <w:autoSpaceDE/>
        <w:autoSpaceDN/>
        <w:adjustRightInd/>
        <w:spacing w:line="500" w:lineRule="exact"/>
        <w:ind w:firstLine="2400" w:firstLineChars="1000"/>
        <w:jc w:val="both"/>
        <w:textAlignment w:val="auto"/>
        <w:rPr>
          <w:rFonts w:hAnsi="宋体" w:cs="宋体"/>
          <w:color w:val="auto"/>
          <w:sz w:val="24"/>
          <w:szCs w:val="24"/>
          <w:highlight w:val="none"/>
        </w:rPr>
      </w:pPr>
      <w:r>
        <w:rPr>
          <w:rFonts w:hint="eastAsia" w:hAnsi="宋体" w:cs="宋体"/>
          <w:color w:val="auto"/>
          <w:sz w:val="24"/>
          <w:szCs w:val="24"/>
          <w:highlight w:val="none"/>
        </w:rPr>
        <w:t>法定代表人（或单位负责人）（签字或盖章）： </w:t>
      </w:r>
    </w:p>
    <w:p w14:paraId="45B21F82">
      <w:pPr>
        <w:autoSpaceDE/>
        <w:autoSpaceDN/>
        <w:adjustRightInd/>
        <w:spacing w:line="500" w:lineRule="exact"/>
        <w:ind w:firstLine="3840" w:firstLineChars="1600"/>
        <w:jc w:val="both"/>
        <w:textAlignment w:val="auto"/>
        <w:rPr>
          <w:rFonts w:hAnsi="宋体" w:cs="宋体"/>
          <w:color w:val="auto"/>
          <w:sz w:val="24"/>
          <w:szCs w:val="24"/>
          <w:highlight w:val="none"/>
        </w:rPr>
      </w:pPr>
      <w:r>
        <w:rPr>
          <w:rFonts w:hint="eastAsia" w:hAnsi="宋体" w:cs="宋体"/>
          <w:color w:val="auto"/>
          <w:sz w:val="24"/>
          <w:szCs w:val="24"/>
          <w:highlight w:val="none"/>
        </w:rPr>
        <w:t>被授权人（全权代表）（签字或盖章）：</w:t>
      </w:r>
    </w:p>
    <w:p w14:paraId="617B9774">
      <w:pPr>
        <w:autoSpaceDE/>
        <w:autoSpaceDN/>
        <w:adjustRightInd/>
        <w:spacing w:line="500" w:lineRule="exact"/>
        <w:ind w:firstLine="5280" w:firstLineChars="2200"/>
        <w:jc w:val="both"/>
        <w:textAlignment w:val="auto"/>
        <w:rPr>
          <w:rFonts w:hAnsi="宋体" w:cs="宋体"/>
          <w:color w:val="auto"/>
          <w:sz w:val="24"/>
          <w:szCs w:val="24"/>
          <w:highlight w:val="none"/>
        </w:rPr>
      </w:pPr>
      <w:r>
        <w:rPr>
          <w:rFonts w:hint="eastAsia" w:hAnsi="宋体" w:cs="宋体"/>
          <w:color w:val="auto"/>
          <w:sz w:val="24"/>
          <w:szCs w:val="24"/>
          <w:highlight w:val="none"/>
        </w:rPr>
        <w:t>日期：____年____月____日</w:t>
      </w:r>
    </w:p>
    <w:p w14:paraId="346B0393">
      <w:pPr>
        <w:autoSpaceDE/>
        <w:autoSpaceDN/>
        <w:adjustRightInd/>
        <w:spacing w:line="500" w:lineRule="exact"/>
        <w:ind w:firstLine="5280" w:firstLineChars="2200"/>
        <w:jc w:val="both"/>
        <w:textAlignment w:val="auto"/>
        <w:rPr>
          <w:rFonts w:hAnsi="宋体" w:cs="宋体"/>
          <w:color w:val="auto"/>
          <w:sz w:val="24"/>
          <w:szCs w:val="24"/>
          <w:highlight w:val="none"/>
        </w:rPr>
      </w:pPr>
    </w:p>
    <w:p w14:paraId="4A70C839">
      <w:pPr>
        <w:autoSpaceDE/>
        <w:autoSpaceDN/>
        <w:adjustRightInd/>
        <w:spacing w:line="500" w:lineRule="exact"/>
        <w:ind w:firstLine="5280" w:firstLineChars="2200"/>
        <w:jc w:val="both"/>
        <w:textAlignment w:val="auto"/>
        <w:rPr>
          <w:rFonts w:hAnsi="宋体" w:cs="宋体"/>
          <w:color w:val="auto"/>
          <w:sz w:val="24"/>
          <w:szCs w:val="24"/>
          <w:highlight w:val="none"/>
        </w:rPr>
      </w:pPr>
    </w:p>
    <w:p w14:paraId="7ADAE1FF">
      <w:pPr>
        <w:pStyle w:val="2"/>
        <w:ind w:left="680"/>
        <w:rPr>
          <w:rFonts w:ascii="宋体" w:hAnsi="宋体"/>
          <w:color w:val="auto"/>
          <w:sz w:val="24"/>
          <w:szCs w:val="24"/>
          <w:highlight w:val="none"/>
        </w:rPr>
      </w:pPr>
    </w:p>
    <w:p w14:paraId="57D9DC44">
      <w:pPr>
        <w:rPr>
          <w:rFonts w:hAnsi="宋体" w:cs="宋体"/>
          <w:color w:val="auto"/>
          <w:highlight w:val="none"/>
        </w:rPr>
      </w:pPr>
    </w:p>
    <w:p w14:paraId="3A7DBE0B">
      <w:pPr>
        <w:widowControl/>
        <w:autoSpaceDE/>
        <w:autoSpaceDN/>
        <w:adjustRightInd/>
        <w:snapToGrid w:val="0"/>
        <w:jc w:val="center"/>
        <w:textAlignment w:val="auto"/>
        <w:rPr>
          <w:rFonts w:hAnsi="宋体" w:cs="宋体"/>
          <w:b/>
          <w:color w:val="auto"/>
          <w:sz w:val="28"/>
          <w:highlight w:val="none"/>
        </w:rPr>
      </w:pPr>
    </w:p>
    <w:p w14:paraId="139CA424">
      <w:pPr>
        <w:rPr>
          <w:rFonts w:hAnsi="宋体" w:cs="宋体"/>
          <w:b/>
          <w:color w:val="auto"/>
          <w:sz w:val="28"/>
          <w:highlight w:val="none"/>
        </w:rPr>
      </w:pPr>
      <w:r>
        <w:rPr>
          <w:rFonts w:hint="eastAsia" w:hAnsi="宋体" w:cs="宋体"/>
          <w:b/>
          <w:color w:val="auto"/>
          <w:sz w:val="28"/>
          <w:highlight w:val="none"/>
        </w:rPr>
        <w:br w:type="page"/>
      </w:r>
    </w:p>
    <w:p w14:paraId="534D3E9F">
      <w:pPr>
        <w:pStyle w:val="24"/>
        <w:snapToGrid w:val="0"/>
        <w:jc w:val="center"/>
        <w:rPr>
          <w:rFonts w:hAnsi="宋体" w:cs="宋体"/>
          <w:b/>
          <w:color w:val="auto"/>
          <w:sz w:val="28"/>
          <w:szCs w:val="20"/>
          <w:highlight w:val="none"/>
        </w:rPr>
      </w:pPr>
      <w:r>
        <w:rPr>
          <w:rFonts w:hint="eastAsia" w:hAnsi="宋体" w:cs="宋体"/>
          <w:b/>
          <w:color w:val="auto"/>
          <w:sz w:val="28"/>
          <w:szCs w:val="20"/>
          <w:highlight w:val="none"/>
        </w:rPr>
        <w:t>3.响应供应商情况表</w:t>
      </w:r>
      <w:bookmarkEnd w:id="150"/>
      <w:bookmarkEnd w:id="151"/>
      <w:bookmarkEnd w:id="152"/>
    </w:p>
    <w:p w14:paraId="29ED7D6C">
      <w:pPr>
        <w:pStyle w:val="24"/>
        <w:snapToGrid w:val="0"/>
        <w:spacing w:afterLines="50"/>
        <w:ind w:right="480" w:firstLine="6240" w:firstLineChars="2600"/>
        <w:rPr>
          <w:rFonts w:hAnsi="宋体" w:cs="宋体"/>
          <w:color w:val="auto"/>
          <w:sz w:val="24"/>
          <w:szCs w:val="24"/>
          <w:highlight w:val="none"/>
        </w:rPr>
      </w:pPr>
    </w:p>
    <w:tbl>
      <w:tblPr>
        <w:tblStyle w:val="4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3078"/>
        <w:gridCol w:w="1434"/>
        <w:gridCol w:w="2695"/>
      </w:tblGrid>
      <w:tr w14:paraId="503C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1FA6D925">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单位名称</w:t>
            </w:r>
          </w:p>
        </w:tc>
        <w:tc>
          <w:tcPr>
            <w:tcW w:w="3078" w:type="dxa"/>
            <w:tcMar>
              <w:left w:w="142" w:type="dxa"/>
              <w:right w:w="142" w:type="dxa"/>
            </w:tcMar>
            <w:vAlign w:val="center"/>
          </w:tcPr>
          <w:p w14:paraId="7C80DAF2">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14:paraId="1D03BF87">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电    话</w:t>
            </w:r>
          </w:p>
        </w:tc>
        <w:tc>
          <w:tcPr>
            <w:tcW w:w="2695" w:type="dxa"/>
            <w:tcMar>
              <w:left w:w="142" w:type="dxa"/>
              <w:right w:w="142" w:type="dxa"/>
            </w:tcMar>
            <w:vAlign w:val="center"/>
          </w:tcPr>
          <w:p w14:paraId="5F9808D5">
            <w:pPr>
              <w:pStyle w:val="24"/>
              <w:snapToGrid w:val="0"/>
              <w:jc w:val="both"/>
              <w:rPr>
                <w:rFonts w:hAnsi="宋体" w:cs="宋体"/>
                <w:color w:val="auto"/>
                <w:sz w:val="24"/>
                <w:szCs w:val="24"/>
                <w:highlight w:val="none"/>
              </w:rPr>
            </w:pPr>
          </w:p>
        </w:tc>
      </w:tr>
      <w:tr w14:paraId="5142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0C8E06CF">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地址</w:t>
            </w:r>
          </w:p>
        </w:tc>
        <w:tc>
          <w:tcPr>
            <w:tcW w:w="3078" w:type="dxa"/>
            <w:tcMar>
              <w:left w:w="142" w:type="dxa"/>
              <w:right w:w="142" w:type="dxa"/>
            </w:tcMar>
            <w:vAlign w:val="center"/>
          </w:tcPr>
          <w:p w14:paraId="1857A84D">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14:paraId="16473378">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传    真</w:t>
            </w:r>
          </w:p>
        </w:tc>
        <w:tc>
          <w:tcPr>
            <w:tcW w:w="2695" w:type="dxa"/>
            <w:tcMar>
              <w:left w:w="142" w:type="dxa"/>
              <w:right w:w="142" w:type="dxa"/>
            </w:tcMar>
            <w:vAlign w:val="center"/>
          </w:tcPr>
          <w:p w14:paraId="5938122C">
            <w:pPr>
              <w:pStyle w:val="24"/>
              <w:snapToGrid w:val="0"/>
              <w:jc w:val="both"/>
              <w:rPr>
                <w:rFonts w:hAnsi="宋体" w:cs="宋体"/>
                <w:color w:val="auto"/>
                <w:sz w:val="24"/>
                <w:szCs w:val="24"/>
                <w:highlight w:val="none"/>
              </w:rPr>
            </w:pPr>
          </w:p>
        </w:tc>
      </w:tr>
      <w:tr w14:paraId="291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67B9DC89">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主管部门</w:t>
            </w:r>
          </w:p>
        </w:tc>
        <w:tc>
          <w:tcPr>
            <w:tcW w:w="3078" w:type="dxa"/>
            <w:tcMar>
              <w:left w:w="142" w:type="dxa"/>
              <w:right w:w="142" w:type="dxa"/>
            </w:tcMar>
            <w:vAlign w:val="center"/>
          </w:tcPr>
          <w:p w14:paraId="5E5C0B2A">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14:paraId="476C30FC">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企业性质</w:t>
            </w:r>
          </w:p>
        </w:tc>
        <w:tc>
          <w:tcPr>
            <w:tcW w:w="2695" w:type="dxa"/>
            <w:tcMar>
              <w:left w:w="142" w:type="dxa"/>
              <w:right w:w="142" w:type="dxa"/>
            </w:tcMar>
            <w:vAlign w:val="center"/>
          </w:tcPr>
          <w:p w14:paraId="78E98A4D">
            <w:pPr>
              <w:pStyle w:val="24"/>
              <w:snapToGrid w:val="0"/>
              <w:jc w:val="both"/>
              <w:rPr>
                <w:rFonts w:hAnsi="宋体" w:cs="宋体"/>
                <w:color w:val="auto"/>
                <w:sz w:val="24"/>
                <w:szCs w:val="24"/>
                <w:highlight w:val="none"/>
              </w:rPr>
            </w:pPr>
          </w:p>
        </w:tc>
      </w:tr>
      <w:tr w14:paraId="172D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05C9CF7B">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法定代表人（或单位负责人）</w:t>
            </w:r>
          </w:p>
        </w:tc>
        <w:tc>
          <w:tcPr>
            <w:tcW w:w="3078" w:type="dxa"/>
            <w:tcMar>
              <w:left w:w="142" w:type="dxa"/>
              <w:right w:w="142" w:type="dxa"/>
            </w:tcMar>
            <w:vAlign w:val="center"/>
          </w:tcPr>
          <w:p w14:paraId="58186253">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14:paraId="26C55787">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注册资金</w:t>
            </w:r>
          </w:p>
        </w:tc>
        <w:tc>
          <w:tcPr>
            <w:tcW w:w="2695" w:type="dxa"/>
            <w:tcMar>
              <w:left w:w="142" w:type="dxa"/>
              <w:right w:w="142" w:type="dxa"/>
            </w:tcMar>
            <w:vAlign w:val="center"/>
          </w:tcPr>
          <w:p w14:paraId="0266175D">
            <w:pPr>
              <w:pStyle w:val="24"/>
              <w:snapToGrid w:val="0"/>
              <w:jc w:val="both"/>
              <w:rPr>
                <w:rFonts w:hAnsi="宋体" w:cs="宋体"/>
                <w:color w:val="auto"/>
                <w:sz w:val="24"/>
                <w:szCs w:val="24"/>
                <w:highlight w:val="none"/>
              </w:rPr>
            </w:pPr>
          </w:p>
        </w:tc>
      </w:tr>
      <w:tr w14:paraId="49FA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14:paraId="6128CED1">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授权代表</w:t>
            </w:r>
          </w:p>
        </w:tc>
        <w:tc>
          <w:tcPr>
            <w:tcW w:w="3078" w:type="dxa"/>
            <w:tcMar>
              <w:left w:w="142" w:type="dxa"/>
              <w:right w:w="142" w:type="dxa"/>
            </w:tcMar>
            <w:vAlign w:val="center"/>
          </w:tcPr>
          <w:p w14:paraId="68158433">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14:paraId="5513460A">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职    务</w:t>
            </w:r>
          </w:p>
        </w:tc>
        <w:tc>
          <w:tcPr>
            <w:tcW w:w="2695" w:type="dxa"/>
            <w:tcMar>
              <w:left w:w="142" w:type="dxa"/>
              <w:right w:w="142" w:type="dxa"/>
            </w:tcMar>
            <w:vAlign w:val="center"/>
          </w:tcPr>
          <w:p w14:paraId="7F2DDCFF">
            <w:pPr>
              <w:pStyle w:val="24"/>
              <w:snapToGrid w:val="0"/>
              <w:jc w:val="both"/>
              <w:rPr>
                <w:rFonts w:hAnsi="宋体" w:cs="宋体"/>
                <w:color w:val="auto"/>
                <w:sz w:val="24"/>
                <w:szCs w:val="24"/>
                <w:highlight w:val="none"/>
              </w:rPr>
            </w:pPr>
          </w:p>
        </w:tc>
      </w:tr>
      <w:tr w14:paraId="4072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2017" w:type="dxa"/>
            <w:tcMar>
              <w:left w:w="142" w:type="dxa"/>
              <w:right w:w="142" w:type="dxa"/>
            </w:tcMar>
            <w:vAlign w:val="center"/>
          </w:tcPr>
          <w:p w14:paraId="5C5DD33E">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单</w:t>
            </w:r>
          </w:p>
          <w:p w14:paraId="08A91DEE">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位</w:t>
            </w:r>
          </w:p>
          <w:p w14:paraId="7B5AF61D">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概</w:t>
            </w:r>
          </w:p>
          <w:p w14:paraId="5E0115FE">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况</w:t>
            </w:r>
          </w:p>
        </w:tc>
        <w:tc>
          <w:tcPr>
            <w:tcW w:w="7207" w:type="dxa"/>
            <w:gridSpan w:val="3"/>
            <w:tcMar>
              <w:left w:w="142" w:type="dxa"/>
              <w:right w:w="142" w:type="dxa"/>
            </w:tcMar>
            <w:vAlign w:val="center"/>
          </w:tcPr>
          <w:p w14:paraId="63AEBE9A">
            <w:pPr>
              <w:pStyle w:val="24"/>
              <w:snapToGrid w:val="0"/>
              <w:jc w:val="both"/>
              <w:rPr>
                <w:rFonts w:hAnsi="宋体" w:cs="宋体"/>
                <w:color w:val="auto"/>
                <w:sz w:val="24"/>
                <w:szCs w:val="24"/>
                <w:highlight w:val="none"/>
              </w:rPr>
            </w:pPr>
          </w:p>
        </w:tc>
      </w:tr>
      <w:tr w14:paraId="36AE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2017" w:type="dxa"/>
            <w:tcMar>
              <w:left w:w="142" w:type="dxa"/>
              <w:right w:w="142" w:type="dxa"/>
            </w:tcMar>
            <w:vAlign w:val="center"/>
          </w:tcPr>
          <w:p w14:paraId="5268D5DE">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优</w:t>
            </w:r>
          </w:p>
          <w:p w14:paraId="36D037EA">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势</w:t>
            </w:r>
          </w:p>
          <w:p w14:paraId="40B53B8E">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及</w:t>
            </w:r>
          </w:p>
          <w:p w14:paraId="5DBEC7E5">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特</w:t>
            </w:r>
          </w:p>
          <w:p w14:paraId="2725EDC2">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长</w:t>
            </w:r>
          </w:p>
        </w:tc>
        <w:tc>
          <w:tcPr>
            <w:tcW w:w="7207" w:type="dxa"/>
            <w:gridSpan w:val="3"/>
            <w:tcMar>
              <w:left w:w="142" w:type="dxa"/>
              <w:right w:w="142" w:type="dxa"/>
            </w:tcMar>
            <w:vAlign w:val="center"/>
          </w:tcPr>
          <w:p w14:paraId="3F5A67E5">
            <w:pPr>
              <w:pStyle w:val="24"/>
              <w:snapToGrid w:val="0"/>
              <w:jc w:val="both"/>
              <w:rPr>
                <w:rFonts w:hAnsi="宋体" w:cs="宋体"/>
                <w:color w:val="auto"/>
                <w:sz w:val="24"/>
                <w:szCs w:val="24"/>
                <w:highlight w:val="none"/>
              </w:rPr>
            </w:pPr>
          </w:p>
        </w:tc>
      </w:tr>
    </w:tbl>
    <w:p w14:paraId="2A3BB978">
      <w:pPr>
        <w:pStyle w:val="24"/>
        <w:snapToGrid w:val="0"/>
        <w:ind w:firstLine="360" w:firstLineChars="150"/>
        <w:rPr>
          <w:rFonts w:hAnsi="宋体" w:cs="宋体"/>
          <w:color w:val="auto"/>
          <w:sz w:val="24"/>
          <w:szCs w:val="24"/>
          <w:highlight w:val="none"/>
        </w:rPr>
      </w:pPr>
      <w:r>
        <w:rPr>
          <w:rFonts w:hint="eastAsia" w:hAnsi="宋体" w:cs="宋体"/>
          <w:color w:val="auto"/>
          <w:sz w:val="24"/>
          <w:szCs w:val="24"/>
          <w:highlight w:val="none"/>
        </w:rPr>
        <w:t>注：此表在不改变表式的情况下，可自行制作</w:t>
      </w:r>
    </w:p>
    <w:p w14:paraId="5DCFEEE3">
      <w:pPr>
        <w:autoSpaceDE/>
        <w:autoSpaceDN/>
        <w:adjustRightInd/>
        <w:spacing w:line="500" w:lineRule="exact"/>
        <w:ind w:firstLine="5280" w:firstLineChars="2200"/>
        <w:jc w:val="both"/>
        <w:textAlignment w:val="auto"/>
        <w:rPr>
          <w:rFonts w:hAnsi="宋体" w:cs="宋体"/>
          <w:color w:val="auto"/>
          <w:sz w:val="24"/>
          <w:szCs w:val="24"/>
          <w:highlight w:val="none"/>
        </w:rPr>
      </w:pPr>
    </w:p>
    <w:p w14:paraId="5B839B62">
      <w:pPr>
        <w:widowControl/>
        <w:autoSpaceDE/>
        <w:autoSpaceDN/>
        <w:adjustRightInd/>
        <w:textAlignment w:val="auto"/>
        <w:rPr>
          <w:rFonts w:hAnsi="宋体" w:cs="宋体"/>
          <w:b/>
          <w:bCs/>
          <w:color w:val="auto"/>
          <w:kern w:val="2"/>
          <w:sz w:val="21"/>
          <w:szCs w:val="21"/>
          <w:highlight w:val="none"/>
        </w:rPr>
      </w:pPr>
      <w:r>
        <w:rPr>
          <w:rFonts w:hint="eastAsia" w:hAnsi="宋体" w:cs="宋体"/>
          <w:b/>
          <w:bCs/>
          <w:color w:val="auto"/>
          <w:kern w:val="2"/>
          <w:sz w:val="21"/>
          <w:szCs w:val="21"/>
          <w:highlight w:val="none"/>
        </w:rPr>
        <w:br w:type="page"/>
      </w:r>
    </w:p>
    <w:p w14:paraId="54B81D8A">
      <w:pPr>
        <w:widowControl/>
        <w:autoSpaceDE/>
        <w:autoSpaceDN/>
        <w:adjustRightInd/>
        <w:textAlignment w:val="auto"/>
        <w:rPr>
          <w:rFonts w:hAnsi="宋体" w:cs="宋体"/>
          <w:b/>
          <w:bCs/>
          <w:color w:val="auto"/>
          <w:kern w:val="2"/>
          <w:sz w:val="21"/>
          <w:szCs w:val="21"/>
          <w:highlight w:val="none"/>
        </w:rPr>
      </w:pPr>
    </w:p>
    <w:p w14:paraId="669C6018">
      <w:pPr>
        <w:pStyle w:val="2"/>
        <w:ind w:left="17" w:leftChars="0" w:hanging="17" w:hangingChars="7"/>
        <w:jc w:val="center"/>
        <w:rPr>
          <w:rFonts w:ascii="宋体" w:hAnsi="宋体"/>
          <w:b/>
          <w:color w:val="auto"/>
          <w:sz w:val="24"/>
          <w:highlight w:val="none"/>
        </w:rPr>
      </w:pPr>
      <w:bookmarkStart w:id="153" w:name="_Toc499294831"/>
      <w:bookmarkStart w:id="154" w:name="_Toc217289142"/>
      <w:bookmarkStart w:id="155" w:name="_Toc237176518"/>
      <w:bookmarkStart w:id="156" w:name="_Toc184785940"/>
      <w:bookmarkStart w:id="157" w:name="_Toc354841325"/>
      <w:bookmarkStart w:id="158" w:name="_Toc237413925"/>
      <w:bookmarkStart w:id="159" w:name="_Toc256977550"/>
      <w:bookmarkStart w:id="160" w:name="_Toc295910888"/>
      <w:bookmarkStart w:id="161" w:name="_Toc237182511"/>
      <w:bookmarkStart w:id="162" w:name="_Toc237189792"/>
      <w:bookmarkStart w:id="163" w:name="_Toc237193463"/>
      <w:bookmarkStart w:id="164" w:name="_Toc237340119"/>
      <w:bookmarkStart w:id="165" w:name="_Toc264211082"/>
      <w:bookmarkStart w:id="166" w:name="_Toc296074351"/>
      <w:bookmarkStart w:id="167" w:name="_Toc237414020"/>
      <w:bookmarkStart w:id="168" w:name="_Toc265065994"/>
      <w:bookmarkStart w:id="169" w:name="_Toc295737640"/>
      <w:bookmarkStart w:id="170" w:name="_Toc296075062"/>
      <w:r>
        <w:rPr>
          <w:rFonts w:hint="eastAsia" w:ascii="宋体" w:hAnsi="宋体"/>
          <w:b/>
          <w:color w:val="auto"/>
          <w:sz w:val="24"/>
          <w:highlight w:val="none"/>
        </w:rPr>
        <w:t>4.</w:t>
      </w:r>
      <w:bookmarkEnd w:id="153"/>
      <w:bookmarkEnd w:id="154"/>
      <w:bookmarkEnd w:id="155"/>
      <w:bookmarkEnd w:id="156"/>
      <w:r>
        <w:rPr>
          <w:rFonts w:hint="eastAsia" w:ascii="宋体" w:hAnsi="宋体"/>
          <w:b/>
          <w:color w:val="auto"/>
          <w:sz w:val="24"/>
          <w:highlight w:val="none"/>
        </w:rPr>
        <w:t>服务</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b/>
          <w:color w:val="auto"/>
          <w:sz w:val="24"/>
          <w:highlight w:val="none"/>
        </w:rPr>
        <w:t>条款对比表</w:t>
      </w:r>
    </w:p>
    <w:tbl>
      <w:tblPr>
        <w:tblStyle w:val="46"/>
        <w:tblpPr w:leftFromText="180" w:rightFromText="180" w:vertAnchor="text" w:horzAnchor="page" w:tblpX="1430" w:tblpY="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906"/>
        <w:gridCol w:w="3128"/>
        <w:gridCol w:w="2036"/>
      </w:tblGrid>
      <w:tr w14:paraId="7731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92" w:type="dxa"/>
            <w:vAlign w:val="center"/>
          </w:tcPr>
          <w:p w14:paraId="49780875">
            <w:pPr>
              <w:spacing w:line="30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06" w:type="dxa"/>
            <w:vAlign w:val="center"/>
          </w:tcPr>
          <w:p w14:paraId="1C082D74">
            <w:pPr>
              <w:spacing w:line="300" w:lineRule="auto"/>
              <w:jc w:val="center"/>
              <w:rPr>
                <w:rFonts w:hAnsi="宋体" w:cs="宋体"/>
                <w:color w:val="auto"/>
                <w:sz w:val="21"/>
                <w:szCs w:val="21"/>
                <w:highlight w:val="none"/>
              </w:rPr>
            </w:pPr>
            <w:r>
              <w:rPr>
                <w:rFonts w:hint="eastAsia" w:hAnsi="宋体" w:cs="宋体"/>
                <w:color w:val="auto"/>
                <w:sz w:val="21"/>
                <w:szCs w:val="21"/>
                <w:highlight w:val="none"/>
              </w:rPr>
              <w:t>磋商文件要求的服务内容</w:t>
            </w:r>
          </w:p>
        </w:tc>
        <w:tc>
          <w:tcPr>
            <w:tcW w:w="3128" w:type="dxa"/>
            <w:vAlign w:val="center"/>
          </w:tcPr>
          <w:p w14:paraId="5C297E39">
            <w:pPr>
              <w:spacing w:line="300" w:lineRule="auto"/>
              <w:jc w:val="center"/>
              <w:rPr>
                <w:rFonts w:hAnsi="宋体" w:cs="宋体"/>
                <w:color w:val="auto"/>
                <w:sz w:val="21"/>
                <w:szCs w:val="21"/>
                <w:highlight w:val="none"/>
              </w:rPr>
            </w:pPr>
            <w:r>
              <w:rPr>
                <w:rFonts w:hint="eastAsia" w:hAnsi="宋体" w:cs="宋体"/>
                <w:color w:val="auto"/>
                <w:sz w:val="21"/>
                <w:szCs w:val="21"/>
                <w:highlight w:val="none"/>
              </w:rPr>
              <w:t>响应的服务内容</w:t>
            </w:r>
          </w:p>
        </w:tc>
        <w:tc>
          <w:tcPr>
            <w:tcW w:w="2036" w:type="dxa"/>
            <w:vAlign w:val="center"/>
          </w:tcPr>
          <w:p w14:paraId="714E6A0F">
            <w:pPr>
              <w:spacing w:line="300" w:lineRule="auto"/>
              <w:jc w:val="center"/>
              <w:rPr>
                <w:rFonts w:hAnsi="宋体" w:cs="宋体"/>
                <w:color w:val="auto"/>
                <w:sz w:val="21"/>
                <w:szCs w:val="21"/>
                <w:highlight w:val="none"/>
              </w:rPr>
            </w:pPr>
            <w:r>
              <w:rPr>
                <w:rFonts w:hint="eastAsia" w:hAnsi="宋体" w:cs="宋体"/>
                <w:color w:val="auto"/>
                <w:sz w:val="21"/>
                <w:szCs w:val="21"/>
                <w:highlight w:val="none"/>
              </w:rPr>
              <w:t>是否响应</w:t>
            </w:r>
          </w:p>
        </w:tc>
      </w:tr>
      <w:tr w14:paraId="30E7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561B3E6C">
            <w:pPr>
              <w:spacing w:line="300" w:lineRule="auto"/>
              <w:jc w:val="center"/>
              <w:rPr>
                <w:rFonts w:hAnsi="宋体" w:cs="宋体"/>
                <w:color w:val="auto"/>
                <w:sz w:val="21"/>
                <w:szCs w:val="21"/>
                <w:highlight w:val="none"/>
              </w:rPr>
            </w:pPr>
          </w:p>
        </w:tc>
        <w:tc>
          <w:tcPr>
            <w:tcW w:w="2906" w:type="dxa"/>
            <w:vAlign w:val="center"/>
          </w:tcPr>
          <w:p w14:paraId="43EE74F1">
            <w:pPr>
              <w:spacing w:line="300" w:lineRule="auto"/>
              <w:jc w:val="center"/>
              <w:rPr>
                <w:rFonts w:hAnsi="宋体" w:cs="宋体"/>
                <w:color w:val="auto"/>
                <w:sz w:val="21"/>
                <w:szCs w:val="21"/>
                <w:highlight w:val="none"/>
              </w:rPr>
            </w:pPr>
          </w:p>
        </w:tc>
        <w:tc>
          <w:tcPr>
            <w:tcW w:w="3128" w:type="dxa"/>
            <w:vAlign w:val="center"/>
          </w:tcPr>
          <w:p w14:paraId="7B02062D">
            <w:pPr>
              <w:spacing w:line="300" w:lineRule="auto"/>
              <w:jc w:val="center"/>
              <w:rPr>
                <w:rFonts w:hAnsi="宋体" w:cs="宋体"/>
                <w:color w:val="auto"/>
                <w:sz w:val="21"/>
                <w:szCs w:val="21"/>
                <w:highlight w:val="none"/>
              </w:rPr>
            </w:pPr>
          </w:p>
        </w:tc>
        <w:tc>
          <w:tcPr>
            <w:tcW w:w="2036" w:type="dxa"/>
            <w:vAlign w:val="center"/>
          </w:tcPr>
          <w:p w14:paraId="442E0B09">
            <w:pPr>
              <w:spacing w:line="300" w:lineRule="auto"/>
              <w:jc w:val="center"/>
              <w:rPr>
                <w:rFonts w:hAnsi="宋体" w:cs="宋体"/>
                <w:color w:val="auto"/>
                <w:sz w:val="21"/>
                <w:szCs w:val="21"/>
                <w:highlight w:val="none"/>
              </w:rPr>
            </w:pPr>
          </w:p>
        </w:tc>
      </w:tr>
      <w:tr w14:paraId="60DF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736AE1CC">
            <w:pPr>
              <w:spacing w:line="300" w:lineRule="auto"/>
              <w:jc w:val="center"/>
              <w:rPr>
                <w:rFonts w:hAnsi="宋体" w:cs="宋体"/>
                <w:color w:val="auto"/>
                <w:sz w:val="21"/>
                <w:szCs w:val="21"/>
                <w:highlight w:val="none"/>
              </w:rPr>
            </w:pPr>
          </w:p>
        </w:tc>
        <w:tc>
          <w:tcPr>
            <w:tcW w:w="2906" w:type="dxa"/>
            <w:vAlign w:val="center"/>
          </w:tcPr>
          <w:p w14:paraId="67B74E4D">
            <w:pPr>
              <w:spacing w:line="300" w:lineRule="auto"/>
              <w:jc w:val="center"/>
              <w:rPr>
                <w:rFonts w:hAnsi="宋体" w:cs="宋体"/>
                <w:color w:val="auto"/>
                <w:sz w:val="21"/>
                <w:szCs w:val="21"/>
                <w:highlight w:val="none"/>
              </w:rPr>
            </w:pPr>
          </w:p>
        </w:tc>
        <w:tc>
          <w:tcPr>
            <w:tcW w:w="3128" w:type="dxa"/>
            <w:vAlign w:val="center"/>
          </w:tcPr>
          <w:p w14:paraId="12A6D470">
            <w:pPr>
              <w:spacing w:line="300" w:lineRule="auto"/>
              <w:jc w:val="center"/>
              <w:rPr>
                <w:rFonts w:hAnsi="宋体" w:cs="宋体"/>
                <w:color w:val="auto"/>
                <w:sz w:val="21"/>
                <w:szCs w:val="21"/>
                <w:highlight w:val="none"/>
              </w:rPr>
            </w:pPr>
          </w:p>
        </w:tc>
        <w:tc>
          <w:tcPr>
            <w:tcW w:w="2036" w:type="dxa"/>
            <w:vAlign w:val="center"/>
          </w:tcPr>
          <w:p w14:paraId="5B20A65B">
            <w:pPr>
              <w:spacing w:line="300" w:lineRule="auto"/>
              <w:jc w:val="center"/>
              <w:rPr>
                <w:rFonts w:hAnsi="宋体" w:cs="宋体"/>
                <w:color w:val="auto"/>
                <w:sz w:val="21"/>
                <w:szCs w:val="21"/>
                <w:highlight w:val="none"/>
              </w:rPr>
            </w:pPr>
          </w:p>
        </w:tc>
      </w:tr>
      <w:tr w14:paraId="0FB5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2923A839">
            <w:pPr>
              <w:spacing w:line="300" w:lineRule="auto"/>
              <w:jc w:val="center"/>
              <w:rPr>
                <w:rFonts w:hAnsi="宋体" w:cs="宋体"/>
                <w:color w:val="auto"/>
                <w:sz w:val="21"/>
                <w:szCs w:val="21"/>
                <w:highlight w:val="none"/>
              </w:rPr>
            </w:pPr>
          </w:p>
        </w:tc>
        <w:tc>
          <w:tcPr>
            <w:tcW w:w="2906" w:type="dxa"/>
            <w:vAlign w:val="center"/>
          </w:tcPr>
          <w:p w14:paraId="6F1BADEF">
            <w:pPr>
              <w:spacing w:line="300" w:lineRule="auto"/>
              <w:jc w:val="center"/>
              <w:rPr>
                <w:rFonts w:hAnsi="宋体" w:cs="宋体"/>
                <w:color w:val="auto"/>
                <w:sz w:val="21"/>
                <w:szCs w:val="21"/>
                <w:highlight w:val="none"/>
              </w:rPr>
            </w:pPr>
          </w:p>
        </w:tc>
        <w:tc>
          <w:tcPr>
            <w:tcW w:w="3128" w:type="dxa"/>
            <w:vAlign w:val="center"/>
          </w:tcPr>
          <w:p w14:paraId="05EF65CE">
            <w:pPr>
              <w:spacing w:line="300" w:lineRule="auto"/>
              <w:jc w:val="center"/>
              <w:rPr>
                <w:rFonts w:hAnsi="宋体" w:cs="宋体"/>
                <w:color w:val="auto"/>
                <w:sz w:val="21"/>
                <w:szCs w:val="21"/>
                <w:highlight w:val="none"/>
              </w:rPr>
            </w:pPr>
          </w:p>
        </w:tc>
        <w:tc>
          <w:tcPr>
            <w:tcW w:w="2036" w:type="dxa"/>
            <w:vAlign w:val="center"/>
          </w:tcPr>
          <w:p w14:paraId="561D23A8">
            <w:pPr>
              <w:spacing w:line="300" w:lineRule="auto"/>
              <w:jc w:val="center"/>
              <w:rPr>
                <w:rFonts w:hAnsi="宋体" w:cs="宋体"/>
                <w:color w:val="auto"/>
                <w:sz w:val="21"/>
                <w:szCs w:val="21"/>
                <w:highlight w:val="none"/>
              </w:rPr>
            </w:pPr>
          </w:p>
        </w:tc>
      </w:tr>
      <w:tr w14:paraId="0B3D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587940D8">
            <w:pPr>
              <w:spacing w:line="300" w:lineRule="auto"/>
              <w:jc w:val="center"/>
              <w:rPr>
                <w:rFonts w:hAnsi="宋体" w:cs="宋体"/>
                <w:color w:val="auto"/>
                <w:sz w:val="21"/>
                <w:szCs w:val="21"/>
                <w:highlight w:val="none"/>
              </w:rPr>
            </w:pPr>
          </w:p>
        </w:tc>
        <w:tc>
          <w:tcPr>
            <w:tcW w:w="2906" w:type="dxa"/>
            <w:vAlign w:val="center"/>
          </w:tcPr>
          <w:p w14:paraId="584F7BE1">
            <w:pPr>
              <w:spacing w:line="300" w:lineRule="auto"/>
              <w:jc w:val="center"/>
              <w:rPr>
                <w:rFonts w:hAnsi="宋体" w:cs="宋体"/>
                <w:color w:val="auto"/>
                <w:sz w:val="21"/>
                <w:szCs w:val="21"/>
                <w:highlight w:val="none"/>
              </w:rPr>
            </w:pPr>
          </w:p>
        </w:tc>
        <w:tc>
          <w:tcPr>
            <w:tcW w:w="3128" w:type="dxa"/>
            <w:vAlign w:val="center"/>
          </w:tcPr>
          <w:p w14:paraId="524300EA">
            <w:pPr>
              <w:spacing w:line="300" w:lineRule="auto"/>
              <w:jc w:val="center"/>
              <w:rPr>
                <w:rFonts w:hAnsi="宋体" w:cs="宋体"/>
                <w:color w:val="auto"/>
                <w:sz w:val="21"/>
                <w:szCs w:val="21"/>
                <w:highlight w:val="none"/>
              </w:rPr>
            </w:pPr>
          </w:p>
        </w:tc>
        <w:tc>
          <w:tcPr>
            <w:tcW w:w="2036" w:type="dxa"/>
            <w:vAlign w:val="center"/>
          </w:tcPr>
          <w:p w14:paraId="21EE24D9">
            <w:pPr>
              <w:spacing w:line="300" w:lineRule="auto"/>
              <w:jc w:val="center"/>
              <w:rPr>
                <w:rFonts w:hAnsi="宋体" w:cs="宋体"/>
                <w:color w:val="auto"/>
                <w:sz w:val="21"/>
                <w:szCs w:val="21"/>
                <w:highlight w:val="none"/>
              </w:rPr>
            </w:pPr>
          </w:p>
        </w:tc>
      </w:tr>
      <w:tr w14:paraId="118E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4D76E811">
            <w:pPr>
              <w:spacing w:line="300" w:lineRule="auto"/>
              <w:jc w:val="center"/>
              <w:rPr>
                <w:rFonts w:hAnsi="宋体" w:cs="宋体"/>
                <w:color w:val="auto"/>
                <w:sz w:val="21"/>
                <w:szCs w:val="21"/>
                <w:highlight w:val="none"/>
              </w:rPr>
            </w:pPr>
          </w:p>
        </w:tc>
        <w:tc>
          <w:tcPr>
            <w:tcW w:w="2906" w:type="dxa"/>
            <w:vAlign w:val="center"/>
          </w:tcPr>
          <w:p w14:paraId="223FEB87">
            <w:pPr>
              <w:spacing w:line="300" w:lineRule="auto"/>
              <w:jc w:val="center"/>
              <w:rPr>
                <w:rFonts w:hAnsi="宋体" w:cs="宋体"/>
                <w:color w:val="auto"/>
                <w:sz w:val="21"/>
                <w:szCs w:val="21"/>
                <w:highlight w:val="none"/>
              </w:rPr>
            </w:pPr>
          </w:p>
        </w:tc>
        <w:tc>
          <w:tcPr>
            <w:tcW w:w="3128" w:type="dxa"/>
            <w:vAlign w:val="center"/>
          </w:tcPr>
          <w:p w14:paraId="6DADE3BC">
            <w:pPr>
              <w:spacing w:line="300" w:lineRule="auto"/>
              <w:jc w:val="center"/>
              <w:rPr>
                <w:rFonts w:hAnsi="宋体" w:cs="宋体"/>
                <w:color w:val="auto"/>
                <w:sz w:val="21"/>
                <w:szCs w:val="21"/>
                <w:highlight w:val="none"/>
              </w:rPr>
            </w:pPr>
          </w:p>
        </w:tc>
        <w:tc>
          <w:tcPr>
            <w:tcW w:w="2036" w:type="dxa"/>
            <w:vAlign w:val="center"/>
          </w:tcPr>
          <w:p w14:paraId="30CEB5D2">
            <w:pPr>
              <w:spacing w:line="300" w:lineRule="auto"/>
              <w:jc w:val="center"/>
              <w:rPr>
                <w:rFonts w:hAnsi="宋体" w:cs="宋体"/>
                <w:color w:val="auto"/>
                <w:sz w:val="21"/>
                <w:szCs w:val="21"/>
                <w:highlight w:val="none"/>
              </w:rPr>
            </w:pPr>
          </w:p>
        </w:tc>
      </w:tr>
      <w:tr w14:paraId="16AB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26CCBD2E">
            <w:pPr>
              <w:spacing w:line="300" w:lineRule="auto"/>
              <w:jc w:val="center"/>
              <w:rPr>
                <w:rFonts w:hAnsi="宋体" w:cs="宋体"/>
                <w:color w:val="auto"/>
                <w:sz w:val="21"/>
                <w:szCs w:val="21"/>
                <w:highlight w:val="none"/>
              </w:rPr>
            </w:pPr>
          </w:p>
        </w:tc>
        <w:tc>
          <w:tcPr>
            <w:tcW w:w="2906" w:type="dxa"/>
            <w:vAlign w:val="center"/>
          </w:tcPr>
          <w:p w14:paraId="76426663">
            <w:pPr>
              <w:spacing w:line="300" w:lineRule="auto"/>
              <w:jc w:val="center"/>
              <w:rPr>
                <w:rFonts w:hAnsi="宋体" w:cs="宋体"/>
                <w:color w:val="auto"/>
                <w:sz w:val="21"/>
                <w:szCs w:val="21"/>
                <w:highlight w:val="none"/>
              </w:rPr>
            </w:pPr>
          </w:p>
        </w:tc>
        <w:tc>
          <w:tcPr>
            <w:tcW w:w="3128" w:type="dxa"/>
            <w:vAlign w:val="center"/>
          </w:tcPr>
          <w:p w14:paraId="72048070">
            <w:pPr>
              <w:spacing w:line="300" w:lineRule="auto"/>
              <w:jc w:val="center"/>
              <w:rPr>
                <w:rFonts w:hAnsi="宋体" w:cs="宋体"/>
                <w:color w:val="auto"/>
                <w:sz w:val="21"/>
                <w:szCs w:val="21"/>
                <w:highlight w:val="none"/>
              </w:rPr>
            </w:pPr>
          </w:p>
        </w:tc>
        <w:tc>
          <w:tcPr>
            <w:tcW w:w="2036" w:type="dxa"/>
            <w:vAlign w:val="center"/>
          </w:tcPr>
          <w:p w14:paraId="563EFB84">
            <w:pPr>
              <w:spacing w:line="300" w:lineRule="auto"/>
              <w:jc w:val="center"/>
              <w:rPr>
                <w:rFonts w:hAnsi="宋体" w:cs="宋体"/>
                <w:color w:val="auto"/>
                <w:sz w:val="21"/>
                <w:szCs w:val="21"/>
                <w:highlight w:val="none"/>
              </w:rPr>
            </w:pPr>
          </w:p>
        </w:tc>
      </w:tr>
      <w:tr w14:paraId="7D7A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35DFCAE0">
            <w:pPr>
              <w:spacing w:line="300" w:lineRule="auto"/>
              <w:jc w:val="center"/>
              <w:rPr>
                <w:rFonts w:hAnsi="宋体" w:cs="宋体"/>
                <w:color w:val="auto"/>
                <w:sz w:val="21"/>
                <w:szCs w:val="21"/>
                <w:highlight w:val="none"/>
              </w:rPr>
            </w:pPr>
          </w:p>
        </w:tc>
        <w:tc>
          <w:tcPr>
            <w:tcW w:w="2906" w:type="dxa"/>
            <w:vAlign w:val="center"/>
          </w:tcPr>
          <w:p w14:paraId="57FB4F8F">
            <w:pPr>
              <w:spacing w:line="300" w:lineRule="auto"/>
              <w:jc w:val="center"/>
              <w:rPr>
                <w:rFonts w:hAnsi="宋体" w:cs="宋体"/>
                <w:color w:val="auto"/>
                <w:sz w:val="21"/>
                <w:szCs w:val="21"/>
                <w:highlight w:val="none"/>
              </w:rPr>
            </w:pPr>
          </w:p>
        </w:tc>
        <w:tc>
          <w:tcPr>
            <w:tcW w:w="3128" w:type="dxa"/>
            <w:vAlign w:val="center"/>
          </w:tcPr>
          <w:p w14:paraId="757621B7">
            <w:pPr>
              <w:spacing w:line="300" w:lineRule="auto"/>
              <w:jc w:val="center"/>
              <w:rPr>
                <w:rFonts w:hAnsi="宋体" w:cs="宋体"/>
                <w:color w:val="auto"/>
                <w:sz w:val="21"/>
                <w:szCs w:val="21"/>
                <w:highlight w:val="none"/>
              </w:rPr>
            </w:pPr>
          </w:p>
        </w:tc>
        <w:tc>
          <w:tcPr>
            <w:tcW w:w="2036" w:type="dxa"/>
            <w:vAlign w:val="center"/>
          </w:tcPr>
          <w:p w14:paraId="33498A3F">
            <w:pPr>
              <w:spacing w:line="300" w:lineRule="auto"/>
              <w:jc w:val="center"/>
              <w:rPr>
                <w:rFonts w:hAnsi="宋体" w:cs="宋体"/>
                <w:color w:val="auto"/>
                <w:sz w:val="21"/>
                <w:szCs w:val="21"/>
                <w:highlight w:val="none"/>
              </w:rPr>
            </w:pPr>
          </w:p>
        </w:tc>
      </w:tr>
      <w:tr w14:paraId="6835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54449233">
            <w:pPr>
              <w:spacing w:line="300" w:lineRule="auto"/>
              <w:jc w:val="center"/>
              <w:rPr>
                <w:rFonts w:hAnsi="宋体" w:cs="宋体"/>
                <w:color w:val="auto"/>
                <w:sz w:val="21"/>
                <w:szCs w:val="21"/>
                <w:highlight w:val="none"/>
              </w:rPr>
            </w:pPr>
          </w:p>
        </w:tc>
        <w:tc>
          <w:tcPr>
            <w:tcW w:w="2906" w:type="dxa"/>
            <w:vAlign w:val="center"/>
          </w:tcPr>
          <w:p w14:paraId="774DE6DD">
            <w:pPr>
              <w:spacing w:line="300" w:lineRule="auto"/>
              <w:jc w:val="center"/>
              <w:rPr>
                <w:rFonts w:hAnsi="宋体" w:cs="宋体"/>
                <w:color w:val="auto"/>
                <w:sz w:val="21"/>
                <w:szCs w:val="21"/>
                <w:highlight w:val="none"/>
              </w:rPr>
            </w:pPr>
          </w:p>
        </w:tc>
        <w:tc>
          <w:tcPr>
            <w:tcW w:w="3128" w:type="dxa"/>
            <w:vAlign w:val="center"/>
          </w:tcPr>
          <w:p w14:paraId="247A9D2A">
            <w:pPr>
              <w:spacing w:line="300" w:lineRule="auto"/>
              <w:jc w:val="center"/>
              <w:rPr>
                <w:rFonts w:hAnsi="宋体" w:cs="宋体"/>
                <w:color w:val="auto"/>
                <w:sz w:val="21"/>
                <w:szCs w:val="21"/>
                <w:highlight w:val="none"/>
              </w:rPr>
            </w:pPr>
          </w:p>
        </w:tc>
        <w:tc>
          <w:tcPr>
            <w:tcW w:w="2036" w:type="dxa"/>
            <w:vAlign w:val="center"/>
          </w:tcPr>
          <w:p w14:paraId="4629675B">
            <w:pPr>
              <w:spacing w:line="300" w:lineRule="auto"/>
              <w:jc w:val="center"/>
              <w:rPr>
                <w:rFonts w:hAnsi="宋体" w:cs="宋体"/>
                <w:color w:val="auto"/>
                <w:sz w:val="21"/>
                <w:szCs w:val="21"/>
                <w:highlight w:val="none"/>
              </w:rPr>
            </w:pPr>
          </w:p>
        </w:tc>
      </w:tr>
      <w:tr w14:paraId="5E43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6C769CB9">
            <w:pPr>
              <w:spacing w:line="300" w:lineRule="auto"/>
              <w:jc w:val="center"/>
              <w:rPr>
                <w:rFonts w:hAnsi="宋体" w:cs="宋体"/>
                <w:color w:val="auto"/>
                <w:sz w:val="21"/>
                <w:szCs w:val="21"/>
                <w:highlight w:val="none"/>
              </w:rPr>
            </w:pPr>
          </w:p>
        </w:tc>
        <w:tc>
          <w:tcPr>
            <w:tcW w:w="2906" w:type="dxa"/>
            <w:vAlign w:val="center"/>
          </w:tcPr>
          <w:p w14:paraId="3FD54F6D">
            <w:pPr>
              <w:spacing w:line="300" w:lineRule="auto"/>
              <w:jc w:val="center"/>
              <w:rPr>
                <w:rFonts w:hAnsi="宋体" w:cs="宋体"/>
                <w:color w:val="auto"/>
                <w:sz w:val="21"/>
                <w:szCs w:val="21"/>
                <w:highlight w:val="none"/>
              </w:rPr>
            </w:pPr>
          </w:p>
        </w:tc>
        <w:tc>
          <w:tcPr>
            <w:tcW w:w="3128" w:type="dxa"/>
            <w:vAlign w:val="center"/>
          </w:tcPr>
          <w:p w14:paraId="21B1D70F">
            <w:pPr>
              <w:spacing w:line="300" w:lineRule="auto"/>
              <w:jc w:val="center"/>
              <w:rPr>
                <w:rFonts w:hAnsi="宋体" w:cs="宋体"/>
                <w:color w:val="auto"/>
                <w:sz w:val="21"/>
                <w:szCs w:val="21"/>
                <w:highlight w:val="none"/>
              </w:rPr>
            </w:pPr>
          </w:p>
        </w:tc>
        <w:tc>
          <w:tcPr>
            <w:tcW w:w="2036" w:type="dxa"/>
            <w:vAlign w:val="center"/>
          </w:tcPr>
          <w:p w14:paraId="69B830BA">
            <w:pPr>
              <w:spacing w:line="300" w:lineRule="auto"/>
              <w:jc w:val="center"/>
              <w:rPr>
                <w:rFonts w:hAnsi="宋体" w:cs="宋体"/>
                <w:color w:val="auto"/>
                <w:sz w:val="21"/>
                <w:szCs w:val="21"/>
                <w:highlight w:val="none"/>
              </w:rPr>
            </w:pPr>
          </w:p>
        </w:tc>
      </w:tr>
      <w:tr w14:paraId="102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49855E82">
            <w:pPr>
              <w:spacing w:line="300" w:lineRule="auto"/>
              <w:jc w:val="center"/>
              <w:rPr>
                <w:rFonts w:hAnsi="宋体" w:cs="宋体"/>
                <w:color w:val="auto"/>
                <w:sz w:val="21"/>
                <w:szCs w:val="21"/>
                <w:highlight w:val="none"/>
              </w:rPr>
            </w:pPr>
          </w:p>
        </w:tc>
        <w:tc>
          <w:tcPr>
            <w:tcW w:w="2906" w:type="dxa"/>
            <w:vAlign w:val="center"/>
          </w:tcPr>
          <w:p w14:paraId="691084B4">
            <w:pPr>
              <w:spacing w:line="300" w:lineRule="auto"/>
              <w:jc w:val="center"/>
              <w:rPr>
                <w:rFonts w:hAnsi="宋体" w:cs="宋体"/>
                <w:color w:val="auto"/>
                <w:sz w:val="21"/>
                <w:szCs w:val="21"/>
                <w:highlight w:val="none"/>
              </w:rPr>
            </w:pPr>
          </w:p>
        </w:tc>
        <w:tc>
          <w:tcPr>
            <w:tcW w:w="3128" w:type="dxa"/>
            <w:vAlign w:val="center"/>
          </w:tcPr>
          <w:p w14:paraId="380A82DD">
            <w:pPr>
              <w:spacing w:line="300" w:lineRule="auto"/>
              <w:jc w:val="center"/>
              <w:rPr>
                <w:rFonts w:hAnsi="宋体" w:cs="宋体"/>
                <w:color w:val="auto"/>
                <w:sz w:val="21"/>
                <w:szCs w:val="21"/>
                <w:highlight w:val="none"/>
              </w:rPr>
            </w:pPr>
          </w:p>
        </w:tc>
        <w:tc>
          <w:tcPr>
            <w:tcW w:w="2036" w:type="dxa"/>
            <w:vAlign w:val="center"/>
          </w:tcPr>
          <w:p w14:paraId="4BBD2301">
            <w:pPr>
              <w:spacing w:line="300" w:lineRule="auto"/>
              <w:jc w:val="center"/>
              <w:rPr>
                <w:rFonts w:hAnsi="宋体" w:cs="宋体"/>
                <w:color w:val="auto"/>
                <w:sz w:val="21"/>
                <w:szCs w:val="21"/>
                <w:highlight w:val="none"/>
              </w:rPr>
            </w:pPr>
          </w:p>
        </w:tc>
      </w:tr>
      <w:tr w14:paraId="6EA2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4C328FB6">
            <w:pPr>
              <w:spacing w:line="300" w:lineRule="auto"/>
              <w:jc w:val="center"/>
              <w:rPr>
                <w:rFonts w:hAnsi="宋体" w:cs="宋体"/>
                <w:color w:val="auto"/>
                <w:sz w:val="21"/>
                <w:szCs w:val="21"/>
                <w:highlight w:val="none"/>
              </w:rPr>
            </w:pPr>
          </w:p>
        </w:tc>
        <w:tc>
          <w:tcPr>
            <w:tcW w:w="2906" w:type="dxa"/>
            <w:vAlign w:val="center"/>
          </w:tcPr>
          <w:p w14:paraId="64526FAD">
            <w:pPr>
              <w:spacing w:line="300" w:lineRule="auto"/>
              <w:jc w:val="center"/>
              <w:rPr>
                <w:rFonts w:hAnsi="宋体" w:cs="宋体"/>
                <w:color w:val="auto"/>
                <w:sz w:val="21"/>
                <w:szCs w:val="21"/>
                <w:highlight w:val="none"/>
              </w:rPr>
            </w:pPr>
          </w:p>
        </w:tc>
        <w:tc>
          <w:tcPr>
            <w:tcW w:w="3128" w:type="dxa"/>
            <w:vAlign w:val="center"/>
          </w:tcPr>
          <w:p w14:paraId="7524C5B5">
            <w:pPr>
              <w:spacing w:line="300" w:lineRule="auto"/>
              <w:jc w:val="center"/>
              <w:rPr>
                <w:rFonts w:hAnsi="宋体" w:cs="宋体"/>
                <w:color w:val="auto"/>
                <w:sz w:val="21"/>
                <w:szCs w:val="21"/>
                <w:highlight w:val="none"/>
              </w:rPr>
            </w:pPr>
          </w:p>
        </w:tc>
        <w:tc>
          <w:tcPr>
            <w:tcW w:w="2036" w:type="dxa"/>
            <w:vAlign w:val="center"/>
          </w:tcPr>
          <w:p w14:paraId="7C146B44">
            <w:pPr>
              <w:spacing w:line="300" w:lineRule="auto"/>
              <w:jc w:val="center"/>
              <w:rPr>
                <w:rFonts w:hAnsi="宋体" w:cs="宋体"/>
                <w:color w:val="auto"/>
                <w:sz w:val="21"/>
                <w:szCs w:val="21"/>
                <w:highlight w:val="none"/>
              </w:rPr>
            </w:pPr>
          </w:p>
        </w:tc>
      </w:tr>
      <w:tr w14:paraId="0C1F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72511969">
            <w:pPr>
              <w:spacing w:line="300" w:lineRule="auto"/>
              <w:jc w:val="center"/>
              <w:rPr>
                <w:rFonts w:hAnsi="宋体" w:cs="宋体"/>
                <w:color w:val="auto"/>
                <w:sz w:val="21"/>
                <w:szCs w:val="21"/>
                <w:highlight w:val="none"/>
              </w:rPr>
            </w:pPr>
          </w:p>
        </w:tc>
        <w:tc>
          <w:tcPr>
            <w:tcW w:w="2906" w:type="dxa"/>
            <w:vAlign w:val="center"/>
          </w:tcPr>
          <w:p w14:paraId="1BA86C4C">
            <w:pPr>
              <w:spacing w:line="300" w:lineRule="auto"/>
              <w:jc w:val="center"/>
              <w:rPr>
                <w:rFonts w:hAnsi="宋体" w:cs="宋体"/>
                <w:color w:val="auto"/>
                <w:sz w:val="21"/>
                <w:szCs w:val="21"/>
                <w:highlight w:val="none"/>
              </w:rPr>
            </w:pPr>
          </w:p>
        </w:tc>
        <w:tc>
          <w:tcPr>
            <w:tcW w:w="3128" w:type="dxa"/>
            <w:vAlign w:val="center"/>
          </w:tcPr>
          <w:p w14:paraId="355323C8">
            <w:pPr>
              <w:spacing w:line="300" w:lineRule="auto"/>
              <w:jc w:val="center"/>
              <w:rPr>
                <w:rFonts w:hAnsi="宋体" w:cs="宋体"/>
                <w:color w:val="auto"/>
                <w:sz w:val="21"/>
                <w:szCs w:val="21"/>
                <w:highlight w:val="none"/>
              </w:rPr>
            </w:pPr>
          </w:p>
        </w:tc>
        <w:tc>
          <w:tcPr>
            <w:tcW w:w="2036" w:type="dxa"/>
            <w:vAlign w:val="center"/>
          </w:tcPr>
          <w:p w14:paraId="4F8E292D">
            <w:pPr>
              <w:spacing w:line="300" w:lineRule="auto"/>
              <w:jc w:val="center"/>
              <w:rPr>
                <w:rFonts w:hAnsi="宋体" w:cs="宋体"/>
                <w:color w:val="auto"/>
                <w:sz w:val="21"/>
                <w:szCs w:val="21"/>
                <w:highlight w:val="none"/>
              </w:rPr>
            </w:pPr>
          </w:p>
        </w:tc>
      </w:tr>
      <w:tr w14:paraId="3779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14:paraId="1B6BF3B1">
            <w:pPr>
              <w:spacing w:line="300" w:lineRule="auto"/>
              <w:jc w:val="center"/>
              <w:rPr>
                <w:rFonts w:hAnsi="宋体" w:cs="宋体"/>
                <w:color w:val="auto"/>
                <w:sz w:val="21"/>
                <w:szCs w:val="21"/>
                <w:highlight w:val="none"/>
              </w:rPr>
            </w:pPr>
          </w:p>
        </w:tc>
        <w:tc>
          <w:tcPr>
            <w:tcW w:w="2906" w:type="dxa"/>
            <w:vAlign w:val="center"/>
          </w:tcPr>
          <w:p w14:paraId="550E9E85">
            <w:pPr>
              <w:spacing w:line="300" w:lineRule="auto"/>
              <w:jc w:val="center"/>
              <w:rPr>
                <w:rFonts w:hAnsi="宋体" w:cs="宋体"/>
                <w:color w:val="auto"/>
                <w:sz w:val="21"/>
                <w:szCs w:val="21"/>
                <w:highlight w:val="none"/>
              </w:rPr>
            </w:pPr>
          </w:p>
        </w:tc>
        <w:tc>
          <w:tcPr>
            <w:tcW w:w="3128" w:type="dxa"/>
            <w:vAlign w:val="center"/>
          </w:tcPr>
          <w:p w14:paraId="11565EE1">
            <w:pPr>
              <w:spacing w:line="300" w:lineRule="auto"/>
              <w:jc w:val="center"/>
              <w:rPr>
                <w:rFonts w:hAnsi="宋体" w:cs="宋体"/>
                <w:color w:val="auto"/>
                <w:sz w:val="21"/>
                <w:szCs w:val="21"/>
                <w:highlight w:val="none"/>
              </w:rPr>
            </w:pPr>
          </w:p>
        </w:tc>
        <w:tc>
          <w:tcPr>
            <w:tcW w:w="2036" w:type="dxa"/>
            <w:vAlign w:val="center"/>
          </w:tcPr>
          <w:p w14:paraId="4D607649">
            <w:pPr>
              <w:spacing w:line="300" w:lineRule="auto"/>
              <w:jc w:val="center"/>
              <w:rPr>
                <w:rFonts w:hAnsi="宋体" w:cs="宋体"/>
                <w:color w:val="auto"/>
                <w:sz w:val="21"/>
                <w:szCs w:val="21"/>
                <w:highlight w:val="none"/>
              </w:rPr>
            </w:pPr>
          </w:p>
        </w:tc>
      </w:tr>
    </w:tbl>
    <w:p w14:paraId="498CC55E">
      <w:pPr>
        <w:spacing w:line="300" w:lineRule="auto"/>
        <w:jc w:val="both"/>
        <w:rPr>
          <w:rFonts w:hAnsi="宋体" w:cs="宋体"/>
          <w:color w:val="auto"/>
          <w:sz w:val="21"/>
          <w:szCs w:val="21"/>
          <w:highlight w:val="none"/>
        </w:rPr>
      </w:pPr>
    </w:p>
    <w:p w14:paraId="1D0D4B92">
      <w:pPr>
        <w:spacing w:line="300" w:lineRule="auto"/>
        <w:rPr>
          <w:rFonts w:hAnsi="宋体" w:cs="宋体"/>
          <w:color w:val="auto"/>
          <w:sz w:val="21"/>
          <w:szCs w:val="21"/>
          <w:highlight w:val="none"/>
        </w:rPr>
      </w:pPr>
      <w:r>
        <w:rPr>
          <w:rFonts w:hint="eastAsia" w:hAnsi="宋体" w:cs="宋体"/>
          <w:color w:val="auto"/>
          <w:sz w:val="21"/>
          <w:szCs w:val="21"/>
          <w:highlight w:val="none"/>
        </w:rPr>
        <w:t>注：行数不够可自行添加，有偏离请在技术偏离表中详细说明。</w:t>
      </w:r>
    </w:p>
    <w:p w14:paraId="0E87042B">
      <w:pPr>
        <w:spacing w:line="300" w:lineRule="auto"/>
        <w:jc w:val="center"/>
        <w:rPr>
          <w:rFonts w:hAnsi="宋体" w:cs="宋体"/>
          <w:color w:val="auto"/>
          <w:sz w:val="21"/>
          <w:szCs w:val="21"/>
          <w:highlight w:val="none"/>
        </w:rPr>
      </w:pPr>
    </w:p>
    <w:p w14:paraId="4DABFC96">
      <w:pPr>
        <w:spacing w:line="300" w:lineRule="auto"/>
        <w:ind w:firstLine="480" w:firstLineChars="200"/>
        <w:rPr>
          <w:rFonts w:hAnsi="宋体" w:cs="宋体"/>
          <w:color w:val="auto"/>
          <w:sz w:val="24"/>
          <w:highlight w:val="none"/>
        </w:rPr>
      </w:pPr>
      <w:r>
        <w:rPr>
          <w:rFonts w:hint="eastAsia" w:hAnsi="宋体" w:cs="宋体"/>
          <w:color w:val="auto"/>
          <w:sz w:val="24"/>
          <w:highlight w:val="none"/>
        </w:rPr>
        <w:t xml:space="preserve">供应商全称（加盖公章）：                </w:t>
      </w:r>
    </w:p>
    <w:p w14:paraId="0FDAC6C2">
      <w:pPr>
        <w:spacing w:line="300" w:lineRule="auto"/>
        <w:ind w:firstLine="480" w:firstLineChars="200"/>
        <w:jc w:val="center"/>
        <w:rPr>
          <w:rFonts w:hAnsi="宋体" w:cs="宋体"/>
          <w:color w:val="auto"/>
          <w:sz w:val="24"/>
          <w:highlight w:val="none"/>
        </w:rPr>
      </w:pPr>
    </w:p>
    <w:p w14:paraId="614AE776">
      <w:pPr>
        <w:spacing w:line="300" w:lineRule="auto"/>
        <w:ind w:firstLine="480" w:firstLineChars="200"/>
        <w:rPr>
          <w:rFonts w:hAnsi="宋体" w:cs="宋体"/>
          <w:color w:val="auto"/>
          <w:sz w:val="24"/>
          <w:highlight w:val="none"/>
        </w:rPr>
      </w:pPr>
      <w:r>
        <w:rPr>
          <w:rFonts w:hint="eastAsia" w:hAnsi="宋体" w:cs="宋体"/>
          <w:color w:val="auto"/>
          <w:sz w:val="24"/>
          <w:highlight w:val="none"/>
        </w:rPr>
        <w:t>法定代表人或其授权代表</w:t>
      </w:r>
      <w:r>
        <w:rPr>
          <w:rFonts w:hint="eastAsia" w:hAnsi="宋体" w:cs="宋体"/>
          <w:color w:val="auto"/>
          <w:sz w:val="24"/>
          <w:szCs w:val="24"/>
          <w:highlight w:val="none"/>
        </w:rPr>
        <w:t>（签字或盖章）</w:t>
      </w:r>
      <w:r>
        <w:rPr>
          <w:rFonts w:hint="eastAsia" w:hAnsi="宋体" w:cs="宋体"/>
          <w:color w:val="auto"/>
          <w:sz w:val="24"/>
          <w:highlight w:val="none"/>
        </w:rPr>
        <w:t>：</w:t>
      </w:r>
    </w:p>
    <w:p w14:paraId="1315F83D">
      <w:pPr>
        <w:spacing w:line="300" w:lineRule="auto"/>
        <w:jc w:val="center"/>
        <w:rPr>
          <w:rFonts w:hAnsi="宋体" w:cs="宋体"/>
          <w:color w:val="auto"/>
          <w:sz w:val="24"/>
          <w:highlight w:val="none"/>
        </w:rPr>
      </w:pPr>
    </w:p>
    <w:p w14:paraId="237725DD">
      <w:pPr>
        <w:rPr>
          <w:rFonts w:hAnsi="宋体" w:cs="宋体"/>
          <w:b/>
          <w:bCs/>
          <w:color w:val="auto"/>
          <w:kern w:val="2"/>
          <w:sz w:val="21"/>
          <w:szCs w:val="21"/>
          <w:highlight w:val="none"/>
        </w:rPr>
      </w:pPr>
      <w:r>
        <w:rPr>
          <w:rFonts w:hint="eastAsia" w:hAnsi="宋体" w:cs="宋体"/>
          <w:color w:val="auto"/>
          <w:sz w:val="24"/>
          <w:highlight w:val="none"/>
        </w:rPr>
        <w:t xml:space="preserve">                                  年     月     日</w:t>
      </w:r>
    </w:p>
    <w:bookmarkEnd w:id="149"/>
    <w:p w14:paraId="25B8AAAE">
      <w:pPr>
        <w:widowControl/>
        <w:rPr>
          <w:rFonts w:hAnsi="宋体" w:cs="宋体"/>
          <w:color w:val="auto"/>
          <w:sz w:val="30"/>
          <w:szCs w:val="30"/>
          <w:highlight w:val="none"/>
        </w:rPr>
      </w:pPr>
      <w:r>
        <w:rPr>
          <w:rFonts w:hint="eastAsia" w:hAnsi="宋体" w:cs="宋体"/>
          <w:color w:val="auto"/>
          <w:sz w:val="30"/>
          <w:szCs w:val="30"/>
          <w:highlight w:val="none"/>
        </w:rPr>
        <w:br w:type="page"/>
      </w:r>
    </w:p>
    <w:p w14:paraId="7B167EA1">
      <w:pPr>
        <w:pStyle w:val="2"/>
        <w:spacing w:beforeLines="100" w:after="0" w:line="360" w:lineRule="auto"/>
        <w:ind w:left="0" w:leftChars="0" w:hanging="680"/>
        <w:jc w:val="center"/>
        <w:rPr>
          <w:rFonts w:ascii="宋体" w:hAnsi="宋体"/>
          <w:b/>
          <w:color w:val="auto"/>
          <w:sz w:val="24"/>
          <w:szCs w:val="24"/>
          <w:highlight w:val="none"/>
        </w:rPr>
      </w:pPr>
      <w:r>
        <w:rPr>
          <w:rFonts w:hint="eastAsia" w:ascii="宋体" w:hAnsi="宋体"/>
          <w:color w:val="auto"/>
          <w:sz w:val="24"/>
          <w:szCs w:val="24"/>
          <w:highlight w:val="none"/>
        </w:rPr>
        <w:t>5.</w:t>
      </w:r>
      <w:r>
        <w:rPr>
          <w:rFonts w:hint="eastAsia" w:ascii="宋体" w:hAnsi="宋体"/>
          <w:b/>
          <w:color w:val="auto"/>
          <w:sz w:val="24"/>
          <w:szCs w:val="24"/>
          <w:highlight w:val="none"/>
        </w:rPr>
        <w:t>项目服务团队人员一览表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14:paraId="73FE41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6CC1810">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14:paraId="6DC766AC">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vAlign w:val="center"/>
          </w:tcPr>
          <w:p w14:paraId="082AB46D">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年龄</w:t>
            </w:r>
          </w:p>
        </w:tc>
        <w:tc>
          <w:tcPr>
            <w:tcW w:w="720" w:type="dxa"/>
            <w:tcBorders>
              <w:top w:val="single" w:color="000000" w:sz="4" w:space="0"/>
              <w:left w:val="single" w:color="000000" w:sz="4" w:space="0"/>
              <w:bottom w:val="single" w:color="000000" w:sz="4" w:space="0"/>
              <w:right w:val="single" w:color="000000" w:sz="4" w:space="0"/>
            </w:tcBorders>
            <w:vAlign w:val="center"/>
          </w:tcPr>
          <w:p w14:paraId="61E83AF7">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14:paraId="5C17ED78">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14:paraId="7C188149">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专业</w:t>
            </w:r>
          </w:p>
          <w:p w14:paraId="3A6B9B84">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年限</w:t>
            </w:r>
          </w:p>
        </w:tc>
        <w:tc>
          <w:tcPr>
            <w:tcW w:w="1080" w:type="dxa"/>
            <w:tcBorders>
              <w:top w:val="single" w:color="000000" w:sz="4" w:space="0"/>
              <w:left w:val="single" w:color="000000" w:sz="4" w:space="0"/>
              <w:bottom w:val="single" w:color="000000" w:sz="4" w:space="0"/>
              <w:right w:val="single" w:color="000000" w:sz="4" w:space="0"/>
            </w:tcBorders>
            <w:vAlign w:val="center"/>
          </w:tcPr>
          <w:p w14:paraId="43AFABE7">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职务</w:t>
            </w:r>
          </w:p>
          <w:p w14:paraId="7A37F9C9">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和职称</w:t>
            </w:r>
          </w:p>
        </w:tc>
        <w:tc>
          <w:tcPr>
            <w:tcW w:w="1680" w:type="dxa"/>
            <w:tcBorders>
              <w:top w:val="single" w:color="000000" w:sz="4" w:space="0"/>
              <w:left w:val="single" w:color="000000" w:sz="4" w:space="0"/>
              <w:bottom w:val="single" w:color="000000" w:sz="4" w:space="0"/>
              <w:right w:val="single" w:color="000000" w:sz="4" w:space="0"/>
            </w:tcBorders>
            <w:vAlign w:val="center"/>
          </w:tcPr>
          <w:p w14:paraId="77072F2A">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联系方式</w:t>
            </w:r>
          </w:p>
        </w:tc>
      </w:tr>
      <w:tr w14:paraId="7D631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2D14832">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D76F9E6">
            <w:pPr>
              <w:pStyle w:val="125"/>
              <w:widowControl w:val="0"/>
              <w:pBdr>
                <w:left w:val="none" w:color="auto" w:sz="0" w:space="0"/>
                <w:bottom w:val="none" w:color="auto" w:sz="0" w:space="0"/>
                <w:right w:val="none" w:color="auto" w:sz="0" w:space="0"/>
              </w:pBdr>
              <w:spacing w:before="0" w:beforeAutospacing="0" w:after="0" w:afterAutospacing="0" w:line="46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w:t>
            </w:r>
          </w:p>
        </w:tc>
        <w:tc>
          <w:tcPr>
            <w:tcW w:w="720" w:type="dxa"/>
            <w:tcBorders>
              <w:top w:val="single" w:color="000000" w:sz="4" w:space="0"/>
              <w:left w:val="single" w:color="000000" w:sz="4" w:space="0"/>
              <w:bottom w:val="single" w:color="000000" w:sz="4" w:space="0"/>
              <w:right w:val="single" w:color="000000" w:sz="4" w:space="0"/>
            </w:tcBorders>
            <w:vAlign w:val="center"/>
          </w:tcPr>
          <w:p w14:paraId="27201CA4">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18CFD75">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4B259CF">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A1F85A6">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3C45421">
            <w:pPr>
              <w:pStyle w:val="26"/>
              <w:spacing w:line="460" w:lineRule="exact"/>
              <w:ind w:left="8500"/>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2973E7B">
            <w:pPr>
              <w:spacing w:line="460" w:lineRule="exact"/>
              <w:rPr>
                <w:rFonts w:hAnsi="宋体" w:cs="宋体"/>
                <w:color w:val="auto"/>
                <w:sz w:val="22"/>
                <w:highlight w:val="none"/>
              </w:rPr>
            </w:pPr>
          </w:p>
        </w:tc>
      </w:tr>
      <w:tr w14:paraId="513615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5D8FD36">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65E89E8">
            <w:pPr>
              <w:spacing w:line="460" w:lineRule="exact"/>
              <w:jc w:val="center"/>
              <w:rPr>
                <w:rFonts w:hAnsi="宋体" w:cs="宋体"/>
                <w:color w:val="auto"/>
                <w:sz w:val="22"/>
                <w:highlight w:val="none"/>
              </w:rPr>
            </w:pPr>
            <w:r>
              <w:rPr>
                <w:rFonts w:hint="eastAsia" w:hAnsi="宋体" w:cs="宋体"/>
                <w:color w:val="auto"/>
                <w:sz w:val="22"/>
                <w:highlight w:val="none"/>
              </w:rPr>
              <w:t>驻场人员</w:t>
            </w:r>
          </w:p>
        </w:tc>
        <w:tc>
          <w:tcPr>
            <w:tcW w:w="720" w:type="dxa"/>
            <w:tcBorders>
              <w:top w:val="single" w:color="000000" w:sz="4" w:space="0"/>
              <w:left w:val="single" w:color="000000" w:sz="4" w:space="0"/>
              <w:bottom w:val="single" w:color="000000" w:sz="4" w:space="0"/>
              <w:right w:val="single" w:color="000000" w:sz="4" w:space="0"/>
            </w:tcBorders>
            <w:vAlign w:val="center"/>
          </w:tcPr>
          <w:p w14:paraId="1476A787">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A105BD1">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41F0332">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E32FC6E">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BAE045E">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070C98D">
            <w:pPr>
              <w:spacing w:line="460" w:lineRule="exact"/>
              <w:rPr>
                <w:rFonts w:hAnsi="宋体" w:cs="宋体"/>
                <w:color w:val="auto"/>
                <w:sz w:val="22"/>
                <w:highlight w:val="none"/>
              </w:rPr>
            </w:pPr>
          </w:p>
        </w:tc>
      </w:tr>
      <w:tr w14:paraId="0605F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5578BA8">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E7B80E5">
            <w:pPr>
              <w:spacing w:line="460" w:lineRule="exact"/>
              <w:jc w:val="center"/>
              <w:rPr>
                <w:rFonts w:hAnsi="宋体" w:cs="宋体"/>
                <w:color w:val="auto"/>
                <w:sz w:val="22"/>
                <w:highlight w:val="none"/>
              </w:rPr>
            </w:pPr>
            <w:r>
              <w:rPr>
                <w:rFonts w:hint="eastAsia" w:hAnsi="宋体" w:cs="宋体"/>
                <w:color w:val="auto"/>
                <w:sz w:val="22"/>
                <w:highlight w:val="none"/>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7E415E5">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1577EAC">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193095B">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16803E5">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0A7B6B9">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19C593F">
            <w:pPr>
              <w:spacing w:line="460" w:lineRule="exact"/>
              <w:rPr>
                <w:rFonts w:hAnsi="宋体" w:cs="宋体"/>
                <w:color w:val="auto"/>
                <w:sz w:val="22"/>
                <w:highlight w:val="none"/>
              </w:rPr>
            </w:pPr>
          </w:p>
        </w:tc>
      </w:tr>
      <w:tr w14:paraId="3A56B6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3301BA5">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17E03D3C">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0A7A019">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3DC6AE6">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AB73750">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F931093">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49C6308">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FD2F828">
            <w:pPr>
              <w:spacing w:line="460" w:lineRule="exact"/>
              <w:rPr>
                <w:rFonts w:hAnsi="宋体" w:cs="宋体"/>
                <w:color w:val="auto"/>
                <w:sz w:val="22"/>
                <w:highlight w:val="none"/>
              </w:rPr>
            </w:pPr>
          </w:p>
        </w:tc>
      </w:tr>
      <w:tr w14:paraId="5607FF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30B685FB">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4CC5361">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CB15075">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C79D074">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0E8E018">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FD17F6A">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1DCE416">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FEB149A">
            <w:pPr>
              <w:spacing w:line="460" w:lineRule="exact"/>
              <w:rPr>
                <w:rFonts w:hAnsi="宋体" w:cs="宋体"/>
                <w:color w:val="auto"/>
                <w:sz w:val="22"/>
                <w:highlight w:val="none"/>
              </w:rPr>
            </w:pPr>
          </w:p>
        </w:tc>
      </w:tr>
      <w:tr w14:paraId="75E753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23436162">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A11C3D7">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D8DDCA6">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D1BBA37">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DBFBF21">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DE4D2BF">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E7EBF62">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87E7768">
            <w:pPr>
              <w:spacing w:line="460" w:lineRule="exact"/>
              <w:rPr>
                <w:rFonts w:hAnsi="宋体" w:cs="宋体"/>
                <w:color w:val="auto"/>
                <w:sz w:val="22"/>
                <w:highlight w:val="none"/>
              </w:rPr>
            </w:pPr>
          </w:p>
        </w:tc>
      </w:tr>
      <w:tr w14:paraId="7DCDB3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3459C978">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1136192">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DED9CBA">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9A7D11A">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1E2D83">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97A74B9">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9E1AC8C">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367AC91">
            <w:pPr>
              <w:spacing w:line="460" w:lineRule="exact"/>
              <w:rPr>
                <w:rFonts w:hAnsi="宋体" w:cs="宋体"/>
                <w:color w:val="auto"/>
                <w:sz w:val="22"/>
                <w:highlight w:val="none"/>
              </w:rPr>
            </w:pPr>
          </w:p>
        </w:tc>
      </w:tr>
      <w:tr w14:paraId="582862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9A8A217">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B927113">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0731E74">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13A0322">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807AC1A">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22C42E4">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873E529">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6DC48D7">
            <w:pPr>
              <w:spacing w:line="460" w:lineRule="exact"/>
              <w:rPr>
                <w:rFonts w:hAnsi="宋体" w:cs="宋体"/>
                <w:color w:val="auto"/>
                <w:sz w:val="22"/>
                <w:highlight w:val="none"/>
              </w:rPr>
            </w:pPr>
          </w:p>
        </w:tc>
      </w:tr>
      <w:tr w14:paraId="23205C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A45AC51">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80D460A">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0295D6A">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5DFE83A">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FD044E3">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83DD28C">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B3A86CF">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F47AA6A">
            <w:pPr>
              <w:spacing w:line="460" w:lineRule="exact"/>
              <w:rPr>
                <w:rFonts w:hAnsi="宋体" w:cs="宋体"/>
                <w:color w:val="auto"/>
                <w:sz w:val="22"/>
                <w:highlight w:val="none"/>
              </w:rPr>
            </w:pPr>
          </w:p>
        </w:tc>
      </w:tr>
      <w:tr w14:paraId="7390C1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48B513B">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CFF30DE">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68B62B1">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E981A9F">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A45B503">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AD8078C">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9649716">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E386D02">
            <w:pPr>
              <w:spacing w:line="460" w:lineRule="exact"/>
              <w:rPr>
                <w:rFonts w:hAnsi="宋体" w:cs="宋体"/>
                <w:color w:val="auto"/>
                <w:sz w:val="22"/>
                <w:highlight w:val="none"/>
              </w:rPr>
            </w:pPr>
          </w:p>
        </w:tc>
      </w:tr>
      <w:tr w14:paraId="0D9FE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ED0CD77">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84C595E">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13C8D3C">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DA19723">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F86B3E8">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A645C9E">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5FAE37A">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3E7FF59">
            <w:pPr>
              <w:spacing w:line="460" w:lineRule="exact"/>
              <w:rPr>
                <w:rFonts w:hAnsi="宋体" w:cs="宋体"/>
                <w:color w:val="auto"/>
                <w:sz w:val="22"/>
                <w:highlight w:val="none"/>
              </w:rPr>
            </w:pPr>
          </w:p>
        </w:tc>
      </w:tr>
      <w:tr w14:paraId="629CE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89B6A5F">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9FE9E0B">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CACE571">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F2644A5">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3A76AA9">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2B91783">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F9973F6">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E731DB5">
            <w:pPr>
              <w:spacing w:line="460" w:lineRule="exact"/>
              <w:rPr>
                <w:rFonts w:hAnsi="宋体" w:cs="宋体"/>
                <w:color w:val="auto"/>
                <w:sz w:val="22"/>
                <w:highlight w:val="none"/>
              </w:rPr>
            </w:pPr>
          </w:p>
        </w:tc>
      </w:tr>
      <w:tr w14:paraId="62E2D4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E4E4583">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2192D89">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6BF4C78">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345DE22">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F9145FE">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C040187">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9E6BE70">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E7B4C82">
            <w:pPr>
              <w:spacing w:line="460" w:lineRule="exact"/>
              <w:rPr>
                <w:rFonts w:hAnsi="宋体" w:cs="宋体"/>
                <w:color w:val="auto"/>
                <w:sz w:val="22"/>
                <w:highlight w:val="none"/>
              </w:rPr>
            </w:pPr>
          </w:p>
        </w:tc>
      </w:tr>
      <w:tr w14:paraId="59F9C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C994673">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A9BA6AF">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1575645">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9E41E6E">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2449F36">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87356D1">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B65B157">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F1689A3">
            <w:pPr>
              <w:spacing w:line="460" w:lineRule="exact"/>
              <w:rPr>
                <w:rFonts w:hAnsi="宋体" w:cs="宋体"/>
                <w:color w:val="auto"/>
                <w:sz w:val="22"/>
                <w:highlight w:val="none"/>
              </w:rPr>
            </w:pPr>
          </w:p>
        </w:tc>
      </w:tr>
      <w:tr w14:paraId="55900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2678E545">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8E0F962">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BDEF124">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8160CAA">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7A369D4">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6935654">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CDE4E5F">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22B0770">
            <w:pPr>
              <w:spacing w:line="460" w:lineRule="exact"/>
              <w:rPr>
                <w:rFonts w:hAnsi="宋体" w:cs="宋体"/>
                <w:color w:val="auto"/>
                <w:sz w:val="22"/>
                <w:highlight w:val="none"/>
              </w:rPr>
            </w:pPr>
          </w:p>
        </w:tc>
      </w:tr>
      <w:tr w14:paraId="234C8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1DC50EEC">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98B0EA0">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2033B4D">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6028007">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2F5BB46">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DCFCCCD">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4494189">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D8CF2C3">
            <w:pPr>
              <w:spacing w:line="460" w:lineRule="exact"/>
              <w:rPr>
                <w:rFonts w:hAnsi="宋体" w:cs="宋体"/>
                <w:color w:val="auto"/>
                <w:sz w:val="22"/>
                <w:highlight w:val="none"/>
              </w:rPr>
            </w:pPr>
          </w:p>
        </w:tc>
      </w:tr>
    </w:tbl>
    <w:p w14:paraId="0892BE4C">
      <w:pPr>
        <w:spacing w:line="460" w:lineRule="atLeast"/>
        <w:rPr>
          <w:rFonts w:hAnsi="宋体" w:cs="宋体"/>
          <w:color w:val="auto"/>
          <w:sz w:val="21"/>
          <w:szCs w:val="21"/>
          <w:highlight w:val="none"/>
        </w:rPr>
      </w:pPr>
      <w:r>
        <w:rPr>
          <w:rFonts w:hint="eastAsia" w:hAnsi="宋体" w:cs="宋体"/>
          <w:color w:val="auto"/>
          <w:sz w:val="21"/>
          <w:szCs w:val="21"/>
          <w:highlight w:val="none"/>
        </w:rPr>
        <w:t>注：1.本表应附毕业证书、职称证书（或学位证书）、身份证、</w:t>
      </w:r>
      <w:r>
        <w:rPr>
          <w:rFonts w:hint="eastAsia" w:hAnsi="宋体" w:cs="宋体"/>
          <w:color w:val="auto"/>
          <w:kern w:val="2"/>
          <w:sz w:val="21"/>
          <w:szCs w:val="21"/>
          <w:highlight w:val="none"/>
        </w:rPr>
        <w:t>资质资格证书、职称证书、荣誉证书、社保证明</w:t>
      </w:r>
      <w:r>
        <w:rPr>
          <w:rFonts w:hint="eastAsia" w:hAnsi="宋体" w:cs="宋体"/>
          <w:color w:val="auto"/>
          <w:sz w:val="21"/>
          <w:szCs w:val="21"/>
          <w:highlight w:val="none"/>
        </w:rPr>
        <w:t>等证明文件复印件。</w:t>
      </w:r>
    </w:p>
    <w:p w14:paraId="1693AB6E">
      <w:pPr>
        <w:spacing w:line="460" w:lineRule="atLeast"/>
        <w:ind w:firstLine="420" w:firstLineChars="200"/>
        <w:rPr>
          <w:rFonts w:hAnsi="宋体" w:cs="宋体"/>
          <w:color w:val="auto"/>
          <w:sz w:val="21"/>
          <w:szCs w:val="21"/>
          <w:highlight w:val="none"/>
        </w:rPr>
      </w:pPr>
      <w:r>
        <w:rPr>
          <w:rFonts w:hint="eastAsia" w:hAnsi="宋体" w:cs="宋体"/>
          <w:color w:val="auto"/>
          <w:sz w:val="21"/>
          <w:szCs w:val="21"/>
          <w:highlight w:val="none"/>
        </w:rPr>
        <w:t>2.表格可以延续。</w:t>
      </w:r>
    </w:p>
    <w:p w14:paraId="5C717071">
      <w:pPr>
        <w:spacing w:line="460" w:lineRule="atLeast"/>
        <w:ind w:firstLine="480"/>
        <w:rPr>
          <w:rFonts w:hAnsi="宋体" w:cs="宋体"/>
          <w:color w:val="auto"/>
          <w:sz w:val="21"/>
          <w:szCs w:val="21"/>
          <w:highlight w:val="none"/>
        </w:rPr>
      </w:pPr>
    </w:p>
    <w:p w14:paraId="348D1A34">
      <w:pPr>
        <w:spacing w:line="30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供应商全称（加盖公章）：              </w:t>
      </w:r>
    </w:p>
    <w:p w14:paraId="051C1429">
      <w:pPr>
        <w:spacing w:line="300" w:lineRule="auto"/>
        <w:ind w:firstLine="420" w:firstLineChars="200"/>
        <w:jc w:val="center"/>
        <w:rPr>
          <w:rFonts w:hAnsi="宋体" w:cs="宋体"/>
          <w:color w:val="auto"/>
          <w:sz w:val="21"/>
          <w:szCs w:val="21"/>
          <w:highlight w:val="none"/>
        </w:rPr>
      </w:pPr>
    </w:p>
    <w:p w14:paraId="11EF815F">
      <w:pPr>
        <w:spacing w:line="30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251F7F2F">
      <w:pPr>
        <w:spacing w:line="300" w:lineRule="auto"/>
        <w:jc w:val="center"/>
        <w:rPr>
          <w:rFonts w:hAnsi="宋体" w:cs="宋体"/>
          <w:color w:val="auto"/>
          <w:sz w:val="21"/>
          <w:szCs w:val="21"/>
          <w:highlight w:val="none"/>
        </w:rPr>
      </w:pPr>
    </w:p>
    <w:p w14:paraId="074489C3">
      <w:pPr>
        <w:widowControl/>
        <w:autoSpaceDE/>
        <w:autoSpaceDN/>
        <w:adjustRightInd/>
        <w:textAlignment w:val="auto"/>
        <w:rPr>
          <w:rFonts w:hAnsi="宋体" w:cs="宋体"/>
          <w:color w:val="auto"/>
          <w:sz w:val="21"/>
          <w:szCs w:val="21"/>
          <w:highlight w:val="none"/>
        </w:rPr>
      </w:pPr>
      <w:r>
        <w:rPr>
          <w:rFonts w:hint="eastAsia" w:hAnsi="宋体" w:cs="宋体"/>
          <w:color w:val="auto"/>
          <w:sz w:val="21"/>
          <w:szCs w:val="21"/>
          <w:highlight w:val="none"/>
        </w:rPr>
        <w:t xml:space="preserve">                                 年     月     日</w:t>
      </w:r>
    </w:p>
    <w:p w14:paraId="71975195">
      <w:pPr>
        <w:pStyle w:val="2"/>
        <w:ind w:left="680"/>
        <w:rPr>
          <w:rFonts w:ascii="宋体" w:hAnsi="宋体"/>
          <w:color w:val="auto"/>
          <w:highlight w:val="none"/>
        </w:rPr>
      </w:pPr>
    </w:p>
    <w:p w14:paraId="22E2DA63">
      <w:pPr>
        <w:pStyle w:val="45"/>
        <w:ind w:firstLine="280"/>
        <w:rPr>
          <w:rFonts w:hAnsi="宋体" w:cs="宋体"/>
          <w:color w:val="auto"/>
          <w:highlight w:val="none"/>
        </w:rPr>
      </w:pPr>
      <w:r>
        <w:rPr>
          <w:rFonts w:hint="eastAsia" w:hAnsi="宋体" w:cs="宋体"/>
          <w:color w:val="auto"/>
          <w:highlight w:val="none"/>
        </w:rPr>
        <w:br w:type="page"/>
      </w:r>
    </w:p>
    <w:p w14:paraId="6BBB95F4">
      <w:pPr>
        <w:widowControl/>
        <w:autoSpaceDE/>
        <w:autoSpaceDN/>
        <w:adjustRightInd/>
        <w:textAlignment w:val="auto"/>
        <w:rPr>
          <w:rFonts w:hAnsi="宋体" w:cs="宋体"/>
          <w:color w:val="auto"/>
          <w:sz w:val="21"/>
          <w:szCs w:val="21"/>
          <w:highlight w:val="none"/>
        </w:rPr>
      </w:pPr>
    </w:p>
    <w:p w14:paraId="4B7FBC53">
      <w:pPr>
        <w:autoSpaceDE/>
        <w:autoSpaceDN/>
        <w:adjustRightInd/>
        <w:spacing w:line="460" w:lineRule="exact"/>
        <w:jc w:val="center"/>
        <w:textAlignment w:val="auto"/>
        <w:rPr>
          <w:rFonts w:hAnsi="宋体" w:cs="宋体"/>
          <w:b/>
          <w:color w:val="auto"/>
          <w:sz w:val="28"/>
          <w:highlight w:val="none"/>
        </w:rPr>
      </w:pPr>
      <w:r>
        <w:rPr>
          <w:rFonts w:hint="eastAsia" w:hAnsi="宋体" w:cs="宋体"/>
          <w:b/>
          <w:color w:val="auto"/>
          <w:sz w:val="28"/>
          <w:highlight w:val="none"/>
        </w:rPr>
        <w:t>6.商务条款偏离表</w:t>
      </w:r>
    </w:p>
    <w:p w14:paraId="60759105">
      <w:pPr>
        <w:pStyle w:val="42"/>
        <w:widowControl w:val="0"/>
        <w:ind w:firstLine="720" w:firstLineChars="300"/>
        <w:rPr>
          <w:color w:val="auto"/>
          <w:highlight w:val="none"/>
          <w:u w:val="single"/>
        </w:rPr>
      </w:pPr>
      <w:r>
        <w:rPr>
          <w:rFonts w:hint="eastAsia"/>
          <w:color w:val="auto"/>
          <w:highlight w:val="none"/>
        </w:rPr>
        <w:t>项目名称：           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14"/>
        <w:gridCol w:w="2101"/>
        <w:gridCol w:w="2029"/>
        <w:gridCol w:w="1501"/>
      </w:tblGrid>
      <w:tr w14:paraId="59C1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86" w:type="dxa"/>
            <w:vAlign w:val="center"/>
          </w:tcPr>
          <w:p w14:paraId="382CDD1D">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内容</w:t>
            </w:r>
          </w:p>
        </w:tc>
        <w:tc>
          <w:tcPr>
            <w:tcW w:w="914" w:type="dxa"/>
            <w:vAlign w:val="center"/>
          </w:tcPr>
          <w:p w14:paraId="5F21866E">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2101" w:type="dxa"/>
            <w:vAlign w:val="center"/>
          </w:tcPr>
          <w:p w14:paraId="01524343">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竞争性磋商文件的具体要求</w:t>
            </w:r>
          </w:p>
        </w:tc>
        <w:tc>
          <w:tcPr>
            <w:tcW w:w="2029" w:type="dxa"/>
            <w:vAlign w:val="center"/>
          </w:tcPr>
          <w:p w14:paraId="6DC1F9B3">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响应竞争性磋商文件的响应或承诺</w:t>
            </w:r>
          </w:p>
        </w:tc>
        <w:tc>
          <w:tcPr>
            <w:tcW w:w="1501" w:type="dxa"/>
            <w:vAlign w:val="center"/>
          </w:tcPr>
          <w:p w14:paraId="50181BEF">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说明</w:t>
            </w:r>
          </w:p>
        </w:tc>
      </w:tr>
      <w:tr w14:paraId="0A63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86" w:type="dxa"/>
            <w:vMerge w:val="restart"/>
            <w:vAlign w:val="center"/>
          </w:tcPr>
          <w:p w14:paraId="2FA61556">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商</w:t>
            </w:r>
          </w:p>
          <w:p w14:paraId="3DAE9AC7">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务</w:t>
            </w:r>
          </w:p>
          <w:p w14:paraId="4408186B">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条</w:t>
            </w:r>
          </w:p>
          <w:p w14:paraId="2B723973">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款</w:t>
            </w:r>
          </w:p>
        </w:tc>
        <w:tc>
          <w:tcPr>
            <w:tcW w:w="914" w:type="dxa"/>
            <w:vAlign w:val="center"/>
          </w:tcPr>
          <w:p w14:paraId="1A2D95B7">
            <w:pPr>
              <w:spacing w:line="380" w:lineRule="exact"/>
              <w:jc w:val="center"/>
              <w:rPr>
                <w:rFonts w:hAnsi="宋体" w:cs="宋体"/>
                <w:color w:val="auto"/>
                <w:sz w:val="21"/>
                <w:szCs w:val="21"/>
                <w:highlight w:val="none"/>
              </w:rPr>
            </w:pPr>
          </w:p>
        </w:tc>
        <w:tc>
          <w:tcPr>
            <w:tcW w:w="2101" w:type="dxa"/>
            <w:vAlign w:val="center"/>
          </w:tcPr>
          <w:p w14:paraId="64D2A7E0">
            <w:pPr>
              <w:spacing w:line="380" w:lineRule="exact"/>
              <w:jc w:val="center"/>
              <w:rPr>
                <w:rFonts w:hAnsi="宋体" w:cs="宋体"/>
                <w:color w:val="auto"/>
                <w:sz w:val="21"/>
                <w:szCs w:val="21"/>
                <w:highlight w:val="none"/>
              </w:rPr>
            </w:pPr>
          </w:p>
        </w:tc>
        <w:tc>
          <w:tcPr>
            <w:tcW w:w="2029" w:type="dxa"/>
            <w:vAlign w:val="center"/>
          </w:tcPr>
          <w:p w14:paraId="63264039">
            <w:pPr>
              <w:spacing w:line="380" w:lineRule="exact"/>
              <w:jc w:val="center"/>
              <w:rPr>
                <w:rFonts w:hAnsi="宋体" w:cs="宋体"/>
                <w:color w:val="auto"/>
                <w:sz w:val="21"/>
                <w:szCs w:val="21"/>
                <w:highlight w:val="none"/>
              </w:rPr>
            </w:pPr>
          </w:p>
        </w:tc>
        <w:tc>
          <w:tcPr>
            <w:tcW w:w="1501" w:type="dxa"/>
            <w:vAlign w:val="center"/>
          </w:tcPr>
          <w:p w14:paraId="07363494">
            <w:pPr>
              <w:spacing w:line="380" w:lineRule="exact"/>
              <w:jc w:val="center"/>
              <w:rPr>
                <w:rFonts w:hAnsi="宋体" w:cs="宋体"/>
                <w:color w:val="auto"/>
                <w:sz w:val="21"/>
                <w:szCs w:val="21"/>
                <w:highlight w:val="none"/>
              </w:rPr>
            </w:pPr>
          </w:p>
        </w:tc>
      </w:tr>
      <w:tr w14:paraId="58FC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73257BB2">
            <w:pPr>
              <w:spacing w:line="380" w:lineRule="exact"/>
              <w:jc w:val="center"/>
              <w:rPr>
                <w:rFonts w:hAnsi="宋体" w:cs="宋体"/>
                <w:color w:val="auto"/>
                <w:sz w:val="21"/>
                <w:szCs w:val="21"/>
                <w:highlight w:val="none"/>
              </w:rPr>
            </w:pPr>
          </w:p>
        </w:tc>
        <w:tc>
          <w:tcPr>
            <w:tcW w:w="914" w:type="dxa"/>
            <w:vAlign w:val="center"/>
          </w:tcPr>
          <w:p w14:paraId="36EC31D1">
            <w:pPr>
              <w:spacing w:line="380" w:lineRule="exact"/>
              <w:jc w:val="center"/>
              <w:rPr>
                <w:rFonts w:hAnsi="宋体" w:cs="宋体"/>
                <w:color w:val="auto"/>
                <w:sz w:val="21"/>
                <w:szCs w:val="21"/>
                <w:highlight w:val="none"/>
              </w:rPr>
            </w:pPr>
          </w:p>
        </w:tc>
        <w:tc>
          <w:tcPr>
            <w:tcW w:w="2101" w:type="dxa"/>
            <w:vAlign w:val="center"/>
          </w:tcPr>
          <w:p w14:paraId="617C649D">
            <w:pPr>
              <w:spacing w:line="380" w:lineRule="exact"/>
              <w:jc w:val="center"/>
              <w:rPr>
                <w:rFonts w:hAnsi="宋体" w:cs="宋体"/>
                <w:color w:val="auto"/>
                <w:sz w:val="21"/>
                <w:szCs w:val="21"/>
                <w:highlight w:val="none"/>
              </w:rPr>
            </w:pPr>
          </w:p>
        </w:tc>
        <w:tc>
          <w:tcPr>
            <w:tcW w:w="2029" w:type="dxa"/>
            <w:vAlign w:val="center"/>
          </w:tcPr>
          <w:p w14:paraId="1EE3BEFB">
            <w:pPr>
              <w:spacing w:line="380" w:lineRule="exact"/>
              <w:jc w:val="center"/>
              <w:rPr>
                <w:rFonts w:hAnsi="宋体" w:cs="宋体"/>
                <w:color w:val="auto"/>
                <w:sz w:val="21"/>
                <w:szCs w:val="21"/>
                <w:highlight w:val="none"/>
              </w:rPr>
            </w:pPr>
          </w:p>
        </w:tc>
        <w:tc>
          <w:tcPr>
            <w:tcW w:w="1501" w:type="dxa"/>
            <w:vAlign w:val="center"/>
          </w:tcPr>
          <w:p w14:paraId="5CCF0EAB">
            <w:pPr>
              <w:spacing w:line="380" w:lineRule="exact"/>
              <w:jc w:val="center"/>
              <w:rPr>
                <w:rFonts w:hAnsi="宋体" w:cs="宋体"/>
                <w:color w:val="auto"/>
                <w:sz w:val="21"/>
                <w:szCs w:val="21"/>
                <w:highlight w:val="none"/>
              </w:rPr>
            </w:pPr>
          </w:p>
        </w:tc>
      </w:tr>
      <w:tr w14:paraId="4630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26B34E27">
            <w:pPr>
              <w:spacing w:line="380" w:lineRule="exact"/>
              <w:jc w:val="center"/>
              <w:rPr>
                <w:rFonts w:hAnsi="宋体" w:cs="宋体"/>
                <w:color w:val="auto"/>
                <w:sz w:val="21"/>
                <w:szCs w:val="21"/>
                <w:highlight w:val="none"/>
              </w:rPr>
            </w:pPr>
          </w:p>
        </w:tc>
        <w:tc>
          <w:tcPr>
            <w:tcW w:w="914" w:type="dxa"/>
            <w:vAlign w:val="center"/>
          </w:tcPr>
          <w:p w14:paraId="2E2D5BD6">
            <w:pPr>
              <w:spacing w:line="380" w:lineRule="exact"/>
              <w:jc w:val="center"/>
              <w:rPr>
                <w:rFonts w:hAnsi="宋体" w:cs="宋体"/>
                <w:color w:val="auto"/>
                <w:sz w:val="21"/>
                <w:szCs w:val="21"/>
                <w:highlight w:val="none"/>
              </w:rPr>
            </w:pPr>
          </w:p>
        </w:tc>
        <w:tc>
          <w:tcPr>
            <w:tcW w:w="2101" w:type="dxa"/>
            <w:vAlign w:val="center"/>
          </w:tcPr>
          <w:p w14:paraId="2E8C872A">
            <w:pPr>
              <w:spacing w:line="380" w:lineRule="exact"/>
              <w:jc w:val="center"/>
              <w:rPr>
                <w:rFonts w:hAnsi="宋体" w:cs="宋体"/>
                <w:color w:val="auto"/>
                <w:sz w:val="21"/>
                <w:szCs w:val="21"/>
                <w:highlight w:val="none"/>
              </w:rPr>
            </w:pPr>
          </w:p>
        </w:tc>
        <w:tc>
          <w:tcPr>
            <w:tcW w:w="2029" w:type="dxa"/>
            <w:vAlign w:val="center"/>
          </w:tcPr>
          <w:p w14:paraId="74588817">
            <w:pPr>
              <w:spacing w:line="380" w:lineRule="exact"/>
              <w:jc w:val="center"/>
              <w:rPr>
                <w:rFonts w:hAnsi="宋体" w:cs="宋体"/>
                <w:color w:val="auto"/>
                <w:sz w:val="21"/>
                <w:szCs w:val="21"/>
                <w:highlight w:val="none"/>
              </w:rPr>
            </w:pPr>
          </w:p>
        </w:tc>
        <w:tc>
          <w:tcPr>
            <w:tcW w:w="1501" w:type="dxa"/>
            <w:vAlign w:val="center"/>
          </w:tcPr>
          <w:p w14:paraId="2C0D7FB5">
            <w:pPr>
              <w:spacing w:line="380" w:lineRule="exact"/>
              <w:jc w:val="center"/>
              <w:rPr>
                <w:rFonts w:hAnsi="宋体" w:cs="宋体"/>
                <w:color w:val="auto"/>
                <w:sz w:val="21"/>
                <w:szCs w:val="21"/>
                <w:highlight w:val="none"/>
              </w:rPr>
            </w:pPr>
          </w:p>
        </w:tc>
      </w:tr>
      <w:tr w14:paraId="5069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14:paraId="7B4C0274">
            <w:pPr>
              <w:spacing w:line="380" w:lineRule="exact"/>
              <w:jc w:val="center"/>
              <w:rPr>
                <w:rFonts w:hAnsi="宋体" w:cs="宋体"/>
                <w:color w:val="auto"/>
                <w:sz w:val="21"/>
                <w:szCs w:val="21"/>
                <w:highlight w:val="none"/>
              </w:rPr>
            </w:pPr>
          </w:p>
        </w:tc>
        <w:tc>
          <w:tcPr>
            <w:tcW w:w="914" w:type="dxa"/>
            <w:vAlign w:val="center"/>
          </w:tcPr>
          <w:p w14:paraId="67EDE966">
            <w:pPr>
              <w:spacing w:line="380" w:lineRule="exact"/>
              <w:jc w:val="center"/>
              <w:rPr>
                <w:rFonts w:hAnsi="宋体" w:cs="宋体"/>
                <w:color w:val="auto"/>
                <w:sz w:val="21"/>
                <w:szCs w:val="21"/>
                <w:highlight w:val="none"/>
              </w:rPr>
            </w:pPr>
          </w:p>
        </w:tc>
        <w:tc>
          <w:tcPr>
            <w:tcW w:w="2101" w:type="dxa"/>
            <w:vAlign w:val="center"/>
          </w:tcPr>
          <w:p w14:paraId="0611EBA8">
            <w:pPr>
              <w:spacing w:line="380" w:lineRule="exact"/>
              <w:jc w:val="center"/>
              <w:rPr>
                <w:rFonts w:hAnsi="宋体" w:cs="宋体"/>
                <w:color w:val="auto"/>
                <w:sz w:val="21"/>
                <w:szCs w:val="21"/>
                <w:highlight w:val="none"/>
              </w:rPr>
            </w:pPr>
          </w:p>
        </w:tc>
        <w:tc>
          <w:tcPr>
            <w:tcW w:w="2029" w:type="dxa"/>
            <w:vAlign w:val="center"/>
          </w:tcPr>
          <w:p w14:paraId="0393DB6C">
            <w:pPr>
              <w:spacing w:line="380" w:lineRule="exact"/>
              <w:jc w:val="center"/>
              <w:rPr>
                <w:rFonts w:hAnsi="宋体" w:cs="宋体"/>
                <w:color w:val="auto"/>
                <w:sz w:val="21"/>
                <w:szCs w:val="21"/>
                <w:highlight w:val="none"/>
              </w:rPr>
            </w:pPr>
          </w:p>
        </w:tc>
        <w:tc>
          <w:tcPr>
            <w:tcW w:w="1501" w:type="dxa"/>
            <w:vAlign w:val="center"/>
          </w:tcPr>
          <w:p w14:paraId="06350D5E">
            <w:pPr>
              <w:spacing w:line="380" w:lineRule="exact"/>
              <w:jc w:val="center"/>
              <w:rPr>
                <w:rFonts w:hAnsi="宋体" w:cs="宋体"/>
                <w:color w:val="auto"/>
                <w:sz w:val="21"/>
                <w:szCs w:val="21"/>
                <w:highlight w:val="none"/>
              </w:rPr>
            </w:pPr>
          </w:p>
        </w:tc>
      </w:tr>
    </w:tbl>
    <w:p w14:paraId="51654A42">
      <w:pPr>
        <w:pStyle w:val="24"/>
        <w:spacing w:line="360" w:lineRule="auto"/>
        <w:rPr>
          <w:rFonts w:hAnsi="宋体" w:cs="宋体"/>
          <w:color w:val="auto"/>
          <w:highlight w:val="none"/>
        </w:rPr>
      </w:pPr>
    </w:p>
    <w:p w14:paraId="025F0EC5">
      <w:pPr>
        <w:pStyle w:val="24"/>
        <w:spacing w:line="360" w:lineRule="auto"/>
        <w:rPr>
          <w:rFonts w:hAnsi="宋体" w:cs="宋体"/>
          <w:color w:val="auto"/>
          <w:sz w:val="24"/>
          <w:szCs w:val="24"/>
          <w:highlight w:val="none"/>
        </w:rPr>
      </w:pPr>
      <w:r>
        <w:rPr>
          <w:rFonts w:hint="eastAsia" w:hAnsi="宋体" w:cs="宋体"/>
          <w:color w:val="auto"/>
          <w:sz w:val="24"/>
          <w:szCs w:val="24"/>
          <w:highlight w:val="none"/>
        </w:rPr>
        <w:t>说明：1.各供应商可根据自身的具体情况，自行填写其他承诺事项。</w:t>
      </w:r>
    </w:p>
    <w:p w14:paraId="356A6162">
      <w:pPr>
        <w:pStyle w:val="24"/>
        <w:spacing w:line="360" w:lineRule="auto"/>
        <w:rPr>
          <w:rFonts w:hAnsi="宋体" w:cs="宋体"/>
          <w:color w:val="auto"/>
          <w:sz w:val="24"/>
          <w:szCs w:val="24"/>
          <w:highlight w:val="none"/>
        </w:rPr>
      </w:pPr>
      <w:r>
        <w:rPr>
          <w:rFonts w:hint="eastAsia" w:hAnsi="宋体" w:cs="宋体"/>
          <w:color w:val="auto"/>
          <w:sz w:val="24"/>
          <w:szCs w:val="24"/>
          <w:highlight w:val="none"/>
        </w:rPr>
        <w:t>   2.供应商的承诺内容须具体明确。响应情况分别为：正偏离、响应或负偏离。供应商可在备注栏内就偏离原因进行简要说明。</w:t>
      </w:r>
    </w:p>
    <w:p w14:paraId="40DA4F5C">
      <w:pPr>
        <w:pStyle w:val="24"/>
        <w:spacing w:line="360" w:lineRule="auto"/>
        <w:ind w:firstLine="720" w:firstLineChars="300"/>
        <w:rPr>
          <w:rFonts w:hAnsi="宋体" w:cs="宋体"/>
          <w:color w:val="auto"/>
          <w:sz w:val="24"/>
          <w:szCs w:val="24"/>
          <w:highlight w:val="none"/>
        </w:rPr>
      </w:pPr>
    </w:p>
    <w:p w14:paraId="0759A66F">
      <w:pPr>
        <w:pStyle w:val="24"/>
        <w:snapToGrid w:val="0"/>
        <w:spacing w:line="360" w:lineRule="auto"/>
        <w:rPr>
          <w:rFonts w:hAnsi="宋体" w:cs="宋体"/>
          <w:color w:val="auto"/>
          <w:sz w:val="24"/>
          <w:szCs w:val="24"/>
          <w:highlight w:val="none"/>
        </w:rPr>
      </w:pPr>
      <w:r>
        <w:rPr>
          <w:rFonts w:hint="eastAsia" w:hAnsi="宋体" w:cs="宋体"/>
          <w:color w:val="auto"/>
          <w:sz w:val="24"/>
          <w:szCs w:val="24"/>
          <w:highlight w:val="none"/>
        </w:rPr>
        <w:t>供应商（公章）：__________________________</w:t>
      </w:r>
    </w:p>
    <w:p w14:paraId="489E95EA">
      <w:pPr>
        <w:pStyle w:val="24"/>
        <w:snapToGrid w:val="0"/>
        <w:spacing w:line="360" w:lineRule="auto"/>
        <w:rPr>
          <w:rFonts w:hAnsi="宋体" w:cs="宋体"/>
          <w:color w:val="auto"/>
          <w:sz w:val="24"/>
          <w:szCs w:val="24"/>
          <w:highlight w:val="none"/>
        </w:rPr>
      </w:pPr>
      <w:r>
        <w:rPr>
          <w:rFonts w:hint="eastAsia" w:hAnsi="宋体" w:cs="宋体"/>
          <w:color w:val="auto"/>
          <w:sz w:val="24"/>
          <w:szCs w:val="24"/>
          <w:highlight w:val="none"/>
        </w:rPr>
        <w:t>法定代表人或其授权代表（签字或盖章）：__________________</w:t>
      </w:r>
    </w:p>
    <w:p w14:paraId="09017879">
      <w:pPr>
        <w:snapToGrid w:val="0"/>
        <w:spacing w:line="480" w:lineRule="auto"/>
        <w:rPr>
          <w:rFonts w:hAnsi="宋体" w:cs="宋体"/>
          <w:color w:val="auto"/>
          <w:sz w:val="24"/>
          <w:szCs w:val="24"/>
          <w:highlight w:val="none"/>
        </w:rPr>
      </w:pPr>
      <w:r>
        <w:rPr>
          <w:rFonts w:hint="eastAsia" w:hAnsi="宋体" w:cs="宋体"/>
          <w:color w:val="auto"/>
          <w:sz w:val="24"/>
          <w:szCs w:val="24"/>
          <w:highlight w:val="none"/>
        </w:rPr>
        <w:t>日期：年____月____日</w:t>
      </w:r>
    </w:p>
    <w:p w14:paraId="0445C865">
      <w:pPr>
        <w:pStyle w:val="2"/>
        <w:ind w:left="680"/>
        <w:rPr>
          <w:rFonts w:ascii="宋体" w:hAnsi="宋体"/>
          <w:color w:val="auto"/>
          <w:sz w:val="24"/>
          <w:szCs w:val="24"/>
          <w:highlight w:val="none"/>
        </w:rPr>
      </w:pPr>
    </w:p>
    <w:p w14:paraId="3E710589">
      <w:pPr>
        <w:rPr>
          <w:rFonts w:hAnsi="宋体" w:cs="宋体"/>
          <w:color w:val="auto"/>
          <w:sz w:val="24"/>
          <w:szCs w:val="24"/>
          <w:highlight w:val="none"/>
        </w:rPr>
      </w:pPr>
    </w:p>
    <w:p w14:paraId="79CC88FE">
      <w:pPr>
        <w:pStyle w:val="2"/>
        <w:ind w:left="680"/>
        <w:rPr>
          <w:rFonts w:ascii="宋体" w:hAnsi="宋体"/>
          <w:color w:val="auto"/>
          <w:sz w:val="24"/>
          <w:szCs w:val="24"/>
          <w:highlight w:val="none"/>
        </w:rPr>
      </w:pPr>
    </w:p>
    <w:p w14:paraId="406C1FE4">
      <w:pPr>
        <w:rPr>
          <w:rFonts w:hAnsi="宋体" w:cs="宋体"/>
          <w:color w:val="auto"/>
          <w:sz w:val="24"/>
          <w:szCs w:val="24"/>
          <w:highlight w:val="none"/>
        </w:rPr>
      </w:pPr>
    </w:p>
    <w:p w14:paraId="3C25959A">
      <w:pPr>
        <w:pStyle w:val="2"/>
        <w:ind w:left="680"/>
        <w:rPr>
          <w:rFonts w:ascii="宋体" w:hAnsi="宋体"/>
          <w:color w:val="auto"/>
          <w:sz w:val="24"/>
          <w:szCs w:val="24"/>
          <w:highlight w:val="none"/>
        </w:rPr>
      </w:pPr>
    </w:p>
    <w:p w14:paraId="480B51B6">
      <w:pPr>
        <w:rPr>
          <w:rFonts w:hAnsi="宋体" w:cs="宋体"/>
          <w:color w:val="auto"/>
          <w:sz w:val="24"/>
          <w:szCs w:val="24"/>
          <w:highlight w:val="none"/>
        </w:rPr>
      </w:pPr>
    </w:p>
    <w:p w14:paraId="7526AD3E">
      <w:pPr>
        <w:pStyle w:val="2"/>
        <w:ind w:left="680"/>
        <w:rPr>
          <w:rFonts w:ascii="宋体" w:hAnsi="宋体"/>
          <w:color w:val="auto"/>
          <w:sz w:val="24"/>
          <w:szCs w:val="24"/>
          <w:highlight w:val="none"/>
        </w:rPr>
      </w:pPr>
    </w:p>
    <w:p w14:paraId="4561ECDA">
      <w:pPr>
        <w:rPr>
          <w:rFonts w:hAnsi="宋体" w:cs="宋体"/>
          <w:color w:val="auto"/>
          <w:sz w:val="24"/>
          <w:szCs w:val="24"/>
          <w:highlight w:val="none"/>
        </w:rPr>
      </w:pPr>
    </w:p>
    <w:p w14:paraId="361BEE1C">
      <w:pPr>
        <w:pStyle w:val="2"/>
        <w:ind w:left="680"/>
        <w:rPr>
          <w:rFonts w:ascii="宋体" w:hAnsi="宋体"/>
          <w:color w:val="auto"/>
          <w:sz w:val="24"/>
          <w:szCs w:val="24"/>
          <w:highlight w:val="none"/>
        </w:rPr>
      </w:pPr>
    </w:p>
    <w:p w14:paraId="2A7C5D6D">
      <w:pPr>
        <w:rPr>
          <w:rFonts w:hAnsi="宋体" w:cs="宋体"/>
          <w:color w:val="auto"/>
          <w:highlight w:val="none"/>
        </w:rPr>
      </w:pPr>
    </w:p>
    <w:p w14:paraId="54366284">
      <w:pPr>
        <w:snapToGrid w:val="0"/>
        <w:spacing w:before="50" w:after="50"/>
        <w:jc w:val="center"/>
        <w:rPr>
          <w:rFonts w:hAnsi="宋体" w:cs="宋体"/>
          <w:b/>
          <w:bCs/>
          <w:color w:val="auto"/>
          <w:sz w:val="24"/>
          <w:highlight w:val="none"/>
        </w:rPr>
      </w:pPr>
      <w:bookmarkStart w:id="171" w:name="_Toc237414030"/>
      <w:bookmarkStart w:id="172" w:name="_Toc361092710"/>
      <w:bookmarkStart w:id="173" w:name="_Toc256682238"/>
      <w:bookmarkStart w:id="174" w:name="_Toc256507110"/>
      <w:bookmarkStart w:id="175" w:name="_Toc256507276"/>
      <w:bookmarkStart w:id="176" w:name="_Toc237193473"/>
      <w:bookmarkStart w:id="177" w:name="_Toc237189802"/>
      <w:bookmarkStart w:id="178" w:name="_Toc237340129"/>
      <w:bookmarkStart w:id="179" w:name="_Toc255551952"/>
      <w:bookmarkStart w:id="180" w:name="_Toc237413935"/>
      <w:bookmarkStart w:id="181" w:name="_Toc237182521"/>
      <w:r>
        <w:rPr>
          <w:rFonts w:hint="eastAsia" w:hAnsi="宋体" w:cs="宋体"/>
          <w:b/>
          <w:color w:val="auto"/>
          <w:sz w:val="24"/>
          <w:szCs w:val="24"/>
          <w:highlight w:val="none"/>
        </w:rPr>
        <w:t>7</w:t>
      </w:r>
      <w:r>
        <w:rPr>
          <w:rFonts w:hint="eastAsia" w:hAnsi="宋体" w:cs="宋体"/>
          <w:b/>
          <w:bCs/>
          <w:color w:val="auto"/>
          <w:sz w:val="24"/>
          <w:highlight w:val="none"/>
        </w:rPr>
        <w:t>.2022年1月1日以来至今同类项目服务业绩</w:t>
      </w:r>
      <w:bookmarkEnd w:id="171"/>
      <w:bookmarkEnd w:id="172"/>
      <w:bookmarkEnd w:id="173"/>
      <w:bookmarkEnd w:id="174"/>
      <w:bookmarkEnd w:id="175"/>
      <w:bookmarkEnd w:id="176"/>
      <w:bookmarkEnd w:id="177"/>
      <w:bookmarkEnd w:id="178"/>
      <w:bookmarkEnd w:id="179"/>
      <w:bookmarkEnd w:id="180"/>
      <w:bookmarkEnd w:id="181"/>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28"/>
        <w:gridCol w:w="2545"/>
        <w:gridCol w:w="1791"/>
        <w:gridCol w:w="1602"/>
        <w:gridCol w:w="901"/>
      </w:tblGrid>
      <w:tr w14:paraId="0F61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D9C2A4">
            <w:pPr>
              <w:widowControl/>
              <w:snapToGrid w:val="0"/>
              <w:jc w:val="center"/>
              <w:rPr>
                <w:rFonts w:hAnsi="宋体" w:cs="宋体"/>
                <w:color w:val="auto"/>
                <w:sz w:val="24"/>
                <w:highlight w:val="none"/>
              </w:rPr>
            </w:pPr>
            <w:r>
              <w:rPr>
                <w:rFonts w:hint="eastAsia" w:hAnsi="宋体" w:cs="宋体"/>
                <w:color w:val="auto"/>
                <w:sz w:val="24"/>
                <w:highlight w:val="none"/>
              </w:rPr>
              <w:t>序号</w:t>
            </w:r>
          </w:p>
        </w:tc>
        <w:tc>
          <w:tcPr>
            <w:tcW w:w="1828" w:type="dxa"/>
            <w:tcBorders>
              <w:top w:val="single" w:color="auto" w:sz="4" w:space="0"/>
              <w:left w:val="single" w:color="auto" w:sz="4" w:space="0"/>
              <w:bottom w:val="single" w:color="auto" w:sz="4" w:space="0"/>
              <w:right w:val="single" w:color="auto" w:sz="4" w:space="0"/>
            </w:tcBorders>
            <w:vAlign w:val="center"/>
          </w:tcPr>
          <w:p w14:paraId="75B886D5">
            <w:pPr>
              <w:widowControl/>
              <w:snapToGrid w:val="0"/>
              <w:jc w:val="center"/>
              <w:rPr>
                <w:rFonts w:hAnsi="宋体" w:cs="宋体"/>
                <w:color w:val="auto"/>
                <w:sz w:val="24"/>
                <w:highlight w:val="none"/>
              </w:rPr>
            </w:pPr>
            <w:r>
              <w:rPr>
                <w:rFonts w:hint="eastAsia" w:hAnsi="宋体" w:cs="宋体"/>
                <w:color w:val="auto"/>
                <w:sz w:val="24"/>
                <w:highlight w:val="none"/>
              </w:rPr>
              <w:t>项 目 名 称</w:t>
            </w:r>
          </w:p>
        </w:tc>
        <w:tc>
          <w:tcPr>
            <w:tcW w:w="2545" w:type="dxa"/>
            <w:tcBorders>
              <w:top w:val="single" w:color="auto" w:sz="4" w:space="0"/>
              <w:left w:val="single" w:color="auto" w:sz="4" w:space="0"/>
              <w:bottom w:val="single" w:color="auto" w:sz="4" w:space="0"/>
              <w:right w:val="single" w:color="auto" w:sz="4" w:space="0"/>
            </w:tcBorders>
            <w:vAlign w:val="center"/>
          </w:tcPr>
          <w:p w14:paraId="40F823C0">
            <w:pPr>
              <w:widowControl/>
              <w:snapToGrid w:val="0"/>
              <w:jc w:val="center"/>
              <w:rPr>
                <w:rFonts w:hAnsi="宋体" w:cs="宋体"/>
                <w:color w:val="auto"/>
                <w:sz w:val="24"/>
                <w:highlight w:val="none"/>
              </w:rPr>
            </w:pPr>
            <w:r>
              <w:rPr>
                <w:rFonts w:hint="eastAsia" w:hAnsi="宋体" w:cs="宋体"/>
                <w:color w:val="auto"/>
                <w:sz w:val="24"/>
                <w:highlight w:val="none"/>
              </w:rPr>
              <w:t>项目起止时间</w:t>
            </w:r>
          </w:p>
        </w:tc>
        <w:tc>
          <w:tcPr>
            <w:tcW w:w="1791" w:type="dxa"/>
            <w:tcBorders>
              <w:top w:val="single" w:color="auto" w:sz="4" w:space="0"/>
              <w:left w:val="single" w:color="auto" w:sz="4" w:space="0"/>
              <w:bottom w:val="single" w:color="auto" w:sz="4" w:space="0"/>
              <w:right w:val="single" w:color="auto" w:sz="4" w:space="0"/>
            </w:tcBorders>
            <w:vAlign w:val="center"/>
          </w:tcPr>
          <w:p w14:paraId="1F4FB50E">
            <w:pPr>
              <w:widowControl/>
              <w:snapToGrid w:val="0"/>
              <w:jc w:val="center"/>
              <w:rPr>
                <w:rFonts w:hAnsi="宋体" w:cs="宋体"/>
                <w:color w:val="auto"/>
                <w:sz w:val="24"/>
                <w:highlight w:val="none"/>
              </w:rPr>
            </w:pPr>
            <w:r>
              <w:rPr>
                <w:rFonts w:hint="eastAsia" w:hAnsi="宋体" w:cs="宋体"/>
                <w:color w:val="auto"/>
                <w:sz w:val="24"/>
                <w:highlight w:val="none"/>
              </w:rPr>
              <w:t>业主单位</w:t>
            </w:r>
          </w:p>
        </w:tc>
        <w:tc>
          <w:tcPr>
            <w:tcW w:w="1602" w:type="dxa"/>
            <w:tcBorders>
              <w:top w:val="single" w:color="auto" w:sz="4" w:space="0"/>
              <w:left w:val="single" w:color="auto" w:sz="4" w:space="0"/>
              <w:bottom w:val="single" w:color="auto" w:sz="4" w:space="0"/>
              <w:right w:val="single" w:color="auto" w:sz="4" w:space="0"/>
            </w:tcBorders>
            <w:vAlign w:val="center"/>
          </w:tcPr>
          <w:p w14:paraId="3C246526">
            <w:pPr>
              <w:jc w:val="center"/>
              <w:rPr>
                <w:rFonts w:hAnsi="宋体" w:cs="宋体"/>
                <w:color w:val="auto"/>
                <w:sz w:val="24"/>
                <w:highlight w:val="none"/>
              </w:rPr>
            </w:pPr>
            <w:r>
              <w:rPr>
                <w:rFonts w:hint="eastAsia" w:hAnsi="宋体" w:cs="宋体"/>
                <w:color w:val="auto"/>
                <w:sz w:val="24"/>
                <w:highlight w:val="none"/>
              </w:rPr>
              <w:t>合同金额</w:t>
            </w:r>
          </w:p>
          <w:p w14:paraId="2C095331">
            <w:pPr>
              <w:widowControl/>
              <w:snapToGrid w:val="0"/>
              <w:jc w:val="center"/>
              <w:rPr>
                <w:rFonts w:hAnsi="宋体" w:cs="宋体"/>
                <w:color w:val="auto"/>
                <w:sz w:val="24"/>
                <w:highlight w:val="none"/>
              </w:rPr>
            </w:pPr>
            <w:r>
              <w:rPr>
                <w:rFonts w:hint="eastAsia" w:hAnsi="宋体" w:cs="宋体"/>
                <w:color w:val="auto"/>
                <w:sz w:val="24"/>
                <w:highlight w:val="none"/>
              </w:rPr>
              <w:t>（人民币）</w:t>
            </w:r>
          </w:p>
        </w:tc>
        <w:tc>
          <w:tcPr>
            <w:tcW w:w="901" w:type="dxa"/>
            <w:tcBorders>
              <w:top w:val="single" w:color="auto" w:sz="4" w:space="0"/>
              <w:left w:val="single" w:color="auto" w:sz="4" w:space="0"/>
              <w:bottom w:val="single" w:color="auto" w:sz="4" w:space="0"/>
              <w:right w:val="single" w:color="auto" w:sz="4" w:space="0"/>
            </w:tcBorders>
            <w:vAlign w:val="center"/>
          </w:tcPr>
          <w:p w14:paraId="6B31B12F">
            <w:pPr>
              <w:widowControl/>
              <w:snapToGrid w:val="0"/>
              <w:jc w:val="center"/>
              <w:rPr>
                <w:rFonts w:hAnsi="宋体" w:cs="宋体"/>
                <w:color w:val="auto"/>
                <w:sz w:val="24"/>
                <w:highlight w:val="none"/>
              </w:rPr>
            </w:pPr>
            <w:r>
              <w:rPr>
                <w:rFonts w:hint="eastAsia" w:hAnsi="宋体" w:cs="宋体"/>
                <w:color w:val="auto"/>
                <w:sz w:val="24"/>
                <w:highlight w:val="none"/>
              </w:rPr>
              <w:t>备注</w:t>
            </w:r>
          </w:p>
        </w:tc>
      </w:tr>
      <w:tr w14:paraId="7B27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40607E">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6683DCB7">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537C74AA">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74889E6A">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63BF7C9B">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14890039">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1B5D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786CAA">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17157213">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11878A8B">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10E49E35">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446AEC65">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0635AB38">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084C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0715C1">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3A36E026">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45B36815">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1F063BA4">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0260C031">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2B43E76F">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6927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6CD829">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31890842">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18A95953">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5E0CCA1C">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09F7ABE6">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61138B31">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00AF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4DA46F">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19197B7C">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48BB371E">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28526A8E">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03883906">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58ED6621">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01F6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2D7039">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657A5639">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1EA9780D">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23E81412">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360A661B">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711193BF">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43AF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C0421F">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154E55FC">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4B8F03B2">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69975179">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44818B8B">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4451AFD4">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7EA2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A7E65A">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3D78E4C3">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7974A93B">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3883F210">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32487AB0">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2EF911A5">
            <w:pPr>
              <w:widowControl/>
              <w:snapToGrid w:val="0"/>
              <w:jc w:val="center"/>
              <w:rPr>
                <w:rFonts w:hAnsi="宋体" w:cs="宋体"/>
                <w:color w:val="auto"/>
                <w:sz w:val="24"/>
                <w:highlight w:val="none"/>
              </w:rPr>
            </w:pPr>
            <w:r>
              <w:rPr>
                <w:rFonts w:hint="eastAsia" w:hAnsi="宋体" w:cs="宋体"/>
                <w:color w:val="auto"/>
                <w:sz w:val="24"/>
                <w:highlight w:val="none"/>
              </w:rPr>
              <w:t> </w:t>
            </w:r>
          </w:p>
        </w:tc>
      </w:tr>
      <w:tr w14:paraId="7510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4B87C9">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14:paraId="7B9E6FA3">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14:paraId="06EF89B0">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46E8C1E6">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3E8684F4">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29E0A61C">
            <w:pPr>
              <w:widowControl/>
              <w:snapToGrid w:val="0"/>
              <w:jc w:val="center"/>
              <w:rPr>
                <w:rFonts w:hAnsi="宋体" w:cs="宋体"/>
                <w:color w:val="auto"/>
                <w:sz w:val="24"/>
                <w:highlight w:val="none"/>
              </w:rPr>
            </w:pPr>
            <w:r>
              <w:rPr>
                <w:rFonts w:hint="eastAsia" w:hAnsi="宋体" w:cs="宋体"/>
                <w:color w:val="auto"/>
                <w:sz w:val="24"/>
                <w:highlight w:val="none"/>
              </w:rPr>
              <w:t> </w:t>
            </w:r>
          </w:p>
        </w:tc>
      </w:tr>
    </w:tbl>
    <w:p w14:paraId="5707C80D">
      <w:pPr>
        <w:spacing w:line="300" w:lineRule="auto"/>
        <w:jc w:val="center"/>
        <w:rPr>
          <w:rFonts w:hAnsi="宋体" w:cs="宋体"/>
          <w:color w:val="auto"/>
          <w:sz w:val="21"/>
          <w:szCs w:val="21"/>
          <w:highlight w:val="none"/>
        </w:rPr>
      </w:pPr>
    </w:p>
    <w:p w14:paraId="15418A20">
      <w:pPr>
        <w:spacing w:line="300" w:lineRule="auto"/>
        <w:rPr>
          <w:rFonts w:hAnsi="宋体" w:cs="宋体"/>
          <w:color w:val="auto"/>
          <w:sz w:val="24"/>
          <w:highlight w:val="none"/>
        </w:rPr>
      </w:pPr>
      <w:r>
        <w:rPr>
          <w:rFonts w:hint="eastAsia" w:hAnsi="宋体" w:cs="宋体"/>
          <w:color w:val="auto"/>
          <w:sz w:val="24"/>
          <w:highlight w:val="none"/>
        </w:rPr>
        <w:t xml:space="preserve">供应商全称（加盖公章）：            </w:t>
      </w:r>
    </w:p>
    <w:p w14:paraId="34A84E90">
      <w:pPr>
        <w:spacing w:line="300" w:lineRule="auto"/>
        <w:jc w:val="center"/>
        <w:rPr>
          <w:rFonts w:hAnsi="宋体" w:cs="宋体"/>
          <w:color w:val="auto"/>
          <w:sz w:val="24"/>
          <w:highlight w:val="none"/>
        </w:rPr>
      </w:pPr>
    </w:p>
    <w:p w14:paraId="6B28C97A">
      <w:pPr>
        <w:spacing w:line="300" w:lineRule="auto"/>
        <w:rPr>
          <w:rFonts w:hAnsi="宋体" w:cs="宋体"/>
          <w:color w:val="auto"/>
          <w:sz w:val="24"/>
          <w:highlight w:val="none"/>
        </w:rPr>
      </w:pPr>
      <w:r>
        <w:rPr>
          <w:rFonts w:hint="eastAsia" w:hAnsi="宋体" w:cs="宋体"/>
          <w:color w:val="auto"/>
          <w:sz w:val="24"/>
          <w:highlight w:val="none"/>
        </w:rPr>
        <w:t>法定代表人或其授权代表</w:t>
      </w:r>
      <w:r>
        <w:rPr>
          <w:rFonts w:hint="eastAsia" w:hAnsi="宋体" w:cs="宋体"/>
          <w:color w:val="auto"/>
          <w:sz w:val="24"/>
          <w:szCs w:val="24"/>
          <w:highlight w:val="none"/>
        </w:rPr>
        <w:t>（签字或盖章）</w:t>
      </w:r>
      <w:r>
        <w:rPr>
          <w:rFonts w:hint="eastAsia" w:hAnsi="宋体" w:cs="宋体"/>
          <w:color w:val="auto"/>
          <w:sz w:val="24"/>
          <w:highlight w:val="none"/>
        </w:rPr>
        <w:t>：</w:t>
      </w:r>
    </w:p>
    <w:p w14:paraId="3244E231">
      <w:pPr>
        <w:spacing w:line="300" w:lineRule="auto"/>
        <w:jc w:val="center"/>
        <w:rPr>
          <w:rFonts w:hAnsi="宋体" w:cs="宋体"/>
          <w:color w:val="auto"/>
          <w:sz w:val="24"/>
          <w:highlight w:val="none"/>
        </w:rPr>
      </w:pPr>
    </w:p>
    <w:p w14:paraId="2B11F62B">
      <w:pPr>
        <w:autoSpaceDE/>
        <w:autoSpaceDN/>
        <w:adjustRightInd/>
        <w:spacing w:line="500" w:lineRule="exact"/>
        <w:ind w:firstLine="480" w:firstLineChars="200"/>
        <w:jc w:val="both"/>
        <w:textAlignment w:val="auto"/>
        <w:rPr>
          <w:rFonts w:hAnsi="宋体" w:cs="宋体"/>
          <w:color w:val="auto"/>
          <w:sz w:val="24"/>
          <w:highlight w:val="none"/>
        </w:rPr>
      </w:pPr>
      <w:r>
        <w:rPr>
          <w:rFonts w:hint="eastAsia" w:hAnsi="宋体" w:cs="宋体"/>
          <w:color w:val="auto"/>
          <w:sz w:val="24"/>
          <w:highlight w:val="none"/>
        </w:rPr>
        <w:t>年     月     日</w:t>
      </w:r>
    </w:p>
    <w:p w14:paraId="45A651CE">
      <w:pPr>
        <w:autoSpaceDE/>
        <w:autoSpaceDN/>
        <w:adjustRightInd/>
        <w:spacing w:line="500" w:lineRule="exact"/>
        <w:ind w:firstLine="480" w:firstLineChars="200"/>
        <w:jc w:val="both"/>
        <w:textAlignment w:val="auto"/>
        <w:rPr>
          <w:rFonts w:hAnsi="宋体" w:cs="宋体"/>
          <w:color w:val="auto"/>
          <w:sz w:val="24"/>
          <w:highlight w:val="none"/>
        </w:rPr>
      </w:pPr>
    </w:p>
    <w:p w14:paraId="12561626">
      <w:pPr>
        <w:autoSpaceDE/>
        <w:autoSpaceDN/>
        <w:adjustRightInd/>
        <w:spacing w:line="500" w:lineRule="exact"/>
        <w:ind w:firstLine="480" w:firstLineChars="200"/>
        <w:jc w:val="both"/>
        <w:textAlignment w:val="auto"/>
        <w:rPr>
          <w:rFonts w:hAnsi="宋体" w:cs="宋体"/>
          <w:color w:val="auto"/>
          <w:sz w:val="24"/>
          <w:highlight w:val="none"/>
        </w:rPr>
      </w:pPr>
    </w:p>
    <w:p w14:paraId="05973B05">
      <w:pPr>
        <w:autoSpaceDE/>
        <w:autoSpaceDN/>
        <w:adjustRightInd/>
        <w:spacing w:line="500" w:lineRule="exact"/>
        <w:ind w:firstLine="480" w:firstLineChars="200"/>
        <w:jc w:val="both"/>
        <w:textAlignment w:val="auto"/>
        <w:rPr>
          <w:rFonts w:hAnsi="宋体" w:cs="宋体"/>
          <w:color w:val="auto"/>
          <w:sz w:val="24"/>
          <w:highlight w:val="none"/>
        </w:rPr>
      </w:pPr>
    </w:p>
    <w:p w14:paraId="34208060">
      <w:pPr>
        <w:autoSpaceDE/>
        <w:autoSpaceDN/>
        <w:adjustRightInd/>
        <w:spacing w:line="500" w:lineRule="exact"/>
        <w:ind w:firstLine="480" w:firstLineChars="200"/>
        <w:jc w:val="both"/>
        <w:textAlignment w:val="auto"/>
        <w:rPr>
          <w:rFonts w:hAnsi="宋体" w:cs="宋体"/>
          <w:color w:val="auto"/>
          <w:sz w:val="24"/>
          <w:highlight w:val="none"/>
        </w:rPr>
      </w:pPr>
    </w:p>
    <w:p w14:paraId="2C3BBC8A">
      <w:pPr>
        <w:autoSpaceDE/>
        <w:autoSpaceDN/>
        <w:adjustRightInd/>
        <w:spacing w:line="500" w:lineRule="exact"/>
        <w:ind w:firstLine="480" w:firstLineChars="200"/>
        <w:jc w:val="both"/>
        <w:textAlignment w:val="auto"/>
        <w:rPr>
          <w:rFonts w:hAnsi="宋体" w:cs="宋体"/>
          <w:color w:val="auto"/>
          <w:sz w:val="24"/>
          <w:highlight w:val="none"/>
        </w:rPr>
      </w:pPr>
    </w:p>
    <w:p w14:paraId="23250DFD">
      <w:pPr>
        <w:autoSpaceDE/>
        <w:autoSpaceDN/>
        <w:adjustRightInd/>
        <w:spacing w:line="500" w:lineRule="exact"/>
        <w:ind w:firstLine="480" w:firstLineChars="200"/>
        <w:jc w:val="both"/>
        <w:textAlignment w:val="auto"/>
        <w:rPr>
          <w:rFonts w:hAnsi="宋体" w:cs="宋体"/>
          <w:color w:val="auto"/>
          <w:sz w:val="24"/>
          <w:highlight w:val="none"/>
        </w:rPr>
      </w:pPr>
    </w:p>
    <w:p w14:paraId="52325149">
      <w:pPr>
        <w:autoSpaceDE/>
        <w:autoSpaceDN/>
        <w:adjustRightInd/>
        <w:spacing w:line="500" w:lineRule="exact"/>
        <w:ind w:firstLine="480" w:firstLineChars="200"/>
        <w:jc w:val="both"/>
        <w:textAlignment w:val="auto"/>
        <w:rPr>
          <w:rFonts w:hAnsi="宋体" w:cs="宋体"/>
          <w:color w:val="auto"/>
          <w:sz w:val="24"/>
          <w:highlight w:val="none"/>
        </w:rPr>
      </w:pPr>
    </w:p>
    <w:p w14:paraId="7013ADD9">
      <w:pPr>
        <w:autoSpaceDE/>
        <w:autoSpaceDN/>
        <w:adjustRightInd/>
        <w:spacing w:line="500" w:lineRule="exact"/>
        <w:ind w:firstLine="480" w:firstLineChars="200"/>
        <w:jc w:val="both"/>
        <w:textAlignment w:val="auto"/>
        <w:rPr>
          <w:rFonts w:hAnsi="宋体" w:cs="宋体"/>
          <w:color w:val="auto"/>
          <w:sz w:val="24"/>
          <w:highlight w:val="none"/>
        </w:rPr>
      </w:pPr>
    </w:p>
    <w:p w14:paraId="010F01B9">
      <w:pPr>
        <w:autoSpaceDE/>
        <w:autoSpaceDN/>
        <w:adjustRightInd/>
        <w:spacing w:line="500" w:lineRule="exact"/>
        <w:ind w:firstLine="480" w:firstLineChars="200"/>
        <w:jc w:val="both"/>
        <w:textAlignment w:val="auto"/>
        <w:rPr>
          <w:rFonts w:hAnsi="宋体" w:cs="宋体"/>
          <w:color w:val="auto"/>
          <w:sz w:val="24"/>
          <w:highlight w:val="none"/>
        </w:rPr>
      </w:pPr>
    </w:p>
    <w:p w14:paraId="2F04F3FB">
      <w:pPr>
        <w:autoSpaceDE/>
        <w:autoSpaceDN/>
        <w:adjustRightInd/>
        <w:spacing w:line="500" w:lineRule="exact"/>
        <w:ind w:firstLine="420" w:firstLineChars="200"/>
        <w:jc w:val="both"/>
        <w:textAlignment w:val="auto"/>
        <w:rPr>
          <w:rFonts w:hAnsi="宋体" w:cs="宋体"/>
          <w:color w:val="auto"/>
          <w:sz w:val="21"/>
          <w:szCs w:val="21"/>
          <w:highlight w:val="none"/>
        </w:rPr>
      </w:pPr>
    </w:p>
    <w:p w14:paraId="0E8F937F">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color w:val="auto"/>
          <w:sz w:val="21"/>
          <w:szCs w:val="21"/>
          <w:highlight w:val="none"/>
        </w:rPr>
        <w:t>8.</w:t>
      </w:r>
      <w:r>
        <w:rPr>
          <w:rFonts w:hint="eastAsia" w:hAnsi="宋体" w:cs="宋体"/>
          <w:bCs/>
          <w:color w:val="auto"/>
          <w:sz w:val="21"/>
          <w:szCs w:val="21"/>
          <w:highlight w:val="none"/>
        </w:rPr>
        <w:t>针对本项目的详细服务方案（格式自拟）；</w:t>
      </w:r>
    </w:p>
    <w:p w14:paraId="5A8F89AE">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14:paraId="4BEB337D">
      <w:pPr>
        <w:autoSpaceDE/>
        <w:autoSpaceDN/>
        <w:adjustRightInd/>
        <w:spacing w:line="500" w:lineRule="exact"/>
        <w:ind w:firstLine="420" w:firstLineChars="200"/>
        <w:jc w:val="both"/>
        <w:textAlignment w:val="auto"/>
        <w:rPr>
          <w:rFonts w:hAnsi="宋体" w:cs="宋体"/>
          <w:color w:val="auto"/>
          <w:highlight w:val="none"/>
        </w:rPr>
      </w:pPr>
      <w:r>
        <w:rPr>
          <w:rFonts w:hint="eastAsia" w:hAnsi="宋体" w:cs="宋体"/>
          <w:bCs/>
          <w:color w:val="auto"/>
          <w:sz w:val="21"/>
          <w:szCs w:val="21"/>
          <w:highlight w:val="none"/>
        </w:rPr>
        <w:t>②实施方案</w:t>
      </w:r>
    </w:p>
    <w:p w14:paraId="258AE029">
      <w:pPr>
        <w:autoSpaceDE/>
        <w:autoSpaceDN/>
        <w:adjustRightInd/>
        <w:spacing w:line="500" w:lineRule="exact"/>
        <w:ind w:firstLine="840" w:firstLineChars="400"/>
        <w:jc w:val="both"/>
        <w:textAlignment w:val="auto"/>
        <w:rPr>
          <w:rFonts w:hAnsi="宋体" w:cs="宋体"/>
          <w:color w:val="auto"/>
          <w:sz w:val="21"/>
          <w:szCs w:val="21"/>
          <w:highlight w:val="none"/>
        </w:rPr>
      </w:pPr>
    </w:p>
    <w:p w14:paraId="2162A965">
      <w:pPr>
        <w:autoSpaceDE/>
        <w:autoSpaceDN/>
        <w:adjustRightInd/>
        <w:spacing w:line="500" w:lineRule="exact"/>
        <w:ind w:firstLine="840" w:firstLineChars="400"/>
        <w:jc w:val="both"/>
        <w:textAlignment w:val="auto"/>
        <w:rPr>
          <w:rFonts w:hAnsi="宋体" w:cs="宋体"/>
          <w:color w:val="auto"/>
          <w:sz w:val="21"/>
          <w:szCs w:val="21"/>
          <w:highlight w:val="none"/>
        </w:rPr>
      </w:pPr>
    </w:p>
    <w:p w14:paraId="3CEF8844">
      <w:pPr>
        <w:spacing w:line="500" w:lineRule="exact"/>
        <w:ind w:firstLine="420" w:firstLineChars="200"/>
        <w:jc w:val="both"/>
        <w:textAlignment w:val="bottom"/>
        <w:rPr>
          <w:rFonts w:hAnsi="宋体" w:cs="宋体"/>
          <w:color w:val="auto"/>
          <w:sz w:val="21"/>
          <w:szCs w:val="21"/>
          <w:highlight w:val="none"/>
        </w:rPr>
      </w:pPr>
    </w:p>
    <w:p w14:paraId="7550D002">
      <w:pPr>
        <w:spacing w:line="500" w:lineRule="exact"/>
        <w:ind w:firstLine="420" w:firstLineChars="200"/>
        <w:jc w:val="both"/>
        <w:textAlignment w:val="bottom"/>
        <w:rPr>
          <w:rFonts w:hAnsi="宋体" w:cs="宋体"/>
          <w:color w:val="auto"/>
          <w:sz w:val="21"/>
          <w:highlight w:val="none"/>
        </w:rPr>
      </w:pPr>
      <w:r>
        <w:rPr>
          <w:rFonts w:hint="eastAsia" w:hAnsi="宋体" w:cs="宋体"/>
          <w:color w:val="auto"/>
          <w:sz w:val="21"/>
          <w:szCs w:val="21"/>
          <w:highlight w:val="none"/>
        </w:rPr>
        <w:t>9.磋商响应供应商需要说明的其他文件和说明（格式自拟）</w:t>
      </w:r>
    </w:p>
    <w:p w14:paraId="2188FC8C">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144F42C7">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47D04A63">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047F3DD0">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60D4560D">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53CC1991">
      <w:pPr>
        <w:pStyle w:val="45"/>
        <w:ind w:firstLine="280"/>
        <w:rPr>
          <w:rFonts w:hAnsi="宋体" w:cs="宋体"/>
          <w:color w:val="auto"/>
          <w:highlight w:val="none"/>
        </w:rPr>
      </w:pPr>
    </w:p>
    <w:p w14:paraId="254EF8DB">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5EF21891">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45129996">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17AEDFB1">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21DA55BD">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436F6FC6">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3C34E3FB">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4E6E179B">
      <w:pPr>
        <w:autoSpaceDE/>
        <w:autoSpaceDN/>
        <w:adjustRightInd/>
        <w:spacing w:line="480" w:lineRule="exact"/>
        <w:ind w:firstLine="602" w:firstLineChars="200"/>
        <w:jc w:val="both"/>
        <w:textAlignment w:val="auto"/>
        <w:rPr>
          <w:rFonts w:hAnsi="宋体" w:cs="宋体"/>
          <w:b/>
          <w:bCs/>
          <w:color w:val="auto"/>
          <w:sz w:val="30"/>
          <w:szCs w:val="30"/>
          <w:highlight w:val="none"/>
        </w:rPr>
      </w:pPr>
    </w:p>
    <w:p w14:paraId="16599345">
      <w:pPr>
        <w:pageBreakBefore/>
        <w:autoSpaceDE/>
        <w:autoSpaceDN/>
        <w:adjustRightInd/>
        <w:spacing w:line="480" w:lineRule="exact"/>
        <w:ind w:firstLine="602" w:firstLineChars="200"/>
        <w:jc w:val="both"/>
        <w:textAlignment w:val="auto"/>
        <w:rPr>
          <w:rFonts w:hAnsi="宋体" w:cs="宋体"/>
          <w:b/>
          <w:bCs/>
          <w:color w:val="auto"/>
          <w:sz w:val="30"/>
          <w:szCs w:val="30"/>
          <w:highlight w:val="none"/>
        </w:rPr>
      </w:pPr>
      <w:r>
        <w:rPr>
          <w:rFonts w:hint="eastAsia" w:hAnsi="宋体" w:cs="宋体"/>
          <w:b/>
          <w:bCs/>
          <w:color w:val="auto"/>
          <w:sz w:val="30"/>
          <w:szCs w:val="30"/>
          <w:highlight w:val="none"/>
        </w:rPr>
        <w:t>（三）价格响应文件部分参考格式:</w:t>
      </w:r>
    </w:p>
    <w:p w14:paraId="417B3217">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（1）磋商响应函（加盖公章）（格式见附件）；</w:t>
      </w:r>
    </w:p>
    <w:p w14:paraId="56E2C823">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（2）开标（报价）一览表（加盖公章）（格式见附件）；</w:t>
      </w:r>
    </w:p>
    <w:p w14:paraId="2007284A">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（3）供应商针对报价需要说明的其他文件和说明（格式自拟）。</w:t>
      </w:r>
    </w:p>
    <w:p w14:paraId="0EEC3AB4">
      <w:pPr>
        <w:spacing w:line="480" w:lineRule="auto"/>
        <w:rPr>
          <w:rFonts w:hAnsi="宋体" w:cs="宋体"/>
          <w:b/>
          <w:bCs/>
          <w:color w:val="auto"/>
          <w:sz w:val="30"/>
          <w:szCs w:val="30"/>
          <w:highlight w:val="none"/>
        </w:rPr>
      </w:pPr>
    </w:p>
    <w:p w14:paraId="7BC833BD">
      <w:pPr>
        <w:spacing w:line="360" w:lineRule="auto"/>
        <w:ind w:firstLine="480"/>
        <w:rPr>
          <w:rFonts w:hAnsi="宋体" w:cs="宋体"/>
          <w:b/>
          <w:color w:val="auto"/>
          <w:sz w:val="30"/>
          <w:szCs w:val="30"/>
          <w:highlight w:val="none"/>
        </w:rPr>
      </w:pPr>
    </w:p>
    <w:p w14:paraId="2FD3601E">
      <w:pPr>
        <w:spacing w:line="360" w:lineRule="auto"/>
        <w:ind w:firstLine="480"/>
        <w:rPr>
          <w:rFonts w:hAnsi="宋体" w:cs="宋体"/>
          <w:b/>
          <w:color w:val="auto"/>
          <w:sz w:val="30"/>
          <w:szCs w:val="30"/>
          <w:highlight w:val="none"/>
        </w:rPr>
      </w:pPr>
    </w:p>
    <w:p w14:paraId="197D59F7">
      <w:pPr>
        <w:spacing w:line="360" w:lineRule="auto"/>
        <w:ind w:firstLine="480"/>
        <w:rPr>
          <w:rFonts w:hAnsi="宋体" w:cs="宋体"/>
          <w:b/>
          <w:color w:val="auto"/>
          <w:sz w:val="30"/>
          <w:szCs w:val="30"/>
          <w:highlight w:val="none"/>
        </w:rPr>
      </w:pPr>
    </w:p>
    <w:p w14:paraId="5D4D4EA2">
      <w:pPr>
        <w:spacing w:line="360" w:lineRule="auto"/>
        <w:ind w:firstLine="480"/>
        <w:rPr>
          <w:rFonts w:hAnsi="宋体" w:cs="宋体"/>
          <w:b/>
          <w:color w:val="auto"/>
          <w:sz w:val="30"/>
          <w:szCs w:val="30"/>
          <w:highlight w:val="none"/>
        </w:rPr>
      </w:pPr>
    </w:p>
    <w:p w14:paraId="3FD7D8D9">
      <w:pPr>
        <w:spacing w:line="360" w:lineRule="auto"/>
        <w:ind w:firstLine="480"/>
        <w:rPr>
          <w:rFonts w:hAnsi="宋体" w:cs="宋体"/>
          <w:b/>
          <w:color w:val="auto"/>
          <w:sz w:val="30"/>
          <w:szCs w:val="30"/>
          <w:highlight w:val="none"/>
        </w:rPr>
      </w:pPr>
    </w:p>
    <w:p w14:paraId="6F2E7AFF">
      <w:pPr>
        <w:spacing w:line="360" w:lineRule="auto"/>
        <w:ind w:firstLine="480"/>
        <w:rPr>
          <w:rFonts w:hAnsi="宋体" w:cs="宋体"/>
          <w:b/>
          <w:color w:val="auto"/>
          <w:sz w:val="30"/>
          <w:szCs w:val="30"/>
          <w:highlight w:val="none"/>
        </w:rPr>
      </w:pPr>
    </w:p>
    <w:p w14:paraId="1AF96143">
      <w:pPr>
        <w:spacing w:line="360" w:lineRule="auto"/>
        <w:ind w:firstLine="480"/>
        <w:rPr>
          <w:rFonts w:hAnsi="宋体" w:cs="宋体"/>
          <w:b/>
          <w:color w:val="auto"/>
          <w:sz w:val="30"/>
          <w:szCs w:val="30"/>
          <w:highlight w:val="none"/>
        </w:rPr>
      </w:pPr>
    </w:p>
    <w:p w14:paraId="69F79ADC">
      <w:pPr>
        <w:spacing w:line="360" w:lineRule="auto"/>
        <w:ind w:firstLine="480"/>
        <w:rPr>
          <w:rFonts w:hAnsi="宋体" w:cs="宋体"/>
          <w:b/>
          <w:color w:val="auto"/>
          <w:sz w:val="30"/>
          <w:szCs w:val="30"/>
          <w:highlight w:val="none"/>
        </w:rPr>
      </w:pPr>
    </w:p>
    <w:p w14:paraId="44221BCE">
      <w:pPr>
        <w:spacing w:line="360" w:lineRule="auto"/>
        <w:ind w:firstLine="480"/>
        <w:rPr>
          <w:rFonts w:hAnsi="宋体" w:cs="宋体"/>
          <w:b/>
          <w:color w:val="auto"/>
          <w:sz w:val="30"/>
          <w:szCs w:val="30"/>
          <w:highlight w:val="none"/>
        </w:rPr>
      </w:pPr>
    </w:p>
    <w:p w14:paraId="0F80A45A">
      <w:pPr>
        <w:spacing w:line="360" w:lineRule="auto"/>
        <w:ind w:firstLine="480"/>
        <w:rPr>
          <w:rFonts w:hAnsi="宋体" w:cs="宋体"/>
          <w:b/>
          <w:color w:val="auto"/>
          <w:sz w:val="30"/>
          <w:szCs w:val="30"/>
          <w:highlight w:val="none"/>
        </w:rPr>
      </w:pPr>
    </w:p>
    <w:p w14:paraId="226521DE">
      <w:pPr>
        <w:spacing w:line="360" w:lineRule="auto"/>
        <w:ind w:firstLine="480"/>
        <w:rPr>
          <w:rFonts w:hAnsi="宋体" w:cs="宋体"/>
          <w:b/>
          <w:color w:val="auto"/>
          <w:sz w:val="30"/>
          <w:szCs w:val="30"/>
          <w:highlight w:val="none"/>
        </w:rPr>
      </w:pPr>
    </w:p>
    <w:p w14:paraId="50976A68">
      <w:pPr>
        <w:spacing w:line="360" w:lineRule="auto"/>
        <w:ind w:firstLine="480"/>
        <w:rPr>
          <w:rFonts w:hAnsi="宋体" w:cs="宋体"/>
          <w:b/>
          <w:color w:val="auto"/>
          <w:sz w:val="30"/>
          <w:szCs w:val="30"/>
          <w:highlight w:val="none"/>
        </w:rPr>
      </w:pPr>
    </w:p>
    <w:p w14:paraId="31E9A531">
      <w:pPr>
        <w:pStyle w:val="45"/>
        <w:ind w:firstLine="280"/>
        <w:rPr>
          <w:rFonts w:hAnsi="宋体" w:cs="宋体"/>
          <w:color w:val="auto"/>
          <w:highlight w:val="none"/>
        </w:rPr>
      </w:pPr>
    </w:p>
    <w:p w14:paraId="7E928EAF">
      <w:pPr>
        <w:spacing w:line="360" w:lineRule="auto"/>
        <w:ind w:firstLine="480"/>
        <w:rPr>
          <w:rFonts w:hAnsi="宋体" w:cs="宋体"/>
          <w:b/>
          <w:color w:val="auto"/>
          <w:sz w:val="30"/>
          <w:szCs w:val="30"/>
          <w:highlight w:val="none"/>
        </w:rPr>
      </w:pPr>
    </w:p>
    <w:p w14:paraId="1FDEA7F1">
      <w:pPr>
        <w:pStyle w:val="20"/>
        <w:rPr>
          <w:rFonts w:hAnsi="宋体" w:cs="宋体"/>
          <w:color w:val="auto"/>
          <w:highlight w:val="none"/>
        </w:rPr>
      </w:pPr>
    </w:p>
    <w:p w14:paraId="41D06CFA">
      <w:pPr>
        <w:spacing w:line="360" w:lineRule="auto"/>
        <w:ind w:firstLine="480"/>
        <w:rPr>
          <w:rFonts w:hAnsi="宋体" w:cs="宋体"/>
          <w:b/>
          <w:color w:val="auto"/>
          <w:sz w:val="30"/>
          <w:szCs w:val="30"/>
          <w:highlight w:val="none"/>
        </w:rPr>
      </w:pPr>
    </w:p>
    <w:p w14:paraId="59934A1C">
      <w:pPr>
        <w:pStyle w:val="2"/>
        <w:ind w:left="680"/>
        <w:rPr>
          <w:rFonts w:ascii="宋体" w:hAnsi="宋体"/>
          <w:color w:val="auto"/>
          <w:highlight w:val="none"/>
        </w:rPr>
      </w:pPr>
    </w:p>
    <w:p w14:paraId="02367CFD">
      <w:pPr>
        <w:spacing w:line="360" w:lineRule="auto"/>
        <w:ind w:firstLine="480"/>
        <w:rPr>
          <w:rFonts w:hAnsi="宋体" w:cs="宋体"/>
          <w:b/>
          <w:color w:val="auto"/>
          <w:sz w:val="30"/>
          <w:szCs w:val="30"/>
          <w:highlight w:val="none"/>
        </w:rPr>
      </w:pPr>
    </w:p>
    <w:p w14:paraId="6BFC8774">
      <w:pPr>
        <w:spacing w:line="360" w:lineRule="auto"/>
        <w:ind w:firstLine="480"/>
        <w:rPr>
          <w:rFonts w:hAnsi="宋体" w:cs="宋体"/>
          <w:b/>
          <w:color w:val="auto"/>
          <w:sz w:val="30"/>
          <w:szCs w:val="30"/>
          <w:highlight w:val="none"/>
        </w:rPr>
      </w:pPr>
      <w:r>
        <w:rPr>
          <w:rFonts w:hint="eastAsia" w:hAnsi="宋体" w:cs="宋体"/>
          <w:b/>
          <w:color w:val="auto"/>
          <w:sz w:val="30"/>
          <w:szCs w:val="30"/>
          <w:highlight w:val="none"/>
        </w:rPr>
        <w:t>1. 磋商响应函</w:t>
      </w:r>
    </w:p>
    <w:p w14:paraId="2CC189EC">
      <w:pPr>
        <w:pStyle w:val="2"/>
        <w:ind w:left="680"/>
        <w:jc w:val="center"/>
        <w:rPr>
          <w:rFonts w:ascii="宋体" w:hAnsi="宋体"/>
          <w:color w:val="auto"/>
          <w:highlight w:val="none"/>
        </w:rPr>
      </w:pPr>
      <w:r>
        <w:rPr>
          <w:rFonts w:hint="eastAsia" w:ascii="宋体" w:hAnsi="宋体"/>
          <w:b/>
          <w:color w:val="auto"/>
          <w:sz w:val="30"/>
          <w:szCs w:val="30"/>
          <w:highlight w:val="none"/>
        </w:rPr>
        <w:t>磋商响应函</w:t>
      </w:r>
    </w:p>
    <w:p w14:paraId="0192655C">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致：（磋商采购单位名称）：</w:t>
      </w:r>
    </w:p>
    <w:p w14:paraId="2DD40BFB">
      <w:pPr>
        <w:snapToGrid w:val="0"/>
        <w:spacing w:line="500" w:lineRule="exact"/>
        <w:ind w:firstLine="480"/>
        <w:rPr>
          <w:rFonts w:hAnsi="宋体" w:cs="宋体"/>
          <w:color w:val="auto"/>
          <w:sz w:val="21"/>
          <w:szCs w:val="21"/>
          <w:highlight w:val="none"/>
        </w:rPr>
      </w:pPr>
      <w:r>
        <w:rPr>
          <w:rFonts w:hint="eastAsia" w:hAnsi="宋体" w:cs="宋体"/>
          <w:color w:val="auto"/>
          <w:sz w:val="21"/>
          <w:szCs w:val="21"/>
          <w:highlight w:val="none"/>
        </w:rPr>
        <w:t>根据贵方项目的竞争性磋商采购公告/磋商响应邀请书（项目编号：     ），签字代表_____（全名）经正式授权并代表供应商（供应商名称）提交技术商务响应文件、价格响应文件正本各一份、副本</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5D881CDA">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据此函，签字代表宣布同意如下：</w:t>
      </w:r>
    </w:p>
    <w:p w14:paraId="2FF323B7">
      <w:pPr>
        <w:snapToGrid w:val="0"/>
        <w:spacing w:line="500" w:lineRule="exact"/>
        <w:ind w:left="207" w:leftChars="61" w:firstLine="105" w:firstLineChars="50"/>
        <w:rPr>
          <w:rFonts w:hAnsi="宋体" w:cs="宋体"/>
          <w:color w:val="auto"/>
          <w:sz w:val="21"/>
          <w:szCs w:val="21"/>
          <w:highlight w:val="none"/>
        </w:rPr>
      </w:pPr>
      <w:r>
        <w:rPr>
          <w:rFonts w:hint="eastAsia" w:hAnsi="宋体" w:cs="宋体"/>
          <w:color w:val="auto"/>
          <w:sz w:val="21"/>
          <w:szCs w:val="21"/>
          <w:highlight w:val="none"/>
        </w:rPr>
        <w:t>（1）我方自愿按照磋商采购文件规定的各项要求向采购人提供项目所需专业服务和项目成果。</w:t>
      </w:r>
    </w:p>
    <w:p w14:paraId="48D8A954">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2）本供应商已详细审查全部“磋商采购文件”，包括修改文件（如有的话）以及全部参考资料和有关附件，已经了解我方对于磋商采购文件、采购过程、采购结果有依法进行询问、质疑、投诉的权利及相关渠道和要求。</w:t>
      </w:r>
    </w:p>
    <w:p w14:paraId="47A12321">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（3）本供应商在磋商之前已经与贵方进行了充分的沟通，完全理解并接受磋商采购文件的各项规定和要求，对磋商采购文件的合理性、合法性不再有异议。</w:t>
      </w:r>
    </w:p>
    <w:p w14:paraId="7F0E83E9">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（4）本磋商响应文件有效期自递交之日起</w:t>
      </w:r>
      <w:r>
        <w:rPr>
          <w:rFonts w:hint="eastAsia" w:hAnsi="宋体" w:cs="宋体"/>
          <w:color w:val="auto"/>
          <w:sz w:val="21"/>
          <w:szCs w:val="21"/>
          <w:highlight w:val="none"/>
          <w:u w:val="single"/>
        </w:rPr>
        <w:t>_90_</w:t>
      </w:r>
      <w:r>
        <w:rPr>
          <w:rFonts w:hint="eastAsia" w:hAnsi="宋体" w:cs="宋体"/>
          <w:color w:val="auto"/>
          <w:sz w:val="21"/>
          <w:szCs w:val="21"/>
          <w:highlight w:val="none"/>
        </w:rPr>
        <w:t>天。</w:t>
      </w:r>
    </w:p>
    <w:p w14:paraId="4A03C3C9">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（5）如成交，本磋商响应文件至本项目合同履行完毕止均保持有效，本供应商将按“磋商采购文件”及政府采购法律、法规的规定履行合同责任和义务。</w:t>
      </w:r>
    </w:p>
    <w:p w14:paraId="14C58C65">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（6）供应商同意按照贵方要求提供与磋商有关的一切数据或资料。</w:t>
      </w:r>
    </w:p>
    <w:p w14:paraId="66B3FC8E">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（7）与本磋商采购有关的一切正式往来信函请寄：</w:t>
      </w:r>
    </w:p>
    <w:p w14:paraId="343AEF14">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地址：__________</w:t>
      </w:r>
      <w:r>
        <w:rPr>
          <w:rFonts w:hint="eastAsia" w:hAnsi="宋体" w:cs="宋体"/>
          <w:color w:val="auto"/>
          <w:sz w:val="21"/>
          <w:szCs w:val="21"/>
          <w:highlight w:val="none"/>
          <w:u w:val="single"/>
        </w:rPr>
        <w:t xml:space="preserve">        _</w:t>
      </w:r>
      <w:r>
        <w:rPr>
          <w:rFonts w:hint="eastAsia" w:hAnsi="宋体" w:cs="宋体"/>
          <w:color w:val="auto"/>
          <w:sz w:val="21"/>
          <w:szCs w:val="21"/>
          <w:highlight w:val="none"/>
        </w:rPr>
        <w:t>____邮编：__________   电话：______________</w:t>
      </w:r>
    </w:p>
    <w:p w14:paraId="789AA085">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传真：______________法定代表人（或单位负责人）姓名 ___________  职务：_____________</w:t>
      </w:r>
    </w:p>
    <w:p w14:paraId="3F802F53">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供应商名称(公章):___________________</w:t>
      </w:r>
    </w:p>
    <w:p w14:paraId="6DFCEC01">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开户银行：______________银行账号：______________</w:t>
      </w:r>
    </w:p>
    <w:p w14:paraId="68AE8129">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 xml:space="preserve">法定代表人（或单位负责人）或其授权代表（签字或盖章）:___________                      </w:t>
      </w:r>
    </w:p>
    <w:p w14:paraId="549AAB0E">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日期:_____年___月___日</w:t>
      </w:r>
    </w:p>
    <w:p w14:paraId="70E57DDE">
      <w:pPr>
        <w:ind w:firstLine="420" w:firstLineChars="200"/>
        <w:rPr>
          <w:rFonts w:hAnsi="宋体" w:cs="宋体"/>
          <w:color w:val="auto"/>
          <w:sz w:val="21"/>
          <w:szCs w:val="21"/>
          <w:highlight w:val="none"/>
        </w:rPr>
      </w:pPr>
    </w:p>
    <w:p w14:paraId="41AEFD18">
      <w:pPr>
        <w:numPr>
          <w:ilvl w:val="0"/>
          <w:numId w:val="10"/>
        </w:numPr>
        <w:snapToGrid w:val="0"/>
        <w:spacing w:beforeLines="50" w:after="50"/>
        <w:jc w:val="center"/>
        <w:rPr>
          <w:rFonts w:hAnsi="宋体" w:cs="宋体"/>
          <w:b/>
          <w:color w:val="auto"/>
          <w:sz w:val="30"/>
          <w:szCs w:val="30"/>
          <w:highlight w:val="none"/>
        </w:rPr>
      </w:pPr>
      <w:bookmarkStart w:id="182" w:name="_Toc296075060"/>
      <w:bookmarkStart w:id="183" w:name="_Toc354841330"/>
      <w:r>
        <w:rPr>
          <w:rFonts w:hint="eastAsia" w:hAnsi="宋体" w:cs="宋体"/>
          <w:b/>
          <w:color w:val="auto"/>
          <w:sz w:val="30"/>
          <w:szCs w:val="30"/>
          <w:highlight w:val="none"/>
        </w:rPr>
        <w:t>磋商报价一览表</w:t>
      </w:r>
    </w:p>
    <w:p w14:paraId="416DB234">
      <w:pPr>
        <w:pStyle w:val="45"/>
        <w:spacing w:before="156"/>
        <w:ind w:firstLine="210"/>
        <w:rPr>
          <w:rFonts w:hAnsi="宋体" w:cs="宋体"/>
          <w:b/>
          <w:color w:val="auto"/>
          <w:sz w:val="21"/>
          <w:szCs w:val="21"/>
          <w:highlight w:val="none"/>
        </w:rPr>
      </w:pPr>
      <w:r>
        <w:rPr>
          <w:rFonts w:hint="eastAsia" w:hAnsi="宋体" w:cs="宋体"/>
          <w:color w:val="auto"/>
          <w:sz w:val="21"/>
          <w:szCs w:val="21"/>
          <w:highlight w:val="none"/>
        </w:rPr>
        <w:t xml:space="preserve">项目名称：                        项目编号：                  </w:t>
      </w:r>
    </w:p>
    <w:bookmarkEnd w:id="182"/>
    <w:bookmarkEnd w:id="183"/>
    <w:tbl>
      <w:tblPr>
        <w:tblStyle w:val="46"/>
        <w:tblW w:w="8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6152"/>
      </w:tblGrid>
      <w:tr w14:paraId="1D561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80" w:type="dxa"/>
            <w:tcBorders>
              <w:right w:val="single" w:color="auto" w:sz="4" w:space="0"/>
            </w:tcBorders>
            <w:vAlign w:val="center"/>
          </w:tcPr>
          <w:p w14:paraId="50B1C06A">
            <w:pPr>
              <w:spacing w:line="460" w:lineRule="exact"/>
              <w:jc w:val="center"/>
              <w:rPr>
                <w:rFonts w:hAnsi="宋体" w:cs="宋体"/>
                <w:color w:val="auto"/>
                <w:sz w:val="24"/>
                <w:highlight w:val="none"/>
              </w:rPr>
            </w:pPr>
            <w:r>
              <w:rPr>
                <w:rFonts w:hint="eastAsia" w:hAnsi="宋体" w:cs="宋体"/>
                <w:color w:val="auto"/>
                <w:sz w:val="24"/>
                <w:highlight w:val="none"/>
              </w:rPr>
              <w:t>序号</w:t>
            </w:r>
          </w:p>
        </w:tc>
        <w:tc>
          <w:tcPr>
            <w:tcW w:w="1656" w:type="dxa"/>
            <w:tcBorders>
              <w:left w:val="single" w:color="auto" w:sz="4" w:space="0"/>
            </w:tcBorders>
            <w:vAlign w:val="center"/>
          </w:tcPr>
          <w:p w14:paraId="5DAC51B0">
            <w:pPr>
              <w:spacing w:line="460" w:lineRule="exact"/>
              <w:jc w:val="center"/>
              <w:rPr>
                <w:rFonts w:hAnsi="宋体" w:cs="宋体"/>
                <w:color w:val="auto"/>
                <w:sz w:val="24"/>
                <w:highlight w:val="none"/>
              </w:rPr>
            </w:pPr>
            <w:r>
              <w:rPr>
                <w:rFonts w:hint="eastAsia" w:hAnsi="宋体" w:cs="宋体"/>
                <w:color w:val="auto"/>
                <w:sz w:val="21"/>
                <w:szCs w:val="21"/>
                <w:highlight w:val="none"/>
              </w:rPr>
              <w:t>服务期限</w:t>
            </w:r>
          </w:p>
        </w:tc>
        <w:tc>
          <w:tcPr>
            <w:tcW w:w="6152" w:type="dxa"/>
            <w:vAlign w:val="center"/>
          </w:tcPr>
          <w:p w14:paraId="0D4E0B99">
            <w:pPr>
              <w:widowControl/>
              <w:spacing w:line="460" w:lineRule="exact"/>
              <w:jc w:val="center"/>
              <w:rPr>
                <w:rFonts w:hAnsi="宋体" w:cs="宋体"/>
                <w:color w:val="auto"/>
                <w:sz w:val="21"/>
                <w:szCs w:val="21"/>
                <w:highlight w:val="none"/>
                <w:u w:val="single"/>
              </w:rPr>
            </w:pPr>
          </w:p>
        </w:tc>
      </w:tr>
      <w:tr w14:paraId="024FF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3CC358FB">
            <w:pPr>
              <w:spacing w:line="460" w:lineRule="exact"/>
              <w:jc w:val="center"/>
              <w:rPr>
                <w:rFonts w:hAnsi="宋体" w:cs="宋体"/>
                <w:color w:val="auto"/>
                <w:sz w:val="24"/>
                <w:highlight w:val="none"/>
              </w:rPr>
            </w:pPr>
            <w:r>
              <w:rPr>
                <w:rFonts w:hint="eastAsia" w:hAnsi="宋体" w:cs="宋体"/>
                <w:color w:val="auto"/>
                <w:sz w:val="24"/>
                <w:highlight w:val="none"/>
              </w:rPr>
              <w:t>1</w:t>
            </w:r>
          </w:p>
        </w:tc>
        <w:tc>
          <w:tcPr>
            <w:tcW w:w="1656" w:type="dxa"/>
            <w:tcBorders>
              <w:left w:val="single" w:color="auto" w:sz="4" w:space="0"/>
            </w:tcBorders>
            <w:vAlign w:val="center"/>
          </w:tcPr>
          <w:p w14:paraId="5051A90D">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首次磋商报价</w:t>
            </w:r>
          </w:p>
        </w:tc>
        <w:tc>
          <w:tcPr>
            <w:tcW w:w="6152" w:type="dxa"/>
            <w:vAlign w:val="center"/>
          </w:tcPr>
          <w:p w14:paraId="7DA9C399">
            <w:pPr>
              <w:spacing w:line="460" w:lineRule="exact"/>
              <w:rPr>
                <w:rFonts w:hAnsi="宋体" w:cs="宋体"/>
                <w:color w:val="auto"/>
                <w:sz w:val="21"/>
                <w:szCs w:val="21"/>
                <w:highlight w:val="none"/>
              </w:rPr>
            </w:pPr>
            <w:r>
              <w:rPr>
                <w:rFonts w:hint="eastAsia" w:hAnsi="宋体" w:cs="宋体"/>
                <w:color w:val="auto"/>
                <w:sz w:val="21"/>
                <w:szCs w:val="21"/>
                <w:highlight w:val="none"/>
              </w:rPr>
              <w:t>我方首次磋商报价￥：         元</w:t>
            </w:r>
          </w:p>
          <w:p w14:paraId="78DA46A4">
            <w:pPr>
              <w:spacing w:line="460" w:lineRule="exact"/>
              <w:rPr>
                <w:rFonts w:hAnsi="宋体" w:cs="宋体"/>
                <w:color w:val="auto"/>
                <w:sz w:val="21"/>
                <w:szCs w:val="21"/>
                <w:highlight w:val="none"/>
              </w:rPr>
            </w:pPr>
          </w:p>
          <w:p w14:paraId="71C14C69">
            <w:pPr>
              <w:spacing w:line="460" w:lineRule="exact"/>
              <w:rPr>
                <w:rFonts w:hAnsi="宋体" w:cs="宋体"/>
                <w:color w:val="auto"/>
                <w:sz w:val="21"/>
                <w:szCs w:val="21"/>
                <w:highlight w:val="none"/>
                <w:u w:val="single"/>
              </w:rPr>
            </w:pPr>
            <w:r>
              <w:rPr>
                <w:rFonts w:hint="eastAsia" w:hAnsi="宋体" w:cs="宋体"/>
                <w:color w:val="auto"/>
                <w:sz w:val="21"/>
                <w:szCs w:val="21"/>
                <w:highlight w:val="none"/>
              </w:rPr>
              <w:t>（大写）</w:t>
            </w:r>
            <w:r>
              <w:rPr>
                <w:rFonts w:hint="eastAsia" w:hAnsi="宋体" w:cs="宋体"/>
                <w:color w:val="auto"/>
                <w:sz w:val="21"/>
                <w:szCs w:val="21"/>
                <w:highlight w:val="none"/>
                <w:u w:val="single"/>
              </w:rPr>
              <w:t>人民币</w:t>
            </w:r>
          </w:p>
        </w:tc>
      </w:tr>
      <w:tr w14:paraId="5260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0DBA1205">
            <w:pPr>
              <w:spacing w:line="460" w:lineRule="exact"/>
              <w:jc w:val="center"/>
              <w:rPr>
                <w:rFonts w:hAnsi="宋体" w:cs="宋体"/>
                <w:color w:val="auto"/>
                <w:sz w:val="24"/>
                <w:highlight w:val="none"/>
              </w:rPr>
            </w:pPr>
            <w:r>
              <w:rPr>
                <w:rFonts w:hint="eastAsia" w:hAnsi="宋体" w:cs="宋体"/>
                <w:color w:val="auto"/>
                <w:sz w:val="24"/>
                <w:highlight w:val="none"/>
              </w:rPr>
              <w:t>2</w:t>
            </w:r>
          </w:p>
        </w:tc>
        <w:tc>
          <w:tcPr>
            <w:tcW w:w="1656" w:type="dxa"/>
            <w:tcBorders>
              <w:left w:val="single" w:color="auto" w:sz="4" w:space="0"/>
            </w:tcBorders>
            <w:vAlign w:val="center"/>
          </w:tcPr>
          <w:p w14:paraId="0BB0448E">
            <w:pPr>
              <w:spacing w:line="460" w:lineRule="exact"/>
              <w:jc w:val="center"/>
              <w:rPr>
                <w:rFonts w:hAnsi="宋体" w:cs="宋体"/>
                <w:color w:val="auto"/>
                <w:sz w:val="24"/>
                <w:highlight w:val="none"/>
              </w:rPr>
            </w:pPr>
            <w:r>
              <w:rPr>
                <w:rFonts w:hint="eastAsia" w:hAnsi="宋体" w:cs="宋体"/>
                <w:color w:val="auto"/>
                <w:sz w:val="21"/>
                <w:szCs w:val="21"/>
                <w:highlight w:val="none"/>
              </w:rPr>
              <w:t>报价说明</w:t>
            </w:r>
          </w:p>
        </w:tc>
        <w:tc>
          <w:tcPr>
            <w:tcW w:w="6152" w:type="dxa"/>
            <w:vAlign w:val="center"/>
          </w:tcPr>
          <w:p w14:paraId="53CC09C7">
            <w:pPr>
              <w:widowControl/>
              <w:spacing w:line="460" w:lineRule="exact"/>
              <w:jc w:val="both"/>
              <w:rPr>
                <w:rFonts w:hAnsi="宋体" w:cs="宋体"/>
                <w:color w:val="auto"/>
                <w:sz w:val="21"/>
                <w:szCs w:val="21"/>
                <w:highlight w:val="none"/>
                <w:u w:val="single"/>
              </w:rPr>
            </w:pPr>
            <w:r>
              <w:rPr>
                <w:rFonts w:hint="eastAsia" w:hAnsi="宋体" w:cs="宋体"/>
                <w:color w:val="auto"/>
                <w:sz w:val="21"/>
                <w:szCs w:val="21"/>
                <w:highlight w:val="none"/>
              </w:rPr>
              <w:t>本供应商已知悉并同意，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14F6E0B8">
      <w:pPr>
        <w:ind w:firstLine="840" w:firstLineChars="400"/>
        <w:rPr>
          <w:rFonts w:hAnsi="宋体" w:cs="宋体"/>
          <w:color w:val="auto"/>
          <w:kern w:val="2"/>
          <w:sz w:val="21"/>
          <w:szCs w:val="21"/>
          <w:highlight w:val="none"/>
        </w:rPr>
      </w:pPr>
    </w:p>
    <w:p w14:paraId="6886E863">
      <w:pPr>
        <w:ind w:firstLine="840" w:firstLineChars="400"/>
        <w:rPr>
          <w:rFonts w:hAnsi="宋体" w:cs="宋体"/>
          <w:color w:val="auto"/>
          <w:kern w:val="2"/>
          <w:sz w:val="21"/>
          <w:szCs w:val="21"/>
          <w:highlight w:val="none"/>
        </w:rPr>
      </w:pPr>
    </w:p>
    <w:p w14:paraId="37F98EA2">
      <w:pPr>
        <w:ind w:firstLine="840" w:firstLineChars="400"/>
        <w:rPr>
          <w:rFonts w:hAnsi="宋体" w:cs="宋体"/>
          <w:color w:val="auto"/>
          <w:kern w:val="2"/>
          <w:sz w:val="21"/>
          <w:szCs w:val="21"/>
          <w:highlight w:val="none"/>
        </w:rPr>
      </w:pPr>
    </w:p>
    <w:p w14:paraId="267F3564">
      <w:pPr>
        <w:ind w:firstLine="630" w:firstLineChars="300"/>
        <w:rPr>
          <w:rFonts w:hAnsi="宋体" w:cs="宋体"/>
          <w:color w:val="auto"/>
          <w:sz w:val="21"/>
          <w:szCs w:val="21"/>
          <w:highlight w:val="none"/>
        </w:rPr>
      </w:pPr>
      <w:r>
        <w:rPr>
          <w:rFonts w:hint="eastAsia" w:hAnsi="宋体" w:cs="宋体"/>
          <w:color w:val="auto"/>
          <w:sz w:val="21"/>
          <w:szCs w:val="21"/>
          <w:highlight w:val="none"/>
        </w:rPr>
        <w:t>供应商全称（加盖公章）：</w:t>
      </w:r>
    </w:p>
    <w:p w14:paraId="1676F281">
      <w:pPr>
        <w:jc w:val="center"/>
        <w:rPr>
          <w:rFonts w:hAnsi="宋体" w:cs="宋体"/>
          <w:color w:val="auto"/>
          <w:sz w:val="21"/>
          <w:szCs w:val="21"/>
          <w:highlight w:val="none"/>
        </w:rPr>
      </w:pPr>
    </w:p>
    <w:p w14:paraId="2D46AD21">
      <w:pPr>
        <w:ind w:firstLine="630" w:firstLineChars="300"/>
        <w:rPr>
          <w:rFonts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5DED2E7E">
      <w:pPr>
        <w:rPr>
          <w:rFonts w:hAnsi="宋体" w:cs="宋体"/>
          <w:smallCaps/>
          <w:color w:val="auto"/>
          <w:sz w:val="21"/>
          <w:szCs w:val="21"/>
          <w:highlight w:val="none"/>
        </w:rPr>
      </w:pPr>
    </w:p>
    <w:p w14:paraId="621998AA">
      <w:pPr>
        <w:ind w:firstLine="630" w:firstLineChars="300"/>
        <w:rPr>
          <w:rFonts w:hAnsi="宋体" w:cs="宋体"/>
          <w:color w:val="auto"/>
          <w:sz w:val="24"/>
          <w:highlight w:val="none"/>
        </w:rPr>
      </w:pPr>
      <w:r>
        <w:rPr>
          <w:rFonts w:hint="eastAsia" w:hAnsi="宋体" w:cs="宋体"/>
          <w:color w:val="auto"/>
          <w:sz w:val="21"/>
          <w:szCs w:val="21"/>
          <w:highlight w:val="none"/>
        </w:rPr>
        <w:t xml:space="preserve">日期：    年      月      日 </w:t>
      </w:r>
    </w:p>
    <w:p w14:paraId="2AEE3262">
      <w:pPr>
        <w:ind w:firstLine="4800" w:firstLineChars="2000"/>
        <w:rPr>
          <w:rFonts w:hAnsi="宋体" w:cs="宋体"/>
          <w:color w:val="auto"/>
          <w:sz w:val="24"/>
          <w:highlight w:val="none"/>
        </w:rPr>
      </w:pPr>
    </w:p>
    <w:p w14:paraId="6C71A47F">
      <w:pPr>
        <w:rPr>
          <w:rFonts w:hAnsi="宋体" w:cs="宋体"/>
          <w:b/>
          <w:color w:val="auto"/>
          <w:sz w:val="24"/>
          <w:highlight w:val="none"/>
        </w:rPr>
      </w:pPr>
    </w:p>
    <w:p w14:paraId="4606B57C">
      <w:pPr>
        <w:pStyle w:val="2"/>
        <w:ind w:left="680"/>
        <w:rPr>
          <w:rFonts w:ascii="宋体" w:hAnsi="宋体"/>
          <w:color w:val="auto"/>
          <w:highlight w:val="none"/>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BB3E">
    <w:pPr>
      <w:pStyle w:val="29"/>
      <w:pBdr>
        <w:top w:val="single" w:color="auto" w:sz="4" w:space="1"/>
      </w:pBdr>
      <w:ind w:right="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555D">
    <w:pPr>
      <w:pStyle w:val="29"/>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14:paraId="6EED5B3F">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DF6A">
    <w:pPr>
      <w:pStyle w:val="29"/>
      <w:pBdr>
        <w:top w:val="single" w:color="auto" w:sz="4" w:space="1"/>
      </w:pBdr>
      <w:ind w:right="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EC3B">
    <w:pPr>
      <w:pStyle w:val="29"/>
      <w:pBdr>
        <w:top w:val="single" w:color="auto" w:sz="4" w:space="1"/>
      </w:pBdr>
      <w:ind w:right="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FC46E9">
                          <w:pPr>
                            <w:pStyle w:val="29"/>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1FC46E9">
                    <w:pPr>
                      <w:pStyle w:val="29"/>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0503F">
    <w:pPr>
      <w:pStyle w:val="31"/>
    </w:pPr>
    <w:r>
      <w:rPr>
        <w:rFonts w:hint="eastAsia"/>
      </w:rPr>
      <w:t>金华市天盈招标代理有限公司</w:t>
    </w:r>
  </w:p>
  <w:p w14:paraId="6E794AEE">
    <w:pPr>
      <w:pStyle w:val="31"/>
    </w:pPr>
    <w:r>
      <w:rPr>
        <w:rFonts w:hint="eastAsia"/>
      </w:rPr>
      <w:t>项目编号：TY2025-FW120-ZFCG120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340">
    <w:pPr>
      <w:pStyle w:val="31"/>
    </w:pPr>
    <w:r>
      <w:pict>
        <v:shape id="_x0000_s3078" o:spid="_x0000_s3078"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FBAC">
    <w:pPr>
      <w:pStyle w:val="31"/>
    </w:pPr>
    <w:r>
      <w:pict>
        <v:shape id="_x0000_s3076" o:spid="_x0000_s3076"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金华市天盈招标代理有限公司</w:t>
    </w:r>
  </w:p>
  <w:p w14:paraId="4CC2A860">
    <w:pPr>
      <w:pStyle w:val="31"/>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11AE3"/>
    <w:multiLevelType w:val="singleLevel"/>
    <w:tmpl w:val="81011AE3"/>
    <w:lvl w:ilvl="0" w:tentative="0">
      <w:start w:val="1"/>
      <w:numFmt w:val="decimal"/>
      <w:suff w:val="space"/>
      <w:lvlText w:val="(%1)"/>
      <w:lvlJc w:val="left"/>
      <w:pPr>
        <w:ind w:left="425" w:hanging="425"/>
      </w:pPr>
      <w:rPr>
        <w:rFonts w:hint="default"/>
      </w:rPr>
    </w:lvl>
  </w:abstractNum>
  <w:abstractNum w:abstractNumId="1">
    <w:nsid w:val="BAA3FCE2"/>
    <w:multiLevelType w:val="singleLevel"/>
    <w:tmpl w:val="BAA3FCE2"/>
    <w:lvl w:ilvl="0" w:tentative="0">
      <w:start w:val="1"/>
      <w:numFmt w:val="decimal"/>
      <w:suff w:val="space"/>
      <w:lvlText w:val="(%1)"/>
      <w:lvlJc w:val="left"/>
      <w:pPr>
        <w:ind w:left="425" w:hanging="425"/>
      </w:pPr>
      <w:rPr>
        <w:rFonts w:hint="default"/>
        <w:sz w:val="24"/>
        <w:szCs w:val="24"/>
      </w:rPr>
    </w:lvl>
  </w:abstractNum>
  <w:abstractNum w:abstractNumId="2">
    <w:nsid w:val="E41FECC4"/>
    <w:multiLevelType w:val="singleLevel"/>
    <w:tmpl w:val="E41FECC4"/>
    <w:lvl w:ilvl="0" w:tentative="0">
      <w:start w:val="1"/>
      <w:numFmt w:val="decimal"/>
      <w:suff w:val="space"/>
      <w:lvlText w:val="(%1)"/>
      <w:lvlJc w:val="left"/>
      <w:pPr>
        <w:ind w:left="425" w:hanging="425"/>
      </w:pPr>
      <w:rPr>
        <w:rFonts w:hint="default"/>
        <w:sz w:val="24"/>
        <w:szCs w:val="24"/>
      </w:rPr>
    </w:lvl>
  </w:abstractNum>
  <w:abstractNum w:abstractNumId="3">
    <w:nsid w:val="00000009"/>
    <w:multiLevelType w:val="singleLevel"/>
    <w:tmpl w:val="00000009"/>
    <w:lvl w:ilvl="0" w:tentative="0">
      <w:start w:val="2"/>
      <w:numFmt w:val="decimal"/>
      <w:suff w:val="nothing"/>
      <w:lvlText w:val="%1."/>
      <w:lvlJc w:val="left"/>
    </w:lvl>
  </w:abstractNum>
  <w:abstractNum w:abstractNumId="4">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5">
    <w:nsid w:val="30083F83"/>
    <w:multiLevelType w:val="multilevel"/>
    <w:tmpl w:val="30083F83"/>
    <w:lvl w:ilvl="0" w:tentative="0">
      <w:start w:val="1"/>
      <w:numFmt w:val="chineseCounting"/>
      <w:suff w:val="nothing"/>
      <w:lvlText w:val="%1、"/>
      <w:lvlJc w:val="left"/>
      <w:pPr>
        <w:ind w:left="26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407798B8"/>
    <w:multiLevelType w:val="singleLevel"/>
    <w:tmpl w:val="407798B8"/>
    <w:lvl w:ilvl="0" w:tentative="0">
      <w:start w:val="1"/>
      <w:numFmt w:val="chineseCounting"/>
      <w:suff w:val="nothing"/>
      <w:lvlText w:val="（%1）"/>
      <w:lvlJc w:val="left"/>
      <w:pPr>
        <w:ind w:left="0" w:firstLine="420"/>
      </w:pPr>
      <w:rPr>
        <w:rFonts w:hint="eastAsia"/>
      </w:rPr>
    </w:lvl>
  </w:abstractNum>
  <w:abstractNum w:abstractNumId="7">
    <w:nsid w:val="4177D8CF"/>
    <w:multiLevelType w:val="singleLevel"/>
    <w:tmpl w:val="4177D8CF"/>
    <w:lvl w:ilvl="0" w:tentative="0">
      <w:start w:val="1"/>
      <w:numFmt w:val="decimalEnclosedCircleChinese"/>
      <w:suff w:val="nothing"/>
      <w:lvlText w:val="%1　"/>
      <w:lvlJc w:val="left"/>
      <w:pPr>
        <w:ind w:left="0" w:firstLine="400"/>
      </w:pPr>
      <w:rPr>
        <w:rFonts w:hint="eastAsia"/>
      </w:rPr>
    </w:lvl>
  </w:abstractNum>
  <w:abstractNum w:abstractNumId="8">
    <w:nsid w:val="50ED5EF6"/>
    <w:multiLevelType w:val="multilevel"/>
    <w:tmpl w:val="50ED5EF6"/>
    <w:lvl w:ilvl="0" w:tentative="0">
      <w:start w:val="1"/>
      <w:numFmt w:val="bullet"/>
      <w:lvlText w:val=""/>
      <w:lvlJc w:val="left"/>
      <w:pPr>
        <w:ind w:left="420" w:hanging="420"/>
      </w:pPr>
      <w:rPr>
        <w:rFonts w:hint="default" w:ascii="Wingdings" w:hAnsi="Wingdings"/>
      </w:rPr>
    </w:lvl>
    <w:lvl w:ilvl="1" w:tentative="0">
      <w:start w:val="1"/>
      <w:numFmt w:val="bullet"/>
      <w:pStyle w:val="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A34E2AA"/>
    <w:multiLevelType w:val="multilevel"/>
    <w:tmpl w:val="5A34E2AA"/>
    <w:lvl w:ilvl="0" w:tentative="0">
      <w:start w:val="1"/>
      <w:numFmt w:val="decimal"/>
      <w:lvlText w:val="%1."/>
      <w:lvlJc w:val="left"/>
      <w:pPr>
        <w:tabs>
          <w:tab w:val="left" w:pos="0"/>
        </w:tabs>
        <w:ind w:left="56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8"/>
  </w:num>
  <w:num w:numId="2">
    <w:abstractNumId w:val="9"/>
  </w:num>
  <w:num w:numId="3">
    <w:abstractNumId w:val="5"/>
  </w:num>
  <w:num w:numId="4">
    <w:abstractNumId w:val="6"/>
  </w:num>
  <w:num w:numId="5">
    <w:abstractNumId w:val="0"/>
  </w:num>
  <w:num w:numId="6">
    <w:abstractNumId w:val="1"/>
  </w:num>
  <w:num w:numId="7">
    <w:abstractNumId w:val="2"/>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70"/>
  <w:drawingGridVerticalSpacing w:val="240"/>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1EB6"/>
    <w:rsid w:val="00003500"/>
    <w:rsid w:val="000065BD"/>
    <w:rsid w:val="00007516"/>
    <w:rsid w:val="00007883"/>
    <w:rsid w:val="00015486"/>
    <w:rsid w:val="000154EA"/>
    <w:rsid w:val="00017C3C"/>
    <w:rsid w:val="00017FE5"/>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3252"/>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201B"/>
    <w:rsid w:val="001F24D4"/>
    <w:rsid w:val="001F36D0"/>
    <w:rsid w:val="001F62E5"/>
    <w:rsid w:val="001F72D7"/>
    <w:rsid w:val="002009A6"/>
    <w:rsid w:val="00200A38"/>
    <w:rsid w:val="0020131E"/>
    <w:rsid w:val="002039DF"/>
    <w:rsid w:val="00203D41"/>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47936"/>
    <w:rsid w:val="00250098"/>
    <w:rsid w:val="0025414B"/>
    <w:rsid w:val="002542F5"/>
    <w:rsid w:val="00255574"/>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B509F"/>
    <w:rsid w:val="002C0129"/>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0F02"/>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4136"/>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70DE"/>
    <w:rsid w:val="00412220"/>
    <w:rsid w:val="0042166E"/>
    <w:rsid w:val="00424D60"/>
    <w:rsid w:val="004250FA"/>
    <w:rsid w:val="004258A1"/>
    <w:rsid w:val="00426D20"/>
    <w:rsid w:val="00426FA4"/>
    <w:rsid w:val="00430A12"/>
    <w:rsid w:val="00430AB9"/>
    <w:rsid w:val="0043271B"/>
    <w:rsid w:val="004332D9"/>
    <w:rsid w:val="00433FA3"/>
    <w:rsid w:val="00434ADB"/>
    <w:rsid w:val="00450B4B"/>
    <w:rsid w:val="0045315C"/>
    <w:rsid w:val="0045446E"/>
    <w:rsid w:val="004551F1"/>
    <w:rsid w:val="00462C4A"/>
    <w:rsid w:val="00463BA2"/>
    <w:rsid w:val="00464B74"/>
    <w:rsid w:val="0046505F"/>
    <w:rsid w:val="00465A2E"/>
    <w:rsid w:val="00466257"/>
    <w:rsid w:val="004747B7"/>
    <w:rsid w:val="00476E28"/>
    <w:rsid w:val="00481699"/>
    <w:rsid w:val="004816FD"/>
    <w:rsid w:val="00485F27"/>
    <w:rsid w:val="00486CE9"/>
    <w:rsid w:val="00486E76"/>
    <w:rsid w:val="004904F2"/>
    <w:rsid w:val="0049275C"/>
    <w:rsid w:val="00492D9B"/>
    <w:rsid w:val="004949E4"/>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806B7"/>
    <w:rsid w:val="0058108A"/>
    <w:rsid w:val="00581E5E"/>
    <w:rsid w:val="00585326"/>
    <w:rsid w:val="00585CAA"/>
    <w:rsid w:val="0058625A"/>
    <w:rsid w:val="00586FFE"/>
    <w:rsid w:val="005950CB"/>
    <w:rsid w:val="005950E0"/>
    <w:rsid w:val="005959E8"/>
    <w:rsid w:val="00595DF2"/>
    <w:rsid w:val="005974FB"/>
    <w:rsid w:val="00597F80"/>
    <w:rsid w:val="005A0655"/>
    <w:rsid w:val="005A1E79"/>
    <w:rsid w:val="005A4569"/>
    <w:rsid w:val="005A50B3"/>
    <w:rsid w:val="005B47AF"/>
    <w:rsid w:val="005B4878"/>
    <w:rsid w:val="005B60D3"/>
    <w:rsid w:val="005C059F"/>
    <w:rsid w:val="005C1D4B"/>
    <w:rsid w:val="005C554E"/>
    <w:rsid w:val="005C5EE7"/>
    <w:rsid w:val="005D2E83"/>
    <w:rsid w:val="005D3D72"/>
    <w:rsid w:val="005D562F"/>
    <w:rsid w:val="005D6A25"/>
    <w:rsid w:val="005D6C05"/>
    <w:rsid w:val="005D740C"/>
    <w:rsid w:val="005E1EDB"/>
    <w:rsid w:val="005E2BE8"/>
    <w:rsid w:val="005E5E89"/>
    <w:rsid w:val="005E6500"/>
    <w:rsid w:val="005E7835"/>
    <w:rsid w:val="005E7F2F"/>
    <w:rsid w:val="005F0793"/>
    <w:rsid w:val="005F092D"/>
    <w:rsid w:val="005F309E"/>
    <w:rsid w:val="005F3274"/>
    <w:rsid w:val="005F447A"/>
    <w:rsid w:val="005F5874"/>
    <w:rsid w:val="005F62C7"/>
    <w:rsid w:val="005F640B"/>
    <w:rsid w:val="005F68E9"/>
    <w:rsid w:val="005F7885"/>
    <w:rsid w:val="005F7D4C"/>
    <w:rsid w:val="00600BAA"/>
    <w:rsid w:val="0060269E"/>
    <w:rsid w:val="00605C2E"/>
    <w:rsid w:val="00605E14"/>
    <w:rsid w:val="00606BE1"/>
    <w:rsid w:val="00612249"/>
    <w:rsid w:val="00615B28"/>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A3BB5"/>
    <w:rsid w:val="006A5A14"/>
    <w:rsid w:val="006C1372"/>
    <w:rsid w:val="006C2CE7"/>
    <w:rsid w:val="006C3980"/>
    <w:rsid w:val="006C51D1"/>
    <w:rsid w:val="006C550F"/>
    <w:rsid w:val="006C6151"/>
    <w:rsid w:val="006D0968"/>
    <w:rsid w:val="006D159C"/>
    <w:rsid w:val="006D1670"/>
    <w:rsid w:val="006D1959"/>
    <w:rsid w:val="006D3D50"/>
    <w:rsid w:val="006D7F9C"/>
    <w:rsid w:val="006E14E4"/>
    <w:rsid w:val="006E30A5"/>
    <w:rsid w:val="006E470D"/>
    <w:rsid w:val="006E5EF7"/>
    <w:rsid w:val="006E6EC7"/>
    <w:rsid w:val="006F1D7A"/>
    <w:rsid w:val="006F2126"/>
    <w:rsid w:val="006F4FB4"/>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0E25"/>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35D9"/>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39E1"/>
    <w:rsid w:val="007E464E"/>
    <w:rsid w:val="007E49E2"/>
    <w:rsid w:val="007E5768"/>
    <w:rsid w:val="007F01E9"/>
    <w:rsid w:val="007F0989"/>
    <w:rsid w:val="007F0DD9"/>
    <w:rsid w:val="007F145C"/>
    <w:rsid w:val="007F14EA"/>
    <w:rsid w:val="007F5D9C"/>
    <w:rsid w:val="007F6683"/>
    <w:rsid w:val="007F6784"/>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935B1"/>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4E3"/>
    <w:rsid w:val="00914601"/>
    <w:rsid w:val="00915D11"/>
    <w:rsid w:val="00920BDF"/>
    <w:rsid w:val="00921E24"/>
    <w:rsid w:val="00921FFA"/>
    <w:rsid w:val="00925593"/>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1B8D"/>
    <w:rsid w:val="00A47E29"/>
    <w:rsid w:val="00A50617"/>
    <w:rsid w:val="00A52B97"/>
    <w:rsid w:val="00A532EE"/>
    <w:rsid w:val="00A543C4"/>
    <w:rsid w:val="00A559DF"/>
    <w:rsid w:val="00A56330"/>
    <w:rsid w:val="00A6310E"/>
    <w:rsid w:val="00A63A4F"/>
    <w:rsid w:val="00A656F2"/>
    <w:rsid w:val="00A6603D"/>
    <w:rsid w:val="00A708DB"/>
    <w:rsid w:val="00A70F50"/>
    <w:rsid w:val="00A75056"/>
    <w:rsid w:val="00A75694"/>
    <w:rsid w:val="00A75809"/>
    <w:rsid w:val="00A77051"/>
    <w:rsid w:val="00A814B5"/>
    <w:rsid w:val="00A8377F"/>
    <w:rsid w:val="00A85A0E"/>
    <w:rsid w:val="00A8619B"/>
    <w:rsid w:val="00A86C8E"/>
    <w:rsid w:val="00A900C0"/>
    <w:rsid w:val="00A909B7"/>
    <w:rsid w:val="00A93C1A"/>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5AF"/>
    <w:rsid w:val="00AE46B6"/>
    <w:rsid w:val="00AE6C74"/>
    <w:rsid w:val="00AF4196"/>
    <w:rsid w:val="00AF4FB9"/>
    <w:rsid w:val="00AF5044"/>
    <w:rsid w:val="00AF6D03"/>
    <w:rsid w:val="00B006B6"/>
    <w:rsid w:val="00B00808"/>
    <w:rsid w:val="00B01D56"/>
    <w:rsid w:val="00B03EEA"/>
    <w:rsid w:val="00B05BA3"/>
    <w:rsid w:val="00B075EA"/>
    <w:rsid w:val="00B10649"/>
    <w:rsid w:val="00B11B39"/>
    <w:rsid w:val="00B136A1"/>
    <w:rsid w:val="00B138F3"/>
    <w:rsid w:val="00B16F1C"/>
    <w:rsid w:val="00B17214"/>
    <w:rsid w:val="00B17C27"/>
    <w:rsid w:val="00B200AB"/>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37A"/>
    <w:rsid w:val="00B67AC7"/>
    <w:rsid w:val="00B720DF"/>
    <w:rsid w:val="00B72C0C"/>
    <w:rsid w:val="00B74148"/>
    <w:rsid w:val="00B80166"/>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355E"/>
    <w:rsid w:val="00BA41B3"/>
    <w:rsid w:val="00BA5979"/>
    <w:rsid w:val="00BA5FCA"/>
    <w:rsid w:val="00BA64F6"/>
    <w:rsid w:val="00BA737D"/>
    <w:rsid w:val="00BA7FF0"/>
    <w:rsid w:val="00BB00C1"/>
    <w:rsid w:val="00BB40C9"/>
    <w:rsid w:val="00BB5B76"/>
    <w:rsid w:val="00BB6386"/>
    <w:rsid w:val="00BB7A07"/>
    <w:rsid w:val="00BC0BAB"/>
    <w:rsid w:val="00BC2870"/>
    <w:rsid w:val="00BC5ECD"/>
    <w:rsid w:val="00BC6C9C"/>
    <w:rsid w:val="00BC7217"/>
    <w:rsid w:val="00BC7DF8"/>
    <w:rsid w:val="00BD293D"/>
    <w:rsid w:val="00BD3B1D"/>
    <w:rsid w:val="00BD4CD7"/>
    <w:rsid w:val="00BD5260"/>
    <w:rsid w:val="00BD5869"/>
    <w:rsid w:val="00BD78B0"/>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7026"/>
    <w:rsid w:val="00C1604A"/>
    <w:rsid w:val="00C21011"/>
    <w:rsid w:val="00C25428"/>
    <w:rsid w:val="00C254D0"/>
    <w:rsid w:val="00C258A4"/>
    <w:rsid w:val="00C265A8"/>
    <w:rsid w:val="00C3221E"/>
    <w:rsid w:val="00C3232B"/>
    <w:rsid w:val="00C34E90"/>
    <w:rsid w:val="00C37D44"/>
    <w:rsid w:val="00C41000"/>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292C"/>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D75"/>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01F2"/>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11C3"/>
    <w:rsid w:val="00DF6DC6"/>
    <w:rsid w:val="00DF729B"/>
    <w:rsid w:val="00E02348"/>
    <w:rsid w:val="00E02911"/>
    <w:rsid w:val="00E07998"/>
    <w:rsid w:val="00E07AF8"/>
    <w:rsid w:val="00E10337"/>
    <w:rsid w:val="00E13B53"/>
    <w:rsid w:val="00E14370"/>
    <w:rsid w:val="00E15B03"/>
    <w:rsid w:val="00E176FA"/>
    <w:rsid w:val="00E2082C"/>
    <w:rsid w:val="00E2542A"/>
    <w:rsid w:val="00E25BEA"/>
    <w:rsid w:val="00E2700B"/>
    <w:rsid w:val="00E306F3"/>
    <w:rsid w:val="00E3172D"/>
    <w:rsid w:val="00E31932"/>
    <w:rsid w:val="00E323F8"/>
    <w:rsid w:val="00E34CD0"/>
    <w:rsid w:val="00E37B3C"/>
    <w:rsid w:val="00E42488"/>
    <w:rsid w:val="00E425B4"/>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4B3A"/>
    <w:rsid w:val="00EB7B8F"/>
    <w:rsid w:val="00EB7DC3"/>
    <w:rsid w:val="00EC20B9"/>
    <w:rsid w:val="00EC234A"/>
    <w:rsid w:val="00EC29F8"/>
    <w:rsid w:val="00EC6C41"/>
    <w:rsid w:val="00ED046F"/>
    <w:rsid w:val="00ED0C36"/>
    <w:rsid w:val="00ED0E53"/>
    <w:rsid w:val="00ED2EB7"/>
    <w:rsid w:val="00ED38BB"/>
    <w:rsid w:val="00ED6E6C"/>
    <w:rsid w:val="00ED7282"/>
    <w:rsid w:val="00EE032D"/>
    <w:rsid w:val="00EE1C37"/>
    <w:rsid w:val="00EE244D"/>
    <w:rsid w:val="00EE3D74"/>
    <w:rsid w:val="00EE42BF"/>
    <w:rsid w:val="00EE553A"/>
    <w:rsid w:val="00EE631B"/>
    <w:rsid w:val="00EF0188"/>
    <w:rsid w:val="00EF062F"/>
    <w:rsid w:val="00EF1E34"/>
    <w:rsid w:val="00EF4E3A"/>
    <w:rsid w:val="00EF6F75"/>
    <w:rsid w:val="00EF7400"/>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5AB"/>
    <w:rsid w:val="00F505D4"/>
    <w:rsid w:val="00F50B47"/>
    <w:rsid w:val="00F5123C"/>
    <w:rsid w:val="00F54387"/>
    <w:rsid w:val="00F5546A"/>
    <w:rsid w:val="00F61331"/>
    <w:rsid w:val="00F61397"/>
    <w:rsid w:val="00F620CF"/>
    <w:rsid w:val="00F62F71"/>
    <w:rsid w:val="00F658BC"/>
    <w:rsid w:val="00F70CA4"/>
    <w:rsid w:val="00F7330F"/>
    <w:rsid w:val="00F76F96"/>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57A0"/>
    <w:rsid w:val="00FE6E23"/>
    <w:rsid w:val="00FF4682"/>
    <w:rsid w:val="00FF5864"/>
    <w:rsid w:val="011A3081"/>
    <w:rsid w:val="01445219"/>
    <w:rsid w:val="014D3BAA"/>
    <w:rsid w:val="015D0D5E"/>
    <w:rsid w:val="018D3454"/>
    <w:rsid w:val="01964371"/>
    <w:rsid w:val="019959C2"/>
    <w:rsid w:val="01BA3B05"/>
    <w:rsid w:val="01CA78BB"/>
    <w:rsid w:val="01DF5DF4"/>
    <w:rsid w:val="01F571E8"/>
    <w:rsid w:val="02455FA1"/>
    <w:rsid w:val="024E4B4B"/>
    <w:rsid w:val="02626910"/>
    <w:rsid w:val="02691A38"/>
    <w:rsid w:val="0273010D"/>
    <w:rsid w:val="027374EB"/>
    <w:rsid w:val="02AD2A23"/>
    <w:rsid w:val="02B96307"/>
    <w:rsid w:val="02EB239A"/>
    <w:rsid w:val="032105AF"/>
    <w:rsid w:val="03490A79"/>
    <w:rsid w:val="034F0B7A"/>
    <w:rsid w:val="03A42D1D"/>
    <w:rsid w:val="03C026A0"/>
    <w:rsid w:val="03F55CA4"/>
    <w:rsid w:val="043933C4"/>
    <w:rsid w:val="045D4DF7"/>
    <w:rsid w:val="0484040B"/>
    <w:rsid w:val="04C3001C"/>
    <w:rsid w:val="04CD7F1F"/>
    <w:rsid w:val="04D0585E"/>
    <w:rsid w:val="04DB5B34"/>
    <w:rsid w:val="04FB719F"/>
    <w:rsid w:val="0546586A"/>
    <w:rsid w:val="058E7CD4"/>
    <w:rsid w:val="05AF7823"/>
    <w:rsid w:val="05EC26B0"/>
    <w:rsid w:val="06013D6D"/>
    <w:rsid w:val="06131699"/>
    <w:rsid w:val="06507266"/>
    <w:rsid w:val="066B6FE6"/>
    <w:rsid w:val="06955EA7"/>
    <w:rsid w:val="06A32EC1"/>
    <w:rsid w:val="06B0246B"/>
    <w:rsid w:val="06BD404D"/>
    <w:rsid w:val="06E40E7E"/>
    <w:rsid w:val="0756081C"/>
    <w:rsid w:val="078C338B"/>
    <w:rsid w:val="07AA5C08"/>
    <w:rsid w:val="07B80843"/>
    <w:rsid w:val="07B955D8"/>
    <w:rsid w:val="07C01C24"/>
    <w:rsid w:val="07FB532D"/>
    <w:rsid w:val="081D7F53"/>
    <w:rsid w:val="08367FF7"/>
    <w:rsid w:val="08413377"/>
    <w:rsid w:val="08703A48"/>
    <w:rsid w:val="08887C9C"/>
    <w:rsid w:val="08AF0B75"/>
    <w:rsid w:val="08C627F0"/>
    <w:rsid w:val="08E41D65"/>
    <w:rsid w:val="08E97758"/>
    <w:rsid w:val="090A20A4"/>
    <w:rsid w:val="093D059E"/>
    <w:rsid w:val="0965208B"/>
    <w:rsid w:val="09776999"/>
    <w:rsid w:val="099E1F14"/>
    <w:rsid w:val="09A80FE4"/>
    <w:rsid w:val="0A1E5D60"/>
    <w:rsid w:val="0A24457A"/>
    <w:rsid w:val="0A27015B"/>
    <w:rsid w:val="0A4B630F"/>
    <w:rsid w:val="0A925B3C"/>
    <w:rsid w:val="0A977E58"/>
    <w:rsid w:val="0A9C00DE"/>
    <w:rsid w:val="0ADA18C7"/>
    <w:rsid w:val="0ADC4A0A"/>
    <w:rsid w:val="0AE80332"/>
    <w:rsid w:val="0B386664"/>
    <w:rsid w:val="0B4415AF"/>
    <w:rsid w:val="0B9747CC"/>
    <w:rsid w:val="0BA37CB5"/>
    <w:rsid w:val="0BA44556"/>
    <w:rsid w:val="0BBC2934"/>
    <w:rsid w:val="0BC91163"/>
    <w:rsid w:val="0BCC076D"/>
    <w:rsid w:val="0BE0249D"/>
    <w:rsid w:val="0BE65DF4"/>
    <w:rsid w:val="0C5B2854"/>
    <w:rsid w:val="0C5B4063"/>
    <w:rsid w:val="0C7973C6"/>
    <w:rsid w:val="0C7B5FE8"/>
    <w:rsid w:val="0C9764BE"/>
    <w:rsid w:val="0CBB116C"/>
    <w:rsid w:val="0CCC323C"/>
    <w:rsid w:val="0CE86424"/>
    <w:rsid w:val="0D30764E"/>
    <w:rsid w:val="0D3C3984"/>
    <w:rsid w:val="0D490CF4"/>
    <w:rsid w:val="0D541BB4"/>
    <w:rsid w:val="0D817290"/>
    <w:rsid w:val="0D932696"/>
    <w:rsid w:val="0D96672B"/>
    <w:rsid w:val="0DB05B60"/>
    <w:rsid w:val="0DD0423D"/>
    <w:rsid w:val="0E0C734D"/>
    <w:rsid w:val="0E1F4B47"/>
    <w:rsid w:val="0E4532A6"/>
    <w:rsid w:val="0E475AEF"/>
    <w:rsid w:val="0E595912"/>
    <w:rsid w:val="0E5E6AD7"/>
    <w:rsid w:val="0E7673F3"/>
    <w:rsid w:val="0EC13251"/>
    <w:rsid w:val="0EC341CA"/>
    <w:rsid w:val="0EE620D8"/>
    <w:rsid w:val="0EE90115"/>
    <w:rsid w:val="0F3448DB"/>
    <w:rsid w:val="0F3F3D97"/>
    <w:rsid w:val="0FB223FA"/>
    <w:rsid w:val="0FB87049"/>
    <w:rsid w:val="0FB94F18"/>
    <w:rsid w:val="0FC47D0F"/>
    <w:rsid w:val="0FD52407"/>
    <w:rsid w:val="10826810"/>
    <w:rsid w:val="10A70A03"/>
    <w:rsid w:val="10C0439F"/>
    <w:rsid w:val="10C80BFF"/>
    <w:rsid w:val="10CD14F1"/>
    <w:rsid w:val="115455AE"/>
    <w:rsid w:val="115641A5"/>
    <w:rsid w:val="116C712B"/>
    <w:rsid w:val="118B440B"/>
    <w:rsid w:val="11A108C2"/>
    <w:rsid w:val="11A45941"/>
    <w:rsid w:val="11DF131B"/>
    <w:rsid w:val="11F27335"/>
    <w:rsid w:val="11FB2EBB"/>
    <w:rsid w:val="12180114"/>
    <w:rsid w:val="12520216"/>
    <w:rsid w:val="127453EE"/>
    <w:rsid w:val="12D90460"/>
    <w:rsid w:val="13174AE5"/>
    <w:rsid w:val="132C0C81"/>
    <w:rsid w:val="132F3D40"/>
    <w:rsid w:val="13451652"/>
    <w:rsid w:val="13791216"/>
    <w:rsid w:val="138D4CE3"/>
    <w:rsid w:val="138E1A23"/>
    <w:rsid w:val="13982D2F"/>
    <w:rsid w:val="13B10B61"/>
    <w:rsid w:val="13C60336"/>
    <w:rsid w:val="13E143B5"/>
    <w:rsid w:val="13E50812"/>
    <w:rsid w:val="14130239"/>
    <w:rsid w:val="141A530F"/>
    <w:rsid w:val="14353885"/>
    <w:rsid w:val="143C02F2"/>
    <w:rsid w:val="143D2559"/>
    <w:rsid w:val="14565EE6"/>
    <w:rsid w:val="145C51BF"/>
    <w:rsid w:val="1466120D"/>
    <w:rsid w:val="14773A8D"/>
    <w:rsid w:val="147A357D"/>
    <w:rsid w:val="147B273E"/>
    <w:rsid w:val="147D69AA"/>
    <w:rsid w:val="14A97217"/>
    <w:rsid w:val="14AD5701"/>
    <w:rsid w:val="14CF5A97"/>
    <w:rsid w:val="14F11464"/>
    <w:rsid w:val="14F376A5"/>
    <w:rsid w:val="150822F7"/>
    <w:rsid w:val="150F100D"/>
    <w:rsid w:val="15384F61"/>
    <w:rsid w:val="1575233D"/>
    <w:rsid w:val="15B13EC5"/>
    <w:rsid w:val="15D43A61"/>
    <w:rsid w:val="15D65290"/>
    <w:rsid w:val="15E04FC2"/>
    <w:rsid w:val="15E239E6"/>
    <w:rsid w:val="15E25FEA"/>
    <w:rsid w:val="16236F46"/>
    <w:rsid w:val="16414353"/>
    <w:rsid w:val="16610EEA"/>
    <w:rsid w:val="167F4D6F"/>
    <w:rsid w:val="16856FBA"/>
    <w:rsid w:val="16A144AE"/>
    <w:rsid w:val="16AA3782"/>
    <w:rsid w:val="16CB6F28"/>
    <w:rsid w:val="170013CA"/>
    <w:rsid w:val="172C5003"/>
    <w:rsid w:val="172D07F7"/>
    <w:rsid w:val="17645CB1"/>
    <w:rsid w:val="1783099B"/>
    <w:rsid w:val="17A33F59"/>
    <w:rsid w:val="17C96D35"/>
    <w:rsid w:val="17E273EB"/>
    <w:rsid w:val="17E5229C"/>
    <w:rsid w:val="17ED3AE1"/>
    <w:rsid w:val="18643A69"/>
    <w:rsid w:val="186B6C78"/>
    <w:rsid w:val="18876269"/>
    <w:rsid w:val="18A37798"/>
    <w:rsid w:val="18B24BED"/>
    <w:rsid w:val="18D968AD"/>
    <w:rsid w:val="18E1010A"/>
    <w:rsid w:val="18E8543B"/>
    <w:rsid w:val="18EB2C9C"/>
    <w:rsid w:val="19015DC1"/>
    <w:rsid w:val="192B7279"/>
    <w:rsid w:val="197C356A"/>
    <w:rsid w:val="19841B6B"/>
    <w:rsid w:val="198F2D14"/>
    <w:rsid w:val="19A54169"/>
    <w:rsid w:val="19A953C8"/>
    <w:rsid w:val="19B27315"/>
    <w:rsid w:val="19B33696"/>
    <w:rsid w:val="19B665B8"/>
    <w:rsid w:val="19E716B5"/>
    <w:rsid w:val="1A725A9A"/>
    <w:rsid w:val="1A857B90"/>
    <w:rsid w:val="1ABF3D05"/>
    <w:rsid w:val="1AC37B9A"/>
    <w:rsid w:val="1AD27C6F"/>
    <w:rsid w:val="1B097409"/>
    <w:rsid w:val="1B171B26"/>
    <w:rsid w:val="1B573C61"/>
    <w:rsid w:val="1B6344E1"/>
    <w:rsid w:val="1B8E78BF"/>
    <w:rsid w:val="1C0B1C04"/>
    <w:rsid w:val="1C0C0F5F"/>
    <w:rsid w:val="1C1D514E"/>
    <w:rsid w:val="1C2211DF"/>
    <w:rsid w:val="1C403F49"/>
    <w:rsid w:val="1C5831A6"/>
    <w:rsid w:val="1C722BE3"/>
    <w:rsid w:val="1C874A89"/>
    <w:rsid w:val="1C9427F6"/>
    <w:rsid w:val="1CAD0994"/>
    <w:rsid w:val="1CC5204D"/>
    <w:rsid w:val="1CEB1A91"/>
    <w:rsid w:val="1CEE71D0"/>
    <w:rsid w:val="1D0D1432"/>
    <w:rsid w:val="1D2F3382"/>
    <w:rsid w:val="1D917C0E"/>
    <w:rsid w:val="1DCE4A28"/>
    <w:rsid w:val="1DD43CFE"/>
    <w:rsid w:val="1DEB1048"/>
    <w:rsid w:val="1E0F4D36"/>
    <w:rsid w:val="1E235123"/>
    <w:rsid w:val="1E3E054A"/>
    <w:rsid w:val="1E3E561C"/>
    <w:rsid w:val="1E4D585F"/>
    <w:rsid w:val="1E571FC6"/>
    <w:rsid w:val="1E997443"/>
    <w:rsid w:val="1EEA5A27"/>
    <w:rsid w:val="1F257275"/>
    <w:rsid w:val="1F4629DA"/>
    <w:rsid w:val="1F530599"/>
    <w:rsid w:val="1F6C03B8"/>
    <w:rsid w:val="1F762EF9"/>
    <w:rsid w:val="1F9B6F21"/>
    <w:rsid w:val="1FBC5E96"/>
    <w:rsid w:val="1FDC333E"/>
    <w:rsid w:val="200A566F"/>
    <w:rsid w:val="20221E87"/>
    <w:rsid w:val="2043516B"/>
    <w:rsid w:val="205423A9"/>
    <w:rsid w:val="208517CF"/>
    <w:rsid w:val="20A225FE"/>
    <w:rsid w:val="20BB2F53"/>
    <w:rsid w:val="20F1291F"/>
    <w:rsid w:val="2122071E"/>
    <w:rsid w:val="21286802"/>
    <w:rsid w:val="212B0546"/>
    <w:rsid w:val="2137688C"/>
    <w:rsid w:val="213F2E44"/>
    <w:rsid w:val="21762211"/>
    <w:rsid w:val="21764AD0"/>
    <w:rsid w:val="21AF00FD"/>
    <w:rsid w:val="21C1459A"/>
    <w:rsid w:val="21C26EDE"/>
    <w:rsid w:val="21CC170B"/>
    <w:rsid w:val="21DE0D50"/>
    <w:rsid w:val="21DE514B"/>
    <w:rsid w:val="21EF7B8F"/>
    <w:rsid w:val="22121299"/>
    <w:rsid w:val="223279FD"/>
    <w:rsid w:val="223C5ABC"/>
    <w:rsid w:val="223D5987"/>
    <w:rsid w:val="224B0307"/>
    <w:rsid w:val="226014E3"/>
    <w:rsid w:val="22AE7369"/>
    <w:rsid w:val="22BE1789"/>
    <w:rsid w:val="22C07A85"/>
    <w:rsid w:val="22CB73A7"/>
    <w:rsid w:val="22DB0EF6"/>
    <w:rsid w:val="22EC0C67"/>
    <w:rsid w:val="22FE28BB"/>
    <w:rsid w:val="231431F3"/>
    <w:rsid w:val="23207BC7"/>
    <w:rsid w:val="2341278A"/>
    <w:rsid w:val="234E4319"/>
    <w:rsid w:val="23872750"/>
    <w:rsid w:val="238F647C"/>
    <w:rsid w:val="23921BFE"/>
    <w:rsid w:val="23E1672F"/>
    <w:rsid w:val="23F61DDA"/>
    <w:rsid w:val="243849B2"/>
    <w:rsid w:val="24505744"/>
    <w:rsid w:val="246C282F"/>
    <w:rsid w:val="24977F0F"/>
    <w:rsid w:val="249F2978"/>
    <w:rsid w:val="24BA4916"/>
    <w:rsid w:val="24C02ECF"/>
    <w:rsid w:val="25142D0D"/>
    <w:rsid w:val="25317C88"/>
    <w:rsid w:val="25476B1B"/>
    <w:rsid w:val="25530C99"/>
    <w:rsid w:val="25631055"/>
    <w:rsid w:val="25907B05"/>
    <w:rsid w:val="25972125"/>
    <w:rsid w:val="25A73311"/>
    <w:rsid w:val="25BD151C"/>
    <w:rsid w:val="25EA3039"/>
    <w:rsid w:val="25EF6660"/>
    <w:rsid w:val="25FA56ED"/>
    <w:rsid w:val="260058E8"/>
    <w:rsid w:val="260D2E1A"/>
    <w:rsid w:val="26505405"/>
    <w:rsid w:val="26764137"/>
    <w:rsid w:val="26C542ED"/>
    <w:rsid w:val="26DE174A"/>
    <w:rsid w:val="26DF3E73"/>
    <w:rsid w:val="26E110CA"/>
    <w:rsid w:val="26EB71C2"/>
    <w:rsid w:val="26F60151"/>
    <w:rsid w:val="26FA5690"/>
    <w:rsid w:val="270E38A9"/>
    <w:rsid w:val="272600A4"/>
    <w:rsid w:val="272A0E33"/>
    <w:rsid w:val="27591124"/>
    <w:rsid w:val="27A40BE5"/>
    <w:rsid w:val="27CC19C4"/>
    <w:rsid w:val="281030F6"/>
    <w:rsid w:val="28295D87"/>
    <w:rsid w:val="284F5047"/>
    <w:rsid w:val="2851352C"/>
    <w:rsid w:val="28621E5A"/>
    <w:rsid w:val="28796A32"/>
    <w:rsid w:val="287E4F92"/>
    <w:rsid w:val="288B380D"/>
    <w:rsid w:val="28B23557"/>
    <w:rsid w:val="28D5506F"/>
    <w:rsid w:val="28E1209A"/>
    <w:rsid w:val="28EC45F2"/>
    <w:rsid w:val="294D7736"/>
    <w:rsid w:val="29785D0B"/>
    <w:rsid w:val="29A476BC"/>
    <w:rsid w:val="29B2410D"/>
    <w:rsid w:val="29B556A8"/>
    <w:rsid w:val="29E8364B"/>
    <w:rsid w:val="29F02D5D"/>
    <w:rsid w:val="2A1F5513"/>
    <w:rsid w:val="2A273408"/>
    <w:rsid w:val="2A686A9D"/>
    <w:rsid w:val="2A6F54DA"/>
    <w:rsid w:val="2A8C781C"/>
    <w:rsid w:val="2AA10C4C"/>
    <w:rsid w:val="2B065713"/>
    <w:rsid w:val="2B077A85"/>
    <w:rsid w:val="2B323CAF"/>
    <w:rsid w:val="2B435C4D"/>
    <w:rsid w:val="2B612949"/>
    <w:rsid w:val="2B634913"/>
    <w:rsid w:val="2BDD2B0E"/>
    <w:rsid w:val="2C536F83"/>
    <w:rsid w:val="2C9A338A"/>
    <w:rsid w:val="2C9A5850"/>
    <w:rsid w:val="2CA158A8"/>
    <w:rsid w:val="2D174711"/>
    <w:rsid w:val="2D6B7AAF"/>
    <w:rsid w:val="2DD56488"/>
    <w:rsid w:val="2E176B21"/>
    <w:rsid w:val="2E5E499E"/>
    <w:rsid w:val="2E722425"/>
    <w:rsid w:val="2E8A228F"/>
    <w:rsid w:val="2E9F2226"/>
    <w:rsid w:val="2EA16E73"/>
    <w:rsid w:val="2EBA68C9"/>
    <w:rsid w:val="2EE3514B"/>
    <w:rsid w:val="2F326AD7"/>
    <w:rsid w:val="2F694B29"/>
    <w:rsid w:val="2FA519A9"/>
    <w:rsid w:val="2FE332E5"/>
    <w:rsid w:val="2FEA46CA"/>
    <w:rsid w:val="302C79CA"/>
    <w:rsid w:val="30376546"/>
    <w:rsid w:val="30646374"/>
    <w:rsid w:val="30D00268"/>
    <w:rsid w:val="31552F50"/>
    <w:rsid w:val="319461ED"/>
    <w:rsid w:val="319709CA"/>
    <w:rsid w:val="31B03E36"/>
    <w:rsid w:val="31DF5830"/>
    <w:rsid w:val="32504CA6"/>
    <w:rsid w:val="32584AA6"/>
    <w:rsid w:val="326C387A"/>
    <w:rsid w:val="32722B08"/>
    <w:rsid w:val="32763776"/>
    <w:rsid w:val="327F6190"/>
    <w:rsid w:val="32892CEC"/>
    <w:rsid w:val="329D0C85"/>
    <w:rsid w:val="32A11D75"/>
    <w:rsid w:val="32AE21B2"/>
    <w:rsid w:val="32BF68D3"/>
    <w:rsid w:val="32C549CE"/>
    <w:rsid w:val="332D1A23"/>
    <w:rsid w:val="336D32B4"/>
    <w:rsid w:val="33C30645"/>
    <w:rsid w:val="33E54780"/>
    <w:rsid w:val="341D039C"/>
    <w:rsid w:val="34203345"/>
    <w:rsid w:val="344F6E9D"/>
    <w:rsid w:val="347854E0"/>
    <w:rsid w:val="34814BCE"/>
    <w:rsid w:val="34853084"/>
    <w:rsid w:val="34A34A02"/>
    <w:rsid w:val="34CD4990"/>
    <w:rsid w:val="34E036EC"/>
    <w:rsid w:val="34E114C4"/>
    <w:rsid w:val="34F311E1"/>
    <w:rsid w:val="35004D1D"/>
    <w:rsid w:val="35075BBF"/>
    <w:rsid w:val="350D0E3C"/>
    <w:rsid w:val="35275627"/>
    <w:rsid w:val="35924123"/>
    <w:rsid w:val="35B83CDF"/>
    <w:rsid w:val="35EB5C31"/>
    <w:rsid w:val="35FA5471"/>
    <w:rsid w:val="360D5B6A"/>
    <w:rsid w:val="362964D1"/>
    <w:rsid w:val="36310758"/>
    <w:rsid w:val="363627F5"/>
    <w:rsid w:val="363B4432"/>
    <w:rsid w:val="364D493D"/>
    <w:rsid w:val="367751BF"/>
    <w:rsid w:val="36F36E9C"/>
    <w:rsid w:val="3717426B"/>
    <w:rsid w:val="37182A56"/>
    <w:rsid w:val="37920A5A"/>
    <w:rsid w:val="3792442C"/>
    <w:rsid w:val="37944D09"/>
    <w:rsid w:val="37A8011A"/>
    <w:rsid w:val="37AD3C74"/>
    <w:rsid w:val="37AD6D78"/>
    <w:rsid w:val="37BF1123"/>
    <w:rsid w:val="37C73352"/>
    <w:rsid w:val="37CF21C1"/>
    <w:rsid w:val="37D334C0"/>
    <w:rsid w:val="37D42E6B"/>
    <w:rsid w:val="37F13B89"/>
    <w:rsid w:val="38246CDA"/>
    <w:rsid w:val="38482EC7"/>
    <w:rsid w:val="385A2B16"/>
    <w:rsid w:val="38766AC4"/>
    <w:rsid w:val="388D426E"/>
    <w:rsid w:val="38C72536"/>
    <w:rsid w:val="38D94E35"/>
    <w:rsid w:val="38E54BBA"/>
    <w:rsid w:val="399457B0"/>
    <w:rsid w:val="39A0045F"/>
    <w:rsid w:val="39C50180"/>
    <w:rsid w:val="39C764CE"/>
    <w:rsid w:val="39D50151"/>
    <w:rsid w:val="39D93A48"/>
    <w:rsid w:val="3A190C00"/>
    <w:rsid w:val="3A571343"/>
    <w:rsid w:val="3A6B7341"/>
    <w:rsid w:val="3A703D00"/>
    <w:rsid w:val="3A9345E1"/>
    <w:rsid w:val="3A9E12FC"/>
    <w:rsid w:val="3AD0533E"/>
    <w:rsid w:val="3AD3652E"/>
    <w:rsid w:val="3AE27603"/>
    <w:rsid w:val="3AFA432C"/>
    <w:rsid w:val="3B0B74F8"/>
    <w:rsid w:val="3B156772"/>
    <w:rsid w:val="3B2109C6"/>
    <w:rsid w:val="3B445AA5"/>
    <w:rsid w:val="3B4E2EEA"/>
    <w:rsid w:val="3B547259"/>
    <w:rsid w:val="3B606A04"/>
    <w:rsid w:val="3B9556A8"/>
    <w:rsid w:val="3B9637B8"/>
    <w:rsid w:val="3BBD2544"/>
    <w:rsid w:val="3BFB431C"/>
    <w:rsid w:val="3C39733B"/>
    <w:rsid w:val="3C3C579B"/>
    <w:rsid w:val="3C771FCD"/>
    <w:rsid w:val="3C7A2B7A"/>
    <w:rsid w:val="3C860462"/>
    <w:rsid w:val="3CB133AA"/>
    <w:rsid w:val="3CB37F6B"/>
    <w:rsid w:val="3CC52D38"/>
    <w:rsid w:val="3CE9226D"/>
    <w:rsid w:val="3D016BDE"/>
    <w:rsid w:val="3D033860"/>
    <w:rsid w:val="3D1B209A"/>
    <w:rsid w:val="3D1C31EC"/>
    <w:rsid w:val="3D5134CB"/>
    <w:rsid w:val="3D605157"/>
    <w:rsid w:val="3D7A5AB6"/>
    <w:rsid w:val="3DBF00CF"/>
    <w:rsid w:val="3DCB25D0"/>
    <w:rsid w:val="3DD21DF8"/>
    <w:rsid w:val="3DE723F4"/>
    <w:rsid w:val="3E283A6B"/>
    <w:rsid w:val="3E42660A"/>
    <w:rsid w:val="3E826AA7"/>
    <w:rsid w:val="3EAC30E2"/>
    <w:rsid w:val="3ECC0742"/>
    <w:rsid w:val="3ED6174D"/>
    <w:rsid w:val="3EE40C07"/>
    <w:rsid w:val="3EE8321C"/>
    <w:rsid w:val="3EEC4EF4"/>
    <w:rsid w:val="3EEE1457"/>
    <w:rsid w:val="3F167B9C"/>
    <w:rsid w:val="3F1F07B8"/>
    <w:rsid w:val="3F370FAF"/>
    <w:rsid w:val="3F4929D1"/>
    <w:rsid w:val="3F8213B4"/>
    <w:rsid w:val="3FA43784"/>
    <w:rsid w:val="3FC0065F"/>
    <w:rsid w:val="3FDF05B5"/>
    <w:rsid w:val="3FF37545"/>
    <w:rsid w:val="400C06A4"/>
    <w:rsid w:val="4029046B"/>
    <w:rsid w:val="402A0133"/>
    <w:rsid w:val="402C7073"/>
    <w:rsid w:val="40303B42"/>
    <w:rsid w:val="403703F1"/>
    <w:rsid w:val="40414DCB"/>
    <w:rsid w:val="404301F9"/>
    <w:rsid w:val="40432D0E"/>
    <w:rsid w:val="408353E4"/>
    <w:rsid w:val="408C085E"/>
    <w:rsid w:val="40CE53B6"/>
    <w:rsid w:val="40FC6E1B"/>
    <w:rsid w:val="412B646A"/>
    <w:rsid w:val="413E6BE5"/>
    <w:rsid w:val="414E1FB1"/>
    <w:rsid w:val="419158DF"/>
    <w:rsid w:val="41990C37"/>
    <w:rsid w:val="41A548E4"/>
    <w:rsid w:val="41B810BD"/>
    <w:rsid w:val="41BB7DD9"/>
    <w:rsid w:val="41C021C7"/>
    <w:rsid w:val="424E6494"/>
    <w:rsid w:val="424F5ED1"/>
    <w:rsid w:val="426C1302"/>
    <w:rsid w:val="427375F1"/>
    <w:rsid w:val="42FA502B"/>
    <w:rsid w:val="4300438F"/>
    <w:rsid w:val="431B41AD"/>
    <w:rsid w:val="433F1E2F"/>
    <w:rsid w:val="435C1F1C"/>
    <w:rsid w:val="437674CE"/>
    <w:rsid w:val="437D648E"/>
    <w:rsid w:val="43813731"/>
    <w:rsid w:val="43A57ABB"/>
    <w:rsid w:val="43F71BE2"/>
    <w:rsid w:val="441B5933"/>
    <w:rsid w:val="441E7BA8"/>
    <w:rsid w:val="442916DB"/>
    <w:rsid w:val="44407CB4"/>
    <w:rsid w:val="444834F1"/>
    <w:rsid w:val="44651720"/>
    <w:rsid w:val="44702F00"/>
    <w:rsid w:val="447C7D9D"/>
    <w:rsid w:val="449776B0"/>
    <w:rsid w:val="450B6E09"/>
    <w:rsid w:val="45313AE1"/>
    <w:rsid w:val="45352A25"/>
    <w:rsid w:val="45585DCA"/>
    <w:rsid w:val="456D21BF"/>
    <w:rsid w:val="457E58E6"/>
    <w:rsid w:val="45896277"/>
    <w:rsid w:val="45896EC1"/>
    <w:rsid w:val="459E01AF"/>
    <w:rsid w:val="4609638B"/>
    <w:rsid w:val="46181BCD"/>
    <w:rsid w:val="464C1B20"/>
    <w:rsid w:val="466A4950"/>
    <w:rsid w:val="46807DCE"/>
    <w:rsid w:val="468247BC"/>
    <w:rsid w:val="46ED7A5B"/>
    <w:rsid w:val="47404FC1"/>
    <w:rsid w:val="477A0BC3"/>
    <w:rsid w:val="479D4478"/>
    <w:rsid w:val="479F28A3"/>
    <w:rsid w:val="47BC3397"/>
    <w:rsid w:val="47C359C4"/>
    <w:rsid w:val="47D67673"/>
    <w:rsid w:val="47F646ED"/>
    <w:rsid w:val="482661E0"/>
    <w:rsid w:val="482B1A8B"/>
    <w:rsid w:val="485D1948"/>
    <w:rsid w:val="48691363"/>
    <w:rsid w:val="4873734F"/>
    <w:rsid w:val="48751A8B"/>
    <w:rsid w:val="489407E5"/>
    <w:rsid w:val="48986FC5"/>
    <w:rsid w:val="48D02B7B"/>
    <w:rsid w:val="48D45153"/>
    <w:rsid w:val="48DC58E3"/>
    <w:rsid w:val="495871E5"/>
    <w:rsid w:val="4971280A"/>
    <w:rsid w:val="497310B8"/>
    <w:rsid w:val="4A01744E"/>
    <w:rsid w:val="4A185756"/>
    <w:rsid w:val="4A3A7FEA"/>
    <w:rsid w:val="4A8A235C"/>
    <w:rsid w:val="4AA032FE"/>
    <w:rsid w:val="4AB70FF8"/>
    <w:rsid w:val="4AD26BA2"/>
    <w:rsid w:val="4ADC3FDB"/>
    <w:rsid w:val="4B1F1AB1"/>
    <w:rsid w:val="4BAE4E91"/>
    <w:rsid w:val="4C022C36"/>
    <w:rsid w:val="4C107D48"/>
    <w:rsid w:val="4C225456"/>
    <w:rsid w:val="4C2A0E0A"/>
    <w:rsid w:val="4C41343B"/>
    <w:rsid w:val="4C6D6F48"/>
    <w:rsid w:val="4C814408"/>
    <w:rsid w:val="4C9C1067"/>
    <w:rsid w:val="4C9F0590"/>
    <w:rsid w:val="4CF976A7"/>
    <w:rsid w:val="4CFF4044"/>
    <w:rsid w:val="4D500FBE"/>
    <w:rsid w:val="4D665C9B"/>
    <w:rsid w:val="4D6D36A4"/>
    <w:rsid w:val="4DD72891"/>
    <w:rsid w:val="4DD955AC"/>
    <w:rsid w:val="4DE9484C"/>
    <w:rsid w:val="4E0C13C0"/>
    <w:rsid w:val="4E28001B"/>
    <w:rsid w:val="4E31085E"/>
    <w:rsid w:val="4F2557F5"/>
    <w:rsid w:val="4F271381"/>
    <w:rsid w:val="4F5A07CB"/>
    <w:rsid w:val="4FC713F8"/>
    <w:rsid w:val="4FD64C32"/>
    <w:rsid w:val="500F1252"/>
    <w:rsid w:val="501E63FC"/>
    <w:rsid w:val="5096546B"/>
    <w:rsid w:val="50B07D3B"/>
    <w:rsid w:val="50B67E83"/>
    <w:rsid w:val="50C86712"/>
    <w:rsid w:val="50CF02A4"/>
    <w:rsid w:val="50EF18A2"/>
    <w:rsid w:val="511928C2"/>
    <w:rsid w:val="5124051D"/>
    <w:rsid w:val="513444D8"/>
    <w:rsid w:val="513D4999"/>
    <w:rsid w:val="514D0DD3"/>
    <w:rsid w:val="51695060"/>
    <w:rsid w:val="517D2D18"/>
    <w:rsid w:val="51B86EB8"/>
    <w:rsid w:val="51C1454C"/>
    <w:rsid w:val="51D41818"/>
    <w:rsid w:val="51E25BCE"/>
    <w:rsid w:val="51E53B26"/>
    <w:rsid w:val="52163D64"/>
    <w:rsid w:val="5216413B"/>
    <w:rsid w:val="525B05A6"/>
    <w:rsid w:val="52694CE1"/>
    <w:rsid w:val="52727066"/>
    <w:rsid w:val="5285323E"/>
    <w:rsid w:val="52937442"/>
    <w:rsid w:val="52A631B4"/>
    <w:rsid w:val="52B36592"/>
    <w:rsid w:val="52F5579A"/>
    <w:rsid w:val="52F65EE9"/>
    <w:rsid w:val="537547B6"/>
    <w:rsid w:val="53794425"/>
    <w:rsid w:val="53874E40"/>
    <w:rsid w:val="53A90398"/>
    <w:rsid w:val="53AE3EFB"/>
    <w:rsid w:val="53BB3FBA"/>
    <w:rsid w:val="53BB4A3D"/>
    <w:rsid w:val="540B4981"/>
    <w:rsid w:val="545556E1"/>
    <w:rsid w:val="54555E76"/>
    <w:rsid w:val="5474356A"/>
    <w:rsid w:val="54881367"/>
    <w:rsid w:val="54AE33C2"/>
    <w:rsid w:val="54D9763E"/>
    <w:rsid w:val="54FB0871"/>
    <w:rsid w:val="55051573"/>
    <w:rsid w:val="550615BA"/>
    <w:rsid w:val="550D1B96"/>
    <w:rsid w:val="5521132B"/>
    <w:rsid w:val="5532007C"/>
    <w:rsid w:val="554747DA"/>
    <w:rsid w:val="556C5FDE"/>
    <w:rsid w:val="556D36A7"/>
    <w:rsid w:val="557C668C"/>
    <w:rsid w:val="557D4C2A"/>
    <w:rsid w:val="559E6CDF"/>
    <w:rsid w:val="55AF3687"/>
    <w:rsid w:val="55CE6209"/>
    <w:rsid w:val="562543F0"/>
    <w:rsid w:val="564F4A05"/>
    <w:rsid w:val="568616F1"/>
    <w:rsid w:val="56933DB7"/>
    <w:rsid w:val="56A04324"/>
    <w:rsid w:val="56B103C9"/>
    <w:rsid w:val="56BA0FDC"/>
    <w:rsid w:val="56FD70B1"/>
    <w:rsid w:val="57035BFA"/>
    <w:rsid w:val="573C5A71"/>
    <w:rsid w:val="573E1C0D"/>
    <w:rsid w:val="57612F7B"/>
    <w:rsid w:val="57871924"/>
    <w:rsid w:val="57A66C73"/>
    <w:rsid w:val="57A93D4F"/>
    <w:rsid w:val="58060238"/>
    <w:rsid w:val="58177C0B"/>
    <w:rsid w:val="58200FDE"/>
    <w:rsid w:val="58626F3F"/>
    <w:rsid w:val="58647451"/>
    <w:rsid w:val="586B58D0"/>
    <w:rsid w:val="587D5FD2"/>
    <w:rsid w:val="588E44CE"/>
    <w:rsid w:val="58D145A8"/>
    <w:rsid w:val="58E5297E"/>
    <w:rsid w:val="5909709A"/>
    <w:rsid w:val="591A24CC"/>
    <w:rsid w:val="591C159C"/>
    <w:rsid w:val="593C4EC4"/>
    <w:rsid w:val="595D4000"/>
    <w:rsid w:val="59A14D98"/>
    <w:rsid w:val="59CC3500"/>
    <w:rsid w:val="59DC032B"/>
    <w:rsid w:val="59E300BE"/>
    <w:rsid w:val="59E3338E"/>
    <w:rsid w:val="59E7658C"/>
    <w:rsid w:val="59F82547"/>
    <w:rsid w:val="5A146C55"/>
    <w:rsid w:val="5A1B4B25"/>
    <w:rsid w:val="5A1D7A3E"/>
    <w:rsid w:val="5A906D8B"/>
    <w:rsid w:val="5AB26B9A"/>
    <w:rsid w:val="5B1433B1"/>
    <w:rsid w:val="5B1E7D8B"/>
    <w:rsid w:val="5B453C88"/>
    <w:rsid w:val="5B556723"/>
    <w:rsid w:val="5B6B6D49"/>
    <w:rsid w:val="5B897511"/>
    <w:rsid w:val="5BB3081E"/>
    <w:rsid w:val="5BBC52F0"/>
    <w:rsid w:val="5BD66D7B"/>
    <w:rsid w:val="5BDB3251"/>
    <w:rsid w:val="5C5876EC"/>
    <w:rsid w:val="5C702F7D"/>
    <w:rsid w:val="5C853EB2"/>
    <w:rsid w:val="5C8A53FC"/>
    <w:rsid w:val="5CCE55B6"/>
    <w:rsid w:val="5CD5091E"/>
    <w:rsid w:val="5D054C60"/>
    <w:rsid w:val="5D1640BF"/>
    <w:rsid w:val="5D4D2BAA"/>
    <w:rsid w:val="5D53240E"/>
    <w:rsid w:val="5D6F0836"/>
    <w:rsid w:val="5D6F7A0F"/>
    <w:rsid w:val="5DA1380D"/>
    <w:rsid w:val="5DA46A84"/>
    <w:rsid w:val="5DC6021A"/>
    <w:rsid w:val="5DEB095A"/>
    <w:rsid w:val="5E233CE0"/>
    <w:rsid w:val="5E516DEC"/>
    <w:rsid w:val="5E56599D"/>
    <w:rsid w:val="5E59557E"/>
    <w:rsid w:val="5E8C5954"/>
    <w:rsid w:val="5EB33A22"/>
    <w:rsid w:val="5ED25F03"/>
    <w:rsid w:val="5F1C5714"/>
    <w:rsid w:val="5F580303"/>
    <w:rsid w:val="5F5D4BFA"/>
    <w:rsid w:val="5F881A79"/>
    <w:rsid w:val="5F9748E2"/>
    <w:rsid w:val="5FA02242"/>
    <w:rsid w:val="5FB94527"/>
    <w:rsid w:val="5FDA449D"/>
    <w:rsid w:val="60353EFA"/>
    <w:rsid w:val="603C0CB4"/>
    <w:rsid w:val="604B0135"/>
    <w:rsid w:val="60545D2B"/>
    <w:rsid w:val="607C32BD"/>
    <w:rsid w:val="60894A16"/>
    <w:rsid w:val="608C5B8C"/>
    <w:rsid w:val="60B96FC6"/>
    <w:rsid w:val="60C65BC2"/>
    <w:rsid w:val="6107662F"/>
    <w:rsid w:val="61120392"/>
    <w:rsid w:val="613320B7"/>
    <w:rsid w:val="6134470D"/>
    <w:rsid w:val="615E0D9A"/>
    <w:rsid w:val="61824379"/>
    <w:rsid w:val="61830ED7"/>
    <w:rsid w:val="619B7D6F"/>
    <w:rsid w:val="61A81695"/>
    <w:rsid w:val="6213674B"/>
    <w:rsid w:val="62222704"/>
    <w:rsid w:val="623E6C6D"/>
    <w:rsid w:val="626207B4"/>
    <w:rsid w:val="62736F7B"/>
    <w:rsid w:val="62CB0B44"/>
    <w:rsid w:val="63224191"/>
    <w:rsid w:val="633256FE"/>
    <w:rsid w:val="63372583"/>
    <w:rsid w:val="633D0FCB"/>
    <w:rsid w:val="634C6769"/>
    <w:rsid w:val="634E3B86"/>
    <w:rsid w:val="637075F2"/>
    <w:rsid w:val="637C55CD"/>
    <w:rsid w:val="638F265B"/>
    <w:rsid w:val="63D41042"/>
    <w:rsid w:val="63E94B92"/>
    <w:rsid w:val="6445074D"/>
    <w:rsid w:val="64AF14A5"/>
    <w:rsid w:val="64D771FD"/>
    <w:rsid w:val="64E23E95"/>
    <w:rsid w:val="65374034"/>
    <w:rsid w:val="65404E3D"/>
    <w:rsid w:val="660E3AF5"/>
    <w:rsid w:val="665036EA"/>
    <w:rsid w:val="667B688E"/>
    <w:rsid w:val="6686712D"/>
    <w:rsid w:val="66992669"/>
    <w:rsid w:val="66A743CB"/>
    <w:rsid w:val="66B82355"/>
    <w:rsid w:val="67382613"/>
    <w:rsid w:val="673B70C8"/>
    <w:rsid w:val="67671A0B"/>
    <w:rsid w:val="67B6759E"/>
    <w:rsid w:val="67BB4BB4"/>
    <w:rsid w:val="67CF7A43"/>
    <w:rsid w:val="68017CF4"/>
    <w:rsid w:val="681C22EE"/>
    <w:rsid w:val="684649D2"/>
    <w:rsid w:val="6877255B"/>
    <w:rsid w:val="689F461B"/>
    <w:rsid w:val="68A357AC"/>
    <w:rsid w:val="68AD7534"/>
    <w:rsid w:val="6917406C"/>
    <w:rsid w:val="692A358D"/>
    <w:rsid w:val="69654FE8"/>
    <w:rsid w:val="696E10D7"/>
    <w:rsid w:val="698133DB"/>
    <w:rsid w:val="69FE51C2"/>
    <w:rsid w:val="6A183195"/>
    <w:rsid w:val="6A227C3D"/>
    <w:rsid w:val="6A412CCA"/>
    <w:rsid w:val="6A7D4A3A"/>
    <w:rsid w:val="6A8C7EC5"/>
    <w:rsid w:val="6A8E65B0"/>
    <w:rsid w:val="6ADF3703"/>
    <w:rsid w:val="6AEC6191"/>
    <w:rsid w:val="6B0924B9"/>
    <w:rsid w:val="6B405AFC"/>
    <w:rsid w:val="6B4E448C"/>
    <w:rsid w:val="6B623CC4"/>
    <w:rsid w:val="6B6A159A"/>
    <w:rsid w:val="6B707A89"/>
    <w:rsid w:val="6B7B2FD8"/>
    <w:rsid w:val="6B82581E"/>
    <w:rsid w:val="6B8A76A5"/>
    <w:rsid w:val="6B9C391C"/>
    <w:rsid w:val="6B9E086E"/>
    <w:rsid w:val="6BB131A8"/>
    <w:rsid w:val="6BDF23AB"/>
    <w:rsid w:val="6BE27D92"/>
    <w:rsid w:val="6BF62AD3"/>
    <w:rsid w:val="6C0E085A"/>
    <w:rsid w:val="6C1A53A3"/>
    <w:rsid w:val="6C485068"/>
    <w:rsid w:val="6C53360D"/>
    <w:rsid w:val="6C5573FE"/>
    <w:rsid w:val="6C75633B"/>
    <w:rsid w:val="6C7A2CB3"/>
    <w:rsid w:val="6C8F6881"/>
    <w:rsid w:val="6C945F86"/>
    <w:rsid w:val="6CCC1595"/>
    <w:rsid w:val="6CD47737"/>
    <w:rsid w:val="6CDA3495"/>
    <w:rsid w:val="6CFF5543"/>
    <w:rsid w:val="6D173C4B"/>
    <w:rsid w:val="6D1C2E9C"/>
    <w:rsid w:val="6D306F2F"/>
    <w:rsid w:val="6D34343E"/>
    <w:rsid w:val="6D6D4C33"/>
    <w:rsid w:val="6DA02635"/>
    <w:rsid w:val="6E022CE3"/>
    <w:rsid w:val="6E1A17E4"/>
    <w:rsid w:val="6E242641"/>
    <w:rsid w:val="6E4351B0"/>
    <w:rsid w:val="6E843337"/>
    <w:rsid w:val="6EDF387E"/>
    <w:rsid w:val="6EEA3A77"/>
    <w:rsid w:val="6F2A2DD8"/>
    <w:rsid w:val="6F827D68"/>
    <w:rsid w:val="6F8C0293"/>
    <w:rsid w:val="6F9612CC"/>
    <w:rsid w:val="6FAC7C04"/>
    <w:rsid w:val="6FDA3EE5"/>
    <w:rsid w:val="6FDB561C"/>
    <w:rsid w:val="6FEC3CCF"/>
    <w:rsid w:val="6FF83857"/>
    <w:rsid w:val="7012431D"/>
    <w:rsid w:val="703B46C7"/>
    <w:rsid w:val="704E0058"/>
    <w:rsid w:val="70693D7E"/>
    <w:rsid w:val="709360E4"/>
    <w:rsid w:val="709C68C5"/>
    <w:rsid w:val="70E47B1C"/>
    <w:rsid w:val="711C2C34"/>
    <w:rsid w:val="71222391"/>
    <w:rsid w:val="713A7923"/>
    <w:rsid w:val="714817C2"/>
    <w:rsid w:val="715E5BE0"/>
    <w:rsid w:val="716F20D0"/>
    <w:rsid w:val="717A163C"/>
    <w:rsid w:val="718B797D"/>
    <w:rsid w:val="718C728C"/>
    <w:rsid w:val="71D2146C"/>
    <w:rsid w:val="71DD0791"/>
    <w:rsid w:val="71F65166"/>
    <w:rsid w:val="71FA5EAC"/>
    <w:rsid w:val="72021D5D"/>
    <w:rsid w:val="720C79C7"/>
    <w:rsid w:val="722C6DDA"/>
    <w:rsid w:val="72702E16"/>
    <w:rsid w:val="72712A3F"/>
    <w:rsid w:val="72884935"/>
    <w:rsid w:val="7293145D"/>
    <w:rsid w:val="72D66D46"/>
    <w:rsid w:val="72EC05A1"/>
    <w:rsid w:val="7309206B"/>
    <w:rsid w:val="731126A2"/>
    <w:rsid w:val="73163358"/>
    <w:rsid w:val="731961A8"/>
    <w:rsid w:val="732C0EBE"/>
    <w:rsid w:val="732C6966"/>
    <w:rsid w:val="73335F46"/>
    <w:rsid w:val="7348691B"/>
    <w:rsid w:val="73623730"/>
    <w:rsid w:val="73BB52BE"/>
    <w:rsid w:val="73F67E0F"/>
    <w:rsid w:val="73FC4C59"/>
    <w:rsid w:val="74085625"/>
    <w:rsid w:val="740E05A5"/>
    <w:rsid w:val="74193A07"/>
    <w:rsid w:val="741D0F88"/>
    <w:rsid w:val="743A09A6"/>
    <w:rsid w:val="74404B6F"/>
    <w:rsid w:val="7446000D"/>
    <w:rsid w:val="74624D35"/>
    <w:rsid w:val="74687E72"/>
    <w:rsid w:val="747117E9"/>
    <w:rsid w:val="74B96778"/>
    <w:rsid w:val="74CC33D7"/>
    <w:rsid w:val="74D504A4"/>
    <w:rsid w:val="74DA47FD"/>
    <w:rsid w:val="755328D0"/>
    <w:rsid w:val="75557769"/>
    <w:rsid w:val="75612179"/>
    <w:rsid w:val="75804A44"/>
    <w:rsid w:val="758E5771"/>
    <w:rsid w:val="7662726E"/>
    <w:rsid w:val="768D3BBF"/>
    <w:rsid w:val="76DF2E7C"/>
    <w:rsid w:val="76F34CE3"/>
    <w:rsid w:val="77367F53"/>
    <w:rsid w:val="773808EA"/>
    <w:rsid w:val="773D3FAD"/>
    <w:rsid w:val="776E1C43"/>
    <w:rsid w:val="778545DD"/>
    <w:rsid w:val="77CD07C5"/>
    <w:rsid w:val="77E553CA"/>
    <w:rsid w:val="77F7189A"/>
    <w:rsid w:val="782021EC"/>
    <w:rsid w:val="782161B3"/>
    <w:rsid w:val="783562BD"/>
    <w:rsid w:val="786F5C73"/>
    <w:rsid w:val="7899684C"/>
    <w:rsid w:val="78A35403"/>
    <w:rsid w:val="78A7633F"/>
    <w:rsid w:val="78BC2DD5"/>
    <w:rsid w:val="78C42CCD"/>
    <w:rsid w:val="7914708C"/>
    <w:rsid w:val="795E502E"/>
    <w:rsid w:val="79700C54"/>
    <w:rsid w:val="79822149"/>
    <w:rsid w:val="79AB3F5A"/>
    <w:rsid w:val="79DB4D33"/>
    <w:rsid w:val="79E96650"/>
    <w:rsid w:val="7A1940E8"/>
    <w:rsid w:val="7A2D5FFF"/>
    <w:rsid w:val="7A4E3666"/>
    <w:rsid w:val="7A4E6909"/>
    <w:rsid w:val="7A922A70"/>
    <w:rsid w:val="7AB43E11"/>
    <w:rsid w:val="7AE4629A"/>
    <w:rsid w:val="7AEC5A94"/>
    <w:rsid w:val="7AF33074"/>
    <w:rsid w:val="7B007F4F"/>
    <w:rsid w:val="7B177BF8"/>
    <w:rsid w:val="7B3B43E5"/>
    <w:rsid w:val="7B3F0CBD"/>
    <w:rsid w:val="7B5047B5"/>
    <w:rsid w:val="7B511020"/>
    <w:rsid w:val="7BA14A1B"/>
    <w:rsid w:val="7BB53C0C"/>
    <w:rsid w:val="7BC97448"/>
    <w:rsid w:val="7BDA1655"/>
    <w:rsid w:val="7BEE1D56"/>
    <w:rsid w:val="7C002880"/>
    <w:rsid w:val="7C51410D"/>
    <w:rsid w:val="7CA53A11"/>
    <w:rsid w:val="7CA659DB"/>
    <w:rsid w:val="7CBD4083"/>
    <w:rsid w:val="7CCE037C"/>
    <w:rsid w:val="7D065495"/>
    <w:rsid w:val="7D4208C3"/>
    <w:rsid w:val="7D503D83"/>
    <w:rsid w:val="7D5D3429"/>
    <w:rsid w:val="7D7965B6"/>
    <w:rsid w:val="7D9E2198"/>
    <w:rsid w:val="7DCF3DEE"/>
    <w:rsid w:val="7DF52776"/>
    <w:rsid w:val="7E06486E"/>
    <w:rsid w:val="7E064983"/>
    <w:rsid w:val="7E457399"/>
    <w:rsid w:val="7E651A7E"/>
    <w:rsid w:val="7E795155"/>
    <w:rsid w:val="7EB443DF"/>
    <w:rsid w:val="7F4734A5"/>
    <w:rsid w:val="7F556A6E"/>
    <w:rsid w:val="7F6300F6"/>
    <w:rsid w:val="7FA02C9E"/>
    <w:rsid w:val="7FCE60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6">
    <w:name w:val="heading 1"/>
    <w:basedOn w:val="1"/>
    <w:next w:val="1"/>
    <w:link w:val="65"/>
    <w:qFormat/>
    <w:uiPriority w:val="99"/>
    <w:pPr>
      <w:keepNext/>
      <w:outlineLvl w:val="0"/>
    </w:pPr>
    <w:rPr>
      <w:b/>
      <w:color w:val="000000"/>
      <w:sz w:val="24"/>
    </w:rPr>
  </w:style>
  <w:style w:type="paragraph" w:styleId="7">
    <w:name w:val="heading 2"/>
    <w:basedOn w:val="1"/>
    <w:next w:val="1"/>
    <w:link w:val="66"/>
    <w:qFormat/>
    <w:uiPriority w:val="99"/>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67"/>
    <w:qFormat/>
    <w:uiPriority w:val="99"/>
    <w:pPr>
      <w:keepNext/>
      <w:keepLines/>
      <w:autoSpaceDE/>
      <w:autoSpaceDN/>
      <w:spacing w:before="260" w:after="260" w:line="416" w:lineRule="atLeast"/>
      <w:jc w:val="both"/>
      <w:outlineLvl w:val="2"/>
    </w:pPr>
    <w:rPr>
      <w:rFonts w:ascii="Times New Roman"/>
      <w:b/>
      <w:sz w:val="32"/>
    </w:rPr>
  </w:style>
  <w:style w:type="paragraph" w:styleId="9">
    <w:name w:val="heading 4"/>
    <w:basedOn w:val="1"/>
    <w:next w:val="4"/>
    <w:link w:val="68"/>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10">
    <w:name w:val="heading 5"/>
    <w:basedOn w:val="1"/>
    <w:next w:val="4"/>
    <w:link w:val="69"/>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1">
    <w:name w:val="heading 6"/>
    <w:basedOn w:val="1"/>
    <w:next w:val="4"/>
    <w:link w:val="70"/>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2">
    <w:name w:val="heading 7"/>
    <w:basedOn w:val="1"/>
    <w:next w:val="4"/>
    <w:link w:val="71"/>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3">
    <w:name w:val="heading 8"/>
    <w:basedOn w:val="1"/>
    <w:next w:val="4"/>
    <w:link w:val="72"/>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4">
    <w:name w:val="heading 9"/>
    <w:basedOn w:val="1"/>
    <w:next w:val="4"/>
    <w:link w:val="73"/>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75"/>
    <w:qFormat/>
    <w:uiPriority w:val="0"/>
    <w:pPr>
      <w:spacing w:after="120"/>
      <w:ind w:left="420" w:leftChars="200" w:firstLine="420"/>
    </w:pPr>
    <w:rPr>
      <w:rFonts w:cs="宋体"/>
      <w:sz w:val="21"/>
      <w:szCs w:val="21"/>
    </w:rPr>
  </w:style>
  <w:style w:type="paragraph" w:styleId="3">
    <w:name w:val="Body Text Indent"/>
    <w:basedOn w:val="1"/>
    <w:next w:val="4"/>
    <w:link w:val="74"/>
    <w:qFormat/>
    <w:uiPriority w:val="99"/>
    <w:pPr>
      <w:autoSpaceDE/>
      <w:autoSpaceDN/>
      <w:adjustRightInd/>
      <w:ind w:firstLine="900"/>
      <w:jc w:val="both"/>
      <w:textAlignment w:val="auto"/>
    </w:pPr>
    <w:rPr>
      <w:rFonts w:ascii="Times New Roman"/>
      <w:kern w:val="2"/>
      <w:sz w:val="28"/>
    </w:rPr>
  </w:style>
  <w:style w:type="paragraph" w:styleId="4">
    <w:name w:val="Normal Indent"/>
    <w:basedOn w:val="1"/>
    <w:next w:val="3"/>
    <w:link w:val="95"/>
    <w:qFormat/>
    <w:uiPriority w:val="99"/>
    <w:pPr>
      <w:autoSpaceDE/>
      <w:autoSpaceDN/>
      <w:adjustRightInd/>
      <w:ind w:firstLine="420"/>
      <w:jc w:val="both"/>
      <w:textAlignment w:val="auto"/>
    </w:pPr>
    <w:rPr>
      <w:rFonts w:ascii="Times New Roman"/>
      <w:kern w:val="2"/>
      <w:sz w:val="21"/>
    </w:rPr>
  </w:style>
  <w:style w:type="paragraph" w:customStyle="1" w:styleId="5">
    <w:name w:val="xl53"/>
    <w:basedOn w:val="1"/>
    <w:next w:val="1"/>
    <w:qFormat/>
    <w:uiPriority w:val="0"/>
    <w:pPr>
      <w:spacing w:before="280" w:after="280" w:line="100" w:lineRule="exact"/>
      <w:jc w:val="center"/>
    </w:pPr>
    <w:rPr>
      <w:b/>
      <w:sz w:val="20"/>
    </w:rPr>
  </w:style>
  <w:style w:type="paragraph" w:styleId="15">
    <w:name w:val="toc 7"/>
    <w:basedOn w:val="1"/>
    <w:next w:val="1"/>
    <w:semiHidden/>
    <w:qFormat/>
    <w:uiPriority w:val="99"/>
    <w:pPr>
      <w:ind w:left="2040"/>
    </w:pPr>
    <w:rPr>
      <w:rFonts w:ascii="Times New Roman"/>
      <w:sz w:val="18"/>
      <w:szCs w:val="18"/>
    </w:rPr>
  </w:style>
  <w:style w:type="paragraph" w:styleId="16">
    <w:name w:val="table of authorities"/>
    <w:basedOn w:val="1"/>
    <w:next w:val="1"/>
    <w:qFormat/>
    <w:locked/>
    <w:uiPriority w:val="0"/>
    <w:pPr>
      <w:ind w:left="420" w:leftChars="200"/>
    </w:pPr>
  </w:style>
  <w:style w:type="paragraph" w:styleId="17">
    <w:name w:val="caption"/>
    <w:basedOn w:val="1"/>
    <w:next w:val="1"/>
    <w:qFormat/>
    <w:uiPriority w:val="99"/>
    <w:pPr>
      <w:spacing w:before="152" w:after="160"/>
    </w:pPr>
    <w:rPr>
      <w:rFonts w:ascii="Arial" w:hAnsi="Arial" w:eastAsia="黑体"/>
    </w:rPr>
  </w:style>
  <w:style w:type="paragraph" w:styleId="18">
    <w:name w:val="annotation text"/>
    <w:basedOn w:val="1"/>
    <w:link w:val="76"/>
    <w:semiHidden/>
    <w:qFormat/>
    <w:uiPriority w:val="99"/>
  </w:style>
  <w:style w:type="paragraph" w:styleId="19">
    <w:name w:val="Body Text 3"/>
    <w:basedOn w:val="1"/>
    <w:link w:val="78"/>
    <w:qFormat/>
    <w:uiPriority w:val="99"/>
    <w:pPr>
      <w:spacing w:line="640" w:lineRule="exact"/>
    </w:pPr>
    <w:rPr>
      <w:color w:val="000000"/>
      <w:sz w:val="28"/>
    </w:rPr>
  </w:style>
  <w:style w:type="paragraph" w:styleId="20">
    <w:name w:val="Body Text"/>
    <w:basedOn w:val="1"/>
    <w:link w:val="79"/>
    <w:qFormat/>
    <w:uiPriority w:val="99"/>
    <w:rPr>
      <w:sz w:val="28"/>
    </w:rPr>
  </w:style>
  <w:style w:type="paragraph" w:styleId="21">
    <w:name w:val="List 2"/>
    <w:basedOn w:val="1"/>
    <w:qFormat/>
    <w:uiPriority w:val="99"/>
    <w:pPr>
      <w:ind w:left="100" w:leftChars="200" w:hanging="200" w:hangingChars="200"/>
    </w:pPr>
  </w:style>
  <w:style w:type="paragraph" w:styleId="22">
    <w:name w:val="toc 5"/>
    <w:basedOn w:val="1"/>
    <w:next w:val="1"/>
    <w:semiHidden/>
    <w:qFormat/>
    <w:uiPriority w:val="99"/>
    <w:pPr>
      <w:ind w:left="1360"/>
    </w:pPr>
    <w:rPr>
      <w:rFonts w:ascii="Times New Roman"/>
      <w:sz w:val="18"/>
      <w:szCs w:val="18"/>
    </w:rPr>
  </w:style>
  <w:style w:type="paragraph" w:styleId="23">
    <w:name w:val="toc 3"/>
    <w:basedOn w:val="1"/>
    <w:next w:val="1"/>
    <w:semiHidden/>
    <w:qFormat/>
    <w:uiPriority w:val="99"/>
    <w:pPr>
      <w:ind w:left="680"/>
    </w:pPr>
    <w:rPr>
      <w:rFonts w:ascii="Times New Roman"/>
      <w:i/>
      <w:iCs/>
      <w:sz w:val="20"/>
    </w:rPr>
  </w:style>
  <w:style w:type="paragraph" w:styleId="24">
    <w:name w:val="Plain Text"/>
    <w:basedOn w:val="1"/>
    <w:next w:val="4"/>
    <w:link w:val="80"/>
    <w:qFormat/>
    <w:uiPriority w:val="0"/>
    <w:rPr>
      <w:rFonts w:hAnsi="Courier New" w:cs="Courier New"/>
      <w:szCs w:val="21"/>
    </w:rPr>
  </w:style>
  <w:style w:type="paragraph" w:styleId="25">
    <w:name w:val="toc 8"/>
    <w:basedOn w:val="1"/>
    <w:next w:val="1"/>
    <w:semiHidden/>
    <w:qFormat/>
    <w:uiPriority w:val="99"/>
    <w:pPr>
      <w:ind w:left="2380"/>
    </w:pPr>
    <w:rPr>
      <w:rFonts w:ascii="Times New Roman"/>
      <w:sz w:val="18"/>
      <w:szCs w:val="18"/>
    </w:rPr>
  </w:style>
  <w:style w:type="paragraph" w:styleId="26">
    <w:name w:val="Date"/>
    <w:basedOn w:val="1"/>
    <w:next w:val="1"/>
    <w:link w:val="81"/>
    <w:qFormat/>
    <w:uiPriority w:val="0"/>
    <w:pPr>
      <w:jc w:val="both"/>
    </w:pPr>
    <w:rPr>
      <w:sz w:val="28"/>
    </w:rPr>
  </w:style>
  <w:style w:type="paragraph" w:styleId="27">
    <w:name w:val="Body Text Indent 2"/>
    <w:basedOn w:val="1"/>
    <w:link w:val="82"/>
    <w:qFormat/>
    <w:uiPriority w:val="99"/>
    <w:pPr>
      <w:autoSpaceDE/>
      <w:autoSpaceDN/>
      <w:adjustRightInd/>
      <w:spacing w:line="360" w:lineRule="auto"/>
      <w:ind w:firstLine="720"/>
      <w:jc w:val="both"/>
      <w:textAlignment w:val="auto"/>
    </w:pPr>
    <w:rPr>
      <w:kern w:val="2"/>
      <w:sz w:val="28"/>
    </w:rPr>
  </w:style>
  <w:style w:type="paragraph" w:styleId="28">
    <w:name w:val="Balloon Text"/>
    <w:basedOn w:val="1"/>
    <w:link w:val="83"/>
    <w:semiHidden/>
    <w:qFormat/>
    <w:uiPriority w:val="99"/>
    <w:rPr>
      <w:sz w:val="18"/>
      <w:szCs w:val="18"/>
    </w:rPr>
  </w:style>
  <w:style w:type="paragraph" w:styleId="29">
    <w:name w:val="footer"/>
    <w:basedOn w:val="1"/>
    <w:link w:val="84"/>
    <w:qFormat/>
    <w:uiPriority w:val="99"/>
    <w:pPr>
      <w:tabs>
        <w:tab w:val="center" w:pos="4153"/>
        <w:tab w:val="right" w:pos="8306"/>
      </w:tabs>
      <w:snapToGrid w:val="0"/>
    </w:pPr>
    <w:rPr>
      <w:sz w:val="18"/>
    </w:rPr>
  </w:style>
  <w:style w:type="paragraph" w:styleId="30">
    <w:name w:val="envelope return"/>
    <w:basedOn w:val="1"/>
    <w:qFormat/>
    <w:locked/>
    <w:uiPriority w:val="0"/>
    <w:pPr>
      <w:snapToGrid w:val="0"/>
    </w:pPr>
    <w:rPr>
      <w:rFonts w:ascii="Arial" w:hAnsi="Arial"/>
    </w:rPr>
  </w:style>
  <w:style w:type="paragraph" w:styleId="31">
    <w:name w:val="header"/>
    <w:basedOn w:val="1"/>
    <w:link w:val="85"/>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99"/>
    <w:pPr>
      <w:spacing w:before="120" w:after="120"/>
    </w:pPr>
    <w:rPr>
      <w:rFonts w:ascii="Times New Roman"/>
      <w:b/>
      <w:bCs/>
      <w:caps/>
      <w:sz w:val="20"/>
    </w:rPr>
  </w:style>
  <w:style w:type="paragraph" w:styleId="33">
    <w:name w:val="toc 4"/>
    <w:basedOn w:val="1"/>
    <w:next w:val="1"/>
    <w:semiHidden/>
    <w:qFormat/>
    <w:uiPriority w:val="99"/>
    <w:pPr>
      <w:ind w:left="1020"/>
    </w:pPr>
    <w:rPr>
      <w:rFonts w:ascii="Times New Roman"/>
      <w:sz w:val="18"/>
      <w:szCs w:val="18"/>
    </w:rPr>
  </w:style>
  <w:style w:type="paragraph" w:styleId="34">
    <w:name w:val="List"/>
    <w:basedOn w:val="1"/>
    <w:next w:val="1"/>
    <w:qFormat/>
    <w:locked/>
    <w:uiPriority w:val="0"/>
    <w:pPr>
      <w:numPr>
        <w:ilvl w:val="1"/>
        <w:numId w:val="1"/>
      </w:numPr>
    </w:pPr>
    <w:rPr>
      <w:rFonts w:ascii="微软雅黑" w:hAnsi="微软雅黑" w:cs="宋体"/>
      <w:sz w:val="21"/>
    </w:rPr>
  </w:style>
  <w:style w:type="paragraph" w:styleId="35">
    <w:name w:val="footnote text"/>
    <w:basedOn w:val="1"/>
    <w:link w:val="86"/>
    <w:semiHidden/>
    <w:qFormat/>
    <w:uiPriority w:val="99"/>
    <w:pPr>
      <w:snapToGrid w:val="0"/>
    </w:pPr>
    <w:rPr>
      <w:sz w:val="18"/>
    </w:rPr>
  </w:style>
  <w:style w:type="paragraph" w:styleId="36">
    <w:name w:val="toc 6"/>
    <w:basedOn w:val="1"/>
    <w:next w:val="1"/>
    <w:semiHidden/>
    <w:qFormat/>
    <w:uiPriority w:val="99"/>
    <w:pPr>
      <w:ind w:left="1700"/>
    </w:pPr>
    <w:rPr>
      <w:rFonts w:ascii="Times New Roman"/>
      <w:sz w:val="18"/>
      <w:szCs w:val="18"/>
    </w:rPr>
  </w:style>
  <w:style w:type="paragraph" w:styleId="37">
    <w:name w:val="Body Text Indent 3"/>
    <w:basedOn w:val="1"/>
    <w:link w:val="87"/>
    <w:qFormat/>
    <w:uiPriority w:val="99"/>
    <w:pPr>
      <w:autoSpaceDE/>
      <w:autoSpaceDN/>
      <w:adjustRightInd/>
      <w:spacing w:line="360" w:lineRule="auto"/>
      <w:ind w:firstLine="540"/>
      <w:jc w:val="both"/>
      <w:textAlignment w:val="auto"/>
    </w:pPr>
    <w:rPr>
      <w:kern w:val="2"/>
      <w:sz w:val="28"/>
    </w:rPr>
  </w:style>
  <w:style w:type="paragraph" w:styleId="38">
    <w:name w:val="toc 2"/>
    <w:basedOn w:val="1"/>
    <w:next w:val="1"/>
    <w:qFormat/>
    <w:uiPriority w:val="99"/>
    <w:pPr>
      <w:ind w:left="105" w:leftChars="31" w:right="-133" w:rightChars="-39"/>
    </w:pPr>
    <w:rPr>
      <w:rFonts w:ascii="Times New Roman"/>
      <w:smallCaps/>
      <w:sz w:val="20"/>
    </w:rPr>
  </w:style>
  <w:style w:type="paragraph" w:styleId="39">
    <w:name w:val="toc 9"/>
    <w:basedOn w:val="1"/>
    <w:next w:val="1"/>
    <w:semiHidden/>
    <w:qFormat/>
    <w:uiPriority w:val="99"/>
    <w:pPr>
      <w:ind w:left="2720"/>
    </w:pPr>
    <w:rPr>
      <w:rFonts w:ascii="Times New Roman"/>
      <w:sz w:val="18"/>
      <w:szCs w:val="18"/>
    </w:rPr>
  </w:style>
  <w:style w:type="paragraph" w:styleId="40">
    <w:name w:val="Body Text 2"/>
    <w:basedOn w:val="1"/>
    <w:link w:val="88"/>
    <w:qFormat/>
    <w:uiPriority w:val="99"/>
    <w:pPr>
      <w:jc w:val="both"/>
    </w:pPr>
    <w:rPr>
      <w:sz w:val="28"/>
    </w:rPr>
  </w:style>
  <w:style w:type="paragraph" w:styleId="41">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2">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3">
    <w:name w:val="Title"/>
    <w:basedOn w:val="1"/>
    <w:next w:val="1"/>
    <w:qFormat/>
    <w:uiPriority w:val="0"/>
    <w:pPr>
      <w:spacing w:before="240" w:after="60"/>
      <w:jc w:val="center"/>
      <w:outlineLvl w:val="0"/>
    </w:pPr>
    <w:rPr>
      <w:rFonts w:ascii="Cambria" w:hAnsi="Cambria"/>
      <w:b/>
      <w:bCs/>
      <w:sz w:val="32"/>
      <w:szCs w:val="32"/>
    </w:rPr>
  </w:style>
  <w:style w:type="paragraph" w:styleId="44">
    <w:name w:val="annotation subject"/>
    <w:basedOn w:val="18"/>
    <w:next w:val="18"/>
    <w:link w:val="77"/>
    <w:semiHidden/>
    <w:qFormat/>
    <w:uiPriority w:val="99"/>
    <w:rPr>
      <w:b/>
      <w:bCs/>
    </w:rPr>
  </w:style>
  <w:style w:type="paragraph" w:styleId="45">
    <w:name w:val="Body Text First Indent"/>
    <w:basedOn w:val="20"/>
    <w:qFormat/>
    <w:locked/>
    <w:uiPriority w:val="0"/>
    <w:pPr>
      <w:ind w:firstLine="420" w:firstLineChars="100"/>
    </w:pPr>
  </w:style>
  <w:style w:type="table" w:styleId="47">
    <w:name w:val="Table Grid"/>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qFormat/>
    <w:uiPriority w:val="99"/>
    <w:rPr>
      <w:rFonts w:cs="Times New Roman"/>
    </w:rPr>
  </w:style>
  <w:style w:type="character" w:styleId="51">
    <w:name w:val="FollowedHyperlink"/>
    <w:qFormat/>
    <w:uiPriority w:val="99"/>
    <w:rPr>
      <w:rFonts w:cs="Times New Roman"/>
      <w:color w:val="3F88BF"/>
      <w:u w:val="none"/>
    </w:rPr>
  </w:style>
  <w:style w:type="character" w:styleId="52">
    <w:name w:val="Emphasis"/>
    <w:qFormat/>
    <w:uiPriority w:val="99"/>
    <w:rPr>
      <w:rFonts w:cs="Times New Roman"/>
    </w:rPr>
  </w:style>
  <w:style w:type="character" w:styleId="53">
    <w:name w:val="HTML Definition"/>
    <w:qFormat/>
    <w:uiPriority w:val="99"/>
    <w:rPr>
      <w:rFonts w:cs="Times New Roman"/>
    </w:rPr>
  </w:style>
  <w:style w:type="character" w:styleId="54">
    <w:name w:val="HTML Variable"/>
    <w:qFormat/>
    <w:uiPriority w:val="99"/>
    <w:rPr>
      <w:rFonts w:cs="Times New Roman"/>
    </w:rPr>
  </w:style>
  <w:style w:type="character" w:styleId="55">
    <w:name w:val="Hyperlink"/>
    <w:basedOn w:val="48"/>
    <w:qFormat/>
    <w:uiPriority w:val="99"/>
    <w:rPr>
      <w:rFonts w:cs="Times New Roman"/>
      <w:color w:val="3F88BF"/>
      <w:u w:val="none"/>
    </w:rPr>
  </w:style>
  <w:style w:type="character" w:styleId="56">
    <w:name w:val="HTML Code"/>
    <w:qFormat/>
    <w:uiPriority w:val="99"/>
    <w:rPr>
      <w:rFonts w:ascii="PingFang SC" w:hAnsi="PingFang SC" w:cs="PingFang SC"/>
      <w:sz w:val="20"/>
    </w:rPr>
  </w:style>
  <w:style w:type="character" w:styleId="57">
    <w:name w:val="annotation reference"/>
    <w:semiHidden/>
    <w:qFormat/>
    <w:uiPriority w:val="99"/>
    <w:rPr>
      <w:rFonts w:cs="Times New Roman"/>
      <w:sz w:val="21"/>
    </w:rPr>
  </w:style>
  <w:style w:type="character" w:styleId="58">
    <w:name w:val="HTML Cite"/>
    <w:qFormat/>
    <w:uiPriority w:val="99"/>
    <w:rPr>
      <w:rFonts w:cs="Times New Roman"/>
    </w:rPr>
  </w:style>
  <w:style w:type="character" w:styleId="59">
    <w:name w:val="footnote reference"/>
    <w:semiHidden/>
    <w:qFormat/>
    <w:uiPriority w:val="99"/>
    <w:rPr>
      <w:rFonts w:cs="Times New Roman"/>
      <w:vertAlign w:val="superscript"/>
    </w:rPr>
  </w:style>
  <w:style w:type="character" w:styleId="60">
    <w:name w:val="HTML Keyboard"/>
    <w:qFormat/>
    <w:uiPriority w:val="99"/>
    <w:rPr>
      <w:rFonts w:ascii="PingFang SC" w:hAnsi="PingFang SC" w:cs="PingFang SC"/>
      <w:sz w:val="20"/>
    </w:rPr>
  </w:style>
  <w:style w:type="character" w:styleId="61">
    <w:name w:val="HTML Sample"/>
    <w:qFormat/>
    <w:uiPriority w:val="99"/>
    <w:rPr>
      <w:rFonts w:ascii="PingFang SC" w:hAnsi="PingFang SC" w:cs="PingFang SC"/>
    </w:rPr>
  </w:style>
  <w:style w:type="paragraph" w:customStyle="1" w:styleId="62">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3">
    <w:name w:val="正文2"/>
    <w:basedOn w:val="1"/>
    <w:link w:val="123"/>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5">
    <w:name w:val="标题 1 Char"/>
    <w:basedOn w:val="48"/>
    <w:link w:val="6"/>
    <w:qFormat/>
    <w:locked/>
    <w:uiPriority w:val="99"/>
    <w:rPr>
      <w:rFonts w:ascii="宋体" w:cs="Times New Roman"/>
      <w:b/>
      <w:bCs/>
      <w:kern w:val="44"/>
      <w:sz w:val="44"/>
      <w:szCs w:val="44"/>
    </w:rPr>
  </w:style>
  <w:style w:type="character" w:customStyle="1" w:styleId="66">
    <w:name w:val="标题 2 Char"/>
    <w:link w:val="7"/>
    <w:semiHidden/>
    <w:qFormat/>
    <w:locked/>
    <w:uiPriority w:val="99"/>
    <w:rPr>
      <w:rFonts w:ascii="Cambria" w:hAnsi="Cambria" w:eastAsia="宋体" w:cs="Times New Roman"/>
      <w:b/>
      <w:bCs/>
      <w:kern w:val="0"/>
      <w:sz w:val="32"/>
      <w:szCs w:val="32"/>
    </w:rPr>
  </w:style>
  <w:style w:type="character" w:customStyle="1" w:styleId="67">
    <w:name w:val="标题 3 Char"/>
    <w:link w:val="8"/>
    <w:semiHidden/>
    <w:qFormat/>
    <w:locked/>
    <w:uiPriority w:val="99"/>
    <w:rPr>
      <w:rFonts w:ascii="宋体" w:cs="Times New Roman"/>
      <w:b/>
      <w:bCs/>
      <w:kern w:val="0"/>
      <w:sz w:val="32"/>
      <w:szCs w:val="32"/>
    </w:rPr>
  </w:style>
  <w:style w:type="character" w:customStyle="1" w:styleId="68">
    <w:name w:val="标题 4 Char"/>
    <w:link w:val="9"/>
    <w:semiHidden/>
    <w:qFormat/>
    <w:locked/>
    <w:uiPriority w:val="99"/>
    <w:rPr>
      <w:rFonts w:ascii="Cambria" w:hAnsi="Cambria" w:eastAsia="宋体" w:cs="Times New Roman"/>
      <w:b/>
      <w:bCs/>
      <w:kern w:val="0"/>
      <w:sz w:val="28"/>
      <w:szCs w:val="28"/>
    </w:rPr>
  </w:style>
  <w:style w:type="character" w:customStyle="1" w:styleId="69">
    <w:name w:val="标题 5 Char"/>
    <w:link w:val="10"/>
    <w:semiHidden/>
    <w:qFormat/>
    <w:locked/>
    <w:uiPriority w:val="99"/>
    <w:rPr>
      <w:rFonts w:ascii="宋体" w:cs="Times New Roman"/>
      <w:b/>
      <w:bCs/>
      <w:kern w:val="0"/>
      <w:sz w:val="28"/>
      <w:szCs w:val="28"/>
    </w:rPr>
  </w:style>
  <w:style w:type="character" w:customStyle="1" w:styleId="70">
    <w:name w:val="标题 6 Char"/>
    <w:link w:val="11"/>
    <w:semiHidden/>
    <w:qFormat/>
    <w:locked/>
    <w:uiPriority w:val="99"/>
    <w:rPr>
      <w:rFonts w:ascii="Cambria" w:hAnsi="Cambria" w:eastAsia="宋体" w:cs="Times New Roman"/>
      <w:b/>
      <w:bCs/>
      <w:kern w:val="0"/>
      <w:sz w:val="24"/>
      <w:szCs w:val="24"/>
    </w:rPr>
  </w:style>
  <w:style w:type="character" w:customStyle="1" w:styleId="71">
    <w:name w:val="标题 7 Char"/>
    <w:link w:val="12"/>
    <w:semiHidden/>
    <w:qFormat/>
    <w:locked/>
    <w:uiPriority w:val="99"/>
    <w:rPr>
      <w:rFonts w:ascii="宋体" w:cs="Times New Roman"/>
      <w:b/>
      <w:bCs/>
      <w:kern w:val="0"/>
      <w:sz w:val="24"/>
      <w:szCs w:val="24"/>
    </w:rPr>
  </w:style>
  <w:style w:type="character" w:customStyle="1" w:styleId="72">
    <w:name w:val="标题 8 Char"/>
    <w:link w:val="13"/>
    <w:semiHidden/>
    <w:qFormat/>
    <w:locked/>
    <w:uiPriority w:val="99"/>
    <w:rPr>
      <w:rFonts w:ascii="Cambria" w:hAnsi="Cambria" w:eastAsia="宋体" w:cs="Times New Roman"/>
      <w:kern w:val="0"/>
      <w:sz w:val="24"/>
      <w:szCs w:val="24"/>
    </w:rPr>
  </w:style>
  <w:style w:type="character" w:customStyle="1" w:styleId="73">
    <w:name w:val="标题 9 Char"/>
    <w:link w:val="14"/>
    <w:semiHidden/>
    <w:qFormat/>
    <w:locked/>
    <w:uiPriority w:val="99"/>
    <w:rPr>
      <w:rFonts w:ascii="Cambria" w:hAnsi="Cambria" w:eastAsia="宋体" w:cs="Times New Roman"/>
      <w:kern w:val="0"/>
      <w:sz w:val="21"/>
      <w:szCs w:val="21"/>
    </w:rPr>
  </w:style>
  <w:style w:type="character" w:customStyle="1" w:styleId="74">
    <w:name w:val="正文文本缩进 Char"/>
    <w:link w:val="3"/>
    <w:semiHidden/>
    <w:qFormat/>
    <w:locked/>
    <w:uiPriority w:val="99"/>
    <w:rPr>
      <w:rFonts w:ascii="宋体" w:cs="Times New Roman"/>
      <w:kern w:val="0"/>
      <w:sz w:val="20"/>
      <w:szCs w:val="20"/>
    </w:rPr>
  </w:style>
  <w:style w:type="character" w:customStyle="1" w:styleId="75">
    <w:name w:val="正文首行缩进 2 Char"/>
    <w:link w:val="2"/>
    <w:semiHidden/>
    <w:qFormat/>
    <w:locked/>
    <w:uiPriority w:val="99"/>
    <w:rPr>
      <w:rFonts w:ascii="宋体" w:cs="Times New Roman"/>
      <w:kern w:val="0"/>
      <w:sz w:val="20"/>
      <w:szCs w:val="20"/>
    </w:rPr>
  </w:style>
  <w:style w:type="character" w:customStyle="1" w:styleId="76">
    <w:name w:val="批注文字 Char"/>
    <w:link w:val="18"/>
    <w:semiHidden/>
    <w:qFormat/>
    <w:locked/>
    <w:uiPriority w:val="99"/>
    <w:rPr>
      <w:rFonts w:ascii="宋体" w:cs="Times New Roman"/>
      <w:kern w:val="0"/>
      <w:sz w:val="20"/>
      <w:szCs w:val="20"/>
    </w:rPr>
  </w:style>
  <w:style w:type="character" w:customStyle="1" w:styleId="77">
    <w:name w:val="批注主题 Char"/>
    <w:link w:val="44"/>
    <w:semiHidden/>
    <w:qFormat/>
    <w:locked/>
    <w:uiPriority w:val="99"/>
    <w:rPr>
      <w:rFonts w:ascii="宋体" w:cs="Times New Roman"/>
      <w:b/>
      <w:bCs/>
      <w:kern w:val="0"/>
      <w:sz w:val="20"/>
      <w:szCs w:val="20"/>
    </w:rPr>
  </w:style>
  <w:style w:type="character" w:customStyle="1" w:styleId="78">
    <w:name w:val="正文文本 3 Char"/>
    <w:link w:val="19"/>
    <w:qFormat/>
    <w:locked/>
    <w:uiPriority w:val="99"/>
    <w:rPr>
      <w:rFonts w:ascii="宋体" w:cs="Times New Roman"/>
      <w:color w:val="000000"/>
      <w:sz w:val="28"/>
    </w:rPr>
  </w:style>
  <w:style w:type="character" w:customStyle="1" w:styleId="79">
    <w:name w:val="正文文本 Char"/>
    <w:link w:val="20"/>
    <w:semiHidden/>
    <w:qFormat/>
    <w:locked/>
    <w:uiPriority w:val="99"/>
    <w:rPr>
      <w:rFonts w:ascii="宋体" w:cs="Times New Roman"/>
      <w:kern w:val="0"/>
      <w:sz w:val="20"/>
      <w:szCs w:val="20"/>
    </w:rPr>
  </w:style>
  <w:style w:type="character" w:customStyle="1" w:styleId="80">
    <w:name w:val="纯文本 Char"/>
    <w:link w:val="24"/>
    <w:qFormat/>
    <w:locked/>
    <w:uiPriority w:val="0"/>
    <w:rPr>
      <w:rFonts w:ascii="宋体" w:hAnsi="Courier New" w:eastAsia="宋体" w:cs="Times New Roman"/>
      <w:sz w:val="21"/>
      <w:lang w:val="en-US" w:eastAsia="zh-CN"/>
    </w:rPr>
  </w:style>
  <w:style w:type="character" w:customStyle="1" w:styleId="81">
    <w:name w:val="日期 Char"/>
    <w:link w:val="26"/>
    <w:semiHidden/>
    <w:qFormat/>
    <w:locked/>
    <w:uiPriority w:val="99"/>
    <w:rPr>
      <w:rFonts w:ascii="宋体" w:cs="Times New Roman"/>
      <w:kern w:val="0"/>
      <w:sz w:val="20"/>
      <w:szCs w:val="20"/>
    </w:rPr>
  </w:style>
  <w:style w:type="character" w:customStyle="1" w:styleId="82">
    <w:name w:val="正文文本缩进 2 Char"/>
    <w:link w:val="27"/>
    <w:semiHidden/>
    <w:qFormat/>
    <w:locked/>
    <w:uiPriority w:val="99"/>
    <w:rPr>
      <w:rFonts w:ascii="宋体" w:cs="Times New Roman"/>
      <w:kern w:val="0"/>
      <w:sz w:val="20"/>
      <w:szCs w:val="20"/>
    </w:rPr>
  </w:style>
  <w:style w:type="character" w:customStyle="1" w:styleId="83">
    <w:name w:val="批注框文本 Char"/>
    <w:link w:val="28"/>
    <w:semiHidden/>
    <w:qFormat/>
    <w:locked/>
    <w:uiPriority w:val="99"/>
    <w:rPr>
      <w:rFonts w:ascii="宋体" w:cs="Times New Roman"/>
      <w:kern w:val="0"/>
      <w:sz w:val="2"/>
    </w:rPr>
  </w:style>
  <w:style w:type="character" w:customStyle="1" w:styleId="84">
    <w:name w:val="页脚 Char"/>
    <w:link w:val="29"/>
    <w:semiHidden/>
    <w:qFormat/>
    <w:locked/>
    <w:uiPriority w:val="99"/>
    <w:rPr>
      <w:rFonts w:ascii="宋体" w:cs="Times New Roman"/>
      <w:kern w:val="0"/>
      <w:sz w:val="18"/>
      <w:szCs w:val="18"/>
    </w:rPr>
  </w:style>
  <w:style w:type="character" w:customStyle="1" w:styleId="85">
    <w:name w:val="页眉 Char"/>
    <w:link w:val="31"/>
    <w:semiHidden/>
    <w:qFormat/>
    <w:locked/>
    <w:uiPriority w:val="99"/>
    <w:rPr>
      <w:rFonts w:ascii="宋体" w:cs="Times New Roman"/>
      <w:kern w:val="0"/>
      <w:sz w:val="18"/>
      <w:szCs w:val="18"/>
    </w:rPr>
  </w:style>
  <w:style w:type="character" w:customStyle="1" w:styleId="86">
    <w:name w:val="脚注文本 Char"/>
    <w:link w:val="35"/>
    <w:semiHidden/>
    <w:qFormat/>
    <w:locked/>
    <w:uiPriority w:val="99"/>
    <w:rPr>
      <w:rFonts w:ascii="宋体" w:cs="Times New Roman"/>
      <w:kern w:val="0"/>
      <w:sz w:val="18"/>
      <w:szCs w:val="18"/>
    </w:rPr>
  </w:style>
  <w:style w:type="character" w:customStyle="1" w:styleId="87">
    <w:name w:val="正文文本缩进 3 Char"/>
    <w:link w:val="37"/>
    <w:qFormat/>
    <w:locked/>
    <w:uiPriority w:val="99"/>
    <w:rPr>
      <w:rFonts w:ascii="宋体" w:cs="Times New Roman"/>
      <w:kern w:val="0"/>
      <w:sz w:val="16"/>
      <w:szCs w:val="16"/>
    </w:rPr>
  </w:style>
  <w:style w:type="character" w:customStyle="1" w:styleId="88">
    <w:name w:val="正文文本 2 Char"/>
    <w:link w:val="40"/>
    <w:semiHidden/>
    <w:qFormat/>
    <w:locked/>
    <w:uiPriority w:val="99"/>
    <w:rPr>
      <w:rFonts w:ascii="宋体" w:cs="Times New Roman"/>
      <w:kern w:val="0"/>
      <w:sz w:val="20"/>
      <w:szCs w:val="20"/>
    </w:rPr>
  </w:style>
  <w:style w:type="character" w:customStyle="1" w:styleId="89">
    <w:name w:val="HTML 预设格式 Char"/>
    <w:link w:val="41"/>
    <w:semiHidden/>
    <w:qFormat/>
    <w:locked/>
    <w:uiPriority w:val="99"/>
    <w:rPr>
      <w:rFonts w:ascii="Courier New" w:hAnsi="Courier New" w:cs="Courier New"/>
      <w:kern w:val="0"/>
      <w:sz w:val="20"/>
      <w:szCs w:val="20"/>
    </w:rPr>
  </w:style>
  <w:style w:type="character" w:customStyle="1" w:styleId="90">
    <w:name w:val="num4"/>
    <w:qFormat/>
    <w:uiPriority w:val="99"/>
    <w:rPr>
      <w:rFonts w:cs="Times New Roman"/>
      <w:b/>
      <w:color w:val="FF7800"/>
    </w:rPr>
  </w:style>
  <w:style w:type="character" w:customStyle="1" w:styleId="91">
    <w:name w:val="answer-title12"/>
    <w:qFormat/>
    <w:uiPriority w:val="99"/>
    <w:rPr>
      <w:rFonts w:cs="Times New Roman"/>
    </w:rPr>
  </w:style>
  <w:style w:type="character" w:customStyle="1" w:styleId="92">
    <w:name w:val="legend"/>
    <w:qFormat/>
    <w:uiPriority w:val="99"/>
    <w:rPr>
      <w:rFonts w:ascii="Arial" w:hAnsi="Arial" w:cs="Arial"/>
      <w:b/>
      <w:color w:val="73B304"/>
      <w:sz w:val="21"/>
      <w:szCs w:val="21"/>
      <w:shd w:val="clear" w:color="auto" w:fill="FFFFFF"/>
    </w:rPr>
  </w:style>
  <w:style w:type="character" w:customStyle="1" w:styleId="93">
    <w:name w:val="Char Char"/>
    <w:qFormat/>
    <w:uiPriority w:val="99"/>
    <w:rPr>
      <w:rFonts w:eastAsia="宋体"/>
      <w:kern w:val="2"/>
      <w:sz w:val="21"/>
      <w:lang w:val="en-US" w:eastAsia="zh-CN"/>
    </w:rPr>
  </w:style>
  <w:style w:type="character" w:customStyle="1" w:styleId="94">
    <w:name w:val="release-day"/>
    <w:qFormat/>
    <w:uiPriority w:val="99"/>
    <w:rPr>
      <w:rFonts w:cs="Times New Roman"/>
      <w:bdr w:val="single" w:color="BDEBB0" w:sz="6" w:space="0"/>
      <w:shd w:val="clear" w:color="auto" w:fill="F5FFF1"/>
    </w:rPr>
  </w:style>
  <w:style w:type="character" w:customStyle="1" w:styleId="95">
    <w:name w:val="正文缩进 Char"/>
    <w:link w:val="4"/>
    <w:qFormat/>
    <w:locked/>
    <w:uiPriority w:val="99"/>
    <w:rPr>
      <w:rFonts w:eastAsia="宋体"/>
      <w:kern w:val="2"/>
      <w:sz w:val="21"/>
      <w:lang w:val="en-US" w:eastAsia="zh-CN"/>
    </w:rPr>
  </w:style>
  <w:style w:type="character" w:customStyle="1" w:styleId="96">
    <w:name w:val="列出段落 Char"/>
    <w:link w:val="97"/>
    <w:qFormat/>
    <w:locked/>
    <w:uiPriority w:val="99"/>
    <w:rPr>
      <w:rFonts w:ascii="Calibri" w:hAnsi="Calibri"/>
      <w:kern w:val="2"/>
      <w:sz w:val="22"/>
    </w:rPr>
  </w:style>
  <w:style w:type="paragraph" w:styleId="97">
    <w:name w:val="List Paragraph"/>
    <w:basedOn w:val="1"/>
    <w:link w:val="96"/>
    <w:qFormat/>
    <w:uiPriority w:val="99"/>
    <w:pPr>
      <w:autoSpaceDE/>
      <w:autoSpaceDN/>
      <w:adjustRightInd/>
      <w:ind w:firstLine="420" w:firstLineChars="200"/>
      <w:jc w:val="both"/>
      <w:textAlignment w:val="auto"/>
    </w:pPr>
    <w:rPr>
      <w:rFonts w:ascii="Calibri" w:hAnsi="Calibri"/>
      <w:kern w:val="2"/>
      <w:sz w:val="22"/>
    </w:rPr>
  </w:style>
  <w:style w:type="character" w:customStyle="1" w:styleId="98">
    <w:name w:val="表正文 Char"/>
    <w:qFormat/>
    <w:uiPriority w:val="99"/>
    <w:rPr>
      <w:rFonts w:eastAsia="宋体"/>
      <w:kern w:val="2"/>
      <w:sz w:val="21"/>
      <w:lang w:val="en-US" w:eastAsia="zh-CN"/>
    </w:rPr>
  </w:style>
  <w:style w:type="character" w:customStyle="1" w:styleId="99">
    <w:name w:val="普通文字 Char Char1"/>
    <w:qFormat/>
    <w:uiPriority w:val="99"/>
    <w:rPr>
      <w:rFonts w:ascii="宋体" w:hAnsi="Courier New" w:eastAsia="宋体"/>
      <w:sz w:val="21"/>
      <w:lang w:val="en-US" w:eastAsia="zh-CN"/>
    </w:rPr>
  </w:style>
  <w:style w:type="character" w:customStyle="1" w:styleId="100">
    <w:name w:val="hits"/>
    <w:qFormat/>
    <w:uiPriority w:val="99"/>
    <w:rPr>
      <w:rFonts w:cs="Times New Roman"/>
    </w:rPr>
  </w:style>
  <w:style w:type="character" w:customStyle="1" w:styleId="101">
    <w:name w:val="fabu"/>
    <w:qFormat/>
    <w:uiPriority w:val="99"/>
    <w:rPr>
      <w:rFonts w:cs="Times New Roman"/>
    </w:rPr>
  </w:style>
  <w:style w:type="character" w:customStyle="1" w:styleId="102">
    <w:name w:val="kshs"/>
    <w:qFormat/>
    <w:uiPriority w:val="99"/>
    <w:rPr>
      <w:rFonts w:cs="Times New Roman"/>
    </w:rPr>
  </w:style>
  <w:style w:type="character" w:customStyle="1" w:styleId="103">
    <w:name w:val="on"/>
    <w:qFormat/>
    <w:uiPriority w:val="99"/>
    <w:rPr>
      <w:rFonts w:cs="Times New Roman"/>
      <w:color w:val="FFFFFF"/>
      <w:bdr w:val="single" w:color="D51D13" w:sz="4" w:space="0"/>
      <w:shd w:val="clear" w:color="auto" w:fill="D51D13"/>
    </w:rPr>
  </w:style>
  <w:style w:type="character" w:customStyle="1" w:styleId="104">
    <w:name w:val="on1"/>
    <w:qFormat/>
    <w:uiPriority w:val="99"/>
    <w:rPr>
      <w:rFonts w:cs="Times New Roman"/>
      <w:color w:val="FFFFFF"/>
      <w:bdr w:val="single" w:color="D51D13" w:sz="4" w:space="0"/>
      <w:shd w:val="clear" w:color="auto" w:fill="D51D13"/>
    </w:rPr>
  </w:style>
  <w:style w:type="paragraph" w:customStyle="1" w:styleId="105">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06">
    <w:name w:val="纯文本1"/>
    <w:basedOn w:val="63"/>
    <w:qFormat/>
    <w:uiPriority w:val="99"/>
    <w:rPr>
      <w:rFonts w:hAnsi="Courier New" w:eastAsia="Times New Roman"/>
      <w:sz w:val="26"/>
    </w:rPr>
  </w:style>
  <w:style w:type="paragraph" w:customStyle="1" w:styleId="107">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08">
    <w:name w:val="样式K"/>
    <w:basedOn w:val="20"/>
    <w:qFormat/>
    <w:uiPriority w:val="99"/>
    <w:pPr>
      <w:autoSpaceDE/>
      <w:autoSpaceDN/>
      <w:adjustRightInd/>
      <w:textAlignment w:val="auto"/>
    </w:pPr>
    <w:rPr>
      <w:rFonts w:ascii="仿宋_GB2312" w:hAnsi="Book Antiqua" w:eastAsia="仿宋_GB2312"/>
      <w:kern w:val="2"/>
      <w:sz w:val="24"/>
      <w:szCs w:val="24"/>
    </w:rPr>
  </w:style>
  <w:style w:type="paragraph" w:customStyle="1" w:styleId="109">
    <w:name w:val="正文－恩普"/>
    <w:basedOn w:val="4"/>
    <w:qFormat/>
    <w:uiPriority w:val="99"/>
    <w:pPr>
      <w:widowControl/>
      <w:spacing w:line="360" w:lineRule="auto"/>
      <w:ind w:firstLine="480" w:firstLineChars="200"/>
      <w:jc w:val="left"/>
    </w:pPr>
    <w:rPr>
      <w:kern w:val="0"/>
      <w:sz w:val="24"/>
    </w:rPr>
  </w:style>
  <w:style w:type="paragraph" w:customStyle="1" w:styleId="110">
    <w:name w:val="2"/>
    <w:basedOn w:val="1"/>
    <w:next w:val="20"/>
    <w:qFormat/>
    <w:uiPriority w:val="99"/>
    <w:rPr>
      <w:sz w:val="28"/>
    </w:rPr>
  </w:style>
  <w:style w:type="paragraph" w:customStyle="1" w:styleId="111">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2">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3">
    <w:name w:val="Char"/>
    <w:basedOn w:val="1"/>
    <w:qFormat/>
    <w:uiPriority w:val="99"/>
    <w:pPr>
      <w:autoSpaceDE/>
      <w:autoSpaceDN/>
      <w:adjustRightInd/>
      <w:jc w:val="both"/>
      <w:textAlignment w:val="auto"/>
    </w:pPr>
    <w:rPr>
      <w:rFonts w:ascii="Tahoma" w:hAnsi="Tahoma"/>
      <w:kern w:val="2"/>
      <w:sz w:val="24"/>
    </w:rPr>
  </w:style>
  <w:style w:type="paragraph" w:customStyle="1" w:styleId="114">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5">
    <w:name w:val="Char Char Char Char"/>
    <w:basedOn w:val="1"/>
    <w:qFormat/>
    <w:uiPriority w:val="99"/>
    <w:pPr>
      <w:autoSpaceDE/>
      <w:autoSpaceDN/>
      <w:adjustRightInd/>
      <w:jc w:val="both"/>
      <w:textAlignment w:val="auto"/>
    </w:pPr>
  </w:style>
  <w:style w:type="paragraph" w:customStyle="1" w:styleId="116">
    <w:name w:val="0-正文"/>
    <w:basedOn w:val="1"/>
    <w:link w:val="117"/>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17">
    <w:name w:val="0-正文 Char"/>
    <w:link w:val="116"/>
    <w:qFormat/>
    <w:locked/>
    <w:uiPriority w:val="99"/>
    <w:rPr>
      <w:rFonts w:ascii="汉仪仿宋简" w:hAnsi="仿宋"/>
      <w:sz w:val="28"/>
    </w:rPr>
  </w:style>
  <w:style w:type="paragraph" w:customStyle="1" w:styleId="118">
    <w:name w:val="样式 标题 3节内1级标记Heading 3 - oldh3H3level_3PIM 3Level 3 Head...1"/>
    <w:basedOn w:val="8"/>
    <w:link w:val="119"/>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19">
    <w:name w:val="样式 标题 3节内1级标记Heading 3 - oldh3H3level_3PIM 3Level 3 Head...1 Char"/>
    <w:link w:val="118"/>
    <w:qFormat/>
    <w:locked/>
    <w:uiPriority w:val="99"/>
    <w:rPr>
      <w:rFonts w:ascii="Arial" w:hAnsi="Arial" w:eastAsia="黑体"/>
      <w:b/>
      <w:kern w:val="2"/>
      <w:sz w:val="30"/>
    </w:rPr>
  </w:style>
  <w:style w:type="paragraph" w:customStyle="1" w:styleId="120">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1">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2">
    <w:name w:val="纯文本 Char2"/>
    <w:qFormat/>
    <w:uiPriority w:val="99"/>
    <w:rPr>
      <w:rFonts w:ascii="??" w:hAnsi="??"/>
      <w:kern w:val="2"/>
      <w:sz w:val="21"/>
      <w:lang w:val="en-US" w:eastAsia="zh-CN"/>
    </w:rPr>
  </w:style>
  <w:style w:type="character" w:customStyle="1" w:styleId="123">
    <w:name w:val="正文2 Char Char"/>
    <w:link w:val="63"/>
    <w:qFormat/>
    <w:locked/>
    <w:uiPriority w:val="99"/>
    <w:rPr>
      <w:rFonts w:eastAsia="Times New Roman"/>
      <w:kern w:val="2"/>
      <w:sz w:val="28"/>
    </w:rPr>
  </w:style>
  <w:style w:type="paragraph" w:customStyle="1" w:styleId="124">
    <w:name w:val="列出段落1"/>
    <w:basedOn w:val="1"/>
    <w:qFormat/>
    <w:uiPriority w:val="34"/>
    <w:pPr>
      <w:ind w:firstLine="420" w:firstLineChars="200"/>
    </w:pPr>
    <w:rPr>
      <w:rFonts w:ascii="Calibri" w:hAnsi="Calibri"/>
      <w:szCs w:val="22"/>
    </w:rPr>
  </w:style>
  <w:style w:type="paragraph" w:customStyle="1" w:styleId="125">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6">
    <w:name w:val="font11"/>
    <w:basedOn w:val="48"/>
    <w:qFormat/>
    <w:uiPriority w:val="0"/>
    <w:rPr>
      <w:rFonts w:hint="default" w:ascii="Times New Roman" w:hAnsi="Times New Roman" w:eastAsia="宋体" w:cs="Times New Roman"/>
      <w:bCs/>
      <w:color w:val="000000"/>
      <w:kern w:val="2"/>
      <w:sz w:val="20"/>
      <w:szCs w:val="20"/>
      <w:u w:val="none"/>
    </w:rPr>
  </w:style>
  <w:style w:type="character" w:customStyle="1" w:styleId="127">
    <w:name w:val="font31"/>
    <w:basedOn w:val="48"/>
    <w:qFormat/>
    <w:uiPriority w:val="0"/>
    <w:rPr>
      <w:rFonts w:hint="eastAsia" w:ascii="宋体" w:hAnsi="宋体" w:eastAsia="宋体" w:cs="宋体"/>
      <w:color w:val="000000"/>
      <w:sz w:val="24"/>
      <w:szCs w:val="24"/>
      <w:u w:val="none"/>
    </w:rPr>
  </w:style>
  <w:style w:type="character" w:customStyle="1" w:styleId="128">
    <w:name w:val="font01"/>
    <w:basedOn w:val="48"/>
    <w:qFormat/>
    <w:uiPriority w:val="0"/>
    <w:rPr>
      <w:rFonts w:hint="eastAsia" w:ascii="宋体" w:hAnsi="宋体" w:eastAsia="宋体" w:cs="宋体"/>
      <w:b/>
      <w:color w:val="000000"/>
      <w:sz w:val="20"/>
      <w:szCs w:val="20"/>
      <w:u w:val="none"/>
    </w:rPr>
  </w:style>
  <w:style w:type="character" w:customStyle="1" w:styleId="129">
    <w:name w:val="font21"/>
    <w:basedOn w:val="48"/>
    <w:qFormat/>
    <w:uiPriority w:val="0"/>
    <w:rPr>
      <w:rFonts w:hint="eastAsia" w:ascii="宋体" w:hAnsi="宋体" w:eastAsia="宋体" w:cs="宋体"/>
      <w:b/>
      <w:color w:val="000000"/>
      <w:sz w:val="18"/>
      <w:szCs w:val="18"/>
      <w:u w:val="none"/>
    </w:rPr>
  </w:style>
  <w:style w:type="character" w:customStyle="1" w:styleId="130">
    <w:name w:val="font51"/>
    <w:basedOn w:val="48"/>
    <w:qFormat/>
    <w:uiPriority w:val="0"/>
    <w:rPr>
      <w:rFonts w:ascii="微软雅黑" w:hAnsi="微软雅黑" w:eastAsia="微软雅黑" w:cs="微软雅黑"/>
      <w:b/>
      <w:color w:val="000000"/>
      <w:sz w:val="18"/>
      <w:szCs w:val="18"/>
      <w:u w:val="none"/>
    </w:rPr>
  </w:style>
  <w:style w:type="character" w:customStyle="1" w:styleId="131">
    <w:name w:val="font91"/>
    <w:basedOn w:val="48"/>
    <w:qFormat/>
    <w:uiPriority w:val="0"/>
    <w:rPr>
      <w:rFonts w:hint="eastAsia" w:ascii="宋体" w:hAnsi="宋体" w:eastAsia="宋体" w:cs="宋体"/>
      <w:b/>
      <w:color w:val="000000"/>
      <w:sz w:val="24"/>
      <w:szCs w:val="24"/>
      <w:u w:val="none"/>
    </w:rPr>
  </w:style>
  <w:style w:type="character" w:customStyle="1" w:styleId="132">
    <w:name w:val="font81"/>
    <w:basedOn w:val="48"/>
    <w:qFormat/>
    <w:uiPriority w:val="0"/>
    <w:rPr>
      <w:rFonts w:hint="eastAsia" w:ascii="微软雅黑" w:hAnsi="微软雅黑" w:eastAsia="微软雅黑" w:cs="微软雅黑"/>
      <w:b/>
      <w:color w:val="000000"/>
      <w:sz w:val="24"/>
      <w:szCs w:val="24"/>
      <w:u w:val="none"/>
    </w:rPr>
  </w:style>
  <w:style w:type="character" w:customStyle="1" w:styleId="133">
    <w:name w:val="font121"/>
    <w:basedOn w:val="48"/>
    <w:qFormat/>
    <w:uiPriority w:val="0"/>
    <w:rPr>
      <w:rFonts w:hint="default" w:ascii="Arial" w:hAnsi="Arial" w:cs="Arial"/>
      <w:b/>
      <w:color w:val="000000"/>
      <w:sz w:val="20"/>
      <w:szCs w:val="20"/>
      <w:u w:val="none"/>
    </w:rPr>
  </w:style>
  <w:style w:type="character" w:customStyle="1" w:styleId="134">
    <w:name w:val="font71"/>
    <w:basedOn w:val="48"/>
    <w:qFormat/>
    <w:uiPriority w:val="0"/>
    <w:rPr>
      <w:rFonts w:hint="eastAsia" w:ascii="宋体" w:hAnsi="宋体" w:eastAsia="宋体" w:cs="宋体"/>
      <w:color w:val="000000"/>
      <w:sz w:val="20"/>
      <w:szCs w:val="20"/>
      <w:u w:val="none"/>
    </w:rPr>
  </w:style>
  <w:style w:type="character" w:customStyle="1" w:styleId="135">
    <w:name w:val="font61"/>
    <w:basedOn w:val="48"/>
    <w:qFormat/>
    <w:uiPriority w:val="0"/>
    <w:rPr>
      <w:rFonts w:hint="eastAsia" w:ascii="宋体" w:hAnsi="宋体" w:eastAsia="宋体" w:cs="宋体"/>
      <w:b/>
      <w:color w:val="000000"/>
      <w:sz w:val="20"/>
      <w:szCs w:val="20"/>
      <w:u w:val="none"/>
    </w:rPr>
  </w:style>
  <w:style w:type="character" w:customStyle="1" w:styleId="136">
    <w:name w:val="font41"/>
    <w:basedOn w:val="48"/>
    <w:qFormat/>
    <w:uiPriority w:val="0"/>
    <w:rPr>
      <w:rFonts w:hint="eastAsia" w:ascii="宋体" w:hAnsi="宋体" w:eastAsia="宋体" w:cs="宋体"/>
      <w:color w:val="000000"/>
      <w:sz w:val="20"/>
      <w:szCs w:val="20"/>
      <w:u w:val="none"/>
    </w:rPr>
  </w:style>
  <w:style w:type="character" w:customStyle="1" w:styleId="137">
    <w:name w:val="bookmark-item"/>
    <w:basedOn w:val="48"/>
    <w:qFormat/>
    <w:uiPriority w:val="0"/>
  </w:style>
  <w:style w:type="character" w:customStyle="1" w:styleId="138">
    <w:name w:val="sub"/>
    <w:basedOn w:val="48"/>
    <w:qFormat/>
    <w:uiPriority w:val="0"/>
  </w:style>
  <w:style w:type="paragraph" w:customStyle="1" w:styleId="139">
    <w:name w:val="_Style 1"/>
    <w:basedOn w:val="1"/>
    <w:next w:val="42"/>
    <w:qFormat/>
    <w:uiPriority w:val="0"/>
    <w:pPr>
      <w:autoSpaceDE/>
      <w:autoSpaceDN/>
      <w:adjustRightInd/>
      <w:jc w:val="both"/>
      <w:textAlignment w:val="auto"/>
    </w:pPr>
    <w:rPr>
      <w:rFonts w:ascii="Times New Roman"/>
      <w:kern w:val="2"/>
      <w:sz w:val="24"/>
    </w:rPr>
  </w:style>
  <w:style w:type="character" w:customStyle="1" w:styleId="140">
    <w:name w:val="apple-converted-space"/>
    <w:basedOn w:val="48"/>
    <w:qFormat/>
    <w:uiPriority w:val="0"/>
  </w:style>
  <w:style w:type="character" w:customStyle="1" w:styleId="141">
    <w:name w:val="Char Char1"/>
    <w:qFormat/>
    <w:uiPriority w:val="0"/>
    <w:rPr>
      <w:rFonts w:ascii="宋体" w:hAnsi="宋体" w:eastAsia="宋体"/>
      <w:sz w:val="24"/>
      <w:szCs w:val="24"/>
      <w:lang w:val="en-US" w:eastAsia="zh-CN" w:bidi="ar-SA"/>
    </w:rPr>
  </w:style>
  <w:style w:type="paragraph" w:customStyle="1" w:styleId="142">
    <w:name w:val="样式1"/>
    <w:basedOn w:val="32"/>
    <w:qFormat/>
    <w:uiPriority w:val="0"/>
    <w:pPr>
      <w:tabs>
        <w:tab w:val="right" w:leader="dot" w:pos="8642"/>
      </w:tabs>
      <w:spacing w:before="240" w:line="360" w:lineRule="auto"/>
    </w:pPr>
    <w:rPr>
      <w:rFonts w:hAnsi="宋体"/>
      <w:sz w:val="28"/>
      <w:szCs w:val="21"/>
    </w:rPr>
  </w:style>
  <w:style w:type="character" w:customStyle="1" w:styleId="143">
    <w:name w:val="NormalCharacter"/>
    <w:semiHidden/>
    <w:qFormat/>
    <w:uiPriority w:val="0"/>
  </w:style>
  <w:style w:type="paragraph" w:customStyle="1" w:styleId="144">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5">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6">
    <w:name w:val="无"/>
    <w:qFormat/>
    <w:uiPriority w:val="0"/>
  </w:style>
  <w:style w:type="paragraph" w:customStyle="1" w:styleId="147">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4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9">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5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1">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2">
    <w:name w:val="BodyText1I2"/>
    <w:basedOn w:val="153"/>
    <w:next w:val="1"/>
    <w:qFormat/>
    <w:uiPriority w:val="0"/>
    <w:pPr>
      <w:spacing w:after="120"/>
      <w:ind w:left="420" w:leftChars="200" w:firstLine="420"/>
    </w:pPr>
    <w:rPr>
      <w:sz w:val="21"/>
      <w:szCs w:val="21"/>
    </w:rPr>
  </w:style>
  <w:style w:type="paragraph" w:customStyle="1" w:styleId="153">
    <w:name w:val="BodyTextIndent"/>
    <w:basedOn w:val="1"/>
    <w:next w:val="1"/>
    <w:qFormat/>
    <w:uiPriority w:val="0"/>
    <w:pPr>
      <w:ind w:firstLine="900"/>
      <w:jc w:val="both"/>
      <w:textAlignment w:val="auto"/>
    </w:pPr>
    <w:rPr>
      <w:rFonts w:ascii="Times New Roman"/>
      <w:kern w:val="2"/>
      <w:sz w:val="28"/>
    </w:rPr>
  </w:style>
  <w:style w:type="paragraph" w:customStyle="1" w:styleId="154">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5">
    <w:name w:val="B表格正文"/>
    <w:next w:val="1"/>
    <w:qFormat/>
    <w:uiPriority w:val="0"/>
    <w:rPr>
      <w:rFonts w:ascii="Calibri" w:hAnsi="Calibri" w:eastAsia="黑体" w:cs="Times New Roman"/>
      <w:kern w:val="2"/>
      <w:sz w:val="21"/>
      <w:szCs w:val="21"/>
      <w:lang w:val="en-US" w:eastAsia="zh-CN" w:bidi="ar-SA"/>
    </w:rPr>
  </w:style>
  <w:style w:type="paragraph" w:customStyle="1" w:styleId="156">
    <w:name w:val="缺省文本"/>
    <w:basedOn w:val="1"/>
    <w:qFormat/>
    <w:uiPriority w:val="0"/>
    <w:rPr>
      <w:sz w:val="24"/>
      <w:szCs w:val="24"/>
    </w:rPr>
  </w:style>
  <w:style w:type="paragraph" w:customStyle="1" w:styleId="157">
    <w:name w:val="修订1"/>
    <w:hidden/>
    <w:semiHidden/>
    <w:qFormat/>
    <w:uiPriority w:val="99"/>
    <w:rPr>
      <w:rFonts w:ascii="宋体" w:hAnsi="Times New Roman" w:eastAsia="宋体" w:cs="Times New Roman"/>
      <w:sz w:val="34"/>
      <w:lang w:val="en-US" w:eastAsia="zh-CN" w:bidi="ar-SA"/>
    </w:rPr>
  </w:style>
  <w:style w:type="paragraph" w:customStyle="1" w:styleId="158">
    <w:name w:val="图表标题"/>
    <w:basedOn w:val="159"/>
    <w:qFormat/>
    <w:uiPriority w:val="0"/>
    <w:pPr>
      <w:jc w:val="center"/>
    </w:pPr>
    <w:rPr>
      <w:rFonts w:ascii="Calibri" w:hAnsi="Calibri"/>
      <w:b/>
      <w:sz w:val="24"/>
      <w:szCs w:val="21"/>
    </w:rPr>
  </w:style>
  <w:style w:type="paragraph" w:styleId="15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Info spid="_x0000_s307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2916</Words>
  <Characters>3323</Characters>
  <Lines>289</Lines>
  <Paragraphs>81</Paragraphs>
  <TotalTime>5</TotalTime>
  <ScaleCrop>false</ScaleCrop>
  <LinksUpToDate>false</LinksUpToDate>
  <CharactersWithSpaces>3401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2025-06-15T01:50:00Z</dcterms:created>
  <dc:creator>方琦</dc:creator>
  <cp:lastModifiedBy>Lee</cp:lastModifiedBy>
  <cp:lastPrinted>2025-06-23T01:52:00Z</cp:lastPrinted>
  <dcterms:modified xsi:type="dcterms:W3CDTF">2025-06-23T08:16:53Z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D136432B66534D0C9DB3295A61887F8D_13</vt:lpwstr>
  </property>
  <property fmtid="{D5CDD505-2E9C-101B-9397-08002B2CF9AE}" pid="4" name="KSOTemplateDocerSaveRecord">
    <vt:lpwstr>eyJoZGlkIjoiNzIxY2JhM2JjMzgwNjlhYmI0ZGQwYTQ4ZmNhYjRhZjYiLCJ1c2VySWQiOiIyMDQ0NzE4ODIifQ==</vt:lpwstr>
  </property>
</Properties>
</file>