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7ECDB">
      <w:pPr>
        <w:jc w:val="center"/>
        <w:rPr>
          <w:rFonts w:hint="eastAsia" w:hAnsi="宋体" w:cs="宋体"/>
          <w:b/>
          <w:color w:val="auto"/>
          <w:sz w:val="48"/>
          <w:szCs w:val="48"/>
          <w:highlight w:val="none"/>
        </w:rPr>
      </w:pPr>
    </w:p>
    <w:p w14:paraId="1F7A265E">
      <w:pPr>
        <w:jc w:val="center"/>
        <w:rPr>
          <w:rFonts w:hint="eastAsia" w:hAnsi="宋体" w:cs="宋体"/>
          <w:b/>
          <w:color w:val="auto"/>
          <w:sz w:val="48"/>
          <w:szCs w:val="48"/>
          <w:highlight w:val="none"/>
        </w:rPr>
      </w:pPr>
      <w:r>
        <w:rPr>
          <w:rFonts w:hint="eastAsia" w:hAnsi="宋体" w:cs="宋体"/>
          <w:b/>
          <w:color w:val="auto"/>
          <w:sz w:val="48"/>
          <w:szCs w:val="48"/>
          <w:highlight w:val="none"/>
        </w:rPr>
        <w:t>婺城区公益创投督导、社会组织培育赋能、助联体运行服务项目</w:t>
      </w:r>
    </w:p>
    <w:p w14:paraId="175675F4">
      <w:pPr>
        <w:pStyle w:val="55"/>
        <w:rPr>
          <w:rFonts w:hint="eastAsia" w:hAnsi="宋体" w:cs="宋体"/>
          <w:color w:val="auto"/>
          <w:highlight w:val="none"/>
        </w:rPr>
      </w:pPr>
    </w:p>
    <w:p w14:paraId="7BD8B1AA">
      <w:pPr>
        <w:rPr>
          <w:rFonts w:hint="eastAsia" w:hAnsi="宋体" w:cs="宋体"/>
          <w:color w:val="auto"/>
          <w:highlight w:val="none"/>
        </w:rPr>
      </w:pPr>
    </w:p>
    <w:p w14:paraId="4EDB8444">
      <w:pPr>
        <w:pStyle w:val="21"/>
        <w:ind w:firstLine="280"/>
        <w:rPr>
          <w:color w:val="auto"/>
          <w:highlight w:val="none"/>
        </w:rPr>
      </w:pPr>
    </w:p>
    <w:p w14:paraId="3977C272">
      <w:pPr>
        <w:pStyle w:val="22"/>
        <w:ind w:left="680" w:hanging="680"/>
        <w:rPr>
          <w:color w:val="auto"/>
          <w:highlight w:val="none"/>
        </w:rPr>
      </w:pPr>
    </w:p>
    <w:p w14:paraId="13C85B57">
      <w:pPr>
        <w:spacing w:before="317" w:beforeLines="50"/>
        <w:jc w:val="center"/>
        <w:rPr>
          <w:rFonts w:hint="eastAsia" w:hAnsi="宋体" w:cs="宋体"/>
          <w:b/>
          <w:color w:val="auto"/>
          <w:sz w:val="52"/>
          <w:szCs w:val="52"/>
          <w:highlight w:val="none"/>
        </w:rPr>
      </w:pPr>
      <w:r>
        <w:rPr>
          <w:rFonts w:hint="eastAsia" w:hAnsi="宋体" w:cs="宋体"/>
          <w:b/>
          <w:color w:val="auto"/>
          <w:sz w:val="52"/>
          <w:szCs w:val="52"/>
          <w:highlight w:val="none"/>
        </w:rPr>
        <w:t>公开招标采购文件</w:t>
      </w:r>
    </w:p>
    <w:p w14:paraId="5B01DEA1">
      <w:pPr>
        <w:snapToGrid w:val="0"/>
        <w:spacing w:before="317" w:beforeLines="50" w:line="360" w:lineRule="auto"/>
        <w:rPr>
          <w:rFonts w:hint="eastAsia" w:hAnsi="宋体" w:cs="宋体"/>
          <w:color w:val="auto"/>
          <w:sz w:val="30"/>
          <w:szCs w:val="72"/>
          <w:highlight w:val="none"/>
        </w:rPr>
      </w:pPr>
    </w:p>
    <w:p w14:paraId="2F1ED1D8">
      <w:pPr>
        <w:snapToGrid w:val="0"/>
        <w:spacing w:before="317" w:beforeLines="50" w:line="360" w:lineRule="auto"/>
        <w:rPr>
          <w:rFonts w:hint="eastAsia" w:hAnsi="宋体" w:cs="宋体"/>
          <w:color w:val="auto"/>
          <w:sz w:val="30"/>
          <w:szCs w:val="72"/>
          <w:highlight w:val="none"/>
        </w:rPr>
      </w:pPr>
    </w:p>
    <w:p w14:paraId="27721287">
      <w:pPr>
        <w:pStyle w:val="45"/>
        <w:ind w:left="680"/>
        <w:rPr>
          <w:rFonts w:hint="eastAsia" w:ascii="宋体" w:hAnsi="宋体" w:cs="宋体"/>
          <w:color w:val="auto"/>
          <w:sz w:val="30"/>
          <w:szCs w:val="72"/>
          <w:highlight w:val="none"/>
        </w:rPr>
      </w:pPr>
    </w:p>
    <w:p w14:paraId="7FF06483">
      <w:pPr>
        <w:snapToGrid w:val="0"/>
        <w:spacing w:line="480" w:lineRule="auto"/>
        <w:rPr>
          <w:rFonts w:hint="eastAsia" w:hAnsi="宋体" w:cs="宋体"/>
          <w:b/>
          <w:bCs/>
          <w:color w:val="auto"/>
          <w:w w:val="95"/>
          <w:sz w:val="30"/>
          <w:szCs w:val="30"/>
          <w:highlight w:val="none"/>
        </w:rPr>
      </w:pPr>
    </w:p>
    <w:p w14:paraId="27C24F08">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项目编号：</w:t>
      </w:r>
      <w:r>
        <w:rPr>
          <w:rFonts w:hint="eastAsia" w:hAnsi="宋体" w:cs="宋体"/>
          <w:b/>
          <w:bCs/>
          <w:color w:val="auto"/>
          <w:w w:val="95"/>
          <w:sz w:val="30"/>
          <w:szCs w:val="30"/>
          <w:highlight w:val="none"/>
          <w:lang w:eastAsia="zh-CN"/>
        </w:rPr>
        <w:t>TY2025-FW100-ZFCG100</w:t>
      </w:r>
    </w:p>
    <w:p w14:paraId="509E7B01">
      <w:pPr>
        <w:snapToGrid w:val="0"/>
        <w:spacing w:line="480" w:lineRule="auto"/>
        <w:ind w:firstLine="572" w:firstLineChars="200"/>
        <w:rPr>
          <w:rFonts w:hint="eastAsia" w:hAnsi="宋体" w:cs="宋体"/>
          <w:b/>
          <w:bCs/>
          <w:color w:val="auto"/>
          <w:w w:val="95"/>
          <w:sz w:val="30"/>
          <w:szCs w:val="30"/>
          <w:highlight w:val="none"/>
        </w:rPr>
      </w:pPr>
      <w:r>
        <w:rPr>
          <w:rFonts w:hint="eastAsia" w:hAnsi="宋体" w:cs="宋体"/>
          <w:b/>
          <w:bCs/>
          <w:color w:val="auto"/>
          <w:w w:val="95"/>
          <w:sz w:val="30"/>
          <w:szCs w:val="30"/>
          <w:highlight w:val="none"/>
        </w:rPr>
        <w:t>采购单位：金华市婺城区民政局</w:t>
      </w:r>
    </w:p>
    <w:p w14:paraId="2C0614A5">
      <w:pPr>
        <w:snapToGrid w:val="0"/>
        <w:spacing w:line="480" w:lineRule="auto"/>
        <w:ind w:firstLine="572" w:firstLineChars="200"/>
        <w:rPr>
          <w:rFonts w:hint="eastAsia" w:hAnsi="宋体" w:cs="宋体"/>
          <w:b/>
          <w:bCs/>
          <w:color w:val="auto"/>
          <w:w w:val="95"/>
          <w:sz w:val="30"/>
          <w:szCs w:val="30"/>
          <w:highlight w:val="none"/>
        </w:rPr>
      </w:pPr>
      <w:r>
        <w:rPr>
          <w:rFonts w:hint="eastAsia" w:hAnsi="宋体" w:cs="宋体"/>
          <w:b/>
          <w:bCs/>
          <w:color w:val="auto"/>
          <w:w w:val="95"/>
          <w:sz w:val="30"/>
          <w:szCs w:val="30"/>
          <w:highlight w:val="none"/>
        </w:rPr>
        <w:t>代理机构：金华市天盈招标代理有限公司</w:t>
      </w:r>
    </w:p>
    <w:p w14:paraId="2F408003">
      <w:pPr>
        <w:snapToGrid w:val="0"/>
        <w:spacing w:line="480" w:lineRule="auto"/>
        <w:ind w:firstLine="572" w:firstLineChars="200"/>
        <w:rPr>
          <w:rFonts w:hint="eastAsia" w:hAnsi="宋体" w:cs="宋体"/>
          <w:b/>
          <w:bCs/>
          <w:color w:val="auto"/>
          <w:w w:val="95"/>
          <w:sz w:val="30"/>
          <w:szCs w:val="30"/>
          <w:highlight w:val="none"/>
        </w:rPr>
      </w:pPr>
      <w:r>
        <w:rPr>
          <w:rFonts w:hint="eastAsia" w:hAnsi="宋体" w:cs="宋体"/>
          <w:b/>
          <w:bCs/>
          <w:color w:val="auto"/>
          <w:w w:val="95"/>
          <w:sz w:val="30"/>
          <w:szCs w:val="30"/>
          <w:highlight w:val="none"/>
        </w:rPr>
        <w:t>监管单位：金华市婺城区财政局政府采购监督管理办公室</w:t>
      </w:r>
    </w:p>
    <w:p w14:paraId="07783AFC">
      <w:pPr>
        <w:snapToGrid w:val="0"/>
        <w:spacing w:line="480" w:lineRule="auto"/>
        <w:jc w:val="center"/>
        <w:rPr>
          <w:rFonts w:hint="eastAsia" w:hAnsi="宋体" w:cs="宋体"/>
          <w:b/>
          <w:bCs/>
          <w:color w:val="auto"/>
          <w:w w:val="95"/>
          <w:sz w:val="30"/>
          <w:szCs w:val="30"/>
          <w:highlight w:val="none"/>
        </w:rPr>
      </w:pPr>
      <w:r>
        <w:rPr>
          <w:rFonts w:hint="eastAsia" w:hAnsi="宋体" w:cs="宋体"/>
          <w:b/>
          <w:bCs/>
          <w:color w:val="auto"/>
          <w:w w:val="95"/>
          <w:sz w:val="30"/>
          <w:szCs w:val="30"/>
          <w:highlight w:val="none"/>
        </w:rPr>
        <w:t xml:space="preserve">2 0 2 5 年 </w:t>
      </w:r>
      <w:r>
        <w:rPr>
          <w:rFonts w:hint="eastAsia" w:hAnsi="宋体" w:cs="宋体"/>
          <w:b/>
          <w:bCs/>
          <w:color w:val="auto"/>
          <w:w w:val="95"/>
          <w:sz w:val="30"/>
          <w:szCs w:val="30"/>
          <w:highlight w:val="none"/>
          <w:lang w:val="en-US" w:eastAsia="zh-CN"/>
        </w:rPr>
        <w:t>6</w:t>
      </w:r>
      <w:r>
        <w:rPr>
          <w:rFonts w:hint="eastAsia" w:hAnsi="宋体" w:cs="宋体"/>
          <w:b/>
          <w:bCs/>
          <w:color w:val="auto"/>
          <w:w w:val="95"/>
          <w:sz w:val="30"/>
          <w:szCs w:val="30"/>
          <w:highlight w:val="none"/>
        </w:rPr>
        <w:t xml:space="preserve"> 月  </w:t>
      </w:r>
    </w:p>
    <w:p w14:paraId="7944652F">
      <w:pPr>
        <w:jc w:val="center"/>
        <w:rPr>
          <w:rFonts w:hint="eastAsia" w:hAnsi="宋体" w:cs="宋体"/>
          <w:color w:val="auto"/>
          <w:highlight w:val="none"/>
        </w:rPr>
        <w:sectPr>
          <w:headerReference r:id="rId4" w:type="first"/>
          <w:headerReference r:id="rId3" w:type="default"/>
          <w:footerReference r:id="rId5" w:type="default"/>
          <w:footerReference r:id="rId6" w:type="even"/>
          <w:pgSz w:w="11906" w:h="16838"/>
          <w:pgMar w:top="1440" w:right="1304" w:bottom="1440" w:left="1304" w:header="850" w:footer="567" w:gutter="0"/>
          <w:pgNumType w:start="0"/>
          <w:cols w:space="0" w:num="1"/>
          <w:docGrid w:type="lines" w:linePitch="634" w:charSpace="0"/>
        </w:sectPr>
      </w:pPr>
    </w:p>
    <w:p w14:paraId="73AD10F7">
      <w:pPr>
        <w:pStyle w:val="45"/>
        <w:ind w:left="680"/>
        <w:rPr>
          <w:rFonts w:hint="eastAsia" w:ascii="宋体" w:hAnsi="宋体" w:cs="宋体"/>
          <w:color w:val="auto"/>
          <w:highlight w:val="none"/>
        </w:rPr>
      </w:pPr>
    </w:p>
    <w:p w14:paraId="559F3FC3">
      <w:pPr>
        <w:jc w:val="center"/>
        <w:rPr>
          <w:rFonts w:hint="eastAsia" w:hAnsi="宋体" w:cs="宋体"/>
          <w:b/>
          <w:bCs/>
          <w:color w:val="auto"/>
          <w:sz w:val="36"/>
          <w:szCs w:val="36"/>
          <w:highlight w:val="none"/>
        </w:rPr>
      </w:pPr>
      <w:r>
        <w:rPr>
          <w:rFonts w:hint="eastAsia" w:hAnsi="宋体" w:cs="宋体"/>
          <w:b/>
          <w:bCs/>
          <w:color w:val="auto"/>
          <w:highlight w:val="none"/>
        </w:rPr>
        <w:t>目        录</w:t>
      </w:r>
      <w:bookmarkStart w:id="0" w:name="_Toc237182500"/>
    </w:p>
    <w:p w14:paraId="61C509FB">
      <w:pPr>
        <w:pStyle w:val="34"/>
        <w:tabs>
          <w:tab w:val="right" w:leader="dot" w:pos="9452"/>
        </w:tabs>
        <w:snapToGrid w:val="0"/>
        <w:spacing w:before="0" w:after="0" w:line="480" w:lineRule="auto"/>
        <w:rPr>
          <w:rFonts w:hint="eastAsia" w:ascii="宋体" w:hAnsi="宋体" w:cs="宋体"/>
          <w:b w:val="0"/>
          <w:bCs w:val="0"/>
          <w:caps w:val="0"/>
          <w:color w:val="auto"/>
          <w:kern w:val="2"/>
          <w:sz w:val="21"/>
          <w:szCs w:val="21"/>
          <w:highlight w:val="none"/>
        </w:rPr>
      </w:pPr>
      <w:r>
        <w:rPr>
          <w:rFonts w:hint="eastAsia" w:ascii="宋体" w:hAnsi="宋体" w:cs="宋体"/>
          <w:b w:val="0"/>
          <w:bCs w:val="0"/>
          <w:color w:val="auto"/>
          <w:sz w:val="21"/>
          <w:szCs w:val="21"/>
          <w:highlight w:val="none"/>
        </w:rPr>
        <w:fldChar w:fldCharType="begin"/>
      </w:r>
      <w:r>
        <w:rPr>
          <w:rFonts w:hint="eastAsia" w:ascii="宋体" w:hAnsi="宋体" w:cs="宋体"/>
          <w:b w:val="0"/>
          <w:bCs w:val="0"/>
          <w:color w:val="auto"/>
          <w:sz w:val="21"/>
          <w:szCs w:val="21"/>
          <w:highlight w:val="none"/>
        </w:rPr>
        <w:instrText xml:space="preserve"> TOC \o "1-3" \h \z \u </w:instrText>
      </w:r>
      <w:r>
        <w:rPr>
          <w:rFonts w:hint="eastAsia" w:ascii="宋体" w:hAnsi="宋体" w:cs="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"_Toc351559940" </w:instrText>
      </w:r>
      <w:r>
        <w:rPr>
          <w:color w:val="auto"/>
          <w:highlight w:val="none"/>
        </w:rPr>
        <w:fldChar w:fldCharType="separate"/>
      </w:r>
      <w:r>
        <w:rPr>
          <w:rFonts w:hint="eastAsia" w:ascii="宋体" w:hAnsi="宋体" w:cs="宋体"/>
          <w:color w:val="auto"/>
          <w:sz w:val="21"/>
          <w:szCs w:val="21"/>
          <w:highlight w:val="none"/>
        </w:rPr>
        <w:t>第一章  公开招标采购公告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_Toc351559940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027FC88A">
      <w:pPr>
        <w:pStyle w:val="34"/>
        <w:tabs>
          <w:tab w:val="right" w:leader="dot" w:pos="9452"/>
        </w:tabs>
        <w:snapToGrid w:val="0"/>
        <w:spacing w:before="0" w:after="0" w:line="480" w:lineRule="auto"/>
        <w:rPr>
          <w:rFonts w:hint="eastAsia" w:ascii="宋体" w:hAnsi="宋体" w:cs="宋体"/>
          <w:b w:val="0"/>
          <w:bCs w:val="0"/>
          <w:caps w:val="0"/>
          <w:color w:val="auto"/>
          <w:kern w:val="2"/>
          <w:sz w:val="21"/>
          <w:szCs w:val="21"/>
          <w:highlight w:val="none"/>
        </w:rPr>
      </w:pPr>
      <w:r>
        <w:rPr>
          <w:color w:val="auto"/>
          <w:highlight w:val="none"/>
        </w:rPr>
        <w:fldChar w:fldCharType="begin"/>
      </w:r>
      <w:r>
        <w:rPr>
          <w:color w:val="auto"/>
          <w:highlight w:val="none"/>
        </w:rPr>
        <w:instrText xml:space="preserve"> HYPERLINK \l "_Toc351559941" </w:instrText>
      </w:r>
      <w:r>
        <w:rPr>
          <w:color w:val="auto"/>
          <w:highlight w:val="none"/>
        </w:rPr>
        <w:fldChar w:fldCharType="separate"/>
      </w:r>
      <w:r>
        <w:rPr>
          <w:rFonts w:hint="eastAsia" w:ascii="宋体" w:hAnsi="宋体" w:cs="宋体"/>
          <w:color w:val="auto"/>
          <w:sz w:val="21"/>
          <w:szCs w:val="21"/>
          <w:highlight w:val="none"/>
        </w:rPr>
        <w:t>第二章  招标需求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_Toc351559941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64200FFC">
      <w:pPr>
        <w:pStyle w:val="34"/>
        <w:tabs>
          <w:tab w:val="right" w:leader="dot" w:pos="9452"/>
        </w:tabs>
        <w:snapToGrid w:val="0"/>
        <w:spacing w:before="0" w:after="0" w:line="480" w:lineRule="auto"/>
        <w:rPr>
          <w:rFonts w:hint="eastAsia" w:ascii="宋体" w:hAnsi="宋体" w:cs="宋体"/>
          <w:b w:val="0"/>
          <w:bCs w:val="0"/>
          <w:caps w:val="0"/>
          <w:color w:val="auto"/>
          <w:kern w:val="2"/>
          <w:sz w:val="21"/>
          <w:szCs w:val="21"/>
          <w:highlight w:val="none"/>
        </w:rPr>
      </w:pPr>
      <w:r>
        <w:rPr>
          <w:color w:val="auto"/>
          <w:highlight w:val="none"/>
        </w:rPr>
        <w:fldChar w:fldCharType="begin"/>
      </w:r>
      <w:r>
        <w:rPr>
          <w:color w:val="auto"/>
          <w:highlight w:val="none"/>
        </w:rPr>
        <w:instrText xml:space="preserve"> HYPERLINK \l "_Toc351559942" </w:instrText>
      </w:r>
      <w:r>
        <w:rPr>
          <w:color w:val="auto"/>
          <w:highlight w:val="none"/>
        </w:rPr>
        <w:fldChar w:fldCharType="separate"/>
      </w:r>
      <w:r>
        <w:rPr>
          <w:rFonts w:hint="eastAsia" w:ascii="宋体" w:hAnsi="宋体" w:cs="宋体"/>
          <w:color w:val="auto"/>
          <w:sz w:val="21"/>
          <w:szCs w:val="21"/>
          <w:highlight w:val="none"/>
        </w:rPr>
        <w:t>第三章  投标人须知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13</w:t>
      </w:r>
    </w:p>
    <w:p w14:paraId="5928EA45">
      <w:pPr>
        <w:pStyle w:val="39"/>
        <w:snapToGrid w:val="0"/>
        <w:spacing w:line="480" w:lineRule="auto"/>
        <w:rPr>
          <w:rFonts w:hint="eastAsia" w:ascii="宋体" w:hAnsi="宋体" w:cs="宋体"/>
          <w:smallCaps w:val="0"/>
          <w:color w:val="auto"/>
          <w:kern w:val="2"/>
          <w:highlight w:val="none"/>
        </w:rPr>
      </w:pPr>
      <w:r>
        <w:rPr>
          <w:color w:val="auto"/>
          <w:highlight w:val="none"/>
        </w:rPr>
        <w:fldChar w:fldCharType="begin"/>
      </w:r>
      <w:r>
        <w:rPr>
          <w:color w:val="auto"/>
          <w:highlight w:val="none"/>
        </w:rPr>
        <w:instrText xml:space="preserve"> HYPERLINK \l "_Toc351559943" </w:instrText>
      </w:r>
      <w:r>
        <w:rPr>
          <w:color w:val="auto"/>
          <w:highlight w:val="none"/>
        </w:rPr>
        <w:fldChar w:fldCharType="separate"/>
      </w:r>
      <w:r>
        <w:rPr>
          <w:rFonts w:hint="eastAsia" w:ascii="宋体" w:hAnsi="宋体" w:cs="宋体"/>
          <w:b/>
          <w:color w:val="auto"/>
          <w:highlight w:val="none"/>
        </w:rPr>
        <w:t>前附表</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b/>
          <w:color w:val="auto"/>
          <w:highlight w:val="none"/>
        </w:rPr>
        <w:t>13</w:t>
      </w:r>
    </w:p>
    <w:p w14:paraId="618AE836">
      <w:pPr>
        <w:pStyle w:val="34"/>
        <w:tabs>
          <w:tab w:val="right" w:leader="dot" w:pos="9452"/>
        </w:tabs>
        <w:snapToGrid w:val="0"/>
        <w:spacing w:before="0" w:after="0" w:line="480" w:lineRule="auto"/>
        <w:rPr>
          <w:rFonts w:hint="eastAsia" w:ascii="宋体" w:hAnsi="宋体" w:cs="宋体"/>
          <w:b w:val="0"/>
          <w:bCs w:val="0"/>
          <w:caps w:val="0"/>
          <w:color w:val="auto"/>
          <w:kern w:val="2"/>
          <w:sz w:val="21"/>
          <w:szCs w:val="21"/>
          <w:highlight w:val="none"/>
        </w:rPr>
      </w:pPr>
      <w:r>
        <w:rPr>
          <w:color w:val="auto"/>
          <w:highlight w:val="none"/>
        </w:rPr>
        <w:fldChar w:fldCharType="begin"/>
      </w:r>
      <w:r>
        <w:rPr>
          <w:color w:val="auto"/>
          <w:highlight w:val="none"/>
        </w:rPr>
        <w:instrText xml:space="preserve"> HYPERLINK \l "_Toc351559944" </w:instrText>
      </w:r>
      <w:r>
        <w:rPr>
          <w:color w:val="auto"/>
          <w:highlight w:val="none"/>
        </w:rPr>
        <w:fldChar w:fldCharType="separate"/>
      </w:r>
      <w:r>
        <w:rPr>
          <w:rFonts w:hint="eastAsia" w:ascii="宋体" w:hAnsi="宋体" w:cs="宋体"/>
          <w:color w:val="auto"/>
          <w:sz w:val="21"/>
          <w:szCs w:val="21"/>
          <w:highlight w:val="none"/>
        </w:rPr>
        <w:t>第四章 评标</w:t>
      </w:r>
      <w:bookmarkStart w:id="1" w:name="_Hlt23505457"/>
      <w:bookmarkStart w:id="2" w:name="_Hlt23505456"/>
      <w:r>
        <w:rPr>
          <w:rFonts w:hint="eastAsia" w:ascii="宋体" w:hAnsi="宋体" w:cs="宋体"/>
          <w:color w:val="auto"/>
          <w:sz w:val="21"/>
          <w:szCs w:val="21"/>
          <w:highlight w:val="none"/>
        </w:rPr>
        <w:t>办</w:t>
      </w:r>
      <w:bookmarkEnd w:id="1"/>
      <w:bookmarkEnd w:id="2"/>
      <w:bookmarkStart w:id="3" w:name="_Hlt479276106"/>
      <w:bookmarkStart w:id="4" w:name="_Hlt479276105"/>
      <w:r>
        <w:rPr>
          <w:rFonts w:hint="eastAsia" w:ascii="宋体" w:hAnsi="宋体" w:cs="宋体"/>
          <w:color w:val="auto"/>
          <w:sz w:val="21"/>
          <w:szCs w:val="21"/>
          <w:highlight w:val="none"/>
        </w:rPr>
        <w:t>法</w:t>
      </w:r>
      <w:bookmarkEnd w:id="3"/>
      <w:bookmarkEnd w:id="4"/>
      <w:r>
        <w:rPr>
          <w:rFonts w:hint="eastAsia" w:ascii="宋体" w:hAnsi="宋体" w:cs="宋体"/>
          <w:color w:val="auto"/>
          <w:sz w:val="21"/>
          <w:szCs w:val="21"/>
          <w:highlight w:val="none"/>
        </w:rPr>
        <w:t>及</w:t>
      </w:r>
      <w:bookmarkStart w:id="5" w:name="_Hlt75430653"/>
      <w:bookmarkStart w:id="6" w:name="_Hlt75430652"/>
      <w:r>
        <w:rPr>
          <w:rFonts w:hint="eastAsia" w:ascii="宋体" w:hAnsi="宋体" w:cs="宋体"/>
          <w:color w:val="auto"/>
          <w:sz w:val="21"/>
          <w:szCs w:val="21"/>
          <w:highlight w:val="none"/>
        </w:rPr>
        <w:t>评</w:t>
      </w:r>
      <w:bookmarkEnd w:id="5"/>
      <w:bookmarkEnd w:id="6"/>
      <w:r>
        <w:rPr>
          <w:rFonts w:hint="eastAsia" w:ascii="宋体" w:hAnsi="宋体" w:cs="宋体"/>
          <w:color w:val="auto"/>
          <w:sz w:val="21"/>
          <w:szCs w:val="21"/>
          <w:highlight w:val="none"/>
        </w:rPr>
        <w:t>分标准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36</w:t>
      </w:r>
    </w:p>
    <w:p w14:paraId="341D8D72">
      <w:pPr>
        <w:pStyle w:val="34"/>
        <w:tabs>
          <w:tab w:val="right" w:leader="dot" w:pos="9452"/>
        </w:tabs>
        <w:snapToGrid w:val="0"/>
        <w:spacing w:before="0" w:after="0" w:line="480" w:lineRule="auto"/>
        <w:rPr>
          <w:rFonts w:hint="eastAsia" w:ascii="宋体" w:hAnsi="宋体" w:cs="宋体"/>
          <w:b w:val="0"/>
          <w:bCs w:val="0"/>
          <w:caps w:val="0"/>
          <w:color w:val="auto"/>
          <w:kern w:val="2"/>
          <w:sz w:val="21"/>
          <w:szCs w:val="21"/>
          <w:highlight w:val="none"/>
        </w:rPr>
      </w:pPr>
      <w:r>
        <w:rPr>
          <w:color w:val="auto"/>
          <w:highlight w:val="none"/>
        </w:rPr>
        <w:fldChar w:fldCharType="begin"/>
      </w:r>
      <w:r>
        <w:rPr>
          <w:color w:val="auto"/>
          <w:highlight w:val="none"/>
        </w:rPr>
        <w:instrText xml:space="preserve"> HYPERLINK \l "_Toc351559945" </w:instrText>
      </w:r>
      <w:r>
        <w:rPr>
          <w:color w:val="auto"/>
          <w:highlight w:val="none"/>
        </w:rPr>
        <w:fldChar w:fldCharType="separate"/>
      </w:r>
      <w:r>
        <w:rPr>
          <w:rFonts w:hint="eastAsia" w:ascii="宋体" w:hAnsi="宋体" w:cs="宋体"/>
          <w:color w:val="auto"/>
          <w:sz w:val="21"/>
          <w:szCs w:val="21"/>
          <w:highlight w:val="none"/>
        </w:rPr>
        <w:t>第五章  合同文本</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40</w:t>
      </w:r>
    </w:p>
    <w:p w14:paraId="08339D8E">
      <w:pPr>
        <w:pStyle w:val="34"/>
        <w:tabs>
          <w:tab w:val="right" w:leader="dot" w:pos="9452"/>
        </w:tabs>
        <w:snapToGrid w:val="0"/>
        <w:spacing w:before="0" w:after="0" w:line="480" w:lineRule="auto"/>
        <w:rPr>
          <w:rFonts w:hint="eastAsia"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"_Toc351559946" </w:instrText>
      </w:r>
      <w:r>
        <w:rPr>
          <w:color w:val="auto"/>
          <w:highlight w:val="none"/>
        </w:rPr>
        <w:fldChar w:fldCharType="separate"/>
      </w:r>
      <w:r>
        <w:rPr>
          <w:rFonts w:hint="eastAsia" w:ascii="宋体" w:hAnsi="宋体" w:cs="宋体"/>
          <w:color w:val="auto"/>
          <w:sz w:val="21"/>
          <w:szCs w:val="21"/>
          <w:highlight w:val="none"/>
        </w:rPr>
        <w:t>第六章　投标文件格式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45</w:t>
      </w:r>
    </w:p>
    <w:p w14:paraId="744C9AF2">
      <w:pPr>
        <w:rPr>
          <w:rFonts w:hint="eastAsia" w:hAnsi="宋体" w:cs="宋体"/>
          <w:color w:val="auto"/>
          <w:sz w:val="21"/>
          <w:szCs w:val="21"/>
          <w:highlight w:val="none"/>
        </w:rPr>
      </w:pPr>
    </w:p>
    <w:p w14:paraId="6108EF1C">
      <w:pPr>
        <w:spacing w:line="380" w:lineRule="exact"/>
        <w:ind w:firstLine="211" w:firstLineChars="100"/>
        <w:jc w:val="both"/>
        <w:rPr>
          <w:rFonts w:hint="eastAsia" w:hAnsi="宋体" w:cs="宋体"/>
          <w:b/>
          <w:bCs/>
          <w:color w:val="auto"/>
          <w:sz w:val="21"/>
          <w:szCs w:val="21"/>
          <w:highlight w:val="none"/>
        </w:rPr>
      </w:pPr>
      <w:r>
        <w:rPr>
          <w:rFonts w:hint="eastAsia" w:hAnsi="宋体" w:cs="宋体"/>
          <w:b/>
          <w:bCs/>
          <w:color w:val="auto"/>
          <w:sz w:val="21"/>
          <w:szCs w:val="21"/>
          <w:highlight w:val="none"/>
        </w:rPr>
        <w:fldChar w:fldCharType="end"/>
      </w:r>
    </w:p>
    <w:p w14:paraId="168B1C63">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cs="宋体"/>
          <w:b/>
          <w:color w:val="auto"/>
          <w:sz w:val="21"/>
          <w:highlight w:val="none"/>
        </w:rPr>
      </w:pPr>
      <w:r>
        <w:rPr>
          <w:rFonts w:hint="eastAsia" w:ascii="宋体" w:hAnsi="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53D32A8C">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cs="宋体"/>
          <w:b/>
          <w:color w:val="auto"/>
          <w:sz w:val="21"/>
          <w:highlight w:val="none"/>
        </w:rPr>
      </w:pPr>
      <w:r>
        <w:rPr>
          <w:rFonts w:hint="eastAsia" w:ascii="宋体" w:hAnsi="宋体" w:cs="宋体"/>
          <w:b/>
          <w:color w:val="auto"/>
          <w:sz w:val="21"/>
          <w:highlight w:val="none"/>
        </w:rPr>
        <w:t>举报电话：</w:t>
      </w:r>
    </w:p>
    <w:p w14:paraId="2CE7C4CD">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cs="宋体"/>
          <w:b/>
          <w:color w:val="auto"/>
          <w:sz w:val="21"/>
          <w:highlight w:val="none"/>
        </w:rPr>
      </w:pPr>
      <w:r>
        <w:rPr>
          <w:rFonts w:hint="eastAsia" w:ascii="宋体" w:hAnsi="宋体" w:cs="宋体"/>
          <w:b/>
          <w:color w:val="auto"/>
          <w:sz w:val="21"/>
          <w:highlight w:val="none"/>
        </w:rPr>
        <w:t>市扫黑办  0579-82495227</w:t>
      </w:r>
    </w:p>
    <w:p w14:paraId="12FE147F">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cs="宋体"/>
          <w:b/>
          <w:color w:val="auto"/>
          <w:sz w:val="21"/>
          <w:highlight w:val="none"/>
        </w:rPr>
      </w:pPr>
      <w:r>
        <w:rPr>
          <w:rFonts w:hint="eastAsia" w:ascii="宋体" w:hAnsi="宋体" w:cs="宋体"/>
          <w:b/>
          <w:color w:val="auto"/>
          <w:sz w:val="21"/>
          <w:highlight w:val="none"/>
        </w:rPr>
        <w:t>市公安局  110、0579-82512110</w:t>
      </w:r>
    </w:p>
    <w:p w14:paraId="3BB865DB">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cs="宋体"/>
          <w:b/>
          <w:color w:val="auto"/>
          <w:sz w:val="21"/>
          <w:highlight w:val="none"/>
        </w:rPr>
      </w:pPr>
      <w:r>
        <w:rPr>
          <w:rFonts w:hint="eastAsia" w:ascii="宋体" w:hAnsi="宋体" w:cs="宋体"/>
          <w:b/>
          <w:color w:val="auto"/>
          <w:sz w:val="21"/>
          <w:highlight w:val="none"/>
        </w:rPr>
        <w:t>市检察院  0579-82537082</w:t>
      </w:r>
    </w:p>
    <w:p w14:paraId="4223D6AE">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cs="宋体"/>
          <w:b/>
          <w:color w:val="auto"/>
          <w:sz w:val="21"/>
          <w:highlight w:val="none"/>
        </w:rPr>
      </w:pPr>
      <w:r>
        <w:rPr>
          <w:rFonts w:hint="eastAsia" w:ascii="宋体" w:hAnsi="宋体" w:cs="宋体"/>
          <w:b/>
          <w:color w:val="auto"/>
          <w:sz w:val="21"/>
          <w:highlight w:val="none"/>
        </w:rPr>
        <w:t>市 法 院  0579-82688725</w:t>
      </w:r>
    </w:p>
    <w:p w14:paraId="3B6EDD80">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cs="宋体"/>
          <w:b/>
          <w:color w:val="auto"/>
          <w:sz w:val="21"/>
          <w:highlight w:val="none"/>
        </w:rPr>
      </w:pPr>
      <w:r>
        <w:rPr>
          <w:rFonts w:hint="eastAsia" w:ascii="宋体" w:hAnsi="宋体" w:cs="宋体"/>
          <w:b/>
          <w:color w:val="auto"/>
          <w:sz w:val="21"/>
          <w:highlight w:val="none"/>
        </w:rPr>
        <w:t>市公共资源交易管理办公室  0579-82469285</w:t>
      </w:r>
    </w:p>
    <w:p w14:paraId="7B13DD56">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cs="宋体"/>
          <w:b/>
          <w:bCs/>
          <w:color w:val="auto"/>
          <w:sz w:val="21"/>
          <w:highlight w:val="none"/>
        </w:rPr>
      </w:pPr>
      <w:r>
        <w:rPr>
          <w:rFonts w:hint="eastAsia" w:ascii="宋体" w:hAnsi="宋体" w:cs="宋体"/>
          <w:b/>
          <w:color w:val="auto"/>
          <w:sz w:val="21"/>
          <w:highlight w:val="none"/>
        </w:rPr>
        <w:t>市公共资源交易中心  0579-83187211</w:t>
      </w:r>
    </w:p>
    <w:bookmarkEnd w:id="0"/>
    <w:p w14:paraId="0BA3F06C">
      <w:pPr>
        <w:spacing w:line="380" w:lineRule="exact"/>
        <w:ind w:firstLine="211" w:firstLineChars="100"/>
        <w:jc w:val="both"/>
        <w:rPr>
          <w:rFonts w:hint="eastAsia" w:hAnsi="宋体" w:cs="宋体"/>
          <w:b/>
          <w:color w:val="auto"/>
          <w:sz w:val="21"/>
          <w:szCs w:val="21"/>
          <w:highlight w:val="none"/>
          <w:lang w:bidi="ar"/>
        </w:rPr>
      </w:pPr>
      <w:bookmarkStart w:id="7" w:name="_Toc351559940"/>
      <w:bookmarkStart w:id="8" w:name="_Toc237176505"/>
      <w:bookmarkStart w:id="9" w:name="_Toc205638623"/>
      <w:bookmarkStart w:id="10" w:name="_Toc184785918"/>
      <w:bookmarkStart w:id="11" w:name="_Toc217289129"/>
    </w:p>
    <w:p w14:paraId="2C04B4EF">
      <w:pPr>
        <w:spacing w:line="380" w:lineRule="exact"/>
        <w:ind w:firstLine="211" w:firstLineChars="100"/>
        <w:jc w:val="both"/>
        <w:rPr>
          <w:rFonts w:hint="eastAsia" w:hAnsi="宋体" w:cs="宋体"/>
          <w:b/>
          <w:color w:val="auto"/>
          <w:sz w:val="21"/>
          <w:szCs w:val="21"/>
          <w:highlight w:val="none"/>
        </w:rPr>
      </w:pPr>
      <w:r>
        <w:rPr>
          <w:rFonts w:hint="eastAsia" w:hAnsi="宋体" w:cs="宋体"/>
          <w:b/>
          <w:color w:val="auto"/>
          <w:sz w:val="21"/>
          <w:szCs w:val="21"/>
          <w:highlight w:val="none"/>
          <w:lang w:bidi="ar"/>
        </w:rPr>
        <w:t>投标供应商不得向招标人、政府采购工作人员、评标专家行贿，违者一经查实，将列入政府采购黑名单！</w:t>
      </w:r>
    </w:p>
    <w:p w14:paraId="7F2947DC">
      <w:pPr>
        <w:numPr>
          <w:ilvl w:val="0"/>
          <w:numId w:val="1"/>
        </w:numPr>
        <w:spacing w:line="380" w:lineRule="exact"/>
        <w:jc w:val="both"/>
        <w:textAlignment w:val="baseline"/>
        <w:rPr>
          <w:rFonts w:hint="eastAsia" w:hAnsi="宋体" w:cs="宋体"/>
          <w:b/>
          <w:color w:val="auto"/>
          <w:sz w:val="21"/>
          <w:szCs w:val="21"/>
          <w:highlight w:val="none"/>
        </w:rPr>
      </w:pPr>
      <w:r>
        <w:rPr>
          <w:rFonts w:hint="eastAsia" w:hAnsi="宋体" w:cs="宋体"/>
          <w:b/>
          <w:color w:val="auto"/>
          <w:sz w:val="21"/>
          <w:szCs w:val="21"/>
          <w:highlight w:val="none"/>
          <w:lang w:bidi="ar"/>
        </w:rPr>
        <w:t>投标供应商可在政采云平台（http://zfcg.czt.zj.gov.cn/）进行免费注册，具体详见网站投标人注册要求，投标供应商获取中标资格后应在合同签订前完成注册并成为正式注册投标人。否则将无法完成合同签订与付款程序。</w:t>
      </w:r>
    </w:p>
    <w:p w14:paraId="6C68EBDC">
      <w:pPr>
        <w:spacing w:line="380" w:lineRule="exact"/>
        <w:ind w:firstLine="211" w:firstLineChars="100"/>
        <w:jc w:val="both"/>
        <w:rPr>
          <w:rFonts w:hint="eastAsia" w:hAnsi="宋体" w:cs="宋体"/>
          <w:b/>
          <w:bCs/>
          <w:color w:val="auto"/>
          <w:sz w:val="18"/>
          <w:szCs w:val="18"/>
          <w:highlight w:val="none"/>
        </w:rPr>
      </w:pPr>
      <w:r>
        <w:rPr>
          <w:rFonts w:hint="eastAsia" w:hAnsi="宋体" w:cs="宋体"/>
          <w:b/>
          <w:color w:val="auto"/>
          <w:sz w:val="21"/>
          <w:szCs w:val="21"/>
          <w:highlight w:val="none"/>
          <w:lang w:bidi="ar"/>
        </w:rPr>
        <w:t>（注：请认真阅读此招标文件，并按规定制作投标文件，否则我们的努力将是徒劳。）</w:t>
      </w:r>
    </w:p>
    <w:p w14:paraId="15767D55">
      <w:pPr>
        <w:pStyle w:val="2"/>
        <w:keepNext w:val="0"/>
        <w:spacing w:line="360" w:lineRule="auto"/>
        <w:jc w:val="center"/>
        <w:rPr>
          <w:rFonts w:hint="eastAsia" w:ascii="宋体" w:hAnsi="宋体" w:cs="宋体"/>
          <w:color w:val="auto"/>
          <w:sz w:val="30"/>
          <w:szCs w:val="30"/>
          <w:highlight w:val="none"/>
        </w:rPr>
        <w:sectPr>
          <w:footerReference r:id="rId8" w:type="first"/>
          <w:footerReference r:id="rId7" w:type="default"/>
          <w:pgSz w:w="11906" w:h="16838"/>
          <w:pgMar w:top="1440" w:right="1304" w:bottom="1440" w:left="1304" w:header="850" w:footer="567" w:gutter="0"/>
          <w:pgNumType w:start="1"/>
          <w:cols w:space="0" w:num="1"/>
          <w:docGrid w:type="lines" w:linePitch="634" w:charSpace="0"/>
        </w:sectPr>
      </w:pPr>
    </w:p>
    <w:p w14:paraId="46C5C12F">
      <w:pPr>
        <w:pStyle w:val="2"/>
        <w:keepNext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第一章  公开招标采购公告</w:t>
      </w:r>
      <w:bookmarkEnd w:id="7"/>
    </w:p>
    <w:p w14:paraId="00FFB890">
      <w:pPr>
        <w:pBdr>
          <w:top w:val="single" w:color="auto" w:sz="4" w:space="1"/>
          <w:left w:val="single" w:color="auto" w:sz="4" w:space="4"/>
          <w:bottom w:val="single" w:color="auto" w:sz="4" w:space="1"/>
          <w:right w:val="single" w:color="auto" w:sz="4" w:space="4"/>
        </w:pBd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项目概况</w:t>
      </w:r>
    </w:p>
    <w:p w14:paraId="5F3AFBE9">
      <w:pPr>
        <w:pBdr>
          <w:top w:val="single" w:color="auto" w:sz="4" w:space="1"/>
          <w:left w:val="single" w:color="auto" w:sz="4" w:space="4"/>
          <w:bottom w:val="single" w:color="auto" w:sz="4" w:space="1"/>
          <w:right w:val="single" w:color="auto" w:sz="4" w:space="4"/>
        </w:pBd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婺城区公益创投督导、社会组织培育赋能、助联体运行服务项目的潜在投标人应在浙江省“政采云”平台</w:t>
      </w:r>
      <w:r>
        <w:rPr>
          <w:rFonts w:hint="eastAsia" w:hAnsi="宋体" w:cs="宋体"/>
          <w:b/>
          <w:bCs/>
          <w:color w:val="auto"/>
          <w:sz w:val="21"/>
          <w:szCs w:val="21"/>
          <w:highlight w:val="none"/>
        </w:rPr>
        <w:t>获取招标文件</w:t>
      </w:r>
      <w:r>
        <w:rPr>
          <w:rFonts w:hint="eastAsia" w:hAnsi="宋体" w:cs="宋体"/>
          <w:color w:val="auto"/>
          <w:sz w:val="21"/>
          <w:szCs w:val="21"/>
          <w:highlight w:val="none"/>
        </w:rPr>
        <w:t>，并于 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11</w:t>
      </w:r>
      <w:r>
        <w:rPr>
          <w:rFonts w:hint="eastAsia" w:hAnsi="宋体" w:cs="宋体"/>
          <w:color w:val="auto"/>
          <w:sz w:val="21"/>
          <w:szCs w:val="21"/>
          <w:highlight w:val="none"/>
        </w:rPr>
        <w:t>日</w:t>
      </w:r>
      <w:r>
        <w:rPr>
          <w:rFonts w:hint="eastAsia" w:hAnsi="宋体" w:cs="宋体"/>
          <w:bCs/>
          <w:color w:val="auto"/>
          <w:sz w:val="21"/>
          <w:szCs w:val="21"/>
          <w:highlight w:val="none"/>
          <w:lang w:val="en-US" w:eastAsia="zh-CN"/>
        </w:rPr>
        <w:t>14</w:t>
      </w:r>
      <w:r>
        <w:rPr>
          <w:rFonts w:hint="eastAsia" w:hAnsi="宋体" w:cs="宋体"/>
          <w:bCs/>
          <w:color w:val="auto"/>
          <w:sz w:val="21"/>
          <w:szCs w:val="21"/>
          <w:highlight w:val="none"/>
        </w:rPr>
        <w:t>点30分（北京时间）前上传投标文件</w:t>
      </w:r>
      <w:r>
        <w:rPr>
          <w:rFonts w:hint="eastAsia" w:hAnsi="宋体" w:cs="宋体"/>
          <w:color w:val="auto"/>
          <w:sz w:val="21"/>
          <w:szCs w:val="21"/>
          <w:highlight w:val="none"/>
        </w:rPr>
        <w:t>。</w:t>
      </w:r>
    </w:p>
    <w:p w14:paraId="660774B3">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rPr>
      </w:pPr>
      <w:bookmarkStart w:id="12" w:name="_Toc35393621"/>
      <w:bookmarkStart w:id="13" w:name="_Toc28359002"/>
      <w:bookmarkStart w:id="14" w:name="_Toc28359079"/>
      <w:bookmarkStart w:id="15" w:name="_Toc35393790"/>
      <w:bookmarkStart w:id="16" w:name="_Hlk24379207"/>
      <w:r>
        <w:rPr>
          <w:rFonts w:hint="eastAsia" w:hAnsi="宋体" w:cs="宋体"/>
          <w:b/>
          <w:color w:val="auto"/>
          <w:sz w:val="21"/>
          <w:szCs w:val="21"/>
          <w:highlight w:val="none"/>
        </w:rPr>
        <w:t>一、项目基本情况</w:t>
      </w:r>
      <w:bookmarkEnd w:id="12"/>
      <w:bookmarkEnd w:id="13"/>
      <w:bookmarkEnd w:id="14"/>
      <w:bookmarkEnd w:id="15"/>
    </w:p>
    <w:p w14:paraId="5000C1F5">
      <w:pPr>
        <w:tabs>
          <w:tab w:val="left" w:pos="1260"/>
        </w:tabs>
        <w:autoSpaceDE/>
        <w:autoSpaceDN/>
        <w:adjustRightInd/>
        <w:snapToGrid w:val="0"/>
        <w:spacing w:line="500" w:lineRule="exact"/>
        <w:ind w:firstLine="316" w:firstLineChars="150"/>
        <w:jc w:val="both"/>
        <w:rPr>
          <w:rFonts w:hint="eastAsia" w:hAnsi="宋体" w:eastAsia="宋体" w:cs="宋体"/>
          <w:b/>
          <w:color w:val="auto"/>
          <w:sz w:val="21"/>
          <w:szCs w:val="21"/>
          <w:highlight w:val="none"/>
          <w:lang w:eastAsia="zh-CN"/>
        </w:rPr>
      </w:pPr>
      <w:r>
        <w:rPr>
          <w:rFonts w:hint="eastAsia" w:hAnsi="宋体" w:cs="宋体"/>
          <w:b/>
          <w:color w:val="auto"/>
          <w:sz w:val="21"/>
          <w:szCs w:val="21"/>
          <w:highlight w:val="none"/>
        </w:rPr>
        <w:t>项目编号：</w:t>
      </w:r>
      <w:r>
        <w:rPr>
          <w:rFonts w:hint="eastAsia" w:hAnsi="宋体" w:cs="宋体"/>
          <w:bCs/>
          <w:color w:val="auto"/>
          <w:sz w:val="21"/>
          <w:szCs w:val="21"/>
          <w:highlight w:val="none"/>
          <w:lang w:eastAsia="zh-CN"/>
        </w:rPr>
        <w:t>TY2025-FW100-ZFCG100</w:t>
      </w:r>
    </w:p>
    <w:p w14:paraId="575C718F">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rPr>
      </w:pPr>
      <w:r>
        <w:rPr>
          <w:rFonts w:hint="eastAsia" w:hAnsi="宋体" w:cs="宋体"/>
          <w:b/>
          <w:color w:val="auto"/>
          <w:sz w:val="21"/>
          <w:szCs w:val="21"/>
          <w:highlight w:val="none"/>
        </w:rPr>
        <w:t>政府采购计划文号：</w:t>
      </w:r>
      <w:r>
        <w:rPr>
          <w:rFonts w:hint="eastAsia" w:ascii="宋体" w:hAnsi="宋体" w:eastAsia="宋体" w:cs="宋体"/>
          <w:b w:val="0"/>
          <w:bCs/>
          <w:color w:val="auto"/>
          <w:sz w:val="21"/>
          <w:szCs w:val="21"/>
          <w:highlight w:val="none"/>
          <w:u w:val="none"/>
          <w:lang w:val="en-US" w:eastAsia="zh-CN"/>
        </w:rPr>
        <w:t>[2025]525号</w:t>
      </w:r>
      <w:r>
        <w:rPr>
          <w:rFonts w:hint="eastAsia" w:ascii="宋体" w:hAnsi="宋体" w:eastAsia="宋体" w:cs="宋体"/>
          <w:b w:val="0"/>
          <w:bCs/>
          <w:color w:val="auto"/>
          <w:sz w:val="21"/>
          <w:szCs w:val="21"/>
          <w:highlight w:val="none"/>
          <w:u w:val="none"/>
          <w:lang w:val="en-US" w:eastAsia="zh-CN"/>
        </w:rPr>
        <w:t>、</w:t>
      </w:r>
      <w:r>
        <w:rPr>
          <w:rFonts w:hint="eastAsia" w:ascii="宋体" w:hAnsi="宋体" w:eastAsia="宋体" w:cs="宋体"/>
          <w:b w:val="0"/>
          <w:bCs/>
          <w:color w:val="auto"/>
          <w:sz w:val="21"/>
          <w:szCs w:val="21"/>
          <w:highlight w:val="none"/>
          <w:u w:val="none"/>
          <w:lang w:eastAsia="zh-CN"/>
        </w:rPr>
        <w:fldChar w:fldCharType="begin"/>
      </w:r>
      <w:r>
        <w:rPr>
          <w:rFonts w:hint="eastAsia" w:ascii="宋体" w:hAnsi="宋体" w:eastAsia="宋体" w:cs="宋体"/>
          <w:b w:val="0"/>
          <w:bCs/>
          <w:color w:val="auto"/>
          <w:sz w:val="21"/>
          <w:szCs w:val="21"/>
          <w:highlight w:val="none"/>
          <w:u w:val="none"/>
          <w:lang w:eastAsia="zh-CN"/>
        </w:rPr>
        <w:instrText xml:space="preserve"> HYPERLINK "https://pay.zcygov.cn/purchaseplan_front/" \l "/plan/list/view?id=1000000000016048890&amp;_app_=zcy.procurement" \t "https://www.zcygov.cn/delegation-order/_procurement_/order/orderInfo/detail/_blank" </w:instrText>
      </w:r>
      <w:r>
        <w:rPr>
          <w:rFonts w:hint="eastAsia" w:ascii="宋体" w:hAnsi="宋体" w:eastAsia="宋体" w:cs="宋体"/>
          <w:b w:val="0"/>
          <w:bCs/>
          <w:color w:val="auto"/>
          <w:sz w:val="21"/>
          <w:szCs w:val="21"/>
          <w:highlight w:val="none"/>
          <w:u w:val="none"/>
          <w:lang w:eastAsia="zh-CN"/>
        </w:rPr>
        <w:fldChar w:fldCharType="separate"/>
      </w:r>
      <w:r>
        <w:rPr>
          <w:rFonts w:hint="eastAsia" w:ascii="宋体" w:hAnsi="宋体" w:eastAsia="宋体" w:cs="宋体"/>
          <w:b w:val="0"/>
          <w:bCs/>
          <w:color w:val="auto"/>
          <w:sz w:val="21"/>
          <w:szCs w:val="21"/>
          <w:highlight w:val="none"/>
          <w:u w:val="none"/>
          <w:lang w:eastAsia="zh-CN"/>
        </w:rPr>
        <w:t>[2025]526号</w:t>
      </w:r>
      <w:r>
        <w:rPr>
          <w:rFonts w:hint="eastAsia" w:ascii="宋体" w:hAnsi="宋体" w:eastAsia="宋体" w:cs="宋体"/>
          <w:b w:val="0"/>
          <w:bCs/>
          <w:color w:val="auto"/>
          <w:sz w:val="21"/>
          <w:szCs w:val="21"/>
          <w:highlight w:val="none"/>
          <w:u w:val="none"/>
          <w:lang w:eastAsia="zh-CN"/>
        </w:rPr>
        <w:fldChar w:fldCharType="end"/>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lang w:eastAsia="zh-CN"/>
        </w:rPr>
        <w:fldChar w:fldCharType="begin"/>
      </w:r>
      <w:r>
        <w:rPr>
          <w:rFonts w:hint="eastAsia" w:ascii="宋体" w:hAnsi="宋体" w:eastAsia="宋体" w:cs="宋体"/>
          <w:b w:val="0"/>
          <w:bCs/>
          <w:color w:val="auto"/>
          <w:sz w:val="21"/>
          <w:szCs w:val="21"/>
          <w:highlight w:val="none"/>
          <w:u w:val="none"/>
          <w:lang w:eastAsia="zh-CN"/>
        </w:rPr>
        <w:instrText xml:space="preserve"> HYPERLINK "https://pay.zcygov.cn/purchaseplan_front/" \l "/plan/list/view?id=1000000000016048849&amp;_app_=zcy.procurement" \t "https://www.zcygov.cn/delegation-order/_procurement_/order/orderInfo/detail/_blank" </w:instrText>
      </w:r>
      <w:r>
        <w:rPr>
          <w:rFonts w:hint="eastAsia" w:ascii="宋体" w:hAnsi="宋体" w:eastAsia="宋体" w:cs="宋体"/>
          <w:b w:val="0"/>
          <w:bCs/>
          <w:color w:val="auto"/>
          <w:sz w:val="21"/>
          <w:szCs w:val="21"/>
          <w:highlight w:val="none"/>
          <w:u w:val="none"/>
          <w:lang w:eastAsia="zh-CN"/>
        </w:rPr>
        <w:fldChar w:fldCharType="separate"/>
      </w:r>
      <w:r>
        <w:rPr>
          <w:rFonts w:hint="eastAsia" w:ascii="宋体" w:hAnsi="宋体" w:eastAsia="宋体" w:cs="宋体"/>
          <w:b w:val="0"/>
          <w:bCs/>
          <w:color w:val="auto"/>
          <w:sz w:val="21"/>
          <w:szCs w:val="21"/>
          <w:highlight w:val="none"/>
          <w:u w:val="none"/>
          <w:lang w:eastAsia="zh-CN"/>
        </w:rPr>
        <w:t>临[2025]527号</w:t>
      </w:r>
      <w:r>
        <w:rPr>
          <w:rFonts w:hint="eastAsia" w:ascii="宋体" w:hAnsi="宋体" w:eastAsia="宋体" w:cs="宋体"/>
          <w:b w:val="0"/>
          <w:bCs/>
          <w:color w:val="auto"/>
          <w:sz w:val="21"/>
          <w:szCs w:val="21"/>
          <w:highlight w:val="none"/>
          <w:u w:val="none"/>
          <w:lang w:eastAsia="zh-CN"/>
        </w:rPr>
        <w:fldChar w:fldCharType="end"/>
      </w:r>
    </w:p>
    <w:p w14:paraId="6884CEFE">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rPr>
      </w:pPr>
      <w:r>
        <w:rPr>
          <w:rFonts w:hint="eastAsia" w:hAnsi="宋体" w:cs="宋体"/>
          <w:b/>
          <w:color w:val="auto"/>
          <w:sz w:val="21"/>
          <w:szCs w:val="21"/>
          <w:highlight w:val="none"/>
        </w:rPr>
        <w:t>采购组织类型：</w:t>
      </w:r>
      <w:r>
        <w:rPr>
          <w:rFonts w:hint="eastAsia" w:hAnsi="宋体" w:cs="宋体"/>
          <w:bCs/>
          <w:color w:val="auto"/>
          <w:sz w:val="21"/>
          <w:szCs w:val="21"/>
          <w:highlight w:val="none"/>
        </w:rPr>
        <w:t>分散采购委托代理</w:t>
      </w:r>
      <w:r>
        <w:rPr>
          <w:rFonts w:hint="eastAsia" w:hAnsi="宋体" w:cs="宋体"/>
          <w:b/>
          <w:color w:val="auto"/>
          <w:sz w:val="21"/>
          <w:szCs w:val="21"/>
          <w:highlight w:val="none"/>
        </w:rPr>
        <w:tab/>
      </w:r>
    </w:p>
    <w:p w14:paraId="5773C940">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rPr>
      </w:pPr>
      <w:r>
        <w:rPr>
          <w:rFonts w:hint="eastAsia" w:hAnsi="宋体" w:cs="宋体"/>
          <w:b/>
          <w:color w:val="auto"/>
          <w:sz w:val="21"/>
          <w:szCs w:val="21"/>
          <w:highlight w:val="none"/>
        </w:rPr>
        <w:t>招标方式：</w:t>
      </w:r>
      <w:r>
        <w:rPr>
          <w:rFonts w:hint="eastAsia" w:hAnsi="宋体" w:cs="宋体"/>
          <w:bCs/>
          <w:color w:val="auto"/>
          <w:sz w:val="21"/>
          <w:szCs w:val="21"/>
          <w:highlight w:val="none"/>
        </w:rPr>
        <w:t>公开招标</w:t>
      </w:r>
    </w:p>
    <w:p w14:paraId="5BE9DB66">
      <w:pPr>
        <w:tabs>
          <w:tab w:val="left" w:pos="1260"/>
        </w:tabs>
        <w:autoSpaceDE/>
        <w:autoSpaceDN/>
        <w:adjustRightInd/>
        <w:snapToGrid w:val="0"/>
        <w:spacing w:line="500" w:lineRule="exact"/>
        <w:ind w:firstLine="316" w:firstLineChars="150"/>
        <w:jc w:val="both"/>
        <w:rPr>
          <w:rFonts w:hint="eastAsia" w:hAnsi="宋体" w:cs="宋体"/>
          <w:color w:val="auto"/>
          <w:sz w:val="21"/>
          <w:szCs w:val="21"/>
          <w:highlight w:val="none"/>
        </w:rPr>
      </w:pPr>
      <w:r>
        <w:rPr>
          <w:rFonts w:hint="eastAsia" w:hAnsi="宋体" w:cs="宋体"/>
          <w:b/>
          <w:color w:val="auto"/>
          <w:sz w:val="21"/>
          <w:szCs w:val="21"/>
          <w:highlight w:val="none"/>
        </w:rPr>
        <w:t>项目名称：</w:t>
      </w:r>
      <w:r>
        <w:rPr>
          <w:rFonts w:hint="eastAsia" w:hAnsi="宋体" w:cs="宋体"/>
          <w:color w:val="auto"/>
          <w:sz w:val="21"/>
          <w:szCs w:val="21"/>
          <w:highlight w:val="none"/>
        </w:rPr>
        <w:t>婺城区公益创投督导、社会组织培育赋能、助联体运行服务项目</w:t>
      </w:r>
    </w:p>
    <w:bookmarkEnd w:id="16"/>
    <w:p w14:paraId="4DF663EB">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rPr>
      </w:pPr>
      <w:r>
        <w:rPr>
          <w:rFonts w:hint="eastAsia" w:hAnsi="宋体" w:cs="宋体"/>
          <w:b/>
          <w:color w:val="auto"/>
          <w:sz w:val="21"/>
          <w:szCs w:val="21"/>
          <w:highlight w:val="none"/>
        </w:rPr>
        <w:t xml:space="preserve">预算金额（人民币）： </w:t>
      </w:r>
      <w:r>
        <w:rPr>
          <w:rFonts w:hint="eastAsia" w:hAnsi="宋体" w:cs="宋体"/>
          <w:bCs/>
          <w:color w:val="auto"/>
          <w:sz w:val="21"/>
          <w:szCs w:val="21"/>
          <w:highlight w:val="none"/>
        </w:rPr>
        <w:t>75万元</w:t>
      </w:r>
    </w:p>
    <w:p w14:paraId="0648CEB1">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rPr>
      </w:pPr>
      <w:r>
        <w:rPr>
          <w:rFonts w:hint="eastAsia" w:hAnsi="宋体" w:cs="宋体"/>
          <w:b/>
          <w:color w:val="auto"/>
          <w:sz w:val="21"/>
          <w:szCs w:val="21"/>
          <w:highlight w:val="none"/>
        </w:rPr>
        <w:t>最高限价（</w:t>
      </w:r>
      <w:r>
        <w:rPr>
          <w:rFonts w:hint="eastAsia" w:hAnsi="宋体" w:cs="宋体"/>
          <w:b/>
          <w:color w:val="auto"/>
          <w:sz w:val="21"/>
          <w:szCs w:val="21"/>
          <w:highlight w:val="none"/>
          <w:lang w:val="en-US" w:eastAsia="zh-CN"/>
        </w:rPr>
        <w:t>人民币</w:t>
      </w:r>
      <w:r>
        <w:rPr>
          <w:rFonts w:hint="eastAsia" w:hAnsi="宋体" w:cs="宋体"/>
          <w:b/>
          <w:color w:val="auto"/>
          <w:sz w:val="21"/>
          <w:szCs w:val="21"/>
          <w:highlight w:val="none"/>
        </w:rPr>
        <w:t>）：</w:t>
      </w:r>
      <w:r>
        <w:rPr>
          <w:rFonts w:hint="eastAsia" w:hAnsi="宋体" w:cs="宋体"/>
          <w:bCs/>
          <w:color w:val="auto"/>
          <w:sz w:val="21"/>
          <w:szCs w:val="21"/>
          <w:highlight w:val="none"/>
        </w:rPr>
        <w:t>75万元</w:t>
      </w:r>
    </w:p>
    <w:p w14:paraId="5A371D28">
      <w:pPr>
        <w:tabs>
          <w:tab w:val="left" w:pos="1260"/>
        </w:tabs>
        <w:autoSpaceDE/>
        <w:autoSpaceDN/>
        <w:adjustRightInd/>
        <w:snapToGrid w:val="0"/>
        <w:spacing w:line="500" w:lineRule="exact"/>
        <w:ind w:firstLine="316" w:firstLineChars="150"/>
        <w:jc w:val="both"/>
        <w:rPr>
          <w:rFonts w:hint="eastAsia" w:hAnsi="宋体" w:cs="宋体"/>
          <w:color w:val="auto"/>
          <w:sz w:val="21"/>
          <w:szCs w:val="21"/>
          <w:highlight w:val="none"/>
        </w:rPr>
      </w:pPr>
      <w:r>
        <w:rPr>
          <w:rFonts w:hint="eastAsia" w:hAnsi="宋体" w:cs="宋体"/>
          <w:b/>
          <w:color w:val="auto"/>
          <w:sz w:val="21"/>
          <w:szCs w:val="21"/>
          <w:highlight w:val="none"/>
        </w:rPr>
        <w:t>采购需求</w:t>
      </w:r>
      <w:r>
        <w:rPr>
          <w:rFonts w:hint="eastAsia" w:hAnsi="宋体" w:cs="宋体"/>
          <w:color w:val="auto"/>
          <w:sz w:val="21"/>
          <w:szCs w:val="21"/>
          <w:highlight w:val="none"/>
        </w:rPr>
        <w:t>：</w:t>
      </w:r>
    </w:p>
    <w:tbl>
      <w:tblPr>
        <w:tblStyle w:val="4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773"/>
        <w:gridCol w:w="3697"/>
        <w:gridCol w:w="1071"/>
        <w:gridCol w:w="1364"/>
      </w:tblGrid>
      <w:tr w14:paraId="4473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97" w:type="dxa"/>
            <w:vAlign w:val="center"/>
          </w:tcPr>
          <w:p w14:paraId="56D6C2BC">
            <w:pPr>
              <w:tabs>
                <w:tab w:val="left" w:pos="1260"/>
              </w:tabs>
              <w:autoSpaceDE/>
              <w:autoSpaceDN/>
              <w:adjustRightInd/>
              <w:spacing w:line="500" w:lineRule="exact"/>
              <w:jc w:val="center"/>
              <w:rPr>
                <w:rFonts w:hint="eastAsia" w:hAnsi="宋体" w:cs="宋体"/>
                <w:color w:val="auto"/>
                <w:sz w:val="21"/>
                <w:szCs w:val="21"/>
                <w:highlight w:val="none"/>
              </w:rPr>
            </w:pPr>
            <w:bookmarkStart w:id="17" w:name="_Toc35393791"/>
            <w:bookmarkStart w:id="18" w:name="_Toc28359003"/>
            <w:bookmarkStart w:id="19" w:name="_Toc35393622"/>
            <w:bookmarkStart w:id="20" w:name="_Toc28359080"/>
            <w:r>
              <w:rPr>
                <w:rFonts w:hint="eastAsia" w:hAnsi="宋体" w:cs="宋体"/>
                <w:color w:val="auto"/>
                <w:sz w:val="21"/>
                <w:szCs w:val="21"/>
                <w:highlight w:val="none"/>
              </w:rPr>
              <w:t>序号</w:t>
            </w:r>
          </w:p>
        </w:tc>
        <w:tc>
          <w:tcPr>
            <w:tcW w:w="2745" w:type="dxa"/>
            <w:vAlign w:val="center"/>
          </w:tcPr>
          <w:p w14:paraId="685B1251">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采购内容</w:t>
            </w:r>
          </w:p>
        </w:tc>
        <w:tc>
          <w:tcPr>
            <w:tcW w:w="3659" w:type="dxa"/>
            <w:vAlign w:val="center"/>
          </w:tcPr>
          <w:p w14:paraId="49262890">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服务要求</w:t>
            </w:r>
          </w:p>
        </w:tc>
        <w:tc>
          <w:tcPr>
            <w:tcW w:w="1060" w:type="dxa"/>
            <w:vAlign w:val="center"/>
          </w:tcPr>
          <w:p w14:paraId="1D9C97DD">
            <w:pPr>
              <w:snapToGrid w:val="0"/>
              <w:spacing w:line="360" w:lineRule="exact"/>
              <w:jc w:val="center"/>
              <w:rPr>
                <w:rFonts w:hint="eastAsia" w:hAnsi="宋体" w:cs="宋体"/>
                <w:color w:val="auto"/>
                <w:sz w:val="21"/>
                <w:szCs w:val="21"/>
                <w:highlight w:val="none"/>
              </w:rPr>
            </w:pPr>
            <w:r>
              <w:rPr>
                <w:rFonts w:hint="eastAsia" w:hAnsi="宋体"/>
                <w:color w:val="auto"/>
                <w:sz w:val="21"/>
                <w:szCs w:val="21"/>
                <w:highlight w:val="none"/>
              </w:rPr>
              <w:t>数量</w:t>
            </w:r>
          </w:p>
        </w:tc>
        <w:tc>
          <w:tcPr>
            <w:tcW w:w="1350" w:type="dxa"/>
            <w:vAlign w:val="center"/>
          </w:tcPr>
          <w:p w14:paraId="77E3BCBA">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预算金额（人民币）</w:t>
            </w:r>
          </w:p>
        </w:tc>
      </w:tr>
      <w:tr w14:paraId="15F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97" w:type="dxa"/>
            <w:vAlign w:val="center"/>
          </w:tcPr>
          <w:p w14:paraId="58EEE10E">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2745" w:type="dxa"/>
            <w:vAlign w:val="center"/>
          </w:tcPr>
          <w:p w14:paraId="7D8C36D3">
            <w:pPr>
              <w:tabs>
                <w:tab w:val="left" w:pos="1260"/>
              </w:tabs>
              <w:autoSpaceDE/>
              <w:autoSpaceDN/>
              <w:adjustRightInd/>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婺城区公益创投督导、社会组织培育赋能、助联体运行服务项目</w:t>
            </w:r>
          </w:p>
        </w:tc>
        <w:tc>
          <w:tcPr>
            <w:tcW w:w="3659" w:type="dxa"/>
            <w:vAlign w:val="center"/>
          </w:tcPr>
          <w:p w14:paraId="515509FD">
            <w:pPr>
              <w:tabs>
                <w:tab w:val="left" w:pos="1260"/>
              </w:tabs>
              <w:autoSpaceDE/>
              <w:autoSpaceDN/>
              <w:adjustRightInd/>
              <w:spacing w:line="460" w:lineRule="exact"/>
              <w:rPr>
                <w:rFonts w:hint="eastAsia" w:hAnsi="宋体" w:cs="宋体"/>
                <w:color w:val="auto"/>
                <w:sz w:val="21"/>
                <w:szCs w:val="21"/>
                <w:highlight w:val="none"/>
              </w:rPr>
            </w:pPr>
            <w:r>
              <w:rPr>
                <w:rFonts w:hint="eastAsia" w:hAnsi="宋体"/>
                <w:color w:val="auto"/>
                <w:sz w:val="21"/>
                <w:szCs w:val="21"/>
                <w:highlight w:val="none"/>
              </w:rPr>
              <w:t>提供2025-2026年婺城区公益创投督导、社会组织培育赋能、助联体运行服务</w:t>
            </w:r>
            <w:r>
              <w:rPr>
                <w:rFonts w:hint="eastAsia" w:hAnsi="宋体" w:cs="宋体"/>
                <w:color w:val="auto"/>
                <w:sz w:val="21"/>
                <w:szCs w:val="21"/>
                <w:highlight w:val="none"/>
              </w:rPr>
              <w:t>。</w:t>
            </w:r>
            <w:r>
              <w:rPr>
                <w:rFonts w:hint="eastAsia" w:hAnsi="宋体"/>
                <w:color w:val="auto"/>
                <w:sz w:val="21"/>
                <w:szCs w:val="21"/>
                <w:highlight w:val="none"/>
              </w:rPr>
              <w:t>具体要求详见“第二</w:t>
            </w:r>
            <w:r>
              <w:rPr>
                <w:rFonts w:hint="eastAsia" w:hAnsi="宋体"/>
                <w:color w:val="auto"/>
                <w:sz w:val="21"/>
                <w:szCs w:val="21"/>
                <w:highlight w:val="none"/>
                <w:lang w:val="en-US" w:eastAsia="zh-CN"/>
              </w:rPr>
              <w:t>章</w:t>
            </w:r>
            <w:r>
              <w:rPr>
                <w:rFonts w:hint="eastAsia" w:hAnsi="宋体"/>
                <w:color w:val="auto"/>
                <w:sz w:val="21"/>
                <w:szCs w:val="21"/>
                <w:highlight w:val="none"/>
              </w:rPr>
              <w:t xml:space="preserve">  </w:t>
            </w:r>
            <w:r>
              <w:rPr>
                <w:rFonts w:hint="eastAsia" w:hAnsi="宋体"/>
                <w:color w:val="auto"/>
                <w:sz w:val="21"/>
                <w:szCs w:val="21"/>
                <w:highlight w:val="none"/>
                <w:lang w:val="en-US" w:eastAsia="zh-CN"/>
              </w:rPr>
              <w:t>招标</w:t>
            </w:r>
            <w:r>
              <w:rPr>
                <w:rFonts w:hint="eastAsia" w:hAnsi="宋体"/>
                <w:color w:val="auto"/>
                <w:sz w:val="21"/>
                <w:szCs w:val="21"/>
                <w:highlight w:val="none"/>
              </w:rPr>
              <w:t>需求”。</w:t>
            </w:r>
          </w:p>
        </w:tc>
        <w:tc>
          <w:tcPr>
            <w:tcW w:w="1060" w:type="dxa"/>
            <w:vAlign w:val="center"/>
          </w:tcPr>
          <w:p w14:paraId="79F33C87">
            <w:pPr>
              <w:tabs>
                <w:tab w:val="left" w:pos="1260"/>
              </w:tabs>
              <w:autoSpaceDE/>
              <w:autoSpaceDN/>
              <w:adjustRightInd/>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1项</w:t>
            </w:r>
          </w:p>
        </w:tc>
        <w:tc>
          <w:tcPr>
            <w:tcW w:w="1350" w:type="dxa"/>
            <w:vAlign w:val="center"/>
          </w:tcPr>
          <w:p w14:paraId="310A6407">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 xml:space="preserve"> 75万元</w:t>
            </w:r>
          </w:p>
        </w:tc>
      </w:tr>
    </w:tbl>
    <w:p w14:paraId="29EBE5EA">
      <w:pPr>
        <w:tabs>
          <w:tab w:val="left" w:pos="1260"/>
        </w:tabs>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本项目接受联合体投标。</w:t>
      </w:r>
    </w:p>
    <w:p w14:paraId="178C6799">
      <w:pPr>
        <w:tabs>
          <w:tab w:val="left" w:pos="1260"/>
        </w:tabs>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二、申请人的资格要求：</w:t>
      </w:r>
      <w:bookmarkEnd w:id="17"/>
      <w:bookmarkEnd w:id="18"/>
      <w:bookmarkEnd w:id="19"/>
      <w:bookmarkEnd w:id="20"/>
    </w:p>
    <w:p w14:paraId="7196860D">
      <w:pPr>
        <w:tabs>
          <w:tab w:val="left" w:pos="1260"/>
        </w:tabs>
        <w:autoSpaceDE/>
        <w:autoSpaceDN/>
        <w:snapToGrid w:val="0"/>
        <w:spacing w:line="500" w:lineRule="exact"/>
        <w:ind w:firstLine="420" w:firstLineChars="200"/>
        <w:rPr>
          <w:rFonts w:hint="eastAsia" w:hAnsi="宋体" w:cs="宋体"/>
          <w:color w:val="auto"/>
          <w:sz w:val="21"/>
          <w:szCs w:val="21"/>
          <w:highlight w:val="none"/>
        </w:rPr>
      </w:pPr>
      <w:bookmarkStart w:id="21" w:name="_Toc28359081"/>
      <w:bookmarkStart w:id="22" w:name="_Toc28359004"/>
      <w:r>
        <w:rPr>
          <w:rFonts w:hint="eastAsia" w:hAnsi="宋体" w:cs="宋体"/>
          <w:color w:val="auto"/>
          <w:sz w:val="21"/>
          <w:szCs w:val="21"/>
          <w:highlight w:val="none"/>
        </w:rPr>
        <w:t>1.满足《中华人民共和国政府采购法》第二十二条规定；未被</w:t>
      </w:r>
      <w:r>
        <w:rPr>
          <w:rFonts w:hint="eastAsia" w:hAnsi="宋体" w:cs="宋体"/>
          <w:color w:val="auto"/>
          <w:sz w:val="21"/>
          <w:szCs w:val="21"/>
          <w:highlight w:val="none"/>
          <w:lang w:val="en-US" w:eastAsia="zh-CN"/>
        </w:rPr>
        <w:t>包括但不限于</w:t>
      </w:r>
      <w:r>
        <w:rPr>
          <w:rFonts w:hint="eastAsia" w:hAnsi="宋体" w:cs="宋体"/>
          <w:color w:val="auto"/>
          <w:sz w:val="21"/>
          <w:szCs w:val="21"/>
          <w:highlight w:val="none"/>
        </w:rPr>
        <w:t>“信用中国”（www.creditchina.gov.cn）、中国政府采购网（www.ccgp.gov.cn）</w:t>
      </w:r>
      <w:r>
        <w:rPr>
          <w:rFonts w:hint="eastAsia" w:hAnsi="宋体" w:cs="宋体"/>
          <w:color w:val="auto"/>
          <w:sz w:val="21"/>
          <w:szCs w:val="21"/>
          <w:highlight w:val="none"/>
          <w:lang w:val="en-US" w:eastAsia="zh-CN"/>
        </w:rPr>
        <w:t>等</w:t>
      </w:r>
      <w:r>
        <w:rPr>
          <w:rFonts w:hint="eastAsia" w:hAnsi="宋体" w:cs="宋体"/>
          <w:color w:val="auto"/>
          <w:sz w:val="21"/>
          <w:szCs w:val="21"/>
          <w:highlight w:val="none"/>
        </w:rPr>
        <w:t>列入失信被执行人、重大税收违法案件当事人名单、政府采购严重违法失信行为记录名单</w:t>
      </w:r>
      <w:r>
        <w:rPr>
          <w:rFonts w:hint="eastAsia" w:hAnsi="宋体" w:cs="宋体"/>
          <w:color w:val="auto"/>
          <w:sz w:val="21"/>
          <w:szCs w:val="21"/>
          <w:highlight w:val="none"/>
          <w:lang w:val="en-US" w:eastAsia="zh-CN"/>
        </w:rPr>
        <w:t>等政府采购黑名单</w:t>
      </w:r>
      <w:r>
        <w:rPr>
          <w:rFonts w:hint="eastAsia" w:hAnsi="宋体" w:cs="宋体"/>
          <w:color w:val="auto"/>
          <w:sz w:val="21"/>
          <w:szCs w:val="21"/>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71A7263B">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2.落实政策：</w:t>
      </w:r>
    </w:p>
    <w:p w14:paraId="610857BD">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（1）落实政府采购政策需满足的资格要求：</w:t>
      </w:r>
    </w:p>
    <w:p w14:paraId="18E40E69">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sym w:font="Wingdings" w:char="F0FE"/>
      </w:r>
      <w:r>
        <w:rPr>
          <w:rFonts w:hint="eastAsia" w:hAnsi="宋体" w:cs="宋体"/>
          <w:color w:val="auto"/>
          <w:sz w:val="21"/>
          <w:szCs w:val="21"/>
          <w:highlight w:val="none"/>
        </w:rPr>
        <w:t>无；</w:t>
      </w:r>
    </w:p>
    <w:p w14:paraId="5DADDAB2">
      <w:pPr>
        <w:pStyle w:val="42"/>
        <w:widowControl w:val="0"/>
        <w:adjustRightInd w:val="0"/>
        <w:snapToGrid w:val="0"/>
        <w:spacing w:before="0" w:beforeAutospacing="0" w:after="0" w:afterAutospacing="0" w:line="500" w:lineRule="exact"/>
        <w:ind w:firstLine="420" w:firstLineChars="200"/>
        <w:rPr>
          <w:rStyle w:val="49"/>
          <w:rFonts w:hint="eastAsia" w:ascii="宋体" w:hAnsi="宋体" w:cs="宋体"/>
          <w:color w:val="auto"/>
          <w:sz w:val="21"/>
          <w:szCs w:val="21"/>
          <w:highlight w:val="none"/>
          <w:shd w:val="clear" w:color="auto" w:fill="FFFFFF"/>
        </w:rPr>
      </w:pPr>
      <w:r>
        <w:rPr>
          <w:rFonts w:hint="eastAsia" w:ascii="宋体" w:cs="宋体"/>
          <w:color w:val="auto"/>
          <w:sz w:val="21"/>
          <w:szCs w:val="21"/>
          <w:highlight w:val="none"/>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3EEDC72C">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3.</w:t>
      </w:r>
      <w:bookmarkEnd w:id="21"/>
      <w:bookmarkEnd w:id="22"/>
      <w:bookmarkStart w:id="23" w:name="_Toc28359085"/>
      <w:bookmarkStart w:id="24" w:name="_Toc28359008"/>
      <w:bookmarkStart w:id="25" w:name="_Toc35393796"/>
      <w:bookmarkStart w:id="26" w:name="_Toc35393627"/>
      <w:r>
        <w:rPr>
          <w:rFonts w:hint="eastAsia" w:ascii="宋体" w:cs="宋体"/>
          <w:color w:val="auto"/>
          <w:sz w:val="21"/>
          <w:szCs w:val="21"/>
          <w:highlight w:val="none"/>
          <w:shd w:val="clear" w:color="auto" w:fill="FFFFFF"/>
        </w:rPr>
        <w:t>特定资格要求：无。</w:t>
      </w:r>
    </w:p>
    <w:p w14:paraId="6E868212">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4.公益一类事业单位不属于政府购买服务的承接主体，不得参与承接政府购买服务。</w:t>
      </w:r>
    </w:p>
    <w:p w14:paraId="02300D80">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5.联合体投标：为了支持中小企业发展，本项目允许</w:t>
      </w:r>
      <w:r>
        <w:rPr>
          <w:rFonts w:hint="eastAsia" w:hAnsi="宋体" w:cs="宋体"/>
          <w:color w:val="auto"/>
          <w:sz w:val="21"/>
          <w:szCs w:val="21"/>
          <w:highlight w:val="none"/>
          <w:lang w:val="en-US" w:eastAsia="zh-CN"/>
        </w:rPr>
        <w:t>非企业单位或</w:t>
      </w:r>
      <w:r>
        <w:rPr>
          <w:rFonts w:hint="eastAsia" w:hAnsi="宋体" w:cs="宋体"/>
          <w:color w:val="auto"/>
          <w:sz w:val="21"/>
          <w:szCs w:val="21"/>
          <w:highlight w:val="none"/>
        </w:rPr>
        <w:t>大中型企业与小微企业组成联合体参与投标，确保中小企业参与政府采购公平竞争机会。</w:t>
      </w:r>
      <w:r>
        <w:rPr>
          <w:rFonts w:hint="eastAsia" w:hAnsi="宋体" w:cs="宋体"/>
          <w:color w:val="auto"/>
          <w:sz w:val="21"/>
          <w:szCs w:val="21"/>
          <w:highlight w:val="none"/>
          <w:lang w:bidi="ar"/>
        </w:rPr>
        <w:t>组成联合体的小微企业与联合体内其他企业</w:t>
      </w:r>
      <w:r>
        <w:rPr>
          <w:rFonts w:hint="eastAsia" w:hAnsi="宋体" w:cs="宋体"/>
          <w:color w:val="auto"/>
          <w:sz w:val="21"/>
          <w:szCs w:val="21"/>
          <w:highlight w:val="none"/>
          <w:lang w:val="en-US" w:eastAsia="zh-CN" w:bidi="ar"/>
        </w:rPr>
        <w:t>或</w:t>
      </w:r>
      <w:r>
        <w:rPr>
          <w:rFonts w:hint="eastAsia" w:hAnsi="宋体" w:cs="宋体"/>
          <w:color w:val="auto"/>
          <w:sz w:val="21"/>
          <w:szCs w:val="21"/>
          <w:highlight w:val="none"/>
          <w:lang w:val="en-US" w:eastAsia="zh-CN"/>
        </w:rPr>
        <w:t>非企业单位</w:t>
      </w:r>
      <w:r>
        <w:rPr>
          <w:rFonts w:hint="eastAsia" w:hAnsi="宋体" w:cs="宋体"/>
          <w:color w:val="auto"/>
          <w:sz w:val="21"/>
          <w:szCs w:val="21"/>
          <w:highlight w:val="none"/>
          <w:lang w:bidi="ar"/>
        </w:rPr>
        <w:t>之间不得存在直接控股、管理关系。</w:t>
      </w:r>
      <w:r>
        <w:rPr>
          <w:rFonts w:hint="eastAsia" w:hAnsi="宋体" w:cs="宋体"/>
          <w:color w:val="auto"/>
          <w:sz w:val="21"/>
          <w:szCs w:val="21"/>
          <w:highlight w:val="none"/>
        </w:rPr>
        <w:t xml:space="preserve">（联合体投标时适用） </w:t>
      </w:r>
    </w:p>
    <w:p w14:paraId="11082CDD">
      <w:pPr>
        <w:tabs>
          <w:tab w:val="left" w:pos="1260"/>
        </w:tabs>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三、获取招标文件</w:t>
      </w:r>
    </w:p>
    <w:p w14:paraId="42BB2BBC">
      <w:pPr>
        <w:tabs>
          <w:tab w:val="left" w:pos="126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1.时间：本项目公告发布之日起至2025年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11</w:t>
      </w:r>
      <w:r>
        <w:rPr>
          <w:rFonts w:hint="eastAsia" w:hAnsi="宋体" w:cs="宋体"/>
          <w:color w:val="auto"/>
          <w:sz w:val="21"/>
          <w:szCs w:val="21"/>
          <w:highlight w:val="none"/>
        </w:rPr>
        <w:t>日止，每天上午00:00至12:00，下午12:00至23:59（北京时间）</w:t>
      </w:r>
    </w:p>
    <w:p w14:paraId="1A66F761">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2.招标文件获取地址：登录政采云平台--后台项目采购板块点击申请获取采购文件。</w:t>
      </w:r>
    </w:p>
    <w:p w14:paraId="3BCE6772">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3.获取采购文件方式：投标人自行登录浙江省“政采云”平台（网址https://www.zcygov.cn）获取采购文件（投标人线上获取采购文件的流程：投标人登录浙江省“政采云”平台并进入【项目采购】应用模块，点击左侧菜单的【获取采购文件】，点击对应项目的【申请获取采购文件】按钮，填写获取采购文件申请信息后，点右下角【确定】按钮提交）。 </w:t>
      </w:r>
    </w:p>
    <w:p w14:paraId="09DC81F6">
      <w:pPr>
        <w:autoSpaceDE/>
        <w:autoSpaceDN/>
        <w:snapToGrid w:val="0"/>
        <w:spacing w:line="500" w:lineRule="exact"/>
        <w:ind w:firstLine="422" w:firstLineChars="200"/>
        <w:rPr>
          <w:rStyle w:val="49"/>
          <w:rFonts w:hint="eastAsia" w:ascii="宋体" w:hAnsi="宋体" w:cs="宋体"/>
          <w:color w:val="auto"/>
          <w:sz w:val="21"/>
          <w:szCs w:val="21"/>
          <w:highlight w:val="none"/>
        </w:rPr>
      </w:pPr>
      <w:r>
        <w:rPr>
          <w:rStyle w:val="49"/>
          <w:rFonts w:hint="eastAsia" w:ascii="宋体" w:hAnsi="宋体" w:cs="宋体"/>
          <w:color w:val="auto"/>
          <w:sz w:val="21"/>
          <w:szCs w:val="21"/>
          <w:highlight w:val="none"/>
        </w:rPr>
        <w:t>注：</w:t>
      </w:r>
    </w:p>
    <w:p w14:paraId="2682D307">
      <w:pPr>
        <w:tabs>
          <w:tab w:val="left" w:pos="1260"/>
        </w:tabs>
        <w:autoSpaceDE/>
        <w:autoSpaceDN/>
        <w:snapToGrid w:val="0"/>
        <w:spacing w:line="500" w:lineRule="exact"/>
        <w:ind w:firstLine="420" w:firstLineChars="200"/>
        <w:jc w:val="both"/>
        <w:rPr>
          <w:rFonts w:hint="eastAsia" w:hAnsi="宋体" w:cs="宋体"/>
          <w:color w:val="auto"/>
          <w:sz w:val="21"/>
          <w:szCs w:val="21"/>
          <w:highlight w:val="none"/>
        </w:rPr>
      </w:pPr>
      <w:bookmarkStart w:id="27" w:name="_Toc28359082"/>
      <w:bookmarkStart w:id="28" w:name="_Toc28359005"/>
      <w:bookmarkStart w:id="29" w:name="_Toc35393793"/>
      <w:bookmarkStart w:id="30" w:name="_Toc35393624"/>
      <w:r>
        <w:rPr>
          <w:rFonts w:hint="eastAsia" w:hAnsi="宋体" w:cs="宋体"/>
          <w:color w:val="auto"/>
          <w:sz w:val="21"/>
          <w:szCs w:val="21"/>
          <w:highlight w:val="none"/>
        </w:rPr>
        <w:t>（1）</w:t>
      </w:r>
      <w:r>
        <w:rPr>
          <w:rStyle w:val="49"/>
          <w:rFonts w:hint="eastAsia" w:ascii="宋体" w:hAnsi="宋体" w:cs="宋体"/>
          <w:color w:val="auto"/>
          <w:sz w:val="21"/>
          <w:szCs w:val="21"/>
          <w:highlight w:val="none"/>
        </w:rPr>
        <w:t>浙江政府采购网上随公告发布的采购文件仅供阅览。</w:t>
      </w:r>
      <w:r>
        <w:rPr>
          <w:rFonts w:hint="eastAsia" w:hAnsi="宋体" w:cs="宋体"/>
          <w:color w:val="auto"/>
          <w:sz w:val="21"/>
          <w:szCs w:val="21"/>
          <w:highlight w:val="none"/>
        </w:rPr>
        <w:t>投标人应按上述方式报名获取采购文件；未按上述方式报名获取采购文件的，不得对采购文件提起质疑投诉且采购代理机构有权拒绝其投标。同时，请投标人在参加投标前随时关注项目可能的更正公告情况。</w:t>
      </w:r>
    </w:p>
    <w:p w14:paraId="0AE81FAC">
      <w:pPr>
        <w:tabs>
          <w:tab w:val="left" w:pos="1260"/>
        </w:tabs>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（2）采购代理机构将拒绝接受未按上述方式报名获取采购文件的投标人的投标文件。</w:t>
      </w:r>
    </w:p>
    <w:p w14:paraId="0E97156F">
      <w:pPr>
        <w:tabs>
          <w:tab w:val="left" w:pos="1260"/>
        </w:tabs>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四、提交投标文件</w:t>
      </w:r>
      <w:bookmarkEnd w:id="27"/>
      <w:bookmarkEnd w:id="28"/>
      <w:r>
        <w:rPr>
          <w:rFonts w:hint="eastAsia" w:hAnsi="宋体" w:cs="宋体"/>
          <w:b/>
          <w:color w:val="auto"/>
          <w:sz w:val="21"/>
          <w:szCs w:val="21"/>
          <w:highlight w:val="none"/>
        </w:rPr>
        <w:t>截止时间、开标时间和地点</w:t>
      </w:r>
      <w:bookmarkEnd w:id="29"/>
      <w:bookmarkEnd w:id="30"/>
    </w:p>
    <w:p w14:paraId="6A165DE0">
      <w:pPr>
        <w:tabs>
          <w:tab w:val="left" w:pos="126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1.提交投标文件截止时间：2025年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11</w:t>
      </w:r>
      <w:r>
        <w:rPr>
          <w:rFonts w:hint="eastAsia" w:hAnsi="宋体" w:cs="宋体"/>
          <w:color w:val="auto"/>
          <w:sz w:val="21"/>
          <w:szCs w:val="21"/>
          <w:highlight w:val="none"/>
        </w:rPr>
        <w:t>日</w:t>
      </w:r>
      <w:r>
        <w:rPr>
          <w:rFonts w:hint="eastAsia" w:hAnsi="宋体" w:cs="宋体"/>
          <w:bCs/>
          <w:color w:val="auto"/>
          <w:sz w:val="21"/>
          <w:szCs w:val="21"/>
          <w:highlight w:val="none"/>
          <w:lang w:val="en-US" w:eastAsia="zh-CN"/>
        </w:rPr>
        <w:t>14</w:t>
      </w:r>
      <w:r>
        <w:rPr>
          <w:rFonts w:hint="eastAsia" w:hAnsi="宋体" w:cs="宋体"/>
          <w:bCs/>
          <w:color w:val="auto"/>
          <w:sz w:val="21"/>
          <w:szCs w:val="21"/>
          <w:highlight w:val="none"/>
        </w:rPr>
        <w:t>点30</w:t>
      </w:r>
      <w:r>
        <w:rPr>
          <w:rFonts w:hint="eastAsia" w:hAnsi="宋体" w:cs="宋体"/>
          <w:color w:val="auto"/>
          <w:sz w:val="21"/>
          <w:szCs w:val="21"/>
          <w:highlight w:val="none"/>
        </w:rPr>
        <w:t>时（北京时间）</w:t>
      </w:r>
    </w:p>
    <w:p w14:paraId="1E6D275F">
      <w:pPr>
        <w:pStyle w:val="42"/>
        <w:widowControl w:val="0"/>
        <w:adjustRightInd w:val="0"/>
        <w:snapToGrid w:val="0"/>
        <w:spacing w:before="0" w:beforeAutospacing="0" w:after="0" w:afterAutospacing="0" w:line="500" w:lineRule="exact"/>
        <w:ind w:firstLine="630" w:firstLineChars="300"/>
        <w:rPr>
          <w:rFonts w:hint="eastAsia" w:ascii="宋体" w:cs="宋体"/>
          <w:color w:val="auto"/>
          <w:sz w:val="21"/>
          <w:szCs w:val="21"/>
          <w:highlight w:val="none"/>
        </w:rPr>
      </w:pPr>
      <w:r>
        <w:rPr>
          <w:rFonts w:hint="eastAsia" w:ascii="宋体" w:cs="宋体"/>
          <w:color w:val="auto"/>
          <w:sz w:val="21"/>
          <w:szCs w:val="21"/>
          <w:highlight w:val="none"/>
          <w:shd w:val="clear" w:color="auto" w:fill="FFFFFF"/>
        </w:rPr>
        <w:t>投标地点（网址）：通过浙江政府采购网政府采购云平台实行在线投标响应。</w:t>
      </w:r>
    </w:p>
    <w:p w14:paraId="7F835F67">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shd w:val="clear" w:color="auto" w:fill="FFFFFF"/>
        </w:rPr>
        <w:t xml:space="preserve">  开标时间</w:t>
      </w:r>
      <w:r>
        <w:rPr>
          <w:rFonts w:hint="eastAsia" w:ascii="宋体" w:cs="宋体"/>
          <w:color w:val="auto"/>
          <w:sz w:val="21"/>
          <w:szCs w:val="21"/>
          <w:highlight w:val="none"/>
        </w:rPr>
        <w:t>：</w:t>
      </w:r>
      <w:r>
        <w:rPr>
          <w:rFonts w:hint="eastAsia" w:hAnsi="宋体" w:cs="宋体"/>
          <w:color w:val="auto"/>
          <w:sz w:val="21"/>
          <w:szCs w:val="21"/>
          <w:highlight w:val="none"/>
        </w:rPr>
        <w:t>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11</w:t>
      </w:r>
      <w:r>
        <w:rPr>
          <w:rFonts w:hint="eastAsia" w:hAnsi="宋体" w:cs="宋体"/>
          <w:color w:val="auto"/>
          <w:sz w:val="21"/>
          <w:szCs w:val="21"/>
          <w:highlight w:val="none"/>
        </w:rPr>
        <w:t>日</w:t>
      </w:r>
      <w:r>
        <w:rPr>
          <w:rFonts w:hint="eastAsia" w:hAnsi="宋体" w:cs="宋体"/>
          <w:bCs/>
          <w:color w:val="auto"/>
          <w:sz w:val="21"/>
          <w:szCs w:val="21"/>
          <w:highlight w:val="none"/>
          <w:lang w:val="en-US" w:eastAsia="zh-CN"/>
        </w:rPr>
        <w:t>14</w:t>
      </w:r>
      <w:r>
        <w:rPr>
          <w:rFonts w:hint="eastAsia" w:hAnsi="宋体" w:cs="宋体"/>
          <w:bCs/>
          <w:color w:val="auto"/>
          <w:sz w:val="21"/>
          <w:szCs w:val="21"/>
          <w:highlight w:val="none"/>
        </w:rPr>
        <w:t>点30</w:t>
      </w:r>
      <w:r>
        <w:rPr>
          <w:rFonts w:hint="eastAsia" w:ascii="宋体" w:cs="宋体"/>
          <w:color w:val="auto"/>
          <w:sz w:val="21"/>
          <w:szCs w:val="21"/>
          <w:highlight w:val="none"/>
          <w:shd w:val="clear" w:color="auto" w:fill="FFFFFF"/>
        </w:rPr>
        <w:t>时（北京时间）</w:t>
      </w:r>
    </w:p>
    <w:p w14:paraId="2403B3ED">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shd w:val="clear" w:color="auto" w:fill="FFFFFF"/>
        </w:rPr>
        <w:t xml:space="preserve">  开标地点（网址）：</w:t>
      </w:r>
      <w:r>
        <w:rPr>
          <w:rFonts w:hint="eastAsia" w:ascii="宋体" w:cs="宋体"/>
          <w:color w:val="auto"/>
          <w:sz w:val="21"/>
          <w:szCs w:val="21"/>
          <w:highlight w:val="none"/>
        </w:rPr>
        <w:t>金华市双龙南街858号金华财富大厦（金华市行政服务中心新办事大厅4楼开标1室），本项目</w:t>
      </w:r>
      <w:r>
        <w:rPr>
          <w:rFonts w:hint="eastAsia" w:ascii="宋体" w:cs="宋体"/>
          <w:color w:val="auto"/>
          <w:sz w:val="21"/>
          <w:szCs w:val="21"/>
          <w:highlight w:val="none"/>
          <w:shd w:val="clear" w:color="auto" w:fill="FFFFFF"/>
        </w:rPr>
        <w:t>通过浙江政府采购网政府采</w:t>
      </w:r>
      <w:r>
        <w:rPr>
          <w:rFonts w:hint="eastAsia" w:ascii="宋体" w:cs="宋体"/>
          <w:color w:val="auto"/>
          <w:sz w:val="21"/>
          <w:szCs w:val="21"/>
          <w:highlight w:val="none"/>
        </w:rPr>
        <w:t>购云平台在线开标，</w:t>
      </w:r>
      <w:r>
        <w:rPr>
          <w:rStyle w:val="49"/>
          <w:rFonts w:hint="eastAsia" w:ascii="宋体" w:hAnsi="宋体" w:cs="宋体"/>
          <w:b w:val="0"/>
          <w:color w:val="auto"/>
          <w:sz w:val="21"/>
          <w:szCs w:val="21"/>
          <w:highlight w:val="none"/>
        </w:rPr>
        <w:t>投标人无须到开标现场，但须准时在线参加，</w:t>
      </w:r>
      <w:r>
        <w:rPr>
          <w:rStyle w:val="49"/>
          <w:rFonts w:hint="eastAsia" w:ascii="宋体" w:hAnsi="宋体" w:cs="宋体"/>
          <w:b w:val="0"/>
          <w:bCs w:val="0"/>
          <w:color w:val="auto"/>
          <w:sz w:val="21"/>
          <w:szCs w:val="21"/>
          <w:highlight w:val="none"/>
        </w:rPr>
        <w:t>直至评审结束。</w:t>
      </w:r>
      <w:r>
        <w:rPr>
          <w:rFonts w:hint="eastAsia" w:ascii="宋体" w:cs="宋体"/>
          <w:color w:val="auto"/>
          <w:sz w:val="21"/>
          <w:szCs w:val="21"/>
          <w:highlight w:val="none"/>
        </w:rPr>
        <w:t>开标截止时间后30分钟以内投标人登录“政采云”平台，用“项目采购-开标评标”功能进行解密投标文件。若投标人在规定时间内投标文件无法解密或解密失败（含未提交），则投标无效。</w:t>
      </w:r>
    </w:p>
    <w:p w14:paraId="1FA12FD8">
      <w:pPr>
        <w:pStyle w:val="42"/>
        <w:widowControl w:val="0"/>
        <w:numPr>
          <w:ilvl w:val="0"/>
          <w:numId w:val="2"/>
        </w:numPr>
        <w:adjustRightInd w:val="0"/>
        <w:snapToGrid w:val="0"/>
        <w:spacing w:before="0" w:beforeAutospacing="0" w:after="0" w:afterAutospacing="0" w:line="500" w:lineRule="exact"/>
        <w:ind w:firstLine="422" w:firstLineChars="200"/>
        <w:rPr>
          <w:rStyle w:val="49"/>
          <w:rFonts w:hint="eastAsia" w:ascii="宋体" w:hAnsi="宋体" w:cs="宋体"/>
          <w:color w:val="auto"/>
          <w:sz w:val="21"/>
          <w:szCs w:val="21"/>
          <w:highlight w:val="none"/>
          <w:shd w:val="clear" w:color="auto" w:fill="FFFFFF"/>
        </w:rPr>
      </w:pPr>
      <w:bookmarkStart w:id="31" w:name="_Toc28359007"/>
      <w:bookmarkStart w:id="32" w:name="_Toc28359084"/>
      <w:bookmarkStart w:id="33" w:name="_Toc35393625"/>
      <w:bookmarkStart w:id="34" w:name="_Toc35393794"/>
      <w:r>
        <w:rPr>
          <w:rStyle w:val="49"/>
          <w:rFonts w:hint="eastAsia" w:ascii="宋体" w:hAnsi="宋体" w:cs="宋体"/>
          <w:color w:val="auto"/>
          <w:sz w:val="21"/>
          <w:szCs w:val="21"/>
          <w:highlight w:val="none"/>
          <w:shd w:val="clear" w:color="auto" w:fill="FFFFFF"/>
        </w:rPr>
        <w:t>公告期限</w:t>
      </w:r>
    </w:p>
    <w:p w14:paraId="1183FE6C">
      <w:pPr>
        <w:tabs>
          <w:tab w:val="left" w:pos="126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自本公告发布之日起5个工作日。</w:t>
      </w:r>
    </w:p>
    <w:p w14:paraId="34FDD752">
      <w:pPr>
        <w:tabs>
          <w:tab w:val="left" w:pos="1260"/>
        </w:tabs>
        <w:autoSpaceDE/>
        <w:autoSpaceDN/>
        <w:snapToGrid w:val="0"/>
        <w:spacing w:line="500" w:lineRule="exact"/>
        <w:ind w:firstLine="422" w:firstLineChars="200"/>
        <w:rPr>
          <w:rFonts w:hint="eastAsia" w:hAnsi="宋体" w:cs="宋体"/>
          <w:color w:val="auto"/>
          <w:highlight w:val="none"/>
        </w:rPr>
      </w:pPr>
      <w:r>
        <w:rPr>
          <w:rFonts w:hint="eastAsia" w:hAnsi="宋体" w:cs="宋体"/>
          <w:b/>
          <w:color w:val="auto"/>
          <w:sz w:val="21"/>
          <w:szCs w:val="21"/>
          <w:highlight w:val="none"/>
        </w:rPr>
        <w:t>六、公告地址：</w:t>
      </w:r>
      <w:r>
        <w:rPr>
          <w:rFonts w:hint="eastAsia" w:hAnsi="宋体" w:cs="宋体"/>
          <w:color w:val="auto"/>
          <w:sz w:val="21"/>
          <w:szCs w:val="21"/>
          <w:highlight w:val="none"/>
        </w:rPr>
        <w:t>浙江政府采购网(http://zfcg.czt.zj.gov.cn/)。</w:t>
      </w:r>
    </w:p>
    <w:bookmarkEnd w:id="8"/>
    <w:bookmarkEnd w:id="9"/>
    <w:bookmarkEnd w:id="10"/>
    <w:bookmarkEnd w:id="11"/>
    <w:bookmarkEnd w:id="23"/>
    <w:bookmarkEnd w:id="24"/>
    <w:bookmarkEnd w:id="25"/>
    <w:bookmarkEnd w:id="26"/>
    <w:bookmarkEnd w:id="31"/>
    <w:bookmarkEnd w:id="32"/>
    <w:bookmarkEnd w:id="33"/>
    <w:bookmarkEnd w:id="34"/>
    <w:p w14:paraId="4FD48F58">
      <w:pPr>
        <w:tabs>
          <w:tab w:val="left" w:pos="1260"/>
        </w:tabs>
        <w:autoSpaceDE/>
        <w:autoSpaceDN/>
        <w:snapToGrid w:val="0"/>
        <w:spacing w:line="500" w:lineRule="exact"/>
        <w:ind w:firstLine="422" w:firstLineChars="200"/>
        <w:rPr>
          <w:rFonts w:hint="eastAsia" w:hAnsi="宋体" w:cs="宋体"/>
          <w:color w:val="auto"/>
          <w:sz w:val="21"/>
          <w:szCs w:val="21"/>
          <w:highlight w:val="none"/>
        </w:rPr>
      </w:pPr>
      <w:r>
        <w:rPr>
          <w:rFonts w:hint="eastAsia" w:hAnsi="宋体" w:cs="宋体"/>
          <w:b/>
          <w:color w:val="auto"/>
          <w:sz w:val="21"/>
          <w:szCs w:val="21"/>
          <w:highlight w:val="none"/>
        </w:rPr>
        <w:t>七、其他补充事宜</w:t>
      </w:r>
    </w:p>
    <w:p w14:paraId="400A6170">
      <w:pPr>
        <w:tabs>
          <w:tab w:val="left" w:pos="1260"/>
        </w:tabs>
        <w:adjustRightInd/>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ED872F9">
      <w:pPr>
        <w:tabs>
          <w:tab w:val="left" w:pos="1260"/>
        </w:tabs>
        <w:autoSpaceDE/>
        <w:autoSpaceDN/>
        <w:adjustRightInd/>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本项目未预留份额专门面向中小企业采购。采购单位、采购代理机构结合本项目实际，将对符合规定的小微企业报价给予10%的扣除，用扣除后的价格参加评审。 </w:t>
      </w:r>
    </w:p>
    <w:p w14:paraId="0C59B429">
      <w:pPr>
        <w:tabs>
          <w:tab w:val="left" w:pos="1260"/>
        </w:tabs>
        <w:autoSpaceDE/>
        <w:autoSpaceDN/>
        <w:adjustRightInd/>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29F42C">
      <w:pPr>
        <w:pStyle w:val="42"/>
        <w:widowControl w:val="0"/>
        <w:snapToGrid w:val="0"/>
        <w:spacing w:before="0" w:beforeAutospacing="0" w:after="0" w:afterAutospacing="0" w:line="500" w:lineRule="exact"/>
        <w:ind w:firstLine="420" w:firstLineChars="200"/>
        <w:rPr>
          <w:rStyle w:val="49"/>
          <w:rFonts w:hint="eastAsia" w:ascii="宋体" w:hAnsi="宋体" w:cs="宋体"/>
          <w:b w:val="0"/>
          <w:bCs w:val="0"/>
          <w:color w:val="auto"/>
          <w:sz w:val="21"/>
          <w:szCs w:val="21"/>
          <w:highlight w:val="none"/>
          <w:shd w:val="clear" w:color="auto" w:fill="FFFFFF"/>
        </w:rPr>
      </w:pPr>
      <w:r>
        <w:rPr>
          <w:rFonts w:hint="eastAsia" w:ascii="宋体"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w:t>
      </w:r>
      <w:r>
        <w:rPr>
          <w:rFonts w:hint="eastAsia" w:ascii="宋体" w:cs="宋体"/>
          <w:b/>
          <w:color w:val="auto"/>
          <w:sz w:val="21"/>
          <w:szCs w:val="21"/>
          <w:highlight w:val="none"/>
        </w:rPr>
        <w:t>需求</w:t>
      </w:r>
      <w:r>
        <w:rPr>
          <w:rFonts w:hint="eastAsia" w:ascii="宋体" w:cs="宋体"/>
          <w:bCs/>
          <w:color w:val="auto"/>
          <w:sz w:val="21"/>
          <w:szCs w:val="21"/>
          <w:highlight w:val="none"/>
        </w:rPr>
        <w:t>的以书面形式向采购人提出质疑，对</w:t>
      </w:r>
      <w:r>
        <w:rPr>
          <w:rFonts w:hint="eastAsia" w:ascii="宋体" w:cs="宋体"/>
          <w:b/>
          <w:color w:val="auto"/>
          <w:sz w:val="21"/>
          <w:szCs w:val="21"/>
          <w:highlight w:val="none"/>
        </w:rPr>
        <w:t>其他内容</w:t>
      </w:r>
      <w:r>
        <w:rPr>
          <w:rFonts w:hint="eastAsia" w:ascii="宋体" w:cs="宋体"/>
          <w:bCs/>
          <w:color w:val="auto"/>
          <w:sz w:val="21"/>
          <w:szCs w:val="21"/>
          <w:highlight w:val="none"/>
        </w:rPr>
        <w:t>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78FBDB55">
      <w:pPr>
        <w:tabs>
          <w:tab w:val="left" w:pos="1260"/>
        </w:tabs>
        <w:adjustRightInd/>
        <w:spacing w:line="500" w:lineRule="exact"/>
        <w:ind w:firstLine="420"/>
        <w:jc w:val="both"/>
        <w:rPr>
          <w:rFonts w:hint="eastAsia" w:hAnsi="宋体" w:cs="宋体"/>
          <w:bCs/>
          <w:color w:val="auto"/>
          <w:sz w:val="21"/>
          <w:szCs w:val="21"/>
          <w:highlight w:val="none"/>
        </w:rPr>
      </w:pPr>
      <w:r>
        <w:rPr>
          <w:rFonts w:hint="eastAsia" w:hAnsi="宋体" w:cs="宋体"/>
          <w:bCs/>
          <w:color w:val="auto"/>
          <w:sz w:val="21"/>
          <w:szCs w:val="21"/>
          <w:highlight w:val="none"/>
        </w:rPr>
        <w:t>4.其他事项：见招标文件。 </w:t>
      </w:r>
    </w:p>
    <w:p w14:paraId="72D3A3E9">
      <w:pPr>
        <w:tabs>
          <w:tab w:val="left" w:pos="1260"/>
        </w:tabs>
        <w:adjustRightInd/>
        <w:spacing w:line="500" w:lineRule="exact"/>
        <w:ind w:firstLine="420"/>
        <w:jc w:val="both"/>
        <w:rPr>
          <w:rFonts w:hint="eastAsia" w:hAnsi="宋体" w:cs="宋体"/>
          <w:bCs/>
          <w:color w:val="auto"/>
          <w:sz w:val="21"/>
          <w:szCs w:val="21"/>
          <w:highlight w:val="none"/>
        </w:rPr>
      </w:pPr>
      <w:r>
        <w:rPr>
          <w:rFonts w:hint="eastAsia" w:hAnsi="宋体" w:cs="宋体"/>
          <w:bCs/>
          <w:color w:val="auto"/>
          <w:sz w:val="21"/>
          <w:szCs w:val="21"/>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s://zfcg. czt.zj. gov.cn/)的中小企业信用融资栏目了解相关信息。供应商可以通过浙江政府采购网(https://zfcg. czt.zj. gov.cn/)首页的“政采云金融服务”模块进入申请，还可以通过政府采购云平台(https://www.zcygov.cn/)首页的“金融服务”模块进入申请。</w:t>
      </w:r>
    </w:p>
    <w:p w14:paraId="23A6B758">
      <w:pPr>
        <w:tabs>
          <w:tab w:val="left" w:pos="1260"/>
        </w:tabs>
        <w:autoSpaceDE/>
        <w:autoSpaceDN/>
        <w:adjustRightInd/>
        <w:spacing w:line="500" w:lineRule="exact"/>
        <w:ind w:firstLine="420"/>
        <w:jc w:val="both"/>
        <w:rPr>
          <w:rFonts w:hint="eastAsia" w:hAnsi="宋体" w:cs="宋体"/>
          <w:bCs/>
          <w:color w:val="auto"/>
          <w:sz w:val="21"/>
          <w:szCs w:val="21"/>
          <w:highlight w:val="none"/>
        </w:rPr>
      </w:pPr>
      <w:r>
        <w:rPr>
          <w:rFonts w:hint="eastAsia" w:hAnsi="宋体" w:cs="宋体"/>
          <w:bCs/>
          <w:color w:val="auto"/>
          <w:sz w:val="21"/>
          <w:szCs w:val="21"/>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8DA5026">
      <w:pPr>
        <w:tabs>
          <w:tab w:val="left" w:pos="1260"/>
        </w:tabs>
        <w:autoSpaceDE/>
        <w:autoSpaceDN/>
        <w:adjustRightInd/>
        <w:spacing w:line="500" w:lineRule="exact"/>
        <w:ind w:firstLine="420"/>
        <w:jc w:val="both"/>
        <w:rPr>
          <w:rFonts w:hint="eastAsia" w:hAnsi="宋体" w:cs="宋体"/>
          <w:b/>
          <w:color w:val="auto"/>
          <w:sz w:val="21"/>
          <w:szCs w:val="21"/>
          <w:highlight w:val="none"/>
        </w:rPr>
      </w:pPr>
      <w:r>
        <w:rPr>
          <w:rFonts w:hint="eastAsia" w:hAnsi="宋体" w:cs="宋体"/>
          <w:b/>
          <w:color w:val="auto"/>
          <w:sz w:val="21"/>
          <w:szCs w:val="21"/>
          <w:highlight w:val="none"/>
        </w:rPr>
        <w:t>政府采购金融服务提示：</w:t>
      </w:r>
    </w:p>
    <w:p w14:paraId="52CD79E1">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为扩大政府采购金融服务面，除政采云网上金融服务合作银行外，金华市范围增加线下合作银行两家，具体信息如下：</w:t>
      </w:r>
    </w:p>
    <w:p w14:paraId="2F0D2CA9">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金华银行文创支行    联系人：  姜峰       联系电话：13905792828      0579-82479020</w:t>
      </w:r>
    </w:p>
    <w:p w14:paraId="21445CC9">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浙商银行金华分行    联系人：  朱晨祥     联系电话： 15857978811     0579-82999581</w:t>
      </w:r>
    </w:p>
    <w:p w14:paraId="1D4556F5">
      <w:pPr>
        <w:pStyle w:val="42"/>
        <w:widowControl w:val="0"/>
        <w:adjustRightInd w:val="0"/>
        <w:snapToGrid w:val="0"/>
        <w:spacing w:before="0" w:beforeAutospacing="0" w:after="0" w:afterAutospacing="0" w:line="500" w:lineRule="exact"/>
        <w:ind w:firstLine="422" w:firstLineChars="200"/>
        <w:rPr>
          <w:rFonts w:hint="eastAsia" w:ascii="宋体" w:cs="宋体"/>
          <w:color w:val="auto"/>
          <w:sz w:val="21"/>
          <w:szCs w:val="21"/>
          <w:highlight w:val="none"/>
        </w:rPr>
      </w:pPr>
      <w:r>
        <w:rPr>
          <w:rStyle w:val="49"/>
          <w:rFonts w:hint="eastAsia" w:ascii="宋体" w:hAnsi="宋体" w:cs="宋体"/>
          <w:color w:val="auto"/>
          <w:sz w:val="21"/>
          <w:szCs w:val="21"/>
          <w:highlight w:val="none"/>
          <w:shd w:val="clear" w:color="auto" w:fill="FFFFFF"/>
        </w:rPr>
        <w:t>八、电子投标事项特别说明</w:t>
      </w:r>
    </w:p>
    <w:p w14:paraId="0088676F">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1.本项目实行电子投标，投标人应按照本项目采购文件和政采云平台的要求编制、加密并递交响应文件。投标人在使用系统进行投标的过程中遇到涉及平台使用的任何问题，可致电政采云平台技术支持热线咨询，联系方式：95763。</w:t>
      </w:r>
    </w:p>
    <w:p w14:paraId="13D86332">
      <w:pPr>
        <w:pStyle w:val="42"/>
        <w:widowControl w:val="0"/>
        <w:wordWrap w:val="0"/>
        <w:snapToGrid w:val="0"/>
        <w:spacing w:before="0" w:beforeAutospacing="0" w:after="0" w:afterAutospacing="0" w:line="500" w:lineRule="exact"/>
        <w:ind w:firstLine="420" w:firstLineChars="200"/>
        <w:rPr>
          <w:rFonts w:hint="eastAsia"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2.</w:t>
      </w:r>
      <w:r>
        <w:rPr>
          <w:rFonts w:hint="eastAsia" w:ascii="宋体" w:cs="宋体"/>
          <w:color w:val="auto"/>
          <w:sz w:val="21"/>
          <w:szCs w:val="21"/>
          <w:highlight w:val="none"/>
        </w:rPr>
        <w:t>标前准备（CA驱动办理）：</w:t>
      </w:r>
      <w:r>
        <w:rPr>
          <w:rFonts w:hint="eastAsia" w:ascii="宋体" w:cs="宋体"/>
          <w:bCs/>
          <w:color w:val="auto"/>
          <w:sz w:val="21"/>
          <w:szCs w:val="21"/>
          <w:highlight w:val="none"/>
        </w:rPr>
        <w:t>投标人应在开标前完成CA数字证书办理。完成CA数字证书办理预计一周左右，建议各投标人抓紧时间办理。因未注册入库、未办理CA数字证书等原因造成无法投标或投标失败等后果由投标人自行承担。</w:t>
      </w:r>
    </w:p>
    <w:p w14:paraId="658B4359">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3.投标人通过政采云平台“电子交易客户端”制作响应文件，电子投标工具请投标人自行前往浙江省政府采购网下载并安装。</w:t>
      </w:r>
    </w:p>
    <w:p w14:paraId="49C3D048">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4.投标人将加密的电子版响应文件于投标截止时间前上传到政采云系统中。</w:t>
      </w:r>
    </w:p>
    <w:p w14:paraId="67BCC835">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5.具体的响应文件加密上传等操作详见政采云平台操作指南。https://edu.zcygov.cn/luban/e-biding?utm=a0004.2ef5001f.0001.0109.da8b35e0da8611e98d8937b7ef8a3544。</w:t>
      </w:r>
    </w:p>
    <w:p w14:paraId="241520BA">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注：建议使用谷歌浏览器，使用其他浏览器可能发生无法解密等未知情况。</w:t>
      </w:r>
    </w:p>
    <w:p w14:paraId="7924AA4D">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shd w:val="clear" w:color="auto" w:fill="FFFFFF"/>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1F621B43">
      <w:pPr>
        <w:tabs>
          <w:tab w:val="left" w:pos="1260"/>
        </w:tabs>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九、对本次招标提出询问，请按以下方式联系。</w:t>
      </w:r>
    </w:p>
    <w:p w14:paraId="5E803A0C">
      <w:pPr>
        <w:tabs>
          <w:tab w:val="left" w:pos="1260"/>
        </w:tabs>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1.采购人信息</w:t>
      </w:r>
    </w:p>
    <w:p w14:paraId="1DA47A9F">
      <w:pPr>
        <w:tabs>
          <w:tab w:val="left" w:pos="126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名称：金华市婺城区民政局</w:t>
      </w:r>
    </w:p>
    <w:p w14:paraId="489ED659">
      <w:pPr>
        <w:tabs>
          <w:tab w:val="left" w:pos="126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地址：金华市宾虹西路2666号婺城区政府北楼三楼</w:t>
      </w:r>
    </w:p>
    <w:p w14:paraId="6CC8F3EF">
      <w:pPr>
        <w:tabs>
          <w:tab w:val="left" w:pos="126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项目联系人（询问）：雷先生  </w:t>
      </w:r>
    </w:p>
    <w:p w14:paraId="4EBBC413">
      <w:pPr>
        <w:tabs>
          <w:tab w:val="left" w:pos="126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项目联系方式（询问）： 0579-82225590</w:t>
      </w:r>
    </w:p>
    <w:p w14:paraId="603BB33A">
      <w:pPr>
        <w:tabs>
          <w:tab w:val="left" w:pos="126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项目联系人（质疑）：胡女士 </w:t>
      </w:r>
    </w:p>
    <w:p w14:paraId="48DF8412">
      <w:pPr>
        <w:tabs>
          <w:tab w:val="left" w:pos="1260"/>
        </w:tabs>
        <w:autoSpaceDE/>
        <w:autoSpaceDN/>
        <w:snapToGrid w:val="0"/>
        <w:spacing w:line="500" w:lineRule="exact"/>
        <w:ind w:firstLine="420" w:firstLineChars="200"/>
        <w:rPr>
          <w:rFonts w:hint="eastAsia" w:hAnsi="宋体" w:cs="宋体"/>
          <w:b/>
          <w:color w:val="auto"/>
          <w:sz w:val="21"/>
          <w:szCs w:val="21"/>
          <w:highlight w:val="none"/>
        </w:rPr>
      </w:pPr>
      <w:r>
        <w:rPr>
          <w:rFonts w:hint="eastAsia" w:hAnsi="宋体" w:cs="宋体"/>
          <w:color w:val="auto"/>
          <w:sz w:val="21"/>
          <w:szCs w:val="21"/>
          <w:highlight w:val="none"/>
        </w:rPr>
        <w:t>项目联系方式（质疑）：0579-82225590</w:t>
      </w:r>
    </w:p>
    <w:p w14:paraId="350D7EFF">
      <w:pPr>
        <w:tabs>
          <w:tab w:val="left" w:pos="1260"/>
        </w:tabs>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2.采购代理机构信息</w:t>
      </w:r>
    </w:p>
    <w:p w14:paraId="46F29912">
      <w:pPr>
        <w:tabs>
          <w:tab w:val="left" w:pos="126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名称：金华市天盈招标代理有限公司 　　　　　　　　　　</w:t>
      </w:r>
    </w:p>
    <w:p w14:paraId="447D87ED">
      <w:pPr>
        <w:tabs>
          <w:tab w:val="left" w:pos="1260"/>
        </w:tabs>
        <w:autoSpaceDE/>
        <w:autoSpaceDN/>
        <w:snapToGrid w:val="0"/>
        <w:spacing w:line="500" w:lineRule="exact"/>
        <w:ind w:firstLine="420" w:firstLineChars="200"/>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项目联系人：俞女士      联系电话0579-82162067</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81338925</w:t>
      </w:r>
    </w:p>
    <w:p w14:paraId="420123CF">
      <w:pPr>
        <w:tabs>
          <w:tab w:val="left" w:pos="126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质疑联系人：夏翰宇    联系电话：0579-82474058</w:t>
      </w:r>
    </w:p>
    <w:p w14:paraId="0E6C2F0A">
      <w:pPr>
        <w:tabs>
          <w:tab w:val="left" w:pos="1260"/>
        </w:tabs>
        <w:autoSpaceDE/>
        <w:autoSpaceDN/>
        <w:snapToGrid w:val="0"/>
        <w:spacing w:line="500" w:lineRule="exact"/>
        <w:ind w:firstLine="420" w:firstLineChars="200"/>
        <w:rPr>
          <w:rFonts w:hint="eastAsia" w:hAnsi="宋体" w:cs="宋体"/>
          <w:b/>
          <w:color w:val="auto"/>
          <w:sz w:val="21"/>
          <w:szCs w:val="21"/>
          <w:highlight w:val="none"/>
        </w:rPr>
      </w:pPr>
      <w:r>
        <w:rPr>
          <w:rFonts w:hint="eastAsia" w:hAnsi="宋体" w:cs="宋体"/>
          <w:color w:val="auto"/>
          <w:sz w:val="21"/>
          <w:szCs w:val="21"/>
          <w:highlight w:val="none"/>
        </w:rPr>
        <w:t>地址：金华市婺城区城西街道建业东路168号</w:t>
      </w:r>
    </w:p>
    <w:p w14:paraId="0CCFFC55">
      <w:pPr>
        <w:tabs>
          <w:tab w:val="left" w:pos="1260"/>
        </w:tabs>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3.同级政府采购监督管理部门</w:t>
      </w:r>
    </w:p>
    <w:p w14:paraId="03ACC2A3">
      <w:pPr>
        <w:spacing w:line="500" w:lineRule="exact"/>
        <w:ind w:firstLine="420" w:firstLineChars="200"/>
        <w:rPr>
          <w:rFonts w:hint="eastAsia" w:hAnsi="宋体" w:cs="宋体"/>
          <w:color w:val="auto"/>
          <w:szCs w:val="21"/>
          <w:highlight w:val="none"/>
        </w:rPr>
      </w:pPr>
      <w:r>
        <w:rPr>
          <w:rFonts w:hint="eastAsia" w:hAnsi="宋体" w:cs="宋体"/>
          <w:color w:val="auto"/>
          <w:sz w:val="21"/>
          <w:szCs w:val="21"/>
          <w:highlight w:val="none"/>
        </w:rPr>
        <w:t>名    称：金华市婺城区财政局政府采购监督管理办公室 　　　　　　　　　　　</w:t>
      </w:r>
    </w:p>
    <w:p w14:paraId="6D3D19EA">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地    址：金华市宾虹西路2666号</w:t>
      </w:r>
      <w:r>
        <w:rPr>
          <w:rFonts w:hint="eastAsia" w:hAnsi="宋体" w:cs="Arial"/>
          <w:color w:val="auto"/>
          <w:szCs w:val="21"/>
          <w:highlight w:val="none"/>
        </w:rPr>
        <w:t> </w:t>
      </w:r>
      <w:r>
        <w:rPr>
          <w:rFonts w:hint="eastAsia" w:hAnsi="宋体" w:cs="宋体"/>
          <w:color w:val="auto"/>
          <w:sz w:val="21"/>
          <w:szCs w:val="21"/>
          <w:highlight w:val="none"/>
        </w:rPr>
        <w:t xml:space="preserve"> </w:t>
      </w:r>
    </w:p>
    <w:p w14:paraId="059E886A">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联 系 人：李老师</w:t>
      </w:r>
    </w:p>
    <w:p w14:paraId="540EFCD0">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联系方式：0579-82487292</w:t>
      </w:r>
    </w:p>
    <w:p w14:paraId="1499F7A2">
      <w:pPr>
        <w:pStyle w:val="42"/>
        <w:snapToGrid w:val="0"/>
        <w:spacing w:line="500" w:lineRule="exact"/>
        <w:ind w:firstLine="422" w:firstLineChars="200"/>
        <w:rPr>
          <w:rStyle w:val="49"/>
          <w:rFonts w:hint="eastAsia" w:ascii="宋体" w:hAnsi="宋体" w:cs="宋体"/>
          <w:color w:val="auto"/>
          <w:sz w:val="21"/>
          <w:szCs w:val="21"/>
          <w:highlight w:val="none"/>
          <w:shd w:val="clear" w:color="auto" w:fill="FFFFFF"/>
        </w:rPr>
      </w:pPr>
      <w:bookmarkStart w:id="35" w:name="_Toc351559941"/>
      <w:r>
        <w:rPr>
          <w:rStyle w:val="49"/>
          <w:rFonts w:hint="eastAsia" w:ascii="宋体" w:hAnsi="宋体" w:cs="宋体"/>
          <w:color w:val="auto"/>
          <w:sz w:val="21"/>
          <w:szCs w:val="21"/>
          <w:highlight w:val="none"/>
          <w:shd w:val="clear" w:color="auto" w:fill="FFFFFF"/>
        </w:rPr>
        <w:br w:type="page"/>
      </w:r>
    </w:p>
    <w:p w14:paraId="342AF9ED">
      <w:pPr>
        <w:pStyle w:val="2"/>
        <w:keepNext w:val="0"/>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第二章  招标需求</w:t>
      </w:r>
      <w:bookmarkEnd w:id="35"/>
    </w:p>
    <w:p w14:paraId="7594C33C">
      <w:pPr>
        <w:autoSpaceDE/>
        <w:autoSpaceDN/>
        <w:snapToGrid w:val="0"/>
        <w:spacing w:line="500" w:lineRule="exact"/>
        <w:ind w:firstLine="422" w:firstLineChars="200"/>
        <w:rPr>
          <w:rFonts w:hint="eastAsia" w:hAnsi="宋体" w:cs="宋体"/>
          <w:b/>
          <w:color w:val="auto"/>
          <w:sz w:val="21"/>
          <w:szCs w:val="21"/>
          <w:highlight w:val="none"/>
        </w:rPr>
      </w:pPr>
      <w:bookmarkStart w:id="36" w:name="_Toc351559942"/>
      <w:r>
        <w:rPr>
          <w:rFonts w:hint="eastAsia" w:hAnsi="宋体" w:cs="宋体"/>
          <w:b/>
          <w:color w:val="auto"/>
          <w:sz w:val="21"/>
          <w:szCs w:val="21"/>
          <w:highlight w:val="none"/>
        </w:rPr>
        <w:t>一、项目背景</w:t>
      </w:r>
    </w:p>
    <w:p w14:paraId="588F03FE">
      <w:pPr>
        <w:pStyle w:val="27"/>
        <w:autoSpaceDE/>
        <w:autoSpaceDN/>
        <w:snapToGrid w:val="0"/>
        <w:spacing w:line="500" w:lineRule="exact"/>
        <w:ind w:firstLine="420" w:firstLineChars="200"/>
        <w:rPr>
          <w:rFonts w:hint="eastAsia" w:ascii="宋体" w:hAnsi="宋体" w:cs="宋体"/>
          <w:bCs/>
          <w:color w:val="auto"/>
          <w:kern w:val="2"/>
          <w:sz w:val="21"/>
          <w:highlight w:val="none"/>
        </w:rPr>
      </w:pPr>
      <w:r>
        <w:rPr>
          <w:rFonts w:hint="eastAsia" w:ascii="宋体" w:hAnsi="宋体" w:cs="宋体"/>
          <w:bCs/>
          <w:color w:val="auto"/>
          <w:kern w:val="2"/>
          <w:sz w:val="21"/>
          <w:highlight w:val="none"/>
        </w:rPr>
        <w:t>为进一步推动社会组织高质量发展，为</w:t>
      </w:r>
      <w:r>
        <w:rPr>
          <w:rFonts w:hint="eastAsia" w:ascii="宋体" w:hAnsi="宋体" w:cs="宋体"/>
          <w:bCs/>
          <w:color w:val="auto"/>
          <w:kern w:val="2"/>
          <w:sz w:val="21"/>
          <w:highlight w:val="none"/>
          <w:lang w:eastAsia="zh-CN"/>
        </w:rPr>
        <w:t>“</w:t>
      </w:r>
      <w:r>
        <w:rPr>
          <w:rFonts w:hint="eastAsia" w:ascii="宋体" w:hAnsi="宋体" w:cs="宋体"/>
          <w:bCs/>
          <w:color w:val="auto"/>
          <w:kern w:val="2"/>
          <w:sz w:val="21"/>
          <w:highlight w:val="none"/>
        </w:rPr>
        <w:t>打造增长极、建设新中心</w:t>
      </w:r>
      <w:r>
        <w:rPr>
          <w:rFonts w:hint="eastAsia" w:ascii="宋体" w:hAnsi="宋体" w:cs="宋体"/>
          <w:bCs/>
          <w:color w:val="auto"/>
          <w:kern w:val="2"/>
          <w:sz w:val="21"/>
          <w:highlight w:val="none"/>
          <w:lang w:eastAsia="zh-CN"/>
        </w:rPr>
        <w:t>”</w:t>
      </w:r>
      <w:r>
        <w:rPr>
          <w:rFonts w:hint="eastAsia" w:ascii="宋体" w:hAnsi="宋体" w:cs="宋体"/>
          <w:bCs/>
          <w:color w:val="auto"/>
          <w:kern w:val="2"/>
          <w:sz w:val="21"/>
          <w:highlight w:val="none"/>
        </w:rPr>
        <w:t>贡献社会组织力量，根据《关于推进新时代金华民政事业高质量发展实施意见》、《金华市社会组织公益创投管理暂行办法》、</w:t>
      </w:r>
      <w:r>
        <w:rPr>
          <w:rFonts w:hint="eastAsia"/>
          <w:bCs/>
          <w:color w:val="auto"/>
          <w:sz w:val="21"/>
          <w:highlight w:val="none"/>
        </w:rPr>
        <w:t>《社会救助服务联合体建设指导意见（试行）》、《浙江省社会救助服务联合体建设运营工作指南》、《浙江省社会组织孵化基地指导意见》</w:t>
      </w:r>
      <w:r>
        <w:rPr>
          <w:rFonts w:hint="eastAsia" w:ascii="宋体" w:hAnsi="宋体" w:cs="宋体"/>
          <w:bCs/>
          <w:color w:val="auto"/>
          <w:kern w:val="2"/>
          <w:sz w:val="21"/>
          <w:highlight w:val="none"/>
        </w:rPr>
        <w:t>等有关规定，为做好社会组织培育赋能工作，发挥好助联体平台和社会组织服务阵地的作用，金华市婺城区民政局拟通过政府采购服务的方式招选1家专业服务机构负责婺城区公益创投督导、社会组织培育赋能、助联体运行服务。</w:t>
      </w:r>
      <w:r>
        <w:rPr>
          <w:rFonts w:hint="eastAsia" w:ascii="宋体" w:hAnsi="宋体" w:cs="宋体"/>
          <w:bCs/>
          <w:color w:val="auto"/>
          <w:sz w:val="21"/>
          <w:highlight w:val="none"/>
        </w:rPr>
        <w:t>本项</w:t>
      </w:r>
      <w:r>
        <w:rPr>
          <w:rFonts w:hint="eastAsia" w:ascii="宋体" w:hAnsi="宋体" w:cs="宋体"/>
          <w:bCs/>
          <w:color w:val="auto"/>
          <w:kern w:val="2"/>
          <w:sz w:val="21"/>
          <w:highlight w:val="none"/>
        </w:rPr>
        <w:t>目预算金额为人民币75 万元。</w:t>
      </w:r>
    </w:p>
    <w:p w14:paraId="4562DDB9">
      <w:pPr>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二、人员配置</w:t>
      </w:r>
    </w:p>
    <w:p w14:paraId="1791A194">
      <w:pPr>
        <w:autoSpaceDE/>
        <w:autoSpaceDN/>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团队配备6人以上，其中资深督导2人以上</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社工机构8年及以上服务经验、副教授</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或副高级别职称</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及以上专家</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，专业社工4人以上（社会工作及相关专业本科以上学历，持社会工作或其他相关专业证书）。</w:t>
      </w:r>
    </w:p>
    <w:p w14:paraId="2DBB62C1">
      <w:pPr>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三、服务内容及要求</w:t>
      </w:r>
    </w:p>
    <w:p w14:paraId="3916C407">
      <w:pPr>
        <w:pStyle w:val="27"/>
        <w:autoSpaceDE/>
        <w:autoSpaceDN/>
        <w:snapToGrid w:val="0"/>
        <w:spacing w:line="500" w:lineRule="exact"/>
        <w:ind w:firstLine="422" w:firstLineChars="200"/>
        <w:rPr>
          <w:rFonts w:hint="eastAsia" w:ascii="宋体" w:hAnsi="宋体" w:cs="宋体"/>
          <w:b/>
          <w:color w:val="auto"/>
          <w:sz w:val="21"/>
          <w:highlight w:val="none"/>
        </w:rPr>
      </w:pPr>
      <w:r>
        <w:rPr>
          <w:rFonts w:hint="eastAsia" w:ascii="宋体" w:hAnsi="宋体" w:cs="宋体"/>
          <w:b/>
          <w:color w:val="auto"/>
          <w:sz w:val="21"/>
          <w:highlight w:val="none"/>
        </w:rPr>
        <w:t>（一）婺城区公益创投督导</w:t>
      </w:r>
    </w:p>
    <w:p w14:paraId="48AB597C">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1.公益创投项目现场评审及入围项目优化提升</w:t>
      </w:r>
    </w:p>
    <w:p w14:paraId="38A4F3B8">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（1）协同采购人设置评审依据，组织现场评审工作，选拔优秀项目，按规定支付场地及专家费用等。</w:t>
      </w:r>
    </w:p>
    <w:p w14:paraId="3D64D743">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（2）优化所有入围项目的预算及项目服务活动方案。</w:t>
      </w:r>
    </w:p>
    <w:p w14:paraId="40F5363D">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2.项目专业督导</w:t>
      </w:r>
    </w:p>
    <w:p w14:paraId="71E7A3E2">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（1）对项目的督导：项目周期内，对所有入选项目进行每两个月一次督导，要求形式多样化，对不同层次的机构和项目执行人员提供针对不同需求的督导服务。</w:t>
      </w:r>
    </w:p>
    <w:p w14:paraId="1DB97986">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（2）对项目执行人员的督导：对项目执行人员提供必要的专业理论、实务、项目管理等督导工作，每月及时回复执行人员书面督导材料。</w:t>
      </w:r>
    </w:p>
    <w:p w14:paraId="237191BC">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（3）项目周期内，每次督导后向采购人递交1份督导报告，报告内容含项目执行进度、项目活动开展情况、督导中发现的问题及整改方向。</w:t>
      </w:r>
    </w:p>
    <w:p w14:paraId="4942D282">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3.监测及评估</w:t>
      </w:r>
    </w:p>
    <w:p w14:paraId="2AC53F5A">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（1）监测并评估入围社会组织整个项目周期的项目进度、内容与计划匹配度及财务使用情况；评估社会组织及项目的服务成效。出具中期评估综合报告、终期评估综合报告各1份。</w:t>
      </w:r>
    </w:p>
    <w:p w14:paraId="57CD7921">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（2）督促项目执行机构整改并完善解决检测及评估中发现的问题。</w:t>
      </w:r>
    </w:p>
    <w:p w14:paraId="4E009885">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4.宣传及总结</w:t>
      </w:r>
    </w:p>
    <w:p w14:paraId="520D8C24">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（1）在项目周期内，协助、督促项目实施团队做好项目的宣传、总结工作，每月提供不少于1篇具代表性的项目工作信息简报；</w:t>
      </w:r>
    </w:p>
    <w:p w14:paraId="368D7145">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（2）在项目周期开展推进会和社会组织交流会各1场以上，进一步提升保障各入选项目的运行进度，提供交流平台；</w:t>
      </w:r>
    </w:p>
    <w:p w14:paraId="22796965">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（3）开展项目总结会1场以上，做好宣传工作，以增强项目的社会影响，促进项目的良性发展。</w:t>
      </w:r>
    </w:p>
    <w:p w14:paraId="421DABA0">
      <w:pPr>
        <w:pStyle w:val="27"/>
        <w:autoSpaceDE/>
        <w:autoSpaceDN/>
        <w:snapToGrid w:val="0"/>
        <w:spacing w:line="500" w:lineRule="exact"/>
        <w:ind w:firstLine="422" w:firstLineChars="200"/>
        <w:rPr>
          <w:rFonts w:hint="eastAsia" w:ascii="宋体" w:hAnsi="宋体" w:cs="宋体"/>
          <w:b/>
          <w:color w:val="auto"/>
          <w:sz w:val="21"/>
          <w:highlight w:val="none"/>
        </w:rPr>
      </w:pPr>
      <w:r>
        <w:rPr>
          <w:rFonts w:hint="eastAsia" w:ascii="宋体" w:hAnsi="宋体" w:cs="宋体"/>
          <w:b/>
          <w:color w:val="auto"/>
          <w:sz w:val="21"/>
          <w:highlight w:val="none"/>
        </w:rPr>
        <w:t>（二）</w:t>
      </w:r>
      <w:r>
        <w:rPr>
          <w:rFonts w:hint="eastAsia" w:ascii="宋体" w:hAnsi="宋体" w:cs="宋体"/>
          <w:b/>
          <w:color w:val="auto"/>
          <w:kern w:val="2"/>
          <w:sz w:val="21"/>
          <w:highlight w:val="none"/>
        </w:rPr>
        <w:t>社会组织培育赋能</w:t>
      </w:r>
    </w:p>
    <w:p w14:paraId="69F11592">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（1）派驻不少于1名工作人员入驻婺城区社会组织培育孵化基地，负责开展日常运营维护、环境清理、接待讲解等工作，负责场地电费、网络费等费用支付。</w:t>
      </w:r>
    </w:p>
    <w:p w14:paraId="1863FAE1">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（2）以婺城区社会组织培育孵化基地为活动主阵地，链接各方资源开展社会组织赋能活动，主要围绕提升社会组织从业人员的专业能力开展专题培训，开展培训活动不少于4次。</w:t>
      </w:r>
    </w:p>
    <w:p w14:paraId="346819B4">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ascii="宋体" w:hAnsi="宋体" w:cs="宋体"/>
          <w:bCs/>
          <w:color w:val="auto"/>
          <w:sz w:val="21"/>
          <w:highlight w:val="none"/>
        </w:rPr>
        <w:t>（3）</w:t>
      </w:r>
      <w:r>
        <w:rPr>
          <w:rFonts w:hint="eastAsia" w:hAnsi="宋体" w:cs="宋体"/>
          <w:color w:val="auto"/>
          <w:sz w:val="21"/>
          <w:highlight w:val="none"/>
        </w:rPr>
        <w:t>开展18个乡镇（街道）民政服务站一对一指导交流4次以上，全年集中开展专业指导2场，</w:t>
      </w:r>
      <w:r>
        <w:rPr>
          <w:rFonts w:hint="eastAsia" w:ascii="宋体" w:hAnsi="宋体" w:cs="宋体"/>
          <w:bCs/>
          <w:color w:val="auto"/>
          <w:sz w:val="21"/>
          <w:highlight w:val="none"/>
        </w:rPr>
        <w:t>出具中期评估综合报告、终期评估综合报告各1份。</w:t>
      </w:r>
    </w:p>
    <w:p w14:paraId="08BEEB6A">
      <w:pPr>
        <w:pStyle w:val="27"/>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（4）</w:t>
      </w:r>
      <w:r>
        <w:rPr>
          <w:rFonts w:hint="eastAsia" w:ascii="宋体" w:hAnsi="宋体" w:cs="宋体"/>
          <w:bCs/>
          <w:color w:val="auto"/>
          <w:sz w:val="21"/>
          <w:highlight w:val="none"/>
        </w:rPr>
        <w:t>根据采购人需求，配合采购人开展社会组织项目相关的各项工作。</w:t>
      </w:r>
    </w:p>
    <w:p w14:paraId="2A666359">
      <w:pPr>
        <w:pStyle w:val="27"/>
        <w:snapToGrid w:val="0"/>
        <w:spacing w:line="500" w:lineRule="exact"/>
        <w:ind w:firstLine="422" w:firstLineChars="200"/>
        <w:rPr>
          <w:rFonts w:hint="eastAsia" w:hAnsi="宋体" w:cs="宋体"/>
          <w:color w:val="auto"/>
          <w:sz w:val="21"/>
          <w:highlight w:val="none"/>
        </w:rPr>
      </w:pPr>
      <w:r>
        <w:rPr>
          <w:rFonts w:hint="eastAsia" w:hAnsi="宋体" w:cs="宋体"/>
          <w:b/>
          <w:bCs/>
          <w:color w:val="auto"/>
          <w:sz w:val="21"/>
          <w:highlight w:val="none"/>
        </w:rPr>
        <w:t>（三）助联体运行</w:t>
      </w:r>
    </w:p>
    <w:p w14:paraId="39B356A6">
      <w:pPr>
        <w:pStyle w:val="27"/>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立足地域优势，紧扣中心工作，打造科学、精准、规范、专业、高辨识度的特色品牌项目。服务对象包括但不限于婺城区在册困难群众、困境儿童、农村留守儿童、监护缺失未成年人等。</w:t>
      </w:r>
    </w:p>
    <w:p w14:paraId="003257B5">
      <w:pPr>
        <w:pStyle w:val="27"/>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（1）</w:t>
      </w:r>
      <w:r>
        <w:rPr>
          <w:rFonts w:hint="eastAsia" w:ascii="宋体" w:hAnsi="宋体" w:cs="宋体"/>
          <w:bCs/>
          <w:color w:val="auto"/>
          <w:sz w:val="21"/>
          <w:highlight w:val="none"/>
        </w:rPr>
        <w:t>派驻不少于1名工作人员入驻婺城区助联体，负责开展日常运营维护、环境清理、接待讲解等工作。</w:t>
      </w:r>
    </w:p>
    <w:p w14:paraId="6DF63E46">
      <w:pPr>
        <w:pStyle w:val="27"/>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2）收集、分析困难需求，组织议事会商，形成具有精准性、科学性、可行性的顶目需求。统筹联动政府、社会、市场等救助帮扶资源，在“浙有众扶”应用上架至少发布15个项目，链接参与实施服务项目的社会组织不少于 10 家。</w:t>
      </w:r>
    </w:p>
    <w:p w14:paraId="5E7A4A4E">
      <w:pPr>
        <w:widowControl/>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（3）专业指导：开展18个乡镇（街道）助联体（未保站）一对一指导交流4次，全年集中开展专业指导2场，</w:t>
      </w:r>
      <w:r>
        <w:rPr>
          <w:rFonts w:hint="eastAsia" w:hAnsi="宋体" w:cs="宋体"/>
          <w:bCs/>
          <w:color w:val="auto"/>
          <w:sz w:val="21"/>
          <w:szCs w:val="21"/>
          <w:highlight w:val="none"/>
        </w:rPr>
        <w:t>出具中期评估综合报告、终期评估综合报告各1份。</w:t>
      </w:r>
      <w:r>
        <w:rPr>
          <w:rFonts w:hint="eastAsia" w:hAnsi="宋体" w:cs="宋体"/>
          <w:color w:val="auto"/>
          <w:sz w:val="21"/>
          <w:szCs w:val="21"/>
          <w:highlight w:val="none"/>
        </w:rPr>
        <w:t>指导各站点打造服务类社会救助“一镇一品”。</w:t>
      </w:r>
    </w:p>
    <w:p w14:paraId="05C17206">
      <w:pPr>
        <w:pStyle w:val="27"/>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4）未成年人关爱服务：负责组织实施未成年人关爱服务项目不少于2个，开展困境未成年人个案帮扶，实地走访困境儿童家庭30户以上，打造典型帮扶案例不少于5个（其中监护缺失困境儿童帮扶个案不少于2个），形成工作经验。</w:t>
      </w:r>
    </w:p>
    <w:p w14:paraId="38E2DB0C">
      <w:pPr>
        <w:pStyle w:val="27"/>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（5）开展“微心愿”服务项目，“微心愿”项目服务覆盖低收入人口500人以上。</w:t>
      </w:r>
    </w:p>
    <w:p w14:paraId="35318B8E">
      <w:pPr>
        <w:pStyle w:val="27"/>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（6）助联体工作人员需与镇街、社区建立良好互动，做好日常工作、接待参访等，并配合民政局相关工作。</w:t>
      </w:r>
    </w:p>
    <w:p w14:paraId="0386A0E1">
      <w:pPr>
        <w:pStyle w:val="27"/>
        <w:autoSpaceDE/>
        <w:autoSpaceDN/>
        <w:snapToGrid w:val="0"/>
        <w:spacing w:line="500" w:lineRule="exact"/>
        <w:ind w:firstLine="420" w:firstLineChars="200"/>
        <w:rPr>
          <w:rFonts w:hint="eastAsia" w:ascii="宋体" w:hAnsi="宋体" w:cs="宋体"/>
          <w:bCs/>
          <w:color w:val="auto"/>
          <w:sz w:val="21"/>
          <w:highlight w:val="none"/>
        </w:rPr>
      </w:pPr>
      <w:r>
        <w:rPr>
          <w:rFonts w:hint="eastAsia" w:hAnsi="宋体" w:cs="宋体"/>
          <w:color w:val="auto"/>
          <w:sz w:val="21"/>
          <w:highlight w:val="none"/>
        </w:rPr>
        <w:t>（7）根据浙江省县级助联体星级评定指标体系，从建设保障力、组织运行力、服务支撑力、项目续航力、功能发挥力等五个纬度进行评价，综合评价达到四星级及以上的水平。</w:t>
      </w:r>
    </w:p>
    <w:p w14:paraId="3EA26002">
      <w:pPr>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（四）宣传工作要求</w:t>
      </w:r>
    </w:p>
    <w:p w14:paraId="4316D773">
      <w:pPr>
        <w:autoSpaceDE/>
        <w:autoSpaceDN/>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服务周期内，在区级以上媒体推送公益创投服务、社会组织培育赋能、救助服务活动、未保工作活动各12篇以上（合计48篇以上）。在市级以上媒体推送公益创投服务、社会组织培育赋能、救助服务活动、未保工作活动共12篇以上。在中国社会组织、中国民政、浙江民政等省级主要刊物上刊发公益创投服务、社会组织培育赋能、救助服务活动、未保工作活动共2篇以上。</w:t>
      </w:r>
    </w:p>
    <w:p w14:paraId="3678FD0D">
      <w:pPr>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四、服务限期</w:t>
      </w:r>
    </w:p>
    <w:p w14:paraId="59281DC6">
      <w:pPr>
        <w:autoSpaceDE/>
        <w:autoSpaceDN/>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合同签订之日起1年，具体起止时间以合同</w:t>
      </w:r>
      <w:r>
        <w:rPr>
          <w:rFonts w:hint="eastAsia" w:hAnsi="宋体" w:cs="宋体"/>
          <w:bCs/>
          <w:color w:val="auto"/>
          <w:sz w:val="21"/>
          <w:szCs w:val="21"/>
          <w:highlight w:val="none"/>
          <w:lang w:val="en-US" w:eastAsia="zh-CN"/>
        </w:rPr>
        <w:t>约定</w:t>
      </w:r>
      <w:r>
        <w:rPr>
          <w:rFonts w:hint="eastAsia" w:hAnsi="宋体" w:cs="宋体"/>
          <w:bCs/>
          <w:color w:val="auto"/>
          <w:sz w:val="21"/>
          <w:szCs w:val="21"/>
          <w:highlight w:val="none"/>
        </w:rPr>
        <w:t>时间为准。</w:t>
      </w:r>
    </w:p>
    <w:p w14:paraId="7DE45A82">
      <w:pPr>
        <w:pStyle w:val="27"/>
        <w:tabs>
          <w:tab w:val="left" w:pos="0"/>
        </w:tabs>
        <w:autoSpaceDE/>
        <w:autoSpaceDN/>
        <w:snapToGrid w:val="0"/>
        <w:spacing w:line="500" w:lineRule="exact"/>
        <w:ind w:firstLine="422" w:firstLineChars="200"/>
        <w:rPr>
          <w:rFonts w:hint="eastAsia" w:ascii="宋体" w:hAnsi="宋体" w:cs="宋体"/>
          <w:b/>
          <w:color w:val="auto"/>
          <w:sz w:val="21"/>
          <w:highlight w:val="none"/>
          <w:lang w:val="zh-CN"/>
        </w:rPr>
      </w:pPr>
      <w:r>
        <w:rPr>
          <w:rFonts w:hint="eastAsia" w:ascii="宋体" w:hAnsi="宋体" w:cs="宋体"/>
          <w:b/>
          <w:color w:val="auto"/>
          <w:sz w:val="21"/>
          <w:highlight w:val="none"/>
        </w:rPr>
        <w:t>五</w:t>
      </w:r>
      <w:r>
        <w:rPr>
          <w:rFonts w:hint="eastAsia" w:ascii="宋体" w:hAnsi="宋体" w:cs="宋体"/>
          <w:b/>
          <w:color w:val="auto"/>
          <w:sz w:val="21"/>
          <w:highlight w:val="none"/>
          <w:lang w:val="zh-CN"/>
        </w:rPr>
        <w:t>、合同价款的支付、结算</w:t>
      </w:r>
    </w:p>
    <w:p w14:paraId="59CBD253">
      <w:pPr>
        <w:spacing w:line="500" w:lineRule="exact"/>
        <w:ind w:firstLine="420" w:firstLineChars="200"/>
        <w:rPr>
          <w:rFonts w:hint="eastAsia" w:hAnsi="宋体" w:cs="宋体"/>
          <w:color w:val="auto"/>
          <w:sz w:val="21"/>
          <w:szCs w:val="21"/>
          <w:highlight w:val="none"/>
          <w:lang w:val="zh-CN"/>
        </w:rPr>
      </w:pPr>
      <w:r>
        <w:rPr>
          <w:rFonts w:hint="eastAsia" w:hAnsi="宋体" w:cs="宋体"/>
          <w:color w:val="auto"/>
          <w:sz w:val="21"/>
          <w:szCs w:val="21"/>
          <w:highlight w:val="none"/>
        </w:rPr>
        <w:t>1.</w:t>
      </w:r>
      <w:r>
        <w:rPr>
          <w:rFonts w:hint="eastAsia" w:hAnsi="宋体" w:cs="宋体"/>
          <w:color w:val="auto"/>
          <w:sz w:val="21"/>
          <w:szCs w:val="21"/>
          <w:highlight w:val="none"/>
          <w:lang w:val="zh-CN"/>
        </w:rPr>
        <w:t>服务经费通过转帐形式分期支付，具体约定如下：</w:t>
      </w:r>
    </w:p>
    <w:p w14:paraId="419871CD">
      <w:pPr>
        <w:spacing w:line="500" w:lineRule="exact"/>
        <w:ind w:firstLine="420" w:firstLineChars="200"/>
        <w:rPr>
          <w:rFonts w:hint="eastAsia" w:hAnsi="宋体" w:cs="宋体"/>
          <w:color w:val="auto"/>
          <w:sz w:val="21"/>
          <w:szCs w:val="21"/>
          <w:highlight w:val="none"/>
          <w:lang w:val="zh-CN"/>
        </w:rPr>
      </w:pPr>
      <w:r>
        <w:rPr>
          <w:rFonts w:hint="eastAsia" w:hAnsi="宋体" w:cs="宋体"/>
          <w:color w:val="auto"/>
          <w:sz w:val="21"/>
          <w:szCs w:val="21"/>
          <w:highlight w:val="none"/>
          <w:lang w:val="zh-CN"/>
        </w:rPr>
        <w:t>合同签订后</w:t>
      </w:r>
      <w:r>
        <w:rPr>
          <w:rFonts w:hint="eastAsia" w:hAnsi="宋体" w:cs="宋体"/>
          <w:color w:val="auto"/>
          <w:sz w:val="21"/>
          <w:szCs w:val="21"/>
          <w:highlight w:val="none"/>
        </w:rPr>
        <w:t>采购人</w:t>
      </w:r>
      <w:r>
        <w:rPr>
          <w:rFonts w:hint="eastAsia" w:hAnsi="宋体" w:cs="宋体"/>
          <w:color w:val="auto"/>
          <w:sz w:val="21"/>
          <w:szCs w:val="21"/>
          <w:highlight w:val="none"/>
          <w:lang w:val="zh-CN"/>
        </w:rPr>
        <w:t>支付合同总价</w:t>
      </w:r>
      <w:r>
        <w:rPr>
          <w:rFonts w:hint="eastAsia" w:hAnsi="宋体" w:cs="宋体"/>
          <w:color w:val="auto"/>
          <w:sz w:val="21"/>
          <w:szCs w:val="21"/>
          <w:highlight w:val="none"/>
        </w:rPr>
        <w:t>的40</w:t>
      </w:r>
      <w:r>
        <w:rPr>
          <w:rFonts w:hint="eastAsia" w:hAnsi="宋体" w:cs="宋体"/>
          <w:color w:val="auto"/>
          <w:sz w:val="21"/>
          <w:szCs w:val="21"/>
          <w:highlight w:val="none"/>
          <w:lang w:val="zh-CN"/>
        </w:rPr>
        <w:t>%服务费</w:t>
      </w:r>
      <w:r>
        <w:rPr>
          <w:rFonts w:hint="eastAsia" w:hAnsi="宋体" w:cs="宋体"/>
          <w:color w:val="auto"/>
          <w:sz w:val="21"/>
          <w:szCs w:val="21"/>
          <w:highlight w:val="none"/>
        </w:rPr>
        <w:t>作为预付款，</w:t>
      </w:r>
      <w:r>
        <w:rPr>
          <w:rFonts w:hint="eastAsia" w:hAnsi="宋体" w:cs="宋体"/>
          <w:color w:val="auto"/>
          <w:sz w:val="21"/>
          <w:szCs w:val="21"/>
          <w:highlight w:val="none"/>
          <w:lang w:val="zh-CN"/>
        </w:rPr>
        <w:t>中标人同时提供预付款保函；项目出具中期</w:t>
      </w:r>
      <w:r>
        <w:rPr>
          <w:rFonts w:hint="eastAsia" w:hAnsi="宋体" w:cs="宋体"/>
          <w:bCs/>
          <w:color w:val="auto"/>
          <w:sz w:val="21"/>
          <w:szCs w:val="21"/>
          <w:highlight w:val="none"/>
        </w:rPr>
        <w:t>评估综合报告</w:t>
      </w:r>
      <w:r>
        <w:rPr>
          <w:rFonts w:hint="eastAsia" w:hAnsi="宋体" w:cs="宋体"/>
          <w:color w:val="auto"/>
          <w:sz w:val="21"/>
          <w:szCs w:val="21"/>
          <w:highlight w:val="none"/>
          <w:lang w:val="zh-CN"/>
        </w:rPr>
        <w:t>经</w:t>
      </w:r>
      <w:r>
        <w:rPr>
          <w:rFonts w:hint="eastAsia" w:hAnsi="宋体" w:cs="宋体"/>
          <w:color w:val="auto"/>
          <w:sz w:val="21"/>
          <w:szCs w:val="21"/>
          <w:highlight w:val="none"/>
        </w:rPr>
        <w:t>采购人</w:t>
      </w:r>
      <w:r>
        <w:rPr>
          <w:rFonts w:hint="eastAsia" w:hAnsi="宋体" w:cs="宋体"/>
          <w:color w:val="auto"/>
          <w:sz w:val="21"/>
          <w:szCs w:val="21"/>
          <w:highlight w:val="none"/>
          <w:lang w:val="zh-CN"/>
        </w:rPr>
        <w:t>验收合格后，</w:t>
      </w:r>
      <w:r>
        <w:rPr>
          <w:rFonts w:hint="eastAsia" w:hAnsi="宋体" w:cs="宋体"/>
          <w:color w:val="auto"/>
          <w:sz w:val="21"/>
          <w:szCs w:val="21"/>
          <w:highlight w:val="none"/>
        </w:rPr>
        <w:t>采购人</w:t>
      </w:r>
      <w:r>
        <w:rPr>
          <w:rFonts w:hint="eastAsia" w:hAnsi="宋体" w:cs="宋体"/>
          <w:color w:val="auto"/>
          <w:sz w:val="21"/>
          <w:szCs w:val="21"/>
          <w:highlight w:val="none"/>
          <w:lang w:val="zh-CN"/>
        </w:rPr>
        <w:t>向</w:t>
      </w:r>
      <w:r>
        <w:rPr>
          <w:rFonts w:hint="eastAsia" w:hAnsi="宋体" w:cs="宋体"/>
          <w:color w:val="auto"/>
          <w:sz w:val="21"/>
          <w:szCs w:val="21"/>
          <w:highlight w:val="none"/>
          <w:lang w:eastAsia="zh-CN"/>
        </w:rPr>
        <w:t>中标人</w:t>
      </w:r>
      <w:r>
        <w:rPr>
          <w:rFonts w:hint="eastAsia" w:hAnsi="宋体" w:cs="宋体"/>
          <w:color w:val="auto"/>
          <w:sz w:val="21"/>
          <w:szCs w:val="21"/>
          <w:highlight w:val="none"/>
          <w:lang w:val="zh-CN"/>
        </w:rPr>
        <w:t>支付合同</w:t>
      </w:r>
      <w:r>
        <w:rPr>
          <w:rFonts w:hint="eastAsia" w:hAnsi="宋体" w:cs="宋体"/>
          <w:color w:val="auto"/>
          <w:sz w:val="21"/>
          <w:szCs w:val="21"/>
          <w:highlight w:val="none"/>
        </w:rPr>
        <w:t>30%服务费；</w:t>
      </w:r>
      <w:r>
        <w:rPr>
          <w:rFonts w:hint="eastAsia" w:hAnsi="宋体" w:cs="宋体"/>
          <w:color w:val="auto"/>
          <w:sz w:val="21"/>
          <w:szCs w:val="21"/>
          <w:highlight w:val="none"/>
          <w:lang w:val="zh-CN"/>
        </w:rPr>
        <w:t>全部完成并</w:t>
      </w:r>
      <w:r>
        <w:rPr>
          <w:rFonts w:hint="eastAsia" w:hAnsi="宋体" w:cs="宋体"/>
          <w:color w:val="auto"/>
          <w:sz w:val="21"/>
          <w:szCs w:val="21"/>
          <w:highlight w:val="none"/>
        </w:rPr>
        <w:t>出具</w:t>
      </w:r>
      <w:r>
        <w:rPr>
          <w:rFonts w:hint="eastAsia" w:hAnsi="宋体" w:cs="宋体"/>
          <w:bCs/>
          <w:color w:val="auto"/>
          <w:sz w:val="21"/>
          <w:szCs w:val="21"/>
          <w:highlight w:val="none"/>
        </w:rPr>
        <w:t>终期评估综合报告</w:t>
      </w:r>
      <w:r>
        <w:rPr>
          <w:rFonts w:hint="eastAsia" w:hAnsi="宋体" w:cs="宋体"/>
          <w:color w:val="auto"/>
          <w:sz w:val="21"/>
          <w:szCs w:val="21"/>
          <w:highlight w:val="none"/>
          <w:lang w:val="zh-CN"/>
        </w:rPr>
        <w:t>经</w:t>
      </w:r>
      <w:r>
        <w:rPr>
          <w:rFonts w:hint="eastAsia" w:hAnsi="宋体" w:cs="宋体"/>
          <w:color w:val="auto"/>
          <w:sz w:val="21"/>
          <w:szCs w:val="21"/>
          <w:highlight w:val="none"/>
        </w:rPr>
        <w:t>采购人</w:t>
      </w:r>
      <w:r>
        <w:rPr>
          <w:rFonts w:hint="eastAsia" w:hAnsi="宋体" w:cs="宋体"/>
          <w:color w:val="auto"/>
          <w:sz w:val="21"/>
          <w:szCs w:val="21"/>
          <w:highlight w:val="none"/>
          <w:lang w:val="zh-CN"/>
        </w:rPr>
        <w:t>验收合格后，</w:t>
      </w:r>
      <w:r>
        <w:rPr>
          <w:rFonts w:hint="eastAsia" w:hAnsi="宋体" w:cs="宋体"/>
          <w:color w:val="auto"/>
          <w:sz w:val="21"/>
          <w:szCs w:val="21"/>
          <w:highlight w:val="none"/>
        </w:rPr>
        <w:t>采购人</w:t>
      </w:r>
      <w:r>
        <w:rPr>
          <w:rFonts w:hint="eastAsia" w:hAnsi="宋体" w:cs="宋体"/>
          <w:color w:val="auto"/>
          <w:sz w:val="21"/>
          <w:szCs w:val="21"/>
          <w:highlight w:val="none"/>
          <w:lang w:val="zh-CN"/>
        </w:rPr>
        <w:t>向</w:t>
      </w:r>
      <w:r>
        <w:rPr>
          <w:rFonts w:hint="eastAsia" w:hAnsi="宋体" w:cs="宋体"/>
          <w:color w:val="auto"/>
          <w:sz w:val="21"/>
          <w:szCs w:val="21"/>
          <w:highlight w:val="none"/>
          <w:lang w:eastAsia="zh-CN"/>
        </w:rPr>
        <w:t>中标人</w:t>
      </w:r>
      <w:r>
        <w:rPr>
          <w:rFonts w:hint="eastAsia" w:hAnsi="宋体" w:cs="宋体"/>
          <w:color w:val="auto"/>
          <w:sz w:val="21"/>
          <w:szCs w:val="21"/>
          <w:highlight w:val="none"/>
          <w:lang w:val="zh-CN"/>
        </w:rPr>
        <w:t>支付合同剩余服务费，若有未完成内容，在末期支付中予以相应扣除服务费。</w:t>
      </w:r>
    </w:p>
    <w:p w14:paraId="505560BD">
      <w:pPr>
        <w:numPr>
          <w:ilvl w:val="255"/>
          <w:numId w:val="0"/>
        </w:numPr>
        <w:snapToGrid w:val="0"/>
        <w:spacing w:line="500" w:lineRule="exact"/>
        <w:ind w:firstLine="420" w:firstLineChars="200"/>
        <w:rPr>
          <w:rFonts w:hint="eastAsia" w:hAnsi="宋体" w:cs="宋体"/>
          <w:color w:val="auto"/>
          <w:sz w:val="21"/>
          <w:szCs w:val="21"/>
          <w:highlight w:val="none"/>
          <w:lang w:val="zh-CN"/>
        </w:rPr>
      </w:pPr>
      <w:r>
        <w:rPr>
          <w:rFonts w:hint="eastAsia" w:hAnsi="宋体" w:cs="宋体"/>
          <w:color w:val="auto"/>
          <w:sz w:val="21"/>
          <w:szCs w:val="21"/>
          <w:highlight w:val="none"/>
        </w:rPr>
        <w:t>2.结算服务经费时，</w:t>
      </w:r>
      <w:r>
        <w:rPr>
          <w:rFonts w:hint="eastAsia" w:hAnsi="宋体" w:cs="宋体"/>
          <w:color w:val="auto"/>
          <w:sz w:val="21"/>
          <w:szCs w:val="21"/>
          <w:highlight w:val="none"/>
          <w:lang w:eastAsia="zh-CN"/>
        </w:rPr>
        <w:t>中标人</w:t>
      </w:r>
      <w:r>
        <w:rPr>
          <w:rFonts w:hint="eastAsia" w:hAnsi="宋体" w:cs="宋体"/>
          <w:color w:val="auto"/>
          <w:sz w:val="21"/>
          <w:szCs w:val="21"/>
          <w:highlight w:val="none"/>
          <w:lang w:val="zh-CN"/>
        </w:rPr>
        <w:t>须开</w:t>
      </w:r>
      <w:r>
        <w:rPr>
          <w:rFonts w:hint="eastAsia" w:hAnsi="宋体" w:cs="宋体"/>
          <w:color w:val="auto"/>
          <w:sz w:val="21"/>
          <w:szCs w:val="21"/>
          <w:highlight w:val="none"/>
        </w:rPr>
        <w:t>具</w:t>
      </w:r>
      <w:r>
        <w:rPr>
          <w:rFonts w:hint="eastAsia" w:hAnsi="宋体" w:cs="宋体"/>
          <w:color w:val="auto"/>
          <w:sz w:val="21"/>
          <w:szCs w:val="21"/>
          <w:highlight w:val="none"/>
          <w:lang w:val="zh-CN"/>
        </w:rPr>
        <w:t>有效的发票给</w:t>
      </w:r>
      <w:r>
        <w:rPr>
          <w:rFonts w:hint="eastAsia" w:hAnsi="宋体" w:cs="宋体"/>
          <w:color w:val="auto"/>
          <w:sz w:val="21"/>
          <w:szCs w:val="21"/>
          <w:highlight w:val="none"/>
        </w:rPr>
        <w:t>采购人</w:t>
      </w:r>
      <w:r>
        <w:rPr>
          <w:rFonts w:hint="eastAsia" w:hAnsi="宋体" w:cs="宋体"/>
          <w:color w:val="auto"/>
          <w:sz w:val="21"/>
          <w:szCs w:val="21"/>
          <w:highlight w:val="none"/>
          <w:lang w:val="zh-CN"/>
        </w:rPr>
        <w:t>。</w:t>
      </w:r>
    </w:p>
    <w:p w14:paraId="150C9C47">
      <w:pPr>
        <w:numPr>
          <w:ilvl w:val="255"/>
          <w:numId w:val="0"/>
        </w:numPr>
        <w:snapToGrid w:val="0"/>
        <w:spacing w:line="500" w:lineRule="exact"/>
        <w:ind w:firstLine="420" w:firstLineChars="200"/>
        <w:rPr>
          <w:rFonts w:hint="eastAsia" w:hAnsi="宋体" w:cs="宋体"/>
          <w:color w:val="auto"/>
          <w:sz w:val="21"/>
          <w:szCs w:val="21"/>
          <w:highlight w:val="none"/>
        </w:rPr>
      </w:pPr>
      <w:r>
        <w:rPr>
          <w:rFonts w:hint="eastAsia" w:hAnsi="宋体" w:cs="宋体"/>
          <w:bCs/>
          <w:color w:val="auto"/>
          <w:sz w:val="21"/>
          <w:szCs w:val="21"/>
          <w:highlight w:val="none"/>
        </w:rPr>
        <w:t>备注：①如在签订合同时，中标人明确表示无需预付款或者主动要求降低预付款比例的，可降低预付款比例。②</w:t>
      </w:r>
      <w:r>
        <w:rPr>
          <w:rFonts w:hint="eastAsia" w:hAnsi="宋体" w:cs="宋体"/>
          <w:color w:val="auto"/>
          <w:sz w:val="21"/>
          <w:szCs w:val="21"/>
          <w:highlight w:val="none"/>
        </w:rPr>
        <w:t>若联合体单位中标，联合体各方应当共同与采购人签订采购合同，联合体协议及合同中应明确联合体各方职责、费用，并就采购合同约定的事项对采购人承担连带责任。采购人与中标人之间的经济往来均由采购人和联合体牵头人之间进行，采购人不再与联合体的非牵头人发生任何经济往来。联合体内部的经济往来由联合体各方自行协商解决。</w:t>
      </w:r>
      <w:r>
        <w:rPr>
          <w:rFonts w:hint="eastAsia" w:hAnsi="宋体" w:cs="宋体"/>
          <w:bCs/>
          <w:color w:val="auto"/>
          <w:sz w:val="21"/>
          <w:szCs w:val="21"/>
          <w:highlight w:val="none"/>
        </w:rPr>
        <w:t>③</w:t>
      </w:r>
      <w:r>
        <w:rPr>
          <w:rFonts w:hint="eastAsia" w:hAnsi="宋体" w:cs="宋体"/>
          <w:bCs/>
          <w:color w:val="auto"/>
          <w:sz w:val="21"/>
          <w:szCs w:val="21"/>
          <w:highlight w:val="none"/>
          <w:lang w:val="zh-CN"/>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w:t>
      </w:r>
      <w:r>
        <w:rPr>
          <w:rFonts w:hint="eastAsia" w:hAnsi="宋体" w:cs="宋体"/>
          <w:bCs/>
          <w:color w:val="auto"/>
          <w:sz w:val="21"/>
          <w:szCs w:val="21"/>
          <w:highlight w:val="none"/>
        </w:rPr>
        <w:t>3</w:t>
      </w:r>
      <w:r>
        <w:rPr>
          <w:rFonts w:hint="eastAsia" w:hAnsi="宋体" w:cs="宋体"/>
          <w:bCs/>
          <w:color w:val="auto"/>
          <w:sz w:val="21"/>
          <w:szCs w:val="21"/>
          <w:highlight w:val="none"/>
          <w:lang w:val="zh-CN"/>
        </w:rPr>
        <w:t>。</w:t>
      </w:r>
    </w:p>
    <w:p w14:paraId="4C1EFFEA">
      <w:pPr>
        <w:rPr>
          <w:rFonts w:hint="eastAsia" w:hAnsi="宋体" w:cs="宋体"/>
          <w:color w:val="auto"/>
          <w:sz w:val="30"/>
          <w:szCs w:val="30"/>
          <w:highlight w:val="none"/>
        </w:rPr>
      </w:pPr>
      <w:r>
        <w:rPr>
          <w:rFonts w:hint="eastAsia" w:hAnsi="宋体" w:cs="宋体"/>
          <w:color w:val="auto"/>
          <w:sz w:val="30"/>
          <w:szCs w:val="30"/>
          <w:highlight w:val="none"/>
        </w:rPr>
        <w:br w:type="page"/>
      </w:r>
    </w:p>
    <w:p w14:paraId="00283CDE">
      <w:pPr>
        <w:pStyle w:val="2"/>
        <w:keepNext w:val="0"/>
        <w:spacing w:line="46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第三章  投标人须知</w:t>
      </w:r>
      <w:bookmarkEnd w:id="36"/>
    </w:p>
    <w:p w14:paraId="7D954FC7">
      <w:pPr>
        <w:pStyle w:val="2"/>
        <w:spacing w:line="460" w:lineRule="exact"/>
        <w:jc w:val="center"/>
        <w:rPr>
          <w:rFonts w:hint="eastAsia" w:ascii="宋体" w:hAnsi="宋体" w:cs="宋体"/>
          <w:color w:val="auto"/>
          <w:sz w:val="30"/>
          <w:szCs w:val="30"/>
          <w:highlight w:val="none"/>
        </w:rPr>
      </w:pPr>
      <w:bookmarkStart w:id="37" w:name="_Toc351559943"/>
      <w:r>
        <w:rPr>
          <w:rFonts w:hint="eastAsia" w:ascii="宋体" w:hAnsi="宋体" w:cs="宋体"/>
          <w:color w:val="auto"/>
          <w:sz w:val="30"/>
          <w:szCs w:val="30"/>
          <w:highlight w:val="none"/>
        </w:rPr>
        <w:t>前附表</w:t>
      </w:r>
      <w:bookmarkEnd w:id="37"/>
    </w:p>
    <w:tbl>
      <w:tblPr>
        <w:tblStyle w:val="46"/>
        <w:tblW w:w="93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503"/>
        <w:gridCol w:w="6085"/>
      </w:tblGrid>
      <w:tr w14:paraId="7E932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88" w:type="dxa"/>
            <w:tcBorders>
              <w:top w:val="single" w:color="auto" w:sz="4" w:space="0"/>
              <w:left w:val="single" w:color="auto" w:sz="4" w:space="0"/>
              <w:bottom w:val="single" w:color="auto" w:sz="4" w:space="0"/>
              <w:right w:val="single" w:color="auto" w:sz="4" w:space="0"/>
            </w:tcBorders>
            <w:vAlign w:val="center"/>
          </w:tcPr>
          <w:p w14:paraId="099C0003">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2D0F0621">
            <w:pPr>
              <w:snapToGrid w:val="0"/>
              <w:spacing w:line="460" w:lineRule="exact"/>
              <w:ind w:firstLine="2940" w:firstLineChars="1400"/>
              <w:rPr>
                <w:rFonts w:hint="eastAsia" w:hAnsi="宋体" w:cs="宋体"/>
                <w:color w:val="auto"/>
                <w:sz w:val="21"/>
                <w:szCs w:val="21"/>
                <w:highlight w:val="none"/>
              </w:rPr>
            </w:pPr>
            <w:r>
              <w:rPr>
                <w:rFonts w:hint="eastAsia" w:hAnsi="宋体" w:cs="宋体"/>
                <w:color w:val="auto"/>
                <w:sz w:val="21"/>
                <w:szCs w:val="21"/>
                <w:highlight w:val="none"/>
              </w:rPr>
              <w:t>内容、要求</w:t>
            </w:r>
          </w:p>
        </w:tc>
      </w:tr>
      <w:tr w14:paraId="50653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88" w:type="dxa"/>
            <w:tcBorders>
              <w:top w:val="single" w:color="auto" w:sz="4" w:space="0"/>
              <w:left w:val="single" w:color="auto" w:sz="4" w:space="0"/>
              <w:bottom w:val="single" w:color="auto" w:sz="4" w:space="0"/>
              <w:right w:val="single" w:color="auto" w:sz="4" w:space="0"/>
            </w:tcBorders>
            <w:vAlign w:val="center"/>
          </w:tcPr>
          <w:p w14:paraId="17CE95E9">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11A7EC16">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项目名称：婺城区公益创投督导、社会组织培育赋能、助联体运行服务项目</w:t>
            </w:r>
          </w:p>
        </w:tc>
      </w:tr>
      <w:tr w14:paraId="18167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tcBorders>
              <w:top w:val="single" w:color="auto" w:sz="4" w:space="0"/>
              <w:left w:val="single" w:color="auto" w:sz="4" w:space="0"/>
              <w:bottom w:val="single" w:color="auto" w:sz="4" w:space="0"/>
              <w:right w:val="single" w:color="auto" w:sz="4" w:space="0"/>
            </w:tcBorders>
            <w:vAlign w:val="center"/>
          </w:tcPr>
          <w:p w14:paraId="28E1D93C">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2</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3BEE44B6">
            <w:pPr>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投标报价及费用：</w:t>
            </w:r>
          </w:p>
          <w:p w14:paraId="4970DD44">
            <w:pPr>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1.本项目投标应以人民币报价</w:t>
            </w:r>
            <w:r>
              <w:rPr>
                <w:rFonts w:hint="eastAsia" w:hAnsi="宋体" w:cs="宋体"/>
                <w:color w:val="auto"/>
                <w:sz w:val="21"/>
                <w:szCs w:val="21"/>
                <w:highlight w:val="none"/>
              </w:rPr>
              <w:t>。</w:t>
            </w:r>
          </w:p>
          <w:p w14:paraId="186AAA9F">
            <w:pPr>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2.不论投标结果如何，投标人均应自行承担所有与投标有关的全部费用；</w:t>
            </w:r>
          </w:p>
          <w:p w14:paraId="74341CBE">
            <w:pPr>
              <w:snapToGrid w:val="0"/>
              <w:spacing w:line="460" w:lineRule="exact"/>
              <w:rPr>
                <w:rFonts w:hint="eastAsia" w:hAnsi="宋体" w:cs="宋体"/>
                <w:b/>
                <w:color w:val="auto"/>
                <w:sz w:val="21"/>
                <w:szCs w:val="21"/>
                <w:highlight w:val="none"/>
              </w:rPr>
            </w:pPr>
            <w:r>
              <w:rPr>
                <w:rFonts w:hint="eastAsia" w:hAnsi="宋体" w:cs="宋体"/>
                <w:b/>
                <w:color w:val="auto"/>
                <w:sz w:val="21"/>
                <w:szCs w:val="21"/>
                <w:highlight w:val="none"/>
              </w:rPr>
              <w:t>3.投标人取得中标资格后，须参照原国家计委的计价格（2002）1980号《关于招标代理服务收费管理暂行办法的通知》文件规定的标准向采购代理机构支付代理服务费（</w:t>
            </w:r>
            <w:r>
              <w:rPr>
                <w:rStyle w:val="67"/>
                <w:rFonts w:hint="eastAsia" w:ascii="宋体" w:hAnsi="宋体" w:cs="宋体"/>
                <w:b/>
                <w:color w:val="auto"/>
                <w:szCs w:val="21"/>
                <w:highlight w:val="none"/>
              </w:rPr>
              <w:t>服务费计算费率：100万元以内部分按1.5%计算）</w:t>
            </w:r>
            <w:r>
              <w:rPr>
                <w:rStyle w:val="67"/>
                <w:rFonts w:hint="eastAsia" w:hAnsi="宋体" w:cs="宋体"/>
                <w:b/>
                <w:color w:val="auto"/>
                <w:szCs w:val="21"/>
                <w:highlight w:val="none"/>
              </w:rPr>
              <w:t>。</w:t>
            </w:r>
            <w:r>
              <w:rPr>
                <w:rFonts w:hint="eastAsia" w:hAnsi="宋体" w:cs="宋体"/>
                <w:b/>
                <w:color w:val="auto"/>
                <w:sz w:val="21"/>
                <w:szCs w:val="21"/>
                <w:highlight w:val="none"/>
              </w:rPr>
              <w:t>中标人在收到中标通知书的同时向招标代理机构以银行转账等形式支付采购代理服务费：</w:t>
            </w:r>
          </w:p>
          <w:p w14:paraId="291FD602">
            <w:pPr>
              <w:snapToGrid w:val="0"/>
              <w:spacing w:line="460" w:lineRule="exact"/>
              <w:rPr>
                <w:rFonts w:hint="eastAsia" w:hAnsi="宋体" w:cs="宋体"/>
                <w:b/>
                <w:color w:val="auto"/>
                <w:sz w:val="21"/>
                <w:szCs w:val="21"/>
                <w:highlight w:val="none"/>
              </w:rPr>
            </w:pPr>
            <w:r>
              <w:rPr>
                <w:rFonts w:hint="eastAsia" w:hAnsi="宋体" w:cs="宋体"/>
                <w:b/>
                <w:color w:val="auto"/>
                <w:sz w:val="21"/>
                <w:szCs w:val="21"/>
                <w:highlight w:val="none"/>
              </w:rPr>
              <w:t>户名：金华市天盈招标代理有限公司</w:t>
            </w:r>
          </w:p>
          <w:p w14:paraId="50F37175">
            <w:pPr>
              <w:snapToGrid w:val="0"/>
              <w:spacing w:line="460" w:lineRule="exact"/>
              <w:rPr>
                <w:rFonts w:hint="eastAsia" w:hAnsi="宋体" w:cs="宋体"/>
                <w:b/>
                <w:color w:val="auto"/>
                <w:sz w:val="21"/>
                <w:szCs w:val="21"/>
                <w:highlight w:val="none"/>
              </w:rPr>
            </w:pPr>
            <w:r>
              <w:rPr>
                <w:rFonts w:hint="eastAsia" w:hAnsi="宋体" w:cs="宋体"/>
                <w:b/>
                <w:color w:val="auto"/>
                <w:sz w:val="21"/>
                <w:szCs w:val="21"/>
                <w:highlight w:val="none"/>
              </w:rPr>
              <w:t xml:space="preserve">开户行：杭州银行股份有限公司金华分行  </w:t>
            </w:r>
          </w:p>
          <w:p w14:paraId="73613257">
            <w:pPr>
              <w:snapToGrid w:val="0"/>
              <w:spacing w:line="460" w:lineRule="exact"/>
              <w:rPr>
                <w:rFonts w:hint="eastAsia" w:hAnsi="宋体" w:cs="宋体"/>
                <w:b/>
                <w:color w:val="auto"/>
                <w:sz w:val="21"/>
                <w:szCs w:val="21"/>
                <w:highlight w:val="none"/>
              </w:rPr>
            </w:pPr>
            <w:r>
              <w:rPr>
                <w:rFonts w:hint="eastAsia" w:hAnsi="宋体" w:cs="宋体"/>
                <w:b/>
                <w:color w:val="auto"/>
                <w:sz w:val="21"/>
                <w:szCs w:val="21"/>
                <w:highlight w:val="none"/>
              </w:rPr>
              <w:t>账  号： 3307041060000093980</w:t>
            </w:r>
          </w:p>
          <w:p w14:paraId="64418329">
            <w:pPr>
              <w:snapToGrid w:val="0"/>
              <w:spacing w:line="460" w:lineRule="exact"/>
              <w:rPr>
                <w:rFonts w:hint="eastAsia" w:hAnsi="宋体" w:cs="宋体"/>
                <w:b/>
                <w:bCs/>
                <w:color w:val="auto"/>
                <w:sz w:val="21"/>
                <w:szCs w:val="21"/>
                <w:highlight w:val="none"/>
              </w:rPr>
            </w:pPr>
            <w:r>
              <w:rPr>
                <w:rFonts w:hint="eastAsia" w:hAnsi="宋体" w:cs="宋体"/>
                <w:b/>
                <w:color w:val="auto"/>
                <w:sz w:val="21"/>
                <w:szCs w:val="21"/>
                <w:highlight w:val="none"/>
              </w:rPr>
              <w:t>行  号： 313338062027（汇款用途请注明“采购代理服务费”及项目编号）</w:t>
            </w:r>
          </w:p>
        </w:tc>
      </w:tr>
      <w:tr w14:paraId="7E424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4ECC7D12">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3</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130C4EAB">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2FF08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47272DBC">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4</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40B6D514">
            <w:pPr>
              <w:widowControl/>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政策落实：</w:t>
            </w:r>
          </w:p>
          <w:p w14:paraId="3DD462B4">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14:paraId="547CF4C4">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194617F">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（1）项目预算：</w:t>
            </w:r>
            <w:r>
              <w:rPr>
                <w:rFonts w:hint="eastAsia" w:hAnsi="宋体" w:cs="宋体"/>
                <w:color w:val="auto"/>
                <w:sz w:val="21"/>
                <w:szCs w:val="21"/>
                <w:highlight w:val="none"/>
                <w:u w:val="single"/>
              </w:rPr>
              <w:t>75万元</w:t>
            </w:r>
          </w:p>
          <w:p w14:paraId="627EC36A">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 xml:space="preserve"> ②   </w:t>
            </w:r>
            <w:r>
              <w:rPr>
                <w:rFonts w:hint="eastAsia" w:hAnsi="宋体" w:cs="宋体"/>
                <w:color w:val="auto"/>
                <w:sz w:val="21"/>
                <w:szCs w:val="21"/>
                <w:highlight w:val="none"/>
              </w:rPr>
              <w:t>（①货物类/②服务类/③工程类）</w:t>
            </w:r>
          </w:p>
          <w:p w14:paraId="5EBE79B9">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（3）项目对应的中小企业划分标准所属行业：</w:t>
            </w:r>
            <w:r>
              <w:rPr>
                <w:rFonts w:hint="eastAsia" w:hAnsi="宋体" w:cs="宋体"/>
                <w:color w:val="auto"/>
                <w:sz w:val="21"/>
                <w:szCs w:val="21"/>
                <w:highlight w:val="none"/>
                <w:u w:val="single"/>
              </w:rPr>
              <w:t xml:space="preserve">“其他未列明行业”  </w:t>
            </w:r>
            <w:r>
              <w:rPr>
                <w:rFonts w:hint="eastAsia" w:hAnsi="宋体" w:cs="宋体"/>
                <w:color w:val="auto"/>
                <w:sz w:val="21"/>
                <w:szCs w:val="21"/>
                <w:highlight w:val="none"/>
              </w:rPr>
              <w:t>（具体根据《中小企业划型标准规定》执行）</w:t>
            </w:r>
          </w:p>
          <w:p w14:paraId="0FAE11E0">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（4）本项目</w:t>
            </w:r>
            <w:r>
              <w:rPr>
                <w:rFonts w:hint="eastAsia" w:hAnsi="宋体" w:cs="宋体"/>
                <w:color w:val="auto"/>
                <w:sz w:val="21"/>
                <w:szCs w:val="21"/>
                <w:highlight w:val="none"/>
                <w:u w:val="single"/>
              </w:rPr>
              <w:t xml:space="preserve">  否  </w:t>
            </w:r>
            <w:r>
              <w:rPr>
                <w:rFonts w:hint="eastAsia" w:hAnsi="宋体" w:cs="宋体"/>
                <w:color w:val="auto"/>
                <w:sz w:val="21"/>
                <w:szCs w:val="21"/>
                <w:highlight w:val="none"/>
              </w:rPr>
              <w:t>（是/否）属于预留份额专门面向中小企业采购的项目。</w:t>
            </w:r>
          </w:p>
          <w:p w14:paraId="6DE38E00">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（5）对于经主管预算单位统筹后未预留份额专门面向中小企业采购的采购项目，以及预留份额项目中的非预留部分采购包，对小微企业报价给予10%的扣除，用扣除后的价格参加评审。 </w:t>
            </w:r>
          </w:p>
          <w:p w14:paraId="65CA501F">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color w:val="auto"/>
                <w:sz w:val="21"/>
                <w:szCs w:val="21"/>
                <w:highlight w:val="none"/>
                <w:u w:val="single"/>
              </w:rPr>
              <w:t>4%</w:t>
            </w:r>
            <w:r>
              <w:rPr>
                <w:rFonts w:hint="eastAsia" w:hAnsi="宋体" w:cs="宋体"/>
                <w:color w:val="auto"/>
                <w:sz w:val="21"/>
                <w:szCs w:val="21"/>
                <w:highlight w:val="none"/>
              </w:rPr>
              <w:t>的扣除，用扣除后的价格参加评审。</w:t>
            </w:r>
          </w:p>
          <w:p w14:paraId="66970CF3">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2.节能产品、环境标志产品的强制采购政策</w:t>
            </w:r>
          </w:p>
          <w:p w14:paraId="0E20ECAB">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（注：本项目不适用。）</w:t>
            </w:r>
          </w:p>
          <w:p w14:paraId="26CE3D03">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3.节能产品、环境标志产品的优先采购政策</w:t>
            </w:r>
          </w:p>
          <w:p w14:paraId="5EEEBD57">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（注：本项目不适用。）</w:t>
            </w:r>
          </w:p>
        </w:tc>
      </w:tr>
      <w:tr w14:paraId="3E187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446E0EDA">
            <w:pPr>
              <w:snapToGrid w:val="0"/>
              <w:spacing w:line="440" w:lineRule="exact"/>
              <w:jc w:val="center"/>
              <w:rPr>
                <w:rFonts w:hint="eastAsia" w:hAnsi="宋体" w:cs="宋体"/>
                <w:color w:val="auto"/>
                <w:sz w:val="21"/>
                <w:szCs w:val="21"/>
                <w:highlight w:val="none"/>
              </w:rPr>
            </w:pPr>
            <w:r>
              <w:rPr>
                <w:rFonts w:hint="eastAsia" w:hAnsi="宋体" w:cs="宋体"/>
                <w:color w:val="auto"/>
                <w:sz w:val="21"/>
                <w:szCs w:val="21"/>
                <w:highlight w:val="none"/>
              </w:rPr>
              <w:t>5</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382A1DE9">
            <w:pPr>
              <w:snapToGrid w:val="0"/>
              <w:spacing w:line="460" w:lineRule="exact"/>
              <w:rPr>
                <w:rFonts w:hint="eastAsia" w:hAnsi="宋体" w:cs="宋体"/>
                <w:color w:val="auto"/>
                <w:sz w:val="21"/>
                <w:szCs w:val="21"/>
                <w:highlight w:val="none"/>
              </w:rPr>
            </w:pPr>
            <w:r>
              <w:rPr>
                <w:rFonts w:hint="eastAsia" w:hAnsi="宋体" w:cs="宋体"/>
                <w:b/>
                <w:bCs/>
                <w:color w:val="auto"/>
                <w:sz w:val="21"/>
                <w:szCs w:val="21"/>
                <w:highlight w:val="none"/>
              </w:rPr>
              <w:t>信用查询：</w:t>
            </w:r>
          </w:p>
          <w:p w14:paraId="3A0A6858">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14:paraId="53E1C9AB">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（1）招标人或采购代理机构将对本项目供应商的信用记录进行查询。查询渠道为信用中国网站（www.creditchina.gov.cn）、中国政府采购网（www.ccgp.gov.cn）；</w:t>
            </w:r>
          </w:p>
          <w:p w14:paraId="55223263">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14:paraId="75BCA22B">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14:paraId="5B2B1501">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332FB18">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w:t>
            </w:r>
          </w:p>
        </w:tc>
      </w:tr>
      <w:tr w14:paraId="4F2E7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44096C8A">
            <w:pPr>
              <w:snapToGrid w:val="0"/>
              <w:spacing w:line="440" w:lineRule="exact"/>
              <w:jc w:val="center"/>
              <w:rPr>
                <w:rFonts w:hint="eastAsia" w:hAnsi="宋体" w:cs="宋体"/>
                <w:color w:val="auto"/>
                <w:sz w:val="21"/>
                <w:szCs w:val="21"/>
                <w:highlight w:val="none"/>
              </w:rPr>
            </w:pPr>
            <w:r>
              <w:rPr>
                <w:rFonts w:hint="eastAsia" w:hAnsi="宋体" w:cs="宋体"/>
                <w:color w:val="auto"/>
                <w:sz w:val="21"/>
                <w:szCs w:val="21"/>
                <w:highlight w:val="none"/>
              </w:rPr>
              <w:t>6</w:t>
            </w:r>
          </w:p>
        </w:tc>
        <w:tc>
          <w:tcPr>
            <w:tcW w:w="2503" w:type="dxa"/>
            <w:tcBorders>
              <w:top w:val="single" w:color="auto" w:sz="4" w:space="0"/>
              <w:left w:val="single" w:color="auto" w:sz="4" w:space="0"/>
              <w:bottom w:val="single" w:color="auto" w:sz="4" w:space="0"/>
              <w:right w:val="single" w:color="auto" w:sz="4" w:space="0"/>
            </w:tcBorders>
            <w:vAlign w:val="center"/>
          </w:tcPr>
          <w:p w14:paraId="616B4716">
            <w:pPr>
              <w:snapToGrid w:val="0"/>
              <w:spacing w:line="460" w:lineRule="exact"/>
              <w:rPr>
                <w:rFonts w:hint="eastAsia" w:hAnsi="宋体" w:cs="宋体"/>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085" w:type="dxa"/>
            <w:tcBorders>
              <w:top w:val="single" w:color="auto" w:sz="4" w:space="0"/>
              <w:left w:val="single" w:color="auto" w:sz="4" w:space="0"/>
              <w:bottom w:val="single" w:color="auto" w:sz="4" w:space="0"/>
              <w:right w:val="single" w:color="auto" w:sz="4" w:space="0"/>
            </w:tcBorders>
            <w:vAlign w:val="center"/>
          </w:tcPr>
          <w:p w14:paraId="3FB32744">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根据《关于印发中小企业划型标准规定的通知》（工信部联企业〔2011〕300号），本项目</w:t>
            </w:r>
            <w:r>
              <w:rPr>
                <w:rFonts w:hint="eastAsia" w:hAnsi="宋体" w:cs="宋体"/>
                <w:snapToGrid w:val="0"/>
                <w:color w:val="auto"/>
                <w:sz w:val="21"/>
                <w:szCs w:val="21"/>
                <w:highlight w:val="none"/>
              </w:rPr>
              <w:t>对应的中小企业</w:t>
            </w:r>
            <w:r>
              <w:rPr>
                <w:rFonts w:hint="eastAsia" w:hAnsi="宋体" w:cs="宋体"/>
                <w:color w:val="auto"/>
                <w:sz w:val="21"/>
                <w:szCs w:val="21"/>
                <w:highlight w:val="none"/>
              </w:rPr>
              <w:t>按所属行业为</w:t>
            </w:r>
            <w:r>
              <w:rPr>
                <w:rFonts w:hint="eastAsia" w:hAnsi="宋体" w:cs="宋体"/>
                <w:color w:val="auto"/>
                <w:sz w:val="21"/>
                <w:szCs w:val="21"/>
                <w:highlight w:val="none"/>
                <w:u w:val="single"/>
              </w:rPr>
              <w:t>“其他未列明行业</w:t>
            </w:r>
            <w:r>
              <w:rPr>
                <w:rFonts w:hint="eastAsia" w:hAnsi="宋体" w:cs="宋体"/>
                <w:color w:val="auto"/>
                <w:sz w:val="21"/>
                <w:szCs w:val="21"/>
                <w:highlight w:val="none"/>
              </w:rPr>
              <w:t>”。</w:t>
            </w:r>
          </w:p>
        </w:tc>
      </w:tr>
      <w:tr w14:paraId="1CD0B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635A1738">
            <w:pPr>
              <w:snapToGrid w:val="0"/>
              <w:spacing w:line="440" w:lineRule="exact"/>
              <w:jc w:val="center"/>
              <w:rPr>
                <w:rFonts w:hint="eastAsia" w:hAnsi="宋体" w:cs="宋体"/>
                <w:color w:val="auto"/>
                <w:sz w:val="21"/>
                <w:szCs w:val="21"/>
                <w:highlight w:val="none"/>
              </w:rPr>
            </w:pPr>
            <w:r>
              <w:rPr>
                <w:rFonts w:hint="eastAsia" w:hAnsi="宋体" w:cs="宋体"/>
                <w:color w:val="auto"/>
                <w:sz w:val="21"/>
                <w:szCs w:val="21"/>
                <w:highlight w:val="none"/>
              </w:rPr>
              <w:t>7</w:t>
            </w:r>
          </w:p>
        </w:tc>
        <w:tc>
          <w:tcPr>
            <w:tcW w:w="2503" w:type="dxa"/>
            <w:tcBorders>
              <w:top w:val="single" w:color="auto" w:sz="4" w:space="0"/>
              <w:left w:val="single" w:color="auto" w:sz="4" w:space="0"/>
              <w:bottom w:val="single" w:color="auto" w:sz="4" w:space="0"/>
              <w:right w:val="single" w:color="auto" w:sz="4" w:space="0"/>
            </w:tcBorders>
            <w:vAlign w:val="center"/>
          </w:tcPr>
          <w:p w14:paraId="5A53D07E">
            <w:pPr>
              <w:snapToGrid w:val="0"/>
              <w:spacing w:line="460" w:lineRule="exact"/>
              <w:rPr>
                <w:rFonts w:hint="eastAsia" w:hAnsi="宋体" w:cs="宋体"/>
                <w:color w:val="auto"/>
                <w:sz w:val="21"/>
                <w:szCs w:val="21"/>
                <w:highlight w:val="none"/>
              </w:rPr>
            </w:pPr>
            <w:r>
              <w:rPr>
                <w:rFonts w:hint="eastAsia" w:hAnsi="宋体" w:cs="宋体"/>
                <w:snapToGrid w:val="0"/>
                <w:color w:val="auto"/>
                <w:sz w:val="21"/>
                <w:szCs w:val="21"/>
                <w:highlight w:val="none"/>
              </w:rPr>
              <w:t>节能产品</w:t>
            </w:r>
          </w:p>
        </w:tc>
        <w:tc>
          <w:tcPr>
            <w:tcW w:w="6085" w:type="dxa"/>
            <w:tcBorders>
              <w:top w:val="single" w:color="auto" w:sz="4" w:space="0"/>
              <w:left w:val="single" w:color="auto" w:sz="4" w:space="0"/>
              <w:bottom w:val="single" w:color="auto" w:sz="4" w:space="0"/>
              <w:right w:val="single" w:color="auto" w:sz="4" w:space="0"/>
            </w:tcBorders>
            <w:vAlign w:val="center"/>
          </w:tcPr>
          <w:p w14:paraId="1F132E1E">
            <w:pPr>
              <w:snapToGrid w:val="0"/>
              <w:spacing w:line="460" w:lineRule="exact"/>
              <w:rPr>
                <w:rFonts w:hint="eastAsia"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强制采购节能产品</w:t>
            </w:r>
          </w:p>
          <w:p w14:paraId="1B8362E8">
            <w:pPr>
              <w:pStyle w:val="111"/>
              <w:adjustRightInd w:val="0"/>
              <w:snapToGrid w:val="0"/>
              <w:spacing w:line="460" w:lineRule="exact"/>
              <w:jc w:val="left"/>
              <w:rPr>
                <w:rFonts w:hint="eastAsia" w:hAnsi="宋体" w:cs="宋体"/>
                <w:color w:val="auto"/>
                <w:kern w:val="2"/>
                <w:sz w:val="21"/>
                <w:highlight w:val="none"/>
              </w:rPr>
            </w:pPr>
            <w:r>
              <w:rPr>
                <w:rFonts w:hint="eastAsia" w:hAnsi="宋体" w:cs="宋体"/>
                <w:color w:val="auto"/>
                <w:kern w:val="2"/>
                <w:sz w:val="21"/>
                <w:highlight w:val="none"/>
              </w:rPr>
              <w:t>□ 优先采购节能产品</w:t>
            </w:r>
          </w:p>
          <w:p w14:paraId="48AA07E0">
            <w:pPr>
              <w:snapToGrid w:val="0"/>
              <w:spacing w:line="460" w:lineRule="exact"/>
              <w:rPr>
                <w:rFonts w:hint="eastAsia"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w:t>
            </w:r>
            <w:r>
              <w:rPr>
                <w:rFonts w:hint="eastAsia" w:hAnsi="宋体" w:cs="宋体"/>
                <w:color w:val="auto"/>
                <w:kern w:val="2"/>
                <w:sz w:val="21"/>
                <w:szCs w:val="21"/>
                <w:highlight w:val="none"/>
              </w:rPr>
              <w:t>不适用</w:t>
            </w:r>
          </w:p>
        </w:tc>
      </w:tr>
      <w:tr w14:paraId="6813B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6353CA1F">
            <w:pPr>
              <w:snapToGrid w:val="0"/>
              <w:spacing w:line="440" w:lineRule="exact"/>
              <w:jc w:val="center"/>
              <w:rPr>
                <w:rFonts w:hint="eastAsia" w:hAnsi="宋体" w:cs="宋体"/>
                <w:color w:val="auto"/>
                <w:sz w:val="21"/>
                <w:szCs w:val="21"/>
                <w:highlight w:val="none"/>
              </w:rPr>
            </w:pPr>
            <w:r>
              <w:rPr>
                <w:rFonts w:hint="eastAsia" w:hAnsi="宋体" w:cs="宋体"/>
                <w:color w:val="auto"/>
                <w:sz w:val="21"/>
                <w:szCs w:val="21"/>
                <w:highlight w:val="none"/>
              </w:rPr>
              <w:t>8</w:t>
            </w:r>
          </w:p>
        </w:tc>
        <w:tc>
          <w:tcPr>
            <w:tcW w:w="2503" w:type="dxa"/>
            <w:tcBorders>
              <w:top w:val="single" w:color="auto" w:sz="4" w:space="0"/>
              <w:left w:val="single" w:color="auto" w:sz="4" w:space="0"/>
              <w:bottom w:val="single" w:color="auto" w:sz="4" w:space="0"/>
              <w:right w:val="single" w:color="auto" w:sz="4" w:space="0"/>
            </w:tcBorders>
            <w:vAlign w:val="center"/>
          </w:tcPr>
          <w:p w14:paraId="0AB3CF25">
            <w:pPr>
              <w:snapToGrid w:val="0"/>
              <w:spacing w:line="460" w:lineRule="exact"/>
              <w:rPr>
                <w:rFonts w:hint="eastAsia" w:hAnsi="宋体" w:cs="宋体"/>
                <w:color w:val="auto"/>
                <w:sz w:val="21"/>
                <w:szCs w:val="21"/>
                <w:highlight w:val="none"/>
              </w:rPr>
            </w:pPr>
            <w:r>
              <w:rPr>
                <w:rFonts w:hint="eastAsia" w:hAnsi="宋体" w:cs="宋体"/>
                <w:snapToGrid w:val="0"/>
                <w:color w:val="auto"/>
                <w:sz w:val="21"/>
                <w:szCs w:val="21"/>
                <w:highlight w:val="none"/>
              </w:rPr>
              <w:t>环境标志产品</w:t>
            </w:r>
          </w:p>
        </w:tc>
        <w:tc>
          <w:tcPr>
            <w:tcW w:w="6085" w:type="dxa"/>
            <w:tcBorders>
              <w:top w:val="single" w:color="auto" w:sz="4" w:space="0"/>
              <w:left w:val="single" w:color="auto" w:sz="4" w:space="0"/>
              <w:bottom w:val="single" w:color="auto" w:sz="4" w:space="0"/>
              <w:right w:val="single" w:color="auto" w:sz="4" w:space="0"/>
            </w:tcBorders>
            <w:vAlign w:val="center"/>
          </w:tcPr>
          <w:p w14:paraId="12D7B87B">
            <w:pPr>
              <w:pStyle w:val="111"/>
              <w:adjustRightInd w:val="0"/>
              <w:snapToGrid w:val="0"/>
              <w:spacing w:line="460" w:lineRule="exact"/>
              <w:jc w:val="left"/>
              <w:rPr>
                <w:rFonts w:hint="eastAsia" w:hAnsi="宋体" w:cs="宋体"/>
                <w:color w:val="auto"/>
                <w:kern w:val="2"/>
                <w:sz w:val="21"/>
                <w:highlight w:val="none"/>
              </w:rPr>
            </w:pPr>
            <w:r>
              <w:rPr>
                <w:rFonts w:hint="eastAsia" w:hAnsi="宋体" w:cs="宋体"/>
                <w:color w:val="auto"/>
                <w:kern w:val="2"/>
                <w:sz w:val="21"/>
                <w:highlight w:val="none"/>
              </w:rPr>
              <w:t>□</w:t>
            </w:r>
            <w:r>
              <w:rPr>
                <w:rFonts w:hint="eastAsia" w:hAnsi="宋体" w:cs="宋体"/>
                <w:color w:val="auto"/>
                <w:sz w:val="21"/>
                <w:highlight w:val="none"/>
              </w:rPr>
              <w:t>强制</w:t>
            </w:r>
            <w:r>
              <w:rPr>
                <w:rFonts w:hint="eastAsia" w:hAnsi="宋体" w:cs="宋体"/>
                <w:color w:val="auto"/>
                <w:kern w:val="2"/>
                <w:sz w:val="21"/>
                <w:highlight w:val="none"/>
              </w:rPr>
              <w:t>采购环境标志产品</w:t>
            </w:r>
          </w:p>
          <w:p w14:paraId="1F8C84FF">
            <w:pPr>
              <w:pStyle w:val="111"/>
              <w:adjustRightInd w:val="0"/>
              <w:snapToGrid w:val="0"/>
              <w:spacing w:line="460" w:lineRule="exact"/>
              <w:jc w:val="left"/>
              <w:rPr>
                <w:rFonts w:hint="eastAsia" w:hAnsi="宋体" w:cs="宋体"/>
                <w:color w:val="auto"/>
                <w:kern w:val="2"/>
                <w:sz w:val="21"/>
                <w:highlight w:val="none"/>
              </w:rPr>
            </w:pPr>
            <w:r>
              <w:rPr>
                <w:rFonts w:hint="eastAsia" w:hAnsi="宋体" w:cs="宋体"/>
                <w:color w:val="auto"/>
                <w:kern w:val="2"/>
                <w:sz w:val="21"/>
                <w:highlight w:val="none"/>
              </w:rPr>
              <w:t>□优先采购环境标志产品</w:t>
            </w:r>
          </w:p>
          <w:p w14:paraId="7B34BA0A">
            <w:pPr>
              <w:snapToGrid w:val="0"/>
              <w:spacing w:line="460" w:lineRule="exact"/>
              <w:rPr>
                <w:rFonts w:hint="eastAsia"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不适用</w:t>
            </w:r>
          </w:p>
        </w:tc>
      </w:tr>
      <w:tr w14:paraId="561D8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78B9F3BE">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9</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72FFDA1E">
            <w:pPr>
              <w:snapToGrid w:val="0"/>
              <w:spacing w:line="440" w:lineRule="exact"/>
              <w:jc w:val="both"/>
              <w:textAlignment w:val="bottom"/>
              <w:rPr>
                <w:rFonts w:hint="eastAsia" w:hAnsi="宋体" w:cs="宋体"/>
                <w:color w:val="auto"/>
                <w:sz w:val="21"/>
                <w:szCs w:val="21"/>
                <w:highlight w:val="none"/>
              </w:rPr>
            </w:pPr>
            <w:r>
              <w:rPr>
                <w:rFonts w:hint="eastAsia" w:hAnsi="宋体" w:cs="宋体"/>
                <w:color w:val="auto"/>
                <w:sz w:val="21"/>
                <w:szCs w:val="21"/>
                <w:highlight w:val="none"/>
              </w:rPr>
              <w:t>投标文件的递交：</w:t>
            </w:r>
          </w:p>
          <w:p w14:paraId="1C223EBB">
            <w:pPr>
              <w:snapToGrid w:val="0"/>
              <w:spacing w:line="440" w:lineRule="exact"/>
              <w:jc w:val="both"/>
              <w:textAlignment w:val="bottom"/>
              <w:rPr>
                <w:rFonts w:hint="eastAsia" w:hAnsi="宋体" w:cs="宋体"/>
                <w:color w:val="auto"/>
                <w:sz w:val="21"/>
                <w:szCs w:val="21"/>
                <w:highlight w:val="none"/>
              </w:rPr>
            </w:pPr>
            <w:r>
              <w:rPr>
                <w:rFonts w:hint="eastAsia" w:hAnsi="宋体" w:cs="宋体"/>
                <w:color w:val="auto"/>
                <w:sz w:val="21"/>
                <w:szCs w:val="21"/>
                <w:highlight w:val="none"/>
              </w:rPr>
              <w:t>本项目投标文件分资格文件、商务技术文件、报价文件 三部分。投标人应以以下方式递交投标文件：</w:t>
            </w:r>
          </w:p>
          <w:p w14:paraId="68D4B294">
            <w:pPr>
              <w:spacing w:line="440" w:lineRule="exact"/>
              <w:jc w:val="both"/>
              <w:textAlignment w:val="bottom"/>
              <w:rPr>
                <w:rFonts w:hint="eastAsia" w:hAnsi="宋体" w:cs="宋体"/>
                <w:color w:val="auto"/>
                <w:sz w:val="21"/>
                <w:szCs w:val="21"/>
                <w:highlight w:val="none"/>
              </w:rPr>
            </w:pPr>
            <w:r>
              <w:rPr>
                <w:rFonts w:hint="eastAsia" w:hAnsi="宋体" w:cs="宋体"/>
                <w:color w:val="auto"/>
                <w:sz w:val="21"/>
                <w:szCs w:val="21"/>
                <w:highlight w:val="none"/>
              </w:rPr>
              <w:t>★1.本项目实行“网上电子投标、电子评标”，投标人应于投标截止时间前在“政采云”（ 电子交易客户端）上传输、递交电子版投标文件（包括资格文件、商务技术文件和报价文件）；</w:t>
            </w:r>
          </w:p>
          <w:p w14:paraId="2EF1185A">
            <w:pPr>
              <w:spacing w:line="440" w:lineRule="exact"/>
              <w:jc w:val="both"/>
              <w:textAlignment w:val="bottom"/>
              <w:rPr>
                <w:rFonts w:hint="eastAsia" w:hAnsi="宋体" w:cs="宋体"/>
                <w:color w:val="auto"/>
                <w:sz w:val="21"/>
                <w:szCs w:val="21"/>
                <w:highlight w:val="none"/>
              </w:rPr>
            </w:pPr>
            <w:r>
              <w:rPr>
                <w:rFonts w:hAnsi="宋体" w:cs="宋体"/>
                <w:color w:val="auto"/>
                <w:sz w:val="21"/>
                <w:szCs w:val="21"/>
                <w:highlight w:val="none"/>
              </w:rPr>
              <w:t>2.</w:t>
            </w:r>
            <w:r>
              <w:rPr>
                <w:rFonts w:hint="eastAsia" w:hAnsi="宋体" w:cs="宋体"/>
                <w:color w:val="auto"/>
                <w:sz w:val="21"/>
                <w:szCs w:val="21"/>
                <w:highlight w:val="none"/>
              </w:rPr>
              <w:t>本招标文件所涉及的法定代表人或其授权代表签字或盖章的内容，如果投标人没有法定代表人电子签章，涉及到法定代表人或其授权代表签字或盖章的内容，投标人可以线下签字或盖章后扫描上传。</w:t>
            </w:r>
          </w:p>
          <w:p w14:paraId="5269E5C9">
            <w:pPr>
              <w:spacing w:line="440" w:lineRule="exact"/>
              <w:jc w:val="both"/>
              <w:textAlignment w:val="bottom"/>
              <w:rPr>
                <w:rFonts w:hint="eastAsia" w:hAnsi="宋体" w:cs="宋体"/>
                <w:color w:val="auto"/>
                <w:sz w:val="21"/>
                <w:szCs w:val="21"/>
                <w:highlight w:val="none"/>
              </w:rPr>
            </w:pPr>
            <w:r>
              <w:rPr>
                <w:rFonts w:hint="eastAsia" w:hAnsi="宋体" w:cs="宋体"/>
                <w:color w:val="auto"/>
                <w:sz w:val="21"/>
                <w:szCs w:val="21"/>
                <w:highlight w:val="none"/>
              </w:rPr>
              <w:t>★3.联合体投标的，须以联合体投标人的牵头单位的CA进行投标文件制作。</w:t>
            </w:r>
          </w:p>
          <w:p w14:paraId="4EC3921B">
            <w:pPr>
              <w:spacing w:line="440" w:lineRule="exact"/>
              <w:jc w:val="both"/>
              <w:textAlignment w:val="bottom"/>
              <w:rPr>
                <w:color w:val="auto"/>
                <w:highlight w:val="none"/>
              </w:rPr>
            </w:pPr>
            <w:r>
              <w:rPr>
                <w:rFonts w:hint="eastAsia" w:hAnsi="宋体" w:cs="宋体"/>
                <w:color w:val="auto"/>
                <w:sz w:val="21"/>
                <w:szCs w:val="21"/>
                <w:highlight w:val="none"/>
              </w:rPr>
              <w:t>4</w:t>
            </w:r>
            <w:r>
              <w:rPr>
                <w:rFonts w:hAnsi="宋体" w:cs="宋体"/>
                <w:color w:val="auto"/>
                <w:sz w:val="21"/>
                <w:szCs w:val="21"/>
                <w:highlight w:val="none"/>
              </w:rPr>
              <w:t>.</w:t>
            </w:r>
            <w:r>
              <w:rPr>
                <w:rFonts w:hint="eastAsia" w:hAnsi="宋体" w:cs="宋体"/>
                <w:color w:val="auto"/>
                <w:sz w:val="21"/>
                <w:szCs w:val="21"/>
                <w:highlight w:val="none"/>
              </w:rPr>
              <w:t>若投标人参投多个标段的，需分标段编制投标文件。</w:t>
            </w:r>
          </w:p>
        </w:tc>
      </w:tr>
      <w:tr w14:paraId="4574B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14559C4F">
            <w:pPr>
              <w:snapToGrid w:val="0"/>
              <w:spacing w:line="440" w:lineRule="exact"/>
              <w:jc w:val="center"/>
              <w:rPr>
                <w:rFonts w:hint="eastAsia" w:hAnsi="宋体" w:cs="宋体"/>
                <w:color w:val="auto"/>
                <w:sz w:val="21"/>
                <w:szCs w:val="21"/>
                <w:highlight w:val="none"/>
              </w:rPr>
            </w:pPr>
            <w:r>
              <w:rPr>
                <w:rFonts w:hint="eastAsia" w:hAnsi="宋体" w:cs="宋体"/>
                <w:color w:val="auto"/>
                <w:sz w:val="21"/>
                <w:szCs w:val="21"/>
                <w:highlight w:val="none"/>
              </w:rPr>
              <w:t>10</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1C569E7B">
            <w:pPr>
              <w:snapToGrid w:val="0"/>
              <w:spacing w:line="440" w:lineRule="exact"/>
              <w:jc w:val="both"/>
              <w:textAlignment w:val="bottom"/>
              <w:rPr>
                <w:rFonts w:hint="eastAsia" w:hAnsi="宋体" w:cs="宋体"/>
                <w:color w:val="auto"/>
                <w:sz w:val="21"/>
                <w:szCs w:val="21"/>
                <w:highlight w:val="none"/>
              </w:rPr>
            </w:pPr>
            <w:r>
              <w:rPr>
                <w:rFonts w:hint="eastAsia" w:hAnsi="宋体" w:cs="宋体"/>
                <w:color w:val="auto"/>
                <w:sz w:val="21"/>
                <w:szCs w:val="21"/>
                <w:highlight w:val="none"/>
              </w:rPr>
              <w:t>投标截止时间及地点：</w:t>
            </w:r>
          </w:p>
          <w:p w14:paraId="5687C534">
            <w:pPr>
              <w:snapToGrid w:val="0"/>
              <w:spacing w:line="440" w:lineRule="exact"/>
              <w:jc w:val="both"/>
              <w:textAlignment w:val="bottom"/>
              <w:rPr>
                <w:rFonts w:hint="eastAsia" w:hAnsi="宋体" w:cs="宋体"/>
                <w:color w:val="auto"/>
                <w:sz w:val="21"/>
                <w:szCs w:val="21"/>
                <w:highlight w:val="none"/>
              </w:rPr>
            </w:pPr>
            <w:r>
              <w:rPr>
                <w:rFonts w:hint="eastAsia" w:hAnsi="宋体" w:cs="宋体"/>
                <w:color w:val="auto"/>
                <w:sz w:val="21"/>
                <w:szCs w:val="21"/>
                <w:highlight w:val="none"/>
              </w:rPr>
              <w:t>投标人应当在投标截止时间前在“政采云”（电子交易平台）上自行上传加密的电子投标（响应）文件。投标截止时间后递交的电子投标（响应）文件，将被政采云平台拒收。</w:t>
            </w:r>
          </w:p>
        </w:tc>
      </w:tr>
      <w:tr w14:paraId="7531D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2D128855">
            <w:pPr>
              <w:snapToGrid w:val="0"/>
              <w:spacing w:line="440" w:lineRule="exact"/>
              <w:jc w:val="center"/>
              <w:rPr>
                <w:rFonts w:hint="eastAsia" w:hAnsi="宋体" w:cs="宋体"/>
                <w:color w:val="auto"/>
                <w:sz w:val="21"/>
                <w:szCs w:val="21"/>
                <w:highlight w:val="none"/>
              </w:rPr>
            </w:pPr>
            <w:r>
              <w:rPr>
                <w:rFonts w:hint="eastAsia" w:hAnsi="宋体" w:cs="宋体"/>
                <w:color w:val="auto"/>
                <w:sz w:val="21"/>
                <w:szCs w:val="21"/>
                <w:highlight w:val="none"/>
              </w:rPr>
              <w:t>11</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08A26DE4">
            <w:pPr>
              <w:snapToGrid w:val="0"/>
              <w:spacing w:line="440" w:lineRule="exact"/>
              <w:jc w:val="both"/>
              <w:textAlignment w:val="bottom"/>
              <w:rPr>
                <w:rFonts w:hint="eastAsia" w:hAnsi="宋体" w:cs="宋体"/>
                <w:color w:val="auto"/>
                <w:sz w:val="21"/>
                <w:szCs w:val="21"/>
                <w:highlight w:val="none"/>
              </w:rPr>
            </w:pPr>
            <w:r>
              <w:rPr>
                <w:rFonts w:hint="eastAsia" w:hAnsi="宋体" w:cs="宋体"/>
                <w:color w:val="auto"/>
                <w:sz w:val="21"/>
                <w:szCs w:val="21"/>
                <w:highlight w:val="none"/>
              </w:rPr>
              <w:t xml:space="preserve">开标时间及地点： </w:t>
            </w:r>
            <w:r>
              <w:rPr>
                <w:rFonts w:hint="eastAsia" w:hAnsi="宋体" w:cs="宋体"/>
                <w:color w:val="auto"/>
                <w:sz w:val="21"/>
                <w:szCs w:val="21"/>
                <w:highlight w:val="none"/>
              </w:rPr>
              <w:t>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11</w:t>
            </w:r>
            <w:r>
              <w:rPr>
                <w:rFonts w:hint="eastAsia" w:hAnsi="宋体" w:cs="宋体"/>
                <w:color w:val="auto"/>
                <w:sz w:val="21"/>
                <w:szCs w:val="21"/>
                <w:highlight w:val="none"/>
              </w:rPr>
              <w:t>日</w:t>
            </w:r>
            <w:r>
              <w:rPr>
                <w:rFonts w:hint="eastAsia" w:hAnsi="宋体" w:cs="宋体"/>
                <w:bCs/>
                <w:color w:val="auto"/>
                <w:sz w:val="21"/>
                <w:szCs w:val="21"/>
                <w:highlight w:val="none"/>
                <w:lang w:val="en-US" w:eastAsia="zh-CN"/>
              </w:rPr>
              <w:t>14</w:t>
            </w:r>
            <w:r>
              <w:rPr>
                <w:rFonts w:hint="eastAsia" w:hAnsi="宋体" w:cs="宋体"/>
                <w:bCs/>
                <w:color w:val="auto"/>
                <w:sz w:val="21"/>
                <w:szCs w:val="21"/>
                <w:highlight w:val="none"/>
              </w:rPr>
              <w:t>点30</w:t>
            </w:r>
            <w:r>
              <w:rPr>
                <w:rFonts w:hint="eastAsia" w:hAnsi="宋体" w:cs="宋体"/>
                <w:color w:val="auto"/>
                <w:sz w:val="21"/>
                <w:szCs w:val="21"/>
                <w:highlight w:val="none"/>
              </w:rPr>
              <w:t>时，金华市双龙南街858号金华财富大厦（金华市行政服务中心新办事大厅4楼开标 1 室）</w:t>
            </w:r>
          </w:p>
          <w:p w14:paraId="1A16BE74">
            <w:pPr>
              <w:snapToGrid w:val="0"/>
              <w:spacing w:line="440" w:lineRule="exact"/>
              <w:jc w:val="both"/>
              <w:textAlignment w:val="bottom"/>
              <w:rPr>
                <w:rFonts w:hint="eastAsia"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2A3E4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88" w:type="dxa"/>
            <w:tcBorders>
              <w:top w:val="single" w:color="auto" w:sz="4" w:space="0"/>
              <w:left w:val="single" w:color="auto" w:sz="4" w:space="0"/>
              <w:bottom w:val="single" w:color="auto" w:sz="4" w:space="0"/>
              <w:right w:val="single" w:color="auto" w:sz="4" w:space="0"/>
            </w:tcBorders>
            <w:vAlign w:val="center"/>
          </w:tcPr>
          <w:p w14:paraId="32D5ADC6">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12</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3E7FD6BF">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评标办法：综合评分法。</w:t>
            </w:r>
          </w:p>
        </w:tc>
      </w:tr>
      <w:tr w14:paraId="54E38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88" w:type="dxa"/>
            <w:tcBorders>
              <w:top w:val="single" w:color="auto" w:sz="4" w:space="0"/>
              <w:left w:val="single" w:color="auto" w:sz="4" w:space="0"/>
              <w:bottom w:val="single" w:color="auto" w:sz="4" w:space="0"/>
              <w:right w:val="single" w:color="auto" w:sz="4" w:space="0"/>
            </w:tcBorders>
            <w:vAlign w:val="center"/>
          </w:tcPr>
          <w:p w14:paraId="385BD0BA">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13</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105CF707">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结果公示：结果公示于浙江政府采购网(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hAnsi="宋体" w:cs="宋体"/>
                <w:color w:val="auto"/>
                <w:sz w:val="21"/>
                <w:szCs w:val="21"/>
                <w:highlight w:val="none"/>
              </w:rPr>
              <w:t>http://zfcg.czt.zj.gov.cn/</w:t>
            </w:r>
            <w:r>
              <w:rPr>
                <w:rFonts w:hint="eastAsia" w:hAnsi="宋体" w:cs="宋体"/>
                <w:color w:val="auto"/>
                <w:sz w:val="21"/>
                <w:szCs w:val="21"/>
                <w:highlight w:val="none"/>
              </w:rPr>
              <w:fldChar w:fldCharType="end"/>
            </w:r>
            <w:r>
              <w:rPr>
                <w:rFonts w:hint="eastAsia" w:hAnsi="宋体" w:cs="宋体"/>
                <w:color w:val="auto"/>
                <w:sz w:val="21"/>
                <w:szCs w:val="21"/>
                <w:highlight w:val="none"/>
              </w:rPr>
              <w:t xml:space="preserve">) </w:t>
            </w:r>
          </w:p>
        </w:tc>
      </w:tr>
      <w:tr w14:paraId="5F4DB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788" w:type="dxa"/>
            <w:tcBorders>
              <w:top w:val="single" w:color="auto" w:sz="4" w:space="0"/>
              <w:left w:val="single" w:color="auto" w:sz="4" w:space="0"/>
              <w:bottom w:val="single" w:color="auto" w:sz="4" w:space="0"/>
              <w:right w:val="single" w:color="auto" w:sz="4" w:space="0"/>
            </w:tcBorders>
            <w:vAlign w:val="center"/>
          </w:tcPr>
          <w:p w14:paraId="403790E9">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14</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1C68B4CD">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资料核实及合同签订时间：</w:t>
            </w:r>
          </w:p>
          <w:p w14:paraId="07B37C5C">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1.资料核实：根据《浙江省财政厅关于进一步规范政府采购秩序促进公平竞争的通知》（浙财采监〔2025〕2号）及政策解读相关要求，在评审结束后、合同签订前，招标人（采购人）、采购代理机构将对中标（成交）供应商在投标（响应）文件中涉及客观分评审内容的检测报告、认证证书等资料的真实性进行复核，中标（成交）供应商应在合同签订前及时提供相关检测报告、认证证书等资料的原件或查询网站（网址）给招标人（采购人）、采购代理机构进行真实性复核。</w:t>
            </w:r>
          </w:p>
          <w:p w14:paraId="606DF37C">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2.签订合同时间：中标通知书发出后20日内。</w:t>
            </w:r>
          </w:p>
        </w:tc>
      </w:tr>
      <w:tr w14:paraId="7865D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788" w:type="dxa"/>
            <w:tcBorders>
              <w:top w:val="single" w:color="auto" w:sz="4" w:space="0"/>
              <w:left w:val="single" w:color="auto" w:sz="4" w:space="0"/>
              <w:bottom w:val="single" w:color="auto" w:sz="4" w:space="0"/>
              <w:right w:val="single" w:color="auto" w:sz="4" w:space="0"/>
            </w:tcBorders>
            <w:vAlign w:val="center"/>
          </w:tcPr>
          <w:p w14:paraId="3BF69C71">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15</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73F210FF">
            <w:pPr>
              <w:snapToGrid w:val="0"/>
              <w:spacing w:line="460" w:lineRule="exact"/>
              <w:textAlignment w:val="bottom"/>
              <w:rPr>
                <w:rFonts w:hint="eastAsia" w:hAnsi="宋体" w:cs="宋体"/>
                <w:color w:val="auto"/>
                <w:sz w:val="21"/>
                <w:szCs w:val="21"/>
                <w:highlight w:val="none"/>
              </w:rPr>
            </w:pPr>
            <w:r>
              <w:rPr>
                <w:rFonts w:hint="eastAsia" w:hAnsi="宋体" w:cs="宋体"/>
                <w:b/>
                <w:color w:val="auto"/>
                <w:sz w:val="21"/>
                <w:szCs w:val="21"/>
                <w:highlight w:val="none"/>
              </w:rPr>
              <w:t>履约保证金的收取及退还: 本项目无须缴纳履约保证金。</w:t>
            </w:r>
          </w:p>
        </w:tc>
      </w:tr>
      <w:tr w14:paraId="54930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88" w:type="dxa"/>
            <w:tcBorders>
              <w:top w:val="single" w:color="auto" w:sz="4" w:space="0"/>
              <w:left w:val="single" w:color="auto" w:sz="4" w:space="0"/>
              <w:bottom w:val="single" w:color="auto" w:sz="4" w:space="0"/>
              <w:right w:val="single" w:color="auto" w:sz="4" w:space="0"/>
            </w:tcBorders>
            <w:vAlign w:val="center"/>
          </w:tcPr>
          <w:p w14:paraId="2367171B">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16</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2D1EF9C8">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投标文件有效期：90天。</w:t>
            </w:r>
          </w:p>
        </w:tc>
      </w:tr>
      <w:tr w14:paraId="475FE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88" w:type="dxa"/>
            <w:tcBorders>
              <w:top w:val="single" w:color="auto" w:sz="4" w:space="0"/>
              <w:left w:val="single" w:color="auto" w:sz="4" w:space="0"/>
              <w:bottom w:val="single" w:color="auto" w:sz="4" w:space="0"/>
              <w:right w:val="single" w:color="auto" w:sz="4" w:space="0"/>
            </w:tcBorders>
            <w:vAlign w:val="center"/>
          </w:tcPr>
          <w:p w14:paraId="3A97AB8E">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17</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307BDEA4">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解释：本招标文件的解释权属于招标采购单位。</w:t>
            </w:r>
          </w:p>
        </w:tc>
      </w:tr>
    </w:tbl>
    <w:p w14:paraId="1C1A3089">
      <w:pPr>
        <w:autoSpaceDE/>
        <w:autoSpaceDN/>
        <w:adjustRightInd/>
        <w:spacing w:line="500" w:lineRule="exact"/>
        <w:ind w:firstLine="482" w:firstLineChars="200"/>
        <w:jc w:val="both"/>
        <w:rPr>
          <w:rFonts w:hint="eastAsia" w:hAnsi="宋体" w:cs="宋体"/>
          <w:b/>
          <w:color w:val="auto"/>
          <w:sz w:val="24"/>
          <w:szCs w:val="24"/>
          <w:highlight w:val="none"/>
        </w:rPr>
      </w:pPr>
      <w:r>
        <w:rPr>
          <w:rFonts w:hint="eastAsia" w:hAnsi="宋体" w:cs="宋体"/>
          <w:b/>
          <w:color w:val="auto"/>
          <w:sz w:val="24"/>
          <w:szCs w:val="24"/>
          <w:highlight w:val="none"/>
        </w:rPr>
        <w:t>一、总则</w:t>
      </w:r>
    </w:p>
    <w:p w14:paraId="356F58B1">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（一）适用范围</w:t>
      </w:r>
    </w:p>
    <w:p w14:paraId="2B0F780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本招标文件适用于婺城区公益创投督导、社会组织培育赋能、助联体运行服务项目的招标、投标、评标、定标、集体验收、合同履约、付款等行为（法律、法规另有规定的，从其规定）。</w:t>
      </w:r>
    </w:p>
    <w:p w14:paraId="49FF0D94">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（二）定义</w:t>
      </w:r>
    </w:p>
    <w:p w14:paraId="6AA61AB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1.招标采购单位系指组织本次招标的代理机构和招标人（“采购单位”“采购人”）。</w:t>
      </w:r>
    </w:p>
    <w:p w14:paraId="160324B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2.“投标人”（又称 “供应商”）系指向招标人提交投标文件的单位或个人或投标联合体。</w:t>
      </w:r>
    </w:p>
    <w:p w14:paraId="3724945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3.“服务” 系指中标人受金华市婺城区民政局委托提供的公益创投督导、社会组织培育赋能、助联体运行服务以及其他类似的义务。</w:t>
      </w:r>
    </w:p>
    <w:p w14:paraId="21D94A6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4.“项目”系指投标人按招标文件规定向招标人提供的专业服务和</w:t>
      </w:r>
      <w:r>
        <w:rPr>
          <w:rFonts w:hint="eastAsia" w:hAnsi="宋体" w:cs="宋体"/>
          <w:color w:val="auto"/>
          <w:sz w:val="21"/>
          <w:szCs w:val="21"/>
          <w:highlight w:val="none"/>
          <w:lang w:val="en-US" w:eastAsia="zh-CN"/>
        </w:rPr>
        <w:t>服务成果产品</w:t>
      </w:r>
      <w:r>
        <w:rPr>
          <w:rFonts w:hint="eastAsia" w:hAnsi="宋体" w:cs="宋体"/>
          <w:color w:val="auto"/>
          <w:sz w:val="21"/>
          <w:szCs w:val="21"/>
          <w:highlight w:val="none"/>
        </w:rPr>
        <w:t>。</w:t>
      </w:r>
    </w:p>
    <w:p w14:paraId="569F2A3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5.“书面形式”包括信函、传真、电报等。</w:t>
      </w:r>
    </w:p>
    <w:p w14:paraId="7140AE9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w:t>
      </w:r>
      <w:r>
        <w:rPr>
          <w:rFonts w:hint="eastAsia" w:hAnsi="宋体" w:cs="宋体"/>
          <w:bCs/>
          <w:color w:val="auto"/>
          <w:sz w:val="21"/>
          <w:szCs w:val="21"/>
          <w:highlight w:val="none"/>
        </w:rPr>
        <w:t>★</w:t>
      </w:r>
      <w:r>
        <w:rPr>
          <w:rFonts w:hint="eastAsia" w:hAnsi="宋体" w:cs="宋体"/>
          <w:color w:val="auto"/>
          <w:sz w:val="21"/>
          <w:szCs w:val="21"/>
          <w:highlight w:val="none"/>
        </w:rPr>
        <w:t>”系指实质性要求指标，“</w:t>
      </w:r>
      <w:r>
        <w:rPr>
          <w:rFonts w:hint="eastAsia" w:hAnsi="宋体" w:cs="宋体"/>
          <w:b/>
          <w:color w:val="auto"/>
          <w:sz w:val="21"/>
          <w:szCs w:val="21"/>
          <w:highlight w:val="none"/>
        </w:rPr>
        <w:t>▲</w:t>
      </w:r>
      <w:r>
        <w:rPr>
          <w:rFonts w:hint="eastAsia" w:hAnsi="宋体" w:cs="宋体"/>
          <w:color w:val="auto"/>
          <w:sz w:val="21"/>
          <w:szCs w:val="21"/>
          <w:highlight w:val="none"/>
        </w:rPr>
        <w:t>”系指重要性指标条款。</w:t>
      </w:r>
    </w:p>
    <w:p w14:paraId="22ACEF5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（三）招标方式</w:t>
      </w:r>
    </w:p>
    <w:p w14:paraId="2DCA2D0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本次招标采用公开招标方式进行。</w:t>
      </w:r>
    </w:p>
    <w:p w14:paraId="535FBF39">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（四）投标委托</w:t>
      </w:r>
    </w:p>
    <w:p w14:paraId="02200D6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如投标人代表不是法定代表人，须有法定代表人（或“联合体投标人牵头单位的法定代表人”，下同）出具的授权委托书。</w:t>
      </w:r>
    </w:p>
    <w:p w14:paraId="4B9D6C2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（五）投标费用</w:t>
      </w:r>
    </w:p>
    <w:p w14:paraId="34E017E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不论投标结果如何，投标人均应自行承担所有与投标有关的全部费用（招标文件有相反规定的除外）。</w:t>
      </w:r>
      <w:r>
        <w:rPr>
          <w:rFonts w:hint="eastAsia" w:hAnsi="宋体" w:cs="宋体"/>
          <w:b/>
          <w:bCs/>
          <w:color w:val="auto"/>
          <w:sz w:val="21"/>
          <w:szCs w:val="21"/>
          <w:highlight w:val="none"/>
        </w:rPr>
        <w:t>中标、成交供应商放弃中标、成交资格导致重新采购的，应当承担支付代理费和专家评审费等费用在内的赔偿责任。</w:t>
      </w:r>
    </w:p>
    <w:p w14:paraId="0B81F7B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（六）勘察现场</w:t>
      </w:r>
    </w:p>
    <w:p w14:paraId="3BE8B49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1.投标人可</w:t>
      </w:r>
      <w:r>
        <w:rPr>
          <w:rFonts w:hint="eastAsia" w:hAnsi="宋体" w:cs="宋体"/>
          <w:bCs/>
          <w:color w:val="auto"/>
          <w:sz w:val="21"/>
          <w:szCs w:val="21"/>
          <w:highlight w:val="none"/>
        </w:rPr>
        <w:t>自行</w:t>
      </w:r>
      <w:r>
        <w:rPr>
          <w:rFonts w:hint="eastAsia" w:hAnsi="宋体" w:cs="宋体"/>
          <w:color w:val="auto"/>
          <w:sz w:val="21"/>
          <w:szCs w:val="21"/>
          <w:highlight w:val="none"/>
        </w:rPr>
        <w:t>进行现场考察，以获取有关投标、签署合同和其他所需的资料。采购单位和代理机构不组织集中考察，由各投标人自行安排，但必须在开标5天前进行。投标人在考察过程中发生的各类事件和所发生的各项费用，均由投标人自行承担，采购人和代理机构概不负责。</w:t>
      </w:r>
    </w:p>
    <w:p w14:paraId="0E9FFF8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2.采购人向投标人提供的有关现场的数据和资料，是采购人现有的能被投标人利用的资料，采购人对投标人据此做出的任何推论、理解和结论不负责任。</w:t>
      </w:r>
    </w:p>
    <w:p w14:paraId="0DA1197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（七）知识产权</w:t>
      </w:r>
    </w:p>
    <w:p w14:paraId="5D7E91C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须保证，采购人在中华人民共和国境内使用投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28B7FB9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2.所有投标文件不论中标与否均不退还。</w:t>
      </w:r>
    </w:p>
    <w:p w14:paraId="6276320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在招标过程中，本项目由采购人提供的所有基础资料（包括文字、图纸、电子数据）的版权均受法律保护，投标人应按国家要求做好所有基础资料的保密工作，除为本项目本身使用外，不做其他用途，任何未经采购人同意的修改、拷贝、传播、公开发布等行为都将承担由此引起的一切经济、法律责任。</w:t>
      </w:r>
    </w:p>
    <w:p w14:paraId="3D10680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（八）联合体投标</w:t>
      </w:r>
    </w:p>
    <w:p w14:paraId="7F43B48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1.为了支持中小企业发展，本项目允许</w:t>
      </w:r>
      <w:r>
        <w:rPr>
          <w:rFonts w:hint="eastAsia" w:hAnsi="宋体" w:cs="宋体"/>
          <w:color w:val="auto"/>
          <w:sz w:val="21"/>
          <w:szCs w:val="21"/>
          <w:highlight w:val="none"/>
          <w:lang w:val="en-US" w:eastAsia="zh-CN"/>
        </w:rPr>
        <w:t>非企业单位（或</w:t>
      </w:r>
      <w:r>
        <w:rPr>
          <w:rFonts w:hint="eastAsia" w:hAnsi="宋体" w:cs="宋体"/>
          <w:color w:val="auto"/>
          <w:sz w:val="21"/>
          <w:szCs w:val="21"/>
          <w:highlight w:val="none"/>
        </w:rPr>
        <w:t>大中型企业</w:t>
      </w:r>
      <w:r>
        <w:rPr>
          <w:rFonts w:hint="eastAsia" w:hAnsi="宋体" w:cs="宋体"/>
          <w:color w:val="auto"/>
          <w:sz w:val="21"/>
          <w:szCs w:val="21"/>
          <w:highlight w:val="none"/>
          <w:lang w:val="en-US" w:eastAsia="zh-CN"/>
        </w:rPr>
        <w:t>）</w:t>
      </w:r>
      <w:r>
        <w:rPr>
          <w:rFonts w:hint="eastAsia" w:hAnsi="宋体" w:cs="宋体"/>
          <w:color w:val="auto"/>
          <w:sz w:val="21"/>
          <w:szCs w:val="21"/>
          <w:highlight w:val="none"/>
        </w:rPr>
        <w:t>与小微企业组成联合体参与投标。</w:t>
      </w:r>
    </w:p>
    <w:p w14:paraId="08DEF5A4">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2.以联合体形式参加投标的，联合体各方均应当符合《中华人民共和国政府采购法》第二十二条规定的条件。</w:t>
      </w:r>
    </w:p>
    <w:p w14:paraId="3F1EC888">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3.联合体投标时，联合体各方之间应当签订联合协议，明确联合体投标人的牵头单位，并约定联合体各方应当承担的工作和相应的责任，以及</w:t>
      </w:r>
      <w:r>
        <w:rPr>
          <w:rFonts w:hint="eastAsia" w:hAnsi="宋体" w:cs="宋体"/>
          <w:color w:val="auto"/>
          <w:sz w:val="21"/>
          <w:szCs w:val="21"/>
          <w:highlight w:val="none"/>
          <w:lang w:bidi="ar"/>
        </w:rPr>
        <w:t>联合体中中小企业与小微企业所承担工作的合同份额</w:t>
      </w:r>
      <w:r>
        <w:rPr>
          <w:rFonts w:hint="eastAsia" w:hAnsi="宋体" w:cs="宋体"/>
          <w:color w:val="auto"/>
          <w:sz w:val="21"/>
          <w:szCs w:val="21"/>
          <w:highlight w:val="none"/>
        </w:rPr>
        <w:t>占到合同总金额的百分比，然后，将联合协议连同投标文件一并提交。联合体中有同类资质的投标人按照联合体分工承担相同工作的，应当按照资质等级较低的投标人确定资质等级。联合体各方签订联合协议后，不得再以自己的名义单独在同一项目中投标，也不得组成新的联合体参加同一项目投标。联合体各方在同一招标项目中以自己名义单独投标或者参加其他联合体投标的，相关投标均无效。</w:t>
      </w:r>
    </w:p>
    <w:p w14:paraId="7EDA8C19">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4.联合体各方应当共同与招标人签订采购合同，就采购合同约定的事项对招标人承担连带责任。</w:t>
      </w:r>
    </w:p>
    <w:p w14:paraId="2B2FF8FF">
      <w:pPr>
        <w:pStyle w:val="45"/>
        <w:adjustRightInd w:val="0"/>
        <w:snapToGrid w:val="0"/>
        <w:spacing w:after="0" w:line="520" w:lineRule="exact"/>
        <w:ind w:left="0" w:leftChars="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5.以联合体形式参加政府采购活动，联合体各方均为中小企业的，联合体视同中小企业。其中，联合体各方均为小微企业的，联合体视同小微企业。</w:t>
      </w:r>
    </w:p>
    <w:p w14:paraId="754D5637">
      <w:pPr>
        <w:autoSpaceDE/>
        <w:autoSpaceDN/>
        <w:adjustRightInd/>
        <w:spacing w:line="500" w:lineRule="exact"/>
        <w:ind w:left="415" w:leftChars="122"/>
        <w:jc w:val="both"/>
        <w:rPr>
          <w:rFonts w:hint="eastAsia" w:hAnsi="宋体" w:cs="宋体"/>
          <w:b/>
          <w:color w:val="auto"/>
          <w:sz w:val="21"/>
          <w:szCs w:val="21"/>
          <w:highlight w:val="none"/>
        </w:rPr>
      </w:pPr>
      <w:r>
        <w:rPr>
          <w:rFonts w:hint="eastAsia" w:hAnsi="宋体" w:cs="宋体"/>
          <w:b/>
          <w:color w:val="auto"/>
          <w:sz w:val="21"/>
          <w:szCs w:val="21"/>
          <w:highlight w:val="none"/>
        </w:rPr>
        <w:t>（九）转包与分包</w:t>
      </w:r>
    </w:p>
    <w:p w14:paraId="1AA7E0E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1.本项目不允许转包。</w:t>
      </w:r>
    </w:p>
    <w:p w14:paraId="602AF035">
      <w:pPr>
        <w:autoSpaceDE/>
        <w:autoSpaceDN/>
        <w:adjustRightInd/>
        <w:snapToGrid w:val="0"/>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szCs w:val="21"/>
          <w:highlight w:val="none"/>
        </w:rPr>
        <w:t>2.</w:t>
      </w:r>
      <w:r>
        <w:rPr>
          <w:rStyle w:val="67"/>
          <w:rFonts w:hint="eastAsia" w:ascii="宋体" w:hAnsi="宋体" w:cs="宋体"/>
          <w:color w:val="auto"/>
          <w:szCs w:val="21"/>
          <w:highlight w:val="none"/>
        </w:rPr>
        <w:t>非经采购人同意，本项目不允许分包。</w:t>
      </w:r>
    </w:p>
    <w:p w14:paraId="0A38047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（十）特别说明</w:t>
      </w:r>
    </w:p>
    <w:p w14:paraId="599DDE00">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1.投标单位负责人为同一人或者存在直接控股、管理关系的不同投标人，不得参加同一合同项下的政府采购活动。如在评标过程（或标后质疑投诉期内）中发现投标人间存在上述关系，存在上述关系的全部投标人均做无效投标（或无效中标）处理。</w:t>
      </w:r>
    </w:p>
    <w:p w14:paraId="1BCF4FD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highlight w:val="none"/>
        </w:rPr>
        <w:t>2.</w:t>
      </w:r>
      <w:r>
        <w:rPr>
          <w:rFonts w:hint="eastAsia" w:hAnsi="宋体" w:cs="宋体"/>
          <w:b/>
          <w:color w:val="auto"/>
          <w:sz w:val="21"/>
          <w:szCs w:val="21"/>
          <w:highlight w:val="none"/>
        </w:rPr>
        <w:t>“政采云”平台运营机构，以及与该机构有直接控股或者管理关系可能影响采购公正性的任何单位和个人，不得在该平台进行的政府采购项目电子交易中投标、响应政府采购项目。</w:t>
      </w:r>
    </w:p>
    <w:p w14:paraId="06A7686E">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3.投标人投标所使用的资格、信誉、荣誉、业绩与企业认证必须为本法人所拥有。投标人投标所使用的采购项目实施人员必须为本法人员工（或必须为本法人或控股公司正式员工）。</w:t>
      </w:r>
    </w:p>
    <w:p w14:paraId="7FB4B968">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w:t>
      </w:r>
      <w:r>
        <w:rPr>
          <w:rFonts w:hint="eastAsia" w:ascii="宋体" w:hAnsi="宋体" w:eastAsia="宋体" w:cs="宋体"/>
          <w:color w:val="auto"/>
          <w:sz w:val="21"/>
          <w:szCs w:val="21"/>
          <w:highlight w:val="none"/>
        </w:rPr>
        <w:t>投标人应仔细阅读招标文件的所有内容，按照招标文件的要求提交投标文件。投标人必须对投标文件所提供的全部资料的真实性承担法律责任，并无条件接受采购代理机构、招标人</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采购人</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等对其中任何资料进行核实的要求。需要特别说明的是，根据《浙江省财政厅关于进一步规范政府采购秩序促进公平竞争的通知》（浙财采监〔2025〕2号）及政策解读相关要求，在评审结束后、合同签订前，招标人（采购人）、采购代理机构将对中标（成交）供应商在投标（响应）文件中涉及客观分评审内容的检测报告、认证证书等资料的真实性进行复核，中标（成交）供应商应在合同签订前及时提供相关检测报告、认证证书等资料的原件或查询网站（网址）给招标人（采购人）、采购代理机构进行真实性复核。</w:t>
      </w:r>
    </w:p>
    <w:p w14:paraId="36D818D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5.投标人在投标活动中提供任何虚假材料，其投标无效，并报监管部门查处；中标后发现的，中标人须依照相关规定赔偿采购人，且民事赔偿并不免除违法投标人的行政与刑事责任。</w:t>
      </w:r>
    </w:p>
    <w:p w14:paraId="5F56AA04">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（十一）质疑和投诉</w:t>
      </w:r>
    </w:p>
    <w:p w14:paraId="1BD37355">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31B61886">
      <w:pPr>
        <w:autoSpaceDE/>
        <w:autoSpaceDN/>
        <w:adjustRightInd/>
        <w:spacing w:line="460" w:lineRule="exact"/>
        <w:ind w:firstLine="420" w:firstLineChars="200"/>
        <w:jc w:val="both"/>
        <w:rPr>
          <w:rFonts w:hint="eastAsia" w:hAnsi="宋体" w:cs="宋体"/>
          <w:color w:val="auto"/>
          <w:sz w:val="21"/>
          <w:szCs w:val="21"/>
          <w:highlight w:val="none"/>
          <w:lang w:eastAsia="zh-TW"/>
        </w:rPr>
      </w:pPr>
      <w:r>
        <w:rPr>
          <w:rFonts w:hint="eastAsia" w:hAnsi="宋体" w:cs="宋体"/>
          <w:color w:val="auto"/>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hAnsi="宋体" w:cs="宋体"/>
          <w:bCs/>
          <w:color w:val="auto"/>
          <w:sz w:val="21"/>
          <w:szCs w:val="21"/>
          <w:highlight w:val="none"/>
        </w:rPr>
        <w:t>质疑函范本、投诉书范本请到浙江政府采购网下载专区下载。</w:t>
      </w:r>
    </w:p>
    <w:p w14:paraId="22494E0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w:t>
      </w:r>
      <w:r>
        <w:rPr>
          <w:rFonts w:hint="eastAsia" w:hAnsi="宋体" w:cs="宋体"/>
          <w:color w:val="auto"/>
          <w:sz w:val="21"/>
          <w:szCs w:val="21"/>
          <w:highlight w:val="none"/>
          <w:lang w:val="zh-CN"/>
        </w:rPr>
        <w:t>投标人须在法定质疑期内一次性提出针对同一采购程序环节的质疑。未按上述要求提供的质疑函，采购代理机构有权不予受理。</w:t>
      </w:r>
    </w:p>
    <w:p w14:paraId="2574639E">
      <w:pPr>
        <w:autoSpaceDE/>
        <w:autoSpaceDN/>
        <w:adjustRightInd/>
        <w:spacing w:line="500" w:lineRule="exact"/>
        <w:ind w:firstLine="482" w:firstLineChars="200"/>
        <w:jc w:val="both"/>
        <w:rPr>
          <w:rFonts w:hint="eastAsia" w:hAnsi="宋体" w:cs="宋体"/>
          <w:b/>
          <w:color w:val="auto"/>
          <w:sz w:val="24"/>
          <w:szCs w:val="24"/>
          <w:highlight w:val="none"/>
        </w:rPr>
      </w:pPr>
      <w:r>
        <w:rPr>
          <w:rFonts w:hint="eastAsia" w:hAnsi="宋体" w:cs="宋体"/>
          <w:b/>
          <w:color w:val="auto"/>
          <w:sz w:val="24"/>
          <w:szCs w:val="24"/>
          <w:highlight w:val="none"/>
        </w:rPr>
        <w:t>二、招标文件</w:t>
      </w:r>
    </w:p>
    <w:p w14:paraId="6DA9FA8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（一）招标文件的构成。本招标文件由以下部分组成：</w:t>
      </w:r>
    </w:p>
    <w:p w14:paraId="5678981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1.公开招标采购公告</w:t>
      </w:r>
    </w:p>
    <w:p w14:paraId="20A19AE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2.招标需求</w:t>
      </w:r>
    </w:p>
    <w:p w14:paraId="03A146B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3.投标人须知</w:t>
      </w:r>
    </w:p>
    <w:p w14:paraId="5424115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4.评标办法及评分标准</w:t>
      </w:r>
    </w:p>
    <w:p w14:paraId="1A68508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5.合同文本</w:t>
      </w:r>
    </w:p>
    <w:p w14:paraId="462D243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6.投标文件格式</w:t>
      </w:r>
    </w:p>
    <w:p w14:paraId="0E60935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7.本项目招标文件的澄清、答复、修改、补充的内容（如有）</w:t>
      </w:r>
    </w:p>
    <w:p w14:paraId="4E11C06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（二）投标人的风险</w:t>
      </w:r>
    </w:p>
    <w:p w14:paraId="2B8DB62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投标人没有按照招标文件要求提供全部资料，或者投标人没有对招标文件在各方面作出实质性响应是投标人的风险，并可能导致其投标被拒绝。</w:t>
      </w:r>
    </w:p>
    <w:p w14:paraId="29BD92C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采购人、采购代理机构不保证所有已完成报名的投标人都符合资格要求。</w:t>
      </w:r>
    </w:p>
    <w:p w14:paraId="14D85FE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（三）招标文件的澄清与修改</w:t>
      </w:r>
    </w:p>
    <w:p w14:paraId="14F13D14">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57DB0987">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14:paraId="64631E92">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57CAB10C">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4.招标文件的澄清、答复、修改或补充都应该通过本代理机构以法定形式发布，采购人非通过本机构，不得擅自澄清、答复、修改或补充招标文件。</w:t>
      </w:r>
    </w:p>
    <w:p w14:paraId="0031D862">
      <w:pPr>
        <w:autoSpaceDE/>
        <w:autoSpaceDN/>
        <w:adjustRightInd/>
        <w:spacing w:line="500" w:lineRule="exact"/>
        <w:ind w:firstLine="482" w:firstLineChars="200"/>
        <w:jc w:val="both"/>
        <w:rPr>
          <w:rFonts w:hint="eastAsia" w:hAnsi="宋体" w:cs="宋体"/>
          <w:b/>
          <w:color w:val="auto"/>
          <w:sz w:val="24"/>
          <w:szCs w:val="24"/>
          <w:highlight w:val="none"/>
        </w:rPr>
      </w:pPr>
      <w:r>
        <w:rPr>
          <w:rFonts w:hint="eastAsia" w:hAnsi="宋体" w:cs="宋体"/>
          <w:b/>
          <w:color w:val="auto"/>
          <w:sz w:val="24"/>
          <w:szCs w:val="24"/>
          <w:highlight w:val="none"/>
        </w:rPr>
        <w:t>三、投标文件的编制</w:t>
      </w:r>
    </w:p>
    <w:p w14:paraId="1E65E3BF">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注：投标人应保证所提供文件资料的真实性，所有文件资料必须是针对本次投标的。如发现投标人提供了虚假文件资料，其投标将被拒绝，并自行承担相应的法律责任。</w:t>
      </w:r>
    </w:p>
    <w:p w14:paraId="313291DC">
      <w:pPr>
        <w:tabs>
          <w:tab w:val="left" w:pos="6955"/>
        </w:tabs>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（一）投标文件的形式</w:t>
      </w:r>
      <w:r>
        <w:rPr>
          <w:rFonts w:hint="eastAsia" w:hAnsi="宋体" w:cs="宋体"/>
          <w:b/>
          <w:color w:val="auto"/>
          <w:sz w:val="21"/>
          <w:szCs w:val="21"/>
          <w:highlight w:val="none"/>
        </w:rPr>
        <w:tab/>
      </w:r>
    </w:p>
    <w:p w14:paraId="2C11C3B5">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投标文件为电子投标文件。</w:t>
      </w:r>
    </w:p>
    <w:p w14:paraId="070989F6">
      <w:pPr>
        <w:wordWrap w:val="0"/>
        <w:snapToGrid w:val="0"/>
        <w:spacing w:line="460" w:lineRule="exact"/>
        <w:ind w:firstLine="422" w:firstLineChars="200"/>
        <w:outlineLvl w:val="0"/>
        <w:rPr>
          <w:rFonts w:hint="eastAsia" w:hAnsi="宋体" w:cs="宋体"/>
          <w:b/>
          <w:color w:val="auto"/>
          <w:sz w:val="21"/>
          <w:szCs w:val="21"/>
          <w:highlight w:val="none"/>
        </w:rPr>
      </w:pPr>
      <w:bookmarkStart w:id="38" w:name="_Toc1321"/>
      <w:r>
        <w:rPr>
          <w:rFonts w:hint="eastAsia" w:hAnsi="宋体" w:cs="宋体"/>
          <w:b/>
          <w:color w:val="auto"/>
          <w:sz w:val="21"/>
          <w:szCs w:val="21"/>
          <w:highlight w:val="none"/>
        </w:rPr>
        <w:t>电子投标文件：电子投标文件按政采云平台供应商项目采购-电子交易操作指南（https://edu.zcygov.cn/luban/e-biding?utm=a0004.2ef5001f.0001.0109.da8b35e0da8611e98d8937b7ef8a3544）及本招标文件要求制作、加密并递交</w:t>
      </w:r>
      <w:bookmarkEnd w:id="38"/>
      <w:r>
        <w:rPr>
          <w:rFonts w:hint="eastAsia" w:hAnsi="宋体" w:cs="宋体"/>
          <w:b/>
          <w:color w:val="auto"/>
          <w:sz w:val="21"/>
          <w:szCs w:val="21"/>
          <w:highlight w:val="none"/>
        </w:rPr>
        <w:t>。</w:t>
      </w:r>
    </w:p>
    <w:p w14:paraId="0D01C05B">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（二）投标文件的组成</w:t>
      </w:r>
    </w:p>
    <w:p w14:paraId="29B83600">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投标文件（电子投标文件）由资格文件、商务技术文件和报价文件三部分组成。</w:t>
      </w:r>
    </w:p>
    <w:p w14:paraId="5B1AA538">
      <w:pPr>
        <w:snapToGrid w:val="0"/>
        <w:spacing w:line="500" w:lineRule="exact"/>
        <w:ind w:firstLine="422" w:firstLineChars="200"/>
        <w:outlineLvl w:val="0"/>
        <w:rPr>
          <w:rFonts w:hint="eastAsia" w:hAnsi="宋体" w:cs="宋体"/>
          <w:color w:val="auto"/>
          <w:sz w:val="21"/>
          <w:szCs w:val="21"/>
          <w:highlight w:val="none"/>
        </w:rPr>
      </w:pPr>
      <w:r>
        <w:rPr>
          <w:rFonts w:hint="eastAsia" w:hAnsi="宋体" w:cs="宋体"/>
          <w:b/>
          <w:color w:val="auto"/>
          <w:sz w:val="21"/>
          <w:szCs w:val="21"/>
          <w:highlight w:val="none"/>
        </w:rPr>
        <w:t>注：本项目投标价格的信息只允许出现在“报价文件”中，不得出现在资格文件、商务技术文件中。</w:t>
      </w:r>
    </w:p>
    <w:p w14:paraId="78B7A3B9">
      <w:pPr>
        <w:snapToGrid w:val="0"/>
        <w:spacing w:line="500" w:lineRule="exact"/>
        <w:ind w:firstLine="422" w:firstLineChars="200"/>
        <w:textAlignment w:val="bottom"/>
        <w:rPr>
          <w:rFonts w:hint="eastAsia" w:hAnsi="宋体" w:cs="宋体"/>
          <w:b/>
          <w:color w:val="auto"/>
          <w:sz w:val="21"/>
          <w:szCs w:val="21"/>
          <w:highlight w:val="none"/>
        </w:rPr>
      </w:pPr>
      <w:r>
        <w:rPr>
          <w:rFonts w:hint="eastAsia" w:hAnsi="宋体" w:cs="宋体"/>
          <w:b/>
          <w:color w:val="auto"/>
          <w:sz w:val="21"/>
          <w:szCs w:val="21"/>
          <w:highlight w:val="none"/>
        </w:rPr>
        <w:t>1.资格文件部分</w:t>
      </w:r>
    </w:p>
    <w:p w14:paraId="081F5B2E">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（1）投标人（包括投标联合体各方）有效期内的营业执照</w:t>
      </w:r>
      <w:r>
        <w:rPr>
          <w:rFonts w:hint="eastAsia" w:hAnsi="宋体" w:cs="宋体"/>
          <w:color w:val="auto"/>
          <w:sz w:val="21"/>
          <w:szCs w:val="21"/>
          <w:highlight w:val="none"/>
          <w:lang w:val="en-US" w:eastAsia="zh-CN"/>
        </w:rPr>
        <w:t>或社团登记证</w:t>
      </w:r>
      <w:r>
        <w:rPr>
          <w:rFonts w:hint="eastAsia" w:hAnsi="宋体" w:cs="宋体"/>
          <w:color w:val="auto"/>
          <w:sz w:val="21"/>
          <w:szCs w:val="21"/>
          <w:highlight w:val="none"/>
        </w:rPr>
        <w:t>副本（复印件加盖有效公章）；</w:t>
      </w:r>
    </w:p>
    <w:p w14:paraId="0DEB6CE6">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（2）投标人（包括投标联合体各方）符合参加政府采购活动应当具备的一般条件的承诺函（格式见附件）。</w:t>
      </w:r>
    </w:p>
    <w:p w14:paraId="6AB73B74">
      <w:pPr>
        <w:widowControl/>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（3）本项目的特定资格要求；（格式见附件）</w:t>
      </w:r>
    </w:p>
    <w:p w14:paraId="42920EE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（4）联合协议（联合体投标时须提供，格式见附件）。</w:t>
      </w:r>
    </w:p>
    <w:p w14:paraId="4733790C">
      <w:pPr>
        <w:autoSpaceDE/>
        <w:autoSpaceDN/>
        <w:snapToGrid w:val="0"/>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bCs/>
          <w:color w:val="auto"/>
          <w:sz w:val="21"/>
          <w:szCs w:val="21"/>
          <w:highlight w:val="none"/>
        </w:rPr>
        <w:t>商务技术文件</w:t>
      </w:r>
    </w:p>
    <w:p w14:paraId="1FFEA288">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（1）投标人技术商务标自评得分汇总表；（格式见附件）；</w:t>
      </w:r>
    </w:p>
    <w:p w14:paraId="19DAAD73">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（2）投标人（或投标联合体牵头人）法定代表人身份证明、</w:t>
      </w:r>
      <w:r>
        <w:rPr>
          <w:rFonts w:hint="eastAsia" w:hAnsi="宋体" w:cs="宋体"/>
          <w:color w:val="auto"/>
          <w:sz w:val="21"/>
          <w:highlight w:val="none"/>
        </w:rPr>
        <w:t>法定代表人授权委托书</w:t>
      </w:r>
      <w:r>
        <w:rPr>
          <w:rFonts w:hint="eastAsia" w:hAnsi="宋体" w:cs="宋体"/>
          <w:color w:val="auto"/>
          <w:sz w:val="21"/>
          <w:szCs w:val="21"/>
          <w:highlight w:val="none"/>
        </w:rPr>
        <w:t>（格式见附件，如法定代表人本人参加的，则仅须提供法定代表人身份证明及法定代表人身份证复印件）；</w:t>
      </w:r>
    </w:p>
    <w:p w14:paraId="3563FDCD">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（3）投标人（包括投标联合体各方）情况表（格式见附件）；</w:t>
      </w:r>
    </w:p>
    <w:p w14:paraId="7FD31D14">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（4）投标人（包括投标联合体各方）相关资质证书及获得的相关荣誉证书（扫描件或复印件加盖单位公章）；</w:t>
      </w:r>
    </w:p>
    <w:p w14:paraId="11960A88">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（5）投标人（包括投标联合体各方）2023年1月1日以来类似案例成功的业绩（格式见附件）；</w:t>
      </w:r>
    </w:p>
    <w:p w14:paraId="5C3A3532">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（6）拟投入本项目的服务人员配置表（格式见附件）；</w:t>
      </w:r>
    </w:p>
    <w:p w14:paraId="717B3148">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（7）商务技术偏离表（格式见附件）；</w:t>
      </w:r>
    </w:p>
    <w:p w14:paraId="001219F2">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（8）针对本项目的服务方案（格式自拟）；</w:t>
      </w:r>
    </w:p>
    <w:p w14:paraId="342E8F50">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（9）投标人（包括投标联合体各方）需要说明的其他文件和说明（格式略）。</w:t>
      </w:r>
    </w:p>
    <w:p w14:paraId="1B48CD66">
      <w:pPr>
        <w:autoSpaceDE/>
        <w:autoSpaceDN/>
        <w:snapToGrid w:val="0"/>
        <w:spacing w:line="500" w:lineRule="exact"/>
        <w:ind w:firstLine="420" w:firstLineChars="200"/>
        <w:jc w:val="both"/>
        <w:rPr>
          <w:rFonts w:hint="eastAsia" w:hAnsi="宋体" w:cs="宋体"/>
          <w:b/>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注：资格文件、</w:t>
      </w:r>
      <w:r>
        <w:rPr>
          <w:rFonts w:hint="eastAsia" w:hAnsi="宋体" w:cs="宋体"/>
          <w:b/>
          <w:bCs/>
          <w:color w:val="auto"/>
          <w:sz w:val="21"/>
          <w:szCs w:val="21"/>
          <w:highlight w:val="none"/>
        </w:rPr>
        <w:t>商务技术标</w:t>
      </w:r>
      <w:r>
        <w:rPr>
          <w:rFonts w:hint="eastAsia" w:hAnsi="宋体" w:cs="宋体"/>
          <w:b/>
          <w:color w:val="auto"/>
          <w:sz w:val="21"/>
          <w:szCs w:val="21"/>
          <w:highlight w:val="none"/>
        </w:rPr>
        <w:t>中不得含有报价的信息，否则按废标处理。</w:t>
      </w:r>
    </w:p>
    <w:p w14:paraId="5A7CF9D2">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3.报价文件</w:t>
      </w:r>
    </w:p>
    <w:p w14:paraId="66BAEF05">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（1）投标函（格式见附件）；</w:t>
      </w:r>
    </w:p>
    <w:p w14:paraId="31046C7B">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（2）开标（报价）一览表（格式见附件）；</w:t>
      </w:r>
    </w:p>
    <w:p w14:paraId="75E3D371">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（3）《中小企业声明函》（如有）；（本项目采购标的对应的中小企业划分标准所属行业为“其他未列明行业”；格式见附件，如未提供的，评审时不给予政策性价格扣除）；</w:t>
      </w:r>
    </w:p>
    <w:p w14:paraId="26C0851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（4）投标人（包括投标联合体各方）针对报价需要说明的其他文件和说明（格式自拟）。</w:t>
      </w:r>
    </w:p>
    <w:p w14:paraId="7AA8482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（三）投标文件的语言及计量</w:t>
      </w:r>
    </w:p>
    <w:p w14:paraId="112A683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1.投标文件以及投标人与采购人就有关投标事宜的所有来往函电，均应以中文汉语书写。除签名、盖章、专用名称等特殊情形外，以中文汉语以外的文字表述的投标文件视同未提供。</w:t>
      </w:r>
    </w:p>
    <w:p w14:paraId="0DD6917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31E52F54">
      <w:pPr>
        <w:autoSpaceDE/>
        <w:autoSpaceDN/>
        <w:adjustRightInd/>
        <w:snapToGrid w:val="0"/>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（四）投标报价</w:t>
      </w:r>
    </w:p>
    <w:p w14:paraId="3EFC09E4">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1.投标报价应按招标文件中相关附表格式填写。</w:t>
      </w:r>
    </w:p>
    <w:p w14:paraId="2420160A">
      <w:pPr>
        <w:autoSpaceDE/>
        <w:autoSpaceDN/>
        <w:adjustRightInd/>
        <w:spacing w:line="500" w:lineRule="exact"/>
        <w:ind w:firstLine="420" w:firstLineChars="200"/>
        <w:jc w:val="both"/>
        <w:rPr>
          <w:rFonts w:hint="eastAsia" w:hAnsi="宋体" w:cs="宋体"/>
          <w:bCs/>
          <w:color w:val="auto"/>
          <w:sz w:val="21"/>
          <w:szCs w:val="21"/>
          <w:highlight w:val="none"/>
        </w:rPr>
      </w:pPr>
      <w:r>
        <w:rPr>
          <w:rFonts w:hint="eastAsia" w:hAnsi="宋体" w:cs="宋体"/>
          <w:bCs/>
          <w:color w:val="auto"/>
          <w:sz w:val="21"/>
          <w:szCs w:val="21"/>
          <w:highlight w:val="none"/>
        </w:rPr>
        <w:t>★</w:t>
      </w:r>
      <w:r>
        <w:rPr>
          <w:rFonts w:hint="eastAsia" w:hAnsi="宋体" w:cs="宋体"/>
          <w:b/>
          <w:bCs/>
          <w:color w:val="auto"/>
          <w:sz w:val="21"/>
          <w:szCs w:val="21"/>
          <w:highlight w:val="none"/>
        </w:rPr>
        <w:t>2.</w:t>
      </w:r>
      <w:r>
        <w:rPr>
          <w:rFonts w:hint="eastAsia" w:hAnsi="宋体" w:cs="宋体"/>
          <w:bCs/>
          <w:color w:val="auto"/>
          <w:sz w:val="21"/>
          <w:szCs w:val="21"/>
          <w:highlight w:val="none"/>
        </w:rPr>
        <w:t>投标报价是履行合同的最终价格，包括公益创投入围项目优化提升、专业督导、项目实训、监测与评估、</w:t>
      </w:r>
      <w:r>
        <w:rPr>
          <w:rFonts w:hint="eastAsia" w:hAnsi="宋体" w:cs="宋体"/>
          <w:bCs/>
          <w:color w:val="auto"/>
          <w:sz w:val="21"/>
          <w:szCs w:val="21"/>
          <w:highlight w:val="none"/>
          <w:lang w:val="en-US" w:eastAsia="zh-CN"/>
        </w:rPr>
        <w:t>助联体运营、</w:t>
      </w:r>
      <w:r>
        <w:rPr>
          <w:rFonts w:hint="eastAsia" w:ascii="宋体" w:hAnsi="宋体" w:eastAsia="宋体" w:cs="宋体"/>
          <w:bCs/>
          <w:color w:val="auto"/>
          <w:sz w:val="21"/>
          <w:szCs w:val="21"/>
          <w:highlight w:val="none"/>
        </w:rPr>
        <w:t>资源</w:t>
      </w:r>
      <w:r>
        <w:rPr>
          <w:rFonts w:hint="eastAsia" w:hAnsi="宋体" w:cs="宋体"/>
          <w:bCs/>
          <w:color w:val="auto"/>
          <w:sz w:val="21"/>
          <w:szCs w:val="21"/>
          <w:highlight w:val="none"/>
          <w:lang w:val="en-US" w:eastAsia="zh-CN"/>
        </w:rPr>
        <w:t>引进、</w:t>
      </w:r>
      <w:r>
        <w:rPr>
          <w:rFonts w:hint="eastAsia" w:ascii="宋体" w:hAnsi="宋体" w:eastAsia="宋体" w:cs="宋体"/>
          <w:bCs/>
          <w:color w:val="auto"/>
          <w:sz w:val="21"/>
          <w:szCs w:val="21"/>
          <w:highlight w:val="none"/>
        </w:rPr>
        <w:t>救助帮扶服务</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培训、</w:t>
      </w:r>
      <w:r>
        <w:rPr>
          <w:rFonts w:hint="eastAsia" w:ascii="宋体" w:hAnsi="宋体" w:eastAsia="宋体" w:cs="宋体"/>
          <w:bCs/>
          <w:color w:val="auto"/>
          <w:sz w:val="21"/>
          <w:szCs w:val="21"/>
          <w:highlight w:val="none"/>
        </w:rPr>
        <w:t>政策宣讲</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宣传与总结等</w:t>
      </w:r>
      <w:r>
        <w:rPr>
          <w:rFonts w:hint="eastAsia" w:hAnsi="宋体" w:cs="Arial"/>
          <w:color w:val="auto"/>
          <w:sz w:val="21"/>
          <w:szCs w:val="21"/>
          <w:highlight w:val="none"/>
        </w:rPr>
        <w:t>服务所需的人工、管理、办公、培训、</w:t>
      </w:r>
      <w:r>
        <w:rPr>
          <w:rFonts w:hint="eastAsia" w:hAnsi="宋体" w:cs="宋体"/>
          <w:color w:val="auto"/>
          <w:sz w:val="21"/>
          <w:szCs w:val="21"/>
          <w:highlight w:val="none"/>
        </w:rPr>
        <w:t>成果报告制作、</w:t>
      </w:r>
      <w:r>
        <w:rPr>
          <w:rFonts w:hint="eastAsia" w:hAnsi="宋体" w:cs="Arial"/>
          <w:color w:val="auto"/>
          <w:sz w:val="21"/>
          <w:szCs w:val="21"/>
          <w:highlight w:val="none"/>
        </w:rPr>
        <w:t>后续服务、各种税费、采购代理服务费、技术支持以及完成本服务项目的其他所有费用</w:t>
      </w:r>
      <w:r>
        <w:rPr>
          <w:rFonts w:hint="eastAsia" w:hAnsi="宋体" w:cs="宋体"/>
          <w:bCs/>
          <w:color w:val="auto"/>
          <w:sz w:val="21"/>
          <w:szCs w:val="21"/>
          <w:highlight w:val="none"/>
          <w:lang w:val="zh-CN"/>
        </w:rPr>
        <w:t>等与项目相关的一切费用</w:t>
      </w:r>
      <w:r>
        <w:rPr>
          <w:rFonts w:hint="eastAsia" w:hAnsi="宋体" w:cs="宋体"/>
          <w:bCs/>
          <w:color w:val="auto"/>
          <w:sz w:val="21"/>
          <w:szCs w:val="21"/>
          <w:highlight w:val="none"/>
        </w:rPr>
        <w:t>。投标人应参照国家的相应标准，结合自身综合实力、市场行情、本项目具体特点和技术要求自行报价。除政策性文件规定以外，投标人所报价格在合同实施期间不因市场变化因素而变动。</w:t>
      </w:r>
    </w:p>
    <w:p w14:paraId="1500F0E8">
      <w:pPr>
        <w:autoSpaceDE/>
        <w:autoSpaceDN/>
        <w:adjustRightInd/>
        <w:spacing w:line="500" w:lineRule="exact"/>
        <w:ind w:firstLine="420" w:firstLineChars="200"/>
        <w:jc w:val="both"/>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投标人不得进行影响产品（或服务、工程）质量或者诚信履约的恶意报价。投标人在项目评审前准备好报价核算、报价明细、报价说明等材料，以备评审专家核查。★本项目约定，投标人报价低于项目预算50%的，应当在报价文件中详细阐述不影响产品（或服务、工程）质量或者诚信履约的具体原因。</w:t>
      </w:r>
    </w:p>
    <w:p w14:paraId="7B202E6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.投标文件只允许有一个报价，有选择的或有条件的报价将不予接受。</w:t>
      </w:r>
    </w:p>
    <w:p w14:paraId="5CD4E61F">
      <w:pPr>
        <w:pStyle w:val="45"/>
        <w:numPr>
          <w:ilvl w:val="255"/>
          <w:numId w:val="0"/>
        </w:numPr>
        <w:snapToGrid w:val="0"/>
        <w:spacing w:after="0" w:line="500" w:lineRule="exact"/>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根据《中华人民共和国政府采购法实施条例》第十一条、《政府采购货物和服务招标投标管理办法》（财政部87号令）第六条关于“采购人不得向供应商索要或者接受其给予的赠品、回扣或者与采购无关的其他商品、服务。”的规定，本项目采购人不接受供应商给予的赠品、回扣或者与采购无关的其他商品、服务，也不接受供应商以赠品作为优惠条件。供应商在报价时不能以“赠送、赠予、免费或0元”或“回扣”等形式提供项目部分或全部货物和服务，也不能提供与采购无关的其他商品、服务，否则，供应商提供的响应文件将被作无效投标处理，即使成交也将被取消成交资格。</w:t>
      </w:r>
    </w:p>
    <w:p w14:paraId="64489AD9">
      <w:pPr>
        <w:pStyle w:val="45"/>
        <w:numPr>
          <w:ilvl w:val="255"/>
          <w:numId w:val="0"/>
        </w:numPr>
        <w:snapToGrid w:val="0"/>
        <w:spacing w:after="0"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（五）投标文件的有效期</w:t>
      </w:r>
    </w:p>
    <w:p w14:paraId="32314669">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1.自投标截止日起90天投标文件应保持有效。有效期不足的投标文件将被拒绝。</w:t>
      </w:r>
    </w:p>
    <w:p w14:paraId="619FF150">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2.在特殊情况下，采购人可与投标人协商延长投标书的有效期，这种要求和答复均以书面形式进行。</w:t>
      </w:r>
    </w:p>
    <w:p w14:paraId="49146381">
      <w:pPr>
        <w:spacing w:line="500" w:lineRule="exact"/>
        <w:ind w:firstLine="420" w:firstLineChars="200"/>
        <w:rPr>
          <w:rFonts w:hint="eastAsia" w:hAnsi="宋体" w:cs="宋体"/>
          <w:color w:val="auto"/>
          <w:highlight w:val="none"/>
        </w:rPr>
      </w:pPr>
      <w:r>
        <w:rPr>
          <w:rFonts w:hint="eastAsia" w:hAnsi="宋体" w:cs="宋体"/>
          <w:color w:val="auto"/>
          <w:sz w:val="21"/>
          <w:szCs w:val="21"/>
          <w:highlight w:val="none"/>
        </w:rPr>
        <w:t>3.投标人可拒绝接受延期要求。同意延长有效期的，不能以此为由修改投标文件。</w:t>
      </w:r>
    </w:p>
    <w:p w14:paraId="6F9092C1">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4.中标人的投标文件自开标之日起至合同履行完毕止均应保持有效。</w:t>
      </w:r>
    </w:p>
    <w:p w14:paraId="3BAC95BA">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（六）投标文件的签署和份数</w:t>
      </w:r>
    </w:p>
    <w:p w14:paraId="447FE1CB">
      <w:pPr>
        <w:snapToGrid w:val="0"/>
        <w:spacing w:line="460" w:lineRule="exact"/>
        <w:ind w:firstLine="420"/>
        <w:rPr>
          <w:rFonts w:hint="eastAsia"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电子投标文件部分：</w:t>
      </w:r>
    </w:p>
    <w:p w14:paraId="057865E8">
      <w:pPr>
        <w:snapToGrid w:val="0"/>
        <w:spacing w:line="460" w:lineRule="exact"/>
        <w:ind w:firstLine="420"/>
        <w:rPr>
          <w:rFonts w:hint="eastAsia" w:hAnsi="宋体" w:cs="宋体"/>
          <w:color w:val="auto"/>
          <w:sz w:val="21"/>
          <w:highlight w:val="none"/>
        </w:rPr>
      </w:pPr>
      <w:r>
        <w:rPr>
          <w:rFonts w:hint="eastAsia" w:hAnsi="宋体" w:cs="宋体"/>
          <w:color w:val="auto"/>
          <w:sz w:val="21"/>
          <w:highlight w:val="none"/>
        </w:rPr>
        <w:t>投标人应根据“政采云供应商项目采购-电子交易操作指南”及本招标文件规定的格式和顺序编制电子投标文件并进行关联定位。</w:t>
      </w:r>
    </w:p>
    <w:p w14:paraId="5E4D45F9">
      <w:pPr>
        <w:autoSpaceDE/>
        <w:autoSpaceDN/>
        <w:adjustRightInd/>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2.投标文件的盖章：投标文件中所涉及的加盖公章均可采用CA电子签章，或投标单位可以线下盖章后扫描上传。联合体投标的，投标文件须由联合体牵头人在规定位置盖章（除采购文件中有特殊要求的，以具体约定为准）。</w:t>
      </w:r>
    </w:p>
    <w:p w14:paraId="53D8029C">
      <w:pPr>
        <w:snapToGrid w:val="0"/>
        <w:spacing w:line="460" w:lineRule="exact"/>
        <w:ind w:firstLine="420"/>
        <w:rPr>
          <w:rFonts w:hint="eastAsia" w:hAnsi="宋体" w:cs="宋体"/>
          <w:color w:val="auto"/>
          <w:sz w:val="21"/>
          <w:highlight w:val="none"/>
        </w:rPr>
      </w:pPr>
      <w:r>
        <w:rPr>
          <w:rFonts w:hint="eastAsia" w:hAnsi="宋体" w:cs="宋体"/>
          <w:color w:val="auto"/>
          <w:sz w:val="21"/>
          <w:highlight w:val="none"/>
        </w:rPr>
        <w:t>3.法定代表人或其授权代表签字或盖章：本招标文件所涉及的法定代表人或其授权代表签字或盖章的内容，投标单位可采用投标人法定代表人电子签章，也可以线下签字或盖章后扫描上传。</w:t>
      </w:r>
    </w:p>
    <w:p w14:paraId="19002EA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（七）投标文件的包装、递交、修改和撤回</w:t>
      </w:r>
    </w:p>
    <w:p w14:paraId="4A133ADF">
      <w:pPr>
        <w:autoSpaceDE/>
        <w:autoSpaceDN/>
        <w:adjustRightInd/>
        <w:snapToGrid w:val="0"/>
        <w:spacing w:line="460" w:lineRule="exact"/>
        <w:ind w:firstLine="420"/>
        <w:jc w:val="both"/>
        <w:rPr>
          <w:rFonts w:hint="eastAsia" w:hAnsi="宋体" w:cs="宋体"/>
          <w:b/>
          <w:bCs/>
          <w:color w:val="auto"/>
          <w:sz w:val="21"/>
          <w:szCs w:val="21"/>
          <w:highlight w:val="none"/>
        </w:rPr>
      </w:pPr>
      <w:r>
        <w:rPr>
          <w:rFonts w:hint="eastAsia" w:hAnsi="宋体" w:cs="宋体"/>
          <w:b/>
          <w:bCs/>
          <w:color w:val="auto"/>
          <w:sz w:val="21"/>
          <w:szCs w:val="21"/>
          <w:highlight w:val="none"/>
        </w:rPr>
        <w:t>1．投标人应当在投标截止时间前在“政采云”（</w:t>
      </w:r>
      <w:r>
        <w:rPr>
          <w:rFonts w:hint="eastAsia" w:hAnsi="宋体" w:cs="宋体"/>
          <w:color w:val="auto"/>
          <w:sz w:val="21"/>
          <w:szCs w:val="21"/>
          <w:highlight w:val="none"/>
          <w:shd w:val="clear" w:color="auto" w:fill="FFFFFF"/>
        </w:rPr>
        <w:t xml:space="preserve"> 电子交易客户端</w:t>
      </w:r>
      <w:r>
        <w:rPr>
          <w:rFonts w:hint="eastAsia" w:hAnsi="宋体" w:cs="宋体"/>
          <w:b/>
          <w:bCs/>
          <w:color w:val="auto"/>
          <w:sz w:val="21"/>
          <w:szCs w:val="21"/>
          <w:highlight w:val="none"/>
        </w:rPr>
        <w:t>）上自行上传加密的电子投标文件。</w:t>
      </w:r>
    </w:p>
    <w:p w14:paraId="33DFF98A">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2.投标人未在“政采云”（</w:t>
      </w:r>
      <w:r>
        <w:rPr>
          <w:rFonts w:hint="eastAsia" w:hAnsi="宋体" w:cs="宋体"/>
          <w:color w:val="auto"/>
          <w:sz w:val="21"/>
          <w:szCs w:val="21"/>
          <w:highlight w:val="none"/>
          <w:shd w:val="clear" w:color="auto" w:fill="FFFFFF"/>
        </w:rPr>
        <w:t xml:space="preserve"> 电子交易客户端</w:t>
      </w:r>
      <w:r>
        <w:rPr>
          <w:rFonts w:hint="eastAsia" w:hAnsi="宋体" w:cs="宋体"/>
          <w:color w:val="auto"/>
          <w:sz w:val="21"/>
          <w:szCs w:val="21"/>
          <w:highlight w:val="none"/>
        </w:rPr>
        <w:t>）上自行上传加密的电子投标文件的，投标无效。</w:t>
      </w:r>
    </w:p>
    <w:p w14:paraId="4840084D">
      <w:pPr>
        <w:autoSpaceDE/>
        <w:autoSpaceDN/>
        <w:adjustRightInd/>
        <w:spacing w:line="500" w:lineRule="exact"/>
        <w:ind w:firstLine="422" w:firstLineChars="200"/>
        <w:jc w:val="both"/>
        <w:rPr>
          <w:rFonts w:hint="eastAsia" w:hAnsi="宋体" w:cs="宋体"/>
          <w:b/>
          <w:bCs/>
          <w:color w:val="auto"/>
          <w:sz w:val="21"/>
          <w:szCs w:val="21"/>
          <w:highlight w:val="none"/>
        </w:rPr>
      </w:pPr>
      <w:r>
        <w:rPr>
          <w:rFonts w:hint="eastAsia" w:hAnsi="宋体" w:cs="宋体"/>
          <w:b/>
          <w:bCs/>
          <w:color w:val="auto"/>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94552B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4.截止开标时间，政采云（</w:t>
      </w:r>
      <w:r>
        <w:rPr>
          <w:rFonts w:hint="eastAsia" w:hAnsi="宋体" w:cs="宋体"/>
          <w:color w:val="auto"/>
          <w:sz w:val="21"/>
          <w:szCs w:val="21"/>
          <w:highlight w:val="none"/>
          <w:shd w:val="clear" w:color="auto" w:fill="FFFFFF"/>
        </w:rPr>
        <w:t>电子交易客户端</w:t>
      </w:r>
      <w:r>
        <w:rPr>
          <w:rFonts w:hint="eastAsia" w:hAnsi="宋体" w:cs="宋体"/>
          <w:color w:val="auto"/>
          <w:sz w:val="21"/>
          <w:szCs w:val="21"/>
          <w:highlight w:val="none"/>
        </w:rPr>
        <w:t>）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11970B7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（八）投标无效的情形</w:t>
      </w:r>
    </w:p>
    <w:p w14:paraId="20A276BE">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69E3B99">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1.在符合性审查和商务评审时，如发现下列情形之一的，投标文件将被视为无效：</w:t>
      </w:r>
    </w:p>
    <w:p w14:paraId="01F13A1E">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（1）资格证明文件不全的，或者不符合招标文件标明的资格要求的；</w:t>
      </w:r>
    </w:p>
    <w:p w14:paraId="4F7BE1BC">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（2）投标文件无投标人的法定代表人（或其授权代表）签字或盖章,或未提供法定代表人授权委托书或者填写项目不齐全的；</w:t>
      </w:r>
    </w:p>
    <w:p w14:paraId="02065221">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（3）投标代表人未能出具身份证明或与法定代表人授权委托人身份不符的；</w:t>
      </w:r>
    </w:p>
    <w:p w14:paraId="321ED8E9">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（4）投标文件格式不规范、项目不齐全或者内容虚假的；</w:t>
      </w:r>
    </w:p>
    <w:p w14:paraId="3DAEC7CA">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3BD5C1D3">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w:t>
      </w:r>
      <w:r>
        <w:rPr>
          <w:rFonts w:hint="eastAsia" w:hAnsi="宋体" w:cs="宋体"/>
          <w:color w:val="auto"/>
          <w:sz w:val="21"/>
          <w:highlight w:val="none"/>
        </w:rPr>
        <w:t>投标有效期、服务时间、付款方式等商务条款不能满足招标文件要求的</w:t>
      </w:r>
      <w:r>
        <w:rPr>
          <w:rFonts w:hint="eastAsia" w:hAnsi="宋体" w:cs="宋体"/>
          <w:color w:val="auto"/>
          <w:sz w:val="21"/>
          <w:szCs w:val="21"/>
          <w:highlight w:val="none"/>
        </w:rPr>
        <w:t>；</w:t>
      </w:r>
    </w:p>
    <w:p w14:paraId="61C0E758">
      <w:pPr>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（7）电子投标文件解密失败的；</w:t>
      </w:r>
    </w:p>
    <w:p w14:paraId="451491F4">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（8）同一IP地址上传投标、响应文件；</w:t>
      </w:r>
    </w:p>
    <w:p w14:paraId="395EBA2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（9）联合体投标的没有提交共同投标协议（联合协议）的；</w:t>
      </w:r>
    </w:p>
    <w:p w14:paraId="592C81CA">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（10）未实质性响应招标文件要求或者投标文件有采购人不能接受的附加条件的。</w:t>
      </w:r>
    </w:p>
    <w:p w14:paraId="10B1DE78">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2.在技术评审时，如发现下列情形之一的，投标文件将被视为无效：</w:t>
      </w:r>
    </w:p>
    <w:p w14:paraId="2770B5C3">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（1）不符合法律、法规和招标文件中规定的其他实质性要求的（评标委员会一致认定）的；</w:t>
      </w:r>
    </w:p>
    <w:p w14:paraId="41AD034E">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（2）明显不符合招标文件服务要求、服务质量标准，或者与招标文件中标“★”的服务要求项目发生实质性偏离的；</w:t>
      </w:r>
    </w:p>
    <w:p w14:paraId="104DA616">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（3）允许偏离的技术、性能指标或者辅助功能项目发生负偏离达10项（含）以上的；</w:t>
      </w:r>
    </w:p>
    <w:p w14:paraId="63E68357">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（4）投标技术方案不明确，存在一个或一个以上备选（替代）投标方案的；</w:t>
      </w:r>
    </w:p>
    <w:p w14:paraId="54842FA0">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（5）与其他参加本次投标单位的投标文件（技术文件）的文字表述内容相同连续20行以上或者差错相同3处以上的。</w:t>
      </w:r>
    </w:p>
    <w:p w14:paraId="3B3E1153">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3.在报价评审时，如发现下列情形之一的，投标文件将被视为无效：</w:t>
      </w:r>
    </w:p>
    <w:p w14:paraId="76681A48">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（1）未采用人民币报价或者未按照招标文件标明的币种报价的；</w:t>
      </w:r>
    </w:p>
    <w:p w14:paraId="6A1B0D91">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（2）投标报价具有选择性，或者开标价格与投标文件承诺的优惠价格不一致的；</w:t>
      </w:r>
    </w:p>
    <w:p w14:paraId="5CF96039">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（3）投标报价明细表总额与开标（报价）一览表总价不一致，且投标人拒绝按招标文件规定的方式进行错误修正的，或无法按“（五）错误修正”中的规定进行修正的；</w:t>
      </w:r>
    </w:p>
    <w:p w14:paraId="2880D514">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（4）投标人的投报报价超过最高限价的；</w:t>
      </w:r>
    </w:p>
    <w:p w14:paraId="56CCEBB2">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评标委员会一致认为投标人报价或某些分项报价明显不合理，有降低质量、不能诚信履约的可能，且该投标人未在规定期限内作出解释，或所作解释不合理，经评标委员会取得一致意见后，确定该投标无效的；</w:t>
      </w:r>
    </w:p>
    <w:p w14:paraId="46E8053F">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highlight w:val="none"/>
        </w:rPr>
        <w:t>（6）投标人在线制作投标文件时《开标（报价）一览表》中填写的金额与解密后“电子加密投标文件”中《开标（报价）一览表》填写的金额不一致的，以解密后“电子加密投标文件”中《开标（报价）一览表》填写的金额为准，投标人拒绝接受此调整的，按无效投标处理。</w:t>
      </w:r>
    </w:p>
    <w:p w14:paraId="72CA0DB4">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highlight w:val="none"/>
        </w:rPr>
        <w:t>有下列情形之一的，视为投标人串通投标，其投标无效：</w:t>
      </w:r>
    </w:p>
    <w:p w14:paraId="3BBD1A1A">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（1）不同投标人的投标文件由同一单位或者个人编制（同一IP地址上传投标、响应文件）；</w:t>
      </w:r>
    </w:p>
    <w:p w14:paraId="77431869">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（2）不同投标人委托同一单位或者个人办理投标事宜；</w:t>
      </w:r>
    </w:p>
    <w:p w14:paraId="72E64D66">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（3）不同投标人的投标文件载明的项目管理成员或者联系人员为同一人；</w:t>
      </w:r>
    </w:p>
    <w:p w14:paraId="4E8070DE">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（4）不同投标人的投标文件异常一致或者投标报价呈规律性差异；</w:t>
      </w:r>
    </w:p>
    <w:p w14:paraId="6F22A533">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（5）不同投标人的投标文件相互混装；</w:t>
      </w:r>
    </w:p>
    <w:p w14:paraId="5A163326">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（6）不同投标人的投标保证金</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如有</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从同一单位或者个人的账户转出</w:t>
      </w:r>
      <w:r>
        <w:rPr>
          <w:rFonts w:hint="eastAsia" w:hAnsi="宋体" w:cs="宋体"/>
          <w:color w:val="auto"/>
          <w:sz w:val="21"/>
          <w:highlight w:val="none"/>
          <w:lang w:eastAsia="zh-CN"/>
        </w:rPr>
        <w:t>；</w:t>
      </w:r>
    </w:p>
    <w:p w14:paraId="5C5910AB">
      <w:pPr>
        <w:keepNext w:val="0"/>
        <w:keepLines w:val="0"/>
        <w:pageBreakBefore w:val="0"/>
        <w:widowControl w:val="0"/>
        <w:kinsoku/>
        <w:overflowPunct/>
        <w:topLinePunct w:val="0"/>
        <w:autoSpaceDE/>
        <w:autoSpaceDN/>
        <w:bidi w:val="0"/>
        <w:snapToGrid w:val="0"/>
        <w:spacing w:line="500" w:lineRule="exact"/>
        <w:ind w:firstLine="420" w:firstLineChars="20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（7）其他被依法依规视同</w:t>
      </w:r>
      <w:r>
        <w:rPr>
          <w:rFonts w:hint="eastAsia" w:ascii="宋体" w:hAnsi="宋体" w:eastAsia="宋体" w:cs="宋体"/>
          <w:color w:val="auto"/>
          <w:sz w:val="21"/>
          <w:highlight w:val="none"/>
        </w:rPr>
        <w:t>串通投标</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围标的情形。</w:t>
      </w:r>
    </w:p>
    <w:p w14:paraId="02868548">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参与同一个标段(包)的供应商存在下列情形之一的，其投标(响应)文件无效：</w:t>
      </w:r>
    </w:p>
    <w:p w14:paraId="327FD3D9">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)不同供应商制作电子投标(响应)文件的计算机网卡MAC地址相同的；</w:t>
      </w:r>
    </w:p>
    <w:p w14:paraId="09B50D7E">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)不同供应商制作电子投标(响应)文件的计算机硬盘序列号相同的；</w:t>
      </w:r>
    </w:p>
    <w:p w14:paraId="7457D484">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)不同供应商的投标(响应)文件的内容存在两处以上细节错误一致，且无法合理解释的。</w:t>
      </w:r>
    </w:p>
    <w:p w14:paraId="5EA22136">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被拒绝的投标文件为无效投标文件。</w:t>
      </w:r>
    </w:p>
    <w:p w14:paraId="6D9CBDD6">
      <w:pPr>
        <w:autoSpaceDE/>
        <w:autoSpaceDN/>
        <w:snapToGrid w:val="0"/>
        <w:spacing w:line="500" w:lineRule="exact"/>
        <w:ind w:firstLine="482" w:firstLineChars="200"/>
        <w:jc w:val="both"/>
        <w:rPr>
          <w:rFonts w:hint="eastAsia" w:hAnsi="宋体" w:cs="宋体"/>
          <w:b/>
          <w:color w:val="auto"/>
          <w:sz w:val="24"/>
          <w:szCs w:val="24"/>
          <w:highlight w:val="none"/>
        </w:rPr>
      </w:pPr>
      <w:r>
        <w:rPr>
          <w:rFonts w:hint="eastAsia" w:hAnsi="宋体" w:cs="宋体"/>
          <w:b/>
          <w:color w:val="auto"/>
          <w:sz w:val="24"/>
          <w:szCs w:val="24"/>
          <w:highlight w:val="none"/>
        </w:rPr>
        <w:t>四、开标</w:t>
      </w:r>
    </w:p>
    <w:p w14:paraId="0E457E7B">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1.开标会由采购代理机构主持，宣布开标会议开始；</w:t>
      </w:r>
    </w:p>
    <w:p w14:paraId="4CCAA56B">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2.在开标后投标人登录“政采云”平台，用“项目采购-开标评标”功能进行解密投标文件。</w:t>
      </w:r>
    </w:p>
    <w:p w14:paraId="525A2862">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若投标人在规定时间内无法解密或解密失败的，视为投标文件撤回。</w:t>
      </w:r>
    </w:p>
    <w:p w14:paraId="0461FDC8">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1B8BED23">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0C4A70CF">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5.资信商务技术文件评审结果在线公布后，在线开启报价文件，并由评标委员会进行报价评审。</w:t>
      </w:r>
      <w:r>
        <w:rPr>
          <w:rFonts w:hint="eastAsia" w:hAnsi="宋体" w:cs="宋体"/>
          <w:color w:val="auto"/>
          <w:sz w:val="21"/>
          <w:highlight w:val="none"/>
        </w:rPr>
        <w:t>投标人在线制作投标</w:t>
      </w:r>
      <w:r>
        <w:rPr>
          <w:rFonts w:hint="eastAsia" w:hAnsi="宋体" w:cs="宋体"/>
          <w:b/>
          <w:color w:val="auto"/>
          <w:sz w:val="21"/>
          <w:szCs w:val="21"/>
          <w:highlight w:val="none"/>
        </w:rPr>
        <w:t>报价</w:t>
      </w:r>
      <w:r>
        <w:rPr>
          <w:rFonts w:hint="eastAsia" w:hAnsi="宋体" w:cs="宋体"/>
          <w:color w:val="auto"/>
          <w:sz w:val="21"/>
          <w:highlight w:val="none"/>
        </w:rPr>
        <w:t>文件中填写的金额与解密后“电子加密投标</w:t>
      </w:r>
      <w:r>
        <w:rPr>
          <w:rFonts w:hint="eastAsia" w:hAnsi="宋体" w:cs="宋体"/>
          <w:b/>
          <w:color w:val="auto"/>
          <w:sz w:val="21"/>
          <w:szCs w:val="21"/>
          <w:highlight w:val="none"/>
        </w:rPr>
        <w:t>报价</w:t>
      </w:r>
      <w:r>
        <w:rPr>
          <w:rFonts w:hint="eastAsia" w:hAnsi="宋体" w:cs="宋体"/>
          <w:color w:val="auto"/>
          <w:sz w:val="21"/>
          <w:highlight w:val="none"/>
        </w:rPr>
        <w:t>文件”中填写的金额不一致时，以解密后“电子加密投标</w:t>
      </w:r>
      <w:r>
        <w:rPr>
          <w:rFonts w:hint="eastAsia" w:hAnsi="宋体" w:cs="宋体"/>
          <w:b/>
          <w:color w:val="auto"/>
          <w:sz w:val="21"/>
          <w:szCs w:val="21"/>
          <w:highlight w:val="none"/>
        </w:rPr>
        <w:t>报价</w:t>
      </w:r>
      <w:r>
        <w:rPr>
          <w:rFonts w:hint="eastAsia" w:hAnsi="宋体" w:cs="宋体"/>
          <w:color w:val="auto"/>
          <w:sz w:val="21"/>
          <w:highlight w:val="none"/>
        </w:rPr>
        <w:t>文件”中填写的金额为准，投标人拒绝接受此规定的，按无效标处理。</w:t>
      </w:r>
    </w:p>
    <w:p w14:paraId="00F7544B">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 综合评审结果在线公布各投标人得分汇总，并在线提交（宣布）中标候选人。</w:t>
      </w:r>
    </w:p>
    <w:p w14:paraId="788C17A6">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7.评审结束后，代理机构宣布开标结束，并公布采购结果。</w:t>
      </w:r>
    </w:p>
    <w:p w14:paraId="0E5CEDF3">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注：政采云公司如对电子化开标及评审程序有调整的，按调整后的程序操作。</w:t>
      </w:r>
    </w:p>
    <w:p w14:paraId="09749104">
      <w:pPr>
        <w:autoSpaceDE/>
        <w:autoSpaceDN/>
        <w:adjustRightInd/>
        <w:spacing w:line="500" w:lineRule="exact"/>
        <w:ind w:firstLine="482" w:firstLineChars="200"/>
        <w:jc w:val="both"/>
        <w:rPr>
          <w:rFonts w:hint="eastAsia" w:hAnsi="宋体" w:cs="宋体"/>
          <w:b/>
          <w:color w:val="auto"/>
          <w:sz w:val="24"/>
          <w:szCs w:val="24"/>
          <w:highlight w:val="none"/>
        </w:rPr>
      </w:pPr>
      <w:r>
        <w:rPr>
          <w:rFonts w:hint="eastAsia" w:hAnsi="宋体" w:cs="宋体"/>
          <w:b/>
          <w:color w:val="auto"/>
          <w:sz w:val="24"/>
          <w:szCs w:val="24"/>
          <w:highlight w:val="none"/>
        </w:rPr>
        <w:t>五、评标</w:t>
      </w:r>
    </w:p>
    <w:p w14:paraId="2DE33E8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（一）组建评标委员会</w:t>
      </w:r>
    </w:p>
    <w:p w14:paraId="1907DD0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057C6F6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（二）评标的方式</w:t>
      </w:r>
    </w:p>
    <w:p w14:paraId="58020FF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本项目采用不公开方式评标，评标的依据为招标文件和投标文件。</w:t>
      </w:r>
    </w:p>
    <w:p w14:paraId="6DCC7B5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（三）评标程序</w:t>
      </w:r>
    </w:p>
    <w:p w14:paraId="183FC75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1.形式审查</w:t>
      </w:r>
    </w:p>
    <w:p w14:paraId="6492A8A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采购人代表和代理机构工作人员协助评标委员会对投标人的资格和投标文件的完整性、合法性等进行审查。</w:t>
      </w:r>
    </w:p>
    <w:p w14:paraId="4181838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2.实质审查与比较</w:t>
      </w:r>
    </w:p>
    <w:p w14:paraId="2F2D3F6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（1）评标委员会审查投标文件的实质性内容是否符合招标文件的实质性要求。</w:t>
      </w:r>
    </w:p>
    <w:p w14:paraId="3B13343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0EF1002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24CA706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（3）各投标人的技术商务得分为所有评委的有效评分的算术平均数，由指定专人进行计算复核。</w:t>
      </w:r>
    </w:p>
    <w:p w14:paraId="3D51093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（4）代理机构工作人员协助评标委员会根据本项目的评分标准计算各投标人的投标报价得分。</w:t>
      </w:r>
    </w:p>
    <w:p w14:paraId="1BD8495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（5）评标委员会完成评标后，评委对各部分得分汇总，计算出本项目最终得分、评标价等。评标委员会按评标原则推荐中标候选人同时起草评标报告。</w:t>
      </w:r>
    </w:p>
    <w:p w14:paraId="789ACF8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（四）澄清问题的形式</w:t>
      </w:r>
    </w:p>
    <w:p w14:paraId="6BE5124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543306A">
      <w:pPr>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本项目在线开评标进行时，投标人法定代表人或其授权代表需自行关注平台提示信息，期间如有发出“询标/澄清函”等相关线上函件时，因投标人自身原因逾期/错过回复时间，由此造成的后果由投标人自行承担。</w:t>
      </w:r>
    </w:p>
    <w:p w14:paraId="1024CE0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（五）错误修正</w:t>
      </w:r>
    </w:p>
    <w:p w14:paraId="3CEEF15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投标文件如果出现计算或表达上的错误，修正错误的原则如下：</w:t>
      </w:r>
    </w:p>
    <w:p w14:paraId="3123749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1.开标（报价）一览表总价与投标报价明细表汇总数不一致的，以开标（报价）一览表为准；</w:t>
      </w:r>
    </w:p>
    <w:p w14:paraId="4BD8F5A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2.投标文件的大写金额和小写金额不一致的，以大写金额为准；</w:t>
      </w:r>
    </w:p>
    <w:p w14:paraId="5032044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3.总价金额与按单价汇总金额不一致的，以单价金额计算结果为准；</w:t>
      </w:r>
    </w:p>
    <w:p w14:paraId="61C0F16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4.对不同文字文本投标文件的解释发生异议的，以中文文本为准。</w:t>
      </w:r>
    </w:p>
    <w:p w14:paraId="1676C5D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val="zh-TW" w:eastAsia="zh-TW"/>
        </w:rPr>
        <w:t>同时出现两种以上不一致的，按照前款规定的顺序修正。</w:t>
      </w:r>
      <w:r>
        <w:rPr>
          <w:rFonts w:hint="eastAsia" w:hAnsi="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3AECED4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（六）评标原则和评标办法</w:t>
      </w:r>
    </w:p>
    <w:p w14:paraId="722AE3B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B56077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2.评标办法。具体评标内容及评分标准等详见《第四章：评标办法及评分标准》。</w:t>
      </w:r>
    </w:p>
    <w:p w14:paraId="19B0A08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（七）评标过程的监控</w:t>
      </w:r>
    </w:p>
    <w:p w14:paraId="789A90D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本项目评标过程实行全程录音、录像监控，投标人在评标过程中所进行的试图影响评标结果的不公正活动，可能导致其投标被拒绝。</w:t>
      </w:r>
    </w:p>
    <w:p w14:paraId="7586EE19">
      <w:pPr>
        <w:autoSpaceDE/>
        <w:autoSpaceDN/>
        <w:adjustRightInd/>
        <w:spacing w:line="500" w:lineRule="exact"/>
        <w:ind w:firstLine="422" w:firstLineChars="200"/>
        <w:jc w:val="both"/>
        <w:rPr>
          <w:rFonts w:hint="eastAsia" w:hAnsi="宋体" w:cs="宋体"/>
          <w:b/>
          <w:bCs/>
          <w:color w:val="auto"/>
          <w:sz w:val="21"/>
          <w:szCs w:val="21"/>
          <w:highlight w:val="none"/>
        </w:rPr>
      </w:pPr>
      <w:r>
        <w:rPr>
          <w:rFonts w:hint="eastAsia" w:hAnsi="宋体" w:cs="宋体"/>
          <w:b/>
          <w:bCs/>
          <w:color w:val="auto"/>
          <w:sz w:val="21"/>
          <w:szCs w:val="21"/>
          <w:highlight w:val="none"/>
        </w:rPr>
        <w:t>（八）中止电子交易活动的情形</w:t>
      </w:r>
    </w:p>
    <w:p w14:paraId="38D69AC0">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采购过程中出现以下情形，导致电子交易平台无法正常运行，或者无法保证电子交易的公平、公正和安全时，中止电子交易活动：</w:t>
      </w:r>
    </w:p>
    <w:p w14:paraId="060A0211">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14:paraId="751B6F72">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14:paraId="33209DF5">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14:paraId="677A57F3">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4.病毒发作导致不能进行正常操作的；</w:t>
      </w:r>
    </w:p>
    <w:p w14:paraId="70B91D5C">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14:paraId="698028A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出现前款规定情形，不影响采购公平、公正性的，采购组织机构可以待上述情形消除后继续组织电子交易活动；影响或可能影响采购公平、公正性的，应当重新采购。</w:t>
      </w:r>
    </w:p>
    <w:p w14:paraId="31E7759F">
      <w:pPr>
        <w:autoSpaceDE/>
        <w:autoSpaceDN/>
        <w:adjustRightInd/>
        <w:spacing w:line="500" w:lineRule="exact"/>
        <w:ind w:firstLine="482" w:firstLineChars="200"/>
        <w:jc w:val="both"/>
        <w:rPr>
          <w:rFonts w:hint="eastAsia" w:hAnsi="宋体" w:cs="宋体"/>
          <w:b/>
          <w:color w:val="auto"/>
          <w:sz w:val="24"/>
          <w:szCs w:val="24"/>
          <w:highlight w:val="none"/>
        </w:rPr>
      </w:pPr>
      <w:r>
        <w:rPr>
          <w:rFonts w:hint="eastAsia" w:hAnsi="宋体" w:cs="宋体"/>
          <w:b/>
          <w:color w:val="auto"/>
          <w:sz w:val="24"/>
          <w:szCs w:val="24"/>
          <w:highlight w:val="none"/>
        </w:rPr>
        <w:t>六、定标</w:t>
      </w:r>
    </w:p>
    <w:p w14:paraId="2FD0108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（一）确定中标人。本项目由采购人（或采购人事先授权评标委员会）确定中标人。</w:t>
      </w:r>
    </w:p>
    <w:p w14:paraId="7886D48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1.采购代理机构在评标结束后2个工作日内将评标报告交采购人确认。</w:t>
      </w:r>
    </w:p>
    <w:p w14:paraId="0965018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2.投标人对评标结果无异议的，采购人应在收到评标报告后5个工作日内对评标结果进行确认。如有投标人对评标结果提出质疑的，采购人可在质疑处理完毕后确定中标人。</w:t>
      </w:r>
    </w:p>
    <w:p w14:paraId="1854CC4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3.中标结果公示期：1个工作日。</w:t>
      </w:r>
    </w:p>
    <w:p w14:paraId="6796859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4.中标结果公示的同时采购代理机构以书面形式发出《中标通知书》。</w:t>
      </w:r>
    </w:p>
    <w:p w14:paraId="7E45B4F8">
      <w:pPr>
        <w:autoSpaceDE/>
        <w:autoSpaceDN/>
        <w:adjustRightInd/>
        <w:spacing w:line="460" w:lineRule="exact"/>
        <w:ind w:firstLine="482" w:firstLineChars="200"/>
        <w:jc w:val="both"/>
        <w:rPr>
          <w:rFonts w:hint="eastAsia" w:hAnsi="宋体" w:cs="宋体"/>
          <w:b/>
          <w:color w:val="auto"/>
          <w:sz w:val="24"/>
          <w:szCs w:val="24"/>
          <w:highlight w:val="none"/>
        </w:rPr>
      </w:pPr>
      <w:r>
        <w:rPr>
          <w:rFonts w:hint="eastAsia" w:hAnsi="宋体" w:cs="宋体"/>
          <w:b/>
          <w:color w:val="auto"/>
          <w:sz w:val="24"/>
          <w:szCs w:val="24"/>
          <w:highlight w:val="none"/>
        </w:rPr>
        <w:t>七、合同授予</w:t>
      </w:r>
    </w:p>
    <w:p w14:paraId="4763941D">
      <w:pPr>
        <w:pStyle w:val="8"/>
        <w:autoSpaceDE/>
        <w:autoSpaceDN/>
        <w:adjustRightInd w:val="0"/>
        <w:snapToGrid w:val="0"/>
        <w:spacing w:line="50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 合同的签订</w:t>
      </w:r>
    </w:p>
    <w:p w14:paraId="7473CF7E">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1.1</w:t>
      </w:r>
      <w:r>
        <w:rPr>
          <w:rFonts w:hint="eastAsia" w:ascii="宋体" w:hAnsi="宋体" w:cs="宋体"/>
          <w:b w:val="0"/>
          <w:bCs/>
          <w:color w:val="auto"/>
          <w:sz w:val="21"/>
          <w:szCs w:val="21"/>
          <w:highlight w:val="none"/>
        </w:rPr>
        <w:t>根据《浙江省财政厅关于进一步规范政府采购秩序促进公平竞争的通知》（浙财采监〔2025〕2号）及政策解读相关要求，在评审结束后、合同签订前，招标人（采购人）、采购代理机构将对中标（成交）供应商在投标（响应）文件中涉及客观分评审内容的检测报告、认证证书等资料的真实性进行复核，中标（成交）供应商应在合同签订前及时提供相关检测报告、认证证书等资料的原件或查询网站（网址）给招标人（采购人）、采购代理机构进行真实性复核。</w:t>
      </w:r>
    </w:p>
    <w:p w14:paraId="472C801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除不可抗力等特殊情况外，采购人原则上应当在中标通知书发出之日起20日内，与中标人按照采购文件确定的事项签订政府采购合同，并在签订之日起2个工作日内将政府采购合同在浙江政府采购网上公告。</w:t>
      </w:r>
    </w:p>
    <w:p w14:paraId="09DCFE1F">
      <w:pPr>
        <w:pStyle w:val="112"/>
        <w:adjustRightInd w:val="0"/>
        <w:snapToGrid w:val="0"/>
        <w:spacing w:line="50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1</w:t>
      </w:r>
      <w:r>
        <w:rPr>
          <w:rFonts w:ascii="宋体" w:hAnsi="宋体" w:cs="宋体"/>
          <w:color w:val="auto"/>
          <w:kern w:val="0"/>
          <w:szCs w:val="21"/>
          <w:highlight w:val="none"/>
          <w:lang w:val="zh-CN"/>
        </w:rPr>
        <w:t>.</w:t>
      </w: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63B704D">
      <w:pPr>
        <w:pStyle w:val="112"/>
        <w:adjustRightInd w:val="0"/>
        <w:snapToGrid w:val="0"/>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4</w:t>
      </w:r>
      <w:r>
        <w:rPr>
          <w:rFonts w:ascii="宋体" w:hAnsi="宋体" w:cs="宋体"/>
          <w:color w:val="auto"/>
          <w:szCs w:val="21"/>
          <w:highlight w:val="none"/>
        </w:rPr>
        <w:t>如签订合同并生效后，供应商</w:t>
      </w:r>
      <w:r>
        <w:rPr>
          <w:rFonts w:hint="eastAsia" w:ascii="宋体" w:hAnsi="宋体" w:eastAsia="宋体" w:cs="宋体"/>
          <w:color w:val="auto"/>
          <w:szCs w:val="21"/>
          <w:highlight w:val="none"/>
        </w:rPr>
        <w:t>拖延、拒绝提供资料进行真实性符合复核，或拖延、拒签合同的，除按照合同条款处理外，列入不良行为记录一次，并给予通报。</w:t>
      </w:r>
    </w:p>
    <w:p w14:paraId="67B61CFE">
      <w:pPr>
        <w:pStyle w:val="112"/>
        <w:adjustRightInd w:val="0"/>
        <w:snapToGrid w:val="0"/>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ascii="宋体" w:hAnsi="宋体" w:cs="宋体"/>
          <w:color w:val="auto"/>
          <w:szCs w:val="21"/>
          <w:highlight w:val="none"/>
        </w:rPr>
        <w:t>中标人拒绝与采购人签订合同的，采购人可以按照评审报告推荐的中标或者成交候选人名单排序，确定下一候选人为中标人，也可以重新开展政府采购活动。</w:t>
      </w:r>
    </w:p>
    <w:p w14:paraId="1B90D8ED">
      <w:pPr>
        <w:pStyle w:val="112"/>
        <w:adjustRightInd w:val="0"/>
        <w:snapToGrid w:val="0"/>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6</w:t>
      </w:r>
      <w:r>
        <w:rPr>
          <w:rFonts w:ascii="宋体" w:hAnsi="宋体" w:cs="宋体"/>
          <w:color w:val="auto"/>
          <w:szCs w:val="21"/>
          <w:highlight w:val="none"/>
        </w:rPr>
        <w:t>采购合同由采购人与中标人根据采购文件、磋商响应文件等内容通过政府采购电子交易平台在线签订，自动备案。</w:t>
      </w:r>
    </w:p>
    <w:p w14:paraId="04C2DE31">
      <w:pPr>
        <w:pStyle w:val="112"/>
        <w:adjustRightInd w:val="0"/>
        <w:snapToGrid w:val="0"/>
        <w:spacing w:line="500" w:lineRule="exact"/>
        <w:ind w:firstLine="422" w:firstLineChars="200"/>
        <w:jc w:val="left"/>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lang w:val="en-US" w:eastAsia="zh-CN"/>
        </w:rPr>
        <w:t>7</w:t>
      </w:r>
      <w:r>
        <w:rPr>
          <w:rFonts w:ascii="宋体" w:hAnsi="宋体" w:cs="宋体"/>
          <w:b/>
          <w:bCs/>
          <w:color w:val="auto"/>
          <w:szCs w:val="21"/>
          <w:highlight w:val="none"/>
        </w:rPr>
        <w:t>政府采购货物和服务项目不得收取质量保证金。政府采购工程以及与工程建设有关的货物、服务，采用招标方式采购的，按国家和省有关规定执行。</w:t>
      </w:r>
    </w:p>
    <w:p w14:paraId="32465825">
      <w:pPr>
        <w:pStyle w:val="8"/>
        <w:autoSpaceDE/>
        <w:autoSpaceDN/>
        <w:adjustRightInd w:val="0"/>
        <w:snapToGrid w:val="0"/>
        <w:spacing w:line="50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2. 履约保证金（</w:t>
      </w:r>
      <w:r>
        <w:rPr>
          <w:rFonts w:hint="eastAsia" w:hAnsi="宋体" w:cs="宋体"/>
          <w:b/>
          <w:color w:val="auto"/>
          <w:sz w:val="21"/>
          <w:szCs w:val="21"/>
          <w:highlight w:val="none"/>
        </w:rPr>
        <w:t>本项目无须缴纳履约保证金</w:t>
      </w:r>
      <w:r>
        <w:rPr>
          <w:rFonts w:hint="eastAsia" w:ascii="宋体" w:hAnsi="宋体" w:cs="宋体"/>
          <w:b/>
          <w:color w:val="auto"/>
          <w:sz w:val="21"/>
          <w:szCs w:val="21"/>
          <w:highlight w:val="none"/>
        </w:rPr>
        <w:t>）</w:t>
      </w:r>
    </w:p>
    <w:p w14:paraId="42FCE5CC">
      <w:pPr>
        <w:pStyle w:val="8"/>
        <w:autoSpaceDE/>
        <w:autoSpaceDN/>
        <w:adjustRightInd w:val="0"/>
        <w:snapToGrid w:val="0"/>
        <w:spacing w:line="50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3. 预付款</w:t>
      </w:r>
    </w:p>
    <w:p w14:paraId="244E1A49">
      <w:pPr>
        <w:tabs>
          <w:tab w:val="left" w:pos="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auto"/>
          <w:sz w:val="21"/>
          <w:szCs w:val="21"/>
          <w:highlight w:val="none"/>
        </w:rPr>
        <w:t>人工投入为主</w:t>
      </w:r>
      <w:r>
        <w:rPr>
          <w:rFonts w:hint="eastAsia" w:hAnsi="宋体" w:cs="宋体"/>
          <w:color w:val="auto"/>
          <w:sz w:val="21"/>
          <w:szCs w:val="21"/>
          <w:highlight w:val="none"/>
        </w:rPr>
        <w:t>的，可适当降低预付款比例，但不得低于</w:t>
      </w:r>
      <w:r>
        <w:rPr>
          <w:rFonts w:hint="eastAsia" w:hAnsi="宋体" w:cs="宋体"/>
          <w:b/>
          <w:bCs/>
          <w:color w:val="auto"/>
          <w:sz w:val="21"/>
          <w:szCs w:val="21"/>
          <w:highlight w:val="none"/>
        </w:rPr>
        <w:t>30%。</w:t>
      </w:r>
      <w:r>
        <w:rPr>
          <w:rFonts w:hint="eastAsia"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hAnsi="宋体" w:cs="宋体"/>
          <w:color w:val="auto"/>
          <w:sz w:val="21"/>
          <w:szCs w:val="21"/>
          <w:highlight w:val="none"/>
          <w:u w:val="single"/>
        </w:rPr>
        <w:t>合同生效以及具备实施条件后</w:t>
      </w:r>
      <w:r>
        <w:rPr>
          <w:rFonts w:hint="eastAsia" w:hAnsi="宋体" w:cs="宋体"/>
          <w:b/>
          <w:bCs/>
          <w:color w:val="auto"/>
          <w:sz w:val="21"/>
          <w:szCs w:val="21"/>
          <w:highlight w:val="none"/>
        </w:rPr>
        <w:t>7个工作日内</w:t>
      </w:r>
      <w:r>
        <w:rPr>
          <w:rFonts w:hint="eastAsia" w:hAnsi="宋体" w:cs="宋体"/>
          <w:color w:val="auto"/>
          <w:sz w:val="21"/>
          <w:szCs w:val="21"/>
          <w:highlight w:val="none"/>
        </w:rPr>
        <w:t>支付。政府采购工程以及与工程建设有关的货物、服务，采用招标方式采购的，预付款从其相关规定。</w:t>
      </w:r>
    </w:p>
    <w:p w14:paraId="5C50DDC2">
      <w:pPr>
        <w:tabs>
          <w:tab w:val="left" w:pos="0"/>
        </w:tabs>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★本项目约定了预付款。本项目的预付款支付按本招标文件“第二章 招标需求”之“合同价款的支付、结算”执行并在合同中进行约定。</w:t>
      </w:r>
    </w:p>
    <w:p w14:paraId="33014F88">
      <w:pPr>
        <w:pStyle w:val="8"/>
        <w:autoSpaceDE/>
        <w:autoSpaceDN/>
        <w:adjustRightInd w:val="0"/>
        <w:snapToGrid w:val="0"/>
        <w:spacing w:line="50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4.资金支付</w:t>
      </w:r>
    </w:p>
    <w:p w14:paraId="69DC72BD">
      <w:pPr>
        <w:pStyle w:val="8"/>
        <w:adjustRightInd w:val="0"/>
        <w:snapToGrid w:val="0"/>
        <w:spacing w:line="500" w:lineRule="exact"/>
        <w:ind w:firstLine="422" w:firstLineChars="200"/>
        <w:jc w:val="left"/>
        <w:rPr>
          <w:rFonts w:hint="eastAsia" w:ascii="宋体" w:hAnsi="宋体" w:cs="宋体"/>
          <w:color w:val="auto"/>
          <w:sz w:val="21"/>
          <w:szCs w:val="21"/>
          <w:highlight w:val="none"/>
        </w:rPr>
      </w:pPr>
      <w:r>
        <w:rPr>
          <w:rFonts w:hint="eastAsia" w:ascii="宋体" w:hAnsi="宋体" w:cs="宋体"/>
          <w:b/>
          <w:color w:val="auto"/>
          <w:sz w:val="21"/>
          <w:szCs w:val="21"/>
          <w:highlight w:val="none"/>
        </w:rPr>
        <w:t>采购单位应当及时</w:t>
      </w:r>
      <w:r>
        <w:rPr>
          <w:rFonts w:hint="eastAsia" w:ascii="宋体" w:hAnsi="宋体" w:cs="宋体"/>
          <w:color w:val="auto"/>
          <w:sz w:val="21"/>
          <w:szCs w:val="21"/>
          <w:highlight w:val="none"/>
        </w:rPr>
        <w:t>组织项目验收，</w:t>
      </w:r>
      <w:r>
        <w:rPr>
          <w:rFonts w:hint="eastAsia" w:ascii="宋体" w:hAnsi="宋体" w:cs="宋体"/>
          <w:b/>
          <w:bCs/>
          <w:color w:val="auto"/>
          <w:sz w:val="21"/>
          <w:szCs w:val="21"/>
          <w:highlight w:val="none"/>
        </w:rPr>
        <w:t>不得以政府部门审计作为支付供应商款项的条件。</w:t>
      </w:r>
      <w:r>
        <w:rPr>
          <w:rFonts w:hint="eastAsia" w:ascii="宋体" w:hAnsi="宋体" w:cs="宋体"/>
          <w:color w:val="auto"/>
          <w:sz w:val="21"/>
          <w:szCs w:val="21"/>
          <w:highlight w:val="none"/>
        </w:rPr>
        <w:t>采购单位对于满足合同约定支付条件的，</w:t>
      </w:r>
      <w:r>
        <w:rPr>
          <w:rFonts w:hint="eastAsia" w:ascii="宋体" w:hAnsi="宋体" w:cs="宋体"/>
          <w:b/>
          <w:bCs/>
          <w:color w:val="auto"/>
          <w:sz w:val="21"/>
          <w:szCs w:val="21"/>
          <w:highlight w:val="none"/>
        </w:rPr>
        <w:t>自收到发票后7个工作日内</w:t>
      </w:r>
      <w:r>
        <w:rPr>
          <w:rFonts w:hint="eastAsia" w:ascii="宋体" w:hAnsi="宋体" w:cs="宋体"/>
          <w:color w:val="auto"/>
          <w:sz w:val="21"/>
          <w:szCs w:val="21"/>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3BDFDCE">
      <w:pPr>
        <w:tabs>
          <w:tab w:val="left" w:pos="0"/>
        </w:tabs>
        <w:autoSpaceDE/>
        <w:autoSpaceDN/>
        <w:snapToGrid w:val="0"/>
        <w:spacing w:line="500" w:lineRule="exact"/>
        <w:ind w:firstLine="420" w:firstLineChars="200"/>
        <w:rPr>
          <w:rFonts w:hint="eastAsia" w:hAnsi="宋体" w:cs="宋体"/>
          <w:color w:val="auto"/>
          <w:sz w:val="21"/>
          <w:szCs w:val="21"/>
          <w:highlight w:val="none"/>
        </w:rPr>
      </w:pPr>
      <w:bookmarkStart w:id="39" w:name="_Toc97649962"/>
      <w:r>
        <w:rPr>
          <w:rFonts w:hint="eastAsia" w:hAnsi="宋体" w:cs="宋体"/>
          <w:color w:val="auto"/>
          <w:sz w:val="21"/>
          <w:szCs w:val="21"/>
          <w:highlight w:val="none"/>
        </w:rPr>
        <w:t>本项目的资金支付按本招标文件“第二章 招标需求”之“合同价款的支付、结算”执行并在合同中进行约定。</w:t>
      </w:r>
    </w:p>
    <w:p w14:paraId="2732B1EE">
      <w:pPr>
        <w:snapToGrid w:val="0"/>
        <w:spacing w:line="500" w:lineRule="exact"/>
        <w:ind w:firstLine="422" w:firstLineChars="200"/>
        <w:rPr>
          <w:rFonts w:hint="eastAsia" w:hAnsi="宋体" w:cs="宋体"/>
          <w:b/>
          <w:bCs/>
          <w:color w:val="auto"/>
          <w:sz w:val="21"/>
          <w:szCs w:val="21"/>
          <w:highlight w:val="none"/>
        </w:rPr>
      </w:pPr>
      <w:r>
        <w:rPr>
          <w:rFonts w:hint="eastAsia" w:hAnsi="宋体" w:cs="宋体"/>
          <w:b/>
          <w:color w:val="auto"/>
          <w:sz w:val="21"/>
          <w:szCs w:val="21"/>
          <w:highlight w:val="none"/>
        </w:rPr>
        <w:t>八、项目验收</w:t>
      </w:r>
      <w:bookmarkEnd w:id="39"/>
    </w:p>
    <w:p w14:paraId="31093C05">
      <w:pPr>
        <w:tabs>
          <w:tab w:val="left" w:pos="0"/>
        </w:tabs>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BB54EE">
      <w:pPr>
        <w:tabs>
          <w:tab w:val="left" w:pos="0"/>
        </w:tabs>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2.采购人可以邀请参加本项目的其他供应商或者第三方机构参与验收。参与验收的供应商或者第三方机构的意见作为验收书的参考资料一并存档。</w:t>
      </w:r>
    </w:p>
    <w:p w14:paraId="1693386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99023A">
      <w:pPr>
        <w:autoSpaceDE/>
        <w:autoSpaceDN/>
        <w:snapToGrid w:val="0"/>
        <w:spacing w:line="500" w:lineRule="exact"/>
        <w:ind w:firstLine="420" w:firstLineChars="200"/>
        <w:rPr>
          <w:rFonts w:hint="eastAsia" w:hAnsi="宋体" w:cs="宋体"/>
          <w:b/>
          <w:bCs/>
          <w:color w:val="auto"/>
          <w:sz w:val="21"/>
          <w:szCs w:val="21"/>
          <w:highlight w:val="none"/>
        </w:rPr>
      </w:pPr>
      <w:r>
        <w:rPr>
          <w:rFonts w:hint="eastAsia" w:hAnsi="宋体" w:cs="宋体"/>
          <w:color w:val="auto"/>
          <w:sz w:val="21"/>
          <w:szCs w:val="21"/>
          <w:highlight w:val="none"/>
        </w:rPr>
        <w:t>4.采购人原则上应当在</w:t>
      </w:r>
      <w:r>
        <w:rPr>
          <w:rFonts w:hint="eastAsia" w:hAnsi="宋体" w:cs="宋体"/>
          <w:b/>
          <w:bCs/>
          <w:color w:val="auto"/>
          <w:sz w:val="21"/>
          <w:szCs w:val="21"/>
          <w:highlight w:val="none"/>
        </w:rPr>
        <w:t>履约验收之日起2个工作日内</w:t>
      </w:r>
      <w:r>
        <w:rPr>
          <w:rFonts w:hint="eastAsia" w:hAnsi="宋体" w:cs="宋体"/>
          <w:color w:val="auto"/>
          <w:sz w:val="21"/>
          <w:szCs w:val="21"/>
          <w:highlight w:val="none"/>
        </w:rPr>
        <w:t>，将</w:t>
      </w:r>
      <w:r>
        <w:rPr>
          <w:rFonts w:hint="eastAsia" w:hAnsi="宋体" w:cs="宋体"/>
          <w:b/>
          <w:bCs/>
          <w:color w:val="auto"/>
          <w:sz w:val="21"/>
          <w:szCs w:val="21"/>
          <w:highlight w:val="none"/>
        </w:rPr>
        <w:t>履约验收结果在浙江政府采购网上公告。</w:t>
      </w:r>
    </w:p>
    <w:p w14:paraId="6239589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5.验收合格的项目，采购人将根据采购合同的约定及时向供应商支付采购资金、退还履约保证金。</w:t>
      </w:r>
    </w:p>
    <w:p w14:paraId="40099BBF">
      <w:pPr>
        <w:tabs>
          <w:tab w:val="left" w:pos="0"/>
        </w:tabs>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0BAE9">
      <w:pPr>
        <w:autoSpaceDE/>
        <w:autoSpaceDN/>
        <w:adjustRightInd/>
        <w:spacing w:line="500" w:lineRule="exact"/>
        <w:ind w:firstLine="422" w:firstLineChars="200"/>
        <w:jc w:val="both"/>
        <w:rPr>
          <w:rFonts w:hint="eastAsia" w:hAnsi="宋体" w:cs="宋体"/>
          <w:color w:val="auto"/>
          <w:sz w:val="21"/>
          <w:szCs w:val="21"/>
          <w:highlight w:val="none"/>
        </w:rPr>
      </w:pPr>
      <w:r>
        <w:rPr>
          <w:rFonts w:hint="eastAsia" w:hAnsi="宋体" w:cs="宋体"/>
          <w:b/>
          <w:color w:val="auto"/>
          <w:sz w:val="21"/>
          <w:szCs w:val="21"/>
          <w:highlight w:val="none"/>
        </w:rPr>
        <w:t>九、本项目招标在金华市婺城区财政局政府采购监督管理办公室监督下进行。</w:t>
      </w:r>
    </w:p>
    <w:p w14:paraId="6A32141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十、电子投标特别提醒</w:t>
      </w:r>
    </w:p>
    <w:p w14:paraId="4DDCC9BA">
      <w:pPr>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1.请所有投标人在政采云系统准时参加线上开标活动,并且要求法定代表人或授权委托人全程在线。</w:t>
      </w:r>
    </w:p>
    <w:p w14:paraId="70A9C7C8">
      <w:pPr>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2.投标截止时间后，代理机构将线上开启解密，投标人需及时用CA锁在线解密，解密时间一般为半小时（</w:t>
      </w:r>
      <w:r>
        <w:rPr>
          <w:rFonts w:hint="eastAsia" w:hAnsi="宋体" w:cs="宋体"/>
          <w:color w:val="auto"/>
          <w:sz w:val="21"/>
          <w:szCs w:val="21"/>
          <w:highlight w:val="none"/>
        </w:rPr>
        <w:t>解密时限由财政部门设置</w:t>
      </w:r>
      <w:r>
        <w:rPr>
          <w:rFonts w:hint="eastAsia" w:hAnsi="宋体" w:cs="宋体"/>
          <w:color w:val="auto"/>
          <w:sz w:val="21"/>
          <w:highlight w:val="none"/>
        </w:rPr>
        <w:t>），逾期解密，投标人自行承担风险。</w:t>
      </w:r>
    </w:p>
    <w:p w14:paraId="19CB3C15">
      <w:pPr>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3.解密响应文件的CA锁必须跟制作响应文件的CA锁为同一个，否则将导致解密失败。</w:t>
      </w:r>
    </w:p>
    <w:p w14:paraId="5D629254">
      <w:pPr>
        <w:snapToGrid w:val="0"/>
        <w:spacing w:line="500" w:lineRule="exact"/>
        <w:ind w:firstLine="420" w:firstLineChars="200"/>
        <w:rPr>
          <w:rFonts w:hint="eastAsia" w:hAnsi="宋体" w:cs="宋体"/>
          <w:bCs/>
          <w:color w:val="auto"/>
          <w:sz w:val="21"/>
          <w:szCs w:val="22"/>
          <w:highlight w:val="none"/>
        </w:rPr>
      </w:pPr>
      <w:bookmarkStart w:id="40" w:name="_Toc7787"/>
      <w:r>
        <w:rPr>
          <w:rFonts w:hint="eastAsia" w:hAnsi="宋体" w:cs="宋体"/>
          <w:bCs/>
          <w:color w:val="auto"/>
          <w:sz w:val="21"/>
          <w:szCs w:val="22"/>
          <w:highlight w:val="none"/>
        </w:rPr>
        <w:t>4.请务必确保投标文件制作客户端为最新版本，旧版本可能导致投标文件解密失败。</w:t>
      </w:r>
      <w:bookmarkEnd w:id="40"/>
    </w:p>
    <w:p w14:paraId="6247BAC9">
      <w:pPr>
        <w:snapToGrid w:val="0"/>
        <w:spacing w:line="500" w:lineRule="exact"/>
        <w:ind w:firstLine="420"/>
        <w:jc w:val="center"/>
        <w:outlineLvl w:val="0"/>
        <w:rPr>
          <w:rFonts w:hint="eastAsia" w:hAnsi="宋体" w:cs="宋体"/>
          <w:color w:val="auto"/>
          <w:sz w:val="30"/>
          <w:szCs w:val="30"/>
          <w:highlight w:val="none"/>
        </w:rPr>
      </w:pPr>
      <w:r>
        <w:rPr>
          <w:rFonts w:hint="eastAsia" w:hAnsi="宋体" w:cs="宋体"/>
          <w:color w:val="auto"/>
          <w:sz w:val="21"/>
          <w:szCs w:val="21"/>
          <w:highlight w:val="none"/>
        </w:rPr>
        <w:br w:type="page"/>
      </w:r>
      <w:bookmarkStart w:id="41" w:name="_Toc351559944"/>
      <w:r>
        <w:rPr>
          <w:rFonts w:hint="eastAsia" w:hAnsi="宋体" w:cs="宋体"/>
          <w:b/>
          <w:bCs/>
          <w:color w:val="auto"/>
          <w:sz w:val="30"/>
          <w:szCs w:val="30"/>
          <w:highlight w:val="none"/>
        </w:rPr>
        <w:t>第四章 评标办法及评分标准</w:t>
      </w:r>
      <w:bookmarkEnd w:id="41"/>
    </w:p>
    <w:p w14:paraId="1DF83FE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为公正、公平、科学地选择中标人，根据《中华人民共和国政府采购法》等有关法律法规的规定，并结合本项目的实际，制定本办法。</w:t>
      </w:r>
    </w:p>
    <w:p w14:paraId="647115F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本办法仅适用本项目的评标。</w:t>
      </w:r>
    </w:p>
    <w:p w14:paraId="1A701549">
      <w:pPr>
        <w:pStyle w:val="42"/>
        <w:widowControl w:val="0"/>
        <w:adjustRightInd w:val="0"/>
        <w:snapToGrid w:val="0"/>
        <w:spacing w:before="0" w:beforeAutospacing="0" w:after="0" w:afterAutospacing="0" w:line="500" w:lineRule="exact"/>
        <w:ind w:firstLine="422" w:firstLineChars="200"/>
        <w:rPr>
          <w:rFonts w:hint="eastAsia" w:ascii="宋体" w:cs="宋体"/>
          <w:b/>
          <w:bCs/>
          <w:color w:val="auto"/>
          <w:highlight w:val="none"/>
        </w:rPr>
      </w:pPr>
      <w:r>
        <w:rPr>
          <w:rFonts w:hint="eastAsia" w:ascii="宋体" w:cs="宋体"/>
          <w:b/>
          <w:color w:val="auto"/>
          <w:sz w:val="21"/>
          <w:szCs w:val="21"/>
          <w:highlight w:val="none"/>
        </w:rPr>
        <w:t>一、评审纪律和要求</w:t>
      </w:r>
    </w:p>
    <w:p w14:paraId="6228FD7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14:paraId="011D4BFC">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14:paraId="17FBBEAE">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14:paraId="42B21BCC">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14:paraId="3B27A4D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hAnsi="宋体" w:cs="宋体"/>
          <w:color w:val="auto"/>
          <w:sz w:val="21"/>
          <w:szCs w:val="21"/>
          <w:highlight w:val="none"/>
        </w:rPr>
        <w:t>。</w:t>
      </w:r>
    </w:p>
    <w:p w14:paraId="16B1DDD6">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6.采购人、采购代理机构不得向评审委员会的评审专家作倾向性、误导性的解释或者说明。</w:t>
      </w:r>
    </w:p>
    <w:p w14:paraId="74EFFB9E">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auto"/>
          <w:sz w:val="21"/>
          <w:szCs w:val="21"/>
          <w:highlight w:val="none"/>
        </w:rPr>
        <w:t>。</w:t>
      </w:r>
    </w:p>
    <w:p w14:paraId="6E2350CB">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14:paraId="7E3098FB">
      <w:pPr>
        <w:autoSpaceDE/>
        <w:autoSpaceDN/>
        <w:snapToGrid w:val="0"/>
        <w:spacing w:line="500" w:lineRule="exact"/>
        <w:ind w:firstLine="422" w:firstLineChars="200"/>
        <w:rPr>
          <w:rFonts w:hint="eastAsia" w:hAnsi="宋体" w:cs="宋体"/>
          <w:color w:val="auto"/>
          <w:sz w:val="21"/>
          <w:szCs w:val="21"/>
          <w:highlight w:val="none"/>
        </w:rPr>
      </w:pPr>
      <w:r>
        <w:rPr>
          <w:rFonts w:hint="eastAsia" w:hAnsi="宋体" w:cs="宋体"/>
          <w:b/>
          <w:bCs/>
          <w:color w:val="auto"/>
          <w:sz w:val="21"/>
          <w:szCs w:val="21"/>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hAnsi="宋体" w:cs="宋体"/>
          <w:color w:val="auto"/>
          <w:sz w:val="21"/>
          <w:szCs w:val="21"/>
          <w:highlight w:val="none"/>
        </w:rPr>
        <w:t>。</w:t>
      </w:r>
    </w:p>
    <w:p w14:paraId="5FAE91A1">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4DAD2731">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14:paraId="6157A6BD">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评审委员会在评审过程中发现投标人有行贿、提供虚假材料或者串通等违法行为的，应当及时向财政部门报告。</w:t>
      </w:r>
    </w:p>
    <w:p w14:paraId="378A747E">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14:paraId="3B5C2DA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13.评审专家应当配合采购代理机构答复投标人提出的质疑。</w:t>
      </w:r>
    </w:p>
    <w:p w14:paraId="60168EA4">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14:paraId="2ABACD7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14:paraId="7096690E">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①明知应当回避而未主动回避的；</w:t>
      </w:r>
    </w:p>
    <w:p w14:paraId="29F9EF6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snapToGrid w:val="0"/>
          <w:color w:val="auto"/>
          <w:sz w:val="21"/>
          <w:szCs w:val="21"/>
          <w:highlight w:val="none"/>
        </w:rPr>
        <w:t>②在得知自己为评审专家身份后至评审结束前时段内私下接触投标人的</w:t>
      </w:r>
      <w:r>
        <w:rPr>
          <w:rFonts w:hint="eastAsia" w:hAnsi="宋体" w:cs="宋体"/>
          <w:color w:val="auto"/>
          <w:sz w:val="21"/>
          <w:szCs w:val="21"/>
          <w:highlight w:val="none"/>
        </w:rPr>
        <w:t>；</w:t>
      </w:r>
    </w:p>
    <w:p w14:paraId="5C87D49B">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14:paraId="79341DC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14:paraId="117EBA2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14:paraId="5A55E94F">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⑥上述①至⑤行为影响中标结果的，中标结果无效。</w:t>
      </w:r>
    </w:p>
    <w:p w14:paraId="5F7823DE">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BF71123">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政府采购评审专家与投标人存在利害关系未回避的，处2万元以上5万元以下的罚款，禁止其参加政府采购评审活动。</w:t>
      </w:r>
    </w:p>
    <w:p w14:paraId="05EA297D">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05542A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14:paraId="6A522844">
      <w:pPr>
        <w:pStyle w:val="42"/>
        <w:widowControl w:val="0"/>
        <w:adjustRightInd w:val="0"/>
        <w:snapToGrid w:val="0"/>
        <w:spacing w:before="0" w:beforeAutospacing="0" w:after="0" w:afterAutospacing="0" w:line="500" w:lineRule="exact"/>
        <w:ind w:firstLine="422" w:firstLineChars="200"/>
        <w:rPr>
          <w:rFonts w:hint="eastAsia" w:ascii="宋体" w:cs="宋体"/>
          <w:b/>
          <w:color w:val="auto"/>
          <w:sz w:val="21"/>
          <w:szCs w:val="21"/>
          <w:highlight w:val="none"/>
        </w:rPr>
      </w:pPr>
      <w:r>
        <w:rPr>
          <w:rFonts w:hint="eastAsia" w:ascii="宋体" w:cs="宋体"/>
          <w:b/>
          <w:color w:val="auto"/>
          <w:sz w:val="21"/>
          <w:szCs w:val="21"/>
          <w:highlight w:val="none"/>
        </w:rPr>
        <w:t>二、评标定标时对政府采购政策的落实要求</w:t>
      </w:r>
    </w:p>
    <w:p w14:paraId="2251766F">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1.采购项目需要落实的政府采购政策</w:t>
      </w:r>
    </w:p>
    <w:p w14:paraId="0588FF00">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BBEE605">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1.2 支持绿色发展</w:t>
      </w:r>
    </w:p>
    <w:p w14:paraId="59EAC792">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9F6E7B7">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4CAE12D">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1.3支持中小企业发展</w:t>
      </w:r>
    </w:p>
    <w:p w14:paraId="1CF5B5B6">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3F0A7592">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符合中小企业划分标准的个体工商户，在政府采购活动中视同中小企业。</w:t>
      </w:r>
    </w:p>
    <w:p w14:paraId="4D7775CC">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1.3.2在政府采购活动中，供应商提供的货物、工程或者服务符合下列情形的，享受中小企业扶持政策：</w:t>
      </w:r>
    </w:p>
    <w:p w14:paraId="6C5122F8">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1.3.2.1在货物采购项目中，货物由中小企业制造，即货物由中小企业生产且使用该中小企业商号或者注册商标；</w:t>
      </w:r>
    </w:p>
    <w:p w14:paraId="73272D82">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1.3.2.2在工程采购项目中，工程由中小企业承建，即工程施工单位为中小企业；</w:t>
      </w:r>
    </w:p>
    <w:p w14:paraId="6225D4FD">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1.3.2.3在服务采购项目中，服务由中小企业承接，即提供服务的人员为中小企业依照《中华人民共和国劳动合同法》订立劳动合同的从业人员。</w:t>
      </w:r>
    </w:p>
    <w:p w14:paraId="0DDECCC9">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在货物采购项目中，供应商提供的货物既有中小企业制造货物，也有大型企业制造货物的，不享受中小企业扶持政策。</w:t>
      </w:r>
    </w:p>
    <w:p w14:paraId="443A1564">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以联合体形式参加政府采购活动，联合体各方均为中小企业的，联合体视同中小企业。其中，联合体各方均为小微企业的，联合体视同小微企业。</w:t>
      </w:r>
    </w:p>
    <w:p w14:paraId="2D9A9348">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453DD872">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1.3.4符合《关于促进残疾人就业政府采购政策的通知》（财库〔2017〕141号）规定的条件并提供《残疾人福利性单位声明函》（附件1）的残疾人福利性单位视同小型、微型企业；</w:t>
      </w:r>
    </w:p>
    <w:p w14:paraId="51BE5459">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7104F7">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D8F53EF">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1.3.7中小企业享受扶持政策获得政府采购合同的，小微企业不得将合同分包给大中型企业，中型企业不得将合同分包给大型企业。</w:t>
      </w:r>
    </w:p>
    <w:p w14:paraId="5B8E49AB">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1.4支持创新发展</w:t>
      </w:r>
    </w:p>
    <w:p w14:paraId="2021E2BD">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1.4.1 采购人优先采购被认定为首台套产品和“制造精品”的自主创新产品。</w:t>
      </w:r>
    </w:p>
    <w:p w14:paraId="411DCE6F">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1.4.2</w:t>
      </w:r>
      <w:r>
        <w:rPr>
          <w:rFonts w:hint="eastAsia" w:ascii="宋体" w:cs="宋体"/>
          <w:b/>
          <w:bCs/>
          <w:color w:val="auto"/>
          <w:sz w:val="21"/>
          <w:szCs w:val="21"/>
          <w:highlight w:val="none"/>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cs="宋体"/>
          <w:color w:val="auto"/>
          <w:sz w:val="21"/>
          <w:szCs w:val="21"/>
          <w:highlight w:val="none"/>
        </w:rPr>
        <w:t>。</w:t>
      </w:r>
    </w:p>
    <w:p w14:paraId="36BDBF37">
      <w:pPr>
        <w:pStyle w:val="42"/>
        <w:widowControl w:val="0"/>
        <w:adjustRightInd w:val="0"/>
        <w:snapToGrid w:val="0"/>
        <w:spacing w:before="0" w:beforeAutospacing="0" w:after="0" w:afterAutospacing="0" w:line="5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 czt.zj. gov.cn/)的中小企业信用融资栏目了解相关信息。 供应商可以通过浙江政府采购网(https://zfcg. czt.zj. gov.cn/)首页的“浙江政采贷”模块进入申请，还可以通过政府采购云平台(https://wwwzcygov.cn/)首页的“金融服务”模块进入申请。</w:t>
      </w:r>
    </w:p>
    <w:p w14:paraId="0D0371F4">
      <w:pPr>
        <w:autoSpaceDE/>
        <w:autoSpaceDN/>
        <w:adjustRightInd/>
        <w:spacing w:line="46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三、总则</w:t>
      </w:r>
    </w:p>
    <w:p w14:paraId="5F92C88D">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次评标采用综合评分法，总分为100分，其中价格分10分、技术商务分90分等二部分。合格投标人的评标得分为各项目汇总得分，中标候选资格按评标得分由高到低顺序排列，汇总得分相同的，按投标报价由低到高顺序排列；汇总得分且投标报价均相同的，按“</w:t>
      </w:r>
      <w:r>
        <w:rPr>
          <w:rFonts w:hint="eastAsia" w:hAnsi="宋体" w:cs="宋体"/>
          <w:bCs/>
          <w:color w:val="auto"/>
          <w:sz w:val="21"/>
          <w:szCs w:val="21"/>
          <w:highlight w:val="none"/>
        </w:rPr>
        <w:t>婺城区公益创投项目督导，婺城区社会组织培育孵化基地相关方案</w:t>
      </w:r>
      <w:r>
        <w:rPr>
          <w:rFonts w:hint="eastAsia" w:hAnsi="宋体" w:cs="宋体"/>
          <w:color w:val="auto"/>
          <w:sz w:val="21"/>
          <w:szCs w:val="21"/>
          <w:highlight w:val="none"/>
          <w:lang w:val="en-US" w:eastAsia="zh-CN"/>
        </w:rPr>
        <w:t>+</w:t>
      </w:r>
      <w:r>
        <w:rPr>
          <w:rFonts w:hint="eastAsia" w:hAnsi="宋体" w:cs="宋体"/>
          <w:bCs/>
          <w:color w:val="auto"/>
          <w:sz w:val="21"/>
          <w:szCs w:val="21"/>
          <w:highlight w:val="none"/>
          <w:lang w:bidi="ar"/>
        </w:rPr>
        <w:t>助联体运营相关方案</w:t>
      </w:r>
      <w:r>
        <w:rPr>
          <w:rFonts w:hint="eastAsia" w:hAnsi="宋体" w:cs="宋体"/>
          <w:color w:val="auto"/>
          <w:sz w:val="21"/>
          <w:szCs w:val="21"/>
          <w:highlight w:val="none"/>
        </w:rPr>
        <w:t>”的得分高低排序。排名第一的投标人为中标候选人，排名第二的投标人为候补中标候选人……其他投标人中标候选资格依此类推。评分过程中采用四舍五入法，并保留小数2位。</w:t>
      </w:r>
    </w:p>
    <w:p w14:paraId="1FF9A506">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投标人评标综合得分=价格分+技术商务分。</w:t>
      </w:r>
    </w:p>
    <w:p w14:paraId="3BDFF3A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技术商务分=（评审小组所有成员评分合计数）/（评审小组组成人员数）</w:t>
      </w:r>
    </w:p>
    <w:p w14:paraId="083337BE">
      <w:pPr>
        <w:autoSpaceDE/>
        <w:autoSpaceDN/>
        <w:adjustRightInd/>
        <w:snapToGrid w:val="0"/>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四、评标内容及标准</w:t>
      </w:r>
    </w:p>
    <w:p w14:paraId="03471037">
      <w:pPr>
        <w:autoSpaceDE/>
        <w:autoSpaceDN/>
        <w:adjustRightInd/>
        <w:spacing w:line="46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（一）价格分（10分）</w:t>
      </w:r>
    </w:p>
    <w:p w14:paraId="344F7600">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1.价格分采用低价优先法计算，即：以满足招标文件要求且进行了政策性价格扣除后，以评审价格的最低价者定为评标基准价，其价格分为满分。其他投标人的价格分统一按照下列公式计算：</w:t>
      </w:r>
    </w:p>
    <w:p w14:paraId="41B69A9A">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其他投标人的价格分=（评标基准价/投标人评审价格）×10×100%</w:t>
      </w:r>
    </w:p>
    <w:p w14:paraId="1F46AEC8">
      <w:pPr>
        <w:autoSpaceDE/>
        <w:autoSpaceDN/>
        <w:snapToGrid w:val="0"/>
        <w:spacing w:line="500" w:lineRule="exact"/>
        <w:ind w:firstLine="420" w:firstLineChars="200"/>
        <w:jc w:val="both"/>
        <w:rPr>
          <w:rFonts w:hint="eastAsia" w:hAnsi="宋体" w:cs="宋体"/>
          <w:b/>
          <w:bCs/>
          <w:color w:val="auto"/>
          <w:sz w:val="21"/>
          <w:szCs w:val="21"/>
          <w:highlight w:val="none"/>
        </w:rPr>
      </w:pPr>
      <w:r>
        <w:rPr>
          <w:rFonts w:hint="eastAsia" w:hAnsi="宋体" w:cs="宋体"/>
          <w:color w:val="auto"/>
          <w:sz w:val="21"/>
          <w:szCs w:val="21"/>
          <w:highlight w:val="none"/>
        </w:rPr>
        <w:t>价格评审过程中，评标委员会认为投标人的报价明显低于其他通过符合性审查投标人的报价且报价低于</w:t>
      </w:r>
      <w:r>
        <w:rPr>
          <w:rFonts w:hint="eastAsia" w:hAnsi="宋体" w:cs="宋体"/>
          <w:color w:val="auto"/>
          <w:sz w:val="21"/>
          <w:szCs w:val="21"/>
          <w:highlight w:val="none"/>
          <w:lang w:val="en-US" w:eastAsia="zh-CN"/>
        </w:rPr>
        <w:t>预算金额</w:t>
      </w:r>
      <w:r>
        <w:rPr>
          <w:rFonts w:hint="eastAsia" w:hAnsi="宋体" w:cs="宋体"/>
          <w:color w:val="auto"/>
          <w:sz w:val="21"/>
          <w:szCs w:val="21"/>
          <w:highlight w:val="none"/>
        </w:rPr>
        <w:t>50%时，有可能影响服务质量或者不能诚信履约的，应当要求其在评标现场合理的时间内提供书面说明，以详细阐述不影响服务质量或者诚信履约的具体原因，必要时提交相关证明材料；投标人不能证明其报价合理性的，评标委员会应当将其作为无效投标处理。在有效投标人数满足法定人数的前提下，评标委员会依次确定满足招标文件要求且评审价格最低的有效评审价格为评标基准价。</w:t>
      </w:r>
    </w:p>
    <w:p w14:paraId="595B2277">
      <w:pPr>
        <w:autoSpaceDE/>
        <w:autoSpaceDN/>
        <w:adjustRightInd/>
        <w:spacing w:line="46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bCs/>
          <w:color w:val="auto"/>
          <w:sz w:val="21"/>
          <w:szCs w:val="21"/>
          <w:highlight w:val="none"/>
        </w:rPr>
        <w:t>投标人的投标报价超过采购人设定的</w:t>
      </w:r>
      <w:r>
        <w:rPr>
          <w:rFonts w:hint="eastAsia" w:hAnsi="宋体" w:cs="宋体"/>
          <w:b/>
          <w:color w:val="auto"/>
          <w:sz w:val="21"/>
          <w:szCs w:val="21"/>
          <w:highlight w:val="none"/>
        </w:rPr>
        <w:t>最高限价的</w:t>
      </w:r>
      <w:r>
        <w:rPr>
          <w:rFonts w:hint="eastAsia" w:hAnsi="宋体" w:cs="宋体"/>
          <w:b/>
          <w:bCs/>
          <w:color w:val="auto"/>
          <w:sz w:val="21"/>
          <w:szCs w:val="21"/>
          <w:highlight w:val="none"/>
        </w:rPr>
        <w:t>，按投标无效处理。</w:t>
      </w:r>
    </w:p>
    <w:p w14:paraId="7FCA6A5A">
      <w:pPr>
        <w:autoSpaceDE/>
        <w:autoSpaceDN/>
        <w:adjustRightInd/>
        <w:spacing w:line="460" w:lineRule="exact"/>
        <w:ind w:firstLine="422" w:firstLineChars="200"/>
        <w:jc w:val="both"/>
        <w:rPr>
          <w:rFonts w:hint="eastAsia" w:hAnsi="宋体" w:cs="宋体"/>
          <w:b/>
          <w:bCs/>
          <w:color w:val="auto"/>
          <w:sz w:val="21"/>
          <w:szCs w:val="21"/>
          <w:highlight w:val="none"/>
        </w:rPr>
      </w:pPr>
      <w:r>
        <w:rPr>
          <w:rFonts w:hint="eastAsia" w:hAnsi="宋体" w:cs="宋体"/>
          <w:b/>
          <w:color w:val="auto"/>
          <w:sz w:val="21"/>
          <w:szCs w:val="21"/>
          <w:highlight w:val="none"/>
        </w:rPr>
        <w:t>3.</w:t>
      </w:r>
      <w:r>
        <w:rPr>
          <w:rFonts w:hint="eastAsia" w:hAnsi="宋体" w:cs="宋体"/>
          <w:b/>
          <w:bCs/>
          <w:color w:val="auto"/>
          <w:sz w:val="21"/>
          <w:szCs w:val="21"/>
          <w:highlight w:val="none"/>
        </w:rPr>
        <w:t>依照《政府采购促进中小企业发展管理办法》、《浙江省财政厅关于进一步发挥政府采购政策功能全力推动经济稳进提质的通知》 （浙财采监〔2022〕3号）、《浙江省财政厅关于进一步加大政府采购支持中小企业力度 助力扎实稳住经济的通知》（浙财采监〔2022〕8号）、《财政部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46"/>
        <w:tblW w:w="0" w:type="auto"/>
        <w:jc w:val="center"/>
        <w:tblLayout w:type="fixed"/>
        <w:tblCellMar>
          <w:top w:w="0" w:type="dxa"/>
          <w:left w:w="108" w:type="dxa"/>
          <w:bottom w:w="0" w:type="dxa"/>
          <w:right w:w="108" w:type="dxa"/>
        </w:tblCellMar>
      </w:tblPr>
      <w:tblGrid>
        <w:gridCol w:w="728"/>
        <w:gridCol w:w="4615"/>
        <w:gridCol w:w="970"/>
        <w:gridCol w:w="2852"/>
      </w:tblGrid>
      <w:tr w14:paraId="35ACDDB1">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14:paraId="18D6CD2D">
            <w:pPr>
              <w:snapToGrid w:val="0"/>
              <w:spacing w:line="460" w:lineRule="exact"/>
              <w:ind w:left="149"/>
              <w:jc w:val="both"/>
              <w:rPr>
                <w:rFonts w:hint="eastAsia" w:hAnsi="宋体" w:cs="宋体"/>
                <w:color w:val="auto"/>
                <w:sz w:val="21"/>
                <w:szCs w:val="21"/>
                <w:highlight w:val="none"/>
              </w:rPr>
            </w:pPr>
            <w:r>
              <w:rPr>
                <w:rFonts w:hint="eastAsia" w:hAnsi="宋体" w:cs="宋体"/>
                <w:color w:val="auto"/>
                <w:spacing w:val="-1"/>
                <w:sz w:val="21"/>
                <w:szCs w:val="21"/>
                <w:highlight w:val="none"/>
              </w:rPr>
              <w:t>序号</w:t>
            </w:r>
          </w:p>
        </w:tc>
        <w:tc>
          <w:tcPr>
            <w:tcW w:w="4615"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205FD9EF">
            <w:pPr>
              <w:snapToGrid w:val="0"/>
              <w:spacing w:line="460" w:lineRule="exact"/>
              <w:jc w:val="center"/>
              <w:rPr>
                <w:rFonts w:hint="eastAsia" w:hAnsi="宋体" w:cs="宋体"/>
                <w:color w:val="auto"/>
                <w:sz w:val="21"/>
                <w:szCs w:val="21"/>
                <w:highlight w:val="none"/>
              </w:rPr>
            </w:pPr>
            <w:r>
              <w:rPr>
                <w:rFonts w:hint="eastAsia" w:hAnsi="宋体" w:cs="宋体"/>
                <w:color w:val="auto"/>
                <w:spacing w:val="-1"/>
                <w:sz w:val="21"/>
                <w:szCs w:val="21"/>
                <w:highlight w:val="none"/>
              </w:rPr>
              <w:t>情形</w:t>
            </w:r>
          </w:p>
        </w:tc>
        <w:tc>
          <w:tcPr>
            <w:tcW w:w="970"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32664C01">
            <w:pPr>
              <w:snapToGrid w:val="0"/>
              <w:spacing w:line="460" w:lineRule="exact"/>
              <w:jc w:val="center"/>
              <w:rPr>
                <w:rFonts w:hint="eastAsia" w:hAnsi="宋体" w:cs="宋体"/>
                <w:color w:val="auto"/>
                <w:sz w:val="21"/>
                <w:szCs w:val="21"/>
                <w:highlight w:val="none"/>
              </w:rPr>
            </w:pPr>
            <w:r>
              <w:rPr>
                <w:rFonts w:hint="eastAsia" w:hAnsi="宋体" w:cs="宋体"/>
                <w:color w:val="auto"/>
                <w:spacing w:val="-1"/>
                <w:sz w:val="21"/>
                <w:szCs w:val="21"/>
                <w:highlight w:val="none"/>
              </w:rPr>
              <w:t>评审价格扣除比例</w:t>
            </w:r>
          </w:p>
        </w:tc>
        <w:tc>
          <w:tcPr>
            <w:tcW w:w="2852"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20D7D30A">
            <w:pPr>
              <w:snapToGrid w:val="0"/>
              <w:spacing w:line="460" w:lineRule="exact"/>
              <w:jc w:val="center"/>
              <w:rPr>
                <w:rFonts w:hint="eastAsia" w:hAnsi="宋体" w:cs="宋体"/>
                <w:color w:val="auto"/>
                <w:sz w:val="21"/>
                <w:szCs w:val="21"/>
                <w:highlight w:val="none"/>
              </w:rPr>
            </w:pPr>
            <w:r>
              <w:rPr>
                <w:rFonts w:hint="eastAsia" w:hAnsi="宋体" w:cs="宋体"/>
                <w:color w:val="auto"/>
                <w:spacing w:val="-1"/>
                <w:sz w:val="21"/>
                <w:szCs w:val="21"/>
                <w:highlight w:val="none"/>
              </w:rPr>
              <w:t>计算公式</w:t>
            </w:r>
          </w:p>
        </w:tc>
      </w:tr>
      <w:tr w14:paraId="5E4C9035">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B77D4C5">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1</w:t>
            </w:r>
          </w:p>
        </w:tc>
        <w:tc>
          <w:tcPr>
            <w:tcW w:w="461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D452D5E">
            <w:pPr>
              <w:snapToGrid w:val="0"/>
              <w:spacing w:line="460" w:lineRule="exact"/>
              <w:rPr>
                <w:rFonts w:hint="eastAsia" w:hAnsi="宋体" w:cs="宋体"/>
                <w:color w:val="auto"/>
                <w:spacing w:val="-1"/>
                <w:kern w:val="2"/>
                <w:sz w:val="21"/>
                <w:szCs w:val="21"/>
                <w:highlight w:val="none"/>
              </w:rPr>
            </w:pPr>
            <w:r>
              <w:rPr>
                <w:rFonts w:hint="eastAsia" w:hAnsi="宋体" w:cs="宋体"/>
                <w:color w:val="auto"/>
                <w:spacing w:val="-1"/>
                <w:kern w:val="2"/>
                <w:sz w:val="21"/>
                <w:szCs w:val="21"/>
                <w:highlight w:val="none"/>
              </w:rPr>
              <w:t>联合体投标时，《联合协议》中约定小微企业的合同份额占到合同总金额的30%以上</w:t>
            </w:r>
          </w:p>
        </w:tc>
        <w:tc>
          <w:tcPr>
            <w:tcW w:w="97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8EDBA88">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4%</w:t>
            </w:r>
          </w:p>
        </w:tc>
        <w:tc>
          <w:tcPr>
            <w:tcW w:w="285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8722BD3">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评审价格＝投标报价×(1-4%)</w:t>
            </w:r>
          </w:p>
        </w:tc>
      </w:tr>
      <w:tr w14:paraId="07EA11DD">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C0C9412">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2</w:t>
            </w:r>
          </w:p>
        </w:tc>
        <w:tc>
          <w:tcPr>
            <w:tcW w:w="461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2DFD6E9">
            <w:pPr>
              <w:snapToGrid w:val="0"/>
              <w:spacing w:line="460" w:lineRule="exact"/>
              <w:rPr>
                <w:rFonts w:hint="eastAsia" w:hAnsi="宋体" w:cs="宋体"/>
                <w:color w:val="auto"/>
                <w:spacing w:val="-1"/>
                <w:kern w:val="2"/>
                <w:sz w:val="21"/>
                <w:szCs w:val="21"/>
                <w:highlight w:val="none"/>
              </w:rPr>
            </w:pPr>
            <w:r>
              <w:rPr>
                <w:rFonts w:hint="eastAsia" w:hAnsi="宋体" w:cs="宋体"/>
                <w:color w:val="auto"/>
                <w:spacing w:val="-1"/>
                <w:sz w:val="21"/>
                <w:szCs w:val="21"/>
                <w:highlight w:val="none"/>
              </w:rPr>
              <w:t>服务全部</w:t>
            </w:r>
            <w:r>
              <w:rPr>
                <w:rFonts w:hint="eastAsia" w:hAnsi="宋体" w:cs="宋体"/>
                <w:color w:val="auto"/>
                <w:sz w:val="21"/>
                <w:szCs w:val="21"/>
                <w:highlight w:val="none"/>
              </w:rPr>
              <w:t>由小微企业（包括投标人自身、联合体投标的各成员）承担</w:t>
            </w:r>
          </w:p>
        </w:tc>
        <w:tc>
          <w:tcPr>
            <w:tcW w:w="97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136537F">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10%</w:t>
            </w:r>
          </w:p>
        </w:tc>
        <w:tc>
          <w:tcPr>
            <w:tcW w:w="285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6A0E807">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评审价格＝投标报价×(1-10%)</w:t>
            </w:r>
          </w:p>
        </w:tc>
      </w:tr>
    </w:tbl>
    <w:p w14:paraId="0C6896DD">
      <w:pPr>
        <w:shd w:val="clear" w:color="auto" w:fill="FFFFFF"/>
        <w:autoSpaceDE/>
        <w:autoSpaceDN/>
        <w:snapToGrid w:val="0"/>
        <w:spacing w:line="460" w:lineRule="exact"/>
        <w:ind w:firstLine="420" w:firstLineChars="200"/>
        <w:rPr>
          <w:rFonts w:hint="eastAsia" w:hAnsi="宋体" w:cs="宋体"/>
          <w:color w:val="auto"/>
          <w:highlight w:val="none"/>
        </w:rPr>
      </w:pPr>
      <w:r>
        <w:rPr>
          <w:rFonts w:hint="eastAsia" w:hAnsi="宋体" w:cs="宋体"/>
          <w:color w:val="auto"/>
          <w:sz w:val="21"/>
          <w:szCs w:val="21"/>
          <w:highlight w:val="none"/>
        </w:rPr>
        <w:t>注：①</w:t>
      </w:r>
      <w:r>
        <w:rPr>
          <w:rFonts w:hint="eastAsia" w:hAnsi="宋体" w:cs="宋体"/>
          <w:color w:val="auto"/>
          <w:kern w:val="2"/>
          <w:sz w:val="21"/>
          <w:szCs w:val="21"/>
          <w:highlight w:val="none"/>
        </w:rPr>
        <w:t>服务全部或部分由大型或中型企业或非企业机构</w:t>
      </w:r>
      <w:r>
        <w:rPr>
          <w:rFonts w:hint="eastAsia" w:hAnsi="宋体" w:cs="宋体"/>
          <w:color w:val="auto"/>
          <w:kern w:val="2"/>
          <w:sz w:val="21"/>
          <w:szCs w:val="21"/>
          <w:highlight w:val="none"/>
          <w:lang w:eastAsia="zh-CN"/>
        </w:rPr>
        <w:t>（</w:t>
      </w:r>
      <w:r>
        <w:rPr>
          <w:rFonts w:hint="eastAsia" w:hAnsi="宋体" w:cs="宋体"/>
          <w:color w:val="auto"/>
          <w:sz w:val="21"/>
          <w:szCs w:val="21"/>
          <w:highlight w:val="none"/>
        </w:rPr>
        <w:t>残疾人福利性单位</w:t>
      </w:r>
      <w:r>
        <w:rPr>
          <w:rFonts w:hint="eastAsia" w:hAnsi="宋体" w:cs="宋体"/>
          <w:color w:val="auto"/>
          <w:sz w:val="21"/>
          <w:szCs w:val="21"/>
          <w:highlight w:val="none"/>
          <w:lang w:val="en-US" w:eastAsia="zh-CN"/>
        </w:rPr>
        <w:t>除外</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rPr>
        <w:t>承接的，不享受以上评审价格扣除优惠；</w:t>
      </w:r>
      <w:r>
        <w:rPr>
          <w:rFonts w:hint="eastAsia" w:hAnsi="宋体" w:cs="宋体"/>
          <w:color w:val="auto"/>
          <w:sz w:val="21"/>
          <w:szCs w:val="21"/>
          <w:highlight w:val="none"/>
        </w:rPr>
        <w:t>②“中小企业”是指在中华人民共和国境内依法设立，依据国务院批准的中小企业划分标准确定的中型企业、小型企业和微型企业，但与大企业的负责人为同一人，或者与大企业存在直接控股、管理关系的除外；本项目对应的中小企业划分标准所属行业为中小企业划型标准规定（工信部联企业〔2011〕300号）中的“其他未列明行业”行业；③符合中小企业划分标准的个体工商户，在本项目采购活动中视同中小企业；④残疾人福利性单位或监狱企业视同小型、微型企业执行。⑤</w:t>
      </w:r>
      <w:r>
        <w:rPr>
          <w:rFonts w:hint="eastAsia" w:hAnsi="宋体" w:cs="宋体"/>
          <w:color w:val="auto"/>
          <w:sz w:val="21"/>
          <w:szCs w:val="21"/>
          <w:highlight w:val="none"/>
          <w:lang w:bidi="ar"/>
        </w:rPr>
        <w:t>组成联合体的中小企业与联合体内其他企业之间不得存在直接控股、管理关系，否则</w:t>
      </w:r>
      <w:r>
        <w:rPr>
          <w:rFonts w:hint="eastAsia" w:hAnsi="宋体" w:cs="宋体"/>
          <w:color w:val="auto"/>
          <w:kern w:val="2"/>
          <w:sz w:val="21"/>
          <w:szCs w:val="21"/>
          <w:highlight w:val="none"/>
        </w:rPr>
        <w:t>不享受以上评审价格扣除优惠</w:t>
      </w:r>
      <w:r>
        <w:rPr>
          <w:rFonts w:hint="eastAsia" w:hAnsi="宋体" w:cs="宋体"/>
          <w:color w:val="auto"/>
          <w:sz w:val="21"/>
          <w:szCs w:val="21"/>
          <w:highlight w:val="none"/>
        </w:rPr>
        <w:t>。</w:t>
      </w:r>
      <w:bookmarkStart w:id="42" w:name="_Hlk196747615"/>
    </w:p>
    <w:p w14:paraId="7369F154">
      <w:pPr>
        <w:numPr>
          <w:ilvl w:val="0"/>
          <w:numId w:val="3"/>
        </w:numPr>
        <w:autoSpaceDE/>
        <w:autoSpaceDN/>
        <w:adjustRightInd/>
        <w:spacing w:line="500" w:lineRule="exact"/>
        <w:ind w:firstLine="422" w:firstLineChars="200"/>
        <w:jc w:val="both"/>
        <w:rPr>
          <w:rFonts w:hint="eastAsia" w:hAnsi="宋体" w:cs="宋体"/>
          <w:b/>
          <w:bCs/>
          <w:color w:val="auto"/>
          <w:sz w:val="21"/>
          <w:szCs w:val="21"/>
          <w:highlight w:val="none"/>
        </w:rPr>
      </w:pPr>
      <w:r>
        <w:rPr>
          <w:rFonts w:hint="eastAsia" w:hAnsi="宋体" w:cs="宋体"/>
          <w:b/>
          <w:bCs/>
          <w:color w:val="auto"/>
          <w:sz w:val="21"/>
          <w:szCs w:val="21"/>
          <w:highlight w:val="none"/>
        </w:rPr>
        <w:t>技术商务分（90分）</w:t>
      </w:r>
    </w:p>
    <w:tbl>
      <w:tblPr>
        <w:tblStyle w:val="4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43"/>
        <w:gridCol w:w="1431"/>
        <w:gridCol w:w="6542"/>
        <w:gridCol w:w="699"/>
      </w:tblGrid>
      <w:tr w14:paraId="601F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345" w:type="pct"/>
            <w:vAlign w:val="center"/>
          </w:tcPr>
          <w:p w14:paraId="5518D8C9">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序号</w:t>
            </w:r>
          </w:p>
        </w:tc>
        <w:tc>
          <w:tcPr>
            <w:tcW w:w="768" w:type="pct"/>
            <w:vAlign w:val="center"/>
          </w:tcPr>
          <w:p w14:paraId="414CE79C">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评审内容</w:t>
            </w:r>
          </w:p>
        </w:tc>
        <w:tc>
          <w:tcPr>
            <w:tcW w:w="3511" w:type="pct"/>
            <w:vAlign w:val="center"/>
          </w:tcPr>
          <w:p w14:paraId="730366D0">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评分标准及分数</w:t>
            </w:r>
          </w:p>
        </w:tc>
        <w:tc>
          <w:tcPr>
            <w:tcW w:w="375" w:type="pct"/>
            <w:vAlign w:val="center"/>
          </w:tcPr>
          <w:p w14:paraId="37BD8E51">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分值</w:t>
            </w:r>
          </w:p>
        </w:tc>
      </w:tr>
      <w:tr w14:paraId="6C7C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45" w:type="pct"/>
            <w:shd w:val="clear" w:color="auto" w:fill="auto"/>
            <w:vAlign w:val="center"/>
          </w:tcPr>
          <w:p w14:paraId="06882777">
            <w:pPr>
              <w:widowControl/>
              <w:spacing w:line="460" w:lineRule="exact"/>
              <w:jc w:val="center"/>
              <w:textAlignment w:val="center"/>
              <w:rPr>
                <w:rFonts w:hint="eastAsia" w:hAnsi="宋体" w:cs="宋体"/>
                <w:bCs/>
                <w:color w:val="auto"/>
                <w:sz w:val="21"/>
                <w:szCs w:val="21"/>
                <w:highlight w:val="none"/>
                <w:lang w:bidi="ar"/>
              </w:rPr>
            </w:pPr>
            <w:bookmarkStart w:id="43" w:name="OLE_LINK1" w:colFirst="3" w:colLast="3"/>
            <w:bookmarkStart w:id="44" w:name="OLE_LINK2" w:colFirst="3" w:colLast="3"/>
            <w:r>
              <w:rPr>
                <w:rFonts w:hint="eastAsia" w:hAnsi="宋体" w:cs="宋体"/>
                <w:bCs/>
                <w:color w:val="auto"/>
                <w:sz w:val="21"/>
                <w:szCs w:val="21"/>
                <w:highlight w:val="none"/>
                <w:lang w:bidi="ar"/>
              </w:rPr>
              <w:t>1</w:t>
            </w:r>
          </w:p>
        </w:tc>
        <w:tc>
          <w:tcPr>
            <w:tcW w:w="768" w:type="pct"/>
            <w:shd w:val="clear" w:color="auto" w:fill="auto"/>
            <w:vAlign w:val="center"/>
          </w:tcPr>
          <w:p w14:paraId="4D548BEA">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资信、荣誉、服务能力</w:t>
            </w:r>
          </w:p>
        </w:tc>
        <w:tc>
          <w:tcPr>
            <w:tcW w:w="3511" w:type="pct"/>
            <w:shd w:val="clear" w:color="auto" w:fill="FFFFFF"/>
            <w:vAlign w:val="center"/>
          </w:tcPr>
          <w:p w14:paraId="4D8FB400">
            <w:pPr>
              <w:autoSpaceDE/>
              <w:autoSpaceDN/>
              <w:adjustRightInd/>
              <w:snapToGrid w:val="0"/>
              <w:spacing w:line="460" w:lineRule="exact"/>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供应商</w:t>
            </w:r>
            <w:r>
              <w:rPr>
                <w:rFonts w:hint="eastAsia" w:hAnsi="宋体" w:cs="宋体"/>
                <w:bCs/>
                <w:color w:val="auto"/>
                <w:sz w:val="21"/>
                <w:szCs w:val="21"/>
                <w:highlight w:val="none"/>
              </w:rPr>
              <w:t>属依《社会组织评估管理办法》获得4A评估等级的社会组织得2分；5A评估等级的社会组织得5分。以上不累加，按最高得分计。</w:t>
            </w:r>
          </w:p>
          <w:p w14:paraId="63364CE0">
            <w:pPr>
              <w:widowControl/>
              <w:spacing w:line="460" w:lineRule="exact"/>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rPr>
              <w:t>（以上须提供相关证明材料扫描件或复印件加盖公章，未提供不得分）</w:t>
            </w:r>
          </w:p>
        </w:tc>
        <w:tc>
          <w:tcPr>
            <w:tcW w:w="375" w:type="pct"/>
            <w:shd w:val="clear" w:color="auto" w:fill="FFFFFF"/>
            <w:vAlign w:val="center"/>
          </w:tcPr>
          <w:p w14:paraId="0D007E1F">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5</w:t>
            </w:r>
          </w:p>
        </w:tc>
      </w:tr>
      <w:tr w14:paraId="3ACA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345" w:type="pct"/>
            <w:vAlign w:val="center"/>
          </w:tcPr>
          <w:p w14:paraId="4A2F99F9">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2</w:t>
            </w:r>
          </w:p>
        </w:tc>
        <w:tc>
          <w:tcPr>
            <w:tcW w:w="768" w:type="pct"/>
            <w:vAlign w:val="center"/>
          </w:tcPr>
          <w:p w14:paraId="48DCC182">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业绩</w:t>
            </w:r>
          </w:p>
        </w:tc>
        <w:tc>
          <w:tcPr>
            <w:tcW w:w="3511" w:type="pct"/>
            <w:vAlign w:val="center"/>
          </w:tcPr>
          <w:p w14:paraId="33E54225">
            <w:pPr>
              <w:widowControl/>
              <w:spacing w:line="460" w:lineRule="exact"/>
              <w:rPr>
                <w:rFonts w:hint="eastAsia" w:hAnsi="宋体" w:cs="宋体"/>
                <w:bCs/>
                <w:color w:val="auto"/>
                <w:sz w:val="21"/>
                <w:szCs w:val="21"/>
                <w:highlight w:val="none"/>
                <w:lang w:bidi="ar"/>
              </w:rPr>
            </w:pPr>
            <w:r>
              <w:rPr>
                <w:rFonts w:hint="eastAsia" w:hAnsi="宋体" w:cs="宋体"/>
                <w:bCs/>
                <w:color w:val="auto"/>
                <w:sz w:val="21"/>
                <w:szCs w:val="21"/>
                <w:highlight w:val="none"/>
                <w:lang w:val="en-US" w:eastAsia="zh-CN"/>
              </w:rPr>
              <w:t>供应商</w:t>
            </w:r>
            <w:r>
              <w:rPr>
                <w:rFonts w:hint="eastAsia" w:hAnsi="宋体" w:cs="宋体"/>
                <w:bCs/>
                <w:color w:val="auto"/>
                <w:sz w:val="21"/>
                <w:szCs w:val="21"/>
                <w:highlight w:val="none"/>
              </w:rPr>
              <w:t>202</w:t>
            </w: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年1月1日（以合同签订时间为准）以来承接过同类服务项目的，每个项目得0.5分，最高得1分。（须提供相关业绩合同扫描件或复印件，未提供不得分）</w:t>
            </w:r>
          </w:p>
        </w:tc>
        <w:tc>
          <w:tcPr>
            <w:tcW w:w="375" w:type="pct"/>
            <w:vAlign w:val="center"/>
          </w:tcPr>
          <w:p w14:paraId="4235B0EE">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1</w:t>
            </w:r>
          </w:p>
        </w:tc>
      </w:tr>
      <w:tr w14:paraId="3947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3" w:hRule="atLeast"/>
          <w:jc w:val="center"/>
        </w:trPr>
        <w:tc>
          <w:tcPr>
            <w:tcW w:w="345" w:type="pct"/>
            <w:vMerge w:val="restart"/>
            <w:vAlign w:val="center"/>
          </w:tcPr>
          <w:p w14:paraId="5E7F45CB">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3</w:t>
            </w:r>
          </w:p>
        </w:tc>
        <w:tc>
          <w:tcPr>
            <w:tcW w:w="768" w:type="pct"/>
            <w:vMerge w:val="restart"/>
            <w:vAlign w:val="center"/>
          </w:tcPr>
          <w:p w14:paraId="1AA37B3D">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color w:val="auto"/>
                <w:sz w:val="21"/>
                <w:szCs w:val="21"/>
                <w:highlight w:val="none"/>
              </w:rPr>
              <w:t>人员配备情况</w:t>
            </w:r>
          </w:p>
        </w:tc>
        <w:tc>
          <w:tcPr>
            <w:tcW w:w="3511" w:type="pct"/>
            <w:vAlign w:val="center"/>
          </w:tcPr>
          <w:p w14:paraId="3FEBDDB1">
            <w:pPr>
              <w:widowControl/>
              <w:adjustRightInd/>
              <w:snapToGrid w:val="0"/>
              <w:spacing w:line="460" w:lineRule="exact"/>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拟派项目负责人</w:t>
            </w:r>
            <w:r>
              <w:rPr>
                <w:rFonts w:hint="eastAsia" w:hAnsi="宋体" w:cs="宋体"/>
                <w:bCs/>
                <w:color w:val="auto"/>
                <w:sz w:val="21"/>
                <w:szCs w:val="21"/>
                <w:highlight w:val="none"/>
                <w:lang w:eastAsia="zh-CN"/>
              </w:rPr>
              <w:t>：</w:t>
            </w:r>
          </w:p>
          <w:p w14:paraId="675487CF">
            <w:pPr>
              <w:snapToGrid w:val="0"/>
              <w:spacing w:line="460" w:lineRule="exact"/>
              <w:rPr>
                <w:rFonts w:hint="eastAsia" w:ascii="宋体"/>
                <w:bCs/>
                <w:color w:val="auto"/>
                <w:sz w:val="21"/>
                <w:szCs w:val="21"/>
                <w:highlight w:val="none"/>
              </w:rPr>
            </w:pPr>
            <w:r>
              <w:rPr>
                <w:rFonts w:hint="eastAsia"/>
                <w:bCs/>
                <w:color w:val="auto"/>
                <w:sz w:val="21"/>
                <w:szCs w:val="21"/>
                <w:highlight w:val="none"/>
                <w:lang w:val="en-US" w:eastAsia="zh-CN"/>
              </w:rPr>
              <w:t>1.</w:t>
            </w:r>
            <w:r>
              <w:rPr>
                <w:rFonts w:hint="eastAsia" w:ascii="宋体"/>
                <w:bCs/>
                <w:color w:val="auto"/>
                <w:sz w:val="21"/>
                <w:szCs w:val="21"/>
                <w:highlight w:val="none"/>
              </w:rPr>
              <w:t>具有中级</w:t>
            </w:r>
            <w:r>
              <w:rPr>
                <w:rFonts w:hint="eastAsia" w:ascii="宋体"/>
                <w:bCs/>
                <w:color w:val="auto"/>
                <w:sz w:val="21"/>
                <w:szCs w:val="21"/>
                <w:highlight w:val="none"/>
                <w:lang w:val="en-US" w:eastAsia="zh-CN"/>
              </w:rPr>
              <w:t>或以上</w:t>
            </w:r>
            <w:r>
              <w:rPr>
                <w:rFonts w:hint="eastAsia" w:ascii="宋体"/>
                <w:bCs/>
                <w:color w:val="auto"/>
                <w:sz w:val="21"/>
                <w:szCs w:val="21"/>
                <w:highlight w:val="none"/>
              </w:rPr>
              <w:t>社会工作者证书</w:t>
            </w:r>
            <w:r>
              <w:rPr>
                <w:rFonts w:hint="eastAsia" w:ascii="宋体"/>
                <w:bCs/>
                <w:color w:val="auto"/>
                <w:sz w:val="21"/>
                <w:szCs w:val="21"/>
                <w:highlight w:val="none"/>
                <w:lang w:val="en-US" w:eastAsia="zh-CN"/>
              </w:rPr>
              <w:t>的</w:t>
            </w:r>
            <w:r>
              <w:rPr>
                <w:rFonts w:hint="eastAsia" w:ascii="宋体"/>
                <w:bCs/>
                <w:color w:val="auto"/>
                <w:sz w:val="21"/>
                <w:szCs w:val="21"/>
                <w:highlight w:val="none"/>
              </w:rPr>
              <w:t>得2分；</w:t>
            </w:r>
          </w:p>
          <w:p w14:paraId="0161461A">
            <w:pPr>
              <w:widowControl/>
              <w:numPr>
                <w:ilvl w:val="-1"/>
                <w:numId w:val="0"/>
              </w:numPr>
              <w:adjustRightInd/>
              <w:snapToGrid w:val="0"/>
              <w:spacing w:line="460" w:lineRule="exact"/>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2.具有</w:t>
            </w:r>
            <w:r>
              <w:rPr>
                <w:rFonts w:hint="eastAsia" w:hAnsi="宋体" w:cs="宋体"/>
                <w:bCs/>
                <w:color w:val="auto"/>
                <w:sz w:val="21"/>
                <w:szCs w:val="21"/>
                <w:highlight w:val="none"/>
              </w:rPr>
              <w:t>市级</w:t>
            </w:r>
            <w:r>
              <w:rPr>
                <w:rFonts w:hint="eastAsia" w:hAnsi="宋体" w:cs="宋体"/>
                <w:bCs/>
                <w:color w:val="auto"/>
                <w:sz w:val="21"/>
                <w:szCs w:val="21"/>
                <w:highlight w:val="none"/>
                <w:lang w:val="en-US" w:eastAsia="zh-CN"/>
              </w:rPr>
              <w:t>或以上</w:t>
            </w:r>
            <w:r>
              <w:rPr>
                <w:rFonts w:hint="eastAsia" w:hAnsi="宋体" w:cs="宋体"/>
                <w:bCs/>
                <w:color w:val="auto"/>
                <w:sz w:val="21"/>
                <w:szCs w:val="21"/>
                <w:highlight w:val="none"/>
              </w:rPr>
              <w:t>民政智库专家</w:t>
            </w:r>
            <w:r>
              <w:rPr>
                <w:rFonts w:hint="eastAsia" w:hAnsi="宋体" w:cs="宋体"/>
                <w:bCs/>
                <w:color w:val="auto"/>
                <w:sz w:val="21"/>
                <w:szCs w:val="21"/>
                <w:highlight w:val="none"/>
                <w:lang w:val="en-US" w:eastAsia="zh-CN"/>
              </w:rPr>
              <w:t>身份的</w:t>
            </w:r>
            <w:r>
              <w:rPr>
                <w:rFonts w:hint="eastAsia" w:hAnsi="宋体" w:cs="宋体"/>
                <w:bCs/>
                <w:color w:val="auto"/>
                <w:sz w:val="21"/>
                <w:szCs w:val="21"/>
                <w:highlight w:val="none"/>
              </w:rPr>
              <w:t>得1分；</w:t>
            </w:r>
            <w:r>
              <w:rPr>
                <w:rFonts w:hint="eastAsia" w:hAnsi="宋体" w:cs="宋体"/>
                <w:bCs/>
                <w:color w:val="auto"/>
                <w:sz w:val="21"/>
                <w:szCs w:val="21"/>
                <w:highlight w:val="none"/>
              </w:rPr>
              <w:br w:type="textWrapping"/>
            </w:r>
            <w:r>
              <w:rPr>
                <w:rFonts w:hint="eastAsia" w:hAnsi="宋体" w:cs="宋体"/>
                <w:bCs/>
                <w:color w:val="auto"/>
                <w:sz w:val="21"/>
                <w:szCs w:val="21"/>
                <w:highlight w:val="none"/>
                <w:lang w:val="en-US" w:eastAsia="zh-CN"/>
              </w:rPr>
              <w:t>3.具有省级或以上政府部门颁发的</w:t>
            </w:r>
            <w:r>
              <w:rPr>
                <w:rFonts w:hint="eastAsia" w:hAnsi="宋体" w:cs="宋体"/>
                <w:bCs/>
                <w:color w:val="auto"/>
                <w:sz w:val="21"/>
                <w:szCs w:val="21"/>
                <w:highlight w:val="none"/>
              </w:rPr>
              <w:t>社会组织领军人物</w:t>
            </w:r>
            <w:r>
              <w:rPr>
                <w:rFonts w:hint="eastAsia" w:hAnsi="宋体" w:cs="宋体"/>
                <w:bCs/>
                <w:color w:val="auto"/>
                <w:sz w:val="21"/>
                <w:szCs w:val="21"/>
                <w:highlight w:val="none"/>
                <w:lang w:val="en-US" w:eastAsia="zh-CN"/>
              </w:rPr>
              <w:t>称号的</w:t>
            </w:r>
            <w:r>
              <w:rPr>
                <w:rFonts w:hint="eastAsia" w:hAnsi="宋体" w:cs="宋体"/>
                <w:bCs/>
                <w:color w:val="auto"/>
                <w:sz w:val="21"/>
                <w:szCs w:val="21"/>
                <w:highlight w:val="none"/>
              </w:rPr>
              <w:t>得1分；</w:t>
            </w:r>
          </w:p>
          <w:p w14:paraId="4C9E69D1">
            <w:pPr>
              <w:widowControl/>
              <w:adjustRightInd/>
              <w:snapToGrid w:val="0"/>
              <w:spacing w:line="460" w:lineRule="exact"/>
              <w:rPr>
                <w:rFonts w:hint="eastAsia" w:ascii="宋体" w:hAnsi="宋体" w:cs="宋体"/>
                <w:bCs/>
                <w:color w:val="auto"/>
                <w:sz w:val="21"/>
                <w:szCs w:val="21"/>
                <w:highlight w:val="none"/>
              </w:rPr>
            </w:pPr>
            <w:r>
              <w:rPr>
                <w:rFonts w:hint="eastAsia" w:hAnsi="宋体" w:cs="宋体"/>
                <w:bCs/>
                <w:color w:val="auto"/>
                <w:sz w:val="21"/>
                <w:szCs w:val="21"/>
                <w:highlight w:val="none"/>
                <w:lang w:val="en-US" w:eastAsia="zh-CN"/>
              </w:rPr>
              <w:t>4.</w:t>
            </w:r>
            <w:r>
              <w:rPr>
                <w:rFonts w:hint="eastAsia" w:ascii="宋体" w:hAnsi="宋体" w:cs="宋体"/>
                <w:bCs/>
                <w:color w:val="auto"/>
                <w:sz w:val="21"/>
                <w:szCs w:val="21"/>
                <w:highlight w:val="none"/>
              </w:rPr>
              <w:t>承担</w:t>
            </w:r>
            <w:r>
              <w:rPr>
                <w:rFonts w:hint="eastAsia" w:hAnsi="宋体" w:cs="宋体"/>
                <w:bCs/>
                <w:color w:val="auto"/>
                <w:sz w:val="21"/>
                <w:szCs w:val="21"/>
                <w:highlight w:val="none"/>
                <w:lang w:val="en-US" w:eastAsia="zh-CN"/>
              </w:rPr>
              <w:t>过</w:t>
            </w:r>
            <w:r>
              <w:rPr>
                <w:rFonts w:hint="eastAsia" w:ascii="宋体" w:hAnsi="宋体" w:cs="宋体"/>
                <w:bCs/>
                <w:color w:val="auto"/>
                <w:sz w:val="21"/>
                <w:szCs w:val="21"/>
                <w:highlight w:val="none"/>
              </w:rPr>
              <w:t>同类项目的得1分</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须</w:t>
            </w:r>
            <w:r>
              <w:rPr>
                <w:rFonts w:hint="eastAsia" w:ascii="宋体" w:hAnsi="宋体" w:cs="宋体"/>
                <w:bCs/>
                <w:color w:val="auto"/>
                <w:sz w:val="21"/>
                <w:szCs w:val="21"/>
                <w:highlight w:val="none"/>
              </w:rPr>
              <w:t>提供一个案例</w:t>
            </w:r>
            <w:r>
              <w:rPr>
                <w:rFonts w:hint="eastAsia" w:hAnsi="宋体" w:cs="宋体"/>
                <w:bCs/>
                <w:color w:val="auto"/>
                <w:sz w:val="21"/>
                <w:szCs w:val="21"/>
                <w:highlight w:val="none"/>
                <w:lang w:val="en-US" w:eastAsia="zh-CN"/>
              </w:rPr>
              <w:t>的证明材料</w:t>
            </w:r>
            <w:r>
              <w:rPr>
                <w:rFonts w:hint="eastAsia" w:hAnsi="宋体" w:cs="宋体"/>
                <w:bCs/>
                <w:color w:val="auto"/>
                <w:sz w:val="21"/>
                <w:szCs w:val="21"/>
                <w:highlight w:val="none"/>
                <w:lang w:eastAsia="zh-CN"/>
              </w:rPr>
              <w:t>）</w:t>
            </w:r>
            <w:r>
              <w:rPr>
                <w:rFonts w:hint="eastAsia" w:ascii="宋体" w:hAnsi="宋体" w:cs="宋体"/>
                <w:bCs/>
                <w:color w:val="auto"/>
                <w:sz w:val="21"/>
                <w:szCs w:val="21"/>
                <w:highlight w:val="none"/>
              </w:rPr>
              <w:t>。</w:t>
            </w:r>
          </w:p>
          <w:p w14:paraId="39C548B3">
            <w:pPr>
              <w:widowControl/>
              <w:adjustRightInd/>
              <w:snapToGrid w:val="0"/>
              <w:spacing w:line="460" w:lineRule="exact"/>
              <w:rPr>
                <w:rFonts w:hint="eastAsia" w:hAnsi="宋体" w:cs="宋体"/>
                <w:color w:val="auto"/>
                <w:sz w:val="21"/>
                <w:szCs w:val="21"/>
                <w:highlight w:val="none"/>
              </w:rPr>
            </w:pPr>
            <w:r>
              <w:rPr>
                <w:rFonts w:hint="eastAsia" w:hAnsi="宋体" w:cs="宋体"/>
                <w:bCs/>
                <w:color w:val="auto"/>
                <w:sz w:val="21"/>
                <w:szCs w:val="21"/>
                <w:highlight w:val="none"/>
                <w:lang w:val="en-US" w:eastAsia="zh-CN"/>
              </w:rPr>
              <w:t>注</w:t>
            </w:r>
            <w:r>
              <w:rPr>
                <w:rFonts w:hint="eastAsia" w:ascii="宋体" w:hAnsi="宋体" w:cs="宋体"/>
                <w:bCs/>
                <w:color w:val="auto"/>
                <w:sz w:val="21"/>
                <w:szCs w:val="21"/>
                <w:highlight w:val="none"/>
              </w:rPr>
              <w:t>：</w:t>
            </w:r>
            <w:r>
              <w:rPr>
                <w:rFonts w:hint="eastAsia" w:hAnsi="宋体" w:cs="宋体"/>
                <w:bCs/>
                <w:color w:val="auto"/>
                <w:sz w:val="21"/>
                <w:szCs w:val="21"/>
                <w:highlight w:val="none"/>
                <w:lang w:val="en-US" w:eastAsia="zh-CN"/>
              </w:rPr>
              <w:t>须</w:t>
            </w:r>
            <w:r>
              <w:rPr>
                <w:rFonts w:hint="eastAsia" w:ascii="宋体" w:hAnsi="宋体" w:cs="宋体"/>
                <w:bCs/>
                <w:color w:val="auto"/>
                <w:sz w:val="21"/>
                <w:szCs w:val="21"/>
                <w:highlight w:val="none"/>
              </w:rPr>
              <w:t>提供</w:t>
            </w:r>
            <w:r>
              <w:rPr>
                <w:rFonts w:hint="eastAsia" w:hAnsi="宋体" w:cs="宋体"/>
                <w:bCs/>
                <w:color w:val="auto"/>
                <w:sz w:val="21"/>
                <w:szCs w:val="21"/>
                <w:highlight w:val="none"/>
                <w:lang w:val="en-US" w:eastAsia="zh-CN"/>
              </w:rPr>
              <w:t>相关人员证书、案例等证明材料扫描件或复印件及近三个月内任意一个月社保缴纳证明（或退休返聘证明）并加盖公章</w:t>
            </w:r>
            <w:r>
              <w:rPr>
                <w:rFonts w:hint="eastAsia" w:ascii="宋体" w:hAnsi="宋体" w:cs="宋体"/>
                <w:bCs/>
                <w:color w:val="auto"/>
                <w:sz w:val="21"/>
                <w:szCs w:val="21"/>
                <w:highlight w:val="none"/>
              </w:rPr>
              <w:t>。</w:t>
            </w:r>
          </w:p>
        </w:tc>
        <w:tc>
          <w:tcPr>
            <w:tcW w:w="375" w:type="pct"/>
            <w:vAlign w:val="center"/>
          </w:tcPr>
          <w:p w14:paraId="461A8291">
            <w:pPr>
              <w:snapToGrid w:val="0"/>
              <w:spacing w:line="460" w:lineRule="exact"/>
              <w:jc w:val="center"/>
              <w:textAlignment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r>
      <w:tr w14:paraId="109F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3" w:hRule="atLeast"/>
          <w:jc w:val="center"/>
        </w:trPr>
        <w:tc>
          <w:tcPr>
            <w:tcW w:w="345" w:type="pct"/>
            <w:vMerge w:val="continue"/>
            <w:vAlign w:val="center"/>
          </w:tcPr>
          <w:p w14:paraId="768ED0E3">
            <w:pPr>
              <w:snapToGrid w:val="0"/>
              <w:spacing w:line="460" w:lineRule="exact"/>
              <w:jc w:val="center"/>
              <w:textAlignment w:val="center"/>
              <w:rPr>
                <w:color w:val="auto"/>
                <w:highlight w:val="none"/>
              </w:rPr>
            </w:pPr>
          </w:p>
        </w:tc>
        <w:tc>
          <w:tcPr>
            <w:tcW w:w="768" w:type="pct"/>
            <w:vMerge w:val="continue"/>
            <w:vAlign w:val="center"/>
          </w:tcPr>
          <w:p w14:paraId="23E66C13">
            <w:pPr>
              <w:snapToGrid w:val="0"/>
              <w:spacing w:line="460" w:lineRule="exact"/>
              <w:jc w:val="center"/>
              <w:textAlignment w:val="center"/>
              <w:rPr>
                <w:color w:val="auto"/>
                <w:highlight w:val="none"/>
              </w:rPr>
            </w:pPr>
          </w:p>
        </w:tc>
        <w:tc>
          <w:tcPr>
            <w:tcW w:w="3511" w:type="pct"/>
            <w:vAlign w:val="center"/>
          </w:tcPr>
          <w:p w14:paraId="2FEA7B04">
            <w:pPr>
              <w:widowControl/>
              <w:adjustRightInd/>
              <w:snapToGrid w:val="0"/>
              <w:spacing w:line="460" w:lineRule="exact"/>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拟派</w:t>
            </w:r>
            <w:r>
              <w:rPr>
                <w:rFonts w:hint="eastAsia" w:hAnsi="宋体" w:cs="宋体"/>
                <w:bCs/>
                <w:color w:val="auto"/>
                <w:sz w:val="21"/>
                <w:szCs w:val="21"/>
                <w:highlight w:val="none"/>
              </w:rPr>
              <w:t>驻场工作人员整体能力情况：</w:t>
            </w:r>
          </w:p>
          <w:p w14:paraId="38EE1B60">
            <w:pPr>
              <w:widowControl/>
              <w:adjustRightInd/>
              <w:snapToGrid w:val="0"/>
              <w:spacing w:line="460" w:lineRule="exact"/>
              <w:rPr>
                <w:rFonts w:hint="default" w:hAnsi="宋体" w:eastAsia="宋体" w:cs="宋体"/>
                <w:bCs/>
                <w:color w:val="auto"/>
                <w:sz w:val="21"/>
                <w:szCs w:val="21"/>
                <w:highlight w:val="none"/>
                <w:lang w:val="en-US" w:eastAsia="zh-CN"/>
              </w:rPr>
            </w:pPr>
            <w:r>
              <w:rPr>
                <w:rFonts w:hint="eastAsia" w:hAnsi="宋体" w:cs="宋体"/>
                <w:bCs/>
                <w:color w:val="auto"/>
                <w:sz w:val="21"/>
                <w:szCs w:val="21"/>
                <w:highlight w:val="none"/>
              </w:rPr>
              <w:t>运营人员具有</w:t>
            </w:r>
            <w:r>
              <w:rPr>
                <w:rFonts w:hint="eastAsia" w:hAnsi="宋体" w:cs="宋体"/>
                <w:bCs/>
                <w:color w:val="auto"/>
                <w:sz w:val="21"/>
                <w:szCs w:val="21"/>
                <w:highlight w:val="none"/>
                <w:lang w:val="en-US" w:eastAsia="zh-CN"/>
              </w:rPr>
              <w:t>初级</w:t>
            </w:r>
            <w:r>
              <w:rPr>
                <w:rFonts w:hint="eastAsia" w:hAnsi="宋体" w:cs="宋体"/>
                <w:bCs/>
                <w:color w:val="auto"/>
                <w:sz w:val="21"/>
                <w:szCs w:val="21"/>
                <w:highlight w:val="none"/>
              </w:rPr>
              <w:t>社会工作者证书的得1分</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具有</w:t>
            </w:r>
            <w:r>
              <w:rPr>
                <w:rFonts w:hint="eastAsia" w:hAnsi="宋体" w:cs="宋体"/>
                <w:bCs/>
                <w:color w:val="auto"/>
                <w:sz w:val="21"/>
                <w:szCs w:val="21"/>
                <w:highlight w:val="none"/>
              </w:rPr>
              <w:t>中级或</w:t>
            </w:r>
            <w:r>
              <w:rPr>
                <w:rFonts w:hint="eastAsia" w:hAnsi="宋体" w:cs="宋体"/>
                <w:bCs/>
                <w:color w:val="auto"/>
                <w:sz w:val="21"/>
                <w:szCs w:val="21"/>
                <w:highlight w:val="none"/>
                <w:lang w:val="en-US" w:eastAsia="zh-CN"/>
              </w:rPr>
              <w:t>以上</w:t>
            </w:r>
            <w:r>
              <w:rPr>
                <w:rFonts w:hint="eastAsia" w:hAnsi="宋体" w:cs="宋体"/>
                <w:bCs/>
                <w:color w:val="auto"/>
                <w:sz w:val="21"/>
                <w:szCs w:val="21"/>
                <w:highlight w:val="none"/>
              </w:rPr>
              <w:t>社会工作者证书的得2分</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本项最高得4分。</w:t>
            </w:r>
            <w:r>
              <w:rPr>
                <w:rFonts w:hint="eastAsia" w:hAnsi="宋体" w:cs="宋体"/>
                <w:bCs/>
                <w:color w:val="auto"/>
                <w:sz w:val="21"/>
                <w:szCs w:val="21"/>
                <w:highlight w:val="none"/>
                <w:lang w:val="en-US" w:eastAsia="zh-CN"/>
              </w:rPr>
              <w:t>一人多证不重复计分。</w:t>
            </w:r>
          </w:p>
          <w:p w14:paraId="01AF2E08">
            <w:pPr>
              <w:widowControl/>
              <w:adjustRightInd/>
              <w:snapToGrid w:val="0"/>
              <w:spacing w:line="460" w:lineRule="exact"/>
              <w:jc w:val="left"/>
              <w:textAlignment w:val="auto"/>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注</w:t>
            </w:r>
            <w:r>
              <w:rPr>
                <w:rFonts w:hint="eastAsia" w:ascii="宋体" w:hAnsi="宋体" w:cs="宋体"/>
                <w:bCs/>
                <w:color w:val="auto"/>
                <w:sz w:val="21"/>
                <w:szCs w:val="21"/>
                <w:highlight w:val="none"/>
              </w:rPr>
              <w:t>：</w:t>
            </w:r>
            <w:r>
              <w:rPr>
                <w:rFonts w:hint="eastAsia" w:hAnsi="宋体" w:cs="宋体"/>
                <w:bCs/>
                <w:color w:val="auto"/>
                <w:sz w:val="21"/>
                <w:szCs w:val="21"/>
                <w:highlight w:val="none"/>
                <w:lang w:val="en-US" w:eastAsia="zh-CN"/>
              </w:rPr>
              <w:t>须</w:t>
            </w:r>
            <w:r>
              <w:rPr>
                <w:rFonts w:hint="eastAsia" w:ascii="宋体" w:hAnsi="宋体" w:cs="宋体"/>
                <w:bCs/>
                <w:color w:val="auto"/>
                <w:sz w:val="21"/>
                <w:szCs w:val="21"/>
                <w:highlight w:val="none"/>
              </w:rPr>
              <w:t>提供</w:t>
            </w:r>
            <w:r>
              <w:rPr>
                <w:rFonts w:hint="eastAsia" w:hAnsi="宋体" w:cs="宋体"/>
                <w:bCs/>
                <w:color w:val="auto"/>
                <w:sz w:val="21"/>
                <w:szCs w:val="21"/>
                <w:highlight w:val="none"/>
                <w:lang w:val="en-US" w:eastAsia="zh-CN"/>
              </w:rPr>
              <w:t>相关人员证书等证明材料扫描件或复印件及近三个月内任意一个月社保缴纳证明（或退休返聘证明）并加盖公章</w:t>
            </w:r>
            <w:r>
              <w:rPr>
                <w:rFonts w:hint="eastAsia" w:ascii="宋体" w:hAnsi="宋体" w:cs="宋体"/>
                <w:bCs/>
                <w:color w:val="auto"/>
                <w:sz w:val="21"/>
                <w:szCs w:val="21"/>
                <w:highlight w:val="none"/>
              </w:rPr>
              <w:t>。</w:t>
            </w:r>
          </w:p>
        </w:tc>
        <w:tc>
          <w:tcPr>
            <w:tcW w:w="375" w:type="pct"/>
            <w:vAlign w:val="center"/>
          </w:tcPr>
          <w:p w14:paraId="7328771A">
            <w:pPr>
              <w:snapToGrid w:val="0"/>
              <w:spacing w:line="460" w:lineRule="exact"/>
              <w:jc w:val="center"/>
              <w:textAlignment w:val="center"/>
              <w:rPr>
                <w:rFonts w:hint="eastAsia"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4</w:t>
            </w:r>
          </w:p>
        </w:tc>
      </w:tr>
      <w:tr w14:paraId="5DC5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345" w:type="pct"/>
            <w:vMerge w:val="continue"/>
            <w:vAlign w:val="center"/>
          </w:tcPr>
          <w:p w14:paraId="153478B8">
            <w:pPr>
              <w:snapToGrid w:val="0"/>
              <w:spacing w:line="460" w:lineRule="exact"/>
              <w:jc w:val="center"/>
              <w:textAlignment w:val="center"/>
              <w:rPr>
                <w:rFonts w:hint="eastAsia" w:hAnsi="宋体" w:cs="宋体"/>
                <w:bCs/>
                <w:color w:val="auto"/>
                <w:sz w:val="21"/>
                <w:szCs w:val="21"/>
                <w:highlight w:val="none"/>
              </w:rPr>
            </w:pPr>
          </w:p>
        </w:tc>
        <w:tc>
          <w:tcPr>
            <w:tcW w:w="768" w:type="pct"/>
            <w:vMerge w:val="continue"/>
            <w:vAlign w:val="center"/>
          </w:tcPr>
          <w:p w14:paraId="579AF920">
            <w:pPr>
              <w:snapToGrid w:val="0"/>
              <w:spacing w:line="460" w:lineRule="exact"/>
              <w:jc w:val="center"/>
              <w:textAlignment w:val="center"/>
              <w:rPr>
                <w:rFonts w:hint="eastAsia" w:hAnsi="宋体" w:cs="宋体"/>
                <w:bCs/>
                <w:color w:val="auto"/>
                <w:sz w:val="21"/>
                <w:szCs w:val="21"/>
                <w:highlight w:val="none"/>
              </w:rPr>
            </w:pPr>
          </w:p>
        </w:tc>
        <w:tc>
          <w:tcPr>
            <w:tcW w:w="3511" w:type="pct"/>
            <w:vAlign w:val="center"/>
          </w:tcPr>
          <w:p w14:paraId="211DAD2A">
            <w:pPr>
              <w:widowControl/>
              <w:adjustRightInd/>
              <w:snapToGrid w:val="0"/>
              <w:spacing w:line="460" w:lineRule="exact"/>
              <w:rPr>
                <w:rFonts w:hAnsi="宋体" w:cs="宋体"/>
                <w:color w:val="auto"/>
                <w:sz w:val="21"/>
                <w:szCs w:val="21"/>
                <w:highlight w:val="none"/>
              </w:rPr>
            </w:pPr>
            <w:r>
              <w:rPr>
                <w:rFonts w:hint="eastAsia" w:hAnsi="宋体" w:cs="宋体"/>
                <w:color w:val="auto"/>
                <w:sz w:val="21"/>
                <w:szCs w:val="21"/>
                <w:highlight w:val="none"/>
              </w:rPr>
              <w:t>拟投入本项目的督导人员</w:t>
            </w:r>
            <w:r>
              <w:rPr>
                <w:rStyle w:val="76"/>
                <w:rFonts w:hint="default" w:cs="宋体"/>
                <w:color w:val="auto"/>
                <w:sz w:val="21"/>
                <w:szCs w:val="21"/>
                <w:highlight w:val="none"/>
              </w:rPr>
              <w:t>（除项目负责人外）</w:t>
            </w:r>
            <w:r>
              <w:rPr>
                <w:rFonts w:hint="eastAsia" w:hAnsi="宋体" w:cs="宋体"/>
                <w:color w:val="auto"/>
                <w:sz w:val="21"/>
                <w:szCs w:val="21"/>
                <w:highlight w:val="none"/>
              </w:rPr>
              <w:t>持有社会工作师（中级）或以上资格证书，每人得1分，本项最高得2分。</w:t>
            </w:r>
          </w:p>
          <w:p w14:paraId="09D52927">
            <w:pPr>
              <w:snapToGrid w:val="0"/>
              <w:spacing w:line="460" w:lineRule="exact"/>
              <w:jc w:val="left"/>
              <w:textAlignment w:val="center"/>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注</w:t>
            </w:r>
            <w:r>
              <w:rPr>
                <w:rFonts w:hint="eastAsia" w:ascii="宋体" w:hAnsi="宋体" w:cs="宋体"/>
                <w:bCs/>
                <w:color w:val="auto"/>
                <w:sz w:val="21"/>
                <w:szCs w:val="21"/>
                <w:highlight w:val="none"/>
              </w:rPr>
              <w:t>：</w:t>
            </w:r>
            <w:r>
              <w:rPr>
                <w:rFonts w:hint="eastAsia" w:hAnsi="宋体" w:cs="宋体"/>
                <w:bCs/>
                <w:color w:val="auto"/>
                <w:sz w:val="21"/>
                <w:szCs w:val="21"/>
                <w:highlight w:val="none"/>
                <w:lang w:val="en-US" w:eastAsia="zh-CN"/>
              </w:rPr>
              <w:t>须</w:t>
            </w:r>
            <w:r>
              <w:rPr>
                <w:rFonts w:hint="eastAsia" w:ascii="宋体" w:hAnsi="宋体" w:cs="宋体"/>
                <w:bCs/>
                <w:color w:val="auto"/>
                <w:sz w:val="21"/>
                <w:szCs w:val="21"/>
                <w:highlight w:val="none"/>
              </w:rPr>
              <w:t>提供</w:t>
            </w:r>
            <w:r>
              <w:rPr>
                <w:rFonts w:hint="eastAsia" w:hAnsi="宋体" w:cs="宋体"/>
                <w:bCs/>
                <w:color w:val="auto"/>
                <w:sz w:val="21"/>
                <w:szCs w:val="21"/>
                <w:highlight w:val="none"/>
                <w:lang w:val="en-US" w:eastAsia="zh-CN"/>
              </w:rPr>
              <w:t>相关人员证书等证明材料扫描件或复印件及近三个月内任意一个月社保缴纳证明（或退休返聘证明）并加盖公章</w:t>
            </w:r>
            <w:r>
              <w:rPr>
                <w:rFonts w:hint="eastAsia" w:ascii="宋体" w:hAnsi="宋体" w:cs="宋体"/>
                <w:bCs/>
                <w:color w:val="auto"/>
                <w:sz w:val="21"/>
                <w:szCs w:val="21"/>
                <w:highlight w:val="none"/>
              </w:rPr>
              <w:t>。</w:t>
            </w:r>
          </w:p>
        </w:tc>
        <w:tc>
          <w:tcPr>
            <w:tcW w:w="375" w:type="pct"/>
            <w:vAlign w:val="center"/>
          </w:tcPr>
          <w:p w14:paraId="0DFBD1E0">
            <w:pPr>
              <w:snapToGrid w:val="0"/>
              <w:spacing w:line="460" w:lineRule="exact"/>
              <w:jc w:val="center"/>
              <w:textAlignment w:val="center"/>
              <w:rPr>
                <w:rFonts w:hint="eastAsia"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w:t>
            </w:r>
          </w:p>
        </w:tc>
      </w:tr>
      <w:tr w14:paraId="3870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345" w:type="pct"/>
            <w:vAlign w:val="center"/>
          </w:tcPr>
          <w:p w14:paraId="591832C2">
            <w:pPr>
              <w:widowControl/>
              <w:spacing w:line="460" w:lineRule="exact"/>
              <w:jc w:val="center"/>
              <w:textAlignment w:val="center"/>
              <w:rPr>
                <w:rFonts w:hint="eastAsia" w:hAnsi="宋体" w:eastAsia="宋体" w:cs="宋体"/>
                <w:bCs/>
                <w:color w:val="auto"/>
                <w:sz w:val="21"/>
                <w:szCs w:val="21"/>
                <w:highlight w:val="none"/>
                <w:lang w:val="en-US" w:eastAsia="zh-CN" w:bidi="ar"/>
              </w:rPr>
            </w:pPr>
            <w:r>
              <w:rPr>
                <w:rFonts w:hint="eastAsia" w:hAnsi="宋体" w:cs="宋体"/>
                <w:bCs/>
                <w:color w:val="auto"/>
                <w:sz w:val="21"/>
                <w:szCs w:val="21"/>
                <w:highlight w:val="none"/>
                <w:lang w:val="en-US" w:eastAsia="zh-CN" w:bidi="ar"/>
              </w:rPr>
              <w:t>4</w:t>
            </w:r>
          </w:p>
        </w:tc>
        <w:tc>
          <w:tcPr>
            <w:tcW w:w="768" w:type="pct"/>
            <w:vAlign w:val="center"/>
          </w:tcPr>
          <w:p w14:paraId="10603244">
            <w:pPr>
              <w:widowControl/>
              <w:spacing w:line="460" w:lineRule="exact"/>
              <w:jc w:val="center"/>
              <w:textAlignment w:val="center"/>
              <w:rPr>
                <w:rFonts w:hint="eastAsia" w:hAnsi="宋体" w:cs="宋体"/>
                <w:bCs/>
                <w:color w:val="auto"/>
                <w:sz w:val="21"/>
                <w:szCs w:val="21"/>
                <w:highlight w:val="none"/>
              </w:rPr>
            </w:pPr>
            <w:r>
              <w:rPr>
                <w:rFonts w:hint="eastAsia" w:hAnsi="宋体" w:cs="宋体"/>
                <w:bCs/>
                <w:color w:val="auto"/>
                <w:sz w:val="21"/>
                <w:szCs w:val="21"/>
                <w:highlight w:val="none"/>
              </w:rPr>
              <w:t>总体方案</w:t>
            </w:r>
          </w:p>
        </w:tc>
        <w:tc>
          <w:tcPr>
            <w:tcW w:w="3511" w:type="pct"/>
            <w:vAlign w:val="center"/>
          </w:tcPr>
          <w:p w14:paraId="456162FE">
            <w:pPr>
              <w:spacing w:line="460" w:lineRule="exact"/>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1.</w:t>
            </w:r>
            <w:r>
              <w:rPr>
                <w:rFonts w:hint="eastAsia" w:hAnsi="宋体" w:cs="宋体"/>
                <w:bCs/>
                <w:color w:val="auto"/>
                <w:sz w:val="21"/>
                <w:szCs w:val="21"/>
                <w:highlight w:val="none"/>
              </w:rPr>
              <w:t>供应商对本项目原先建设的相关情况的了解梳理，建设背景与目标的理解，要求分析项目建设背景、运营目标、运营内容等</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方案内容齐全、结构完整、表述准确、条理清晰得</w:t>
            </w:r>
            <w:r>
              <w:rPr>
                <w:rFonts w:hint="eastAsia" w:hAnsi="宋体" w:cs="宋体"/>
                <w:bCs/>
                <w:color w:val="auto"/>
                <w:sz w:val="21"/>
                <w:szCs w:val="21"/>
                <w:highlight w:val="none"/>
                <w:lang w:val="en-US" w:eastAsia="zh-CN"/>
              </w:rPr>
              <w:t>4分，</w:t>
            </w:r>
            <w:r>
              <w:rPr>
                <w:rFonts w:hint="eastAsia" w:hAnsi="宋体" w:cs="宋体"/>
                <w:color w:val="auto"/>
                <w:sz w:val="21"/>
                <w:szCs w:val="21"/>
                <w:highlight w:val="none"/>
              </w:rPr>
              <w:t>有欠缺或不合理的每处扣0.5分，扣完为止。</w:t>
            </w:r>
          </w:p>
          <w:p w14:paraId="441F7ADC">
            <w:pPr>
              <w:spacing w:line="460" w:lineRule="exact"/>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供应商对本项目的工作重点、难点分析</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方案内容齐全、结构完整、表述准确、条理清晰得</w:t>
            </w:r>
            <w:r>
              <w:rPr>
                <w:rFonts w:hint="eastAsia" w:hAnsi="宋体" w:cs="宋体"/>
                <w:bCs/>
                <w:color w:val="auto"/>
                <w:sz w:val="21"/>
                <w:szCs w:val="21"/>
                <w:highlight w:val="none"/>
                <w:lang w:val="en-US" w:eastAsia="zh-CN"/>
              </w:rPr>
              <w:t>3分，</w:t>
            </w:r>
            <w:r>
              <w:rPr>
                <w:rFonts w:hint="eastAsia" w:hAnsi="宋体" w:cs="宋体"/>
                <w:color w:val="auto"/>
                <w:sz w:val="21"/>
                <w:szCs w:val="21"/>
                <w:highlight w:val="none"/>
              </w:rPr>
              <w:t>有欠缺或不合理的每处扣0.5分，扣完为止。</w:t>
            </w:r>
          </w:p>
          <w:p w14:paraId="557522DC">
            <w:pPr>
              <w:snapToGrid w:val="0"/>
              <w:spacing w:line="460" w:lineRule="exact"/>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供应商结合对项目需求的理解，提供对解决方案的合理化建议</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每提供一条有效的合理化建议的得0.5分，最高得2分。</w:t>
            </w:r>
          </w:p>
        </w:tc>
        <w:tc>
          <w:tcPr>
            <w:tcW w:w="375" w:type="pct"/>
            <w:vAlign w:val="center"/>
          </w:tcPr>
          <w:p w14:paraId="09C728B1">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9</w:t>
            </w:r>
          </w:p>
        </w:tc>
      </w:tr>
      <w:tr w14:paraId="0796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345" w:type="pct"/>
            <w:vMerge w:val="restart"/>
            <w:vAlign w:val="center"/>
          </w:tcPr>
          <w:p w14:paraId="37CFD926">
            <w:pPr>
              <w:widowControl/>
              <w:spacing w:line="460" w:lineRule="exact"/>
              <w:jc w:val="center"/>
              <w:textAlignment w:val="center"/>
              <w:rPr>
                <w:rFonts w:hint="eastAsia" w:hAnsi="宋体" w:eastAsia="宋体" w:cs="宋体"/>
                <w:bCs/>
                <w:color w:val="auto"/>
                <w:sz w:val="21"/>
                <w:szCs w:val="21"/>
                <w:highlight w:val="none"/>
                <w:lang w:eastAsia="zh-CN" w:bidi="ar"/>
              </w:rPr>
            </w:pPr>
            <w:r>
              <w:rPr>
                <w:rFonts w:hint="eastAsia" w:hAnsi="宋体" w:cs="宋体"/>
                <w:bCs/>
                <w:color w:val="auto"/>
                <w:sz w:val="21"/>
                <w:szCs w:val="21"/>
                <w:highlight w:val="none"/>
                <w:lang w:val="en-US" w:eastAsia="zh-CN" w:bidi="ar"/>
              </w:rPr>
              <w:t>5</w:t>
            </w:r>
          </w:p>
        </w:tc>
        <w:tc>
          <w:tcPr>
            <w:tcW w:w="768" w:type="pct"/>
            <w:vMerge w:val="restart"/>
            <w:vAlign w:val="center"/>
          </w:tcPr>
          <w:p w14:paraId="2840986B">
            <w:pPr>
              <w:widowControl/>
              <w:spacing w:line="460" w:lineRule="exact"/>
              <w:jc w:val="center"/>
              <w:textAlignment w:val="center"/>
              <w:rPr>
                <w:rFonts w:hint="eastAsia" w:hAnsi="宋体" w:cs="宋体"/>
                <w:color w:val="auto"/>
                <w:sz w:val="21"/>
                <w:szCs w:val="21"/>
                <w:highlight w:val="none"/>
              </w:rPr>
            </w:pPr>
            <w:r>
              <w:rPr>
                <w:rFonts w:hint="eastAsia" w:hAnsi="宋体" w:cs="宋体"/>
                <w:bCs/>
                <w:color w:val="auto"/>
                <w:sz w:val="21"/>
                <w:szCs w:val="21"/>
                <w:highlight w:val="none"/>
              </w:rPr>
              <w:t>婺城区公益创投项目督导，婺城区社会组织培育孵化基地相关方案</w:t>
            </w:r>
          </w:p>
        </w:tc>
        <w:tc>
          <w:tcPr>
            <w:tcW w:w="3511" w:type="pct"/>
            <w:vAlign w:val="center"/>
          </w:tcPr>
          <w:p w14:paraId="32467301">
            <w:pPr>
              <w:snapToGrid w:val="0"/>
              <w:spacing w:line="460" w:lineRule="exact"/>
              <w:rPr>
                <w:rFonts w:hint="eastAsia" w:hAnsi="宋体" w:cs="宋体"/>
                <w:color w:val="auto"/>
                <w:sz w:val="21"/>
                <w:szCs w:val="21"/>
                <w:highlight w:val="none"/>
              </w:rPr>
            </w:pPr>
            <w:r>
              <w:rPr>
                <w:rFonts w:hint="eastAsia" w:hAnsi="宋体" w:cs="宋体"/>
                <w:bCs/>
                <w:color w:val="auto"/>
                <w:sz w:val="21"/>
                <w:szCs w:val="21"/>
                <w:highlight w:val="none"/>
              </w:rPr>
              <w:t>“日常管理”方面的服务计划：运营机制良好，管理制度完善，组织架构合理，人员内部责任分工明确，能保障中心合理运行的得6分</w:t>
            </w:r>
            <w:r>
              <w:rPr>
                <w:rFonts w:hint="eastAsia" w:hAnsi="宋体" w:cs="宋体"/>
                <w:color w:val="auto"/>
                <w:sz w:val="21"/>
                <w:szCs w:val="21"/>
                <w:highlight w:val="none"/>
              </w:rPr>
              <w:t>，有欠缺或不合理的每处扣0.5分，扣完为止。</w:t>
            </w:r>
          </w:p>
        </w:tc>
        <w:tc>
          <w:tcPr>
            <w:tcW w:w="375" w:type="pct"/>
            <w:vAlign w:val="center"/>
          </w:tcPr>
          <w:p w14:paraId="11A715B1">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6</w:t>
            </w:r>
          </w:p>
        </w:tc>
      </w:tr>
      <w:tr w14:paraId="679C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45" w:type="pct"/>
            <w:vMerge w:val="continue"/>
            <w:vAlign w:val="center"/>
          </w:tcPr>
          <w:p w14:paraId="72C46A67">
            <w:pPr>
              <w:widowControl/>
              <w:spacing w:line="460" w:lineRule="exact"/>
              <w:jc w:val="center"/>
              <w:textAlignment w:val="center"/>
              <w:rPr>
                <w:rFonts w:hint="eastAsia" w:hAnsi="宋体" w:cs="宋体"/>
                <w:bCs/>
                <w:color w:val="auto"/>
                <w:sz w:val="21"/>
                <w:szCs w:val="21"/>
                <w:highlight w:val="none"/>
                <w:lang w:bidi="ar"/>
              </w:rPr>
            </w:pPr>
          </w:p>
        </w:tc>
        <w:tc>
          <w:tcPr>
            <w:tcW w:w="768" w:type="pct"/>
            <w:vMerge w:val="continue"/>
            <w:vAlign w:val="center"/>
          </w:tcPr>
          <w:p w14:paraId="46D49D46">
            <w:pPr>
              <w:widowControl/>
              <w:spacing w:line="460" w:lineRule="exact"/>
              <w:jc w:val="center"/>
              <w:textAlignment w:val="center"/>
              <w:rPr>
                <w:rFonts w:hint="eastAsia" w:hAnsi="宋体" w:cs="宋体"/>
                <w:color w:val="auto"/>
                <w:sz w:val="21"/>
                <w:szCs w:val="21"/>
                <w:highlight w:val="none"/>
              </w:rPr>
            </w:pPr>
          </w:p>
        </w:tc>
        <w:tc>
          <w:tcPr>
            <w:tcW w:w="3511" w:type="pct"/>
            <w:vAlign w:val="center"/>
          </w:tcPr>
          <w:p w14:paraId="003DD091">
            <w:pPr>
              <w:snapToGrid w:val="0"/>
              <w:spacing w:line="460" w:lineRule="exact"/>
              <w:rPr>
                <w:rFonts w:hint="eastAsia" w:hAnsi="宋体" w:cs="宋体"/>
                <w:color w:val="auto"/>
                <w:sz w:val="21"/>
                <w:szCs w:val="21"/>
                <w:highlight w:val="none"/>
              </w:rPr>
            </w:pPr>
            <w:r>
              <w:rPr>
                <w:rFonts w:hint="eastAsia" w:hAnsi="宋体" w:cs="宋体"/>
                <w:bCs/>
                <w:color w:val="auto"/>
                <w:sz w:val="21"/>
                <w:szCs w:val="21"/>
                <w:highlight w:val="none"/>
              </w:rPr>
              <w:t>“项目服务”方面的服务计划：服务内容充实，服务目标明确，</w:t>
            </w:r>
            <w:r>
              <w:rPr>
                <w:rFonts w:hint="eastAsia" w:hAnsi="宋体" w:cs="宋体"/>
                <w:color w:val="auto"/>
                <w:sz w:val="21"/>
                <w:szCs w:val="21"/>
                <w:highlight w:val="none"/>
                <w:lang w:bidi="ar"/>
              </w:rPr>
              <w:t>工作任务安排及进度控制合理，</w:t>
            </w:r>
            <w:r>
              <w:rPr>
                <w:rFonts w:hint="eastAsia" w:hAnsi="宋体" w:cs="宋体"/>
                <w:bCs/>
                <w:color w:val="auto"/>
                <w:sz w:val="21"/>
                <w:szCs w:val="21"/>
                <w:highlight w:val="none"/>
              </w:rPr>
              <w:t>能引入或对接优质公益项目资源，有效激发社会活力，吸引不同社会力量参与的得8分</w:t>
            </w:r>
            <w:r>
              <w:rPr>
                <w:rFonts w:hint="eastAsia" w:hAnsi="宋体" w:cs="宋体"/>
                <w:color w:val="auto"/>
                <w:sz w:val="21"/>
                <w:szCs w:val="21"/>
                <w:highlight w:val="none"/>
              </w:rPr>
              <w:t>，有欠缺或不合理的每处扣0.5分，扣完为止</w:t>
            </w:r>
            <w:r>
              <w:rPr>
                <w:rFonts w:hint="eastAsia" w:hAnsi="宋体" w:cs="宋体"/>
                <w:bCs/>
                <w:color w:val="auto"/>
                <w:sz w:val="21"/>
                <w:szCs w:val="21"/>
                <w:highlight w:val="none"/>
              </w:rPr>
              <w:t>。</w:t>
            </w:r>
          </w:p>
        </w:tc>
        <w:tc>
          <w:tcPr>
            <w:tcW w:w="375" w:type="pct"/>
            <w:vAlign w:val="center"/>
          </w:tcPr>
          <w:p w14:paraId="339F0CB8">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8</w:t>
            </w:r>
          </w:p>
        </w:tc>
      </w:tr>
      <w:tr w14:paraId="24AD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345" w:type="pct"/>
            <w:vMerge w:val="continue"/>
            <w:vAlign w:val="center"/>
          </w:tcPr>
          <w:p w14:paraId="195431EE">
            <w:pPr>
              <w:widowControl/>
              <w:spacing w:line="460" w:lineRule="exact"/>
              <w:jc w:val="center"/>
              <w:textAlignment w:val="center"/>
              <w:rPr>
                <w:rFonts w:hint="eastAsia" w:hAnsi="宋体" w:cs="宋体"/>
                <w:bCs/>
                <w:color w:val="auto"/>
                <w:sz w:val="21"/>
                <w:szCs w:val="21"/>
                <w:highlight w:val="none"/>
                <w:lang w:bidi="ar"/>
              </w:rPr>
            </w:pPr>
          </w:p>
        </w:tc>
        <w:tc>
          <w:tcPr>
            <w:tcW w:w="768" w:type="pct"/>
            <w:vMerge w:val="continue"/>
            <w:vAlign w:val="center"/>
          </w:tcPr>
          <w:p w14:paraId="0C973222">
            <w:pPr>
              <w:widowControl/>
              <w:spacing w:line="460" w:lineRule="exact"/>
              <w:jc w:val="center"/>
              <w:textAlignment w:val="center"/>
              <w:rPr>
                <w:rFonts w:hint="eastAsia" w:hAnsi="宋体" w:cs="宋体"/>
                <w:color w:val="auto"/>
                <w:sz w:val="21"/>
                <w:szCs w:val="21"/>
                <w:highlight w:val="none"/>
              </w:rPr>
            </w:pPr>
          </w:p>
        </w:tc>
        <w:tc>
          <w:tcPr>
            <w:tcW w:w="3511" w:type="pct"/>
            <w:vAlign w:val="center"/>
          </w:tcPr>
          <w:p w14:paraId="370123C6">
            <w:pPr>
              <w:snapToGrid w:val="0"/>
              <w:spacing w:line="460" w:lineRule="exact"/>
              <w:rPr>
                <w:rFonts w:hint="eastAsia" w:hAnsi="宋体" w:cs="宋体"/>
                <w:color w:val="auto"/>
                <w:sz w:val="21"/>
                <w:szCs w:val="21"/>
                <w:highlight w:val="none"/>
              </w:rPr>
            </w:pPr>
            <w:r>
              <w:rPr>
                <w:rFonts w:hint="eastAsia" w:hAnsi="宋体" w:cs="宋体"/>
                <w:bCs/>
                <w:color w:val="auto"/>
                <w:sz w:val="21"/>
                <w:szCs w:val="21"/>
                <w:highlight w:val="none"/>
              </w:rPr>
              <w:t>“组织赋能”方面的服务计划：服务内容充实，服务目标明确，有具体、可行的措施构建公益服务拓展平台，推动中心整体服务能力提升，助力婺城区的社会组织在公益事业、社会治理、民政联合救助等领域中发挥作用、实现健康成长的得6分</w:t>
            </w:r>
            <w:r>
              <w:rPr>
                <w:rFonts w:hint="eastAsia" w:hAnsi="宋体" w:cs="宋体"/>
                <w:color w:val="auto"/>
                <w:sz w:val="21"/>
                <w:szCs w:val="21"/>
                <w:highlight w:val="none"/>
              </w:rPr>
              <w:t>，有欠缺或不合理的每处扣0.5分，扣完为止</w:t>
            </w:r>
            <w:r>
              <w:rPr>
                <w:rFonts w:hint="eastAsia" w:hAnsi="宋体" w:cs="宋体"/>
                <w:bCs/>
                <w:color w:val="auto"/>
                <w:sz w:val="21"/>
                <w:szCs w:val="21"/>
                <w:highlight w:val="none"/>
              </w:rPr>
              <w:t>。</w:t>
            </w:r>
          </w:p>
        </w:tc>
        <w:tc>
          <w:tcPr>
            <w:tcW w:w="375" w:type="pct"/>
            <w:vAlign w:val="center"/>
          </w:tcPr>
          <w:p w14:paraId="6039793D">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6</w:t>
            </w:r>
          </w:p>
        </w:tc>
      </w:tr>
      <w:tr w14:paraId="76D3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345" w:type="pct"/>
            <w:vMerge w:val="continue"/>
            <w:vAlign w:val="center"/>
          </w:tcPr>
          <w:p w14:paraId="17C593FA">
            <w:pPr>
              <w:widowControl/>
              <w:spacing w:line="460" w:lineRule="exact"/>
              <w:jc w:val="center"/>
              <w:textAlignment w:val="center"/>
              <w:rPr>
                <w:rFonts w:hint="eastAsia" w:hAnsi="宋体" w:cs="宋体"/>
                <w:bCs/>
                <w:color w:val="auto"/>
                <w:sz w:val="21"/>
                <w:szCs w:val="21"/>
                <w:highlight w:val="none"/>
                <w:lang w:bidi="ar"/>
              </w:rPr>
            </w:pPr>
          </w:p>
        </w:tc>
        <w:tc>
          <w:tcPr>
            <w:tcW w:w="768" w:type="pct"/>
            <w:vMerge w:val="continue"/>
            <w:vAlign w:val="center"/>
          </w:tcPr>
          <w:p w14:paraId="736B1464">
            <w:pPr>
              <w:widowControl/>
              <w:spacing w:line="460" w:lineRule="exact"/>
              <w:jc w:val="center"/>
              <w:textAlignment w:val="center"/>
              <w:rPr>
                <w:rFonts w:hint="eastAsia" w:hAnsi="宋体" w:cs="宋体"/>
                <w:color w:val="auto"/>
                <w:sz w:val="21"/>
                <w:szCs w:val="21"/>
                <w:highlight w:val="none"/>
              </w:rPr>
            </w:pPr>
          </w:p>
        </w:tc>
        <w:tc>
          <w:tcPr>
            <w:tcW w:w="3511" w:type="pct"/>
            <w:vAlign w:val="center"/>
          </w:tcPr>
          <w:p w14:paraId="7DC0E709">
            <w:pPr>
              <w:snapToGrid w:val="0"/>
              <w:spacing w:line="460" w:lineRule="exact"/>
              <w:rPr>
                <w:rFonts w:hint="eastAsia" w:hAnsi="宋体" w:cs="宋体"/>
                <w:color w:val="auto"/>
                <w:sz w:val="21"/>
                <w:szCs w:val="21"/>
                <w:highlight w:val="none"/>
              </w:rPr>
            </w:pPr>
            <w:r>
              <w:rPr>
                <w:rFonts w:hint="eastAsia" w:hAnsi="宋体" w:cs="宋体"/>
                <w:bCs/>
                <w:color w:val="auto"/>
                <w:sz w:val="21"/>
                <w:szCs w:val="21"/>
                <w:highlight w:val="none"/>
              </w:rPr>
              <w:t>“慈善宣传”的年度工作计划：把准宣传主题，工作目标明确，工作安排部署具体、周密、操作性强；宣传途径多样，能充分调动内外部资源，构建上下协同、内外联动的宣传工作格局，有效提升传播效能的得6分，有欠缺或不合理的每处扣0.5分</w:t>
            </w:r>
            <w:r>
              <w:rPr>
                <w:rFonts w:hint="eastAsia" w:hAnsi="宋体" w:cs="宋体"/>
                <w:color w:val="auto"/>
                <w:sz w:val="21"/>
                <w:szCs w:val="21"/>
                <w:highlight w:val="none"/>
              </w:rPr>
              <w:t>，扣完为止</w:t>
            </w:r>
            <w:r>
              <w:rPr>
                <w:rFonts w:hint="eastAsia" w:hAnsi="宋体" w:cs="宋体"/>
                <w:bCs/>
                <w:color w:val="auto"/>
                <w:sz w:val="21"/>
                <w:szCs w:val="21"/>
                <w:highlight w:val="none"/>
              </w:rPr>
              <w:t>。</w:t>
            </w:r>
          </w:p>
        </w:tc>
        <w:tc>
          <w:tcPr>
            <w:tcW w:w="375" w:type="pct"/>
            <w:vAlign w:val="center"/>
          </w:tcPr>
          <w:p w14:paraId="474223DD">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6</w:t>
            </w:r>
          </w:p>
        </w:tc>
      </w:tr>
      <w:tr w14:paraId="31DE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345" w:type="pct"/>
            <w:vMerge w:val="continue"/>
            <w:vAlign w:val="center"/>
          </w:tcPr>
          <w:p w14:paraId="1FED6EF7">
            <w:pPr>
              <w:widowControl/>
              <w:spacing w:line="460" w:lineRule="exact"/>
              <w:jc w:val="center"/>
              <w:textAlignment w:val="center"/>
              <w:rPr>
                <w:rFonts w:hint="eastAsia" w:hAnsi="宋体" w:cs="宋体"/>
                <w:bCs/>
                <w:color w:val="auto"/>
                <w:sz w:val="21"/>
                <w:szCs w:val="21"/>
                <w:highlight w:val="none"/>
                <w:lang w:bidi="ar"/>
              </w:rPr>
            </w:pPr>
          </w:p>
        </w:tc>
        <w:tc>
          <w:tcPr>
            <w:tcW w:w="768" w:type="pct"/>
            <w:vMerge w:val="continue"/>
            <w:vAlign w:val="center"/>
          </w:tcPr>
          <w:p w14:paraId="64F94B18">
            <w:pPr>
              <w:widowControl/>
              <w:spacing w:line="460" w:lineRule="exact"/>
              <w:jc w:val="center"/>
              <w:textAlignment w:val="center"/>
              <w:rPr>
                <w:rFonts w:hint="eastAsia" w:hAnsi="宋体" w:cs="宋体"/>
                <w:color w:val="auto"/>
                <w:sz w:val="21"/>
                <w:szCs w:val="21"/>
                <w:highlight w:val="none"/>
              </w:rPr>
            </w:pPr>
          </w:p>
        </w:tc>
        <w:tc>
          <w:tcPr>
            <w:tcW w:w="3511" w:type="pct"/>
            <w:vAlign w:val="center"/>
          </w:tcPr>
          <w:p w14:paraId="70534DF9">
            <w:pPr>
              <w:snapToGrid w:val="0"/>
              <w:spacing w:line="460" w:lineRule="exact"/>
              <w:rPr>
                <w:rFonts w:hint="eastAsia" w:hAnsi="宋体" w:cs="宋体"/>
                <w:color w:val="auto"/>
                <w:sz w:val="21"/>
                <w:szCs w:val="21"/>
                <w:highlight w:val="none"/>
              </w:rPr>
            </w:pPr>
            <w:r>
              <w:rPr>
                <w:rFonts w:hint="eastAsia" w:hAnsi="宋体" w:cs="宋体"/>
                <w:bCs/>
                <w:color w:val="auto"/>
                <w:sz w:val="21"/>
                <w:szCs w:val="21"/>
                <w:highlight w:val="none"/>
              </w:rPr>
              <w:t>孵化培育社会组织的其他服务计划：服务内容充实，服务目标明确，工作安排部署具体、周密,并有很强可操作性的计划，在“培育发展社会组织，为困难群众提供帮助，为社区居民增添幸福指数，为社会治理增加新动能”等方面能发挥积极作用、有明显预期效果的，</w:t>
            </w:r>
            <w:r>
              <w:rPr>
                <w:rFonts w:hint="eastAsia" w:hAnsi="宋体"/>
                <w:color w:val="auto"/>
                <w:kern w:val="2"/>
                <w:sz w:val="21"/>
                <w:szCs w:val="21"/>
                <w:highlight w:val="none"/>
              </w:rPr>
              <w:t>方案内容完整、合理、可行性强、</w:t>
            </w:r>
            <w:r>
              <w:rPr>
                <w:rFonts w:hAnsi="宋体"/>
                <w:color w:val="auto"/>
                <w:kern w:val="2"/>
                <w:sz w:val="21"/>
                <w:szCs w:val="21"/>
                <w:highlight w:val="none"/>
              </w:rPr>
              <w:t>科学有效的</w:t>
            </w:r>
            <w:r>
              <w:rPr>
                <w:rFonts w:hint="eastAsia" w:hAnsi="宋体" w:cs="宋体"/>
                <w:bCs/>
                <w:color w:val="auto"/>
                <w:sz w:val="21"/>
                <w:szCs w:val="21"/>
                <w:highlight w:val="none"/>
              </w:rPr>
              <w:t>得6分，有欠缺或不合理的每处扣0.5分</w:t>
            </w:r>
            <w:r>
              <w:rPr>
                <w:rFonts w:hint="eastAsia" w:hAnsi="宋体" w:cs="宋体"/>
                <w:color w:val="auto"/>
                <w:sz w:val="21"/>
                <w:szCs w:val="21"/>
                <w:highlight w:val="none"/>
              </w:rPr>
              <w:t>，扣完为止</w:t>
            </w:r>
            <w:r>
              <w:rPr>
                <w:rFonts w:hint="eastAsia" w:hAnsi="宋体" w:cs="宋体"/>
                <w:bCs/>
                <w:color w:val="auto"/>
                <w:sz w:val="21"/>
                <w:szCs w:val="21"/>
                <w:highlight w:val="none"/>
              </w:rPr>
              <w:t>。</w:t>
            </w:r>
          </w:p>
        </w:tc>
        <w:tc>
          <w:tcPr>
            <w:tcW w:w="375" w:type="pct"/>
            <w:vAlign w:val="center"/>
          </w:tcPr>
          <w:p w14:paraId="7C329617">
            <w:pPr>
              <w:widowControl/>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6</w:t>
            </w:r>
          </w:p>
        </w:tc>
      </w:tr>
      <w:tr w14:paraId="4790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 w:hRule="atLeast"/>
          <w:jc w:val="center"/>
        </w:trPr>
        <w:tc>
          <w:tcPr>
            <w:tcW w:w="345" w:type="pct"/>
            <w:vMerge w:val="restart"/>
            <w:vAlign w:val="center"/>
          </w:tcPr>
          <w:p w14:paraId="630D6BF4">
            <w:pPr>
              <w:widowControl/>
              <w:spacing w:line="460" w:lineRule="exact"/>
              <w:jc w:val="center"/>
              <w:textAlignment w:val="center"/>
              <w:rPr>
                <w:rFonts w:hint="eastAsia" w:hAnsi="宋体" w:eastAsia="宋体" w:cs="宋体"/>
                <w:bCs/>
                <w:color w:val="auto"/>
                <w:sz w:val="21"/>
                <w:szCs w:val="21"/>
                <w:highlight w:val="none"/>
                <w:lang w:eastAsia="zh-CN" w:bidi="ar"/>
              </w:rPr>
            </w:pPr>
            <w:r>
              <w:rPr>
                <w:rFonts w:hint="eastAsia" w:hAnsi="宋体" w:cs="宋体"/>
                <w:bCs/>
                <w:color w:val="auto"/>
                <w:sz w:val="21"/>
                <w:szCs w:val="21"/>
                <w:highlight w:val="none"/>
                <w:lang w:val="en-US" w:eastAsia="zh-CN" w:bidi="ar"/>
              </w:rPr>
              <w:t>6</w:t>
            </w:r>
          </w:p>
        </w:tc>
        <w:tc>
          <w:tcPr>
            <w:tcW w:w="768" w:type="pct"/>
            <w:vMerge w:val="restart"/>
            <w:vAlign w:val="center"/>
          </w:tcPr>
          <w:p w14:paraId="1B86C716">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助联体运营相关方案</w:t>
            </w:r>
          </w:p>
        </w:tc>
        <w:tc>
          <w:tcPr>
            <w:tcW w:w="3511" w:type="pct"/>
            <w:vAlign w:val="center"/>
          </w:tcPr>
          <w:p w14:paraId="1D51D6BC">
            <w:pPr>
              <w:spacing w:line="460" w:lineRule="exact"/>
              <w:rPr>
                <w:rFonts w:hint="eastAsia" w:hAnsi="宋体" w:cs="宋体"/>
                <w:bCs/>
                <w:color w:val="auto"/>
                <w:sz w:val="21"/>
                <w:szCs w:val="21"/>
                <w:highlight w:val="none"/>
              </w:rPr>
            </w:pPr>
            <w:r>
              <w:rPr>
                <w:rFonts w:hint="eastAsia" w:hAnsi="宋体" w:cs="宋体"/>
                <w:bCs/>
                <w:color w:val="auto"/>
                <w:sz w:val="21"/>
                <w:szCs w:val="21"/>
                <w:highlight w:val="none"/>
              </w:rPr>
              <w:t>服务运营：</w:t>
            </w:r>
          </w:p>
          <w:p w14:paraId="6BD781A1">
            <w:pPr>
              <w:widowControl/>
              <w:spacing w:line="460" w:lineRule="exact"/>
              <w:jc w:val="both"/>
              <w:textAlignment w:val="center"/>
              <w:rPr>
                <w:rFonts w:hint="eastAsia" w:hAnsi="宋体" w:cs="宋体"/>
                <w:bCs/>
                <w:color w:val="auto"/>
                <w:sz w:val="21"/>
                <w:szCs w:val="21"/>
                <w:highlight w:val="none"/>
              </w:rPr>
            </w:pPr>
            <w:r>
              <w:rPr>
                <w:rFonts w:hint="eastAsia" w:hAnsi="宋体" w:cs="宋体"/>
                <w:bCs/>
                <w:color w:val="auto"/>
                <w:sz w:val="21"/>
                <w:szCs w:val="21"/>
                <w:highlight w:val="none"/>
              </w:rPr>
              <w:t>有完整的助联体运营方案，包含运营流程、服务体系、服务内容、技术指导等，与采购人需求吻合且科学合理、完整、针对性强的得6分；</w:t>
            </w:r>
            <w:r>
              <w:rPr>
                <w:rFonts w:hint="eastAsia" w:hAnsi="宋体" w:cs="宋体"/>
                <w:color w:val="auto"/>
                <w:sz w:val="21"/>
                <w:szCs w:val="21"/>
                <w:highlight w:val="none"/>
              </w:rPr>
              <w:t>有欠缺或不合理的每处扣1分，扣完为止。</w:t>
            </w:r>
          </w:p>
        </w:tc>
        <w:tc>
          <w:tcPr>
            <w:tcW w:w="375" w:type="pct"/>
            <w:vAlign w:val="center"/>
          </w:tcPr>
          <w:p w14:paraId="45E9DBF4">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6</w:t>
            </w:r>
          </w:p>
        </w:tc>
      </w:tr>
      <w:tr w14:paraId="62F1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4" w:hRule="atLeast"/>
          <w:jc w:val="center"/>
        </w:trPr>
        <w:tc>
          <w:tcPr>
            <w:tcW w:w="345" w:type="pct"/>
            <w:vMerge w:val="continue"/>
            <w:vAlign w:val="center"/>
          </w:tcPr>
          <w:p w14:paraId="4E5955EA">
            <w:pPr>
              <w:widowControl/>
              <w:spacing w:line="460" w:lineRule="exact"/>
              <w:jc w:val="center"/>
              <w:textAlignment w:val="center"/>
              <w:rPr>
                <w:rFonts w:hint="eastAsia" w:hAnsi="宋体" w:cs="宋体"/>
                <w:bCs/>
                <w:color w:val="auto"/>
                <w:sz w:val="21"/>
                <w:szCs w:val="21"/>
                <w:highlight w:val="none"/>
                <w:lang w:bidi="ar"/>
              </w:rPr>
            </w:pPr>
          </w:p>
        </w:tc>
        <w:tc>
          <w:tcPr>
            <w:tcW w:w="768" w:type="pct"/>
            <w:vMerge w:val="continue"/>
            <w:vAlign w:val="center"/>
          </w:tcPr>
          <w:p w14:paraId="25A852B5">
            <w:pPr>
              <w:widowControl/>
              <w:spacing w:line="460" w:lineRule="exact"/>
              <w:jc w:val="center"/>
              <w:textAlignment w:val="center"/>
              <w:rPr>
                <w:rFonts w:hint="eastAsia" w:hAnsi="宋体" w:cs="宋体"/>
                <w:bCs/>
                <w:color w:val="auto"/>
                <w:sz w:val="21"/>
                <w:szCs w:val="21"/>
                <w:highlight w:val="none"/>
                <w:lang w:bidi="ar"/>
              </w:rPr>
            </w:pPr>
          </w:p>
        </w:tc>
        <w:tc>
          <w:tcPr>
            <w:tcW w:w="3511" w:type="pct"/>
            <w:vAlign w:val="center"/>
          </w:tcPr>
          <w:p w14:paraId="6FC1D6F5">
            <w:pPr>
              <w:spacing w:line="460" w:lineRule="exact"/>
              <w:rPr>
                <w:rFonts w:hint="eastAsia" w:hAnsi="宋体" w:cs="宋体"/>
                <w:bCs/>
                <w:color w:val="auto"/>
                <w:sz w:val="21"/>
                <w:szCs w:val="21"/>
                <w:highlight w:val="none"/>
              </w:rPr>
            </w:pPr>
            <w:r>
              <w:rPr>
                <w:rFonts w:hint="eastAsia" w:hAnsi="宋体" w:cs="宋体"/>
                <w:bCs/>
                <w:color w:val="auto"/>
                <w:sz w:val="21"/>
                <w:szCs w:val="21"/>
                <w:highlight w:val="none"/>
              </w:rPr>
              <w:t>专业服务：</w:t>
            </w:r>
          </w:p>
          <w:p w14:paraId="7A605FEC">
            <w:pPr>
              <w:spacing w:line="460" w:lineRule="exact"/>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1.</w:t>
            </w:r>
            <w:r>
              <w:rPr>
                <w:rFonts w:hint="eastAsia" w:hAnsi="宋体" w:cs="宋体"/>
                <w:bCs/>
                <w:color w:val="auto"/>
                <w:sz w:val="21"/>
                <w:szCs w:val="21"/>
                <w:highlight w:val="none"/>
              </w:rPr>
              <w:t>评委根据供应商提供合理的助联体业务培训内容，最高得2分，</w:t>
            </w:r>
            <w:r>
              <w:rPr>
                <w:rFonts w:hint="eastAsia" w:hAnsi="宋体" w:cs="宋体"/>
                <w:color w:val="auto"/>
                <w:sz w:val="21"/>
                <w:szCs w:val="21"/>
                <w:highlight w:val="none"/>
              </w:rPr>
              <w:t>有欠缺或不合理的每处扣0.5分，扣完为止。</w:t>
            </w:r>
          </w:p>
          <w:p w14:paraId="5E4CE8BA">
            <w:pPr>
              <w:spacing w:line="460" w:lineRule="exact"/>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评委根据供应商提供合理的项目开展方案、协助民政局梳理各部门对困难群众的救助政策进行综合评审，最高得3分，</w:t>
            </w:r>
            <w:r>
              <w:rPr>
                <w:rFonts w:hint="eastAsia" w:hAnsi="宋体" w:cs="宋体"/>
                <w:color w:val="auto"/>
                <w:sz w:val="21"/>
                <w:szCs w:val="21"/>
                <w:highlight w:val="none"/>
              </w:rPr>
              <w:t>有欠缺或不合理的每处扣0.5分，扣完为止。</w:t>
            </w:r>
          </w:p>
          <w:p w14:paraId="5AF19C41">
            <w:pPr>
              <w:widowControl/>
              <w:spacing w:line="460" w:lineRule="exact"/>
              <w:jc w:val="both"/>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评委根据供应商提供合理的助联体建设标准和考核要求、协助民政局开展“助联体”的工作指导和绩效评估进行综合评审，最高得3分，</w:t>
            </w:r>
            <w:r>
              <w:rPr>
                <w:rFonts w:hint="eastAsia" w:hAnsi="宋体" w:cs="宋体"/>
                <w:color w:val="auto"/>
                <w:sz w:val="21"/>
                <w:szCs w:val="21"/>
                <w:highlight w:val="none"/>
              </w:rPr>
              <w:t>有欠缺或不合理的每处扣0.5分，扣完为止。</w:t>
            </w:r>
          </w:p>
        </w:tc>
        <w:tc>
          <w:tcPr>
            <w:tcW w:w="375" w:type="pct"/>
            <w:vAlign w:val="center"/>
          </w:tcPr>
          <w:p w14:paraId="70B104B8">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8</w:t>
            </w:r>
          </w:p>
        </w:tc>
      </w:tr>
      <w:tr w14:paraId="040E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4" w:hRule="atLeast"/>
          <w:jc w:val="center"/>
        </w:trPr>
        <w:tc>
          <w:tcPr>
            <w:tcW w:w="345" w:type="pct"/>
            <w:vMerge w:val="continue"/>
            <w:vAlign w:val="center"/>
          </w:tcPr>
          <w:p w14:paraId="1CC3B91B">
            <w:pPr>
              <w:widowControl/>
              <w:spacing w:line="460" w:lineRule="exact"/>
              <w:jc w:val="center"/>
              <w:textAlignment w:val="center"/>
              <w:rPr>
                <w:rFonts w:hint="eastAsia" w:hAnsi="宋体" w:cs="宋体"/>
                <w:bCs/>
                <w:color w:val="auto"/>
                <w:sz w:val="21"/>
                <w:szCs w:val="21"/>
                <w:highlight w:val="none"/>
                <w:lang w:bidi="ar"/>
              </w:rPr>
            </w:pPr>
          </w:p>
        </w:tc>
        <w:tc>
          <w:tcPr>
            <w:tcW w:w="768" w:type="pct"/>
            <w:vMerge w:val="continue"/>
            <w:vAlign w:val="center"/>
          </w:tcPr>
          <w:p w14:paraId="7FFE883A">
            <w:pPr>
              <w:widowControl/>
              <w:spacing w:line="460" w:lineRule="exact"/>
              <w:jc w:val="center"/>
              <w:textAlignment w:val="center"/>
              <w:rPr>
                <w:rFonts w:hint="eastAsia" w:hAnsi="宋体" w:cs="宋体"/>
                <w:bCs/>
                <w:color w:val="auto"/>
                <w:sz w:val="21"/>
                <w:szCs w:val="21"/>
                <w:highlight w:val="none"/>
                <w:lang w:bidi="ar"/>
              </w:rPr>
            </w:pPr>
          </w:p>
        </w:tc>
        <w:tc>
          <w:tcPr>
            <w:tcW w:w="3511" w:type="pct"/>
            <w:vAlign w:val="center"/>
          </w:tcPr>
          <w:p w14:paraId="6972E72D">
            <w:pPr>
              <w:spacing w:line="460" w:lineRule="exact"/>
              <w:rPr>
                <w:rFonts w:hint="eastAsia" w:hAnsi="宋体" w:cs="宋体"/>
                <w:bCs/>
                <w:color w:val="auto"/>
                <w:sz w:val="21"/>
                <w:szCs w:val="21"/>
                <w:highlight w:val="none"/>
              </w:rPr>
            </w:pPr>
            <w:r>
              <w:rPr>
                <w:rFonts w:hint="eastAsia" w:hAnsi="宋体" w:cs="宋体"/>
                <w:bCs/>
                <w:color w:val="auto"/>
                <w:sz w:val="21"/>
                <w:szCs w:val="21"/>
                <w:highlight w:val="none"/>
              </w:rPr>
              <w:t>宣传推广：</w:t>
            </w:r>
          </w:p>
          <w:p w14:paraId="4E7BD9FF">
            <w:pPr>
              <w:widowControl/>
              <w:spacing w:line="460" w:lineRule="exact"/>
              <w:jc w:val="both"/>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rPr>
              <w:t>宣传推广方案安排与采购人需求吻合且科学合理、完整、针对性强的最得4分，</w:t>
            </w:r>
            <w:r>
              <w:rPr>
                <w:rFonts w:hint="eastAsia" w:hAnsi="宋体" w:cs="宋体"/>
                <w:color w:val="auto"/>
                <w:sz w:val="21"/>
                <w:szCs w:val="21"/>
                <w:highlight w:val="none"/>
              </w:rPr>
              <w:t>有欠缺或不合理的每处扣0.5分，扣完为止。</w:t>
            </w:r>
          </w:p>
        </w:tc>
        <w:tc>
          <w:tcPr>
            <w:tcW w:w="375" w:type="pct"/>
            <w:vAlign w:val="center"/>
          </w:tcPr>
          <w:p w14:paraId="31E74A49">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4</w:t>
            </w:r>
          </w:p>
        </w:tc>
      </w:tr>
      <w:tr w14:paraId="3BF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 w:hRule="atLeast"/>
          <w:jc w:val="center"/>
        </w:trPr>
        <w:tc>
          <w:tcPr>
            <w:tcW w:w="345" w:type="pct"/>
            <w:vMerge w:val="continue"/>
            <w:vAlign w:val="center"/>
          </w:tcPr>
          <w:p w14:paraId="13E74601">
            <w:pPr>
              <w:widowControl/>
              <w:spacing w:line="460" w:lineRule="exact"/>
              <w:jc w:val="center"/>
              <w:textAlignment w:val="center"/>
              <w:rPr>
                <w:rFonts w:hint="eastAsia" w:hAnsi="宋体" w:cs="宋体"/>
                <w:bCs/>
                <w:color w:val="auto"/>
                <w:sz w:val="21"/>
                <w:szCs w:val="21"/>
                <w:highlight w:val="none"/>
                <w:lang w:bidi="ar"/>
              </w:rPr>
            </w:pPr>
          </w:p>
        </w:tc>
        <w:tc>
          <w:tcPr>
            <w:tcW w:w="768" w:type="pct"/>
            <w:vMerge w:val="continue"/>
            <w:vAlign w:val="center"/>
          </w:tcPr>
          <w:p w14:paraId="5D33D1A3">
            <w:pPr>
              <w:widowControl/>
              <w:spacing w:line="460" w:lineRule="exact"/>
              <w:jc w:val="center"/>
              <w:textAlignment w:val="center"/>
              <w:rPr>
                <w:rFonts w:hint="eastAsia" w:hAnsi="宋体" w:cs="宋体"/>
                <w:bCs/>
                <w:color w:val="auto"/>
                <w:sz w:val="21"/>
                <w:szCs w:val="21"/>
                <w:highlight w:val="none"/>
                <w:lang w:bidi="ar"/>
              </w:rPr>
            </w:pPr>
          </w:p>
        </w:tc>
        <w:tc>
          <w:tcPr>
            <w:tcW w:w="3511" w:type="pct"/>
            <w:vAlign w:val="center"/>
          </w:tcPr>
          <w:p w14:paraId="3388FF17">
            <w:pPr>
              <w:tabs>
                <w:tab w:val="left" w:pos="312"/>
              </w:tabs>
              <w:spacing w:line="460" w:lineRule="exact"/>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技术支撑：</w:t>
            </w:r>
          </w:p>
          <w:p w14:paraId="29AED14D">
            <w:pPr>
              <w:pStyle w:val="45"/>
              <w:spacing w:line="460" w:lineRule="exact"/>
              <w:ind w:left="0" w:leftChars="0" w:firstLine="0"/>
              <w:rPr>
                <w:rFonts w:hint="eastAsia" w:ascii="宋体" w:hAnsi="宋体" w:cs="宋体"/>
                <w:bCs/>
                <w:color w:val="auto"/>
                <w:sz w:val="21"/>
                <w:szCs w:val="21"/>
                <w:highlight w:val="none"/>
              </w:rPr>
            </w:pPr>
            <w:r>
              <w:rPr>
                <w:rFonts w:hint="eastAsia" w:ascii="宋体" w:hAnsi="宋体" w:cs="宋体"/>
                <w:bCs/>
                <w:color w:val="auto"/>
                <w:sz w:val="21"/>
                <w:szCs w:val="21"/>
                <w:highlight w:val="none"/>
              </w:rPr>
              <w:t>1.根据供应商对浙江省民政厅大救助信息系统的助联体平台的功能理解及熟悉程度，能够提供熟练操作能力，操作培训手册及指导社会组织方案等进行综合评审，最高得3分，</w:t>
            </w:r>
          </w:p>
          <w:p w14:paraId="0D2CEEC1">
            <w:pPr>
              <w:widowControl/>
              <w:spacing w:line="460" w:lineRule="exact"/>
              <w:jc w:val="both"/>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rPr>
              <w:t>2. 根据供应商对浙江省民政厅社会组织管理系统的功能理解及熟悉程度，能够提供熟练操作能力，操作培训手册及指导社会组织方案等进行综合评审，最高得3分，</w:t>
            </w:r>
          </w:p>
        </w:tc>
        <w:tc>
          <w:tcPr>
            <w:tcW w:w="375" w:type="pct"/>
            <w:vAlign w:val="center"/>
          </w:tcPr>
          <w:p w14:paraId="1EA26E21">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6</w:t>
            </w:r>
          </w:p>
        </w:tc>
      </w:tr>
      <w:tr w14:paraId="5795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jc w:val="center"/>
        </w:trPr>
        <w:tc>
          <w:tcPr>
            <w:tcW w:w="345" w:type="pct"/>
            <w:vAlign w:val="center"/>
          </w:tcPr>
          <w:p w14:paraId="13E06801">
            <w:pPr>
              <w:widowControl/>
              <w:spacing w:line="460" w:lineRule="exact"/>
              <w:jc w:val="center"/>
              <w:textAlignment w:val="center"/>
              <w:rPr>
                <w:rFonts w:hint="eastAsia" w:hAnsi="宋体" w:eastAsia="宋体" w:cs="宋体"/>
                <w:bCs/>
                <w:color w:val="auto"/>
                <w:sz w:val="21"/>
                <w:szCs w:val="21"/>
                <w:highlight w:val="none"/>
                <w:lang w:eastAsia="zh-CN" w:bidi="ar"/>
              </w:rPr>
            </w:pPr>
            <w:r>
              <w:rPr>
                <w:rFonts w:hint="eastAsia" w:hAnsi="宋体" w:cs="宋体"/>
                <w:bCs/>
                <w:color w:val="auto"/>
                <w:sz w:val="21"/>
                <w:szCs w:val="21"/>
                <w:highlight w:val="none"/>
                <w:lang w:val="en-US" w:eastAsia="zh-CN" w:bidi="ar"/>
              </w:rPr>
              <w:t>7</w:t>
            </w:r>
          </w:p>
        </w:tc>
        <w:tc>
          <w:tcPr>
            <w:tcW w:w="768" w:type="pct"/>
            <w:vAlign w:val="center"/>
          </w:tcPr>
          <w:p w14:paraId="32253B05">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rPr>
              <w:t>组织实施方案</w:t>
            </w:r>
          </w:p>
        </w:tc>
        <w:tc>
          <w:tcPr>
            <w:tcW w:w="3511" w:type="pct"/>
            <w:vAlign w:val="center"/>
          </w:tcPr>
          <w:p w14:paraId="74342CEE">
            <w:pPr>
              <w:widowControl/>
              <w:spacing w:line="460" w:lineRule="exact"/>
              <w:jc w:val="both"/>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rPr>
              <w:t>评委根据供应商的项目组织实施方案合理性、可行性进行评审，最高得2分；</w:t>
            </w:r>
            <w:r>
              <w:rPr>
                <w:rFonts w:hint="eastAsia" w:hAnsi="宋体" w:cs="宋体"/>
                <w:color w:val="auto"/>
                <w:sz w:val="21"/>
                <w:szCs w:val="21"/>
                <w:highlight w:val="none"/>
              </w:rPr>
              <w:t>有欠缺或不合理的每处扣0.5分，扣完为止。</w:t>
            </w:r>
          </w:p>
        </w:tc>
        <w:tc>
          <w:tcPr>
            <w:tcW w:w="375" w:type="pct"/>
            <w:vAlign w:val="center"/>
          </w:tcPr>
          <w:p w14:paraId="3D9028D2">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2</w:t>
            </w:r>
          </w:p>
        </w:tc>
      </w:tr>
      <w:tr w14:paraId="1DF2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jc w:val="center"/>
        </w:trPr>
        <w:tc>
          <w:tcPr>
            <w:tcW w:w="345" w:type="pct"/>
            <w:vAlign w:val="center"/>
          </w:tcPr>
          <w:p w14:paraId="0D812EB9">
            <w:pPr>
              <w:widowControl/>
              <w:spacing w:line="460" w:lineRule="exact"/>
              <w:jc w:val="center"/>
              <w:textAlignment w:val="center"/>
              <w:rPr>
                <w:rFonts w:hint="eastAsia" w:hAnsi="宋体" w:eastAsia="宋体" w:cs="宋体"/>
                <w:bCs/>
                <w:color w:val="auto"/>
                <w:sz w:val="21"/>
                <w:szCs w:val="21"/>
                <w:highlight w:val="none"/>
                <w:lang w:eastAsia="zh-CN" w:bidi="ar"/>
              </w:rPr>
            </w:pPr>
            <w:r>
              <w:rPr>
                <w:rFonts w:hint="eastAsia" w:hAnsi="宋体" w:cs="宋体"/>
                <w:bCs/>
                <w:color w:val="auto"/>
                <w:sz w:val="21"/>
                <w:szCs w:val="21"/>
                <w:highlight w:val="none"/>
                <w:lang w:val="en-US" w:eastAsia="zh-CN" w:bidi="ar"/>
              </w:rPr>
              <w:t>8</w:t>
            </w:r>
          </w:p>
        </w:tc>
        <w:tc>
          <w:tcPr>
            <w:tcW w:w="768" w:type="pct"/>
            <w:vAlign w:val="center"/>
          </w:tcPr>
          <w:p w14:paraId="25BC5066">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rPr>
              <w:t>组织协调方案</w:t>
            </w:r>
          </w:p>
        </w:tc>
        <w:tc>
          <w:tcPr>
            <w:tcW w:w="3511" w:type="pct"/>
            <w:vAlign w:val="center"/>
          </w:tcPr>
          <w:p w14:paraId="44CE5A6B">
            <w:pPr>
              <w:widowControl/>
              <w:spacing w:line="460" w:lineRule="exact"/>
              <w:jc w:val="both"/>
              <w:textAlignment w:val="center"/>
              <w:rPr>
                <w:rFonts w:hint="eastAsia" w:hAnsi="宋体" w:cs="宋体"/>
                <w:bCs/>
                <w:color w:val="auto"/>
                <w:sz w:val="21"/>
                <w:szCs w:val="21"/>
                <w:highlight w:val="none"/>
                <w:lang w:bidi="ar"/>
              </w:rPr>
            </w:pPr>
            <w:bookmarkStart w:id="45" w:name="OLE_LINK9"/>
            <w:r>
              <w:rPr>
                <w:rFonts w:hint="eastAsia" w:hAnsi="宋体" w:cs="宋体"/>
                <w:bCs/>
                <w:color w:val="auto"/>
                <w:sz w:val="21"/>
                <w:szCs w:val="21"/>
                <w:highlight w:val="none"/>
              </w:rPr>
              <w:t>评委根据供应商组织协调能力，实施过程中涉及相关机构、部门的沟通和协调能力，项目完成后的后续服务能力进行综合评审，最高2分；</w:t>
            </w:r>
            <w:r>
              <w:rPr>
                <w:rFonts w:hint="eastAsia" w:hAnsi="宋体" w:cs="宋体"/>
                <w:color w:val="auto"/>
                <w:sz w:val="21"/>
                <w:szCs w:val="21"/>
                <w:highlight w:val="none"/>
              </w:rPr>
              <w:t>有欠缺或不合理的每处扣0.5分，扣完为止。</w:t>
            </w:r>
            <w:bookmarkEnd w:id="45"/>
          </w:p>
        </w:tc>
        <w:tc>
          <w:tcPr>
            <w:tcW w:w="375" w:type="pct"/>
            <w:vAlign w:val="center"/>
          </w:tcPr>
          <w:p w14:paraId="7EAFA928">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2</w:t>
            </w:r>
          </w:p>
        </w:tc>
      </w:tr>
      <w:bookmarkEnd w:id="43"/>
      <w:bookmarkEnd w:id="44"/>
      <w:tr w14:paraId="6FA5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jc w:val="center"/>
        </w:trPr>
        <w:tc>
          <w:tcPr>
            <w:tcW w:w="345" w:type="pct"/>
            <w:vAlign w:val="center"/>
          </w:tcPr>
          <w:p w14:paraId="307E43B8">
            <w:pPr>
              <w:widowControl/>
              <w:spacing w:line="460" w:lineRule="exact"/>
              <w:jc w:val="center"/>
              <w:textAlignment w:val="center"/>
              <w:rPr>
                <w:rFonts w:hint="eastAsia" w:hAnsi="宋体" w:eastAsia="宋体" w:cs="宋体"/>
                <w:bCs/>
                <w:color w:val="auto"/>
                <w:sz w:val="21"/>
                <w:szCs w:val="21"/>
                <w:highlight w:val="none"/>
                <w:lang w:eastAsia="zh-CN" w:bidi="ar"/>
              </w:rPr>
            </w:pPr>
            <w:r>
              <w:rPr>
                <w:rFonts w:hint="eastAsia" w:hAnsi="宋体" w:cs="宋体"/>
                <w:bCs/>
                <w:color w:val="auto"/>
                <w:sz w:val="21"/>
                <w:szCs w:val="21"/>
                <w:highlight w:val="none"/>
                <w:lang w:val="en-US" w:eastAsia="zh-CN" w:bidi="ar"/>
              </w:rPr>
              <w:t>9</w:t>
            </w:r>
          </w:p>
        </w:tc>
        <w:tc>
          <w:tcPr>
            <w:tcW w:w="768" w:type="pct"/>
            <w:vAlign w:val="center"/>
          </w:tcPr>
          <w:p w14:paraId="7352F877">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rPr>
              <w:t>质量保证措施</w:t>
            </w:r>
          </w:p>
        </w:tc>
        <w:tc>
          <w:tcPr>
            <w:tcW w:w="3511" w:type="pct"/>
            <w:vAlign w:val="center"/>
          </w:tcPr>
          <w:p w14:paraId="321099E6">
            <w:pPr>
              <w:widowControl/>
              <w:spacing w:line="460" w:lineRule="exact"/>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rPr>
              <w:t>服务成果、服务承诺的质量保证措施明确、具体、可行、针对性强、各项措施易操作落实的，最高得2分；</w:t>
            </w:r>
            <w:r>
              <w:rPr>
                <w:rFonts w:hint="eastAsia" w:hAnsi="宋体" w:cs="宋体"/>
                <w:color w:val="auto"/>
                <w:sz w:val="21"/>
                <w:szCs w:val="21"/>
                <w:highlight w:val="none"/>
              </w:rPr>
              <w:t>有欠缺或不合理的每处扣0.5分，扣完为止。</w:t>
            </w:r>
          </w:p>
        </w:tc>
        <w:tc>
          <w:tcPr>
            <w:tcW w:w="375" w:type="pct"/>
            <w:vAlign w:val="center"/>
          </w:tcPr>
          <w:p w14:paraId="18059F8A">
            <w:pPr>
              <w:widowControl/>
              <w:spacing w:line="460" w:lineRule="exact"/>
              <w:jc w:val="center"/>
              <w:textAlignment w:val="center"/>
              <w:rPr>
                <w:rFonts w:hint="eastAsia" w:hAnsi="宋体" w:cs="宋体"/>
                <w:bCs/>
                <w:color w:val="auto"/>
                <w:sz w:val="21"/>
                <w:szCs w:val="21"/>
                <w:highlight w:val="none"/>
                <w:lang w:bidi="ar"/>
              </w:rPr>
            </w:pPr>
            <w:r>
              <w:rPr>
                <w:rFonts w:hint="eastAsia" w:hAnsi="宋体" w:cs="宋体"/>
                <w:bCs/>
                <w:color w:val="auto"/>
                <w:sz w:val="21"/>
                <w:szCs w:val="21"/>
                <w:highlight w:val="none"/>
                <w:lang w:bidi="ar"/>
              </w:rPr>
              <w:t>2</w:t>
            </w:r>
          </w:p>
        </w:tc>
      </w:tr>
      <w:tr w14:paraId="0FA2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jc w:val="center"/>
        </w:trPr>
        <w:tc>
          <w:tcPr>
            <w:tcW w:w="345" w:type="pct"/>
            <w:vAlign w:val="center"/>
          </w:tcPr>
          <w:p w14:paraId="2CEB62EC">
            <w:pPr>
              <w:widowControl/>
              <w:spacing w:line="460" w:lineRule="exact"/>
              <w:jc w:val="center"/>
              <w:textAlignment w:val="center"/>
              <w:rPr>
                <w:rFonts w:hint="default" w:hAnsi="宋体" w:eastAsia="宋体" w:cs="宋体"/>
                <w:bCs/>
                <w:color w:val="auto"/>
                <w:sz w:val="21"/>
                <w:szCs w:val="21"/>
                <w:highlight w:val="none"/>
                <w:lang w:val="en-US" w:eastAsia="zh-CN" w:bidi="ar"/>
              </w:rPr>
            </w:pPr>
            <w:r>
              <w:rPr>
                <w:rFonts w:hint="eastAsia" w:hAnsi="宋体" w:cs="宋体"/>
                <w:bCs/>
                <w:color w:val="auto"/>
                <w:sz w:val="21"/>
                <w:szCs w:val="21"/>
                <w:highlight w:val="none"/>
                <w:lang w:val="en-US" w:eastAsia="zh-CN" w:bidi="ar"/>
              </w:rPr>
              <w:t>10</w:t>
            </w:r>
          </w:p>
        </w:tc>
        <w:tc>
          <w:tcPr>
            <w:tcW w:w="768" w:type="pct"/>
            <w:vAlign w:val="center"/>
          </w:tcPr>
          <w:p w14:paraId="5D3EB4F3">
            <w:pPr>
              <w:widowControl/>
              <w:spacing w:line="460" w:lineRule="exact"/>
              <w:jc w:val="center"/>
              <w:textAlignment w:val="center"/>
              <w:rPr>
                <w:rFonts w:hint="default"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合理化建议</w:t>
            </w:r>
          </w:p>
        </w:tc>
        <w:tc>
          <w:tcPr>
            <w:tcW w:w="3511" w:type="pct"/>
            <w:vAlign w:val="center"/>
          </w:tcPr>
          <w:p w14:paraId="49B0C2FA">
            <w:pPr>
              <w:widowControl/>
              <w:spacing w:line="460" w:lineRule="exact"/>
              <w:textAlignment w:val="center"/>
              <w:rPr>
                <w:rFonts w:hint="eastAsia" w:hAnsi="宋体" w:cs="宋体"/>
                <w:bCs/>
                <w:color w:val="auto"/>
                <w:sz w:val="21"/>
                <w:szCs w:val="21"/>
                <w:highlight w:val="none"/>
              </w:rPr>
            </w:pPr>
            <w:r>
              <w:rPr>
                <w:rFonts w:hint="eastAsia" w:hAnsi="宋体" w:cs="宋体"/>
                <w:bCs/>
                <w:color w:val="auto"/>
                <w:sz w:val="21"/>
                <w:szCs w:val="21"/>
                <w:highlight w:val="none"/>
                <w:lang w:val="en-US" w:eastAsia="zh-CN"/>
              </w:rPr>
              <w:t>供应商</w:t>
            </w:r>
            <w:r>
              <w:rPr>
                <w:rFonts w:hint="eastAsia" w:hAnsi="宋体" w:cs="宋体"/>
                <w:bCs/>
                <w:color w:val="auto"/>
                <w:sz w:val="21"/>
                <w:szCs w:val="21"/>
                <w:highlight w:val="none"/>
              </w:rPr>
              <w:t>针对本项目提供个性化、专业化、特色化、数字化的</w:t>
            </w:r>
            <w:r>
              <w:rPr>
                <w:rFonts w:hint="eastAsia" w:hAnsi="宋体" w:cs="宋体"/>
                <w:bCs/>
                <w:color w:val="auto"/>
                <w:sz w:val="21"/>
                <w:szCs w:val="21"/>
                <w:highlight w:val="none"/>
                <w:lang w:val="en-US" w:eastAsia="zh-CN"/>
              </w:rPr>
              <w:t>合理化建议</w:t>
            </w:r>
            <w:r>
              <w:rPr>
                <w:rFonts w:hint="eastAsia" w:hAnsi="宋体" w:cs="宋体"/>
                <w:bCs/>
                <w:color w:val="auto"/>
                <w:sz w:val="21"/>
                <w:szCs w:val="21"/>
                <w:highlight w:val="none"/>
              </w:rPr>
              <w:t>，由评审小组进行打分。</w:t>
            </w:r>
          </w:p>
        </w:tc>
        <w:tc>
          <w:tcPr>
            <w:tcW w:w="375" w:type="pct"/>
            <w:vAlign w:val="center"/>
          </w:tcPr>
          <w:p w14:paraId="1D34DA2C">
            <w:pPr>
              <w:widowControl/>
              <w:spacing w:line="460" w:lineRule="exact"/>
              <w:jc w:val="center"/>
              <w:textAlignment w:val="center"/>
              <w:rPr>
                <w:rFonts w:hint="eastAsia" w:hAnsi="宋体" w:eastAsia="宋体" w:cs="宋体"/>
                <w:bCs/>
                <w:color w:val="auto"/>
                <w:sz w:val="21"/>
                <w:szCs w:val="21"/>
                <w:highlight w:val="none"/>
                <w:lang w:eastAsia="zh-CN" w:bidi="ar"/>
              </w:rPr>
            </w:pPr>
            <w:r>
              <w:rPr>
                <w:rFonts w:hint="eastAsia" w:hAnsi="宋体" w:cs="宋体"/>
                <w:bCs/>
                <w:color w:val="auto"/>
                <w:sz w:val="21"/>
                <w:szCs w:val="21"/>
                <w:highlight w:val="none"/>
                <w:lang w:val="en-US" w:eastAsia="zh-CN" w:bidi="ar"/>
              </w:rPr>
              <w:t>1</w:t>
            </w:r>
          </w:p>
        </w:tc>
      </w:tr>
      <w:tr w14:paraId="5B4A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jc w:val="center"/>
        </w:trPr>
        <w:tc>
          <w:tcPr>
            <w:tcW w:w="345" w:type="pct"/>
            <w:vAlign w:val="center"/>
          </w:tcPr>
          <w:p w14:paraId="2DFD1F1A">
            <w:pPr>
              <w:widowControl/>
              <w:spacing w:line="460" w:lineRule="exact"/>
              <w:jc w:val="center"/>
              <w:textAlignment w:val="center"/>
              <w:rPr>
                <w:rFonts w:hint="default" w:hAnsi="宋体" w:cs="宋体"/>
                <w:bCs/>
                <w:color w:val="auto"/>
                <w:sz w:val="21"/>
                <w:szCs w:val="21"/>
                <w:highlight w:val="none"/>
                <w:lang w:val="en-US" w:eastAsia="zh-CN" w:bidi="ar"/>
              </w:rPr>
            </w:pPr>
            <w:r>
              <w:rPr>
                <w:rFonts w:hint="eastAsia" w:hAnsi="宋体" w:cs="宋体"/>
                <w:bCs/>
                <w:color w:val="auto"/>
                <w:sz w:val="21"/>
                <w:szCs w:val="21"/>
                <w:highlight w:val="none"/>
                <w:lang w:val="en-US" w:eastAsia="zh-CN" w:bidi="ar"/>
              </w:rPr>
              <w:t>11</w:t>
            </w:r>
          </w:p>
        </w:tc>
        <w:tc>
          <w:tcPr>
            <w:tcW w:w="1431" w:type="dxa"/>
            <w:vAlign w:val="center"/>
          </w:tcPr>
          <w:p w14:paraId="51020BFE">
            <w:pPr>
              <w:snapToGrid w:val="0"/>
              <w:spacing w:line="460" w:lineRule="exact"/>
              <w:jc w:val="center"/>
              <w:rPr>
                <w:rFonts w:hint="default" w:hAnsi="宋体" w:cs="宋体"/>
                <w:bCs/>
                <w:color w:val="auto"/>
                <w:sz w:val="21"/>
                <w:szCs w:val="21"/>
                <w:highlight w:val="none"/>
                <w:lang w:val="en-US" w:eastAsia="zh-CN"/>
              </w:rPr>
            </w:pPr>
            <w:r>
              <w:rPr>
                <w:rFonts w:hint="eastAsia" w:hAnsi="宋体" w:cs="宋体"/>
                <w:sz w:val="21"/>
                <w:szCs w:val="21"/>
              </w:rPr>
              <w:t>政策分</w:t>
            </w:r>
          </w:p>
        </w:tc>
        <w:tc>
          <w:tcPr>
            <w:tcW w:w="6542" w:type="dxa"/>
            <w:vAlign w:val="center"/>
          </w:tcPr>
          <w:p w14:paraId="79902477">
            <w:pPr>
              <w:pStyle w:val="117"/>
              <w:kinsoku w:val="0"/>
              <w:overflowPunct w:val="0"/>
              <w:snapToGrid w:val="0"/>
              <w:spacing w:line="460" w:lineRule="exact"/>
              <w:rPr>
                <w:rFonts w:hint="eastAsia" w:hAnsi="宋体" w:cs="宋体"/>
                <w:bCs/>
                <w:color w:val="auto"/>
                <w:sz w:val="21"/>
                <w:szCs w:val="21"/>
                <w:highlight w:val="none"/>
                <w:lang w:val="en-US" w:eastAsia="zh-CN"/>
              </w:rPr>
            </w:pPr>
            <w:r>
              <w:rPr>
                <w:rFonts w:hint="eastAsia" w:hAnsi="宋体" w:cs="宋体"/>
                <w:color w:val="auto"/>
                <w:sz w:val="21"/>
                <w:szCs w:val="21"/>
              </w:rPr>
              <w:t>投标人符合《政府采购货物和服务招标投标管理办法》第五条规定，属“节约能源、保护环境、扶持不发达地区和少数民族地区等”政府采购政策扶持对象的，提供相关证明材料和政策依据，每符合一项得</w:t>
            </w:r>
            <w:r>
              <w:rPr>
                <w:rFonts w:hint="eastAsia" w:hAnsi="宋体" w:cs="宋体"/>
                <w:color w:val="auto"/>
                <w:sz w:val="21"/>
                <w:szCs w:val="21"/>
                <w:lang w:val="en-US" w:eastAsia="zh-CN"/>
              </w:rPr>
              <w:t>0.5</w:t>
            </w:r>
            <w:bookmarkStart w:id="64" w:name="_GoBack"/>
            <w:bookmarkEnd w:id="64"/>
            <w:r>
              <w:rPr>
                <w:rFonts w:hint="eastAsia" w:hAnsi="宋体" w:cs="宋体"/>
                <w:color w:val="auto"/>
                <w:sz w:val="21"/>
                <w:szCs w:val="21"/>
              </w:rPr>
              <w:t>分，最高可得</w:t>
            </w:r>
            <w:r>
              <w:rPr>
                <w:rFonts w:hint="eastAsia" w:hAnsi="宋体" w:cs="宋体"/>
                <w:color w:val="auto"/>
                <w:sz w:val="21"/>
                <w:szCs w:val="21"/>
                <w:lang w:val="en-US" w:eastAsia="zh-CN"/>
              </w:rPr>
              <w:t>1</w:t>
            </w:r>
            <w:r>
              <w:rPr>
                <w:rFonts w:hint="eastAsia" w:hAnsi="宋体" w:cs="宋体"/>
                <w:color w:val="auto"/>
                <w:sz w:val="21"/>
                <w:szCs w:val="21"/>
              </w:rPr>
              <w:t>分；未提供相关证明材料的不得分。（提供相关证明材料和政策依据备查）。</w:t>
            </w:r>
          </w:p>
        </w:tc>
        <w:tc>
          <w:tcPr>
            <w:tcW w:w="375" w:type="pct"/>
            <w:vAlign w:val="center"/>
          </w:tcPr>
          <w:p w14:paraId="5EB5570B">
            <w:pPr>
              <w:widowControl/>
              <w:spacing w:line="460" w:lineRule="exact"/>
              <w:jc w:val="center"/>
              <w:textAlignment w:val="center"/>
              <w:rPr>
                <w:rFonts w:hint="eastAsia" w:hAnsi="宋体" w:eastAsia="宋体" w:cs="宋体"/>
                <w:bCs/>
                <w:color w:val="auto"/>
                <w:sz w:val="21"/>
                <w:szCs w:val="21"/>
                <w:highlight w:val="none"/>
                <w:lang w:val="en-US" w:eastAsia="zh-CN" w:bidi="ar"/>
              </w:rPr>
            </w:pPr>
            <w:r>
              <w:rPr>
                <w:rFonts w:hint="eastAsia" w:hAnsi="宋体" w:cs="宋体"/>
                <w:bCs/>
                <w:color w:val="auto"/>
                <w:sz w:val="21"/>
                <w:szCs w:val="21"/>
                <w:highlight w:val="none"/>
                <w:lang w:val="en-US" w:eastAsia="zh-CN" w:bidi="ar"/>
              </w:rPr>
              <w:t>1</w:t>
            </w:r>
          </w:p>
        </w:tc>
      </w:tr>
      <w:tr w14:paraId="162D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jc w:val="center"/>
        </w:trPr>
        <w:tc>
          <w:tcPr>
            <w:tcW w:w="4624" w:type="pct"/>
            <w:gridSpan w:val="3"/>
            <w:vAlign w:val="center"/>
          </w:tcPr>
          <w:p w14:paraId="6FEA8F3F">
            <w:pPr>
              <w:widowControl/>
              <w:autoSpaceDE/>
              <w:autoSpaceDN/>
              <w:spacing w:line="460" w:lineRule="exact"/>
              <w:jc w:val="center"/>
              <w:textAlignment w:val="center"/>
              <w:rPr>
                <w:rFonts w:hint="eastAsia" w:hAnsi="宋体" w:cs="宋体"/>
                <w:bCs/>
                <w:color w:val="auto"/>
                <w:sz w:val="21"/>
                <w:szCs w:val="21"/>
                <w:highlight w:val="none"/>
              </w:rPr>
            </w:pPr>
            <w:r>
              <w:rPr>
                <w:rFonts w:hint="eastAsia" w:hAnsi="宋体" w:cs="宋体"/>
                <w:bCs/>
                <w:color w:val="auto"/>
                <w:sz w:val="21"/>
                <w:szCs w:val="21"/>
                <w:highlight w:val="none"/>
                <w:lang w:bidi="ar"/>
              </w:rPr>
              <w:t>合计</w:t>
            </w:r>
          </w:p>
        </w:tc>
        <w:tc>
          <w:tcPr>
            <w:tcW w:w="375" w:type="pct"/>
            <w:vAlign w:val="center"/>
          </w:tcPr>
          <w:p w14:paraId="4E9FEBE2">
            <w:pPr>
              <w:widowControl/>
              <w:spacing w:line="460" w:lineRule="exact"/>
              <w:jc w:val="center"/>
              <w:textAlignment w:val="center"/>
              <w:rPr>
                <w:rFonts w:hint="eastAsia" w:hAnsi="宋体" w:cs="宋体"/>
                <w:bCs/>
                <w:color w:val="auto"/>
                <w:sz w:val="21"/>
                <w:szCs w:val="21"/>
                <w:highlight w:val="none"/>
              </w:rPr>
            </w:pPr>
            <w:r>
              <w:rPr>
                <w:rFonts w:hint="eastAsia" w:hAnsi="宋体" w:cs="宋体"/>
                <w:bCs/>
                <w:color w:val="auto"/>
                <w:sz w:val="21"/>
                <w:szCs w:val="21"/>
                <w:highlight w:val="none"/>
                <w:lang w:bidi="ar"/>
              </w:rPr>
              <w:t>90</w:t>
            </w:r>
          </w:p>
        </w:tc>
      </w:tr>
      <w:bookmarkEnd w:id="42"/>
    </w:tbl>
    <w:p w14:paraId="30DAA7E1">
      <w:pPr>
        <w:autoSpaceDE/>
        <w:autoSpaceDN/>
        <w:adjustRightInd/>
        <w:snapToGrid w:val="0"/>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（三）技术商务分的计算</w:t>
      </w:r>
    </w:p>
    <w:p w14:paraId="09AA0E39">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技术商务分按照评标委员会成员的独立评分结果汇总数后的算术平均分计算，计算公式为：</w:t>
      </w:r>
    </w:p>
    <w:p w14:paraId="5B37FE35">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技术商务分=（评标委员会所有成员评分合计数）/（评标委员会组成人员数）</w:t>
      </w:r>
    </w:p>
    <w:p w14:paraId="6C8C9805">
      <w:pPr>
        <w:autoSpaceDE/>
        <w:autoSpaceDN/>
        <w:adjustRightInd/>
        <w:snapToGrid w:val="0"/>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（四）定标原则</w:t>
      </w:r>
    </w:p>
    <w:p w14:paraId="1F184659">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1.严格按照招标文件规定“综合评分法，得分最高者中标”的原则定标，法律法规或国家政策另有规定的从其规定。</w:t>
      </w:r>
    </w:p>
    <w:p w14:paraId="0A11E5E4">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2.经预中标结果公示期满无异议，中标候选人即成为中标人。</w:t>
      </w:r>
    </w:p>
    <w:p w14:paraId="7C48F342">
      <w:pPr>
        <w:autoSpaceDE/>
        <w:autoSpaceDN/>
        <w:adjustRightInd/>
        <w:snapToGrid w:val="0"/>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（五）保密及其他注意事项</w:t>
      </w:r>
    </w:p>
    <w:p w14:paraId="23D298F4">
      <w:pPr>
        <w:autoSpaceDE/>
        <w:autoSpaceDN/>
        <w:adjustRightInd/>
        <w:snapToGrid w:val="0"/>
        <w:spacing w:line="500" w:lineRule="exact"/>
        <w:ind w:firstLine="420" w:firstLineChars="200"/>
        <w:jc w:val="both"/>
        <w:rPr>
          <w:rFonts w:hint="eastAsia" w:hAnsi="宋体" w:cs="宋体"/>
          <w:bCs/>
          <w:color w:val="auto"/>
          <w:sz w:val="21"/>
          <w:szCs w:val="21"/>
          <w:highlight w:val="none"/>
        </w:rPr>
      </w:pPr>
      <w:r>
        <w:rPr>
          <w:rFonts w:hint="eastAsia" w:hAnsi="宋体" w:cs="宋体"/>
          <w:bCs/>
          <w:color w:val="auto"/>
          <w:sz w:val="21"/>
          <w:szCs w:val="21"/>
          <w:highlight w:val="none"/>
        </w:rPr>
        <w:t>1.评标是招标过程中的重要环节，评标工作在评委会成员内独立进行。评标委员会将遵照评标原则，公正、公平、客观地对待所有投标人。</w:t>
      </w:r>
    </w:p>
    <w:p w14:paraId="6E03BACB">
      <w:pPr>
        <w:autoSpaceDE/>
        <w:autoSpaceDN/>
        <w:adjustRightInd/>
        <w:snapToGrid w:val="0"/>
        <w:spacing w:line="500" w:lineRule="exact"/>
        <w:ind w:firstLine="420" w:firstLineChars="200"/>
        <w:jc w:val="both"/>
        <w:rPr>
          <w:rFonts w:hint="eastAsia" w:hAnsi="宋体" w:cs="宋体"/>
          <w:bCs/>
          <w:color w:val="auto"/>
          <w:sz w:val="21"/>
          <w:szCs w:val="21"/>
          <w:highlight w:val="none"/>
        </w:rPr>
      </w:pPr>
      <w:r>
        <w:rPr>
          <w:rFonts w:hint="eastAsia" w:hAnsi="宋体" w:cs="宋体"/>
          <w:bCs/>
          <w:color w:val="auto"/>
          <w:sz w:val="21"/>
          <w:szCs w:val="21"/>
          <w:highlight w:val="none"/>
        </w:rPr>
        <w:t>2.在开标、评标期间，投标人不得向评委询问评标情况，不得进行旨在影响评标结果的活动。</w:t>
      </w:r>
    </w:p>
    <w:p w14:paraId="63334E89">
      <w:pPr>
        <w:autoSpaceDE/>
        <w:autoSpaceDN/>
        <w:adjustRightInd/>
        <w:snapToGrid w:val="0"/>
        <w:spacing w:line="500" w:lineRule="exact"/>
        <w:ind w:firstLine="420" w:firstLineChars="200"/>
        <w:jc w:val="both"/>
        <w:rPr>
          <w:rFonts w:hint="eastAsia" w:hAnsi="宋体" w:cs="宋体"/>
          <w:b/>
          <w:color w:val="auto"/>
          <w:kern w:val="2"/>
          <w:sz w:val="28"/>
          <w:szCs w:val="28"/>
          <w:highlight w:val="none"/>
        </w:rPr>
      </w:pPr>
      <w:r>
        <w:rPr>
          <w:rFonts w:hint="eastAsia" w:hAnsi="宋体" w:cs="宋体"/>
          <w:bCs/>
          <w:color w:val="auto"/>
          <w:sz w:val="21"/>
          <w:szCs w:val="21"/>
          <w:highlight w:val="none"/>
        </w:rPr>
        <w:t>3.为保证定标的公正性，在评标过程中，评委不得与投标人私下交换意见。在招标工作结束后与评标工作有接触的任何人，不得将评标情况外泄。</w:t>
      </w:r>
      <w:bookmarkStart w:id="46" w:name="_Toc351559945"/>
    </w:p>
    <w:p w14:paraId="0EA5FE44">
      <w:pPr>
        <w:autoSpaceDE/>
        <w:autoSpaceDN/>
        <w:adjustRightInd/>
        <w:snapToGrid w:val="0"/>
        <w:spacing w:line="500" w:lineRule="exact"/>
        <w:jc w:val="center"/>
        <w:outlineLvl w:val="0"/>
        <w:rPr>
          <w:rFonts w:hint="eastAsia" w:hAnsi="宋体" w:cs="宋体"/>
          <w:color w:val="auto"/>
          <w:sz w:val="30"/>
          <w:szCs w:val="30"/>
          <w:highlight w:val="none"/>
        </w:rPr>
      </w:pPr>
      <w:r>
        <w:rPr>
          <w:rFonts w:hint="eastAsia" w:hAnsi="宋体" w:cs="宋体"/>
          <w:b/>
          <w:color w:val="auto"/>
          <w:kern w:val="2"/>
          <w:sz w:val="28"/>
          <w:szCs w:val="28"/>
          <w:highlight w:val="none"/>
        </w:rPr>
        <w:br w:type="page"/>
      </w:r>
      <w:r>
        <w:rPr>
          <w:rFonts w:hint="eastAsia" w:hAnsi="宋体" w:cs="宋体"/>
          <w:b/>
          <w:bCs/>
          <w:color w:val="auto"/>
          <w:sz w:val="30"/>
          <w:szCs w:val="30"/>
          <w:highlight w:val="none"/>
        </w:rPr>
        <w:t>第五章  合同文本</w:t>
      </w:r>
    </w:p>
    <w:p w14:paraId="1D294A80">
      <w:pPr>
        <w:snapToGrid w:val="0"/>
        <w:spacing w:line="500" w:lineRule="exact"/>
        <w:ind w:firstLine="420" w:firstLineChars="200"/>
        <w:textAlignment w:val="baseline"/>
        <w:rPr>
          <w:rStyle w:val="67"/>
          <w:rFonts w:hint="eastAsia" w:ascii="宋体" w:hAnsi="宋体" w:cs="宋体"/>
          <w:color w:val="auto"/>
          <w:w w:val="90"/>
          <w:szCs w:val="21"/>
          <w:highlight w:val="none"/>
        </w:rPr>
      </w:pPr>
      <w:bookmarkStart w:id="47" w:name="_Toc275514502"/>
      <w:r>
        <w:rPr>
          <w:rStyle w:val="67"/>
          <w:rFonts w:hint="eastAsia" w:ascii="宋体" w:hAnsi="宋体" w:cs="宋体"/>
          <w:color w:val="auto"/>
          <w:szCs w:val="21"/>
          <w:highlight w:val="none"/>
        </w:rPr>
        <w:t>甲方（购买主体）：</w:t>
      </w:r>
      <w:r>
        <w:rPr>
          <w:rStyle w:val="67"/>
          <w:rFonts w:hint="eastAsia" w:ascii="宋体" w:hAnsi="宋体" w:cs="宋体"/>
          <w:color w:val="auto"/>
          <w:w w:val="90"/>
          <w:szCs w:val="21"/>
          <w:highlight w:val="none"/>
        </w:rPr>
        <w:t xml:space="preserve">  </w:t>
      </w:r>
    </w:p>
    <w:p w14:paraId="78DF3BBC">
      <w:pPr>
        <w:snapToGrid w:val="0"/>
        <w:spacing w:line="500" w:lineRule="exact"/>
        <w:ind w:firstLine="420" w:firstLineChars="200"/>
        <w:textAlignment w:val="baseline"/>
        <w:rPr>
          <w:rStyle w:val="67"/>
          <w:rFonts w:hint="eastAsia" w:ascii="宋体" w:hAnsi="宋体" w:cs="宋体"/>
          <w:color w:val="auto"/>
          <w:szCs w:val="21"/>
          <w:highlight w:val="none"/>
        </w:rPr>
      </w:pPr>
      <w:r>
        <w:rPr>
          <w:rStyle w:val="67"/>
          <w:rFonts w:hint="eastAsia" w:ascii="宋体" w:hAnsi="宋体" w:cs="宋体"/>
          <w:color w:val="auto"/>
          <w:szCs w:val="21"/>
          <w:highlight w:val="none"/>
        </w:rPr>
        <w:t>乙方（承接主体）：</w:t>
      </w:r>
    </w:p>
    <w:p w14:paraId="0561ADC5">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根据《中华人民共和国政府采购法》《中华人民共和国民法典》等有关政府</w:t>
      </w:r>
      <w:r>
        <w:rPr>
          <w:rFonts w:hint="eastAsia" w:hAnsi="宋体" w:cs="宋体"/>
          <w:color w:val="auto"/>
          <w:spacing w:val="-1"/>
          <w:sz w:val="21"/>
          <w:szCs w:val="21"/>
          <w:highlight w:val="none"/>
        </w:rPr>
        <w:t>采购法规，</w:t>
      </w:r>
      <w:r>
        <w:rPr>
          <w:rFonts w:hint="eastAsia" w:hAnsi="宋体" w:cs="宋体"/>
          <w:color w:val="auto"/>
          <w:sz w:val="21"/>
          <w:szCs w:val="21"/>
          <w:highlight w:val="none"/>
        </w:rPr>
        <w:t xml:space="preserve"> 甲乙双方按照</w:t>
      </w:r>
      <w:r>
        <w:rPr>
          <w:rFonts w:hint="eastAsia" w:hAnsi="宋体" w:cs="宋体"/>
          <w:color w:val="auto"/>
          <w:spacing w:val="11"/>
          <w:sz w:val="21"/>
          <w:szCs w:val="21"/>
          <w:highlight w:val="none"/>
          <w:u w:val="single"/>
        </w:rPr>
        <w:t xml:space="preserve"> </w:t>
      </w:r>
      <w:r>
        <w:rPr>
          <w:rFonts w:hint="eastAsia" w:hAnsi="宋体" w:cs="宋体"/>
          <w:color w:val="auto"/>
          <w:sz w:val="21"/>
          <w:szCs w:val="21"/>
          <w:highlight w:val="none"/>
          <w:u w:val="single"/>
        </w:rPr>
        <w:t xml:space="preserve">        （</w:t>
      </w:r>
      <w:r>
        <w:rPr>
          <w:rFonts w:hint="eastAsia" w:hAnsi="宋体" w:cs="宋体"/>
          <w:color w:val="auto"/>
          <w:spacing w:val="-1"/>
          <w:sz w:val="21"/>
          <w:szCs w:val="21"/>
          <w:highlight w:val="none"/>
        </w:rPr>
        <w:t>项目编号：</w:t>
      </w:r>
      <w:r>
        <w:rPr>
          <w:rFonts w:hint="eastAsia" w:hAnsi="宋体" w:cs="宋体"/>
          <w:color w:val="auto"/>
          <w:spacing w:val="-55"/>
          <w:sz w:val="21"/>
          <w:szCs w:val="21"/>
          <w:highlight w:val="none"/>
        </w:rPr>
        <w:t xml:space="preserve">        </w:t>
      </w:r>
      <w:r>
        <w:rPr>
          <w:rFonts w:hint="eastAsia" w:hAnsi="宋体" w:cs="宋体"/>
          <w:color w:val="auto"/>
          <w:spacing w:val="-1"/>
          <w:sz w:val="21"/>
          <w:szCs w:val="21"/>
          <w:highlight w:val="none"/>
        </w:rPr>
        <w:t>)</w:t>
      </w:r>
      <w:r>
        <w:rPr>
          <w:rFonts w:hint="eastAsia" w:hAnsi="宋体" w:cs="宋体"/>
          <w:color w:val="auto"/>
          <w:spacing w:val="49"/>
          <w:sz w:val="21"/>
          <w:szCs w:val="21"/>
          <w:highlight w:val="none"/>
        </w:rPr>
        <w:t xml:space="preserve"> </w:t>
      </w:r>
      <w:r>
        <w:rPr>
          <w:rFonts w:hint="eastAsia" w:hAnsi="宋体" w:cs="宋体"/>
          <w:color w:val="auto"/>
          <w:spacing w:val="-1"/>
          <w:sz w:val="21"/>
          <w:szCs w:val="21"/>
          <w:highlight w:val="none"/>
        </w:rPr>
        <w:t>的公开招标采购结果，签订本合同。</w:t>
      </w:r>
    </w:p>
    <w:p w14:paraId="144E4E81">
      <w:pPr>
        <w:tabs>
          <w:tab w:val="left" w:pos="0"/>
        </w:tabs>
        <w:snapToGrid w:val="0"/>
        <w:spacing w:line="500" w:lineRule="exact"/>
        <w:ind w:firstLine="420"/>
        <w:rPr>
          <w:rFonts w:hint="eastAsia" w:hAnsi="宋体" w:cs="宋体"/>
          <w:bCs/>
          <w:color w:val="auto"/>
          <w:sz w:val="21"/>
          <w:szCs w:val="21"/>
          <w:highlight w:val="none"/>
        </w:rPr>
      </w:pPr>
      <w:bookmarkStart w:id="48" w:name="_Toc31765"/>
      <w:bookmarkStart w:id="49" w:name="_Toc17629"/>
      <w:bookmarkStart w:id="50" w:name="_Toc5953"/>
      <w:bookmarkStart w:id="51" w:name="_Toc12701"/>
      <w:r>
        <w:rPr>
          <w:rFonts w:hint="eastAsia" w:hAnsi="宋体" w:cs="宋体"/>
          <w:b/>
          <w:color w:val="auto"/>
          <w:sz w:val="21"/>
          <w:szCs w:val="21"/>
          <w:highlight w:val="none"/>
        </w:rPr>
        <w:t>一、下列文件为本合同不可分割部分：</w:t>
      </w:r>
      <w:bookmarkEnd w:id="48"/>
      <w:bookmarkEnd w:id="49"/>
      <w:bookmarkEnd w:id="50"/>
      <w:bookmarkEnd w:id="51"/>
    </w:p>
    <w:p w14:paraId="3DF2F2F7">
      <w:pPr>
        <w:tabs>
          <w:tab w:val="left" w:pos="0"/>
        </w:tabs>
        <w:snapToGrid w:val="0"/>
        <w:spacing w:line="500" w:lineRule="exact"/>
        <w:ind w:firstLine="420"/>
        <w:rPr>
          <w:rFonts w:hint="eastAsia" w:hAnsi="宋体" w:cs="宋体"/>
          <w:bCs/>
          <w:color w:val="auto"/>
          <w:sz w:val="21"/>
          <w:szCs w:val="21"/>
          <w:highlight w:val="none"/>
        </w:rPr>
      </w:pPr>
      <w:bookmarkStart w:id="52" w:name="_Toc8117"/>
      <w:r>
        <w:rPr>
          <w:rFonts w:hint="eastAsia" w:hAnsi="宋体" w:cs="宋体"/>
          <w:bCs/>
          <w:color w:val="auto"/>
          <w:sz w:val="21"/>
          <w:szCs w:val="21"/>
          <w:highlight w:val="none"/>
        </w:rPr>
        <w:t>1.中标通知书；</w:t>
      </w:r>
      <w:bookmarkEnd w:id="52"/>
    </w:p>
    <w:p w14:paraId="6E0B6BBF">
      <w:pPr>
        <w:tabs>
          <w:tab w:val="left" w:pos="0"/>
        </w:tabs>
        <w:snapToGrid w:val="0"/>
        <w:spacing w:line="500" w:lineRule="exact"/>
        <w:ind w:firstLine="420"/>
        <w:rPr>
          <w:rFonts w:hint="eastAsia" w:hAnsi="宋体" w:cs="宋体"/>
          <w:bCs/>
          <w:color w:val="auto"/>
          <w:sz w:val="21"/>
          <w:szCs w:val="21"/>
          <w:highlight w:val="none"/>
        </w:rPr>
      </w:pPr>
      <w:bookmarkStart w:id="53" w:name="_Toc15046"/>
      <w:r>
        <w:rPr>
          <w:rFonts w:hint="eastAsia" w:hAnsi="宋体" w:cs="宋体"/>
          <w:bCs/>
          <w:color w:val="auto"/>
          <w:sz w:val="21"/>
          <w:szCs w:val="21"/>
          <w:highlight w:val="none"/>
        </w:rPr>
        <w:t>2.乙方的投标文件；</w:t>
      </w:r>
      <w:bookmarkEnd w:id="53"/>
    </w:p>
    <w:p w14:paraId="3C8E2A55">
      <w:pPr>
        <w:tabs>
          <w:tab w:val="left" w:pos="0"/>
        </w:tabs>
        <w:snapToGrid w:val="0"/>
        <w:spacing w:line="500" w:lineRule="exact"/>
        <w:ind w:firstLine="420"/>
        <w:rPr>
          <w:rFonts w:hint="eastAsia" w:hAnsi="宋体" w:cs="宋体"/>
          <w:bCs/>
          <w:color w:val="auto"/>
          <w:sz w:val="21"/>
          <w:szCs w:val="21"/>
          <w:highlight w:val="none"/>
        </w:rPr>
      </w:pPr>
      <w:bookmarkStart w:id="54" w:name="_Toc2427"/>
      <w:r>
        <w:rPr>
          <w:rFonts w:hint="eastAsia" w:hAnsi="宋体" w:cs="宋体"/>
          <w:bCs/>
          <w:color w:val="auto"/>
          <w:sz w:val="21"/>
          <w:szCs w:val="21"/>
          <w:highlight w:val="none"/>
        </w:rPr>
        <w:t>3.公开招标采购文件；</w:t>
      </w:r>
      <w:bookmarkEnd w:id="54"/>
    </w:p>
    <w:p w14:paraId="5E21B7A6">
      <w:pPr>
        <w:tabs>
          <w:tab w:val="left" w:pos="0"/>
        </w:tabs>
        <w:snapToGrid w:val="0"/>
        <w:spacing w:line="500" w:lineRule="exact"/>
        <w:ind w:firstLine="420"/>
        <w:rPr>
          <w:rFonts w:hint="eastAsia" w:hAnsi="宋体" w:cs="宋体"/>
          <w:bCs/>
          <w:color w:val="auto"/>
          <w:sz w:val="21"/>
          <w:szCs w:val="21"/>
          <w:highlight w:val="none"/>
        </w:rPr>
      </w:pPr>
      <w:bookmarkStart w:id="55" w:name="_Toc17941"/>
      <w:r>
        <w:rPr>
          <w:rFonts w:hint="eastAsia" w:hAnsi="宋体" w:cs="宋体"/>
          <w:bCs/>
          <w:color w:val="auto"/>
          <w:sz w:val="21"/>
          <w:szCs w:val="21"/>
          <w:highlight w:val="none"/>
        </w:rPr>
        <w:t>4.乙方在招投标过程中所作的其它承诺、声明、书面澄清等。</w:t>
      </w:r>
      <w:bookmarkEnd w:id="55"/>
    </w:p>
    <w:p w14:paraId="4ED1784D">
      <w:pPr>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二、服务内容：</w:t>
      </w:r>
    </w:p>
    <w:p w14:paraId="6AC7D3A5">
      <w:pPr>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三、服务要求：</w:t>
      </w:r>
      <w:r>
        <w:rPr>
          <w:rFonts w:hint="eastAsia" w:hAnsi="宋体" w:cs="宋体"/>
          <w:color w:val="auto"/>
          <w:sz w:val="21"/>
          <w:szCs w:val="21"/>
          <w:highlight w:val="none"/>
        </w:rPr>
        <w:t>详见公开招标采购文件</w:t>
      </w:r>
    </w:p>
    <w:p w14:paraId="5A7A0680">
      <w:pPr>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四、付款方式：</w:t>
      </w:r>
      <w:r>
        <w:rPr>
          <w:rFonts w:hint="eastAsia" w:hAnsi="宋体" w:cs="宋体"/>
          <w:color w:val="auto"/>
          <w:sz w:val="21"/>
          <w:szCs w:val="21"/>
          <w:highlight w:val="none"/>
        </w:rPr>
        <w:t>详见公开招标采购文件</w:t>
      </w:r>
    </w:p>
    <w:p w14:paraId="109C0829">
      <w:pPr>
        <w:snapToGrid w:val="0"/>
        <w:spacing w:line="500" w:lineRule="exact"/>
        <w:ind w:firstLine="422" w:firstLineChars="200"/>
        <w:rPr>
          <w:rFonts w:hint="eastAsia" w:hAnsi="宋体" w:cs="宋体"/>
          <w:color w:val="auto"/>
          <w:sz w:val="21"/>
          <w:szCs w:val="21"/>
          <w:highlight w:val="none"/>
        </w:rPr>
      </w:pPr>
      <w:r>
        <w:rPr>
          <w:rFonts w:hint="eastAsia" w:hAnsi="宋体" w:cs="宋体"/>
          <w:b/>
          <w:bCs/>
          <w:color w:val="auto"/>
          <w:sz w:val="21"/>
          <w:szCs w:val="21"/>
          <w:highlight w:val="none"/>
        </w:rPr>
        <w:t>五、服务期限</w:t>
      </w:r>
    </w:p>
    <w:p w14:paraId="6FB5E805">
      <w:pPr>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六、知识产权</w:t>
      </w:r>
    </w:p>
    <w:p w14:paraId="7545E967">
      <w:pPr>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1.乙方应保证提供服务过程中不会侵犯任何第三方的知识产权。</w:t>
      </w:r>
    </w:p>
    <w:p w14:paraId="20ABB4FF">
      <w:pPr>
        <w:snapToGrid w:val="0"/>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szCs w:val="21"/>
          <w:highlight w:val="none"/>
        </w:rPr>
        <w:t>2.本次项目成果所有权和使用权均属于</w:t>
      </w:r>
      <w:r>
        <w:rPr>
          <w:rFonts w:hint="eastAsia" w:hAnsi="宋体" w:cs="宋体"/>
          <w:color w:val="auto"/>
          <w:sz w:val="21"/>
          <w:szCs w:val="21"/>
          <w:highlight w:val="none"/>
          <w:lang w:bidi="ar"/>
        </w:rPr>
        <w:t>具体项目委托人</w:t>
      </w:r>
      <w:r>
        <w:rPr>
          <w:rFonts w:hint="eastAsia" w:hAnsi="宋体" w:cs="宋体"/>
          <w:color w:val="auto"/>
          <w:sz w:val="21"/>
          <w:szCs w:val="21"/>
          <w:highlight w:val="none"/>
        </w:rPr>
        <w:t>。未经甲方或具体项目委托人书面同意，乙方不得向任何单位和个人转让和使用本项目成果，否则承担由此产生的一切法律和经济责任。</w:t>
      </w:r>
    </w:p>
    <w:p w14:paraId="621BEC3C">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七、转包或分包</w:t>
      </w:r>
    </w:p>
    <w:p w14:paraId="004AD16A">
      <w:pPr>
        <w:pStyle w:val="27"/>
        <w:snapToGrid w:val="0"/>
        <w:spacing w:line="500" w:lineRule="exact"/>
        <w:ind w:firstLine="420" w:firstLineChars="200"/>
        <w:rPr>
          <w:rFonts w:hint="eastAsia" w:ascii="宋体" w:hAnsi="宋体" w:cs="宋体"/>
          <w:color w:val="auto"/>
          <w:kern w:val="2"/>
          <w:sz w:val="21"/>
          <w:highlight w:val="none"/>
        </w:rPr>
      </w:pPr>
      <w:r>
        <w:rPr>
          <w:rFonts w:hint="eastAsia" w:ascii="宋体" w:hAnsi="宋体" w:cs="宋体"/>
          <w:color w:val="auto"/>
          <w:kern w:val="2"/>
          <w:sz w:val="21"/>
          <w:highlight w:val="none"/>
        </w:rPr>
        <w:t>1.本合同范围的服务，应由乙方直接完成，不得转他人提供；</w:t>
      </w:r>
    </w:p>
    <w:p w14:paraId="3D78C3E2">
      <w:pPr>
        <w:snapToGrid w:val="0"/>
        <w:spacing w:line="498" w:lineRule="exact"/>
        <w:ind w:firstLine="420" w:firstLineChars="200"/>
        <w:rPr>
          <w:rFonts w:hint="eastAsia" w:hAnsi="宋体" w:cs="宋体"/>
          <w:b/>
          <w:bCs/>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.采取分包方式履行合同的，不能将合同的主体和关键部分分包给其他供应商，如有转包或擅自分包行为，甲方有权解除合同，并追究乙方的违约责任。</w:t>
      </w:r>
    </w:p>
    <w:p w14:paraId="51013B24">
      <w:pPr>
        <w:tabs>
          <w:tab w:val="left" w:pos="840"/>
        </w:tabs>
        <w:snapToGrid w:val="0"/>
        <w:spacing w:line="500" w:lineRule="exact"/>
        <w:ind w:firstLine="420"/>
        <w:rPr>
          <w:rFonts w:hint="eastAsia" w:hAnsi="宋体" w:cs="宋体"/>
          <w:b/>
          <w:bCs/>
          <w:color w:val="auto"/>
          <w:sz w:val="21"/>
          <w:szCs w:val="21"/>
          <w:highlight w:val="none"/>
          <w:u w:val="single"/>
        </w:rPr>
      </w:pPr>
      <w:r>
        <w:rPr>
          <w:rFonts w:hint="eastAsia" w:hAnsi="宋体" w:cs="宋体"/>
          <w:b/>
          <w:bCs/>
          <w:color w:val="auto"/>
          <w:sz w:val="21"/>
          <w:szCs w:val="21"/>
          <w:highlight w:val="none"/>
        </w:rPr>
        <w:t>八、甲方、乙方的权利和义务</w:t>
      </w:r>
    </w:p>
    <w:p w14:paraId="5995FE85">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1.根据甲方要求及乙方投标文件中的承诺，对乙方提供的服务及履行本合同情况实行验收考核。</w:t>
      </w:r>
    </w:p>
    <w:p w14:paraId="003A8738">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2.在项目执行期间，乙方应尽职尽责地执行合同所规定的责任和义务，接受甲方有关人员的检查监督。</w:t>
      </w:r>
    </w:p>
    <w:p w14:paraId="2826E266">
      <w:pPr>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3.双方合同生效后，甲方应指定有关人员对乙方的工作进行沟通联系及对乙方的工作进行督促检查。</w:t>
      </w:r>
    </w:p>
    <w:p w14:paraId="6FD65CBF">
      <w:pPr>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4.乙方保证其宣传发布内容不违反现行法律、行政法规的规定，能够、并且在发布前已经通过相关行政机关或发布机构的审查，并能够得到合法发布。</w:t>
      </w:r>
    </w:p>
    <w:p w14:paraId="77FEEE74">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 xml:space="preserve">5.因采购人项目需求或突发事件或重大活动，甲方需调动乙方人员、设备时，乙方应无条件服从安排予以配合。  </w:t>
      </w:r>
    </w:p>
    <w:p w14:paraId="2F929784">
      <w:pPr>
        <w:snapToGrid w:val="0"/>
        <w:spacing w:line="500" w:lineRule="exact"/>
        <w:ind w:firstLine="420"/>
        <w:rPr>
          <w:rFonts w:hint="eastAsia" w:hAnsi="宋体" w:cs="宋体"/>
          <w:b/>
          <w:bCs/>
          <w:color w:val="auto"/>
          <w:sz w:val="21"/>
          <w:szCs w:val="21"/>
          <w:highlight w:val="none"/>
        </w:rPr>
      </w:pPr>
      <w:r>
        <w:rPr>
          <w:rFonts w:hint="eastAsia" w:hAnsi="宋体" w:cs="宋体"/>
          <w:b/>
          <w:bCs/>
          <w:color w:val="auto"/>
          <w:sz w:val="21"/>
          <w:szCs w:val="21"/>
          <w:highlight w:val="none"/>
        </w:rPr>
        <w:t>九、</w:t>
      </w:r>
      <w:bookmarkStart w:id="56" w:name="_Toc13543221"/>
      <w:r>
        <w:rPr>
          <w:rFonts w:hint="eastAsia" w:hAnsi="宋体" w:cs="宋体"/>
          <w:b/>
          <w:bCs/>
          <w:color w:val="auto"/>
          <w:sz w:val="21"/>
          <w:szCs w:val="21"/>
          <w:highlight w:val="none"/>
        </w:rPr>
        <w:t>合同的解除和转让</w:t>
      </w:r>
      <w:bookmarkEnd w:id="56"/>
    </w:p>
    <w:p w14:paraId="4D4EFFD7">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 xml:space="preserve"> 1.合同的解除</w:t>
      </w:r>
    </w:p>
    <w:p w14:paraId="10A3E1AC">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（1）甲方和乙方协商一致，可以解除合同，并报政府采购监管部门审查备案。</w:t>
      </w:r>
    </w:p>
    <w:p w14:paraId="4FB06186">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（2）有下列情形之一，合同一方可以解除合同：</w:t>
      </w:r>
    </w:p>
    <w:p w14:paraId="4E4FD3E3">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 xml:space="preserve"> ① 因不可抗力致使不能实现合同目的，未受不可抗力影响的一方有权解除合同；</w:t>
      </w:r>
    </w:p>
    <w:p w14:paraId="725418A3">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 xml:space="preserve"> ② 因合同一方违约导致合同不能履行，另一方有权解除合同。</w:t>
      </w:r>
    </w:p>
    <w:p w14:paraId="164FCB18">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 xml:space="preserve"> ③ 有权解除合同的一方，应当在违约事实或不可抗力发生之后三十天内书面通知对方以主张解除合同，合同在书面通知到达对方时解除。</w:t>
      </w:r>
    </w:p>
    <w:p w14:paraId="1E431DB3">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2.合同的转让</w:t>
      </w:r>
    </w:p>
    <w:p w14:paraId="58663C68">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合同的部分和全部都不得转让。</w:t>
      </w:r>
    </w:p>
    <w:p w14:paraId="35C99DAC">
      <w:pPr>
        <w:snapToGrid w:val="0"/>
        <w:spacing w:line="500" w:lineRule="exact"/>
        <w:ind w:firstLine="420"/>
        <w:rPr>
          <w:rFonts w:hint="eastAsia" w:hAnsi="宋体" w:cs="宋体"/>
          <w:b/>
          <w:bCs/>
          <w:color w:val="auto"/>
          <w:sz w:val="21"/>
          <w:szCs w:val="21"/>
          <w:highlight w:val="none"/>
        </w:rPr>
      </w:pPr>
      <w:r>
        <w:rPr>
          <w:rFonts w:hint="eastAsia" w:hAnsi="宋体" w:cs="宋体"/>
          <w:b/>
          <w:bCs/>
          <w:color w:val="auto"/>
          <w:sz w:val="21"/>
          <w:szCs w:val="21"/>
          <w:highlight w:val="none"/>
        </w:rPr>
        <w:t>十、违约责任：</w:t>
      </w:r>
    </w:p>
    <w:p w14:paraId="3F572F13">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1.违反本合同约定，造成本合同不能履行或不能完全履行，由违约方承担违约责任，违约方应按合同法赔偿对方经济损失。</w:t>
      </w:r>
    </w:p>
    <w:p w14:paraId="6D69DC39">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2.乙方承诺在合同履行期间满足甲方所提出的相关服务需求。如乙方未能做到上述承诺或完成工作的质量经考核未达标的，甲方可按约定的考核处罚规则酌情扣减服务费价款。</w:t>
      </w:r>
    </w:p>
    <w:p w14:paraId="5776014E">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3.乙方的工作与服务完全达不到本项目要求的，乙方应负责根据合同及甲方的要求采取相应的处理措施，并承担由此发生的一切损失和费用；造成甲方工作延误和其他损失的，乙方需负相应的赔偿责任。</w:t>
      </w:r>
    </w:p>
    <w:p w14:paraId="5E1E2991">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4.乙方逾期交付完工的，乙方因逾期完工或因其他违约行为导致甲方解除合同的，乙方应向甲方支付合同总值20%的违约金，如造成甲方损失超过违约金的，超出部分由乙方继续承担赔偿责任。</w:t>
      </w:r>
    </w:p>
    <w:p w14:paraId="0D9FB90B">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5.乙方承诺在承揽业务过程中将严格按照与各委托人约定的工期进行受托项目的</w:t>
      </w:r>
      <w:r>
        <w:rPr>
          <w:rFonts w:hint="eastAsia" w:hAnsi="宋体" w:cs="宋体"/>
          <w:color w:val="auto"/>
          <w:sz w:val="21"/>
          <w:szCs w:val="21"/>
          <w:highlight w:val="none"/>
          <w:lang w:val="en-US" w:eastAsia="zh-CN"/>
        </w:rPr>
        <w:t>工作</w:t>
      </w:r>
      <w:r>
        <w:rPr>
          <w:rFonts w:hint="eastAsia" w:hAnsi="宋体" w:cs="宋体"/>
          <w:color w:val="auto"/>
          <w:sz w:val="21"/>
          <w:szCs w:val="21"/>
          <w:highlight w:val="none"/>
        </w:rPr>
        <w:t>，保证不延误工期。乙方逾期完工的，乙方应按逾期合同每日千分之六向甲方支付违约金，由甲方从待付合同价款中扣除。逾期超过约定日期20个工作日不能完工的，甲方可解除本合同。乙方因逾期完工或因其他违约行为导致甲方解除合同的，乙方应向甲方支付合同总值20%的违约金，如造成甲方损失超过违约金的，超出部分由乙方继续承担赔偿责任。</w:t>
      </w:r>
    </w:p>
    <w:p w14:paraId="1022E7F5">
      <w:pPr>
        <w:snapToGrid w:val="0"/>
        <w:spacing w:line="500" w:lineRule="exact"/>
        <w:ind w:firstLine="420"/>
        <w:rPr>
          <w:rFonts w:hint="eastAsia" w:hAnsi="宋体" w:cs="宋体"/>
          <w:b/>
          <w:bCs/>
          <w:color w:val="auto"/>
          <w:sz w:val="21"/>
          <w:szCs w:val="21"/>
          <w:highlight w:val="none"/>
        </w:rPr>
      </w:pPr>
      <w:r>
        <w:rPr>
          <w:rFonts w:hint="eastAsia" w:hAnsi="宋体" w:cs="宋体"/>
          <w:b/>
          <w:bCs/>
          <w:color w:val="auto"/>
          <w:sz w:val="21"/>
          <w:szCs w:val="21"/>
          <w:highlight w:val="none"/>
        </w:rPr>
        <w:t>十一、不可抗力事件处理</w:t>
      </w:r>
    </w:p>
    <w:p w14:paraId="3D60418F">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不可抗力，是指本合同双方不能合理控制、不可预见或即使预见亦无法避免的事件，该事件妨碍、影响或延误任何一方根据本合同履行其全部或部分义务。该事件包括但不限于：自然原因，例如：地震、火灾、严重的传染性疾病等；国家机关政府行为之原因，例如：法律、政策、行政指令。</w:t>
      </w:r>
    </w:p>
    <w:p w14:paraId="766812D9">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2.遭受不可抗力事件的一方可暂时中止履行本合同项下的义务直至不可抗力事件的影响消除为止，并且无需为此而承担违约责任；但应尽最大努力克服该事件，减轻其负面影响。</w:t>
      </w:r>
    </w:p>
    <w:p w14:paraId="502A7B5F">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 xml:space="preserve">3.在本合同履行中，一旦本合同一方或双方遭受不可抗力，则不可抗力发生方须在尽可能短的时间内通知对方。如果不可抗力的发生，不会造成不可抗力发生方对本合同的根本违约，则另一方应该在履约时间上给予对方适当的宽限。如果不可抗力的发生，造成了不可抗力发生方无法履行本合同，则本合同终止。 </w:t>
      </w:r>
    </w:p>
    <w:p w14:paraId="130419AA">
      <w:pPr>
        <w:snapToGrid w:val="0"/>
        <w:spacing w:line="500" w:lineRule="exact"/>
        <w:ind w:firstLine="420"/>
        <w:rPr>
          <w:rFonts w:hint="eastAsia" w:hAnsi="宋体" w:cs="宋体"/>
          <w:b/>
          <w:color w:val="auto"/>
          <w:sz w:val="21"/>
          <w:szCs w:val="21"/>
          <w:highlight w:val="none"/>
        </w:rPr>
      </w:pPr>
      <w:r>
        <w:rPr>
          <w:rFonts w:hint="eastAsia" w:hAnsi="宋体" w:cs="宋体"/>
          <w:b/>
          <w:color w:val="auto"/>
          <w:sz w:val="21"/>
          <w:szCs w:val="21"/>
          <w:highlight w:val="none"/>
        </w:rPr>
        <w:t>十二、合同的修改与终止</w:t>
      </w:r>
    </w:p>
    <w:p w14:paraId="2A6258E3">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1.经甲、乙双方一致同意后可修改本合同。</w:t>
      </w:r>
    </w:p>
    <w:p w14:paraId="1419FE21">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2.任何一方如因发生不可抗拒事件而丧失履行合同能力，本合同可自行终止。</w:t>
      </w:r>
    </w:p>
    <w:p w14:paraId="52596F6D">
      <w:pPr>
        <w:snapToGrid w:val="0"/>
        <w:spacing w:line="500" w:lineRule="exact"/>
        <w:ind w:firstLine="420"/>
        <w:rPr>
          <w:rFonts w:hint="eastAsia" w:hAnsi="宋体" w:cs="宋体"/>
          <w:bCs/>
          <w:color w:val="auto"/>
          <w:sz w:val="21"/>
          <w:szCs w:val="21"/>
          <w:highlight w:val="none"/>
        </w:rPr>
      </w:pPr>
      <w:r>
        <w:rPr>
          <w:rFonts w:hint="eastAsia" w:hAnsi="宋体" w:cs="宋体"/>
          <w:color w:val="auto"/>
          <w:sz w:val="21"/>
          <w:szCs w:val="21"/>
          <w:highlight w:val="none"/>
        </w:rPr>
        <w:t>3.在乙方收到</w:t>
      </w:r>
      <w:r>
        <w:rPr>
          <w:rFonts w:hint="eastAsia" w:hAnsi="宋体" w:cs="宋体"/>
          <w:bCs/>
          <w:color w:val="auto"/>
          <w:sz w:val="21"/>
          <w:szCs w:val="21"/>
          <w:highlight w:val="none"/>
        </w:rPr>
        <w:t>甲方发出的书面违约通知后15天内（或经甲方书面确认的更长时间内）仍未纠正其违约行为的，甲方有权单方面终止全部或部分合同，所发生的费用及损失由乙方负责。</w:t>
      </w:r>
    </w:p>
    <w:p w14:paraId="11F17717">
      <w:pPr>
        <w:snapToGrid w:val="0"/>
        <w:spacing w:line="500" w:lineRule="exact"/>
        <w:ind w:firstLine="420"/>
        <w:rPr>
          <w:rFonts w:hint="eastAsia" w:hAnsi="宋体" w:cs="宋体"/>
          <w:bCs/>
          <w:color w:val="auto"/>
          <w:sz w:val="21"/>
          <w:szCs w:val="21"/>
          <w:highlight w:val="none"/>
        </w:rPr>
      </w:pPr>
      <w:r>
        <w:rPr>
          <w:rFonts w:hint="eastAsia" w:hAnsi="宋体" w:cs="宋体"/>
          <w:bCs/>
          <w:color w:val="auto"/>
          <w:sz w:val="21"/>
          <w:szCs w:val="21"/>
          <w:highlight w:val="none"/>
        </w:rPr>
        <w:t>4.当乙方破产或无清偿能力时，甲方有权单方面终止合同，该终止合同不损害或影响甲方已采取或将采取补救措施的任何权利。</w:t>
      </w:r>
    </w:p>
    <w:p w14:paraId="7E528009">
      <w:pPr>
        <w:snapToGrid w:val="0"/>
        <w:spacing w:line="500" w:lineRule="exact"/>
        <w:ind w:firstLine="420"/>
        <w:rPr>
          <w:rFonts w:hint="eastAsia" w:hAnsi="宋体" w:cs="宋体"/>
          <w:b/>
          <w:color w:val="auto"/>
          <w:sz w:val="21"/>
          <w:szCs w:val="21"/>
          <w:highlight w:val="none"/>
        </w:rPr>
      </w:pPr>
      <w:r>
        <w:rPr>
          <w:rFonts w:hint="eastAsia" w:hAnsi="宋体" w:cs="宋体"/>
          <w:b/>
          <w:color w:val="auto"/>
          <w:sz w:val="21"/>
          <w:szCs w:val="21"/>
          <w:highlight w:val="none"/>
        </w:rPr>
        <w:t>十三、争议及解决</w:t>
      </w:r>
    </w:p>
    <w:p w14:paraId="730C0926">
      <w:pPr>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如双方在履行合同时发生纠纷，应协商解决。协商不成的，双方约定向甲方所在地人民法院提起诉讼。</w:t>
      </w:r>
    </w:p>
    <w:p w14:paraId="427A39FB">
      <w:pPr>
        <w:snapToGrid w:val="0"/>
        <w:spacing w:line="500" w:lineRule="exact"/>
        <w:ind w:firstLine="420"/>
        <w:rPr>
          <w:rFonts w:hint="eastAsia" w:hAnsi="宋体" w:cs="宋体"/>
          <w:b/>
          <w:color w:val="auto"/>
          <w:sz w:val="21"/>
          <w:szCs w:val="21"/>
          <w:highlight w:val="none"/>
        </w:rPr>
      </w:pPr>
      <w:r>
        <w:rPr>
          <w:rFonts w:hint="eastAsia" w:hAnsi="宋体" w:cs="宋体"/>
          <w:b/>
          <w:color w:val="auto"/>
          <w:sz w:val="21"/>
          <w:szCs w:val="21"/>
          <w:highlight w:val="none"/>
        </w:rPr>
        <w:t>十四、合同生效及其他</w:t>
      </w:r>
    </w:p>
    <w:p w14:paraId="7A42AB8E">
      <w:pPr>
        <w:tabs>
          <w:tab w:val="left" w:pos="0"/>
        </w:tabs>
        <w:snapToGrid w:val="0"/>
        <w:spacing w:line="500" w:lineRule="exact"/>
        <w:ind w:firstLine="420"/>
        <w:rPr>
          <w:rFonts w:hint="eastAsia" w:hAnsi="宋体" w:cs="宋体"/>
          <w:bCs/>
          <w:color w:val="auto"/>
          <w:sz w:val="21"/>
          <w:szCs w:val="21"/>
          <w:highlight w:val="none"/>
        </w:rPr>
      </w:pPr>
      <w:r>
        <w:rPr>
          <w:rFonts w:hint="eastAsia" w:hAnsi="宋体" w:cs="宋体"/>
          <w:bCs/>
          <w:color w:val="auto"/>
          <w:sz w:val="21"/>
          <w:szCs w:val="21"/>
          <w:highlight w:val="none"/>
        </w:rPr>
        <w:t>1.合同经双方法定代表人或授权委托代理人签字并加盖单位公章，经政府采购管理办公室备案后生效。</w:t>
      </w:r>
    </w:p>
    <w:p w14:paraId="199F6B6A">
      <w:pPr>
        <w:tabs>
          <w:tab w:val="left" w:pos="0"/>
        </w:tabs>
        <w:snapToGrid w:val="0"/>
        <w:spacing w:line="500" w:lineRule="exact"/>
        <w:ind w:firstLine="420"/>
        <w:rPr>
          <w:rFonts w:hint="eastAsia" w:hAnsi="宋体" w:cs="宋体"/>
          <w:bCs/>
          <w:color w:val="auto"/>
          <w:sz w:val="21"/>
          <w:szCs w:val="21"/>
          <w:highlight w:val="none"/>
        </w:rPr>
      </w:pPr>
      <w:r>
        <w:rPr>
          <w:rFonts w:hint="eastAsia" w:hAnsi="宋体" w:cs="宋体"/>
          <w:bCs/>
          <w:color w:val="auto"/>
          <w:sz w:val="21"/>
          <w:szCs w:val="21"/>
          <w:highlight w:val="none"/>
        </w:rPr>
        <w:t>2.合同执行中涉及采购资金和采购内容修改或补充的，签书面补充协议方可作为主合同不可分割的一部分。</w:t>
      </w:r>
    </w:p>
    <w:p w14:paraId="7A1C6C14">
      <w:pPr>
        <w:tabs>
          <w:tab w:val="left" w:pos="0"/>
        </w:tabs>
        <w:snapToGrid w:val="0"/>
        <w:spacing w:line="500" w:lineRule="exact"/>
        <w:ind w:firstLine="420"/>
        <w:rPr>
          <w:rFonts w:hint="eastAsia" w:hAnsi="宋体" w:cs="宋体"/>
          <w:bCs/>
          <w:color w:val="auto"/>
          <w:sz w:val="21"/>
          <w:szCs w:val="21"/>
          <w:highlight w:val="none"/>
        </w:rPr>
      </w:pPr>
      <w:r>
        <w:rPr>
          <w:rFonts w:hint="eastAsia" w:hAnsi="宋体" w:cs="宋体"/>
          <w:bCs/>
          <w:color w:val="auto"/>
          <w:sz w:val="21"/>
          <w:szCs w:val="21"/>
          <w:highlight w:val="none"/>
        </w:rPr>
        <w:t>3.本合同未尽事宜，遵照《</w:t>
      </w:r>
      <w:r>
        <w:rPr>
          <w:rFonts w:hint="eastAsia" w:hAnsi="宋体" w:cs="宋体"/>
          <w:color w:val="auto"/>
          <w:sz w:val="21"/>
          <w:szCs w:val="21"/>
          <w:highlight w:val="none"/>
        </w:rPr>
        <w:t>中华人民共和国民法典</w:t>
      </w:r>
      <w:r>
        <w:rPr>
          <w:rFonts w:hint="eastAsia" w:hAnsi="宋体" w:cs="宋体"/>
          <w:bCs/>
          <w:color w:val="auto"/>
          <w:sz w:val="21"/>
          <w:szCs w:val="21"/>
          <w:highlight w:val="none"/>
        </w:rPr>
        <w:t>》有关条文执行。</w:t>
      </w:r>
    </w:p>
    <w:p w14:paraId="017F2534">
      <w:pPr>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4.本合同一式六份，甲、乙双方各执二份，</w:t>
      </w:r>
      <w:r>
        <w:rPr>
          <w:rFonts w:hint="eastAsia" w:hAnsi="宋体" w:cs="宋体"/>
          <w:color w:val="auto"/>
          <w:sz w:val="21"/>
          <w:szCs w:val="21"/>
          <w:highlight w:val="none"/>
        </w:rPr>
        <w:t>代理机构留存二份。具有同等法律效力。</w:t>
      </w:r>
    </w:p>
    <w:bookmarkEnd w:id="47"/>
    <w:p w14:paraId="33AF3D77">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甲方（盖章）：                                     乙方（盖章）：</w:t>
      </w:r>
    </w:p>
    <w:p w14:paraId="7E332306">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法定代表人：                                       法定代表人：</w:t>
      </w:r>
    </w:p>
    <w:p w14:paraId="405042BB">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/授权委托人：                                      /授权委托人</w:t>
      </w:r>
    </w:p>
    <w:p w14:paraId="16C8AA5E">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地址：                                             地址：</w:t>
      </w:r>
    </w:p>
    <w:p w14:paraId="0C0BDE37">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邮编：                                             邮编：</w:t>
      </w:r>
    </w:p>
    <w:p w14:paraId="522AB073">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电话：                                             电话：</w:t>
      </w:r>
    </w:p>
    <w:p w14:paraId="1A8B2C31">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开户银行：                                         开户银行：</w:t>
      </w:r>
    </w:p>
    <w:p w14:paraId="25AF34B1">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账号：                                             账号</w:t>
      </w:r>
    </w:p>
    <w:p w14:paraId="4AE52B10">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签订日期：      年     月     日</w:t>
      </w:r>
    </w:p>
    <w:p w14:paraId="04EF6183">
      <w:pPr>
        <w:snapToGrid w:val="0"/>
        <w:spacing w:line="500" w:lineRule="exact"/>
        <w:ind w:firstLine="420" w:firstLineChars="200"/>
        <w:rPr>
          <w:rFonts w:hint="eastAsia" w:hAnsi="宋体" w:cs="宋体"/>
          <w:color w:val="auto"/>
          <w:highlight w:val="none"/>
        </w:rPr>
      </w:pPr>
      <w:r>
        <w:rPr>
          <w:rFonts w:hint="eastAsia" w:hAnsi="宋体" w:cs="宋体"/>
          <w:color w:val="auto"/>
          <w:sz w:val="21"/>
          <w:szCs w:val="21"/>
          <w:highlight w:val="none"/>
        </w:rPr>
        <w:t>采购代理机构意见:</w:t>
      </w:r>
    </w:p>
    <w:p w14:paraId="7BC799E5">
      <w:pPr>
        <w:pStyle w:val="27"/>
        <w:snapToGrid w:val="0"/>
        <w:spacing w:before="295" w:after="295"/>
        <w:rPr>
          <w:rFonts w:hint="eastAsia" w:ascii="宋体" w:hAnsi="宋体" w:cs="宋体"/>
          <w:color w:val="auto"/>
          <w:kern w:val="2"/>
          <w:sz w:val="24"/>
          <w:highlight w:val="none"/>
        </w:rPr>
      </w:pPr>
      <w:r>
        <w:rPr>
          <w:rFonts w:hint="eastAsia" w:ascii="宋体" w:hAnsi="宋体" w:cs="宋体"/>
          <w:b/>
          <w:color w:val="auto"/>
          <w:sz w:val="21"/>
          <w:highlight w:val="none"/>
        </w:rPr>
        <w:t>注：此合同样本仅作参考，采购人、投标人可根据采购项目的实际情况进行修改。</w:t>
      </w:r>
      <w:bookmarkEnd w:id="46"/>
      <w:bookmarkStart w:id="57" w:name="_Toc351559946"/>
    </w:p>
    <w:p w14:paraId="2A1041EA">
      <w:pPr>
        <w:pStyle w:val="21"/>
        <w:ind w:firstLine="240"/>
        <w:rPr>
          <w:rFonts w:hint="eastAsia" w:ascii="宋体" w:hAnsi="宋体" w:cs="宋体"/>
          <w:color w:val="auto"/>
          <w:kern w:val="2"/>
          <w:sz w:val="24"/>
          <w:highlight w:val="none"/>
        </w:rPr>
      </w:pPr>
    </w:p>
    <w:p w14:paraId="4C365DDC">
      <w:pPr>
        <w:pStyle w:val="2"/>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color w:val="auto"/>
          <w:sz w:val="30"/>
          <w:szCs w:val="30"/>
          <w:highlight w:val="none"/>
        </w:rPr>
        <w:t>第六章　投标文件格式</w:t>
      </w:r>
    </w:p>
    <w:p w14:paraId="2CAFE6BB">
      <w:pPr>
        <w:snapToGrid w:val="0"/>
        <w:spacing w:before="317" w:beforeLines="50" w:after="50"/>
        <w:jc w:val="center"/>
        <w:rPr>
          <w:rFonts w:hint="eastAsia" w:hAnsi="宋体" w:cs="宋体"/>
          <w:color w:val="auto"/>
          <w:sz w:val="24"/>
          <w:highlight w:val="none"/>
        </w:rPr>
      </w:pPr>
      <w:bookmarkStart w:id="58" w:name="_Toc351559947"/>
      <w:r>
        <w:rPr>
          <w:rFonts w:hint="eastAsia" w:hAnsi="宋体" w:cs="宋体"/>
          <w:color w:val="auto"/>
          <w:sz w:val="24"/>
          <w:highlight w:val="none"/>
        </w:rPr>
        <w:t>一、投标文件格式</w:t>
      </w:r>
      <w:bookmarkEnd w:id="58"/>
    </w:p>
    <w:p w14:paraId="68526AA3">
      <w:pPr>
        <w:snapToGrid w:val="0"/>
        <w:spacing w:before="317" w:beforeLines="50" w:after="50"/>
        <w:ind w:firstLine="600" w:firstLineChars="250"/>
        <w:rPr>
          <w:rFonts w:hint="eastAsia" w:hAnsi="宋体" w:cs="宋体"/>
          <w:color w:val="auto"/>
          <w:sz w:val="24"/>
          <w:highlight w:val="none"/>
        </w:rPr>
      </w:pPr>
    </w:p>
    <w:p w14:paraId="59C523E3">
      <w:pPr>
        <w:snapToGrid w:val="0"/>
        <w:spacing w:before="317" w:beforeLines="50" w:after="50"/>
        <w:jc w:val="center"/>
        <w:rPr>
          <w:rFonts w:hint="eastAsia" w:hAnsi="宋体" w:cs="宋体"/>
          <w:b/>
          <w:color w:val="auto"/>
          <w:sz w:val="24"/>
          <w:szCs w:val="24"/>
          <w:highlight w:val="none"/>
        </w:rPr>
      </w:pPr>
      <w:r>
        <w:rPr>
          <w:rFonts w:hint="eastAsia" w:hAnsi="宋体" w:cs="宋体"/>
          <w:b/>
          <w:color w:val="auto"/>
          <w:sz w:val="24"/>
          <w:szCs w:val="24"/>
          <w:highlight w:val="none"/>
        </w:rPr>
        <w:t>投标文件</w:t>
      </w:r>
    </w:p>
    <w:p w14:paraId="5F4BECA3">
      <w:pPr>
        <w:snapToGrid w:val="0"/>
        <w:spacing w:before="317" w:beforeLines="50" w:after="50"/>
        <w:rPr>
          <w:rFonts w:hint="eastAsia" w:hAnsi="宋体" w:cs="宋体"/>
          <w:color w:val="auto"/>
          <w:sz w:val="24"/>
          <w:szCs w:val="24"/>
          <w:highlight w:val="none"/>
        </w:rPr>
      </w:pPr>
    </w:p>
    <w:p w14:paraId="60D1DD8C">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项目名称： </w:t>
      </w:r>
    </w:p>
    <w:p w14:paraId="3A52D8EA">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项目编号：</w:t>
      </w:r>
    </w:p>
    <w:p w14:paraId="121B61B0">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投标文件名称：资格文件、商务技术文件、报价文件</w:t>
      </w:r>
    </w:p>
    <w:p w14:paraId="215B92C0">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投标人名称：</w:t>
      </w:r>
    </w:p>
    <w:p w14:paraId="4B469B3D">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投标人地址：</w:t>
      </w:r>
    </w:p>
    <w:p w14:paraId="04C73E4F">
      <w:pPr>
        <w:snapToGrid w:val="0"/>
        <w:spacing w:before="317" w:beforeLines="50" w:after="50"/>
        <w:ind w:firstLine="4080" w:firstLineChars="1700"/>
        <w:rPr>
          <w:rFonts w:hint="eastAsia" w:hAnsi="宋体" w:cs="宋体"/>
          <w:color w:val="auto"/>
          <w:sz w:val="24"/>
          <w:szCs w:val="24"/>
          <w:highlight w:val="none"/>
        </w:rPr>
      </w:pPr>
    </w:p>
    <w:p w14:paraId="6A10BE90">
      <w:pPr>
        <w:snapToGrid w:val="0"/>
        <w:spacing w:before="317" w:beforeLines="50" w:after="50"/>
        <w:ind w:firstLine="645"/>
        <w:jc w:val="center"/>
        <w:rPr>
          <w:rFonts w:hint="eastAsia" w:hAnsi="宋体" w:cs="宋体"/>
          <w:color w:val="auto"/>
          <w:sz w:val="24"/>
          <w:szCs w:val="24"/>
          <w:highlight w:val="none"/>
        </w:rPr>
      </w:pPr>
      <w:r>
        <w:rPr>
          <w:rFonts w:hint="eastAsia" w:hAnsi="宋体" w:cs="宋体"/>
          <w:color w:val="auto"/>
          <w:sz w:val="24"/>
          <w:szCs w:val="24"/>
          <w:highlight w:val="none"/>
        </w:rPr>
        <w:t>年 月 日</w:t>
      </w:r>
    </w:p>
    <w:p w14:paraId="4D1FD5DB">
      <w:pPr>
        <w:widowControl/>
        <w:snapToGrid w:val="0"/>
        <w:spacing w:before="120" w:after="50"/>
        <w:rPr>
          <w:rFonts w:hint="eastAsia" w:hAnsi="宋体" w:cs="宋体"/>
          <w:b/>
          <w:color w:val="auto"/>
          <w:sz w:val="21"/>
          <w:highlight w:val="none"/>
        </w:rPr>
      </w:pPr>
      <w:r>
        <w:rPr>
          <w:rFonts w:hint="eastAsia" w:hAnsi="宋体" w:cs="宋体"/>
          <w:color w:val="auto"/>
          <w:sz w:val="21"/>
          <w:szCs w:val="21"/>
          <w:highlight w:val="none"/>
        </w:rPr>
        <w:br w:type="page"/>
      </w:r>
      <w:r>
        <w:rPr>
          <w:rFonts w:hint="eastAsia" w:hAnsi="宋体" w:cs="宋体"/>
          <w:b/>
          <w:color w:val="auto"/>
          <w:sz w:val="24"/>
          <w:highlight w:val="none"/>
        </w:rPr>
        <w:t>（一）资格文件</w:t>
      </w:r>
    </w:p>
    <w:p w14:paraId="5238E457">
      <w:pPr>
        <w:autoSpaceDE/>
        <w:autoSpaceDN/>
        <w:adjustRightInd/>
        <w:spacing w:line="460" w:lineRule="exact"/>
        <w:ind w:firstLine="482" w:firstLineChars="200"/>
        <w:jc w:val="both"/>
        <w:rPr>
          <w:rFonts w:hint="eastAsia" w:hAnsi="宋体" w:cs="宋体"/>
          <w:color w:val="auto"/>
          <w:sz w:val="21"/>
          <w:szCs w:val="21"/>
          <w:highlight w:val="none"/>
        </w:rPr>
      </w:pPr>
      <w:r>
        <w:rPr>
          <w:rFonts w:hint="eastAsia" w:hAnsi="宋体" w:cs="宋体"/>
          <w:b/>
          <w:color w:val="auto"/>
          <w:sz w:val="24"/>
          <w:highlight w:val="none"/>
        </w:rPr>
        <w:t xml:space="preserve"> 资格文件目录</w:t>
      </w:r>
    </w:p>
    <w:p w14:paraId="1CE3A392">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（1）投标人（包括投标联合体各方）有效期内的营业执照副本（复印件加盖有效公章）；</w:t>
      </w:r>
    </w:p>
    <w:p w14:paraId="563F5B5F">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（2）投标人（包括投标联合体各方）符合参加政府采购活动应当具备的一般条件的承诺函（格式见附件）。</w:t>
      </w:r>
    </w:p>
    <w:p w14:paraId="3CF9A0C8">
      <w:pPr>
        <w:widowControl/>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（3）本项目的特定资格要求；（格式见附件）</w:t>
      </w:r>
    </w:p>
    <w:p w14:paraId="0357872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（4）联合协议（联合体投标时须提供，格式见附件）。</w:t>
      </w:r>
    </w:p>
    <w:p w14:paraId="4803C40A">
      <w:pPr>
        <w:snapToGrid w:val="0"/>
        <w:spacing w:line="500" w:lineRule="exact"/>
        <w:ind w:firstLine="420" w:firstLineChars="200"/>
        <w:rPr>
          <w:rFonts w:hint="eastAsia" w:hAnsi="宋体" w:cs="宋体"/>
          <w:color w:val="auto"/>
          <w:sz w:val="21"/>
          <w:szCs w:val="21"/>
          <w:highlight w:val="none"/>
        </w:rPr>
      </w:pPr>
    </w:p>
    <w:p w14:paraId="36F8B861">
      <w:pPr>
        <w:snapToGrid w:val="0"/>
        <w:spacing w:line="460" w:lineRule="exact"/>
        <w:jc w:val="both"/>
        <w:rPr>
          <w:rFonts w:hint="eastAsia" w:hAnsi="宋体" w:cs="宋体"/>
          <w:b/>
          <w:color w:val="auto"/>
          <w:sz w:val="24"/>
          <w:highlight w:val="none"/>
        </w:rPr>
      </w:pPr>
      <w:r>
        <w:rPr>
          <w:rFonts w:hint="eastAsia" w:hAnsi="宋体" w:cs="宋体"/>
          <w:color w:val="auto"/>
          <w:sz w:val="24"/>
          <w:szCs w:val="24"/>
          <w:highlight w:val="none"/>
        </w:rPr>
        <w:br w:type="page"/>
      </w:r>
      <w:r>
        <w:rPr>
          <w:rFonts w:hint="eastAsia" w:hAnsi="宋体" w:cs="宋体"/>
          <w:b/>
          <w:color w:val="auto"/>
          <w:sz w:val="24"/>
          <w:szCs w:val="24"/>
          <w:highlight w:val="none"/>
        </w:rPr>
        <w:t>1.投标人</w:t>
      </w:r>
      <w:r>
        <w:rPr>
          <w:rFonts w:hint="eastAsia" w:hAnsi="宋体" w:cs="宋体"/>
          <w:b/>
          <w:bCs/>
          <w:color w:val="auto"/>
          <w:sz w:val="24"/>
          <w:szCs w:val="24"/>
          <w:highlight w:val="none"/>
        </w:rPr>
        <w:t>（包括投标联合体各方）</w:t>
      </w:r>
      <w:r>
        <w:rPr>
          <w:rFonts w:hint="eastAsia" w:hAnsi="宋体" w:cs="宋体"/>
          <w:b/>
          <w:color w:val="auto"/>
          <w:sz w:val="24"/>
          <w:szCs w:val="24"/>
          <w:highlight w:val="none"/>
        </w:rPr>
        <w:t>有效期内的营业执照副本（复印件加盖有效公章）；</w:t>
      </w:r>
    </w:p>
    <w:p w14:paraId="4E8EDE59">
      <w:pPr>
        <w:snapToGrid w:val="0"/>
        <w:spacing w:line="460" w:lineRule="exact"/>
        <w:jc w:val="both"/>
        <w:rPr>
          <w:rFonts w:hint="eastAsia" w:hAnsi="宋体" w:cs="宋体"/>
          <w:b/>
          <w:color w:val="auto"/>
          <w:sz w:val="24"/>
          <w:szCs w:val="24"/>
          <w:highlight w:val="none"/>
        </w:rPr>
      </w:pPr>
    </w:p>
    <w:p w14:paraId="789B7212">
      <w:pPr>
        <w:snapToGrid w:val="0"/>
        <w:spacing w:line="460" w:lineRule="exact"/>
        <w:jc w:val="center"/>
        <w:rPr>
          <w:rFonts w:hint="eastAsia" w:hAnsi="宋体" w:cs="宋体"/>
          <w:b/>
          <w:color w:val="auto"/>
          <w:sz w:val="24"/>
          <w:szCs w:val="24"/>
          <w:highlight w:val="none"/>
        </w:rPr>
      </w:pPr>
      <w:r>
        <w:rPr>
          <w:rFonts w:hint="eastAsia" w:hAnsi="宋体" w:cs="宋体"/>
          <w:b/>
          <w:color w:val="auto"/>
          <w:sz w:val="24"/>
          <w:szCs w:val="24"/>
          <w:highlight w:val="none"/>
        </w:rPr>
        <w:t>2.</w:t>
      </w:r>
      <w:r>
        <w:rPr>
          <w:rFonts w:hint="eastAsia" w:hAnsi="宋体" w:cs="宋体"/>
          <w:b/>
          <w:bCs/>
          <w:color w:val="auto"/>
          <w:sz w:val="24"/>
          <w:szCs w:val="24"/>
          <w:highlight w:val="none"/>
        </w:rPr>
        <w:t>投标人（包括投标联合体各方）</w:t>
      </w:r>
      <w:r>
        <w:rPr>
          <w:rFonts w:hint="eastAsia" w:hAnsi="宋体" w:cs="宋体"/>
          <w:b/>
          <w:color w:val="auto"/>
          <w:sz w:val="24"/>
          <w:szCs w:val="24"/>
          <w:highlight w:val="none"/>
        </w:rPr>
        <w:t>符合参加政府采购活动应当具备的一般条件的承诺函</w:t>
      </w:r>
    </w:p>
    <w:p w14:paraId="133F8B9B">
      <w:pPr>
        <w:snapToGrid w:val="0"/>
        <w:spacing w:line="500" w:lineRule="exact"/>
        <w:rPr>
          <w:rFonts w:hint="eastAsia" w:hAnsi="宋体" w:cs="宋体"/>
          <w:color w:val="auto"/>
          <w:sz w:val="21"/>
          <w:szCs w:val="21"/>
          <w:highlight w:val="none"/>
        </w:rPr>
      </w:pPr>
      <w:r>
        <w:rPr>
          <w:rFonts w:hint="eastAsia" w:hAnsi="宋体" w:cs="宋体"/>
          <w:color w:val="auto"/>
          <w:sz w:val="21"/>
          <w:szCs w:val="21"/>
          <w:highlight w:val="none"/>
        </w:rPr>
        <w:t>（采购人）、（采购代理机构）：</w:t>
      </w:r>
    </w:p>
    <w:p w14:paraId="0D96B71F">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我方</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或本联合体</w:t>
      </w:r>
      <w:r>
        <w:rPr>
          <w:rFonts w:hint="eastAsia" w:hAnsi="宋体" w:cs="宋体"/>
          <w:color w:val="auto"/>
          <w:sz w:val="21"/>
          <w:szCs w:val="21"/>
          <w:highlight w:val="none"/>
          <w:lang w:eastAsia="zh-CN"/>
        </w:rPr>
        <w:t>）</w:t>
      </w:r>
      <w:r>
        <w:rPr>
          <w:rFonts w:hint="eastAsia" w:hAnsi="宋体" w:cs="宋体"/>
          <w:color w:val="auto"/>
          <w:sz w:val="21"/>
          <w:szCs w:val="21"/>
          <w:highlight w:val="none"/>
        </w:rPr>
        <w:t>参与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（项目名称）【招标</w:t>
      </w:r>
      <w:r>
        <w:rPr>
          <w:rFonts w:hint="eastAsia" w:hAnsi="宋体" w:cs="宋体"/>
          <w:color w:val="auto"/>
          <w:sz w:val="21"/>
          <w:szCs w:val="21"/>
          <w:highlight w:val="none"/>
          <w:lang w:val="en-US" w:eastAsia="zh-CN"/>
        </w:rPr>
        <w:t>项目</w:t>
      </w:r>
      <w:r>
        <w:rPr>
          <w:rFonts w:hint="eastAsia" w:hAnsi="宋体" w:cs="宋体"/>
          <w:color w:val="auto"/>
          <w:sz w:val="21"/>
          <w:szCs w:val="21"/>
          <w:highlight w:val="none"/>
        </w:rPr>
        <w:t>编号：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】政府采购活动，郑重承诺：</w:t>
      </w:r>
    </w:p>
    <w:p w14:paraId="1144B146">
      <w:pPr>
        <w:snapToGrid w:val="0"/>
        <w:spacing w:line="500" w:lineRule="exact"/>
        <w:ind w:firstLine="315" w:firstLineChars="150"/>
        <w:rPr>
          <w:rFonts w:hint="eastAsia" w:hAnsi="宋体" w:cs="宋体"/>
          <w:color w:val="auto"/>
          <w:sz w:val="21"/>
          <w:szCs w:val="21"/>
          <w:highlight w:val="none"/>
        </w:rPr>
      </w:pPr>
      <w:r>
        <w:rPr>
          <w:rFonts w:hint="eastAsia" w:hAnsi="宋体" w:cs="宋体"/>
          <w:color w:val="auto"/>
          <w:sz w:val="21"/>
          <w:szCs w:val="21"/>
          <w:highlight w:val="none"/>
        </w:rPr>
        <w:t>（一）具备《中华人民共和国政府采购法》第二十二条第一款规定的条件：</w:t>
      </w:r>
    </w:p>
    <w:p w14:paraId="78697FE2">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1.具有独立承担民事责任的能力；</w:t>
      </w:r>
    </w:p>
    <w:p w14:paraId="71A1FB85">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2.具有良好的商业信誉和健全的财务会计制度； </w:t>
      </w:r>
    </w:p>
    <w:p w14:paraId="6B11DA15">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3.具有履行合同所必需的设备和专业技术能力；</w:t>
      </w:r>
    </w:p>
    <w:p w14:paraId="262CE9B1">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4.有依法缴纳税收和社会保障资金的良好记录；</w:t>
      </w:r>
    </w:p>
    <w:p w14:paraId="43A73688">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5.参加政府采购活动前三年内，在经营活动中没有重大违法记录；</w:t>
      </w:r>
    </w:p>
    <w:p w14:paraId="506F54B1">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6.具有法律、行政法规规定的其他条件。</w:t>
      </w:r>
    </w:p>
    <w:p w14:paraId="29A60CEE">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（二）未被</w:t>
      </w:r>
      <w:r>
        <w:rPr>
          <w:rFonts w:hint="eastAsia" w:hAnsi="宋体" w:cs="宋体"/>
          <w:color w:val="auto"/>
          <w:sz w:val="21"/>
          <w:szCs w:val="21"/>
          <w:highlight w:val="none"/>
          <w:lang w:val="en-US" w:eastAsia="zh-CN"/>
        </w:rPr>
        <w:t>包括但不限于</w:t>
      </w:r>
      <w:r>
        <w:rPr>
          <w:rFonts w:hint="eastAsia" w:hAnsi="宋体" w:cs="宋体"/>
          <w:color w:val="auto"/>
          <w:sz w:val="21"/>
          <w:szCs w:val="21"/>
          <w:highlight w:val="none"/>
        </w:rPr>
        <w:t>信用中国（www.creditchina.gov.cn)、中国政府采购网（www.ccgp.gov.cn）</w:t>
      </w:r>
      <w:r>
        <w:rPr>
          <w:rFonts w:hint="eastAsia" w:hAnsi="宋体" w:cs="宋体"/>
          <w:color w:val="auto"/>
          <w:sz w:val="21"/>
          <w:szCs w:val="21"/>
          <w:highlight w:val="none"/>
          <w:lang w:val="en-US" w:eastAsia="zh-CN"/>
        </w:rPr>
        <w:t>等</w:t>
      </w:r>
      <w:r>
        <w:rPr>
          <w:rFonts w:hint="eastAsia" w:hAnsi="宋体" w:cs="宋体"/>
          <w:color w:val="auto"/>
          <w:sz w:val="21"/>
          <w:szCs w:val="21"/>
          <w:highlight w:val="none"/>
        </w:rPr>
        <w:t>列入失信被执行人、重大税收违法案件当事人名单、政府采购严重违法失信行为记录名单</w:t>
      </w:r>
      <w:r>
        <w:rPr>
          <w:rFonts w:hint="eastAsia" w:hAnsi="宋体" w:cs="宋体"/>
          <w:color w:val="auto"/>
          <w:sz w:val="21"/>
          <w:szCs w:val="21"/>
          <w:highlight w:val="none"/>
          <w:lang w:val="en-US" w:eastAsia="zh-CN"/>
        </w:rPr>
        <w:t>等政府采购黑名单</w:t>
      </w:r>
      <w:r>
        <w:rPr>
          <w:rFonts w:hint="eastAsia" w:hAnsi="宋体" w:cs="宋体"/>
          <w:color w:val="auto"/>
          <w:sz w:val="21"/>
          <w:szCs w:val="21"/>
          <w:highlight w:val="none"/>
        </w:rPr>
        <w:t>。</w:t>
      </w:r>
    </w:p>
    <w:p w14:paraId="2929279D">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（三）不存在以下情况：</w:t>
      </w:r>
    </w:p>
    <w:p w14:paraId="2880E99A">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1.单位负责人为同一人或者存在直接控股、管理关系的不同供应商参加同一合同项下的政府采购活动的；</w:t>
      </w:r>
    </w:p>
    <w:p w14:paraId="4C678D5E">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2.为采购项目提供整体设计、规范编制或者项目管理、监理、检测等服务后再参加该采购项目的其他采购活动的。</w:t>
      </w:r>
    </w:p>
    <w:p w14:paraId="71EB1DA9">
      <w:pPr>
        <w:tabs>
          <w:tab w:val="left" w:pos="1260"/>
        </w:tabs>
        <w:autoSpaceDE/>
        <w:autoSpaceDN/>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（四）我单位不属于公益一类事业单位，并已知悉“公益一类事业单位不属于政府购买服务的承接主体，不得参与承接政府购买服务”。</w:t>
      </w:r>
    </w:p>
    <w:p w14:paraId="3E201C05">
      <w:pPr>
        <w:snapToGrid w:val="0"/>
        <w:spacing w:line="500" w:lineRule="exact"/>
        <w:ind w:firstLine="1680" w:firstLineChars="800"/>
        <w:rPr>
          <w:rFonts w:hint="eastAsia" w:hAnsi="宋体" w:cs="宋体"/>
          <w:color w:val="auto"/>
          <w:sz w:val="21"/>
          <w:szCs w:val="21"/>
          <w:highlight w:val="none"/>
        </w:rPr>
      </w:pPr>
    </w:p>
    <w:p w14:paraId="419C1270">
      <w:pPr>
        <w:snapToGrid w:val="0"/>
        <w:spacing w:line="500" w:lineRule="exact"/>
        <w:ind w:firstLine="5040" w:firstLineChars="2400"/>
        <w:rPr>
          <w:rFonts w:hint="eastAsia" w:hAnsi="宋体" w:cs="宋体"/>
          <w:color w:val="auto"/>
          <w:sz w:val="21"/>
          <w:szCs w:val="21"/>
          <w:highlight w:val="none"/>
        </w:rPr>
      </w:pPr>
      <w:r>
        <w:rPr>
          <w:rFonts w:hint="eastAsia" w:hAnsi="宋体" w:cs="宋体"/>
          <w:color w:val="auto"/>
          <w:sz w:val="21"/>
          <w:szCs w:val="21"/>
          <w:highlight w:val="none"/>
        </w:rPr>
        <w:t>投标人全称（加盖公章）：</w:t>
      </w:r>
    </w:p>
    <w:p w14:paraId="0588B983">
      <w:pPr>
        <w:snapToGrid w:val="0"/>
        <w:spacing w:line="500" w:lineRule="exact"/>
        <w:ind w:firstLine="5460" w:firstLineChars="2600"/>
        <w:rPr>
          <w:rFonts w:hint="eastAsia" w:hAnsi="宋体" w:cs="宋体"/>
          <w:color w:val="auto"/>
          <w:sz w:val="21"/>
          <w:szCs w:val="21"/>
          <w:highlight w:val="none"/>
        </w:rPr>
      </w:pPr>
      <w:r>
        <w:rPr>
          <w:rFonts w:hint="eastAsia" w:hAnsi="宋体" w:cs="宋体"/>
          <w:color w:val="auto"/>
          <w:sz w:val="21"/>
          <w:szCs w:val="21"/>
          <w:highlight w:val="none"/>
          <w:lang w:val="zh-CN"/>
        </w:rPr>
        <w:t>日期</w:t>
      </w:r>
      <w:r>
        <w:rPr>
          <w:rFonts w:hint="eastAsia" w:hAnsi="宋体" w:cs="宋体"/>
          <w:color w:val="auto"/>
          <w:sz w:val="21"/>
          <w:szCs w:val="21"/>
          <w:highlight w:val="none"/>
        </w:rPr>
        <w:t xml:space="preserve">：  年  </w:t>
      </w:r>
      <w:r>
        <w:rPr>
          <w:rFonts w:hint="eastAsia" w:hAnsi="宋体" w:cs="宋体"/>
          <w:color w:val="auto"/>
          <w:sz w:val="21"/>
          <w:szCs w:val="21"/>
          <w:highlight w:val="none"/>
          <w:lang w:val="zh-CN"/>
        </w:rPr>
        <w:t>月日</w:t>
      </w:r>
    </w:p>
    <w:p w14:paraId="78EC07A4">
      <w:pPr>
        <w:pStyle w:val="27"/>
        <w:snapToGrid w:val="0"/>
        <w:spacing w:before="295" w:after="295"/>
        <w:rPr>
          <w:rFonts w:hint="eastAsia" w:ascii="宋体" w:hAnsi="宋体" w:cs="宋体"/>
          <w:color w:val="auto"/>
          <w:highlight w:val="none"/>
        </w:rPr>
      </w:pPr>
      <w:r>
        <w:rPr>
          <w:rFonts w:hint="eastAsia" w:ascii="宋体" w:hAnsi="宋体" w:cs="宋体"/>
          <w:color w:val="auto"/>
          <w:sz w:val="24"/>
          <w:szCs w:val="24"/>
          <w:highlight w:val="none"/>
        </w:rPr>
        <w:t>注：若为联合体投标人，由联合体投标人牵头人签字、盖章。</w:t>
      </w:r>
    </w:p>
    <w:p w14:paraId="645D7CDB">
      <w:pPr>
        <w:spacing w:line="500" w:lineRule="exact"/>
        <w:jc w:val="center"/>
        <w:rPr>
          <w:rFonts w:hint="eastAsia" w:hAnsi="宋体" w:cs="宋体"/>
          <w:b/>
          <w:color w:val="auto"/>
          <w:sz w:val="21"/>
          <w:szCs w:val="21"/>
          <w:highlight w:val="none"/>
        </w:rPr>
      </w:pPr>
    </w:p>
    <w:p w14:paraId="0196D27D">
      <w:pPr>
        <w:pStyle w:val="45"/>
        <w:ind w:left="680"/>
        <w:rPr>
          <w:color w:val="auto"/>
          <w:highlight w:val="none"/>
        </w:rPr>
      </w:pPr>
    </w:p>
    <w:p w14:paraId="5611E704">
      <w:pPr>
        <w:spacing w:line="500" w:lineRule="exact"/>
        <w:jc w:val="center"/>
        <w:rPr>
          <w:rFonts w:hint="eastAsia" w:hAnsi="宋体" w:cs="宋体"/>
          <w:b/>
          <w:color w:val="auto"/>
          <w:sz w:val="24"/>
          <w:szCs w:val="24"/>
          <w:highlight w:val="none"/>
          <w:lang w:val="zh-TW" w:eastAsia="zh-TW"/>
        </w:rPr>
      </w:pPr>
      <w:r>
        <w:rPr>
          <w:rFonts w:hint="eastAsia" w:hAnsi="宋体" w:cs="宋体"/>
          <w:b/>
          <w:color w:val="auto"/>
          <w:sz w:val="21"/>
          <w:szCs w:val="21"/>
          <w:highlight w:val="none"/>
        </w:rPr>
        <w:t>3.</w:t>
      </w:r>
      <w:r>
        <w:rPr>
          <w:rFonts w:hint="eastAsia" w:hAnsi="宋体" w:cs="宋体"/>
          <w:b/>
          <w:color w:val="auto"/>
          <w:sz w:val="24"/>
          <w:szCs w:val="24"/>
          <w:highlight w:val="none"/>
          <w:lang w:val="zh-TW" w:eastAsia="zh-TW"/>
        </w:rPr>
        <w:t>本项目的特定资格要求</w:t>
      </w:r>
    </w:p>
    <w:p w14:paraId="7688906E">
      <w:pPr>
        <w:pStyle w:val="110"/>
        <w:snapToGrid w:val="0"/>
        <w:spacing w:before="0" w:beforeAutospacing="0" w:after="0" w:afterAutospacing="0" w:line="500" w:lineRule="exact"/>
        <w:ind w:firstLine="420" w:firstLineChars="200"/>
        <w:jc w:val="center"/>
        <w:rPr>
          <w:rFonts w:hint="eastAsia" w:ascii="宋体"/>
          <w:b/>
          <w:bCs/>
          <w:color w:val="auto"/>
          <w:sz w:val="21"/>
          <w:szCs w:val="21"/>
          <w:highlight w:val="none"/>
        </w:rPr>
      </w:pPr>
      <w:r>
        <w:rPr>
          <w:rFonts w:hint="eastAsia"/>
          <w:bCs/>
          <w:color w:val="auto"/>
          <w:sz w:val="21"/>
          <w:szCs w:val="21"/>
          <w:highlight w:val="none"/>
          <w:lang w:val="zh-TW" w:eastAsia="zh-TW"/>
        </w:rPr>
        <w:t>（根据招标公告本项目的特定资格要求提供相应的材料）</w:t>
      </w:r>
    </w:p>
    <w:p w14:paraId="0623C230">
      <w:pPr>
        <w:rPr>
          <w:rFonts w:hint="eastAsia" w:hAnsi="宋体" w:cs="宋体"/>
          <w:b/>
          <w:color w:val="auto"/>
          <w:kern w:val="1"/>
          <w:sz w:val="24"/>
          <w:szCs w:val="24"/>
          <w:highlight w:val="none"/>
        </w:rPr>
      </w:pPr>
    </w:p>
    <w:p w14:paraId="4B4455F1">
      <w:pPr>
        <w:pStyle w:val="45"/>
        <w:ind w:left="680"/>
        <w:rPr>
          <w:rFonts w:hint="eastAsia" w:ascii="宋体" w:hAnsi="宋体" w:cs="宋体"/>
          <w:b/>
          <w:color w:val="auto"/>
          <w:kern w:val="1"/>
          <w:sz w:val="24"/>
          <w:szCs w:val="24"/>
          <w:highlight w:val="none"/>
        </w:rPr>
      </w:pPr>
    </w:p>
    <w:p w14:paraId="166725B6">
      <w:pPr>
        <w:autoSpaceDE/>
        <w:autoSpaceDN/>
        <w:adjustRightInd/>
        <w:spacing w:line="500" w:lineRule="exact"/>
        <w:ind w:firstLine="482" w:firstLineChars="200"/>
        <w:jc w:val="both"/>
        <w:rPr>
          <w:rFonts w:hint="eastAsia" w:hAnsi="宋体" w:cs="宋体"/>
          <w:color w:val="auto"/>
          <w:sz w:val="24"/>
          <w:szCs w:val="24"/>
          <w:highlight w:val="none"/>
        </w:rPr>
      </w:pPr>
      <w:r>
        <w:rPr>
          <w:rFonts w:hint="eastAsia" w:hAnsi="宋体" w:cs="宋体"/>
          <w:b/>
          <w:color w:val="auto"/>
          <w:sz w:val="24"/>
          <w:szCs w:val="22"/>
          <w:highlight w:val="none"/>
        </w:rPr>
        <w:t>4.联合协议</w:t>
      </w:r>
    </w:p>
    <w:p w14:paraId="7A6736F4">
      <w:pPr>
        <w:spacing w:line="500" w:lineRule="exact"/>
        <w:jc w:val="center"/>
        <w:rPr>
          <w:rFonts w:hint="eastAsia" w:hAnsi="宋体" w:cs="宋体"/>
          <w:b/>
          <w:color w:val="auto"/>
          <w:sz w:val="24"/>
          <w:szCs w:val="24"/>
          <w:highlight w:val="none"/>
          <w:lang w:val="zh-TW" w:eastAsia="zh-TW"/>
        </w:rPr>
      </w:pPr>
      <w:r>
        <w:rPr>
          <w:rFonts w:hint="eastAsia" w:hAnsi="宋体" w:cs="宋体"/>
          <w:b/>
          <w:color w:val="auto"/>
          <w:sz w:val="24"/>
          <w:szCs w:val="24"/>
          <w:highlight w:val="none"/>
          <w:lang w:val="zh-TW" w:eastAsia="zh-TW"/>
        </w:rPr>
        <w:t>联合协议</w:t>
      </w:r>
    </w:p>
    <w:p w14:paraId="2BFEC017">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牵头方公司名称：</w:t>
      </w:r>
    </w:p>
    <w:p w14:paraId="6A8F44B4">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法定代表人：</w:t>
      </w:r>
    </w:p>
    <w:p w14:paraId="463AF754">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住所地：</w:t>
      </w:r>
    </w:p>
    <w:p w14:paraId="3A58A80B">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成员方公司名称：</w:t>
      </w:r>
    </w:p>
    <w:p w14:paraId="67ABE6FA">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法定代表人：</w:t>
      </w:r>
    </w:p>
    <w:p w14:paraId="4C7F86B4">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住所地：</w:t>
      </w:r>
    </w:p>
    <w:p w14:paraId="00004853">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鉴于上述各成员公司经过友好协商，自愿组成</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(联合体名称)联合体，共同参加</w:t>
      </w:r>
      <w:r>
        <w:rPr>
          <w:rFonts w:hint="eastAsia" w:hAnsi="宋体" w:cs="宋体"/>
          <w:color w:val="auto"/>
          <w:kern w:val="1"/>
          <w:sz w:val="21"/>
          <w:szCs w:val="21"/>
          <w:highlight w:val="none"/>
          <w:u w:val="single"/>
        </w:rPr>
        <w:t xml:space="preserve">          (项目名称)</w:t>
      </w:r>
      <w:r>
        <w:rPr>
          <w:rFonts w:hint="eastAsia" w:hAnsi="宋体" w:cs="宋体"/>
          <w:color w:val="auto"/>
          <w:kern w:val="1"/>
          <w:sz w:val="21"/>
          <w:szCs w:val="21"/>
          <w:highlight w:val="none"/>
        </w:rPr>
        <w:t>及</w:t>
      </w:r>
      <w:r>
        <w:rPr>
          <w:rFonts w:hint="eastAsia" w:hAnsi="宋体" w:cs="宋体"/>
          <w:color w:val="auto"/>
          <w:kern w:val="1"/>
          <w:sz w:val="21"/>
          <w:szCs w:val="21"/>
          <w:highlight w:val="none"/>
          <w:u w:val="single"/>
        </w:rPr>
        <w:t xml:space="preserve">（采购编号）      </w:t>
      </w:r>
      <w:r>
        <w:rPr>
          <w:rFonts w:hint="eastAsia" w:hAnsi="宋体" w:cs="宋体"/>
          <w:color w:val="auto"/>
          <w:kern w:val="1"/>
          <w:sz w:val="21"/>
          <w:szCs w:val="21"/>
          <w:highlight w:val="none"/>
        </w:rPr>
        <w:t>的投标活动。现就联合体申请及投标事宜订立如下协议：</w:t>
      </w:r>
    </w:p>
    <w:p w14:paraId="5765D404">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1、由</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作为牵头公司负责联合体在本项目的投标活动。联合体各方及其法定代表人授权委托其授权代表参加本项目的招投标活动。</w:t>
      </w:r>
    </w:p>
    <w:p w14:paraId="1033EE85">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14:paraId="1990D2DB">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3、牵头公司做出的关于</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(项目名称)相关的行为对联合体全体成员均具有法律效力。联合体成员各方对牵头公司在投标活动中及中标后履约的一切行为承担连带责任。</w:t>
      </w:r>
    </w:p>
    <w:p w14:paraId="09C70690">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4、联合体各方均同意授权联合体牵头方员工</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（姓名、职务）作为联合体参与本项目投标活动的授权代表。</w:t>
      </w:r>
    </w:p>
    <w:p w14:paraId="1AFF7EF5">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5、联合体成员各方在本项目中的工作职责、权利与义务如下：(需列述)</w:t>
      </w:r>
    </w:p>
    <w:p w14:paraId="604AB82B">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5.1</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作为联合体牵头方，负责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5277F26A">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5.2</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作为联合体成员方，负责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0AC72535">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6、关于</w:t>
      </w:r>
      <w:r>
        <w:rPr>
          <w:rFonts w:hint="eastAsia" w:hAnsi="宋体" w:cs="宋体"/>
          <w:color w:val="auto"/>
          <w:sz w:val="21"/>
          <w:szCs w:val="21"/>
          <w:highlight w:val="none"/>
          <w:lang w:bidi="ar"/>
        </w:rPr>
        <w:t>联合体内小微企业合同份额</w:t>
      </w:r>
      <w:r>
        <w:rPr>
          <w:rFonts w:hint="eastAsia" w:hAnsi="宋体" w:cs="宋体"/>
          <w:color w:val="auto"/>
          <w:kern w:val="1"/>
          <w:sz w:val="21"/>
          <w:szCs w:val="21"/>
          <w:highlight w:val="none"/>
        </w:rPr>
        <w:t>的承诺与声明：</w:t>
      </w:r>
    </w:p>
    <w:p w14:paraId="570A2C6A">
      <w:pPr>
        <w:snapToGrid w:val="0"/>
        <w:spacing w:line="460" w:lineRule="atLeast"/>
        <w:ind w:left="207" w:leftChars="61" w:firstLine="210" w:firstLineChars="100"/>
        <w:rPr>
          <w:rFonts w:hint="eastAsia" w:hAnsi="宋体" w:cs="宋体"/>
          <w:b/>
          <w:bCs/>
          <w:color w:val="auto"/>
          <w:spacing w:val="14"/>
          <w:sz w:val="21"/>
          <w:szCs w:val="21"/>
          <w:highlight w:val="none"/>
        </w:rPr>
      </w:pPr>
      <w:r>
        <w:rPr>
          <w:rFonts w:hint="eastAsia" w:hAnsi="宋体" w:cs="宋体"/>
          <w:color w:val="auto"/>
          <w:kern w:val="1"/>
          <w:sz w:val="21"/>
          <w:szCs w:val="21"/>
          <w:highlight w:val="none"/>
        </w:rPr>
        <w:t>6.1联合体中的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企业是</w:t>
      </w:r>
      <w:r>
        <w:rPr>
          <w:rFonts w:hint="eastAsia" w:hAnsi="宋体" w:cs="宋体"/>
          <w:color w:val="auto"/>
          <w:kern w:val="1"/>
          <w:sz w:val="21"/>
          <w:szCs w:val="21"/>
          <w:highlight w:val="none"/>
          <w:u w:val="single"/>
        </w:rPr>
        <w:t xml:space="preserve">（供应商名称）               </w:t>
      </w:r>
      <w:r>
        <w:rPr>
          <w:rFonts w:hint="eastAsia" w:hAnsi="宋体" w:cs="宋体"/>
          <w:color w:val="auto"/>
          <w:kern w:val="1"/>
          <w:sz w:val="21"/>
          <w:szCs w:val="21"/>
          <w:highlight w:val="none"/>
        </w:rPr>
        <w:t>(请将小微企业的《中小企业声明函》附后），各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企业之间及各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sz w:val="21"/>
          <w:szCs w:val="21"/>
          <w:highlight w:val="none"/>
        </w:rPr>
        <w:t>与联合体内其他企业之间均不存在直接控股、管理关系。</w:t>
      </w:r>
    </w:p>
    <w:p w14:paraId="5922569E">
      <w:pPr>
        <w:snapToGrid w:val="0"/>
        <w:spacing w:line="500" w:lineRule="exact"/>
        <w:ind w:firstLine="420"/>
        <w:rPr>
          <w:rFonts w:hint="eastAsia" w:hAnsi="宋体" w:cs="宋体"/>
          <w:color w:val="auto"/>
          <w:sz w:val="21"/>
          <w:szCs w:val="21"/>
          <w:highlight w:val="none"/>
        </w:rPr>
      </w:pPr>
      <w:r>
        <w:rPr>
          <w:rFonts w:hint="eastAsia" w:hAnsi="宋体" w:cs="宋体"/>
          <w:color w:val="auto"/>
          <w:kern w:val="1"/>
          <w:sz w:val="21"/>
          <w:szCs w:val="21"/>
          <w:highlight w:val="none"/>
        </w:rPr>
        <w:t>6.2 上述</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kern w:val="1"/>
          <w:sz w:val="21"/>
          <w:szCs w:val="21"/>
          <w:highlight w:val="none"/>
          <w:u w:val="single"/>
        </w:rPr>
        <w:t xml:space="preserve">中：（1）供应商（供应商名称）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）；（2）</w:t>
      </w:r>
      <w:r>
        <w:rPr>
          <w:rFonts w:hint="eastAsia" w:hAnsi="宋体" w:cs="宋体"/>
          <w:color w:val="auto"/>
          <w:kern w:val="1"/>
          <w:sz w:val="21"/>
          <w:szCs w:val="21"/>
          <w:highlight w:val="none"/>
          <w:u w:val="single"/>
        </w:rPr>
        <w:t xml:space="preserve">供应商（供应商名称）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7E29BB57">
      <w:pPr>
        <w:snapToGrid w:val="0"/>
        <w:spacing w:line="500" w:lineRule="exact"/>
        <w:ind w:firstLine="420"/>
        <w:rPr>
          <w:rFonts w:hint="eastAsia" w:hAnsi="宋体" w:cs="宋体"/>
          <w:color w:val="auto"/>
          <w:kern w:val="1"/>
          <w:sz w:val="21"/>
          <w:szCs w:val="21"/>
          <w:highlight w:val="none"/>
          <w:u w:val="single"/>
        </w:rPr>
      </w:pPr>
      <w:r>
        <w:rPr>
          <w:rFonts w:hint="eastAsia" w:hAnsi="宋体" w:cs="宋体"/>
          <w:color w:val="auto"/>
          <w:sz w:val="21"/>
          <w:szCs w:val="21"/>
          <w:highlight w:val="none"/>
        </w:rPr>
        <w:t>综上，</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sz w:val="21"/>
          <w:szCs w:val="21"/>
          <w:highlight w:val="none"/>
          <w:lang w:bidi="ar"/>
        </w:rPr>
        <w:t>承担工作的</w:t>
      </w:r>
      <w:r>
        <w:rPr>
          <w:rFonts w:hint="eastAsia" w:hAnsi="宋体" w:cs="宋体"/>
          <w:color w:val="auto"/>
          <w:sz w:val="21"/>
          <w:szCs w:val="21"/>
          <w:highlight w:val="none"/>
        </w:rPr>
        <w:t>协议合同份额合计数占本项目投标总金额（合同总金额）的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6DEF9A71">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7、本协议经所有联合体成员盖章和法定代表人或授权代表签字后生效。若本联合体未获得本项目中标资格，本协议有效期与本投标文件有效期一致；若本联合体获得本项目中标资格，则本协议有效期自动延长至招标人与中标人双方履行采购合同结束之日。</w:t>
      </w:r>
    </w:p>
    <w:p w14:paraId="61C00CFF">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8、本协议书一式</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份，联合体各方和招标人各执</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w:t>
      </w:r>
    </w:p>
    <w:p w14:paraId="164A8408">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9、本联合体提供的投标文件以联合体各方盖章或联合体牵头方的盖章有效，签名以联合体各方的授权代表或联合体牵头方的授权代表有效。</w:t>
      </w:r>
    </w:p>
    <w:p w14:paraId="38E3BA21">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牵头公司名称(盖单位公章):</w:t>
      </w:r>
    </w:p>
    <w:p w14:paraId="201F296F">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法定代表人(签字或盖章):</w:t>
      </w:r>
    </w:p>
    <w:p w14:paraId="35F91F83">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66F51941">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日期：</w:t>
      </w:r>
    </w:p>
    <w:p w14:paraId="3F3485B3">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成员公司名称(盖单位公章):</w:t>
      </w:r>
    </w:p>
    <w:p w14:paraId="259C820B">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24F34CA1">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29645F29">
      <w:pPr>
        <w:pStyle w:val="24"/>
        <w:ind w:left="0" w:right="-408" w:firstLine="420" w:firstLineChars="200"/>
        <w:rPr>
          <w:rFonts w:hint="eastAsia"/>
          <w:color w:val="auto"/>
          <w:highlight w:val="none"/>
        </w:rPr>
      </w:pPr>
      <w:r>
        <w:rPr>
          <w:rFonts w:hint="eastAsia" w:cs="宋体"/>
          <w:color w:val="auto"/>
          <w:kern w:val="1"/>
          <w:sz w:val="21"/>
          <w:szCs w:val="21"/>
          <w:highlight w:val="none"/>
        </w:rPr>
        <w:t>日期：</w:t>
      </w:r>
    </w:p>
    <w:p w14:paraId="507C20EF">
      <w:pPr>
        <w:rPr>
          <w:rFonts w:hint="eastAsia" w:hAnsi="宋体" w:cs="宋体"/>
          <w:b/>
          <w:bCs/>
          <w:color w:val="auto"/>
          <w:sz w:val="24"/>
          <w:highlight w:val="none"/>
        </w:rPr>
      </w:pPr>
      <w:r>
        <w:rPr>
          <w:rFonts w:hint="eastAsia" w:hAnsi="宋体" w:cs="宋体"/>
          <w:b/>
          <w:color w:val="auto"/>
          <w:kern w:val="1"/>
          <w:sz w:val="24"/>
          <w:szCs w:val="24"/>
          <w:highlight w:val="none"/>
        </w:rPr>
        <w:br w:type="page"/>
      </w:r>
      <w:r>
        <w:rPr>
          <w:rFonts w:hint="eastAsia" w:hAnsi="宋体" w:cs="宋体"/>
          <w:b/>
          <w:bCs/>
          <w:color w:val="auto"/>
          <w:sz w:val="24"/>
          <w:highlight w:val="none"/>
        </w:rPr>
        <w:t>（二）商务技术文件</w:t>
      </w:r>
    </w:p>
    <w:p w14:paraId="39275544">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（1）投标人技术商务标自评得分汇总表；（格式见附件）；</w:t>
      </w:r>
    </w:p>
    <w:p w14:paraId="79117099">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（2）投标人（或投标联合体牵头人）法定代表人身份证明、</w:t>
      </w:r>
      <w:r>
        <w:rPr>
          <w:rFonts w:hint="eastAsia" w:hAnsi="宋体" w:cs="宋体"/>
          <w:color w:val="auto"/>
          <w:sz w:val="21"/>
          <w:highlight w:val="none"/>
        </w:rPr>
        <w:t>法定代表人授权委托书</w:t>
      </w:r>
      <w:r>
        <w:rPr>
          <w:rFonts w:hint="eastAsia" w:hAnsi="宋体" w:cs="宋体"/>
          <w:color w:val="auto"/>
          <w:sz w:val="21"/>
          <w:szCs w:val="21"/>
          <w:highlight w:val="none"/>
        </w:rPr>
        <w:t>（格式见附件，如法定代表人本人参加的，则仅须提供法定代表人身份证明及法定代表人身份证复印件）；</w:t>
      </w:r>
    </w:p>
    <w:p w14:paraId="043C1851">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（3）投标人（包括投标联合体各方）情况表（格式见附件）；</w:t>
      </w:r>
    </w:p>
    <w:p w14:paraId="7CA36EA9">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（4）投标人（包括投标联合体各方）相关资质证书及获得的相关荣誉证书（扫描件或复印件加盖单位公章）；</w:t>
      </w:r>
    </w:p>
    <w:p w14:paraId="13CB5D8E">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（5）投标人（包括投标联合体各方）2023年1月1日以来类似案例成功的业绩（加盖公章）（格式见附件）；</w:t>
      </w:r>
    </w:p>
    <w:p w14:paraId="62439EE9">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（6）拟投入本项目的服务人员配置表（格式见附件）；</w:t>
      </w:r>
    </w:p>
    <w:p w14:paraId="21982899">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（7）商务技术偏离表（格式见附件）；</w:t>
      </w:r>
    </w:p>
    <w:p w14:paraId="34CAE217">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（8）针对本项目的服务方案（格式自拟）；</w:t>
      </w:r>
    </w:p>
    <w:p w14:paraId="5294E2BB">
      <w:pPr>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（9）投标人需要说明的其他文件和说明（格式略）。</w:t>
      </w:r>
    </w:p>
    <w:p w14:paraId="09C26ACC">
      <w:pPr>
        <w:autoSpaceDE/>
        <w:autoSpaceDN/>
        <w:adjustRightInd/>
        <w:spacing w:line="500" w:lineRule="exact"/>
        <w:ind w:firstLine="420" w:firstLineChars="200"/>
        <w:jc w:val="both"/>
        <w:rPr>
          <w:rFonts w:hint="eastAsia" w:hAnsi="宋体" w:cs="宋体"/>
          <w:color w:val="auto"/>
          <w:sz w:val="21"/>
          <w:szCs w:val="21"/>
          <w:highlight w:val="none"/>
        </w:rPr>
      </w:pPr>
    </w:p>
    <w:p w14:paraId="503E9159">
      <w:pPr>
        <w:autoSpaceDE/>
        <w:autoSpaceDN/>
        <w:adjustRightInd/>
        <w:spacing w:line="500" w:lineRule="exact"/>
        <w:ind w:firstLine="420" w:firstLineChars="200"/>
        <w:jc w:val="both"/>
        <w:rPr>
          <w:rFonts w:hint="eastAsia" w:hAnsi="宋体" w:cs="宋体"/>
          <w:color w:val="auto"/>
          <w:sz w:val="21"/>
          <w:szCs w:val="21"/>
          <w:highlight w:val="none"/>
        </w:rPr>
      </w:pPr>
    </w:p>
    <w:p w14:paraId="6EB5C62F">
      <w:pPr>
        <w:autoSpaceDE/>
        <w:autoSpaceDN/>
        <w:adjustRightInd/>
        <w:spacing w:line="500" w:lineRule="exact"/>
        <w:ind w:firstLine="420" w:firstLineChars="200"/>
        <w:jc w:val="both"/>
        <w:rPr>
          <w:rFonts w:hint="eastAsia" w:hAnsi="宋体" w:cs="宋体"/>
          <w:color w:val="auto"/>
          <w:sz w:val="21"/>
          <w:szCs w:val="21"/>
          <w:highlight w:val="none"/>
        </w:rPr>
      </w:pPr>
    </w:p>
    <w:p w14:paraId="1B5EB2BE">
      <w:pPr>
        <w:autoSpaceDE/>
        <w:autoSpaceDN/>
        <w:adjustRightInd/>
        <w:spacing w:line="500" w:lineRule="exact"/>
        <w:ind w:firstLine="420" w:firstLineChars="200"/>
        <w:jc w:val="both"/>
        <w:rPr>
          <w:rFonts w:hint="eastAsia" w:hAnsi="宋体" w:cs="宋体"/>
          <w:color w:val="auto"/>
          <w:sz w:val="21"/>
          <w:szCs w:val="21"/>
          <w:highlight w:val="none"/>
        </w:rPr>
      </w:pPr>
    </w:p>
    <w:p w14:paraId="3E46B7FE">
      <w:pPr>
        <w:autoSpaceDE/>
        <w:autoSpaceDN/>
        <w:adjustRightInd/>
        <w:spacing w:line="500" w:lineRule="exact"/>
        <w:ind w:firstLine="420" w:firstLineChars="200"/>
        <w:jc w:val="both"/>
        <w:rPr>
          <w:rFonts w:hint="eastAsia" w:hAnsi="宋体" w:cs="宋体"/>
          <w:color w:val="auto"/>
          <w:sz w:val="21"/>
          <w:szCs w:val="21"/>
          <w:highlight w:val="none"/>
        </w:rPr>
      </w:pPr>
    </w:p>
    <w:p w14:paraId="77A3D16C">
      <w:pPr>
        <w:autoSpaceDE/>
        <w:autoSpaceDN/>
        <w:adjustRightInd/>
        <w:spacing w:line="500" w:lineRule="exact"/>
        <w:ind w:firstLine="420" w:firstLineChars="200"/>
        <w:jc w:val="both"/>
        <w:rPr>
          <w:rFonts w:hint="eastAsia" w:hAnsi="宋体" w:cs="宋体"/>
          <w:color w:val="auto"/>
          <w:sz w:val="21"/>
          <w:szCs w:val="21"/>
          <w:highlight w:val="none"/>
        </w:rPr>
      </w:pPr>
    </w:p>
    <w:p w14:paraId="0E2846EC">
      <w:pPr>
        <w:pStyle w:val="21"/>
        <w:ind w:firstLine="210"/>
        <w:rPr>
          <w:rFonts w:hint="eastAsia" w:ascii="宋体" w:hAnsi="宋体" w:cs="宋体"/>
          <w:color w:val="auto"/>
          <w:sz w:val="21"/>
          <w:szCs w:val="21"/>
          <w:highlight w:val="none"/>
        </w:rPr>
      </w:pPr>
    </w:p>
    <w:p w14:paraId="42D55A22">
      <w:pPr>
        <w:pStyle w:val="37"/>
        <w:rPr>
          <w:rFonts w:hint="eastAsia" w:ascii="宋体" w:hAnsi="宋体" w:cs="宋体"/>
          <w:color w:val="auto"/>
          <w:sz w:val="21"/>
          <w:szCs w:val="21"/>
          <w:highlight w:val="none"/>
        </w:rPr>
      </w:pPr>
    </w:p>
    <w:p w14:paraId="23CFAF4C">
      <w:pPr>
        <w:rPr>
          <w:rFonts w:hint="eastAsia" w:hAnsi="宋体" w:cs="宋体"/>
          <w:color w:val="auto"/>
          <w:highlight w:val="none"/>
        </w:rPr>
      </w:pPr>
    </w:p>
    <w:p w14:paraId="1212178D">
      <w:pPr>
        <w:pStyle w:val="45"/>
        <w:ind w:left="680"/>
        <w:rPr>
          <w:rFonts w:hint="eastAsia" w:ascii="宋体" w:hAnsi="宋体" w:cs="宋体"/>
          <w:color w:val="auto"/>
          <w:highlight w:val="none"/>
        </w:rPr>
      </w:pPr>
    </w:p>
    <w:p w14:paraId="51E23046">
      <w:pPr>
        <w:autoSpaceDE/>
        <w:autoSpaceDN/>
        <w:adjustRightInd/>
        <w:spacing w:line="500" w:lineRule="exact"/>
        <w:ind w:firstLine="420" w:firstLineChars="200"/>
        <w:jc w:val="both"/>
        <w:rPr>
          <w:rFonts w:hint="eastAsia" w:hAnsi="宋体" w:cs="宋体"/>
          <w:color w:val="auto"/>
          <w:sz w:val="21"/>
          <w:szCs w:val="21"/>
          <w:highlight w:val="none"/>
        </w:rPr>
      </w:pPr>
    </w:p>
    <w:p w14:paraId="76F6A04C">
      <w:pPr>
        <w:autoSpaceDE/>
        <w:autoSpaceDN/>
        <w:adjustRightInd/>
        <w:spacing w:line="500" w:lineRule="exact"/>
        <w:ind w:firstLine="420" w:firstLineChars="200"/>
        <w:jc w:val="both"/>
        <w:rPr>
          <w:rFonts w:hint="eastAsia" w:hAnsi="宋体" w:cs="宋体"/>
          <w:color w:val="auto"/>
          <w:sz w:val="21"/>
          <w:szCs w:val="21"/>
          <w:highlight w:val="none"/>
        </w:rPr>
      </w:pPr>
    </w:p>
    <w:p w14:paraId="3C24E834">
      <w:pPr>
        <w:rPr>
          <w:rFonts w:hint="eastAsia" w:hAnsi="宋体" w:cs="宋体"/>
          <w:b/>
          <w:color w:val="auto"/>
          <w:sz w:val="24"/>
          <w:highlight w:val="none"/>
        </w:rPr>
      </w:pPr>
      <w:r>
        <w:rPr>
          <w:rFonts w:hint="eastAsia" w:hAnsi="宋体" w:cs="宋体"/>
          <w:b/>
          <w:color w:val="auto"/>
          <w:sz w:val="24"/>
          <w:highlight w:val="none"/>
        </w:rPr>
        <w:br w:type="page"/>
      </w:r>
    </w:p>
    <w:p w14:paraId="17E88493">
      <w:pPr>
        <w:snapToGrid w:val="0"/>
        <w:spacing w:before="50" w:after="50"/>
        <w:rPr>
          <w:rFonts w:hint="eastAsia" w:hAnsi="宋体" w:cs="宋体"/>
          <w:b/>
          <w:color w:val="auto"/>
          <w:sz w:val="24"/>
          <w:highlight w:val="none"/>
        </w:rPr>
      </w:pPr>
      <w:r>
        <w:rPr>
          <w:rFonts w:hint="eastAsia" w:hAnsi="宋体" w:cs="宋体"/>
          <w:b/>
          <w:color w:val="auto"/>
          <w:sz w:val="24"/>
          <w:highlight w:val="none"/>
        </w:rPr>
        <w:t>1.投标人技术商务标自评得分汇总表（格式参照技术商务评分表，需标注对应页码）</w:t>
      </w:r>
    </w:p>
    <w:tbl>
      <w:tblPr>
        <w:tblStyle w:val="46"/>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14:paraId="7D13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14:paraId="0E92ABB5">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1485" w:type="dxa"/>
            <w:vAlign w:val="center"/>
          </w:tcPr>
          <w:p w14:paraId="1D1D0ACF">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评分项目</w:t>
            </w:r>
          </w:p>
        </w:tc>
        <w:tc>
          <w:tcPr>
            <w:tcW w:w="2190" w:type="dxa"/>
            <w:vAlign w:val="center"/>
          </w:tcPr>
          <w:p w14:paraId="096EFD7F">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评标要点及说明</w:t>
            </w:r>
          </w:p>
        </w:tc>
        <w:tc>
          <w:tcPr>
            <w:tcW w:w="766" w:type="dxa"/>
            <w:vAlign w:val="center"/>
          </w:tcPr>
          <w:p w14:paraId="471B1A31">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分值</w:t>
            </w:r>
          </w:p>
        </w:tc>
        <w:tc>
          <w:tcPr>
            <w:tcW w:w="1110" w:type="dxa"/>
            <w:vAlign w:val="center"/>
          </w:tcPr>
          <w:p w14:paraId="665EB363">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自评分</w:t>
            </w:r>
          </w:p>
        </w:tc>
        <w:tc>
          <w:tcPr>
            <w:tcW w:w="1937" w:type="dxa"/>
            <w:vAlign w:val="center"/>
          </w:tcPr>
          <w:p w14:paraId="319FC17E">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投标文件响应页码</w:t>
            </w:r>
          </w:p>
        </w:tc>
      </w:tr>
    </w:tbl>
    <w:p w14:paraId="10DF3138">
      <w:pPr>
        <w:snapToGrid w:val="0"/>
        <w:spacing w:before="50" w:after="50"/>
        <w:rPr>
          <w:rFonts w:hint="eastAsia" w:hAnsi="宋体" w:cs="宋体"/>
          <w:color w:val="auto"/>
          <w:sz w:val="24"/>
          <w:highlight w:val="none"/>
        </w:rPr>
      </w:pPr>
    </w:p>
    <w:p w14:paraId="7E418A4B">
      <w:pPr>
        <w:snapToGrid w:val="0"/>
        <w:spacing w:line="500" w:lineRule="exact"/>
        <w:rPr>
          <w:rFonts w:hint="eastAsia" w:hAnsi="宋体" w:cs="宋体"/>
          <w:b/>
          <w:color w:val="auto"/>
          <w:sz w:val="24"/>
          <w:highlight w:val="none"/>
        </w:rPr>
      </w:pPr>
      <w:r>
        <w:rPr>
          <w:rFonts w:hint="eastAsia" w:hAnsi="宋体" w:cs="宋体"/>
          <w:b/>
          <w:color w:val="auto"/>
          <w:sz w:val="24"/>
          <w:highlight w:val="none"/>
        </w:rPr>
        <w:t>2.投标人</w:t>
      </w:r>
      <w:r>
        <w:rPr>
          <w:rFonts w:hint="eastAsia" w:hAnsi="宋体" w:cs="宋体"/>
          <w:b/>
          <w:color w:val="auto"/>
          <w:sz w:val="24"/>
          <w:szCs w:val="24"/>
          <w:highlight w:val="none"/>
        </w:rPr>
        <w:t>（或投标联合体牵头人）</w:t>
      </w:r>
      <w:r>
        <w:rPr>
          <w:rFonts w:hint="eastAsia" w:hAnsi="宋体" w:cs="宋体"/>
          <w:b/>
          <w:color w:val="auto"/>
          <w:sz w:val="24"/>
          <w:highlight w:val="none"/>
        </w:rPr>
        <w:t>法定代表人身份证明、法定代表人授权委托书</w:t>
      </w:r>
    </w:p>
    <w:p w14:paraId="394062FD">
      <w:pPr>
        <w:snapToGrid w:val="0"/>
        <w:spacing w:line="500" w:lineRule="exact"/>
        <w:jc w:val="center"/>
        <w:rPr>
          <w:rFonts w:hint="eastAsia" w:hAnsi="宋体" w:cs="宋体"/>
          <w:b/>
          <w:color w:val="auto"/>
          <w:sz w:val="24"/>
          <w:highlight w:val="none"/>
        </w:rPr>
      </w:pPr>
      <w:r>
        <w:rPr>
          <w:rFonts w:hint="eastAsia" w:hAnsi="宋体" w:cs="宋体"/>
          <w:b/>
          <w:color w:val="auto"/>
          <w:sz w:val="24"/>
          <w:highlight w:val="none"/>
        </w:rPr>
        <w:t>法定代表人授权委托书</w:t>
      </w:r>
    </w:p>
    <w:p w14:paraId="55757040">
      <w:pPr>
        <w:snapToGrid w:val="0"/>
        <w:spacing w:line="500" w:lineRule="exact"/>
        <w:ind w:firstLine="480"/>
        <w:jc w:val="both"/>
        <w:rPr>
          <w:rFonts w:hint="eastAsia" w:hAnsi="宋体" w:cs="宋体"/>
          <w:color w:val="auto"/>
          <w:sz w:val="21"/>
          <w:szCs w:val="21"/>
          <w:highlight w:val="none"/>
        </w:rPr>
      </w:pPr>
    </w:p>
    <w:p w14:paraId="5E80A552">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（招标采购单位名称）：</w:t>
      </w:r>
    </w:p>
    <w:p w14:paraId="4E613642">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（投标人名称，或联合体投标人牵头单位的名称）的法定代表人，现授权委托本单位在职职工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（姓名）以我方的名义参加</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项目（项目编号：    ）的投标活动，并代表我方全权办理针对上述项目的投标、开标、评标、签约等具体事务和签署相关文件。</w:t>
      </w:r>
    </w:p>
    <w:p w14:paraId="43094428">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我方对被授权人的签名事项负全部责任。</w:t>
      </w:r>
    </w:p>
    <w:p w14:paraId="487845A3">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u w:val="single"/>
        </w:rPr>
        <w:t>在撤销授权的书面通知以前，本授权书一直有效。</w:t>
      </w:r>
      <w:r>
        <w:rPr>
          <w:rFonts w:hint="eastAsia" w:hAnsi="宋体" w:cs="宋体"/>
          <w:color w:val="auto"/>
          <w:sz w:val="21"/>
          <w:szCs w:val="21"/>
          <w:highlight w:val="none"/>
        </w:rPr>
        <w:t>被授权人在授权书有效期内签署的所有文件不因授权的撤销而失效。</w:t>
      </w:r>
    </w:p>
    <w:p w14:paraId="108F8394">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被授权人无转委托权，特此委托。</w:t>
      </w:r>
    </w:p>
    <w:p w14:paraId="75D9B012">
      <w:pPr>
        <w:spacing w:line="500" w:lineRule="exact"/>
        <w:ind w:firstLine="480"/>
        <w:jc w:val="both"/>
        <w:rPr>
          <w:rFonts w:hint="eastAsia" w:hAnsi="宋体" w:cs="宋体"/>
          <w:color w:val="auto"/>
          <w:sz w:val="21"/>
          <w:szCs w:val="21"/>
          <w:highlight w:val="none"/>
        </w:rPr>
      </w:pPr>
    </w:p>
    <w:p w14:paraId="768EDC94">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被授权人（签字或盖章）：                法定代表人（签字或盖章）：          </w:t>
      </w:r>
    </w:p>
    <w:p w14:paraId="31081E17">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职务：                                   职务：           </w:t>
      </w:r>
    </w:p>
    <w:p w14:paraId="199AE235">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被授权人身份证号码：                              </w:t>
      </w:r>
    </w:p>
    <w:p w14:paraId="2712F5BE">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                                     投标人（或联合体投标人的牵头单位）章：</w:t>
      </w:r>
    </w:p>
    <w:p w14:paraId="6C72E1C5">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                                        年    月    日</w:t>
      </w:r>
    </w:p>
    <w:p w14:paraId="0ACD2119">
      <w:pPr>
        <w:spacing w:line="500" w:lineRule="exact"/>
        <w:ind w:firstLine="2520" w:firstLineChars="1200"/>
        <w:jc w:val="both"/>
        <w:rPr>
          <w:rFonts w:hint="eastAsia" w:hAnsi="宋体" w:cs="宋体"/>
          <w:color w:val="auto"/>
          <w:sz w:val="21"/>
          <w:szCs w:val="21"/>
          <w:highlight w:val="none"/>
          <w:u w:val="single"/>
        </w:rPr>
      </w:pPr>
    </w:p>
    <w:p w14:paraId="5017ED64">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法定代表人身份证（正反面）复印件：</w:t>
      </w:r>
    </w:p>
    <w:p w14:paraId="5F3576D5">
      <w:pPr>
        <w:spacing w:line="500" w:lineRule="exact"/>
        <w:ind w:firstLine="480"/>
        <w:jc w:val="both"/>
        <w:rPr>
          <w:rFonts w:hint="eastAsia" w:hAnsi="宋体" w:cs="宋体"/>
          <w:color w:val="auto"/>
          <w:sz w:val="21"/>
          <w:szCs w:val="21"/>
          <w:highlight w:val="none"/>
        </w:rPr>
      </w:pPr>
    </w:p>
    <w:p w14:paraId="3A1B0296">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授权代表身份证（正反面）复印件：</w:t>
      </w:r>
    </w:p>
    <w:p w14:paraId="537512BB">
      <w:pPr>
        <w:spacing w:line="500" w:lineRule="exact"/>
        <w:jc w:val="both"/>
        <w:rPr>
          <w:rFonts w:hint="eastAsia" w:hAnsi="宋体" w:cs="宋体"/>
          <w:color w:val="auto"/>
          <w:sz w:val="21"/>
          <w:szCs w:val="21"/>
          <w:highlight w:val="none"/>
          <w:u w:val="single"/>
        </w:rPr>
      </w:pPr>
    </w:p>
    <w:p w14:paraId="5EA65D03">
      <w:pPr>
        <w:pStyle w:val="27"/>
        <w:snapToGrid w:val="0"/>
        <w:spacing w:before="295" w:after="295"/>
        <w:rPr>
          <w:rFonts w:hint="eastAsia" w:ascii="宋体" w:hAnsi="宋体" w:cs="宋体"/>
          <w:color w:val="auto"/>
          <w:highlight w:val="none"/>
        </w:rPr>
      </w:pPr>
      <w:r>
        <w:rPr>
          <w:rFonts w:hint="eastAsia" w:ascii="宋体" w:hAnsi="宋体" w:cs="宋体"/>
          <w:color w:val="auto"/>
          <w:sz w:val="24"/>
          <w:szCs w:val="24"/>
          <w:highlight w:val="none"/>
        </w:rPr>
        <w:t>注：若为联合体投标人，由联合体投标人牵头人签字、盖章。</w:t>
      </w:r>
    </w:p>
    <w:p w14:paraId="2E927FFF">
      <w:pPr>
        <w:widowControl/>
        <w:autoSpaceDE/>
        <w:autoSpaceDN/>
        <w:adjustRightInd/>
        <w:jc w:val="center"/>
        <w:rPr>
          <w:rFonts w:hint="eastAsia" w:hAnsi="宋体" w:cs="宋体"/>
          <w:b/>
          <w:bCs/>
          <w:color w:val="auto"/>
          <w:sz w:val="28"/>
          <w:szCs w:val="28"/>
          <w:highlight w:val="none"/>
        </w:rPr>
      </w:pPr>
      <w:r>
        <w:rPr>
          <w:rFonts w:hint="eastAsia" w:hAnsi="宋体" w:cs="宋体"/>
          <w:b/>
          <w:bCs/>
          <w:color w:val="auto"/>
          <w:sz w:val="28"/>
          <w:szCs w:val="28"/>
          <w:highlight w:val="none"/>
        </w:rPr>
        <w:br w:type="page"/>
      </w:r>
      <w:r>
        <w:rPr>
          <w:rFonts w:hint="eastAsia" w:hAnsi="宋体" w:cs="宋体"/>
          <w:b/>
          <w:color w:val="auto"/>
          <w:sz w:val="21"/>
          <w:szCs w:val="21"/>
          <w:highlight w:val="none"/>
        </w:rPr>
        <w:t>法定代表人身份证明</w:t>
      </w:r>
    </w:p>
    <w:p w14:paraId="06882E28">
      <w:pPr>
        <w:widowControl/>
        <w:autoSpaceDE/>
        <w:autoSpaceDN/>
        <w:adjustRightInd/>
        <w:snapToGrid w:val="0"/>
        <w:spacing w:line="480" w:lineRule="auto"/>
        <w:rPr>
          <w:rFonts w:hint="eastAsia" w:hAnsi="宋体" w:cs="宋体"/>
          <w:color w:val="auto"/>
          <w:sz w:val="24"/>
          <w:szCs w:val="24"/>
          <w:highlight w:val="none"/>
        </w:rPr>
      </w:pPr>
      <w:r>
        <w:rPr>
          <w:rFonts w:hint="eastAsia" w:hAnsi="宋体" w:cs="宋体"/>
          <w:color w:val="auto"/>
          <w:sz w:val="24"/>
          <w:szCs w:val="24"/>
          <w:highlight w:val="none"/>
        </w:rPr>
        <w:t>（采购单位、代理机构）：</w:t>
      </w:r>
    </w:p>
    <w:p w14:paraId="1DBFA984">
      <w:pPr>
        <w:widowControl/>
        <w:autoSpaceDE/>
        <w:autoSpaceDN/>
        <w:adjustRightInd/>
        <w:snapToGrid w:val="0"/>
        <w:spacing w:line="480" w:lineRule="auto"/>
        <w:ind w:firstLine="1920" w:firstLineChars="800"/>
        <w:rPr>
          <w:rFonts w:hint="eastAsia" w:hAnsi="宋体" w:cs="宋体"/>
          <w:color w:val="auto"/>
          <w:sz w:val="24"/>
          <w:szCs w:val="24"/>
          <w:highlight w:val="none"/>
        </w:rPr>
      </w:pPr>
    </w:p>
    <w:p w14:paraId="69901770">
      <w:pPr>
        <w:widowControl/>
        <w:autoSpaceDE/>
        <w:autoSpaceDN/>
        <w:snapToGrid w:val="0"/>
        <w:spacing w:line="480" w:lineRule="auto"/>
        <w:ind w:left="102" w:leftChars="30" w:firstLine="480" w:firstLineChars="200"/>
        <w:rPr>
          <w:rFonts w:hint="eastAsia"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性别：</w:t>
      </w:r>
      <w:r>
        <w:rPr>
          <w:rFonts w:hint="eastAsia" w:hAnsi="宋体" w:cs="宋体"/>
          <w:color w:val="auto"/>
          <w:sz w:val="24"/>
          <w:szCs w:val="24"/>
          <w:highlight w:val="none"/>
          <w:u w:val="single"/>
        </w:rPr>
        <w:t>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职务：</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身份证号码系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（投标单位全称，或联合体投标人牵头单位的名称）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的法定代表人。</w:t>
      </w:r>
    </w:p>
    <w:p w14:paraId="2ADFBAA3">
      <w:pPr>
        <w:widowControl/>
        <w:autoSpaceDE/>
        <w:autoSpaceDN/>
        <w:adjustRightInd/>
        <w:snapToGrid w:val="0"/>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特此证明。</w:t>
      </w:r>
    </w:p>
    <w:p w14:paraId="0AA44BB4">
      <w:pPr>
        <w:widowControl/>
        <w:autoSpaceDE/>
        <w:autoSpaceDN/>
        <w:adjustRightInd/>
        <w:snapToGrid w:val="0"/>
        <w:spacing w:line="480" w:lineRule="auto"/>
        <w:rPr>
          <w:rFonts w:hint="eastAsia" w:hAnsi="宋体" w:cs="宋体"/>
          <w:color w:val="auto"/>
          <w:sz w:val="24"/>
          <w:szCs w:val="24"/>
          <w:highlight w:val="none"/>
        </w:rPr>
      </w:pPr>
    </w:p>
    <w:p w14:paraId="6990B94D">
      <w:pPr>
        <w:widowControl/>
        <w:autoSpaceDE/>
        <w:autoSpaceDN/>
        <w:adjustRightInd/>
        <w:snapToGrid w:val="0"/>
        <w:spacing w:line="480" w:lineRule="auto"/>
        <w:rPr>
          <w:rFonts w:hint="eastAsia" w:hAnsi="宋体" w:cs="宋体"/>
          <w:color w:val="auto"/>
          <w:sz w:val="24"/>
          <w:szCs w:val="24"/>
          <w:highlight w:val="none"/>
        </w:rPr>
      </w:pPr>
      <w:r>
        <w:rPr>
          <w:rFonts w:hint="eastAsia" w:hAnsi="宋体" w:cs="宋体"/>
          <w:color w:val="auto"/>
          <w:sz w:val="24"/>
          <w:szCs w:val="24"/>
          <w:highlight w:val="none"/>
        </w:rPr>
        <w:t>　　　　　　　　　　</w:t>
      </w:r>
    </w:p>
    <w:p w14:paraId="2E4D1E2F">
      <w:pPr>
        <w:widowControl/>
        <w:autoSpaceDE/>
        <w:autoSpaceDN/>
        <w:adjustRightInd/>
        <w:snapToGrid w:val="0"/>
        <w:spacing w:line="480" w:lineRule="auto"/>
        <w:ind w:firstLine="240" w:firstLineChars="100"/>
        <w:rPr>
          <w:rFonts w:hint="eastAsia" w:hAnsi="宋体" w:cs="宋体"/>
          <w:color w:val="auto"/>
          <w:sz w:val="24"/>
          <w:szCs w:val="24"/>
          <w:highlight w:val="none"/>
        </w:rPr>
      </w:pPr>
      <w:r>
        <w:rPr>
          <w:rFonts w:hint="eastAsia" w:hAnsi="宋体" w:cs="宋体"/>
          <w:color w:val="auto"/>
          <w:sz w:val="24"/>
          <w:szCs w:val="24"/>
          <w:highlight w:val="none"/>
        </w:rPr>
        <w:t>投标人（或联合体投标人的牵头单位）：</w:t>
      </w:r>
      <w:r>
        <w:rPr>
          <w:rFonts w:hint="eastAsia" w:hAnsi="宋体" w:cs="宋体"/>
          <w:color w:val="auto"/>
          <w:sz w:val="24"/>
          <w:szCs w:val="24"/>
          <w:highlight w:val="none"/>
          <w:vertAlign w:val="subscript"/>
        </w:rPr>
        <w:t>　</w:t>
      </w:r>
      <w:r>
        <w:rPr>
          <w:rFonts w:hint="eastAsia" w:hAnsi="宋体" w:cs="宋体"/>
          <w:color w:val="auto"/>
          <w:sz w:val="24"/>
          <w:szCs w:val="24"/>
          <w:highlight w:val="none"/>
          <w:u w:val="single"/>
        </w:rPr>
        <w:t>　                　</w:t>
      </w:r>
      <w:r>
        <w:rPr>
          <w:rFonts w:hint="eastAsia" w:hAnsi="宋体" w:cs="宋体"/>
          <w:color w:val="auto"/>
          <w:sz w:val="24"/>
          <w:szCs w:val="24"/>
          <w:highlight w:val="none"/>
        </w:rPr>
        <w:t>（单位公章）</w:t>
      </w:r>
    </w:p>
    <w:p w14:paraId="2FD63897">
      <w:pPr>
        <w:widowControl/>
        <w:autoSpaceDE/>
        <w:autoSpaceDN/>
        <w:adjustRightInd/>
        <w:snapToGrid w:val="0"/>
        <w:spacing w:line="480" w:lineRule="auto"/>
        <w:ind w:firstLine="2400" w:firstLineChars="1000"/>
        <w:rPr>
          <w:rFonts w:hint="eastAsia" w:hAnsi="宋体" w:cs="宋体"/>
          <w:color w:val="auto"/>
          <w:sz w:val="24"/>
          <w:szCs w:val="24"/>
          <w:highlight w:val="none"/>
        </w:rPr>
      </w:pPr>
      <w:r>
        <w:rPr>
          <w:rFonts w:hint="eastAsia" w:hAnsi="宋体" w:cs="宋体"/>
          <w:color w:val="auto"/>
          <w:sz w:val="24"/>
          <w:szCs w:val="24"/>
          <w:highlight w:val="none"/>
        </w:rPr>
        <w:t>日期：　</w:t>
      </w:r>
      <w:r>
        <w:rPr>
          <w:rFonts w:hint="eastAsia" w:hAnsi="宋体" w:cs="宋体"/>
          <w:color w:val="auto"/>
          <w:sz w:val="24"/>
          <w:szCs w:val="24"/>
          <w:highlight w:val="none"/>
          <w:u w:val="single"/>
        </w:rPr>
        <w:t>　   　</w:t>
      </w:r>
      <w:r>
        <w:rPr>
          <w:rFonts w:hint="eastAsia" w:hAnsi="宋体" w:cs="宋体"/>
          <w:color w:val="auto"/>
          <w:sz w:val="24"/>
          <w:szCs w:val="24"/>
          <w:highlight w:val="none"/>
        </w:rPr>
        <w:t>年</w:t>
      </w:r>
      <w:r>
        <w:rPr>
          <w:rFonts w:hint="eastAsia" w:hAnsi="宋体" w:cs="宋体"/>
          <w:color w:val="auto"/>
          <w:sz w:val="24"/>
          <w:szCs w:val="24"/>
          <w:highlight w:val="none"/>
          <w:u w:val="single"/>
        </w:rPr>
        <w:t>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6FA36573">
      <w:pPr>
        <w:pStyle w:val="45"/>
        <w:autoSpaceDE/>
        <w:autoSpaceDN/>
        <w:snapToGrid w:val="0"/>
        <w:spacing w:after="0" w:line="480" w:lineRule="auto"/>
        <w:ind w:left="0" w:leftChars="0" w:firstLine="0"/>
        <w:rPr>
          <w:rFonts w:hint="eastAsia" w:ascii="宋体" w:hAnsi="宋体" w:cs="宋体"/>
          <w:color w:val="auto"/>
          <w:highlight w:val="none"/>
        </w:rPr>
      </w:pPr>
    </w:p>
    <w:p w14:paraId="04BB79AF">
      <w:pPr>
        <w:pStyle w:val="45"/>
        <w:ind w:left="0" w:leftChars="0" w:firstLine="0"/>
        <w:rPr>
          <w:rFonts w:hint="eastAsia" w:ascii="宋体" w:hAnsi="宋体" w:cs="宋体"/>
          <w:color w:val="auto"/>
          <w:highlight w:val="none"/>
        </w:rPr>
      </w:pPr>
    </w:p>
    <w:p w14:paraId="24E28B3E">
      <w:pPr>
        <w:pStyle w:val="45"/>
        <w:ind w:left="0" w:leftChars="0" w:firstLine="0"/>
        <w:rPr>
          <w:rFonts w:hint="eastAsia" w:ascii="宋体" w:hAnsi="宋体" w:cs="宋体"/>
          <w:color w:val="auto"/>
          <w:highlight w:val="none"/>
        </w:rPr>
      </w:pPr>
    </w:p>
    <w:p w14:paraId="1A990EDA">
      <w:pPr>
        <w:widowControl/>
        <w:snapToGrid w:val="0"/>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法定代表人身份证（正反面）复印件：</w:t>
      </w:r>
    </w:p>
    <w:p w14:paraId="6400A95E">
      <w:pPr>
        <w:snapToGrid w:val="0"/>
        <w:spacing w:before="50" w:after="50"/>
        <w:ind w:firstLine="422" w:firstLineChars="200"/>
        <w:rPr>
          <w:rFonts w:hint="eastAsia" w:hAnsi="宋体" w:cs="宋体"/>
          <w:color w:val="auto"/>
          <w:sz w:val="24"/>
          <w:highlight w:val="none"/>
        </w:rPr>
      </w:pPr>
      <w:r>
        <w:rPr>
          <w:rFonts w:hint="eastAsia" w:hAnsi="宋体" w:cs="宋体"/>
          <w:b/>
          <w:bCs/>
          <w:color w:val="auto"/>
          <w:sz w:val="21"/>
          <w:szCs w:val="21"/>
          <w:highlight w:val="none"/>
        </w:rPr>
        <w:br w:type="page"/>
      </w:r>
    </w:p>
    <w:p w14:paraId="32D83B03">
      <w:pPr>
        <w:snapToGrid w:val="0"/>
        <w:spacing w:before="50" w:after="50"/>
        <w:jc w:val="center"/>
        <w:rPr>
          <w:rFonts w:hint="eastAsia" w:hAnsi="宋体" w:cs="宋体"/>
          <w:b/>
          <w:color w:val="auto"/>
          <w:sz w:val="24"/>
          <w:szCs w:val="22"/>
          <w:highlight w:val="none"/>
        </w:rPr>
      </w:pPr>
    </w:p>
    <w:p w14:paraId="27876023">
      <w:pPr>
        <w:snapToGrid w:val="0"/>
        <w:spacing w:before="50" w:after="50"/>
        <w:jc w:val="center"/>
        <w:rPr>
          <w:rFonts w:hint="eastAsia" w:hAnsi="宋体" w:cs="宋体"/>
          <w:b/>
          <w:color w:val="auto"/>
          <w:sz w:val="24"/>
          <w:szCs w:val="22"/>
          <w:highlight w:val="none"/>
        </w:rPr>
      </w:pPr>
      <w:r>
        <w:rPr>
          <w:rFonts w:hint="eastAsia" w:hAnsi="宋体" w:cs="宋体"/>
          <w:b/>
          <w:color w:val="auto"/>
          <w:sz w:val="24"/>
          <w:szCs w:val="22"/>
          <w:highlight w:val="none"/>
        </w:rPr>
        <w:t>3.投标人（包括投标联合体各方）情况表</w:t>
      </w:r>
    </w:p>
    <w:tbl>
      <w:tblPr>
        <w:tblStyle w:val="46"/>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416DDE2C">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10C0BA7">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单位名称</w:t>
            </w:r>
          </w:p>
        </w:tc>
        <w:tc>
          <w:tcPr>
            <w:tcW w:w="3443" w:type="dxa"/>
            <w:tcBorders>
              <w:top w:val="single" w:color="auto" w:sz="4" w:space="0"/>
              <w:left w:val="nil"/>
              <w:bottom w:val="single" w:color="auto" w:sz="4" w:space="0"/>
              <w:right w:val="single" w:color="auto" w:sz="4" w:space="0"/>
            </w:tcBorders>
            <w:vAlign w:val="center"/>
          </w:tcPr>
          <w:p w14:paraId="760D3FB4">
            <w:pPr>
              <w:keepNext/>
              <w:spacing w:line="360" w:lineRule="auto"/>
              <w:outlineLvl w:val="0"/>
              <w:rPr>
                <w:rFonts w:hint="eastAsia" w:hAnsi="宋体" w:cs="宋体"/>
                <w:color w:val="auto"/>
                <w:sz w:val="21"/>
                <w:szCs w:val="21"/>
                <w:highlight w:val="none"/>
              </w:rPr>
            </w:pPr>
          </w:p>
        </w:tc>
        <w:tc>
          <w:tcPr>
            <w:tcW w:w="1527" w:type="dxa"/>
            <w:gridSpan w:val="2"/>
            <w:tcBorders>
              <w:top w:val="single" w:color="auto" w:sz="4" w:space="0"/>
              <w:left w:val="nil"/>
              <w:bottom w:val="single" w:color="auto" w:sz="4" w:space="0"/>
              <w:right w:val="single" w:color="auto" w:sz="4" w:space="0"/>
            </w:tcBorders>
            <w:vAlign w:val="center"/>
          </w:tcPr>
          <w:p w14:paraId="7A640245">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注册资金</w:t>
            </w:r>
          </w:p>
        </w:tc>
        <w:tc>
          <w:tcPr>
            <w:tcW w:w="2500" w:type="dxa"/>
            <w:tcBorders>
              <w:top w:val="single" w:color="auto" w:sz="4" w:space="0"/>
              <w:left w:val="nil"/>
              <w:bottom w:val="single" w:color="auto" w:sz="4" w:space="0"/>
              <w:right w:val="single" w:color="auto" w:sz="4" w:space="0"/>
            </w:tcBorders>
            <w:vAlign w:val="center"/>
          </w:tcPr>
          <w:p w14:paraId="1783FC7D">
            <w:pPr>
              <w:keepNext/>
              <w:spacing w:line="360" w:lineRule="auto"/>
              <w:outlineLvl w:val="0"/>
              <w:rPr>
                <w:rFonts w:hint="eastAsia" w:hAnsi="宋体" w:cs="宋体"/>
                <w:color w:val="auto"/>
                <w:sz w:val="21"/>
                <w:szCs w:val="21"/>
                <w:highlight w:val="none"/>
              </w:rPr>
            </w:pPr>
          </w:p>
        </w:tc>
      </w:tr>
      <w:tr w14:paraId="565204B9">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C872B47">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单位详细地址</w:t>
            </w:r>
          </w:p>
        </w:tc>
        <w:tc>
          <w:tcPr>
            <w:tcW w:w="7470" w:type="dxa"/>
            <w:gridSpan w:val="4"/>
            <w:tcBorders>
              <w:top w:val="single" w:color="auto" w:sz="4" w:space="0"/>
              <w:left w:val="nil"/>
              <w:bottom w:val="single" w:color="auto" w:sz="4" w:space="0"/>
              <w:right w:val="single" w:color="auto" w:sz="4" w:space="0"/>
            </w:tcBorders>
            <w:vAlign w:val="center"/>
          </w:tcPr>
          <w:p w14:paraId="2862B78C">
            <w:pPr>
              <w:keepNext/>
              <w:spacing w:line="360" w:lineRule="auto"/>
              <w:outlineLvl w:val="0"/>
              <w:rPr>
                <w:rFonts w:hint="eastAsia" w:hAnsi="宋体" w:cs="宋体"/>
                <w:color w:val="auto"/>
                <w:sz w:val="21"/>
                <w:szCs w:val="21"/>
                <w:highlight w:val="none"/>
              </w:rPr>
            </w:pPr>
          </w:p>
        </w:tc>
      </w:tr>
      <w:tr w14:paraId="4E435810">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10A5E27">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营业执照注册号</w:t>
            </w:r>
          </w:p>
        </w:tc>
        <w:tc>
          <w:tcPr>
            <w:tcW w:w="7470" w:type="dxa"/>
            <w:gridSpan w:val="4"/>
            <w:tcBorders>
              <w:top w:val="single" w:color="auto" w:sz="4" w:space="0"/>
              <w:left w:val="nil"/>
              <w:bottom w:val="single" w:color="auto" w:sz="4" w:space="0"/>
              <w:right w:val="single" w:color="auto" w:sz="4" w:space="0"/>
            </w:tcBorders>
            <w:vAlign w:val="center"/>
          </w:tcPr>
          <w:p w14:paraId="2A31E998">
            <w:pPr>
              <w:keepNext/>
              <w:spacing w:line="360" w:lineRule="auto"/>
              <w:outlineLvl w:val="0"/>
              <w:rPr>
                <w:rFonts w:hint="eastAsia" w:hAnsi="宋体" w:cs="宋体"/>
                <w:color w:val="auto"/>
                <w:sz w:val="21"/>
                <w:szCs w:val="21"/>
                <w:highlight w:val="none"/>
              </w:rPr>
            </w:pPr>
          </w:p>
        </w:tc>
      </w:tr>
      <w:tr w14:paraId="5E760363">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4B5E18B">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单位成立时间</w:t>
            </w:r>
          </w:p>
        </w:tc>
        <w:tc>
          <w:tcPr>
            <w:tcW w:w="4320" w:type="dxa"/>
            <w:gridSpan w:val="2"/>
            <w:tcBorders>
              <w:top w:val="single" w:color="auto" w:sz="4" w:space="0"/>
              <w:left w:val="nil"/>
              <w:bottom w:val="single" w:color="auto" w:sz="4" w:space="0"/>
              <w:right w:val="single" w:color="auto" w:sz="4" w:space="0"/>
            </w:tcBorders>
            <w:vAlign w:val="center"/>
          </w:tcPr>
          <w:p w14:paraId="68238E70">
            <w:pPr>
              <w:keepNext/>
              <w:spacing w:line="360" w:lineRule="auto"/>
              <w:outlineLvl w:val="0"/>
              <w:rPr>
                <w:rFonts w:hint="eastAsia" w:hAnsi="宋体" w:cs="宋体"/>
                <w:color w:val="auto"/>
                <w:sz w:val="21"/>
                <w:szCs w:val="21"/>
                <w:highlight w:val="none"/>
              </w:rPr>
            </w:pPr>
          </w:p>
        </w:tc>
        <w:tc>
          <w:tcPr>
            <w:tcW w:w="3150" w:type="dxa"/>
            <w:gridSpan w:val="2"/>
            <w:tcBorders>
              <w:top w:val="single" w:color="auto" w:sz="4" w:space="0"/>
              <w:left w:val="nil"/>
              <w:bottom w:val="single" w:color="auto" w:sz="4" w:space="0"/>
              <w:right w:val="single" w:color="auto" w:sz="4" w:space="0"/>
            </w:tcBorders>
            <w:vAlign w:val="center"/>
          </w:tcPr>
          <w:p w14:paraId="2099E70C">
            <w:pPr>
              <w:spacing w:line="360" w:lineRule="auto"/>
              <w:rPr>
                <w:rFonts w:hint="eastAsia" w:hAnsi="宋体" w:cs="宋体"/>
                <w:color w:val="auto"/>
                <w:sz w:val="21"/>
                <w:szCs w:val="21"/>
                <w:highlight w:val="none"/>
              </w:rPr>
            </w:pPr>
            <w:r>
              <w:rPr>
                <w:rFonts w:hint="eastAsia" w:hAnsi="宋体" w:cs="宋体"/>
                <w:color w:val="auto"/>
                <w:sz w:val="21"/>
                <w:szCs w:val="21"/>
                <w:highlight w:val="none"/>
              </w:rPr>
              <w:t>固定资产净值：（万元）</w:t>
            </w:r>
          </w:p>
        </w:tc>
      </w:tr>
      <w:tr w14:paraId="647D73D9">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994B9C9">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vAlign w:val="center"/>
          </w:tcPr>
          <w:p w14:paraId="02FF2969">
            <w:pPr>
              <w:keepNext/>
              <w:spacing w:line="360" w:lineRule="auto"/>
              <w:outlineLvl w:val="0"/>
              <w:rPr>
                <w:rFonts w:hint="eastAsia" w:hAnsi="宋体" w:cs="宋体"/>
                <w:color w:val="auto"/>
                <w:sz w:val="21"/>
                <w:szCs w:val="21"/>
                <w:highlight w:val="none"/>
              </w:rPr>
            </w:pPr>
          </w:p>
        </w:tc>
      </w:tr>
      <w:tr w14:paraId="5AC7EE90">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DD9D336">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法定代表人</w:t>
            </w:r>
          </w:p>
        </w:tc>
        <w:tc>
          <w:tcPr>
            <w:tcW w:w="7470" w:type="dxa"/>
            <w:gridSpan w:val="4"/>
            <w:tcBorders>
              <w:top w:val="single" w:color="auto" w:sz="4" w:space="0"/>
              <w:left w:val="nil"/>
              <w:bottom w:val="single" w:color="auto" w:sz="4" w:space="0"/>
              <w:right w:val="single" w:color="auto" w:sz="4" w:space="0"/>
            </w:tcBorders>
            <w:vAlign w:val="center"/>
          </w:tcPr>
          <w:p w14:paraId="5CDF188F">
            <w:pPr>
              <w:spacing w:line="360" w:lineRule="auto"/>
              <w:rPr>
                <w:rFonts w:hint="eastAsia" w:hAnsi="宋体" w:cs="宋体"/>
                <w:color w:val="auto"/>
                <w:sz w:val="21"/>
                <w:szCs w:val="21"/>
                <w:highlight w:val="none"/>
              </w:rPr>
            </w:pPr>
            <w:r>
              <w:rPr>
                <w:rFonts w:hint="eastAsia" w:hAnsi="宋体" w:cs="宋体"/>
                <w:color w:val="auto"/>
                <w:sz w:val="21"/>
                <w:szCs w:val="21"/>
                <w:highlight w:val="none"/>
              </w:rPr>
              <w:t>姓名：职务：职称：</w:t>
            </w:r>
          </w:p>
        </w:tc>
      </w:tr>
      <w:tr w14:paraId="6A2A0F27">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D40C66B">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公司总经理</w:t>
            </w:r>
          </w:p>
        </w:tc>
        <w:tc>
          <w:tcPr>
            <w:tcW w:w="7470" w:type="dxa"/>
            <w:gridSpan w:val="4"/>
            <w:tcBorders>
              <w:top w:val="single" w:color="auto" w:sz="4" w:space="0"/>
              <w:left w:val="nil"/>
              <w:bottom w:val="single" w:color="auto" w:sz="4" w:space="0"/>
              <w:right w:val="single" w:color="auto" w:sz="4" w:space="0"/>
            </w:tcBorders>
            <w:vAlign w:val="center"/>
          </w:tcPr>
          <w:p w14:paraId="7875860D">
            <w:pPr>
              <w:spacing w:line="360" w:lineRule="auto"/>
              <w:rPr>
                <w:rFonts w:hint="eastAsia" w:hAnsi="宋体" w:cs="宋体"/>
                <w:color w:val="auto"/>
                <w:sz w:val="21"/>
                <w:szCs w:val="21"/>
                <w:highlight w:val="none"/>
              </w:rPr>
            </w:pPr>
            <w:r>
              <w:rPr>
                <w:rFonts w:hint="eastAsia" w:hAnsi="宋体" w:cs="宋体"/>
                <w:color w:val="auto"/>
                <w:sz w:val="21"/>
                <w:szCs w:val="21"/>
                <w:highlight w:val="none"/>
              </w:rPr>
              <w:t>姓名：职务：职称：</w:t>
            </w:r>
          </w:p>
        </w:tc>
      </w:tr>
      <w:tr w14:paraId="2A688AA6">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124B5D6">
            <w:pPr>
              <w:jc w:val="center"/>
              <w:rPr>
                <w:rFonts w:hint="eastAsia" w:hAnsi="宋体" w:cs="宋体"/>
                <w:color w:val="auto"/>
                <w:sz w:val="21"/>
                <w:szCs w:val="21"/>
                <w:highlight w:val="none"/>
              </w:rPr>
            </w:pPr>
            <w:r>
              <w:rPr>
                <w:rFonts w:hint="eastAsia" w:hAnsi="宋体" w:cs="宋体"/>
                <w:color w:val="auto"/>
                <w:sz w:val="21"/>
                <w:szCs w:val="21"/>
                <w:highlight w:val="none"/>
              </w:rPr>
              <w:t>职工人数</w:t>
            </w:r>
          </w:p>
        </w:tc>
        <w:tc>
          <w:tcPr>
            <w:tcW w:w="7470" w:type="dxa"/>
            <w:gridSpan w:val="4"/>
            <w:tcBorders>
              <w:top w:val="single" w:color="auto" w:sz="4" w:space="0"/>
              <w:left w:val="nil"/>
              <w:bottom w:val="single" w:color="auto" w:sz="4" w:space="0"/>
              <w:right w:val="single" w:color="auto" w:sz="4" w:space="0"/>
            </w:tcBorders>
            <w:vAlign w:val="center"/>
          </w:tcPr>
          <w:p w14:paraId="437DB616">
            <w:pPr>
              <w:rPr>
                <w:rFonts w:hint="eastAsia" w:hAnsi="宋体" w:cs="宋体"/>
                <w:color w:val="auto"/>
                <w:sz w:val="21"/>
                <w:szCs w:val="21"/>
                <w:highlight w:val="none"/>
              </w:rPr>
            </w:pPr>
          </w:p>
        </w:tc>
      </w:tr>
      <w:tr w14:paraId="4A725EEE">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0500580">
            <w:pPr>
              <w:jc w:val="center"/>
              <w:rPr>
                <w:rFonts w:hint="eastAsia" w:hAnsi="宋体" w:cs="宋体"/>
                <w:color w:val="auto"/>
                <w:sz w:val="21"/>
                <w:szCs w:val="21"/>
                <w:highlight w:val="none"/>
              </w:rPr>
            </w:pPr>
            <w:r>
              <w:rPr>
                <w:rFonts w:hint="eastAsia" w:hAnsi="宋体" w:cs="宋体"/>
                <w:color w:val="auto"/>
                <w:sz w:val="21"/>
                <w:szCs w:val="21"/>
                <w:highlight w:val="none"/>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vAlign w:val="center"/>
          </w:tcPr>
          <w:p w14:paraId="2E757AB9">
            <w:pPr>
              <w:rPr>
                <w:rFonts w:hint="eastAsia" w:hAnsi="宋体" w:cs="宋体"/>
                <w:color w:val="auto"/>
                <w:sz w:val="21"/>
                <w:szCs w:val="21"/>
                <w:highlight w:val="none"/>
              </w:rPr>
            </w:pPr>
          </w:p>
        </w:tc>
      </w:tr>
      <w:tr w14:paraId="572E202F">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01631CE">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联系方式</w:t>
            </w:r>
          </w:p>
        </w:tc>
        <w:tc>
          <w:tcPr>
            <w:tcW w:w="7470" w:type="dxa"/>
            <w:gridSpan w:val="4"/>
            <w:tcBorders>
              <w:top w:val="single" w:color="auto" w:sz="4" w:space="0"/>
              <w:left w:val="nil"/>
              <w:bottom w:val="single" w:color="auto" w:sz="4" w:space="0"/>
              <w:right w:val="single" w:color="auto" w:sz="4" w:space="0"/>
            </w:tcBorders>
            <w:vAlign w:val="center"/>
          </w:tcPr>
          <w:p w14:paraId="42271DC6">
            <w:pPr>
              <w:spacing w:line="360" w:lineRule="auto"/>
              <w:rPr>
                <w:rFonts w:hint="eastAsia" w:hAnsi="宋体" w:cs="宋体"/>
                <w:color w:val="auto"/>
                <w:sz w:val="21"/>
                <w:szCs w:val="21"/>
                <w:highlight w:val="none"/>
              </w:rPr>
            </w:pPr>
            <w:r>
              <w:rPr>
                <w:rFonts w:hint="eastAsia" w:hAnsi="宋体" w:cs="宋体"/>
                <w:color w:val="auto"/>
                <w:sz w:val="21"/>
                <w:szCs w:val="21"/>
                <w:highlight w:val="none"/>
              </w:rPr>
              <w:t>地址：邮编：电话：</w:t>
            </w:r>
          </w:p>
          <w:p w14:paraId="7F4CACD9">
            <w:pPr>
              <w:spacing w:line="360" w:lineRule="auto"/>
              <w:rPr>
                <w:rFonts w:hint="eastAsia" w:hAnsi="宋体" w:cs="宋体"/>
                <w:color w:val="auto"/>
                <w:sz w:val="21"/>
                <w:szCs w:val="21"/>
                <w:highlight w:val="none"/>
              </w:rPr>
            </w:pPr>
            <w:r>
              <w:rPr>
                <w:rFonts w:hint="eastAsia" w:hAnsi="宋体" w:cs="宋体"/>
                <w:color w:val="auto"/>
                <w:sz w:val="21"/>
                <w:szCs w:val="21"/>
                <w:highlight w:val="none"/>
              </w:rPr>
              <w:t>传真：</w:t>
            </w:r>
          </w:p>
        </w:tc>
      </w:tr>
      <w:tr w14:paraId="3603B153">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8000598">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开户银行</w:t>
            </w:r>
          </w:p>
        </w:tc>
        <w:tc>
          <w:tcPr>
            <w:tcW w:w="7470" w:type="dxa"/>
            <w:gridSpan w:val="4"/>
            <w:tcBorders>
              <w:top w:val="single" w:color="auto" w:sz="4" w:space="0"/>
              <w:left w:val="nil"/>
              <w:bottom w:val="single" w:color="auto" w:sz="4" w:space="0"/>
              <w:right w:val="single" w:color="auto" w:sz="4" w:space="0"/>
            </w:tcBorders>
            <w:vAlign w:val="center"/>
          </w:tcPr>
          <w:p w14:paraId="76198A09">
            <w:pPr>
              <w:spacing w:line="360" w:lineRule="auto"/>
              <w:rPr>
                <w:rFonts w:hint="eastAsia" w:hAnsi="宋体" w:cs="宋体"/>
                <w:color w:val="auto"/>
                <w:sz w:val="21"/>
                <w:szCs w:val="21"/>
                <w:highlight w:val="none"/>
              </w:rPr>
            </w:pPr>
            <w:r>
              <w:rPr>
                <w:rFonts w:hint="eastAsia" w:hAnsi="宋体" w:cs="宋体"/>
                <w:color w:val="auto"/>
                <w:sz w:val="21"/>
                <w:szCs w:val="21"/>
                <w:highlight w:val="none"/>
              </w:rPr>
              <w:t>名称：</w:t>
            </w:r>
          </w:p>
          <w:p w14:paraId="0A4AA8B8">
            <w:pPr>
              <w:spacing w:line="360" w:lineRule="auto"/>
              <w:rPr>
                <w:rFonts w:hint="eastAsia" w:hAnsi="宋体" w:cs="宋体"/>
                <w:color w:val="auto"/>
                <w:sz w:val="21"/>
                <w:szCs w:val="21"/>
                <w:highlight w:val="none"/>
              </w:rPr>
            </w:pPr>
            <w:r>
              <w:rPr>
                <w:rFonts w:hint="eastAsia" w:hAnsi="宋体" w:cs="宋体"/>
                <w:color w:val="auto"/>
                <w:sz w:val="21"/>
                <w:szCs w:val="21"/>
                <w:highlight w:val="none"/>
              </w:rPr>
              <w:t>账号：</w:t>
            </w:r>
          </w:p>
        </w:tc>
      </w:tr>
      <w:tr w14:paraId="61B12C90">
        <w:tblPrEx>
          <w:tblCellMar>
            <w:top w:w="0" w:type="dxa"/>
            <w:left w:w="108" w:type="dxa"/>
            <w:bottom w:w="0" w:type="dxa"/>
            <w:right w:w="108" w:type="dxa"/>
          </w:tblCellMar>
        </w:tblPrEx>
        <w:trPr>
          <w:cantSplit/>
          <w:trHeight w:val="1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AB056AF">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公司组织</w:t>
            </w:r>
          </w:p>
          <w:p w14:paraId="713DB952">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机构框图</w:t>
            </w:r>
          </w:p>
        </w:tc>
        <w:tc>
          <w:tcPr>
            <w:tcW w:w="7470" w:type="dxa"/>
            <w:gridSpan w:val="4"/>
            <w:tcBorders>
              <w:top w:val="single" w:color="auto" w:sz="4" w:space="0"/>
              <w:left w:val="nil"/>
              <w:bottom w:val="single" w:color="auto" w:sz="4" w:space="0"/>
              <w:right w:val="single" w:color="auto" w:sz="4" w:space="0"/>
            </w:tcBorders>
            <w:vAlign w:val="center"/>
          </w:tcPr>
          <w:p w14:paraId="36EC8393">
            <w:pPr>
              <w:keepNext/>
              <w:spacing w:line="360" w:lineRule="auto"/>
              <w:jc w:val="center"/>
              <w:outlineLvl w:val="0"/>
              <w:rPr>
                <w:rFonts w:hint="eastAsia" w:hAnsi="宋体" w:cs="宋体"/>
                <w:color w:val="auto"/>
                <w:sz w:val="21"/>
                <w:szCs w:val="21"/>
                <w:highlight w:val="none"/>
              </w:rPr>
            </w:pPr>
          </w:p>
        </w:tc>
      </w:tr>
    </w:tbl>
    <w:p w14:paraId="1895A811">
      <w:pPr>
        <w:snapToGrid w:val="0"/>
        <w:spacing w:line="500" w:lineRule="exact"/>
        <w:rPr>
          <w:rFonts w:hint="eastAsia" w:hAnsi="宋体" w:cs="宋体"/>
          <w:color w:val="auto"/>
          <w:sz w:val="21"/>
          <w:szCs w:val="21"/>
          <w:highlight w:val="none"/>
        </w:rPr>
      </w:pPr>
      <w:r>
        <w:rPr>
          <w:rFonts w:hint="eastAsia" w:hAnsi="宋体" w:cs="宋体"/>
          <w:color w:val="auto"/>
          <w:sz w:val="21"/>
          <w:szCs w:val="21"/>
          <w:highlight w:val="none"/>
        </w:rPr>
        <w:t>法定代表人或其授权代表签字（或盖章）：</w:t>
      </w:r>
    </w:p>
    <w:p w14:paraId="532B9E90">
      <w:pPr>
        <w:snapToGrid w:val="0"/>
        <w:spacing w:line="500" w:lineRule="exact"/>
        <w:rPr>
          <w:rFonts w:hint="eastAsia" w:hAnsi="宋体" w:cs="宋体"/>
          <w:color w:val="auto"/>
          <w:sz w:val="21"/>
          <w:szCs w:val="21"/>
          <w:highlight w:val="none"/>
        </w:rPr>
      </w:pPr>
      <w:r>
        <w:rPr>
          <w:rFonts w:hint="eastAsia" w:hAnsi="宋体" w:cs="宋体"/>
          <w:color w:val="auto"/>
          <w:sz w:val="21"/>
          <w:szCs w:val="21"/>
          <w:highlight w:val="none"/>
        </w:rPr>
        <w:t xml:space="preserve">投标人全称（加盖公章）：                     </w:t>
      </w:r>
    </w:p>
    <w:p w14:paraId="49965F69">
      <w:pPr>
        <w:pStyle w:val="27"/>
        <w:snapToGrid w:val="0"/>
        <w:spacing w:line="500" w:lineRule="exact"/>
        <w:rPr>
          <w:rFonts w:hint="eastAsia" w:ascii="宋体" w:hAnsi="宋体" w:cs="宋体"/>
          <w:color w:val="auto"/>
          <w:highlight w:val="none"/>
        </w:rPr>
      </w:pPr>
      <w:r>
        <w:rPr>
          <w:rFonts w:hint="eastAsia" w:ascii="宋体" w:hAnsi="宋体" w:cs="宋体"/>
          <w:color w:val="auto"/>
          <w:sz w:val="24"/>
          <w:szCs w:val="24"/>
          <w:highlight w:val="none"/>
        </w:rPr>
        <w:t>日期：  年  月   日</w:t>
      </w:r>
    </w:p>
    <w:p w14:paraId="49DEAA65">
      <w:pPr>
        <w:autoSpaceDE/>
        <w:autoSpaceDN/>
        <w:snapToGrid w:val="0"/>
        <w:spacing w:line="500" w:lineRule="exact"/>
        <w:jc w:val="both"/>
        <w:rPr>
          <w:rFonts w:hint="eastAsia" w:hAnsi="宋体" w:cs="宋体"/>
          <w:color w:val="auto"/>
          <w:sz w:val="21"/>
          <w:szCs w:val="21"/>
          <w:highlight w:val="none"/>
        </w:rPr>
      </w:pPr>
      <w:r>
        <w:rPr>
          <w:rFonts w:hint="eastAsia" w:hAnsi="宋体" w:cs="宋体"/>
          <w:color w:val="auto"/>
          <w:sz w:val="24"/>
          <w:szCs w:val="24"/>
          <w:highlight w:val="none"/>
        </w:rPr>
        <w:t>注：若为联合体投标人，由联合体投标人牵头人签字、盖章。</w:t>
      </w:r>
    </w:p>
    <w:p w14:paraId="06297E34">
      <w:pPr>
        <w:autoSpaceDE/>
        <w:autoSpaceDN/>
        <w:adjustRightInd/>
        <w:snapToGrid w:val="0"/>
        <w:spacing w:line="460" w:lineRule="exact"/>
        <w:rPr>
          <w:rFonts w:hint="eastAsia" w:hAnsi="宋体" w:cs="宋体"/>
          <w:b/>
          <w:color w:val="auto"/>
          <w:sz w:val="24"/>
          <w:szCs w:val="22"/>
          <w:highlight w:val="none"/>
        </w:rPr>
      </w:pPr>
    </w:p>
    <w:p w14:paraId="25AFBF96">
      <w:pPr>
        <w:autoSpaceDE/>
        <w:autoSpaceDN/>
        <w:adjustRightInd/>
        <w:snapToGrid w:val="0"/>
        <w:spacing w:line="460" w:lineRule="exact"/>
        <w:rPr>
          <w:rFonts w:hint="eastAsia" w:hAnsi="宋体" w:cs="宋体"/>
          <w:b/>
          <w:color w:val="auto"/>
          <w:sz w:val="24"/>
          <w:szCs w:val="22"/>
          <w:highlight w:val="none"/>
        </w:rPr>
      </w:pPr>
    </w:p>
    <w:p w14:paraId="3521EEAB">
      <w:pPr>
        <w:autoSpaceDE/>
        <w:autoSpaceDN/>
        <w:adjustRightInd/>
        <w:snapToGrid w:val="0"/>
        <w:spacing w:line="460" w:lineRule="exact"/>
        <w:rPr>
          <w:rFonts w:hint="eastAsia" w:hAnsi="宋体" w:cs="宋体"/>
          <w:b/>
          <w:color w:val="auto"/>
          <w:sz w:val="24"/>
          <w:szCs w:val="22"/>
          <w:highlight w:val="none"/>
        </w:rPr>
      </w:pPr>
      <w:r>
        <w:rPr>
          <w:rFonts w:hint="eastAsia" w:hAnsi="宋体" w:cs="宋体"/>
          <w:b/>
          <w:color w:val="auto"/>
          <w:sz w:val="24"/>
          <w:szCs w:val="22"/>
          <w:highlight w:val="none"/>
        </w:rPr>
        <w:t>4.投标人（包括投标联合体各方）相关资质证书及获得的相关荣誉证书（扫描件或复印件加盖单位公章）；</w:t>
      </w:r>
    </w:p>
    <w:p w14:paraId="5C13B21F">
      <w:pPr>
        <w:snapToGrid w:val="0"/>
        <w:spacing w:before="50" w:after="50"/>
        <w:jc w:val="center"/>
        <w:rPr>
          <w:rFonts w:hint="eastAsia" w:hAnsi="宋体" w:cs="宋体"/>
          <w:b/>
          <w:color w:val="auto"/>
          <w:sz w:val="24"/>
          <w:highlight w:val="none"/>
        </w:rPr>
      </w:pPr>
      <w:r>
        <w:rPr>
          <w:rFonts w:hint="eastAsia" w:hAnsi="宋体" w:cs="宋体"/>
          <w:b/>
          <w:bCs/>
          <w:color w:val="auto"/>
          <w:sz w:val="24"/>
          <w:highlight w:val="none"/>
        </w:rPr>
        <w:br w:type="page"/>
      </w:r>
      <w:r>
        <w:rPr>
          <w:rFonts w:hint="eastAsia" w:hAnsi="宋体" w:cs="宋体"/>
          <w:b/>
          <w:color w:val="auto"/>
          <w:sz w:val="24"/>
          <w:szCs w:val="22"/>
          <w:highlight w:val="none"/>
        </w:rPr>
        <w:t>5.投标人（包括投标联合体各方）2023年1月1日以来类似案例成功的业绩</w:t>
      </w:r>
    </w:p>
    <w:tbl>
      <w:tblPr>
        <w:tblStyle w:val="46"/>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5007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03E727EE">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823" w:type="dxa"/>
            <w:tcBorders>
              <w:top w:val="single" w:color="auto" w:sz="4" w:space="0"/>
              <w:left w:val="single" w:color="auto" w:sz="4" w:space="0"/>
              <w:bottom w:val="single" w:color="auto" w:sz="4" w:space="0"/>
              <w:right w:val="single" w:color="auto" w:sz="4" w:space="0"/>
            </w:tcBorders>
            <w:vAlign w:val="center"/>
          </w:tcPr>
          <w:p w14:paraId="192CAA00">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项 目 名 称</w:t>
            </w:r>
          </w:p>
        </w:tc>
        <w:tc>
          <w:tcPr>
            <w:tcW w:w="2324" w:type="dxa"/>
            <w:tcBorders>
              <w:top w:val="single" w:color="auto" w:sz="4" w:space="0"/>
              <w:left w:val="single" w:color="auto" w:sz="4" w:space="0"/>
              <w:bottom w:val="single" w:color="auto" w:sz="4" w:space="0"/>
              <w:right w:val="single" w:color="auto" w:sz="4" w:space="0"/>
            </w:tcBorders>
            <w:vAlign w:val="center"/>
          </w:tcPr>
          <w:p w14:paraId="40FA316C">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项 目 概 况</w:t>
            </w:r>
          </w:p>
        </w:tc>
        <w:tc>
          <w:tcPr>
            <w:tcW w:w="1548" w:type="dxa"/>
            <w:tcBorders>
              <w:top w:val="single" w:color="auto" w:sz="4" w:space="0"/>
              <w:left w:val="single" w:color="auto" w:sz="4" w:space="0"/>
              <w:bottom w:val="single" w:color="auto" w:sz="4" w:space="0"/>
              <w:right w:val="single" w:color="auto" w:sz="4" w:space="0"/>
            </w:tcBorders>
            <w:vAlign w:val="center"/>
          </w:tcPr>
          <w:p w14:paraId="304AF313">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起讫时间</w:t>
            </w:r>
          </w:p>
        </w:tc>
        <w:tc>
          <w:tcPr>
            <w:tcW w:w="1200" w:type="dxa"/>
            <w:tcBorders>
              <w:top w:val="single" w:color="auto" w:sz="4" w:space="0"/>
              <w:left w:val="single" w:color="auto" w:sz="4" w:space="0"/>
              <w:bottom w:val="single" w:color="auto" w:sz="4" w:space="0"/>
              <w:right w:val="single" w:color="auto" w:sz="4" w:space="0"/>
            </w:tcBorders>
            <w:vAlign w:val="center"/>
          </w:tcPr>
          <w:p w14:paraId="057105AF">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合同金额</w:t>
            </w:r>
          </w:p>
        </w:tc>
        <w:tc>
          <w:tcPr>
            <w:tcW w:w="1479" w:type="dxa"/>
            <w:tcBorders>
              <w:top w:val="single" w:color="auto" w:sz="4" w:space="0"/>
              <w:left w:val="single" w:color="auto" w:sz="4" w:space="0"/>
              <w:bottom w:val="single" w:color="auto" w:sz="4" w:space="0"/>
              <w:right w:val="single" w:color="auto" w:sz="4" w:space="0"/>
            </w:tcBorders>
            <w:vAlign w:val="center"/>
          </w:tcPr>
          <w:p w14:paraId="13B62E3C">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备注</w:t>
            </w:r>
          </w:p>
        </w:tc>
      </w:tr>
      <w:tr w14:paraId="0D97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3A4FADED">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5D3D9EDA">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623C90DC">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52B8755B">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78448CEE">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52674084">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0CF1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0D85C016">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3DAC35E7">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34604F94">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68DD1F78">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229C0E13">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17CAF8D3">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01AB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2B4A0D33">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2026A6B4">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6AFBC3D1">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6A1B7B65">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4D6FDED5">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7EB9C2ED">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26AF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00AC36FA">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114BB8D5">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1931D30A">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2A368B17">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758679FD">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44984C4F">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0B30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1E958F2">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7B259F77">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09A85E3D">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0658A07A">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0A45DB05">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71B9D0DC">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5491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67A83037">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1B069EC3">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44CE1BE1">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58853933">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19D51BF6">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7EA83E60">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7BCA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519FC558">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7F5D3999">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6A85F31F">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7457B8B9">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790664E6">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2783D094">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7BCE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1083E17E">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187E4FDC">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6BE1B785">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16D4802">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764B0C7B">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0D9254CC">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0DA4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11567F5">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20CEC206">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2A267440">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B4D0204">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71066563">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61647FB0">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bl>
    <w:p w14:paraId="5C656B6C">
      <w:pPr>
        <w:pStyle w:val="2"/>
        <w:rPr>
          <w:rFonts w:hint="eastAsia" w:ascii="宋体" w:hAnsi="宋体" w:cs="宋体"/>
          <w:color w:val="auto"/>
          <w:highlight w:val="none"/>
        </w:rPr>
      </w:pPr>
    </w:p>
    <w:p w14:paraId="12A33A93">
      <w:pPr>
        <w:spacing w:line="360" w:lineRule="auto"/>
        <w:ind w:firstLine="478" w:firstLineChars="228"/>
        <w:rPr>
          <w:rFonts w:hint="eastAsia" w:hAnsi="宋体" w:cs="宋体"/>
          <w:color w:val="auto"/>
          <w:sz w:val="21"/>
          <w:szCs w:val="21"/>
          <w:highlight w:val="none"/>
        </w:rPr>
      </w:pPr>
      <w:r>
        <w:rPr>
          <w:rFonts w:hint="eastAsia" w:hAnsi="宋体" w:cs="宋体"/>
          <w:color w:val="auto"/>
          <w:sz w:val="21"/>
          <w:szCs w:val="21"/>
          <w:highlight w:val="none"/>
        </w:rPr>
        <w:t>法定代表人或其授权代表签字（或盖章）：</w:t>
      </w:r>
    </w:p>
    <w:p w14:paraId="2340AD79">
      <w:pPr>
        <w:autoSpaceDE/>
        <w:autoSpaceDN/>
        <w:adjustRightInd/>
        <w:spacing w:line="360" w:lineRule="auto"/>
        <w:ind w:firstLine="630" w:firstLineChars="300"/>
        <w:rPr>
          <w:rFonts w:hint="eastAsia" w:hAnsi="宋体" w:cs="宋体"/>
          <w:color w:val="auto"/>
          <w:sz w:val="21"/>
          <w:szCs w:val="21"/>
          <w:highlight w:val="none"/>
        </w:rPr>
      </w:pPr>
      <w:r>
        <w:rPr>
          <w:rFonts w:hint="eastAsia" w:hAnsi="宋体" w:cs="宋体"/>
          <w:color w:val="auto"/>
          <w:sz w:val="21"/>
          <w:szCs w:val="21"/>
          <w:highlight w:val="none"/>
        </w:rPr>
        <w:t xml:space="preserve">投标人全称（加盖公章）：                     </w:t>
      </w:r>
    </w:p>
    <w:p w14:paraId="0A47B457">
      <w:pPr>
        <w:snapToGrid w:val="0"/>
        <w:spacing w:before="50" w:after="50"/>
        <w:jc w:val="center"/>
        <w:rPr>
          <w:rFonts w:hint="eastAsia" w:hAnsi="宋体" w:cs="宋体"/>
          <w:b/>
          <w:color w:val="auto"/>
          <w:sz w:val="24"/>
          <w:highlight w:val="none"/>
        </w:rPr>
      </w:pPr>
      <w:r>
        <w:rPr>
          <w:rFonts w:hint="eastAsia" w:hAnsi="宋体" w:cs="宋体"/>
          <w:color w:val="auto"/>
          <w:sz w:val="24"/>
          <w:szCs w:val="24"/>
          <w:highlight w:val="none"/>
        </w:rPr>
        <w:t>日期：  年  月   日</w:t>
      </w:r>
    </w:p>
    <w:p w14:paraId="3123863B">
      <w:pPr>
        <w:pStyle w:val="27"/>
        <w:snapToGrid w:val="0"/>
        <w:spacing w:before="295" w:after="295"/>
        <w:rPr>
          <w:rFonts w:hint="eastAsia" w:ascii="宋体" w:hAnsi="宋体" w:cs="宋体"/>
          <w:color w:val="auto"/>
          <w:highlight w:val="none"/>
        </w:rPr>
      </w:pPr>
      <w:bookmarkStart w:id="59" w:name="_Toc296075064"/>
      <w:bookmarkStart w:id="60" w:name="_Toc295910890"/>
      <w:bookmarkStart w:id="61" w:name="_Toc354841327"/>
      <w:bookmarkStart w:id="62" w:name="_Toc296074353"/>
      <w:bookmarkStart w:id="63" w:name="_Toc295737642"/>
      <w:r>
        <w:rPr>
          <w:rFonts w:hint="eastAsia" w:ascii="宋体" w:hAnsi="宋体" w:cs="宋体"/>
          <w:color w:val="auto"/>
          <w:sz w:val="24"/>
          <w:szCs w:val="24"/>
          <w:highlight w:val="none"/>
        </w:rPr>
        <w:t>注：若为联合体投标人，由联合体投标人牵头人签字、盖章。</w:t>
      </w:r>
    </w:p>
    <w:p w14:paraId="24683B95">
      <w:pPr>
        <w:jc w:val="center"/>
        <w:rPr>
          <w:rFonts w:hint="eastAsia" w:hAnsi="宋体" w:cs="宋体"/>
          <w:b/>
          <w:color w:val="auto"/>
          <w:sz w:val="21"/>
          <w:szCs w:val="21"/>
          <w:highlight w:val="none"/>
        </w:rPr>
      </w:pPr>
    </w:p>
    <w:p w14:paraId="1478521D">
      <w:pPr>
        <w:jc w:val="center"/>
        <w:rPr>
          <w:rFonts w:hint="eastAsia" w:hAnsi="宋体" w:cs="宋体"/>
          <w:b/>
          <w:color w:val="auto"/>
          <w:sz w:val="21"/>
          <w:szCs w:val="21"/>
          <w:highlight w:val="none"/>
        </w:rPr>
      </w:pPr>
    </w:p>
    <w:p w14:paraId="23408A86">
      <w:pPr>
        <w:jc w:val="center"/>
        <w:rPr>
          <w:rFonts w:hint="eastAsia" w:hAnsi="宋体" w:cs="宋体"/>
          <w:b/>
          <w:color w:val="auto"/>
          <w:sz w:val="21"/>
          <w:szCs w:val="21"/>
          <w:highlight w:val="none"/>
        </w:rPr>
      </w:pPr>
    </w:p>
    <w:p w14:paraId="7E866B61">
      <w:pPr>
        <w:jc w:val="center"/>
        <w:rPr>
          <w:rFonts w:hint="eastAsia" w:hAnsi="宋体" w:cs="宋体"/>
          <w:b/>
          <w:color w:val="auto"/>
          <w:sz w:val="21"/>
          <w:szCs w:val="21"/>
          <w:highlight w:val="none"/>
        </w:rPr>
      </w:pPr>
    </w:p>
    <w:p w14:paraId="68A86023">
      <w:pPr>
        <w:jc w:val="center"/>
        <w:rPr>
          <w:rFonts w:hint="eastAsia" w:hAnsi="宋体" w:cs="宋体"/>
          <w:b/>
          <w:color w:val="auto"/>
          <w:sz w:val="21"/>
          <w:szCs w:val="21"/>
          <w:highlight w:val="none"/>
        </w:rPr>
      </w:pPr>
    </w:p>
    <w:p w14:paraId="08B5B7C6">
      <w:pPr>
        <w:jc w:val="center"/>
        <w:rPr>
          <w:rFonts w:hint="eastAsia" w:hAnsi="宋体" w:cs="宋体"/>
          <w:b/>
          <w:color w:val="auto"/>
          <w:sz w:val="21"/>
          <w:szCs w:val="21"/>
          <w:highlight w:val="none"/>
        </w:rPr>
      </w:pPr>
    </w:p>
    <w:p w14:paraId="45B40B7F">
      <w:pPr>
        <w:snapToGrid w:val="0"/>
        <w:spacing w:before="50" w:after="50"/>
        <w:jc w:val="center"/>
        <w:rPr>
          <w:rFonts w:hint="eastAsia" w:hAnsi="宋体" w:cs="宋体"/>
          <w:b/>
          <w:color w:val="auto"/>
          <w:sz w:val="24"/>
          <w:szCs w:val="22"/>
          <w:highlight w:val="none"/>
        </w:rPr>
      </w:pPr>
    </w:p>
    <w:p w14:paraId="555ED2DA">
      <w:pPr>
        <w:snapToGrid w:val="0"/>
        <w:spacing w:before="50" w:after="50"/>
        <w:jc w:val="center"/>
        <w:rPr>
          <w:rFonts w:hint="eastAsia" w:hAnsi="宋体" w:cs="宋体"/>
          <w:b/>
          <w:color w:val="auto"/>
          <w:sz w:val="24"/>
          <w:szCs w:val="22"/>
          <w:highlight w:val="none"/>
        </w:rPr>
      </w:pPr>
    </w:p>
    <w:p w14:paraId="7F292F0B">
      <w:pPr>
        <w:snapToGrid w:val="0"/>
        <w:spacing w:before="50" w:after="50"/>
        <w:jc w:val="center"/>
        <w:rPr>
          <w:rFonts w:hint="eastAsia" w:hAnsi="宋体" w:cs="宋体"/>
          <w:b/>
          <w:color w:val="auto"/>
          <w:sz w:val="24"/>
          <w:szCs w:val="22"/>
          <w:highlight w:val="none"/>
        </w:rPr>
      </w:pPr>
      <w:r>
        <w:rPr>
          <w:rFonts w:hint="eastAsia" w:hAnsi="宋体" w:cs="宋体"/>
          <w:b/>
          <w:color w:val="auto"/>
          <w:sz w:val="24"/>
          <w:szCs w:val="22"/>
          <w:highlight w:val="none"/>
        </w:rPr>
        <w:t>6.</w:t>
      </w:r>
      <w:bookmarkEnd w:id="59"/>
      <w:bookmarkEnd w:id="60"/>
      <w:bookmarkEnd w:id="61"/>
      <w:bookmarkEnd w:id="62"/>
      <w:bookmarkEnd w:id="63"/>
      <w:r>
        <w:rPr>
          <w:rFonts w:hint="eastAsia" w:hAnsi="宋体" w:cs="宋体"/>
          <w:b/>
          <w:color w:val="auto"/>
          <w:sz w:val="24"/>
          <w:szCs w:val="22"/>
          <w:highlight w:val="none"/>
        </w:rPr>
        <w:t>拟投入本项目的服务人员配置表</w:t>
      </w:r>
    </w:p>
    <w:p w14:paraId="0DB7E1C3">
      <w:pPr>
        <w:numPr>
          <w:ilvl w:val="255"/>
          <w:numId w:val="0"/>
        </w:numPr>
        <w:jc w:val="both"/>
        <w:rPr>
          <w:color w:val="auto"/>
          <w:highlight w:val="none"/>
        </w:rPr>
      </w:pPr>
    </w:p>
    <w:tbl>
      <w:tblPr>
        <w:tblStyle w:val="46"/>
        <w:tblW w:w="951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1037"/>
        <w:gridCol w:w="1673"/>
        <w:gridCol w:w="645"/>
        <w:gridCol w:w="645"/>
        <w:gridCol w:w="1291"/>
        <w:gridCol w:w="1161"/>
        <w:gridCol w:w="2021"/>
      </w:tblGrid>
      <w:tr w14:paraId="1B511B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37" w:type="dxa"/>
            <w:vAlign w:val="center"/>
          </w:tcPr>
          <w:p w14:paraId="1599EB28">
            <w:pPr>
              <w:jc w:val="center"/>
              <w:rPr>
                <w:rFonts w:hint="eastAsia" w:hAnsi="宋体" w:cs="宋体"/>
                <w:bCs/>
                <w:color w:val="auto"/>
                <w:sz w:val="21"/>
                <w:szCs w:val="21"/>
                <w:highlight w:val="none"/>
              </w:rPr>
            </w:pPr>
            <w:r>
              <w:rPr>
                <w:rFonts w:hint="eastAsia" w:hAnsi="宋体" w:cs="宋体"/>
                <w:bCs/>
                <w:color w:val="auto"/>
                <w:sz w:val="21"/>
                <w:szCs w:val="21"/>
                <w:highlight w:val="none"/>
              </w:rPr>
              <w:t>序号</w:t>
            </w:r>
          </w:p>
        </w:tc>
        <w:tc>
          <w:tcPr>
            <w:tcW w:w="1037" w:type="dxa"/>
            <w:vAlign w:val="center"/>
          </w:tcPr>
          <w:p w14:paraId="1D7FDF10">
            <w:pPr>
              <w:jc w:val="center"/>
              <w:rPr>
                <w:rFonts w:hint="eastAsia" w:hAnsi="宋体" w:cs="宋体"/>
                <w:bCs/>
                <w:color w:val="auto"/>
                <w:sz w:val="21"/>
                <w:szCs w:val="21"/>
                <w:highlight w:val="none"/>
              </w:rPr>
            </w:pPr>
            <w:r>
              <w:rPr>
                <w:rFonts w:hint="eastAsia" w:hAnsi="宋体" w:cs="宋体"/>
                <w:bCs/>
                <w:color w:val="auto"/>
                <w:sz w:val="21"/>
                <w:szCs w:val="21"/>
                <w:highlight w:val="none"/>
              </w:rPr>
              <w:t>姓名</w:t>
            </w:r>
          </w:p>
        </w:tc>
        <w:tc>
          <w:tcPr>
            <w:tcW w:w="1673" w:type="dxa"/>
            <w:vAlign w:val="center"/>
          </w:tcPr>
          <w:p w14:paraId="42979004">
            <w:pPr>
              <w:jc w:val="center"/>
              <w:rPr>
                <w:rFonts w:hint="eastAsia" w:hAnsi="宋体" w:cs="宋体"/>
                <w:bCs/>
                <w:color w:val="auto"/>
                <w:sz w:val="21"/>
                <w:szCs w:val="21"/>
                <w:highlight w:val="none"/>
              </w:rPr>
            </w:pPr>
            <w:r>
              <w:rPr>
                <w:rFonts w:hint="eastAsia" w:hAnsi="宋体" w:cs="宋体"/>
                <w:bCs/>
                <w:color w:val="auto"/>
                <w:sz w:val="21"/>
                <w:szCs w:val="21"/>
                <w:highlight w:val="none"/>
              </w:rPr>
              <w:t>本项目主要工作</w:t>
            </w:r>
          </w:p>
        </w:tc>
        <w:tc>
          <w:tcPr>
            <w:tcW w:w="645" w:type="dxa"/>
            <w:vAlign w:val="center"/>
          </w:tcPr>
          <w:p w14:paraId="5995313F">
            <w:pPr>
              <w:jc w:val="center"/>
              <w:rPr>
                <w:rFonts w:hint="eastAsia" w:hAnsi="宋体" w:cs="宋体"/>
                <w:bCs/>
                <w:color w:val="auto"/>
                <w:sz w:val="21"/>
                <w:szCs w:val="21"/>
                <w:highlight w:val="none"/>
              </w:rPr>
            </w:pPr>
            <w:r>
              <w:rPr>
                <w:rFonts w:hint="eastAsia" w:hAnsi="宋体" w:cs="宋体"/>
                <w:bCs/>
                <w:color w:val="auto"/>
                <w:sz w:val="21"/>
                <w:szCs w:val="21"/>
                <w:highlight w:val="none"/>
              </w:rPr>
              <w:t>年龄</w:t>
            </w:r>
          </w:p>
        </w:tc>
        <w:tc>
          <w:tcPr>
            <w:tcW w:w="645" w:type="dxa"/>
            <w:vAlign w:val="center"/>
          </w:tcPr>
          <w:p w14:paraId="0ED98B34">
            <w:pPr>
              <w:jc w:val="center"/>
              <w:rPr>
                <w:rFonts w:hint="eastAsia" w:hAnsi="宋体" w:cs="宋体"/>
                <w:bCs/>
                <w:color w:val="auto"/>
                <w:sz w:val="21"/>
                <w:szCs w:val="21"/>
                <w:highlight w:val="none"/>
              </w:rPr>
            </w:pPr>
            <w:r>
              <w:rPr>
                <w:rFonts w:hint="eastAsia" w:hAnsi="宋体" w:cs="宋体"/>
                <w:bCs/>
                <w:color w:val="auto"/>
                <w:sz w:val="21"/>
                <w:szCs w:val="21"/>
                <w:highlight w:val="none"/>
              </w:rPr>
              <w:t>性别</w:t>
            </w:r>
          </w:p>
        </w:tc>
        <w:tc>
          <w:tcPr>
            <w:tcW w:w="1291" w:type="dxa"/>
            <w:vAlign w:val="center"/>
          </w:tcPr>
          <w:p w14:paraId="3B268774">
            <w:pPr>
              <w:jc w:val="center"/>
              <w:rPr>
                <w:rFonts w:hint="eastAsia" w:hAnsi="宋体" w:cs="宋体"/>
                <w:bCs/>
                <w:color w:val="auto"/>
                <w:sz w:val="21"/>
                <w:szCs w:val="21"/>
                <w:highlight w:val="none"/>
              </w:rPr>
            </w:pPr>
            <w:r>
              <w:rPr>
                <w:rFonts w:hint="eastAsia" w:hAnsi="宋体" w:cs="宋体"/>
                <w:bCs/>
                <w:color w:val="auto"/>
                <w:sz w:val="21"/>
                <w:szCs w:val="21"/>
                <w:highlight w:val="none"/>
              </w:rPr>
              <w:t>职称/职务</w:t>
            </w:r>
          </w:p>
        </w:tc>
        <w:tc>
          <w:tcPr>
            <w:tcW w:w="1161" w:type="dxa"/>
            <w:vAlign w:val="center"/>
          </w:tcPr>
          <w:p w14:paraId="18192D06">
            <w:pPr>
              <w:jc w:val="center"/>
              <w:rPr>
                <w:rFonts w:hint="eastAsia" w:hAnsi="宋体" w:cs="宋体"/>
                <w:bCs/>
                <w:color w:val="auto"/>
                <w:sz w:val="21"/>
                <w:szCs w:val="21"/>
                <w:highlight w:val="none"/>
              </w:rPr>
            </w:pPr>
            <w:r>
              <w:rPr>
                <w:rFonts w:hint="eastAsia" w:hAnsi="宋体" w:cs="宋体"/>
                <w:bCs/>
                <w:color w:val="auto"/>
                <w:sz w:val="21"/>
                <w:szCs w:val="21"/>
                <w:highlight w:val="none"/>
              </w:rPr>
              <w:t>专业/年限</w:t>
            </w:r>
          </w:p>
        </w:tc>
        <w:tc>
          <w:tcPr>
            <w:tcW w:w="2021" w:type="dxa"/>
            <w:vAlign w:val="center"/>
          </w:tcPr>
          <w:p w14:paraId="2A34A5A7">
            <w:pPr>
              <w:jc w:val="center"/>
              <w:rPr>
                <w:rFonts w:hint="eastAsia" w:hAnsi="宋体" w:cs="宋体"/>
                <w:bCs/>
                <w:color w:val="auto"/>
                <w:sz w:val="21"/>
                <w:szCs w:val="21"/>
                <w:highlight w:val="none"/>
              </w:rPr>
            </w:pPr>
            <w:r>
              <w:rPr>
                <w:rFonts w:hint="eastAsia" w:hAnsi="宋体" w:cs="宋体"/>
                <w:bCs/>
                <w:color w:val="auto"/>
                <w:sz w:val="21"/>
                <w:szCs w:val="21"/>
                <w:highlight w:val="none"/>
              </w:rPr>
              <w:t>联系方式</w:t>
            </w:r>
          </w:p>
        </w:tc>
      </w:tr>
      <w:tr w14:paraId="17898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14633841">
            <w:pPr>
              <w:spacing w:line="360" w:lineRule="auto"/>
              <w:rPr>
                <w:rFonts w:hint="eastAsia" w:hAnsi="宋体" w:cs="宋体"/>
                <w:color w:val="auto"/>
                <w:sz w:val="21"/>
                <w:szCs w:val="21"/>
                <w:highlight w:val="none"/>
              </w:rPr>
            </w:pPr>
          </w:p>
        </w:tc>
        <w:tc>
          <w:tcPr>
            <w:tcW w:w="1037" w:type="dxa"/>
            <w:vAlign w:val="center"/>
          </w:tcPr>
          <w:p w14:paraId="316A0300">
            <w:pPr>
              <w:spacing w:line="360" w:lineRule="auto"/>
              <w:rPr>
                <w:rFonts w:hint="eastAsia" w:hAnsi="宋体" w:cs="宋体"/>
                <w:color w:val="auto"/>
                <w:sz w:val="21"/>
                <w:szCs w:val="21"/>
                <w:highlight w:val="none"/>
              </w:rPr>
            </w:pPr>
          </w:p>
        </w:tc>
        <w:tc>
          <w:tcPr>
            <w:tcW w:w="1673" w:type="dxa"/>
            <w:vAlign w:val="center"/>
          </w:tcPr>
          <w:p w14:paraId="002B6641">
            <w:pPr>
              <w:jc w:val="center"/>
              <w:rPr>
                <w:rFonts w:hint="eastAsia" w:hAnsi="宋体" w:cs="宋体"/>
                <w:bCs/>
                <w:color w:val="auto"/>
                <w:sz w:val="21"/>
                <w:szCs w:val="21"/>
                <w:highlight w:val="none"/>
              </w:rPr>
            </w:pPr>
            <w:r>
              <w:rPr>
                <w:rFonts w:hint="eastAsia" w:hAnsi="宋体" w:cs="宋体"/>
                <w:bCs/>
                <w:color w:val="auto"/>
                <w:sz w:val="21"/>
                <w:szCs w:val="21"/>
                <w:highlight w:val="none"/>
              </w:rPr>
              <w:t>项目负责人</w:t>
            </w:r>
          </w:p>
        </w:tc>
        <w:tc>
          <w:tcPr>
            <w:tcW w:w="645" w:type="dxa"/>
            <w:vAlign w:val="center"/>
          </w:tcPr>
          <w:p w14:paraId="72153764">
            <w:pPr>
              <w:spacing w:line="360" w:lineRule="auto"/>
              <w:rPr>
                <w:rFonts w:hint="eastAsia" w:hAnsi="宋体" w:cs="宋体"/>
                <w:color w:val="auto"/>
                <w:sz w:val="21"/>
                <w:szCs w:val="21"/>
                <w:highlight w:val="none"/>
              </w:rPr>
            </w:pPr>
          </w:p>
        </w:tc>
        <w:tc>
          <w:tcPr>
            <w:tcW w:w="645" w:type="dxa"/>
            <w:vAlign w:val="center"/>
          </w:tcPr>
          <w:p w14:paraId="00AA6ACA">
            <w:pPr>
              <w:spacing w:line="360" w:lineRule="auto"/>
              <w:rPr>
                <w:rFonts w:hint="eastAsia" w:hAnsi="宋体" w:cs="宋体"/>
                <w:color w:val="auto"/>
                <w:sz w:val="21"/>
                <w:szCs w:val="21"/>
                <w:highlight w:val="none"/>
              </w:rPr>
            </w:pPr>
          </w:p>
        </w:tc>
        <w:tc>
          <w:tcPr>
            <w:tcW w:w="1291" w:type="dxa"/>
            <w:vAlign w:val="center"/>
          </w:tcPr>
          <w:p w14:paraId="07AD760A">
            <w:pPr>
              <w:spacing w:line="360" w:lineRule="auto"/>
              <w:rPr>
                <w:rFonts w:hint="eastAsia" w:hAnsi="宋体" w:cs="宋体"/>
                <w:color w:val="auto"/>
                <w:sz w:val="21"/>
                <w:szCs w:val="21"/>
                <w:highlight w:val="none"/>
              </w:rPr>
            </w:pPr>
          </w:p>
        </w:tc>
        <w:tc>
          <w:tcPr>
            <w:tcW w:w="1161" w:type="dxa"/>
            <w:vAlign w:val="center"/>
          </w:tcPr>
          <w:p w14:paraId="26D30D12">
            <w:pPr>
              <w:spacing w:line="360" w:lineRule="auto"/>
              <w:rPr>
                <w:rFonts w:hint="eastAsia" w:hAnsi="宋体" w:cs="宋体"/>
                <w:color w:val="auto"/>
                <w:sz w:val="21"/>
                <w:szCs w:val="21"/>
                <w:highlight w:val="none"/>
              </w:rPr>
            </w:pPr>
          </w:p>
        </w:tc>
        <w:tc>
          <w:tcPr>
            <w:tcW w:w="2021" w:type="dxa"/>
            <w:vAlign w:val="center"/>
          </w:tcPr>
          <w:p w14:paraId="7D063EA3">
            <w:pPr>
              <w:spacing w:line="360" w:lineRule="auto"/>
              <w:rPr>
                <w:rFonts w:hint="eastAsia" w:hAnsi="宋体" w:cs="宋体"/>
                <w:color w:val="auto"/>
                <w:sz w:val="21"/>
                <w:szCs w:val="21"/>
                <w:highlight w:val="none"/>
              </w:rPr>
            </w:pPr>
          </w:p>
        </w:tc>
      </w:tr>
      <w:tr w14:paraId="382B98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12D43A10">
            <w:pPr>
              <w:spacing w:line="360" w:lineRule="auto"/>
              <w:rPr>
                <w:rFonts w:hint="eastAsia" w:hAnsi="宋体" w:cs="宋体"/>
                <w:color w:val="auto"/>
                <w:sz w:val="21"/>
                <w:szCs w:val="21"/>
                <w:highlight w:val="none"/>
              </w:rPr>
            </w:pPr>
          </w:p>
        </w:tc>
        <w:tc>
          <w:tcPr>
            <w:tcW w:w="1037" w:type="dxa"/>
            <w:vAlign w:val="center"/>
          </w:tcPr>
          <w:p w14:paraId="70CC5934">
            <w:pPr>
              <w:spacing w:line="360" w:lineRule="auto"/>
              <w:rPr>
                <w:rFonts w:hint="eastAsia" w:hAnsi="宋体" w:cs="宋体"/>
                <w:color w:val="auto"/>
                <w:sz w:val="21"/>
                <w:szCs w:val="21"/>
                <w:highlight w:val="none"/>
              </w:rPr>
            </w:pPr>
          </w:p>
        </w:tc>
        <w:tc>
          <w:tcPr>
            <w:tcW w:w="1673" w:type="dxa"/>
            <w:vAlign w:val="center"/>
          </w:tcPr>
          <w:p w14:paraId="14191F18">
            <w:pPr>
              <w:spacing w:line="360" w:lineRule="auto"/>
              <w:rPr>
                <w:rFonts w:hint="eastAsia" w:hAnsi="宋体" w:cs="宋体"/>
                <w:color w:val="auto"/>
                <w:sz w:val="21"/>
                <w:szCs w:val="21"/>
                <w:highlight w:val="none"/>
              </w:rPr>
            </w:pPr>
          </w:p>
        </w:tc>
        <w:tc>
          <w:tcPr>
            <w:tcW w:w="645" w:type="dxa"/>
            <w:vAlign w:val="center"/>
          </w:tcPr>
          <w:p w14:paraId="1358525F">
            <w:pPr>
              <w:spacing w:line="360" w:lineRule="auto"/>
              <w:rPr>
                <w:rFonts w:hint="eastAsia" w:hAnsi="宋体" w:cs="宋体"/>
                <w:color w:val="auto"/>
                <w:sz w:val="21"/>
                <w:szCs w:val="21"/>
                <w:highlight w:val="none"/>
              </w:rPr>
            </w:pPr>
          </w:p>
        </w:tc>
        <w:tc>
          <w:tcPr>
            <w:tcW w:w="645" w:type="dxa"/>
            <w:vAlign w:val="center"/>
          </w:tcPr>
          <w:p w14:paraId="2CA63439">
            <w:pPr>
              <w:spacing w:line="360" w:lineRule="auto"/>
              <w:rPr>
                <w:rFonts w:hint="eastAsia" w:hAnsi="宋体" w:cs="宋体"/>
                <w:color w:val="auto"/>
                <w:sz w:val="21"/>
                <w:szCs w:val="21"/>
                <w:highlight w:val="none"/>
              </w:rPr>
            </w:pPr>
          </w:p>
        </w:tc>
        <w:tc>
          <w:tcPr>
            <w:tcW w:w="1291" w:type="dxa"/>
            <w:vAlign w:val="center"/>
          </w:tcPr>
          <w:p w14:paraId="342BE8FD">
            <w:pPr>
              <w:spacing w:line="360" w:lineRule="auto"/>
              <w:rPr>
                <w:rFonts w:hint="eastAsia" w:hAnsi="宋体" w:cs="宋体"/>
                <w:color w:val="auto"/>
                <w:sz w:val="21"/>
                <w:szCs w:val="21"/>
                <w:highlight w:val="none"/>
              </w:rPr>
            </w:pPr>
          </w:p>
        </w:tc>
        <w:tc>
          <w:tcPr>
            <w:tcW w:w="1161" w:type="dxa"/>
            <w:vAlign w:val="center"/>
          </w:tcPr>
          <w:p w14:paraId="25B631D7">
            <w:pPr>
              <w:spacing w:line="360" w:lineRule="auto"/>
              <w:rPr>
                <w:rFonts w:hint="eastAsia" w:hAnsi="宋体" w:cs="宋体"/>
                <w:color w:val="auto"/>
                <w:sz w:val="21"/>
                <w:szCs w:val="21"/>
                <w:highlight w:val="none"/>
              </w:rPr>
            </w:pPr>
          </w:p>
        </w:tc>
        <w:tc>
          <w:tcPr>
            <w:tcW w:w="2021" w:type="dxa"/>
            <w:vAlign w:val="center"/>
          </w:tcPr>
          <w:p w14:paraId="308866B8">
            <w:pPr>
              <w:spacing w:line="360" w:lineRule="auto"/>
              <w:rPr>
                <w:rFonts w:hint="eastAsia" w:hAnsi="宋体" w:cs="宋体"/>
                <w:color w:val="auto"/>
                <w:sz w:val="21"/>
                <w:szCs w:val="21"/>
                <w:highlight w:val="none"/>
              </w:rPr>
            </w:pPr>
          </w:p>
        </w:tc>
      </w:tr>
      <w:tr w14:paraId="479FDF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3F1FC9BB">
            <w:pPr>
              <w:spacing w:line="360" w:lineRule="auto"/>
              <w:rPr>
                <w:rFonts w:hint="eastAsia" w:hAnsi="宋体" w:cs="宋体"/>
                <w:color w:val="auto"/>
                <w:sz w:val="21"/>
                <w:szCs w:val="21"/>
                <w:highlight w:val="none"/>
              </w:rPr>
            </w:pPr>
          </w:p>
        </w:tc>
        <w:tc>
          <w:tcPr>
            <w:tcW w:w="1037" w:type="dxa"/>
            <w:vAlign w:val="center"/>
          </w:tcPr>
          <w:p w14:paraId="1210989B">
            <w:pPr>
              <w:spacing w:line="360" w:lineRule="auto"/>
              <w:rPr>
                <w:rFonts w:hint="eastAsia" w:hAnsi="宋体" w:cs="宋体"/>
                <w:color w:val="auto"/>
                <w:sz w:val="21"/>
                <w:szCs w:val="21"/>
                <w:highlight w:val="none"/>
              </w:rPr>
            </w:pPr>
          </w:p>
        </w:tc>
        <w:tc>
          <w:tcPr>
            <w:tcW w:w="1673" w:type="dxa"/>
            <w:vAlign w:val="center"/>
          </w:tcPr>
          <w:p w14:paraId="49E354C4">
            <w:pPr>
              <w:spacing w:line="360" w:lineRule="auto"/>
              <w:rPr>
                <w:rFonts w:hint="eastAsia" w:hAnsi="宋体" w:cs="宋体"/>
                <w:color w:val="auto"/>
                <w:sz w:val="21"/>
                <w:szCs w:val="21"/>
                <w:highlight w:val="none"/>
              </w:rPr>
            </w:pPr>
          </w:p>
        </w:tc>
        <w:tc>
          <w:tcPr>
            <w:tcW w:w="645" w:type="dxa"/>
            <w:vAlign w:val="center"/>
          </w:tcPr>
          <w:p w14:paraId="08F0C493">
            <w:pPr>
              <w:spacing w:line="360" w:lineRule="auto"/>
              <w:rPr>
                <w:rFonts w:hint="eastAsia" w:hAnsi="宋体" w:cs="宋体"/>
                <w:color w:val="auto"/>
                <w:sz w:val="21"/>
                <w:szCs w:val="21"/>
                <w:highlight w:val="none"/>
              </w:rPr>
            </w:pPr>
          </w:p>
        </w:tc>
        <w:tc>
          <w:tcPr>
            <w:tcW w:w="645" w:type="dxa"/>
            <w:vAlign w:val="center"/>
          </w:tcPr>
          <w:p w14:paraId="070EEF2F">
            <w:pPr>
              <w:spacing w:line="360" w:lineRule="auto"/>
              <w:rPr>
                <w:rFonts w:hint="eastAsia" w:hAnsi="宋体" w:cs="宋体"/>
                <w:color w:val="auto"/>
                <w:sz w:val="21"/>
                <w:szCs w:val="21"/>
                <w:highlight w:val="none"/>
              </w:rPr>
            </w:pPr>
          </w:p>
        </w:tc>
        <w:tc>
          <w:tcPr>
            <w:tcW w:w="1291" w:type="dxa"/>
            <w:vAlign w:val="center"/>
          </w:tcPr>
          <w:p w14:paraId="5277D6AC">
            <w:pPr>
              <w:spacing w:line="360" w:lineRule="auto"/>
              <w:rPr>
                <w:rFonts w:hint="eastAsia" w:hAnsi="宋体" w:cs="宋体"/>
                <w:color w:val="auto"/>
                <w:sz w:val="21"/>
                <w:szCs w:val="21"/>
                <w:highlight w:val="none"/>
              </w:rPr>
            </w:pPr>
          </w:p>
        </w:tc>
        <w:tc>
          <w:tcPr>
            <w:tcW w:w="1161" w:type="dxa"/>
            <w:vAlign w:val="center"/>
          </w:tcPr>
          <w:p w14:paraId="56B3E315">
            <w:pPr>
              <w:spacing w:line="360" w:lineRule="auto"/>
              <w:rPr>
                <w:rFonts w:hint="eastAsia" w:hAnsi="宋体" w:cs="宋体"/>
                <w:color w:val="auto"/>
                <w:sz w:val="21"/>
                <w:szCs w:val="21"/>
                <w:highlight w:val="none"/>
              </w:rPr>
            </w:pPr>
          </w:p>
        </w:tc>
        <w:tc>
          <w:tcPr>
            <w:tcW w:w="2021" w:type="dxa"/>
            <w:vAlign w:val="center"/>
          </w:tcPr>
          <w:p w14:paraId="7F2580C3">
            <w:pPr>
              <w:spacing w:line="360" w:lineRule="auto"/>
              <w:rPr>
                <w:rFonts w:hint="eastAsia" w:hAnsi="宋体" w:cs="宋体"/>
                <w:color w:val="auto"/>
                <w:sz w:val="21"/>
                <w:szCs w:val="21"/>
                <w:highlight w:val="none"/>
              </w:rPr>
            </w:pPr>
          </w:p>
        </w:tc>
      </w:tr>
      <w:tr w14:paraId="6195FF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6418FD88">
            <w:pPr>
              <w:spacing w:line="360" w:lineRule="auto"/>
              <w:rPr>
                <w:rFonts w:hint="eastAsia" w:hAnsi="宋体" w:cs="宋体"/>
                <w:color w:val="auto"/>
                <w:sz w:val="21"/>
                <w:szCs w:val="21"/>
                <w:highlight w:val="none"/>
              </w:rPr>
            </w:pPr>
          </w:p>
        </w:tc>
        <w:tc>
          <w:tcPr>
            <w:tcW w:w="1037" w:type="dxa"/>
            <w:vAlign w:val="center"/>
          </w:tcPr>
          <w:p w14:paraId="52D3B1CE">
            <w:pPr>
              <w:spacing w:line="360" w:lineRule="auto"/>
              <w:rPr>
                <w:rFonts w:hint="eastAsia" w:hAnsi="宋体" w:cs="宋体"/>
                <w:color w:val="auto"/>
                <w:sz w:val="21"/>
                <w:szCs w:val="21"/>
                <w:highlight w:val="none"/>
              </w:rPr>
            </w:pPr>
          </w:p>
        </w:tc>
        <w:tc>
          <w:tcPr>
            <w:tcW w:w="1673" w:type="dxa"/>
            <w:vAlign w:val="center"/>
          </w:tcPr>
          <w:p w14:paraId="44998FCF">
            <w:pPr>
              <w:spacing w:line="360" w:lineRule="auto"/>
              <w:rPr>
                <w:rFonts w:hint="eastAsia" w:hAnsi="宋体" w:cs="宋体"/>
                <w:color w:val="auto"/>
                <w:sz w:val="21"/>
                <w:szCs w:val="21"/>
                <w:highlight w:val="none"/>
              </w:rPr>
            </w:pPr>
          </w:p>
        </w:tc>
        <w:tc>
          <w:tcPr>
            <w:tcW w:w="645" w:type="dxa"/>
            <w:vAlign w:val="center"/>
          </w:tcPr>
          <w:p w14:paraId="31B21762">
            <w:pPr>
              <w:spacing w:line="360" w:lineRule="auto"/>
              <w:rPr>
                <w:rFonts w:hint="eastAsia" w:hAnsi="宋体" w:cs="宋体"/>
                <w:color w:val="auto"/>
                <w:sz w:val="21"/>
                <w:szCs w:val="21"/>
                <w:highlight w:val="none"/>
              </w:rPr>
            </w:pPr>
          </w:p>
        </w:tc>
        <w:tc>
          <w:tcPr>
            <w:tcW w:w="645" w:type="dxa"/>
            <w:vAlign w:val="center"/>
          </w:tcPr>
          <w:p w14:paraId="18755703">
            <w:pPr>
              <w:spacing w:line="360" w:lineRule="auto"/>
              <w:rPr>
                <w:rFonts w:hint="eastAsia" w:hAnsi="宋体" w:cs="宋体"/>
                <w:color w:val="auto"/>
                <w:sz w:val="21"/>
                <w:szCs w:val="21"/>
                <w:highlight w:val="none"/>
              </w:rPr>
            </w:pPr>
          </w:p>
        </w:tc>
        <w:tc>
          <w:tcPr>
            <w:tcW w:w="1291" w:type="dxa"/>
            <w:vAlign w:val="center"/>
          </w:tcPr>
          <w:p w14:paraId="54C46BEF">
            <w:pPr>
              <w:spacing w:line="360" w:lineRule="auto"/>
              <w:rPr>
                <w:rFonts w:hint="eastAsia" w:hAnsi="宋体" w:cs="宋体"/>
                <w:color w:val="auto"/>
                <w:sz w:val="21"/>
                <w:szCs w:val="21"/>
                <w:highlight w:val="none"/>
              </w:rPr>
            </w:pPr>
          </w:p>
        </w:tc>
        <w:tc>
          <w:tcPr>
            <w:tcW w:w="1161" w:type="dxa"/>
            <w:vAlign w:val="center"/>
          </w:tcPr>
          <w:p w14:paraId="43379E9E">
            <w:pPr>
              <w:spacing w:line="360" w:lineRule="auto"/>
              <w:rPr>
                <w:rFonts w:hint="eastAsia" w:hAnsi="宋体" w:cs="宋体"/>
                <w:color w:val="auto"/>
                <w:sz w:val="21"/>
                <w:szCs w:val="21"/>
                <w:highlight w:val="none"/>
              </w:rPr>
            </w:pPr>
          </w:p>
        </w:tc>
        <w:tc>
          <w:tcPr>
            <w:tcW w:w="2021" w:type="dxa"/>
            <w:vAlign w:val="center"/>
          </w:tcPr>
          <w:p w14:paraId="155647EA">
            <w:pPr>
              <w:spacing w:line="360" w:lineRule="auto"/>
              <w:rPr>
                <w:rFonts w:hint="eastAsia" w:hAnsi="宋体" w:cs="宋体"/>
                <w:color w:val="auto"/>
                <w:sz w:val="21"/>
                <w:szCs w:val="21"/>
                <w:highlight w:val="none"/>
              </w:rPr>
            </w:pPr>
          </w:p>
        </w:tc>
      </w:tr>
      <w:tr w14:paraId="37C629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4093A8BD">
            <w:pPr>
              <w:spacing w:line="360" w:lineRule="auto"/>
              <w:rPr>
                <w:rFonts w:hint="eastAsia" w:hAnsi="宋体" w:cs="宋体"/>
                <w:color w:val="auto"/>
                <w:sz w:val="21"/>
                <w:szCs w:val="21"/>
                <w:highlight w:val="none"/>
              </w:rPr>
            </w:pPr>
          </w:p>
        </w:tc>
        <w:tc>
          <w:tcPr>
            <w:tcW w:w="1037" w:type="dxa"/>
            <w:vAlign w:val="center"/>
          </w:tcPr>
          <w:p w14:paraId="5D50ABA6">
            <w:pPr>
              <w:spacing w:line="360" w:lineRule="auto"/>
              <w:rPr>
                <w:rFonts w:hint="eastAsia" w:hAnsi="宋体" w:cs="宋体"/>
                <w:color w:val="auto"/>
                <w:sz w:val="21"/>
                <w:szCs w:val="21"/>
                <w:highlight w:val="none"/>
              </w:rPr>
            </w:pPr>
          </w:p>
        </w:tc>
        <w:tc>
          <w:tcPr>
            <w:tcW w:w="1673" w:type="dxa"/>
            <w:vAlign w:val="center"/>
          </w:tcPr>
          <w:p w14:paraId="6DF64859">
            <w:pPr>
              <w:spacing w:line="360" w:lineRule="auto"/>
              <w:rPr>
                <w:rFonts w:hint="eastAsia" w:hAnsi="宋体" w:cs="宋体"/>
                <w:color w:val="auto"/>
                <w:sz w:val="21"/>
                <w:szCs w:val="21"/>
                <w:highlight w:val="none"/>
              </w:rPr>
            </w:pPr>
          </w:p>
        </w:tc>
        <w:tc>
          <w:tcPr>
            <w:tcW w:w="645" w:type="dxa"/>
            <w:vAlign w:val="center"/>
          </w:tcPr>
          <w:p w14:paraId="4B982DB8">
            <w:pPr>
              <w:spacing w:line="360" w:lineRule="auto"/>
              <w:rPr>
                <w:rFonts w:hint="eastAsia" w:hAnsi="宋体" w:cs="宋体"/>
                <w:color w:val="auto"/>
                <w:sz w:val="21"/>
                <w:szCs w:val="21"/>
                <w:highlight w:val="none"/>
              </w:rPr>
            </w:pPr>
          </w:p>
        </w:tc>
        <w:tc>
          <w:tcPr>
            <w:tcW w:w="645" w:type="dxa"/>
            <w:vAlign w:val="center"/>
          </w:tcPr>
          <w:p w14:paraId="011C00FE">
            <w:pPr>
              <w:spacing w:line="360" w:lineRule="auto"/>
              <w:rPr>
                <w:rFonts w:hint="eastAsia" w:hAnsi="宋体" w:cs="宋体"/>
                <w:color w:val="auto"/>
                <w:sz w:val="21"/>
                <w:szCs w:val="21"/>
                <w:highlight w:val="none"/>
              </w:rPr>
            </w:pPr>
          </w:p>
        </w:tc>
        <w:tc>
          <w:tcPr>
            <w:tcW w:w="1291" w:type="dxa"/>
            <w:vAlign w:val="center"/>
          </w:tcPr>
          <w:p w14:paraId="739F6893">
            <w:pPr>
              <w:spacing w:line="360" w:lineRule="auto"/>
              <w:rPr>
                <w:rFonts w:hint="eastAsia" w:hAnsi="宋体" w:cs="宋体"/>
                <w:color w:val="auto"/>
                <w:sz w:val="21"/>
                <w:szCs w:val="21"/>
                <w:highlight w:val="none"/>
              </w:rPr>
            </w:pPr>
          </w:p>
        </w:tc>
        <w:tc>
          <w:tcPr>
            <w:tcW w:w="1161" w:type="dxa"/>
            <w:vAlign w:val="center"/>
          </w:tcPr>
          <w:p w14:paraId="5916498A">
            <w:pPr>
              <w:spacing w:line="360" w:lineRule="auto"/>
              <w:rPr>
                <w:rFonts w:hint="eastAsia" w:hAnsi="宋体" w:cs="宋体"/>
                <w:color w:val="auto"/>
                <w:sz w:val="21"/>
                <w:szCs w:val="21"/>
                <w:highlight w:val="none"/>
              </w:rPr>
            </w:pPr>
          </w:p>
        </w:tc>
        <w:tc>
          <w:tcPr>
            <w:tcW w:w="2021" w:type="dxa"/>
            <w:vAlign w:val="center"/>
          </w:tcPr>
          <w:p w14:paraId="558555E0">
            <w:pPr>
              <w:spacing w:line="360" w:lineRule="auto"/>
              <w:rPr>
                <w:rFonts w:hint="eastAsia" w:hAnsi="宋体" w:cs="宋体"/>
                <w:color w:val="auto"/>
                <w:sz w:val="21"/>
                <w:szCs w:val="21"/>
                <w:highlight w:val="none"/>
              </w:rPr>
            </w:pPr>
          </w:p>
        </w:tc>
      </w:tr>
      <w:tr w14:paraId="39A016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54988731">
            <w:pPr>
              <w:spacing w:line="360" w:lineRule="auto"/>
              <w:rPr>
                <w:rFonts w:hint="eastAsia" w:hAnsi="宋体" w:cs="宋体"/>
                <w:color w:val="auto"/>
                <w:sz w:val="21"/>
                <w:szCs w:val="21"/>
                <w:highlight w:val="none"/>
              </w:rPr>
            </w:pPr>
          </w:p>
        </w:tc>
        <w:tc>
          <w:tcPr>
            <w:tcW w:w="1037" w:type="dxa"/>
            <w:vAlign w:val="center"/>
          </w:tcPr>
          <w:p w14:paraId="34534FFB">
            <w:pPr>
              <w:spacing w:line="360" w:lineRule="auto"/>
              <w:rPr>
                <w:rFonts w:hint="eastAsia" w:hAnsi="宋体" w:cs="宋体"/>
                <w:color w:val="auto"/>
                <w:sz w:val="21"/>
                <w:szCs w:val="21"/>
                <w:highlight w:val="none"/>
              </w:rPr>
            </w:pPr>
          </w:p>
        </w:tc>
        <w:tc>
          <w:tcPr>
            <w:tcW w:w="1673" w:type="dxa"/>
            <w:vAlign w:val="center"/>
          </w:tcPr>
          <w:p w14:paraId="0F3255ED">
            <w:pPr>
              <w:spacing w:line="360" w:lineRule="auto"/>
              <w:rPr>
                <w:rFonts w:hint="eastAsia" w:hAnsi="宋体" w:cs="宋体"/>
                <w:color w:val="auto"/>
                <w:sz w:val="21"/>
                <w:szCs w:val="21"/>
                <w:highlight w:val="none"/>
              </w:rPr>
            </w:pPr>
          </w:p>
        </w:tc>
        <w:tc>
          <w:tcPr>
            <w:tcW w:w="645" w:type="dxa"/>
            <w:vAlign w:val="center"/>
          </w:tcPr>
          <w:p w14:paraId="0BF6764A">
            <w:pPr>
              <w:spacing w:line="360" w:lineRule="auto"/>
              <w:rPr>
                <w:rFonts w:hint="eastAsia" w:hAnsi="宋体" w:cs="宋体"/>
                <w:color w:val="auto"/>
                <w:sz w:val="21"/>
                <w:szCs w:val="21"/>
                <w:highlight w:val="none"/>
              </w:rPr>
            </w:pPr>
          </w:p>
        </w:tc>
        <w:tc>
          <w:tcPr>
            <w:tcW w:w="645" w:type="dxa"/>
            <w:vAlign w:val="center"/>
          </w:tcPr>
          <w:p w14:paraId="1A631FEB">
            <w:pPr>
              <w:spacing w:line="360" w:lineRule="auto"/>
              <w:rPr>
                <w:rFonts w:hint="eastAsia" w:hAnsi="宋体" w:cs="宋体"/>
                <w:color w:val="auto"/>
                <w:sz w:val="21"/>
                <w:szCs w:val="21"/>
                <w:highlight w:val="none"/>
              </w:rPr>
            </w:pPr>
          </w:p>
        </w:tc>
        <w:tc>
          <w:tcPr>
            <w:tcW w:w="1291" w:type="dxa"/>
            <w:vAlign w:val="center"/>
          </w:tcPr>
          <w:p w14:paraId="171E0159">
            <w:pPr>
              <w:spacing w:line="360" w:lineRule="auto"/>
              <w:rPr>
                <w:rFonts w:hint="eastAsia" w:hAnsi="宋体" w:cs="宋体"/>
                <w:color w:val="auto"/>
                <w:sz w:val="21"/>
                <w:szCs w:val="21"/>
                <w:highlight w:val="none"/>
              </w:rPr>
            </w:pPr>
          </w:p>
        </w:tc>
        <w:tc>
          <w:tcPr>
            <w:tcW w:w="1161" w:type="dxa"/>
            <w:vAlign w:val="center"/>
          </w:tcPr>
          <w:p w14:paraId="6BDD9017">
            <w:pPr>
              <w:spacing w:line="360" w:lineRule="auto"/>
              <w:rPr>
                <w:rFonts w:hint="eastAsia" w:hAnsi="宋体" w:cs="宋体"/>
                <w:color w:val="auto"/>
                <w:sz w:val="21"/>
                <w:szCs w:val="21"/>
                <w:highlight w:val="none"/>
              </w:rPr>
            </w:pPr>
          </w:p>
        </w:tc>
        <w:tc>
          <w:tcPr>
            <w:tcW w:w="2021" w:type="dxa"/>
            <w:vAlign w:val="center"/>
          </w:tcPr>
          <w:p w14:paraId="2F9F2C3F">
            <w:pPr>
              <w:spacing w:line="360" w:lineRule="auto"/>
              <w:rPr>
                <w:rFonts w:hint="eastAsia" w:hAnsi="宋体" w:cs="宋体"/>
                <w:color w:val="auto"/>
                <w:sz w:val="21"/>
                <w:szCs w:val="21"/>
                <w:highlight w:val="none"/>
              </w:rPr>
            </w:pPr>
          </w:p>
        </w:tc>
      </w:tr>
      <w:tr w14:paraId="603AC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2327E6C0">
            <w:pPr>
              <w:spacing w:line="360" w:lineRule="auto"/>
              <w:rPr>
                <w:rFonts w:hint="eastAsia" w:hAnsi="宋体" w:cs="宋体"/>
                <w:color w:val="auto"/>
                <w:sz w:val="21"/>
                <w:szCs w:val="21"/>
                <w:highlight w:val="none"/>
              </w:rPr>
            </w:pPr>
          </w:p>
        </w:tc>
        <w:tc>
          <w:tcPr>
            <w:tcW w:w="1037" w:type="dxa"/>
            <w:vAlign w:val="center"/>
          </w:tcPr>
          <w:p w14:paraId="08591320">
            <w:pPr>
              <w:spacing w:line="360" w:lineRule="auto"/>
              <w:rPr>
                <w:rFonts w:hint="eastAsia" w:hAnsi="宋体" w:cs="宋体"/>
                <w:color w:val="auto"/>
                <w:sz w:val="21"/>
                <w:szCs w:val="21"/>
                <w:highlight w:val="none"/>
              </w:rPr>
            </w:pPr>
          </w:p>
        </w:tc>
        <w:tc>
          <w:tcPr>
            <w:tcW w:w="1673" w:type="dxa"/>
            <w:vAlign w:val="center"/>
          </w:tcPr>
          <w:p w14:paraId="1B0E1EF7">
            <w:pPr>
              <w:spacing w:line="360" w:lineRule="auto"/>
              <w:rPr>
                <w:rFonts w:hint="eastAsia" w:hAnsi="宋体" w:cs="宋体"/>
                <w:color w:val="auto"/>
                <w:sz w:val="21"/>
                <w:szCs w:val="21"/>
                <w:highlight w:val="none"/>
              </w:rPr>
            </w:pPr>
          </w:p>
        </w:tc>
        <w:tc>
          <w:tcPr>
            <w:tcW w:w="645" w:type="dxa"/>
            <w:vAlign w:val="center"/>
          </w:tcPr>
          <w:p w14:paraId="606D9C2B">
            <w:pPr>
              <w:spacing w:line="360" w:lineRule="auto"/>
              <w:rPr>
                <w:rFonts w:hint="eastAsia" w:hAnsi="宋体" w:cs="宋体"/>
                <w:color w:val="auto"/>
                <w:sz w:val="21"/>
                <w:szCs w:val="21"/>
                <w:highlight w:val="none"/>
              </w:rPr>
            </w:pPr>
          </w:p>
        </w:tc>
        <w:tc>
          <w:tcPr>
            <w:tcW w:w="645" w:type="dxa"/>
            <w:vAlign w:val="center"/>
          </w:tcPr>
          <w:p w14:paraId="3EC68F5F">
            <w:pPr>
              <w:spacing w:line="360" w:lineRule="auto"/>
              <w:rPr>
                <w:rFonts w:hint="eastAsia" w:hAnsi="宋体" w:cs="宋体"/>
                <w:color w:val="auto"/>
                <w:sz w:val="21"/>
                <w:szCs w:val="21"/>
                <w:highlight w:val="none"/>
              </w:rPr>
            </w:pPr>
          </w:p>
        </w:tc>
        <w:tc>
          <w:tcPr>
            <w:tcW w:w="1291" w:type="dxa"/>
            <w:vAlign w:val="center"/>
          </w:tcPr>
          <w:p w14:paraId="58DC1FC3">
            <w:pPr>
              <w:spacing w:line="360" w:lineRule="auto"/>
              <w:rPr>
                <w:rFonts w:hint="eastAsia" w:hAnsi="宋体" w:cs="宋体"/>
                <w:color w:val="auto"/>
                <w:sz w:val="21"/>
                <w:szCs w:val="21"/>
                <w:highlight w:val="none"/>
              </w:rPr>
            </w:pPr>
          </w:p>
        </w:tc>
        <w:tc>
          <w:tcPr>
            <w:tcW w:w="1161" w:type="dxa"/>
            <w:vAlign w:val="center"/>
          </w:tcPr>
          <w:p w14:paraId="4CC92BA5">
            <w:pPr>
              <w:spacing w:line="360" w:lineRule="auto"/>
              <w:rPr>
                <w:rFonts w:hint="eastAsia" w:hAnsi="宋体" w:cs="宋体"/>
                <w:color w:val="auto"/>
                <w:sz w:val="21"/>
                <w:szCs w:val="21"/>
                <w:highlight w:val="none"/>
              </w:rPr>
            </w:pPr>
          </w:p>
        </w:tc>
        <w:tc>
          <w:tcPr>
            <w:tcW w:w="2021" w:type="dxa"/>
            <w:vAlign w:val="center"/>
          </w:tcPr>
          <w:p w14:paraId="407D6751">
            <w:pPr>
              <w:spacing w:line="360" w:lineRule="auto"/>
              <w:rPr>
                <w:rFonts w:hint="eastAsia" w:hAnsi="宋体" w:cs="宋体"/>
                <w:color w:val="auto"/>
                <w:sz w:val="21"/>
                <w:szCs w:val="21"/>
                <w:highlight w:val="none"/>
              </w:rPr>
            </w:pPr>
          </w:p>
        </w:tc>
      </w:tr>
      <w:tr w14:paraId="6417E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18401CED">
            <w:pPr>
              <w:spacing w:line="360" w:lineRule="auto"/>
              <w:rPr>
                <w:rFonts w:hint="eastAsia" w:hAnsi="宋体" w:cs="宋体"/>
                <w:color w:val="auto"/>
                <w:sz w:val="21"/>
                <w:szCs w:val="21"/>
                <w:highlight w:val="none"/>
              </w:rPr>
            </w:pPr>
          </w:p>
        </w:tc>
        <w:tc>
          <w:tcPr>
            <w:tcW w:w="1037" w:type="dxa"/>
            <w:vAlign w:val="center"/>
          </w:tcPr>
          <w:p w14:paraId="2954408C">
            <w:pPr>
              <w:spacing w:line="360" w:lineRule="auto"/>
              <w:rPr>
                <w:rFonts w:hint="eastAsia" w:hAnsi="宋体" w:cs="宋体"/>
                <w:color w:val="auto"/>
                <w:sz w:val="21"/>
                <w:szCs w:val="21"/>
                <w:highlight w:val="none"/>
              </w:rPr>
            </w:pPr>
          </w:p>
        </w:tc>
        <w:tc>
          <w:tcPr>
            <w:tcW w:w="1673" w:type="dxa"/>
            <w:vAlign w:val="center"/>
          </w:tcPr>
          <w:p w14:paraId="21919533">
            <w:pPr>
              <w:spacing w:line="360" w:lineRule="auto"/>
              <w:rPr>
                <w:rFonts w:hint="eastAsia" w:hAnsi="宋体" w:cs="宋体"/>
                <w:color w:val="auto"/>
                <w:sz w:val="21"/>
                <w:szCs w:val="21"/>
                <w:highlight w:val="none"/>
              </w:rPr>
            </w:pPr>
          </w:p>
        </w:tc>
        <w:tc>
          <w:tcPr>
            <w:tcW w:w="645" w:type="dxa"/>
            <w:vAlign w:val="center"/>
          </w:tcPr>
          <w:p w14:paraId="47E5F65B">
            <w:pPr>
              <w:spacing w:line="360" w:lineRule="auto"/>
              <w:rPr>
                <w:rFonts w:hint="eastAsia" w:hAnsi="宋体" w:cs="宋体"/>
                <w:color w:val="auto"/>
                <w:sz w:val="21"/>
                <w:szCs w:val="21"/>
                <w:highlight w:val="none"/>
              </w:rPr>
            </w:pPr>
          </w:p>
        </w:tc>
        <w:tc>
          <w:tcPr>
            <w:tcW w:w="645" w:type="dxa"/>
            <w:vAlign w:val="center"/>
          </w:tcPr>
          <w:p w14:paraId="6115997A">
            <w:pPr>
              <w:spacing w:line="360" w:lineRule="auto"/>
              <w:rPr>
                <w:rFonts w:hint="eastAsia" w:hAnsi="宋体" w:cs="宋体"/>
                <w:color w:val="auto"/>
                <w:sz w:val="21"/>
                <w:szCs w:val="21"/>
                <w:highlight w:val="none"/>
              </w:rPr>
            </w:pPr>
          </w:p>
        </w:tc>
        <w:tc>
          <w:tcPr>
            <w:tcW w:w="1291" w:type="dxa"/>
            <w:vAlign w:val="center"/>
          </w:tcPr>
          <w:p w14:paraId="7BFB1CDE">
            <w:pPr>
              <w:spacing w:line="360" w:lineRule="auto"/>
              <w:rPr>
                <w:rFonts w:hint="eastAsia" w:hAnsi="宋体" w:cs="宋体"/>
                <w:color w:val="auto"/>
                <w:sz w:val="21"/>
                <w:szCs w:val="21"/>
                <w:highlight w:val="none"/>
              </w:rPr>
            </w:pPr>
          </w:p>
        </w:tc>
        <w:tc>
          <w:tcPr>
            <w:tcW w:w="1161" w:type="dxa"/>
            <w:vAlign w:val="center"/>
          </w:tcPr>
          <w:p w14:paraId="46823885">
            <w:pPr>
              <w:spacing w:line="360" w:lineRule="auto"/>
              <w:rPr>
                <w:rFonts w:hint="eastAsia" w:hAnsi="宋体" w:cs="宋体"/>
                <w:color w:val="auto"/>
                <w:sz w:val="21"/>
                <w:szCs w:val="21"/>
                <w:highlight w:val="none"/>
              </w:rPr>
            </w:pPr>
          </w:p>
        </w:tc>
        <w:tc>
          <w:tcPr>
            <w:tcW w:w="2021" w:type="dxa"/>
            <w:vAlign w:val="center"/>
          </w:tcPr>
          <w:p w14:paraId="5E414EB3">
            <w:pPr>
              <w:spacing w:line="360" w:lineRule="auto"/>
              <w:rPr>
                <w:rFonts w:hint="eastAsia" w:hAnsi="宋体" w:cs="宋体"/>
                <w:color w:val="auto"/>
                <w:sz w:val="21"/>
                <w:szCs w:val="21"/>
                <w:highlight w:val="none"/>
              </w:rPr>
            </w:pPr>
          </w:p>
        </w:tc>
      </w:tr>
      <w:tr w14:paraId="7BCCC8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13C21D2D">
            <w:pPr>
              <w:spacing w:line="360" w:lineRule="auto"/>
              <w:rPr>
                <w:rFonts w:hint="eastAsia" w:hAnsi="宋体" w:cs="宋体"/>
                <w:color w:val="auto"/>
                <w:sz w:val="21"/>
                <w:szCs w:val="21"/>
                <w:highlight w:val="none"/>
              </w:rPr>
            </w:pPr>
          </w:p>
        </w:tc>
        <w:tc>
          <w:tcPr>
            <w:tcW w:w="1037" w:type="dxa"/>
            <w:vAlign w:val="center"/>
          </w:tcPr>
          <w:p w14:paraId="34ACD079">
            <w:pPr>
              <w:spacing w:line="360" w:lineRule="auto"/>
              <w:rPr>
                <w:rFonts w:hint="eastAsia" w:hAnsi="宋体" w:cs="宋体"/>
                <w:color w:val="auto"/>
                <w:sz w:val="21"/>
                <w:szCs w:val="21"/>
                <w:highlight w:val="none"/>
              </w:rPr>
            </w:pPr>
          </w:p>
        </w:tc>
        <w:tc>
          <w:tcPr>
            <w:tcW w:w="1673" w:type="dxa"/>
            <w:vAlign w:val="center"/>
          </w:tcPr>
          <w:p w14:paraId="49F9CD18">
            <w:pPr>
              <w:spacing w:line="360" w:lineRule="auto"/>
              <w:rPr>
                <w:rFonts w:hint="eastAsia" w:hAnsi="宋体" w:cs="宋体"/>
                <w:color w:val="auto"/>
                <w:sz w:val="21"/>
                <w:szCs w:val="21"/>
                <w:highlight w:val="none"/>
              </w:rPr>
            </w:pPr>
          </w:p>
        </w:tc>
        <w:tc>
          <w:tcPr>
            <w:tcW w:w="645" w:type="dxa"/>
            <w:vAlign w:val="center"/>
          </w:tcPr>
          <w:p w14:paraId="7CBD4C2B">
            <w:pPr>
              <w:spacing w:line="360" w:lineRule="auto"/>
              <w:rPr>
                <w:rFonts w:hint="eastAsia" w:hAnsi="宋体" w:cs="宋体"/>
                <w:color w:val="auto"/>
                <w:sz w:val="21"/>
                <w:szCs w:val="21"/>
                <w:highlight w:val="none"/>
              </w:rPr>
            </w:pPr>
          </w:p>
        </w:tc>
        <w:tc>
          <w:tcPr>
            <w:tcW w:w="645" w:type="dxa"/>
            <w:vAlign w:val="center"/>
          </w:tcPr>
          <w:p w14:paraId="380CC08A">
            <w:pPr>
              <w:spacing w:line="360" w:lineRule="auto"/>
              <w:rPr>
                <w:rFonts w:hint="eastAsia" w:hAnsi="宋体" w:cs="宋体"/>
                <w:color w:val="auto"/>
                <w:sz w:val="21"/>
                <w:szCs w:val="21"/>
                <w:highlight w:val="none"/>
              </w:rPr>
            </w:pPr>
          </w:p>
        </w:tc>
        <w:tc>
          <w:tcPr>
            <w:tcW w:w="1291" w:type="dxa"/>
            <w:vAlign w:val="center"/>
          </w:tcPr>
          <w:p w14:paraId="4F866B7A">
            <w:pPr>
              <w:spacing w:line="360" w:lineRule="auto"/>
              <w:rPr>
                <w:rFonts w:hint="eastAsia" w:hAnsi="宋体" w:cs="宋体"/>
                <w:color w:val="auto"/>
                <w:sz w:val="21"/>
                <w:szCs w:val="21"/>
                <w:highlight w:val="none"/>
              </w:rPr>
            </w:pPr>
          </w:p>
        </w:tc>
        <w:tc>
          <w:tcPr>
            <w:tcW w:w="1161" w:type="dxa"/>
            <w:vAlign w:val="center"/>
          </w:tcPr>
          <w:p w14:paraId="13FB5432">
            <w:pPr>
              <w:spacing w:line="360" w:lineRule="auto"/>
              <w:rPr>
                <w:rFonts w:hint="eastAsia" w:hAnsi="宋体" w:cs="宋体"/>
                <w:color w:val="auto"/>
                <w:sz w:val="21"/>
                <w:szCs w:val="21"/>
                <w:highlight w:val="none"/>
              </w:rPr>
            </w:pPr>
          </w:p>
        </w:tc>
        <w:tc>
          <w:tcPr>
            <w:tcW w:w="2021" w:type="dxa"/>
            <w:vAlign w:val="center"/>
          </w:tcPr>
          <w:p w14:paraId="733C1C7C">
            <w:pPr>
              <w:spacing w:line="360" w:lineRule="auto"/>
              <w:rPr>
                <w:rFonts w:hint="eastAsia" w:hAnsi="宋体" w:cs="宋体"/>
                <w:color w:val="auto"/>
                <w:sz w:val="21"/>
                <w:szCs w:val="21"/>
                <w:highlight w:val="none"/>
              </w:rPr>
            </w:pPr>
          </w:p>
        </w:tc>
      </w:tr>
      <w:tr w14:paraId="73515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54FC09C5">
            <w:pPr>
              <w:spacing w:line="360" w:lineRule="auto"/>
              <w:rPr>
                <w:rFonts w:hint="eastAsia" w:hAnsi="宋体" w:cs="宋体"/>
                <w:color w:val="auto"/>
                <w:sz w:val="21"/>
                <w:szCs w:val="21"/>
                <w:highlight w:val="none"/>
              </w:rPr>
            </w:pPr>
          </w:p>
        </w:tc>
        <w:tc>
          <w:tcPr>
            <w:tcW w:w="1037" w:type="dxa"/>
            <w:vAlign w:val="center"/>
          </w:tcPr>
          <w:p w14:paraId="749A2D9C">
            <w:pPr>
              <w:spacing w:line="360" w:lineRule="auto"/>
              <w:rPr>
                <w:rFonts w:hint="eastAsia" w:hAnsi="宋体" w:cs="宋体"/>
                <w:color w:val="auto"/>
                <w:sz w:val="21"/>
                <w:szCs w:val="21"/>
                <w:highlight w:val="none"/>
              </w:rPr>
            </w:pPr>
          </w:p>
        </w:tc>
        <w:tc>
          <w:tcPr>
            <w:tcW w:w="1673" w:type="dxa"/>
            <w:vAlign w:val="center"/>
          </w:tcPr>
          <w:p w14:paraId="119A87F2">
            <w:pPr>
              <w:spacing w:line="360" w:lineRule="auto"/>
              <w:rPr>
                <w:rFonts w:hint="eastAsia" w:hAnsi="宋体" w:cs="宋体"/>
                <w:color w:val="auto"/>
                <w:sz w:val="21"/>
                <w:szCs w:val="21"/>
                <w:highlight w:val="none"/>
              </w:rPr>
            </w:pPr>
          </w:p>
        </w:tc>
        <w:tc>
          <w:tcPr>
            <w:tcW w:w="645" w:type="dxa"/>
            <w:vAlign w:val="center"/>
          </w:tcPr>
          <w:p w14:paraId="56EF98BC">
            <w:pPr>
              <w:spacing w:line="360" w:lineRule="auto"/>
              <w:rPr>
                <w:rFonts w:hint="eastAsia" w:hAnsi="宋体" w:cs="宋体"/>
                <w:color w:val="auto"/>
                <w:sz w:val="21"/>
                <w:szCs w:val="21"/>
                <w:highlight w:val="none"/>
              </w:rPr>
            </w:pPr>
          </w:p>
        </w:tc>
        <w:tc>
          <w:tcPr>
            <w:tcW w:w="645" w:type="dxa"/>
            <w:vAlign w:val="center"/>
          </w:tcPr>
          <w:p w14:paraId="6BA52318">
            <w:pPr>
              <w:spacing w:line="360" w:lineRule="auto"/>
              <w:rPr>
                <w:rFonts w:hint="eastAsia" w:hAnsi="宋体" w:cs="宋体"/>
                <w:color w:val="auto"/>
                <w:sz w:val="21"/>
                <w:szCs w:val="21"/>
                <w:highlight w:val="none"/>
              </w:rPr>
            </w:pPr>
          </w:p>
        </w:tc>
        <w:tc>
          <w:tcPr>
            <w:tcW w:w="1291" w:type="dxa"/>
            <w:vAlign w:val="center"/>
          </w:tcPr>
          <w:p w14:paraId="5554C394">
            <w:pPr>
              <w:spacing w:line="360" w:lineRule="auto"/>
              <w:rPr>
                <w:rFonts w:hint="eastAsia" w:hAnsi="宋体" w:cs="宋体"/>
                <w:color w:val="auto"/>
                <w:sz w:val="21"/>
                <w:szCs w:val="21"/>
                <w:highlight w:val="none"/>
              </w:rPr>
            </w:pPr>
          </w:p>
        </w:tc>
        <w:tc>
          <w:tcPr>
            <w:tcW w:w="1161" w:type="dxa"/>
            <w:vAlign w:val="center"/>
          </w:tcPr>
          <w:p w14:paraId="3A2F9327">
            <w:pPr>
              <w:spacing w:line="360" w:lineRule="auto"/>
              <w:rPr>
                <w:rFonts w:hint="eastAsia" w:hAnsi="宋体" w:cs="宋体"/>
                <w:color w:val="auto"/>
                <w:sz w:val="21"/>
                <w:szCs w:val="21"/>
                <w:highlight w:val="none"/>
              </w:rPr>
            </w:pPr>
          </w:p>
        </w:tc>
        <w:tc>
          <w:tcPr>
            <w:tcW w:w="2021" w:type="dxa"/>
            <w:vAlign w:val="center"/>
          </w:tcPr>
          <w:p w14:paraId="15A5706C">
            <w:pPr>
              <w:spacing w:line="360" w:lineRule="auto"/>
              <w:rPr>
                <w:rFonts w:hint="eastAsia" w:hAnsi="宋体" w:cs="宋体"/>
                <w:color w:val="auto"/>
                <w:sz w:val="21"/>
                <w:szCs w:val="21"/>
                <w:highlight w:val="none"/>
              </w:rPr>
            </w:pPr>
          </w:p>
        </w:tc>
      </w:tr>
      <w:tr w14:paraId="7456BD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0053FB6B">
            <w:pPr>
              <w:spacing w:line="360" w:lineRule="auto"/>
              <w:rPr>
                <w:rFonts w:hint="eastAsia" w:hAnsi="宋体" w:cs="宋体"/>
                <w:color w:val="auto"/>
                <w:sz w:val="21"/>
                <w:szCs w:val="21"/>
                <w:highlight w:val="none"/>
              </w:rPr>
            </w:pPr>
          </w:p>
        </w:tc>
        <w:tc>
          <w:tcPr>
            <w:tcW w:w="1037" w:type="dxa"/>
            <w:vAlign w:val="center"/>
          </w:tcPr>
          <w:p w14:paraId="2E498ED5">
            <w:pPr>
              <w:spacing w:line="360" w:lineRule="auto"/>
              <w:rPr>
                <w:rFonts w:hint="eastAsia" w:hAnsi="宋体" w:cs="宋体"/>
                <w:color w:val="auto"/>
                <w:sz w:val="21"/>
                <w:szCs w:val="21"/>
                <w:highlight w:val="none"/>
              </w:rPr>
            </w:pPr>
          </w:p>
        </w:tc>
        <w:tc>
          <w:tcPr>
            <w:tcW w:w="1673" w:type="dxa"/>
            <w:vAlign w:val="center"/>
          </w:tcPr>
          <w:p w14:paraId="0AC226A3">
            <w:pPr>
              <w:spacing w:line="360" w:lineRule="auto"/>
              <w:rPr>
                <w:rFonts w:hint="eastAsia" w:hAnsi="宋体" w:cs="宋体"/>
                <w:color w:val="auto"/>
                <w:sz w:val="21"/>
                <w:szCs w:val="21"/>
                <w:highlight w:val="none"/>
              </w:rPr>
            </w:pPr>
          </w:p>
        </w:tc>
        <w:tc>
          <w:tcPr>
            <w:tcW w:w="645" w:type="dxa"/>
            <w:vAlign w:val="center"/>
          </w:tcPr>
          <w:p w14:paraId="3108F9C9">
            <w:pPr>
              <w:spacing w:line="360" w:lineRule="auto"/>
              <w:rPr>
                <w:rFonts w:hint="eastAsia" w:hAnsi="宋体" w:cs="宋体"/>
                <w:color w:val="auto"/>
                <w:sz w:val="21"/>
                <w:szCs w:val="21"/>
                <w:highlight w:val="none"/>
              </w:rPr>
            </w:pPr>
          </w:p>
        </w:tc>
        <w:tc>
          <w:tcPr>
            <w:tcW w:w="645" w:type="dxa"/>
            <w:vAlign w:val="center"/>
          </w:tcPr>
          <w:p w14:paraId="4EB197AD">
            <w:pPr>
              <w:spacing w:line="360" w:lineRule="auto"/>
              <w:rPr>
                <w:rFonts w:hint="eastAsia" w:hAnsi="宋体" w:cs="宋体"/>
                <w:color w:val="auto"/>
                <w:sz w:val="21"/>
                <w:szCs w:val="21"/>
                <w:highlight w:val="none"/>
              </w:rPr>
            </w:pPr>
          </w:p>
        </w:tc>
        <w:tc>
          <w:tcPr>
            <w:tcW w:w="1291" w:type="dxa"/>
            <w:vAlign w:val="center"/>
          </w:tcPr>
          <w:p w14:paraId="33A6105B">
            <w:pPr>
              <w:spacing w:line="360" w:lineRule="auto"/>
              <w:rPr>
                <w:rFonts w:hint="eastAsia" w:hAnsi="宋体" w:cs="宋体"/>
                <w:color w:val="auto"/>
                <w:sz w:val="21"/>
                <w:szCs w:val="21"/>
                <w:highlight w:val="none"/>
              </w:rPr>
            </w:pPr>
          </w:p>
        </w:tc>
        <w:tc>
          <w:tcPr>
            <w:tcW w:w="1161" w:type="dxa"/>
            <w:vAlign w:val="center"/>
          </w:tcPr>
          <w:p w14:paraId="283455DE">
            <w:pPr>
              <w:spacing w:line="360" w:lineRule="auto"/>
              <w:rPr>
                <w:rFonts w:hint="eastAsia" w:hAnsi="宋体" w:cs="宋体"/>
                <w:color w:val="auto"/>
                <w:sz w:val="21"/>
                <w:szCs w:val="21"/>
                <w:highlight w:val="none"/>
              </w:rPr>
            </w:pPr>
          </w:p>
        </w:tc>
        <w:tc>
          <w:tcPr>
            <w:tcW w:w="2021" w:type="dxa"/>
            <w:vAlign w:val="center"/>
          </w:tcPr>
          <w:p w14:paraId="43CEB402">
            <w:pPr>
              <w:spacing w:line="360" w:lineRule="auto"/>
              <w:rPr>
                <w:rFonts w:hint="eastAsia" w:hAnsi="宋体" w:cs="宋体"/>
                <w:color w:val="auto"/>
                <w:sz w:val="21"/>
                <w:szCs w:val="21"/>
                <w:highlight w:val="none"/>
              </w:rPr>
            </w:pPr>
          </w:p>
        </w:tc>
      </w:tr>
      <w:tr w14:paraId="780AD7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55D76662">
            <w:pPr>
              <w:spacing w:line="360" w:lineRule="auto"/>
              <w:rPr>
                <w:rFonts w:hint="eastAsia" w:hAnsi="宋体" w:cs="宋体"/>
                <w:color w:val="auto"/>
                <w:sz w:val="21"/>
                <w:szCs w:val="21"/>
                <w:highlight w:val="none"/>
              </w:rPr>
            </w:pPr>
          </w:p>
        </w:tc>
        <w:tc>
          <w:tcPr>
            <w:tcW w:w="1037" w:type="dxa"/>
            <w:vAlign w:val="center"/>
          </w:tcPr>
          <w:p w14:paraId="12B1BC4C">
            <w:pPr>
              <w:spacing w:line="360" w:lineRule="auto"/>
              <w:rPr>
                <w:rFonts w:hint="eastAsia" w:hAnsi="宋体" w:cs="宋体"/>
                <w:color w:val="auto"/>
                <w:sz w:val="21"/>
                <w:szCs w:val="21"/>
                <w:highlight w:val="none"/>
              </w:rPr>
            </w:pPr>
          </w:p>
        </w:tc>
        <w:tc>
          <w:tcPr>
            <w:tcW w:w="1673" w:type="dxa"/>
            <w:vAlign w:val="center"/>
          </w:tcPr>
          <w:p w14:paraId="105C8960">
            <w:pPr>
              <w:spacing w:line="360" w:lineRule="auto"/>
              <w:rPr>
                <w:rFonts w:hint="eastAsia" w:hAnsi="宋体" w:cs="宋体"/>
                <w:color w:val="auto"/>
                <w:sz w:val="21"/>
                <w:szCs w:val="21"/>
                <w:highlight w:val="none"/>
              </w:rPr>
            </w:pPr>
          </w:p>
        </w:tc>
        <w:tc>
          <w:tcPr>
            <w:tcW w:w="645" w:type="dxa"/>
            <w:vAlign w:val="center"/>
          </w:tcPr>
          <w:p w14:paraId="44AAECC4">
            <w:pPr>
              <w:spacing w:line="360" w:lineRule="auto"/>
              <w:rPr>
                <w:rFonts w:hint="eastAsia" w:hAnsi="宋体" w:cs="宋体"/>
                <w:color w:val="auto"/>
                <w:sz w:val="21"/>
                <w:szCs w:val="21"/>
                <w:highlight w:val="none"/>
              </w:rPr>
            </w:pPr>
          </w:p>
        </w:tc>
        <w:tc>
          <w:tcPr>
            <w:tcW w:w="645" w:type="dxa"/>
            <w:vAlign w:val="center"/>
          </w:tcPr>
          <w:p w14:paraId="5F6F37BB">
            <w:pPr>
              <w:spacing w:line="360" w:lineRule="auto"/>
              <w:rPr>
                <w:rFonts w:hint="eastAsia" w:hAnsi="宋体" w:cs="宋体"/>
                <w:color w:val="auto"/>
                <w:sz w:val="21"/>
                <w:szCs w:val="21"/>
                <w:highlight w:val="none"/>
              </w:rPr>
            </w:pPr>
          </w:p>
        </w:tc>
        <w:tc>
          <w:tcPr>
            <w:tcW w:w="1291" w:type="dxa"/>
            <w:vAlign w:val="center"/>
          </w:tcPr>
          <w:p w14:paraId="280C1323">
            <w:pPr>
              <w:spacing w:line="360" w:lineRule="auto"/>
              <w:rPr>
                <w:rFonts w:hint="eastAsia" w:hAnsi="宋体" w:cs="宋体"/>
                <w:color w:val="auto"/>
                <w:sz w:val="21"/>
                <w:szCs w:val="21"/>
                <w:highlight w:val="none"/>
              </w:rPr>
            </w:pPr>
          </w:p>
        </w:tc>
        <w:tc>
          <w:tcPr>
            <w:tcW w:w="1161" w:type="dxa"/>
            <w:vAlign w:val="center"/>
          </w:tcPr>
          <w:p w14:paraId="3261B77F">
            <w:pPr>
              <w:spacing w:line="360" w:lineRule="auto"/>
              <w:rPr>
                <w:rFonts w:hint="eastAsia" w:hAnsi="宋体" w:cs="宋体"/>
                <w:color w:val="auto"/>
                <w:sz w:val="21"/>
                <w:szCs w:val="21"/>
                <w:highlight w:val="none"/>
              </w:rPr>
            </w:pPr>
          </w:p>
        </w:tc>
        <w:tc>
          <w:tcPr>
            <w:tcW w:w="2021" w:type="dxa"/>
            <w:vAlign w:val="center"/>
          </w:tcPr>
          <w:p w14:paraId="0D3F3AF1">
            <w:pPr>
              <w:spacing w:line="360" w:lineRule="auto"/>
              <w:rPr>
                <w:rFonts w:hint="eastAsia" w:hAnsi="宋体" w:cs="宋体"/>
                <w:color w:val="auto"/>
                <w:sz w:val="21"/>
                <w:szCs w:val="21"/>
                <w:highlight w:val="none"/>
              </w:rPr>
            </w:pPr>
          </w:p>
        </w:tc>
      </w:tr>
      <w:tr w14:paraId="14A50D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79639C5E">
            <w:pPr>
              <w:spacing w:line="360" w:lineRule="auto"/>
              <w:rPr>
                <w:rFonts w:hint="eastAsia" w:hAnsi="宋体" w:cs="宋体"/>
                <w:color w:val="auto"/>
                <w:sz w:val="21"/>
                <w:szCs w:val="21"/>
                <w:highlight w:val="none"/>
              </w:rPr>
            </w:pPr>
          </w:p>
        </w:tc>
        <w:tc>
          <w:tcPr>
            <w:tcW w:w="1037" w:type="dxa"/>
            <w:vAlign w:val="center"/>
          </w:tcPr>
          <w:p w14:paraId="32E7FB1C">
            <w:pPr>
              <w:spacing w:line="360" w:lineRule="auto"/>
              <w:rPr>
                <w:rFonts w:hint="eastAsia" w:hAnsi="宋体" w:cs="宋体"/>
                <w:color w:val="auto"/>
                <w:sz w:val="21"/>
                <w:szCs w:val="21"/>
                <w:highlight w:val="none"/>
              </w:rPr>
            </w:pPr>
          </w:p>
        </w:tc>
        <w:tc>
          <w:tcPr>
            <w:tcW w:w="1673" w:type="dxa"/>
            <w:vAlign w:val="center"/>
          </w:tcPr>
          <w:p w14:paraId="5FAF6330">
            <w:pPr>
              <w:spacing w:line="360" w:lineRule="auto"/>
              <w:rPr>
                <w:rFonts w:hint="eastAsia" w:hAnsi="宋体" w:cs="宋体"/>
                <w:color w:val="auto"/>
                <w:sz w:val="21"/>
                <w:szCs w:val="21"/>
                <w:highlight w:val="none"/>
              </w:rPr>
            </w:pPr>
          </w:p>
        </w:tc>
        <w:tc>
          <w:tcPr>
            <w:tcW w:w="645" w:type="dxa"/>
            <w:vAlign w:val="center"/>
          </w:tcPr>
          <w:p w14:paraId="17146542">
            <w:pPr>
              <w:spacing w:line="360" w:lineRule="auto"/>
              <w:rPr>
                <w:rFonts w:hint="eastAsia" w:hAnsi="宋体" w:cs="宋体"/>
                <w:color w:val="auto"/>
                <w:sz w:val="21"/>
                <w:szCs w:val="21"/>
                <w:highlight w:val="none"/>
              </w:rPr>
            </w:pPr>
          </w:p>
        </w:tc>
        <w:tc>
          <w:tcPr>
            <w:tcW w:w="645" w:type="dxa"/>
            <w:vAlign w:val="center"/>
          </w:tcPr>
          <w:p w14:paraId="7951F1DD">
            <w:pPr>
              <w:spacing w:line="360" w:lineRule="auto"/>
              <w:rPr>
                <w:rFonts w:hint="eastAsia" w:hAnsi="宋体" w:cs="宋体"/>
                <w:color w:val="auto"/>
                <w:sz w:val="21"/>
                <w:szCs w:val="21"/>
                <w:highlight w:val="none"/>
              </w:rPr>
            </w:pPr>
          </w:p>
        </w:tc>
        <w:tc>
          <w:tcPr>
            <w:tcW w:w="1291" w:type="dxa"/>
            <w:vAlign w:val="center"/>
          </w:tcPr>
          <w:p w14:paraId="199F838E">
            <w:pPr>
              <w:spacing w:line="360" w:lineRule="auto"/>
              <w:rPr>
                <w:rFonts w:hint="eastAsia" w:hAnsi="宋体" w:cs="宋体"/>
                <w:color w:val="auto"/>
                <w:sz w:val="21"/>
                <w:szCs w:val="21"/>
                <w:highlight w:val="none"/>
              </w:rPr>
            </w:pPr>
          </w:p>
        </w:tc>
        <w:tc>
          <w:tcPr>
            <w:tcW w:w="1161" w:type="dxa"/>
            <w:vAlign w:val="center"/>
          </w:tcPr>
          <w:p w14:paraId="14E385C9">
            <w:pPr>
              <w:spacing w:line="360" w:lineRule="auto"/>
              <w:rPr>
                <w:rFonts w:hint="eastAsia" w:hAnsi="宋体" w:cs="宋体"/>
                <w:color w:val="auto"/>
                <w:sz w:val="21"/>
                <w:szCs w:val="21"/>
                <w:highlight w:val="none"/>
              </w:rPr>
            </w:pPr>
          </w:p>
        </w:tc>
        <w:tc>
          <w:tcPr>
            <w:tcW w:w="2021" w:type="dxa"/>
            <w:vAlign w:val="center"/>
          </w:tcPr>
          <w:p w14:paraId="5A1D5E66">
            <w:pPr>
              <w:spacing w:line="360" w:lineRule="auto"/>
              <w:rPr>
                <w:rFonts w:hint="eastAsia" w:hAnsi="宋体" w:cs="宋体"/>
                <w:color w:val="auto"/>
                <w:sz w:val="21"/>
                <w:szCs w:val="21"/>
                <w:highlight w:val="none"/>
              </w:rPr>
            </w:pPr>
          </w:p>
        </w:tc>
      </w:tr>
    </w:tbl>
    <w:p w14:paraId="03AB69C9">
      <w:pPr>
        <w:rPr>
          <w:rFonts w:hint="eastAsia" w:hAnsi="宋体" w:cs="宋体"/>
          <w:color w:val="auto"/>
          <w:sz w:val="21"/>
          <w:szCs w:val="21"/>
          <w:highlight w:val="none"/>
        </w:rPr>
      </w:pPr>
      <w:r>
        <w:rPr>
          <w:rFonts w:hint="eastAsia" w:hAnsi="宋体" w:cs="宋体"/>
          <w:color w:val="auto"/>
          <w:sz w:val="21"/>
          <w:szCs w:val="21"/>
          <w:highlight w:val="none"/>
        </w:rPr>
        <w:t xml:space="preserve">投标单位：（盖章）     </w:t>
      </w:r>
    </w:p>
    <w:p w14:paraId="6A542BDD">
      <w:pPr>
        <w:rPr>
          <w:rFonts w:hint="eastAsia" w:hAnsi="宋体" w:cs="宋体"/>
          <w:color w:val="auto"/>
          <w:sz w:val="21"/>
          <w:szCs w:val="21"/>
          <w:highlight w:val="none"/>
        </w:rPr>
      </w:pPr>
      <w:r>
        <w:rPr>
          <w:rFonts w:hint="eastAsia" w:hAnsi="宋体" w:cs="宋体"/>
          <w:color w:val="auto"/>
          <w:sz w:val="21"/>
          <w:szCs w:val="21"/>
          <w:highlight w:val="none"/>
        </w:rPr>
        <w:t>法定代表人或授权代表签字（或盖章）：                 日期：</w:t>
      </w:r>
    </w:p>
    <w:p w14:paraId="1D4F8F08">
      <w:pPr>
        <w:rPr>
          <w:rFonts w:hint="eastAsia" w:hAnsi="宋体" w:cs="宋体"/>
          <w:color w:val="auto"/>
          <w:sz w:val="21"/>
          <w:szCs w:val="21"/>
          <w:highlight w:val="none"/>
        </w:rPr>
      </w:pPr>
    </w:p>
    <w:p w14:paraId="50FC8352">
      <w:pPr>
        <w:rPr>
          <w:rFonts w:hint="eastAsia" w:hAnsi="宋体" w:cs="宋体"/>
          <w:color w:val="auto"/>
          <w:sz w:val="21"/>
          <w:szCs w:val="21"/>
          <w:highlight w:val="none"/>
        </w:rPr>
      </w:pPr>
      <w:r>
        <w:rPr>
          <w:rFonts w:hint="eastAsia" w:hAnsi="宋体" w:cs="宋体"/>
          <w:color w:val="auto"/>
          <w:sz w:val="21"/>
          <w:szCs w:val="21"/>
          <w:highlight w:val="none"/>
        </w:rPr>
        <w:t>注  1.此表在不改变表式的情况下，可自行制作。</w:t>
      </w:r>
    </w:p>
    <w:p w14:paraId="3835E364">
      <w:pPr>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2.提供相关专业人员的资格执业证书复印件并加盖公章。</w:t>
      </w:r>
    </w:p>
    <w:p w14:paraId="7A1C5904">
      <w:pPr>
        <w:pStyle w:val="27"/>
        <w:snapToGrid w:val="0"/>
        <w:spacing w:before="295" w:after="295"/>
        <w:rPr>
          <w:rFonts w:hint="eastAsia" w:ascii="宋体" w:hAnsi="宋体" w:cs="宋体"/>
          <w:color w:val="auto"/>
          <w:highlight w:val="none"/>
        </w:rPr>
      </w:pPr>
      <w:r>
        <w:rPr>
          <w:rFonts w:hint="eastAsia" w:ascii="宋体" w:hAnsi="宋体" w:cs="宋体"/>
          <w:color w:val="auto"/>
          <w:sz w:val="24"/>
          <w:szCs w:val="24"/>
          <w:highlight w:val="none"/>
        </w:rPr>
        <w:t>注：若为联合体投标人，由联合体投标人牵头人签字、盖章。</w:t>
      </w:r>
    </w:p>
    <w:p w14:paraId="2FB051F9">
      <w:pPr>
        <w:rPr>
          <w:rFonts w:hint="eastAsia" w:hAnsi="宋体" w:cs="宋体"/>
          <w:b/>
          <w:color w:val="auto"/>
          <w:sz w:val="21"/>
          <w:szCs w:val="21"/>
          <w:highlight w:val="none"/>
        </w:rPr>
      </w:pPr>
      <w:r>
        <w:rPr>
          <w:rFonts w:hint="eastAsia" w:hAnsi="宋体" w:cs="宋体"/>
          <w:b/>
          <w:color w:val="auto"/>
          <w:sz w:val="21"/>
          <w:szCs w:val="21"/>
          <w:highlight w:val="none"/>
        </w:rPr>
        <w:br w:type="page"/>
      </w:r>
    </w:p>
    <w:p w14:paraId="4E9802C4">
      <w:pPr>
        <w:jc w:val="center"/>
        <w:rPr>
          <w:rFonts w:hint="eastAsia" w:hAnsi="宋体" w:cs="宋体"/>
          <w:b/>
          <w:color w:val="auto"/>
          <w:sz w:val="21"/>
          <w:szCs w:val="21"/>
          <w:highlight w:val="none"/>
        </w:rPr>
      </w:pPr>
      <w:r>
        <w:rPr>
          <w:rFonts w:hint="eastAsia" w:hAnsi="宋体" w:cs="宋体"/>
          <w:b/>
          <w:color w:val="auto"/>
          <w:sz w:val="21"/>
          <w:szCs w:val="21"/>
          <w:highlight w:val="none"/>
        </w:rPr>
        <w:t>7.商务技术偏离表</w:t>
      </w:r>
    </w:p>
    <w:tbl>
      <w:tblPr>
        <w:tblStyle w:val="46"/>
        <w:tblW w:w="941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720"/>
        <w:gridCol w:w="1175"/>
        <w:gridCol w:w="2067"/>
        <w:gridCol w:w="1237"/>
        <w:gridCol w:w="2805"/>
        <w:gridCol w:w="1408"/>
      </w:tblGrid>
      <w:tr w14:paraId="485242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vMerge w:val="restart"/>
            <w:shd w:val="clear" w:color="auto" w:fill="auto"/>
            <w:vAlign w:val="center"/>
          </w:tcPr>
          <w:p w14:paraId="27B71284">
            <w:pPr>
              <w:keepNext/>
              <w:snapToGrid w:val="0"/>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3242" w:type="dxa"/>
            <w:gridSpan w:val="2"/>
            <w:shd w:val="clear" w:color="auto" w:fill="auto"/>
            <w:vAlign w:val="center"/>
          </w:tcPr>
          <w:p w14:paraId="7613C464">
            <w:pPr>
              <w:keepNext/>
              <w:snapToGrid w:val="0"/>
              <w:jc w:val="center"/>
              <w:rPr>
                <w:rFonts w:hint="eastAsia" w:hAnsi="宋体" w:cs="宋体"/>
                <w:color w:val="auto"/>
                <w:sz w:val="21"/>
                <w:szCs w:val="21"/>
                <w:highlight w:val="none"/>
              </w:rPr>
            </w:pPr>
            <w:r>
              <w:rPr>
                <w:rFonts w:hint="eastAsia" w:hAnsi="宋体" w:cs="宋体"/>
                <w:color w:val="auto"/>
                <w:sz w:val="21"/>
                <w:szCs w:val="21"/>
                <w:highlight w:val="none"/>
              </w:rPr>
              <w:t>招标文件要求</w:t>
            </w:r>
          </w:p>
        </w:tc>
        <w:tc>
          <w:tcPr>
            <w:tcW w:w="4042" w:type="dxa"/>
            <w:gridSpan w:val="2"/>
            <w:shd w:val="clear" w:color="auto" w:fill="auto"/>
            <w:vAlign w:val="center"/>
          </w:tcPr>
          <w:p w14:paraId="00C2F075">
            <w:pPr>
              <w:keepNext/>
              <w:snapToGrid w:val="0"/>
              <w:jc w:val="center"/>
              <w:rPr>
                <w:rFonts w:hint="eastAsia" w:hAnsi="宋体" w:cs="宋体"/>
                <w:color w:val="auto"/>
                <w:sz w:val="21"/>
                <w:szCs w:val="21"/>
                <w:highlight w:val="none"/>
              </w:rPr>
            </w:pPr>
            <w:r>
              <w:rPr>
                <w:rFonts w:hint="eastAsia" w:hAnsi="宋体" w:cs="宋体"/>
                <w:color w:val="auto"/>
                <w:sz w:val="21"/>
                <w:szCs w:val="21"/>
                <w:highlight w:val="none"/>
              </w:rPr>
              <w:t>投标文件内容</w:t>
            </w:r>
          </w:p>
        </w:tc>
        <w:tc>
          <w:tcPr>
            <w:tcW w:w="1408" w:type="dxa"/>
            <w:vMerge w:val="restart"/>
            <w:shd w:val="clear" w:color="auto" w:fill="auto"/>
            <w:vAlign w:val="center"/>
          </w:tcPr>
          <w:p w14:paraId="623F4E3A">
            <w:pPr>
              <w:keepNext/>
              <w:snapToGrid w:val="0"/>
              <w:jc w:val="center"/>
              <w:rPr>
                <w:rFonts w:hint="eastAsia" w:hAnsi="宋体" w:cs="宋体"/>
                <w:color w:val="auto"/>
                <w:sz w:val="21"/>
                <w:szCs w:val="21"/>
                <w:highlight w:val="none"/>
              </w:rPr>
            </w:pPr>
            <w:r>
              <w:rPr>
                <w:rFonts w:hint="eastAsia" w:hAnsi="宋体" w:cs="宋体"/>
                <w:color w:val="auto"/>
                <w:sz w:val="21"/>
                <w:szCs w:val="21"/>
                <w:highlight w:val="none"/>
              </w:rPr>
              <w:t>备注</w:t>
            </w:r>
          </w:p>
        </w:tc>
      </w:tr>
      <w:tr w14:paraId="6B40EC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vMerge w:val="continue"/>
            <w:shd w:val="clear" w:color="auto" w:fill="auto"/>
            <w:vAlign w:val="center"/>
          </w:tcPr>
          <w:p w14:paraId="57D50218">
            <w:pPr>
              <w:keepNext/>
              <w:snapToGrid w:val="0"/>
              <w:jc w:val="center"/>
              <w:rPr>
                <w:rFonts w:hint="eastAsia" w:hAnsi="宋体" w:cs="宋体"/>
                <w:color w:val="auto"/>
                <w:sz w:val="21"/>
                <w:szCs w:val="21"/>
                <w:highlight w:val="none"/>
              </w:rPr>
            </w:pPr>
          </w:p>
        </w:tc>
        <w:tc>
          <w:tcPr>
            <w:tcW w:w="1175" w:type="dxa"/>
            <w:shd w:val="clear" w:color="auto" w:fill="auto"/>
            <w:vAlign w:val="center"/>
          </w:tcPr>
          <w:p w14:paraId="10EB5803">
            <w:pPr>
              <w:keepNext/>
              <w:snapToGrid w:val="0"/>
              <w:jc w:val="center"/>
              <w:rPr>
                <w:rFonts w:hint="eastAsia" w:hAnsi="宋体" w:cs="宋体"/>
                <w:color w:val="auto"/>
                <w:sz w:val="21"/>
                <w:szCs w:val="21"/>
                <w:highlight w:val="none"/>
              </w:rPr>
            </w:pPr>
            <w:r>
              <w:rPr>
                <w:rFonts w:hint="eastAsia" w:hAnsi="宋体" w:cs="宋体"/>
                <w:color w:val="auto"/>
                <w:sz w:val="21"/>
                <w:szCs w:val="21"/>
                <w:highlight w:val="none"/>
              </w:rPr>
              <w:t>条目</w:t>
            </w:r>
          </w:p>
        </w:tc>
        <w:tc>
          <w:tcPr>
            <w:tcW w:w="2067" w:type="dxa"/>
            <w:shd w:val="clear" w:color="auto" w:fill="auto"/>
            <w:vAlign w:val="center"/>
          </w:tcPr>
          <w:p w14:paraId="02C49632">
            <w:pPr>
              <w:keepNext/>
              <w:snapToGrid w:val="0"/>
              <w:jc w:val="center"/>
              <w:rPr>
                <w:rFonts w:hint="eastAsia" w:hAnsi="宋体" w:cs="宋体"/>
                <w:color w:val="auto"/>
                <w:sz w:val="21"/>
                <w:szCs w:val="21"/>
                <w:highlight w:val="none"/>
              </w:rPr>
            </w:pPr>
            <w:r>
              <w:rPr>
                <w:rFonts w:hint="eastAsia" w:hAnsi="宋体" w:cs="宋体"/>
                <w:color w:val="auto"/>
                <w:sz w:val="21"/>
                <w:szCs w:val="21"/>
                <w:highlight w:val="none"/>
              </w:rPr>
              <w:t>内容</w:t>
            </w:r>
          </w:p>
        </w:tc>
        <w:tc>
          <w:tcPr>
            <w:tcW w:w="1237" w:type="dxa"/>
            <w:shd w:val="clear" w:color="auto" w:fill="auto"/>
            <w:vAlign w:val="center"/>
          </w:tcPr>
          <w:p w14:paraId="3100A41F">
            <w:pPr>
              <w:keepNext/>
              <w:snapToGrid w:val="0"/>
              <w:jc w:val="center"/>
              <w:rPr>
                <w:rFonts w:hint="eastAsia" w:hAnsi="宋体" w:cs="宋体"/>
                <w:color w:val="auto"/>
                <w:sz w:val="21"/>
                <w:szCs w:val="21"/>
                <w:highlight w:val="none"/>
              </w:rPr>
            </w:pPr>
            <w:r>
              <w:rPr>
                <w:rFonts w:hint="eastAsia" w:hAnsi="宋体" w:cs="宋体"/>
                <w:color w:val="auto"/>
                <w:sz w:val="21"/>
                <w:szCs w:val="21"/>
                <w:highlight w:val="none"/>
              </w:rPr>
              <w:t>条目</w:t>
            </w:r>
          </w:p>
        </w:tc>
        <w:tc>
          <w:tcPr>
            <w:tcW w:w="2805" w:type="dxa"/>
            <w:shd w:val="clear" w:color="auto" w:fill="auto"/>
            <w:vAlign w:val="center"/>
          </w:tcPr>
          <w:p w14:paraId="64B6664F">
            <w:pPr>
              <w:keepNext/>
              <w:snapToGrid w:val="0"/>
              <w:jc w:val="center"/>
              <w:rPr>
                <w:rFonts w:hint="eastAsia" w:hAnsi="宋体" w:cs="宋体"/>
                <w:color w:val="auto"/>
                <w:sz w:val="21"/>
                <w:szCs w:val="21"/>
                <w:highlight w:val="none"/>
              </w:rPr>
            </w:pPr>
            <w:r>
              <w:rPr>
                <w:rFonts w:hint="eastAsia" w:hAnsi="宋体" w:cs="宋体"/>
                <w:color w:val="auto"/>
                <w:sz w:val="21"/>
                <w:szCs w:val="21"/>
                <w:highlight w:val="none"/>
              </w:rPr>
              <w:t>实际响应的具体内容</w:t>
            </w:r>
          </w:p>
        </w:tc>
        <w:tc>
          <w:tcPr>
            <w:tcW w:w="1408" w:type="dxa"/>
            <w:vMerge w:val="continue"/>
            <w:shd w:val="clear" w:color="auto" w:fill="auto"/>
            <w:vAlign w:val="center"/>
          </w:tcPr>
          <w:p w14:paraId="1310045A">
            <w:pPr>
              <w:keepNext/>
              <w:snapToGrid w:val="0"/>
              <w:jc w:val="center"/>
              <w:rPr>
                <w:rFonts w:hint="eastAsia" w:hAnsi="宋体" w:cs="宋体"/>
                <w:color w:val="auto"/>
                <w:sz w:val="21"/>
                <w:szCs w:val="21"/>
                <w:highlight w:val="none"/>
              </w:rPr>
            </w:pPr>
          </w:p>
        </w:tc>
      </w:tr>
      <w:tr w14:paraId="780637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73BABE4B">
            <w:pPr>
              <w:keepNext/>
              <w:snapToGrid w:val="0"/>
              <w:jc w:val="center"/>
              <w:rPr>
                <w:rFonts w:hint="eastAsia" w:hAnsi="宋体" w:cs="宋体"/>
                <w:color w:val="auto"/>
                <w:sz w:val="21"/>
                <w:szCs w:val="21"/>
                <w:highlight w:val="none"/>
              </w:rPr>
            </w:pPr>
          </w:p>
        </w:tc>
        <w:tc>
          <w:tcPr>
            <w:tcW w:w="1175" w:type="dxa"/>
            <w:shd w:val="clear" w:color="auto" w:fill="auto"/>
            <w:vAlign w:val="center"/>
          </w:tcPr>
          <w:p w14:paraId="1C53D16F">
            <w:pPr>
              <w:keepNext/>
              <w:snapToGrid w:val="0"/>
              <w:jc w:val="center"/>
              <w:rPr>
                <w:rFonts w:hint="eastAsia" w:hAnsi="宋体" w:cs="宋体"/>
                <w:color w:val="auto"/>
                <w:sz w:val="21"/>
                <w:szCs w:val="21"/>
                <w:highlight w:val="none"/>
              </w:rPr>
            </w:pPr>
          </w:p>
        </w:tc>
        <w:tc>
          <w:tcPr>
            <w:tcW w:w="2067" w:type="dxa"/>
            <w:shd w:val="clear" w:color="auto" w:fill="auto"/>
            <w:vAlign w:val="center"/>
          </w:tcPr>
          <w:p w14:paraId="268221CD">
            <w:pPr>
              <w:keepNext/>
              <w:snapToGrid w:val="0"/>
              <w:jc w:val="center"/>
              <w:rPr>
                <w:rFonts w:hint="eastAsia" w:hAnsi="宋体" w:cs="宋体"/>
                <w:color w:val="auto"/>
                <w:sz w:val="21"/>
                <w:szCs w:val="21"/>
                <w:highlight w:val="none"/>
              </w:rPr>
            </w:pPr>
          </w:p>
        </w:tc>
        <w:tc>
          <w:tcPr>
            <w:tcW w:w="1237" w:type="dxa"/>
            <w:shd w:val="clear" w:color="auto" w:fill="auto"/>
            <w:vAlign w:val="center"/>
          </w:tcPr>
          <w:p w14:paraId="7601AD3B">
            <w:pPr>
              <w:keepNext/>
              <w:snapToGrid w:val="0"/>
              <w:jc w:val="center"/>
              <w:rPr>
                <w:rFonts w:hint="eastAsia" w:hAnsi="宋体" w:cs="宋体"/>
                <w:color w:val="auto"/>
                <w:sz w:val="21"/>
                <w:szCs w:val="21"/>
                <w:highlight w:val="none"/>
              </w:rPr>
            </w:pPr>
          </w:p>
        </w:tc>
        <w:tc>
          <w:tcPr>
            <w:tcW w:w="2805" w:type="dxa"/>
            <w:shd w:val="clear" w:color="auto" w:fill="auto"/>
            <w:vAlign w:val="center"/>
          </w:tcPr>
          <w:p w14:paraId="3D229150">
            <w:pPr>
              <w:keepNext/>
              <w:snapToGrid w:val="0"/>
              <w:jc w:val="center"/>
              <w:rPr>
                <w:rFonts w:hint="eastAsia" w:hAnsi="宋体" w:cs="宋体"/>
                <w:color w:val="auto"/>
                <w:sz w:val="21"/>
                <w:szCs w:val="21"/>
                <w:highlight w:val="none"/>
              </w:rPr>
            </w:pPr>
          </w:p>
        </w:tc>
        <w:tc>
          <w:tcPr>
            <w:tcW w:w="1408" w:type="dxa"/>
            <w:shd w:val="clear" w:color="auto" w:fill="auto"/>
            <w:vAlign w:val="center"/>
          </w:tcPr>
          <w:p w14:paraId="720D5AB1">
            <w:pPr>
              <w:keepNext/>
              <w:snapToGrid w:val="0"/>
              <w:jc w:val="center"/>
              <w:rPr>
                <w:rFonts w:hint="eastAsia" w:hAnsi="宋体" w:cs="宋体"/>
                <w:color w:val="auto"/>
                <w:sz w:val="21"/>
                <w:szCs w:val="21"/>
                <w:highlight w:val="none"/>
              </w:rPr>
            </w:pPr>
          </w:p>
        </w:tc>
      </w:tr>
      <w:tr w14:paraId="376658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4121628C">
            <w:pPr>
              <w:keepNext/>
              <w:snapToGrid w:val="0"/>
              <w:jc w:val="center"/>
              <w:rPr>
                <w:rFonts w:hint="eastAsia" w:hAnsi="宋体" w:cs="宋体"/>
                <w:color w:val="auto"/>
                <w:sz w:val="21"/>
                <w:szCs w:val="21"/>
                <w:highlight w:val="none"/>
              </w:rPr>
            </w:pPr>
          </w:p>
        </w:tc>
        <w:tc>
          <w:tcPr>
            <w:tcW w:w="1175" w:type="dxa"/>
            <w:shd w:val="clear" w:color="auto" w:fill="auto"/>
            <w:vAlign w:val="center"/>
          </w:tcPr>
          <w:p w14:paraId="458D9A41">
            <w:pPr>
              <w:keepNext/>
              <w:snapToGrid w:val="0"/>
              <w:jc w:val="center"/>
              <w:rPr>
                <w:rFonts w:hint="eastAsia" w:hAnsi="宋体" w:cs="宋体"/>
                <w:color w:val="auto"/>
                <w:sz w:val="21"/>
                <w:szCs w:val="21"/>
                <w:highlight w:val="none"/>
              </w:rPr>
            </w:pPr>
          </w:p>
        </w:tc>
        <w:tc>
          <w:tcPr>
            <w:tcW w:w="2067" w:type="dxa"/>
            <w:shd w:val="clear" w:color="auto" w:fill="auto"/>
            <w:vAlign w:val="center"/>
          </w:tcPr>
          <w:p w14:paraId="285C429D">
            <w:pPr>
              <w:keepNext/>
              <w:snapToGrid w:val="0"/>
              <w:jc w:val="center"/>
              <w:rPr>
                <w:rFonts w:hint="eastAsia" w:hAnsi="宋体" w:cs="宋体"/>
                <w:color w:val="auto"/>
                <w:sz w:val="21"/>
                <w:szCs w:val="21"/>
                <w:highlight w:val="none"/>
              </w:rPr>
            </w:pPr>
          </w:p>
        </w:tc>
        <w:tc>
          <w:tcPr>
            <w:tcW w:w="1237" w:type="dxa"/>
            <w:shd w:val="clear" w:color="auto" w:fill="auto"/>
            <w:vAlign w:val="center"/>
          </w:tcPr>
          <w:p w14:paraId="302B426E">
            <w:pPr>
              <w:keepNext/>
              <w:snapToGrid w:val="0"/>
              <w:jc w:val="center"/>
              <w:rPr>
                <w:rFonts w:hint="eastAsia" w:hAnsi="宋体" w:cs="宋体"/>
                <w:color w:val="auto"/>
                <w:sz w:val="21"/>
                <w:szCs w:val="21"/>
                <w:highlight w:val="none"/>
              </w:rPr>
            </w:pPr>
          </w:p>
        </w:tc>
        <w:tc>
          <w:tcPr>
            <w:tcW w:w="2805" w:type="dxa"/>
            <w:shd w:val="clear" w:color="auto" w:fill="auto"/>
            <w:vAlign w:val="center"/>
          </w:tcPr>
          <w:p w14:paraId="3A343D85">
            <w:pPr>
              <w:keepNext/>
              <w:snapToGrid w:val="0"/>
              <w:jc w:val="center"/>
              <w:rPr>
                <w:rFonts w:hint="eastAsia" w:hAnsi="宋体" w:cs="宋体"/>
                <w:color w:val="auto"/>
                <w:sz w:val="21"/>
                <w:szCs w:val="21"/>
                <w:highlight w:val="none"/>
              </w:rPr>
            </w:pPr>
          </w:p>
        </w:tc>
        <w:tc>
          <w:tcPr>
            <w:tcW w:w="1408" w:type="dxa"/>
            <w:shd w:val="clear" w:color="auto" w:fill="auto"/>
            <w:vAlign w:val="center"/>
          </w:tcPr>
          <w:p w14:paraId="0E1687FC">
            <w:pPr>
              <w:keepNext/>
              <w:snapToGrid w:val="0"/>
              <w:jc w:val="center"/>
              <w:rPr>
                <w:rFonts w:hint="eastAsia" w:hAnsi="宋体" w:cs="宋体"/>
                <w:color w:val="auto"/>
                <w:sz w:val="21"/>
                <w:szCs w:val="21"/>
                <w:highlight w:val="none"/>
              </w:rPr>
            </w:pPr>
          </w:p>
        </w:tc>
      </w:tr>
      <w:tr w14:paraId="1311E1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57D9E9D2">
            <w:pPr>
              <w:snapToGrid w:val="0"/>
              <w:jc w:val="center"/>
              <w:rPr>
                <w:rFonts w:hint="eastAsia" w:hAnsi="宋体" w:cs="宋体"/>
                <w:color w:val="auto"/>
                <w:sz w:val="21"/>
                <w:szCs w:val="21"/>
                <w:highlight w:val="none"/>
              </w:rPr>
            </w:pPr>
          </w:p>
        </w:tc>
        <w:tc>
          <w:tcPr>
            <w:tcW w:w="1175" w:type="dxa"/>
            <w:shd w:val="clear" w:color="auto" w:fill="auto"/>
            <w:vAlign w:val="center"/>
          </w:tcPr>
          <w:p w14:paraId="36273AF5">
            <w:pPr>
              <w:snapToGrid w:val="0"/>
              <w:jc w:val="center"/>
              <w:rPr>
                <w:rFonts w:hint="eastAsia" w:hAnsi="宋体" w:cs="宋体"/>
                <w:color w:val="auto"/>
                <w:sz w:val="21"/>
                <w:szCs w:val="21"/>
                <w:highlight w:val="none"/>
              </w:rPr>
            </w:pPr>
          </w:p>
        </w:tc>
        <w:tc>
          <w:tcPr>
            <w:tcW w:w="2067" w:type="dxa"/>
            <w:shd w:val="clear" w:color="auto" w:fill="auto"/>
            <w:vAlign w:val="center"/>
          </w:tcPr>
          <w:p w14:paraId="68B9DDDC">
            <w:pPr>
              <w:snapToGrid w:val="0"/>
              <w:jc w:val="center"/>
              <w:rPr>
                <w:rFonts w:hint="eastAsia" w:hAnsi="宋体" w:cs="宋体"/>
                <w:color w:val="auto"/>
                <w:sz w:val="21"/>
                <w:szCs w:val="21"/>
                <w:highlight w:val="none"/>
              </w:rPr>
            </w:pPr>
          </w:p>
        </w:tc>
        <w:tc>
          <w:tcPr>
            <w:tcW w:w="1237" w:type="dxa"/>
            <w:shd w:val="clear" w:color="auto" w:fill="auto"/>
            <w:vAlign w:val="center"/>
          </w:tcPr>
          <w:p w14:paraId="371EC309">
            <w:pPr>
              <w:snapToGrid w:val="0"/>
              <w:jc w:val="center"/>
              <w:rPr>
                <w:rFonts w:hint="eastAsia" w:hAnsi="宋体" w:cs="宋体"/>
                <w:color w:val="auto"/>
                <w:sz w:val="21"/>
                <w:szCs w:val="21"/>
                <w:highlight w:val="none"/>
              </w:rPr>
            </w:pPr>
          </w:p>
        </w:tc>
        <w:tc>
          <w:tcPr>
            <w:tcW w:w="2805" w:type="dxa"/>
            <w:shd w:val="clear" w:color="auto" w:fill="auto"/>
            <w:vAlign w:val="center"/>
          </w:tcPr>
          <w:p w14:paraId="74321E09">
            <w:pPr>
              <w:snapToGrid w:val="0"/>
              <w:jc w:val="center"/>
              <w:rPr>
                <w:rFonts w:hint="eastAsia" w:hAnsi="宋体" w:cs="宋体"/>
                <w:color w:val="auto"/>
                <w:sz w:val="21"/>
                <w:szCs w:val="21"/>
                <w:highlight w:val="none"/>
              </w:rPr>
            </w:pPr>
          </w:p>
        </w:tc>
        <w:tc>
          <w:tcPr>
            <w:tcW w:w="1408" w:type="dxa"/>
            <w:shd w:val="clear" w:color="auto" w:fill="auto"/>
            <w:vAlign w:val="center"/>
          </w:tcPr>
          <w:p w14:paraId="43DE7B62">
            <w:pPr>
              <w:snapToGrid w:val="0"/>
              <w:jc w:val="center"/>
              <w:rPr>
                <w:rFonts w:hint="eastAsia" w:hAnsi="宋体" w:cs="宋体"/>
                <w:color w:val="auto"/>
                <w:sz w:val="21"/>
                <w:szCs w:val="21"/>
                <w:highlight w:val="none"/>
              </w:rPr>
            </w:pPr>
          </w:p>
        </w:tc>
      </w:tr>
      <w:tr w14:paraId="577F7E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7476F9F7">
            <w:pPr>
              <w:snapToGrid w:val="0"/>
              <w:jc w:val="center"/>
              <w:rPr>
                <w:rFonts w:hint="eastAsia" w:hAnsi="宋体" w:cs="宋体"/>
                <w:color w:val="auto"/>
                <w:sz w:val="21"/>
                <w:szCs w:val="21"/>
                <w:highlight w:val="none"/>
              </w:rPr>
            </w:pPr>
          </w:p>
        </w:tc>
        <w:tc>
          <w:tcPr>
            <w:tcW w:w="1175" w:type="dxa"/>
            <w:shd w:val="clear" w:color="auto" w:fill="auto"/>
            <w:vAlign w:val="center"/>
          </w:tcPr>
          <w:p w14:paraId="7CB618E2">
            <w:pPr>
              <w:snapToGrid w:val="0"/>
              <w:jc w:val="center"/>
              <w:rPr>
                <w:rFonts w:hint="eastAsia" w:hAnsi="宋体" w:cs="宋体"/>
                <w:color w:val="auto"/>
                <w:sz w:val="21"/>
                <w:szCs w:val="21"/>
                <w:highlight w:val="none"/>
              </w:rPr>
            </w:pPr>
          </w:p>
        </w:tc>
        <w:tc>
          <w:tcPr>
            <w:tcW w:w="2067" w:type="dxa"/>
            <w:shd w:val="clear" w:color="auto" w:fill="auto"/>
            <w:vAlign w:val="center"/>
          </w:tcPr>
          <w:p w14:paraId="62766C88">
            <w:pPr>
              <w:snapToGrid w:val="0"/>
              <w:jc w:val="center"/>
              <w:rPr>
                <w:rFonts w:hint="eastAsia" w:hAnsi="宋体" w:cs="宋体"/>
                <w:color w:val="auto"/>
                <w:sz w:val="21"/>
                <w:szCs w:val="21"/>
                <w:highlight w:val="none"/>
              </w:rPr>
            </w:pPr>
          </w:p>
        </w:tc>
        <w:tc>
          <w:tcPr>
            <w:tcW w:w="1237" w:type="dxa"/>
            <w:shd w:val="clear" w:color="auto" w:fill="auto"/>
            <w:vAlign w:val="center"/>
          </w:tcPr>
          <w:p w14:paraId="17B8B102">
            <w:pPr>
              <w:snapToGrid w:val="0"/>
              <w:jc w:val="center"/>
              <w:rPr>
                <w:rFonts w:hint="eastAsia" w:hAnsi="宋体" w:cs="宋体"/>
                <w:color w:val="auto"/>
                <w:sz w:val="21"/>
                <w:szCs w:val="21"/>
                <w:highlight w:val="none"/>
              </w:rPr>
            </w:pPr>
          </w:p>
        </w:tc>
        <w:tc>
          <w:tcPr>
            <w:tcW w:w="2805" w:type="dxa"/>
            <w:shd w:val="clear" w:color="auto" w:fill="auto"/>
            <w:vAlign w:val="center"/>
          </w:tcPr>
          <w:p w14:paraId="6418AB89">
            <w:pPr>
              <w:snapToGrid w:val="0"/>
              <w:jc w:val="center"/>
              <w:rPr>
                <w:rFonts w:hint="eastAsia" w:hAnsi="宋体" w:cs="宋体"/>
                <w:color w:val="auto"/>
                <w:sz w:val="21"/>
                <w:szCs w:val="21"/>
                <w:highlight w:val="none"/>
              </w:rPr>
            </w:pPr>
          </w:p>
        </w:tc>
        <w:tc>
          <w:tcPr>
            <w:tcW w:w="1408" w:type="dxa"/>
            <w:shd w:val="clear" w:color="auto" w:fill="auto"/>
            <w:vAlign w:val="center"/>
          </w:tcPr>
          <w:p w14:paraId="096ABFB9">
            <w:pPr>
              <w:snapToGrid w:val="0"/>
              <w:jc w:val="center"/>
              <w:rPr>
                <w:rFonts w:hint="eastAsia" w:hAnsi="宋体" w:cs="宋体"/>
                <w:color w:val="auto"/>
                <w:sz w:val="21"/>
                <w:szCs w:val="21"/>
                <w:highlight w:val="none"/>
              </w:rPr>
            </w:pPr>
          </w:p>
        </w:tc>
      </w:tr>
      <w:tr w14:paraId="071476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7223ED19">
            <w:pPr>
              <w:snapToGrid w:val="0"/>
              <w:jc w:val="center"/>
              <w:rPr>
                <w:rFonts w:hint="eastAsia" w:hAnsi="宋体" w:cs="宋体"/>
                <w:color w:val="auto"/>
                <w:sz w:val="21"/>
                <w:szCs w:val="21"/>
                <w:highlight w:val="none"/>
              </w:rPr>
            </w:pPr>
          </w:p>
        </w:tc>
        <w:tc>
          <w:tcPr>
            <w:tcW w:w="1175" w:type="dxa"/>
            <w:shd w:val="clear" w:color="auto" w:fill="auto"/>
            <w:vAlign w:val="center"/>
          </w:tcPr>
          <w:p w14:paraId="0A3D5D21">
            <w:pPr>
              <w:snapToGrid w:val="0"/>
              <w:jc w:val="center"/>
              <w:rPr>
                <w:rFonts w:hint="eastAsia" w:hAnsi="宋体" w:cs="宋体"/>
                <w:color w:val="auto"/>
                <w:sz w:val="21"/>
                <w:szCs w:val="21"/>
                <w:highlight w:val="none"/>
              </w:rPr>
            </w:pPr>
          </w:p>
        </w:tc>
        <w:tc>
          <w:tcPr>
            <w:tcW w:w="2067" w:type="dxa"/>
            <w:shd w:val="clear" w:color="auto" w:fill="auto"/>
            <w:vAlign w:val="center"/>
          </w:tcPr>
          <w:p w14:paraId="103B0459">
            <w:pPr>
              <w:snapToGrid w:val="0"/>
              <w:jc w:val="center"/>
              <w:rPr>
                <w:rFonts w:hint="eastAsia" w:hAnsi="宋体" w:cs="宋体"/>
                <w:color w:val="auto"/>
                <w:sz w:val="21"/>
                <w:szCs w:val="21"/>
                <w:highlight w:val="none"/>
              </w:rPr>
            </w:pPr>
          </w:p>
        </w:tc>
        <w:tc>
          <w:tcPr>
            <w:tcW w:w="1237" w:type="dxa"/>
            <w:shd w:val="clear" w:color="auto" w:fill="auto"/>
            <w:vAlign w:val="center"/>
          </w:tcPr>
          <w:p w14:paraId="67DF58F7">
            <w:pPr>
              <w:snapToGrid w:val="0"/>
              <w:jc w:val="center"/>
              <w:rPr>
                <w:rFonts w:hint="eastAsia" w:hAnsi="宋体" w:cs="宋体"/>
                <w:color w:val="auto"/>
                <w:sz w:val="21"/>
                <w:szCs w:val="21"/>
                <w:highlight w:val="none"/>
              </w:rPr>
            </w:pPr>
          </w:p>
        </w:tc>
        <w:tc>
          <w:tcPr>
            <w:tcW w:w="2805" w:type="dxa"/>
            <w:shd w:val="clear" w:color="auto" w:fill="auto"/>
            <w:vAlign w:val="center"/>
          </w:tcPr>
          <w:p w14:paraId="4E0F6081">
            <w:pPr>
              <w:snapToGrid w:val="0"/>
              <w:jc w:val="center"/>
              <w:rPr>
                <w:rFonts w:hint="eastAsia" w:hAnsi="宋体" w:cs="宋体"/>
                <w:color w:val="auto"/>
                <w:sz w:val="21"/>
                <w:szCs w:val="21"/>
                <w:highlight w:val="none"/>
              </w:rPr>
            </w:pPr>
          </w:p>
        </w:tc>
        <w:tc>
          <w:tcPr>
            <w:tcW w:w="1408" w:type="dxa"/>
            <w:shd w:val="clear" w:color="auto" w:fill="auto"/>
            <w:vAlign w:val="center"/>
          </w:tcPr>
          <w:p w14:paraId="6CD440EA">
            <w:pPr>
              <w:snapToGrid w:val="0"/>
              <w:jc w:val="center"/>
              <w:rPr>
                <w:rFonts w:hint="eastAsia" w:hAnsi="宋体" w:cs="宋体"/>
                <w:color w:val="auto"/>
                <w:sz w:val="21"/>
                <w:szCs w:val="21"/>
                <w:highlight w:val="none"/>
              </w:rPr>
            </w:pPr>
          </w:p>
        </w:tc>
      </w:tr>
      <w:tr w14:paraId="561B08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7CE619E1">
            <w:pPr>
              <w:snapToGrid w:val="0"/>
              <w:jc w:val="center"/>
              <w:rPr>
                <w:rFonts w:hint="eastAsia" w:hAnsi="宋体" w:cs="宋体"/>
                <w:color w:val="auto"/>
                <w:sz w:val="21"/>
                <w:szCs w:val="21"/>
                <w:highlight w:val="none"/>
              </w:rPr>
            </w:pPr>
          </w:p>
        </w:tc>
        <w:tc>
          <w:tcPr>
            <w:tcW w:w="1175" w:type="dxa"/>
            <w:shd w:val="clear" w:color="auto" w:fill="auto"/>
            <w:vAlign w:val="center"/>
          </w:tcPr>
          <w:p w14:paraId="39E7DBCA">
            <w:pPr>
              <w:snapToGrid w:val="0"/>
              <w:jc w:val="center"/>
              <w:rPr>
                <w:rFonts w:hint="eastAsia" w:hAnsi="宋体" w:cs="宋体"/>
                <w:color w:val="auto"/>
                <w:sz w:val="21"/>
                <w:szCs w:val="21"/>
                <w:highlight w:val="none"/>
              </w:rPr>
            </w:pPr>
          </w:p>
        </w:tc>
        <w:tc>
          <w:tcPr>
            <w:tcW w:w="2067" w:type="dxa"/>
            <w:shd w:val="clear" w:color="auto" w:fill="auto"/>
            <w:vAlign w:val="center"/>
          </w:tcPr>
          <w:p w14:paraId="16833CAF">
            <w:pPr>
              <w:snapToGrid w:val="0"/>
              <w:jc w:val="center"/>
              <w:rPr>
                <w:rFonts w:hint="eastAsia" w:hAnsi="宋体" w:cs="宋体"/>
                <w:color w:val="auto"/>
                <w:sz w:val="21"/>
                <w:szCs w:val="21"/>
                <w:highlight w:val="none"/>
              </w:rPr>
            </w:pPr>
          </w:p>
        </w:tc>
        <w:tc>
          <w:tcPr>
            <w:tcW w:w="1237" w:type="dxa"/>
            <w:shd w:val="clear" w:color="auto" w:fill="auto"/>
            <w:vAlign w:val="center"/>
          </w:tcPr>
          <w:p w14:paraId="41470990">
            <w:pPr>
              <w:snapToGrid w:val="0"/>
              <w:jc w:val="center"/>
              <w:rPr>
                <w:rFonts w:hint="eastAsia" w:hAnsi="宋体" w:cs="宋体"/>
                <w:color w:val="auto"/>
                <w:sz w:val="21"/>
                <w:szCs w:val="21"/>
                <w:highlight w:val="none"/>
              </w:rPr>
            </w:pPr>
          </w:p>
        </w:tc>
        <w:tc>
          <w:tcPr>
            <w:tcW w:w="2805" w:type="dxa"/>
            <w:shd w:val="clear" w:color="auto" w:fill="auto"/>
            <w:vAlign w:val="center"/>
          </w:tcPr>
          <w:p w14:paraId="58568676">
            <w:pPr>
              <w:snapToGrid w:val="0"/>
              <w:jc w:val="center"/>
              <w:rPr>
                <w:rFonts w:hint="eastAsia" w:hAnsi="宋体" w:cs="宋体"/>
                <w:color w:val="auto"/>
                <w:sz w:val="21"/>
                <w:szCs w:val="21"/>
                <w:highlight w:val="none"/>
              </w:rPr>
            </w:pPr>
          </w:p>
        </w:tc>
        <w:tc>
          <w:tcPr>
            <w:tcW w:w="1408" w:type="dxa"/>
            <w:shd w:val="clear" w:color="auto" w:fill="auto"/>
            <w:vAlign w:val="center"/>
          </w:tcPr>
          <w:p w14:paraId="733E327F">
            <w:pPr>
              <w:snapToGrid w:val="0"/>
              <w:jc w:val="center"/>
              <w:rPr>
                <w:rFonts w:hint="eastAsia" w:hAnsi="宋体" w:cs="宋体"/>
                <w:color w:val="auto"/>
                <w:sz w:val="21"/>
                <w:szCs w:val="21"/>
                <w:highlight w:val="none"/>
              </w:rPr>
            </w:pPr>
          </w:p>
        </w:tc>
      </w:tr>
      <w:tr w14:paraId="51362F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3BF49C83">
            <w:pPr>
              <w:snapToGrid w:val="0"/>
              <w:jc w:val="center"/>
              <w:rPr>
                <w:rFonts w:hint="eastAsia" w:hAnsi="宋体" w:cs="宋体"/>
                <w:color w:val="auto"/>
                <w:sz w:val="21"/>
                <w:szCs w:val="21"/>
                <w:highlight w:val="none"/>
              </w:rPr>
            </w:pPr>
          </w:p>
        </w:tc>
        <w:tc>
          <w:tcPr>
            <w:tcW w:w="1175" w:type="dxa"/>
            <w:shd w:val="clear" w:color="auto" w:fill="auto"/>
            <w:vAlign w:val="center"/>
          </w:tcPr>
          <w:p w14:paraId="2FF519D1">
            <w:pPr>
              <w:snapToGrid w:val="0"/>
              <w:jc w:val="center"/>
              <w:rPr>
                <w:rFonts w:hint="eastAsia" w:hAnsi="宋体" w:cs="宋体"/>
                <w:color w:val="auto"/>
                <w:sz w:val="21"/>
                <w:szCs w:val="21"/>
                <w:highlight w:val="none"/>
              </w:rPr>
            </w:pPr>
          </w:p>
        </w:tc>
        <w:tc>
          <w:tcPr>
            <w:tcW w:w="2067" w:type="dxa"/>
            <w:shd w:val="clear" w:color="auto" w:fill="auto"/>
            <w:vAlign w:val="center"/>
          </w:tcPr>
          <w:p w14:paraId="040B6E20">
            <w:pPr>
              <w:snapToGrid w:val="0"/>
              <w:jc w:val="center"/>
              <w:rPr>
                <w:rFonts w:hint="eastAsia" w:hAnsi="宋体" w:cs="宋体"/>
                <w:color w:val="auto"/>
                <w:sz w:val="21"/>
                <w:szCs w:val="21"/>
                <w:highlight w:val="none"/>
              </w:rPr>
            </w:pPr>
          </w:p>
        </w:tc>
        <w:tc>
          <w:tcPr>
            <w:tcW w:w="1237" w:type="dxa"/>
            <w:shd w:val="clear" w:color="auto" w:fill="auto"/>
            <w:vAlign w:val="center"/>
          </w:tcPr>
          <w:p w14:paraId="5F0B9684">
            <w:pPr>
              <w:snapToGrid w:val="0"/>
              <w:jc w:val="center"/>
              <w:rPr>
                <w:rFonts w:hint="eastAsia" w:hAnsi="宋体" w:cs="宋体"/>
                <w:color w:val="auto"/>
                <w:sz w:val="21"/>
                <w:szCs w:val="21"/>
                <w:highlight w:val="none"/>
              </w:rPr>
            </w:pPr>
          </w:p>
        </w:tc>
        <w:tc>
          <w:tcPr>
            <w:tcW w:w="2805" w:type="dxa"/>
            <w:shd w:val="clear" w:color="auto" w:fill="auto"/>
            <w:vAlign w:val="center"/>
          </w:tcPr>
          <w:p w14:paraId="24C09E42">
            <w:pPr>
              <w:snapToGrid w:val="0"/>
              <w:jc w:val="center"/>
              <w:rPr>
                <w:rFonts w:hint="eastAsia" w:hAnsi="宋体" w:cs="宋体"/>
                <w:color w:val="auto"/>
                <w:sz w:val="21"/>
                <w:szCs w:val="21"/>
                <w:highlight w:val="none"/>
              </w:rPr>
            </w:pPr>
          </w:p>
        </w:tc>
        <w:tc>
          <w:tcPr>
            <w:tcW w:w="1408" w:type="dxa"/>
            <w:shd w:val="clear" w:color="auto" w:fill="auto"/>
            <w:vAlign w:val="center"/>
          </w:tcPr>
          <w:p w14:paraId="615C135A">
            <w:pPr>
              <w:snapToGrid w:val="0"/>
              <w:jc w:val="center"/>
              <w:rPr>
                <w:rFonts w:hint="eastAsia" w:hAnsi="宋体" w:cs="宋体"/>
                <w:color w:val="auto"/>
                <w:sz w:val="21"/>
                <w:szCs w:val="21"/>
                <w:highlight w:val="none"/>
              </w:rPr>
            </w:pPr>
          </w:p>
        </w:tc>
      </w:tr>
      <w:tr w14:paraId="2915AA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06B83666">
            <w:pPr>
              <w:snapToGrid w:val="0"/>
              <w:jc w:val="center"/>
              <w:rPr>
                <w:rFonts w:hint="eastAsia" w:hAnsi="宋体" w:cs="宋体"/>
                <w:color w:val="auto"/>
                <w:sz w:val="21"/>
                <w:szCs w:val="21"/>
                <w:highlight w:val="none"/>
              </w:rPr>
            </w:pPr>
          </w:p>
        </w:tc>
        <w:tc>
          <w:tcPr>
            <w:tcW w:w="1175" w:type="dxa"/>
            <w:shd w:val="clear" w:color="auto" w:fill="auto"/>
            <w:vAlign w:val="center"/>
          </w:tcPr>
          <w:p w14:paraId="7EDECDF4">
            <w:pPr>
              <w:snapToGrid w:val="0"/>
              <w:jc w:val="center"/>
              <w:rPr>
                <w:rFonts w:hint="eastAsia" w:hAnsi="宋体" w:cs="宋体"/>
                <w:color w:val="auto"/>
                <w:sz w:val="21"/>
                <w:szCs w:val="21"/>
                <w:highlight w:val="none"/>
              </w:rPr>
            </w:pPr>
          </w:p>
        </w:tc>
        <w:tc>
          <w:tcPr>
            <w:tcW w:w="2067" w:type="dxa"/>
            <w:shd w:val="clear" w:color="auto" w:fill="auto"/>
            <w:vAlign w:val="center"/>
          </w:tcPr>
          <w:p w14:paraId="040C604A">
            <w:pPr>
              <w:snapToGrid w:val="0"/>
              <w:jc w:val="center"/>
              <w:rPr>
                <w:rFonts w:hint="eastAsia" w:hAnsi="宋体" w:cs="宋体"/>
                <w:color w:val="auto"/>
                <w:sz w:val="21"/>
                <w:szCs w:val="21"/>
                <w:highlight w:val="none"/>
              </w:rPr>
            </w:pPr>
          </w:p>
        </w:tc>
        <w:tc>
          <w:tcPr>
            <w:tcW w:w="1237" w:type="dxa"/>
            <w:shd w:val="clear" w:color="auto" w:fill="auto"/>
            <w:vAlign w:val="center"/>
          </w:tcPr>
          <w:p w14:paraId="07938B25">
            <w:pPr>
              <w:snapToGrid w:val="0"/>
              <w:jc w:val="center"/>
              <w:rPr>
                <w:rFonts w:hint="eastAsia" w:hAnsi="宋体" w:cs="宋体"/>
                <w:color w:val="auto"/>
                <w:sz w:val="21"/>
                <w:szCs w:val="21"/>
                <w:highlight w:val="none"/>
              </w:rPr>
            </w:pPr>
          </w:p>
        </w:tc>
        <w:tc>
          <w:tcPr>
            <w:tcW w:w="2805" w:type="dxa"/>
            <w:shd w:val="clear" w:color="auto" w:fill="auto"/>
            <w:vAlign w:val="center"/>
          </w:tcPr>
          <w:p w14:paraId="2F97043E">
            <w:pPr>
              <w:snapToGrid w:val="0"/>
              <w:jc w:val="center"/>
              <w:rPr>
                <w:rFonts w:hint="eastAsia" w:hAnsi="宋体" w:cs="宋体"/>
                <w:color w:val="auto"/>
                <w:sz w:val="21"/>
                <w:szCs w:val="21"/>
                <w:highlight w:val="none"/>
              </w:rPr>
            </w:pPr>
          </w:p>
        </w:tc>
        <w:tc>
          <w:tcPr>
            <w:tcW w:w="1408" w:type="dxa"/>
            <w:shd w:val="clear" w:color="auto" w:fill="auto"/>
            <w:vAlign w:val="center"/>
          </w:tcPr>
          <w:p w14:paraId="204D95BD">
            <w:pPr>
              <w:snapToGrid w:val="0"/>
              <w:jc w:val="center"/>
              <w:rPr>
                <w:rFonts w:hint="eastAsia" w:hAnsi="宋体" w:cs="宋体"/>
                <w:color w:val="auto"/>
                <w:sz w:val="21"/>
                <w:szCs w:val="21"/>
                <w:highlight w:val="none"/>
              </w:rPr>
            </w:pPr>
          </w:p>
        </w:tc>
      </w:tr>
      <w:tr w14:paraId="767F46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026FD83C">
            <w:pPr>
              <w:snapToGrid w:val="0"/>
              <w:jc w:val="center"/>
              <w:rPr>
                <w:rFonts w:hint="eastAsia" w:hAnsi="宋体" w:cs="宋体"/>
                <w:color w:val="auto"/>
                <w:sz w:val="21"/>
                <w:szCs w:val="21"/>
                <w:highlight w:val="none"/>
              </w:rPr>
            </w:pPr>
          </w:p>
        </w:tc>
        <w:tc>
          <w:tcPr>
            <w:tcW w:w="1175" w:type="dxa"/>
            <w:shd w:val="clear" w:color="auto" w:fill="auto"/>
            <w:vAlign w:val="center"/>
          </w:tcPr>
          <w:p w14:paraId="490D302C">
            <w:pPr>
              <w:snapToGrid w:val="0"/>
              <w:jc w:val="center"/>
              <w:rPr>
                <w:rFonts w:hint="eastAsia" w:hAnsi="宋体" w:cs="宋体"/>
                <w:color w:val="auto"/>
                <w:sz w:val="21"/>
                <w:szCs w:val="21"/>
                <w:highlight w:val="none"/>
              </w:rPr>
            </w:pPr>
          </w:p>
        </w:tc>
        <w:tc>
          <w:tcPr>
            <w:tcW w:w="2067" w:type="dxa"/>
            <w:shd w:val="clear" w:color="auto" w:fill="auto"/>
            <w:vAlign w:val="center"/>
          </w:tcPr>
          <w:p w14:paraId="144DEFF7">
            <w:pPr>
              <w:snapToGrid w:val="0"/>
              <w:jc w:val="center"/>
              <w:rPr>
                <w:rFonts w:hint="eastAsia" w:hAnsi="宋体" w:cs="宋体"/>
                <w:color w:val="auto"/>
                <w:sz w:val="21"/>
                <w:szCs w:val="21"/>
                <w:highlight w:val="none"/>
              </w:rPr>
            </w:pPr>
          </w:p>
        </w:tc>
        <w:tc>
          <w:tcPr>
            <w:tcW w:w="1237" w:type="dxa"/>
            <w:shd w:val="clear" w:color="auto" w:fill="auto"/>
            <w:vAlign w:val="center"/>
          </w:tcPr>
          <w:p w14:paraId="263D330C">
            <w:pPr>
              <w:snapToGrid w:val="0"/>
              <w:jc w:val="center"/>
              <w:rPr>
                <w:rFonts w:hint="eastAsia" w:hAnsi="宋体" w:cs="宋体"/>
                <w:color w:val="auto"/>
                <w:sz w:val="21"/>
                <w:szCs w:val="21"/>
                <w:highlight w:val="none"/>
              </w:rPr>
            </w:pPr>
          </w:p>
        </w:tc>
        <w:tc>
          <w:tcPr>
            <w:tcW w:w="2805" w:type="dxa"/>
            <w:shd w:val="clear" w:color="auto" w:fill="auto"/>
            <w:vAlign w:val="center"/>
          </w:tcPr>
          <w:p w14:paraId="250F7D71">
            <w:pPr>
              <w:snapToGrid w:val="0"/>
              <w:jc w:val="center"/>
              <w:rPr>
                <w:rFonts w:hint="eastAsia" w:hAnsi="宋体" w:cs="宋体"/>
                <w:color w:val="auto"/>
                <w:sz w:val="21"/>
                <w:szCs w:val="21"/>
                <w:highlight w:val="none"/>
              </w:rPr>
            </w:pPr>
          </w:p>
        </w:tc>
        <w:tc>
          <w:tcPr>
            <w:tcW w:w="1408" w:type="dxa"/>
            <w:shd w:val="clear" w:color="auto" w:fill="auto"/>
            <w:vAlign w:val="center"/>
          </w:tcPr>
          <w:p w14:paraId="206C285D">
            <w:pPr>
              <w:snapToGrid w:val="0"/>
              <w:jc w:val="center"/>
              <w:rPr>
                <w:rFonts w:hint="eastAsia" w:hAnsi="宋体" w:cs="宋体"/>
                <w:color w:val="auto"/>
                <w:sz w:val="21"/>
                <w:szCs w:val="21"/>
                <w:highlight w:val="none"/>
              </w:rPr>
            </w:pPr>
          </w:p>
        </w:tc>
      </w:tr>
      <w:tr w14:paraId="74BC3D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59A993A9">
            <w:pPr>
              <w:snapToGrid w:val="0"/>
              <w:jc w:val="center"/>
              <w:rPr>
                <w:rFonts w:hint="eastAsia" w:hAnsi="宋体" w:cs="宋体"/>
                <w:color w:val="auto"/>
                <w:sz w:val="21"/>
                <w:szCs w:val="21"/>
                <w:highlight w:val="none"/>
              </w:rPr>
            </w:pPr>
          </w:p>
        </w:tc>
        <w:tc>
          <w:tcPr>
            <w:tcW w:w="1175" w:type="dxa"/>
            <w:shd w:val="clear" w:color="auto" w:fill="auto"/>
            <w:vAlign w:val="center"/>
          </w:tcPr>
          <w:p w14:paraId="12F70670">
            <w:pPr>
              <w:snapToGrid w:val="0"/>
              <w:jc w:val="center"/>
              <w:rPr>
                <w:rFonts w:hint="eastAsia" w:hAnsi="宋体" w:cs="宋体"/>
                <w:color w:val="auto"/>
                <w:sz w:val="21"/>
                <w:szCs w:val="21"/>
                <w:highlight w:val="none"/>
              </w:rPr>
            </w:pPr>
          </w:p>
        </w:tc>
        <w:tc>
          <w:tcPr>
            <w:tcW w:w="2067" w:type="dxa"/>
            <w:shd w:val="clear" w:color="auto" w:fill="auto"/>
            <w:vAlign w:val="center"/>
          </w:tcPr>
          <w:p w14:paraId="60494429">
            <w:pPr>
              <w:snapToGrid w:val="0"/>
              <w:jc w:val="center"/>
              <w:rPr>
                <w:rFonts w:hint="eastAsia" w:hAnsi="宋体" w:cs="宋体"/>
                <w:color w:val="auto"/>
                <w:sz w:val="21"/>
                <w:szCs w:val="21"/>
                <w:highlight w:val="none"/>
              </w:rPr>
            </w:pPr>
          </w:p>
        </w:tc>
        <w:tc>
          <w:tcPr>
            <w:tcW w:w="1237" w:type="dxa"/>
            <w:shd w:val="clear" w:color="auto" w:fill="auto"/>
            <w:vAlign w:val="center"/>
          </w:tcPr>
          <w:p w14:paraId="18D87C54">
            <w:pPr>
              <w:snapToGrid w:val="0"/>
              <w:jc w:val="center"/>
              <w:rPr>
                <w:rFonts w:hint="eastAsia" w:hAnsi="宋体" w:cs="宋体"/>
                <w:color w:val="auto"/>
                <w:sz w:val="21"/>
                <w:szCs w:val="21"/>
                <w:highlight w:val="none"/>
              </w:rPr>
            </w:pPr>
          </w:p>
        </w:tc>
        <w:tc>
          <w:tcPr>
            <w:tcW w:w="2805" w:type="dxa"/>
            <w:shd w:val="clear" w:color="auto" w:fill="auto"/>
            <w:vAlign w:val="center"/>
          </w:tcPr>
          <w:p w14:paraId="384A24D8">
            <w:pPr>
              <w:snapToGrid w:val="0"/>
              <w:jc w:val="center"/>
              <w:rPr>
                <w:rFonts w:hint="eastAsia" w:hAnsi="宋体" w:cs="宋体"/>
                <w:color w:val="auto"/>
                <w:sz w:val="21"/>
                <w:szCs w:val="21"/>
                <w:highlight w:val="none"/>
              </w:rPr>
            </w:pPr>
          </w:p>
        </w:tc>
        <w:tc>
          <w:tcPr>
            <w:tcW w:w="1408" w:type="dxa"/>
            <w:shd w:val="clear" w:color="auto" w:fill="auto"/>
            <w:vAlign w:val="center"/>
          </w:tcPr>
          <w:p w14:paraId="62260E55">
            <w:pPr>
              <w:snapToGrid w:val="0"/>
              <w:jc w:val="center"/>
              <w:rPr>
                <w:rFonts w:hint="eastAsia" w:hAnsi="宋体" w:cs="宋体"/>
                <w:color w:val="auto"/>
                <w:sz w:val="21"/>
                <w:szCs w:val="21"/>
                <w:highlight w:val="none"/>
              </w:rPr>
            </w:pPr>
          </w:p>
        </w:tc>
      </w:tr>
      <w:tr w14:paraId="75F3BC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1CF2E851">
            <w:pPr>
              <w:snapToGrid w:val="0"/>
              <w:jc w:val="center"/>
              <w:rPr>
                <w:rFonts w:hint="eastAsia" w:hAnsi="宋体" w:cs="宋体"/>
                <w:color w:val="auto"/>
                <w:sz w:val="21"/>
                <w:szCs w:val="21"/>
                <w:highlight w:val="none"/>
              </w:rPr>
            </w:pPr>
          </w:p>
        </w:tc>
        <w:tc>
          <w:tcPr>
            <w:tcW w:w="1175" w:type="dxa"/>
            <w:shd w:val="clear" w:color="auto" w:fill="auto"/>
            <w:vAlign w:val="center"/>
          </w:tcPr>
          <w:p w14:paraId="1F98CBCE">
            <w:pPr>
              <w:snapToGrid w:val="0"/>
              <w:jc w:val="center"/>
              <w:rPr>
                <w:rFonts w:hint="eastAsia" w:hAnsi="宋体" w:cs="宋体"/>
                <w:color w:val="auto"/>
                <w:sz w:val="21"/>
                <w:szCs w:val="21"/>
                <w:highlight w:val="none"/>
              </w:rPr>
            </w:pPr>
          </w:p>
        </w:tc>
        <w:tc>
          <w:tcPr>
            <w:tcW w:w="2067" w:type="dxa"/>
            <w:shd w:val="clear" w:color="auto" w:fill="auto"/>
            <w:vAlign w:val="center"/>
          </w:tcPr>
          <w:p w14:paraId="6BFDB0FF">
            <w:pPr>
              <w:snapToGrid w:val="0"/>
              <w:jc w:val="center"/>
              <w:rPr>
                <w:rFonts w:hint="eastAsia" w:hAnsi="宋体" w:cs="宋体"/>
                <w:color w:val="auto"/>
                <w:sz w:val="21"/>
                <w:szCs w:val="21"/>
                <w:highlight w:val="none"/>
              </w:rPr>
            </w:pPr>
          </w:p>
        </w:tc>
        <w:tc>
          <w:tcPr>
            <w:tcW w:w="1237" w:type="dxa"/>
            <w:shd w:val="clear" w:color="auto" w:fill="auto"/>
            <w:vAlign w:val="center"/>
          </w:tcPr>
          <w:p w14:paraId="20B2D80C">
            <w:pPr>
              <w:snapToGrid w:val="0"/>
              <w:jc w:val="center"/>
              <w:rPr>
                <w:rFonts w:hint="eastAsia" w:hAnsi="宋体" w:cs="宋体"/>
                <w:color w:val="auto"/>
                <w:sz w:val="21"/>
                <w:szCs w:val="21"/>
                <w:highlight w:val="none"/>
              </w:rPr>
            </w:pPr>
          </w:p>
        </w:tc>
        <w:tc>
          <w:tcPr>
            <w:tcW w:w="2805" w:type="dxa"/>
            <w:shd w:val="clear" w:color="auto" w:fill="auto"/>
            <w:vAlign w:val="center"/>
          </w:tcPr>
          <w:p w14:paraId="6866303D">
            <w:pPr>
              <w:snapToGrid w:val="0"/>
              <w:jc w:val="center"/>
              <w:rPr>
                <w:rFonts w:hint="eastAsia" w:hAnsi="宋体" w:cs="宋体"/>
                <w:color w:val="auto"/>
                <w:sz w:val="21"/>
                <w:szCs w:val="21"/>
                <w:highlight w:val="none"/>
              </w:rPr>
            </w:pPr>
          </w:p>
        </w:tc>
        <w:tc>
          <w:tcPr>
            <w:tcW w:w="1408" w:type="dxa"/>
            <w:shd w:val="clear" w:color="auto" w:fill="auto"/>
            <w:vAlign w:val="center"/>
          </w:tcPr>
          <w:p w14:paraId="70EB6407">
            <w:pPr>
              <w:snapToGrid w:val="0"/>
              <w:jc w:val="center"/>
              <w:rPr>
                <w:rFonts w:hint="eastAsia" w:hAnsi="宋体" w:cs="宋体"/>
                <w:color w:val="auto"/>
                <w:sz w:val="21"/>
                <w:szCs w:val="21"/>
                <w:highlight w:val="none"/>
              </w:rPr>
            </w:pPr>
          </w:p>
        </w:tc>
      </w:tr>
    </w:tbl>
    <w:p w14:paraId="46677C00">
      <w:pPr>
        <w:snapToGrid w:val="0"/>
        <w:spacing w:line="240" w:lineRule="atLeast"/>
        <w:ind w:firstLine="420" w:firstLineChars="200"/>
        <w:textAlignment w:val="center"/>
        <w:rPr>
          <w:rFonts w:hint="eastAsia" w:hAnsi="宋体" w:cs="宋体"/>
          <w:color w:val="auto"/>
          <w:sz w:val="21"/>
          <w:szCs w:val="21"/>
          <w:highlight w:val="none"/>
        </w:rPr>
      </w:pPr>
      <w:r>
        <w:rPr>
          <w:rFonts w:hint="eastAsia" w:hAnsi="宋体" w:cs="宋体"/>
          <w:color w:val="auto"/>
          <w:sz w:val="21"/>
          <w:szCs w:val="21"/>
          <w:highlight w:val="none"/>
        </w:rPr>
        <w:t>注：行数不够可自行添加，有偏离请在商务技术偏离表中说明，若投标人未提供或未填写本表，均视作完全响应招标文件要求。</w:t>
      </w:r>
    </w:p>
    <w:p w14:paraId="12E27BD2">
      <w:pPr>
        <w:spacing w:line="300" w:lineRule="auto"/>
        <w:rPr>
          <w:rFonts w:hint="eastAsia" w:hAnsi="宋体" w:cs="宋体"/>
          <w:color w:val="auto"/>
          <w:sz w:val="21"/>
          <w:szCs w:val="21"/>
          <w:highlight w:val="none"/>
        </w:rPr>
      </w:pPr>
      <w:r>
        <w:rPr>
          <w:rFonts w:hint="eastAsia" w:hAnsi="宋体" w:cs="宋体"/>
          <w:color w:val="auto"/>
          <w:sz w:val="21"/>
          <w:szCs w:val="21"/>
          <w:highlight w:val="none"/>
        </w:rPr>
        <w:t xml:space="preserve">投标单位（盖章）：                </w:t>
      </w:r>
    </w:p>
    <w:p w14:paraId="03DDA4F3">
      <w:pPr>
        <w:spacing w:line="300" w:lineRule="auto"/>
        <w:rPr>
          <w:rFonts w:hint="eastAsia" w:hAnsi="宋体" w:cs="宋体"/>
          <w:color w:val="auto"/>
          <w:sz w:val="21"/>
          <w:szCs w:val="21"/>
          <w:highlight w:val="none"/>
        </w:rPr>
      </w:pPr>
      <w:r>
        <w:rPr>
          <w:rFonts w:hint="eastAsia" w:hAnsi="宋体" w:cs="宋体"/>
          <w:color w:val="auto"/>
          <w:sz w:val="21"/>
          <w:szCs w:val="21"/>
          <w:highlight w:val="none"/>
        </w:rPr>
        <w:t>法定代表人或其授权代表签字（或盖章）：</w:t>
      </w:r>
    </w:p>
    <w:p w14:paraId="700D1B23">
      <w:pPr>
        <w:spacing w:line="300" w:lineRule="auto"/>
        <w:rPr>
          <w:rFonts w:hint="eastAsia" w:hAnsi="宋体" w:cs="宋体"/>
          <w:color w:val="auto"/>
          <w:highlight w:val="none"/>
        </w:rPr>
      </w:pPr>
      <w:r>
        <w:rPr>
          <w:rFonts w:hint="eastAsia" w:hAnsi="宋体" w:cs="宋体"/>
          <w:color w:val="auto"/>
          <w:sz w:val="21"/>
          <w:szCs w:val="21"/>
          <w:highlight w:val="none"/>
        </w:rPr>
        <w:t xml:space="preserve">  年  月  日</w:t>
      </w:r>
    </w:p>
    <w:p w14:paraId="71B2845A">
      <w:pPr>
        <w:pStyle w:val="27"/>
        <w:snapToGrid w:val="0"/>
        <w:spacing w:before="295" w:after="295"/>
        <w:rPr>
          <w:rFonts w:hint="eastAsia" w:ascii="宋体" w:hAnsi="宋体" w:cs="宋体"/>
          <w:color w:val="auto"/>
          <w:highlight w:val="none"/>
        </w:rPr>
      </w:pPr>
      <w:r>
        <w:rPr>
          <w:rFonts w:hint="eastAsia" w:ascii="宋体" w:hAnsi="宋体" w:cs="宋体"/>
          <w:color w:val="auto"/>
          <w:sz w:val="24"/>
          <w:szCs w:val="24"/>
          <w:highlight w:val="none"/>
        </w:rPr>
        <w:t>注：若为联合体投标人，由联合体投标人牵头人签字、盖章。</w:t>
      </w:r>
    </w:p>
    <w:p w14:paraId="3A5DC14B">
      <w:pPr>
        <w:autoSpaceDE/>
        <w:autoSpaceDN/>
        <w:adjustRightInd/>
        <w:rPr>
          <w:rFonts w:hint="eastAsia" w:hAnsi="宋体" w:cs="宋体"/>
          <w:b/>
          <w:bCs/>
          <w:color w:val="auto"/>
          <w:sz w:val="24"/>
          <w:szCs w:val="24"/>
          <w:highlight w:val="none"/>
        </w:rPr>
      </w:pPr>
    </w:p>
    <w:p w14:paraId="549EB217">
      <w:pPr>
        <w:autoSpaceDE/>
        <w:autoSpaceDN/>
        <w:snapToGrid w:val="0"/>
        <w:spacing w:line="440" w:lineRule="exact"/>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8.针对本项目的服务方案（格式自拟）；</w:t>
      </w:r>
    </w:p>
    <w:p w14:paraId="1FFD7113">
      <w:pPr>
        <w:snapToGrid w:val="0"/>
        <w:spacing w:line="440" w:lineRule="exact"/>
        <w:ind w:firstLine="482" w:firstLineChars="200"/>
        <w:rPr>
          <w:rFonts w:hint="eastAsia" w:hAnsi="宋体" w:cs="宋体"/>
          <w:b/>
          <w:bCs/>
          <w:color w:val="auto"/>
          <w:sz w:val="24"/>
          <w:szCs w:val="24"/>
          <w:highlight w:val="none"/>
        </w:rPr>
      </w:pPr>
    </w:p>
    <w:p w14:paraId="1C3C3CA7">
      <w:pPr>
        <w:snapToGrid w:val="0"/>
        <w:spacing w:line="440" w:lineRule="exact"/>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9.投标人需要说明的其他文件和说明（格式略）。</w:t>
      </w:r>
    </w:p>
    <w:p w14:paraId="13857E74">
      <w:pPr>
        <w:snapToGrid w:val="0"/>
        <w:spacing w:before="50" w:after="317" w:afterLines="50"/>
        <w:rPr>
          <w:rFonts w:hint="eastAsia" w:hAnsi="宋体" w:cs="宋体"/>
          <w:color w:val="auto"/>
          <w:sz w:val="24"/>
          <w:highlight w:val="none"/>
        </w:rPr>
      </w:pPr>
    </w:p>
    <w:p w14:paraId="1980B18E">
      <w:pPr>
        <w:rPr>
          <w:rFonts w:hint="eastAsia" w:hAnsi="宋体" w:cs="宋体"/>
          <w:b/>
          <w:bCs/>
          <w:color w:val="auto"/>
          <w:sz w:val="24"/>
          <w:highlight w:val="none"/>
        </w:rPr>
      </w:pPr>
      <w:r>
        <w:rPr>
          <w:rFonts w:hint="eastAsia" w:hAnsi="宋体" w:cs="宋体"/>
          <w:b/>
          <w:bCs/>
          <w:color w:val="auto"/>
          <w:sz w:val="24"/>
          <w:highlight w:val="none"/>
        </w:rPr>
        <w:br w:type="page"/>
      </w:r>
    </w:p>
    <w:p w14:paraId="44B85E37">
      <w:pPr>
        <w:snapToGrid w:val="0"/>
        <w:spacing w:line="500" w:lineRule="exact"/>
        <w:rPr>
          <w:rFonts w:hint="eastAsia" w:hAnsi="宋体" w:cs="宋体"/>
          <w:b/>
          <w:bCs/>
          <w:color w:val="auto"/>
          <w:sz w:val="24"/>
          <w:highlight w:val="none"/>
        </w:rPr>
      </w:pPr>
      <w:r>
        <w:rPr>
          <w:rFonts w:hint="eastAsia" w:hAnsi="宋体" w:cs="宋体"/>
          <w:b/>
          <w:bCs/>
          <w:color w:val="auto"/>
          <w:sz w:val="24"/>
          <w:highlight w:val="none"/>
        </w:rPr>
        <w:t>（三）报价文件部分</w:t>
      </w:r>
    </w:p>
    <w:p w14:paraId="0A7E0D2A">
      <w:pPr>
        <w:snapToGrid w:val="0"/>
        <w:spacing w:line="500" w:lineRule="exact"/>
        <w:jc w:val="center"/>
        <w:rPr>
          <w:rFonts w:hint="eastAsia" w:hAnsi="宋体" w:cs="宋体"/>
          <w:b/>
          <w:color w:val="auto"/>
          <w:sz w:val="24"/>
          <w:highlight w:val="none"/>
        </w:rPr>
      </w:pPr>
      <w:r>
        <w:rPr>
          <w:rFonts w:hint="eastAsia" w:hAnsi="宋体" w:cs="宋体"/>
          <w:b/>
          <w:color w:val="auto"/>
          <w:sz w:val="24"/>
          <w:highlight w:val="none"/>
        </w:rPr>
        <w:t>1.投标函</w:t>
      </w:r>
    </w:p>
    <w:p w14:paraId="79D708AF">
      <w:pPr>
        <w:snapToGrid w:val="0"/>
        <w:spacing w:line="360" w:lineRule="auto"/>
        <w:rPr>
          <w:rFonts w:hint="eastAsia" w:hAnsi="宋体" w:cs="宋体"/>
          <w:color w:val="auto"/>
          <w:sz w:val="24"/>
          <w:highlight w:val="none"/>
        </w:rPr>
      </w:pPr>
      <w:r>
        <w:rPr>
          <w:rFonts w:hint="eastAsia" w:hAnsi="宋体" w:cs="宋体"/>
          <w:color w:val="auto"/>
          <w:sz w:val="24"/>
          <w:highlight w:val="none"/>
        </w:rPr>
        <w:t>致：_________（招标采购单位名称）：</w:t>
      </w:r>
    </w:p>
    <w:p w14:paraId="4D106947">
      <w:pPr>
        <w:snapToGrid w:val="0"/>
        <w:spacing w:line="360" w:lineRule="auto"/>
        <w:ind w:firstLine="480"/>
        <w:rPr>
          <w:rFonts w:hint="eastAsia" w:hAnsi="宋体" w:cs="宋体"/>
          <w:color w:val="auto"/>
          <w:sz w:val="24"/>
          <w:highlight w:val="none"/>
        </w:rPr>
      </w:pPr>
      <w:r>
        <w:rPr>
          <w:rFonts w:hint="eastAsia" w:hAnsi="宋体" w:cs="宋体"/>
          <w:color w:val="auto"/>
          <w:sz w:val="24"/>
          <w:highlight w:val="none"/>
        </w:rPr>
        <w:t>根据贵方为_______项目的招标公告/投标邀请书</w:t>
      </w:r>
    </w:p>
    <w:p w14:paraId="1FBAE481">
      <w:pPr>
        <w:snapToGrid w:val="0"/>
        <w:spacing w:line="360" w:lineRule="auto"/>
        <w:rPr>
          <w:rFonts w:hint="eastAsia" w:hAnsi="宋体" w:cs="宋体"/>
          <w:color w:val="auto"/>
          <w:sz w:val="24"/>
          <w:highlight w:val="none"/>
        </w:rPr>
      </w:pPr>
      <w:r>
        <w:rPr>
          <w:rFonts w:hint="eastAsia" w:hAnsi="宋体" w:cs="宋体"/>
          <w:color w:val="auto"/>
          <w:sz w:val="24"/>
          <w:highlight w:val="none"/>
        </w:rPr>
        <w:t>（项目编号：_______），签字</w:t>
      </w:r>
      <w:r>
        <w:rPr>
          <w:rFonts w:hint="eastAsia" w:hAnsi="宋体" w:cs="宋体"/>
          <w:color w:val="auto"/>
          <w:sz w:val="24"/>
          <w:szCs w:val="22"/>
          <w:highlight w:val="none"/>
        </w:rPr>
        <w:t>代表_______（全名）经正式授权并代表投标人_________提交</w:t>
      </w:r>
      <w:r>
        <w:rPr>
          <w:rFonts w:hint="eastAsia" w:hAnsi="宋体" w:cs="宋体"/>
          <w:color w:val="auto"/>
          <w:sz w:val="24"/>
          <w:highlight w:val="none"/>
        </w:rPr>
        <w:t>文件。</w:t>
      </w:r>
    </w:p>
    <w:p w14:paraId="596BD447">
      <w:pPr>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据此函，签字代表宣布同意如下：</w:t>
      </w:r>
    </w:p>
    <w:p w14:paraId="7E6C6612">
      <w:pPr>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1.我方自愿按照招标文件规定的各项要求向采购人提供所专业服务。</w:t>
      </w:r>
    </w:p>
    <w:p w14:paraId="6B357144">
      <w:pPr>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13CA4035">
      <w:pPr>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3.我方在投标之前已经与贵方进行了充分的沟通，完全理解并接受招标文件的各项规定和要求，对招标文件的合理性、合法性不再有异议。</w:t>
      </w:r>
    </w:p>
    <w:p w14:paraId="5E557B1E">
      <w:pPr>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4.本投标有效期自开标截止日起__</w:t>
      </w:r>
      <w:r>
        <w:rPr>
          <w:rFonts w:hint="eastAsia" w:hAnsi="宋体" w:cs="宋体"/>
          <w:color w:val="auto"/>
          <w:sz w:val="24"/>
          <w:highlight w:val="none"/>
          <w:u w:val="single"/>
        </w:rPr>
        <w:t>90</w:t>
      </w:r>
      <w:r>
        <w:rPr>
          <w:rFonts w:hint="eastAsia" w:hAnsi="宋体" w:cs="宋体"/>
          <w:color w:val="auto"/>
          <w:sz w:val="24"/>
          <w:highlight w:val="none"/>
        </w:rPr>
        <w:t>___天。</w:t>
      </w:r>
    </w:p>
    <w:p w14:paraId="06F09B7B">
      <w:pPr>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5.如中标，本投标文件至本项目合同履行完毕止均保持有效，本投标人将按“招标文件”及政府采购法律、法规的规定履行合同责任和义务。</w:t>
      </w:r>
    </w:p>
    <w:p w14:paraId="7A840B08">
      <w:pPr>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6.投标人同意按照贵方要求提供与投标有关的一切数据或资料。</w:t>
      </w:r>
    </w:p>
    <w:p w14:paraId="6F3DA9B3">
      <w:pPr>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7.与本投标有关的一切正式往来信函请寄：</w:t>
      </w:r>
    </w:p>
    <w:p w14:paraId="714B4AC8">
      <w:pPr>
        <w:snapToGrid w:val="0"/>
        <w:spacing w:line="360" w:lineRule="auto"/>
        <w:rPr>
          <w:rFonts w:hint="eastAsia" w:hAnsi="宋体" w:cs="宋体"/>
          <w:color w:val="auto"/>
          <w:sz w:val="24"/>
          <w:highlight w:val="none"/>
        </w:rPr>
      </w:pPr>
      <w:r>
        <w:rPr>
          <w:rFonts w:hint="eastAsia" w:hAnsi="宋体" w:cs="宋体"/>
          <w:color w:val="auto"/>
          <w:sz w:val="24"/>
          <w:highlight w:val="none"/>
        </w:rPr>
        <w:t>地址：_______________邮编：__________电话：______________</w:t>
      </w:r>
    </w:p>
    <w:p w14:paraId="103D24B7">
      <w:pPr>
        <w:snapToGrid w:val="0"/>
        <w:spacing w:line="360" w:lineRule="auto"/>
        <w:rPr>
          <w:rFonts w:hint="eastAsia" w:hAnsi="宋体" w:cs="宋体"/>
          <w:color w:val="auto"/>
          <w:sz w:val="24"/>
          <w:highlight w:val="none"/>
        </w:rPr>
      </w:pPr>
      <w:r>
        <w:rPr>
          <w:rFonts w:hint="eastAsia" w:hAnsi="宋体" w:cs="宋体"/>
          <w:color w:val="auto"/>
          <w:sz w:val="24"/>
          <w:highlight w:val="none"/>
        </w:rPr>
        <w:t>传真：______________投标人代表姓名___________职务：_____________</w:t>
      </w:r>
    </w:p>
    <w:p w14:paraId="71C7BFAF">
      <w:pPr>
        <w:snapToGrid w:val="0"/>
        <w:spacing w:line="360" w:lineRule="auto"/>
        <w:rPr>
          <w:rFonts w:hint="eastAsia" w:hAnsi="宋体" w:cs="宋体"/>
          <w:color w:val="auto"/>
          <w:sz w:val="24"/>
          <w:highlight w:val="none"/>
        </w:rPr>
      </w:pPr>
      <w:r>
        <w:rPr>
          <w:rFonts w:hint="eastAsia" w:hAnsi="宋体" w:cs="宋体"/>
          <w:color w:val="auto"/>
          <w:sz w:val="24"/>
          <w:highlight w:val="none"/>
        </w:rPr>
        <w:t>投标人名称(公章):___________________</w:t>
      </w:r>
    </w:p>
    <w:p w14:paraId="20118557">
      <w:pPr>
        <w:snapToGrid w:val="0"/>
        <w:spacing w:line="360" w:lineRule="auto"/>
        <w:rPr>
          <w:rFonts w:hint="eastAsia" w:hAnsi="宋体" w:cs="宋体"/>
          <w:color w:val="auto"/>
          <w:sz w:val="24"/>
          <w:highlight w:val="none"/>
        </w:rPr>
      </w:pPr>
      <w:r>
        <w:rPr>
          <w:rFonts w:hint="eastAsia" w:hAnsi="宋体" w:cs="宋体"/>
          <w:color w:val="auto"/>
          <w:sz w:val="24"/>
          <w:highlight w:val="none"/>
        </w:rPr>
        <w:t>开户银行：___________________银行账号：___________________</w:t>
      </w:r>
    </w:p>
    <w:p w14:paraId="1130A331">
      <w:pPr>
        <w:snapToGrid w:val="0"/>
        <w:spacing w:line="360" w:lineRule="auto"/>
        <w:rPr>
          <w:rFonts w:hint="eastAsia" w:hAnsi="宋体" w:cs="宋体"/>
          <w:color w:val="auto"/>
          <w:sz w:val="30"/>
          <w:highlight w:val="none"/>
        </w:rPr>
      </w:pPr>
      <w:r>
        <w:rPr>
          <w:rFonts w:hint="eastAsia" w:hAnsi="宋体" w:cs="宋体"/>
          <w:color w:val="auto"/>
          <w:sz w:val="24"/>
          <w:highlight w:val="none"/>
        </w:rPr>
        <w:t>法定代表人或授权代表签字（或盖章）:___________日期:_____年___月___日</w:t>
      </w:r>
    </w:p>
    <w:p w14:paraId="30B41E13">
      <w:pPr>
        <w:pStyle w:val="27"/>
        <w:snapToGrid w:val="0"/>
        <w:spacing w:before="295" w:after="295"/>
        <w:rPr>
          <w:rFonts w:hint="eastAsia" w:ascii="宋体" w:hAnsi="宋体" w:cs="宋体"/>
          <w:color w:val="auto"/>
          <w:highlight w:val="none"/>
        </w:rPr>
      </w:pPr>
      <w:r>
        <w:rPr>
          <w:rFonts w:hint="eastAsia" w:ascii="宋体" w:hAnsi="宋体" w:cs="宋体"/>
          <w:color w:val="auto"/>
          <w:sz w:val="24"/>
          <w:szCs w:val="24"/>
          <w:highlight w:val="none"/>
        </w:rPr>
        <w:t>注：若为联合体投标人，由联合体投标人牵头人签字、盖章。</w:t>
      </w:r>
    </w:p>
    <w:p w14:paraId="0FFCA4FF">
      <w:pPr>
        <w:pStyle w:val="27"/>
        <w:snapToGrid w:val="0"/>
        <w:spacing w:before="295" w:after="295"/>
        <w:rPr>
          <w:rFonts w:hint="eastAsia" w:ascii="宋体" w:hAnsi="宋体" w:cs="宋体"/>
          <w:color w:val="auto"/>
          <w:highlight w:val="none"/>
        </w:rPr>
      </w:pPr>
    </w:p>
    <w:p w14:paraId="2C7EA7FB">
      <w:pPr>
        <w:pStyle w:val="27"/>
        <w:snapToGrid w:val="0"/>
        <w:spacing w:before="295" w:after="295"/>
        <w:rPr>
          <w:rFonts w:hint="eastAsia" w:ascii="宋体" w:hAnsi="宋体" w:cs="宋体"/>
          <w:color w:val="auto"/>
          <w:highlight w:val="none"/>
        </w:rPr>
      </w:pPr>
    </w:p>
    <w:p w14:paraId="7902E335">
      <w:pPr>
        <w:pStyle w:val="27"/>
        <w:snapToGrid w:val="0"/>
        <w:spacing w:before="295" w:after="295"/>
        <w:rPr>
          <w:rFonts w:hint="eastAsia" w:ascii="宋体" w:hAnsi="宋体" w:cs="宋体"/>
          <w:b/>
          <w:color w:val="auto"/>
          <w:sz w:val="24"/>
          <w:highlight w:val="none"/>
        </w:rPr>
      </w:pPr>
      <w:r>
        <w:rPr>
          <w:rFonts w:hint="eastAsia" w:ascii="宋体" w:hAnsi="宋体" w:cs="宋体"/>
          <w:bCs/>
          <w:color w:val="auto"/>
          <w:sz w:val="24"/>
          <w:highlight w:val="none"/>
        </w:rPr>
        <w:br w:type="page"/>
      </w:r>
    </w:p>
    <w:p w14:paraId="69A6A052">
      <w:pPr>
        <w:snapToGrid w:val="0"/>
        <w:spacing w:line="480" w:lineRule="auto"/>
        <w:jc w:val="center"/>
        <w:rPr>
          <w:rFonts w:hint="eastAsia" w:hAnsi="宋体" w:cs="宋体"/>
          <w:b/>
          <w:color w:val="auto"/>
          <w:sz w:val="24"/>
          <w:szCs w:val="21"/>
          <w:highlight w:val="none"/>
        </w:rPr>
      </w:pPr>
      <w:r>
        <w:rPr>
          <w:rFonts w:hint="eastAsia" w:hAnsi="宋体" w:cs="宋体"/>
          <w:b/>
          <w:color w:val="auto"/>
          <w:sz w:val="24"/>
          <w:szCs w:val="21"/>
          <w:highlight w:val="none"/>
        </w:rPr>
        <w:t>2.开标（报价）一览表</w:t>
      </w:r>
    </w:p>
    <w:tbl>
      <w:tblPr>
        <w:tblStyle w:val="46"/>
        <w:tblW w:w="93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938"/>
      </w:tblGrid>
      <w:tr w14:paraId="62DD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447" w:type="dxa"/>
            <w:vAlign w:val="center"/>
          </w:tcPr>
          <w:p w14:paraId="1CF1576C">
            <w:pPr>
              <w:snapToGrid w:val="0"/>
              <w:spacing w:line="500" w:lineRule="exact"/>
              <w:jc w:val="center"/>
              <w:rPr>
                <w:rFonts w:hint="eastAsia" w:hAnsi="宋体" w:cs="宋体"/>
                <w:color w:val="auto"/>
                <w:sz w:val="24"/>
                <w:szCs w:val="22"/>
                <w:highlight w:val="none"/>
              </w:rPr>
            </w:pPr>
            <w:r>
              <w:rPr>
                <w:rFonts w:hint="eastAsia" w:hAnsi="宋体" w:cs="宋体"/>
                <w:color w:val="auto"/>
                <w:sz w:val="24"/>
                <w:szCs w:val="22"/>
                <w:highlight w:val="none"/>
              </w:rPr>
              <w:t>项目名称</w:t>
            </w:r>
          </w:p>
        </w:tc>
        <w:tc>
          <w:tcPr>
            <w:tcW w:w="7938" w:type="dxa"/>
          </w:tcPr>
          <w:p w14:paraId="23960895">
            <w:pPr>
              <w:snapToGrid w:val="0"/>
              <w:spacing w:line="500" w:lineRule="exact"/>
              <w:jc w:val="center"/>
              <w:rPr>
                <w:rFonts w:hint="eastAsia" w:hAnsi="宋体" w:cs="宋体"/>
                <w:color w:val="auto"/>
                <w:sz w:val="24"/>
                <w:highlight w:val="none"/>
              </w:rPr>
            </w:pPr>
          </w:p>
        </w:tc>
      </w:tr>
      <w:tr w14:paraId="26ED6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447" w:type="dxa"/>
            <w:vAlign w:val="center"/>
          </w:tcPr>
          <w:p w14:paraId="650885D2">
            <w:pPr>
              <w:snapToGrid w:val="0"/>
              <w:spacing w:line="500" w:lineRule="exact"/>
              <w:jc w:val="center"/>
              <w:rPr>
                <w:rFonts w:hint="eastAsia" w:hAnsi="宋体" w:cs="宋体"/>
                <w:color w:val="auto"/>
                <w:sz w:val="24"/>
                <w:szCs w:val="22"/>
                <w:highlight w:val="none"/>
              </w:rPr>
            </w:pPr>
            <w:r>
              <w:rPr>
                <w:rFonts w:hint="eastAsia" w:hAnsi="宋体" w:cs="宋体"/>
                <w:color w:val="auto"/>
                <w:sz w:val="24"/>
                <w:szCs w:val="22"/>
                <w:highlight w:val="none"/>
              </w:rPr>
              <w:t>项目编号</w:t>
            </w:r>
          </w:p>
        </w:tc>
        <w:tc>
          <w:tcPr>
            <w:tcW w:w="7938" w:type="dxa"/>
          </w:tcPr>
          <w:p w14:paraId="7B71953A">
            <w:pPr>
              <w:snapToGrid w:val="0"/>
              <w:spacing w:line="500" w:lineRule="exact"/>
              <w:jc w:val="center"/>
              <w:rPr>
                <w:rFonts w:hint="eastAsia" w:hAnsi="宋体" w:cs="宋体"/>
                <w:color w:val="auto"/>
                <w:sz w:val="24"/>
                <w:highlight w:val="none"/>
              </w:rPr>
            </w:pPr>
          </w:p>
        </w:tc>
      </w:tr>
      <w:tr w14:paraId="0C0CC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447" w:type="dxa"/>
            <w:vAlign w:val="center"/>
          </w:tcPr>
          <w:p w14:paraId="3CAD14BE">
            <w:pPr>
              <w:snapToGrid w:val="0"/>
              <w:spacing w:line="500" w:lineRule="exact"/>
              <w:jc w:val="center"/>
              <w:rPr>
                <w:rFonts w:hint="eastAsia" w:hAnsi="宋体" w:cs="宋体"/>
                <w:color w:val="auto"/>
                <w:sz w:val="24"/>
                <w:szCs w:val="22"/>
                <w:highlight w:val="none"/>
              </w:rPr>
            </w:pPr>
            <w:r>
              <w:rPr>
                <w:rFonts w:hint="eastAsia" w:hAnsi="宋体" w:cs="宋体"/>
                <w:color w:val="auto"/>
                <w:sz w:val="24"/>
                <w:szCs w:val="22"/>
                <w:highlight w:val="none"/>
              </w:rPr>
              <w:t>投标报价</w:t>
            </w:r>
          </w:p>
        </w:tc>
        <w:tc>
          <w:tcPr>
            <w:tcW w:w="7938" w:type="dxa"/>
            <w:tcBorders>
              <w:bottom w:val="single" w:color="auto" w:sz="4" w:space="0"/>
            </w:tcBorders>
            <w:vAlign w:val="center"/>
          </w:tcPr>
          <w:p w14:paraId="59E9EFE3">
            <w:pPr>
              <w:snapToGrid w:val="0"/>
              <w:spacing w:line="500" w:lineRule="exact"/>
              <w:rPr>
                <w:rFonts w:hint="eastAsia" w:hAnsi="宋体" w:cs="宋体"/>
                <w:color w:val="auto"/>
                <w:sz w:val="24"/>
                <w:szCs w:val="22"/>
                <w:highlight w:val="none"/>
              </w:rPr>
            </w:pPr>
            <w:r>
              <w:rPr>
                <w:rFonts w:hint="eastAsia" w:hAnsi="宋体" w:cs="宋体"/>
                <w:color w:val="auto"/>
                <w:sz w:val="24"/>
                <w:szCs w:val="22"/>
                <w:highlight w:val="none"/>
              </w:rPr>
              <w:t xml:space="preserve">（小写）：              </w:t>
            </w:r>
          </w:p>
          <w:p w14:paraId="75EE58B3">
            <w:pPr>
              <w:snapToGrid w:val="0"/>
              <w:spacing w:line="500" w:lineRule="exact"/>
              <w:rPr>
                <w:rFonts w:hint="eastAsia" w:hAnsi="宋体" w:cs="宋体"/>
                <w:color w:val="auto"/>
                <w:sz w:val="24"/>
                <w:highlight w:val="none"/>
              </w:rPr>
            </w:pPr>
            <w:r>
              <w:rPr>
                <w:rFonts w:hint="eastAsia" w:hAnsi="宋体" w:cs="宋体"/>
                <w:color w:val="auto"/>
                <w:sz w:val="24"/>
                <w:szCs w:val="22"/>
                <w:highlight w:val="none"/>
              </w:rPr>
              <w:t xml:space="preserve">（大写）：   </w:t>
            </w:r>
          </w:p>
        </w:tc>
      </w:tr>
      <w:tr w14:paraId="3487E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1447" w:type="dxa"/>
            <w:vAlign w:val="center"/>
          </w:tcPr>
          <w:p w14:paraId="35C5AB2F">
            <w:pPr>
              <w:snapToGrid w:val="0"/>
              <w:spacing w:line="500" w:lineRule="exact"/>
              <w:jc w:val="center"/>
              <w:rPr>
                <w:rFonts w:hint="eastAsia" w:hAnsi="宋体" w:cs="宋体"/>
                <w:color w:val="auto"/>
                <w:sz w:val="24"/>
                <w:szCs w:val="22"/>
                <w:highlight w:val="none"/>
              </w:rPr>
            </w:pPr>
            <w:r>
              <w:rPr>
                <w:rFonts w:hint="eastAsia" w:hAnsi="宋体" w:cs="宋体"/>
                <w:color w:val="auto"/>
                <w:sz w:val="24"/>
                <w:szCs w:val="22"/>
                <w:highlight w:val="none"/>
              </w:rPr>
              <w:t>报价说明</w:t>
            </w:r>
          </w:p>
        </w:tc>
        <w:tc>
          <w:tcPr>
            <w:tcW w:w="7938" w:type="dxa"/>
            <w:vAlign w:val="center"/>
          </w:tcPr>
          <w:p w14:paraId="34094A2A">
            <w:pPr>
              <w:widowControl/>
              <w:snapToGrid w:val="0"/>
              <w:spacing w:line="500" w:lineRule="exact"/>
              <w:jc w:val="both"/>
              <w:rPr>
                <w:rFonts w:hint="eastAsia" w:hAnsi="宋体" w:cs="宋体"/>
                <w:color w:val="auto"/>
                <w:sz w:val="21"/>
                <w:szCs w:val="21"/>
                <w:highlight w:val="none"/>
                <w:u w:val="single"/>
              </w:rPr>
            </w:pPr>
            <w:r>
              <w:rPr>
                <w:rFonts w:hint="eastAsia" w:hAnsi="宋体" w:cs="宋体"/>
                <w:color w:val="auto"/>
                <w:sz w:val="21"/>
                <w:szCs w:val="21"/>
                <w:highlight w:val="none"/>
              </w:rPr>
              <w:t>本投标人已知悉并同意，投标人中标后应根据招标文件中约定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r w14:paraId="49EE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1447" w:type="dxa"/>
            <w:vAlign w:val="center"/>
          </w:tcPr>
          <w:p w14:paraId="52AC024F">
            <w:pPr>
              <w:snapToGrid w:val="0"/>
              <w:spacing w:line="500" w:lineRule="exact"/>
              <w:jc w:val="center"/>
              <w:rPr>
                <w:rFonts w:hint="eastAsia" w:hAnsi="宋体" w:cs="宋体"/>
                <w:color w:val="auto"/>
                <w:sz w:val="24"/>
                <w:szCs w:val="22"/>
                <w:highlight w:val="none"/>
              </w:rPr>
            </w:pPr>
            <w:r>
              <w:rPr>
                <w:rFonts w:hint="eastAsia" w:hAnsi="宋体" w:cs="宋体"/>
                <w:color w:val="auto"/>
                <w:sz w:val="24"/>
                <w:szCs w:val="22"/>
                <w:highlight w:val="none"/>
              </w:rPr>
              <w:t>关于投标人是否符合政策性价格扣除的说明</w:t>
            </w:r>
          </w:p>
        </w:tc>
        <w:tc>
          <w:tcPr>
            <w:tcW w:w="7938" w:type="dxa"/>
            <w:vAlign w:val="center"/>
          </w:tcPr>
          <w:p w14:paraId="6747D2CD">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依照《政府采购促进中小企业发展管理办法》、《国务院关于印发扎实稳住经济一揽子政策措施的通知》、《浙江省财政厅关于进一步发挥政府采购政策功能全力推动经济稳进提质的通知》、《财政部 民政部 中国残疾人联合会关于促进残疾人就业政府采购政策的通知》（财库〔2017〕141号）、《财政部、司法部关于政府采购支持监狱企业发展有关问题的通知》（财库〔2014〕68号）和本项目招标文件的规定，本投标人属于：</w:t>
            </w:r>
          </w:p>
          <w:p w14:paraId="7C4A5C50">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☐小微企业且服务全部由小型或微型企业承接，即提供服务的人员为小型或微型企业依照《中华人民共和国劳动合同法》订立劳动合同的从业人员），适用的</w:t>
            </w:r>
            <w:r>
              <w:rPr>
                <w:rFonts w:hint="eastAsia" w:hAnsi="宋体" w:cs="宋体"/>
                <w:color w:val="auto"/>
                <w:spacing w:val="-1"/>
                <w:sz w:val="21"/>
                <w:szCs w:val="21"/>
                <w:highlight w:val="none"/>
              </w:rPr>
              <w:t>评审价格扣除比例为10%；</w:t>
            </w:r>
          </w:p>
          <w:p w14:paraId="4C069AD0">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bidi="ar"/>
              </w:rPr>
              <w:t>联合体投标，且《联合协议》中约定</w:t>
            </w:r>
            <w:r>
              <w:rPr>
                <w:rFonts w:hint="eastAsia" w:hAnsi="宋体" w:cs="宋体"/>
                <w:color w:val="auto"/>
                <w:sz w:val="21"/>
                <w:szCs w:val="21"/>
                <w:highlight w:val="none"/>
              </w:rPr>
              <w:t>小微企业</w:t>
            </w:r>
            <w:r>
              <w:rPr>
                <w:rFonts w:hint="eastAsia" w:hAnsi="宋体" w:cs="宋体"/>
                <w:color w:val="auto"/>
                <w:sz w:val="21"/>
                <w:szCs w:val="21"/>
                <w:highlight w:val="none"/>
                <w:lang w:bidi="ar"/>
              </w:rPr>
              <w:t>的合同份额占到</w:t>
            </w:r>
            <w:r>
              <w:rPr>
                <w:rFonts w:hint="eastAsia" w:hAnsi="宋体" w:cs="宋体"/>
                <w:color w:val="auto"/>
                <w:sz w:val="21"/>
                <w:szCs w:val="21"/>
                <w:highlight w:val="none"/>
              </w:rPr>
              <w:t>合同总金额的30%以上，适用的</w:t>
            </w:r>
            <w:r>
              <w:rPr>
                <w:rFonts w:hint="eastAsia" w:hAnsi="宋体" w:cs="宋体"/>
                <w:color w:val="auto"/>
                <w:spacing w:val="-1"/>
                <w:sz w:val="21"/>
                <w:szCs w:val="21"/>
                <w:highlight w:val="none"/>
              </w:rPr>
              <w:t>评审价格扣除比例为4%；</w:t>
            </w:r>
          </w:p>
          <w:p w14:paraId="79B6E606">
            <w:pPr>
              <w:snapToGrid w:val="0"/>
              <w:spacing w:line="460" w:lineRule="exact"/>
              <w:ind w:firstLine="420" w:firstLineChars="200"/>
              <w:rPr>
                <w:rFonts w:hint="eastAsia" w:hAnsi="宋体" w:cs="宋体"/>
                <w:color w:val="auto"/>
                <w:highlight w:val="none"/>
              </w:rPr>
            </w:pPr>
            <w:r>
              <w:rPr>
                <w:rFonts w:hint="eastAsia" w:hAnsi="宋体" w:cs="宋体"/>
                <w:color w:val="auto"/>
                <w:sz w:val="21"/>
                <w:szCs w:val="21"/>
                <w:highlight w:val="none"/>
              </w:rPr>
              <w:t>☐以上都不是。</w:t>
            </w:r>
          </w:p>
          <w:p w14:paraId="70F8C9B0">
            <w:pPr>
              <w:widowControl/>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本投标人对投标文件所提供的全部资料的真实性承担法律责任，并将无条件接受采购代理机构、招标人及政府采购监督管理部门等对其中任何资料进行核实的要求。</w:t>
            </w:r>
          </w:p>
        </w:tc>
      </w:tr>
    </w:tbl>
    <w:p w14:paraId="6A3F8A33">
      <w:pPr>
        <w:snapToGrid w:val="0"/>
        <w:spacing w:line="460" w:lineRule="exact"/>
        <w:rPr>
          <w:rFonts w:hint="eastAsia" w:hAnsi="宋体" w:cs="宋体"/>
          <w:b/>
          <w:color w:val="auto"/>
          <w:sz w:val="21"/>
          <w:szCs w:val="21"/>
          <w:highlight w:val="none"/>
        </w:rPr>
      </w:pPr>
      <w:r>
        <w:rPr>
          <w:rFonts w:hint="eastAsia" w:hAnsi="宋体" w:cs="宋体"/>
          <w:color w:val="auto"/>
          <w:sz w:val="21"/>
          <w:szCs w:val="21"/>
          <w:highlight w:val="none"/>
        </w:rPr>
        <w:t>注:1.报价一经涂改，应在涂改处加盖单位公章或者由法定代表人或授权委托人签字或盖章，否则其投标作无效标处理。</w:t>
      </w:r>
    </w:p>
    <w:p w14:paraId="0A744AD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2.投标人不得进行影响产品（或服务、工程）质量或者诚信履约的恶意报价。投标人报价出现低于本项目最高限价</w:t>
      </w:r>
      <w:r>
        <w:rPr>
          <w:rFonts w:hint="eastAsia" w:hAnsi="宋体" w:cs="宋体"/>
          <w:color w:val="auto"/>
          <w:sz w:val="21"/>
          <w:szCs w:val="21"/>
          <w:highlight w:val="none"/>
          <w:lang w:val="en-US" w:eastAsia="zh-CN"/>
        </w:rPr>
        <w:t>或预算金额</w:t>
      </w:r>
      <w:r>
        <w:rPr>
          <w:rFonts w:hint="eastAsia" w:hAnsi="宋体" w:cs="宋体"/>
          <w:color w:val="auto"/>
          <w:sz w:val="21"/>
          <w:szCs w:val="21"/>
          <w:highlight w:val="none"/>
        </w:rPr>
        <w:t>50%的，应当详细阐述不影响产品（或服务、工程）质量或者诚信履约的具体原因如下</w:t>
      </w:r>
      <w:r>
        <w:rPr>
          <w:rFonts w:hint="eastAsia" w:hAnsi="宋体" w:cs="宋体"/>
          <w:b/>
          <w:bCs/>
          <w:color w:val="auto"/>
          <w:sz w:val="21"/>
          <w:szCs w:val="21"/>
          <w:highlight w:val="none"/>
        </w:rPr>
        <w:t>：</w:t>
      </w:r>
      <w:r>
        <w:rPr>
          <w:rFonts w:hint="eastAsia" w:hAnsi="宋体" w:cs="宋体"/>
          <w:b/>
          <w:bCs/>
          <w:color w:val="auto"/>
          <w:sz w:val="21"/>
          <w:szCs w:val="21"/>
          <w:highlight w:val="none"/>
          <w:u w:val="single"/>
        </w:rPr>
        <w:t xml:space="preserve">                                                              </w:t>
      </w:r>
      <w:r>
        <w:rPr>
          <w:rFonts w:hint="eastAsia" w:hAnsi="宋体" w:cs="宋体"/>
          <w:color w:val="auto"/>
          <w:sz w:val="21"/>
          <w:szCs w:val="21"/>
          <w:highlight w:val="none"/>
        </w:rPr>
        <w:t>。</w:t>
      </w:r>
    </w:p>
    <w:p w14:paraId="08A8C85D">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法定代表人或授权代表（（签字或盖章）：</w:t>
      </w:r>
    </w:p>
    <w:p w14:paraId="7B2B5CC6">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投标人名称（盖章）：                                  </w:t>
      </w:r>
    </w:p>
    <w:p w14:paraId="512FB327">
      <w:pP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日期：   年   月    日</w:t>
      </w:r>
    </w:p>
    <w:p w14:paraId="5D0A9247">
      <w:pPr>
        <w:pStyle w:val="27"/>
        <w:snapToGrid w:val="0"/>
        <w:spacing w:before="295" w:after="295"/>
        <w:rPr>
          <w:rFonts w:hint="eastAsia" w:ascii="宋体" w:hAnsi="宋体" w:cs="宋体"/>
          <w:color w:val="auto"/>
          <w:highlight w:val="none"/>
        </w:rPr>
      </w:pPr>
      <w:r>
        <w:rPr>
          <w:rFonts w:hint="eastAsia" w:ascii="宋体" w:hAnsi="宋体" w:cs="宋体"/>
          <w:color w:val="auto"/>
          <w:sz w:val="24"/>
          <w:szCs w:val="24"/>
          <w:highlight w:val="none"/>
        </w:rPr>
        <w:t>注：若为联合体投标人，由联合体投标人牵头人签字、盖章。</w:t>
      </w:r>
    </w:p>
    <w:p w14:paraId="23E83053">
      <w:pPr>
        <w:rPr>
          <w:rFonts w:hint="eastAsia" w:hAnsi="宋体" w:cs="宋体"/>
          <w:b/>
          <w:color w:val="auto"/>
          <w:sz w:val="24"/>
          <w:highlight w:val="none"/>
        </w:rPr>
      </w:pPr>
      <w:r>
        <w:rPr>
          <w:rFonts w:hint="eastAsia" w:hAnsi="宋体" w:cs="宋体"/>
          <w:b/>
          <w:color w:val="auto"/>
          <w:sz w:val="24"/>
          <w:highlight w:val="none"/>
        </w:rPr>
        <w:br w:type="page"/>
      </w:r>
    </w:p>
    <w:p w14:paraId="487F8403">
      <w:pPr>
        <w:ind w:firstLine="723" w:firstLineChars="300"/>
        <w:rPr>
          <w:rFonts w:hint="eastAsia" w:hAnsi="宋体" w:cs="宋体"/>
          <w:color w:val="auto"/>
          <w:sz w:val="24"/>
          <w:szCs w:val="24"/>
          <w:highlight w:val="none"/>
        </w:rPr>
      </w:pPr>
      <w:r>
        <w:rPr>
          <w:rFonts w:hint="eastAsia" w:hAnsi="宋体" w:cs="宋体"/>
          <w:b/>
          <w:color w:val="auto"/>
          <w:sz w:val="24"/>
          <w:highlight w:val="none"/>
        </w:rPr>
        <w:t>3.中小企业（或残疾人福利性单位、监狱企业）提供服务的资料</w:t>
      </w:r>
    </w:p>
    <w:p w14:paraId="2D5AA44F">
      <w:pPr>
        <w:spacing w:line="440" w:lineRule="exact"/>
        <w:ind w:left="1418"/>
        <w:rPr>
          <w:rFonts w:hint="eastAsia" w:hAnsi="宋体" w:cs="宋体"/>
          <w:color w:val="auto"/>
          <w:sz w:val="21"/>
          <w:szCs w:val="21"/>
          <w:highlight w:val="none"/>
        </w:rPr>
      </w:pPr>
      <w:r>
        <w:rPr>
          <w:rFonts w:hint="eastAsia" w:hAnsi="宋体" w:cs="宋体"/>
          <w:color w:val="auto"/>
          <w:spacing w:val="-1"/>
          <w:sz w:val="21"/>
          <w:szCs w:val="21"/>
          <w:highlight w:val="none"/>
        </w:rPr>
        <w:t>（投标人应完整提供以下资料，否则评审时将不能享受相应的价格折扣）</w:t>
      </w:r>
    </w:p>
    <w:p w14:paraId="10D3A1AE">
      <w:pPr>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（1）中小企业声明函（工程、服务类）</w:t>
      </w:r>
    </w:p>
    <w:p w14:paraId="01C005EE">
      <w:pPr>
        <w:snapToGrid w:val="0"/>
        <w:spacing w:line="44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本公司（联合体）郑重声明，根据《政府采购促进中小企业发展管理办法》（财库﹝2020﹞46 号）的规定，本公司（联合体）参加</w:t>
      </w:r>
      <w:r>
        <w:rPr>
          <w:rFonts w:hint="eastAsia" w:hAnsi="宋体" w:cs="宋体"/>
          <w:color w:val="auto"/>
          <w:kern w:val="2"/>
          <w:sz w:val="21"/>
          <w:szCs w:val="21"/>
          <w:highlight w:val="none"/>
          <w:u w:val="single"/>
        </w:rPr>
        <w:t xml:space="preserve">  金华市婺城区民政局  </w:t>
      </w:r>
      <w:r>
        <w:rPr>
          <w:rFonts w:hint="eastAsia" w:hAnsi="宋体" w:cs="宋体"/>
          <w:color w:val="auto"/>
          <w:kern w:val="2"/>
          <w:sz w:val="21"/>
          <w:szCs w:val="21"/>
          <w:highlight w:val="none"/>
        </w:rPr>
        <w:t>的</w:t>
      </w:r>
      <w:r>
        <w:rPr>
          <w:rFonts w:hint="eastAsia" w:hAnsi="宋体" w:cs="宋体"/>
          <w:color w:val="auto"/>
          <w:kern w:val="2"/>
          <w:sz w:val="21"/>
          <w:szCs w:val="21"/>
          <w:highlight w:val="none"/>
          <w:u w:val="single"/>
        </w:rPr>
        <w:t xml:space="preserve">  婺城区公益创投督导、社会组织培育赋能、助联体运行服务项目</w:t>
      </w:r>
      <w:r>
        <w:rPr>
          <w:rFonts w:hint="eastAsia" w:hAnsi="宋体" w:cs="宋体"/>
          <w:color w:val="auto"/>
          <w:kern w:val="2"/>
          <w:sz w:val="21"/>
          <w:szCs w:val="21"/>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 </w:t>
      </w:r>
    </w:p>
    <w:p w14:paraId="51816216">
      <w:pPr>
        <w:snapToGrid w:val="0"/>
        <w:spacing w:line="440" w:lineRule="exact"/>
        <w:ind w:firstLine="422" w:firstLineChars="200"/>
        <w:rPr>
          <w:rFonts w:hint="eastAsia" w:hAnsi="宋体" w:cs="宋体"/>
          <w:b/>
          <w:bCs/>
          <w:color w:val="auto"/>
          <w:kern w:val="2"/>
          <w:sz w:val="21"/>
          <w:szCs w:val="21"/>
          <w:highlight w:val="none"/>
        </w:rPr>
      </w:pPr>
      <w:r>
        <w:rPr>
          <w:rFonts w:hint="eastAsia" w:hAnsi="宋体" w:cs="宋体"/>
          <w:b/>
          <w:bCs/>
          <w:color w:val="auto"/>
          <w:kern w:val="2"/>
          <w:sz w:val="21"/>
          <w:szCs w:val="21"/>
          <w:highlight w:val="none"/>
        </w:rPr>
        <w:t>1.</w:t>
      </w:r>
      <w:r>
        <w:rPr>
          <w:rFonts w:hint="eastAsia" w:hAnsi="宋体" w:cs="宋体"/>
          <w:b/>
          <w:bCs/>
          <w:color w:val="auto"/>
          <w:kern w:val="2"/>
          <w:sz w:val="21"/>
          <w:szCs w:val="21"/>
          <w:highlight w:val="none"/>
          <w:u w:val="single"/>
        </w:rPr>
        <w:t xml:space="preserve">婺城区公益创投督导、社会组织培育赋能、助联体运行服务项目（标的名称） </w:t>
      </w:r>
      <w:r>
        <w:rPr>
          <w:rFonts w:hint="eastAsia" w:hAnsi="宋体" w:cs="宋体"/>
          <w:b/>
          <w:bCs/>
          <w:color w:val="auto"/>
          <w:kern w:val="2"/>
          <w:sz w:val="21"/>
          <w:szCs w:val="21"/>
          <w:highlight w:val="none"/>
        </w:rPr>
        <w:t>，属于</w:t>
      </w:r>
      <w:r>
        <w:rPr>
          <w:rFonts w:hint="eastAsia" w:hAnsi="宋体" w:cs="宋体"/>
          <w:b/>
          <w:bCs/>
          <w:color w:val="auto"/>
          <w:kern w:val="2"/>
          <w:sz w:val="21"/>
          <w:szCs w:val="21"/>
          <w:highlight w:val="none"/>
          <w:u w:val="single"/>
        </w:rPr>
        <w:t>其他未列明行业（采购文件中明确的所属行业）</w:t>
      </w:r>
      <w:r>
        <w:rPr>
          <w:rFonts w:hint="eastAsia" w:hAnsi="宋体" w:cs="宋体"/>
          <w:b/>
          <w:bCs/>
          <w:color w:val="auto"/>
          <w:kern w:val="2"/>
          <w:sz w:val="21"/>
          <w:szCs w:val="21"/>
          <w:highlight w:val="none"/>
        </w:rPr>
        <w:t>； 承建（承接）企业为</w:t>
      </w:r>
      <w:r>
        <w:rPr>
          <w:rFonts w:hint="eastAsia" w:hAnsi="宋体" w:cs="宋体"/>
          <w:b/>
          <w:bCs/>
          <w:color w:val="auto"/>
          <w:kern w:val="2"/>
          <w:sz w:val="21"/>
          <w:szCs w:val="21"/>
          <w:highlight w:val="none"/>
          <w:u w:val="single"/>
        </w:rPr>
        <w:t>（企业名称）</w:t>
      </w:r>
      <w:r>
        <w:rPr>
          <w:rFonts w:hint="eastAsia" w:hAnsi="宋体" w:cs="宋体"/>
          <w:b/>
          <w:bCs/>
          <w:color w:val="auto"/>
          <w:kern w:val="2"/>
          <w:sz w:val="21"/>
          <w:szCs w:val="21"/>
          <w:highlight w:val="none"/>
        </w:rPr>
        <w:t>，从业人员</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人，营业收入为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万元，资产总额为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万元，属于</w:t>
      </w:r>
      <w:r>
        <w:rPr>
          <w:rFonts w:hint="eastAsia" w:hAnsi="宋体" w:cs="宋体"/>
          <w:b/>
          <w:bCs/>
          <w:color w:val="auto"/>
          <w:kern w:val="2"/>
          <w:sz w:val="21"/>
          <w:szCs w:val="21"/>
          <w:highlight w:val="none"/>
          <w:u w:val="single"/>
        </w:rPr>
        <w:t>（中型企业、小型企业、微型企业）</w:t>
      </w:r>
      <w:r>
        <w:rPr>
          <w:rFonts w:hint="eastAsia" w:hAnsi="宋体" w:cs="宋体"/>
          <w:b/>
          <w:bCs/>
          <w:color w:val="auto"/>
          <w:kern w:val="2"/>
          <w:sz w:val="21"/>
          <w:szCs w:val="21"/>
          <w:highlight w:val="none"/>
        </w:rPr>
        <w:t xml:space="preserve">； </w:t>
      </w:r>
    </w:p>
    <w:p w14:paraId="5EC75071">
      <w:pPr>
        <w:snapToGrid w:val="0"/>
        <w:spacing w:line="440" w:lineRule="exact"/>
        <w:ind w:firstLine="422" w:firstLineChars="200"/>
        <w:rPr>
          <w:rFonts w:hint="eastAsia" w:hAnsi="宋体" w:cs="宋体"/>
          <w:b/>
          <w:bCs/>
          <w:color w:val="auto"/>
          <w:kern w:val="2"/>
          <w:sz w:val="21"/>
          <w:szCs w:val="21"/>
          <w:highlight w:val="none"/>
        </w:rPr>
      </w:pPr>
      <w:r>
        <w:rPr>
          <w:rFonts w:hint="eastAsia" w:hAnsi="宋体" w:cs="宋体"/>
          <w:b/>
          <w:bCs/>
          <w:color w:val="auto"/>
          <w:kern w:val="2"/>
          <w:sz w:val="21"/>
          <w:szCs w:val="21"/>
          <w:highlight w:val="none"/>
        </w:rPr>
        <w:t>2.</w:t>
      </w:r>
      <w:r>
        <w:rPr>
          <w:rFonts w:hint="eastAsia" w:hAnsi="宋体" w:cs="宋体"/>
          <w:b/>
          <w:bCs/>
          <w:color w:val="auto"/>
          <w:kern w:val="2"/>
          <w:sz w:val="21"/>
          <w:szCs w:val="21"/>
          <w:highlight w:val="none"/>
          <w:u w:val="single"/>
        </w:rPr>
        <w:t xml:space="preserve">婺城区公益创投督导、社会组织培育赋能、助联体运行服务项目（标的名称） </w:t>
      </w:r>
      <w:r>
        <w:rPr>
          <w:rFonts w:hint="eastAsia" w:hAnsi="宋体" w:cs="宋体"/>
          <w:b/>
          <w:bCs/>
          <w:color w:val="auto"/>
          <w:kern w:val="2"/>
          <w:sz w:val="21"/>
          <w:szCs w:val="21"/>
          <w:highlight w:val="none"/>
        </w:rPr>
        <w:t>，属于</w:t>
      </w:r>
      <w:r>
        <w:rPr>
          <w:rFonts w:hint="eastAsia" w:hAnsi="宋体" w:cs="宋体"/>
          <w:b/>
          <w:bCs/>
          <w:color w:val="auto"/>
          <w:kern w:val="2"/>
          <w:sz w:val="21"/>
          <w:szCs w:val="21"/>
          <w:highlight w:val="none"/>
          <w:u w:val="single"/>
        </w:rPr>
        <w:t>其他未列明行业（采购文件中明确的所属行业）</w:t>
      </w:r>
      <w:r>
        <w:rPr>
          <w:rFonts w:hint="eastAsia" w:hAnsi="宋体" w:cs="宋体"/>
          <w:b/>
          <w:bCs/>
          <w:color w:val="auto"/>
          <w:kern w:val="2"/>
          <w:sz w:val="21"/>
          <w:szCs w:val="21"/>
          <w:highlight w:val="none"/>
        </w:rPr>
        <w:t>； 承建（承接）企业为</w:t>
      </w:r>
      <w:r>
        <w:rPr>
          <w:rFonts w:hint="eastAsia" w:hAnsi="宋体" w:cs="宋体"/>
          <w:b/>
          <w:bCs/>
          <w:color w:val="auto"/>
          <w:kern w:val="2"/>
          <w:sz w:val="21"/>
          <w:szCs w:val="21"/>
          <w:highlight w:val="none"/>
          <w:u w:val="single"/>
        </w:rPr>
        <w:t>（企业名称）</w:t>
      </w:r>
      <w:r>
        <w:rPr>
          <w:rFonts w:hint="eastAsia" w:hAnsi="宋体" w:cs="宋体"/>
          <w:b/>
          <w:bCs/>
          <w:color w:val="auto"/>
          <w:kern w:val="2"/>
          <w:sz w:val="21"/>
          <w:szCs w:val="21"/>
          <w:highlight w:val="none"/>
        </w:rPr>
        <w:t>，从业人员</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人，营业收入为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万元，资产总额为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万元，属于</w:t>
      </w:r>
      <w:r>
        <w:rPr>
          <w:rFonts w:hint="eastAsia" w:hAnsi="宋体" w:cs="宋体"/>
          <w:b/>
          <w:bCs/>
          <w:color w:val="auto"/>
          <w:kern w:val="2"/>
          <w:sz w:val="21"/>
          <w:szCs w:val="21"/>
          <w:highlight w:val="none"/>
          <w:u w:val="single"/>
        </w:rPr>
        <w:t>（中型企业、小型企业、微型企业）</w:t>
      </w:r>
      <w:r>
        <w:rPr>
          <w:rFonts w:hint="eastAsia" w:hAnsi="宋体" w:cs="宋体"/>
          <w:b/>
          <w:bCs/>
          <w:color w:val="auto"/>
          <w:kern w:val="2"/>
          <w:sz w:val="21"/>
          <w:szCs w:val="21"/>
          <w:highlight w:val="none"/>
        </w:rPr>
        <w:t xml:space="preserve">； </w:t>
      </w:r>
    </w:p>
    <w:p w14:paraId="34960903">
      <w:pPr>
        <w:snapToGrid w:val="0"/>
        <w:spacing w:line="440" w:lineRule="exact"/>
        <w:ind w:firstLine="630" w:firstLineChars="3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p>
    <w:p w14:paraId="46D55989">
      <w:pPr>
        <w:snapToGrid w:val="0"/>
        <w:spacing w:line="44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以上企业，不属于大企业的分支机构，不存在控股股东为大企业的情形，也不存在与大企业的负责人为同一人的情形。 </w:t>
      </w:r>
    </w:p>
    <w:p w14:paraId="0E630379">
      <w:pPr>
        <w:snapToGrid w:val="0"/>
        <w:spacing w:line="44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本企业对上述声明内容的真实性负责。如有虚假，将依法承担相应责任。 </w:t>
      </w:r>
    </w:p>
    <w:p w14:paraId="4DCF96A2">
      <w:pPr>
        <w:snapToGrid w:val="0"/>
        <w:spacing w:line="440" w:lineRule="exact"/>
        <w:ind w:firstLine="210" w:firstLineChars="1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企业名称（盖章）： </w:t>
      </w:r>
    </w:p>
    <w:p w14:paraId="3CA20982">
      <w:pPr>
        <w:snapToGrid w:val="0"/>
        <w:spacing w:line="440" w:lineRule="exact"/>
        <w:ind w:firstLine="210" w:firstLineChars="1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日 期： </w:t>
      </w:r>
    </w:p>
    <w:p w14:paraId="39D1247F">
      <w:pPr>
        <w:snapToGrid w:val="0"/>
        <w:spacing w:line="440" w:lineRule="exact"/>
        <w:rPr>
          <w:rFonts w:hint="eastAsia" w:hAnsi="宋体" w:cs="宋体"/>
          <w:color w:val="auto"/>
          <w:kern w:val="2"/>
          <w:sz w:val="21"/>
          <w:szCs w:val="21"/>
          <w:highlight w:val="none"/>
        </w:rPr>
      </w:pPr>
      <w:r>
        <w:rPr>
          <w:rFonts w:hint="eastAsia" w:hAnsi="宋体" w:cs="宋体"/>
          <w:b/>
          <w:color w:val="auto"/>
          <w:kern w:val="2"/>
          <w:sz w:val="21"/>
          <w:szCs w:val="21"/>
          <w:highlight w:val="none"/>
        </w:rPr>
        <w:t>填报说明：</w:t>
      </w:r>
      <w:r>
        <w:rPr>
          <w:rFonts w:hint="eastAsia" w:hAnsi="宋体" w:cs="宋体"/>
          <w:color w:val="auto"/>
          <w:kern w:val="2"/>
          <w:sz w:val="21"/>
          <w:szCs w:val="21"/>
          <w:highlight w:val="none"/>
        </w:rPr>
        <w:t>①本声明函中“从业人员”、“营业收入”、“资产总额”填报上一年度数据，无上一年度数据的新成立企业可不填报。</w:t>
      </w:r>
    </w:p>
    <w:p w14:paraId="752F8675">
      <w:pPr>
        <w:autoSpaceDE/>
        <w:autoSpaceDN/>
        <w:adjustRightInd/>
        <w:spacing w:line="440" w:lineRule="exact"/>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②本项目采购标的对应的中小企业划分标准所属行业为《中小企业划型标准规定》（工信部联企业〔2011〕300号）中的“其他未列明行业”，具体划型标准为：</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787"/>
        <w:gridCol w:w="1900"/>
        <w:gridCol w:w="1925"/>
        <w:gridCol w:w="1761"/>
      </w:tblGrid>
      <w:tr w14:paraId="3D9B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14:paraId="0B2B8347">
            <w:pPr>
              <w:jc w:val="center"/>
              <w:textAlignment w:val="baseline"/>
              <w:rPr>
                <w:rFonts w:hint="eastAsia" w:hAnsi="宋体" w:cs="宋体"/>
                <w:color w:val="auto"/>
                <w:sz w:val="21"/>
                <w:szCs w:val="21"/>
                <w:highlight w:val="none"/>
              </w:rPr>
            </w:pPr>
            <w:r>
              <w:rPr>
                <w:rFonts w:hint="eastAsia" w:hAnsi="宋体" w:cs="宋体"/>
                <w:b/>
                <w:bCs/>
                <w:color w:val="auto"/>
                <w:sz w:val="21"/>
                <w:szCs w:val="21"/>
                <w:highlight w:val="none"/>
              </w:rPr>
              <w:t>大、中、小、微企业划型标准对照表</w:t>
            </w:r>
          </w:p>
          <w:p w14:paraId="257C4FDE">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所属行业：</w:t>
            </w:r>
            <w:r>
              <w:rPr>
                <w:rFonts w:hint="eastAsia" w:hAnsi="宋体" w:cs="宋体"/>
                <w:color w:val="auto"/>
                <w:sz w:val="21"/>
                <w:szCs w:val="21"/>
                <w:highlight w:val="none"/>
                <w:u w:val="single"/>
              </w:rPr>
              <w:t>其他未列明行业</w:t>
            </w:r>
          </w:p>
        </w:tc>
      </w:tr>
      <w:tr w14:paraId="4271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3A8BEDC4">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序号</w:t>
            </w:r>
          </w:p>
        </w:tc>
        <w:tc>
          <w:tcPr>
            <w:tcW w:w="1787" w:type="dxa"/>
            <w:vAlign w:val="center"/>
          </w:tcPr>
          <w:p w14:paraId="0B6CCB11">
            <w:pPr>
              <w:widowControl/>
              <w:snapToGrid w:val="0"/>
              <w:spacing w:line="460" w:lineRule="exact"/>
              <w:jc w:val="center"/>
              <w:textAlignment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从业人员X</w:t>
            </w:r>
          </w:p>
          <w:p w14:paraId="0B461F68">
            <w:pPr>
              <w:widowControl/>
              <w:snapToGrid w:val="0"/>
              <w:spacing w:line="460" w:lineRule="exact"/>
              <w:jc w:val="center"/>
              <w:textAlignment w:val="center"/>
              <w:rPr>
                <w:rFonts w:hint="eastAsia" w:hAnsi="宋体" w:cs="宋体"/>
                <w:color w:val="auto"/>
                <w:sz w:val="21"/>
                <w:szCs w:val="21"/>
                <w:highlight w:val="none"/>
              </w:rPr>
            </w:pPr>
            <w:r>
              <w:rPr>
                <w:rFonts w:hint="eastAsia" w:hAnsi="宋体" w:cs="宋体"/>
                <w:color w:val="auto"/>
                <w:sz w:val="21"/>
                <w:szCs w:val="21"/>
                <w:highlight w:val="none"/>
                <w:lang w:bidi="ar"/>
              </w:rPr>
              <w:t>（人）</w:t>
            </w:r>
          </w:p>
        </w:tc>
        <w:tc>
          <w:tcPr>
            <w:tcW w:w="1900" w:type="dxa"/>
            <w:vAlign w:val="center"/>
          </w:tcPr>
          <w:p w14:paraId="26DFC876">
            <w:pPr>
              <w:widowControl/>
              <w:snapToGrid w:val="0"/>
              <w:spacing w:line="460" w:lineRule="exact"/>
              <w:jc w:val="center"/>
              <w:textAlignment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营业收入Y</w:t>
            </w:r>
          </w:p>
          <w:p w14:paraId="1026F0BE">
            <w:pPr>
              <w:widowControl/>
              <w:snapToGrid w:val="0"/>
              <w:spacing w:line="460" w:lineRule="exact"/>
              <w:jc w:val="center"/>
              <w:textAlignment w:val="center"/>
              <w:rPr>
                <w:rFonts w:hint="eastAsia" w:hAnsi="宋体" w:cs="宋体"/>
                <w:color w:val="auto"/>
                <w:sz w:val="21"/>
                <w:szCs w:val="21"/>
                <w:highlight w:val="none"/>
              </w:rPr>
            </w:pPr>
            <w:r>
              <w:rPr>
                <w:rFonts w:hint="eastAsia" w:hAnsi="宋体" w:cs="宋体"/>
                <w:color w:val="auto"/>
                <w:sz w:val="21"/>
                <w:szCs w:val="21"/>
                <w:highlight w:val="none"/>
                <w:lang w:bidi="ar"/>
              </w:rPr>
              <w:t>（万元）</w:t>
            </w:r>
          </w:p>
        </w:tc>
        <w:tc>
          <w:tcPr>
            <w:tcW w:w="1925" w:type="dxa"/>
            <w:vAlign w:val="center"/>
          </w:tcPr>
          <w:p w14:paraId="104CC1F4">
            <w:pPr>
              <w:widowControl/>
              <w:snapToGrid w:val="0"/>
              <w:spacing w:line="460" w:lineRule="exact"/>
              <w:jc w:val="center"/>
              <w:textAlignment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资产总额Z</w:t>
            </w:r>
          </w:p>
          <w:p w14:paraId="2E333EC2">
            <w:pPr>
              <w:widowControl/>
              <w:snapToGrid w:val="0"/>
              <w:spacing w:line="460" w:lineRule="exact"/>
              <w:jc w:val="center"/>
              <w:textAlignment w:val="center"/>
              <w:rPr>
                <w:rFonts w:hint="eastAsia" w:hAnsi="宋体" w:cs="宋体"/>
                <w:color w:val="auto"/>
                <w:sz w:val="21"/>
                <w:szCs w:val="21"/>
                <w:highlight w:val="none"/>
              </w:rPr>
            </w:pPr>
            <w:r>
              <w:rPr>
                <w:rFonts w:hint="eastAsia" w:hAnsi="宋体" w:cs="宋体"/>
                <w:color w:val="auto"/>
                <w:sz w:val="21"/>
                <w:szCs w:val="21"/>
                <w:highlight w:val="none"/>
                <w:lang w:bidi="ar"/>
              </w:rPr>
              <w:t>（万元）</w:t>
            </w:r>
          </w:p>
        </w:tc>
        <w:tc>
          <w:tcPr>
            <w:tcW w:w="1761" w:type="dxa"/>
            <w:vAlign w:val="center"/>
          </w:tcPr>
          <w:p w14:paraId="694C447A">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对应企业类型</w:t>
            </w:r>
          </w:p>
        </w:tc>
      </w:tr>
      <w:tr w14:paraId="5762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4CB3CB13">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1</w:t>
            </w:r>
          </w:p>
        </w:tc>
        <w:tc>
          <w:tcPr>
            <w:tcW w:w="1787" w:type="dxa"/>
            <w:vAlign w:val="center"/>
          </w:tcPr>
          <w:p w14:paraId="2DE2B6F4">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X ＜10</w:t>
            </w:r>
          </w:p>
        </w:tc>
        <w:tc>
          <w:tcPr>
            <w:tcW w:w="1900" w:type="dxa"/>
            <w:vAlign w:val="center"/>
          </w:tcPr>
          <w:p w14:paraId="6D2834AD">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925" w:type="dxa"/>
            <w:vAlign w:val="center"/>
          </w:tcPr>
          <w:p w14:paraId="34C33EDA">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761" w:type="dxa"/>
            <w:vAlign w:val="center"/>
          </w:tcPr>
          <w:p w14:paraId="4AE9936A">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微型</w:t>
            </w:r>
          </w:p>
        </w:tc>
      </w:tr>
      <w:tr w14:paraId="7C96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2B1E41B8">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2</w:t>
            </w:r>
          </w:p>
        </w:tc>
        <w:tc>
          <w:tcPr>
            <w:tcW w:w="1787" w:type="dxa"/>
            <w:vAlign w:val="center"/>
          </w:tcPr>
          <w:p w14:paraId="40B6EAAB">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10≤ X ＜100</w:t>
            </w:r>
          </w:p>
        </w:tc>
        <w:tc>
          <w:tcPr>
            <w:tcW w:w="1900" w:type="dxa"/>
            <w:vAlign w:val="center"/>
          </w:tcPr>
          <w:p w14:paraId="5D7CB2EB">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925" w:type="dxa"/>
            <w:vAlign w:val="center"/>
          </w:tcPr>
          <w:p w14:paraId="6179E59A">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761" w:type="dxa"/>
            <w:vAlign w:val="center"/>
          </w:tcPr>
          <w:p w14:paraId="5B579DCC">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小型</w:t>
            </w:r>
          </w:p>
        </w:tc>
      </w:tr>
      <w:tr w14:paraId="3285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59EBBBB4">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3</w:t>
            </w:r>
          </w:p>
        </w:tc>
        <w:tc>
          <w:tcPr>
            <w:tcW w:w="1787" w:type="dxa"/>
            <w:vAlign w:val="center"/>
          </w:tcPr>
          <w:p w14:paraId="5F4C5789">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100≤ X ＜300</w:t>
            </w:r>
          </w:p>
        </w:tc>
        <w:tc>
          <w:tcPr>
            <w:tcW w:w="1900" w:type="dxa"/>
            <w:vAlign w:val="center"/>
          </w:tcPr>
          <w:p w14:paraId="2A83B78B">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925" w:type="dxa"/>
            <w:vAlign w:val="center"/>
          </w:tcPr>
          <w:p w14:paraId="51B1FE81">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761" w:type="dxa"/>
            <w:vAlign w:val="center"/>
          </w:tcPr>
          <w:p w14:paraId="63047446">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中型</w:t>
            </w:r>
          </w:p>
        </w:tc>
      </w:tr>
      <w:tr w14:paraId="2859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7ADA9216">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4</w:t>
            </w:r>
          </w:p>
        </w:tc>
        <w:tc>
          <w:tcPr>
            <w:tcW w:w="1787" w:type="dxa"/>
            <w:vAlign w:val="center"/>
          </w:tcPr>
          <w:p w14:paraId="6208A3A6">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X ≥300</w:t>
            </w:r>
          </w:p>
        </w:tc>
        <w:tc>
          <w:tcPr>
            <w:tcW w:w="1900" w:type="dxa"/>
            <w:vAlign w:val="center"/>
          </w:tcPr>
          <w:p w14:paraId="16FA75A5">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925" w:type="dxa"/>
            <w:vAlign w:val="center"/>
          </w:tcPr>
          <w:p w14:paraId="5D5785DC">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761" w:type="dxa"/>
            <w:vAlign w:val="center"/>
          </w:tcPr>
          <w:p w14:paraId="39B24131">
            <w:pPr>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大型</w:t>
            </w:r>
          </w:p>
        </w:tc>
      </w:tr>
      <w:tr w14:paraId="6DD4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14:paraId="016E4CE1">
            <w:pPr>
              <w:jc w:val="both"/>
              <w:textAlignment w:val="baseline"/>
              <w:rPr>
                <w:rFonts w:hint="eastAsia" w:hAnsi="宋体" w:cs="宋体"/>
                <w:color w:val="auto"/>
                <w:sz w:val="21"/>
                <w:szCs w:val="21"/>
                <w:highlight w:val="none"/>
              </w:rPr>
            </w:pPr>
            <w:r>
              <w:rPr>
                <w:rFonts w:hint="eastAsia" w:hAnsi="宋体" w:cs="宋体"/>
                <w:color w:val="auto"/>
                <w:sz w:val="21"/>
                <w:szCs w:val="21"/>
                <w:highlight w:val="none"/>
              </w:rPr>
              <w:t>其他未列明行业。从业人员300人以下的为中小微型企业。</w:t>
            </w:r>
          </w:p>
          <w:p w14:paraId="3D3DB5A3">
            <w:pPr>
              <w:ind w:firstLine="1050" w:firstLineChars="500"/>
              <w:jc w:val="both"/>
              <w:textAlignment w:val="baseline"/>
              <w:rPr>
                <w:rFonts w:hint="eastAsia" w:hAnsi="宋体" w:cs="宋体"/>
                <w:color w:val="auto"/>
                <w:sz w:val="21"/>
                <w:szCs w:val="21"/>
                <w:highlight w:val="none"/>
              </w:rPr>
            </w:pPr>
            <w:r>
              <w:rPr>
                <w:rFonts w:hint="eastAsia" w:hAnsi="宋体" w:cs="宋体"/>
                <w:color w:val="auto"/>
                <w:sz w:val="21"/>
                <w:szCs w:val="21"/>
                <w:highlight w:val="none"/>
              </w:rPr>
              <w:t>其中，从业人员100人及以上的为中型企业；</w:t>
            </w:r>
          </w:p>
          <w:p w14:paraId="1BBC2C5B">
            <w:pPr>
              <w:ind w:firstLine="1680" w:firstLineChars="800"/>
              <w:jc w:val="both"/>
              <w:textAlignment w:val="baseline"/>
              <w:rPr>
                <w:rFonts w:hint="eastAsia" w:hAnsi="宋体" w:cs="宋体"/>
                <w:color w:val="auto"/>
                <w:sz w:val="21"/>
                <w:szCs w:val="21"/>
                <w:highlight w:val="none"/>
              </w:rPr>
            </w:pPr>
            <w:r>
              <w:rPr>
                <w:rFonts w:hint="eastAsia" w:hAnsi="宋体" w:cs="宋体"/>
                <w:color w:val="auto"/>
                <w:sz w:val="21"/>
                <w:szCs w:val="21"/>
                <w:highlight w:val="none"/>
              </w:rPr>
              <w:t>从业人员10人及以上的为小型企业；</w:t>
            </w:r>
          </w:p>
          <w:p w14:paraId="3F050BA3">
            <w:pPr>
              <w:ind w:firstLine="1680" w:firstLineChars="800"/>
              <w:jc w:val="both"/>
              <w:textAlignment w:val="baseline"/>
              <w:rPr>
                <w:rFonts w:hint="eastAsia" w:hAnsi="宋体" w:cs="宋体"/>
                <w:color w:val="auto"/>
                <w:sz w:val="21"/>
                <w:szCs w:val="21"/>
                <w:highlight w:val="none"/>
              </w:rPr>
            </w:pPr>
            <w:r>
              <w:rPr>
                <w:rFonts w:hint="eastAsia" w:hAnsi="宋体" w:cs="宋体"/>
                <w:color w:val="auto"/>
                <w:sz w:val="21"/>
                <w:szCs w:val="21"/>
                <w:highlight w:val="none"/>
              </w:rPr>
              <w:t>从业人员10人以下的为微型企业。</w:t>
            </w:r>
          </w:p>
        </w:tc>
      </w:tr>
    </w:tbl>
    <w:p w14:paraId="4B718245">
      <w:pPr>
        <w:autoSpaceDE/>
        <w:autoSpaceDN/>
        <w:adjustRightInd/>
        <w:spacing w:line="440" w:lineRule="exact"/>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③符合中小企业划分标准的个体工商户、其他组织机构，在本项目采购活动中视同中小企业；</w:t>
      </w:r>
    </w:p>
    <w:p w14:paraId="7586FA26">
      <w:pPr>
        <w:spacing w:line="440" w:lineRule="exact"/>
        <w:ind w:firstLine="420" w:firstLineChars="200"/>
        <w:rPr>
          <w:rFonts w:hint="eastAsia" w:hAnsi="宋体" w:cs="宋体"/>
          <w:color w:val="auto"/>
          <w:highlight w:val="none"/>
        </w:rPr>
      </w:pPr>
      <w:r>
        <w:rPr>
          <w:rFonts w:hint="eastAsia" w:hAnsi="宋体" w:cs="宋体"/>
          <w:color w:val="auto"/>
          <w:kern w:val="2"/>
          <w:sz w:val="21"/>
          <w:szCs w:val="21"/>
          <w:highlight w:val="none"/>
        </w:rPr>
        <w:t>④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的，将依照《中华人民共和国政府采购法》等国家有关规定追究相应责任</w:t>
      </w:r>
      <w:r>
        <w:rPr>
          <w:rFonts w:hint="eastAsia" w:hAnsi="宋体" w:cs="宋体"/>
          <w:color w:val="auto"/>
          <w:spacing w:val="-1"/>
          <w:sz w:val="20"/>
          <w:highlight w:val="none"/>
        </w:rPr>
        <w:t>。</w:t>
      </w:r>
    </w:p>
    <w:p w14:paraId="4EBC29BC">
      <w:pPr>
        <w:spacing w:line="440" w:lineRule="exact"/>
        <w:jc w:val="center"/>
        <w:rPr>
          <w:rFonts w:hint="eastAsia" w:hAnsi="宋体" w:cs="宋体"/>
          <w:color w:val="auto"/>
          <w:sz w:val="24"/>
          <w:szCs w:val="24"/>
          <w:highlight w:val="none"/>
        </w:rPr>
      </w:pPr>
    </w:p>
    <w:p w14:paraId="4E641C9B">
      <w:pPr>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（2）残疾人福利性单位声明函</w:t>
      </w:r>
    </w:p>
    <w:p w14:paraId="55449094">
      <w:pPr>
        <w:pStyle w:val="81"/>
        <w:spacing w:before="634" w:beforeLines="100" w:line="500" w:lineRule="exact"/>
        <w:ind w:firstLine="601"/>
        <w:rPr>
          <w:rFonts w:ascii="宋体" w:hAnsi="宋体" w:eastAsia="宋体" w:cs="宋体"/>
          <w:color w:val="auto"/>
          <w:kern w:val="2"/>
          <w:szCs w:val="21"/>
          <w:highlight w:val="none"/>
        </w:rPr>
      </w:pPr>
      <w:r>
        <w:rPr>
          <w:rFonts w:ascii="宋体" w:hAnsi="宋体" w:eastAsia="宋体" w:cs="宋体"/>
          <w:color w:val="auto"/>
          <w:kern w:val="2"/>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3A0E9D">
      <w:pPr>
        <w:pStyle w:val="81"/>
        <w:spacing w:line="500" w:lineRule="exact"/>
        <w:ind w:firstLine="600"/>
        <w:rPr>
          <w:rFonts w:ascii="宋体" w:hAnsi="宋体" w:eastAsia="宋体" w:cs="宋体"/>
          <w:color w:val="auto"/>
          <w:kern w:val="2"/>
          <w:szCs w:val="21"/>
          <w:highlight w:val="none"/>
        </w:rPr>
      </w:pPr>
      <w:r>
        <w:rPr>
          <w:rFonts w:ascii="宋体" w:hAnsi="宋体" w:eastAsia="宋体" w:cs="宋体"/>
          <w:color w:val="auto"/>
          <w:kern w:val="2"/>
          <w:szCs w:val="21"/>
          <w:highlight w:val="none"/>
        </w:rPr>
        <w:t>本单位对上述声明的真实性负责。如有虚假，将依法承担相应责任。</w:t>
      </w:r>
    </w:p>
    <w:p w14:paraId="6A356C28">
      <w:pPr>
        <w:pStyle w:val="81"/>
        <w:spacing w:line="500" w:lineRule="exact"/>
        <w:rPr>
          <w:rFonts w:ascii="宋体" w:hAnsi="宋体" w:eastAsia="宋体" w:cs="宋体"/>
          <w:color w:val="auto"/>
          <w:spacing w:val="6"/>
          <w:szCs w:val="21"/>
          <w:highlight w:val="none"/>
        </w:rPr>
      </w:pPr>
    </w:p>
    <w:p w14:paraId="6D467B9A">
      <w:pPr>
        <w:pStyle w:val="81"/>
        <w:spacing w:line="500" w:lineRule="exact"/>
        <w:ind w:right="1560" w:firstLine="600"/>
        <w:jc w:val="center"/>
        <w:rPr>
          <w:rFonts w:ascii="宋体" w:hAnsi="宋体" w:eastAsia="宋体" w:cs="宋体"/>
          <w:color w:val="auto"/>
          <w:kern w:val="2"/>
          <w:szCs w:val="21"/>
          <w:highlight w:val="none"/>
        </w:rPr>
      </w:pPr>
      <w:r>
        <w:rPr>
          <w:rFonts w:ascii="宋体" w:hAnsi="宋体" w:eastAsia="宋体" w:cs="宋体"/>
          <w:color w:val="auto"/>
          <w:kern w:val="2"/>
          <w:szCs w:val="21"/>
          <w:highlight w:val="none"/>
        </w:rPr>
        <w:t>单位名称（盖章）：</w:t>
      </w:r>
    </w:p>
    <w:p w14:paraId="21AC9EE7">
      <w:pPr>
        <w:pStyle w:val="81"/>
        <w:spacing w:line="500" w:lineRule="exact"/>
        <w:ind w:right="1560" w:firstLine="600"/>
        <w:jc w:val="center"/>
        <w:rPr>
          <w:rFonts w:ascii="宋体" w:hAnsi="宋体" w:eastAsia="宋体" w:cs="宋体"/>
          <w:color w:val="auto"/>
          <w:kern w:val="2"/>
          <w:szCs w:val="21"/>
          <w:highlight w:val="none"/>
          <w:lang w:eastAsia="zh-CN"/>
        </w:rPr>
      </w:pPr>
      <w:r>
        <w:rPr>
          <w:rFonts w:ascii="宋体" w:hAnsi="宋体" w:eastAsia="宋体" w:cs="宋体"/>
          <w:color w:val="auto"/>
          <w:kern w:val="2"/>
          <w:szCs w:val="21"/>
          <w:highlight w:val="none"/>
        </w:rPr>
        <w:t xml:space="preserve">       日  期：</w:t>
      </w:r>
    </w:p>
    <w:p w14:paraId="0A8F8660">
      <w:pPr>
        <w:snapToGrid w:val="0"/>
        <w:spacing w:line="500" w:lineRule="exact"/>
        <w:jc w:val="center"/>
        <w:rPr>
          <w:rFonts w:hint="eastAsia" w:hAnsi="宋体" w:cs="宋体"/>
          <w:color w:val="auto"/>
          <w:sz w:val="21"/>
          <w:szCs w:val="21"/>
          <w:highlight w:val="none"/>
        </w:rPr>
      </w:pPr>
    </w:p>
    <w:p w14:paraId="407A3859">
      <w:pPr>
        <w:snapToGrid w:val="0"/>
        <w:spacing w:line="500" w:lineRule="exact"/>
        <w:jc w:val="center"/>
        <w:rPr>
          <w:rFonts w:hint="eastAsia" w:hAnsi="宋体" w:cs="宋体"/>
          <w:color w:val="auto"/>
          <w:sz w:val="21"/>
          <w:szCs w:val="21"/>
          <w:highlight w:val="none"/>
        </w:rPr>
      </w:pPr>
    </w:p>
    <w:p w14:paraId="48D29893">
      <w:pPr>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（3）监狱企业证明文件</w:t>
      </w:r>
    </w:p>
    <w:p w14:paraId="1B6633D4">
      <w:pPr>
        <w:widowControl/>
        <w:snapToGrid w:val="0"/>
        <w:spacing w:line="500" w:lineRule="exact"/>
        <w:ind w:firstLine="420" w:firstLineChars="200"/>
        <w:rPr>
          <w:rFonts w:hint="eastAsia" w:hAnsi="宋体" w:cs="宋体"/>
          <w:color w:val="auto"/>
          <w:sz w:val="21"/>
          <w:szCs w:val="21"/>
          <w:highlight w:val="none"/>
        </w:rPr>
      </w:pPr>
    </w:p>
    <w:p w14:paraId="6EE2931F">
      <w:pPr>
        <w:widowControl/>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监狱企业参加政府采购活动时，应当提供由省级以上监狱管理局、戒毒管理局（含新疆生产建设兵团）出具的属于监狱企业的证明文件。</w:t>
      </w:r>
    </w:p>
    <w:bookmarkEnd w:id="57"/>
    <w:p w14:paraId="4E377833">
      <w:pPr>
        <w:rPr>
          <w:rFonts w:hint="eastAsia" w:hAnsi="宋体" w:cs="宋体"/>
          <w:color w:val="auto"/>
          <w:highlight w:val="none"/>
        </w:rPr>
      </w:pPr>
    </w:p>
    <w:sectPr>
      <w:footerReference r:id="rId9" w:type="default"/>
      <w:pgSz w:w="11906" w:h="16838"/>
      <w:pgMar w:top="1440" w:right="1304" w:bottom="1440" w:left="1304" w:header="850" w:footer="567" w:gutter="0"/>
      <w:pgNumType w:start="1"/>
      <w:cols w:space="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汉仪仿宋简">
    <w:altName w:val="黑体"/>
    <w:panose1 w:val="00000000000000000000"/>
    <w:charset w:val="86"/>
    <w:family w:val="modern"/>
    <w:pitch w:val="default"/>
    <w:sig w:usb0="00000000" w:usb1="00000000" w:usb2="00000012"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D299">
    <w:pPr>
      <w:pStyle w:val="32"/>
      <w:framePr w:w="607" w:h="430" w:hRule="exact" w:wrap="around" w:vAnchor="text" w:hAnchor="page" w:x="8905" w:y="-58"/>
      <w:ind w:right="360"/>
      <w:rPr>
        <w:rStyle w:val="50"/>
      </w:rPr>
    </w:pPr>
  </w:p>
  <w:p w14:paraId="6CED7360">
    <w:pPr>
      <w:pStyle w:val="32"/>
      <w:framePr w:wrap="around" w:vAnchor="text" w:hAnchor="page" w:x="15730" w:y="74"/>
      <w:ind w:right="360"/>
      <w:rPr>
        <w:rStyle w:val="50"/>
      </w:rPr>
    </w:pPr>
  </w:p>
  <w:p w14:paraId="257DAF83">
    <w:pPr>
      <w:pStyle w:val="3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E4C1">
    <w:pPr>
      <w:pStyle w:val="32"/>
      <w:framePr w:wrap="around" w:vAnchor="text" w:hAnchor="margin" w:xAlign="center" w:y="1"/>
      <w:rPr>
        <w:rStyle w:val="50"/>
      </w:rPr>
    </w:pPr>
    <w:r>
      <w:fldChar w:fldCharType="begin"/>
    </w:r>
    <w:r>
      <w:rPr>
        <w:rStyle w:val="50"/>
      </w:rPr>
      <w:instrText xml:space="preserve">PAGE  </w:instrText>
    </w:r>
    <w:r>
      <w:fldChar w:fldCharType="separate"/>
    </w:r>
    <w:r>
      <w:rPr>
        <w:rStyle w:val="50"/>
      </w:rPr>
      <w:t>34</w:t>
    </w:r>
    <w:r>
      <w:fldChar w:fldCharType="end"/>
    </w:r>
  </w:p>
  <w:p w14:paraId="7EBC00DD">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B47B">
    <w:pPr>
      <w:pStyle w:val="32"/>
      <w:framePr w:w="607" w:h="430" w:hRule="exact" w:wrap="around" w:vAnchor="text" w:hAnchor="page" w:x="8905" w:y="-58"/>
      <w:ind w:right="360"/>
      <w:rPr>
        <w:rStyle w:val="50"/>
      </w:rPr>
    </w:pPr>
  </w:p>
  <w:p w14:paraId="50FEE7FD">
    <w:pPr>
      <w:pStyle w:val="32"/>
      <w:framePr w:wrap="around" w:vAnchor="text" w:hAnchor="page" w:x="15730" w:y="74"/>
      <w:ind w:right="360"/>
      <w:rPr>
        <w:rStyle w:val="50"/>
      </w:rPr>
    </w:pPr>
  </w:p>
  <w:p w14:paraId="1223C721">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7685">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4B3F">
    <w:pPr>
      <w:pStyle w:val="32"/>
      <w:framePr w:wrap="around" w:vAnchor="text" w:hAnchor="margin" w:xAlign="center" w:y="1"/>
      <w:rPr>
        <w:rStyle w:val="50"/>
      </w:rPr>
    </w:pPr>
    <w:r>
      <w:fldChar w:fldCharType="begin"/>
    </w:r>
    <w:r>
      <w:rPr>
        <w:rStyle w:val="50"/>
      </w:rPr>
      <w:instrText xml:space="preserve">PAGE  </w:instrText>
    </w:r>
    <w:r>
      <w:fldChar w:fldCharType="separate"/>
    </w:r>
    <w:r>
      <w:rPr>
        <w:rStyle w:val="50"/>
      </w:rPr>
      <w:t>46</w:t>
    </w:r>
    <w:r>
      <w:fldChar w:fldCharType="end"/>
    </w:r>
  </w:p>
  <w:p w14:paraId="5AA376A5">
    <w:pPr>
      <w:pStyle w:val="32"/>
      <w:framePr w:w="607" w:h="430" w:hRule="exact" w:wrap="around" w:vAnchor="text" w:hAnchor="page" w:x="8905" w:y="-58"/>
      <w:ind w:right="360"/>
      <w:rPr>
        <w:rStyle w:val="50"/>
      </w:rPr>
    </w:pPr>
  </w:p>
  <w:p w14:paraId="6907C8B5">
    <w:pPr>
      <w:pStyle w:val="32"/>
      <w:framePr w:wrap="around" w:vAnchor="text" w:hAnchor="page" w:x="15730" w:y="74"/>
      <w:ind w:right="360"/>
      <w:rPr>
        <w:rStyle w:val="50"/>
      </w:rPr>
    </w:pPr>
  </w:p>
  <w:p w14:paraId="79A61EAE">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C4F4">
    <w:pPr>
      <w:pStyle w:val="33"/>
      <w:pBdr>
        <w:bottom w:val="single" w:color="auto" w:sz="6" w:space="0"/>
      </w:pBdr>
      <w:rPr>
        <w:rFonts w:hint="eastAsia" w:ascii="宋体" w:hAnsi="宋体" w:cs="宋体"/>
      </w:rPr>
    </w:pPr>
    <w:r>
      <w:rPr>
        <w:rFonts w:hint="eastAsia" w:ascii="宋体" w:hAnsi="宋体" w:cs="宋体"/>
      </w:rPr>
      <w:t>金华市天盈招标代理有限公司</w:t>
    </w:r>
  </w:p>
  <w:p w14:paraId="2E025451">
    <w:pPr>
      <w:pStyle w:val="33"/>
      <w:pBdr>
        <w:bottom w:val="single" w:color="auto" w:sz="6" w:space="0"/>
      </w:pBdr>
      <w:rPr>
        <w:rFonts w:hint="eastAsia" w:ascii="宋体" w:hAnsi="宋体" w:eastAsia="宋体" w:cs="宋体"/>
        <w:lang w:eastAsia="zh-CN"/>
      </w:rPr>
    </w:pPr>
    <w:r>
      <w:rPr>
        <w:rFonts w:hint="eastAsia"/>
      </w:rPr>
      <w:pict>
        <v:shape id="PowerPlusWaterMarkObject30563" o:spid="_x0000_s1027" o:spt="136" type="#_x0000_t136" style="position:absolute;left:0pt;height:47.35pt;width:539.9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金华市天盈招标代理有限公司" style="font-family:宋体;font-size:36pt;v-text-align:center;"/>
        </v:shape>
      </w:pict>
    </w:r>
    <w:r>
      <w:rPr>
        <w:rFonts w:hint="eastAsia" w:ascii="宋体" w:hAnsi="宋体" w:cs="宋体"/>
      </w:rPr>
      <w:t>项目编号：</w:t>
    </w:r>
    <w:r>
      <w:rPr>
        <w:rFonts w:hint="eastAsia" w:ascii="宋体" w:hAnsi="宋体" w:cs="宋体"/>
        <w:lang w:eastAsia="zh-CN"/>
      </w:rPr>
      <w:t>TY2025-FW100-ZFCG100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ACBB9">
    <w:pPr>
      <w:pStyle w:val="33"/>
      <w:pBdr>
        <w:bottom w:val="single" w:color="auto" w:sz="6" w:space="0"/>
      </w:pBdr>
      <w:rPr>
        <w:rFonts w:hint="eastAsia" w:ascii="宋体" w:hAnsi="宋体" w:cs="宋体"/>
        <w:szCs w:val="18"/>
      </w:rPr>
    </w:pPr>
    <w:r>
      <w:rPr>
        <w:rFonts w:hint="eastAsia" w:ascii="宋体" w:hAnsi="宋体" w:cs="宋体"/>
        <w:szCs w:val="18"/>
      </w:rPr>
      <w:t>金华市天盈招标代理有限公司</w:t>
    </w:r>
  </w:p>
  <w:p w14:paraId="7380DC49">
    <w:pPr>
      <w:pStyle w:val="33"/>
      <w:pBdr>
        <w:bottom w:val="single" w:color="auto" w:sz="6" w:space="0"/>
      </w:pBdr>
      <w:rPr>
        <w:rFonts w:hint="eastAsia" w:ascii="宋体" w:hAnsi="宋体" w:cs="宋体"/>
        <w:szCs w:val="18"/>
      </w:rPr>
    </w:pPr>
    <w:r>
      <w:rPr>
        <w:rFonts w:hint="eastAsia"/>
      </w:rPr>
      <w:pict>
        <v:shape id="PowerPlusWaterMarkObject130177" o:spid="_x0000_s1025" o:spt="136" type="#_x0000_t136" style="position:absolute;left:0pt;height:53pt;width:604.3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金华市天盈财务咨询有限公司" style="font-family:新宋体;font-size:36pt;v-text-align:center;"/>
        </v:shape>
      </w:pict>
    </w:r>
    <w:r>
      <w:rPr>
        <w:rFonts w:hint="eastAsia" w:ascii="宋体" w:hAnsi="宋体" w:cs="宋体"/>
        <w:szCs w:val="18"/>
      </w:rPr>
      <w:t>项目编号：TY2023-FW-ZFCG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4B1E5889"/>
    <w:multiLevelType w:val="singleLevel"/>
    <w:tmpl w:val="4B1E5889"/>
    <w:lvl w:ilvl="0" w:tentative="0">
      <w:start w:val="5"/>
      <w:numFmt w:val="chineseCounting"/>
      <w:suff w:val="nothing"/>
      <w:lvlText w:val="%1、"/>
      <w:lvlJc w:val="left"/>
      <w:rPr>
        <w:rFonts w:hint="eastAsia"/>
      </w:rPr>
    </w:lvl>
  </w:abstractNum>
  <w:abstractNum w:abstractNumId="2">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0"/>
  <w:drawingGridHorizontalSpacing w:val="170"/>
  <w:drawingGridVerticalSpacing w:val="332"/>
  <w:doNotShadeFormData w:val="1"/>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MWIxYzJlNDlmNTliY2NiMTk2NjgyNWY2MTMyYTYifQ=="/>
  </w:docVars>
  <w:rsids>
    <w:rsidRoot w:val="00172A27"/>
    <w:rsid w:val="000004A0"/>
    <w:rsid w:val="000005B4"/>
    <w:rsid w:val="00000D0C"/>
    <w:rsid w:val="0000215B"/>
    <w:rsid w:val="00003612"/>
    <w:rsid w:val="00003641"/>
    <w:rsid w:val="00003972"/>
    <w:rsid w:val="00004C9F"/>
    <w:rsid w:val="00005649"/>
    <w:rsid w:val="000059AC"/>
    <w:rsid w:val="00005F6F"/>
    <w:rsid w:val="000061FA"/>
    <w:rsid w:val="000075A6"/>
    <w:rsid w:val="00007727"/>
    <w:rsid w:val="00007AC9"/>
    <w:rsid w:val="00007DDF"/>
    <w:rsid w:val="00010215"/>
    <w:rsid w:val="0001098B"/>
    <w:rsid w:val="00010ADA"/>
    <w:rsid w:val="00010D0A"/>
    <w:rsid w:val="00011D51"/>
    <w:rsid w:val="00011F6E"/>
    <w:rsid w:val="000120A0"/>
    <w:rsid w:val="00012E6A"/>
    <w:rsid w:val="00013616"/>
    <w:rsid w:val="00014CF0"/>
    <w:rsid w:val="00014FC5"/>
    <w:rsid w:val="00015130"/>
    <w:rsid w:val="000154E5"/>
    <w:rsid w:val="000154F4"/>
    <w:rsid w:val="000157A4"/>
    <w:rsid w:val="000157C0"/>
    <w:rsid w:val="0001584B"/>
    <w:rsid w:val="00015F06"/>
    <w:rsid w:val="000162CB"/>
    <w:rsid w:val="000169DC"/>
    <w:rsid w:val="00016A63"/>
    <w:rsid w:val="00016E51"/>
    <w:rsid w:val="00017056"/>
    <w:rsid w:val="00017368"/>
    <w:rsid w:val="00017F1D"/>
    <w:rsid w:val="0002005F"/>
    <w:rsid w:val="00020F1F"/>
    <w:rsid w:val="00020F7A"/>
    <w:rsid w:val="00022040"/>
    <w:rsid w:val="0002306F"/>
    <w:rsid w:val="00023542"/>
    <w:rsid w:val="00023604"/>
    <w:rsid w:val="00023E43"/>
    <w:rsid w:val="00024041"/>
    <w:rsid w:val="0002467A"/>
    <w:rsid w:val="000246F6"/>
    <w:rsid w:val="0002556F"/>
    <w:rsid w:val="00025DC0"/>
    <w:rsid w:val="00026007"/>
    <w:rsid w:val="000263D5"/>
    <w:rsid w:val="0002723D"/>
    <w:rsid w:val="00027707"/>
    <w:rsid w:val="0002796A"/>
    <w:rsid w:val="00030709"/>
    <w:rsid w:val="00030EFD"/>
    <w:rsid w:val="00031156"/>
    <w:rsid w:val="0003137B"/>
    <w:rsid w:val="000326D8"/>
    <w:rsid w:val="000331C3"/>
    <w:rsid w:val="00033B08"/>
    <w:rsid w:val="00033BB6"/>
    <w:rsid w:val="00033CD2"/>
    <w:rsid w:val="00034324"/>
    <w:rsid w:val="00034538"/>
    <w:rsid w:val="00034E51"/>
    <w:rsid w:val="00035DE1"/>
    <w:rsid w:val="00035F7F"/>
    <w:rsid w:val="000362C9"/>
    <w:rsid w:val="00036453"/>
    <w:rsid w:val="000366E1"/>
    <w:rsid w:val="00036CD0"/>
    <w:rsid w:val="0003794F"/>
    <w:rsid w:val="000401AC"/>
    <w:rsid w:val="00040816"/>
    <w:rsid w:val="00040BC7"/>
    <w:rsid w:val="00041E17"/>
    <w:rsid w:val="000421E2"/>
    <w:rsid w:val="000423D3"/>
    <w:rsid w:val="00042AF4"/>
    <w:rsid w:val="000432B0"/>
    <w:rsid w:val="00043394"/>
    <w:rsid w:val="00043A00"/>
    <w:rsid w:val="00043B3E"/>
    <w:rsid w:val="00044039"/>
    <w:rsid w:val="00044112"/>
    <w:rsid w:val="00044604"/>
    <w:rsid w:val="00044A92"/>
    <w:rsid w:val="00044C4F"/>
    <w:rsid w:val="00045C7F"/>
    <w:rsid w:val="00045D2E"/>
    <w:rsid w:val="00045EBA"/>
    <w:rsid w:val="000461BC"/>
    <w:rsid w:val="00046BA4"/>
    <w:rsid w:val="00046F6F"/>
    <w:rsid w:val="00047580"/>
    <w:rsid w:val="00047EA0"/>
    <w:rsid w:val="00047EB5"/>
    <w:rsid w:val="0005009C"/>
    <w:rsid w:val="00050109"/>
    <w:rsid w:val="00050DE5"/>
    <w:rsid w:val="00051992"/>
    <w:rsid w:val="00051B47"/>
    <w:rsid w:val="00051B65"/>
    <w:rsid w:val="000520AA"/>
    <w:rsid w:val="00052146"/>
    <w:rsid w:val="00052762"/>
    <w:rsid w:val="00053022"/>
    <w:rsid w:val="0005441C"/>
    <w:rsid w:val="0005470F"/>
    <w:rsid w:val="000549C1"/>
    <w:rsid w:val="00055908"/>
    <w:rsid w:val="00056A25"/>
    <w:rsid w:val="00057798"/>
    <w:rsid w:val="00060E80"/>
    <w:rsid w:val="000618FC"/>
    <w:rsid w:val="00061F7E"/>
    <w:rsid w:val="00062846"/>
    <w:rsid w:val="00062EA2"/>
    <w:rsid w:val="00064659"/>
    <w:rsid w:val="00064778"/>
    <w:rsid w:val="000648C0"/>
    <w:rsid w:val="00064D0B"/>
    <w:rsid w:val="000650F7"/>
    <w:rsid w:val="0006534D"/>
    <w:rsid w:val="000656A6"/>
    <w:rsid w:val="000659A4"/>
    <w:rsid w:val="00065A01"/>
    <w:rsid w:val="00066644"/>
    <w:rsid w:val="00067359"/>
    <w:rsid w:val="000714A5"/>
    <w:rsid w:val="00071536"/>
    <w:rsid w:val="00071699"/>
    <w:rsid w:val="00072C30"/>
    <w:rsid w:val="0007310C"/>
    <w:rsid w:val="00073FBF"/>
    <w:rsid w:val="0007401A"/>
    <w:rsid w:val="00074656"/>
    <w:rsid w:val="0007487D"/>
    <w:rsid w:val="00074D42"/>
    <w:rsid w:val="0007518E"/>
    <w:rsid w:val="000751A5"/>
    <w:rsid w:val="00075466"/>
    <w:rsid w:val="000759E6"/>
    <w:rsid w:val="0007668B"/>
    <w:rsid w:val="000766FC"/>
    <w:rsid w:val="00076E22"/>
    <w:rsid w:val="000771C1"/>
    <w:rsid w:val="000771FF"/>
    <w:rsid w:val="00077C54"/>
    <w:rsid w:val="00080AC4"/>
    <w:rsid w:val="00080BA2"/>
    <w:rsid w:val="00081468"/>
    <w:rsid w:val="00081AEA"/>
    <w:rsid w:val="000820F9"/>
    <w:rsid w:val="0008256E"/>
    <w:rsid w:val="000831A4"/>
    <w:rsid w:val="00083A5C"/>
    <w:rsid w:val="00083D53"/>
    <w:rsid w:val="00084027"/>
    <w:rsid w:val="000841D4"/>
    <w:rsid w:val="000841D8"/>
    <w:rsid w:val="00084868"/>
    <w:rsid w:val="00084BFB"/>
    <w:rsid w:val="00084DB0"/>
    <w:rsid w:val="0008552A"/>
    <w:rsid w:val="00085DDC"/>
    <w:rsid w:val="000870A4"/>
    <w:rsid w:val="0008751A"/>
    <w:rsid w:val="000877F3"/>
    <w:rsid w:val="00090170"/>
    <w:rsid w:val="00090267"/>
    <w:rsid w:val="00090B81"/>
    <w:rsid w:val="0009217A"/>
    <w:rsid w:val="00092836"/>
    <w:rsid w:val="00092A18"/>
    <w:rsid w:val="00092AC7"/>
    <w:rsid w:val="00093399"/>
    <w:rsid w:val="00093A21"/>
    <w:rsid w:val="00093A8C"/>
    <w:rsid w:val="0009429E"/>
    <w:rsid w:val="00094888"/>
    <w:rsid w:val="00095C70"/>
    <w:rsid w:val="00095D49"/>
    <w:rsid w:val="00096534"/>
    <w:rsid w:val="000A0043"/>
    <w:rsid w:val="000A07B9"/>
    <w:rsid w:val="000A0B64"/>
    <w:rsid w:val="000A16EC"/>
    <w:rsid w:val="000A31C7"/>
    <w:rsid w:val="000A3D80"/>
    <w:rsid w:val="000A4EC7"/>
    <w:rsid w:val="000A5339"/>
    <w:rsid w:val="000A5724"/>
    <w:rsid w:val="000A57FA"/>
    <w:rsid w:val="000A5A85"/>
    <w:rsid w:val="000A6055"/>
    <w:rsid w:val="000A65B7"/>
    <w:rsid w:val="000A681F"/>
    <w:rsid w:val="000A6C41"/>
    <w:rsid w:val="000A6C75"/>
    <w:rsid w:val="000A7C5C"/>
    <w:rsid w:val="000B0172"/>
    <w:rsid w:val="000B0297"/>
    <w:rsid w:val="000B0680"/>
    <w:rsid w:val="000B11ED"/>
    <w:rsid w:val="000B169A"/>
    <w:rsid w:val="000B19D1"/>
    <w:rsid w:val="000B2C16"/>
    <w:rsid w:val="000B3383"/>
    <w:rsid w:val="000B3604"/>
    <w:rsid w:val="000B397F"/>
    <w:rsid w:val="000B4013"/>
    <w:rsid w:val="000B411D"/>
    <w:rsid w:val="000B45CC"/>
    <w:rsid w:val="000B4EFE"/>
    <w:rsid w:val="000B5B13"/>
    <w:rsid w:val="000B5E63"/>
    <w:rsid w:val="000B61F7"/>
    <w:rsid w:val="000B630D"/>
    <w:rsid w:val="000B67FF"/>
    <w:rsid w:val="000B7FD5"/>
    <w:rsid w:val="000C0301"/>
    <w:rsid w:val="000C0631"/>
    <w:rsid w:val="000C0BFE"/>
    <w:rsid w:val="000C0EB7"/>
    <w:rsid w:val="000C1588"/>
    <w:rsid w:val="000C15E4"/>
    <w:rsid w:val="000C2471"/>
    <w:rsid w:val="000C24D0"/>
    <w:rsid w:val="000C279A"/>
    <w:rsid w:val="000C2E06"/>
    <w:rsid w:val="000C3055"/>
    <w:rsid w:val="000C4116"/>
    <w:rsid w:val="000C41A0"/>
    <w:rsid w:val="000C4702"/>
    <w:rsid w:val="000C49C2"/>
    <w:rsid w:val="000C5323"/>
    <w:rsid w:val="000C55F2"/>
    <w:rsid w:val="000C58BF"/>
    <w:rsid w:val="000C58D1"/>
    <w:rsid w:val="000C5D53"/>
    <w:rsid w:val="000C6415"/>
    <w:rsid w:val="000C6467"/>
    <w:rsid w:val="000C760C"/>
    <w:rsid w:val="000D02C5"/>
    <w:rsid w:val="000D10AB"/>
    <w:rsid w:val="000D118C"/>
    <w:rsid w:val="000D1794"/>
    <w:rsid w:val="000D2BFC"/>
    <w:rsid w:val="000D2E18"/>
    <w:rsid w:val="000D39F3"/>
    <w:rsid w:val="000D3B9C"/>
    <w:rsid w:val="000D44F3"/>
    <w:rsid w:val="000D46DA"/>
    <w:rsid w:val="000D4890"/>
    <w:rsid w:val="000D4899"/>
    <w:rsid w:val="000D4965"/>
    <w:rsid w:val="000D499A"/>
    <w:rsid w:val="000D4A17"/>
    <w:rsid w:val="000D4E9B"/>
    <w:rsid w:val="000D57FD"/>
    <w:rsid w:val="000D60A5"/>
    <w:rsid w:val="000D65D3"/>
    <w:rsid w:val="000D6688"/>
    <w:rsid w:val="000D6DFB"/>
    <w:rsid w:val="000D6F12"/>
    <w:rsid w:val="000D760C"/>
    <w:rsid w:val="000E1F10"/>
    <w:rsid w:val="000E2601"/>
    <w:rsid w:val="000E2F08"/>
    <w:rsid w:val="000E3268"/>
    <w:rsid w:val="000E3507"/>
    <w:rsid w:val="000E397B"/>
    <w:rsid w:val="000E3C64"/>
    <w:rsid w:val="000E4907"/>
    <w:rsid w:val="000E52C2"/>
    <w:rsid w:val="000E696B"/>
    <w:rsid w:val="000E6A3C"/>
    <w:rsid w:val="000E6C8F"/>
    <w:rsid w:val="000E6D26"/>
    <w:rsid w:val="000E6FDF"/>
    <w:rsid w:val="000E6FFA"/>
    <w:rsid w:val="000E79F2"/>
    <w:rsid w:val="000E7C0A"/>
    <w:rsid w:val="000F0DCE"/>
    <w:rsid w:val="000F18BB"/>
    <w:rsid w:val="000F18C1"/>
    <w:rsid w:val="000F1AEE"/>
    <w:rsid w:val="000F1DE2"/>
    <w:rsid w:val="000F228B"/>
    <w:rsid w:val="000F2B0C"/>
    <w:rsid w:val="000F2DE7"/>
    <w:rsid w:val="000F38F8"/>
    <w:rsid w:val="000F47B8"/>
    <w:rsid w:val="000F4929"/>
    <w:rsid w:val="000F537E"/>
    <w:rsid w:val="000F53EE"/>
    <w:rsid w:val="000F57DF"/>
    <w:rsid w:val="000F5F58"/>
    <w:rsid w:val="000F641D"/>
    <w:rsid w:val="000F6F5C"/>
    <w:rsid w:val="000F76F6"/>
    <w:rsid w:val="00100808"/>
    <w:rsid w:val="0010167C"/>
    <w:rsid w:val="0010174C"/>
    <w:rsid w:val="00101B07"/>
    <w:rsid w:val="00101EBA"/>
    <w:rsid w:val="00102572"/>
    <w:rsid w:val="00102B24"/>
    <w:rsid w:val="00102E06"/>
    <w:rsid w:val="00102E18"/>
    <w:rsid w:val="00103266"/>
    <w:rsid w:val="00103381"/>
    <w:rsid w:val="001040D8"/>
    <w:rsid w:val="001041AD"/>
    <w:rsid w:val="00104582"/>
    <w:rsid w:val="00104AD6"/>
    <w:rsid w:val="00105197"/>
    <w:rsid w:val="00105439"/>
    <w:rsid w:val="001054AB"/>
    <w:rsid w:val="00105DF6"/>
    <w:rsid w:val="00106C3C"/>
    <w:rsid w:val="00106DE3"/>
    <w:rsid w:val="00106E1F"/>
    <w:rsid w:val="0010717D"/>
    <w:rsid w:val="001073D1"/>
    <w:rsid w:val="00107482"/>
    <w:rsid w:val="00107BE5"/>
    <w:rsid w:val="00107BEB"/>
    <w:rsid w:val="00110057"/>
    <w:rsid w:val="00110305"/>
    <w:rsid w:val="001112EA"/>
    <w:rsid w:val="00111670"/>
    <w:rsid w:val="00111990"/>
    <w:rsid w:val="00111ABC"/>
    <w:rsid w:val="001125CC"/>
    <w:rsid w:val="0011338B"/>
    <w:rsid w:val="0011339C"/>
    <w:rsid w:val="00113825"/>
    <w:rsid w:val="001147E8"/>
    <w:rsid w:val="00114D14"/>
    <w:rsid w:val="00115E0B"/>
    <w:rsid w:val="00120511"/>
    <w:rsid w:val="00120721"/>
    <w:rsid w:val="00120BB2"/>
    <w:rsid w:val="00120D30"/>
    <w:rsid w:val="00120F6F"/>
    <w:rsid w:val="001212CB"/>
    <w:rsid w:val="00121612"/>
    <w:rsid w:val="00121A55"/>
    <w:rsid w:val="00121F4E"/>
    <w:rsid w:val="001220B1"/>
    <w:rsid w:val="00122B21"/>
    <w:rsid w:val="00122E43"/>
    <w:rsid w:val="00122EF4"/>
    <w:rsid w:val="00123580"/>
    <w:rsid w:val="001243E3"/>
    <w:rsid w:val="00124770"/>
    <w:rsid w:val="00124B45"/>
    <w:rsid w:val="00125738"/>
    <w:rsid w:val="00125F1F"/>
    <w:rsid w:val="00125FA8"/>
    <w:rsid w:val="001267D8"/>
    <w:rsid w:val="0013032D"/>
    <w:rsid w:val="001313DA"/>
    <w:rsid w:val="00131A88"/>
    <w:rsid w:val="00131B57"/>
    <w:rsid w:val="00131E90"/>
    <w:rsid w:val="0013232F"/>
    <w:rsid w:val="001325B3"/>
    <w:rsid w:val="00132EAC"/>
    <w:rsid w:val="00133646"/>
    <w:rsid w:val="00133ADF"/>
    <w:rsid w:val="00134537"/>
    <w:rsid w:val="001349BA"/>
    <w:rsid w:val="00134E70"/>
    <w:rsid w:val="00134FB5"/>
    <w:rsid w:val="00135C72"/>
    <w:rsid w:val="00136733"/>
    <w:rsid w:val="0013748E"/>
    <w:rsid w:val="00137BA3"/>
    <w:rsid w:val="00137DB4"/>
    <w:rsid w:val="001409B8"/>
    <w:rsid w:val="00140BDB"/>
    <w:rsid w:val="00141125"/>
    <w:rsid w:val="00141417"/>
    <w:rsid w:val="0014187D"/>
    <w:rsid w:val="001418E2"/>
    <w:rsid w:val="001425F4"/>
    <w:rsid w:val="00142613"/>
    <w:rsid w:val="00142760"/>
    <w:rsid w:val="00143758"/>
    <w:rsid w:val="00143AF4"/>
    <w:rsid w:val="00143BC2"/>
    <w:rsid w:val="00143D37"/>
    <w:rsid w:val="00144091"/>
    <w:rsid w:val="00144E17"/>
    <w:rsid w:val="00144F43"/>
    <w:rsid w:val="00146179"/>
    <w:rsid w:val="001464C8"/>
    <w:rsid w:val="00146699"/>
    <w:rsid w:val="00146A2C"/>
    <w:rsid w:val="00146ACF"/>
    <w:rsid w:val="00146DC4"/>
    <w:rsid w:val="00147A6D"/>
    <w:rsid w:val="00150A43"/>
    <w:rsid w:val="0015194D"/>
    <w:rsid w:val="001527A2"/>
    <w:rsid w:val="001531B2"/>
    <w:rsid w:val="0015397C"/>
    <w:rsid w:val="00154D03"/>
    <w:rsid w:val="0015519E"/>
    <w:rsid w:val="00155977"/>
    <w:rsid w:val="00155DF6"/>
    <w:rsid w:val="00155F34"/>
    <w:rsid w:val="00156425"/>
    <w:rsid w:val="001565E4"/>
    <w:rsid w:val="00156C6C"/>
    <w:rsid w:val="00156FF2"/>
    <w:rsid w:val="001570C7"/>
    <w:rsid w:val="00157A19"/>
    <w:rsid w:val="00157F7F"/>
    <w:rsid w:val="00157F93"/>
    <w:rsid w:val="001602DE"/>
    <w:rsid w:val="00160681"/>
    <w:rsid w:val="00160B0D"/>
    <w:rsid w:val="00160B64"/>
    <w:rsid w:val="00161D42"/>
    <w:rsid w:val="0016229E"/>
    <w:rsid w:val="0016247F"/>
    <w:rsid w:val="0016304F"/>
    <w:rsid w:val="00163838"/>
    <w:rsid w:val="00163EB4"/>
    <w:rsid w:val="00164559"/>
    <w:rsid w:val="00164C3F"/>
    <w:rsid w:val="00164CD2"/>
    <w:rsid w:val="0016543B"/>
    <w:rsid w:val="00165B58"/>
    <w:rsid w:val="00166B7D"/>
    <w:rsid w:val="00166DEF"/>
    <w:rsid w:val="001700AD"/>
    <w:rsid w:val="001727B0"/>
    <w:rsid w:val="0017286B"/>
    <w:rsid w:val="00172A27"/>
    <w:rsid w:val="00173546"/>
    <w:rsid w:val="00173F5B"/>
    <w:rsid w:val="0017432D"/>
    <w:rsid w:val="00174489"/>
    <w:rsid w:val="0017571A"/>
    <w:rsid w:val="00176066"/>
    <w:rsid w:val="00176A60"/>
    <w:rsid w:val="00176CF5"/>
    <w:rsid w:val="00176F1C"/>
    <w:rsid w:val="00177166"/>
    <w:rsid w:val="001778F0"/>
    <w:rsid w:val="00177990"/>
    <w:rsid w:val="00177BD1"/>
    <w:rsid w:val="00180D44"/>
    <w:rsid w:val="00180E0C"/>
    <w:rsid w:val="00181794"/>
    <w:rsid w:val="00181F10"/>
    <w:rsid w:val="00181F41"/>
    <w:rsid w:val="00182677"/>
    <w:rsid w:val="001836DF"/>
    <w:rsid w:val="00183D08"/>
    <w:rsid w:val="00183ECA"/>
    <w:rsid w:val="00184E79"/>
    <w:rsid w:val="001851B0"/>
    <w:rsid w:val="001853E7"/>
    <w:rsid w:val="001856C3"/>
    <w:rsid w:val="00185795"/>
    <w:rsid w:val="00186C7C"/>
    <w:rsid w:val="00187912"/>
    <w:rsid w:val="00190005"/>
    <w:rsid w:val="00190385"/>
    <w:rsid w:val="00190665"/>
    <w:rsid w:val="0019090F"/>
    <w:rsid w:val="00190B6B"/>
    <w:rsid w:val="00191016"/>
    <w:rsid w:val="0019110F"/>
    <w:rsid w:val="00191230"/>
    <w:rsid w:val="00191605"/>
    <w:rsid w:val="00192795"/>
    <w:rsid w:val="00192AB6"/>
    <w:rsid w:val="00193401"/>
    <w:rsid w:val="00193898"/>
    <w:rsid w:val="00193E34"/>
    <w:rsid w:val="00194FE5"/>
    <w:rsid w:val="00195996"/>
    <w:rsid w:val="001971E2"/>
    <w:rsid w:val="001978E6"/>
    <w:rsid w:val="00197A2D"/>
    <w:rsid w:val="00197E65"/>
    <w:rsid w:val="001A0ABA"/>
    <w:rsid w:val="001A1244"/>
    <w:rsid w:val="001A1CBB"/>
    <w:rsid w:val="001A22D0"/>
    <w:rsid w:val="001A23B6"/>
    <w:rsid w:val="001A2EF3"/>
    <w:rsid w:val="001A2F0E"/>
    <w:rsid w:val="001A2F35"/>
    <w:rsid w:val="001A3564"/>
    <w:rsid w:val="001A36C2"/>
    <w:rsid w:val="001A39CE"/>
    <w:rsid w:val="001A4250"/>
    <w:rsid w:val="001A4923"/>
    <w:rsid w:val="001A4A2E"/>
    <w:rsid w:val="001A5138"/>
    <w:rsid w:val="001A518D"/>
    <w:rsid w:val="001A582C"/>
    <w:rsid w:val="001A59E6"/>
    <w:rsid w:val="001A5AF9"/>
    <w:rsid w:val="001A5B8F"/>
    <w:rsid w:val="001A5C63"/>
    <w:rsid w:val="001A66B8"/>
    <w:rsid w:val="001A723A"/>
    <w:rsid w:val="001A7390"/>
    <w:rsid w:val="001A77F5"/>
    <w:rsid w:val="001A79C4"/>
    <w:rsid w:val="001B06F3"/>
    <w:rsid w:val="001B0C39"/>
    <w:rsid w:val="001B1D19"/>
    <w:rsid w:val="001B2237"/>
    <w:rsid w:val="001B254F"/>
    <w:rsid w:val="001B311A"/>
    <w:rsid w:val="001B31B5"/>
    <w:rsid w:val="001B33E8"/>
    <w:rsid w:val="001B3509"/>
    <w:rsid w:val="001B3EC8"/>
    <w:rsid w:val="001B4BCB"/>
    <w:rsid w:val="001B4BD0"/>
    <w:rsid w:val="001B52D3"/>
    <w:rsid w:val="001B5651"/>
    <w:rsid w:val="001B565A"/>
    <w:rsid w:val="001B63D8"/>
    <w:rsid w:val="001B6448"/>
    <w:rsid w:val="001B6684"/>
    <w:rsid w:val="001C1169"/>
    <w:rsid w:val="001C1556"/>
    <w:rsid w:val="001C1716"/>
    <w:rsid w:val="001C17B5"/>
    <w:rsid w:val="001C1E01"/>
    <w:rsid w:val="001C382E"/>
    <w:rsid w:val="001C3A02"/>
    <w:rsid w:val="001C41C6"/>
    <w:rsid w:val="001C5007"/>
    <w:rsid w:val="001C518D"/>
    <w:rsid w:val="001C5341"/>
    <w:rsid w:val="001C5550"/>
    <w:rsid w:val="001C576A"/>
    <w:rsid w:val="001C58AE"/>
    <w:rsid w:val="001C5997"/>
    <w:rsid w:val="001C5C1B"/>
    <w:rsid w:val="001C5DA9"/>
    <w:rsid w:val="001C5F11"/>
    <w:rsid w:val="001C6EAF"/>
    <w:rsid w:val="001C758B"/>
    <w:rsid w:val="001C7DC0"/>
    <w:rsid w:val="001C7E4C"/>
    <w:rsid w:val="001D0389"/>
    <w:rsid w:val="001D2174"/>
    <w:rsid w:val="001D3EC4"/>
    <w:rsid w:val="001D47A3"/>
    <w:rsid w:val="001D5753"/>
    <w:rsid w:val="001D64BB"/>
    <w:rsid w:val="001D6529"/>
    <w:rsid w:val="001D675E"/>
    <w:rsid w:val="001D6E9B"/>
    <w:rsid w:val="001D70DB"/>
    <w:rsid w:val="001D7C5D"/>
    <w:rsid w:val="001D7D78"/>
    <w:rsid w:val="001E1FD0"/>
    <w:rsid w:val="001E2657"/>
    <w:rsid w:val="001E3B88"/>
    <w:rsid w:val="001E4529"/>
    <w:rsid w:val="001E72FD"/>
    <w:rsid w:val="001E73C8"/>
    <w:rsid w:val="001F045B"/>
    <w:rsid w:val="001F0D7C"/>
    <w:rsid w:val="001F1241"/>
    <w:rsid w:val="001F1E22"/>
    <w:rsid w:val="001F2428"/>
    <w:rsid w:val="001F2A69"/>
    <w:rsid w:val="001F3953"/>
    <w:rsid w:val="001F3BC3"/>
    <w:rsid w:val="001F43BC"/>
    <w:rsid w:val="001F444D"/>
    <w:rsid w:val="001F44A5"/>
    <w:rsid w:val="001F5433"/>
    <w:rsid w:val="001F5B9D"/>
    <w:rsid w:val="001F5EC6"/>
    <w:rsid w:val="001F6383"/>
    <w:rsid w:val="001F64BC"/>
    <w:rsid w:val="001F6D82"/>
    <w:rsid w:val="001F6E77"/>
    <w:rsid w:val="001F7464"/>
    <w:rsid w:val="001F785A"/>
    <w:rsid w:val="001F78BC"/>
    <w:rsid w:val="001F7996"/>
    <w:rsid w:val="001F7C30"/>
    <w:rsid w:val="00200CEE"/>
    <w:rsid w:val="00202603"/>
    <w:rsid w:val="00202682"/>
    <w:rsid w:val="002027A3"/>
    <w:rsid w:val="00202C9F"/>
    <w:rsid w:val="00202D3F"/>
    <w:rsid w:val="0020317A"/>
    <w:rsid w:val="0020347B"/>
    <w:rsid w:val="00203685"/>
    <w:rsid w:val="00203A4A"/>
    <w:rsid w:val="00204F86"/>
    <w:rsid w:val="0020558D"/>
    <w:rsid w:val="00205856"/>
    <w:rsid w:val="00205BF3"/>
    <w:rsid w:val="00206442"/>
    <w:rsid w:val="00206C03"/>
    <w:rsid w:val="00206F02"/>
    <w:rsid w:val="00206F72"/>
    <w:rsid w:val="0020760D"/>
    <w:rsid w:val="0020764E"/>
    <w:rsid w:val="00207692"/>
    <w:rsid w:val="00207865"/>
    <w:rsid w:val="002079C7"/>
    <w:rsid w:val="002103BE"/>
    <w:rsid w:val="002110A6"/>
    <w:rsid w:val="00211874"/>
    <w:rsid w:val="00211DAF"/>
    <w:rsid w:val="00212C52"/>
    <w:rsid w:val="00212E83"/>
    <w:rsid w:val="00213C69"/>
    <w:rsid w:val="00213D8D"/>
    <w:rsid w:val="00213EFB"/>
    <w:rsid w:val="002149F8"/>
    <w:rsid w:val="00214A06"/>
    <w:rsid w:val="00214B45"/>
    <w:rsid w:val="002152FC"/>
    <w:rsid w:val="002156E2"/>
    <w:rsid w:val="00215857"/>
    <w:rsid w:val="002161D5"/>
    <w:rsid w:val="00216456"/>
    <w:rsid w:val="0021710C"/>
    <w:rsid w:val="00217129"/>
    <w:rsid w:val="00217373"/>
    <w:rsid w:val="00217B7E"/>
    <w:rsid w:val="00217C68"/>
    <w:rsid w:val="00217F25"/>
    <w:rsid w:val="002201EB"/>
    <w:rsid w:val="002206E7"/>
    <w:rsid w:val="00221F90"/>
    <w:rsid w:val="00223274"/>
    <w:rsid w:val="002233A2"/>
    <w:rsid w:val="00223718"/>
    <w:rsid w:val="00223FAD"/>
    <w:rsid w:val="0022422A"/>
    <w:rsid w:val="002246A9"/>
    <w:rsid w:val="002254B3"/>
    <w:rsid w:val="00225948"/>
    <w:rsid w:val="00226055"/>
    <w:rsid w:val="002262F3"/>
    <w:rsid w:val="0022662B"/>
    <w:rsid w:val="0022752D"/>
    <w:rsid w:val="002275EA"/>
    <w:rsid w:val="00230119"/>
    <w:rsid w:val="00231B94"/>
    <w:rsid w:val="002323B9"/>
    <w:rsid w:val="00232672"/>
    <w:rsid w:val="00233493"/>
    <w:rsid w:val="00233D0B"/>
    <w:rsid w:val="00233D90"/>
    <w:rsid w:val="00234957"/>
    <w:rsid w:val="002352A4"/>
    <w:rsid w:val="002354AB"/>
    <w:rsid w:val="00235595"/>
    <w:rsid w:val="00235639"/>
    <w:rsid w:val="00236111"/>
    <w:rsid w:val="00237933"/>
    <w:rsid w:val="002379DB"/>
    <w:rsid w:val="002404A5"/>
    <w:rsid w:val="002418C6"/>
    <w:rsid w:val="00241ECB"/>
    <w:rsid w:val="002420F5"/>
    <w:rsid w:val="002421FD"/>
    <w:rsid w:val="0024277E"/>
    <w:rsid w:val="00243070"/>
    <w:rsid w:val="002431E0"/>
    <w:rsid w:val="002433D2"/>
    <w:rsid w:val="002433D3"/>
    <w:rsid w:val="0024349E"/>
    <w:rsid w:val="00243814"/>
    <w:rsid w:val="00243D88"/>
    <w:rsid w:val="0024449D"/>
    <w:rsid w:val="00244841"/>
    <w:rsid w:val="00244F64"/>
    <w:rsid w:val="00245010"/>
    <w:rsid w:val="0024544E"/>
    <w:rsid w:val="002456FE"/>
    <w:rsid w:val="0024673A"/>
    <w:rsid w:val="00246747"/>
    <w:rsid w:val="002472C2"/>
    <w:rsid w:val="002478B2"/>
    <w:rsid w:val="00247B2C"/>
    <w:rsid w:val="002502ED"/>
    <w:rsid w:val="00251745"/>
    <w:rsid w:val="002519A7"/>
    <w:rsid w:val="00251D70"/>
    <w:rsid w:val="00251F32"/>
    <w:rsid w:val="00252795"/>
    <w:rsid w:val="00252AA2"/>
    <w:rsid w:val="00252E76"/>
    <w:rsid w:val="002533AB"/>
    <w:rsid w:val="00253947"/>
    <w:rsid w:val="00253975"/>
    <w:rsid w:val="00253AC2"/>
    <w:rsid w:val="00253CE4"/>
    <w:rsid w:val="00254C35"/>
    <w:rsid w:val="0025500C"/>
    <w:rsid w:val="002551A0"/>
    <w:rsid w:val="00255ABA"/>
    <w:rsid w:val="00255E72"/>
    <w:rsid w:val="00256BD4"/>
    <w:rsid w:val="00257111"/>
    <w:rsid w:val="00257AB6"/>
    <w:rsid w:val="00257B2C"/>
    <w:rsid w:val="00257E53"/>
    <w:rsid w:val="00260FE6"/>
    <w:rsid w:val="002613C9"/>
    <w:rsid w:val="00261905"/>
    <w:rsid w:val="00261F61"/>
    <w:rsid w:val="00262221"/>
    <w:rsid w:val="0026251B"/>
    <w:rsid w:val="002629B7"/>
    <w:rsid w:val="0026327D"/>
    <w:rsid w:val="00263608"/>
    <w:rsid w:val="00263B0A"/>
    <w:rsid w:val="00263D51"/>
    <w:rsid w:val="002641AE"/>
    <w:rsid w:val="0026465A"/>
    <w:rsid w:val="00264A0E"/>
    <w:rsid w:val="00264B7E"/>
    <w:rsid w:val="00265B4F"/>
    <w:rsid w:val="00265ECA"/>
    <w:rsid w:val="00266B48"/>
    <w:rsid w:val="00266C18"/>
    <w:rsid w:val="00266C93"/>
    <w:rsid w:val="00267076"/>
    <w:rsid w:val="002673D9"/>
    <w:rsid w:val="00267424"/>
    <w:rsid w:val="00267AA4"/>
    <w:rsid w:val="00267E20"/>
    <w:rsid w:val="00270057"/>
    <w:rsid w:val="0027098C"/>
    <w:rsid w:val="00270DE2"/>
    <w:rsid w:val="00271200"/>
    <w:rsid w:val="00271653"/>
    <w:rsid w:val="0027259F"/>
    <w:rsid w:val="002727D0"/>
    <w:rsid w:val="00272B46"/>
    <w:rsid w:val="00272DC8"/>
    <w:rsid w:val="00272F6E"/>
    <w:rsid w:val="00273F6B"/>
    <w:rsid w:val="00273F90"/>
    <w:rsid w:val="00274517"/>
    <w:rsid w:val="00274960"/>
    <w:rsid w:val="00274CC9"/>
    <w:rsid w:val="00275018"/>
    <w:rsid w:val="002751CA"/>
    <w:rsid w:val="0027524B"/>
    <w:rsid w:val="00275257"/>
    <w:rsid w:val="00275589"/>
    <w:rsid w:val="00275A03"/>
    <w:rsid w:val="0027654B"/>
    <w:rsid w:val="00277373"/>
    <w:rsid w:val="00281179"/>
    <w:rsid w:val="0028168C"/>
    <w:rsid w:val="002819B0"/>
    <w:rsid w:val="00282768"/>
    <w:rsid w:val="002830B3"/>
    <w:rsid w:val="00283BCF"/>
    <w:rsid w:val="00284094"/>
    <w:rsid w:val="00284A81"/>
    <w:rsid w:val="00284FAC"/>
    <w:rsid w:val="00285230"/>
    <w:rsid w:val="00285A2F"/>
    <w:rsid w:val="00285E44"/>
    <w:rsid w:val="00286139"/>
    <w:rsid w:val="00286189"/>
    <w:rsid w:val="00286E44"/>
    <w:rsid w:val="0028721A"/>
    <w:rsid w:val="002875BA"/>
    <w:rsid w:val="002876A6"/>
    <w:rsid w:val="0028779D"/>
    <w:rsid w:val="002900E5"/>
    <w:rsid w:val="00290C94"/>
    <w:rsid w:val="0029123D"/>
    <w:rsid w:val="0029170E"/>
    <w:rsid w:val="002917E2"/>
    <w:rsid w:val="00291E47"/>
    <w:rsid w:val="002937F7"/>
    <w:rsid w:val="00293C9B"/>
    <w:rsid w:val="002959FB"/>
    <w:rsid w:val="00295C22"/>
    <w:rsid w:val="00295DEB"/>
    <w:rsid w:val="00295E58"/>
    <w:rsid w:val="00295EA3"/>
    <w:rsid w:val="0029619E"/>
    <w:rsid w:val="00296934"/>
    <w:rsid w:val="002971D1"/>
    <w:rsid w:val="00297AC7"/>
    <w:rsid w:val="00297F82"/>
    <w:rsid w:val="002A0849"/>
    <w:rsid w:val="002A12A0"/>
    <w:rsid w:val="002A18ED"/>
    <w:rsid w:val="002A2EE4"/>
    <w:rsid w:val="002A2F3B"/>
    <w:rsid w:val="002A3614"/>
    <w:rsid w:val="002A364D"/>
    <w:rsid w:val="002A376F"/>
    <w:rsid w:val="002A3C87"/>
    <w:rsid w:val="002A49C7"/>
    <w:rsid w:val="002A4A54"/>
    <w:rsid w:val="002A546F"/>
    <w:rsid w:val="002A58FB"/>
    <w:rsid w:val="002A5D7C"/>
    <w:rsid w:val="002A6D63"/>
    <w:rsid w:val="002A6E16"/>
    <w:rsid w:val="002A70E8"/>
    <w:rsid w:val="002A741A"/>
    <w:rsid w:val="002A7874"/>
    <w:rsid w:val="002B0828"/>
    <w:rsid w:val="002B085F"/>
    <w:rsid w:val="002B1154"/>
    <w:rsid w:val="002B2238"/>
    <w:rsid w:val="002B2244"/>
    <w:rsid w:val="002B2AB0"/>
    <w:rsid w:val="002B2C06"/>
    <w:rsid w:val="002B2CE1"/>
    <w:rsid w:val="002B2F68"/>
    <w:rsid w:val="002B3342"/>
    <w:rsid w:val="002B4271"/>
    <w:rsid w:val="002B4A20"/>
    <w:rsid w:val="002B5A41"/>
    <w:rsid w:val="002B7432"/>
    <w:rsid w:val="002B7FF7"/>
    <w:rsid w:val="002C0342"/>
    <w:rsid w:val="002C0896"/>
    <w:rsid w:val="002C1124"/>
    <w:rsid w:val="002C1B6E"/>
    <w:rsid w:val="002C1BCB"/>
    <w:rsid w:val="002C2579"/>
    <w:rsid w:val="002C2B8D"/>
    <w:rsid w:val="002C31BA"/>
    <w:rsid w:val="002C3426"/>
    <w:rsid w:val="002C35E6"/>
    <w:rsid w:val="002C3B80"/>
    <w:rsid w:val="002C44FD"/>
    <w:rsid w:val="002C4688"/>
    <w:rsid w:val="002C4EFB"/>
    <w:rsid w:val="002C51CD"/>
    <w:rsid w:val="002C521B"/>
    <w:rsid w:val="002C5450"/>
    <w:rsid w:val="002C557A"/>
    <w:rsid w:val="002C5DAD"/>
    <w:rsid w:val="002C612A"/>
    <w:rsid w:val="002C6404"/>
    <w:rsid w:val="002C653C"/>
    <w:rsid w:val="002C7007"/>
    <w:rsid w:val="002C7E2A"/>
    <w:rsid w:val="002D0C00"/>
    <w:rsid w:val="002D0E75"/>
    <w:rsid w:val="002D0EB8"/>
    <w:rsid w:val="002D113B"/>
    <w:rsid w:val="002D1187"/>
    <w:rsid w:val="002D137B"/>
    <w:rsid w:val="002D1E41"/>
    <w:rsid w:val="002D1FCD"/>
    <w:rsid w:val="002D218B"/>
    <w:rsid w:val="002D287C"/>
    <w:rsid w:val="002D2ADE"/>
    <w:rsid w:val="002D2D36"/>
    <w:rsid w:val="002D2EFB"/>
    <w:rsid w:val="002D308A"/>
    <w:rsid w:val="002D30BA"/>
    <w:rsid w:val="002D35C7"/>
    <w:rsid w:val="002D37D9"/>
    <w:rsid w:val="002D39A4"/>
    <w:rsid w:val="002D42BF"/>
    <w:rsid w:val="002D45D6"/>
    <w:rsid w:val="002D462F"/>
    <w:rsid w:val="002D472D"/>
    <w:rsid w:val="002D4BB7"/>
    <w:rsid w:val="002D4E6F"/>
    <w:rsid w:val="002D5250"/>
    <w:rsid w:val="002D5565"/>
    <w:rsid w:val="002D59B1"/>
    <w:rsid w:val="002D5BFF"/>
    <w:rsid w:val="002D602D"/>
    <w:rsid w:val="002D7E99"/>
    <w:rsid w:val="002E0427"/>
    <w:rsid w:val="002E10C4"/>
    <w:rsid w:val="002E1809"/>
    <w:rsid w:val="002E22CB"/>
    <w:rsid w:val="002E2FC5"/>
    <w:rsid w:val="002E311A"/>
    <w:rsid w:val="002E31B9"/>
    <w:rsid w:val="002E3412"/>
    <w:rsid w:val="002E3B63"/>
    <w:rsid w:val="002E3DC2"/>
    <w:rsid w:val="002E3F8D"/>
    <w:rsid w:val="002E40D8"/>
    <w:rsid w:val="002E48D5"/>
    <w:rsid w:val="002E50E4"/>
    <w:rsid w:val="002E58F7"/>
    <w:rsid w:val="002E6497"/>
    <w:rsid w:val="002E6521"/>
    <w:rsid w:val="002E6D25"/>
    <w:rsid w:val="002E6DAF"/>
    <w:rsid w:val="002E6E03"/>
    <w:rsid w:val="002E6EC0"/>
    <w:rsid w:val="002E70F4"/>
    <w:rsid w:val="002E73EA"/>
    <w:rsid w:val="002E74ED"/>
    <w:rsid w:val="002F0271"/>
    <w:rsid w:val="002F0DD3"/>
    <w:rsid w:val="002F0EC9"/>
    <w:rsid w:val="002F0F22"/>
    <w:rsid w:val="002F119F"/>
    <w:rsid w:val="002F127D"/>
    <w:rsid w:val="002F12F2"/>
    <w:rsid w:val="002F13EC"/>
    <w:rsid w:val="002F19E2"/>
    <w:rsid w:val="002F2049"/>
    <w:rsid w:val="002F211F"/>
    <w:rsid w:val="002F23B5"/>
    <w:rsid w:val="002F249E"/>
    <w:rsid w:val="002F2E3B"/>
    <w:rsid w:val="002F3079"/>
    <w:rsid w:val="002F31E6"/>
    <w:rsid w:val="002F324D"/>
    <w:rsid w:val="002F3843"/>
    <w:rsid w:val="002F41D3"/>
    <w:rsid w:val="002F637A"/>
    <w:rsid w:val="002F720F"/>
    <w:rsid w:val="002F7382"/>
    <w:rsid w:val="002F7B03"/>
    <w:rsid w:val="003006D5"/>
    <w:rsid w:val="00300E94"/>
    <w:rsid w:val="00301586"/>
    <w:rsid w:val="00302215"/>
    <w:rsid w:val="00302AFD"/>
    <w:rsid w:val="00302BF4"/>
    <w:rsid w:val="003036AD"/>
    <w:rsid w:val="0030428F"/>
    <w:rsid w:val="00304572"/>
    <w:rsid w:val="0030509A"/>
    <w:rsid w:val="00305629"/>
    <w:rsid w:val="00305A04"/>
    <w:rsid w:val="00305ADC"/>
    <w:rsid w:val="00306046"/>
    <w:rsid w:val="003060F3"/>
    <w:rsid w:val="0030660B"/>
    <w:rsid w:val="00307996"/>
    <w:rsid w:val="0030799F"/>
    <w:rsid w:val="00310CFB"/>
    <w:rsid w:val="00310D5B"/>
    <w:rsid w:val="00310DA1"/>
    <w:rsid w:val="00311289"/>
    <w:rsid w:val="003112C3"/>
    <w:rsid w:val="0031145F"/>
    <w:rsid w:val="00311ADD"/>
    <w:rsid w:val="0031308F"/>
    <w:rsid w:val="00313415"/>
    <w:rsid w:val="00313A71"/>
    <w:rsid w:val="00313AFE"/>
    <w:rsid w:val="00313FD6"/>
    <w:rsid w:val="00314265"/>
    <w:rsid w:val="003149D0"/>
    <w:rsid w:val="00314E8A"/>
    <w:rsid w:val="00315588"/>
    <w:rsid w:val="00315F9A"/>
    <w:rsid w:val="003161CF"/>
    <w:rsid w:val="003166D4"/>
    <w:rsid w:val="0031706E"/>
    <w:rsid w:val="00317D9E"/>
    <w:rsid w:val="00317EBF"/>
    <w:rsid w:val="00320395"/>
    <w:rsid w:val="00320B22"/>
    <w:rsid w:val="003211FA"/>
    <w:rsid w:val="0032191E"/>
    <w:rsid w:val="003227D6"/>
    <w:rsid w:val="00323C1A"/>
    <w:rsid w:val="00323CAC"/>
    <w:rsid w:val="00323EDC"/>
    <w:rsid w:val="00324062"/>
    <w:rsid w:val="00324FD1"/>
    <w:rsid w:val="0032606A"/>
    <w:rsid w:val="0032622C"/>
    <w:rsid w:val="0032664E"/>
    <w:rsid w:val="003267EC"/>
    <w:rsid w:val="00326A80"/>
    <w:rsid w:val="0032729D"/>
    <w:rsid w:val="0032787E"/>
    <w:rsid w:val="00330DAD"/>
    <w:rsid w:val="00331676"/>
    <w:rsid w:val="0033171F"/>
    <w:rsid w:val="003326E2"/>
    <w:rsid w:val="00332BE8"/>
    <w:rsid w:val="00333279"/>
    <w:rsid w:val="00333579"/>
    <w:rsid w:val="003352DC"/>
    <w:rsid w:val="003358EA"/>
    <w:rsid w:val="00335E6D"/>
    <w:rsid w:val="00335F20"/>
    <w:rsid w:val="00336112"/>
    <w:rsid w:val="0033622E"/>
    <w:rsid w:val="00336248"/>
    <w:rsid w:val="003362A4"/>
    <w:rsid w:val="003369AC"/>
    <w:rsid w:val="00336A16"/>
    <w:rsid w:val="0033759D"/>
    <w:rsid w:val="003414D2"/>
    <w:rsid w:val="003428B8"/>
    <w:rsid w:val="00342A93"/>
    <w:rsid w:val="00343CF1"/>
    <w:rsid w:val="00344986"/>
    <w:rsid w:val="00344C32"/>
    <w:rsid w:val="0034517B"/>
    <w:rsid w:val="003451B9"/>
    <w:rsid w:val="003455FE"/>
    <w:rsid w:val="00345C0C"/>
    <w:rsid w:val="00346B98"/>
    <w:rsid w:val="003477B3"/>
    <w:rsid w:val="003500E1"/>
    <w:rsid w:val="003501DA"/>
    <w:rsid w:val="0035070B"/>
    <w:rsid w:val="00350858"/>
    <w:rsid w:val="00350945"/>
    <w:rsid w:val="00350949"/>
    <w:rsid w:val="00350A22"/>
    <w:rsid w:val="00350D75"/>
    <w:rsid w:val="00350F64"/>
    <w:rsid w:val="003512EC"/>
    <w:rsid w:val="00351805"/>
    <w:rsid w:val="003522E8"/>
    <w:rsid w:val="00352F27"/>
    <w:rsid w:val="00353751"/>
    <w:rsid w:val="00353827"/>
    <w:rsid w:val="00353D86"/>
    <w:rsid w:val="00354851"/>
    <w:rsid w:val="00354AE7"/>
    <w:rsid w:val="00354CE9"/>
    <w:rsid w:val="00355772"/>
    <w:rsid w:val="00355D1F"/>
    <w:rsid w:val="00355F85"/>
    <w:rsid w:val="0035652A"/>
    <w:rsid w:val="00356756"/>
    <w:rsid w:val="00356C98"/>
    <w:rsid w:val="00356F65"/>
    <w:rsid w:val="00357B6F"/>
    <w:rsid w:val="0036055B"/>
    <w:rsid w:val="00360DBB"/>
    <w:rsid w:val="003613A3"/>
    <w:rsid w:val="00361414"/>
    <w:rsid w:val="003616AE"/>
    <w:rsid w:val="0036188F"/>
    <w:rsid w:val="003618A3"/>
    <w:rsid w:val="00361D13"/>
    <w:rsid w:val="00363589"/>
    <w:rsid w:val="003636B6"/>
    <w:rsid w:val="00365000"/>
    <w:rsid w:val="0036534A"/>
    <w:rsid w:val="003653A7"/>
    <w:rsid w:val="0036613B"/>
    <w:rsid w:val="00366904"/>
    <w:rsid w:val="00366EB6"/>
    <w:rsid w:val="003672F4"/>
    <w:rsid w:val="00367BA7"/>
    <w:rsid w:val="00370383"/>
    <w:rsid w:val="00370400"/>
    <w:rsid w:val="00370C6F"/>
    <w:rsid w:val="00370CB1"/>
    <w:rsid w:val="00371545"/>
    <w:rsid w:val="00371711"/>
    <w:rsid w:val="00371BBF"/>
    <w:rsid w:val="00371C72"/>
    <w:rsid w:val="00371CB2"/>
    <w:rsid w:val="0037212D"/>
    <w:rsid w:val="00372265"/>
    <w:rsid w:val="0037228D"/>
    <w:rsid w:val="003722CE"/>
    <w:rsid w:val="00372908"/>
    <w:rsid w:val="00373630"/>
    <w:rsid w:val="00373B9A"/>
    <w:rsid w:val="00373F45"/>
    <w:rsid w:val="003741C3"/>
    <w:rsid w:val="003756F7"/>
    <w:rsid w:val="003763C0"/>
    <w:rsid w:val="00376C34"/>
    <w:rsid w:val="00376FD4"/>
    <w:rsid w:val="00377BCA"/>
    <w:rsid w:val="00380202"/>
    <w:rsid w:val="00380900"/>
    <w:rsid w:val="00381001"/>
    <w:rsid w:val="00381026"/>
    <w:rsid w:val="00381459"/>
    <w:rsid w:val="00381481"/>
    <w:rsid w:val="00381641"/>
    <w:rsid w:val="0038197A"/>
    <w:rsid w:val="00382800"/>
    <w:rsid w:val="00383884"/>
    <w:rsid w:val="00384125"/>
    <w:rsid w:val="0038434C"/>
    <w:rsid w:val="00384839"/>
    <w:rsid w:val="00386125"/>
    <w:rsid w:val="0038670C"/>
    <w:rsid w:val="0038754F"/>
    <w:rsid w:val="003908DF"/>
    <w:rsid w:val="00392469"/>
    <w:rsid w:val="003924F4"/>
    <w:rsid w:val="003929A6"/>
    <w:rsid w:val="00392D0A"/>
    <w:rsid w:val="0039432F"/>
    <w:rsid w:val="0039471F"/>
    <w:rsid w:val="00394CD6"/>
    <w:rsid w:val="00395A20"/>
    <w:rsid w:val="00397357"/>
    <w:rsid w:val="00397A26"/>
    <w:rsid w:val="003A1085"/>
    <w:rsid w:val="003A1348"/>
    <w:rsid w:val="003A1CB0"/>
    <w:rsid w:val="003A24D1"/>
    <w:rsid w:val="003A2A3F"/>
    <w:rsid w:val="003A318F"/>
    <w:rsid w:val="003A347A"/>
    <w:rsid w:val="003A3E80"/>
    <w:rsid w:val="003A406A"/>
    <w:rsid w:val="003A45CE"/>
    <w:rsid w:val="003A496E"/>
    <w:rsid w:val="003A4EE5"/>
    <w:rsid w:val="003A50AF"/>
    <w:rsid w:val="003A5E72"/>
    <w:rsid w:val="003A60A1"/>
    <w:rsid w:val="003A6D06"/>
    <w:rsid w:val="003A6D56"/>
    <w:rsid w:val="003A6FC3"/>
    <w:rsid w:val="003A7025"/>
    <w:rsid w:val="003A7496"/>
    <w:rsid w:val="003B0505"/>
    <w:rsid w:val="003B0678"/>
    <w:rsid w:val="003B10CB"/>
    <w:rsid w:val="003B1143"/>
    <w:rsid w:val="003B1354"/>
    <w:rsid w:val="003B13DD"/>
    <w:rsid w:val="003B1407"/>
    <w:rsid w:val="003B1891"/>
    <w:rsid w:val="003B1EEC"/>
    <w:rsid w:val="003B28EF"/>
    <w:rsid w:val="003B32DC"/>
    <w:rsid w:val="003B34D5"/>
    <w:rsid w:val="003B4295"/>
    <w:rsid w:val="003B4E4D"/>
    <w:rsid w:val="003B639C"/>
    <w:rsid w:val="003B77D1"/>
    <w:rsid w:val="003C0360"/>
    <w:rsid w:val="003C0A07"/>
    <w:rsid w:val="003C1380"/>
    <w:rsid w:val="003C16AB"/>
    <w:rsid w:val="003C18F4"/>
    <w:rsid w:val="003C21C4"/>
    <w:rsid w:val="003C2348"/>
    <w:rsid w:val="003C296D"/>
    <w:rsid w:val="003C2BD2"/>
    <w:rsid w:val="003C350A"/>
    <w:rsid w:val="003C36E7"/>
    <w:rsid w:val="003C42CE"/>
    <w:rsid w:val="003C4317"/>
    <w:rsid w:val="003C4D16"/>
    <w:rsid w:val="003C68F3"/>
    <w:rsid w:val="003C7F23"/>
    <w:rsid w:val="003D085B"/>
    <w:rsid w:val="003D08B5"/>
    <w:rsid w:val="003D0C23"/>
    <w:rsid w:val="003D100E"/>
    <w:rsid w:val="003D168A"/>
    <w:rsid w:val="003D17BB"/>
    <w:rsid w:val="003D1B10"/>
    <w:rsid w:val="003D230B"/>
    <w:rsid w:val="003D231E"/>
    <w:rsid w:val="003D2B4A"/>
    <w:rsid w:val="003D4630"/>
    <w:rsid w:val="003D49BF"/>
    <w:rsid w:val="003D51C5"/>
    <w:rsid w:val="003D52A2"/>
    <w:rsid w:val="003D5F9D"/>
    <w:rsid w:val="003D6063"/>
    <w:rsid w:val="003D61C9"/>
    <w:rsid w:val="003D686B"/>
    <w:rsid w:val="003D6DF0"/>
    <w:rsid w:val="003D71D1"/>
    <w:rsid w:val="003D758B"/>
    <w:rsid w:val="003D768B"/>
    <w:rsid w:val="003E00B1"/>
    <w:rsid w:val="003E01EC"/>
    <w:rsid w:val="003E052E"/>
    <w:rsid w:val="003E064B"/>
    <w:rsid w:val="003E15B6"/>
    <w:rsid w:val="003E3418"/>
    <w:rsid w:val="003E3A96"/>
    <w:rsid w:val="003E3C86"/>
    <w:rsid w:val="003E4158"/>
    <w:rsid w:val="003E4353"/>
    <w:rsid w:val="003E474B"/>
    <w:rsid w:val="003E6540"/>
    <w:rsid w:val="003E664A"/>
    <w:rsid w:val="003E68ED"/>
    <w:rsid w:val="003E724C"/>
    <w:rsid w:val="003E74F2"/>
    <w:rsid w:val="003E7546"/>
    <w:rsid w:val="003E7D5E"/>
    <w:rsid w:val="003F03E4"/>
    <w:rsid w:val="003F0809"/>
    <w:rsid w:val="003F0D4D"/>
    <w:rsid w:val="003F1465"/>
    <w:rsid w:val="003F1466"/>
    <w:rsid w:val="003F1A1E"/>
    <w:rsid w:val="003F2DA4"/>
    <w:rsid w:val="003F44D1"/>
    <w:rsid w:val="003F4CFE"/>
    <w:rsid w:val="003F54D4"/>
    <w:rsid w:val="003F59E6"/>
    <w:rsid w:val="003F6E99"/>
    <w:rsid w:val="003F70A2"/>
    <w:rsid w:val="003F70C9"/>
    <w:rsid w:val="003F7386"/>
    <w:rsid w:val="003F7AB4"/>
    <w:rsid w:val="004001B5"/>
    <w:rsid w:val="00400731"/>
    <w:rsid w:val="004008FD"/>
    <w:rsid w:val="00400B50"/>
    <w:rsid w:val="0040107C"/>
    <w:rsid w:val="00401680"/>
    <w:rsid w:val="00401965"/>
    <w:rsid w:val="004020F7"/>
    <w:rsid w:val="004024A3"/>
    <w:rsid w:val="0040254B"/>
    <w:rsid w:val="0040255F"/>
    <w:rsid w:val="004026A4"/>
    <w:rsid w:val="00403017"/>
    <w:rsid w:val="004032F6"/>
    <w:rsid w:val="004036B4"/>
    <w:rsid w:val="0040375E"/>
    <w:rsid w:val="004048FD"/>
    <w:rsid w:val="00404BDA"/>
    <w:rsid w:val="00404DA7"/>
    <w:rsid w:val="00405392"/>
    <w:rsid w:val="004062EB"/>
    <w:rsid w:val="004064D5"/>
    <w:rsid w:val="0040691B"/>
    <w:rsid w:val="00407645"/>
    <w:rsid w:val="00407DEC"/>
    <w:rsid w:val="00410D44"/>
    <w:rsid w:val="00410F21"/>
    <w:rsid w:val="0041166F"/>
    <w:rsid w:val="00411ED7"/>
    <w:rsid w:val="00411FE6"/>
    <w:rsid w:val="00412015"/>
    <w:rsid w:val="0041268D"/>
    <w:rsid w:val="004130C6"/>
    <w:rsid w:val="0041312F"/>
    <w:rsid w:val="00414CE8"/>
    <w:rsid w:val="00415AC8"/>
    <w:rsid w:val="00416281"/>
    <w:rsid w:val="004167D9"/>
    <w:rsid w:val="00416856"/>
    <w:rsid w:val="00417285"/>
    <w:rsid w:val="00417E20"/>
    <w:rsid w:val="0042011D"/>
    <w:rsid w:val="0042046C"/>
    <w:rsid w:val="00420685"/>
    <w:rsid w:val="004207AD"/>
    <w:rsid w:val="00421273"/>
    <w:rsid w:val="0042132E"/>
    <w:rsid w:val="0042217E"/>
    <w:rsid w:val="00422254"/>
    <w:rsid w:val="004223A9"/>
    <w:rsid w:val="0042252D"/>
    <w:rsid w:val="00422E88"/>
    <w:rsid w:val="00423161"/>
    <w:rsid w:val="0042425B"/>
    <w:rsid w:val="0042484D"/>
    <w:rsid w:val="00424B8A"/>
    <w:rsid w:val="00424C21"/>
    <w:rsid w:val="004255CB"/>
    <w:rsid w:val="00425ADC"/>
    <w:rsid w:val="00425E2B"/>
    <w:rsid w:val="00426AD8"/>
    <w:rsid w:val="00426BAB"/>
    <w:rsid w:val="00426C8B"/>
    <w:rsid w:val="00426E6D"/>
    <w:rsid w:val="00427708"/>
    <w:rsid w:val="00427DD4"/>
    <w:rsid w:val="004305B7"/>
    <w:rsid w:val="00430D23"/>
    <w:rsid w:val="00430D2E"/>
    <w:rsid w:val="0043104B"/>
    <w:rsid w:val="00431B3E"/>
    <w:rsid w:val="004326F8"/>
    <w:rsid w:val="0043291D"/>
    <w:rsid w:val="004333E9"/>
    <w:rsid w:val="0043368C"/>
    <w:rsid w:val="0043371F"/>
    <w:rsid w:val="00433922"/>
    <w:rsid w:val="00433D7B"/>
    <w:rsid w:val="00433F9B"/>
    <w:rsid w:val="00434072"/>
    <w:rsid w:val="004340B0"/>
    <w:rsid w:val="00434A69"/>
    <w:rsid w:val="0043531F"/>
    <w:rsid w:val="00435AC9"/>
    <w:rsid w:val="004377F3"/>
    <w:rsid w:val="004406EF"/>
    <w:rsid w:val="004407D3"/>
    <w:rsid w:val="004407F1"/>
    <w:rsid w:val="00440B9E"/>
    <w:rsid w:val="00442200"/>
    <w:rsid w:val="00442E84"/>
    <w:rsid w:val="004443FF"/>
    <w:rsid w:val="00444C11"/>
    <w:rsid w:val="0044551F"/>
    <w:rsid w:val="0044559E"/>
    <w:rsid w:val="004456F4"/>
    <w:rsid w:val="00446D95"/>
    <w:rsid w:val="0044733C"/>
    <w:rsid w:val="00447369"/>
    <w:rsid w:val="00447C4C"/>
    <w:rsid w:val="00450312"/>
    <w:rsid w:val="0045073B"/>
    <w:rsid w:val="004507F5"/>
    <w:rsid w:val="00450FFE"/>
    <w:rsid w:val="00451CA2"/>
    <w:rsid w:val="0045214B"/>
    <w:rsid w:val="00452C04"/>
    <w:rsid w:val="00452E17"/>
    <w:rsid w:val="00452F85"/>
    <w:rsid w:val="004533F9"/>
    <w:rsid w:val="00453A1C"/>
    <w:rsid w:val="00453ADE"/>
    <w:rsid w:val="004541D7"/>
    <w:rsid w:val="0045562B"/>
    <w:rsid w:val="00455B3E"/>
    <w:rsid w:val="00455CB0"/>
    <w:rsid w:val="0045614A"/>
    <w:rsid w:val="0045655E"/>
    <w:rsid w:val="00456C9E"/>
    <w:rsid w:val="00457F21"/>
    <w:rsid w:val="00460182"/>
    <w:rsid w:val="004601BC"/>
    <w:rsid w:val="004619DA"/>
    <w:rsid w:val="00461B29"/>
    <w:rsid w:val="00461D56"/>
    <w:rsid w:val="00462220"/>
    <w:rsid w:val="004622C9"/>
    <w:rsid w:val="004622D1"/>
    <w:rsid w:val="0046268F"/>
    <w:rsid w:val="004628C0"/>
    <w:rsid w:val="00463602"/>
    <w:rsid w:val="00464B25"/>
    <w:rsid w:val="00464B79"/>
    <w:rsid w:val="004650DB"/>
    <w:rsid w:val="00465175"/>
    <w:rsid w:val="0046611E"/>
    <w:rsid w:val="00466280"/>
    <w:rsid w:val="00466F89"/>
    <w:rsid w:val="004671F9"/>
    <w:rsid w:val="0047028F"/>
    <w:rsid w:val="00470D65"/>
    <w:rsid w:val="00471206"/>
    <w:rsid w:val="00471C99"/>
    <w:rsid w:val="00472240"/>
    <w:rsid w:val="00472850"/>
    <w:rsid w:val="004746F1"/>
    <w:rsid w:val="0047498C"/>
    <w:rsid w:val="00474EBE"/>
    <w:rsid w:val="00474F3D"/>
    <w:rsid w:val="00475126"/>
    <w:rsid w:val="0047655C"/>
    <w:rsid w:val="004765C3"/>
    <w:rsid w:val="00476618"/>
    <w:rsid w:val="00476BD4"/>
    <w:rsid w:val="00477187"/>
    <w:rsid w:val="004775A3"/>
    <w:rsid w:val="00477955"/>
    <w:rsid w:val="00477B0D"/>
    <w:rsid w:val="00477B6A"/>
    <w:rsid w:val="00480384"/>
    <w:rsid w:val="00481535"/>
    <w:rsid w:val="004818B3"/>
    <w:rsid w:val="00482861"/>
    <w:rsid w:val="0048292D"/>
    <w:rsid w:val="00483BB3"/>
    <w:rsid w:val="00483FB0"/>
    <w:rsid w:val="00485041"/>
    <w:rsid w:val="0048565A"/>
    <w:rsid w:val="004858F0"/>
    <w:rsid w:val="00485BE9"/>
    <w:rsid w:val="00485C7F"/>
    <w:rsid w:val="004866B0"/>
    <w:rsid w:val="00486A96"/>
    <w:rsid w:val="00486B2F"/>
    <w:rsid w:val="00486CDE"/>
    <w:rsid w:val="00486CF8"/>
    <w:rsid w:val="0048747C"/>
    <w:rsid w:val="0048759E"/>
    <w:rsid w:val="00487605"/>
    <w:rsid w:val="0048773E"/>
    <w:rsid w:val="00487921"/>
    <w:rsid w:val="00487A23"/>
    <w:rsid w:val="00487DBF"/>
    <w:rsid w:val="0049105B"/>
    <w:rsid w:val="00491B59"/>
    <w:rsid w:val="00491B9E"/>
    <w:rsid w:val="0049200B"/>
    <w:rsid w:val="004934D7"/>
    <w:rsid w:val="00493ECE"/>
    <w:rsid w:val="00493F18"/>
    <w:rsid w:val="004943F5"/>
    <w:rsid w:val="0049493F"/>
    <w:rsid w:val="00494A98"/>
    <w:rsid w:val="00494CF9"/>
    <w:rsid w:val="0049523A"/>
    <w:rsid w:val="004955A9"/>
    <w:rsid w:val="00495C97"/>
    <w:rsid w:val="00495F4F"/>
    <w:rsid w:val="004960DA"/>
    <w:rsid w:val="0049634E"/>
    <w:rsid w:val="00496427"/>
    <w:rsid w:val="0049653F"/>
    <w:rsid w:val="004967F8"/>
    <w:rsid w:val="00496982"/>
    <w:rsid w:val="00497006"/>
    <w:rsid w:val="004970EA"/>
    <w:rsid w:val="004A0339"/>
    <w:rsid w:val="004A0ECF"/>
    <w:rsid w:val="004A127B"/>
    <w:rsid w:val="004A1AE8"/>
    <w:rsid w:val="004A1D34"/>
    <w:rsid w:val="004A1DAA"/>
    <w:rsid w:val="004A1EFF"/>
    <w:rsid w:val="004A26A6"/>
    <w:rsid w:val="004A26B8"/>
    <w:rsid w:val="004A3823"/>
    <w:rsid w:val="004A4241"/>
    <w:rsid w:val="004A5243"/>
    <w:rsid w:val="004A579C"/>
    <w:rsid w:val="004A743E"/>
    <w:rsid w:val="004A75B2"/>
    <w:rsid w:val="004A78DB"/>
    <w:rsid w:val="004A79BC"/>
    <w:rsid w:val="004A7DA4"/>
    <w:rsid w:val="004A7F1E"/>
    <w:rsid w:val="004A7F8E"/>
    <w:rsid w:val="004B00BA"/>
    <w:rsid w:val="004B0D36"/>
    <w:rsid w:val="004B268C"/>
    <w:rsid w:val="004B2E48"/>
    <w:rsid w:val="004B37B0"/>
    <w:rsid w:val="004B3A71"/>
    <w:rsid w:val="004B41A8"/>
    <w:rsid w:val="004B4B50"/>
    <w:rsid w:val="004B574A"/>
    <w:rsid w:val="004B601E"/>
    <w:rsid w:val="004B61AC"/>
    <w:rsid w:val="004B65A3"/>
    <w:rsid w:val="004B6850"/>
    <w:rsid w:val="004B7137"/>
    <w:rsid w:val="004B7638"/>
    <w:rsid w:val="004B7C50"/>
    <w:rsid w:val="004C0799"/>
    <w:rsid w:val="004C092E"/>
    <w:rsid w:val="004C154A"/>
    <w:rsid w:val="004C1FC6"/>
    <w:rsid w:val="004C2041"/>
    <w:rsid w:val="004C2643"/>
    <w:rsid w:val="004C2F0A"/>
    <w:rsid w:val="004C2F45"/>
    <w:rsid w:val="004C3338"/>
    <w:rsid w:val="004C47D9"/>
    <w:rsid w:val="004C490D"/>
    <w:rsid w:val="004C5009"/>
    <w:rsid w:val="004C5DE3"/>
    <w:rsid w:val="004C6509"/>
    <w:rsid w:val="004C6D0E"/>
    <w:rsid w:val="004C75C8"/>
    <w:rsid w:val="004C7D0D"/>
    <w:rsid w:val="004C7D14"/>
    <w:rsid w:val="004C7DA9"/>
    <w:rsid w:val="004D0D55"/>
    <w:rsid w:val="004D0EC7"/>
    <w:rsid w:val="004D0F62"/>
    <w:rsid w:val="004D2502"/>
    <w:rsid w:val="004D2ACE"/>
    <w:rsid w:val="004D2AEC"/>
    <w:rsid w:val="004D2BEA"/>
    <w:rsid w:val="004D2CDB"/>
    <w:rsid w:val="004D2F15"/>
    <w:rsid w:val="004D3F7A"/>
    <w:rsid w:val="004D436D"/>
    <w:rsid w:val="004D47A8"/>
    <w:rsid w:val="004D4D70"/>
    <w:rsid w:val="004D5B21"/>
    <w:rsid w:val="004D5BDA"/>
    <w:rsid w:val="004D628E"/>
    <w:rsid w:val="004D682A"/>
    <w:rsid w:val="004D69E8"/>
    <w:rsid w:val="004D6B8A"/>
    <w:rsid w:val="004D7085"/>
    <w:rsid w:val="004D731E"/>
    <w:rsid w:val="004E0431"/>
    <w:rsid w:val="004E0B4A"/>
    <w:rsid w:val="004E105E"/>
    <w:rsid w:val="004E116B"/>
    <w:rsid w:val="004E21EC"/>
    <w:rsid w:val="004E2333"/>
    <w:rsid w:val="004E25EE"/>
    <w:rsid w:val="004E3724"/>
    <w:rsid w:val="004E3811"/>
    <w:rsid w:val="004E3F53"/>
    <w:rsid w:val="004E4191"/>
    <w:rsid w:val="004E4351"/>
    <w:rsid w:val="004E43AA"/>
    <w:rsid w:val="004E4608"/>
    <w:rsid w:val="004E49C9"/>
    <w:rsid w:val="004E49FD"/>
    <w:rsid w:val="004E4E50"/>
    <w:rsid w:val="004E58AD"/>
    <w:rsid w:val="004E650F"/>
    <w:rsid w:val="004E7408"/>
    <w:rsid w:val="004E7B5F"/>
    <w:rsid w:val="004F0413"/>
    <w:rsid w:val="004F0B90"/>
    <w:rsid w:val="004F0F80"/>
    <w:rsid w:val="004F1373"/>
    <w:rsid w:val="004F1A7A"/>
    <w:rsid w:val="004F26AD"/>
    <w:rsid w:val="004F2A1B"/>
    <w:rsid w:val="004F2CA5"/>
    <w:rsid w:val="004F30CE"/>
    <w:rsid w:val="004F3E9C"/>
    <w:rsid w:val="004F403F"/>
    <w:rsid w:val="004F4EB1"/>
    <w:rsid w:val="004F4FD7"/>
    <w:rsid w:val="004F5FED"/>
    <w:rsid w:val="004F610A"/>
    <w:rsid w:val="004F6CEC"/>
    <w:rsid w:val="004F77C3"/>
    <w:rsid w:val="004F7CEE"/>
    <w:rsid w:val="005001CD"/>
    <w:rsid w:val="005004CC"/>
    <w:rsid w:val="00500703"/>
    <w:rsid w:val="00500799"/>
    <w:rsid w:val="005008E5"/>
    <w:rsid w:val="00500A7B"/>
    <w:rsid w:val="00500A99"/>
    <w:rsid w:val="005012E4"/>
    <w:rsid w:val="00501500"/>
    <w:rsid w:val="00502525"/>
    <w:rsid w:val="00502591"/>
    <w:rsid w:val="0050276A"/>
    <w:rsid w:val="00502A93"/>
    <w:rsid w:val="00503A44"/>
    <w:rsid w:val="00504277"/>
    <w:rsid w:val="005053FD"/>
    <w:rsid w:val="00505E59"/>
    <w:rsid w:val="0050771D"/>
    <w:rsid w:val="00507784"/>
    <w:rsid w:val="005077CC"/>
    <w:rsid w:val="00507D73"/>
    <w:rsid w:val="00510E5C"/>
    <w:rsid w:val="00511455"/>
    <w:rsid w:val="00511599"/>
    <w:rsid w:val="00511BD9"/>
    <w:rsid w:val="0051278B"/>
    <w:rsid w:val="00512C92"/>
    <w:rsid w:val="00512EC7"/>
    <w:rsid w:val="005136F9"/>
    <w:rsid w:val="005137F8"/>
    <w:rsid w:val="00513BCA"/>
    <w:rsid w:val="00514600"/>
    <w:rsid w:val="00514B47"/>
    <w:rsid w:val="00514E23"/>
    <w:rsid w:val="005161EE"/>
    <w:rsid w:val="005165CC"/>
    <w:rsid w:val="005169B1"/>
    <w:rsid w:val="00516B4A"/>
    <w:rsid w:val="00517318"/>
    <w:rsid w:val="0051764B"/>
    <w:rsid w:val="0052005F"/>
    <w:rsid w:val="0052054D"/>
    <w:rsid w:val="00520B31"/>
    <w:rsid w:val="00520B9A"/>
    <w:rsid w:val="00520D80"/>
    <w:rsid w:val="00521B25"/>
    <w:rsid w:val="00521B75"/>
    <w:rsid w:val="00521BFD"/>
    <w:rsid w:val="005220CB"/>
    <w:rsid w:val="005222C5"/>
    <w:rsid w:val="00522400"/>
    <w:rsid w:val="005224F9"/>
    <w:rsid w:val="00522D5A"/>
    <w:rsid w:val="0052341F"/>
    <w:rsid w:val="00523736"/>
    <w:rsid w:val="00523D53"/>
    <w:rsid w:val="00523E89"/>
    <w:rsid w:val="00524339"/>
    <w:rsid w:val="00524D5F"/>
    <w:rsid w:val="005255D6"/>
    <w:rsid w:val="005258AF"/>
    <w:rsid w:val="00525CBA"/>
    <w:rsid w:val="005262FE"/>
    <w:rsid w:val="00526D8B"/>
    <w:rsid w:val="00527459"/>
    <w:rsid w:val="00527822"/>
    <w:rsid w:val="005278F7"/>
    <w:rsid w:val="00527924"/>
    <w:rsid w:val="00527BD6"/>
    <w:rsid w:val="00527ECC"/>
    <w:rsid w:val="0053056B"/>
    <w:rsid w:val="00530A07"/>
    <w:rsid w:val="00530D6F"/>
    <w:rsid w:val="00531834"/>
    <w:rsid w:val="00531E58"/>
    <w:rsid w:val="00531F45"/>
    <w:rsid w:val="005328ED"/>
    <w:rsid w:val="00532A68"/>
    <w:rsid w:val="00532F72"/>
    <w:rsid w:val="00533276"/>
    <w:rsid w:val="005338E5"/>
    <w:rsid w:val="00533D5E"/>
    <w:rsid w:val="0053468E"/>
    <w:rsid w:val="005348A4"/>
    <w:rsid w:val="00534B51"/>
    <w:rsid w:val="00534C37"/>
    <w:rsid w:val="00535653"/>
    <w:rsid w:val="00535AD5"/>
    <w:rsid w:val="00535CEA"/>
    <w:rsid w:val="005362BC"/>
    <w:rsid w:val="00536351"/>
    <w:rsid w:val="005364D7"/>
    <w:rsid w:val="00536F6B"/>
    <w:rsid w:val="00537752"/>
    <w:rsid w:val="005404ED"/>
    <w:rsid w:val="0054153C"/>
    <w:rsid w:val="00541F78"/>
    <w:rsid w:val="0054268F"/>
    <w:rsid w:val="00542E15"/>
    <w:rsid w:val="0054360F"/>
    <w:rsid w:val="005451CF"/>
    <w:rsid w:val="00545A46"/>
    <w:rsid w:val="00545DA9"/>
    <w:rsid w:val="00546714"/>
    <w:rsid w:val="005469A6"/>
    <w:rsid w:val="005479AB"/>
    <w:rsid w:val="00547BC2"/>
    <w:rsid w:val="00550874"/>
    <w:rsid w:val="00550E15"/>
    <w:rsid w:val="00551363"/>
    <w:rsid w:val="00551E95"/>
    <w:rsid w:val="005525BC"/>
    <w:rsid w:val="005529E6"/>
    <w:rsid w:val="00553035"/>
    <w:rsid w:val="0055311F"/>
    <w:rsid w:val="00553F13"/>
    <w:rsid w:val="00554673"/>
    <w:rsid w:val="0055541E"/>
    <w:rsid w:val="00555690"/>
    <w:rsid w:val="005556D0"/>
    <w:rsid w:val="0055593A"/>
    <w:rsid w:val="0055634F"/>
    <w:rsid w:val="0055664F"/>
    <w:rsid w:val="00556864"/>
    <w:rsid w:val="005569E0"/>
    <w:rsid w:val="00557169"/>
    <w:rsid w:val="005572DE"/>
    <w:rsid w:val="005572F3"/>
    <w:rsid w:val="005575D3"/>
    <w:rsid w:val="00557832"/>
    <w:rsid w:val="00560182"/>
    <w:rsid w:val="0056128A"/>
    <w:rsid w:val="00561358"/>
    <w:rsid w:val="00561AE3"/>
    <w:rsid w:val="005623C5"/>
    <w:rsid w:val="005640B6"/>
    <w:rsid w:val="00564B38"/>
    <w:rsid w:val="00565676"/>
    <w:rsid w:val="00565E58"/>
    <w:rsid w:val="00566FF2"/>
    <w:rsid w:val="005679E4"/>
    <w:rsid w:val="00571169"/>
    <w:rsid w:val="00571A55"/>
    <w:rsid w:val="00572852"/>
    <w:rsid w:val="00572E04"/>
    <w:rsid w:val="005730D1"/>
    <w:rsid w:val="00573CA5"/>
    <w:rsid w:val="005748B1"/>
    <w:rsid w:val="00574AE0"/>
    <w:rsid w:val="00574AE5"/>
    <w:rsid w:val="00574C60"/>
    <w:rsid w:val="0057552E"/>
    <w:rsid w:val="005761BE"/>
    <w:rsid w:val="0057735C"/>
    <w:rsid w:val="0058018B"/>
    <w:rsid w:val="00580761"/>
    <w:rsid w:val="00580B0C"/>
    <w:rsid w:val="00580D3D"/>
    <w:rsid w:val="00580DF7"/>
    <w:rsid w:val="00580E5E"/>
    <w:rsid w:val="0058156E"/>
    <w:rsid w:val="00581C78"/>
    <w:rsid w:val="005822D4"/>
    <w:rsid w:val="00582B50"/>
    <w:rsid w:val="00583651"/>
    <w:rsid w:val="00584DCF"/>
    <w:rsid w:val="00584EBE"/>
    <w:rsid w:val="005851BA"/>
    <w:rsid w:val="005861D3"/>
    <w:rsid w:val="0058657A"/>
    <w:rsid w:val="0058690C"/>
    <w:rsid w:val="00586ADB"/>
    <w:rsid w:val="00586C44"/>
    <w:rsid w:val="0058720F"/>
    <w:rsid w:val="00587210"/>
    <w:rsid w:val="005872CD"/>
    <w:rsid w:val="00587581"/>
    <w:rsid w:val="0058782E"/>
    <w:rsid w:val="00587894"/>
    <w:rsid w:val="00587FFA"/>
    <w:rsid w:val="0059007E"/>
    <w:rsid w:val="00590635"/>
    <w:rsid w:val="0059097A"/>
    <w:rsid w:val="005913BD"/>
    <w:rsid w:val="00592252"/>
    <w:rsid w:val="00592463"/>
    <w:rsid w:val="0059271E"/>
    <w:rsid w:val="005929FB"/>
    <w:rsid w:val="00592FDB"/>
    <w:rsid w:val="00593926"/>
    <w:rsid w:val="00593B09"/>
    <w:rsid w:val="00593B2B"/>
    <w:rsid w:val="00593F61"/>
    <w:rsid w:val="00593FCC"/>
    <w:rsid w:val="00594F85"/>
    <w:rsid w:val="005962E4"/>
    <w:rsid w:val="005966F3"/>
    <w:rsid w:val="00597192"/>
    <w:rsid w:val="00597BAC"/>
    <w:rsid w:val="00597D75"/>
    <w:rsid w:val="00597FEF"/>
    <w:rsid w:val="005A0383"/>
    <w:rsid w:val="005A060D"/>
    <w:rsid w:val="005A0811"/>
    <w:rsid w:val="005A0D3C"/>
    <w:rsid w:val="005A0ED9"/>
    <w:rsid w:val="005A1409"/>
    <w:rsid w:val="005A1574"/>
    <w:rsid w:val="005A1BC5"/>
    <w:rsid w:val="005A2B40"/>
    <w:rsid w:val="005A2CC6"/>
    <w:rsid w:val="005A3331"/>
    <w:rsid w:val="005A3FA4"/>
    <w:rsid w:val="005A45A7"/>
    <w:rsid w:val="005A4B13"/>
    <w:rsid w:val="005A50E2"/>
    <w:rsid w:val="005A5833"/>
    <w:rsid w:val="005A58C6"/>
    <w:rsid w:val="005A5EE3"/>
    <w:rsid w:val="005A68EF"/>
    <w:rsid w:val="005A6970"/>
    <w:rsid w:val="005A6BBE"/>
    <w:rsid w:val="005A6FCB"/>
    <w:rsid w:val="005A7060"/>
    <w:rsid w:val="005A7239"/>
    <w:rsid w:val="005A78FF"/>
    <w:rsid w:val="005B02BF"/>
    <w:rsid w:val="005B0B5B"/>
    <w:rsid w:val="005B0D6B"/>
    <w:rsid w:val="005B27B0"/>
    <w:rsid w:val="005B2A38"/>
    <w:rsid w:val="005B2AD5"/>
    <w:rsid w:val="005B34C0"/>
    <w:rsid w:val="005B4A48"/>
    <w:rsid w:val="005B6BE9"/>
    <w:rsid w:val="005B73C4"/>
    <w:rsid w:val="005B7CEF"/>
    <w:rsid w:val="005B7EDA"/>
    <w:rsid w:val="005C0606"/>
    <w:rsid w:val="005C102D"/>
    <w:rsid w:val="005C19E7"/>
    <w:rsid w:val="005C228E"/>
    <w:rsid w:val="005C25A4"/>
    <w:rsid w:val="005C274C"/>
    <w:rsid w:val="005C2F08"/>
    <w:rsid w:val="005C31C4"/>
    <w:rsid w:val="005C326F"/>
    <w:rsid w:val="005C3CAB"/>
    <w:rsid w:val="005C49FF"/>
    <w:rsid w:val="005C529A"/>
    <w:rsid w:val="005C5AF7"/>
    <w:rsid w:val="005C630F"/>
    <w:rsid w:val="005C646C"/>
    <w:rsid w:val="005C692D"/>
    <w:rsid w:val="005C6E2A"/>
    <w:rsid w:val="005C79B5"/>
    <w:rsid w:val="005C7C75"/>
    <w:rsid w:val="005C7FC5"/>
    <w:rsid w:val="005D1116"/>
    <w:rsid w:val="005D16E5"/>
    <w:rsid w:val="005D1D97"/>
    <w:rsid w:val="005D22FF"/>
    <w:rsid w:val="005D26E0"/>
    <w:rsid w:val="005D42E8"/>
    <w:rsid w:val="005D4603"/>
    <w:rsid w:val="005D498F"/>
    <w:rsid w:val="005D4CF7"/>
    <w:rsid w:val="005D4FED"/>
    <w:rsid w:val="005D5982"/>
    <w:rsid w:val="005D5984"/>
    <w:rsid w:val="005D5AB7"/>
    <w:rsid w:val="005D7A25"/>
    <w:rsid w:val="005D7FFD"/>
    <w:rsid w:val="005E222F"/>
    <w:rsid w:val="005E22B7"/>
    <w:rsid w:val="005E27B9"/>
    <w:rsid w:val="005E3393"/>
    <w:rsid w:val="005E371C"/>
    <w:rsid w:val="005E3E7F"/>
    <w:rsid w:val="005E43A4"/>
    <w:rsid w:val="005E5267"/>
    <w:rsid w:val="005E6635"/>
    <w:rsid w:val="005E6A95"/>
    <w:rsid w:val="005E76FD"/>
    <w:rsid w:val="005E7A6F"/>
    <w:rsid w:val="005E7E62"/>
    <w:rsid w:val="005E7F6A"/>
    <w:rsid w:val="005F0D5D"/>
    <w:rsid w:val="005F1187"/>
    <w:rsid w:val="005F1836"/>
    <w:rsid w:val="005F2051"/>
    <w:rsid w:val="005F2351"/>
    <w:rsid w:val="005F24F1"/>
    <w:rsid w:val="005F24FD"/>
    <w:rsid w:val="005F33D0"/>
    <w:rsid w:val="005F3DAD"/>
    <w:rsid w:val="005F4EBB"/>
    <w:rsid w:val="005F5915"/>
    <w:rsid w:val="005F5975"/>
    <w:rsid w:val="005F5C78"/>
    <w:rsid w:val="005F6162"/>
    <w:rsid w:val="005F6636"/>
    <w:rsid w:val="005F6B7A"/>
    <w:rsid w:val="005F6C24"/>
    <w:rsid w:val="005F7C9C"/>
    <w:rsid w:val="00600B81"/>
    <w:rsid w:val="00600DB2"/>
    <w:rsid w:val="0060190A"/>
    <w:rsid w:val="006020E1"/>
    <w:rsid w:val="00602671"/>
    <w:rsid w:val="006026B1"/>
    <w:rsid w:val="0060353D"/>
    <w:rsid w:val="0060361F"/>
    <w:rsid w:val="00603B76"/>
    <w:rsid w:val="006042B0"/>
    <w:rsid w:val="006046DF"/>
    <w:rsid w:val="00604C36"/>
    <w:rsid w:val="00605442"/>
    <w:rsid w:val="006059B9"/>
    <w:rsid w:val="0060617F"/>
    <w:rsid w:val="00606219"/>
    <w:rsid w:val="00606256"/>
    <w:rsid w:val="00606321"/>
    <w:rsid w:val="00606C86"/>
    <w:rsid w:val="00607051"/>
    <w:rsid w:val="006075B0"/>
    <w:rsid w:val="00607D8B"/>
    <w:rsid w:val="00607E8C"/>
    <w:rsid w:val="00610100"/>
    <w:rsid w:val="0061071F"/>
    <w:rsid w:val="00611397"/>
    <w:rsid w:val="0061164B"/>
    <w:rsid w:val="00611794"/>
    <w:rsid w:val="00611B49"/>
    <w:rsid w:val="00612797"/>
    <w:rsid w:val="006131B3"/>
    <w:rsid w:val="006134F3"/>
    <w:rsid w:val="00614175"/>
    <w:rsid w:val="0061529F"/>
    <w:rsid w:val="00615AF4"/>
    <w:rsid w:val="00615B30"/>
    <w:rsid w:val="00617170"/>
    <w:rsid w:val="00617181"/>
    <w:rsid w:val="0061781A"/>
    <w:rsid w:val="00617FFE"/>
    <w:rsid w:val="00620A0F"/>
    <w:rsid w:val="00620B88"/>
    <w:rsid w:val="00621454"/>
    <w:rsid w:val="006214F4"/>
    <w:rsid w:val="00621597"/>
    <w:rsid w:val="0062190C"/>
    <w:rsid w:val="00621BF3"/>
    <w:rsid w:val="0062329D"/>
    <w:rsid w:val="006232B8"/>
    <w:rsid w:val="00623D75"/>
    <w:rsid w:val="00624392"/>
    <w:rsid w:val="00624DF5"/>
    <w:rsid w:val="00627400"/>
    <w:rsid w:val="00627674"/>
    <w:rsid w:val="00627B61"/>
    <w:rsid w:val="006304AC"/>
    <w:rsid w:val="00630993"/>
    <w:rsid w:val="00630A04"/>
    <w:rsid w:val="00631838"/>
    <w:rsid w:val="00631C7C"/>
    <w:rsid w:val="00632209"/>
    <w:rsid w:val="0063246D"/>
    <w:rsid w:val="00632971"/>
    <w:rsid w:val="00632B96"/>
    <w:rsid w:val="00632CEE"/>
    <w:rsid w:val="0063529C"/>
    <w:rsid w:val="00635643"/>
    <w:rsid w:val="00635AB3"/>
    <w:rsid w:val="00635BD5"/>
    <w:rsid w:val="00636A5A"/>
    <w:rsid w:val="00636E64"/>
    <w:rsid w:val="0063717D"/>
    <w:rsid w:val="0063736F"/>
    <w:rsid w:val="006402FF"/>
    <w:rsid w:val="006410FC"/>
    <w:rsid w:val="0064113B"/>
    <w:rsid w:val="00641429"/>
    <w:rsid w:val="00641CBB"/>
    <w:rsid w:val="00642B6A"/>
    <w:rsid w:val="00643763"/>
    <w:rsid w:val="006437A9"/>
    <w:rsid w:val="006437C8"/>
    <w:rsid w:val="00643B33"/>
    <w:rsid w:val="00643C1E"/>
    <w:rsid w:val="006451A3"/>
    <w:rsid w:val="00645A2E"/>
    <w:rsid w:val="00645D3B"/>
    <w:rsid w:val="00645F6E"/>
    <w:rsid w:val="00646DD2"/>
    <w:rsid w:val="00647B38"/>
    <w:rsid w:val="00647F9F"/>
    <w:rsid w:val="00650056"/>
    <w:rsid w:val="00650BD0"/>
    <w:rsid w:val="0065111C"/>
    <w:rsid w:val="006511CF"/>
    <w:rsid w:val="006517EE"/>
    <w:rsid w:val="00651929"/>
    <w:rsid w:val="00651C13"/>
    <w:rsid w:val="006521E9"/>
    <w:rsid w:val="00652BBD"/>
    <w:rsid w:val="00652E34"/>
    <w:rsid w:val="00653232"/>
    <w:rsid w:val="00653B05"/>
    <w:rsid w:val="006548CF"/>
    <w:rsid w:val="00654B5A"/>
    <w:rsid w:val="00655735"/>
    <w:rsid w:val="006559C6"/>
    <w:rsid w:val="00656140"/>
    <w:rsid w:val="0065621F"/>
    <w:rsid w:val="0065653C"/>
    <w:rsid w:val="00656E0F"/>
    <w:rsid w:val="00657234"/>
    <w:rsid w:val="006576F9"/>
    <w:rsid w:val="00657852"/>
    <w:rsid w:val="00657962"/>
    <w:rsid w:val="006579D8"/>
    <w:rsid w:val="00660735"/>
    <w:rsid w:val="0066082C"/>
    <w:rsid w:val="00660DF6"/>
    <w:rsid w:val="006618EE"/>
    <w:rsid w:val="006621CC"/>
    <w:rsid w:val="0066285D"/>
    <w:rsid w:val="006641F9"/>
    <w:rsid w:val="006649F7"/>
    <w:rsid w:val="006652CA"/>
    <w:rsid w:val="00665588"/>
    <w:rsid w:val="00665B46"/>
    <w:rsid w:val="00666386"/>
    <w:rsid w:val="00666AE1"/>
    <w:rsid w:val="006671DA"/>
    <w:rsid w:val="006675A2"/>
    <w:rsid w:val="006675F2"/>
    <w:rsid w:val="00667E02"/>
    <w:rsid w:val="00670149"/>
    <w:rsid w:val="006706D3"/>
    <w:rsid w:val="006707FE"/>
    <w:rsid w:val="00671354"/>
    <w:rsid w:val="00671B33"/>
    <w:rsid w:val="00671B7E"/>
    <w:rsid w:val="00671BBD"/>
    <w:rsid w:val="00672F26"/>
    <w:rsid w:val="00673B1B"/>
    <w:rsid w:val="00674152"/>
    <w:rsid w:val="00674B26"/>
    <w:rsid w:val="00674CBB"/>
    <w:rsid w:val="006752EC"/>
    <w:rsid w:val="00675E63"/>
    <w:rsid w:val="00676357"/>
    <w:rsid w:val="00676410"/>
    <w:rsid w:val="00676767"/>
    <w:rsid w:val="00676EE3"/>
    <w:rsid w:val="006772B7"/>
    <w:rsid w:val="006776D5"/>
    <w:rsid w:val="00677A0E"/>
    <w:rsid w:val="00677E59"/>
    <w:rsid w:val="0068037D"/>
    <w:rsid w:val="00680907"/>
    <w:rsid w:val="00680AA8"/>
    <w:rsid w:val="00680C61"/>
    <w:rsid w:val="00681409"/>
    <w:rsid w:val="006816D1"/>
    <w:rsid w:val="00681791"/>
    <w:rsid w:val="00681C65"/>
    <w:rsid w:val="00682182"/>
    <w:rsid w:val="006824DA"/>
    <w:rsid w:val="0068295D"/>
    <w:rsid w:val="00683297"/>
    <w:rsid w:val="006835B2"/>
    <w:rsid w:val="006836B4"/>
    <w:rsid w:val="00683EDA"/>
    <w:rsid w:val="0068405E"/>
    <w:rsid w:val="006841FB"/>
    <w:rsid w:val="0068441D"/>
    <w:rsid w:val="00684B63"/>
    <w:rsid w:val="00686568"/>
    <w:rsid w:val="00686836"/>
    <w:rsid w:val="00686C24"/>
    <w:rsid w:val="0068757C"/>
    <w:rsid w:val="00687F43"/>
    <w:rsid w:val="00690612"/>
    <w:rsid w:val="00690787"/>
    <w:rsid w:val="00691677"/>
    <w:rsid w:val="00691B12"/>
    <w:rsid w:val="006921DD"/>
    <w:rsid w:val="00692486"/>
    <w:rsid w:val="00692666"/>
    <w:rsid w:val="00693233"/>
    <w:rsid w:val="006938E8"/>
    <w:rsid w:val="00693CF7"/>
    <w:rsid w:val="00693F86"/>
    <w:rsid w:val="006942A6"/>
    <w:rsid w:val="00694AA1"/>
    <w:rsid w:val="006956F7"/>
    <w:rsid w:val="00695E20"/>
    <w:rsid w:val="00696097"/>
    <w:rsid w:val="00696EC8"/>
    <w:rsid w:val="0069704C"/>
    <w:rsid w:val="006974D7"/>
    <w:rsid w:val="00697735"/>
    <w:rsid w:val="00697A4C"/>
    <w:rsid w:val="00697E58"/>
    <w:rsid w:val="006A0C9B"/>
    <w:rsid w:val="006A0CA6"/>
    <w:rsid w:val="006A0EC1"/>
    <w:rsid w:val="006A13B6"/>
    <w:rsid w:val="006A19B9"/>
    <w:rsid w:val="006A1EC1"/>
    <w:rsid w:val="006A291D"/>
    <w:rsid w:val="006A2B05"/>
    <w:rsid w:val="006A3437"/>
    <w:rsid w:val="006A3528"/>
    <w:rsid w:val="006A3716"/>
    <w:rsid w:val="006A3AE2"/>
    <w:rsid w:val="006A3BEB"/>
    <w:rsid w:val="006A4F5F"/>
    <w:rsid w:val="006A51D2"/>
    <w:rsid w:val="006A56A2"/>
    <w:rsid w:val="006A5A04"/>
    <w:rsid w:val="006A5BA4"/>
    <w:rsid w:val="006A5F04"/>
    <w:rsid w:val="006A630B"/>
    <w:rsid w:val="006A6AEC"/>
    <w:rsid w:val="006A7B2D"/>
    <w:rsid w:val="006A7B31"/>
    <w:rsid w:val="006B111F"/>
    <w:rsid w:val="006B11C4"/>
    <w:rsid w:val="006B1A4D"/>
    <w:rsid w:val="006B1BAE"/>
    <w:rsid w:val="006B25DE"/>
    <w:rsid w:val="006B2BDF"/>
    <w:rsid w:val="006B39B2"/>
    <w:rsid w:val="006B3C2E"/>
    <w:rsid w:val="006B3C6F"/>
    <w:rsid w:val="006B4038"/>
    <w:rsid w:val="006B4967"/>
    <w:rsid w:val="006B5555"/>
    <w:rsid w:val="006B57F7"/>
    <w:rsid w:val="006B5963"/>
    <w:rsid w:val="006B5BDE"/>
    <w:rsid w:val="006B7420"/>
    <w:rsid w:val="006B7E0E"/>
    <w:rsid w:val="006B7FC3"/>
    <w:rsid w:val="006C0371"/>
    <w:rsid w:val="006C054C"/>
    <w:rsid w:val="006C05E3"/>
    <w:rsid w:val="006C10A1"/>
    <w:rsid w:val="006C15E9"/>
    <w:rsid w:val="006C18A8"/>
    <w:rsid w:val="006C2415"/>
    <w:rsid w:val="006C2433"/>
    <w:rsid w:val="006C2BD0"/>
    <w:rsid w:val="006C2F49"/>
    <w:rsid w:val="006C3050"/>
    <w:rsid w:val="006C3919"/>
    <w:rsid w:val="006C40DF"/>
    <w:rsid w:val="006C46A0"/>
    <w:rsid w:val="006C6117"/>
    <w:rsid w:val="006C6FD3"/>
    <w:rsid w:val="006C7DDB"/>
    <w:rsid w:val="006D0190"/>
    <w:rsid w:val="006D0FA9"/>
    <w:rsid w:val="006D13E6"/>
    <w:rsid w:val="006D1BDB"/>
    <w:rsid w:val="006D2F42"/>
    <w:rsid w:val="006D3E19"/>
    <w:rsid w:val="006D42F1"/>
    <w:rsid w:val="006D485F"/>
    <w:rsid w:val="006D49BC"/>
    <w:rsid w:val="006D504C"/>
    <w:rsid w:val="006D5448"/>
    <w:rsid w:val="006D5E83"/>
    <w:rsid w:val="006D6ABB"/>
    <w:rsid w:val="006D6B83"/>
    <w:rsid w:val="006D7A85"/>
    <w:rsid w:val="006D7A91"/>
    <w:rsid w:val="006D7C7E"/>
    <w:rsid w:val="006E1000"/>
    <w:rsid w:val="006E173D"/>
    <w:rsid w:val="006E1B89"/>
    <w:rsid w:val="006E1F8C"/>
    <w:rsid w:val="006E243F"/>
    <w:rsid w:val="006E28BF"/>
    <w:rsid w:val="006E2FF3"/>
    <w:rsid w:val="006E3113"/>
    <w:rsid w:val="006E4761"/>
    <w:rsid w:val="006E4D7A"/>
    <w:rsid w:val="006E4E8E"/>
    <w:rsid w:val="006E4F55"/>
    <w:rsid w:val="006E4F5A"/>
    <w:rsid w:val="006E500A"/>
    <w:rsid w:val="006E5273"/>
    <w:rsid w:val="006E61CA"/>
    <w:rsid w:val="006E6931"/>
    <w:rsid w:val="006E6951"/>
    <w:rsid w:val="006E7688"/>
    <w:rsid w:val="006E79ED"/>
    <w:rsid w:val="006E7A7B"/>
    <w:rsid w:val="006F18F7"/>
    <w:rsid w:val="006F18FE"/>
    <w:rsid w:val="006F26EA"/>
    <w:rsid w:val="006F32D2"/>
    <w:rsid w:val="006F42B9"/>
    <w:rsid w:val="006F4CEF"/>
    <w:rsid w:val="006F5335"/>
    <w:rsid w:val="006F57D6"/>
    <w:rsid w:val="006F5BB0"/>
    <w:rsid w:val="006F6F2C"/>
    <w:rsid w:val="006F7163"/>
    <w:rsid w:val="00700185"/>
    <w:rsid w:val="007001E2"/>
    <w:rsid w:val="007003C6"/>
    <w:rsid w:val="00700443"/>
    <w:rsid w:val="0070052E"/>
    <w:rsid w:val="00700F26"/>
    <w:rsid w:val="0070122B"/>
    <w:rsid w:val="0070140A"/>
    <w:rsid w:val="00702549"/>
    <w:rsid w:val="007030E9"/>
    <w:rsid w:val="007039B2"/>
    <w:rsid w:val="007050B2"/>
    <w:rsid w:val="00705162"/>
    <w:rsid w:val="007059DD"/>
    <w:rsid w:val="00705D91"/>
    <w:rsid w:val="00705E68"/>
    <w:rsid w:val="00706640"/>
    <w:rsid w:val="007079F2"/>
    <w:rsid w:val="00710380"/>
    <w:rsid w:val="00710A43"/>
    <w:rsid w:val="00710F92"/>
    <w:rsid w:val="0071186A"/>
    <w:rsid w:val="007129C7"/>
    <w:rsid w:val="00712B66"/>
    <w:rsid w:val="00712F31"/>
    <w:rsid w:val="00712F6E"/>
    <w:rsid w:val="0071362E"/>
    <w:rsid w:val="00713A91"/>
    <w:rsid w:val="00714C5E"/>
    <w:rsid w:val="00714E6C"/>
    <w:rsid w:val="00715431"/>
    <w:rsid w:val="00715A2E"/>
    <w:rsid w:val="00715E6A"/>
    <w:rsid w:val="00716E5C"/>
    <w:rsid w:val="007170C0"/>
    <w:rsid w:val="00717328"/>
    <w:rsid w:val="00717464"/>
    <w:rsid w:val="00717628"/>
    <w:rsid w:val="007177A8"/>
    <w:rsid w:val="00717A58"/>
    <w:rsid w:val="00717F04"/>
    <w:rsid w:val="007200EC"/>
    <w:rsid w:val="0072089B"/>
    <w:rsid w:val="00720CB6"/>
    <w:rsid w:val="00721585"/>
    <w:rsid w:val="0072212D"/>
    <w:rsid w:val="00722765"/>
    <w:rsid w:val="00722AAE"/>
    <w:rsid w:val="00722C7A"/>
    <w:rsid w:val="007246B8"/>
    <w:rsid w:val="00724782"/>
    <w:rsid w:val="007249E1"/>
    <w:rsid w:val="00725441"/>
    <w:rsid w:val="007254FB"/>
    <w:rsid w:val="00725F75"/>
    <w:rsid w:val="007263C6"/>
    <w:rsid w:val="0072683A"/>
    <w:rsid w:val="00726A6F"/>
    <w:rsid w:val="00727364"/>
    <w:rsid w:val="00727797"/>
    <w:rsid w:val="007300BD"/>
    <w:rsid w:val="007308E6"/>
    <w:rsid w:val="007310EC"/>
    <w:rsid w:val="007319D7"/>
    <w:rsid w:val="00731B11"/>
    <w:rsid w:val="00732644"/>
    <w:rsid w:val="007326C3"/>
    <w:rsid w:val="0073328C"/>
    <w:rsid w:val="00733875"/>
    <w:rsid w:val="007341C7"/>
    <w:rsid w:val="007343D6"/>
    <w:rsid w:val="00734616"/>
    <w:rsid w:val="00734C27"/>
    <w:rsid w:val="007360A6"/>
    <w:rsid w:val="00736177"/>
    <w:rsid w:val="0073647E"/>
    <w:rsid w:val="00736D97"/>
    <w:rsid w:val="007371A9"/>
    <w:rsid w:val="007375E0"/>
    <w:rsid w:val="0073782A"/>
    <w:rsid w:val="0074011A"/>
    <w:rsid w:val="007411E9"/>
    <w:rsid w:val="00741CDE"/>
    <w:rsid w:val="00741F82"/>
    <w:rsid w:val="007429FD"/>
    <w:rsid w:val="007437CC"/>
    <w:rsid w:val="00743D80"/>
    <w:rsid w:val="0074462D"/>
    <w:rsid w:val="00744C7D"/>
    <w:rsid w:val="0074533E"/>
    <w:rsid w:val="00745BE4"/>
    <w:rsid w:val="00745D39"/>
    <w:rsid w:val="0074619A"/>
    <w:rsid w:val="007461F7"/>
    <w:rsid w:val="00746301"/>
    <w:rsid w:val="007463DD"/>
    <w:rsid w:val="0074719F"/>
    <w:rsid w:val="00747543"/>
    <w:rsid w:val="007475B0"/>
    <w:rsid w:val="0074763E"/>
    <w:rsid w:val="00747829"/>
    <w:rsid w:val="00750410"/>
    <w:rsid w:val="0075099F"/>
    <w:rsid w:val="00750D92"/>
    <w:rsid w:val="0075205E"/>
    <w:rsid w:val="007521A8"/>
    <w:rsid w:val="0075298F"/>
    <w:rsid w:val="00753C43"/>
    <w:rsid w:val="00753FF3"/>
    <w:rsid w:val="0075469A"/>
    <w:rsid w:val="00754CB5"/>
    <w:rsid w:val="007557A1"/>
    <w:rsid w:val="00755A33"/>
    <w:rsid w:val="00756955"/>
    <w:rsid w:val="00756D48"/>
    <w:rsid w:val="00756E18"/>
    <w:rsid w:val="00757460"/>
    <w:rsid w:val="007575FE"/>
    <w:rsid w:val="00757A2C"/>
    <w:rsid w:val="0076114B"/>
    <w:rsid w:val="0076132A"/>
    <w:rsid w:val="00761B0B"/>
    <w:rsid w:val="007621FD"/>
    <w:rsid w:val="007626F6"/>
    <w:rsid w:val="00762934"/>
    <w:rsid w:val="007632D6"/>
    <w:rsid w:val="00763A6F"/>
    <w:rsid w:val="00763F0B"/>
    <w:rsid w:val="0076503F"/>
    <w:rsid w:val="00765374"/>
    <w:rsid w:val="00765827"/>
    <w:rsid w:val="00765857"/>
    <w:rsid w:val="00765899"/>
    <w:rsid w:val="00765A0F"/>
    <w:rsid w:val="00765C43"/>
    <w:rsid w:val="007661D5"/>
    <w:rsid w:val="00766A3B"/>
    <w:rsid w:val="0076720A"/>
    <w:rsid w:val="007708A3"/>
    <w:rsid w:val="007709EF"/>
    <w:rsid w:val="00770B72"/>
    <w:rsid w:val="00772DFB"/>
    <w:rsid w:val="00773221"/>
    <w:rsid w:val="00773474"/>
    <w:rsid w:val="0077360A"/>
    <w:rsid w:val="0077388E"/>
    <w:rsid w:val="00773C7B"/>
    <w:rsid w:val="00773E5B"/>
    <w:rsid w:val="00773F1E"/>
    <w:rsid w:val="007740D0"/>
    <w:rsid w:val="00774156"/>
    <w:rsid w:val="00774706"/>
    <w:rsid w:val="0077503D"/>
    <w:rsid w:val="0077532F"/>
    <w:rsid w:val="00775394"/>
    <w:rsid w:val="007757AB"/>
    <w:rsid w:val="00775B43"/>
    <w:rsid w:val="00775E98"/>
    <w:rsid w:val="0077637D"/>
    <w:rsid w:val="00776490"/>
    <w:rsid w:val="00777DED"/>
    <w:rsid w:val="00777E2F"/>
    <w:rsid w:val="00780131"/>
    <w:rsid w:val="007802F1"/>
    <w:rsid w:val="0078075B"/>
    <w:rsid w:val="007808C9"/>
    <w:rsid w:val="00780A89"/>
    <w:rsid w:val="00780BDE"/>
    <w:rsid w:val="00780CE4"/>
    <w:rsid w:val="00781BF7"/>
    <w:rsid w:val="00782130"/>
    <w:rsid w:val="007824FB"/>
    <w:rsid w:val="00782671"/>
    <w:rsid w:val="00782ED3"/>
    <w:rsid w:val="007837EA"/>
    <w:rsid w:val="00783888"/>
    <w:rsid w:val="00783E87"/>
    <w:rsid w:val="007841D3"/>
    <w:rsid w:val="00784CFF"/>
    <w:rsid w:val="00784EF0"/>
    <w:rsid w:val="007853D9"/>
    <w:rsid w:val="007853ED"/>
    <w:rsid w:val="0078600F"/>
    <w:rsid w:val="007868FA"/>
    <w:rsid w:val="00786A5D"/>
    <w:rsid w:val="0078739B"/>
    <w:rsid w:val="00787584"/>
    <w:rsid w:val="00787FF6"/>
    <w:rsid w:val="00790026"/>
    <w:rsid w:val="0079022E"/>
    <w:rsid w:val="00790549"/>
    <w:rsid w:val="00790B7D"/>
    <w:rsid w:val="00791384"/>
    <w:rsid w:val="007913AD"/>
    <w:rsid w:val="007913E2"/>
    <w:rsid w:val="00791666"/>
    <w:rsid w:val="0079279B"/>
    <w:rsid w:val="00792902"/>
    <w:rsid w:val="007929BF"/>
    <w:rsid w:val="00793B07"/>
    <w:rsid w:val="00793BE8"/>
    <w:rsid w:val="007957C0"/>
    <w:rsid w:val="007959F7"/>
    <w:rsid w:val="00795A6C"/>
    <w:rsid w:val="007962B1"/>
    <w:rsid w:val="00797370"/>
    <w:rsid w:val="007976A0"/>
    <w:rsid w:val="00797A23"/>
    <w:rsid w:val="00797E8D"/>
    <w:rsid w:val="007A039F"/>
    <w:rsid w:val="007A0617"/>
    <w:rsid w:val="007A0E7E"/>
    <w:rsid w:val="007A1620"/>
    <w:rsid w:val="007A22A0"/>
    <w:rsid w:val="007A24DE"/>
    <w:rsid w:val="007A268C"/>
    <w:rsid w:val="007A271C"/>
    <w:rsid w:val="007A284A"/>
    <w:rsid w:val="007A2E9C"/>
    <w:rsid w:val="007A30DB"/>
    <w:rsid w:val="007A3E1E"/>
    <w:rsid w:val="007A4DA6"/>
    <w:rsid w:val="007A5468"/>
    <w:rsid w:val="007A606E"/>
    <w:rsid w:val="007A6577"/>
    <w:rsid w:val="007A68E1"/>
    <w:rsid w:val="007A7E73"/>
    <w:rsid w:val="007B05F3"/>
    <w:rsid w:val="007B0A1C"/>
    <w:rsid w:val="007B0CF7"/>
    <w:rsid w:val="007B230E"/>
    <w:rsid w:val="007B260E"/>
    <w:rsid w:val="007B270B"/>
    <w:rsid w:val="007B2B72"/>
    <w:rsid w:val="007B3185"/>
    <w:rsid w:val="007B31B9"/>
    <w:rsid w:val="007B39D3"/>
    <w:rsid w:val="007B3A13"/>
    <w:rsid w:val="007B462E"/>
    <w:rsid w:val="007B48C2"/>
    <w:rsid w:val="007B4D20"/>
    <w:rsid w:val="007B5A0F"/>
    <w:rsid w:val="007B5B63"/>
    <w:rsid w:val="007B5DCE"/>
    <w:rsid w:val="007B6E13"/>
    <w:rsid w:val="007B6E3A"/>
    <w:rsid w:val="007B7812"/>
    <w:rsid w:val="007B7A71"/>
    <w:rsid w:val="007B7D1A"/>
    <w:rsid w:val="007C0102"/>
    <w:rsid w:val="007C0E67"/>
    <w:rsid w:val="007C16A8"/>
    <w:rsid w:val="007C1832"/>
    <w:rsid w:val="007C1A84"/>
    <w:rsid w:val="007C1C59"/>
    <w:rsid w:val="007C1F46"/>
    <w:rsid w:val="007C2171"/>
    <w:rsid w:val="007C22DD"/>
    <w:rsid w:val="007C36E7"/>
    <w:rsid w:val="007C46E8"/>
    <w:rsid w:val="007C4EB7"/>
    <w:rsid w:val="007C5701"/>
    <w:rsid w:val="007C6631"/>
    <w:rsid w:val="007C68A2"/>
    <w:rsid w:val="007C6E93"/>
    <w:rsid w:val="007C6EF5"/>
    <w:rsid w:val="007C7112"/>
    <w:rsid w:val="007D02A0"/>
    <w:rsid w:val="007D077A"/>
    <w:rsid w:val="007D0896"/>
    <w:rsid w:val="007D1951"/>
    <w:rsid w:val="007D19EF"/>
    <w:rsid w:val="007D1EE3"/>
    <w:rsid w:val="007D2DBA"/>
    <w:rsid w:val="007D4296"/>
    <w:rsid w:val="007D43C3"/>
    <w:rsid w:val="007D4516"/>
    <w:rsid w:val="007D46ED"/>
    <w:rsid w:val="007D4CEA"/>
    <w:rsid w:val="007D5C2A"/>
    <w:rsid w:val="007D604A"/>
    <w:rsid w:val="007D60D8"/>
    <w:rsid w:val="007D6852"/>
    <w:rsid w:val="007D68B9"/>
    <w:rsid w:val="007D6D4F"/>
    <w:rsid w:val="007D7026"/>
    <w:rsid w:val="007D76B8"/>
    <w:rsid w:val="007E057F"/>
    <w:rsid w:val="007E05CD"/>
    <w:rsid w:val="007E0C59"/>
    <w:rsid w:val="007E1251"/>
    <w:rsid w:val="007E131B"/>
    <w:rsid w:val="007E1B88"/>
    <w:rsid w:val="007E21C7"/>
    <w:rsid w:val="007E227A"/>
    <w:rsid w:val="007E29D0"/>
    <w:rsid w:val="007E363E"/>
    <w:rsid w:val="007E3E8F"/>
    <w:rsid w:val="007E4120"/>
    <w:rsid w:val="007E4813"/>
    <w:rsid w:val="007E748A"/>
    <w:rsid w:val="007E76B3"/>
    <w:rsid w:val="007E7D86"/>
    <w:rsid w:val="007F077D"/>
    <w:rsid w:val="007F0CCF"/>
    <w:rsid w:val="007F1089"/>
    <w:rsid w:val="007F10F6"/>
    <w:rsid w:val="007F1363"/>
    <w:rsid w:val="007F1C59"/>
    <w:rsid w:val="007F24EC"/>
    <w:rsid w:val="007F277B"/>
    <w:rsid w:val="007F2994"/>
    <w:rsid w:val="007F3053"/>
    <w:rsid w:val="007F3707"/>
    <w:rsid w:val="007F398A"/>
    <w:rsid w:val="007F4BC1"/>
    <w:rsid w:val="007F4BDD"/>
    <w:rsid w:val="007F4D76"/>
    <w:rsid w:val="007F5ACC"/>
    <w:rsid w:val="007F60F8"/>
    <w:rsid w:val="007F767B"/>
    <w:rsid w:val="007F7914"/>
    <w:rsid w:val="007F7C0C"/>
    <w:rsid w:val="007F7FEA"/>
    <w:rsid w:val="008002D9"/>
    <w:rsid w:val="008003EC"/>
    <w:rsid w:val="00800922"/>
    <w:rsid w:val="00800FE1"/>
    <w:rsid w:val="00801372"/>
    <w:rsid w:val="00801486"/>
    <w:rsid w:val="00801E43"/>
    <w:rsid w:val="00803008"/>
    <w:rsid w:val="008031F7"/>
    <w:rsid w:val="008032DA"/>
    <w:rsid w:val="008040DF"/>
    <w:rsid w:val="0080428D"/>
    <w:rsid w:val="00805947"/>
    <w:rsid w:val="008079AC"/>
    <w:rsid w:val="00807D94"/>
    <w:rsid w:val="00807F47"/>
    <w:rsid w:val="008108A0"/>
    <w:rsid w:val="00810952"/>
    <w:rsid w:val="00810F8A"/>
    <w:rsid w:val="0081119C"/>
    <w:rsid w:val="00811F99"/>
    <w:rsid w:val="00812909"/>
    <w:rsid w:val="0081294F"/>
    <w:rsid w:val="00812A07"/>
    <w:rsid w:val="00813201"/>
    <w:rsid w:val="00813392"/>
    <w:rsid w:val="0081357F"/>
    <w:rsid w:val="0081382C"/>
    <w:rsid w:val="008138D4"/>
    <w:rsid w:val="008139E3"/>
    <w:rsid w:val="00813B41"/>
    <w:rsid w:val="00815DDE"/>
    <w:rsid w:val="008169A8"/>
    <w:rsid w:val="00816E1C"/>
    <w:rsid w:val="008175C0"/>
    <w:rsid w:val="0081799D"/>
    <w:rsid w:val="00817CB2"/>
    <w:rsid w:val="00817DAB"/>
    <w:rsid w:val="00817F96"/>
    <w:rsid w:val="008200C3"/>
    <w:rsid w:val="008204D2"/>
    <w:rsid w:val="00821031"/>
    <w:rsid w:val="00821287"/>
    <w:rsid w:val="0082165F"/>
    <w:rsid w:val="00821740"/>
    <w:rsid w:val="00821991"/>
    <w:rsid w:val="00821DEE"/>
    <w:rsid w:val="00821E5E"/>
    <w:rsid w:val="00822D24"/>
    <w:rsid w:val="00822DA6"/>
    <w:rsid w:val="008231DD"/>
    <w:rsid w:val="008239D7"/>
    <w:rsid w:val="00823D68"/>
    <w:rsid w:val="00824CFE"/>
    <w:rsid w:val="00824F68"/>
    <w:rsid w:val="008254C9"/>
    <w:rsid w:val="00825711"/>
    <w:rsid w:val="008263B0"/>
    <w:rsid w:val="008263B2"/>
    <w:rsid w:val="00826914"/>
    <w:rsid w:val="00826DE8"/>
    <w:rsid w:val="00827311"/>
    <w:rsid w:val="00827716"/>
    <w:rsid w:val="00827F6E"/>
    <w:rsid w:val="0083061A"/>
    <w:rsid w:val="00830DE8"/>
    <w:rsid w:val="00831944"/>
    <w:rsid w:val="00831978"/>
    <w:rsid w:val="00831A9F"/>
    <w:rsid w:val="00831DEF"/>
    <w:rsid w:val="00832D19"/>
    <w:rsid w:val="00832D88"/>
    <w:rsid w:val="00833743"/>
    <w:rsid w:val="00833947"/>
    <w:rsid w:val="00833DE7"/>
    <w:rsid w:val="00834738"/>
    <w:rsid w:val="00834870"/>
    <w:rsid w:val="00834A74"/>
    <w:rsid w:val="008350D6"/>
    <w:rsid w:val="0083576B"/>
    <w:rsid w:val="00835947"/>
    <w:rsid w:val="00835B6E"/>
    <w:rsid w:val="00836160"/>
    <w:rsid w:val="00836C79"/>
    <w:rsid w:val="008375D4"/>
    <w:rsid w:val="00837886"/>
    <w:rsid w:val="008378BE"/>
    <w:rsid w:val="00837D77"/>
    <w:rsid w:val="00837F1B"/>
    <w:rsid w:val="00840084"/>
    <w:rsid w:val="008405B2"/>
    <w:rsid w:val="00840A92"/>
    <w:rsid w:val="00840AB6"/>
    <w:rsid w:val="0084106E"/>
    <w:rsid w:val="00841C53"/>
    <w:rsid w:val="00842411"/>
    <w:rsid w:val="00842799"/>
    <w:rsid w:val="00842EF7"/>
    <w:rsid w:val="00843030"/>
    <w:rsid w:val="008430A3"/>
    <w:rsid w:val="00843389"/>
    <w:rsid w:val="008438FC"/>
    <w:rsid w:val="00844171"/>
    <w:rsid w:val="008452A8"/>
    <w:rsid w:val="00845F4B"/>
    <w:rsid w:val="00845F57"/>
    <w:rsid w:val="008461B5"/>
    <w:rsid w:val="00846794"/>
    <w:rsid w:val="00846B1E"/>
    <w:rsid w:val="00846B24"/>
    <w:rsid w:val="00846E08"/>
    <w:rsid w:val="00846F1E"/>
    <w:rsid w:val="0084771E"/>
    <w:rsid w:val="0085039D"/>
    <w:rsid w:val="0085055E"/>
    <w:rsid w:val="008507F1"/>
    <w:rsid w:val="0085095C"/>
    <w:rsid w:val="00850B3B"/>
    <w:rsid w:val="008513AF"/>
    <w:rsid w:val="008514B3"/>
    <w:rsid w:val="00851922"/>
    <w:rsid w:val="00851C23"/>
    <w:rsid w:val="008521DD"/>
    <w:rsid w:val="00852C18"/>
    <w:rsid w:val="00852F5C"/>
    <w:rsid w:val="0085411D"/>
    <w:rsid w:val="00854152"/>
    <w:rsid w:val="008545D5"/>
    <w:rsid w:val="008556E5"/>
    <w:rsid w:val="00855B8A"/>
    <w:rsid w:val="008561B5"/>
    <w:rsid w:val="008568F7"/>
    <w:rsid w:val="00856A6B"/>
    <w:rsid w:val="00856C34"/>
    <w:rsid w:val="00856E17"/>
    <w:rsid w:val="008570C8"/>
    <w:rsid w:val="00857240"/>
    <w:rsid w:val="00857C87"/>
    <w:rsid w:val="00857CD6"/>
    <w:rsid w:val="008606EE"/>
    <w:rsid w:val="00860E19"/>
    <w:rsid w:val="0086147B"/>
    <w:rsid w:val="008617BC"/>
    <w:rsid w:val="00861FB2"/>
    <w:rsid w:val="00862EF6"/>
    <w:rsid w:val="00863197"/>
    <w:rsid w:val="00863972"/>
    <w:rsid w:val="008647B1"/>
    <w:rsid w:val="0086541F"/>
    <w:rsid w:val="008660D4"/>
    <w:rsid w:val="00866290"/>
    <w:rsid w:val="00866615"/>
    <w:rsid w:val="008667CA"/>
    <w:rsid w:val="00866DB6"/>
    <w:rsid w:val="00867543"/>
    <w:rsid w:val="00867942"/>
    <w:rsid w:val="00867BFF"/>
    <w:rsid w:val="0087047F"/>
    <w:rsid w:val="00870ED9"/>
    <w:rsid w:val="00871422"/>
    <w:rsid w:val="008725E7"/>
    <w:rsid w:val="008742F4"/>
    <w:rsid w:val="008743C9"/>
    <w:rsid w:val="00874732"/>
    <w:rsid w:val="008748B6"/>
    <w:rsid w:val="008749DC"/>
    <w:rsid w:val="0087536B"/>
    <w:rsid w:val="00875560"/>
    <w:rsid w:val="00876932"/>
    <w:rsid w:val="00876FCB"/>
    <w:rsid w:val="008771E4"/>
    <w:rsid w:val="00880000"/>
    <w:rsid w:val="0088030A"/>
    <w:rsid w:val="008804F0"/>
    <w:rsid w:val="00881E14"/>
    <w:rsid w:val="008821F3"/>
    <w:rsid w:val="00882A30"/>
    <w:rsid w:val="00882AD4"/>
    <w:rsid w:val="00882B5F"/>
    <w:rsid w:val="00882E34"/>
    <w:rsid w:val="00882FE4"/>
    <w:rsid w:val="00883FA8"/>
    <w:rsid w:val="00884612"/>
    <w:rsid w:val="00884A83"/>
    <w:rsid w:val="00884D7B"/>
    <w:rsid w:val="00884E9E"/>
    <w:rsid w:val="00885184"/>
    <w:rsid w:val="008853B1"/>
    <w:rsid w:val="00885FEB"/>
    <w:rsid w:val="008861BF"/>
    <w:rsid w:val="00886B7E"/>
    <w:rsid w:val="00887C00"/>
    <w:rsid w:val="0089017E"/>
    <w:rsid w:val="008903C3"/>
    <w:rsid w:val="008904F2"/>
    <w:rsid w:val="008914FF"/>
    <w:rsid w:val="0089221B"/>
    <w:rsid w:val="008922A3"/>
    <w:rsid w:val="0089289F"/>
    <w:rsid w:val="00893CD5"/>
    <w:rsid w:val="008949D4"/>
    <w:rsid w:val="00894E2A"/>
    <w:rsid w:val="00894EA2"/>
    <w:rsid w:val="00895507"/>
    <w:rsid w:val="00895720"/>
    <w:rsid w:val="00895B65"/>
    <w:rsid w:val="00895C90"/>
    <w:rsid w:val="00896580"/>
    <w:rsid w:val="00897211"/>
    <w:rsid w:val="00897327"/>
    <w:rsid w:val="0089751C"/>
    <w:rsid w:val="00897890"/>
    <w:rsid w:val="00897F4B"/>
    <w:rsid w:val="008A075E"/>
    <w:rsid w:val="008A2ABE"/>
    <w:rsid w:val="008A2C63"/>
    <w:rsid w:val="008A2CC5"/>
    <w:rsid w:val="008A4A5B"/>
    <w:rsid w:val="008A4C50"/>
    <w:rsid w:val="008A5BBD"/>
    <w:rsid w:val="008A5C22"/>
    <w:rsid w:val="008A5E47"/>
    <w:rsid w:val="008A6754"/>
    <w:rsid w:val="008A7E43"/>
    <w:rsid w:val="008A7F5D"/>
    <w:rsid w:val="008B044E"/>
    <w:rsid w:val="008B082D"/>
    <w:rsid w:val="008B0B5F"/>
    <w:rsid w:val="008B176B"/>
    <w:rsid w:val="008B219F"/>
    <w:rsid w:val="008B21C1"/>
    <w:rsid w:val="008B3EF9"/>
    <w:rsid w:val="008B4248"/>
    <w:rsid w:val="008B42FF"/>
    <w:rsid w:val="008B46D4"/>
    <w:rsid w:val="008B4C3F"/>
    <w:rsid w:val="008B4D4A"/>
    <w:rsid w:val="008B5A8B"/>
    <w:rsid w:val="008B6DC3"/>
    <w:rsid w:val="008B7172"/>
    <w:rsid w:val="008B7641"/>
    <w:rsid w:val="008B79A0"/>
    <w:rsid w:val="008B7E61"/>
    <w:rsid w:val="008C0840"/>
    <w:rsid w:val="008C0D30"/>
    <w:rsid w:val="008C15DC"/>
    <w:rsid w:val="008C1D31"/>
    <w:rsid w:val="008C26B1"/>
    <w:rsid w:val="008C28FD"/>
    <w:rsid w:val="008C2D11"/>
    <w:rsid w:val="008C2EE2"/>
    <w:rsid w:val="008C2EFF"/>
    <w:rsid w:val="008C30EA"/>
    <w:rsid w:val="008C35F6"/>
    <w:rsid w:val="008C37B4"/>
    <w:rsid w:val="008C3853"/>
    <w:rsid w:val="008C4A61"/>
    <w:rsid w:val="008C5523"/>
    <w:rsid w:val="008C62EA"/>
    <w:rsid w:val="008C67FF"/>
    <w:rsid w:val="008D0282"/>
    <w:rsid w:val="008D04DE"/>
    <w:rsid w:val="008D0C0A"/>
    <w:rsid w:val="008D1217"/>
    <w:rsid w:val="008D152F"/>
    <w:rsid w:val="008D2E4E"/>
    <w:rsid w:val="008D3831"/>
    <w:rsid w:val="008D3E96"/>
    <w:rsid w:val="008D3EAE"/>
    <w:rsid w:val="008D4ABB"/>
    <w:rsid w:val="008D5092"/>
    <w:rsid w:val="008D523F"/>
    <w:rsid w:val="008D5692"/>
    <w:rsid w:val="008D59AA"/>
    <w:rsid w:val="008D6447"/>
    <w:rsid w:val="008D73B2"/>
    <w:rsid w:val="008D749D"/>
    <w:rsid w:val="008D7762"/>
    <w:rsid w:val="008D7E8B"/>
    <w:rsid w:val="008E078E"/>
    <w:rsid w:val="008E1C7C"/>
    <w:rsid w:val="008E1F48"/>
    <w:rsid w:val="008E26B7"/>
    <w:rsid w:val="008E28AD"/>
    <w:rsid w:val="008E307B"/>
    <w:rsid w:val="008E3B2E"/>
    <w:rsid w:val="008E3C39"/>
    <w:rsid w:val="008E3D6E"/>
    <w:rsid w:val="008E4361"/>
    <w:rsid w:val="008E53A1"/>
    <w:rsid w:val="008E567A"/>
    <w:rsid w:val="008E62D1"/>
    <w:rsid w:val="008E6707"/>
    <w:rsid w:val="008E6893"/>
    <w:rsid w:val="008E70B3"/>
    <w:rsid w:val="008E72E1"/>
    <w:rsid w:val="008E7A83"/>
    <w:rsid w:val="008E7CEF"/>
    <w:rsid w:val="008E7D44"/>
    <w:rsid w:val="008F06C3"/>
    <w:rsid w:val="008F0FE1"/>
    <w:rsid w:val="008F134A"/>
    <w:rsid w:val="008F1678"/>
    <w:rsid w:val="008F1DED"/>
    <w:rsid w:val="008F2081"/>
    <w:rsid w:val="008F242F"/>
    <w:rsid w:val="008F252B"/>
    <w:rsid w:val="008F2646"/>
    <w:rsid w:val="008F26FB"/>
    <w:rsid w:val="008F27A0"/>
    <w:rsid w:val="008F3BCC"/>
    <w:rsid w:val="008F4272"/>
    <w:rsid w:val="008F4E80"/>
    <w:rsid w:val="008F5528"/>
    <w:rsid w:val="008F5609"/>
    <w:rsid w:val="008F5A93"/>
    <w:rsid w:val="008F5B6D"/>
    <w:rsid w:val="008F5F20"/>
    <w:rsid w:val="008F6991"/>
    <w:rsid w:val="008F727C"/>
    <w:rsid w:val="00901194"/>
    <w:rsid w:val="00901E22"/>
    <w:rsid w:val="009029E4"/>
    <w:rsid w:val="00902CC9"/>
    <w:rsid w:val="00902D64"/>
    <w:rsid w:val="00902EC9"/>
    <w:rsid w:val="00903881"/>
    <w:rsid w:val="00903E77"/>
    <w:rsid w:val="009042A8"/>
    <w:rsid w:val="00904726"/>
    <w:rsid w:val="00904921"/>
    <w:rsid w:val="009057EE"/>
    <w:rsid w:val="00905950"/>
    <w:rsid w:val="00905990"/>
    <w:rsid w:val="0090663B"/>
    <w:rsid w:val="00907092"/>
    <w:rsid w:val="009077F6"/>
    <w:rsid w:val="00911482"/>
    <w:rsid w:val="00911A7E"/>
    <w:rsid w:val="00911C88"/>
    <w:rsid w:val="009120FC"/>
    <w:rsid w:val="009131A4"/>
    <w:rsid w:val="009131D5"/>
    <w:rsid w:val="00913256"/>
    <w:rsid w:val="009144E9"/>
    <w:rsid w:val="0091452B"/>
    <w:rsid w:val="00914ED5"/>
    <w:rsid w:val="009151A6"/>
    <w:rsid w:val="00915376"/>
    <w:rsid w:val="00915F5D"/>
    <w:rsid w:val="00916366"/>
    <w:rsid w:val="00916533"/>
    <w:rsid w:val="009168E1"/>
    <w:rsid w:val="009176CD"/>
    <w:rsid w:val="009177F2"/>
    <w:rsid w:val="00917E53"/>
    <w:rsid w:val="00920667"/>
    <w:rsid w:val="00920897"/>
    <w:rsid w:val="00920BAA"/>
    <w:rsid w:val="00921383"/>
    <w:rsid w:val="00921CE8"/>
    <w:rsid w:val="00921E06"/>
    <w:rsid w:val="00921E7C"/>
    <w:rsid w:val="0092208F"/>
    <w:rsid w:val="0092297A"/>
    <w:rsid w:val="00923349"/>
    <w:rsid w:val="00923AD0"/>
    <w:rsid w:val="009249F6"/>
    <w:rsid w:val="00924FB9"/>
    <w:rsid w:val="0092540E"/>
    <w:rsid w:val="00925CE9"/>
    <w:rsid w:val="00926A0F"/>
    <w:rsid w:val="009273E5"/>
    <w:rsid w:val="0092751B"/>
    <w:rsid w:val="0092763A"/>
    <w:rsid w:val="0092778F"/>
    <w:rsid w:val="00930C82"/>
    <w:rsid w:val="009311CB"/>
    <w:rsid w:val="00931235"/>
    <w:rsid w:val="00931831"/>
    <w:rsid w:val="0093221E"/>
    <w:rsid w:val="0093286F"/>
    <w:rsid w:val="009334DC"/>
    <w:rsid w:val="00933C63"/>
    <w:rsid w:val="0093402E"/>
    <w:rsid w:val="0093405E"/>
    <w:rsid w:val="009345F8"/>
    <w:rsid w:val="00934D50"/>
    <w:rsid w:val="00934FA1"/>
    <w:rsid w:val="00935305"/>
    <w:rsid w:val="0093546D"/>
    <w:rsid w:val="00936260"/>
    <w:rsid w:val="00936337"/>
    <w:rsid w:val="009368D8"/>
    <w:rsid w:val="00936A7D"/>
    <w:rsid w:val="009376A0"/>
    <w:rsid w:val="009376D6"/>
    <w:rsid w:val="00940176"/>
    <w:rsid w:val="00940192"/>
    <w:rsid w:val="0094022B"/>
    <w:rsid w:val="00940533"/>
    <w:rsid w:val="009405BC"/>
    <w:rsid w:val="00940659"/>
    <w:rsid w:val="00940FA8"/>
    <w:rsid w:val="009414F5"/>
    <w:rsid w:val="009419F3"/>
    <w:rsid w:val="00941A61"/>
    <w:rsid w:val="00941D6C"/>
    <w:rsid w:val="00942BAB"/>
    <w:rsid w:val="009435C4"/>
    <w:rsid w:val="009439E4"/>
    <w:rsid w:val="00943A50"/>
    <w:rsid w:val="00943DF2"/>
    <w:rsid w:val="00944E56"/>
    <w:rsid w:val="00946A3F"/>
    <w:rsid w:val="00946F41"/>
    <w:rsid w:val="00947255"/>
    <w:rsid w:val="00947CF0"/>
    <w:rsid w:val="009503C0"/>
    <w:rsid w:val="009514AE"/>
    <w:rsid w:val="009518DE"/>
    <w:rsid w:val="009519D3"/>
    <w:rsid w:val="0095321C"/>
    <w:rsid w:val="00955D05"/>
    <w:rsid w:val="00955E34"/>
    <w:rsid w:val="00957AA3"/>
    <w:rsid w:val="009604B9"/>
    <w:rsid w:val="009615FB"/>
    <w:rsid w:val="00961635"/>
    <w:rsid w:val="009616A2"/>
    <w:rsid w:val="00961FBE"/>
    <w:rsid w:val="00962232"/>
    <w:rsid w:val="009629B8"/>
    <w:rsid w:val="00962EB1"/>
    <w:rsid w:val="00963640"/>
    <w:rsid w:val="00963D16"/>
    <w:rsid w:val="00963F77"/>
    <w:rsid w:val="00963F8F"/>
    <w:rsid w:val="00964456"/>
    <w:rsid w:val="00964717"/>
    <w:rsid w:val="00965090"/>
    <w:rsid w:val="009652EB"/>
    <w:rsid w:val="0096561E"/>
    <w:rsid w:val="0097009C"/>
    <w:rsid w:val="00970784"/>
    <w:rsid w:val="00970E46"/>
    <w:rsid w:val="00971342"/>
    <w:rsid w:val="00971347"/>
    <w:rsid w:val="00971615"/>
    <w:rsid w:val="0097259F"/>
    <w:rsid w:val="0097279E"/>
    <w:rsid w:val="00972A77"/>
    <w:rsid w:val="00973F0E"/>
    <w:rsid w:val="00974589"/>
    <w:rsid w:val="009749EC"/>
    <w:rsid w:val="00974EDF"/>
    <w:rsid w:val="0097518D"/>
    <w:rsid w:val="00975386"/>
    <w:rsid w:val="0097581E"/>
    <w:rsid w:val="00975AD7"/>
    <w:rsid w:val="009762D9"/>
    <w:rsid w:val="0097637A"/>
    <w:rsid w:val="00976B20"/>
    <w:rsid w:val="00977C33"/>
    <w:rsid w:val="009816B7"/>
    <w:rsid w:val="00981FE9"/>
    <w:rsid w:val="009820A1"/>
    <w:rsid w:val="00982190"/>
    <w:rsid w:val="00983538"/>
    <w:rsid w:val="00984916"/>
    <w:rsid w:val="00985241"/>
    <w:rsid w:val="009858CE"/>
    <w:rsid w:val="009858DB"/>
    <w:rsid w:val="00985B82"/>
    <w:rsid w:val="00986291"/>
    <w:rsid w:val="009862FA"/>
    <w:rsid w:val="00986F98"/>
    <w:rsid w:val="00987CD5"/>
    <w:rsid w:val="00990103"/>
    <w:rsid w:val="00990AAD"/>
    <w:rsid w:val="00990EB5"/>
    <w:rsid w:val="00992A00"/>
    <w:rsid w:val="00992C4C"/>
    <w:rsid w:val="00992CF6"/>
    <w:rsid w:val="00992F29"/>
    <w:rsid w:val="009933CF"/>
    <w:rsid w:val="009933E3"/>
    <w:rsid w:val="009942AF"/>
    <w:rsid w:val="009946CE"/>
    <w:rsid w:val="00994993"/>
    <w:rsid w:val="0099508B"/>
    <w:rsid w:val="0099598B"/>
    <w:rsid w:val="009959EA"/>
    <w:rsid w:val="0099621C"/>
    <w:rsid w:val="009965E1"/>
    <w:rsid w:val="00996C7C"/>
    <w:rsid w:val="00997611"/>
    <w:rsid w:val="009A0375"/>
    <w:rsid w:val="009A091D"/>
    <w:rsid w:val="009A145A"/>
    <w:rsid w:val="009A18BA"/>
    <w:rsid w:val="009A1922"/>
    <w:rsid w:val="009A19BA"/>
    <w:rsid w:val="009A1D46"/>
    <w:rsid w:val="009A2188"/>
    <w:rsid w:val="009A2505"/>
    <w:rsid w:val="009A2F3A"/>
    <w:rsid w:val="009A2F8F"/>
    <w:rsid w:val="009A3AE9"/>
    <w:rsid w:val="009A3E50"/>
    <w:rsid w:val="009A3FD9"/>
    <w:rsid w:val="009A4FC7"/>
    <w:rsid w:val="009A60D1"/>
    <w:rsid w:val="009A64F5"/>
    <w:rsid w:val="009A6DEB"/>
    <w:rsid w:val="009A72A6"/>
    <w:rsid w:val="009A7E30"/>
    <w:rsid w:val="009B06AA"/>
    <w:rsid w:val="009B0B62"/>
    <w:rsid w:val="009B10C6"/>
    <w:rsid w:val="009B1986"/>
    <w:rsid w:val="009B2102"/>
    <w:rsid w:val="009B2444"/>
    <w:rsid w:val="009B25D8"/>
    <w:rsid w:val="009B2C65"/>
    <w:rsid w:val="009B3202"/>
    <w:rsid w:val="009B328B"/>
    <w:rsid w:val="009B3C6E"/>
    <w:rsid w:val="009B4859"/>
    <w:rsid w:val="009B5ACB"/>
    <w:rsid w:val="009B6885"/>
    <w:rsid w:val="009B68A0"/>
    <w:rsid w:val="009B74B3"/>
    <w:rsid w:val="009C04F9"/>
    <w:rsid w:val="009C07E3"/>
    <w:rsid w:val="009C1087"/>
    <w:rsid w:val="009C12DC"/>
    <w:rsid w:val="009C1544"/>
    <w:rsid w:val="009C252D"/>
    <w:rsid w:val="009C25CA"/>
    <w:rsid w:val="009C3D10"/>
    <w:rsid w:val="009C4520"/>
    <w:rsid w:val="009C4A8D"/>
    <w:rsid w:val="009C4BD2"/>
    <w:rsid w:val="009C5047"/>
    <w:rsid w:val="009C5274"/>
    <w:rsid w:val="009C5437"/>
    <w:rsid w:val="009C5CF7"/>
    <w:rsid w:val="009C6067"/>
    <w:rsid w:val="009C607F"/>
    <w:rsid w:val="009C6640"/>
    <w:rsid w:val="009C66A0"/>
    <w:rsid w:val="009C6D6F"/>
    <w:rsid w:val="009C793F"/>
    <w:rsid w:val="009D0835"/>
    <w:rsid w:val="009D0957"/>
    <w:rsid w:val="009D0D67"/>
    <w:rsid w:val="009D0DB0"/>
    <w:rsid w:val="009D0EBA"/>
    <w:rsid w:val="009D0F48"/>
    <w:rsid w:val="009D1E7F"/>
    <w:rsid w:val="009D2F78"/>
    <w:rsid w:val="009D3025"/>
    <w:rsid w:val="009D3465"/>
    <w:rsid w:val="009D3605"/>
    <w:rsid w:val="009D3F2E"/>
    <w:rsid w:val="009D456F"/>
    <w:rsid w:val="009D47A5"/>
    <w:rsid w:val="009D6988"/>
    <w:rsid w:val="009D6D20"/>
    <w:rsid w:val="009E03DA"/>
    <w:rsid w:val="009E0C21"/>
    <w:rsid w:val="009E16B8"/>
    <w:rsid w:val="009E212B"/>
    <w:rsid w:val="009E3008"/>
    <w:rsid w:val="009E3020"/>
    <w:rsid w:val="009E354A"/>
    <w:rsid w:val="009E38AA"/>
    <w:rsid w:val="009E3AC3"/>
    <w:rsid w:val="009E42F4"/>
    <w:rsid w:val="009E43B5"/>
    <w:rsid w:val="009E45D8"/>
    <w:rsid w:val="009E56E2"/>
    <w:rsid w:val="009E665D"/>
    <w:rsid w:val="009E6DCA"/>
    <w:rsid w:val="009E79D3"/>
    <w:rsid w:val="009E7E0D"/>
    <w:rsid w:val="009F0194"/>
    <w:rsid w:val="009F02AA"/>
    <w:rsid w:val="009F0676"/>
    <w:rsid w:val="009F091C"/>
    <w:rsid w:val="009F09D7"/>
    <w:rsid w:val="009F0F2C"/>
    <w:rsid w:val="009F105B"/>
    <w:rsid w:val="009F1B6E"/>
    <w:rsid w:val="009F2475"/>
    <w:rsid w:val="009F2B61"/>
    <w:rsid w:val="009F2B72"/>
    <w:rsid w:val="009F348D"/>
    <w:rsid w:val="009F4265"/>
    <w:rsid w:val="009F4567"/>
    <w:rsid w:val="009F49CD"/>
    <w:rsid w:val="009F4E69"/>
    <w:rsid w:val="009F4EAD"/>
    <w:rsid w:val="009F6EE5"/>
    <w:rsid w:val="009F6FE8"/>
    <w:rsid w:val="00A000D6"/>
    <w:rsid w:val="00A01091"/>
    <w:rsid w:val="00A015C2"/>
    <w:rsid w:val="00A017A7"/>
    <w:rsid w:val="00A01915"/>
    <w:rsid w:val="00A020C0"/>
    <w:rsid w:val="00A021B0"/>
    <w:rsid w:val="00A02402"/>
    <w:rsid w:val="00A0250B"/>
    <w:rsid w:val="00A02A38"/>
    <w:rsid w:val="00A02B2A"/>
    <w:rsid w:val="00A02BA7"/>
    <w:rsid w:val="00A03506"/>
    <w:rsid w:val="00A038DC"/>
    <w:rsid w:val="00A03C42"/>
    <w:rsid w:val="00A04BC5"/>
    <w:rsid w:val="00A056F2"/>
    <w:rsid w:val="00A05CBB"/>
    <w:rsid w:val="00A0759D"/>
    <w:rsid w:val="00A077BA"/>
    <w:rsid w:val="00A078F1"/>
    <w:rsid w:val="00A102A4"/>
    <w:rsid w:val="00A123DC"/>
    <w:rsid w:val="00A12B19"/>
    <w:rsid w:val="00A12C52"/>
    <w:rsid w:val="00A13588"/>
    <w:rsid w:val="00A13774"/>
    <w:rsid w:val="00A14887"/>
    <w:rsid w:val="00A14D8C"/>
    <w:rsid w:val="00A156CC"/>
    <w:rsid w:val="00A15810"/>
    <w:rsid w:val="00A158B0"/>
    <w:rsid w:val="00A15BA4"/>
    <w:rsid w:val="00A16382"/>
    <w:rsid w:val="00A16862"/>
    <w:rsid w:val="00A16919"/>
    <w:rsid w:val="00A17084"/>
    <w:rsid w:val="00A176AF"/>
    <w:rsid w:val="00A1799C"/>
    <w:rsid w:val="00A17DB4"/>
    <w:rsid w:val="00A20022"/>
    <w:rsid w:val="00A209F1"/>
    <w:rsid w:val="00A2119F"/>
    <w:rsid w:val="00A218A4"/>
    <w:rsid w:val="00A21999"/>
    <w:rsid w:val="00A2370E"/>
    <w:rsid w:val="00A23BDC"/>
    <w:rsid w:val="00A249A2"/>
    <w:rsid w:val="00A257F1"/>
    <w:rsid w:val="00A26CEE"/>
    <w:rsid w:val="00A26CFE"/>
    <w:rsid w:val="00A278EF"/>
    <w:rsid w:val="00A27D4E"/>
    <w:rsid w:val="00A30108"/>
    <w:rsid w:val="00A30385"/>
    <w:rsid w:val="00A3067C"/>
    <w:rsid w:val="00A3093F"/>
    <w:rsid w:val="00A30DFE"/>
    <w:rsid w:val="00A31C8B"/>
    <w:rsid w:val="00A326D3"/>
    <w:rsid w:val="00A32863"/>
    <w:rsid w:val="00A32F72"/>
    <w:rsid w:val="00A33272"/>
    <w:rsid w:val="00A33577"/>
    <w:rsid w:val="00A3383A"/>
    <w:rsid w:val="00A33848"/>
    <w:rsid w:val="00A3594F"/>
    <w:rsid w:val="00A35F0D"/>
    <w:rsid w:val="00A3609E"/>
    <w:rsid w:val="00A362D2"/>
    <w:rsid w:val="00A36A45"/>
    <w:rsid w:val="00A371DA"/>
    <w:rsid w:val="00A37909"/>
    <w:rsid w:val="00A40055"/>
    <w:rsid w:val="00A408DC"/>
    <w:rsid w:val="00A4146E"/>
    <w:rsid w:val="00A4153C"/>
    <w:rsid w:val="00A41D9C"/>
    <w:rsid w:val="00A42656"/>
    <w:rsid w:val="00A42919"/>
    <w:rsid w:val="00A436C6"/>
    <w:rsid w:val="00A43989"/>
    <w:rsid w:val="00A44497"/>
    <w:rsid w:val="00A444A4"/>
    <w:rsid w:val="00A452CF"/>
    <w:rsid w:val="00A458E2"/>
    <w:rsid w:val="00A45EF4"/>
    <w:rsid w:val="00A4605B"/>
    <w:rsid w:val="00A46069"/>
    <w:rsid w:val="00A4644D"/>
    <w:rsid w:val="00A465F6"/>
    <w:rsid w:val="00A46617"/>
    <w:rsid w:val="00A46651"/>
    <w:rsid w:val="00A46B6B"/>
    <w:rsid w:val="00A46E59"/>
    <w:rsid w:val="00A4702B"/>
    <w:rsid w:val="00A4789A"/>
    <w:rsid w:val="00A50122"/>
    <w:rsid w:val="00A5037D"/>
    <w:rsid w:val="00A50EB2"/>
    <w:rsid w:val="00A51655"/>
    <w:rsid w:val="00A51AD0"/>
    <w:rsid w:val="00A51EE0"/>
    <w:rsid w:val="00A5215D"/>
    <w:rsid w:val="00A52891"/>
    <w:rsid w:val="00A52D58"/>
    <w:rsid w:val="00A533F7"/>
    <w:rsid w:val="00A5383F"/>
    <w:rsid w:val="00A5398D"/>
    <w:rsid w:val="00A54B61"/>
    <w:rsid w:val="00A55F7C"/>
    <w:rsid w:val="00A563F7"/>
    <w:rsid w:val="00A56E71"/>
    <w:rsid w:val="00A57353"/>
    <w:rsid w:val="00A57358"/>
    <w:rsid w:val="00A60F97"/>
    <w:rsid w:val="00A61CE8"/>
    <w:rsid w:val="00A61FFD"/>
    <w:rsid w:val="00A62421"/>
    <w:rsid w:val="00A625DC"/>
    <w:rsid w:val="00A62C2D"/>
    <w:rsid w:val="00A63AA6"/>
    <w:rsid w:val="00A63CBF"/>
    <w:rsid w:val="00A64237"/>
    <w:rsid w:val="00A64DA4"/>
    <w:rsid w:val="00A654F1"/>
    <w:rsid w:val="00A655AE"/>
    <w:rsid w:val="00A65EF1"/>
    <w:rsid w:val="00A70B03"/>
    <w:rsid w:val="00A70ECA"/>
    <w:rsid w:val="00A71081"/>
    <w:rsid w:val="00A71984"/>
    <w:rsid w:val="00A72E6C"/>
    <w:rsid w:val="00A733B3"/>
    <w:rsid w:val="00A733CC"/>
    <w:rsid w:val="00A74151"/>
    <w:rsid w:val="00A7440C"/>
    <w:rsid w:val="00A7447D"/>
    <w:rsid w:val="00A74611"/>
    <w:rsid w:val="00A746C7"/>
    <w:rsid w:val="00A75467"/>
    <w:rsid w:val="00A754E3"/>
    <w:rsid w:val="00A75592"/>
    <w:rsid w:val="00A76C7F"/>
    <w:rsid w:val="00A77C07"/>
    <w:rsid w:val="00A77CAD"/>
    <w:rsid w:val="00A77F18"/>
    <w:rsid w:val="00A81663"/>
    <w:rsid w:val="00A81778"/>
    <w:rsid w:val="00A81E53"/>
    <w:rsid w:val="00A823FC"/>
    <w:rsid w:val="00A82A93"/>
    <w:rsid w:val="00A82BFF"/>
    <w:rsid w:val="00A831D6"/>
    <w:rsid w:val="00A835AE"/>
    <w:rsid w:val="00A83E23"/>
    <w:rsid w:val="00A83EC9"/>
    <w:rsid w:val="00A85A5F"/>
    <w:rsid w:val="00A868CC"/>
    <w:rsid w:val="00A86BD4"/>
    <w:rsid w:val="00A86EC2"/>
    <w:rsid w:val="00A87800"/>
    <w:rsid w:val="00A87D89"/>
    <w:rsid w:val="00A87FF7"/>
    <w:rsid w:val="00A9082F"/>
    <w:rsid w:val="00A908C5"/>
    <w:rsid w:val="00A90C9C"/>
    <w:rsid w:val="00A90E41"/>
    <w:rsid w:val="00A90EC9"/>
    <w:rsid w:val="00A911F7"/>
    <w:rsid w:val="00A9176B"/>
    <w:rsid w:val="00A91CFA"/>
    <w:rsid w:val="00A9215D"/>
    <w:rsid w:val="00A9218E"/>
    <w:rsid w:val="00A92E19"/>
    <w:rsid w:val="00A931A2"/>
    <w:rsid w:val="00A93201"/>
    <w:rsid w:val="00A935DA"/>
    <w:rsid w:val="00A94131"/>
    <w:rsid w:val="00A948AD"/>
    <w:rsid w:val="00A94C62"/>
    <w:rsid w:val="00A95175"/>
    <w:rsid w:val="00A958E1"/>
    <w:rsid w:val="00A969BD"/>
    <w:rsid w:val="00A96BE6"/>
    <w:rsid w:val="00AA0115"/>
    <w:rsid w:val="00AA15AA"/>
    <w:rsid w:val="00AA1C3D"/>
    <w:rsid w:val="00AA2DEF"/>
    <w:rsid w:val="00AA34B7"/>
    <w:rsid w:val="00AA3701"/>
    <w:rsid w:val="00AA4EE6"/>
    <w:rsid w:val="00AA50B0"/>
    <w:rsid w:val="00AA547B"/>
    <w:rsid w:val="00AA66C5"/>
    <w:rsid w:val="00AA72B9"/>
    <w:rsid w:val="00AA774A"/>
    <w:rsid w:val="00AB0553"/>
    <w:rsid w:val="00AB079C"/>
    <w:rsid w:val="00AB0E23"/>
    <w:rsid w:val="00AB0E6C"/>
    <w:rsid w:val="00AB0F6D"/>
    <w:rsid w:val="00AB151C"/>
    <w:rsid w:val="00AB1982"/>
    <w:rsid w:val="00AB1F12"/>
    <w:rsid w:val="00AB23CC"/>
    <w:rsid w:val="00AB405B"/>
    <w:rsid w:val="00AB4910"/>
    <w:rsid w:val="00AB5DAF"/>
    <w:rsid w:val="00AB6022"/>
    <w:rsid w:val="00AC078D"/>
    <w:rsid w:val="00AC16CA"/>
    <w:rsid w:val="00AC1732"/>
    <w:rsid w:val="00AC175D"/>
    <w:rsid w:val="00AC18D5"/>
    <w:rsid w:val="00AC195A"/>
    <w:rsid w:val="00AC1DA8"/>
    <w:rsid w:val="00AC2676"/>
    <w:rsid w:val="00AC2BCE"/>
    <w:rsid w:val="00AC3381"/>
    <w:rsid w:val="00AC3F7A"/>
    <w:rsid w:val="00AC3F8E"/>
    <w:rsid w:val="00AC421F"/>
    <w:rsid w:val="00AC46E8"/>
    <w:rsid w:val="00AC47E6"/>
    <w:rsid w:val="00AC48CC"/>
    <w:rsid w:val="00AC4FE8"/>
    <w:rsid w:val="00AC5D20"/>
    <w:rsid w:val="00AC7628"/>
    <w:rsid w:val="00AD0A1C"/>
    <w:rsid w:val="00AD0C22"/>
    <w:rsid w:val="00AD0FCF"/>
    <w:rsid w:val="00AD17A1"/>
    <w:rsid w:val="00AD1854"/>
    <w:rsid w:val="00AD21AC"/>
    <w:rsid w:val="00AD2B29"/>
    <w:rsid w:val="00AD2C82"/>
    <w:rsid w:val="00AD4438"/>
    <w:rsid w:val="00AD4FC4"/>
    <w:rsid w:val="00AD51C0"/>
    <w:rsid w:val="00AD525E"/>
    <w:rsid w:val="00AD6293"/>
    <w:rsid w:val="00AD6B6E"/>
    <w:rsid w:val="00AD6FE6"/>
    <w:rsid w:val="00AD72C5"/>
    <w:rsid w:val="00AD76E0"/>
    <w:rsid w:val="00AE092F"/>
    <w:rsid w:val="00AE0D43"/>
    <w:rsid w:val="00AE1659"/>
    <w:rsid w:val="00AE1844"/>
    <w:rsid w:val="00AE27D2"/>
    <w:rsid w:val="00AE4505"/>
    <w:rsid w:val="00AE4A0C"/>
    <w:rsid w:val="00AE4AE7"/>
    <w:rsid w:val="00AE55CB"/>
    <w:rsid w:val="00AE63C5"/>
    <w:rsid w:val="00AE6456"/>
    <w:rsid w:val="00AE6679"/>
    <w:rsid w:val="00AE6CB2"/>
    <w:rsid w:val="00AE6F9D"/>
    <w:rsid w:val="00AE6FBB"/>
    <w:rsid w:val="00AE741B"/>
    <w:rsid w:val="00AE7747"/>
    <w:rsid w:val="00AE7B53"/>
    <w:rsid w:val="00AE7B90"/>
    <w:rsid w:val="00AF0049"/>
    <w:rsid w:val="00AF017F"/>
    <w:rsid w:val="00AF17A4"/>
    <w:rsid w:val="00AF18AA"/>
    <w:rsid w:val="00AF237C"/>
    <w:rsid w:val="00AF24F6"/>
    <w:rsid w:val="00AF2999"/>
    <w:rsid w:val="00AF2EF7"/>
    <w:rsid w:val="00AF2FFB"/>
    <w:rsid w:val="00AF31D4"/>
    <w:rsid w:val="00AF334A"/>
    <w:rsid w:val="00AF5E5D"/>
    <w:rsid w:val="00AF5E82"/>
    <w:rsid w:val="00AF7B7E"/>
    <w:rsid w:val="00B0004B"/>
    <w:rsid w:val="00B013DA"/>
    <w:rsid w:val="00B01ECA"/>
    <w:rsid w:val="00B021A9"/>
    <w:rsid w:val="00B02540"/>
    <w:rsid w:val="00B027DD"/>
    <w:rsid w:val="00B0343A"/>
    <w:rsid w:val="00B036A3"/>
    <w:rsid w:val="00B03952"/>
    <w:rsid w:val="00B03C1F"/>
    <w:rsid w:val="00B04164"/>
    <w:rsid w:val="00B0489C"/>
    <w:rsid w:val="00B04E2E"/>
    <w:rsid w:val="00B0506D"/>
    <w:rsid w:val="00B054DB"/>
    <w:rsid w:val="00B06319"/>
    <w:rsid w:val="00B067F3"/>
    <w:rsid w:val="00B069CA"/>
    <w:rsid w:val="00B06B15"/>
    <w:rsid w:val="00B107AD"/>
    <w:rsid w:val="00B108FE"/>
    <w:rsid w:val="00B10AEC"/>
    <w:rsid w:val="00B10B28"/>
    <w:rsid w:val="00B10C27"/>
    <w:rsid w:val="00B110B8"/>
    <w:rsid w:val="00B114F4"/>
    <w:rsid w:val="00B11B47"/>
    <w:rsid w:val="00B11EEF"/>
    <w:rsid w:val="00B12074"/>
    <w:rsid w:val="00B123BA"/>
    <w:rsid w:val="00B128B4"/>
    <w:rsid w:val="00B12A56"/>
    <w:rsid w:val="00B138D8"/>
    <w:rsid w:val="00B1391F"/>
    <w:rsid w:val="00B139D0"/>
    <w:rsid w:val="00B13EC4"/>
    <w:rsid w:val="00B14A9A"/>
    <w:rsid w:val="00B14EE2"/>
    <w:rsid w:val="00B15EBD"/>
    <w:rsid w:val="00B17013"/>
    <w:rsid w:val="00B202BE"/>
    <w:rsid w:val="00B20ACC"/>
    <w:rsid w:val="00B2106D"/>
    <w:rsid w:val="00B2115B"/>
    <w:rsid w:val="00B212DD"/>
    <w:rsid w:val="00B21508"/>
    <w:rsid w:val="00B21D8B"/>
    <w:rsid w:val="00B22860"/>
    <w:rsid w:val="00B22CEB"/>
    <w:rsid w:val="00B231CD"/>
    <w:rsid w:val="00B23D24"/>
    <w:rsid w:val="00B24C58"/>
    <w:rsid w:val="00B260C1"/>
    <w:rsid w:val="00B260DD"/>
    <w:rsid w:val="00B26643"/>
    <w:rsid w:val="00B269F7"/>
    <w:rsid w:val="00B26A84"/>
    <w:rsid w:val="00B26BA6"/>
    <w:rsid w:val="00B26DDC"/>
    <w:rsid w:val="00B27590"/>
    <w:rsid w:val="00B27B6F"/>
    <w:rsid w:val="00B27C05"/>
    <w:rsid w:val="00B30216"/>
    <w:rsid w:val="00B30447"/>
    <w:rsid w:val="00B30551"/>
    <w:rsid w:val="00B30F81"/>
    <w:rsid w:val="00B310D1"/>
    <w:rsid w:val="00B3111C"/>
    <w:rsid w:val="00B3166D"/>
    <w:rsid w:val="00B317B9"/>
    <w:rsid w:val="00B31AA3"/>
    <w:rsid w:val="00B31F15"/>
    <w:rsid w:val="00B323C8"/>
    <w:rsid w:val="00B32B61"/>
    <w:rsid w:val="00B33616"/>
    <w:rsid w:val="00B33F2A"/>
    <w:rsid w:val="00B35952"/>
    <w:rsid w:val="00B371BF"/>
    <w:rsid w:val="00B37AAA"/>
    <w:rsid w:val="00B40A23"/>
    <w:rsid w:val="00B4148B"/>
    <w:rsid w:val="00B41A20"/>
    <w:rsid w:val="00B41BBF"/>
    <w:rsid w:val="00B41C09"/>
    <w:rsid w:val="00B41F07"/>
    <w:rsid w:val="00B4205B"/>
    <w:rsid w:val="00B426F6"/>
    <w:rsid w:val="00B42DA7"/>
    <w:rsid w:val="00B43DA9"/>
    <w:rsid w:val="00B44D35"/>
    <w:rsid w:val="00B455A8"/>
    <w:rsid w:val="00B46071"/>
    <w:rsid w:val="00B4621A"/>
    <w:rsid w:val="00B523CD"/>
    <w:rsid w:val="00B53528"/>
    <w:rsid w:val="00B53887"/>
    <w:rsid w:val="00B53DC4"/>
    <w:rsid w:val="00B54D12"/>
    <w:rsid w:val="00B55E3D"/>
    <w:rsid w:val="00B5681F"/>
    <w:rsid w:val="00B56B77"/>
    <w:rsid w:val="00B57208"/>
    <w:rsid w:val="00B573A5"/>
    <w:rsid w:val="00B5786F"/>
    <w:rsid w:val="00B60145"/>
    <w:rsid w:val="00B61078"/>
    <w:rsid w:val="00B61C61"/>
    <w:rsid w:val="00B623AF"/>
    <w:rsid w:val="00B626C7"/>
    <w:rsid w:val="00B627E1"/>
    <w:rsid w:val="00B62D75"/>
    <w:rsid w:val="00B62F53"/>
    <w:rsid w:val="00B6320E"/>
    <w:rsid w:val="00B63BC8"/>
    <w:rsid w:val="00B642BF"/>
    <w:rsid w:val="00B64705"/>
    <w:rsid w:val="00B64841"/>
    <w:rsid w:val="00B6491A"/>
    <w:rsid w:val="00B64BA9"/>
    <w:rsid w:val="00B655A1"/>
    <w:rsid w:val="00B6571A"/>
    <w:rsid w:val="00B6617F"/>
    <w:rsid w:val="00B67592"/>
    <w:rsid w:val="00B6773D"/>
    <w:rsid w:val="00B678C9"/>
    <w:rsid w:val="00B6798D"/>
    <w:rsid w:val="00B7154F"/>
    <w:rsid w:val="00B71890"/>
    <w:rsid w:val="00B71A6F"/>
    <w:rsid w:val="00B71AA8"/>
    <w:rsid w:val="00B71E46"/>
    <w:rsid w:val="00B72402"/>
    <w:rsid w:val="00B7249A"/>
    <w:rsid w:val="00B72B66"/>
    <w:rsid w:val="00B72C7D"/>
    <w:rsid w:val="00B72CE6"/>
    <w:rsid w:val="00B72EA0"/>
    <w:rsid w:val="00B733D7"/>
    <w:rsid w:val="00B736C1"/>
    <w:rsid w:val="00B7370A"/>
    <w:rsid w:val="00B7399D"/>
    <w:rsid w:val="00B73E6B"/>
    <w:rsid w:val="00B74044"/>
    <w:rsid w:val="00B74106"/>
    <w:rsid w:val="00B74695"/>
    <w:rsid w:val="00B74AED"/>
    <w:rsid w:val="00B74C20"/>
    <w:rsid w:val="00B75274"/>
    <w:rsid w:val="00B753F5"/>
    <w:rsid w:val="00B75696"/>
    <w:rsid w:val="00B7577C"/>
    <w:rsid w:val="00B75991"/>
    <w:rsid w:val="00B75A3D"/>
    <w:rsid w:val="00B75C7F"/>
    <w:rsid w:val="00B76037"/>
    <w:rsid w:val="00B761E9"/>
    <w:rsid w:val="00B76563"/>
    <w:rsid w:val="00B7682E"/>
    <w:rsid w:val="00B77E2F"/>
    <w:rsid w:val="00B80509"/>
    <w:rsid w:val="00B80966"/>
    <w:rsid w:val="00B8105F"/>
    <w:rsid w:val="00B8141D"/>
    <w:rsid w:val="00B8182D"/>
    <w:rsid w:val="00B82AC3"/>
    <w:rsid w:val="00B82C8B"/>
    <w:rsid w:val="00B82CE3"/>
    <w:rsid w:val="00B83272"/>
    <w:rsid w:val="00B8391E"/>
    <w:rsid w:val="00B83DDF"/>
    <w:rsid w:val="00B84DD3"/>
    <w:rsid w:val="00B84E10"/>
    <w:rsid w:val="00B8542B"/>
    <w:rsid w:val="00B854A1"/>
    <w:rsid w:val="00B858A4"/>
    <w:rsid w:val="00B858E4"/>
    <w:rsid w:val="00B85AC8"/>
    <w:rsid w:val="00B86403"/>
    <w:rsid w:val="00B8659F"/>
    <w:rsid w:val="00B8677A"/>
    <w:rsid w:val="00B86880"/>
    <w:rsid w:val="00B87052"/>
    <w:rsid w:val="00B87AF1"/>
    <w:rsid w:val="00B87CF2"/>
    <w:rsid w:val="00B9063C"/>
    <w:rsid w:val="00B90671"/>
    <w:rsid w:val="00B90B1C"/>
    <w:rsid w:val="00B91366"/>
    <w:rsid w:val="00B9191B"/>
    <w:rsid w:val="00B928C5"/>
    <w:rsid w:val="00B92CEA"/>
    <w:rsid w:val="00B93D83"/>
    <w:rsid w:val="00B93DA6"/>
    <w:rsid w:val="00B93F03"/>
    <w:rsid w:val="00B944D5"/>
    <w:rsid w:val="00B94539"/>
    <w:rsid w:val="00B9524E"/>
    <w:rsid w:val="00B9584C"/>
    <w:rsid w:val="00B95CE4"/>
    <w:rsid w:val="00B95DCE"/>
    <w:rsid w:val="00B971FA"/>
    <w:rsid w:val="00B976A3"/>
    <w:rsid w:val="00B97921"/>
    <w:rsid w:val="00BA0046"/>
    <w:rsid w:val="00BA0646"/>
    <w:rsid w:val="00BA064C"/>
    <w:rsid w:val="00BA09D4"/>
    <w:rsid w:val="00BA13E1"/>
    <w:rsid w:val="00BA1CE8"/>
    <w:rsid w:val="00BA1F63"/>
    <w:rsid w:val="00BA266B"/>
    <w:rsid w:val="00BA284E"/>
    <w:rsid w:val="00BA2EE4"/>
    <w:rsid w:val="00BA5278"/>
    <w:rsid w:val="00BA5788"/>
    <w:rsid w:val="00BA59B0"/>
    <w:rsid w:val="00BA60A8"/>
    <w:rsid w:val="00BA61E3"/>
    <w:rsid w:val="00BA796A"/>
    <w:rsid w:val="00BA7CF9"/>
    <w:rsid w:val="00BB001D"/>
    <w:rsid w:val="00BB00E7"/>
    <w:rsid w:val="00BB00EA"/>
    <w:rsid w:val="00BB1152"/>
    <w:rsid w:val="00BB1992"/>
    <w:rsid w:val="00BB1FB9"/>
    <w:rsid w:val="00BB3866"/>
    <w:rsid w:val="00BB3EB4"/>
    <w:rsid w:val="00BB40F1"/>
    <w:rsid w:val="00BB4361"/>
    <w:rsid w:val="00BB44CD"/>
    <w:rsid w:val="00BB4828"/>
    <w:rsid w:val="00BB5EC9"/>
    <w:rsid w:val="00BB6AD3"/>
    <w:rsid w:val="00BB745C"/>
    <w:rsid w:val="00BB7663"/>
    <w:rsid w:val="00BB7784"/>
    <w:rsid w:val="00BB7FB8"/>
    <w:rsid w:val="00BC0598"/>
    <w:rsid w:val="00BC0C36"/>
    <w:rsid w:val="00BC19B7"/>
    <w:rsid w:val="00BC3BA0"/>
    <w:rsid w:val="00BC5146"/>
    <w:rsid w:val="00BC5D70"/>
    <w:rsid w:val="00BC6A4E"/>
    <w:rsid w:val="00BC7A3D"/>
    <w:rsid w:val="00BD004E"/>
    <w:rsid w:val="00BD0A28"/>
    <w:rsid w:val="00BD1A63"/>
    <w:rsid w:val="00BD1E6F"/>
    <w:rsid w:val="00BD223E"/>
    <w:rsid w:val="00BD3615"/>
    <w:rsid w:val="00BD3811"/>
    <w:rsid w:val="00BD3817"/>
    <w:rsid w:val="00BD3997"/>
    <w:rsid w:val="00BD3A1A"/>
    <w:rsid w:val="00BD3B28"/>
    <w:rsid w:val="00BD40C6"/>
    <w:rsid w:val="00BD43F2"/>
    <w:rsid w:val="00BD43F3"/>
    <w:rsid w:val="00BD4412"/>
    <w:rsid w:val="00BD5A21"/>
    <w:rsid w:val="00BD660B"/>
    <w:rsid w:val="00BD68AC"/>
    <w:rsid w:val="00BD71F5"/>
    <w:rsid w:val="00BD7276"/>
    <w:rsid w:val="00BD79A0"/>
    <w:rsid w:val="00BD7C2E"/>
    <w:rsid w:val="00BE0555"/>
    <w:rsid w:val="00BE1666"/>
    <w:rsid w:val="00BE275F"/>
    <w:rsid w:val="00BE2AD0"/>
    <w:rsid w:val="00BE3E0D"/>
    <w:rsid w:val="00BE40EB"/>
    <w:rsid w:val="00BE4367"/>
    <w:rsid w:val="00BE475F"/>
    <w:rsid w:val="00BE6013"/>
    <w:rsid w:val="00BE6777"/>
    <w:rsid w:val="00BE6959"/>
    <w:rsid w:val="00BE6AA1"/>
    <w:rsid w:val="00BE6DD6"/>
    <w:rsid w:val="00BE77D0"/>
    <w:rsid w:val="00BE7A03"/>
    <w:rsid w:val="00BE7A06"/>
    <w:rsid w:val="00BE7F3A"/>
    <w:rsid w:val="00BE7F43"/>
    <w:rsid w:val="00BE7F87"/>
    <w:rsid w:val="00BF068A"/>
    <w:rsid w:val="00BF1B3C"/>
    <w:rsid w:val="00BF1B74"/>
    <w:rsid w:val="00BF1F54"/>
    <w:rsid w:val="00BF248C"/>
    <w:rsid w:val="00BF28DB"/>
    <w:rsid w:val="00BF2E6A"/>
    <w:rsid w:val="00BF3006"/>
    <w:rsid w:val="00BF3C10"/>
    <w:rsid w:val="00BF4086"/>
    <w:rsid w:val="00BF4595"/>
    <w:rsid w:val="00BF47D6"/>
    <w:rsid w:val="00BF5021"/>
    <w:rsid w:val="00BF5B75"/>
    <w:rsid w:val="00BF6518"/>
    <w:rsid w:val="00BF666E"/>
    <w:rsid w:val="00BF66FC"/>
    <w:rsid w:val="00BF6DB4"/>
    <w:rsid w:val="00BF7A25"/>
    <w:rsid w:val="00BF7A5C"/>
    <w:rsid w:val="00C004E0"/>
    <w:rsid w:val="00C0051E"/>
    <w:rsid w:val="00C00ADF"/>
    <w:rsid w:val="00C01ACD"/>
    <w:rsid w:val="00C01E36"/>
    <w:rsid w:val="00C024CB"/>
    <w:rsid w:val="00C0286C"/>
    <w:rsid w:val="00C02DFE"/>
    <w:rsid w:val="00C02E04"/>
    <w:rsid w:val="00C03CFF"/>
    <w:rsid w:val="00C0478D"/>
    <w:rsid w:val="00C049F6"/>
    <w:rsid w:val="00C053BC"/>
    <w:rsid w:val="00C05697"/>
    <w:rsid w:val="00C05C45"/>
    <w:rsid w:val="00C05DDD"/>
    <w:rsid w:val="00C0610C"/>
    <w:rsid w:val="00C0631A"/>
    <w:rsid w:val="00C064C8"/>
    <w:rsid w:val="00C0680E"/>
    <w:rsid w:val="00C06D4E"/>
    <w:rsid w:val="00C07273"/>
    <w:rsid w:val="00C072B1"/>
    <w:rsid w:val="00C076D9"/>
    <w:rsid w:val="00C10051"/>
    <w:rsid w:val="00C11AC1"/>
    <w:rsid w:val="00C11EB7"/>
    <w:rsid w:val="00C1263D"/>
    <w:rsid w:val="00C13B80"/>
    <w:rsid w:val="00C14159"/>
    <w:rsid w:val="00C14687"/>
    <w:rsid w:val="00C147F6"/>
    <w:rsid w:val="00C14A4C"/>
    <w:rsid w:val="00C14A8C"/>
    <w:rsid w:val="00C15622"/>
    <w:rsid w:val="00C16B32"/>
    <w:rsid w:val="00C177AF"/>
    <w:rsid w:val="00C201DE"/>
    <w:rsid w:val="00C20613"/>
    <w:rsid w:val="00C20694"/>
    <w:rsid w:val="00C208A2"/>
    <w:rsid w:val="00C20BD5"/>
    <w:rsid w:val="00C2194B"/>
    <w:rsid w:val="00C21AB7"/>
    <w:rsid w:val="00C21E79"/>
    <w:rsid w:val="00C21F40"/>
    <w:rsid w:val="00C22213"/>
    <w:rsid w:val="00C2223D"/>
    <w:rsid w:val="00C24592"/>
    <w:rsid w:val="00C26A2B"/>
    <w:rsid w:val="00C26E78"/>
    <w:rsid w:val="00C274AA"/>
    <w:rsid w:val="00C27711"/>
    <w:rsid w:val="00C27782"/>
    <w:rsid w:val="00C30D23"/>
    <w:rsid w:val="00C310B2"/>
    <w:rsid w:val="00C31763"/>
    <w:rsid w:val="00C318E5"/>
    <w:rsid w:val="00C31A8A"/>
    <w:rsid w:val="00C31B33"/>
    <w:rsid w:val="00C320C6"/>
    <w:rsid w:val="00C32C65"/>
    <w:rsid w:val="00C3337C"/>
    <w:rsid w:val="00C33408"/>
    <w:rsid w:val="00C34042"/>
    <w:rsid w:val="00C342C8"/>
    <w:rsid w:val="00C35598"/>
    <w:rsid w:val="00C35663"/>
    <w:rsid w:val="00C358DA"/>
    <w:rsid w:val="00C3634B"/>
    <w:rsid w:val="00C36AD1"/>
    <w:rsid w:val="00C36E72"/>
    <w:rsid w:val="00C37644"/>
    <w:rsid w:val="00C40052"/>
    <w:rsid w:val="00C401B9"/>
    <w:rsid w:val="00C40970"/>
    <w:rsid w:val="00C4139C"/>
    <w:rsid w:val="00C41D40"/>
    <w:rsid w:val="00C4218C"/>
    <w:rsid w:val="00C422B4"/>
    <w:rsid w:val="00C42437"/>
    <w:rsid w:val="00C429FE"/>
    <w:rsid w:val="00C42A95"/>
    <w:rsid w:val="00C42C97"/>
    <w:rsid w:val="00C434C2"/>
    <w:rsid w:val="00C4368B"/>
    <w:rsid w:val="00C44142"/>
    <w:rsid w:val="00C4564F"/>
    <w:rsid w:val="00C456D2"/>
    <w:rsid w:val="00C457F0"/>
    <w:rsid w:val="00C4593F"/>
    <w:rsid w:val="00C45A29"/>
    <w:rsid w:val="00C45A61"/>
    <w:rsid w:val="00C4634C"/>
    <w:rsid w:val="00C466DD"/>
    <w:rsid w:val="00C46E34"/>
    <w:rsid w:val="00C4748C"/>
    <w:rsid w:val="00C50263"/>
    <w:rsid w:val="00C50E69"/>
    <w:rsid w:val="00C512DF"/>
    <w:rsid w:val="00C5160D"/>
    <w:rsid w:val="00C51628"/>
    <w:rsid w:val="00C5266C"/>
    <w:rsid w:val="00C53095"/>
    <w:rsid w:val="00C53D1A"/>
    <w:rsid w:val="00C53EE4"/>
    <w:rsid w:val="00C54124"/>
    <w:rsid w:val="00C54944"/>
    <w:rsid w:val="00C54957"/>
    <w:rsid w:val="00C551EB"/>
    <w:rsid w:val="00C5536F"/>
    <w:rsid w:val="00C55BCF"/>
    <w:rsid w:val="00C56226"/>
    <w:rsid w:val="00C56277"/>
    <w:rsid w:val="00C56E43"/>
    <w:rsid w:val="00C56F84"/>
    <w:rsid w:val="00C5723F"/>
    <w:rsid w:val="00C57A77"/>
    <w:rsid w:val="00C57FB3"/>
    <w:rsid w:val="00C60379"/>
    <w:rsid w:val="00C60794"/>
    <w:rsid w:val="00C60BA4"/>
    <w:rsid w:val="00C60DF9"/>
    <w:rsid w:val="00C614C5"/>
    <w:rsid w:val="00C614CE"/>
    <w:rsid w:val="00C61810"/>
    <w:rsid w:val="00C631AB"/>
    <w:rsid w:val="00C63523"/>
    <w:rsid w:val="00C64E03"/>
    <w:rsid w:val="00C656CA"/>
    <w:rsid w:val="00C66C40"/>
    <w:rsid w:val="00C675F3"/>
    <w:rsid w:val="00C679E7"/>
    <w:rsid w:val="00C67DAE"/>
    <w:rsid w:val="00C7114B"/>
    <w:rsid w:val="00C7119A"/>
    <w:rsid w:val="00C711E4"/>
    <w:rsid w:val="00C71508"/>
    <w:rsid w:val="00C7158E"/>
    <w:rsid w:val="00C7179B"/>
    <w:rsid w:val="00C71EC2"/>
    <w:rsid w:val="00C72664"/>
    <w:rsid w:val="00C72DB6"/>
    <w:rsid w:val="00C73B87"/>
    <w:rsid w:val="00C73D14"/>
    <w:rsid w:val="00C74244"/>
    <w:rsid w:val="00C74D92"/>
    <w:rsid w:val="00C74DEB"/>
    <w:rsid w:val="00C75871"/>
    <w:rsid w:val="00C75AFA"/>
    <w:rsid w:val="00C765D4"/>
    <w:rsid w:val="00C770BC"/>
    <w:rsid w:val="00C775A0"/>
    <w:rsid w:val="00C777B5"/>
    <w:rsid w:val="00C8035F"/>
    <w:rsid w:val="00C809E4"/>
    <w:rsid w:val="00C822DD"/>
    <w:rsid w:val="00C82C06"/>
    <w:rsid w:val="00C8346C"/>
    <w:rsid w:val="00C835F1"/>
    <w:rsid w:val="00C83FCD"/>
    <w:rsid w:val="00C84172"/>
    <w:rsid w:val="00C84B64"/>
    <w:rsid w:val="00C84D53"/>
    <w:rsid w:val="00C851A3"/>
    <w:rsid w:val="00C856BD"/>
    <w:rsid w:val="00C8619C"/>
    <w:rsid w:val="00C8635E"/>
    <w:rsid w:val="00C864CB"/>
    <w:rsid w:val="00C869B9"/>
    <w:rsid w:val="00C8773B"/>
    <w:rsid w:val="00C87B7B"/>
    <w:rsid w:val="00C87BC4"/>
    <w:rsid w:val="00C87CDB"/>
    <w:rsid w:val="00C87F6D"/>
    <w:rsid w:val="00C90209"/>
    <w:rsid w:val="00C90290"/>
    <w:rsid w:val="00C90679"/>
    <w:rsid w:val="00C907AF"/>
    <w:rsid w:val="00C912E0"/>
    <w:rsid w:val="00C916EB"/>
    <w:rsid w:val="00C91A22"/>
    <w:rsid w:val="00C91E12"/>
    <w:rsid w:val="00C91F5C"/>
    <w:rsid w:val="00C925C9"/>
    <w:rsid w:val="00C92B9E"/>
    <w:rsid w:val="00C92EDD"/>
    <w:rsid w:val="00C9301B"/>
    <w:rsid w:val="00C938B5"/>
    <w:rsid w:val="00C93DE4"/>
    <w:rsid w:val="00CA0409"/>
    <w:rsid w:val="00CA0876"/>
    <w:rsid w:val="00CA18A0"/>
    <w:rsid w:val="00CA1E40"/>
    <w:rsid w:val="00CA2C4B"/>
    <w:rsid w:val="00CA2CAC"/>
    <w:rsid w:val="00CA41DB"/>
    <w:rsid w:val="00CA4F51"/>
    <w:rsid w:val="00CA526A"/>
    <w:rsid w:val="00CA56EF"/>
    <w:rsid w:val="00CA572D"/>
    <w:rsid w:val="00CA6002"/>
    <w:rsid w:val="00CA6B9D"/>
    <w:rsid w:val="00CA70BA"/>
    <w:rsid w:val="00CA7181"/>
    <w:rsid w:val="00CA7E40"/>
    <w:rsid w:val="00CA7F24"/>
    <w:rsid w:val="00CB0023"/>
    <w:rsid w:val="00CB0062"/>
    <w:rsid w:val="00CB2843"/>
    <w:rsid w:val="00CB296C"/>
    <w:rsid w:val="00CB3070"/>
    <w:rsid w:val="00CB391C"/>
    <w:rsid w:val="00CB3A5F"/>
    <w:rsid w:val="00CB3C7A"/>
    <w:rsid w:val="00CB3D98"/>
    <w:rsid w:val="00CB4C4D"/>
    <w:rsid w:val="00CB56FC"/>
    <w:rsid w:val="00CB5D35"/>
    <w:rsid w:val="00CB655D"/>
    <w:rsid w:val="00CB6C83"/>
    <w:rsid w:val="00CB6D7E"/>
    <w:rsid w:val="00CB6E06"/>
    <w:rsid w:val="00CB6F85"/>
    <w:rsid w:val="00CB705E"/>
    <w:rsid w:val="00CB72BB"/>
    <w:rsid w:val="00CB7D83"/>
    <w:rsid w:val="00CC07A1"/>
    <w:rsid w:val="00CC0B66"/>
    <w:rsid w:val="00CC15FC"/>
    <w:rsid w:val="00CC17D3"/>
    <w:rsid w:val="00CC1AD3"/>
    <w:rsid w:val="00CC1F18"/>
    <w:rsid w:val="00CC236E"/>
    <w:rsid w:val="00CC293D"/>
    <w:rsid w:val="00CC3461"/>
    <w:rsid w:val="00CC3633"/>
    <w:rsid w:val="00CC3D17"/>
    <w:rsid w:val="00CC44CB"/>
    <w:rsid w:val="00CC4854"/>
    <w:rsid w:val="00CC4C9A"/>
    <w:rsid w:val="00CC5118"/>
    <w:rsid w:val="00CC5963"/>
    <w:rsid w:val="00CC659C"/>
    <w:rsid w:val="00CC6AF0"/>
    <w:rsid w:val="00CC6B8C"/>
    <w:rsid w:val="00CC6E5B"/>
    <w:rsid w:val="00CC745A"/>
    <w:rsid w:val="00CC7A6C"/>
    <w:rsid w:val="00CD00DC"/>
    <w:rsid w:val="00CD07AE"/>
    <w:rsid w:val="00CD0E60"/>
    <w:rsid w:val="00CD0FC7"/>
    <w:rsid w:val="00CD1972"/>
    <w:rsid w:val="00CD1999"/>
    <w:rsid w:val="00CD22A0"/>
    <w:rsid w:val="00CD2B22"/>
    <w:rsid w:val="00CD3584"/>
    <w:rsid w:val="00CD3B14"/>
    <w:rsid w:val="00CD4081"/>
    <w:rsid w:val="00CD4262"/>
    <w:rsid w:val="00CD49E9"/>
    <w:rsid w:val="00CD4BE8"/>
    <w:rsid w:val="00CD4CD7"/>
    <w:rsid w:val="00CD55B3"/>
    <w:rsid w:val="00CD5846"/>
    <w:rsid w:val="00CD667A"/>
    <w:rsid w:val="00CD6EC9"/>
    <w:rsid w:val="00CD78B3"/>
    <w:rsid w:val="00CD7B66"/>
    <w:rsid w:val="00CD7CB4"/>
    <w:rsid w:val="00CE000A"/>
    <w:rsid w:val="00CE06EF"/>
    <w:rsid w:val="00CE085D"/>
    <w:rsid w:val="00CE090A"/>
    <w:rsid w:val="00CE1222"/>
    <w:rsid w:val="00CE181F"/>
    <w:rsid w:val="00CE1CC3"/>
    <w:rsid w:val="00CE1DF3"/>
    <w:rsid w:val="00CE25C6"/>
    <w:rsid w:val="00CE4A4E"/>
    <w:rsid w:val="00CE502E"/>
    <w:rsid w:val="00CE57C0"/>
    <w:rsid w:val="00CE5AB2"/>
    <w:rsid w:val="00CE617C"/>
    <w:rsid w:val="00CE61E7"/>
    <w:rsid w:val="00CE6A59"/>
    <w:rsid w:val="00CE72E4"/>
    <w:rsid w:val="00CE74DA"/>
    <w:rsid w:val="00CE7B9D"/>
    <w:rsid w:val="00CE7C99"/>
    <w:rsid w:val="00CE7D9F"/>
    <w:rsid w:val="00CF0CFA"/>
    <w:rsid w:val="00CF0F38"/>
    <w:rsid w:val="00CF0F5F"/>
    <w:rsid w:val="00CF1622"/>
    <w:rsid w:val="00CF2716"/>
    <w:rsid w:val="00CF2D60"/>
    <w:rsid w:val="00CF2E62"/>
    <w:rsid w:val="00CF32FA"/>
    <w:rsid w:val="00CF3C38"/>
    <w:rsid w:val="00CF3CDD"/>
    <w:rsid w:val="00CF41DF"/>
    <w:rsid w:val="00CF4396"/>
    <w:rsid w:val="00CF4731"/>
    <w:rsid w:val="00CF4B82"/>
    <w:rsid w:val="00CF4F52"/>
    <w:rsid w:val="00CF5A68"/>
    <w:rsid w:val="00CF5A8B"/>
    <w:rsid w:val="00CF5BA0"/>
    <w:rsid w:val="00CF6235"/>
    <w:rsid w:val="00CF6645"/>
    <w:rsid w:val="00D00F0A"/>
    <w:rsid w:val="00D01280"/>
    <w:rsid w:val="00D012F9"/>
    <w:rsid w:val="00D01DFA"/>
    <w:rsid w:val="00D02272"/>
    <w:rsid w:val="00D02635"/>
    <w:rsid w:val="00D03BCB"/>
    <w:rsid w:val="00D04A53"/>
    <w:rsid w:val="00D04E25"/>
    <w:rsid w:val="00D05621"/>
    <w:rsid w:val="00D06102"/>
    <w:rsid w:val="00D06E74"/>
    <w:rsid w:val="00D0762C"/>
    <w:rsid w:val="00D07B57"/>
    <w:rsid w:val="00D107EC"/>
    <w:rsid w:val="00D11652"/>
    <w:rsid w:val="00D11CEB"/>
    <w:rsid w:val="00D11E74"/>
    <w:rsid w:val="00D121BF"/>
    <w:rsid w:val="00D1382F"/>
    <w:rsid w:val="00D13BD4"/>
    <w:rsid w:val="00D156B9"/>
    <w:rsid w:val="00D15DDA"/>
    <w:rsid w:val="00D15E98"/>
    <w:rsid w:val="00D15EF4"/>
    <w:rsid w:val="00D166BD"/>
    <w:rsid w:val="00D166F8"/>
    <w:rsid w:val="00D1762A"/>
    <w:rsid w:val="00D17BEC"/>
    <w:rsid w:val="00D17F76"/>
    <w:rsid w:val="00D20A68"/>
    <w:rsid w:val="00D20E5B"/>
    <w:rsid w:val="00D21558"/>
    <w:rsid w:val="00D21EEF"/>
    <w:rsid w:val="00D221FC"/>
    <w:rsid w:val="00D22351"/>
    <w:rsid w:val="00D231FF"/>
    <w:rsid w:val="00D23EAC"/>
    <w:rsid w:val="00D24041"/>
    <w:rsid w:val="00D25860"/>
    <w:rsid w:val="00D26094"/>
    <w:rsid w:val="00D2646C"/>
    <w:rsid w:val="00D26BE5"/>
    <w:rsid w:val="00D277A3"/>
    <w:rsid w:val="00D27CD4"/>
    <w:rsid w:val="00D30856"/>
    <w:rsid w:val="00D30B82"/>
    <w:rsid w:val="00D30BAC"/>
    <w:rsid w:val="00D313BD"/>
    <w:rsid w:val="00D3179F"/>
    <w:rsid w:val="00D318A2"/>
    <w:rsid w:val="00D31A78"/>
    <w:rsid w:val="00D31AF7"/>
    <w:rsid w:val="00D3346B"/>
    <w:rsid w:val="00D343B5"/>
    <w:rsid w:val="00D34EB1"/>
    <w:rsid w:val="00D35EF8"/>
    <w:rsid w:val="00D3686B"/>
    <w:rsid w:val="00D37FF3"/>
    <w:rsid w:val="00D4119C"/>
    <w:rsid w:val="00D41BE8"/>
    <w:rsid w:val="00D42F23"/>
    <w:rsid w:val="00D4347E"/>
    <w:rsid w:val="00D4515D"/>
    <w:rsid w:val="00D45542"/>
    <w:rsid w:val="00D458C0"/>
    <w:rsid w:val="00D45A74"/>
    <w:rsid w:val="00D45A9A"/>
    <w:rsid w:val="00D46A33"/>
    <w:rsid w:val="00D47001"/>
    <w:rsid w:val="00D50D88"/>
    <w:rsid w:val="00D510ED"/>
    <w:rsid w:val="00D51280"/>
    <w:rsid w:val="00D51BA0"/>
    <w:rsid w:val="00D51E1B"/>
    <w:rsid w:val="00D51E4C"/>
    <w:rsid w:val="00D52543"/>
    <w:rsid w:val="00D52CD8"/>
    <w:rsid w:val="00D54239"/>
    <w:rsid w:val="00D546E9"/>
    <w:rsid w:val="00D5530B"/>
    <w:rsid w:val="00D553AE"/>
    <w:rsid w:val="00D553DD"/>
    <w:rsid w:val="00D5665F"/>
    <w:rsid w:val="00D56EF3"/>
    <w:rsid w:val="00D572DC"/>
    <w:rsid w:val="00D57499"/>
    <w:rsid w:val="00D5753E"/>
    <w:rsid w:val="00D57CDE"/>
    <w:rsid w:val="00D57D1F"/>
    <w:rsid w:val="00D6022F"/>
    <w:rsid w:val="00D602BE"/>
    <w:rsid w:val="00D6037F"/>
    <w:rsid w:val="00D6054A"/>
    <w:rsid w:val="00D61064"/>
    <w:rsid w:val="00D612D3"/>
    <w:rsid w:val="00D61312"/>
    <w:rsid w:val="00D618AC"/>
    <w:rsid w:val="00D62EAE"/>
    <w:rsid w:val="00D63D92"/>
    <w:rsid w:val="00D648D7"/>
    <w:rsid w:val="00D66952"/>
    <w:rsid w:val="00D70F5A"/>
    <w:rsid w:val="00D713AA"/>
    <w:rsid w:val="00D71A10"/>
    <w:rsid w:val="00D71C1F"/>
    <w:rsid w:val="00D71D09"/>
    <w:rsid w:val="00D722DF"/>
    <w:rsid w:val="00D73C2E"/>
    <w:rsid w:val="00D741D5"/>
    <w:rsid w:val="00D744DE"/>
    <w:rsid w:val="00D74B1F"/>
    <w:rsid w:val="00D74C61"/>
    <w:rsid w:val="00D74F48"/>
    <w:rsid w:val="00D75725"/>
    <w:rsid w:val="00D759C1"/>
    <w:rsid w:val="00D75DC2"/>
    <w:rsid w:val="00D764AE"/>
    <w:rsid w:val="00D766FD"/>
    <w:rsid w:val="00D76ED4"/>
    <w:rsid w:val="00D770CE"/>
    <w:rsid w:val="00D77892"/>
    <w:rsid w:val="00D801B7"/>
    <w:rsid w:val="00D8042A"/>
    <w:rsid w:val="00D807DD"/>
    <w:rsid w:val="00D81276"/>
    <w:rsid w:val="00D81C38"/>
    <w:rsid w:val="00D81E77"/>
    <w:rsid w:val="00D82B1B"/>
    <w:rsid w:val="00D82D6E"/>
    <w:rsid w:val="00D8346F"/>
    <w:rsid w:val="00D839FD"/>
    <w:rsid w:val="00D8462F"/>
    <w:rsid w:val="00D84B86"/>
    <w:rsid w:val="00D84F82"/>
    <w:rsid w:val="00D85AE3"/>
    <w:rsid w:val="00D85D2B"/>
    <w:rsid w:val="00D8632C"/>
    <w:rsid w:val="00D865D8"/>
    <w:rsid w:val="00D86A5C"/>
    <w:rsid w:val="00D86B09"/>
    <w:rsid w:val="00D8718E"/>
    <w:rsid w:val="00D87879"/>
    <w:rsid w:val="00D87D71"/>
    <w:rsid w:val="00D908EA"/>
    <w:rsid w:val="00D90DF3"/>
    <w:rsid w:val="00D90E13"/>
    <w:rsid w:val="00D91A66"/>
    <w:rsid w:val="00D92A83"/>
    <w:rsid w:val="00D93978"/>
    <w:rsid w:val="00D939CD"/>
    <w:rsid w:val="00D93BB6"/>
    <w:rsid w:val="00D93F44"/>
    <w:rsid w:val="00D9432B"/>
    <w:rsid w:val="00D94E18"/>
    <w:rsid w:val="00D94FFF"/>
    <w:rsid w:val="00D959D2"/>
    <w:rsid w:val="00D95BAC"/>
    <w:rsid w:val="00D961B0"/>
    <w:rsid w:val="00D962C1"/>
    <w:rsid w:val="00D96C03"/>
    <w:rsid w:val="00D96CB2"/>
    <w:rsid w:val="00D977B4"/>
    <w:rsid w:val="00D97BC0"/>
    <w:rsid w:val="00D97D0C"/>
    <w:rsid w:val="00DA00D0"/>
    <w:rsid w:val="00DA08A4"/>
    <w:rsid w:val="00DA0CED"/>
    <w:rsid w:val="00DA10F5"/>
    <w:rsid w:val="00DA122A"/>
    <w:rsid w:val="00DA164F"/>
    <w:rsid w:val="00DA1870"/>
    <w:rsid w:val="00DA1967"/>
    <w:rsid w:val="00DA253B"/>
    <w:rsid w:val="00DA2CC6"/>
    <w:rsid w:val="00DA38E3"/>
    <w:rsid w:val="00DA4847"/>
    <w:rsid w:val="00DA4B11"/>
    <w:rsid w:val="00DA4F01"/>
    <w:rsid w:val="00DA51C9"/>
    <w:rsid w:val="00DA528A"/>
    <w:rsid w:val="00DA55DB"/>
    <w:rsid w:val="00DA5671"/>
    <w:rsid w:val="00DA5C27"/>
    <w:rsid w:val="00DA68F3"/>
    <w:rsid w:val="00DA6A95"/>
    <w:rsid w:val="00DA6B52"/>
    <w:rsid w:val="00DA6D22"/>
    <w:rsid w:val="00DA7757"/>
    <w:rsid w:val="00DB040C"/>
    <w:rsid w:val="00DB053A"/>
    <w:rsid w:val="00DB0926"/>
    <w:rsid w:val="00DB0FF9"/>
    <w:rsid w:val="00DB16D0"/>
    <w:rsid w:val="00DB2269"/>
    <w:rsid w:val="00DB2308"/>
    <w:rsid w:val="00DB3ED8"/>
    <w:rsid w:val="00DB4773"/>
    <w:rsid w:val="00DB52A8"/>
    <w:rsid w:val="00DB5B9F"/>
    <w:rsid w:val="00DB5F6B"/>
    <w:rsid w:val="00DB6C93"/>
    <w:rsid w:val="00DB6ECB"/>
    <w:rsid w:val="00DB7B08"/>
    <w:rsid w:val="00DC0BA5"/>
    <w:rsid w:val="00DC1D9A"/>
    <w:rsid w:val="00DC2F60"/>
    <w:rsid w:val="00DC337E"/>
    <w:rsid w:val="00DC513C"/>
    <w:rsid w:val="00DC5455"/>
    <w:rsid w:val="00DC6A9A"/>
    <w:rsid w:val="00DC7EB0"/>
    <w:rsid w:val="00DD0C5B"/>
    <w:rsid w:val="00DD1C06"/>
    <w:rsid w:val="00DD1C3E"/>
    <w:rsid w:val="00DD1EC4"/>
    <w:rsid w:val="00DD2944"/>
    <w:rsid w:val="00DD2A76"/>
    <w:rsid w:val="00DD2AEF"/>
    <w:rsid w:val="00DD3491"/>
    <w:rsid w:val="00DD35C8"/>
    <w:rsid w:val="00DD366C"/>
    <w:rsid w:val="00DD377F"/>
    <w:rsid w:val="00DD3C2D"/>
    <w:rsid w:val="00DD5364"/>
    <w:rsid w:val="00DD5383"/>
    <w:rsid w:val="00DD5F5C"/>
    <w:rsid w:val="00DD6083"/>
    <w:rsid w:val="00DD61CD"/>
    <w:rsid w:val="00DD61EC"/>
    <w:rsid w:val="00DD758A"/>
    <w:rsid w:val="00DD774B"/>
    <w:rsid w:val="00DD7E52"/>
    <w:rsid w:val="00DD7F38"/>
    <w:rsid w:val="00DE0C4B"/>
    <w:rsid w:val="00DE121E"/>
    <w:rsid w:val="00DE1414"/>
    <w:rsid w:val="00DE17C0"/>
    <w:rsid w:val="00DE2490"/>
    <w:rsid w:val="00DE25BA"/>
    <w:rsid w:val="00DE28CB"/>
    <w:rsid w:val="00DE3512"/>
    <w:rsid w:val="00DE35EA"/>
    <w:rsid w:val="00DE418C"/>
    <w:rsid w:val="00DE41AD"/>
    <w:rsid w:val="00DE4611"/>
    <w:rsid w:val="00DE54A7"/>
    <w:rsid w:val="00DE555E"/>
    <w:rsid w:val="00DE57DA"/>
    <w:rsid w:val="00DE62A6"/>
    <w:rsid w:val="00DE6411"/>
    <w:rsid w:val="00DE668C"/>
    <w:rsid w:val="00DE6B47"/>
    <w:rsid w:val="00DF0139"/>
    <w:rsid w:val="00DF0CAD"/>
    <w:rsid w:val="00DF0EBD"/>
    <w:rsid w:val="00DF10D8"/>
    <w:rsid w:val="00DF13AE"/>
    <w:rsid w:val="00DF1499"/>
    <w:rsid w:val="00DF1C55"/>
    <w:rsid w:val="00DF2F7F"/>
    <w:rsid w:val="00DF3A00"/>
    <w:rsid w:val="00DF464B"/>
    <w:rsid w:val="00DF5136"/>
    <w:rsid w:val="00DF52FE"/>
    <w:rsid w:val="00DF5563"/>
    <w:rsid w:val="00DF56BE"/>
    <w:rsid w:val="00DF5FDB"/>
    <w:rsid w:val="00DF6BA3"/>
    <w:rsid w:val="00DF6F77"/>
    <w:rsid w:val="00DF767D"/>
    <w:rsid w:val="00DF76D9"/>
    <w:rsid w:val="00E00232"/>
    <w:rsid w:val="00E006EE"/>
    <w:rsid w:val="00E00C51"/>
    <w:rsid w:val="00E013BC"/>
    <w:rsid w:val="00E01808"/>
    <w:rsid w:val="00E01B55"/>
    <w:rsid w:val="00E02006"/>
    <w:rsid w:val="00E026CD"/>
    <w:rsid w:val="00E026D8"/>
    <w:rsid w:val="00E02E6B"/>
    <w:rsid w:val="00E0319A"/>
    <w:rsid w:val="00E03388"/>
    <w:rsid w:val="00E03F9F"/>
    <w:rsid w:val="00E045FF"/>
    <w:rsid w:val="00E0471B"/>
    <w:rsid w:val="00E04D4D"/>
    <w:rsid w:val="00E04FD3"/>
    <w:rsid w:val="00E051CD"/>
    <w:rsid w:val="00E052D8"/>
    <w:rsid w:val="00E058E1"/>
    <w:rsid w:val="00E05A22"/>
    <w:rsid w:val="00E068A0"/>
    <w:rsid w:val="00E07049"/>
    <w:rsid w:val="00E073E6"/>
    <w:rsid w:val="00E1046B"/>
    <w:rsid w:val="00E106EF"/>
    <w:rsid w:val="00E1103F"/>
    <w:rsid w:val="00E1131E"/>
    <w:rsid w:val="00E11908"/>
    <w:rsid w:val="00E11986"/>
    <w:rsid w:val="00E11C27"/>
    <w:rsid w:val="00E11EA5"/>
    <w:rsid w:val="00E121FF"/>
    <w:rsid w:val="00E12636"/>
    <w:rsid w:val="00E12D0F"/>
    <w:rsid w:val="00E12EF6"/>
    <w:rsid w:val="00E132DC"/>
    <w:rsid w:val="00E13766"/>
    <w:rsid w:val="00E1409A"/>
    <w:rsid w:val="00E147C6"/>
    <w:rsid w:val="00E14824"/>
    <w:rsid w:val="00E14CA9"/>
    <w:rsid w:val="00E14CEA"/>
    <w:rsid w:val="00E14D77"/>
    <w:rsid w:val="00E15057"/>
    <w:rsid w:val="00E15B12"/>
    <w:rsid w:val="00E15CB0"/>
    <w:rsid w:val="00E15FC5"/>
    <w:rsid w:val="00E16CB7"/>
    <w:rsid w:val="00E201A5"/>
    <w:rsid w:val="00E201E1"/>
    <w:rsid w:val="00E203E8"/>
    <w:rsid w:val="00E209F0"/>
    <w:rsid w:val="00E21145"/>
    <w:rsid w:val="00E215BC"/>
    <w:rsid w:val="00E21EE7"/>
    <w:rsid w:val="00E23157"/>
    <w:rsid w:val="00E23615"/>
    <w:rsid w:val="00E23965"/>
    <w:rsid w:val="00E23A7E"/>
    <w:rsid w:val="00E23D25"/>
    <w:rsid w:val="00E254D1"/>
    <w:rsid w:val="00E25DA9"/>
    <w:rsid w:val="00E269E4"/>
    <w:rsid w:val="00E27EDD"/>
    <w:rsid w:val="00E30D13"/>
    <w:rsid w:val="00E30FB6"/>
    <w:rsid w:val="00E31234"/>
    <w:rsid w:val="00E312A8"/>
    <w:rsid w:val="00E319E8"/>
    <w:rsid w:val="00E31E14"/>
    <w:rsid w:val="00E330D6"/>
    <w:rsid w:val="00E33160"/>
    <w:rsid w:val="00E33194"/>
    <w:rsid w:val="00E336F5"/>
    <w:rsid w:val="00E33793"/>
    <w:rsid w:val="00E33953"/>
    <w:rsid w:val="00E34796"/>
    <w:rsid w:val="00E34BCF"/>
    <w:rsid w:val="00E350F1"/>
    <w:rsid w:val="00E35D53"/>
    <w:rsid w:val="00E3609E"/>
    <w:rsid w:val="00E360B8"/>
    <w:rsid w:val="00E36C0D"/>
    <w:rsid w:val="00E373C5"/>
    <w:rsid w:val="00E37E19"/>
    <w:rsid w:val="00E4026A"/>
    <w:rsid w:val="00E4043F"/>
    <w:rsid w:val="00E40717"/>
    <w:rsid w:val="00E40FF9"/>
    <w:rsid w:val="00E42D62"/>
    <w:rsid w:val="00E4400D"/>
    <w:rsid w:val="00E44218"/>
    <w:rsid w:val="00E46482"/>
    <w:rsid w:val="00E476C0"/>
    <w:rsid w:val="00E501A4"/>
    <w:rsid w:val="00E502B4"/>
    <w:rsid w:val="00E51841"/>
    <w:rsid w:val="00E525F1"/>
    <w:rsid w:val="00E52C53"/>
    <w:rsid w:val="00E5320F"/>
    <w:rsid w:val="00E53310"/>
    <w:rsid w:val="00E53934"/>
    <w:rsid w:val="00E53CD6"/>
    <w:rsid w:val="00E54FA2"/>
    <w:rsid w:val="00E56396"/>
    <w:rsid w:val="00E56EC2"/>
    <w:rsid w:val="00E5729B"/>
    <w:rsid w:val="00E57345"/>
    <w:rsid w:val="00E57510"/>
    <w:rsid w:val="00E607C5"/>
    <w:rsid w:val="00E609EF"/>
    <w:rsid w:val="00E60C99"/>
    <w:rsid w:val="00E614FF"/>
    <w:rsid w:val="00E61BD3"/>
    <w:rsid w:val="00E65A57"/>
    <w:rsid w:val="00E660DF"/>
    <w:rsid w:val="00E665CB"/>
    <w:rsid w:val="00E66E52"/>
    <w:rsid w:val="00E6742D"/>
    <w:rsid w:val="00E67759"/>
    <w:rsid w:val="00E708A1"/>
    <w:rsid w:val="00E70AEC"/>
    <w:rsid w:val="00E71055"/>
    <w:rsid w:val="00E719BC"/>
    <w:rsid w:val="00E71F3A"/>
    <w:rsid w:val="00E7216A"/>
    <w:rsid w:val="00E726BB"/>
    <w:rsid w:val="00E72826"/>
    <w:rsid w:val="00E72AC0"/>
    <w:rsid w:val="00E72B77"/>
    <w:rsid w:val="00E72CB3"/>
    <w:rsid w:val="00E72F87"/>
    <w:rsid w:val="00E73546"/>
    <w:rsid w:val="00E737C8"/>
    <w:rsid w:val="00E747C2"/>
    <w:rsid w:val="00E74AB0"/>
    <w:rsid w:val="00E7552F"/>
    <w:rsid w:val="00E755C9"/>
    <w:rsid w:val="00E757B1"/>
    <w:rsid w:val="00E75E37"/>
    <w:rsid w:val="00E75FF4"/>
    <w:rsid w:val="00E7600B"/>
    <w:rsid w:val="00E762DA"/>
    <w:rsid w:val="00E76BFC"/>
    <w:rsid w:val="00E777C6"/>
    <w:rsid w:val="00E7790E"/>
    <w:rsid w:val="00E77A2E"/>
    <w:rsid w:val="00E77DD0"/>
    <w:rsid w:val="00E80011"/>
    <w:rsid w:val="00E803E1"/>
    <w:rsid w:val="00E80472"/>
    <w:rsid w:val="00E81232"/>
    <w:rsid w:val="00E81EC8"/>
    <w:rsid w:val="00E81FFB"/>
    <w:rsid w:val="00E8271E"/>
    <w:rsid w:val="00E82B62"/>
    <w:rsid w:val="00E8405D"/>
    <w:rsid w:val="00E84230"/>
    <w:rsid w:val="00E856C0"/>
    <w:rsid w:val="00E858FF"/>
    <w:rsid w:val="00E86329"/>
    <w:rsid w:val="00E86405"/>
    <w:rsid w:val="00E86620"/>
    <w:rsid w:val="00E86D18"/>
    <w:rsid w:val="00E870B3"/>
    <w:rsid w:val="00E87C58"/>
    <w:rsid w:val="00E87F3C"/>
    <w:rsid w:val="00E90532"/>
    <w:rsid w:val="00E90750"/>
    <w:rsid w:val="00E90FA7"/>
    <w:rsid w:val="00E91993"/>
    <w:rsid w:val="00E91E3B"/>
    <w:rsid w:val="00E92498"/>
    <w:rsid w:val="00E9272E"/>
    <w:rsid w:val="00E92816"/>
    <w:rsid w:val="00E92EA8"/>
    <w:rsid w:val="00E9351F"/>
    <w:rsid w:val="00E939E1"/>
    <w:rsid w:val="00E94032"/>
    <w:rsid w:val="00E94303"/>
    <w:rsid w:val="00E948C6"/>
    <w:rsid w:val="00E9733C"/>
    <w:rsid w:val="00E9744D"/>
    <w:rsid w:val="00E9771C"/>
    <w:rsid w:val="00E97828"/>
    <w:rsid w:val="00E97E26"/>
    <w:rsid w:val="00EA0B46"/>
    <w:rsid w:val="00EA0F80"/>
    <w:rsid w:val="00EA0FCE"/>
    <w:rsid w:val="00EA1842"/>
    <w:rsid w:val="00EA1C66"/>
    <w:rsid w:val="00EA21DB"/>
    <w:rsid w:val="00EA2893"/>
    <w:rsid w:val="00EA2AAA"/>
    <w:rsid w:val="00EA2F26"/>
    <w:rsid w:val="00EA3813"/>
    <w:rsid w:val="00EA3A45"/>
    <w:rsid w:val="00EA3DF2"/>
    <w:rsid w:val="00EA46D7"/>
    <w:rsid w:val="00EA4764"/>
    <w:rsid w:val="00EA4E3D"/>
    <w:rsid w:val="00EA4F2A"/>
    <w:rsid w:val="00EA50B6"/>
    <w:rsid w:val="00EA52E3"/>
    <w:rsid w:val="00EA54E6"/>
    <w:rsid w:val="00EA572F"/>
    <w:rsid w:val="00EA5931"/>
    <w:rsid w:val="00EA6573"/>
    <w:rsid w:val="00EA6D10"/>
    <w:rsid w:val="00EA71AA"/>
    <w:rsid w:val="00EA74BF"/>
    <w:rsid w:val="00EA7F20"/>
    <w:rsid w:val="00EB0204"/>
    <w:rsid w:val="00EB0872"/>
    <w:rsid w:val="00EB0EC7"/>
    <w:rsid w:val="00EB10EA"/>
    <w:rsid w:val="00EB21C9"/>
    <w:rsid w:val="00EB2EDC"/>
    <w:rsid w:val="00EB3985"/>
    <w:rsid w:val="00EB3BDF"/>
    <w:rsid w:val="00EB416B"/>
    <w:rsid w:val="00EB4194"/>
    <w:rsid w:val="00EB4797"/>
    <w:rsid w:val="00EB4D50"/>
    <w:rsid w:val="00EB5BF7"/>
    <w:rsid w:val="00EB6C20"/>
    <w:rsid w:val="00EB74D2"/>
    <w:rsid w:val="00EC023E"/>
    <w:rsid w:val="00EC04E5"/>
    <w:rsid w:val="00EC0633"/>
    <w:rsid w:val="00EC06AC"/>
    <w:rsid w:val="00EC101A"/>
    <w:rsid w:val="00EC2530"/>
    <w:rsid w:val="00EC27A6"/>
    <w:rsid w:val="00EC2BA9"/>
    <w:rsid w:val="00EC2F06"/>
    <w:rsid w:val="00EC3EBA"/>
    <w:rsid w:val="00EC4332"/>
    <w:rsid w:val="00EC62B5"/>
    <w:rsid w:val="00EC63C4"/>
    <w:rsid w:val="00EC66FE"/>
    <w:rsid w:val="00EC6EF9"/>
    <w:rsid w:val="00EC6F86"/>
    <w:rsid w:val="00EC70A4"/>
    <w:rsid w:val="00EC78BD"/>
    <w:rsid w:val="00EC7CB5"/>
    <w:rsid w:val="00ED078C"/>
    <w:rsid w:val="00ED0846"/>
    <w:rsid w:val="00ED0EE9"/>
    <w:rsid w:val="00ED1EFF"/>
    <w:rsid w:val="00ED2290"/>
    <w:rsid w:val="00ED2C3E"/>
    <w:rsid w:val="00ED30C4"/>
    <w:rsid w:val="00ED389A"/>
    <w:rsid w:val="00ED3970"/>
    <w:rsid w:val="00ED3BEA"/>
    <w:rsid w:val="00ED3E76"/>
    <w:rsid w:val="00ED43FA"/>
    <w:rsid w:val="00ED48B0"/>
    <w:rsid w:val="00ED4F04"/>
    <w:rsid w:val="00ED5826"/>
    <w:rsid w:val="00ED585D"/>
    <w:rsid w:val="00ED6517"/>
    <w:rsid w:val="00ED6901"/>
    <w:rsid w:val="00ED6C2F"/>
    <w:rsid w:val="00ED77FE"/>
    <w:rsid w:val="00EE0367"/>
    <w:rsid w:val="00EE0554"/>
    <w:rsid w:val="00EE0C44"/>
    <w:rsid w:val="00EE0C96"/>
    <w:rsid w:val="00EE1512"/>
    <w:rsid w:val="00EE2614"/>
    <w:rsid w:val="00EE26D6"/>
    <w:rsid w:val="00EE2AFE"/>
    <w:rsid w:val="00EE30B0"/>
    <w:rsid w:val="00EE369D"/>
    <w:rsid w:val="00EE3BDF"/>
    <w:rsid w:val="00EE4115"/>
    <w:rsid w:val="00EE4419"/>
    <w:rsid w:val="00EE4596"/>
    <w:rsid w:val="00EE4DBB"/>
    <w:rsid w:val="00EE52D9"/>
    <w:rsid w:val="00EE57DE"/>
    <w:rsid w:val="00EE5BA2"/>
    <w:rsid w:val="00EE5C8B"/>
    <w:rsid w:val="00EE60C3"/>
    <w:rsid w:val="00EE6CE3"/>
    <w:rsid w:val="00EE75B2"/>
    <w:rsid w:val="00EE77ED"/>
    <w:rsid w:val="00EF037C"/>
    <w:rsid w:val="00EF0431"/>
    <w:rsid w:val="00EF0E4C"/>
    <w:rsid w:val="00EF104B"/>
    <w:rsid w:val="00EF159A"/>
    <w:rsid w:val="00EF18CE"/>
    <w:rsid w:val="00EF33C8"/>
    <w:rsid w:val="00EF384C"/>
    <w:rsid w:val="00EF439F"/>
    <w:rsid w:val="00EF441B"/>
    <w:rsid w:val="00EF4432"/>
    <w:rsid w:val="00EF4ABA"/>
    <w:rsid w:val="00EF4C06"/>
    <w:rsid w:val="00EF4EEB"/>
    <w:rsid w:val="00EF54B1"/>
    <w:rsid w:val="00EF58B8"/>
    <w:rsid w:val="00EF5C9C"/>
    <w:rsid w:val="00EF6A28"/>
    <w:rsid w:val="00EF6F2C"/>
    <w:rsid w:val="00EF7550"/>
    <w:rsid w:val="00EF7634"/>
    <w:rsid w:val="00EF7781"/>
    <w:rsid w:val="00EF7786"/>
    <w:rsid w:val="00EF7D05"/>
    <w:rsid w:val="00F0023B"/>
    <w:rsid w:val="00F002C7"/>
    <w:rsid w:val="00F00A9B"/>
    <w:rsid w:val="00F00D69"/>
    <w:rsid w:val="00F01103"/>
    <w:rsid w:val="00F0134D"/>
    <w:rsid w:val="00F02005"/>
    <w:rsid w:val="00F04428"/>
    <w:rsid w:val="00F05916"/>
    <w:rsid w:val="00F05966"/>
    <w:rsid w:val="00F059EF"/>
    <w:rsid w:val="00F05EC7"/>
    <w:rsid w:val="00F064DD"/>
    <w:rsid w:val="00F069E4"/>
    <w:rsid w:val="00F06DBC"/>
    <w:rsid w:val="00F07A5A"/>
    <w:rsid w:val="00F07C34"/>
    <w:rsid w:val="00F1079F"/>
    <w:rsid w:val="00F10ED9"/>
    <w:rsid w:val="00F11C14"/>
    <w:rsid w:val="00F11EB9"/>
    <w:rsid w:val="00F12027"/>
    <w:rsid w:val="00F12411"/>
    <w:rsid w:val="00F128F0"/>
    <w:rsid w:val="00F12A01"/>
    <w:rsid w:val="00F12E4F"/>
    <w:rsid w:val="00F13DA3"/>
    <w:rsid w:val="00F13FA6"/>
    <w:rsid w:val="00F14799"/>
    <w:rsid w:val="00F14B57"/>
    <w:rsid w:val="00F154BC"/>
    <w:rsid w:val="00F160EC"/>
    <w:rsid w:val="00F1663A"/>
    <w:rsid w:val="00F16EAE"/>
    <w:rsid w:val="00F172B8"/>
    <w:rsid w:val="00F17919"/>
    <w:rsid w:val="00F2001D"/>
    <w:rsid w:val="00F20163"/>
    <w:rsid w:val="00F218C2"/>
    <w:rsid w:val="00F21B86"/>
    <w:rsid w:val="00F21C66"/>
    <w:rsid w:val="00F21EA4"/>
    <w:rsid w:val="00F22156"/>
    <w:rsid w:val="00F222D7"/>
    <w:rsid w:val="00F22C0D"/>
    <w:rsid w:val="00F23481"/>
    <w:rsid w:val="00F239FD"/>
    <w:rsid w:val="00F23C8E"/>
    <w:rsid w:val="00F24739"/>
    <w:rsid w:val="00F24744"/>
    <w:rsid w:val="00F24CB0"/>
    <w:rsid w:val="00F25686"/>
    <w:rsid w:val="00F25850"/>
    <w:rsid w:val="00F2596C"/>
    <w:rsid w:val="00F25D9C"/>
    <w:rsid w:val="00F25EDA"/>
    <w:rsid w:val="00F25F76"/>
    <w:rsid w:val="00F26C84"/>
    <w:rsid w:val="00F272CA"/>
    <w:rsid w:val="00F2764B"/>
    <w:rsid w:val="00F27CB5"/>
    <w:rsid w:val="00F27CC2"/>
    <w:rsid w:val="00F303F2"/>
    <w:rsid w:val="00F30AEA"/>
    <w:rsid w:val="00F30FA5"/>
    <w:rsid w:val="00F31433"/>
    <w:rsid w:val="00F31C10"/>
    <w:rsid w:val="00F32A8F"/>
    <w:rsid w:val="00F33F1A"/>
    <w:rsid w:val="00F34378"/>
    <w:rsid w:val="00F34675"/>
    <w:rsid w:val="00F348EC"/>
    <w:rsid w:val="00F3559F"/>
    <w:rsid w:val="00F35A1D"/>
    <w:rsid w:val="00F360A5"/>
    <w:rsid w:val="00F360FF"/>
    <w:rsid w:val="00F36444"/>
    <w:rsid w:val="00F366A3"/>
    <w:rsid w:val="00F36AEE"/>
    <w:rsid w:val="00F36BC1"/>
    <w:rsid w:val="00F40416"/>
    <w:rsid w:val="00F4084B"/>
    <w:rsid w:val="00F40C87"/>
    <w:rsid w:val="00F40E6D"/>
    <w:rsid w:val="00F4121B"/>
    <w:rsid w:val="00F41517"/>
    <w:rsid w:val="00F418A6"/>
    <w:rsid w:val="00F41ED4"/>
    <w:rsid w:val="00F42207"/>
    <w:rsid w:val="00F42A0A"/>
    <w:rsid w:val="00F42D04"/>
    <w:rsid w:val="00F43155"/>
    <w:rsid w:val="00F435E3"/>
    <w:rsid w:val="00F43E5A"/>
    <w:rsid w:val="00F44B6C"/>
    <w:rsid w:val="00F44FD6"/>
    <w:rsid w:val="00F461A9"/>
    <w:rsid w:val="00F46523"/>
    <w:rsid w:val="00F46843"/>
    <w:rsid w:val="00F46B5D"/>
    <w:rsid w:val="00F47B47"/>
    <w:rsid w:val="00F5017F"/>
    <w:rsid w:val="00F50730"/>
    <w:rsid w:val="00F513E8"/>
    <w:rsid w:val="00F51724"/>
    <w:rsid w:val="00F518BD"/>
    <w:rsid w:val="00F52BC8"/>
    <w:rsid w:val="00F5301A"/>
    <w:rsid w:val="00F53205"/>
    <w:rsid w:val="00F5345F"/>
    <w:rsid w:val="00F534E7"/>
    <w:rsid w:val="00F53E19"/>
    <w:rsid w:val="00F54535"/>
    <w:rsid w:val="00F5466C"/>
    <w:rsid w:val="00F54915"/>
    <w:rsid w:val="00F5663D"/>
    <w:rsid w:val="00F569C2"/>
    <w:rsid w:val="00F5794B"/>
    <w:rsid w:val="00F57A5C"/>
    <w:rsid w:val="00F6097A"/>
    <w:rsid w:val="00F61AF7"/>
    <w:rsid w:val="00F61E19"/>
    <w:rsid w:val="00F62487"/>
    <w:rsid w:val="00F624E2"/>
    <w:rsid w:val="00F62D8E"/>
    <w:rsid w:val="00F65338"/>
    <w:rsid w:val="00F65622"/>
    <w:rsid w:val="00F661ED"/>
    <w:rsid w:val="00F679BD"/>
    <w:rsid w:val="00F7072F"/>
    <w:rsid w:val="00F709A7"/>
    <w:rsid w:val="00F70D5B"/>
    <w:rsid w:val="00F7184F"/>
    <w:rsid w:val="00F71AD8"/>
    <w:rsid w:val="00F73129"/>
    <w:rsid w:val="00F734AC"/>
    <w:rsid w:val="00F734B4"/>
    <w:rsid w:val="00F73505"/>
    <w:rsid w:val="00F73678"/>
    <w:rsid w:val="00F73C38"/>
    <w:rsid w:val="00F746BB"/>
    <w:rsid w:val="00F74A75"/>
    <w:rsid w:val="00F76363"/>
    <w:rsid w:val="00F763F5"/>
    <w:rsid w:val="00F77321"/>
    <w:rsid w:val="00F7792E"/>
    <w:rsid w:val="00F77CC6"/>
    <w:rsid w:val="00F801C4"/>
    <w:rsid w:val="00F80F6C"/>
    <w:rsid w:val="00F811DE"/>
    <w:rsid w:val="00F812A1"/>
    <w:rsid w:val="00F818AA"/>
    <w:rsid w:val="00F83E20"/>
    <w:rsid w:val="00F84C6F"/>
    <w:rsid w:val="00F84D10"/>
    <w:rsid w:val="00F84E00"/>
    <w:rsid w:val="00F853B6"/>
    <w:rsid w:val="00F854A0"/>
    <w:rsid w:val="00F86576"/>
    <w:rsid w:val="00F86D9C"/>
    <w:rsid w:val="00F86E56"/>
    <w:rsid w:val="00F8710C"/>
    <w:rsid w:val="00F8713C"/>
    <w:rsid w:val="00F8716A"/>
    <w:rsid w:val="00F8719F"/>
    <w:rsid w:val="00F873CD"/>
    <w:rsid w:val="00F874FA"/>
    <w:rsid w:val="00F876CB"/>
    <w:rsid w:val="00F900D2"/>
    <w:rsid w:val="00F909DD"/>
    <w:rsid w:val="00F90CD2"/>
    <w:rsid w:val="00F90ECE"/>
    <w:rsid w:val="00F9101B"/>
    <w:rsid w:val="00F92D18"/>
    <w:rsid w:val="00F939C3"/>
    <w:rsid w:val="00F93AF2"/>
    <w:rsid w:val="00F94200"/>
    <w:rsid w:val="00F94E9E"/>
    <w:rsid w:val="00F95919"/>
    <w:rsid w:val="00F960A2"/>
    <w:rsid w:val="00F97603"/>
    <w:rsid w:val="00F97880"/>
    <w:rsid w:val="00F97F67"/>
    <w:rsid w:val="00FA00AB"/>
    <w:rsid w:val="00FA0190"/>
    <w:rsid w:val="00FA1252"/>
    <w:rsid w:val="00FA16D5"/>
    <w:rsid w:val="00FA1951"/>
    <w:rsid w:val="00FA1E06"/>
    <w:rsid w:val="00FA36FE"/>
    <w:rsid w:val="00FA3C83"/>
    <w:rsid w:val="00FA50AC"/>
    <w:rsid w:val="00FA52D9"/>
    <w:rsid w:val="00FA5501"/>
    <w:rsid w:val="00FA584F"/>
    <w:rsid w:val="00FA5F8B"/>
    <w:rsid w:val="00FA6048"/>
    <w:rsid w:val="00FA619A"/>
    <w:rsid w:val="00FA6A72"/>
    <w:rsid w:val="00FA7AC8"/>
    <w:rsid w:val="00FB01F1"/>
    <w:rsid w:val="00FB04B4"/>
    <w:rsid w:val="00FB0CD8"/>
    <w:rsid w:val="00FB0D7F"/>
    <w:rsid w:val="00FB0E46"/>
    <w:rsid w:val="00FB2637"/>
    <w:rsid w:val="00FB2A66"/>
    <w:rsid w:val="00FB2F17"/>
    <w:rsid w:val="00FB339B"/>
    <w:rsid w:val="00FB4573"/>
    <w:rsid w:val="00FB5835"/>
    <w:rsid w:val="00FB6A30"/>
    <w:rsid w:val="00FB719F"/>
    <w:rsid w:val="00FB7BB9"/>
    <w:rsid w:val="00FC1110"/>
    <w:rsid w:val="00FC1377"/>
    <w:rsid w:val="00FC13B0"/>
    <w:rsid w:val="00FC1861"/>
    <w:rsid w:val="00FC18A6"/>
    <w:rsid w:val="00FC19FE"/>
    <w:rsid w:val="00FC2464"/>
    <w:rsid w:val="00FC24F1"/>
    <w:rsid w:val="00FC280D"/>
    <w:rsid w:val="00FC28B6"/>
    <w:rsid w:val="00FC31AE"/>
    <w:rsid w:val="00FC3880"/>
    <w:rsid w:val="00FC3D2B"/>
    <w:rsid w:val="00FC3FC6"/>
    <w:rsid w:val="00FC4319"/>
    <w:rsid w:val="00FC44C9"/>
    <w:rsid w:val="00FC454E"/>
    <w:rsid w:val="00FC477B"/>
    <w:rsid w:val="00FC4D9D"/>
    <w:rsid w:val="00FC54C9"/>
    <w:rsid w:val="00FC5DE2"/>
    <w:rsid w:val="00FC6166"/>
    <w:rsid w:val="00FC659A"/>
    <w:rsid w:val="00FC6AF7"/>
    <w:rsid w:val="00FC7107"/>
    <w:rsid w:val="00FC7FE2"/>
    <w:rsid w:val="00FD0027"/>
    <w:rsid w:val="00FD0266"/>
    <w:rsid w:val="00FD0E0E"/>
    <w:rsid w:val="00FD12C1"/>
    <w:rsid w:val="00FD1D01"/>
    <w:rsid w:val="00FD2433"/>
    <w:rsid w:val="00FD2E5B"/>
    <w:rsid w:val="00FD3223"/>
    <w:rsid w:val="00FD35A8"/>
    <w:rsid w:val="00FD3B30"/>
    <w:rsid w:val="00FD4176"/>
    <w:rsid w:val="00FD4A89"/>
    <w:rsid w:val="00FD7AAC"/>
    <w:rsid w:val="00FE02D3"/>
    <w:rsid w:val="00FE02F6"/>
    <w:rsid w:val="00FE0835"/>
    <w:rsid w:val="00FE0F06"/>
    <w:rsid w:val="00FE111A"/>
    <w:rsid w:val="00FE13B7"/>
    <w:rsid w:val="00FE1833"/>
    <w:rsid w:val="00FE1CEA"/>
    <w:rsid w:val="00FE2371"/>
    <w:rsid w:val="00FE33F2"/>
    <w:rsid w:val="00FE3B4D"/>
    <w:rsid w:val="00FE3DC5"/>
    <w:rsid w:val="00FE4877"/>
    <w:rsid w:val="00FE4BA0"/>
    <w:rsid w:val="00FE4D79"/>
    <w:rsid w:val="00FE4E14"/>
    <w:rsid w:val="00FE54D5"/>
    <w:rsid w:val="00FE55B3"/>
    <w:rsid w:val="00FE576A"/>
    <w:rsid w:val="00FE5C54"/>
    <w:rsid w:val="00FE5DD3"/>
    <w:rsid w:val="00FE61CC"/>
    <w:rsid w:val="00FE6C00"/>
    <w:rsid w:val="00FE7A60"/>
    <w:rsid w:val="00FF0096"/>
    <w:rsid w:val="00FF023D"/>
    <w:rsid w:val="00FF02A0"/>
    <w:rsid w:val="00FF0356"/>
    <w:rsid w:val="00FF0B14"/>
    <w:rsid w:val="00FF0D27"/>
    <w:rsid w:val="00FF0E9F"/>
    <w:rsid w:val="00FF110A"/>
    <w:rsid w:val="00FF1893"/>
    <w:rsid w:val="00FF1B9B"/>
    <w:rsid w:val="00FF2200"/>
    <w:rsid w:val="00FF22FC"/>
    <w:rsid w:val="00FF29E5"/>
    <w:rsid w:val="00FF2B9E"/>
    <w:rsid w:val="00FF30DF"/>
    <w:rsid w:val="00FF3603"/>
    <w:rsid w:val="00FF3E9F"/>
    <w:rsid w:val="00FF4504"/>
    <w:rsid w:val="00FF4A17"/>
    <w:rsid w:val="00FF4B79"/>
    <w:rsid w:val="00FF5587"/>
    <w:rsid w:val="00FF5A88"/>
    <w:rsid w:val="00FF5DF2"/>
    <w:rsid w:val="00FF6CC8"/>
    <w:rsid w:val="00FF6F49"/>
    <w:rsid w:val="00FF7055"/>
    <w:rsid w:val="00FF787C"/>
    <w:rsid w:val="00FF7C54"/>
    <w:rsid w:val="013E4434"/>
    <w:rsid w:val="014632E9"/>
    <w:rsid w:val="0146427E"/>
    <w:rsid w:val="0175413A"/>
    <w:rsid w:val="019509B6"/>
    <w:rsid w:val="019B2F5B"/>
    <w:rsid w:val="01A71A6C"/>
    <w:rsid w:val="01B36D86"/>
    <w:rsid w:val="01B40473"/>
    <w:rsid w:val="01F23D45"/>
    <w:rsid w:val="01FD6A1E"/>
    <w:rsid w:val="020F1EA4"/>
    <w:rsid w:val="02251BD6"/>
    <w:rsid w:val="022F5D5F"/>
    <w:rsid w:val="02777BFD"/>
    <w:rsid w:val="02825266"/>
    <w:rsid w:val="02864035"/>
    <w:rsid w:val="02DC4358"/>
    <w:rsid w:val="02E90077"/>
    <w:rsid w:val="02F561BC"/>
    <w:rsid w:val="02F569A7"/>
    <w:rsid w:val="039567B9"/>
    <w:rsid w:val="041B280B"/>
    <w:rsid w:val="041D7F29"/>
    <w:rsid w:val="041F7A75"/>
    <w:rsid w:val="0429078C"/>
    <w:rsid w:val="04536561"/>
    <w:rsid w:val="048A5A1B"/>
    <w:rsid w:val="049F0298"/>
    <w:rsid w:val="04BF30A6"/>
    <w:rsid w:val="04C74770"/>
    <w:rsid w:val="04E10D17"/>
    <w:rsid w:val="04FD4A6F"/>
    <w:rsid w:val="052E71C8"/>
    <w:rsid w:val="054502A8"/>
    <w:rsid w:val="055572C6"/>
    <w:rsid w:val="055F0975"/>
    <w:rsid w:val="057432F2"/>
    <w:rsid w:val="0599158D"/>
    <w:rsid w:val="05B80AAA"/>
    <w:rsid w:val="05DA05ED"/>
    <w:rsid w:val="05F777BA"/>
    <w:rsid w:val="05FE4192"/>
    <w:rsid w:val="064C75F3"/>
    <w:rsid w:val="066D2B9B"/>
    <w:rsid w:val="06781A50"/>
    <w:rsid w:val="06DD2F24"/>
    <w:rsid w:val="06F7137E"/>
    <w:rsid w:val="07164A23"/>
    <w:rsid w:val="07965FA9"/>
    <w:rsid w:val="0799660E"/>
    <w:rsid w:val="07B1140D"/>
    <w:rsid w:val="07B7062C"/>
    <w:rsid w:val="07DD595F"/>
    <w:rsid w:val="07F56F4C"/>
    <w:rsid w:val="080F509E"/>
    <w:rsid w:val="082052CF"/>
    <w:rsid w:val="08220661"/>
    <w:rsid w:val="08446EC4"/>
    <w:rsid w:val="085F6C1D"/>
    <w:rsid w:val="086230FE"/>
    <w:rsid w:val="0864660C"/>
    <w:rsid w:val="08954099"/>
    <w:rsid w:val="08997D49"/>
    <w:rsid w:val="089A529D"/>
    <w:rsid w:val="08BE3E25"/>
    <w:rsid w:val="08C155B8"/>
    <w:rsid w:val="08F146A1"/>
    <w:rsid w:val="08F42A39"/>
    <w:rsid w:val="08F43FF8"/>
    <w:rsid w:val="08F57607"/>
    <w:rsid w:val="09073C7F"/>
    <w:rsid w:val="09214FC6"/>
    <w:rsid w:val="09314259"/>
    <w:rsid w:val="093D54B6"/>
    <w:rsid w:val="095209D0"/>
    <w:rsid w:val="0961529C"/>
    <w:rsid w:val="09BF20E9"/>
    <w:rsid w:val="0A1C2B05"/>
    <w:rsid w:val="0A225C7A"/>
    <w:rsid w:val="0A303EC3"/>
    <w:rsid w:val="0A5652C8"/>
    <w:rsid w:val="0A7205DA"/>
    <w:rsid w:val="0A9654F9"/>
    <w:rsid w:val="0A9E5F43"/>
    <w:rsid w:val="0ACE4156"/>
    <w:rsid w:val="0AD26B4D"/>
    <w:rsid w:val="0B150DBA"/>
    <w:rsid w:val="0B1C521B"/>
    <w:rsid w:val="0B2343E8"/>
    <w:rsid w:val="0B38404A"/>
    <w:rsid w:val="0B3C11A9"/>
    <w:rsid w:val="0B625136"/>
    <w:rsid w:val="0B915565"/>
    <w:rsid w:val="0BD157FE"/>
    <w:rsid w:val="0BE449F4"/>
    <w:rsid w:val="0BE76017"/>
    <w:rsid w:val="0C20100D"/>
    <w:rsid w:val="0C305F40"/>
    <w:rsid w:val="0C503983"/>
    <w:rsid w:val="0C5327EB"/>
    <w:rsid w:val="0C605560"/>
    <w:rsid w:val="0C902DBA"/>
    <w:rsid w:val="0C9E21D3"/>
    <w:rsid w:val="0C9E29BA"/>
    <w:rsid w:val="0CA92646"/>
    <w:rsid w:val="0CAF3705"/>
    <w:rsid w:val="0CBC42F9"/>
    <w:rsid w:val="0CBD198D"/>
    <w:rsid w:val="0D110C4F"/>
    <w:rsid w:val="0D120CE2"/>
    <w:rsid w:val="0D2327C7"/>
    <w:rsid w:val="0D3A347C"/>
    <w:rsid w:val="0D7C4814"/>
    <w:rsid w:val="0D9F7809"/>
    <w:rsid w:val="0DA24FE4"/>
    <w:rsid w:val="0DC161D1"/>
    <w:rsid w:val="0DD978F7"/>
    <w:rsid w:val="0DE85846"/>
    <w:rsid w:val="0DF65F43"/>
    <w:rsid w:val="0E141D1A"/>
    <w:rsid w:val="0E4B1F3E"/>
    <w:rsid w:val="0E820826"/>
    <w:rsid w:val="0EDE0CEC"/>
    <w:rsid w:val="0EF02C14"/>
    <w:rsid w:val="0EF177F4"/>
    <w:rsid w:val="0EFA0136"/>
    <w:rsid w:val="0F111D94"/>
    <w:rsid w:val="0F153424"/>
    <w:rsid w:val="0F3A26DF"/>
    <w:rsid w:val="0F3F429D"/>
    <w:rsid w:val="0F591465"/>
    <w:rsid w:val="0F5F12CE"/>
    <w:rsid w:val="0F724E3C"/>
    <w:rsid w:val="0F7667E1"/>
    <w:rsid w:val="0F866DD7"/>
    <w:rsid w:val="0F8C33B4"/>
    <w:rsid w:val="0F9F1262"/>
    <w:rsid w:val="0FCD3553"/>
    <w:rsid w:val="0FE02352"/>
    <w:rsid w:val="0FF05A42"/>
    <w:rsid w:val="1006446F"/>
    <w:rsid w:val="10091463"/>
    <w:rsid w:val="10245A5E"/>
    <w:rsid w:val="1029260B"/>
    <w:rsid w:val="10294501"/>
    <w:rsid w:val="102E4F10"/>
    <w:rsid w:val="104F0BA2"/>
    <w:rsid w:val="105A2EE1"/>
    <w:rsid w:val="105C4311"/>
    <w:rsid w:val="105F1EE1"/>
    <w:rsid w:val="10900479"/>
    <w:rsid w:val="10902CBC"/>
    <w:rsid w:val="10B2641F"/>
    <w:rsid w:val="10DF0360"/>
    <w:rsid w:val="112D30D5"/>
    <w:rsid w:val="113D7CB3"/>
    <w:rsid w:val="115F642C"/>
    <w:rsid w:val="11646C23"/>
    <w:rsid w:val="116B5B74"/>
    <w:rsid w:val="11A96B4F"/>
    <w:rsid w:val="11CE5256"/>
    <w:rsid w:val="11DB4D21"/>
    <w:rsid w:val="12053745"/>
    <w:rsid w:val="12095857"/>
    <w:rsid w:val="122C027D"/>
    <w:rsid w:val="123631FC"/>
    <w:rsid w:val="127C1E3F"/>
    <w:rsid w:val="129C6B7B"/>
    <w:rsid w:val="12A84AB1"/>
    <w:rsid w:val="12B13F2B"/>
    <w:rsid w:val="12C23C95"/>
    <w:rsid w:val="12CD11AB"/>
    <w:rsid w:val="12EF4E12"/>
    <w:rsid w:val="12F11670"/>
    <w:rsid w:val="12FF28F2"/>
    <w:rsid w:val="131E6CE5"/>
    <w:rsid w:val="13273CCC"/>
    <w:rsid w:val="13325B24"/>
    <w:rsid w:val="13343D76"/>
    <w:rsid w:val="134B30F8"/>
    <w:rsid w:val="13743C7E"/>
    <w:rsid w:val="137E0FF1"/>
    <w:rsid w:val="13915879"/>
    <w:rsid w:val="13CB100B"/>
    <w:rsid w:val="13DB5B12"/>
    <w:rsid w:val="13DE00ED"/>
    <w:rsid w:val="13ED7B05"/>
    <w:rsid w:val="140046DA"/>
    <w:rsid w:val="14071828"/>
    <w:rsid w:val="14164AE9"/>
    <w:rsid w:val="14196BF0"/>
    <w:rsid w:val="14261483"/>
    <w:rsid w:val="14265E1B"/>
    <w:rsid w:val="142A2B36"/>
    <w:rsid w:val="143174A5"/>
    <w:rsid w:val="1433674E"/>
    <w:rsid w:val="146F1D7A"/>
    <w:rsid w:val="1482202B"/>
    <w:rsid w:val="14AA5727"/>
    <w:rsid w:val="14B0454C"/>
    <w:rsid w:val="14B860E1"/>
    <w:rsid w:val="14C31248"/>
    <w:rsid w:val="15145B9D"/>
    <w:rsid w:val="15255902"/>
    <w:rsid w:val="156367B1"/>
    <w:rsid w:val="15797D94"/>
    <w:rsid w:val="158373A2"/>
    <w:rsid w:val="1585488A"/>
    <w:rsid w:val="158E72E0"/>
    <w:rsid w:val="159D3DBA"/>
    <w:rsid w:val="15A52E9B"/>
    <w:rsid w:val="15A563D8"/>
    <w:rsid w:val="15AE1677"/>
    <w:rsid w:val="15BC42B5"/>
    <w:rsid w:val="15C251DC"/>
    <w:rsid w:val="15C43439"/>
    <w:rsid w:val="15CE3B81"/>
    <w:rsid w:val="15D53161"/>
    <w:rsid w:val="15FB4B13"/>
    <w:rsid w:val="1614286B"/>
    <w:rsid w:val="161C6FBD"/>
    <w:rsid w:val="16273DFF"/>
    <w:rsid w:val="1635370D"/>
    <w:rsid w:val="164C26ED"/>
    <w:rsid w:val="165E0201"/>
    <w:rsid w:val="16712BA1"/>
    <w:rsid w:val="169615FB"/>
    <w:rsid w:val="16BC43FC"/>
    <w:rsid w:val="16BE185B"/>
    <w:rsid w:val="16DF333F"/>
    <w:rsid w:val="16F0551D"/>
    <w:rsid w:val="16F073D2"/>
    <w:rsid w:val="16F972E0"/>
    <w:rsid w:val="170B1EA5"/>
    <w:rsid w:val="170E781E"/>
    <w:rsid w:val="173979C2"/>
    <w:rsid w:val="173F2A13"/>
    <w:rsid w:val="17534970"/>
    <w:rsid w:val="1762315A"/>
    <w:rsid w:val="17851FD1"/>
    <w:rsid w:val="17B61B95"/>
    <w:rsid w:val="17E3196A"/>
    <w:rsid w:val="180A1C6B"/>
    <w:rsid w:val="180A2E6A"/>
    <w:rsid w:val="18316564"/>
    <w:rsid w:val="183A5F45"/>
    <w:rsid w:val="18524FB3"/>
    <w:rsid w:val="18734D26"/>
    <w:rsid w:val="188320E8"/>
    <w:rsid w:val="188B3FAB"/>
    <w:rsid w:val="18AA5C6C"/>
    <w:rsid w:val="19264682"/>
    <w:rsid w:val="19492D9B"/>
    <w:rsid w:val="19770119"/>
    <w:rsid w:val="197A5E53"/>
    <w:rsid w:val="19E73B4D"/>
    <w:rsid w:val="19F15F01"/>
    <w:rsid w:val="1A011B96"/>
    <w:rsid w:val="1A480EC6"/>
    <w:rsid w:val="1A6D5B7E"/>
    <w:rsid w:val="1A713B00"/>
    <w:rsid w:val="1AA6291A"/>
    <w:rsid w:val="1AAC200C"/>
    <w:rsid w:val="1AF23D50"/>
    <w:rsid w:val="1AFA71C6"/>
    <w:rsid w:val="1AFD4E56"/>
    <w:rsid w:val="1AFE15AE"/>
    <w:rsid w:val="1B0D22B7"/>
    <w:rsid w:val="1B440441"/>
    <w:rsid w:val="1B4447F4"/>
    <w:rsid w:val="1B5A1271"/>
    <w:rsid w:val="1B633838"/>
    <w:rsid w:val="1B704F5A"/>
    <w:rsid w:val="1BAD248A"/>
    <w:rsid w:val="1BBC6940"/>
    <w:rsid w:val="1BBC6AEF"/>
    <w:rsid w:val="1BC0342B"/>
    <w:rsid w:val="1BC7354C"/>
    <w:rsid w:val="1BEE0485"/>
    <w:rsid w:val="1BFB3C89"/>
    <w:rsid w:val="1C63306D"/>
    <w:rsid w:val="1CA02D01"/>
    <w:rsid w:val="1CB201D8"/>
    <w:rsid w:val="1CD46DC5"/>
    <w:rsid w:val="1CDA15AB"/>
    <w:rsid w:val="1D666D95"/>
    <w:rsid w:val="1DA578BD"/>
    <w:rsid w:val="1DB91FA2"/>
    <w:rsid w:val="1E1460F1"/>
    <w:rsid w:val="1E1E7BBA"/>
    <w:rsid w:val="1E2816A5"/>
    <w:rsid w:val="1E2B45A7"/>
    <w:rsid w:val="1E2C442F"/>
    <w:rsid w:val="1E366767"/>
    <w:rsid w:val="1E6E0897"/>
    <w:rsid w:val="1E983EF1"/>
    <w:rsid w:val="1EAF06F7"/>
    <w:rsid w:val="1EBB0A1A"/>
    <w:rsid w:val="1EFA48BB"/>
    <w:rsid w:val="1F0602BA"/>
    <w:rsid w:val="1F2C0CDC"/>
    <w:rsid w:val="1F4047B1"/>
    <w:rsid w:val="1F4C3FEE"/>
    <w:rsid w:val="1F6C2DC2"/>
    <w:rsid w:val="1F9C6C98"/>
    <w:rsid w:val="1FAE3AE5"/>
    <w:rsid w:val="1FAE475F"/>
    <w:rsid w:val="1FD94FC9"/>
    <w:rsid w:val="1FDC333E"/>
    <w:rsid w:val="2020322B"/>
    <w:rsid w:val="2025634A"/>
    <w:rsid w:val="20263F0A"/>
    <w:rsid w:val="2048646E"/>
    <w:rsid w:val="204C27A7"/>
    <w:rsid w:val="204D4198"/>
    <w:rsid w:val="20670E5A"/>
    <w:rsid w:val="209F2AEB"/>
    <w:rsid w:val="20AF4299"/>
    <w:rsid w:val="2107263D"/>
    <w:rsid w:val="212C3297"/>
    <w:rsid w:val="2137509A"/>
    <w:rsid w:val="2154401E"/>
    <w:rsid w:val="21655B1B"/>
    <w:rsid w:val="216D6944"/>
    <w:rsid w:val="21732720"/>
    <w:rsid w:val="217D7535"/>
    <w:rsid w:val="21AD0AEE"/>
    <w:rsid w:val="21BB572B"/>
    <w:rsid w:val="21C73124"/>
    <w:rsid w:val="21CB18BC"/>
    <w:rsid w:val="21D85F9F"/>
    <w:rsid w:val="21DA7D02"/>
    <w:rsid w:val="21E346E2"/>
    <w:rsid w:val="21E8205D"/>
    <w:rsid w:val="222D7967"/>
    <w:rsid w:val="22307E2A"/>
    <w:rsid w:val="226A2144"/>
    <w:rsid w:val="22910410"/>
    <w:rsid w:val="22C76C3C"/>
    <w:rsid w:val="22E36A67"/>
    <w:rsid w:val="22EE1B76"/>
    <w:rsid w:val="231A57A9"/>
    <w:rsid w:val="23610373"/>
    <w:rsid w:val="23623CB1"/>
    <w:rsid w:val="23B470A1"/>
    <w:rsid w:val="23C05C28"/>
    <w:rsid w:val="23CC3F18"/>
    <w:rsid w:val="23D42C66"/>
    <w:rsid w:val="23D90BFD"/>
    <w:rsid w:val="23E3479C"/>
    <w:rsid w:val="24106DC4"/>
    <w:rsid w:val="24374EB9"/>
    <w:rsid w:val="244F7756"/>
    <w:rsid w:val="24921EE7"/>
    <w:rsid w:val="24CE1F79"/>
    <w:rsid w:val="24CF3471"/>
    <w:rsid w:val="24EC5DD1"/>
    <w:rsid w:val="25036998"/>
    <w:rsid w:val="25325C4C"/>
    <w:rsid w:val="253432D4"/>
    <w:rsid w:val="25824BFC"/>
    <w:rsid w:val="25A22A6B"/>
    <w:rsid w:val="25EF7E3F"/>
    <w:rsid w:val="2637244B"/>
    <w:rsid w:val="26904567"/>
    <w:rsid w:val="26C857CF"/>
    <w:rsid w:val="26D92385"/>
    <w:rsid w:val="26E66850"/>
    <w:rsid w:val="26EE0409"/>
    <w:rsid w:val="26F75030"/>
    <w:rsid w:val="273830D5"/>
    <w:rsid w:val="2764521B"/>
    <w:rsid w:val="276E2D1B"/>
    <w:rsid w:val="279514A0"/>
    <w:rsid w:val="279E38CD"/>
    <w:rsid w:val="27CC3C98"/>
    <w:rsid w:val="27EC3350"/>
    <w:rsid w:val="27FD5441"/>
    <w:rsid w:val="28106F71"/>
    <w:rsid w:val="281F5C44"/>
    <w:rsid w:val="2826004D"/>
    <w:rsid w:val="283D4C74"/>
    <w:rsid w:val="2844524A"/>
    <w:rsid w:val="285A5748"/>
    <w:rsid w:val="28642123"/>
    <w:rsid w:val="28682063"/>
    <w:rsid w:val="28732366"/>
    <w:rsid w:val="28AC55C6"/>
    <w:rsid w:val="28B626F0"/>
    <w:rsid w:val="28C26ABB"/>
    <w:rsid w:val="28C628A7"/>
    <w:rsid w:val="28D42E04"/>
    <w:rsid w:val="28F17E5A"/>
    <w:rsid w:val="2906421D"/>
    <w:rsid w:val="29065F32"/>
    <w:rsid w:val="290731DA"/>
    <w:rsid w:val="2908513C"/>
    <w:rsid w:val="290B7C29"/>
    <w:rsid w:val="29126C09"/>
    <w:rsid w:val="291561D9"/>
    <w:rsid w:val="292C1838"/>
    <w:rsid w:val="294F4B81"/>
    <w:rsid w:val="295B62C7"/>
    <w:rsid w:val="296C3179"/>
    <w:rsid w:val="296E45B5"/>
    <w:rsid w:val="2976035F"/>
    <w:rsid w:val="29BD4FDE"/>
    <w:rsid w:val="29EA4CCA"/>
    <w:rsid w:val="29EE476C"/>
    <w:rsid w:val="29FA485F"/>
    <w:rsid w:val="2A090F19"/>
    <w:rsid w:val="2A7C1674"/>
    <w:rsid w:val="2A8719D2"/>
    <w:rsid w:val="2AA1765E"/>
    <w:rsid w:val="2AA97980"/>
    <w:rsid w:val="2B04334A"/>
    <w:rsid w:val="2B106E1E"/>
    <w:rsid w:val="2B12230A"/>
    <w:rsid w:val="2B184F2D"/>
    <w:rsid w:val="2B293A52"/>
    <w:rsid w:val="2B317991"/>
    <w:rsid w:val="2B3328C2"/>
    <w:rsid w:val="2B493128"/>
    <w:rsid w:val="2B4B7916"/>
    <w:rsid w:val="2B512E32"/>
    <w:rsid w:val="2B644ED3"/>
    <w:rsid w:val="2B7A34A4"/>
    <w:rsid w:val="2B9220D0"/>
    <w:rsid w:val="2BC047A8"/>
    <w:rsid w:val="2BCC17CB"/>
    <w:rsid w:val="2C160036"/>
    <w:rsid w:val="2C1745F0"/>
    <w:rsid w:val="2C22488E"/>
    <w:rsid w:val="2C237394"/>
    <w:rsid w:val="2C471016"/>
    <w:rsid w:val="2C83757E"/>
    <w:rsid w:val="2C8965FC"/>
    <w:rsid w:val="2D146F8E"/>
    <w:rsid w:val="2D1D4122"/>
    <w:rsid w:val="2D703F88"/>
    <w:rsid w:val="2D855015"/>
    <w:rsid w:val="2D8C0B81"/>
    <w:rsid w:val="2DA11543"/>
    <w:rsid w:val="2DA52E26"/>
    <w:rsid w:val="2DB92BDE"/>
    <w:rsid w:val="2E664D9E"/>
    <w:rsid w:val="2E6C7A58"/>
    <w:rsid w:val="2E8B71C0"/>
    <w:rsid w:val="2E9B371E"/>
    <w:rsid w:val="2EBD0B2A"/>
    <w:rsid w:val="2F124C61"/>
    <w:rsid w:val="2F126BFA"/>
    <w:rsid w:val="2F69634B"/>
    <w:rsid w:val="2F7D6315"/>
    <w:rsid w:val="2F821415"/>
    <w:rsid w:val="2F886105"/>
    <w:rsid w:val="2FC13BB7"/>
    <w:rsid w:val="30007599"/>
    <w:rsid w:val="301A7CA0"/>
    <w:rsid w:val="30473135"/>
    <w:rsid w:val="304A18FE"/>
    <w:rsid w:val="3062775B"/>
    <w:rsid w:val="30735887"/>
    <w:rsid w:val="307E633F"/>
    <w:rsid w:val="308333A6"/>
    <w:rsid w:val="30E35132"/>
    <w:rsid w:val="310E5EF2"/>
    <w:rsid w:val="311C10D7"/>
    <w:rsid w:val="31367793"/>
    <w:rsid w:val="31406C84"/>
    <w:rsid w:val="315461B3"/>
    <w:rsid w:val="316D2EB7"/>
    <w:rsid w:val="318D4356"/>
    <w:rsid w:val="31A35E21"/>
    <w:rsid w:val="31C972B1"/>
    <w:rsid w:val="31E235D3"/>
    <w:rsid w:val="31F478E9"/>
    <w:rsid w:val="32194793"/>
    <w:rsid w:val="32236D84"/>
    <w:rsid w:val="32336429"/>
    <w:rsid w:val="323908DF"/>
    <w:rsid w:val="32513EDC"/>
    <w:rsid w:val="3258488C"/>
    <w:rsid w:val="326966D1"/>
    <w:rsid w:val="32B02B9E"/>
    <w:rsid w:val="32B25B2C"/>
    <w:rsid w:val="32C97FDC"/>
    <w:rsid w:val="32CA7C4D"/>
    <w:rsid w:val="331E4257"/>
    <w:rsid w:val="332E0487"/>
    <w:rsid w:val="33500D6A"/>
    <w:rsid w:val="335B30FF"/>
    <w:rsid w:val="33843679"/>
    <w:rsid w:val="33884F17"/>
    <w:rsid w:val="3397037B"/>
    <w:rsid w:val="33B10C4D"/>
    <w:rsid w:val="33B27235"/>
    <w:rsid w:val="33F02396"/>
    <w:rsid w:val="33F3596F"/>
    <w:rsid w:val="340B47B5"/>
    <w:rsid w:val="341F665C"/>
    <w:rsid w:val="34312F30"/>
    <w:rsid w:val="34436B2D"/>
    <w:rsid w:val="3449378F"/>
    <w:rsid w:val="34773E9B"/>
    <w:rsid w:val="34795D5D"/>
    <w:rsid w:val="349A13A6"/>
    <w:rsid w:val="34A409EA"/>
    <w:rsid w:val="34D114FE"/>
    <w:rsid w:val="34EC7728"/>
    <w:rsid w:val="350C6DC6"/>
    <w:rsid w:val="35195B42"/>
    <w:rsid w:val="352F5A80"/>
    <w:rsid w:val="353A7AEE"/>
    <w:rsid w:val="355C48AD"/>
    <w:rsid w:val="35733457"/>
    <w:rsid w:val="35A07EB4"/>
    <w:rsid w:val="35B52861"/>
    <w:rsid w:val="35C9792B"/>
    <w:rsid w:val="35DD6145"/>
    <w:rsid w:val="35E71B3F"/>
    <w:rsid w:val="35F136B9"/>
    <w:rsid w:val="35F51DEE"/>
    <w:rsid w:val="36084C00"/>
    <w:rsid w:val="361969A5"/>
    <w:rsid w:val="364F3C36"/>
    <w:rsid w:val="368169B0"/>
    <w:rsid w:val="36EE315B"/>
    <w:rsid w:val="36F31241"/>
    <w:rsid w:val="370D2FE1"/>
    <w:rsid w:val="3710508A"/>
    <w:rsid w:val="37170F30"/>
    <w:rsid w:val="37193F4D"/>
    <w:rsid w:val="371A67CE"/>
    <w:rsid w:val="37501D7A"/>
    <w:rsid w:val="37B073B9"/>
    <w:rsid w:val="37BB18F6"/>
    <w:rsid w:val="37CC37DB"/>
    <w:rsid w:val="37D36D87"/>
    <w:rsid w:val="37D72575"/>
    <w:rsid w:val="37E92F1B"/>
    <w:rsid w:val="37EB7C40"/>
    <w:rsid w:val="381B376B"/>
    <w:rsid w:val="385C1855"/>
    <w:rsid w:val="387E40BB"/>
    <w:rsid w:val="38B04559"/>
    <w:rsid w:val="38D055FF"/>
    <w:rsid w:val="38D728CB"/>
    <w:rsid w:val="38FA6BB4"/>
    <w:rsid w:val="38FF7C7A"/>
    <w:rsid w:val="39175A59"/>
    <w:rsid w:val="392A0E82"/>
    <w:rsid w:val="39754190"/>
    <w:rsid w:val="39EF7005"/>
    <w:rsid w:val="3A176189"/>
    <w:rsid w:val="3A1D7CF6"/>
    <w:rsid w:val="3A7E410A"/>
    <w:rsid w:val="3A856C98"/>
    <w:rsid w:val="3AA60379"/>
    <w:rsid w:val="3ACB7556"/>
    <w:rsid w:val="3AD84799"/>
    <w:rsid w:val="3B692F1D"/>
    <w:rsid w:val="3B80020A"/>
    <w:rsid w:val="3B850194"/>
    <w:rsid w:val="3B9C06C1"/>
    <w:rsid w:val="3BBA273E"/>
    <w:rsid w:val="3BF13813"/>
    <w:rsid w:val="3BF92F19"/>
    <w:rsid w:val="3C035BF0"/>
    <w:rsid w:val="3C08490F"/>
    <w:rsid w:val="3C097401"/>
    <w:rsid w:val="3C0E4427"/>
    <w:rsid w:val="3C24446C"/>
    <w:rsid w:val="3C3F4DAF"/>
    <w:rsid w:val="3C88781A"/>
    <w:rsid w:val="3C991F43"/>
    <w:rsid w:val="3CA12326"/>
    <w:rsid w:val="3CB20043"/>
    <w:rsid w:val="3CB274A9"/>
    <w:rsid w:val="3CD70CBD"/>
    <w:rsid w:val="3D3103CE"/>
    <w:rsid w:val="3D366D54"/>
    <w:rsid w:val="3D7B76F6"/>
    <w:rsid w:val="3DB1150E"/>
    <w:rsid w:val="3DBC1248"/>
    <w:rsid w:val="3DCF4B3C"/>
    <w:rsid w:val="3E014244"/>
    <w:rsid w:val="3E20597F"/>
    <w:rsid w:val="3E332998"/>
    <w:rsid w:val="3E572D08"/>
    <w:rsid w:val="3E783194"/>
    <w:rsid w:val="3E831992"/>
    <w:rsid w:val="3E950E30"/>
    <w:rsid w:val="3EBD717E"/>
    <w:rsid w:val="3EE41D9C"/>
    <w:rsid w:val="3EEB2EF4"/>
    <w:rsid w:val="3F1A404E"/>
    <w:rsid w:val="3F1F49A3"/>
    <w:rsid w:val="3F2B6877"/>
    <w:rsid w:val="3F30708E"/>
    <w:rsid w:val="3F60143E"/>
    <w:rsid w:val="3F62013F"/>
    <w:rsid w:val="3F6F511E"/>
    <w:rsid w:val="3F821AAD"/>
    <w:rsid w:val="3F874C1D"/>
    <w:rsid w:val="400B0FDF"/>
    <w:rsid w:val="400C5122"/>
    <w:rsid w:val="40154B9D"/>
    <w:rsid w:val="40282ECF"/>
    <w:rsid w:val="4032497A"/>
    <w:rsid w:val="4044666A"/>
    <w:rsid w:val="404B4A8B"/>
    <w:rsid w:val="405C3D06"/>
    <w:rsid w:val="406313A5"/>
    <w:rsid w:val="406902F7"/>
    <w:rsid w:val="406A3873"/>
    <w:rsid w:val="40CF483A"/>
    <w:rsid w:val="40D6479F"/>
    <w:rsid w:val="4109492F"/>
    <w:rsid w:val="413D156A"/>
    <w:rsid w:val="41475608"/>
    <w:rsid w:val="41582062"/>
    <w:rsid w:val="41664B3E"/>
    <w:rsid w:val="41750CD4"/>
    <w:rsid w:val="41886BB1"/>
    <w:rsid w:val="4191191D"/>
    <w:rsid w:val="419F5BE0"/>
    <w:rsid w:val="41AF631D"/>
    <w:rsid w:val="41B65345"/>
    <w:rsid w:val="41B7206A"/>
    <w:rsid w:val="41E2754C"/>
    <w:rsid w:val="41E41EB2"/>
    <w:rsid w:val="42124489"/>
    <w:rsid w:val="423678D9"/>
    <w:rsid w:val="427452B0"/>
    <w:rsid w:val="427B6EAC"/>
    <w:rsid w:val="429720F1"/>
    <w:rsid w:val="42DC79F3"/>
    <w:rsid w:val="42F031BB"/>
    <w:rsid w:val="43065E58"/>
    <w:rsid w:val="43087E22"/>
    <w:rsid w:val="430A3B9B"/>
    <w:rsid w:val="43180379"/>
    <w:rsid w:val="43265BB0"/>
    <w:rsid w:val="43354A42"/>
    <w:rsid w:val="434540EF"/>
    <w:rsid w:val="436151BF"/>
    <w:rsid w:val="43654E22"/>
    <w:rsid w:val="438356FB"/>
    <w:rsid w:val="438D3C08"/>
    <w:rsid w:val="43FA6480"/>
    <w:rsid w:val="4413082D"/>
    <w:rsid w:val="44180EAF"/>
    <w:rsid w:val="442C5971"/>
    <w:rsid w:val="444D6DC4"/>
    <w:rsid w:val="4458601E"/>
    <w:rsid w:val="44A130E5"/>
    <w:rsid w:val="44AC2148"/>
    <w:rsid w:val="44B07D36"/>
    <w:rsid w:val="44BD3DB1"/>
    <w:rsid w:val="44BF379D"/>
    <w:rsid w:val="44C333F6"/>
    <w:rsid w:val="44ED39AD"/>
    <w:rsid w:val="44F65A90"/>
    <w:rsid w:val="44FC5B23"/>
    <w:rsid w:val="45235E97"/>
    <w:rsid w:val="45277C55"/>
    <w:rsid w:val="4530540F"/>
    <w:rsid w:val="4532373F"/>
    <w:rsid w:val="45370E34"/>
    <w:rsid w:val="453F2812"/>
    <w:rsid w:val="45520903"/>
    <w:rsid w:val="457344FC"/>
    <w:rsid w:val="45844488"/>
    <w:rsid w:val="45BA156D"/>
    <w:rsid w:val="45C9097F"/>
    <w:rsid w:val="45FA7080"/>
    <w:rsid w:val="45FE3470"/>
    <w:rsid w:val="46431EDC"/>
    <w:rsid w:val="46697469"/>
    <w:rsid w:val="466E7FD7"/>
    <w:rsid w:val="46864E66"/>
    <w:rsid w:val="468B77B0"/>
    <w:rsid w:val="46A62917"/>
    <w:rsid w:val="46AD248C"/>
    <w:rsid w:val="46B05A1F"/>
    <w:rsid w:val="46B30A16"/>
    <w:rsid w:val="46CB3EBF"/>
    <w:rsid w:val="46EB494F"/>
    <w:rsid w:val="46F46CD2"/>
    <w:rsid w:val="471873BE"/>
    <w:rsid w:val="47330814"/>
    <w:rsid w:val="47482EE3"/>
    <w:rsid w:val="477E2488"/>
    <w:rsid w:val="47946129"/>
    <w:rsid w:val="47A44169"/>
    <w:rsid w:val="47ED42D6"/>
    <w:rsid w:val="47F367DF"/>
    <w:rsid w:val="47FE3D88"/>
    <w:rsid w:val="480A1F47"/>
    <w:rsid w:val="481C6658"/>
    <w:rsid w:val="481E1E96"/>
    <w:rsid w:val="48201648"/>
    <w:rsid w:val="484B23A1"/>
    <w:rsid w:val="48802209"/>
    <w:rsid w:val="488E4C19"/>
    <w:rsid w:val="48977D09"/>
    <w:rsid w:val="48AD0CF3"/>
    <w:rsid w:val="48B167B2"/>
    <w:rsid w:val="48BA1CE8"/>
    <w:rsid w:val="48ED6E34"/>
    <w:rsid w:val="48FC21D7"/>
    <w:rsid w:val="491318AF"/>
    <w:rsid w:val="49213B85"/>
    <w:rsid w:val="4958476A"/>
    <w:rsid w:val="495A2786"/>
    <w:rsid w:val="496B0D1A"/>
    <w:rsid w:val="4970518C"/>
    <w:rsid w:val="49A0215B"/>
    <w:rsid w:val="49B8790D"/>
    <w:rsid w:val="49C02F57"/>
    <w:rsid w:val="49E56421"/>
    <w:rsid w:val="49F726BA"/>
    <w:rsid w:val="4A0915ED"/>
    <w:rsid w:val="4A207FA8"/>
    <w:rsid w:val="4A421E6C"/>
    <w:rsid w:val="4A670FC1"/>
    <w:rsid w:val="4A6A453D"/>
    <w:rsid w:val="4A80575A"/>
    <w:rsid w:val="4A877F3D"/>
    <w:rsid w:val="4A964267"/>
    <w:rsid w:val="4AA56A1B"/>
    <w:rsid w:val="4AA67ABB"/>
    <w:rsid w:val="4AA72F06"/>
    <w:rsid w:val="4AAA1715"/>
    <w:rsid w:val="4AB33133"/>
    <w:rsid w:val="4AC25C75"/>
    <w:rsid w:val="4AC93BE1"/>
    <w:rsid w:val="4AD52CE0"/>
    <w:rsid w:val="4AD64A5E"/>
    <w:rsid w:val="4AE055C0"/>
    <w:rsid w:val="4AEF0C90"/>
    <w:rsid w:val="4AFD4332"/>
    <w:rsid w:val="4B0A4B1A"/>
    <w:rsid w:val="4B0A5330"/>
    <w:rsid w:val="4B1D2D0C"/>
    <w:rsid w:val="4B3410A0"/>
    <w:rsid w:val="4B3E48AB"/>
    <w:rsid w:val="4B920BD1"/>
    <w:rsid w:val="4BBA64DC"/>
    <w:rsid w:val="4BCE3C5B"/>
    <w:rsid w:val="4BF73ABB"/>
    <w:rsid w:val="4C152702"/>
    <w:rsid w:val="4C156D39"/>
    <w:rsid w:val="4C1F0E5E"/>
    <w:rsid w:val="4C272AAE"/>
    <w:rsid w:val="4C2F4EFD"/>
    <w:rsid w:val="4C4869B3"/>
    <w:rsid w:val="4C5941D4"/>
    <w:rsid w:val="4C63329F"/>
    <w:rsid w:val="4C6874D8"/>
    <w:rsid w:val="4C8223BE"/>
    <w:rsid w:val="4C8D3DCE"/>
    <w:rsid w:val="4CA2085B"/>
    <w:rsid w:val="4CA25936"/>
    <w:rsid w:val="4CB4094C"/>
    <w:rsid w:val="4CB44B77"/>
    <w:rsid w:val="4CC36B68"/>
    <w:rsid w:val="4CD3764B"/>
    <w:rsid w:val="4CEB65B0"/>
    <w:rsid w:val="4D06420E"/>
    <w:rsid w:val="4D1F46E6"/>
    <w:rsid w:val="4D2821A1"/>
    <w:rsid w:val="4D3A7FCF"/>
    <w:rsid w:val="4D467EC5"/>
    <w:rsid w:val="4D482CDE"/>
    <w:rsid w:val="4D8207D1"/>
    <w:rsid w:val="4D8F5013"/>
    <w:rsid w:val="4DAE1288"/>
    <w:rsid w:val="4DFC30D3"/>
    <w:rsid w:val="4E210303"/>
    <w:rsid w:val="4E393BDC"/>
    <w:rsid w:val="4E4677F9"/>
    <w:rsid w:val="4E5959D6"/>
    <w:rsid w:val="4E73410D"/>
    <w:rsid w:val="4E8237BA"/>
    <w:rsid w:val="4E9904C8"/>
    <w:rsid w:val="4ECF3EEA"/>
    <w:rsid w:val="4EEE4759"/>
    <w:rsid w:val="4EF9611F"/>
    <w:rsid w:val="4EFB60F2"/>
    <w:rsid w:val="4F2212D8"/>
    <w:rsid w:val="4F6A758C"/>
    <w:rsid w:val="4F6E2A45"/>
    <w:rsid w:val="4F7169E8"/>
    <w:rsid w:val="4F7D74A2"/>
    <w:rsid w:val="4F817DD5"/>
    <w:rsid w:val="4FC155E1"/>
    <w:rsid w:val="4FC331A2"/>
    <w:rsid w:val="4FDF2D7A"/>
    <w:rsid w:val="50250628"/>
    <w:rsid w:val="503D1A11"/>
    <w:rsid w:val="50700DB5"/>
    <w:rsid w:val="50AA076B"/>
    <w:rsid w:val="50B214FA"/>
    <w:rsid w:val="51060C07"/>
    <w:rsid w:val="511013F5"/>
    <w:rsid w:val="51247909"/>
    <w:rsid w:val="512530D5"/>
    <w:rsid w:val="512C0E07"/>
    <w:rsid w:val="51412E90"/>
    <w:rsid w:val="51592273"/>
    <w:rsid w:val="51933C1F"/>
    <w:rsid w:val="51B23518"/>
    <w:rsid w:val="51E83400"/>
    <w:rsid w:val="51E9169C"/>
    <w:rsid w:val="51FA2D3E"/>
    <w:rsid w:val="51FA4D68"/>
    <w:rsid w:val="525F5585"/>
    <w:rsid w:val="527A6FAB"/>
    <w:rsid w:val="52912188"/>
    <w:rsid w:val="529201CD"/>
    <w:rsid w:val="52972F71"/>
    <w:rsid w:val="52B57708"/>
    <w:rsid w:val="52C15D02"/>
    <w:rsid w:val="52CA2943"/>
    <w:rsid w:val="52D6599B"/>
    <w:rsid w:val="52E91785"/>
    <w:rsid w:val="52F76A7C"/>
    <w:rsid w:val="53023C7E"/>
    <w:rsid w:val="53050A32"/>
    <w:rsid w:val="530D0E18"/>
    <w:rsid w:val="53417B32"/>
    <w:rsid w:val="53540D68"/>
    <w:rsid w:val="53784016"/>
    <w:rsid w:val="539258C0"/>
    <w:rsid w:val="53AE6892"/>
    <w:rsid w:val="53BC5C20"/>
    <w:rsid w:val="53C733E2"/>
    <w:rsid w:val="53CA553A"/>
    <w:rsid w:val="53CB7339"/>
    <w:rsid w:val="53EE27D4"/>
    <w:rsid w:val="5418333D"/>
    <w:rsid w:val="5422191A"/>
    <w:rsid w:val="5422474A"/>
    <w:rsid w:val="543C0C79"/>
    <w:rsid w:val="54430630"/>
    <w:rsid w:val="54792FA7"/>
    <w:rsid w:val="548E6ABC"/>
    <w:rsid w:val="54A42A14"/>
    <w:rsid w:val="54B44640"/>
    <w:rsid w:val="54B7033E"/>
    <w:rsid w:val="54C34539"/>
    <w:rsid w:val="54CB0806"/>
    <w:rsid w:val="54E15905"/>
    <w:rsid w:val="55066D0E"/>
    <w:rsid w:val="550C2450"/>
    <w:rsid w:val="550F3292"/>
    <w:rsid w:val="5510379B"/>
    <w:rsid w:val="55226472"/>
    <w:rsid w:val="55246D0D"/>
    <w:rsid w:val="5526447D"/>
    <w:rsid w:val="555070E2"/>
    <w:rsid w:val="555227CB"/>
    <w:rsid w:val="55563EB3"/>
    <w:rsid w:val="5569313D"/>
    <w:rsid w:val="55794BB0"/>
    <w:rsid w:val="558D3920"/>
    <w:rsid w:val="55A158CA"/>
    <w:rsid w:val="55D33CA3"/>
    <w:rsid w:val="55E66029"/>
    <w:rsid w:val="55FC037D"/>
    <w:rsid w:val="563C2A6A"/>
    <w:rsid w:val="567F0EB9"/>
    <w:rsid w:val="5691764F"/>
    <w:rsid w:val="56921A85"/>
    <w:rsid w:val="56961C67"/>
    <w:rsid w:val="56983EB7"/>
    <w:rsid w:val="56AF7C16"/>
    <w:rsid w:val="56BF315E"/>
    <w:rsid w:val="56CC18C2"/>
    <w:rsid w:val="56CF25E2"/>
    <w:rsid w:val="570E6588"/>
    <w:rsid w:val="571C68B6"/>
    <w:rsid w:val="571F1E19"/>
    <w:rsid w:val="572D7A56"/>
    <w:rsid w:val="57360303"/>
    <w:rsid w:val="575B26B9"/>
    <w:rsid w:val="5787490D"/>
    <w:rsid w:val="57A57A93"/>
    <w:rsid w:val="57A8352A"/>
    <w:rsid w:val="57BF5437"/>
    <w:rsid w:val="57C41CA4"/>
    <w:rsid w:val="57C44B08"/>
    <w:rsid w:val="57CF3250"/>
    <w:rsid w:val="57D347E7"/>
    <w:rsid w:val="57D77378"/>
    <w:rsid w:val="57E54748"/>
    <w:rsid w:val="57EB75F1"/>
    <w:rsid w:val="57F66214"/>
    <w:rsid w:val="57FD09DF"/>
    <w:rsid w:val="58062D10"/>
    <w:rsid w:val="580E7831"/>
    <w:rsid w:val="58104EF2"/>
    <w:rsid w:val="581A4031"/>
    <w:rsid w:val="589E28FE"/>
    <w:rsid w:val="58B73EDF"/>
    <w:rsid w:val="58CC096A"/>
    <w:rsid w:val="58DE6470"/>
    <w:rsid w:val="59213623"/>
    <w:rsid w:val="592356A3"/>
    <w:rsid w:val="597A2963"/>
    <w:rsid w:val="597D22F9"/>
    <w:rsid w:val="599311A0"/>
    <w:rsid w:val="59A610A7"/>
    <w:rsid w:val="59B0384A"/>
    <w:rsid w:val="59C24EA3"/>
    <w:rsid w:val="59C8075D"/>
    <w:rsid w:val="59C969B5"/>
    <w:rsid w:val="5A0013FC"/>
    <w:rsid w:val="5A05584B"/>
    <w:rsid w:val="5A14433F"/>
    <w:rsid w:val="5A1B6AFF"/>
    <w:rsid w:val="5A283243"/>
    <w:rsid w:val="5A3E56BE"/>
    <w:rsid w:val="5A546307"/>
    <w:rsid w:val="5A655703"/>
    <w:rsid w:val="5A673229"/>
    <w:rsid w:val="5A812943"/>
    <w:rsid w:val="5AB53D42"/>
    <w:rsid w:val="5AF42BC7"/>
    <w:rsid w:val="5B001FA0"/>
    <w:rsid w:val="5B247E49"/>
    <w:rsid w:val="5B427DEA"/>
    <w:rsid w:val="5B5A50C0"/>
    <w:rsid w:val="5B6E4853"/>
    <w:rsid w:val="5B735AF4"/>
    <w:rsid w:val="5B95255A"/>
    <w:rsid w:val="5BBC0AED"/>
    <w:rsid w:val="5BF1724E"/>
    <w:rsid w:val="5C413AE7"/>
    <w:rsid w:val="5C433822"/>
    <w:rsid w:val="5C4E0A70"/>
    <w:rsid w:val="5C5C1C9E"/>
    <w:rsid w:val="5C5E00F3"/>
    <w:rsid w:val="5C677510"/>
    <w:rsid w:val="5C796835"/>
    <w:rsid w:val="5CBA1D36"/>
    <w:rsid w:val="5CFA60F2"/>
    <w:rsid w:val="5CFC7735"/>
    <w:rsid w:val="5D2F7311"/>
    <w:rsid w:val="5D4033EC"/>
    <w:rsid w:val="5D4843F9"/>
    <w:rsid w:val="5D50269A"/>
    <w:rsid w:val="5D5850AB"/>
    <w:rsid w:val="5D690F4C"/>
    <w:rsid w:val="5D78428A"/>
    <w:rsid w:val="5D906D45"/>
    <w:rsid w:val="5D9B37C9"/>
    <w:rsid w:val="5DA56542"/>
    <w:rsid w:val="5DDC4FDA"/>
    <w:rsid w:val="5DE77E61"/>
    <w:rsid w:val="5E265C9E"/>
    <w:rsid w:val="5E2D0BC7"/>
    <w:rsid w:val="5E89042C"/>
    <w:rsid w:val="5EB427B5"/>
    <w:rsid w:val="5EB804F7"/>
    <w:rsid w:val="5EC24ED2"/>
    <w:rsid w:val="5EC56A6D"/>
    <w:rsid w:val="5EE57A83"/>
    <w:rsid w:val="5EEE5EB6"/>
    <w:rsid w:val="5F053A9C"/>
    <w:rsid w:val="5F0A45FB"/>
    <w:rsid w:val="5F30490D"/>
    <w:rsid w:val="5F724B4A"/>
    <w:rsid w:val="5F9E46B3"/>
    <w:rsid w:val="5FA36AB1"/>
    <w:rsid w:val="5FAA2D59"/>
    <w:rsid w:val="5FE51EA2"/>
    <w:rsid w:val="600734E4"/>
    <w:rsid w:val="60114363"/>
    <w:rsid w:val="602048C3"/>
    <w:rsid w:val="60207356"/>
    <w:rsid w:val="60214E88"/>
    <w:rsid w:val="60300161"/>
    <w:rsid w:val="60377F76"/>
    <w:rsid w:val="6040276D"/>
    <w:rsid w:val="606C5EC2"/>
    <w:rsid w:val="60A60876"/>
    <w:rsid w:val="60B40F9E"/>
    <w:rsid w:val="60BC1586"/>
    <w:rsid w:val="60C04D76"/>
    <w:rsid w:val="60CF12EC"/>
    <w:rsid w:val="60DF1C12"/>
    <w:rsid w:val="60E9182C"/>
    <w:rsid w:val="60F13358"/>
    <w:rsid w:val="60F1626E"/>
    <w:rsid w:val="60FC79C9"/>
    <w:rsid w:val="615157EB"/>
    <w:rsid w:val="615A5895"/>
    <w:rsid w:val="61711DC4"/>
    <w:rsid w:val="618E1BF9"/>
    <w:rsid w:val="61AF0ED0"/>
    <w:rsid w:val="61CE2686"/>
    <w:rsid w:val="61E02939"/>
    <w:rsid w:val="61F451F0"/>
    <w:rsid w:val="62133007"/>
    <w:rsid w:val="62372395"/>
    <w:rsid w:val="624D36A0"/>
    <w:rsid w:val="62540C53"/>
    <w:rsid w:val="625C66EF"/>
    <w:rsid w:val="62630A6C"/>
    <w:rsid w:val="626B1AB8"/>
    <w:rsid w:val="62714F3F"/>
    <w:rsid w:val="627951BA"/>
    <w:rsid w:val="62885C85"/>
    <w:rsid w:val="62EB24E4"/>
    <w:rsid w:val="6315416A"/>
    <w:rsid w:val="631953C1"/>
    <w:rsid w:val="631E0968"/>
    <w:rsid w:val="633327F6"/>
    <w:rsid w:val="639749B9"/>
    <w:rsid w:val="63981797"/>
    <w:rsid w:val="639D59CA"/>
    <w:rsid w:val="63B4039B"/>
    <w:rsid w:val="63BA27DA"/>
    <w:rsid w:val="63DE6C2B"/>
    <w:rsid w:val="63E03861"/>
    <w:rsid w:val="640D3093"/>
    <w:rsid w:val="640D6328"/>
    <w:rsid w:val="6418474F"/>
    <w:rsid w:val="64222567"/>
    <w:rsid w:val="64236413"/>
    <w:rsid w:val="64295F63"/>
    <w:rsid w:val="6446196A"/>
    <w:rsid w:val="644C2B4E"/>
    <w:rsid w:val="64577A52"/>
    <w:rsid w:val="646A42C6"/>
    <w:rsid w:val="64832C93"/>
    <w:rsid w:val="64910A0E"/>
    <w:rsid w:val="649E1F3D"/>
    <w:rsid w:val="64FF649B"/>
    <w:rsid w:val="652B297D"/>
    <w:rsid w:val="652E32C1"/>
    <w:rsid w:val="65332E12"/>
    <w:rsid w:val="653922C9"/>
    <w:rsid w:val="65567863"/>
    <w:rsid w:val="6560292F"/>
    <w:rsid w:val="65603695"/>
    <w:rsid w:val="656603E9"/>
    <w:rsid w:val="657D23C7"/>
    <w:rsid w:val="6580162D"/>
    <w:rsid w:val="65910689"/>
    <w:rsid w:val="65A96541"/>
    <w:rsid w:val="65B569D1"/>
    <w:rsid w:val="65C973EB"/>
    <w:rsid w:val="65CA728C"/>
    <w:rsid w:val="65D42125"/>
    <w:rsid w:val="65E46075"/>
    <w:rsid w:val="660526A1"/>
    <w:rsid w:val="66157FDD"/>
    <w:rsid w:val="66335817"/>
    <w:rsid w:val="66495594"/>
    <w:rsid w:val="664E2A8E"/>
    <w:rsid w:val="669B73CB"/>
    <w:rsid w:val="66B3286F"/>
    <w:rsid w:val="66B718D7"/>
    <w:rsid w:val="66E159F1"/>
    <w:rsid w:val="66ED4BCF"/>
    <w:rsid w:val="66F3057E"/>
    <w:rsid w:val="66F31ADC"/>
    <w:rsid w:val="66F571FE"/>
    <w:rsid w:val="67226A1F"/>
    <w:rsid w:val="675836B8"/>
    <w:rsid w:val="67786A75"/>
    <w:rsid w:val="67811BA8"/>
    <w:rsid w:val="67BE1C68"/>
    <w:rsid w:val="67D2709E"/>
    <w:rsid w:val="680B6ACA"/>
    <w:rsid w:val="68182006"/>
    <w:rsid w:val="682D34EA"/>
    <w:rsid w:val="682D7585"/>
    <w:rsid w:val="683D1B58"/>
    <w:rsid w:val="68403003"/>
    <w:rsid w:val="684150B9"/>
    <w:rsid w:val="68556DB7"/>
    <w:rsid w:val="68694610"/>
    <w:rsid w:val="68784AF7"/>
    <w:rsid w:val="68E951A3"/>
    <w:rsid w:val="68ED77D0"/>
    <w:rsid w:val="68EF720B"/>
    <w:rsid w:val="68F12AE9"/>
    <w:rsid w:val="68F24489"/>
    <w:rsid w:val="692A45F4"/>
    <w:rsid w:val="6939727D"/>
    <w:rsid w:val="695E2516"/>
    <w:rsid w:val="69643755"/>
    <w:rsid w:val="696D4DCE"/>
    <w:rsid w:val="698439B6"/>
    <w:rsid w:val="69C371A3"/>
    <w:rsid w:val="69D46071"/>
    <w:rsid w:val="69D739F6"/>
    <w:rsid w:val="69DB131F"/>
    <w:rsid w:val="69E37C74"/>
    <w:rsid w:val="69E564FE"/>
    <w:rsid w:val="69FD1936"/>
    <w:rsid w:val="69FE5356"/>
    <w:rsid w:val="6A0F7F4D"/>
    <w:rsid w:val="6A551F65"/>
    <w:rsid w:val="6A6A7995"/>
    <w:rsid w:val="6AB7106F"/>
    <w:rsid w:val="6AE01E1B"/>
    <w:rsid w:val="6AEE4391"/>
    <w:rsid w:val="6AF208ED"/>
    <w:rsid w:val="6B0E7FF1"/>
    <w:rsid w:val="6B0F1B5B"/>
    <w:rsid w:val="6B120133"/>
    <w:rsid w:val="6B445A52"/>
    <w:rsid w:val="6B56051F"/>
    <w:rsid w:val="6B5A4B29"/>
    <w:rsid w:val="6B9464F2"/>
    <w:rsid w:val="6B964304"/>
    <w:rsid w:val="6B9A559B"/>
    <w:rsid w:val="6B9B0F84"/>
    <w:rsid w:val="6BC8755E"/>
    <w:rsid w:val="6C1219A5"/>
    <w:rsid w:val="6C250942"/>
    <w:rsid w:val="6C5C4BB7"/>
    <w:rsid w:val="6C7761FD"/>
    <w:rsid w:val="6C7812C6"/>
    <w:rsid w:val="6C7C2B64"/>
    <w:rsid w:val="6C99462E"/>
    <w:rsid w:val="6C9D2ADA"/>
    <w:rsid w:val="6C9D31EB"/>
    <w:rsid w:val="6CA65170"/>
    <w:rsid w:val="6CAC72F7"/>
    <w:rsid w:val="6CAF692E"/>
    <w:rsid w:val="6CD21688"/>
    <w:rsid w:val="6CE4695B"/>
    <w:rsid w:val="6CE46C32"/>
    <w:rsid w:val="6CEC7CFB"/>
    <w:rsid w:val="6D0738EF"/>
    <w:rsid w:val="6D11346F"/>
    <w:rsid w:val="6D2E7D34"/>
    <w:rsid w:val="6D3451CD"/>
    <w:rsid w:val="6D662BCB"/>
    <w:rsid w:val="6D677D53"/>
    <w:rsid w:val="6D766CCB"/>
    <w:rsid w:val="6D9810F4"/>
    <w:rsid w:val="6DA82EE6"/>
    <w:rsid w:val="6DB17D4F"/>
    <w:rsid w:val="6DCF3167"/>
    <w:rsid w:val="6DD5558E"/>
    <w:rsid w:val="6DD96AC9"/>
    <w:rsid w:val="6DEC7666"/>
    <w:rsid w:val="6E0232B1"/>
    <w:rsid w:val="6E0A753A"/>
    <w:rsid w:val="6E4271BE"/>
    <w:rsid w:val="6E49392B"/>
    <w:rsid w:val="6E7A30D3"/>
    <w:rsid w:val="6E7A7F94"/>
    <w:rsid w:val="6E8410EE"/>
    <w:rsid w:val="6E876BAA"/>
    <w:rsid w:val="6EAC168D"/>
    <w:rsid w:val="6EAF2BF0"/>
    <w:rsid w:val="6EB6525B"/>
    <w:rsid w:val="6EC93996"/>
    <w:rsid w:val="6ED23E59"/>
    <w:rsid w:val="6F1362A1"/>
    <w:rsid w:val="6FA12783"/>
    <w:rsid w:val="6FA903EB"/>
    <w:rsid w:val="6FCE61FB"/>
    <w:rsid w:val="6FDA160C"/>
    <w:rsid w:val="700B64BC"/>
    <w:rsid w:val="70194B12"/>
    <w:rsid w:val="702E50FA"/>
    <w:rsid w:val="70455722"/>
    <w:rsid w:val="707800EE"/>
    <w:rsid w:val="70AB4A08"/>
    <w:rsid w:val="70CE48CB"/>
    <w:rsid w:val="70D014B8"/>
    <w:rsid w:val="70D015AF"/>
    <w:rsid w:val="70D817D1"/>
    <w:rsid w:val="70D939A2"/>
    <w:rsid w:val="70DB0358"/>
    <w:rsid w:val="70FC7D85"/>
    <w:rsid w:val="711A6C1F"/>
    <w:rsid w:val="712976D8"/>
    <w:rsid w:val="71573413"/>
    <w:rsid w:val="71734C50"/>
    <w:rsid w:val="7196718A"/>
    <w:rsid w:val="71A016C0"/>
    <w:rsid w:val="71AC14EA"/>
    <w:rsid w:val="71CC00E9"/>
    <w:rsid w:val="71F41218"/>
    <w:rsid w:val="720E0702"/>
    <w:rsid w:val="720E669D"/>
    <w:rsid w:val="723A4981"/>
    <w:rsid w:val="72467548"/>
    <w:rsid w:val="726102CF"/>
    <w:rsid w:val="72702011"/>
    <w:rsid w:val="72793441"/>
    <w:rsid w:val="728704B4"/>
    <w:rsid w:val="728A2B98"/>
    <w:rsid w:val="728A5A2B"/>
    <w:rsid w:val="72A57C1E"/>
    <w:rsid w:val="72B86869"/>
    <w:rsid w:val="72C9440B"/>
    <w:rsid w:val="72CE25E9"/>
    <w:rsid w:val="72E15F67"/>
    <w:rsid w:val="72EE1700"/>
    <w:rsid w:val="72F877CA"/>
    <w:rsid w:val="73211916"/>
    <w:rsid w:val="73277407"/>
    <w:rsid w:val="73373212"/>
    <w:rsid w:val="73397A01"/>
    <w:rsid w:val="735A4A4D"/>
    <w:rsid w:val="735C45FC"/>
    <w:rsid w:val="73B737F7"/>
    <w:rsid w:val="73C81C8A"/>
    <w:rsid w:val="73C95900"/>
    <w:rsid w:val="73D301C7"/>
    <w:rsid w:val="73E831D5"/>
    <w:rsid w:val="740372BA"/>
    <w:rsid w:val="743E1534"/>
    <w:rsid w:val="74464594"/>
    <w:rsid w:val="745E1DE0"/>
    <w:rsid w:val="7476022A"/>
    <w:rsid w:val="748F496C"/>
    <w:rsid w:val="74915494"/>
    <w:rsid w:val="74E92CB5"/>
    <w:rsid w:val="75012739"/>
    <w:rsid w:val="75412B9C"/>
    <w:rsid w:val="758B0C89"/>
    <w:rsid w:val="759A0ED9"/>
    <w:rsid w:val="75B96BD7"/>
    <w:rsid w:val="75BC22EF"/>
    <w:rsid w:val="75C8312A"/>
    <w:rsid w:val="75CD23E3"/>
    <w:rsid w:val="75E52B7B"/>
    <w:rsid w:val="762C039A"/>
    <w:rsid w:val="76310BBF"/>
    <w:rsid w:val="763976B0"/>
    <w:rsid w:val="76420798"/>
    <w:rsid w:val="768C7E47"/>
    <w:rsid w:val="76AA059B"/>
    <w:rsid w:val="76B57CF3"/>
    <w:rsid w:val="76C27D0D"/>
    <w:rsid w:val="76D554CF"/>
    <w:rsid w:val="76F72A5B"/>
    <w:rsid w:val="76F733EB"/>
    <w:rsid w:val="770B6F63"/>
    <w:rsid w:val="77334767"/>
    <w:rsid w:val="773437F6"/>
    <w:rsid w:val="774265BC"/>
    <w:rsid w:val="777B0DEF"/>
    <w:rsid w:val="77984CC5"/>
    <w:rsid w:val="77A74279"/>
    <w:rsid w:val="77BB75AD"/>
    <w:rsid w:val="77C110E7"/>
    <w:rsid w:val="77D60337"/>
    <w:rsid w:val="77FE5730"/>
    <w:rsid w:val="7805056B"/>
    <w:rsid w:val="782869C8"/>
    <w:rsid w:val="78546B92"/>
    <w:rsid w:val="78623624"/>
    <w:rsid w:val="78645E13"/>
    <w:rsid w:val="787456FE"/>
    <w:rsid w:val="78784A78"/>
    <w:rsid w:val="78A024C0"/>
    <w:rsid w:val="78AC7721"/>
    <w:rsid w:val="78BD484E"/>
    <w:rsid w:val="78CA2A0B"/>
    <w:rsid w:val="78CD3B44"/>
    <w:rsid w:val="78D36933"/>
    <w:rsid w:val="78DD0E2E"/>
    <w:rsid w:val="78DF7517"/>
    <w:rsid w:val="790A3A91"/>
    <w:rsid w:val="790C2C38"/>
    <w:rsid w:val="79120F54"/>
    <w:rsid w:val="79257D62"/>
    <w:rsid w:val="7943138F"/>
    <w:rsid w:val="7999530B"/>
    <w:rsid w:val="79AE385E"/>
    <w:rsid w:val="79BF18B1"/>
    <w:rsid w:val="79C17D27"/>
    <w:rsid w:val="79C92109"/>
    <w:rsid w:val="79CD1DBC"/>
    <w:rsid w:val="79EE4229"/>
    <w:rsid w:val="7A26753D"/>
    <w:rsid w:val="7A2E6F55"/>
    <w:rsid w:val="7A490106"/>
    <w:rsid w:val="7A5228EB"/>
    <w:rsid w:val="7A5944E4"/>
    <w:rsid w:val="7A822D05"/>
    <w:rsid w:val="7A9711E2"/>
    <w:rsid w:val="7AA15E8B"/>
    <w:rsid w:val="7AD524B0"/>
    <w:rsid w:val="7ADA0EC1"/>
    <w:rsid w:val="7B1762D1"/>
    <w:rsid w:val="7B2368A0"/>
    <w:rsid w:val="7B2B0886"/>
    <w:rsid w:val="7B3F62EE"/>
    <w:rsid w:val="7B777DE7"/>
    <w:rsid w:val="7B86755B"/>
    <w:rsid w:val="7BB60A50"/>
    <w:rsid w:val="7BC46112"/>
    <w:rsid w:val="7BF41C4C"/>
    <w:rsid w:val="7C440165"/>
    <w:rsid w:val="7C75137E"/>
    <w:rsid w:val="7C854352"/>
    <w:rsid w:val="7C975798"/>
    <w:rsid w:val="7CD75AB7"/>
    <w:rsid w:val="7CE62D26"/>
    <w:rsid w:val="7CEB14C4"/>
    <w:rsid w:val="7CFB685F"/>
    <w:rsid w:val="7D124E1E"/>
    <w:rsid w:val="7D23457F"/>
    <w:rsid w:val="7D2C7C8E"/>
    <w:rsid w:val="7D455822"/>
    <w:rsid w:val="7D47176D"/>
    <w:rsid w:val="7D627B54"/>
    <w:rsid w:val="7D811785"/>
    <w:rsid w:val="7D8141EA"/>
    <w:rsid w:val="7D855B8A"/>
    <w:rsid w:val="7D97797F"/>
    <w:rsid w:val="7D9C1BC8"/>
    <w:rsid w:val="7DD16CFD"/>
    <w:rsid w:val="7DD20647"/>
    <w:rsid w:val="7DD26138"/>
    <w:rsid w:val="7DD71167"/>
    <w:rsid w:val="7DE0455A"/>
    <w:rsid w:val="7DF63D4E"/>
    <w:rsid w:val="7E1577C2"/>
    <w:rsid w:val="7E2F6C16"/>
    <w:rsid w:val="7E350094"/>
    <w:rsid w:val="7E7F715F"/>
    <w:rsid w:val="7E843F12"/>
    <w:rsid w:val="7E88183C"/>
    <w:rsid w:val="7EC65EC0"/>
    <w:rsid w:val="7EF60B64"/>
    <w:rsid w:val="7F090BE7"/>
    <w:rsid w:val="7F0D6F25"/>
    <w:rsid w:val="7F3240D1"/>
    <w:rsid w:val="7F573143"/>
    <w:rsid w:val="7F606963"/>
    <w:rsid w:val="7F782629"/>
    <w:rsid w:val="7F800FD7"/>
    <w:rsid w:val="7F9A1827"/>
    <w:rsid w:val="7FBB354B"/>
    <w:rsid w:val="7FFC5C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34"/>
      <w:lang w:val="en-US" w:eastAsia="zh-CN" w:bidi="ar-SA"/>
    </w:rPr>
  </w:style>
  <w:style w:type="paragraph" w:styleId="2">
    <w:name w:val="heading 1"/>
    <w:basedOn w:val="1"/>
    <w:next w:val="1"/>
    <w:qFormat/>
    <w:uiPriority w:val="0"/>
    <w:pPr>
      <w:keepNext/>
      <w:outlineLvl w:val="0"/>
    </w:pPr>
    <w:rPr>
      <w:rFonts w:ascii="Times New Roman"/>
      <w:b/>
      <w:bCs/>
      <w:color w:val="000000"/>
      <w:sz w:val="24"/>
    </w:rPr>
  </w:style>
  <w:style w:type="paragraph" w:styleId="3">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autoSpaceDE/>
      <w:autoSpaceDN/>
      <w:spacing w:before="260" w:after="260" w:line="416" w:lineRule="atLeast"/>
      <w:jc w:val="both"/>
      <w:outlineLvl w:val="2"/>
    </w:pPr>
    <w:rPr>
      <w:rFonts w:ascii="Times New Roman"/>
      <w:b/>
      <w:sz w:val="32"/>
    </w:rPr>
  </w:style>
  <w:style w:type="paragraph" w:styleId="5">
    <w:name w:val="heading 4"/>
    <w:basedOn w:val="1"/>
    <w:next w:val="1"/>
    <w:qFormat/>
    <w:uiPriority w:val="0"/>
    <w:pPr>
      <w:keepNext/>
      <w:keepLines/>
      <w:autoSpaceDE/>
      <w:autoSpaceDN/>
      <w:adjustRightInd/>
      <w:spacing w:before="280" w:after="290" w:line="376" w:lineRule="auto"/>
      <w:jc w:val="both"/>
      <w:outlineLvl w:val="3"/>
    </w:pPr>
    <w:rPr>
      <w:rFonts w:ascii="Arial" w:hAnsi="Arial" w:eastAsia="黑体"/>
      <w:b/>
      <w:kern w:val="2"/>
      <w:sz w:val="28"/>
    </w:rPr>
  </w:style>
  <w:style w:type="paragraph" w:styleId="6">
    <w:name w:val="heading 5"/>
    <w:basedOn w:val="1"/>
    <w:next w:val="7"/>
    <w:qFormat/>
    <w:uiPriority w:val="0"/>
    <w:pPr>
      <w:keepNext/>
      <w:keepLines/>
      <w:autoSpaceDE/>
      <w:autoSpaceDN/>
      <w:adjustRightInd/>
      <w:spacing w:before="280" w:after="290" w:line="376" w:lineRule="auto"/>
      <w:jc w:val="both"/>
      <w:outlineLvl w:val="4"/>
    </w:pPr>
    <w:rPr>
      <w:rFonts w:ascii="Times New Roman"/>
      <w:b/>
      <w:kern w:val="2"/>
      <w:sz w:val="28"/>
    </w:rPr>
  </w:style>
  <w:style w:type="paragraph" w:styleId="9">
    <w:name w:val="heading 6"/>
    <w:basedOn w:val="1"/>
    <w:next w:val="7"/>
    <w:qFormat/>
    <w:uiPriority w:val="0"/>
    <w:pPr>
      <w:keepNext/>
      <w:keepLines/>
      <w:autoSpaceDE/>
      <w:autoSpaceDN/>
      <w:adjustRightInd/>
      <w:spacing w:before="240" w:after="64" w:line="320" w:lineRule="auto"/>
      <w:jc w:val="both"/>
      <w:outlineLvl w:val="5"/>
    </w:pPr>
    <w:rPr>
      <w:rFonts w:ascii="Arial" w:hAnsi="Arial" w:eastAsia="黑体"/>
      <w:b/>
      <w:kern w:val="2"/>
      <w:sz w:val="24"/>
    </w:rPr>
  </w:style>
  <w:style w:type="paragraph" w:styleId="10">
    <w:name w:val="heading 7"/>
    <w:basedOn w:val="1"/>
    <w:next w:val="7"/>
    <w:qFormat/>
    <w:uiPriority w:val="0"/>
    <w:pPr>
      <w:keepNext/>
      <w:keepLines/>
      <w:autoSpaceDE/>
      <w:autoSpaceDN/>
      <w:adjustRightInd/>
      <w:spacing w:before="240" w:after="64" w:line="320" w:lineRule="auto"/>
      <w:jc w:val="both"/>
      <w:outlineLvl w:val="6"/>
    </w:pPr>
    <w:rPr>
      <w:rFonts w:ascii="Times New Roman"/>
      <w:b/>
      <w:kern w:val="2"/>
      <w:sz w:val="24"/>
    </w:rPr>
  </w:style>
  <w:style w:type="paragraph" w:styleId="11">
    <w:name w:val="heading 8"/>
    <w:basedOn w:val="1"/>
    <w:next w:val="7"/>
    <w:qFormat/>
    <w:uiPriority w:val="0"/>
    <w:pPr>
      <w:keepNext/>
      <w:keepLines/>
      <w:autoSpaceDE/>
      <w:autoSpaceDN/>
      <w:adjustRightInd/>
      <w:spacing w:before="240" w:after="64" w:line="320" w:lineRule="auto"/>
      <w:jc w:val="both"/>
      <w:outlineLvl w:val="7"/>
    </w:pPr>
    <w:rPr>
      <w:rFonts w:ascii="Arial" w:hAnsi="Arial" w:eastAsia="黑体"/>
      <w:kern w:val="2"/>
      <w:sz w:val="24"/>
    </w:rPr>
  </w:style>
  <w:style w:type="paragraph" w:styleId="12">
    <w:name w:val="heading 9"/>
    <w:basedOn w:val="1"/>
    <w:next w:val="7"/>
    <w:qFormat/>
    <w:uiPriority w:val="0"/>
    <w:pPr>
      <w:keepNext/>
      <w:keepLines/>
      <w:autoSpaceDE/>
      <w:autoSpaceDN/>
      <w:adjustRightInd/>
      <w:spacing w:before="240" w:after="64" w:line="320" w:lineRule="auto"/>
      <w:jc w:val="both"/>
      <w:outlineLvl w:val="8"/>
    </w:pPr>
    <w:rPr>
      <w:rFonts w:ascii="Arial" w:hAnsi="Arial" w:eastAsia="黑体"/>
      <w:kern w:val="2"/>
      <w:sz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autoSpaceDE/>
      <w:autoSpaceDN/>
      <w:adjustRightInd/>
      <w:ind w:firstLine="420"/>
      <w:jc w:val="both"/>
    </w:pPr>
    <w:rPr>
      <w:rFonts w:ascii="Times New Roman"/>
      <w:kern w:val="2"/>
      <w:sz w:val="21"/>
    </w:rPr>
  </w:style>
  <w:style w:type="paragraph" w:styleId="8">
    <w:name w:val="Body Text Indent"/>
    <w:basedOn w:val="1"/>
    <w:next w:val="1"/>
    <w:qFormat/>
    <w:uiPriority w:val="0"/>
    <w:pPr>
      <w:adjustRightInd/>
      <w:ind w:firstLine="900"/>
      <w:jc w:val="both"/>
    </w:pPr>
    <w:rPr>
      <w:rFonts w:ascii="Times New Roman"/>
      <w:kern w:val="2"/>
      <w:sz w:val="28"/>
    </w:rPr>
  </w:style>
  <w:style w:type="paragraph" w:styleId="13">
    <w:name w:val="toc 7"/>
    <w:basedOn w:val="1"/>
    <w:next w:val="1"/>
    <w:qFormat/>
    <w:uiPriority w:val="0"/>
    <w:pPr>
      <w:ind w:left="2040"/>
    </w:pPr>
    <w:rPr>
      <w:rFonts w:ascii="Times New Roman"/>
      <w:sz w:val="18"/>
      <w:szCs w:val="18"/>
    </w:rPr>
  </w:style>
  <w:style w:type="paragraph" w:styleId="14">
    <w:name w:val="table of authorities"/>
    <w:basedOn w:val="1"/>
    <w:next w:val="1"/>
    <w:unhideWhenUsed/>
    <w:qFormat/>
    <w:uiPriority w:val="99"/>
    <w:pPr>
      <w:ind w:left="420" w:leftChars="200"/>
    </w:pPr>
  </w:style>
  <w:style w:type="paragraph" w:styleId="15">
    <w:name w:val="List Number"/>
    <w:basedOn w:val="1"/>
    <w:qFormat/>
    <w:uiPriority w:val="0"/>
    <w:pPr>
      <w:widowControl/>
      <w:tabs>
        <w:tab w:val="left" w:pos="454"/>
        <w:tab w:val="left" w:pos="720"/>
        <w:tab w:val="left" w:pos="927"/>
      </w:tabs>
      <w:autoSpaceDE/>
      <w:autoSpaceDN/>
      <w:adjustRightInd/>
      <w:spacing w:afterLines="50"/>
      <w:ind w:left="454" w:hanging="284"/>
    </w:pPr>
    <w:rPr>
      <w:rFonts w:ascii="Times New Roman"/>
      <w:sz w:val="24"/>
    </w:rPr>
  </w:style>
  <w:style w:type="paragraph" w:styleId="16">
    <w:name w:val="caption"/>
    <w:basedOn w:val="1"/>
    <w:next w:val="1"/>
    <w:qFormat/>
    <w:uiPriority w:val="0"/>
    <w:pPr>
      <w:spacing w:before="152" w:after="160"/>
    </w:pPr>
    <w:rPr>
      <w:rFonts w:ascii="Arial" w:hAnsi="Arial" w:eastAsia="黑体"/>
    </w:rPr>
  </w:style>
  <w:style w:type="paragraph" w:styleId="17">
    <w:name w:val="Document Map"/>
    <w:basedOn w:val="1"/>
    <w:qFormat/>
    <w:uiPriority w:val="0"/>
    <w:pPr>
      <w:shd w:val="clear" w:color="auto" w:fill="000080"/>
    </w:pPr>
    <w:rPr>
      <w:rFonts w:ascii="Times New Roman"/>
    </w:rPr>
  </w:style>
  <w:style w:type="paragraph" w:styleId="18">
    <w:name w:val="annotation text"/>
    <w:basedOn w:val="1"/>
    <w:link w:val="65"/>
    <w:qFormat/>
    <w:uiPriority w:val="0"/>
  </w:style>
  <w:style w:type="paragraph" w:styleId="19">
    <w:name w:val="Body Text 3"/>
    <w:basedOn w:val="1"/>
    <w:qFormat/>
    <w:uiPriority w:val="0"/>
    <w:pPr>
      <w:spacing w:line="640" w:lineRule="atLeast"/>
    </w:pPr>
    <w:rPr>
      <w:rFonts w:ascii="Times New Roman"/>
      <w:color w:val="000000"/>
      <w:sz w:val="28"/>
    </w:rPr>
  </w:style>
  <w:style w:type="paragraph" w:styleId="20">
    <w:name w:val="Body Text"/>
    <w:basedOn w:val="1"/>
    <w:next w:val="21"/>
    <w:qFormat/>
    <w:uiPriority w:val="0"/>
    <w:rPr>
      <w:rFonts w:ascii="Times New Roman"/>
      <w:sz w:val="28"/>
    </w:rPr>
  </w:style>
  <w:style w:type="paragraph" w:styleId="21">
    <w:name w:val="Body Text First Indent"/>
    <w:basedOn w:val="20"/>
    <w:next w:val="22"/>
    <w:qFormat/>
    <w:uiPriority w:val="0"/>
    <w:pPr>
      <w:ind w:firstLine="420" w:firstLineChars="100"/>
    </w:pPr>
  </w:style>
  <w:style w:type="paragraph" w:styleId="22">
    <w:name w:val="List"/>
    <w:basedOn w:val="1"/>
    <w:next w:val="1"/>
    <w:qFormat/>
    <w:uiPriority w:val="0"/>
    <w:pPr>
      <w:ind w:left="200" w:hanging="200" w:hangingChars="200"/>
    </w:pPr>
    <w:rPr>
      <w:rFonts w:ascii="Times New Roman"/>
    </w:rPr>
  </w:style>
  <w:style w:type="paragraph" w:styleId="23">
    <w:name w:val="List 2"/>
    <w:basedOn w:val="1"/>
    <w:qFormat/>
    <w:uiPriority w:val="0"/>
    <w:pPr>
      <w:ind w:left="100" w:leftChars="200" w:hanging="200" w:hangingChars="200"/>
    </w:pPr>
    <w:rPr>
      <w:rFonts w:ascii="Times New Roman"/>
    </w:rPr>
  </w:style>
  <w:style w:type="paragraph" w:styleId="24">
    <w:name w:val="Block Text"/>
    <w:basedOn w:val="1"/>
    <w:unhideWhenUsed/>
    <w:qFormat/>
    <w:uiPriority w:val="99"/>
    <w:pPr>
      <w:spacing w:line="300" w:lineRule="auto"/>
      <w:ind w:left="958" w:right="-120" w:rightChars="-120"/>
    </w:pPr>
    <w:rPr>
      <w:rFonts w:hAnsi="宋体"/>
      <w:sz w:val="28"/>
    </w:rPr>
  </w:style>
  <w:style w:type="paragraph" w:styleId="25">
    <w:name w:val="toc 5"/>
    <w:basedOn w:val="1"/>
    <w:next w:val="1"/>
    <w:qFormat/>
    <w:uiPriority w:val="0"/>
    <w:pPr>
      <w:ind w:left="1360"/>
    </w:pPr>
    <w:rPr>
      <w:rFonts w:ascii="Times New Roman"/>
      <w:sz w:val="18"/>
      <w:szCs w:val="18"/>
    </w:rPr>
  </w:style>
  <w:style w:type="paragraph" w:styleId="26">
    <w:name w:val="toc 3"/>
    <w:basedOn w:val="1"/>
    <w:next w:val="1"/>
    <w:qFormat/>
    <w:uiPriority w:val="0"/>
    <w:pPr>
      <w:ind w:left="680"/>
    </w:pPr>
    <w:rPr>
      <w:rFonts w:ascii="Times New Roman"/>
      <w:i/>
      <w:iCs/>
      <w:sz w:val="20"/>
    </w:rPr>
  </w:style>
  <w:style w:type="paragraph" w:styleId="27">
    <w:name w:val="Plain Text"/>
    <w:basedOn w:val="1"/>
    <w:next w:val="1"/>
    <w:link w:val="109"/>
    <w:qFormat/>
    <w:uiPriority w:val="0"/>
    <w:rPr>
      <w:rFonts w:ascii="Times New Roman" w:hAnsi="Courier New" w:cs="Courier New"/>
      <w:szCs w:val="21"/>
    </w:rPr>
  </w:style>
  <w:style w:type="paragraph" w:styleId="28">
    <w:name w:val="toc 8"/>
    <w:basedOn w:val="1"/>
    <w:next w:val="1"/>
    <w:qFormat/>
    <w:uiPriority w:val="0"/>
    <w:pPr>
      <w:ind w:left="2380"/>
    </w:pPr>
    <w:rPr>
      <w:rFonts w:ascii="Times New Roman"/>
      <w:sz w:val="18"/>
      <w:szCs w:val="18"/>
    </w:rPr>
  </w:style>
  <w:style w:type="paragraph" w:styleId="29">
    <w:name w:val="Date"/>
    <w:basedOn w:val="1"/>
    <w:next w:val="1"/>
    <w:qFormat/>
    <w:uiPriority w:val="0"/>
    <w:pPr>
      <w:jc w:val="both"/>
    </w:pPr>
    <w:rPr>
      <w:rFonts w:ascii="Times New Roman"/>
      <w:sz w:val="28"/>
    </w:rPr>
  </w:style>
  <w:style w:type="paragraph" w:styleId="30">
    <w:name w:val="Body Text Indent 2"/>
    <w:basedOn w:val="1"/>
    <w:qFormat/>
    <w:uiPriority w:val="0"/>
    <w:pPr>
      <w:autoSpaceDE/>
      <w:autoSpaceDN/>
      <w:adjustRightInd/>
      <w:spacing w:line="360" w:lineRule="auto"/>
      <w:ind w:firstLine="720"/>
      <w:jc w:val="both"/>
    </w:pPr>
    <w:rPr>
      <w:rFonts w:ascii="Times New Roman"/>
      <w:kern w:val="2"/>
      <w:sz w:val="28"/>
    </w:rPr>
  </w:style>
  <w:style w:type="paragraph" w:styleId="31">
    <w:name w:val="Balloon Text"/>
    <w:basedOn w:val="1"/>
    <w:qFormat/>
    <w:uiPriority w:val="0"/>
    <w:rPr>
      <w:rFonts w:ascii="Times New Roman"/>
      <w:sz w:val="18"/>
      <w:szCs w:val="18"/>
    </w:rPr>
  </w:style>
  <w:style w:type="paragraph" w:styleId="32">
    <w:name w:val="footer"/>
    <w:basedOn w:val="1"/>
    <w:qFormat/>
    <w:uiPriority w:val="0"/>
    <w:pPr>
      <w:tabs>
        <w:tab w:val="center" w:pos="4140"/>
        <w:tab w:val="right" w:pos="8300"/>
      </w:tabs>
      <w:snapToGrid w:val="0"/>
    </w:pPr>
    <w:rPr>
      <w:rFonts w:ascii="Times New Roman"/>
      <w:sz w:val="18"/>
    </w:rPr>
  </w:style>
  <w:style w:type="paragraph" w:styleId="33">
    <w:name w:val="header"/>
    <w:basedOn w:val="1"/>
    <w:qFormat/>
    <w:uiPriority w:val="0"/>
    <w:pPr>
      <w:pBdr>
        <w:bottom w:val="single" w:color="000000" w:sz="6" w:space="1"/>
      </w:pBdr>
      <w:tabs>
        <w:tab w:val="center" w:pos="4140"/>
        <w:tab w:val="right" w:pos="8300"/>
      </w:tabs>
      <w:snapToGrid w:val="0"/>
      <w:jc w:val="center"/>
    </w:pPr>
    <w:rPr>
      <w:rFonts w:ascii="Times New Roman"/>
      <w:sz w:val="18"/>
    </w:rPr>
  </w:style>
  <w:style w:type="paragraph" w:styleId="34">
    <w:name w:val="toc 1"/>
    <w:basedOn w:val="1"/>
    <w:next w:val="1"/>
    <w:qFormat/>
    <w:uiPriority w:val="0"/>
    <w:pPr>
      <w:spacing w:before="120" w:after="120"/>
    </w:pPr>
    <w:rPr>
      <w:rFonts w:ascii="Times New Roman"/>
      <w:b/>
      <w:bCs/>
      <w:caps/>
      <w:sz w:val="20"/>
    </w:rPr>
  </w:style>
  <w:style w:type="paragraph" w:styleId="35">
    <w:name w:val="toc 4"/>
    <w:basedOn w:val="1"/>
    <w:next w:val="1"/>
    <w:qFormat/>
    <w:uiPriority w:val="0"/>
    <w:pPr>
      <w:ind w:left="1020"/>
    </w:pPr>
    <w:rPr>
      <w:rFonts w:ascii="Times New Roman"/>
      <w:sz w:val="18"/>
      <w:szCs w:val="18"/>
    </w:rPr>
  </w:style>
  <w:style w:type="paragraph" w:styleId="36">
    <w:name w:val="footnote text"/>
    <w:basedOn w:val="1"/>
    <w:qFormat/>
    <w:uiPriority w:val="0"/>
    <w:pPr>
      <w:snapToGrid w:val="0"/>
    </w:pPr>
    <w:rPr>
      <w:rFonts w:ascii="Times New Roman"/>
      <w:sz w:val="18"/>
    </w:rPr>
  </w:style>
  <w:style w:type="paragraph" w:styleId="37">
    <w:name w:val="toc 6"/>
    <w:basedOn w:val="1"/>
    <w:next w:val="1"/>
    <w:qFormat/>
    <w:uiPriority w:val="0"/>
    <w:pPr>
      <w:ind w:left="1700"/>
    </w:pPr>
    <w:rPr>
      <w:rFonts w:ascii="Times New Roman"/>
      <w:sz w:val="18"/>
      <w:szCs w:val="18"/>
    </w:rPr>
  </w:style>
  <w:style w:type="paragraph" w:styleId="38">
    <w:name w:val="Body Text Indent 3"/>
    <w:basedOn w:val="1"/>
    <w:qFormat/>
    <w:uiPriority w:val="0"/>
    <w:pPr>
      <w:autoSpaceDE/>
      <w:autoSpaceDN/>
      <w:adjustRightInd/>
      <w:spacing w:line="360" w:lineRule="auto"/>
      <w:ind w:firstLine="540"/>
      <w:jc w:val="both"/>
    </w:pPr>
    <w:rPr>
      <w:rFonts w:ascii="Times New Roman"/>
      <w:kern w:val="2"/>
      <w:sz w:val="28"/>
    </w:rPr>
  </w:style>
  <w:style w:type="paragraph" w:styleId="39">
    <w:name w:val="toc 2"/>
    <w:basedOn w:val="1"/>
    <w:next w:val="1"/>
    <w:qFormat/>
    <w:uiPriority w:val="0"/>
    <w:pPr>
      <w:tabs>
        <w:tab w:val="right" w:leader="dot" w:pos="9440"/>
      </w:tabs>
      <w:spacing w:line="380" w:lineRule="atLeast"/>
      <w:ind w:right="-133" w:rightChars="-39"/>
      <w:jc w:val="both"/>
    </w:pPr>
    <w:rPr>
      <w:rFonts w:ascii="Times New Roman"/>
      <w:smallCaps/>
      <w:color w:val="000000"/>
      <w:sz w:val="21"/>
      <w:szCs w:val="21"/>
    </w:rPr>
  </w:style>
  <w:style w:type="paragraph" w:styleId="40">
    <w:name w:val="toc 9"/>
    <w:basedOn w:val="1"/>
    <w:next w:val="1"/>
    <w:qFormat/>
    <w:uiPriority w:val="0"/>
    <w:pPr>
      <w:ind w:left="2720"/>
    </w:pPr>
    <w:rPr>
      <w:rFonts w:ascii="Times New Roman"/>
      <w:sz w:val="18"/>
      <w:szCs w:val="18"/>
    </w:rPr>
  </w:style>
  <w:style w:type="paragraph" w:styleId="41">
    <w:name w:val="Body Text 2"/>
    <w:basedOn w:val="1"/>
    <w:qFormat/>
    <w:uiPriority w:val="0"/>
    <w:pPr>
      <w:jc w:val="both"/>
    </w:pPr>
    <w:rPr>
      <w:rFonts w:ascii="Times New Roman"/>
      <w:sz w:val="28"/>
    </w:rPr>
  </w:style>
  <w:style w:type="paragraph" w:styleId="42">
    <w:name w:val="Normal (Web)"/>
    <w:basedOn w:val="1"/>
    <w:next w:val="1"/>
    <w:link w:val="74"/>
    <w:qFormat/>
    <w:uiPriority w:val="99"/>
    <w:pPr>
      <w:widowControl/>
      <w:autoSpaceDE/>
      <w:autoSpaceDN/>
      <w:adjustRightInd/>
      <w:spacing w:before="100" w:beforeAutospacing="1" w:after="100" w:afterAutospacing="1"/>
    </w:pPr>
    <w:rPr>
      <w:rFonts w:ascii="Times New Roman" w:hAnsi="宋体"/>
      <w:sz w:val="24"/>
      <w:szCs w:val="24"/>
    </w:rPr>
  </w:style>
  <w:style w:type="paragraph" w:styleId="43">
    <w:name w:val="Title"/>
    <w:basedOn w:val="1"/>
    <w:next w:val="1"/>
    <w:qFormat/>
    <w:uiPriority w:val="0"/>
    <w:pPr>
      <w:spacing w:before="240" w:after="60"/>
      <w:jc w:val="center"/>
      <w:outlineLvl w:val="0"/>
    </w:pPr>
    <w:rPr>
      <w:rFonts w:ascii="Cambria" w:hAnsi="Cambria"/>
      <w:b/>
      <w:bCs/>
      <w:sz w:val="32"/>
      <w:szCs w:val="32"/>
    </w:rPr>
  </w:style>
  <w:style w:type="paragraph" w:styleId="44">
    <w:name w:val="annotation subject"/>
    <w:basedOn w:val="18"/>
    <w:next w:val="18"/>
    <w:qFormat/>
    <w:uiPriority w:val="0"/>
    <w:rPr>
      <w:rFonts w:ascii="Times New Roman"/>
      <w:b/>
      <w:bCs/>
    </w:rPr>
  </w:style>
  <w:style w:type="paragraph" w:styleId="45">
    <w:name w:val="Body Text First Indent 2"/>
    <w:basedOn w:val="8"/>
    <w:next w:val="24"/>
    <w:qFormat/>
    <w:uiPriority w:val="0"/>
    <w:pPr>
      <w:spacing w:after="120"/>
      <w:ind w:left="420" w:leftChars="200" w:firstLine="420"/>
    </w:pPr>
  </w:style>
  <w:style w:type="table" w:styleId="47">
    <w:name w:val="Table Grid"/>
    <w:basedOn w:val="46"/>
    <w:qFormat/>
    <w:uiPriority w:val="0"/>
    <w:pPr>
      <w:widowControl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rFonts w:ascii="Times New Roman" w:hAnsi="Times New Roman" w:eastAsia="宋体" w:cs="Times New Roman"/>
      <w:b/>
      <w:bCs/>
    </w:rPr>
  </w:style>
  <w:style w:type="character" w:styleId="50">
    <w:name w:val="page number"/>
    <w:qFormat/>
    <w:uiPriority w:val="0"/>
    <w:rPr>
      <w:rFonts w:ascii="Times New Roman" w:hAnsi="Times New Roman" w:eastAsia="宋体" w:cs="Times New Roman"/>
    </w:rPr>
  </w:style>
  <w:style w:type="character" w:styleId="51">
    <w:name w:val="Emphasis"/>
    <w:basedOn w:val="48"/>
    <w:qFormat/>
    <w:uiPriority w:val="0"/>
    <w:rPr>
      <w:i/>
    </w:rPr>
  </w:style>
  <w:style w:type="character" w:styleId="52">
    <w:name w:val="Hyperlink"/>
    <w:qFormat/>
    <w:uiPriority w:val="0"/>
    <w:rPr>
      <w:rFonts w:ascii="Times New Roman" w:hAnsi="Times New Roman" w:eastAsia="宋体" w:cs="Times New Roman"/>
      <w:color w:val="0000FF"/>
      <w:u w:val="single"/>
    </w:rPr>
  </w:style>
  <w:style w:type="character" w:styleId="53">
    <w:name w:val="annotation reference"/>
    <w:basedOn w:val="48"/>
    <w:qFormat/>
    <w:uiPriority w:val="0"/>
    <w:rPr>
      <w:rFonts w:ascii="Times New Roman" w:hAnsi="Times New Roman" w:eastAsia="宋体" w:cs="Times New Roman"/>
      <w:sz w:val="21"/>
    </w:rPr>
  </w:style>
  <w:style w:type="character" w:styleId="54">
    <w:name w:val="footnote reference"/>
    <w:qFormat/>
    <w:uiPriority w:val="0"/>
    <w:rPr>
      <w:rFonts w:ascii="Times New Roman" w:hAnsi="Times New Roman" w:eastAsia="宋体" w:cs="Times New Roman"/>
      <w:vertAlign w:val="superscript"/>
    </w:rPr>
  </w:style>
  <w:style w:type="paragraph" w:customStyle="1" w:styleId="55">
    <w:name w:val="xl53"/>
    <w:basedOn w:val="1"/>
    <w:next w:val="1"/>
    <w:qFormat/>
    <w:uiPriority w:val="0"/>
    <w:pPr>
      <w:spacing w:before="280" w:after="280" w:line="100" w:lineRule="exact"/>
      <w:jc w:val="center"/>
    </w:pPr>
    <w:rPr>
      <w:b/>
      <w:sz w:val="20"/>
    </w:rPr>
  </w:style>
  <w:style w:type="paragraph" w:customStyle="1" w:styleId="56">
    <w:name w:val="样式 正文文本缩进 + 首行缩进:  2 字符 行距: 1.5 倍行距"/>
    <w:basedOn w:val="8"/>
    <w:qFormat/>
    <w:uiPriority w:val="0"/>
    <w:pPr>
      <w:spacing w:line="360" w:lineRule="auto"/>
      <w:ind w:firstLine="482" w:firstLineChars="200"/>
    </w:pPr>
    <w:rPr>
      <w:rFonts w:cs="宋体"/>
      <w:b/>
    </w:rPr>
  </w:style>
  <w:style w:type="character" w:customStyle="1" w:styleId="57">
    <w:name w:val="font01"/>
    <w:basedOn w:val="48"/>
    <w:qFormat/>
    <w:uiPriority w:val="0"/>
    <w:rPr>
      <w:rFonts w:hint="eastAsia" w:ascii="宋体" w:hAnsi="宋体" w:eastAsia="宋体" w:cs="宋体"/>
      <w:color w:val="000000"/>
      <w:sz w:val="24"/>
      <w:szCs w:val="24"/>
      <w:u w:val="none"/>
    </w:rPr>
  </w:style>
  <w:style w:type="character" w:customStyle="1" w:styleId="58">
    <w:name w:val="标题 3 字符"/>
    <w:link w:val="4"/>
    <w:qFormat/>
    <w:uiPriority w:val="0"/>
    <w:rPr>
      <w:rFonts w:ascii="Times New Roman" w:hAnsi="Times New Roman" w:eastAsia="宋体" w:cs="Times New Roman"/>
      <w:b/>
      <w:sz w:val="32"/>
    </w:rPr>
  </w:style>
  <w:style w:type="character" w:customStyle="1" w:styleId="59">
    <w:name w:val="正文文本 Char"/>
    <w:qFormat/>
    <w:uiPriority w:val="0"/>
    <w:rPr>
      <w:rFonts w:ascii="宋体" w:hAnsi="Times New Roman" w:eastAsia="宋体" w:cs="Times New Roman"/>
      <w:sz w:val="28"/>
    </w:rPr>
  </w:style>
  <w:style w:type="character" w:customStyle="1" w:styleId="60">
    <w:name w:val="纯文本 Char"/>
    <w:qFormat/>
    <w:uiPriority w:val="0"/>
    <w:rPr>
      <w:rFonts w:ascii="宋体" w:hAnsi="Courier New" w:eastAsia="宋体" w:cs="Courier New"/>
      <w:sz w:val="34"/>
      <w:szCs w:val="21"/>
      <w:lang w:val="en-US" w:eastAsia="zh-CN" w:bidi="ar-SA"/>
    </w:rPr>
  </w:style>
  <w:style w:type="character" w:customStyle="1" w:styleId="61">
    <w:name w:val="font61"/>
    <w:qFormat/>
    <w:uiPriority w:val="0"/>
    <w:rPr>
      <w:rFonts w:hint="eastAsia" w:ascii="宋体" w:hAnsi="宋体" w:eastAsia="宋体" w:cs="宋体"/>
      <w:color w:val="000000"/>
      <w:sz w:val="24"/>
      <w:szCs w:val="24"/>
      <w:u w:val="none"/>
    </w:rPr>
  </w:style>
  <w:style w:type="character" w:customStyle="1" w:styleId="62">
    <w:name w:val="普通文字 Char Char2"/>
    <w:qFormat/>
    <w:uiPriority w:val="0"/>
    <w:rPr>
      <w:rFonts w:ascii="宋体" w:hAnsi="Courier New" w:eastAsia="宋体" w:cs="Courier New"/>
      <w:sz w:val="34"/>
      <w:szCs w:val="21"/>
      <w:lang w:val="en-US" w:eastAsia="zh-CN" w:bidi="ar-SA"/>
    </w:rPr>
  </w:style>
  <w:style w:type="character" w:customStyle="1" w:styleId="63">
    <w:name w:val="font41"/>
    <w:qFormat/>
    <w:uiPriority w:val="0"/>
    <w:rPr>
      <w:rFonts w:hint="default" w:ascii="Times New Roman" w:hAnsi="Times New Roman" w:eastAsia="宋体" w:cs="Times New Roman"/>
      <w:color w:val="000000"/>
      <w:sz w:val="24"/>
      <w:szCs w:val="24"/>
      <w:u w:val="none"/>
    </w:rPr>
  </w:style>
  <w:style w:type="character" w:customStyle="1" w:styleId="64">
    <w:name w:val="标题 1 Char"/>
    <w:qFormat/>
    <w:uiPriority w:val="0"/>
    <w:rPr>
      <w:rFonts w:ascii="宋体" w:hAnsi="Times New Roman" w:eastAsia="宋体" w:cs="Times New Roman"/>
      <w:b/>
      <w:color w:val="000000"/>
      <w:sz w:val="24"/>
    </w:rPr>
  </w:style>
  <w:style w:type="character" w:customStyle="1" w:styleId="65">
    <w:name w:val="批注文字 字符"/>
    <w:link w:val="18"/>
    <w:qFormat/>
    <w:uiPriority w:val="0"/>
    <w:rPr>
      <w:rFonts w:ascii="宋体" w:hAnsi="Times New Roman" w:eastAsia="宋体" w:cs="Times New Roman"/>
      <w:sz w:val="34"/>
    </w:rPr>
  </w:style>
  <w:style w:type="character" w:customStyle="1" w:styleId="66">
    <w:name w:val="font51"/>
    <w:basedOn w:val="48"/>
    <w:qFormat/>
    <w:uiPriority w:val="0"/>
    <w:rPr>
      <w:rFonts w:hint="default" w:ascii="Arial" w:hAnsi="Arial" w:cs="Arial"/>
      <w:color w:val="000000"/>
      <w:sz w:val="20"/>
      <w:szCs w:val="20"/>
      <w:u w:val="none"/>
    </w:rPr>
  </w:style>
  <w:style w:type="character" w:customStyle="1" w:styleId="67">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68">
    <w:name w:val="font31"/>
    <w:qFormat/>
    <w:uiPriority w:val="0"/>
    <w:rPr>
      <w:rFonts w:hint="default" w:ascii="Times New Roman" w:hAnsi="Times New Roman" w:eastAsia="宋体" w:cs="Times New Roman"/>
      <w:color w:val="000000"/>
      <w:sz w:val="24"/>
      <w:szCs w:val="24"/>
      <w:u w:val="none"/>
    </w:rPr>
  </w:style>
  <w:style w:type="character" w:customStyle="1" w:styleId="69">
    <w:name w:val="font71"/>
    <w:qFormat/>
    <w:uiPriority w:val="0"/>
    <w:rPr>
      <w:rFonts w:hint="eastAsia" w:ascii="宋体" w:hAnsi="宋体" w:eastAsia="宋体" w:cs="宋体"/>
      <w:color w:val="000000"/>
      <w:sz w:val="24"/>
      <w:szCs w:val="24"/>
      <w:u w:val="none"/>
    </w:rPr>
  </w:style>
  <w:style w:type="character" w:customStyle="1" w:styleId="70">
    <w:name w:val="页脚 Char"/>
    <w:qFormat/>
    <w:uiPriority w:val="0"/>
    <w:rPr>
      <w:rFonts w:ascii="宋体" w:hAnsi="Times New Roman" w:eastAsia="宋体" w:cs="Times New Roman"/>
      <w:sz w:val="18"/>
    </w:rPr>
  </w:style>
  <w:style w:type="character" w:customStyle="1" w:styleId="71">
    <w:name w:val="标题 2 字符"/>
    <w:link w:val="3"/>
    <w:qFormat/>
    <w:uiPriority w:val="0"/>
    <w:rPr>
      <w:rFonts w:ascii="Arial" w:hAnsi="Arial" w:eastAsia="黑体" w:cs="Times New Roman"/>
      <w:b/>
      <w:bCs/>
      <w:sz w:val="32"/>
      <w:szCs w:val="32"/>
    </w:rPr>
  </w:style>
  <w:style w:type="character" w:customStyle="1" w:styleId="72">
    <w:name w:val="font81"/>
    <w:basedOn w:val="48"/>
    <w:qFormat/>
    <w:uiPriority w:val="0"/>
    <w:rPr>
      <w:rFonts w:ascii="Arial" w:hAnsi="Arial" w:cs="Arial"/>
      <w:color w:val="000000"/>
      <w:sz w:val="20"/>
      <w:szCs w:val="20"/>
      <w:u w:val="none"/>
    </w:rPr>
  </w:style>
  <w:style w:type="character" w:customStyle="1" w:styleId="73">
    <w:name w:val="font11"/>
    <w:basedOn w:val="48"/>
    <w:qFormat/>
    <w:uiPriority w:val="0"/>
    <w:rPr>
      <w:rFonts w:hint="eastAsia" w:ascii="宋体" w:hAnsi="宋体" w:cs="宋体"/>
      <w:color w:val="000000"/>
      <w:sz w:val="20"/>
      <w:szCs w:val="20"/>
      <w:u w:val="none"/>
    </w:rPr>
  </w:style>
  <w:style w:type="character" w:customStyle="1" w:styleId="74">
    <w:name w:val="普通(网站) 字符"/>
    <w:link w:val="42"/>
    <w:qFormat/>
    <w:uiPriority w:val="0"/>
    <w:rPr>
      <w:rFonts w:hAnsi="宋体"/>
      <w:sz w:val="24"/>
      <w:szCs w:val="24"/>
    </w:rPr>
  </w:style>
  <w:style w:type="character" w:customStyle="1" w:styleId="75">
    <w:name w:val="Char Char"/>
    <w:qFormat/>
    <w:uiPriority w:val="0"/>
    <w:rPr>
      <w:rFonts w:ascii="宋体" w:hAnsi="宋体" w:eastAsia="宋体" w:cs="Times New Roman"/>
      <w:sz w:val="24"/>
      <w:szCs w:val="24"/>
      <w:lang w:val="en-US" w:eastAsia="zh-CN" w:bidi="ar-SA"/>
    </w:rPr>
  </w:style>
  <w:style w:type="character" w:customStyle="1" w:styleId="76">
    <w:name w:val="font21"/>
    <w:basedOn w:val="48"/>
    <w:qFormat/>
    <w:uiPriority w:val="0"/>
    <w:rPr>
      <w:rFonts w:hint="eastAsia" w:ascii="宋体" w:hAnsi="宋体" w:eastAsia="宋体"/>
      <w:color w:val="000000"/>
      <w:sz w:val="22"/>
      <w:szCs w:val="22"/>
      <w:u w:val="none"/>
    </w:rPr>
  </w:style>
  <w:style w:type="character" w:customStyle="1" w:styleId="77">
    <w:name w:val="页眉 Char"/>
    <w:qFormat/>
    <w:uiPriority w:val="0"/>
    <w:rPr>
      <w:rFonts w:ascii="宋体" w:hAnsi="Times New Roman" w:eastAsia="宋体" w:cs="Times New Roman"/>
      <w:sz w:val="18"/>
    </w:rPr>
  </w:style>
  <w:style w:type="character" w:customStyle="1" w:styleId="78">
    <w:name w:val="正文文本 3 Char"/>
    <w:qFormat/>
    <w:uiPriority w:val="0"/>
    <w:rPr>
      <w:rFonts w:ascii="宋体" w:hAnsi="Times New Roman" w:eastAsia="宋体" w:cs="Times New Roman"/>
      <w:color w:val="000000"/>
      <w:sz w:val="28"/>
    </w:rPr>
  </w:style>
  <w:style w:type="character" w:customStyle="1" w:styleId="79">
    <w:name w:val="apple-converted-space"/>
    <w:qFormat/>
    <w:uiPriority w:val="0"/>
    <w:rPr>
      <w:rFonts w:ascii="Times New Roman" w:hAnsi="Times New Roman" w:eastAsia="宋体" w:cs="Times New Roman"/>
    </w:rPr>
  </w:style>
  <w:style w:type="paragraph" w:customStyle="1" w:styleId="80">
    <w:name w:val="2"/>
    <w:basedOn w:val="1"/>
    <w:next w:val="20"/>
    <w:qFormat/>
    <w:uiPriority w:val="0"/>
    <w:rPr>
      <w:rFonts w:ascii="Times New Roman"/>
      <w:sz w:val="28"/>
    </w:rPr>
  </w:style>
  <w:style w:type="paragraph" w:customStyle="1" w:styleId="81">
    <w:name w:val="p0"/>
    <w:basedOn w:val="1"/>
    <w:qFormat/>
    <w:uiPriority w:val="0"/>
    <w:pPr>
      <w:widowControl/>
      <w:autoSpaceDE/>
      <w:autoSpaceDN/>
      <w:adjustRightInd/>
      <w:jc w:val="both"/>
    </w:pPr>
    <w:rPr>
      <w:rFonts w:hint="eastAsia" w:ascii="Courier" w:hAnsi="Courier" w:eastAsia="MingLiU"/>
      <w:sz w:val="21"/>
      <w:lang w:eastAsia="zh-TW"/>
    </w:rPr>
  </w:style>
  <w:style w:type="paragraph" w:customStyle="1" w:styleId="82">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paragraph" w:customStyle="1" w:styleId="83">
    <w:name w:val="Char Char Char Char Char Char Char"/>
    <w:basedOn w:val="1"/>
    <w:qFormat/>
    <w:uiPriority w:val="0"/>
    <w:pPr>
      <w:autoSpaceDE/>
      <w:autoSpaceDN/>
      <w:adjustRightInd/>
      <w:jc w:val="both"/>
    </w:pPr>
    <w:rPr>
      <w:rFonts w:ascii="Times New Roman"/>
      <w:kern w:val="2"/>
      <w:sz w:val="21"/>
    </w:rPr>
  </w:style>
  <w:style w:type="paragraph" w:customStyle="1" w:styleId="84">
    <w:name w:val="正文段"/>
    <w:basedOn w:val="1"/>
    <w:qFormat/>
    <w:uiPriority w:val="0"/>
    <w:pPr>
      <w:widowControl/>
      <w:autoSpaceDE/>
      <w:autoSpaceDN/>
      <w:adjustRightInd/>
      <w:snapToGrid w:val="0"/>
      <w:spacing w:afterLines="50"/>
      <w:ind w:firstLine="200" w:firstLineChars="200"/>
      <w:jc w:val="both"/>
    </w:pPr>
    <w:rPr>
      <w:rFonts w:ascii="Times New Roman"/>
      <w:sz w:val="24"/>
    </w:rPr>
  </w:style>
  <w:style w:type="paragraph" w:customStyle="1" w:styleId="85">
    <w:name w:val="潘"/>
    <w:basedOn w:val="1"/>
    <w:qFormat/>
    <w:uiPriority w:val="0"/>
    <w:pPr>
      <w:widowControl/>
      <w:autoSpaceDE/>
      <w:autoSpaceDN/>
      <w:adjustRightInd/>
      <w:snapToGrid w:val="0"/>
      <w:spacing w:line="240" w:lineRule="atLeast"/>
      <w:jc w:val="both"/>
    </w:pPr>
    <w:rPr>
      <w:rFonts w:ascii="Arial" w:hAnsi="Arial" w:cs="Arial"/>
      <w:b/>
      <w:bCs/>
      <w:sz w:val="21"/>
      <w:szCs w:val="21"/>
    </w:rPr>
  </w:style>
  <w:style w:type="paragraph" w:customStyle="1" w:styleId="8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7">
    <w:name w:val="样式K"/>
    <w:basedOn w:val="20"/>
    <w:qFormat/>
    <w:uiPriority w:val="0"/>
    <w:pPr>
      <w:autoSpaceDE/>
      <w:autoSpaceDN/>
      <w:adjustRightInd/>
    </w:pPr>
    <w:rPr>
      <w:rFonts w:ascii="仿宋_GB2312" w:hAnsi="Book Antiqua" w:eastAsia="仿宋_GB2312"/>
      <w:kern w:val="2"/>
      <w:sz w:val="24"/>
      <w:szCs w:val="24"/>
    </w:rPr>
  </w:style>
  <w:style w:type="paragraph" w:customStyle="1" w:styleId="8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9">
    <w:name w:val="默认段落字体 Para Char Char Char Char Char Char Char Char Char1 Char Char Char Char"/>
    <w:basedOn w:val="1"/>
    <w:qFormat/>
    <w:uiPriority w:val="0"/>
    <w:pPr>
      <w:autoSpaceDE/>
      <w:autoSpaceDN/>
      <w:adjustRightInd/>
      <w:jc w:val="both"/>
    </w:pPr>
    <w:rPr>
      <w:rFonts w:ascii="Tahoma" w:hAnsi="Tahoma"/>
      <w:kern w:val="2"/>
      <w:sz w:val="24"/>
    </w:rPr>
  </w:style>
  <w:style w:type="paragraph" w:customStyle="1" w:styleId="90">
    <w:name w:val="0-正文"/>
    <w:basedOn w:val="1"/>
    <w:qFormat/>
    <w:uiPriority w:val="0"/>
    <w:pPr>
      <w:autoSpaceDE/>
      <w:autoSpaceDN/>
      <w:adjustRightInd/>
      <w:spacing w:line="360" w:lineRule="auto"/>
      <w:ind w:firstLine="420" w:firstLineChars="200"/>
      <w:jc w:val="both"/>
    </w:pPr>
    <w:rPr>
      <w:rFonts w:ascii="汉仪仿宋简" w:hAnsi="仿宋"/>
      <w:sz w:val="24"/>
      <w:szCs w:val="28"/>
    </w:rPr>
  </w:style>
  <w:style w:type="paragraph" w:customStyle="1" w:styleId="91">
    <w:name w:val="F-正文"/>
    <w:qFormat/>
    <w:uiPriority w:val="0"/>
    <w:pPr>
      <w:spacing w:line="560" w:lineRule="exact"/>
      <w:jc w:val="both"/>
    </w:pPr>
    <w:rPr>
      <w:rFonts w:ascii="Times" w:hAnsi="Times" w:eastAsia="仿宋" w:cs="Times New Roman"/>
      <w:kern w:val="2"/>
      <w:sz w:val="24"/>
      <w:lang w:val="en-US" w:eastAsia="zh-CN" w:bidi="ar-SA"/>
    </w:rPr>
  </w:style>
  <w:style w:type="paragraph" w:customStyle="1" w:styleId="92">
    <w:name w:val="列出段落2"/>
    <w:basedOn w:val="1"/>
    <w:qFormat/>
    <w:uiPriority w:val="0"/>
    <w:pPr>
      <w:autoSpaceDE/>
      <w:autoSpaceDN/>
      <w:adjustRightInd/>
      <w:ind w:firstLine="420" w:firstLineChars="200"/>
      <w:jc w:val="both"/>
    </w:pPr>
    <w:rPr>
      <w:rFonts w:ascii="Calibri" w:hAnsi="Calibri" w:eastAsia="PMingLiU"/>
      <w:kern w:val="2"/>
      <w:sz w:val="21"/>
      <w:szCs w:val="22"/>
    </w:rPr>
  </w:style>
  <w:style w:type="paragraph" w:customStyle="1" w:styleId="93">
    <w:name w:val="ZW"/>
    <w:basedOn w:val="1"/>
    <w:qFormat/>
    <w:uiPriority w:val="0"/>
    <w:pPr>
      <w:spacing w:line="580" w:lineRule="exact"/>
      <w:ind w:firstLine="560"/>
    </w:pPr>
    <w:rPr>
      <w:rFonts w:ascii="仿宋_GB2312" w:hAnsi="仿宋_GB2312" w:eastAsia="仿宋_GB2312" w:cs="宋体"/>
      <w:sz w:val="28"/>
      <w:szCs w:val="36"/>
    </w:rPr>
  </w:style>
  <w:style w:type="paragraph" w:customStyle="1" w:styleId="94">
    <w:name w:val="表格内容"/>
    <w:basedOn w:val="1"/>
    <w:qFormat/>
    <w:uiPriority w:val="3"/>
    <w:pPr>
      <w:widowControl/>
      <w:jc w:val="center"/>
    </w:pPr>
    <w:rPr>
      <w:sz w:val="24"/>
      <w:szCs w:val="28"/>
    </w:rPr>
  </w:style>
  <w:style w:type="paragraph" w:styleId="95">
    <w:name w:val="List Paragraph"/>
    <w:basedOn w:val="1"/>
    <w:qFormat/>
    <w:uiPriority w:val="0"/>
    <w:pPr>
      <w:widowControl/>
      <w:autoSpaceDE/>
      <w:autoSpaceDN/>
      <w:adjustRightInd/>
      <w:ind w:firstLine="420" w:firstLineChars="200"/>
    </w:pPr>
    <w:rPr>
      <w:rFonts w:ascii="Times New Roman" w:hAnsi="宋体" w:cs="宋体"/>
      <w:color w:val="000000"/>
      <w:sz w:val="24"/>
      <w:szCs w:val="24"/>
    </w:rPr>
  </w:style>
  <w:style w:type="paragraph" w:customStyle="1" w:styleId="96">
    <w:name w:val="BodyTextIndent"/>
    <w:basedOn w:val="1"/>
    <w:next w:val="1"/>
    <w:qFormat/>
    <w:uiPriority w:val="0"/>
    <w:pPr>
      <w:ind w:firstLine="900"/>
      <w:jc w:val="both"/>
    </w:pPr>
    <w:rPr>
      <w:rFonts w:ascii="Times New Roman"/>
      <w:kern w:val="2"/>
      <w:sz w:val="28"/>
    </w:rPr>
  </w:style>
  <w:style w:type="paragraph" w:customStyle="1" w:styleId="97">
    <w:name w:val="Char"/>
    <w:basedOn w:val="1"/>
    <w:qFormat/>
    <w:uiPriority w:val="0"/>
    <w:pPr>
      <w:autoSpaceDE/>
      <w:autoSpaceDN/>
      <w:adjustRightInd/>
      <w:jc w:val="both"/>
    </w:pPr>
    <w:rPr>
      <w:rFonts w:ascii="Tahoma" w:hAnsi="Tahoma"/>
      <w:kern w:val="2"/>
      <w:sz w:val="24"/>
    </w:rPr>
  </w:style>
  <w:style w:type="paragraph" w:customStyle="1" w:styleId="98">
    <w:name w:val="BodyText1I2"/>
    <w:basedOn w:val="96"/>
    <w:next w:val="1"/>
    <w:qFormat/>
    <w:uiPriority w:val="0"/>
    <w:pPr>
      <w:spacing w:after="120"/>
      <w:ind w:left="420" w:leftChars="200" w:firstLine="420"/>
    </w:pPr>
    <w:rPr>
      <w:sz w:val="21"/>
      <w:szCs w:val="21"/>
    </w:rPr>
  </w:style>
  <w:style w:type="paragraph" w:customStyle="1" w:styleId="99">
    <w:name w:val="正文－恩普"/>
    <w:basedOn w:val="7"/>
    <w:qFormat/>
    <w:uiPriority w:val="0"/>
    <w:pPr>
      <w:widowControl/>
      <w:spacing w:line="360" w:lineRule="auto"/>
      <w:ind w:firstLine="480" w:firstLineChars="200"/>
      <w:jc w:val="left"/>
    </w:pPr>
    <w:rPr>
      <w:kern w:val="0"/>
      <w:sz w:val="24"/>
    </w:rPr>
  </w:style>
  <w:style w:type="paragraph" w:customStyle="1" w:styleId="100">
    <w:name w:val="默认段落字体 Para Char Char Char Char Char Char Char"/>
    <w:basedOn w:val="1"/>
    <w:qFormat/>
    <w:uiPriority w:val="0"/>
    <w:pPr>
      <w:autoSpaceDE/>
      <w:autoSpaceDN/>
      <w:adjustRightInd/>
      <w:jc w:val="both"/>
    </w:pPr>
    <w:rPr>
      <w:rFonts w:ascii="Tahoma" w:hAnsi="Tahoma"/>
      <w:kern w:val="2"/>
      <w:sz w:val="24"/>
    </w:rPr>
  </w:style>
  <w:style w:type="paragraph" w:customStyle="1" w:styleId="101">
    <w:name w:val="样式2"/>
    <w:basedOn w:val="102"/>
    <w:next w:val="1"/>
    <w:qFormat/>
    <w:uiPriority w:val="0"/>
    <w:pPr>
      <w:tabs>
        <w:tab w:val="left" w:pos="360"/>
      </w:tabs>
      <w:ind w:firstLine="420" w:firstLineChars="200"/>
    </w:pPr>
    <w:rPr>
      <w:rFonts w:ascii="Calibri" w:hAnsi="Calibri"/>
      <w:szCs w:val="22"/>
    </w:rPr>
  </w:style>
  <w:style w:type="paragraph" w:customStyle="1" w:styleId="102">
    <w:name w:val="标题4"/>
    <w:basedOn w:val="5"/>
    <w:qFormat/>
    <w:uiPriority w:val="0"/>
    <w:pPr>
      <w:keepNext w:val="0"/>
      <w:keepLines w:val="0"/>
      <w:tabs>
        <w:tab w:val="left" w:pos="360"/>
      </w:tabs>
      <w:spacing w:before="100" w:beforeAutospacing="1" w:after="100" w:afterAutospacing="1" w:line="360" w:lineRule="auto"/>
    </w:pPr>
    <w:rPr>
      <w:rFonts w:ascii="幼圆" w:eastAsia="幼圆"/>
      <w:sz w:val="21"/>
      <w:szCs w:val="21"/>
    </w:rPr>
  </w:style>
  <w:style w:type="paragraph" w:customStyle="1" w:styleId="103">
    <w:name w:val="Char Char Char Char Char Char Char Char Char Char"/>
    <w:basedOn w:val="1"/>
    <w:qFormat/>
    <w:uiPriority w:val="0"/>
    <w:pPr>
      <w:autoSpaceDE/>
      <w:autoSpaceDN/>
      <w:adjustRightInd/>
      <w:jc w:val="both"/>
    </w:pPr>
    <w:rPr>
      <w:rFonts w:ascii="Tahoma" w:hAnsi="Tahoma"/>
      <w:kern w:val="2"/>
      <w:sz w:val="24"/>
    </w:rPr>
  </w:style>
  <w:style w:type="paragraph" w:customStyle="1" w:styleId="10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5">
    <w:name w:val="Char2"/>
    <w:basedOn w:val="17"/>
    <w:next w:val="1"/>
    <w:qFormat/>
    <w:uiPriority w:val="0"/>
    <w:pPr>
      <w:autoSpaceDE/>
      <w:autoSpaceDN/>
      <w:adjustRightInd/>
      <w:jc w:val="both"/>
    </w:pPr>
    <w:rPr>
      <w:kern w:val="2"/>
      <w:sz w:val="21"/>
    </w:rPr>
  </w:style>
  <w:style w:type="paragraph" w:customStyle="1" w:styleId="106">
    <w:name w:val="Char Char Char Char"/>
    <w:basedOn w:val="1"/>
    <w:qFormat/>
    <w:uiPriority w:val="0"/>
    <w:pPr>
      <w:autoSpaceDE/>
      <w:autoSpaceDN/>
      <w:adjustRightInd/>
      <w:jc w:val="both"/>
    </w:pPr>
    <w:rPr>
      <w:rFonts w:ascii="Times New Roman"/>
    </w:rPr>
  </w:style>
  <w:style w:type="paragraph" w:customStyle="1" w:styleId="107">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08">
    <w:name w:val="表内文字"/>
    <w:basedOn w:val="1"/>
    <w:qFormat/>
    <w:uiPriority w:val="0"/>
    <w:pPr>
      <w:tabs>
        <w:tab w:val="left" w:pos="1418"/>
      </w:tabs>
      <w:autoSpaceDE/>
      <w:autoSpaceDN/>
      <w:adjustRightInd/>
      <w:spacing w:line="360" w:lineRule="auto"/>
      <w:jc w:val="center"/>
    </w:pPr>
    <w:rPr>
      <w:rFonts w:ascii="仿宋_GB2312" w:eastAsia="仿宋_GB2312"/>
      <w:spacing w:val="-20"/>
      <w:sz w:val="24"/>
      <w:szCs w:val="24"/>
    </w:rPr>
  </w:style>
  <w:style w:type="character" w:customStyle="1" w:styleId="109">
    <w:name w:val="纯文本 字符"/>
    <w:link w:val="27"/>
    <w:qFormat/>
    <w:locked/>
    <w:uiPriority w:val="0"/>
    <w:rPr>
      <w:rFonts w:hAnsi="Courier New" w:cs="Courier New"/>
      <w:sz w:val="34"/>
      <w:szCs w:val="21"/>
    </w:rPr>
  </w:style>
  <w:style w:type="paragraph" w:customStyle="1" w:styleId="110">
    <w:name w:val="reader-word-layer"/>
    <w:basedOn w:val="1"/>
    <w:qFormat/>
    <w:uiPriority w:val="0"/>
    <w:pPr>
      <w:widowControl/>
      <w:spacing w:before="100" w:beforeAutospacing="1" w:after="100" w:afterAutospacing="1"/>
    </w:pPr>
    <w:rPr>
      <w:rFonts w:ascii="Times New Roman" w:hAnsi="宋体" w:cs="宋体"/>
      <w:sz w:val="24"/>
      <w:szCs w:val="24"/>
    </w:rPr>
  </w:style>
  <w:style w:type="paragraph" w:customStyle="1" w:styleId="111">
    <w:name w:val="纯文本1"/>
    <w:basedOn w:val="112"/>
    <w:qFormat/>
    <w:uiPriority w:val="0"/>
    <w:rPr>
      <w:rFonts w:hint="default" w:ascii="宋体" w:hAnsi="Courier New"/>
      <w:kern w:val="0"/>
      <w:sz w:val="20"/>
      <w:szCs w:val="21"/>
    </w:rPr>
  </w:style>
  <w:style w:type="paragraph" w:customStyle="1" w:styleId="112">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3">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14">
    <w:name w:val="Body text|1"/>
    <w:basedOn w:val="1"/>
    <w:qFormat/>
    <w:uiPriority w:val="0"/>
    <w:pPr>
      <w:spacing w:line="389" w:lineRule="auto"/>
      <w:ind w:firstLine="400"/>
    </w:pPr>
    <w:rPr>
      <w:rFonts w:hAnsi="宋体" w:cs="宋体"/>
      <w:sz w:val="30"/>
      <w:szCs w:val="30"/>
      <w:lang w:val="zh-TW" w:eastAsia="zh-TW" w:bidi="zh-TW"/>
    </w:rPr>
  </w:style>
  <w:style w:type="paragraph" w:customStyle="1" w:styleId="115">
    <w:name w:val="样式 列表编号 + 段后: 0.5 行"/>
    <w:basedOn w:val="15"/>
    <w:qFormat/>
    <w:uiPriority w:val="0"/>
    <w:pPr>
      <w:spacing w:after="156"/>
      <w:ind w:left="360" w:hanging="360"/>
    </w:pPr>
  </w:style>
  <w:style w:type="paragraph" w:customStyle="1" w:styleId="116">
    <w:name w:val="Revision"/>
    <w:hidden/>
    <w:unhideWhenUsed/>
    <w:qFormat/>
    <w:uiPriority w:val="99"/>
    <w:rPr>
      <w:rFonts w:ascii="宋体" w:hAnsi="Times New Roman" w:eastAsia="宋体" w:cs="Times New Roman"/>
      <w:sz w:val="34"/>
      <w:lang w:val="en-US" w:eastAsia="zh-CN" w:bidi="ar-SA"/>
    </w:rPr>
  </w:style>
  <w:style w:type="paragraph" w:customStyle="1" w:styleId="117">
    <w:name w:val="Table Paragraph"/>
    <w:basedOn w:val="1"/>
    <w:unhideWhenUsed/>
    <w:qFormat/>
    <w:uiPriority w:val="1"/>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8037</Words>
  <Characters>8835</Characters>
  <Lines>2387</Lines>
  <Paragraphs>2188</Paragraphs>
  <TotalTime>0</TotalTime>
  <ScaleCrop>false</ScaleCrop>
  <LinksUpToDate>false</LinksUpToDate>
  <CharactersWithSpaces>9050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2023-01-06T12:31:00Z</dcterms:created>
  <dc:creator>dell</dc:creator>
  <cp:lastModifiedBy>Lee</cp:lastModifiedBy>
  <cp:lastPrinted>2023-02-02T09:25:00Z</cp:lastPrinted>
  <dcterms:modified xsi:type="dcterms:W3CDTF">2025-06-20T07:29:42Z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2BA8980C034C4581B0CDE8B113FE4381_13</vt:lpwstr>
  </property>
  <property fmtid="{D5CDD505-2E9C-101B-9397-08002B2CF9AE}" pid="4" name="KSOTemplateDocerSaveRecord">
    <vt:lpwstr>eyJoZGlkIjoiMDVmODMzODc5NzExYTAxNTlmZDkxODgwNDI3MTE0ODAiLCJ1c2VySWQiOiIyMDQ0NzE4ODIifQ==</vt:lpwstr>
  </property>
</Properties>
</file>