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widowControl w:val="0"/>
        <w:adjustRightInd w:val="0"/>
        <w:snapToGrid w:val="0"/>
        <w:jc w:val="both"/>
        <w:rPr>
          <w:sz w:val="10"/>
        </w:rPr>
      </w:pPr>
      <w:bookmarkStart w:id="75" w:name="_GoBack"/>
      <w:bookmarkEnd w:id="75"/>
      <w:r>
        <w:rPr>
          <w:sz w:val="32"/>
        </w:rPr>
        <w:t xml:space="preserve">                         </w:t>
      </w:r>
      <w:r>
        <w:rPr>
          <w:sz w:val="10"/>
        </w:rPr>
        <w:t xml:space="preserve">                                                                                     </w:t>
      </w:r>
    </w:p>
    <w:p>
      <w:pPr>
        <w:pStyle w:val="24"/>
        <w:widowControl w:val="0"/>
        <w:adjustRightInd w:val="0"/>
        <w:snapToGrid w:val="0"/>
        <w:jc w:val="both"/>
        <w:rPr>
          <w:sz w:val="72"/>
          <w:szCs w:val="72"/>
        </w:rPr>
      </w:pPr>
      <w:r>
        <w:rPr>
          <w:sz w:val="32"/>
        </w:rPr>
        <w:t xml:space="preserve">          </w:t>
      </w:r>
    </w:p>
    <w:p>
      <w:pPr>
        <w:pStyle w:val="24"/>
        <w:widowControl w:val="0"/>
        <w:adjustRightInd w:val="0"/>
        <w:snapToGrid w:val="0"/>
        <w:jc w:val="both"/>
        <w:rPr>
          <w:sz w:val="72"/>
          <w:szCs w:val="72"/>
        </w:rPr>
      </w:pPr>
    </w:p>
    <w:p>
      <w:pPr>
        <w:pStyle w:val="24"/>
        <w:widowControl w:val="0"/>
        <w:adjustRightInd w:val="0"/>
        <w:snapToGrid w:val="0"/>
        <w:jc w:val="both"/>
        <w:rPr>
          <w:sz w:val="72"/>
          <w:szCs w:val="72"/>
        </w:rPr>
      </w:pPr>
    </w:p>
    <w:p>
      <w:pPr>
        <w:pStyle w:val="24"/>
        <w:widowControl w:val="0"/>
        <w:adjustRightInd w:val="0"/>
        <w:snapToGrid w:val="0"/>
        <w:rPr>
          <w:rFonts w:hint="eastAsia"/>
          <w:sz w:val="36"/>
          <w:szCs w:val="36"/>
        </w:rPr>
      </w:pPr>
    </w:p>
    <w:p>
      <w:pPr>
        <w:pStyle w:val="24"/>
        <w:widowControl w:val="0"/>
        <w:adjustRightInd w:val="0"/>
        <w:snapToGrid w:val="0"/>
        <w:jc w:val="center"/>
        <w:rPr>
          <w:rFonts w:ascii="Times New Roman" w:hAnsi="Times New Roman"/>
          <w:sz w:val="84"/>
        </w:rPr>
      </w:pPr>
      <w:r>
        <w:rPr>
          <w:rFonts w:ascii="Times New Roman" w:hAnsi="Times New Roman"/>
          <w:sz w:val="84"/>
        </w:rPr>
        <w:t>公开招标文件</w:t>
      </w:r>
    </w:p>
    <w:p>
      <w:pPr>
        <w:pStyle w:val="24"/>
        <w:widowControl w:val="0"/>
        <w:adjustRightInd w:val="0"/>
        <w:snapToGrid w:val="0"/>
        <w:jc w:val="center"/>
        <w:rPr>
          <w:rFonts w:ascii="Times New Roman" w:hAnsi="Times New Roman"/>
          <w:sz w:val="36"/>
        </w:rPr>
      </w:pPr>
      <w:r>
        <w:rPr>
          <w:rFonts w:ascii="Times New Roman" w:hAnsi="Times New Roman"/>
          <w:sz w:val="36"/>
        </w:rPr>
        <w:t>编号：YG2022-FW4296-ZFCG134</w:t>
      </w:r>
    </w:p>
    <w:p>
      <w:pPr>
        <w:widowControl w:val="0"/>
        <w:adjustRightInd w:val="0"/>
        <w:snapToGrid w:val="0"/>
        <w:spacing w:line="360" w:lineRule="auto"/>
        <w:jc w:val="center"/>
        <w:rPr>
          <w:sz w:val="36"/>
        </w:rPr>
      </w:pPr>
      <w:r>
        <w:rPr>
          <w:rFonts w:hint="eastAsia"/>
          <w:sz w:val="36"/>
        </w:rPr>
        <w:t xml:space="preserve"> </w:t>
      </w:r>
      <w:r>
        <w:rPr>
          <w:sz w:val="36"/>
        </w:rPr>
        <w:t xml:space="preserve">                   项目：金华市金东区公共视频监控建设一体化改革（村居安防三期）建设项目</w:t>
      </w:r>
    </w:p>
    <w:p>
      <w:pPr>
        <w:widowControl w:val="0"/>
        <w:adjustRightInd w:val="0"/>
        <w:snapToGrid w:val="0"/>
        <w:spacing w:line="360" w:lineRule="exact"/>
        <w:rPr>
          <w:b/>
          <w:sz w:val="44"/>
        </w:rPr>
      </w:pPr>
    </w:p>
    <w:p>
      <w:pPr>
        <w:widowControl w:val="0"/>
        <w:adjustRightInd w:val="0"/>
        <w:snapToGrid w:val="0"/>
        <w:spacing w:line="360" w:lineRule="exact"/>
        <w:rPr>
          <w:b/>
          <w:sz w:val="44"/>
        </w:rPr>
      </w:pPr>
    </w:p>
    <w:p>
      <w:pPr>
        <w:widowControl w:val="0"/>
        <w:adjustRightInd w:val="0"/>
        <w:snapToGrid w:val="0"/>
        <w:spacing w:line="360" w:lineRule="exact"/>
        <w:rPr>
          <w:b/>
          <w:sz w:val="44"/>
        </w:rPr>
      </w:pPr>
    </w:p>
    <w:p>
      <w:pPr>
        <w:widowControl w:val="0"/>
        <w:adjustRightInd w:val="0"/>
        <w:snapToGrid w:val="0"/>
        <w:spacing w:line="360" w:lineRule="exact"/>
        <w:rPr>
          <w:b/>
          <w:sz w:val="44"/>
        </w:rPr>
      </w:pPr>
    </w:p>
    <w:p>
      <w:pPr>
        <w:widowControl w:val="0"/>
        <w:adjustRightInd w:val="0"/>
        <w:snapToGrid w:val="0"/>
        <w:spacing w:line="360" w:lineRule="exact"/>
        <w:rPr>
          <w:b/>
          <w:sz w:val="44"/>
        </w:rPr>
      </w:pPr>
    </w:p>
    <w:p>
      <w:pPr>
        <w:widowControl w:val="0"/>
        <w:adjustRightInd w:val="0"/>
        <w:snapToGrid w:val="0"/>
        <w:spacing w:line="360" w:lineRule="exact"/>
        <w:rPr>
          <w:b/>
          <w:sz w:val="44"/>
        </w:rPr>
      </w:pPr>
    </w:p>
    <w:p>
      <w:pPr>
        <w:widowControl w:val="0"/>
        <w:adjustRightInd w:val="0"/>
        <w:snapToGrid w:val="0"/>
        <w:spacing w:line="360" w:lineRule="exact"/>
        <w:rPr>
          <w:b/>
          <w:sz w:val="44"/>
        </w:rPr>
      </w:pPr>
    </w:p>
    <w:p>
      <w:pPr>
        <w:widowControl w:val="0"/>
        <w:adjustRightInd w:val="0"/>
        <w:snapToGrid w:val="0"/>
        <w:spacing w:line="360" w:lineRule="exact"/>
        <w:rPr>
          <w:b/>
          <w:sz w:val="44"/>
        </w:rPr>
      </w:pPr>
    </w:p>
    <w:p>
      <w:pPr>
        <w:widowControl w:val="0"/>
        <w:adjustRightInd w:val="0"/>
        <w:snapToGrid w:val="0"/>
        <w:spacing w:line="360" w:lineRule="exact"/>
        <w:rPr>
          <w:b/>
          <w:sz w:val="44"/>
        </w:rPr>
      </w:pPr>
    </w:p>
    <w:p>
      <w:pPr>
        <w:pStyle w:val="24"/>
        <w:widowControl w:val="0"/>
        <w:adjustRightInd w:val="0"/>
        <w:snapToGrid w:val="0"/>
        <w:spacing w:before="120" w:beforeLines="50" w:beforeAutospacing="0" w:after="120" w:afterLines="50" w:afterAutospacing="0"/>
        <w:ind w:left="-180" w:leftChars="-75" w:firstLine="2448" w:firstLineChars="871"/>
        <w:jc w:val="both"/>
        <w:rPr>
          <w:rFonts w:ascii="Times New Roman" w:hAnsi="Times New Roman"/>
          <w:b/>
          <w:bCs/>
          <w:sz w:val="28"/>
        </w:rPr>
      </w:pPr>
      <w:r>
        <w:rPr>
          <w:rFonts w:ascii="Times New Roman" w:hAnsi="Times New Roman"/>
          <w:b/>
          <w:bCs/>
          <w:sz w:val="28"/>
        </w:rPr>
        <w:t>采 购 人：金华市公安局金东分局</w:t>
      </w:r>
    </w:p>
    <w:p>
      <w:pPr>
        <w:pStyle w:val="24"/>
        <w:widowControl w:val="0"/>
        <w:adjustRightInd w:val="0"/>
        <w:snapToGrid w:val="0"/>
        <w:spacing w:before="120" w:beforeLines="50" w:beforeAutospacing="0" w:after="120" w:afterLines="50" w:afterAutospacing="0"/>
        <w:ind w:left="-180" w:leftChars="-75" w:firstLine="2448" w:firstLineChars="871"/>
        <w:jc w:val="both"/>
        <w:rPr>
          <w:rFonts w:ascii="Times New Roman" w:hAnsi="Times New Roman"/>
          <w:b/>
          <w:bCs/>
          <w:sz w:val="28"/>
        </w:rPr>
      </w:pPr>
      <w:r>
        <w:rPr>
          <w:rFonts w:ascii="Times New Roman" w:hAnsi="Times New Roman"/>
          <w:b/>
          <w:bCs/>
          <w:sz w:val="28"/>
        </w:rPr>
        <w:t>代理机构：浙江金华阳光招标代理有限公司</w:t>
      </w:r>
    </w:p>
    <w:p>
      <w:pPr>
        <w:pStyle w:val="24"/>
        <w:widowControl w:val="0"/>
        <w:adjustRightInd w:val="0"/>
        <w:snapToGrid w:val="0"/>
        <w:spacing w:before="120" w:beforeLines="50" w:beforeAutospacing="0" w:after="120" w:afterLines="50" w:afterAutospacing="0"/>
        <w:ind w:left="-180" w:leftChars="-75" w:firstLine="2448" w:firstLineChars="871"/>
        <w:jc w:val="both"/>
        <w:rPr>
          <w:rFonts w:ascii="Times New Roman" w:hAnsi="Times New Roman"/>
          <w:b/>
          <w:bCs/>
          <w:sz w:val="28"/>
        </w:rPr>
      </w:pPr>
      <w:r>
        <w:rPr>
          <w:rFonts w:ascii="Times New Roman" w:hAnsi="Times New Roman"/>
          <w:b/>
          <w:bCs/>
          <w:sz w:val="28"/>
        </w:rPr>
        <w:t>监管部门：金华市金东区财政局政府采购监管科</w:t>
      </w:r>
    </w:p>
    <w:p>
      <w:pPr>
        <w:pStyle w:val="24"/>
        <w:widowControl w:val="0"/>
        <w:adjustRightInd w:val="0"/>
        <w:snapToGrid w:val="0"/>
        <w:spacing w:before="120" w:beforeLines="50" w:beforeAutospacing="0" w:after="120" w:afterLines="50" w:afterAutospacing="0"/>
        <w:ind w:left="-180" w:leftChars="-75" w:firstLine="2448" w:firstLineChars="871"/>
        <w:jc w:val="both"/>
        <w:rPr>
          <w:rFonts w:ascii="Times New Roman" w:hAnsi="Times New Roman"/>
          <w:b/>
          <w:bCs/>
          <w:sz w:val="28"/>
        </w:rPr>
      </w:pPr>
      <w:r>
        <w:rPr>
          <w:rFonts w:ascii="Times New Roman" w:hAnsi="Times New Roman"/>
          <w:b/>
          <w:bCs/>
          <w:sz w:val="28"/>
        </w:rPr>
        <w:t>编制日期：</w:t>
      </w:r>
      <w:r>
        <w:rPr>
          <w:rFonts w:ascii="Times New Roman" w:hAnsi="Times New Roman"/>
          <w:b/>
          <w:sz w:val="28"/>
        </w:rPr>
        <w:t>二〇二二年</w:t>
      </w:r>
      <w:r>
        <w:rPr>
          <w:rFonts w:hint="eastAsia" w:ascii="Times New Roman" w:hAnsi="Times New Roman"/>
          <w:b/>
          <w:sz w:val="28"/>
        </w:rPr>
        <w:t>七</w:t>
      </w:r>
      <w:r>
        <w:rPr>
          <w:rFonts w:ascii="Times New Roman" w:hAnsi="Times New Roman"/>
          <w:b/>
          <w:sz w:val="28"/>
        </w:rPr>
        <w:t>月</w:t>
      </w:r>
    </w:p>
    <w:p>
      <w:pPr>
        <w:widowControl w:val="0"/>
        <w:adjustRightInd w:val="0"/>
        <w:snapToGrid w:val="0"/>
        <w:spacing w:line="360" w:lineRule="auto"/>
        <w:jc w:val="center"/>
        <w:rPr>
          <w:rFonts w:hint="eastAsia" w:ascii="宋体" w:hAnsi="宋体"/>
          <w:b/>
          <w:bCs/>
          <w:sz w:val="48"/>
        </w:rPr>
      </w:pPr>
      <w:r>
        <w:rPr>
          <w:rFonts w:ascii="宋体" w:hAnsi="宋体"/>
          <w:b/>
          <w:bCs/>
          <w:sz w:val="48"/>
        </w:rPr>
        <w:br w:type="page"/>
      </w:r>
    </w:p>
    <w:p>
      <w:pPr>
        <w:widowControl w:val="0"/>
        <w:adjustRightInd w:val="0"/>
        <w:snapToGrid w:val="0"/>
        <w:spacing w:line="360" w:lineRule="auto"/>
        <w:jc w:val="center"/>
        <w:rPr>
          <w:rFonts w:hint="eastAsia" w:ascii="宋体" w:hAnsi="宋体"/>
          <w:b/>
          <w:bCs/>
          <w:sz w:val="52"/>
          <w:szCs w:val="52"/>
        </w:rPr>
      </w:pPr>
      <w:r>
        <w:rPr>
          <w:rFonts w:ascii="宋体" w:hAnsi="宋体"/>
          <w:b/>
          <w:bCs/>
          <w:sz w:val="52"/>
          <w:szCs w:val="52"/>
        </w:rPr>
        <w:t>招 标 文 件 目 录</w:t>
      </w:r>
    </w:p>
    <w:p>
      <w:pPr>
        <w:pStyle w:val="31"/>
        <w:tabs>
          <w:tab w:val="right" w:leader="dot" w:pos="8990"/>
        </w:tabs>
        <w:spacing w:line="480" w:lineRule="auto"/>
        <w:rPr>
          <w:rFonts w:hAnsi="等线"/>
          <w:b w:val="0"/>
          <w:bCs w:val="0"/>
          <w:caps w:val="0"/>
          <w:kern w:val="2"/>
          <w:sz w:val="28"/>
          <w:szCs w:val="32"/>
        </w:rPr>
      </w:pPr>
      <w:r>
        <w:rPr>
          <w:rFonts w:ascii="宋体" w:hAnsi="宋体" w:eastAsia="宋体"/>
          <w:sz w:val="36"/>
          <w:szCs w:val="36"/>
        </w:rPr>
        <w:fldChar w:fldCharType="begin"/>
      </w:r>
      <w:r>
        <w:rPr>
          <w:rFonts w:ascii="宋体" w:hAnsi="宋体" w:eastAsia="宋体"/>
          <w:sz w:val="36"/>
          <w:szCs w:val="36"/>
        </w:rPr>
        <w:instrText xml:space="preserve"> </w:instrText>
      </w:r>
      <w:r>
        <w:rPr>
          <w:rFonts w:hint="eastAsia" w:ascii="宋体" w:hAnsi="宋体" w:eastAsia="宋体"/>
          <w:sz w:val="36"/>
          <w:szCs w:val="36"/>
        </w:rPr>
        <w:instrText xml:space="preserve">TOC \o "1-3" \h \z \u</w:instrText>
      </w:r>
      <w:r>
        <w:rPr>
          <w:rFonts w:ascii="宋体" w:hAnsi="宋体" w:eastAsia="宋体"/>
          <w:sz w:val="36"/>
          <w:szCs w:val="36"/>
        </w:rPr>
        <w:instrText xml:space="preserve"> </w:instrText>
      </w:r>
      <w:r>
        <w:rPr>
          <w:rFonts w:ascii="宋体" w:hAnsi="宋体" w:eastAsia="宋体"/>
          <w:sz w:val="36"/>
          <w:szCs w:val="36"/>
        </w:rPr>
        <w:fldChar w:fldCharType="separate"/>
      </w:r>
      <w:r>
        <w:rPr>
          <w:rStyle w:val="49"/>
          <w:color w:val="auto"/>
          <w:sz w:val="24"/>
          <w:szCs w:val="24"/>
        </w:rPr>
        <w:fldChar w:fldCharType="begin"/>
      </w:r>
      <w:r>
        <w:rPr>
          <w:rStyle w:val="49"/>
          <w:color w:val="auto"/>
          <w:sz w:val="24"/>
          <w:szCs w:val="24"/>
        </w:rPr>
        <w:instrText xml:space="preserve"> </w:instrText>
      </w:r>
      <w:r>
        <w:rPr>
          <w:sz w:val="24"/>
          <w:szCs w:val="24"/>
        </w:rPr>
        <w:instrText xml:space="preserve">HYPERLINK \l "_Toc93668159"</w:instrText>
      </w:r>
      <w:r>
        <w:rPr>
          <w:rStyle w:val="49"/>
          <w:color w:val="auto"/>
          <w:sz w:val="24"/>
          <w:szCs w:val="24"/>
        </w:rPr>
        <w:instrText xml:space="preserve"> </w:instrText>
      </w:r>
      <w:r>
        <w:rPr>
          <w:rStyle w:val="49"/>
          <w:color w:val="auto"/>
          <w:sz w:val="24"/>
          <w:szCs w:val="24"/>
        </w:rPr>
        <w:fldChar w:fldCharType="separate"/>
      </w:r>
      <w:r>
        <w:rPr>
          <w:rStyle w:val="49"/>
          <w:rFonts w:ascii="宋体" w:hAnsi="宋体"/>
          <w:color w:val="auto"/>
          <w:sz w:val="24"/>
          <w:szCs w:val="24"/>
        </w:rPr>
        <w:t>第一章  招标公告</w:t>
      </w:r>
      <w:bookmarkStart w:id="0" w:name="_Hlt108098972"/>
      <w:r>
        <w:rPr>
          <w:sz w:val="24"/>
          <w:szCs w:val="24"/>
        </w:rPr>
        <w:tab/>
      </w:r>
      <w:bookmarkEnd w:id="0"/>
      <w:r>
        <w:rPr>
          <w:sz w:val="24"/>
          <w:szCs w:val="24"/>
        </w:rPr>
        <w:fldChar w:fldCharType="begin"/>
      </w:r>
      <w:r>
        <w:rPr>
          <w:sz w:val="24"/>
          <w:szCs w:val="24"/>
        </w:rPr>
        <w:instrText xml:space="preserve"> PAGEREF _Toc93668159 \h </w:instrText>
      </w:r>
      <w:r>
        <w:rPr>
          <w:sz w:val="24"/>
          <w:szCs w:val="24"/>
        </w:rPr>
        <w:fldChar w:fldCharType="separate"/>
      </w:r>
      <w:r>
        <w:rPr>
          <w:sz w:val="24"/>
          <w:szCs w:val="24"/>
        </w:rPr>
        <w:t>4</w:t>
      </w:r>
      <w:r>
        <w:rPr>
          <w:sz w:val="24"/>
          <w:szCs w:val="24"/>
        </w:rPr>
        <w:fldChar w:fldCharType="end"/>
      </w:r>
      <w:r>
        <w:rPr>
          <w:rStyle w:val="49"/>
          <w:color w:val="auto"/>
          <w:sz w:val="24"/>
          <w:szCs w:val="24"/>
        </w:rPr>
        <w:fldChar w:fldCharType="end"/>
      </w:r>
    </w:p>
    <w:p>
      <w:pPr>
        <w:pStyle w:val="31"/>
        <w:tabs>
          <w:tab w:val="right" w:leader="dot" w:pos="8990"/>
        </w:tabs>
        <w:spacing w:line="480" w:lineRule="auto"/>
        <w:rPr>
          <w:rFonts w:hAnsi="等线"/>
          <w:b w:val="0"/>
          <w:bCs w:val="0"/>
          <w:caps w:val="0"/>
          <w:kern w:val="2"/>
          <w:sz w:val="28"/>
          <w:szCs w:val="32"/>
        </w:rPr>
      </w:pPr>
      <w:r>
        <w:rPr>
          <w:rStyle w:val="49"/>
          <w:color w:val="auto"/>
          <w:sz w:val="24"/>
          <w:szCs w:val="24"/>
        </w:rPr>
        <w:fldChar w:fldCharType="begin"/>
      </w:r>
      <w:r>
        <w:rPr>
          <w:rStyle w:val="49"/>
          <w:color w:val="auto"/>
          <w:sz w:val="24"/>
          <w:szCs w:val="24"/>
        </w:rPr>
        <w:instrText xml:space="preserve"> </w:instrText>
      </w:r>
      <w:r>
        <w:rPr>
          <w:sz w:val="24"/>
          <w:szCs w:val="24"/>
        </w:rPr>
        <w:instrText xml:space="preserve">HYPERLINK \l "_Toc93668160"</w:instrText>
      </w:r>
      <w:r>
        <w:rPr>
          <w:rStyle w:val="49"/>
          <w:color w:val="auto"/>
          <w:sz w:val="24"/>
          <w:szCs w:val="24"/>
        </w:rPr>
        <w:instrText xml:space="preserve"> </w:instrText>
      </w:r>
      <w:r>
        <w:rPr>
          <w:rStyle w:val="49"/>
          <w:color w:val="auto"/>
          <w:sz w:val="24"/>
          <w:szCs w:val="24"/>
        </w:rPr>
        <w:fldChar w:fldCharType="separate"/>
      </w:r>
      <w:r>
        <w:rPr>
          <w:rStyle w:val="49"/>
          <w:rFonts w:ascii="宋体" w:hAnsi="宋体"/>
          <w:color w:val="auto"/>
          <w:sz w:val="24"/>
          <w:szCs w:val="24"/>
        </w:rPr>
        <w:t>第二章  前附表</w:t>
      </w:r>
      <w:r>
        <w:rPr>
          <w:sz w:val="24"/>
          <w:szCs w:val="24"/>
        </w:rPr>
        <w:tab/>
      </w:r>
      <w:r>
        <w:rPr>
          <w:sz w:val="24"/>
          <w:szCs w:val="24"/>
        </w:rPr>
        <w:fldChar w:fldCharType="begin"/>
      </w:r>
      <w:r>
        <w:rPr>
          <w:sz w:val="24"/>
          <w:szCs w:val="24"/>
        </w:rPr>
        <w:instrText xml:space="preserve"> PAGEREF _Toc93668160 \h </w:instrText>
      </w:r>
      <w:r>
        <w:rPr>
          <w:sz w:val="24"/>
          <w:szCs w:val="24"/>
        </w:rPr>
        <w:fldChar w:fldCharType="separate"/>
      </w:r>
      <w:r>
        <w:rPr>
          <w:sz w:val="24"/>
          <w:szCs w:val="24"/>
        </w:rPr>
        <w:t>8</w:t>
      </w:r>
      <w:r>
        <w:rPr>
          <w:sz w:val="24"/>
          <w:szCs w:val="24"/>
        </w:rPr>
        <w:fldChar w:fldCharType="end"/>
      </w:r>
      <w:r>
        <w:rPr>
          <w:rStyle w:val="49"/>
          <w:color w:val="auto"/>
          <w:sz w:val="24"/>
          <w:szCs w:val="24"/>
        </w:rPr>
        <w:fldChar w:fldCharType="end"/>
      </w:r>
    </w:p>
    <w:p>
      <w:pPr>
        <w:pStyle w:val="31"/>
        <w:tabs>
          <w:tab w:val="right" w:leader="dot" w:pos="8990"/>
        </w:tabs>
        <w:spacing w:line="480" w:lineRule="auto"/>
        <w:rPr>
          <w:rFonts w:hAnsi="等线"/>
          <w:b w:val="0"/>
          <w:bCs w:val="0"/>
          <w:caps w:val="0"/>
          <w:kern w:val="2"/>
          <w:sz w:val="28"/>
          <w:szCs w:val="32"/>
        </w:rPr>
      </w:pPr>
      <w:r>
        <w:rPr>
          <w:rStyle w:val="49"/>
          <w:color w:val="auto"/>
          <w:sz w:val="24"/>
          <w:szCs w:val="24"/>
        </w:rPr>
        <w:fldChar w:fldCharType="begin"/>
      </w:r>
      <w:r>
        <w:rPr>
          <w:rStyle w:val="49"/>
          <w:color w:val="auto"/>
          <w:sz w:val="24"/>
          <w:szCs w:val="24"/>
        </w:rPr>
        <w:instrText xml:space="preserve"> </w:instrText>
      </w:r>
      <w:r>
        <w:rPr>
          <w:sz w:val="24"/>
          <w:szCs w:val="24"/>
        </w:rPr>
        <w:instrText xml:space="preserve">HYPERLINK \l "_Toc93668161"</w:instrText>
      </w:r>
      <w:r>
        <w:rPr>
          <w:rStyle w:val="49"/>
          <w:color w:val="auto"/>
          <w:sz w:val="24"/>
          <w:szCs w:val="24"/>
        </w:rPr>
        <w:instrText xml:space="preserve"> </w:instrText>
      </w:r>
      <w:r>
        <w:rPr>
          <w:rStyle w:val="49"/>
          <w:color w:val="auto"/>
          <w:sz w:val="24"/>
          <w:szCs w:val="24"/>
        </w:rPr>
        <w:fldChar w:fldCharType="separate"/>
      </w:r>
      <w:r>
        <w:rPr>
          <w:rStyle w:val="49"/>
          <w:rFonts w:ascii="宋体" w:hAnsi="宋体"/>
          <w:color w:val="auto"/>
          <w:sz w:val="24"/>
          <w:szCs w:val="24"/>
        </w:rPr>
        <w:t>第三章  项目技术规范</w:t>
      </w:r>
      <w:bookmarkStart w:id="1" w:name="_Hlt108098897"/>
      <w:bookmarkStart w:id="2" w:name="_Hlt108098898"/>
      <w:r>
        <w:rPr>
          <w:rStyle w:val="49"/>
          <w:rFonts w:ascii="宋体" w:hAnsi="宋体"/>
          <w:color w:val="auto"/>
          <w:sz w:val="24"/>
          <w:szCs w:val="24"/>
        </w:rPr>
        <w:t>和</w:t>
      </w:r>
      <w:bookmarkEnd w:id="1"/>
      <w:bookmarkEnd w:id="2"/>
      <w:r>
        <w:rPr>
          <w:rStyle w:val="49"/>
          <w:rFonts w:ascii="宋体" w:hAnsi="宋体"/>
          <w:color w:val="auto"/>
          <w:sz w:val="24"/>
          <w:szCs w:val="24"/>
        </w:rPr>
        <w:t>要求</w:t>
      </w:r>
      <w:r>
        <w:rPr>
          <w:sz w:val="24"/>
          <w:szCs w:val="24"/>
        </w:rPr>
        <w:tab/>
      </w:r>
      <w:r>
        <w:rPr>
          <w:sz w:val="24"/>
          <w:szCs w:val="24"/>
        </w:rPr>
        <w:fldChar w:fldCharType="begin"/>
      </w:r>
      <w:r>
        <w:rPr>
          <w:sz w:val="24"/>
          <w:szCs w:val="24"/>
        </w:rPr>
        <w:instrText xml:space="preserve"> PAGEREF _Toc93668161 \h </w:instrText>
      </w:r>
      <w:r>
        <w:rPr>
          <w:sz w:val="24"/>
          <w:szCs w:val="24"/>
        </w:rPr>
        <w:fldChar w:fldCharType="separate"/>
      </w:r>
      <w:r>
        <w:rPr>
          <w:sz w:val="24"/>
          <w:szCs w:val="24"/>
        </w:rPr>
        <w:t>11</w:t>
      </w:r>
      <w:r>
        <w:rPr>
          <w:sz w:val="24"/>
          <w:szCs w:val="24"/>
        </w:rPr>
        <w:fldChar w:fldCharType="end"/>
      </w:r>
      <w:r>
        <w:rPr>
          <w:rStyle w:val="49"/>
          <w:color w:val="auto"/>
          <w:sz w:val="24"/>
          <w:szCs w:val="24"/>
        </w:rPr>
        <w:fldChar w:fldCharType="end"/>
      </w:r>
    </w:p>
    <w:p>
      <w:pPr>
        <w:pStyle w:val="31"/>
        <w:tabs>
          <w:tab w:val="right" w:leader="dot" w:pos="8990"/>
        </w:tabs>
        <w:spacing w:line="480" w:lineRule="auto"/>
        <w:rPr>
          <w:rFonts w:hAnsi="等线"/>
          <w:b w:val="0"/>
          <w:bCs w:val="0"/>
          <w:caps w:val="0"/>
          <w:kern w:val="2"/>
          <w:sz w:val="28"/>
          <w:szCs w:val="32"/>
        </w:rPr>
      </w:pPr>
      <w:r>
        <w:rPr>
          <w:rStyle w:val="49"/>
          <w:color w:val="auto"/>
          <w:sz w:val="24"/>
          <w:szCs w:val="24"/>
        </w:rPr>
        <w:fldChar w:fldCharType="begin"/>
      </w:r>
      <w:r>
        <w:rPr>
          <w:rStyle w:val="49"/>
          <w:color w:val="auto"/>
          <w:sz w:val="24"/>
          <w:szCs w:val="24"/>
        </w:rPr>
        <w:instrText xml:space="preserve"> </w:instrText>
      </w:r>
      <w:r>
        <w:rPr>
          <w:sz w:val="24"/>
          <w:szCs w:val="24"/>
        </w:rPr>
        <w:instrText xml:space="preserve">HYPERLINK \l "_Toc93668162"</w:instrText>
      </w:r>
      <w:r>
        <w:rPr>
          <w:rStyle w:val="49"/>
          <w:color w:val="auto"/>
          <w:sz w:val="24"/>
          <w:szCs w:val="24"/>
        </w:rPr>
        <w:instrText xml:space="preserve"> </w:instrText>
      </w:r>
      <w:r>
        <w:rPr>
          <w:rStyle w:val="49"/>
          <w:color w:val="auto"/>
          <w:sz w:val="24"/>
          <w:szCs w:val="24"/>
        </w:rPr>
        <w:fldChar w:fldCharType="separate"/>
      </w:r>
      <w:r>
        <w:rPr>
          <w:rStyle w:val="49"/>
          <w:rFonts w:ascii="宋体" w:hAnsi="宋体"/>
          <w:color w:val="auto"/>
          <w:sz w:val="24"/>
          <w:szCs w:val="24"/>
        </w:rPr>
        <w:t>第四章  投标人须知</w:t>
      </w:r>
      <w:r>
        <w:rPr>
          <w:sz w:val="24"/>
          <w:szCs w:val="24"/>
        </w:rPr>
        <w:tab/>
      </w:r>
      <w:r>
        <w:rPr>
          <w:sz w:val="24"/>
          <w:szCs w:val="24"/>
        </w:rPr>
        <w:fldChar w:fldCharType="begin"/>
      </w:r>
      <w:r>
        <w:rPr>
          <w:sz w:val="24"/>
          <w:szCs w:val="24"/>
        </w:rPr>
        <w:instrText xml:space="preserve"> PAGEREF _Toc93668162 \h </w:instrText>
      </w:r>
      <w:r>
        <w:rPr>
          <w:sz w:val="24"/>
          <w:szCs w:val="24"/>
        </w:rPr>
        <w:fldChar w:fldCharType="separate"/>
      </w:r>
      <w:r>
        <w:rPr>
          <w:sz w:val="24"/>
          <w:szCs w:val="24"/>
        </w:rPr>
        <w:t>17</w:t>
      </w:r>
      <w:r>
        <w:rPr>
          <w:sz w:val="24"/>
          <w:szCs w:val="24"/>
        </w:rPr>
        <w:fldChar w:fldCharType="end"/>
      </w:r>
      <w:r>
        <w:rPr>
          <w:rStyle w:val="49"/>
          <w:color w:val="auto"/>
          <w:sz w:val="24"/>
          <w:szCs w:val="24"/>
        </w:rPr>
        <w:fldChar w:fldCharType="end"/>
      </w:r>
    </w:p>
    <w:p>
      <w:pPr>
        <w:pStyle w:val="31"/>
        <w:tabs>
          <w:tab w:val="right" w:leader="dot" w:pos="8990"/>
        </w:tabs>
        <w:spacing w:line="480" w:lineRule="auto"/>
        <w:rPr>
          <w:rFonts w:hAnsi="等线"/>
          <w:b w:val="0"/>
          <w:bCs w:val="0"/>
          <w:caps w:val="0"/>
          <w:kern w:val="2"/>
          <w:sz w:val="28"/>
          <w:szCs w:val="32"/>
        </w:rPr>
      </w:pPr>
      <w:r>
        <w:rPr>
          <w:rStyle w:val="49"/>
          <w:color w:val="auto"/>
          <w:sz w:val="24"/>
          <w:szCs w:val="24"/>
        </w:rPr>
        <w:fldChar w:fldCharType="begin"/>
      </w:r>
      <w:r>
        <w:rPr>
          <w:rStyle w:val="49"/>
          <w:color w:val="auto"/>
          <w:sz w:val="24"/>
          <w:szCs w:val="24"/>
        </w:rPr>
        <w:instrText xml:space="preserve"> </w:instrText>
      </w:r>
      <w:r>
        <w:rPr>
          <w:sz w:val="24"/>
          <w:szCs w:val="24"/>
        </w:rPr>
        <w:instrText xml:space="preserve">HYPERLINK \l "_Toc93668163"</w:instrText>
      </w:r>
      <w:r>
        <w:rPr>
          <w:rStyle w:val="49"/>
          <w:color w:val="auto"/>
          <w:sz w:val="24"/>
          <w:szCs w:val="24"/>
        </w:rPr>
        <w:instrText xml:space="preserve"> </w:instrText>
      </w:r>
      <w:r>
        <w:rPr>
          <w:rStyle w:val="49"/>
          <w:color w:val="auto"/>
          <w:sz w:val="24"/>
          <w:szCs w:val="24"/>
        </w:rPr>
        <w:fldChar w:fldCharType="separate"/>
      </w:r>
      <w:r>
        <w:rPr>
          <w:rStyle w:val="49"/>
          <w:rFonts w:ascii="宋体" w:hAnsi="宋体"/>
          <w:color w:val="auto"/>
          <w:sz w:val="24"/>
          <w:szCs w:val="24"/>
        </w:rPr>
        <w:t>第五章  评标办法</w:t>
      </w:r>
      <w:r>
        <w:rPr>
          <w:sz w:val="24"/>
          <w:szCs w:val="24"/>
        </w:rPr>
        <w:tab/>
      </w:r>
      <w:r>
        <w:rPr>
          <w:sz w:val="24"/>
          <w:szCs w:val="24"/>
        </w:rPr>
        <w:fldChar w:fldCharType="begin"/>
      </w:r>
      <w:r>
        <w:rPr>
          <w:sz w:val="24"/>
          <w:szCs w:val="24"/>
        </w:rPr>
        <w:instrText xml:space="preserve"> PAGEREF _Toc93668163 \h </w:instrText>
      </w:r>
      <w:r>
        <w:rPr>
          <w:sz w:val="24"/>
          <w:szCs w:val="24"/>
        </w:rPr>
        <w:fldChar w:fldCharType="separate"/>
      </w:r>
      <w:r>
        <w:rPr>
          <w:sz w:val="24"/>
          <w:szCs w:val="24"/>
        </w:rPr>
        <w:t>29</w:t>
      </w:r>
      <w:r>
        <w:rPr>
          <w:sz w:val="24"/>
          <w:szCs w:val="24"/>
        </w:rPr>
        <w:fldChar w:fldCharType="end"/>
      </w:r>
      <w:r>
        <w:rPr>
          <w:rStyle w:val="49"/>
          <w:color w:val="auto"/>
          <w:sz w:val="24"/>
          <w:szCs w:val="24"/>
        </w:rPr>
        <w:fldChar w:fldCharType="end"/>
      </w:r>
    </w:p>
    <w:p>
      <w:pPr>
        <w:pStyle w:val="31"/>
        <w:tabs>
          <w:tab w:val="right" w:leader="dot" w:pos="8990"/>
        </w:tabs>
        <w:spacing w:line="480" w:lineRule="auto"/>
        <w:rPr>
          <w:rFonts w:hAnsi="等线"/>
          <w:b w:val="0"/>
          <w:bCs w:val="0"/>
          <w:caps w:val="0"/>
          <w:kern w:val="2"/>
          <w:sz w:val="28"/>
          <w:szCs w:val="32"/>
        </w:rPr>
      </w:pPr>
      <w:r>
        <w:rPr>
          <w:rStyle w:val="49"/>
          <w:color w:val="auto"/>
          <w:sz w:val="24"/>
          <w:szCs w:val="24"/>
        </w:rPr>
        <w:fldChar w:fldCharType="begin"/>
      </w:r>
      <w:r>
        <w:rPr>
          <w:rStyle w:val="49"/>
          <w:color w:val="auto"/>
          <w:sz w:val="24"/>
          <w:szCs w:val="24"/>
        </w:rPr>
        <w:instrText xml:space="preserve"> </w:instrText>
      </w:r>
      <w:r>
        <w:rPr>
          <w:sz w:val="24"/>
          <w:szCs w:val="24"/>
        </w:rPr>
        <w:instrText xml:space="preserve">HYPERLINK \l "_Toc93668164"</w:instrText>
      </w:r>
      <w:r>
        <w:rPr>
          <w:rStyle w:val="49"/>
          <w:color w:val="auto"/>
          <w:sz w:val="24"/>
          <w:szCs w:val="24"/>
        </w:rPr>
        <w:instrText xml:space="preserve"> </w:instrText>
      </w:r>
      <w:r>
        <w:rPr>
          <w:rStyle w:val="49"/>
          <w:color w:val="auto"/>
          <w:sz w:val="24"/>
          <w:szCs w:val="24"/>
        </w:rPr>
        <w:fldChar w:fldCharType="separate"/>
      </w:r>
      <w:r>
        <w:rPr>
          <w:rStyle w:val="49"/>
          <w:rFonts w:ascii="宋体" w:hAnsi="宋体"/>
          <w:color w:val="auto"/>
          <w:sz w:val="24"/>
          <w:szCs w:val="24"/>
        </w:rPr>
        <w:t>第六章  合同</w:t>
      </w:r>
      <w:bookmarkStart w:id="3" w:name="_Hlt93671328"/>
      <w:bookmarkStart w:id="4" w:name="_Hlt93671327"/>
      <w:r>
        <w:rPr>
          <w:rStyle w:val="49"/>
          <w:rFonts w:ascii="宋体" w:hAnsi="宋体"/>
          <w:color w:val="auto"/>
          <w:sz w:val="24"/>
          <w:szCs w:val="24"/>
        </w:rPr>
        <w:t>范</w:t>
      </w:r>
      <w:bookmarkEnd w:id="3"/>
      <w:bookmarkEnd w:id="4"/>
      <w:r>
        <w:rPr>
          <w:rStyle w:val="49"/>
          <w:rFonts w:ascii="宋体" w:hAnsi="宋体"/>
          <w:color w:val="auto"/>
          <w:sz w:val="24"/>
          <w:szCs w:val="24"/>
        </w:rPr>
        <w:t>本</w:t>
      </w:r>
      <w:r>
        <w:rPr>
          <w:sz w:val="24"/>
          <w:szCs w:val="24"/>
        </w:rPr>
        <w:tab/>
      </w:r>
      <w:r>
        <w:rPr>
          <w:sz w:val="24"/>
          <w:szCs w:val="24"/>
        </w:rPr>
        <w:fldChar w:fldCharType="begin"/>
      </w:r>
      <w:r>
        <w:rPr>
          <w:sz w:val="24"/>
          <w:szCs w:val="24"/>
        </w:rPr>
        <w:instrText xml:space="preserve"> PAGEREF _Toc93668164 \h </w:instrText>
      </w:r>
      <w:r>
        <w:rPr>
          <w:sz w:val="24"/>
          <w:szCs w:val="24"/>
        </w:rPr>
        <w:fldChar w:fldCharType="separate"/>
      </w:r>
      <w:r>
        <w:rPr>
          <w:sz w:val="24"/>
          <w:szCs w:val="24"/>
        </w:rPr>
        <w:t>34</w:t>
      </w:r>
      <w:r>
        <w:rPr>
          <w:sz w:val="24"/>
          <w:szCs w:val="24"/>
        </w:rPr>
        <w:fldChar w:fldCharType="end"/>
      </w:r>
      <w:r>
        <w:rPr>
          <w:rStyle w:val="49"/>
          <w:color w:val="auto"/>
          <w:sz w:val="24"/>
          <w:szCs w:val="24"/>
        </w:rPr>
        <w:fldChar w:fldCharType="end"/>
      </w:r>
    </w:p>
    <w:p>
      <w:pPr>
        <w:pStyle w:val="31"/>
        <w:tabs>
          <w:tab w:val="right" w:leader="dot" w:pos="8990"/>
        </w:tabs>
        <w:spacing w:line="480" w:lineRule="auto"/>
        <w:rPr>
          <w:rFonts w:hAnsi="等线"/>
          <w:b w:val="0"/>
          <w:bCs w:val="0"/>
          <w:caps w:val="0"/>
          <w:kern w:val="2"/>
          <w:sz w:val="28"/>
          <w:szCs w:val="32"/>
        </w:rPr>
      </w:pPr>
      <w:r>
        <w:rPr>
          <w:rStyle w:val="49"/>
          <w:color w:val="auto"/>
          <w:sz w:val="24"/>
          <w:szCs w:val="24"/>
        </w:rPr>
        <w:fldChar w:fldCharType="begin"/>
      </w:r>
      <w:r>
        <w:rPr>
          <w:rStyle w:val="49"/>
          <w:color w:val="auto"/>
          <w:sz w:val="24"/>
          <w:szCs w:val="24"/>
        </w:rPr>
        <w:instrText xml:space="preserve"> </w:instrText>
      </w:r>
      <w:r>
        <w:rPr>
          <w:sz w:val="24"/>
          <w:szCs w:val="24"/>
        </w:rPr>
        <w:instrText xml:space="preserve">HYPERLINK \l "_Toc93668165"</w:instrText>
      </w:r>
      <w:r>
        <w:rPr>
          <w:rStyle w:val="49"/>
          <w:color w:val="auto"/>
          <w:sz w:val="24"/>
          <w:szCs w:val="24"/>
        </w:rPr>
        <w:instrText xml:space="preserve"> </w:instrText>
      </w:r>
      <w:r>
        <w:rPr>
          <w:rStyle w:val="49"/>
          <w:color w:val="auto"/>
          <w:sz w:val="24"/>
          <w:szCs w:val="24"/>
        </w:rPr>
        <w:fldChar w:fldCharType="separate"/>
      </w:r>
      <w:r>
        <w:rPr>
          <w:rStyle w:val="49"/>
          <w:rFonts w:ascii="宋体" w:hAnsi="宋体"/>
          <w:color w:val="auto"/>
          <w:sz w:val="24"/>
          <w:szCs w:val="24"/>
        </w:rPr>
        <w:t>第七章  投标文件格式</w:t>
      </w:r>
      <w:r>
        <w:rPr>
          <w:sz w:val="24"/>
          <w:szCs w:val="24"/>
        </w:rPr>
        <w:tab/>
      </w:r>
      <w:r>
        <w:rPr>
          <w:sz w:val="24"/>
          <w:szCs w:val="24"/>
        </w:rPr>
        <w:fldChar w:fldCharType="begin"/>
      </w:r>
      <w:r>
        <w:rPr>
          <w:sz w:val="24"/>
          <w:szCs w:val="24"/>
        </w:rPr>
        <w:instrText xml:space="preserve"> PAGEREF _Toc93668165 \h </w:instrText>
      </w:r>
      <w:r>
        <w:rPr>
          <w:sz w:val="24"/>
          <w:szCs w:val="24"/>
        </w:rPr>
        <w:fldChar w:fldCharType="separate"/>
      </w:r>
      <w:r>
        <w:rPr>
          <w:sz w:val="24"/>
          <w:szCs w:val="24"/>
        </w:rPr>
        <w:t>39</w:t>
      </w:r>
      <w:r>
        <w:rPr>
          <w:sz w:val="24"/>
          <w:szCs w:val="24"/>
        </w:rPr>
        <w:fldChar w:fldCharType="end"/>
      </w:r>
      <w:r>
        <w:rPr>
          <w:rStyle w:val="49"/>
          <w:color w:val="auto"/>
          <w:sz w:val="24"/>
          <w:szCs w:val="24"/>
        </w:rPr>
        <w:fldChar w:fldCharType="end"/>
      </w:r>
    </w:p>
    <w:p>
      <w:pPr>
        <w:widowControl w:val="0"/>
        <w:adjustRightInd w:val="0"/>
        <w:snapToGrid w:val="0"/>
        <w:spacing w:line="480" w:lineRule="auto"/>
        <w:jc w:val="center"/>
        <w:rPr>
          <w:rFonts w:hint="eastAsia" w:ascii="宋体" w:hAnsi="宋体"/>
          <w:b/>
          <w:bCs/>
          <w:sz w:val="52"/>
          <w:szCs w:val="52"/>
        </w:rPr>
      </w:pPr>
      <w:r>
        <w:rPr>
          <w:rFonts w:ascii="宋体" w:hAnsi="宋体"/>
          <w:sz w:val="36"/>
          <w:szCs w:val="36"/>
        </w:rPr>
        <w:fldChar w:fldCharType="end"/>
      </w:r>
    </w:p>
    <w:p>
      <w:pPr>
        <w:widowControl w:val="0"/>
        <w:adjustRightInd w:val="0"/>
        <w:snapToGrid w:val="0"/>
        <w:spacing w:line="360" w:lineRule="auto"/>
        <w:jc w:val="center"/>
        <w:rPr>
          <w:rFonts w:ascii="宋体" w:hAnsi="宋体"/>
          <w:b/>
          <w:bCs/>
          <w:sz w:val="48"/>
        </w:rPr>
      </w:pPr>
    </w:p>
    <w:p>
      <w:pPr>
        <w:pStyle w:val="24"/>
        <w:widowControl w:val="0"/>
        <w:adjustRightInd w:val="0"/>
        <w:snapToGrid w:val="0"/>
        <w:spacing w:line="600" w:lineRule="auto"/>
        <w:ind w:left="1384"/>
        <w:jc w:val="both"/>
        <w:rPr>
          <w:spacing w:val="20"/>
          <w:sz w:val="32"/>
        </w:rPr>
      </w:pPr>
    </w:p>
    <w:p>
      <w:pPr>
        <w:pStyle w:val="24"/>
        <w:widowControl w:val="0"/>
        <w:adjustRightInd w:val="0"/>
        <w:snapToGrid w:val="0"/>
        <w:ind w:left="902" w:leftChars="376" w:firstLine="1280" w:firstLineChars="400"/>
        <w:jc w:val="both"/>
        <w:rPr>
          <w:sz w:val="32"/>
        </w:rPr>
      </w:pPr>
    </w:p>
    <w:p>
      <w:pPr>
        <w:pStyle w:val="24"/>
        <w:widowControl w:val="0"/>
        <w:adjustRightInd w:val="0"/>
        <w:snapToGrid w:val="0"/>
        <w:spacing w:line="480" w:lineRule="auto"/>
        <w:ind w:left="902"/>
        <w:jc w:val="both"/>
        <w:rPr>
          <w:sz w:val="32"/>
        </w:rPr>
        <w:sectPr>
          <w:headerReference r:id="rId5" w:type="first"/>
          <w:headerReference r:id="rId3" w:type="default"/>
          <w:footerReference r:id="rId6" w:type="default"/>
          <w:headerReference r:id="rId4" w:type="even"/>
          <w:footerReference r:id="rId7" w:type="even"/>
          <w:pgSz w:w="11906" w:h="16838"/>
          <w:pgMar w:top="1258" w:right="1286" w:bottom="1361" w:left="1620" w:header="709" w:footer="971" w:gutter="0"/>
          <w:cols w:space="720" w:num="1"/>
          <w:docGrid w:linePitch="360" w:charSpace="0"/>
        </w:sectPr>
      </w:pPr>
    </w:p>
    <w:p>
      <w:pPr>
        <w:widowControl w:val="0"/>
        <w:spacing w:line="360" w:lineRule="auto"/>
        <w:ind w:firstLine="562" w:firstLineChars="200"/>
        <w:jc w:val="both"/>
        <w:rPr>
          <w:rFonts w:ascii="宋体" w:hAnsi="宋体" w:cs="仿宋"/>
          <w:b/>
          <w:bCs/>
          <w:kern w:val="2"/>
          <w:sz w:val="28"/>
          <w:szCs w:val="28"/>
        </w:rPr>
      </w:pPr>
      <w:bookmarkStart w:id="5" w:name="_Toc73432709"/>
    </w:p>
    <w:p>
      <w:pPr>
        <w:widowControl w:val="0"/>
        <w:spacing w:line="360" w:lineRule="auto"/>
        <w:ind w:firstLine="562" w:firstLineChars="200"/>
        <w:jc w:val="both"/>
        <w:rPr>
          <w:rFonts w:hint="eastAsia" w:ascii="宋体" w:hAnsi="宋体" w:cs="仿宋"/>
          <w:b/>
          <w:bCs/>
          <w:kern w:val="2"/>
          <w:sz w:val="28"/>
          <w:szCs w:val="28"/>
        </w:rPr>
      </w:pPr>
      <w:r>
        <w:rPr>
          <w:rFonts w:hint="eastAsia" w:ascii="宋体" w:hAnsi="宋体" w:cs="仿宋"/>
          <w:b/>
          <w:bCs/>
          <w:kern w:val="2"/>
          <w:sz w:val="28"/>
          <w:szCs w:val="28"/>
        </w:rPr>
        <w:t>为确保招投标活动的公开、公平、公正，切实维护各方合法权益，凡在招标投标、开标评标过程中，受到敲诈、勒索或发现围标串标、虚假投标、恶意竞标等涉黑涉恶线索者，请及时保留相关证据并向有关部门举报！</w:t>
      </w:r>
      <w:bookmarkEnd w:id="5"/>
    </w:p>
    <w:p>
      <w:pPr>
        <w:widowControl w:val="0"/>
        <w:spacing w:line="360" w:lineRule="auto"/>
        <w:ind w:firstLine="562" w:firstLineChars="200"/>
        <w:jc w:val="both"/>
        <w:rPr>
          <w:rFonts w:hint="eastAsia" w:ascii="宋体" w:hAnsi="宋体" w:cs="仿宋"/>
          <w:b/>
          <w:bCs/>
          <w:kern w:val="2"/>
          <w:sz w:val="28"/>
          <w:szCs w:val="28"/>
        </w:rPr>
      </w:pPr>
      <w:bookmarkStart w:id="6" w:name="_Toc73432710"/>
      <w:r>
        <w:rPr>
          <w:rFonts w:hint="eastAsia" w:ascii="宋体" w:hAnsi="宋体" w:cs="仿宋"/>
          <w:b/>
          <w:bCs/>
          <w:kern w:val="2"/>
          <w:sz w:val="28"/>
          <w:szCs w:val="28"/>
        </w:rPr>
        <w:t>举报电话：</w:t>
      </w:r>
      <w:bookmarkEnd w:id="6"/>
    </w:p>
    <w:p>
      <w:pPr>
        <w:widowControl w:val="0"/>
        <w:spacing w:line="360" w:lineRule="auto"/>
        <w:ind w:firstLine="562" w:firstLineChars="200"/>
        <w:jc w:val="both"/>
        <w:rPr>
          <w:rFonts w:hint="eastAsia" w:ascii="宋体" w:hAnsi="宋体" w:cs="仿宋"/>
          <w:b/>
          <w:bCs/>
          <w:kern w:val="2"/>
          <w:sz w:val="28"/>
          <w:szCs w:val="28"/>
        </w:rPr>
      </w:pPr>
      <w:bookmarkStart w:id="7" w:name="_Toc73432711"/>
      <w:r>
        <w:rPr>
          <w:rFonts w:hint="eastAsia" w:ascii="宋体" w:hAnsi="宋体" w:cs="仿宋"/>
          <w:b/>
          <w:bCs/>
          <w:kern w:val="2"/>
          <w:sz w:val="28"/>
          <w:szCs w:val="28"/>
        </w:rPr>
        <w:t xml:space="preserve">市扫黑办 </w:t>
      </w:r>
      <w:r>
        <w:rPr>
          <w:rFonts w:ascii="宋体" w:hAnsi="宋体" w:cs="仿宋"/>
          <w:b/>
          <w:bCs/>
          <w:kern w:val="2"/>
          <w:sz w:val="28"/>
          <w:szCs w:val="28"/>
        </w:rPr>
        <w:t>  </w:t>
      </w:r>
      <w:r>
        <w:rPr>
          <w:rFonts w:hint="eastAsia" w:ascii="宋体" w:hAnsi="宋体" w:cs="仿宋"/>
          <w:b/>
          <w:bCs/>
          <w:kern w:val="2"/>
          <w:sz w:val="28"/>
          <w:szCs w:val="28"/>
        </w:rPr>
        <w:t xml:space="preserve">  0579-82495227</w:t>
      </w:r>
      <w:bookmarkEnd w:id="7"/>
    </w:p>
    <w:p>
      <w:pPr>
        <w:widowControl w:val="0"/>
        <w:spacing w:line="360" w:lineRule="auto"/>
        <w:ind w:firstLine="562" w:firstLineChars="200"/>
        <w:jc w:val="both"/>
        <w:rPr>
          <w:rFonts w:hint="eastAsia" w:ascii="宋体" w:hAnsi="宋体" w:cs="仿宋"/>
          <w:b/>
          <w:bCs/>
          <w:kern w:val="2"/>
          <w:sz w:val="28"/>
          <w:szCs w:val="28"/>
        </w:rPr>
      </w:pPr>
      <w:bookmarkStart w:id="8" w:name="_Toc73432712"/>
      <w:r>
        <w:rPr>
          <w:rFonts w:hint="eastAsia" w:ascii="宋体" w:hAnsi="宋体" w:cs="仿宋"/>
          <w:b/>
          <w:bCs/>
          <w:kern w:val="2"/>
          <w:sz w:val="28"/>
          <w:szCs w:val="28"/>
        </w:rPr>
        <w:t xml:space="preserve">市公安局 </w:t>
      </w:r>
      <w:r>
        <w:rPr>
          <w:rFonts w:ascii="宋体" w:hAnsi="宋体" w:cs="仿宋"/>
          <w:b/>
          <w:bCs/>
          <w:kern w:val="2"/>
          <w:sz w:val="28"/>
          <w:szCs w:val="28"/>
        </w:rPr>
        <w:t>  </w:t>
      </w:r>
      <w:r>
        <w:rPr>
          <w:rFonts w:hint="eastAsia" w:ascii="宋体" w:hAnsi="宋体" w:cs="仿宋"/>
          <w:b/>
          <w:bCs/>
          <w:kern w:val="2"/>
          <w:sz w:val="28"/>
          <w:szCs w:val="28"/>
        </w:rPr>
        <w:t xml:space="preserve">  110、0579-82512110</w:t>
      </w:r>
      <w:bookmarkEnd w:id="8"/>
    </w:p>
    <w:p>
      <w:pPr>
        <w:widowControl w:val="0"/>
        <w:spacing w:line="360" w:lineRule="auto"/>
        <w:ind w:firstLine="562" w:firstLineChars="200"/>
        <w:jc w:val="both"/>
        <w:rPr>
          <w:rFonts w:hint="eastAsia" w:ascii="宋体" w:hAnsi="宋体" w:cs="仿宋"/>
          <w:b/>
          <w:bCs/>
          <w:kern w:val="2"/>
          <w:sz w:val="28"/>
          <w:szCs w:val="28"/>
        </w:rPr>
      </w:pPr>
      <w:bookmarkStart w:id="9" w:name="_Toc73432713"/>
      <w:r>
        <w:rPr>
          <w:rFonts w:hint="eastAsia" w:ascii="宋体" w:hAnsi="宋体" w:cs="仿宋"/>
          <w:b/>
          <w:bCs/>
          <w:kern w:val="2"/>
          <w:sz w:val="28"/>
          <w:szCs w:val="28"/>
        </w:rPr>
        <w:t xml:space="preserve">市检察院 </w:t>
      </w:r>
      <w:r>
        <w:rPr>
          <w:rFonts w:ascii="宋体" w:hAnsi="宋体" w:cs="仿宋"/>
          <w:b/>
          <w:bCs/>
          <w:kern w:val="2"/>
          <w:sz w:val="28"/>
          <w:szCs w:val="28"/>
        </w:rPr>
        <w:t> </w:t>
      </w:r>
      <w:r>
        <w:rPr>
          <w:rFonts w:hint="eastAsia" w:ascii="宋体" w:hAnsi="宋体" w:cs="仿宋"/>
          <w:b/>
          <w:bCs/>
          <w:kern w:val="2"/>
          <w:sz w:val="28"/>
          <w:szCs w:val="28"/>
        </w:rPr>
        <w:t xml:space="preserve">  </w:t>
      </w:r>
      <w:r>
        <w:rPr>
          <w:rFonts w:ascii="宋体" w:hAnsi="宋体" w:cs="仿宋"/>
          <w:b/>
          <w:bCs/>
          <w:kern w:val="2"/>
          <w:sz w:val="28"/>
          <w:szCs w:val="28"/>
        </w:rPr>
        <w:t> </w:t>
      </w:r>
      <w:r>
        <w:rPr>
          <w:rFonts w:hint="eastAsia" w:ascii="宋体" w:hAnsi="宋体" w:cs="仿宋"/>
          <w:b/>
          <w:bCs/>
          <w:kern w:val="2"/>
          <w:sz w:val="28"/>
          <w:szCs w:val="28"/>
        </w:rPr>
        <w:t>0579-82537082</w:t>
      </w:r>
      <w:bookmarkEnd w:id="9"/>
    </w:p>
    <w:p>
      <w:pPr>
        <w:widowControl w:val="0"/>
        <w:spacing w:line="360" w:lineRule="auto"/>
        <w:ind w:firstLine="562" w:firstLineChars="200"/>
        <w:jc w:val="both"/>
        <w:rPr>
          <w:rFonts w:hint="eastAsia" w:ascii="宋体" w:hAnsi="宋体" w:cs="仿宋"/>
          <w:b/>
          <w:bCs/>
          <w:kern w:val="2"/>
          <w:sz w:val="28"/>
          <w:szCs w:val="28"/>
        </w:rPr>
      </w:pPr>
      <w:bookmarkStart w:id="10" w:name="_Toc73432714"/>
      <w:r>
        <w:rPr>
          <w:rFonts w:hint="eastAsia" w:ascii="宋体" w:hAnsi="宋体" w:cs="仿宋"/>
          <w:b/>
          <w:bCs/>
          <w:kern w:val="2"/>
          <w:sz w:val="28"/>
          <w:szCs w:val="28"/>
        </w:rPr>
        <w:t xml:space="preserve">市 法 院 </w:t>
      </w:r>
      <w:r>
        <w:rPr>
          <w:rFonts w:ascii="宋体" w:hAnsi="宋体" w:cs="仿宋"/>
          <w:b/>
          <w:bCs/>
          <w:kern w:val="2"/>
          <w:sz w:val="28"/>
          <w:szCs w:val="28"/>
        </w:rPr>
        <w:t>  </w:t>
      </w:r>
      <w:r>
        <w:rPr>
          <w:rFonts w:hint="eastAsia" w:ascii="宋体" w:hAnsi="宋体" w:cs="仿宋"/>
          <w:b/>
          <w:bCs/>
          <w:kern w:val="2"/>
          <w:sz w:val="28"/>
          <w:szCs w:val="28"/>
        </w:rPr>
        <w:t xml:space="preserve">  0579-82688725</w:t>
      </w:r>
      <w:bookmarkEnd w:id="10"/>
    </w:p>
    <w:p>
      <w:pPr>
        <w:widowControl w:val="0"/>
        <w:spacing w:line="360" w:lineRule="auto"/>
        <w:ind w:firstLine="562" w:firstLineChars="200"/>
        <w:jc w:val="both"/>
        <w:rPr>
          <w:rFonts w:hint="eastAsia" w:ascii="宋体" w:hAnsi="宋体" w:cs="仿宋"/>
          <w:b/>
          <w:bCs/>
          <w:kern w:val="2"/>
          <w:sz w:val="28"/>
          <w:szCs w:val="28"/>
        </w:rPr>
      </w:pPr>
      <w:bookmarkStart w:id="11" w:name="_Toc73432715"/>
      <w:r>
        <w:rPr>
          <w:rFonts w:hint="eastAsia" w:ascii="宋体" w:hAnsi="宋体" w:cs="仿宋"/>
          <w:b/>
          <w:bCs/>
          <w:kern w:val="2"/>
          <w:sz w:val="28"/>
          <w:szCs w:val="28"/>
        </w:rPr>
        <w:t xml:space="preserve">市公共资源办 </w:t>
      </w:r>
      <w:r>
        <w:rPr>
          <w:rFonts w:ascii="宋体" w:hAnsi="宋体" w:cs="仿宋"/>
          <w:b/>
          <w:bCs/>
          <w:kern w:val="2"/>
          <w:sz w:val="28"/>
          <w:szCs w:val="28"/>
        </w:rPr>
        <w:t> </w:t>
      </w:r>
      <w:r>
        <w:rPr>
          <w:rFonts w:hint="eastAsia" w:ascii="宋体" w:hAnsi="宋体" w:cs="仿宋"/>
          <w:b/>
          <w:bCs/>
          <w:kern w:val="2"/>
          <w:sz w:val="28"/>
          <w:szCs w:val="28"/>
        </w:rPr>
        <w:t>0579-82469285</w:t>
      </w:r>
      <w:bookmarkEnd w:id="11"/>
    </w:p>
    <w:p>
      <w:pPr>
        <w:widowControl w:val="0"/>
        <w:spacing w:line="360" w:lineRule="auto"/>
        <w:ind w:firstLine="562" w:firstLineChars="200"/>
        <w:jc w:val="both"/>
        <w:rPr>
          <w:rFonts w:ascii="宋体" w:hAnsi="宋体" w:cs="仿宋"/>
          <w:b/>
          <w:bCs/>
          <w:kern w:val="2"/>
          <w:sz w:val="28"/>
          <w:szCs w:val="28"/>
        </w:rPr>
      </w:pPr>
      <w:bookmarkStart w:id="12" w:name="_Toc73432716"/>
      <w:r>
        <w:rPr>
          <w:rFonts w:hint="eastAsia" w:ascii="宋体" w:hAnsi="宋体" w:cs="仿宋"/>
          <w:b/>
          <w:bCs/>
          <w:kern w:val="2"/>
          <w:sz w:val="28"/>
          <w:szCs w:val="28"/>
        </w:rPr>
        <w:t xml:space="preserve">市公共资源交易中心 </w:t>
      </w:r>
      <w:r>
        <w:rPr>
          <w:rFonts w:ascii="宋体" w:hAnsi="宋体" w:cs="仿宋"/>
          <w:b/>
          <w:bCs/>
          <w:kern w:val="2"/>
          <w:sz w:val="28"/>
          <w:szCs w:val="28"/>
        </w:rPr>
        <w:t> </w:t>
      </w:r>
      <w:r>
        <w:rPr>
          <w:rFonts w:hint="eastAsia" w:ascii="宋体" w:hAnsi="宋体" w:cs="仿宋"/>
          <w:b/>
          <w:bCs/>
          <w:kern w:val="2"/>
          <w:sz w:val="28"/>
          <w:szCs w:val="28"/>
        </w:rPr>
        <w:t>0579-83187211</w:t>
      </w:r>
      <w:bookmarkEnd w:id="12"/>
    </w:p>
    <w:p>
      <w:pPr>
        <w:widowControl w:val="0"/>
        <w:spacing w:line="360" w:lineRule="auto"/>
        <w:ind w:firstLine="562" w:firstLineChars="200"/>
        <w:jc w:val="both"/>
        <w:rPr>
          <w:rFonts w:ascii="宋体" w:hAnsi="宋体" w:cs="仿宋"/>
          <w:b/>
          <w:bCs/>
          <w:kern w:val="2"/>
          <w:sz w:val="28"/>
          <w:szCs w:val="28"/>
        </w:rPr>
        <w:sectPr>
          <w:pgSz w:w="11906" w:h="16838"/>
          <w:pgMar w:top="1258" w:right="1286" w:bottom="1361" w:left="1620" w:header="709" w:footer="971" w:gutter="0"/>
          <w:cols w:space="720" w:num="1"/>
          <w:docGrid w:linePitch="360" w:charSpace="0"/>
        </w:sectPr>
      </w:pPr>
    </w:p>
    <w:p>
      <w:pPr>
        <w:pStyle w:val="2"/>
        <w:spacing w:before="120" w:after="240" w:line="240" w:lineRule="auto"/>
        <w:jc w:val="center"/>
        <w:rPr>
          <w:rFonts w:hint="eastAsia" w:ascii="宋体" w:hAnsi="宋体"/>
        </w:rPr>
      </w:pPr>
      <w:bookmarkStart w:id="13" w:name="_Toc39239703"/>
      <w:bookmarkStart w:id="14" w:name="_Toc93668159"/>
      <w:r>
        <w:rPr>
          <w:rFonts w:ascii="宋体" w:hAnsi="宋体"/>
        </w:rPr>
        <w:t>第一章  招标公告</w:t>
      </w:r>
      <w:bookmarkEnd w:id="13"/>
      <w:bookmarkEnd w:id="14"/>
    </w:p>
    <w:p>
      <w:pPr>
        <w:pBdr>
          <w:top w:val="single" w:color="auto" w:sz="4" w:space="1"/>
          <w:left w:val="single" w:color="auto" w:sz="4" w:space="4"/>
          <w:bottom w:val="single" w:color="auto" w:sz="4" w:space="14"/>
          <w:right w:val="single" w:color="auto" w:sz="4" w:space="4"/>
        </w:pBdr>
        <w:spacing w:line="276" w:lineRule="auto"/>
        <w:ind w:firstLine="560" w:firstLineChars="200"/>
        <w:rPr>
          <w:rFonts w:hint="eastAsia" w:ascii="宋体" w:hAnsi="宋体"/>
          <w:sz w:val="28"/>
          <w:szCs w:val="28"/>
        </w:rPr>
      </w:pPr>
      <w:r>
        <w:rPr>
          <w:rFonts w:hint="eastAsia" w:ascii="宋体" w:hAnsi="宋体"/>
          <w:sz w:val="28"/>
          <w:szCs w:val="28"/>
        </w:rPr>
        <w:t>项目概况</w:t>
      </w:r>
    </w:p>
    <w:p>
      <w:pPr>
        <w:pBdr>
          <w:top w:val="single" w:color="auto" w:sz="4" w:space="1"/>
          <w:left w:val="single" w:color="auto" w:sz="4" w:space="4"/>
          <w:bottom w:val="single" w:color="auto" w:sz="4" w:space="14"/>
          <w:right w:val="single" w:color="auto" w:sz="4" w:space="4"/>
        </w:pBdr>
        <w:spacing w:line="276" w:lineRule="auto"/>
        <w:ind w:firstLine="560" w:firstLineChars="200"/>
        <w:rPr>
          <w:rFonts w:hint="eastAsia" w:ascii="宋体" w:hAnsi="宋体"/>
          <w:sz w:val="28"/>
          <w:szCs w:val="28"/>
        </w:rPr>
      </w:pPr>
      <w:r>
        <w:rPr>
          <w:rFonts w:hint="eastAsia" w:ascii="宋体" w:hAnsi="宋体"/>
          <w:sz w:val="28"/>
          <w:szCs w:val="28"/>
          <w:u w:val="single"/>
        </w:rPr>
        <w:t>金华市金东区公共视频监控建设一体化改革（村居安防三期）建设项目</w:t>
      </w:r>
      <w:r>
        <w:rPr>
          <w:rFonts w:hint="eastAsia" w:ascii="宋体" w:hAnsi="宋体"/>
          <w:sz w:val="28"/>
          <w:szCs w:val="28"/>
        </w:rPr>
        <w:t>的潜在投标人应在</w:t>
      </w:r>
      <w:r>
        <w:rPr>
          <w:rFonts w:hint="eastAsia" w:ascii="宋体" w:hAnsi="宋体"/>
          <w:sz w:val="28"/>
          <w:szCs w:val="28"/>
          <w:u w:val="single"/>
        </w:rPr>
        <w:t xml:space="preserve">浙江政府采购网本项目公告附件处（潜在供应商）下载  </w:t>
      </w:r>
      <w:r>
        <w:rPr>
          <w:rFonts w:hint="eastAsia" w:ascii="宋体" w:hAnsi="宋体"/>
          <w:sz w:val="28"/>
          <w:szCs w:val="28"/>
        </w:rPr>
        <w:t>获取招标文件，并于</w:t>
      </w:r>
      <w:r>
        <w:rPr>
          <w:rFonts w:hint="eastAsia" w:ascii="宋体" w:hAnsi="宋体"/>
          <w:sz w:val="28"/>
          <w:szCs w:val="28"/>
          <w:u w:val="single"/>
        </w:rPr>
        <w:t>202</w:t>
      </w:r>
      <w:r>
        <w:rPr>
          <w:rFonts w:ascii="宋体" w:hAnsi="宋体"/>
          <w:sz w:val="28"/>
          <w:szCs w:val="28"/>
          <w:u w:val="single"/>
        </w:rPr>
        <w:t>2</w:t>
      </w:r>
      <w:r>
        <w:rPr>
          <w:rFonts w:hint="eastAsia" w:ascii="宋体" w:hAnsi="宋体"/>
          <w:sz w:val="28"/>
          <w:szCs w:val="28"/>
          <w:u w:val="single"/>
        </w:rPr>
        <w:t>年8月11日</w:t>
      </w:r>
      <w:r>
        <w:rPr>
          <w:rFonts w:ascii="宋体" w:hAnsi="宋体"/>
          <w:sz w:val="28"/>
          <w:szCs w:val="28"/>
          <w:u w:val="single"/>
        </w:rPr>
        <w:t>09</w:t>
      </w:r>
      <w:r>
        <w:rPr>
          <w:rFonts w:hint="eastAsia" w:ascii="宋体" w:hAnsi="宋体"/>
          <w:sz w:val="28"/>
          <w:szCs w:val="28"/>
          <w:u w:val="single"/>
        </w:rPr>
        <w:t>点</w:t>
      </w:r>
      <w:r>
        <w:rPr>
          <w:rFonts w:ascii="宋体" w:hAnsi="宋体"/>
          <w:sz w:val="28"/>
          <w:szCs w:val="28"/>
          <w:u w:val="single"/>
        </w:rPr>
        <w:t>30</w:t>
      </w:r>
      <w:r>
        <w:rPr>
          <w:rFonts w:hint="eastAsia" w:ascii="宋体" w:hAnsi="宋体"/>
          <w:sz w:val="28"/>
          <w:szCs w:val="28"/>
          <w:u w:val="single"/>
        </w:rPr>
        <w:t>分</w:t>
      </w:r>
      <w:r>
        <w:rPr>
          <w:rFonts w:hint="eastAsia" w:ascii="宋体" w:hAnsi="宋体"/>
          <w:sz w:val="28"/>
          <w:szCs w:val="28"/>
        </w:rPr>
        <w:t>（北京时间）前递交（上传）投标文件。</w:t>
      </w:r>
    </w:p>
    <w:p>
      <w:pPr>
        <w:pStyle w:val="24"/>
        <w:widowControl w:val="0"/>
        <w:adjustRightInd w:val="0"/>
        <w:snapToGrid w:val="0"/>
        <w:spacing w:before="0" w:beforeAutospacing="0" w:after="0" w:afterAutospacing="0" w:line="360" w:lineRule="auto"/>
        <w:ind w:firstLine="482" w:firstLineChars="200"/>
        <w:rPr>
          <w:rFonts w:hint="eastAsia" w:cs="宋体"/>
          <w:b/>
        </w:rPr>
      </w:pPr>
      <w:bookmarkStart w:id="15" w:name="_Toc35393621"/>
      <w:bookmarkStart w:id="16" w:name="_Toc35393790"/>
      <w:bookmarkStart w:id="17" w:name="_Toc28359079"/>
      <w:bookmarkStart w:id="18" w:name="_Toc28359002"/>
      <w:bookmarkStart w:id="19" w:name="_Hlk24379207"/>
    </w:p>
    <w:p>
      <w:pPr>
        <w:pStyle w:val="24"/>
        <w:widowControl w:val="0"/>
        <w:adjustRightInd w:val="0"/>
        <w:snapToGrid w:val="0"/>
        <w:spacing w:before="0" w:beforeAutospacing="0" w:after="0" w:afterAutospacing="0" w:line="360" w:lineRule="auto"/>
        <w:ind w:firstLine="482" w:firstLineChars="200"/>
        <w:rPr>
          <w:rFonts w:ascii="Times New Roman" w:hAnsi="Times New Roman"/>
          <w:b/>
        </w:rPr>
      </w:pPr>
      <w:r>
        <w:rPr>
          <w:rFonts w:ascii="Times New Roman" w:hAnsi="Times New Roman"/>
          <w:b/>
        </w:rPr>
        <w:t>一、项目基本情况</w:t>
      </w:r>
      <w:bookmarkEnd w:id="15"/>
      <w:bookmarkEnd w:id="16"/>
      <w:bookmarkEnd w:id="17"/>
      <w:bookmarkEnd w:id="18"/>
    </w:p>
    <w:p>
      <w:pPr>
        <w:spacing w:line="360" w:lineRule="auto"/>
        <w:ind w:firstLine="540" w:firstLineChars="225"/>
      </w:pPr>
      <w:r>
        <w:t>项目编号：YG2022-FW4296-ZFCG134</w:t>
      </w:r>
    </w:p>
    <w:p>
      <w:pPr>
        <w:spacing w:line="360" w:lineRule="auto"/>
        <w:ind w:firstLine="540" w:firstLineChars="225"/>
      </w:pPr>
      <w:r>
        <w:t xml:space="preserve">政府采购计划编号：临[2022]961号 </w:t>
      </w:r>
      <w:r>
        <w:fldChar w:fldCharType="begin"/>
      </w:r>
      <w:r>
        <w:instrText xml:space="preserve"> HYPERLINK "https://pay.zcygov.cn/purchaseplan_front/" \l "/plan/list/detail?id=1000000000004570021&amp;encrypt=90b23a2dfb0d10a419ea1ddf08025d73" \t "_blank" </w:instrText>
      </w:r>
      <w:r>
        <w:fldChar w:fldCharType="separate"/>
      </w:r>
      <w:r>
        <w:fldChar w:fldCharType="end"/>
      </w:r>
      <w:r>
        <w:t xml:space="preserve"> </w:t>
      </w:r>
    </w:p>
    <w:p>
      <w:pPr>
        <w:spacing w:line="360" w:lineRule="auto"/>
        <w:ind w:firstLine="540" w:firstLineChars="225"/>
      </w:pPr>
      <w:r>
        <w:t>项目名称：金华市金东区公共视频监控建设一体化改革（村居安防三期）建设项目</w:t>
      </w:r>
    </w:p>
    <w:bookmarkEnd w:id="19"/>
    <w:p>
      <w:pPr>
        <w:spacing w:line="360" w:lineRule="auto"/>
        <w:ind w:firstLine="540" w:firstLineChars="225"/>
      </w:pPr>
      <w:r>
        <w:t>预算金额：1015.03687</w:t>
      </w:r>
      <w:r>
        <w:rPr>
          <w:rFonts w:hint="eastAsia"/>
        </w:rPr>
        <w:t>万</w:t>
      </w:r>
      <w:r>
        <w:t>元</w:t>
      </w:r>
    </w:p>
    <w:p>
      <w:pPr>
        <w:spacing w:line="360" w:lineRule="auto"/>
        <w:ind w:firstLine="540" w:firstLineChars="225"/>
      </w:pPr>
      <w:r>
        <w:t>最高限价：</w:t>
      </w:r>
      <w:r>
        <w:rPr>
          <w:rFonts w:hint="eastAsia"/>
        </w:rPr>
        <w:t>标段一2899136.80元、标段二</w:t>
      </w:r>
      <w:r>
        <w:t>3895031.90</w:t>
      </w:r>
      <w:r>
        <w:rPr>
          <w:rFonts w:hint="eastAsia"/>
        </w:rPr>
        <w:t>元、标段三</w:t>
      </w:r>
      <w:r>
        <w:t>3356200</w:t>
      </w:r>
      <w:r>
        <w:rPr>
          <w:rFonts w:hint="eastAsia"/>
        </w:rPr>
        <w:t>元</w:t>
      </w:r>
    </w:p>
    <w:p>
      <w:pPr>
        <w:spacing w:line="360" w:lineRule="auto"/>
        <w:ind w:firstLine="540" w:firstLineChars="225"/>
      </w:pPr>
      <w:r>
        <w:t>采购需求：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2179"/>
        <w:gridCol w:w="1755"/>
        <w:gridCol w:w="3119"/>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pct"/>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标段</w:t>
            </w:r>
          </w:p>
        </w:tc>
        <w:tc>
          <w:tcPr>
            <w:tcW w:w="1182" w:type="pct"/>
            <w:noWrap w:val="0"/>
            <w:vAlign w:val="center"/>
          </w:tcPr>
          <w:p>
            <w:pPr>
              <w:jc w:val="center"/>
              <w:rPr>
                <w:rFonts w:ascii="宋体" w:hAnsi="宋体" w:eastAsia="宋体" w:cs="宋体"/>
                <w:sz w:val="22"/>
                <w:szCs w:val="22"/>
              </w:rPr>
            </w:pPr>
            <w:r>
              <w:rPr>
                <w:rFonts w:hint="eastAsia" w:ascii="宋体" w:hAnsi="宋体" w:eastAsia="宋体" w:cs="宋体"/>
                <w:sz w:val="22"/>
                <w:szCs w:val="22"/>
              </w:rPr>
              <w:t>项目名称</w:t>
            </w:r>
          </w:p>
        </w:tc>
        <w:tc>
          <w:tcPr>
            <w:tcW w:w="952" w:type="pct"/>
            <w:noWrap w:val="0"/>
            <w:vAlign w:val="center"/>
          </w:tcPr>
          <w:p>
            <w:pPr>
              <w:jc w:val="center"/>
              <w:rPr>
                <w:rFonts w:ascii="宋体" w:hAnsi="宋体" w:eastAsia="宋体" w:cs="宋体"/>
                <w:sz w:val="22"/>
                <w:szCs w:val="22"/>
              </w:rPr>
            </w:pPr>
            <w:r>
              <w:rPr>
                <w:rFonts w:ascii="宋体" w:hAnsi="宋体" w:eastAsia="宋体" w:cs="Times New Roman"/>
                <w:sz w:val="22"/>
                <w:szCs w:val="22"/>
              </w:rPr>
              <w:t>主要技术指标要求</w:t>
            </w:r>
          </w:p>
        </w:tc>
        <w:tc>
          <w:tcPr>
            <w:tcW w:w="1692" w:type="pct"/>
            <w:noWrap w:val="0"/>
            <w:vAlign w:val="center"/>
          </w:tcPr>
          <w:p>
            <w:pPr>
              <w:jc w:val="center"/>
              <w:rPr>
                <w:rFonts w:ascii="宋体" w:hAnsi="宋体" w:eastAsia="宋体" w:cs="宋体"/>
                <w:sz w:val="22"/>
                <w:szCs w:val="22"/>
              </w:rPr>
            </w:pPr>
            <w:r>
              <w:rPr>
                <w:rFonts w:hint="eastAsia" w:ascii="宋体" w:hAnsi="宋体" w:eastAsia="宋体" w:cs="宋体"/>
                <w:sz w:val="22"/>
                <w:szCs w:val="22"/>
              </w:rPr>
              <w:t>范围区域</w:t>
            </w:r>
          </w:p>
        </w:tc>
        <w:tc>
          <w:tcPr>
            <w:tcW w:w="865" w:type="pct"/>
            <w:noWrap w:val="0"/>
            <w:vAlign w:val="center"/>
          </w:tcPr>
          <w:p>
            <w:pPr>
              <w:jc w:val="center"/>
              <w:rPr>
                <w:rFonts w:ascii="宋体" w:hAnsi="宋体" w:eastAsia="宋体" w:cs="宋体"/>
                <w:sz w:val="22"/>
                <w:szCs w:val="22"/>
              </w:rPr>
            </w:pPr>
            <w:r>
              <w:rPr>
                <w:rFonts w:hint="eastAsia" w:ascii="宋体" w:hAnsi="宋体" w:eastAsia="宋体" w:cs="宋体"/>
                <w:sz w:val="22"/>
                <w:szCs w:val="22"/>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9" w:type="pct"/>
            <w:shd w:val="clear" w:color="auto" w:fill="FFFFFF"/>
            <w:noWrap w:val="0"/>
            <w:vAlign w:val="center"/>
          </w:tcPr>
          <w:p>
            <w:pPr>
              <w:jc w:val="center"/>
              <w:rPr>
                <w:rFonts w:hint="eastAsia" w:ascii="宋体" w:hAnsi="宋体" w:eastAsia="宋体" w:cs="Times New Roman"/>
                <w:sz w:val="22"/>
                <w:szCs w:val="22"/>
              </w:rPr>
            </w:pPr>
            <w:r>
              <w:rPr>
                <w:rFonts w:hint="eastAsia" w:ascii="宋体" w:hAnsi="宋体" w:eastAsia="宋体" w:cs="Times New Roman"/>
                <w:sz w:val="22"/>
                <w:szCs w:val="22"/>
              </w:rPr>
              <w:t>一</w:t>
            </w:r>
          </w:p>
        </w:tc>
        <w:tc>
          <w:tcPr>
            <w:tcW w:w="1182" w:type="pct"/>
            <w:vMerge w:val="restart"/>
            <w:noWrap w:val="0"/>
            <w:vAlign w:val="center"/>
          </w:tcPr>
          <w:p>
            <w:pPr>
              <w:jc w:val="center"/>
              <w:rPr>
                <w:rFonts w:hint="eastAsia" w:ascii="宋体" w:hAnsi="宋体" w:eastAsia="宋体" w:cs="Times New Roman"/>
                <w:sz w:val="22"/>
                <w:szCs w:val="22"/>
              </w:rPr>
            </w:pPr>
            <w:r>
              <w:rPr>
                <w:rFonts w:hint="eastAsia" w:ascii="宋体" w:hAnsi="宋体" w:eastAsia="宋体" w:cs="Times New Roman"/>
                <w:sz w:val="22"/>
                <w:szCs w:val="22"/>
              </w:rPr>
              <w:t>金华市金东区公共视频监控建设一体化改革（村居安防三期）建设项目</w:t>
            </w:r>
          </w:p>
        </w:tc>
        <w:tc>
          <w:tcPr>
            <w:tcW w:w="952" w:type="pct"/>
            <w:vMerge w:val="restart"/>
            <w:noWrap w:val="0"/>
            <w:vAlign w:val="center"/>
          </w:tcPr>
          <w:p>
            <w:pPr>
              <w:jc w:val="center"/>
              <w:rPr>
                <w:rFonts w:hint="eastAsia" w:ascii="宋体" w:hAnsi="宋体" w:eastAsia="宋体" w:cs="Times New Roman"/>
                <w:sz w:val="22"/>
                <w:szCs w:val="22"/>
              </w:rPr>
            </w:pPr>
            <w:r>
              <w:rPr>
                <w:rFonts w:hint="eastAsia" w:ascii="宋体" w:hAnsi="宋体" w:eastAsia="宋体" w:cs="Times New Roman"/>
                <w:sz w:val="22"/>
                <w:szCs w:val="22"/>
              </w:rPr>
              <w:t>详细技术参数及要求将在招标文件中明确阐述。</w:t>
            </w:r>
          </w:p>
        </w:tc>
        <w:tc>
          <w:tcPr>
            <w:tcW w:w="1692" w:type="pct"/>
            <w:noWrap w:val="0"/>
            <w:vAlign w:val="center"/>
          </w:tcPr>
          <w:p>
            <w:pPr>
              <w:jc w:val="center"/>
              <w:rPr>
                <w:rFonts w:ascii="宋体" w:hAnsi="宋体" w:eastAsia="宋体" w:cs="Times New Roman"/>
                <w:sz w:val="22"/>
                <w:szCs w:val="22"/>
              </w:rPr>
            </w:pPr>
            <w:r>
              <w:rPr>
                <w:rFonts w:hint="eastAsia" w:ascii="宋体" w:hAnsi="宋体" w:eastAsia="宋体" w:cs="Times New Roman"/>
                <w:sz w:val="22"/>
                <w:szCs w:val="22"/>
              </w:rPr>
              <w:t>多湖、东关、傅村、鞋塘等</w:t>
            </w:r>
          </w:p>
        </w:tc>
        <w:tc>
          <w:tcPr>
            <w:tcW w:w="865" w:type="pct"/>
            <w:noWrap w:val="0"/>
            <w:vAlign w:val="center"/>
          </w:tcPr>
          <w:p>
            <w:pPr>
              <w:jc w:val="center"/>
              <w:rPr>
                <w:rFonts w:hint="eastAsia" w:ascii="宋体" w:hAnsi="宋体" w:eastAsia="宋体" w:cs="Times New Roman"/>
                <w:sz w:val="22"/>
                <w:szCs w:val="22"/>
              </w:rPr>
            </w:pPr>
            <w:r>
              <w:rPr>
                <w:rFonts w:hint="eastAsia" w:ascii="宋体" w:hAnsi="宋体" w:eastAsia="宋体" w:cs="Times New Roman"/>
                <w:sz w:val="22"/>
                <w:szCs w:val="22"/>
              </w:rPr>
              <w:t>2899136.80元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09" w:type="pct"/>
            <w:shd w:val="clear" w:color="auto" w:fill="FFFFFF"/>
            <w:noWrap w:val="0"/>
            <w:vAlign w:val="center"/>
          </w:tcPr>
          <w:p>
            <w:pPr>
              <w:jc w:val="center"/>
              <w:rPr>
                <w:rFonts w:hint="eastAsia" w:ascii="宋体" w:hAnsi="宋体" w:eastAsia="宋体" w:cs="Times New Roman"/>
                <w:sz w:val="22"/>
                <w:szCs w:val="22"/>
              </w:rPr>
            </w:pPr>
            <w:r>
              <w:rPr>
                <w:rFonts w:hint="eastAsia" w:ascii="宋体" w:hAnsi="宋体" w:eastAsia="宋体" w:cs="Times New Roman"/>
                <w:sz w:val="22"/>
                <w:szCs w:val="22"/>
              </w:rPr>
              <w:t>二</w:t>
            </w:r>
          </w:p>
        </w:tc>
        <w:tc>
          <w:tcPr>
            <w:tcW w:w="1182" w:type="pct"/>
            <w:vMerge w:val="continue"/>
            <w:noWrap w:val="0"/>
            <w:vAlign w:val="center"/>
          </w:tcPr>
          <w:p>
            <w:pPr>
              <w:jc w:val="center"/>
              <w:rPr>
                <w:rFonts w:hint="eastAsia" w:ascii="宋体" w:hAnsi="宋体" w:eastAsia="宋体" w:cs="Times New Roman"/>
                <w:sz w:val="22"/>
                <w:szCs w:val="22"/>
              </w:rPr>
            </w:pPr>
          </w:p>
        </w:tc>
        <w:tc>
          <w:tcPr>
            <w:tcW w:w="952" w:type="pct"/>
            <w:vMerge w:val="continue"/>
            <w:noWrap w:val="0"/>
            <w:vAlign w:val="center"/>
          </w:tcPr>
          <w:p>
            <w:pPr>
              <w:jc w:val="center"/>
              <w:rPr>
                <w:rFonts w:hint="eastAsia" w:ascii="宋体" w:hAnsi="宋体" w:eastAsia="宋体" w:cs="Times New Roman"/>
                <w:sz w:val="22"/>
                <w:szCs w:val="22"/>
              </w:rPr>
            </w:pPr>
          </w:p>
        </w:tc>
        <w:tc>
          <w:tcPr>
            <w:tcW w:w="1692" w:type="pct"/>
            <w:noWrap w:val="0"/>
            <w:vAlign w:val="center"/>
          </w:tcPr>
          <w:p>
            <w:pPr>
              <w:jc w:val="center"/>
              <w:rPr>
                <w:rFonts w:hint="eastAsia" w:ascii="宋体" w:hAnsi="宋体" w:eastAsia="宋体" w:cs="Times New Roman"/>
                <w:sz w:val="22"/>
                <w:szCs w:val="22"/>
              </w:rPr>
            </w:pPr>
            <w:r>
              <w:rPr>
                <w:rFonts w:hint="eastAsia" w:ascii="宋体" w:hAnsi="宋体" w:eastAsia="宋体" w:cs="Times New Roman"/>
                <w:sz w:val="22"/>
                <w:szCs w:val="22"/>
              </w:rPr>
              <w:t>孝顺、曹宅、塘雅、澧浦、岭下、赤松、防汛</w:t>
            </w:r>
          </w:p>
        </w:tc>
        <w:tc>
          <w:tcPr>
            <w:tcW w:w="865" w:type="pct"/>
            <w:noWrap w:val="0"/>
            <w:vAlign w:val="center"/>
          </w:tcPr>
          <w:p>
            <w:pPr>
              <w:jc w:val="center"/>
              <w:rPr>
                <w:rFonts w:ascii="宋体" w:hAnsi="宋体" w:eastAsia="宋体" w:cs="Times New Roman"/>
                <w:sz w:val="22"/>
                <w:szCs w:val="22"/>
              </w:rPr>
            </w:pPr>
            <w:r>
              <w:rPr>
                <w:rFonts w:hint="eastAsia" w:ascii="宋体" w:hAnsi="宋体" w:eastAsia="宋体" w:cs="Times New Roman"/>
                <w:sz w:val="22"/>
                <w:szCs w:val="22"/>
              </w:rPr>
              <w:t>3895031.90元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9" w:type="pct"/>
            <w:shd w:val="clear" w:color="auto" w:fill="FFFFFF"/>
            <w:noWrap w:val="0"/>
            <w:vAlign w:val="center"/>
          </w:tcPr>
          <w:p>
            <w:pPr>
              <w:jc w:val="center"/>
              <w:rPr>
                <w:rFonts w:hint="eastAsia" w:ascii="宋体" w:hAnsi="宋体" w:eastAsia="宋体" w:cs="Times New Roman"/>
                <w:sz w:val="22"/>
                <w:szCs w:val="22"/>
              </w:rPr>
            </w:pPr>
            <w:r>
              <w:rPr>
                <w:rFonts w:hint="eastAsia" w:ascii="宋体" w:hAnsi="宋体" w:eastAsia="宋体" w:cs="Times New Roman"/>
                <w:sz w:val="22"/>
                <w:szCs w:val="22"/>
              </w:rPr>
              <w:t>三</w:t>
            </w:r>
          </w:p>
        </w:tc>
        <w:tc>
          <w:tcPr>
            <w:tcW w:w="1182" w:type="pct"/>
            <w:vMerge w:val="continue"/>
            <w:noWrap w:val="0"/>
            <w:vAlign w:val="center"/>
          </w:tcPr>
          <w:p>
            <w:pPr>
              <w:jc w:val="center"/>
              <w:rPr>
                <w:rFonts w:hint="eastAsia" w:ascii="宋体" w:hAnsi="宋体" w:eastAsia="宋体" w:cs="Times New Roman"/>
                <w:sz w:val="22"/>
                <w:szCs w:val="22"/>
              </w:rPr>
            </w:pPr>
          </w:p>
        </w:tc>
        <w:tc>
          <w:tcPr>
            <w:tcW w:w="952" w:type="pct"/>
            <w:vMerge w:val="continue"/>
            <w:noWrap w:val="0"/>
            <w:vAlign w:val="center"/>
          </w:tcPr>
          <w:p>
            <w:pPr>
              <w:jc w:val="center"/>
              <w:rPr>
                <w:rFonts w:hint="eastAsia" w:ascii="宋体" w:hAnsi="宋体" w:eastAsia="宋体" w:cs="Times New Roman"/>
                <w:sz w:val="22"/>
                <w:szCs w:val="22"/>
              </w:rPr>
            </w:pPr>
          </w:p>
        </w:tc>
        <w:tc>
          <w:tcPr>
            <w:tcW w:w="1692" w:type="pct"/>
            <w:noWrap w:val="0"/>
            <w:vAlign w:val="center"/>
          </w:tcPr>
          <w:p>
            <w:pPr>
              <w:jc w:val="center"/>
              <w:rPr>
                <w:rFonts w:ascii="宋体" w:hAnsi="宋体" w:eastAsia="宋体" w:cs="Times New Roman"/>
                <w:sz w:val="22"/>
                <w:szCs w:val="22"/>
              </w:rPr>
            </w:pPr>
            <w:r>
              <w:rPr>
                <w:rFonts w:hint="eastAsia" w:ascii="宋体" w:hAnsi="宋体" w:eastAsia="宋体" w:cs="Times New Roman"/>
                <w:sz w:val="22"/>
                <w:szCs w:val="22"/>
              </w:rPr>
              <w:t>行政执法局、文旅局、万豪酒店、嘉华酒店、赤山公园、亚运分村</w:t>
            </w:r>
          </w:p>
        </w:tc>
        <w:tc>
          <w:tcPr>
            <w:tcW w:w="865" w:type="pct"/>
            <w:noWrap w:val="0"/>
            <w:vAlign w:val="center"/>
          </w:tcPr>
          <w:p>
            <w:pPr>
              <w:jc w:val="center"/>
              <w:rPr>
                <w:rFonts w:ascii="宋体" w:hAnsi="宋体" w:eastAsia="宋体" w:cs="Times New Roman"/>
                <w:sz w:val="22"/>
                <w:szCs w:val="22"/>
              </w:rPr>
            </w:pPr>
            <w:r>
              <w:rPr>
                <w:rFonts w:hint="eastAsia" w:ascii="宋体" w:hAnsi="宋体" w:eastAsia="宋体" w:cs="Times New Roman"/>
                <w:sz w:val="22"/>
                <w:szCs w:val="22"/>
              </w:rPr>
              <w:t>3356200.00元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5"/>
            <w:shd w:val="clear" w:color="auto" w:fill="FFFFFF"/>
            <w:noWrap w:val="0"/>
            <w:vAlign w:val="center"/>
          </w:tcPr>
          <w:p>
            <w:pPr>
              <w:jc w:val="center"/>
              <w:rPr>
                <w:rFonts w:ascii="宋体" w:hAnsi="宋体" w:eastAsia="宋体" w:cs="Times New Roman"/>
                <w:sz w:val="22"/>
                <w:szCs w:val="22"/>
              </w:rPr>
            </w:pPr>
            <w:r>
              <w:rPr>
                <w:rFonts w:hint="eastAsia" w:ascii="宋体" w:hAnsi="宋体" w:eastAsia="宋体" w:cs="Times New Roman"/>
                <w:sz w:val="22"/>
                <w:szCs w:val="22"/>
              </w:rPr>
              <w:t>本项目兼投不兼中。本项目开标顺序标段二、标段三、标段一。</w:t>
            </w:r>
          </w:p>
        </w:tc>
      </w:tr>
    </w:tbl>
    <w:p>
      <w:pPr>
        <w:spacing w:line="360" w:lineRule="auto"/>
        <w:ind w:firstLine="540" w:firstLineChars="225"/>
        <w:rPr>
          <w:rFonts w:hint="eastAsia"/>
        </w:rPr>
      </w:pPr>
      <w:r>
        <w:t xml:space="preserve"> 合同履行期限：</w:t>
      </w:r>
      <w:r>
        <w:rPr>
          <w:rFonts w:hint="eastAsia"/>
        </w:rPr>
        <w:t>施工周期为2个月。9月底前完成施工和安装测试上线，试运行三个月，试运行期满后组织验收。</w:t>
      </w:r>
    </w:p>
    <w:p>
      <w:pPr>
        <w:spacing w:line="360" w:lineRule="auto"/>
        <w:ind w:firstLine="540" w:firstLineChars="225"/>
      </w:pPr>
      <w:r>
        <w:t>本项目接受联合体投标。</w:t>
      </w:r>
    </w:p>
    <w:p>
      <w:pPr>
        <w:pStyle w:val="24"/>
        <w:widowControl w:val="0"/>
        <w:adjustRightInd w:val="0"/>
        <w:snapToGrid w:val="0"/>
        <w:spacing w:before="0" w:beforeAutospacing="0" w:after="0" w:afterAutospacing="0" w:line="360" w:lineRule="auto"/>
        <w:ind w:firstLine="482" w:firstLineChars="200"/>
        <w:rPr>
          <w:rFonts w:ascii="Times New Roman" w:hAnsi="Times New Roman"/>
          <w:b/>
        </w:rPr>
      </w:pPr>
      <w:bookmarkStart w:id="20" w:name="_Toc28359080"/>
      <w:bookmarkStart w:id="21" w:name="_Toc35393791"/>
      <w:bookmarkStart w:id="22" w:name="_Toc35393622"/>
      <w:bookmarkStart w:id="23" w:name="_Toc28359003"/>
      <w:r>
        <w:rPr>
          <w:rFonts w:ascii="Times New Roman" w:hAnsi="Times New Roman"/>
          <w:b/>
        </w:rPr>
        <w:t>二、申请人的资格要求：</w:t>
      </w:r>
      <w:bookmarkEnd w:id="20"/>
      <w:bookmarkEnd w:id="21"/>
      <w:bookmarkEnd w:id="22"/>
      <w:bookmarkEnd w:id="23"/>
    </w:p>
    <w:p>
      <w:pPr>
        <w:spacing w:line="360" w:lineRule="auto"/>
        <w:ind w:firstLine="540" w:firstLineChars="225"/>
      </w:pPr>
      <w:bookmarkStart w:id="24" w:name="_Toc35393623"/>
      <w:bookmarkStart w:id="25" w:name="_Toc35393792"/>
      <w:r>
        <w:t>（一）满足《中华人民共和国政府采购法》第二十二条规定；</w:t>
      </w:r>
    </w:p>
    <w:p>
      <w:pPr>
        <w:spacing w:line="360" w:lineRule="auto"/>
        <w:ind w:firstLine="540" w:firstLineChars="225"/>
      </w:pPr>
      <w:r>
        <w:t>（二）截至投标截止时间前1个工作日17:00（北京时间），投标人未被列入“信用中国”网(</w:t>
      </w:r>
      <w:r>
        <w:fldChar w:fldCharType="begin"/>
      </w:r>
      <w:r>
        <w:instrText xml:space="preserve"> HYPERLINK "http://www.creditchina.gov.cn/" </w:instrText>
      </w:r>
      <w:r>
        <w:fldChar w:fldCharType="separate"/>
      </w:r>
      <w:r>
        <w:t>www.creditchina.gov.cn</w:t>
      </w:r>
      <w:r>
        <w:fldChar w:fldCharType="end"/>
      </w:r>
      <w:r>
        <w:t>)和“中国政府采购网”（www.ccgp.gov.cn）失信被执行人、重大税收违法案件当事人名单、政府采购严重违法失信行为记录名单的（由招标代理机构经办人和监督人员将查询网页打印保存）。</w:t>
      </w:r>
    </w:p>
    <w:p>
      <w:pPr>
        <w:spacing w:line="360" w:lineRule="auto"/>
        <w:ind w:firstLine="540" w:firstLineChars="225"/>
      </w:pPr>
      <w:r>
        <w:t>（三）落实政府采购政策需满足的资格要求：</w:t>
      </w:r>
      <w:r>
        <w:rPr>
          <w:rFonts w:hint="eastAsia"/>
        </w:rPr>
        <w:t>无</w:t>
      </w:r>
      <w:r>
        <w:t>。</w:t>
      </w:r>
    </w:p>
    <w:p>
      <w:pPr>
        <w:spacing w:line="360" w:lineRule="auto"/>
        <w:ind w:firstLine="540" w:firstLineChars="225"/>
      </w:pPr>
      <w:r>
        <w:t>（四）本项目的特定资格要求：无。</w:t>
      </w:r>
    </w:p>
    <w:p>
      <w:pPr>
        <w:spacing w:line="360" w:lineRule="auto"/>
        <w:ind w:firstLine="540" w:firstLineChars="225"/>
        <w:rPr>
          <w:rFonts w:hint="eastAsia"/>
        </w:rPr>
      </w:pPr>
      <w:r>
        <w:t>（五）</w:t>
      </w:r>
      <w:r>
        <w:rPr>
          <w:rFonts w:ascii="宋体" w:hAnsi="宋体"/>
        </w:rPr>
        <w:t>公益一类事业单位不属于政府购买服务的承接主体，不得参与承接政府购买服务（具体详见政府购买服务清单）。</w:t>
      </w:r>
    </w:p>
    <w:p>
      <w:pPr>
        <w:spacing w:line="360" w:lineRule="auto"/>
        <w:ind w:firstLine="540" w:firstLineChars="225"/>
      </w:pPr>
      <w:r>
        <w:rPr>
          <w:rFonts w:hint="eastAsia"/>
        </w:rPr>
        <w:t>（六）</w:t>
      </w:r>
      <w:r>
        <w:t>单位负责人为同一人或者存在直接控股、管理关系的不同供应商，不得参加同一合同项下的政府采购活动；为采购项目提供整体设计、规范编制或者项目管理、监理、检测等服务后不得再参加该采购项目的其他采购活动。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24"/>
        <w:widowControl w:val="0"/>
        <w:adjustRightInd w:val="0"/>
        <w:snapToGrid w:val="0"/>
        <w:spacing w:before="0" w:beforeAutospacing="0" w:after="0" w:afterAutospacing="0" w:line="360" w:lineRule="auto"/>
        <w:ind w:firstLine="482" w:firstLineChars="200"/>
        <w:rPr>
          <w:rFonts w:ascii="Times New Roman" w:hAnsi="Times New Roman"/>
          <w:b/>
        </w:rPr>
      </w:pPr>
      <w:r>
        <w:rPr>
          <w:rFonts w:ascii="Times New Roman" w:hAnsi="Times New Roman"/>
          <w:b/>
        </w:rPr>
        <w:t>三、获取招标文件</w:t>
      </w:r>
      <w:bookmarkEnd w:id="24"/>
      <w:bookmarkEnd w:id="25"/>
    </w:p>
    <w:p>
      <w:pPr>
        <w:spacing w:line="360" w:lineRule="auto"/>
        <w:ind w:firstLine="540" w:firstLineChars="225"/>
      </w:pPr>
      <w:bookmarkStart w:id="26" w:name="_Toc28359005"/>
      <w:bookmarkStart w:id="27" w:name="_Toc28359082"/>
      <w:bookmarkStart w:id="28" w:name="_Toc35393793"/>
      <w:bookmarkStart w:id="29" w:name="_Toc35393624"/>
      <w:r>
        <w:t>（一）时间：</w:t>
      </w:r>
      <w:r>
        <w:rPr>
          <w:b/>
          <w:u w:val="single"/>
        </w:rPr>
        <w:t>公告发布之日起至开标时间</w:t>
      </w:r>
      <w:r>
        <w:t>，每天上午08:30至12:00，下午14:00至17:00（北京时间，法定节假日除外）</w:t>
      </w:r>
    </w:p>
    <w:p>
      <w:pPr>
        <w:spacing w:line="360" w:lineRule="auto"/>
        <w:ind w:firstLine="540" w:firstLineChars="225"/>
      </w:pPr>
      <w:r>
        <w:t>（二）获取方式</w:t>
      </w:r>
    </w:p>
    <w:p>
      <w:pPr>
        <w:spacing w:line="360" w:lineRule="auto"/>
        <w:ind w:firstLine="540" w:firstLineChars="225"/>
      </w:pPr>
      <w:r>
        <w:t xml:space="preserve">1.地点（网址）：政采云平台（https://www.zcygov.cn/） </w:t>
      </w:r>
    </w:p>
    <w:p>
      <w:pPr>
        <w:spacing w:line="360" w:lineRule="auto"/>
        <w:ind w:firstLine="540" w:firstLineChars="225"/>
      </w:pPr>
      <w:r>
        <w:t>2.方式：供应商登录政采云平台https://www.zcygov.cn/在线申请获取采购文件（进入“项目采购”应用，在获取采购文件菜单中选择项目，申请获取采购文件）。</w:t>
      </w:r>
      <w:r>
        <w:rPr>
          <w:b/>
          <w:bCs/>
          <w:kern w:val="2"/>
        </w:rPr>
        <w:t>注：未按照规定方式获取采购文件的，不得对采购文件提起质疑投诉。在“投标人要求澄清时间”截止之后获取采购文件的潜在投标人如对采购文件有异议的，不予受理、答复。</w:t>
      </w:r>
    </w:p>
    <w:p>
      <w:pPr>
        <w:spacing w:line="360" w:lineRule="auto"/>
        <w:ind w:firstLine="540" w:firstLineChars="225"/>
      </w:pPr>
      <w:r>
        <w:t>（三）售价：无</w:t>
      </w:r>
    </w:p>
    <w:p>
      <w:pPr>
        <w:pStyle w:val="24"/>
        <w:widowControl w:val="0"/>
        <w:adjustRightInd w:val="0"/>
        <w:snapToGrid w:val="0"/>
        <w:spacing w:before="0" w:beforeAutospacing="0" w:after="0" w:afterAutospacing="0" w:line="360" w:lineRule="auto"/>
        <w:ind w:firstLine="482" w:firstLineChars="200"/>
        <w:rPr>
          <w:rFonts w:ascii="Times New Roman" w:hAnsi="Times New Roman"/>
          <w:b/>
        </w:rPr>
      </w:pPr>
      <w:r>
        <w:rPr>
          <w:rFonts w:ascii="Times New Roman" w:hAnsi="Times New Roman"/>
          <w:b/>
        </w:rPr>
        <w:t>四、提交投标文件</w:t>
      </w:r>
      <w:bookmarkEnd w:id="26"/>
      <w:bookmarkEnd w:id="27"/>
      <w:r>
        <w:rPr>
          <w:rFonts w:ascii="Times New Roman" w:hAnsi="Times New Roman"/>
          <w:b/>
        </w:rPr>
        <w:t>截止时间、开标时间和地点</w:t>
      </w:r>
      <w:bookmarkEnd w:id="28"/>
      <w:bookmarkEnd w:id="29"/>
    </w:p>
    <w:p>
      <w:pPr>
        <w:spacing w:line="360" w:lineRule="auto"/>
        <w:ind w:firstLine="540" w:firstLineChars="225"/>
      </w:pPr>
      <w:r>
        <w:t>提交投标文件截止时间：</w:t>
      </w:r>
      <w:r>
        <w:rPr>
          <w:u w:val="single"/>
        </w:rPr>
        <w:t>2022年</w:t>
      </w:r>
      <w:r>
        <w:rPr>
          <w:rFonts w:hint="eastAsia"/>
          <w:u w:val="single"/>
        </w:rPr>
        <w:t>8月11日09点30分</w:t>
      </w:r>
      <w:r>
        <w:t>（北京时间）</w:t>
      </w:r>
    </w:p>
    <w:p>
      <w:pPr>
        <w:spacing w:line="360" w:lineRule="auto"/>
        <w:ind w:firstLine="540" w:firstLineChars="225"/>
      </w:pPr>
      <w:r>
        <w:t>投标地点（网址）：政采云平台（https://www.zcygov.cn/）</w:t>
      </w:r>
    </w:p>
    <w:p>
      <w:pPr>
        <w:spacing w:line="360" w:lineRule="auto"/>
        <w:ind w:firstLine="540" w:firstLineChars="225"/>
        <w:rPr>
          <w:rFonts w:hint="eastAsia"/>
          <w:u w:val="single"/>
        </w:rPr>
      </w:pPr>
      <w:r>
        <w:t>开标时间：</w:t>
      </w:r>
      <w:r>
        <w:rPr>
          <w:u w:val="single"/>
        </w:rPr>
        <w:t>2022年</w:t>
      </w:r>
      <w:r>
        <w:rPr>
          <w:rFonts w:hint="eastAsia"/>
          <w:u w:val="single"/>
        </w:rPr>
        <w:t>8月11日09点30分</w:t>
      </w:r>
    </w:p>
    <w:p>
      <w:pPr>
        <w:spacing w:line="360" w:lineRule="auto"/>
        <w:ind w:firstLine="540" w:firstLineChars="225"/>
      </w:pPr>
      <w:r>
        <w:t>开标地点（网址）：</w:t>
      </w:r>
      <w:r>
        <w:rPr>
          <w:rFonts w:hint="eastAsia"/>
        </w:rPr>
        <w:t>金华市双龙南街858号财富大厦4楼评标8室</w:t>
      </w:r>
    </w:p>
    <w:p>
      <w:pPr>
        <w:pStyle w:val="24"/>
        <w:widowControl w:val="0"/>
        <w:adjustRightInd w:val="0"/>
        <w:snapToGrid w:val="0"/>
        <w:spacing w:before="0" w:beforeAutospacing="0" w:after="0" w:afterAutospacing="0" w:line="360" w:lineRule="auto"/>
        <w:ind w:firstLine="482" w:firstLineChars="200"/>
        <w:rPr>
          <w:rFonts w:ascii="Times New Roman" w:hAnsi="Times New Roman"/>
          <w:b/>
        </w:rPr>
      </w:pPr>
      <w:bookmarkStart w:id="30" w:name="_Toc28359084"/>
      <w:bookmarkStart w:id="31" w:name="_Toc35393794"/>
      <w:bookmarkStart w:id="32" w:name="_Toc35393625"/>
      <w:bookmarkStart w:id="33" w:name="_Toc28359007"/>
      <w:r>
        <w:rPr>
          <w:rFonts w:ascii="Times New Roman" w:hAnsi="Times New Roman"/>
          <w:b/>
        </w:rPr>
        <w:t>五、公告期限</w:t>
      </w:r>
      <w:bookmarkEnd w:id="30"/>
      <w:bookmarkEnd w:id="31"/>
      <w:bookmarkEnd w:id="32"/>
      <w:bookmarkEnd w:id="33"/>
    </w:p>
    <w:p>
      <w:pPr>
        <w:spacing w:line="360" w:lineRule="auto"/>
        <w:ind w:firstLine="540" w:firstLineChars="225"/>
      </w:pPr>
      <w:r>
        <w:t>自本公告发布之日起5个工作日。</w:t>
      </w:r>
    </w:p>
    <w:p>
      <w:pPr>
        <w:pStyle w:val="24"/>
        <w:widowControl w:val="0"/>
        <w:adjustRightInd w:val="0"/>
        <w:snapToGrid w:val="0"/>
        <w:spacing w:before="0" w:beforeAutospacing="0" w:after="0" w:afterAutospacing="0" w:line="360" w:lineRule="auto"/>
        <w:ind w:firstLine="482" w:firstLineChars="200"/>
        <w:rPr>
          <w:rFonts w:ascii="Times New Roman" w:hAnsi="Times New Roman"/>
          <w:b/>
        </w:rPr>
      </w:pPr>
      <w:bookmarkStart w:id="34" w:name="_Toc35393626"/>
      <w:bookmarkStart w:id="35" w:name="_Toc35393795"/>
      <w:r>
        <w:rPr>
          <w:rFonts w:ascii="Times New Roman" w:hAnsi="Times New Roman"/>
          <w:b/>
        </w:rPr>
        <w:t>六、其他补充事宜</w:t>
      </w:r>
      <w:bookmarkEnd w:id="34"/>
      <w:bookmarkEnd w:id="35"/>
    </w:p>
    <w:p>
      <w:pPr>
        <w:widowControl w:val="0"/>
        <w:spacing w:line="360" w:lineRule="auto"/>
        <w:ind w:firstLine="480" w:firstLineChars="200"/>
        <w:jc w:val="both"/>
      </w:pPr>
      <w:r>
        <w:rPr>
          <w:rFonts w:hint="eastAsia"/>
        </w:rPr>
        <w:t>（一）本项目通过浙江政府采购网政府采购云平台在线开标，供应商无需到开标现场，但须准时在线参加，直至评审结束。</w:t>
      </w:r>
    </w:p>
    <w:p>
      <w:pPr>
        <w:widowControl w:val="0"/>
        <w:spacing w:line="360" w:lineRule="auto"/>
        <w:ind w:firstLine="480" w:firstLineChars="200"/>
        <w:jc w:val="both"/>
        <w:rPr>
          <w:kern w:val="2"/>
        </w:rPr>
      </w:pPr>
      <w:r>
        <w:rPr>
          <w:kern w:val="2"/>
        </w:rPr>
        <w:t>（</w:t>
      </w:r>
      <w:r>
        <w:rPr>
          <w:rFonts w:hint="eastAsia"/>
          <w:kern w:val="2"/>
        </w:rPr>
        <w:t>二</w:t>
      </w:r>
      <w:r>
        <w:rPr>
          <w:kern w:val="2"/>
        </w:rPr>
        <w:t>）落实</w:t>
      </w:r>
      <w:r>
        <w:t>政府采购优惠政策：对符合财政扶持政策的中小企业（小型、微型）、监狱企业、残疾人福利性单位给予价格优惠扶持；优先执行节能产品政府强制采购和优先采购政策；优先执行环境标志产品政府优先采购政策。</w:t>
      </w:r>
    </w:p>
    <w:p>
      <w:pPr>
        <w:widowControl w:val="0"/>
        <w:spacing w:line="360" w:lineRule="auto"/>
        <w:ind w:firstLine="480" w:firstLineChars="200"/>
        <w:jc w:val="both"/>
        <w:rPr>
          <w:kern w:val="2"/>
        </w:rPr>
      </w:pPr>
      <w:r>
        <w:rPr>
          <w:kern w:val="2"/>
        </w:rPr>
        <w:t>（</w:t>
      </w:r>
      <w:r>
        <w:rPr>
          <w:rFonts w:hint="eastAsia"/>
          <w:kern w:val="2"/>
        </w:rPr>
        <w:t>三</w:t>
      </w:r>
      <w:r>
        <w:rPr>
          <w:kern w:val="2"/>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kern w:val="2"/>
        </w:rPr>
      </w:pPr>
      <w:r>
        <w:rPr>
          <w:kern w:val="2"/>
        </w:rPr>
        <w:t>（</w:t>
      </w:r>
      <w:r>
        <w:rPr>
          <w:rFonts w:hint="eastAsia"/>
          <w:kern w:val="2"/>
        </w:rPr>
        <w:t>四</w:t>
      </w:r>
      <w:r>
        <w:rPr>
          <w:kern w:val="2"/>
        </w:rPr>
        <w:t>）</w:t>
      </w:r>
      <w:bookmarkStart w:id="36" w:name="_Toc28359085"/>
      <w:bookmarkStart w:id="37" w:name="_Toc35393796"/>
      <w:bookmarkStart w:id="38" w:name="_Toc28359008"/>
      <w:bookmarkStart w:id="39" w:name="_Toc35393627"/>
      <w:r>
        <w:rPr>
          <w:kern w:val="2"/>
        </w:rPr>
        <w:t>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采购文件菜单中选择项目，获取招标文件；4.投标文件的制作：在“政采云电子交易客户端”中完成“填写基本信息”、“导入投标文件”、“标书关联”、“标书检查”、“电子签名”、“生成电子标书”等操作；5.采购人、采购代理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8.投标文件的传输递交：投标人在投标截止时间前将加密的投标文件上传至政府采购云平台，还可以在投标截止时间前递交备份投标文件1份。备份投标文件的制作</w:t>
      </w:r>
      <w:r>
        <w:rPr>
          <w:rFonts w:hint="eastAsia"/>
          <w:kern w:val="2"/>
        </w:rPr>
        <w:t>递交</w:t>
      </w:r>
      <w:r>
        <w:rPr>
          <w:kern w:val="2"/>
        </w:rPr>
        <w:t>详见招标文件</w:t>
      </w:r>
      <w:r>
        <w:rPr>
          <w:rFonts w:hint="eastAsia"/>
          <w:kern w:val="2"/>
        </w:rPr>
        <w:t>前附表</w:t>
      </w:r>
      <w:r>
        <w:rPr>
          <w:kern w:val="2"/>
        </w:rPr>
        <w:t>；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pPr>
        <w:spacing w:line="360" w:lineRule="auto"/>
        <w:ind w:firstLine="480" w:firstLineChars="200"/>
        <w:rPr>
          <w:kern w:val="2"/>
        </w:rPr>
      </w:pPr>
      <w:r>
        <w:rPr>
          <w:kern w:val="2"/>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2" w:firstLineChars="200"/>
        <w:rPr>
          <w:kern w:val="2"/>
        </w:rPr>
      </w:pPr>
      <w:r>
        <w:rPr>
          <w:b/>
          <w:bCs/>
          <w:kern w:val="2"/>
        </w:rPr>
        <w:t>CA问题联系电话（人工）：汇信CA 400-888-4636；天谷CA 400-087-8198</w:t>
      </w:r>
      <w:r>
        <w:rPr>
          <w:kern w:val="2"/>
        </w:rPr>
        <w:t>。</w:t>
      </w:r>
    </w:p>
    <w:p>
      <w:pPr>
        <w:widowControl w:val="0"/>
        <w:spacing w:line="360" w:lineRule="auto"/>
        <w:ind w:firstLine="482" w:firstLineChars="200"/>
        <w:jc w:val="both"/>
        <w:rPr>
          <w:b/>
        </w:rPr>
      </w:pPr>
      <w:r>
        <w:rPr>
          <w:b/>
        </w:rPr>
        <w:t>七、对本次招标提出询问，请按以下方式联系。</w:t>
      </w:r>
      <w:bookmarkEnd w:id="36"/>
      <w:bookmarkEnd w:id="37"/>
      <w:bookmarkEnd w:id="38"/>
      <w:bookmarkEnd w:id="39"/>
    </w:p>
    <w:p>
      <w:pPr>
        <w:widowControl w:val="0"/>
        <w:adjustRightInd w:val="0"/>
        <w:snapToGrid w:val="0"/>
        <w:spacing w:line="360" w:lineRule="auto"/>
        <w:ind w:firstLine="480" w:firstLineChars="200"/>
      </w:pPr>
      <w:r>
        <w:t>（一）采购人信息</w:t>
      </w:r>
    </w:p>
    <w:p>
      <w:pPr>
        <w:widowControl w:val="0"/>
        <w:adjustRightInd w:val="0"/>
        <w:snapToGrid w:val="0"/>
        <w:spacing w:line="360" w:lineRule="auto"/>
        <w:ind w:firstLine="480" w:firstLineChars="200"/>
        <w:rPr>
          <w:kern w:val="2"/>
        </w:rPr>
      </w:pPr>
      <w:r>
        <w:rPr>
          <w:kern w:val="2"/>
        </w:rPr>
        <w:t>名称：金华市公安局金东分局</w:t>
      </w:r>
    </w:p>
    <w:p>
      <w:pPr>
        <w:widowControl w:val="0"/>
        <w:adjustRightInd w:val="0"/>
        <w:snapToGrid w:val="0"/>
        <w:spacing w:line="360" w:lineRule="auto"/>
        <w:ind w:firstLine="480" w:firstLineChars="200"/>
        <w:rPr>
          <w:kern w:val="2"/>
        </w:rPr>
      </w:pPr>
      <w:r>
        <w:rPr>
          <w:kern w:val="2"/>
        </w:rPr>
        <w:t>地址：</w:t>
      </w:r>
      <w:r>
        <w:rPr>
          <w:rFonts w:hint="eastAsia"/>
          <w:kern w:val="2"/>
        </w:rPr>
        <w:t>金华市金东区李渔东路1996号</w:t>
      </w:r>
    </w:p>
    <w:p>
      <w:pPr>
        <w:widowControl w:val="0"/>
        <w:adjustRightInd w:val="0"/>
        <w:snapToGrid w:val="0"/>
        <w:spacing w:line="360" w:lineRule="auto"/>
        <w:ind w:firstLine="480" w:firstLineChars="200"/>
        <w:rPr>
          <w:kern w:val="2"/>
        </w:rPr>
      </w:pPr>
      <w:r>
        <w:rPr>
          <w:kern w:val="2"/>
        </w:rPr>
        <w:t>联系人：</w:t>
      </w:r>
      <w:r>
        <w:rPr>
          <w:rFonts w:hint="eastAsia"/>
          <w:kern w:val="2"/>
        </w:rPr>
        <w:t xml:space="preserve">陈警官  </w:t>
      </w:r>
      <w:r>
        <w:rPr>
          <w:kern w:val="2"/>
        </w:rPr>
        <w:t xml:space="preserve">          联系电话：0579-82190315  </w:t>
      </w:r>
    </w:p>
    <w:p>
      <w:pPr>
        <w:widowControl w:val="0"/>
        <w:adjustRightInd w:val="0"/>
        <w:snapToGrid w:val="0"/>
        <w:spacing w:line="360" w:lineRule="auto"/>
        <w:ind w:firstLine="480" w:firstLineChars="200"/>
      </w:pPr>
      <w:r>
        <w:rPr>
          <w:kern w:val="2"/>
        </w:rPr>
        <w:t>（二）采购代理机构信息</w:t>
      </w:r>
    </w:p>
    <w:p>
      <w:pPr>
        <w:widowControl w:val="0"/>
        <w:adjustRightInd w:val="0"/>
        <w:snapToGrid w:val="0"/>
        <w:spacing w:line="360" w:lineRule="auto"/>
        <w:ind w:firstLine="480" w:firstLineChars="200"/>
      </w:pPr>
      <w:r>
        <w:rPr>
          <w:kern w:val="2"/>
        </w:rPr>
        <w:t>名称：浙江金华阳光招标代理有限公司</w:t>
      </w:r>
    </w:p>
    <w:p>
      <w:pPr>
        <w:widowControl w:val="0"/>
        <w:adjustRightInd w:val="0"/>
        <w:snapToGrid w:val="0"/>
        <w:spacing w:line="360" w:lineRule="auto"/>
        <w:ind w:firstLine="480" w:firstLineChars="200"/>
      </w:pPr>
      <w:r>
        <w:rPr>
          <w:kern w:val="2"/>
        </w:rPr>
        <w:t>地　址：金华市婺城区义乌街1626号</w:t>
      </w:r>
    </w:p>
    <w:p>
      <w:pPr>
        <w:widowControl w:val="0"/>
        <w:adjustRightInd w:val="0"/>
        <w:snapToGrid w:val="0"/>
        <w:spacing w:line="360" w:lineRule="auto"/>
        <w:ind w:firstLine="480" w:firstLineChars="200"/>
        <w:rPr>
          <w:kern w:val="2"/>
        </w:rPr>
      </w:pPr>
      <w:r>
        <w:rPr>
          <w:rFonts w:hint="eastAsia"/>
          <w:kern w:val="2"/>
        </w:rPr>
        <w:t>项目联系人：张</w:t>
      </w:r>
      <w:r>
        <w:t>女士</w:t>
      </w:r>
      <w:r>
        <w:rPr>
          <w:rFonts w:hint="eastAsia"/>
        </w:rPr>
        <w:t xml:space="preserve"> </w:t>
      </w:r>
      <w:r>
        <w:t xml:space="preserve">  谢先生</w:t>
      </w:r>
    </w:p>
    <w:p>
      <w:pPr>
        <w:widowControl w:val="0"/>
        <w:adjustRightInd w:val="0"/>
        <w:snapToGrid w:val="0"/>
        <w:spacing w:line="360" w:lineRule="auto"/>
        <w:ind w:firstLine="480" w:firstLineChars="200"/>
        <w:rPr>
          <w:kern w:val="2"/>
        </w:rPr>
      </w:pPr>
      <w:r>
        <w:rPr>
          <w:kern w:val="2"/>
        </w:rPr>
        <w:t>联系方式：</w:t>
      </w:r>
      <w:bookmarkStart w:id="40" w:name="_Toc28359087"/>
      <w:bookmarkStart w:id="41" w:name="_Toc28359010"/>
      <w:r>
        <w:rPr>
          <w:kern w:val="2"/>
        </w:rPr>
        <w:t xml:space="preserve">0579- </w:t>
      </w:r>
      <w:r>
        <w:rPr>
          <w:rFonts w:hint="eastAsia"/>
          <w:kern w:val="2"/>
        </w:rPr>
        <w:t>83182137</w:t>
      </w:r>
    </w:p>
    <w:p>
      <w:pPr>
        <w:widowControl w:val="0"/>
        <w:adjustRightInd w:val="0"/>
        <w:snapToGrid w:val="0"/>
        <w:spacing w:line="360" w:lineRule="auto"/>
        <w:ind w:firstLine="480" w:firstLineChars="200"/>
      </w:pPr>
      <w:r>
        <w:rPr>
          <w:rFonts w:hint="eastAsia"/>
        </w:rPr>
        <w:t>项目质疑联系人：包女士</w:t>
      </w:r>
    </w:p>
    <w:p>
      <w:pPr>
        <w:widowControl w:val="0"/>
        <w:adjustRightInd w:val="0"/>
        <w:snapToGrid w:val="0"/>
        <w:spacing w:line="360" w:lineRule="auto"/>
        <w:ind w:firstLine="480" w:firstLineChars="200"/>
        <w:rPr>
          <w:kern w:val="2"/>
        </w:rPr>
      </w:pPr>
      <w:r>
        <w:rPr>
          <w:kern w:val="2"/>
        </w:rPr>
        <w:t>联系方式：0579- 83180811</w:t>
      </w:r>
      <w:bookmarkEnd w:id="40"/>
      <w:bookmarkEnd w:id="41"/>
    </w:p>
    <w:p>
      <w:pPr>
        <w:widowControl w:val="0"/>
        <w:adjustRightInd w:val="0"/>
        <w:snapToGrid w:val="0"/>
        <w:spacing w:line="360" w:lineRule="auto"/>
        <w:ind w:firstLine="480" w:firstLineChars="200"/>
        <w:rPr>
          <w:kern w:val="2"/>
        </w:rPr>
      </w:pPr>
      <w:r>
        <w:t>（</w:t>
      </w:r>
      <w:r>
        <w:rPr>
          <w:rFonts w:hint="eastAsia"/>
        </w:rPr>
        <w:t>三</w:t>
      </w:r>
      <w:r>
        <w:t>）政府采购行政监管及投诉受理部门：金华市金东区财政局政府采购监管科</w:t>
      </w:r>
    </w:p>
    <w:p>
      <w:pPr>
        <w:widowControl w:val="0"/>
        <w:adjustRightInd w:val="0"/>
        <w:snapToGrid w:val="0"/>
        <w:spacing w:line="360" w:lineRule="auto"/>
        <w:ind w:firstLine="480" w:firstLineChars="200"/>
      </w:pPr>
      <w:r>
        <w:t>联系人：</w:t>
      </w:r>
      <w:r>
        <w:rPr>
          <w:rFonts w:hint="eastAsia"/>
        </w:rPr>
        <w:t>俞老师</w:t>
      </w:r>
    </w:p>
    <w:p>
      <w:pPr>
        <w:widowControl w:val="0"/>
        <w:adjustRightInd w:val="0"/>
        <w:snapToGrid w:val="0"/>
        <w:spacing w:line="360" w:lineRule="auto"/>
        <w:ind w:firstLine="480" w:firstLineChars="200"/>
        <w:rPr>
          <w:rFonts w:hint="eastAsia" w:ascii="宋体" w:hAnsi="宋体"/>
        </w:rPr>
        <w:sectPr>
          <w:pgSz w:w="11906" w:h="16838"/>
          <w:pgMar w:top="1258" w:right="1286" w:bottom="1361" w:left="1620" w:header="709" w:footer="971" w:gutter="0"/>
          <w:cols w:space="720" w:num="1"/>
          <w:docGrid w:linePitch="360" w:charSpace="0"/>
        </w:sectPr>
      </w:pPr>
      <w:r>
        <w:t>联系电话：0579- 82171621</w:t>
      </w:r>
    </w:p>
    <w:p>
      <w:pPr>
        <w:pStyle w:val="2"/>
        <w:spacing w:before="120" w:after="240" w:line="240" w:lineRule="auto"/>
        <w:jc w:val="center"/>
        <w:rPr>
          <w:rFonts w:ascii="宋体" w:hAnsi="宋体"/>
        </w:rPr>
      </w:pPr>
      <w:bookmarkStart w:id="42" w:name="_Toc93668160"/>
      <w:bookmarkStart w:id="43" w:name="_Toc39239704"/>
      <w:r>
        <w:rPr>
          <w:rFonts w:ascii="宋体" w:hAnsi="宋体"/>
        </w:rPr>
        <w:t>第</w:t>
      </w:r>
      <w:r>
        <w:rPr>
          <w:rFonts w:hint="eastAsia" w:ascii="宋体" w:hAnsi="宋体"/>
        </w:rPr>
        <w:t>二</w:t>
      </w:r>
      <w:r>
        <w:rPr>
          <w:rFonts w:ascii="宋体" w:hAnsi="宋体"/>
        </w:rPr>
        <w:t>章</w:t>
      </w:r>
      <w:r>
        <w:rPr>
          <w:rFonts w:hint="eastAsia" w:ascii="宋体" w:hAnsi="宋体"/>
        </w:rPr>
        <w:t xml:space="preserve">  </w:t>
      </w:r>
      <w:r>
        <w:rPr>
          <w:rFonts w:ascii="宋体" w:hAnsi="宋体"/>
        </w:rPr>
        <w:t>前附表</w:t>
      </w:r>
      <w:bookmarkEnd w:id="42"/>
    </w:p>
    <w:tbl>
      <w:tblPr>
        <w:tblStyle w:val="43"/>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076"/>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13" w:type="dxa"/>
            <w:noWrap w:val="0"/>
            <w:vAlign w:val="center"/>
          </w:tcPr>
          <w:p>
            <w:pPr>
              <w:pStyle w:val="24"/>
              <w:widowControl w:val="0"/>
              <w:adjustRightInd w:val="0"/>
              <w:snapToGrid w:val="0"/>
              <w:spacing w:before="120" w:beforeLines="50" w:after="120" w:afterLines="50" w:line="276" w:lineRule="auto"/>
              <w:jc w:val="center"/>
              <w:rPr>
                <w:rFonts w:ascii="Times New Roman" w:hAnsi="Times New Roman" w:eastAsia="宋体" w:cs="Times New Roman"/>
              </w:rPr>
            </w:pPr>
            <w:r>
              <w:rPr>
                <w:rFonts w:ascii="Times New Roman" w:hAnsi="Times New Roman" w:eastAsia="宋体" w:cs="Times New Roman"/>
              </w:rPr>
              <w:t>序号</w:t>
            </w:r>
          </w:p>
        </w:tc>
        <w:tc>
          <w:tcPr>
            <w:tcW w:w="2076" w:type="dxa"/>
            <w:noWrap w:val="0"/>
            <w:vAlign w:val="center"/>
          </w:tcPr>
          <w:p>
            <w:pPr>
              <w:pStyle w:val="24"/>
              <w:widowControl w:val="0"/>
              <w:adjustRightInd w:val="0"/>
              <w:snapToGrid w:val="0"/>
              <w:spacing w:before="120" w:beforeLines="50" w:after="120" w:afterLines="50" w:line="276" w:lineRule="auto"/>
              <w:jc w:val="center"/>
              <w:rPr>
                <w:rFonts w:ascii="Times New Roman" w:hAnsi="Times New Roman" w:eastAsia="宋体" w:cs="Times New Roman"/>
              </w:rPr>
            </w:pPr>
            <w:r>
              <w:rPr>
                <w:rFonts w:ascii="Times New Roman" w:hAnsi="Times New Roman" w:eastAsia="宋体" w:cs="Times New Roman"/>
              </w:rPr>
              <w:t>事项</w:t>
            </w:r>
          </w:p>
        </w:tc>
        <w:tc>
          <w:tcPr>
            <w:tcW w:w="7035" w:type="dxa"/>
            <w:noWrap w:val="0"/>
            <w:vAlign w:val="center"/>
          </w:tcPr>
          <w:p>
            <w:pPr>
              <w:pStyle w:val="24"/>
              <w:widowControl w:val="0"/>
              <w:adjustRightInd w:val="0"/>
              <w:snapToGrid w:val="0"/>
              <w:spacing w:before="120" w:beforeLines="50" w:after="120" w:afterLines="50" w:line="276" w:lineRule="auto"/>
              <w:jc w:val="center"/>
              <w:rPr>
                <w:rFonts w:ascii="Times New Roman" w:hAnsi="Times New Roman" w:eastAsia="宋体" w:cs="Times New Roman"/>
              </w:rPr>
            </w:pPr>
            <w:r>
              <w:rPr>
                <w:rFonts w:ascii="Times New Roman" w:hAnsi="Times New Roman" w:eastAsia="宋体" w:cs="Times New Roma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3" w:type="dxa"/>
            <w:noWrap w:val="0"/>
            <w:vAlign w:val="center"/>
          </w:tcPr>
          <w:p>
            <w:pPr>
              <w:pStyle w:val="106"/>
              <w:adjustRightInd w:val="0"/>
              <w:snapToGrid w:val="0"/>
              <w:spacing w:before="120" w:beforeLines="50" w:after="120" w:afterLines="50" w:line="276" w:lineRule="auto"/>
              <w:jc w:val="center"/>
              <w:rPr>
                <w:kern w:val="0"/>
                <w:sz w:val="24"/>
              </w:rPr>
            </w:pPr>
            <w:r>
              <w:rPr>
                <w:kern w:val="0"/>
                <w:sz w:val="24"/>
              </w:rPr>
              <w:t>1</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rPr>
            </w:pPr>
            <w:r>
              <w:rPr>
                <w:rFonts w:ascii="Times New Roman" w:hAnsi="Times New Roman" w:eastAsia="宋体" w:cs="Times New Roman"/>
              </w:rPr>
              <w:t>报价要求</w:t>
            </w:r>
          </w:p>
        </w:tc>
        <w:tc>
          <w:tcPr>
            <w:tcW w:w="7035" w:type="dxa"/>
            <w:noWrap w:val="0"/>
            <w:vAlign w:val="center"/>
          </w:tcPr>
          <w:p>
            <w:pPr>
              <w:snapToGrid w:val="0"/>
              <w:spacing w:line="276" w:lineRule="auto"/>
              <w:rPr>
                <w:rFonts w:ascii="Times New Roman" w:hAnsi="Times New Roman" w:eastAsia="宋体" w:cs="Times New Roman"/>
                <w:b/>
                <w:lang w:val="zh-CN"/>
              </w:rPr>
            </w:pPr>
            <w:r>
              <w:rPr>
                <w:rFonts w:ascii="Times New Roman" w:hAnsi="Times New Roman" w:eastAsia="宋体" w:cs="Times New Roman"/>
                <w:lang w:val="zh-CN"/>
              </w:rPr>
              <w:t>有关本项目实施所需的所有费用（含税费）均计入报价。招标文件未列明，而投标人认为必需的费用也需列入报价。</w:t>
            </w:r>
          </w:p>
          <w:p>
            <w:pPr>
              <w:snapToGrid w:val="0"/>
              <w:spacing w:line="276" w:lineRule="auto"/>
              <w:rPr>
                <w:rFonts w:ascii="Times New Roman" w:hAnsi="Times New Roman" w:eastAsia="宋体" w:cs="Times New Roman"/>
              </w:rPr>
            </w:pPr>
            <w:r>
              <w:rPr>
                <w:rFonts w:ascii="Times New Roman" w:hAnsi="Times New Roman" w:eastAsia="宋体" w:cs="Times New Roman"/>
                <w:lang w:val="zh-CN"/>
              </w:rPr>
              <w:t>投标文件中价格全部采用人民币报价，</w:t>
            </w:r>
            <w:r>
              <w:rPr>
                <w:rFonts w:ascii="Times New Roman" w:hAnsi="Times New Roman" w:eastAsia="宋体" w:cs="Times New Roman"/>
              </w:rPr>
              <w:t>最多保留到小数点后2位。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3" w:type="dxa"/>
            <w:noWrap w:val="0"/>
            <w:vAlign w:val="center"/>
          </w:tcPr>
          <w:p>
            <w:pPr>
              <w:pStyle w:val="106"/>
              <w:adjustRightInd w:val="0"/>
              <w:snapToGrid w:val="0"/>
              <w:spacing w:before="120" w:beforeLines="50" w:after="120" w:afterLines="50" w:line="276" w:lineRule="auto"/>
              <w:jc w:val="center"/>
              <w:rPr>
                <w:kern w:val="0"/>
                <w:sz w:val="24"/>
              </w:rPr>
            </w:pPr>
            <w:r>
              <w:rPr>
                <w:kern w:val="0"/>
                <w:sz w:val="24"/>
              </w:rPr>
              <w:t>2</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rPr>
            </w:pPr>
            <w:r>
              <w:rPr>
                <w:rFonts w:ascii="Times New Roman" w:hAnsi="Times New Roman" w:eastAsia="宋体" w:cs="Times New Roman"/>
              </w:rPr>
              <w:t>中标服务费</w:t>
            </w:r>
          </w:p>
        </w:tc>
        <w:tc>
          <w:tcPr>
            <w:tcW w:w="7035" w:type="dxa"/>
            <w:noWrap w:val="0"/>
            <w:vAlign w:val="center"/>
          </w:tcPr>
          <w:p>
            <w:pPr>
              <w:widowControl w:val="0"/>
              <w:adjustRightInd w:val="0"/>
              <w:snapToGrid w:val="0"/>
              <w:spacing w:line="276" w:lineRule="auto"/>
              <w:rPr>
                <w:rFonts w:ascii="Times New Roman" w:hAnsi="Times New Roman" w:eastAsia="宋体" w:cs="Times New Roman"/>
              </w:rPr>
            </w:pPr>
            <w:r>
              <w:rPr>
                <w:rFonts w:hint="eastAsia" w:ascii="Times New Roman" w:hAnsi="Times New Roman" w:eastAsia="宋体" w:cs="Times New Roman"/>
                <w:b/>
              </w:rPr>
              <w:t>各标段</w:t>
            </w:r>
            <w:r>
              <w:rPr>
                <w:rFonts w:ascii="Times New Roman" w:hAnsi="Times New Roman" w:eastAsia="宋体" w:cs="Times New Roman"/>
                <w:b/>
              </w:rPr>
              <w:t>投标人取得中标资格后，须按</w:t>
            </w:r>
            <w:r>
              <w:rPr>
                <w:rFonts w:hint="eastAsia" w:ascii="Times New Roman" w:hAnsi="Times New Roman" w:eastAsia="宋体" w:cs="Times New Roman"/>
                <w:b/>
              </w:rPr>
              <w:t>合同金额</w:t>
            </w:r>
            <w:r>
              <w:rPr>
                <w:rFonts w:ascii="Times New Roman" w:hAnsi="Times New Roman" w:eastAsia="宋体" w:cs="Times New Roman"/>
                <w:b/>
              </w:rPr>
              <w:t>计收中标服务费</w:t>
            </w:r>
            <w:r>
              <w:rPr>
                <w:rFonts w:hint="eastAsia" w:ascii="Times New Roman" w:hAnsi="Times New Roman" w:eastAsia="宋体" w:cs="Times New Roman"/>
                <w:b/>
              </w:rPr>
              <w:t>（100万元以内按1.2%计取，100-500万元部分按0.64%计取）</w:t>
            </w:r>
            <w:r>
              <w:rPr>
                <w:rFonts w:ascii="Times New Roman" w:hAnsi="Times New Roman" w:eastAsia="宋体" w:cs="Times New Roman"/>
                <w:b/>
              </w:rPr>
              <w:t>，中标人在领取中标通知书前须支付至招标代理公司。</w:t>
            </w:r>
            <w:r>
              <w:rPr>
                <w:rFonts w:ascii="Times New Roman" w:hAnsi="Times New Roman" w:eastAsia="宋体" w:cs="Times New Roman"/>
              </w:rPr>
              <w:t>转账至以下账户：</w:t>
            </w:r>
          </w:p>
          <w:p>
            <w:pPr>
              <w:widowControl w:val="0"/>
              <w:adjustRightInd w:val="0"/>
              <w:snapToGrid w:val="0"/>
              <w:spacing w:line="276" w:lineRule="auto"/>
              <w:rPr>
                <w:rFonts w:ascii="Times New Roman" w:hAnsi="Times New Roman" w:eastAsia="宋体" w:cs="Times New Roman"/>
              </w:rPr>
            </w:pPr>
            <w:r>
              <w:rPr>
                <w:rFonts w:ascii="Times New Roman" w:hAnsi="Times New Roman" w:eastAsia="宋体" w:cs="Times New Roman"/>
              </w:rPr>
              <w:t>户    名：浙江金华阳光招标代理有限公司</w:t>
            </w:r>
          </w:p>
          <w:p>
            <w:pPr>
              <w:widowControl w:val="0"/>
              <w:adjustRightInd w:val="0"/>
              <w:snapToGrid w:val="0"/>
              <w:spacing w:line="276" w:lineRule="auto"/>
              <w:rPr>
                <w:rFonts w:ascii="Times New Roman" w:hAnsi="Times New Roman" w:eastAsia="宋体" w:cs="Times New Roman"/>
              </w:rPr>
            </w:pPr>
            <w:r>
              <w:rPr>
                <w:rFonts w:ascii="Times New Roman" w:hAnsi="Times New Roman" w:eastAsia="宋体" w:cs="Times New Roman"/>
              </w:rPr>
              <w:t>开户银行：金华银行文创支行</w:t>
            </w:r>
          </w:p>
          <w:p>
            <w:pPr>
              <w:widowControl w:val="0"/>
              <w:adjustRightInd w:val="0"/>
              <w:snapToGrid w:val="0"/>
              <w:spacing w:line="276" w:lineRule="auto"/>
              <w:rPr>
                <w:rFonts w:ascii="Times New Roman" w:hAnsi="Times New Roman" w:eastAsia="宋体" w:cs="Times New Roman"/>
              </w:rPr>
            </w:pPr>
            <w:r>
              <w:rPr>
                <w:rFonts w:ascii="Times New Roman" w:hAnsi="Times New Roman" w:eastAsia="宋体" w:cs="Times New Roman"/>
              </w:rPr>
              <w:t>账    号：1306226200000168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3" w:type="dxa"/>
            <w:noWrap w:val="0"/>
            <w:vAlign w:val="center"/>
          </w:tcPr>
          <w:p>
            <w:pPr>
              <w:pStyle w:val="106"/>
              <w:adjustRightInd w:val="0"/>
              <w:snapToGrid w:val="0"/>
              <w:spacing w:before="120" w:beforeLines="50" w:after="120" w:afterLines="50" w:line="276" w:lineRule="auto"/>
              <w:jc w:val="center"/>
              <w:rPr>
                <w:kern w:val="0"/>
                <w:sz w:val="24"/>
              </w:rPr>
            </w:pPr>
            <w:r>
              <w:rPr>
                <w:rFonts w:hint="eastAsia"/>
                <w:kern w:val="0"/>
                <w:sz w:val="24"/>
              </w:rPr>
              <w:t>3</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rPr>
            </w:pPr>
            <w:r>
              <w:rPr>
                <w:rFonts w:ascii="Times New Roman" w:hAnsi="Times New Roman" w:eastAsia="宋体" w:cs="Times New Roman"/>
              </w:rPr>
              <w:t>履约保证金</w:t>
            </w:r>
          </w:p>
        </w:tc>
        <w:tc>
          <w:tcPr>
            <w:tcW w:w="7035" w:type="dxa"/>
            <w:noWrap w:val="0"/>
            <w:vAlign w:val="center"/>
          </w:tcPr>
          <w:p>
            <w:pPr>
              <w:widowControl w:val="0"/>
              <w:adjustRightInd w:val="0"/>
              <w:snapToGrid w:val="0"/>
              <w:spacing w:line="276" w:lineRule="auto"/>
              <w:rPr>
                <w:rFonts w:ascii="Segoe UI Symbol" w:hAnsi="Segoe UI Symbol" w:eastAsia="宋体" w:cs="Segoe UI Symbol"/>
              </w:rPr>
            </w:pPr>
            <w:r>
              <w:rPr>
                <w:rFonts w:ascii="Segoe UI Symbol" w:hAnsi="Segoe UI Symbol" w:eastAsia="宋体" w:cs="Segoe UI Symbol"/>
              </w:rPr>
              <w:t>☐</w:t>
            </w:r>
            <w:r>
              <w:rPr>
                <w:rFonts w:hint="eastAsia" w:ascii="Segoe UI Symbol" w:hAnsi="Segoe UI Symbol" w:eastAsia="宋体" w:cs="Segoe UI Symbol"/>
              </w:rPr>
              <w:t>不需要缴纳</w:t>
            </w:r>
          </w:p>
          <w:p>
            <w:pPr>
              <w:widowControl w:val="0"/>
              <w:adjustRightInd w:val="0"/>
              <w:snapToGrid w:val="0"/>
              <w:spacing w:line="276" w:lineRule="auto"/>
              <w:rPr>
                <w:rFonts w:hint="eastAsia" w:ascii="Segoe UI Symbol" w:hAnsi="Segoe UI Symbol" w:eastAsia="宋体" w:cs="Segoe UI Symbol"/>
              </w:rPr>
            </w:pPr>
            <w:r>
              <w:rPr>
                <w:rFonts w:ascii="Segoe UI Symbol" w:hAnsi="Segoe UI Symbol" w:eastAsia="仿宋_GB2312" w:cs="Segoe UI Symbol"/>
              </w:rPr>
              <w:t>☑</w:t>
            </w:r>
            <w:r>
              <w:rPr>
                <w:rFonts w:hint="eastAsia" w:ascii="Times New Roman" w:hAnsi="Times New Roman" w:eastAsia="宋体" w:cs="Times New Roman"/>
              </w:rPr>
              <w:t>需要缴纳，</w:t>
            </w:r>
            <w:r>
              <w:rPr>
                <w:rFonts w:ascii="Times New Roman" w:hAnsi="Times New Roman" w:eastAsia="宋体" w:cs="Times New Roman"/>
              </w:rPr>
              <w:t>中标人必须在合同签订后向采购人提供合同总价</w:t>
            </w:r>
            <w:r>
              <w:rPr>
                <w:rFonts w:hint="eastAsia" w:ascii="Times New Roman" w:hAnsi="Times New Roman" w:eastAsia="宋体" w:cs="Times New Roman"/>
              </w:rPr>
              <w:t>1.00</w:t>
            </w:r>
            <w:r>
              <w:rPr>
                <w:rFonts w:ascii="Times New Roman" w:hAnsi="Times New Roman" w:eastAsia="宋体" w:cs="Times New Roman"/>
              </w:rPr>
              <w:t>%的履约保证金，可以支票、汇票、本票或者金融机构、保险公司、担保机构出具的保函/保险（可在政采云平台购买，咨询热线4009039583）等非现金形式提交。履约保证金（或保函/保险）在</w:t>
            </w:r>
            <w:r>
              <w:rPr>
                <w:rFonts w:hint="eastAsia" w:ascii="Times New Roman" w:hAnsi="Times New Roman" w:eastAsia="宋体" w:cs="Times New Roman"/>
              </w:rPr>
              <w:t>项目验收结束后</w:t>
            </w:r>
            <w:r>
              <w:rPr>
                <w:rFonts w:ascii="Times New Roman" w:hAnsi="Times New Roman" w:eastAsia="宋体" w:cs="Times New Roman"/>
              </w:rPr>
              <w:t>退还</w:t>
            </w:r>
            <w:r>
              <w:rPr>
                <w:rFonts w:hint="eastAsia"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pPr>
              <w:pStyle w:val="24"/>
              <w:widowControl w:val="0"/>
              <w:adjustRightInd w:val="0"/>
              <w:snapToGrid w:val="0"/>
              <w:spacing w:before="120" w:beforeLines="50" w:after="120" w:afterLines="50" w:line="276" w:lineRule="auto"/>
              <w:jc w:val="center"/>
              <w:rPr>
                <w:rFonts w:ascii="Times New Roman" w:hAnsi="Times New Roman" w:eastAsia="宋体" w:cs="Times New Roman"/>
              </w:rPr>
            </w:pPr>
            <w:r>
              <w:rPr>
                <w:rFonts w:ascii="Times New Roman" w:hAnsi="Times New Roman" w:eastAsia="宋体" w:cs="Times New Roman"/>
              </w:rPr>
              <w:t>4</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rPr>
            </w:pPr>
            <w:r>
              <w:rPr>
                <w:rFonts w:ascii="Times New Roman" w:hAnsi="Times New Roman" w:eastAsia="宋体" w:cs="Times New Roman"/>
              </w:rPr>
              <w:t>采购标的对应的中小企业划分标准所属行业</w:t>
            </w:r>
          </w:p>
        </w:tc>
        <w:tc>
          <w:tcPr>
            <w:tcW w:w="7035" w:type="dxa"/>
            <w:noWrap w:val="0"/>
            <w:vAlign w:val="center"/>
          </w:tcPr>
          <w:p>
            <w:pPr>
              <w:snapToGrid w:val="0"/>
              <w:spacing w:line="276" w:lineRule="auto"/>
              <w:rPr>
                <w:rFonts w:ascii="Times New Roman" w:hAnsi="Times New Roman" w:eastAsia="宋体" w:cs="Times New Roman"/>
              </w:rPr>
            </w:pPr>
            <w:r>
              <w:rPr>
                <w:rFonts w:ascii="Times New Roman" w:hAnsi="Times New Roman" w:eastAsia="宋体" w:cs="Times New Roman"/>
              </w:rPr>
              <w:t>属于工信部【2011】300号文件规定的</w:t>
            </w:r>
            <w:r>
              <w:rPr>
                <w:rFonts w:hint="eastAsia" w:ascii="Times New Roman" w:hAnsi="Times New Roman" w:eastAsia="宋体" w:cs="Times New Roma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noWrap w:val="0"/>
            <w:vAlign w:val="center"/>
          </w:tcPr>
          <w:p>
            <w:pPr>
              <w:pStyle w:val="24"/>
              <w:widowControl w:val="0"/>
              <w:adjustRightInd w:val="0"/>
              <w:snapToGrid w:val="0"/>
              <w:spacing w:before="120" w:beforeLines="50" w:after="120" w:afterLines="50" w:line="276" w:lineRule="auto"/>
              <w:jc w:val="center"/>
              <w:rPr>
                <w:rFonts w:ascii="Times New Roman" w:hAnsi="Times New Roman" w:eastAsia="宋体" w:cs="Times New Roman"/>
              </w:rPr>
            </w:pPr>
            <w:r>
              <w:rPr>
                <w:rFonts w:ascii="Times New Roman" w:hAnsi="Times New Roman" w:eastAsia="宋体" w:cs="Times New Roman"/>
              </w:rPr>
              <w:t>5</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rPr>
            </w:pPr>
            <w:r>
              <w:rPr>
                <w:rFonts w:ascii="Times New Roman" w:hAnsi="Times New Roman" w:eastAsia="宋体" w:cs="Times New Roman"/>
              </w:rPr>
              <w:t>转包</w:t>
            </w:r>
          </w:p>
        </w:tc>
        <w:tc>
          <w:tcPr>
            <w:tcW w:w="7035" w:type="dxa"/>
            <w:noWrap w:val="0"/>
            <w:vAlign w:val="center"/>
          </w:tcPr>
          <w:p>
            <w:pPr>
              <w:snapToGrid w:val="0"/>
              <w:spacing w:line="276" w:lineRule="auto"/>
              <w:rPr>
                <w:rFonts w:ascii="Times New Roman" w:hAnsi="Times New Roman" w:eastAsia="宋体" w:cs="Times New Roman"/>
              </w:rPr>
            </w:pPr>
            <w:r>
              <w:rPr>
                <w:rFonts w:ascii="Segoe UI Symbol" w:hAnsi="Segoe UI Symbol" w:eastAsia="仿宋_GB2312" w:cs="Segoe UI Symbol"/>
              </w:rPr>
              <w:t>☑</w:t>
            </w:r>
            <w:r>
              <w:rPr>
                <w:rFonts w:ascii="Times New Roman" w:hAnsi="Times New Roman" w:eastAsia="宋体" w:cs="Times New Roman"/>
              </w:rPr>
              <w:t xml:space="preserve"> 不同意转包。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pPr>
              <w:pStyle w:val="24"/>
              <w:widowControl w:val="0"/>
              <w:adjustRightInd w:val="0"/>
              <w:snapToGrid w:val="0"/>
              <w:spacing w:before="120" w:beforeLines="50" w:after="120" w:afterLines="50" w:line="276" w:lineRule="auto"/>
              <w:jc w:val="center"/>
              <w:rPr>
                <w:rFonts w:ascii="Times New Roman" w:hAnsi="Times New Roman" w:eastAsia="宋体" w:cs="Times New Roman"/>
              </w:rPr>
            </w:pPr>
            <w:r>
              <w:rPr>
                <w:rFonts w:ascii="Times New Roman" w:hAnsi="Times New Roman" w:eastAsia="宋体" w:cs="Times New Roman"/>
              </w:rPr>
              <w:t>6</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rPr>
            </w:pPr>
            <w:r>
              <w:rPr>
                <w:rFonts w:ascii="Times New Roman" w:hAnsi="Times New Roman" w:eastAsia="宋体" w:cs="Times New Roman"/>
              </w:rPr>
              <w:t>分包</w:t>
            </w:r>
          </w:p>
        </w:tc>
        <w:tc>
          <w:tcPr>
            <w:tcW w:w="7035" w:type="dxa"/>
            <w:noWrap w:val="0"/>
            <w:vAlign w:val="center"/>
          </w:tcPr>
          <w:p>
            <w:pPr>
              <w:snapToGrid w:val="0"/>
              <w:spacing w:line="276" w:lineRule="auto"/>
              <w:rPr>
                <w:rFonts w:ascii="Times New Roman" w:hAnsi="Times New Roman" w:eastAsia="宋体" w:cs="Times New Roman"/>
              </w:rPr>
            </w:pPr>
            <w:r>
              <w:rPr>
                <w:rFonts w:ascii="Segoe UI Symbol" w:hAnsi="Segoe UI Symbol" w:eastAsia="仿宋_GB2312" w:cs="Segoe UI Symbol"/>
              </w:rPr>
              <w:t>☑</w:t>
            </w:r>
            <w:r>
              <w:rPr>
                <w:rFonts w:ascii="Times New Roman" w:hAnsi="Times New Roman" w:eastAsia="宋体" w:cs="Times New Roman"/>
              </w:rPr>
              <w:t>A同意将非主体、非关键性的工作分包。</w:t>
            </w:r>
          </w:p>
          <w:p>
            <w:pPr>
              <w:snapToGrid w:val="0"/>
              <w:spacing w:line="276" w:lineRule="auto"/>
              <w:rPr>
                <w:rFonts w:ascii="Times New Roman" w:hAnsi="Times New Roman" w:eastAsia="宋体" w:cs="Times New Roman"/>
              </w:rPr>
            </w:pPr>
            <w:r>
              <w:rPr>
                <w:rFonts w:ascii="Segoe UI Symbol" w:hAnsi="Segoe UI Symbol" w:eastAsia="宋体" w:cs="Segoe UI Symbol"/>
              </w:rPr>
              <w:t>☐</w:t>
            </w:r>
            <w:r>
              <w:rPr>
                <w:rFonts w:ascii="Times New Roman" w:hAnsi="Times New Roman" w:eastAsia="宋体" w:cs="Times New Roman"/>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pPr>
              <w:pStyle w:val="24"/>
              <w:widowControl w:val="0"/>
              <w:adjustRightInd w:val="0"/>
              <w:snapToGrid w:val="0"/>
              <w:spacing w:before="120" w:beforeLines="50" w:after="120" w:afterLines="50" w:line="276" w:lineRule="auto"/>
              <w:jc w:val="center"/>
              <w:rPr>
                <w:rFonts w:ascii="Times New Roman" w:hAnsi="Times New Roman" w:eastAsia="宋体" w:cs="Times New Roman"/>
              </w:rPr>
            </w:pPr>
            <w:r>
              <w:rPr>
                <w:rFonts w:ascii="Times New Roman" w:hAnsi="Times New Roman" w:eastAsia="宋体" w:cs="Times New Roman"/>
              </w:rPr>
              <w:t>7</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rPr>
            </w:pPr>
            <w:r>
              <w:rPr>
                <w:rFonts w:ascii="Times New Roman" w:hAnsi="Times New Roman" w:eastAsia="宋体" w:cs="Times New Roman"/>
              </w:rPr>
              <w:t>开标前答疑会或现场考察</w:t>
            </w:r>
          </w:p>
        </w:tc>
        <w:tc>
          <w:tcPr>
            <w:tcW w:w="7035" w:type="dxa"/>
            <w:noWrap w:val="0"/>
            <w:vAlign w:val="center"/>
          </w:tcPr>
          <w:p>
            <w:pPr>
              <w:spacing w:line="276" w:lineRule="auto"/>
              <w:rPr>
                <w:rFonts w:ascii="Times New Roman" w:hAnsi="Times New Roman" w:eastAsia="宋体" w:cs="Times New Roman"/>
              </w:rPr>
            </w:pPr>
            <w:r>
              <w:rPr>
                <w:rFonts w:ascii="Segoe UI Symbol" w:hAnsi="Segoe UI Symbol" w:eastAsia="仿宋_GB2312" w:cs="Segoe UI Symbol"/>
              </w:rPr>
              <w:t>☑</w:t>
            </w:r>
            <w:r>
              <w:rPr>
                <w:rFonts w:ascii="Times New Roman" w:hAnsi="Times New Roman" w:eastAsia="宋体" w:cs="Times New Roman"/>
              </w:rPr>
              <w:t>A不组织。</w:t>
            </w:r>
          </w:p>
          <w:p>
            <w:pPr>
              <w:snapToGrid w:val="0"/>
              <w:spacing w:line="276" w:lineRule="auto"/>
              <w:rPr>
                <w:rFonts w:ascii="Times New Roman" w:hAnsi="Times New Roman" w:eastAsia="宋体" w:cs="Times New Roman"/>
              </w:rPr>
            </w:pPr>
            <w:r>
              <w:rPr>
                <w:rFonts w:ascii="Segoe UI Symbol" w:hAnsi="Segoe UI Symbol" w:eastAsia="宋体" w:cs="Segoe UI Symbol"/>
              </w:rPr>
              <w:t>☐</w:t>
            </w:r>
            <w:r>
              <w:rPr>
                <w:rFonts w:ascii="Times New Roman" w:hAnsi="Times New Roman" w:eastAsia="宋体" w:cs="Times New Roman"/>
              </w:rPr>
              <w:t>B组织，时间：</w:t>
            </w:r>
            <w:r>
              <w:rPr>
                <w:rFonts w:ascii="Times New Roman" w:hAnsi="Times New Roman" w:eastAsia="宋体" w:cs="Times New Roman"/>
                <w:u w:val="single"/>
              </w:rPr>
              <w:t xml:space="preserve">      </w:t>
            </w:r>
            <w:r>
              <w:rPr>
                <w:rFonts w:ascii="Times New Roman" w:hAnsi="Times New Roman" w:eastAsia="宋体" w:cs="Times New Roman"/>
              </w:rPr>
              <w:t>,地点：</w:t>
            </w:r>
            <w:r>
              <w:rPr>
                <w:rFonts w:ascii="Times New Roman" w:hAnsi="Times New Roman" w:eastAsia="宋体" w:cs="Times New Roman"/>
                <w:u w:val="single"/>
              </w:rPr>
              <w:t xml:space="preserve">      </w:t>
            </w:r>
            <w:r>
              <w:rPr>
                <w:rFonts w:ascii="Times New Roman" w:hAnsi="Times New Roman" w:eastAsia="宋体" w:cs="Times New Roman"/>
              </w:rPr>
              <w:t>，联系人：</w:t>
            </w:r>
            <w:r>
              <w:rPr>
                <w:rFonts w:ascii="Times New Roman" w:hAnsi="Times New Roman" w:eastAsia="宋体" w:cs="Times New Roman"/>
                <w:u w:val="single"/>
              </w:rPr>
              <w:t xml:space="preserve">      </w:t>
            </w:r>
            <w:r>
              <w:rPr>
                <w:rFonts w:ascii="Times New Roman" w:hAnsi="Times New Roman" w:eastAsia="宋体" w:cs="Times New Roman"/>
              </w:rPr>
              <w:t>，联系方式：</w:t>
            </w:r>
            <w:r>
              <w:rPr>
                <w:rFonts w:ascii="Times New Roman" w:hAnsi="Times New Roman" w:eastAsia="宋体" w:cs="Times New Roman"/>
                <w:u w:val="single"/>
              </w:rPr>
              <w:t xml:space="preserve">      </w:t>
            </w:r>
            <w:r>
              <w:rPr>
                <w:rFonts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pPr>
              <w:pStyle w:val="24"/>
              <w:widowControl w:val="0"/>
              <w:adjustRightInd w:val="0"/>
              <w:snapToGrid w:val="0"/>
              <w:spacing w:before="120" w:beforeLines="50" w:after="120" w:afterLines="50" w:line="276" w:lineRule="auto"/>
              <w:jc w:val="center"/>
              <w:rPr>
                <w:rFonts w:ascii="Times New Roman" w:hAnsi="Times New Roman" w:eastAsia="宋体" w:cs="Times New Roman"/>
              </w:rPr>
            </w:pPr>
            <w:r>
              <w:rPr>
                <w:rFonts w:ascii="Times New Roman" w:hAnsi="Times New Roman" w:eastAsia="宋体" w:cs="Times New Roman"/>
              </w:rPr>
              <w:t>8</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rPr>
            </w:pPr>
            <w:r>
              <w:rPr>
                <w:rFonts w:ascii="Times New Roman" w:hAnsi="Times New Roman" w:eastAsia="宋体" w:cs="Times New Roman"/>
              </w:rPr>
              <w:t>样品提供</w:t>
            </w:r>
          </w:p>
        </w:tc>
        <w:tc>
          <w:tcPr>
            <w:tcW w:w="7035" w:type="dxa"/>
            <w:noWrap w:val="0"/>
            <w:vAlign w:val="center"/>
          </w:tcPr>
          <w:p>
            <w:pPr>
              <w:spacing w:line="276" w:lineRule="auto"/>
              <w:rPr>
                <w:rFonts w:ascii="Times New Roman" w:hAnsi="Times New Roman" w:eastAsia="宋体" w:cs="Times New Roman"/>
              </w:rPr>
            </w:pPr>
            <w:r>
              <w:rPr>
                <w:rFonts w:ascii="Segoe UI Symbol" w:hAnsi="Segoe UI Symbol" w:eastAsia="仿宋_GB2312" w:cs="Segoe UI Symbol"/>
              </w:rPr>
              <w:t>☑</w:t>
            </w:r>
            <w:r>
              <w:rPr>
                <w:rFonts w:ascii="Times New Roman" w:hAnsi="Times New Roman" w:eastAsia="宋体" w:cs="Times New Roman"/>
              </w:rPr>
              <w:t>A不要求提供。</w:t>
            </w:r>
          </w:p>
          <w:p>
            <w:pPr>
              <w:spacing w:line="276" w:lineRule="auto"/>
              <w:rPr>
                <w:rFonts w:ascii="Times New Roman" w:hAnsi="Times New Roman" w:eastAsia="宋体" w:cs="Times New Roman"/>
              </w:rPr>
            </w:pPr>
            <w:r>
              <w:rPr>
                <w:rFonts w:ascii="Segoe UI Symbol" w:hAnsi="Segoe UI Symbol" w:eastAsia="宋体" w:cs="Segoe UI Symbol"/>
              </w:rPr>
              <w:t>☐</w:t>
            </w:r>
            <w:r>
              <w:rPr>
                <w:rFonts w:ascii="Times New Roman" w:hAnsi="Times New Roman" w:eastAsia="宋体" w:cs="Times New Roman"/>
              </w:rPr>
              <w:t>B要求提供，</w:t>
            </w:r>
          </w:p>
          <w:p>
            <w:pPr>
              <w:spacing w:line="276" w:lineRule="auto"/>
              <w:rPr>
                <w:rFonts w:ascii="Times New Roman" w:hAnsi="Times New Roman" w:eastAsia="宋体" w:cs="Times New Roman"/>
              </w:rPr>
            </w:pPr>
            <w:r>
              <w:rPr>
                <w:rFonts w:ascii="Times New Roman" w:hAnsi="Times New Roman" w:eastAsia="宋体" w:cs="Times New Roman"/>
              </w:rPr>
              <w:t>（1）</w:t>
            </w:r>
            <w:r>
              <w:rPr>
                <w:rFonts w:ascii="Times New Roman" w:hAnsi="Times New Roman" w:eastAsia="宋体" w:cs="Times New Roman"/>
                <w:snapToGrid w:val="0"/>
                <w:kern w:val="28"/>
              </w:rPr>
              <w:t>样品：</w:t>
            </w:r>
            <w:r>
              <w:rPr>
                <w:rFonts w:ascii="Times New Roman" w:hAnsi="Times New Roman" w:eastAsia="宋体" w:cs="Times New Roman"/>
                <w:u w:val="single"/>
              </w:rPr>
              <w:t xml:space="preserve">    </w:t>
            </w:r>
            <w:r>
              <w:rPr>
                <w:rFonts w:ascii="Times New Roman" w:hAnsi="Times New Roman" w:eastAsia="宋体" w:cs="Times New Roman"/>
              </w:rPr>
              <w:t>；</w:t>
            </w:r>
          </w:p>
          <w:p>
            <w:pPr>
              <w:spacing w:line="276" w:lineRule="auto"/>
              <w:rPr>
                <w:rFonts w:ascii="Times New Roman" w:hAnsi="Times New Roman" w:eastAsia="宋体" w:cs="Times New Roman"/>
              </w:rPr>
            </w:pPr>
            <w:r>
              <w:rPr>
                <w:rFonts w:ascii="Times New Roman" w:hAnsi="Times New Roman" w:eastAsia="宋体" w:cs="Times New Roman"/>
              </w:rPr>
              <w:t>（2）</w:t>
            </w:r>
            <w:r>
              <w:rPr>
                <w:rFonts w:ascii="Times New Roman" w:hAnsi="Times New Roman" w:eastAsia="宋体" w:cs="Times New Roman"/>
                <w:snapToGrid w:val="0"/>
                <w:kern w:val="28"/>
              </w:rPr>
              <w:t>样品制作的标准和要求：</w:t>
            </w:r>
            <w:r>
              <w:rPr>
                <w:rFonts w:ascii="Times New Roman" w:hAnsi="Times New Roman" w:eastAsia="宋体" w:cs="Times New Roman"/>
                <w:u w:val="single"/>
              </w:rPr>
              <w:t xml:space="preserve"> 详见招标文件技术要求 </w:t>
            </w:r>
            <w:r>
              <w:rPr>
                <w:rFonts w:ascii="Times New Roman" w:hAnsi="Times New Roman" w:eastAsia="宋体" w:cs="Times New Roman"/>
              </w:rPr>
              <w:t>；</w:t>
            </w:r>
          </w:p>
          <w:p>
            <w:pPr>
              <w:spacing w:line="276" w:lineRule="auto"/>
              <w:rPr>
                <w:rFonts w:ascii="Times New Roman" w:hAnsi="Times New Roman" w:eastAsia="宋体" w:cs="Times New Roman"/>
              </w:rPr>
            </w:pPr>
            <w:r>
              <w:rPr>
                <w:rFonts w:ascii="Times New Roman" w:hAnsi="Times New Roman" w:eastAsia="宋体" w:cs="Times New Roman"/>
              </w:rPr>
              <w:t>（3）样品的评审方法以及评审标准</w:t>
            </w:r>
            <w:r>
              <w:rPr>
                <w:rFonts w:ascii="Times New Roman" w:hAnsi="Times New Roman" w:eastAsia="宋体" w:cs="Times New Roman"/>
                <w:snapToGrid w:val="0"/>
                <w:kern w:val="28"/>
              </w:rPr>
              <w:t>：详见</w:t>
            </w:r>
            <w:r>
              <w:rPr>
                <w:rFonts w:ascii="Times New Roman" w:hAnsi="Times New Roman" w:eastAsia="宋体" w:cs="Times New Roman"/>
                <w:u w:val="single"/>
              </w:rPr>
              <w:t>评标办法</w:t>
            </w:r>
            <w:r>
              <w:rPr>
                <w:rFonts w:ascii="Times New Roman" w:hAnsi="Times New Roman" w:eastAsia="宋体" w:cs="Times New Roman"/>
              </w:rPr>
              <w:t>；</w:t>
            </w:r>
          </w:p>
          <w:p>
            <w:pPr>
              <w:spacing w:line="276" w:lineRule="auto"/>
              <w:rPr>
                <w:rFonts w:ascii="Times New Roman" w:hAnsi="Times New Roman" w:eastAsia="宋体" w:cs="Times New Roman"/>
              </w:rPr>
            </w:pPr>
            <w:r>
              <w:rPr>
                <w:rFonts w:ascii="Times New Roman" w:hAnsi="Times New Roman" w:eastAsia="宋体" w:cs="Times New Roman"/>
              </w:rPr>
              <w:t>（4）是否需要随样品提交检测报告：</w:t>
            </w:r>
            <w:r>
              <w:rPr>
                <w:rFonts w:ascii="Times New Roman" w:hAnsi="Times New Roman" w:eastAsia="宋体" w:cs="Times New Roman"/>
              </w:rPr>
              <w:sym w:font="Wingdings" w:char="F0FE"/>
            </w:r>
            <w:r>
              <w:rPr>
                <w:rFonts w:ascii="Times New Roman" w:hAnsi="Times New Roman" w:eastAsia="宋体" w:cs="Times New Roman"/>
              </w:rPr>
              <w:t>否；</w:t>
            </w:r>
            <w:r>
              <w:rPr>
                <w:rFonts w:ascii="Segoe UI Symbol" w:hAnsi="Segoe UI Symbol" w:eastAsia="宋体" w:cs="Segoe UI Symbol"/>
              </w:rPr>
              <w:t>☐</w:t>
            </w:r>
            <w:r>
              <w:rPr>
                <w:rFonts w:ascii="Times New Roman" w:hAnsi="Times New Roman" w:eastAsia="宋体" w:cs="Times New Roman"/>
              </w:rPr>
              <w:t>是，检测机构的要求：</w:t>
            </w:r>
            <w:r>
              <w:rPr>
                <w:rFonts w:ascii="Times New Roman" w:hAnsi="Times New Roman" w:eastAsia="宋体" w:cs="Times New Roman"/>
                <w:u w:val="single"/>
              </w:rPr>
              <w:t xml:space="preserve">    </w:t>
            </w:r>
            <w:r>
              <w:rPr>
                <w:rFonts w:ascii="Times New Roman" w:hAnsi="Times New Roman" w:eastAsia="宋体" w:cs="Times New Roman"/>
              </w:rPr>
              <w:t>；检测内容：</w:t>
            </w:r>
            <w:r>
              <w:rPr>
                <w:rFonts w:ascii="Times New Roman" w:hAnsi="Times New Roman" w:eastAsia="宋体" w:cs="Times New Roman"/>
                <w:u w:val="single"/>
              </w:rPr>
              <w:t xml:space="preserve">    </w:t>
            </w:r>
            <w:r>
              <w:rPr>
                <w:rFonts w:ascii="Times New Roman" w:hAnsi="Times New Roman" w:eastAsia="宋体" w:cs="Times New Roman"/>
              </w:rPr>
              <w:t>。</w:t>
            </w:r>
          </w:p>
          <w:p>
            <w:pPr>
              <w:spacing w:line="276" w:lineRule="auto"/>
              <w:rPr>
                <w:rFonts w:ascii="Times New Roman" w:hAnsi="Times New Roman" w:eastAsia="宋体" w:cs="Times New Roman"/>
              </w:rPr>
            </w:pPr>
            <w:r>
              <w:rPr>
                <w:rFonts w:ascii="Times New Roman" w:hAnsi="Times New Roman" w:eastAsia="宋体" w:cs="Times New Roman"/>
              </w:rPr>
              <w:t>（5）提供样品的时间：</w:t>
            </w:r>
            <w:r>
              <w:rPr>
                <w:rFonts w:ascii="Times New Roman" w:hAnsi="Times New Roman" w:eastAsia="宋体" w:cs="Times New Roman"/>
                <w:u w:val="single"/>
              </w:rPr>
              <w:t xml:space="preserve">    </w:t>
            </w:r>
            <w:r>
              <w:rPr>
                <w:rFonts w:ascii="Times New Roman" w:hAnsi="Times New Roman" w:eastAsia="宋体" w:cs="Times New Roman"/>
              </w:rPr>
              <w:t>；地点：</w:t>
            </w:r>
            <w:r>
              <w:rPr>
                <w:rFonts w:ascii="Times New Roman" w:hAnsi="Times New Roman" w:eastAsia="宋体" w:cs="Times New Roman"/>
                <w:u w:val="single"/>
              </w:rPr>
              <w:t xml:space="preserve">    </w:t>
            </w:r>
            <w:r>
              <w:rPr>
                <w:rFonts w:ascii="Times New Roman" w:hAnsi="Times New Roman" w:eastAsia="宋体" w:cs="Times New Roman"/>
              </w:rPr>
              <w:t>；联系人：</w:t>
            </w:r>
            <w:r>
              <w:rPr>
                <w:rFonts w:ascii="Times New Roman" w:hAnsi="Times New Roman" w:eastAsia="宋体" w:cs="Times New Roman"/>
                <w:u w:val="single"/>
              </w:rPr>
              <w:t xml:space="preserve">   </w:t>
            </w:r>
            <w:r>
              <w:rPr>
                <w:rFonts w:ascii="Times New Roman" w:hAnsi="Times New Roman" w:eastAsia="宋体" w:cs="Times New Roman"/>
              </w:rPr>
              <w:t>，</w:t>
            </w:r>
            <w:r>
              <w:rPr>
                <w:rFonts w:ascii="Times New Roman" w:hAnsi="Times New Roman" w:eastAsia="宋体" w:cs="Times New Roman"/>
                <w:kern w:val="28"/>
              </w:rPr>
              <w:t>联系电话：</w:t>
            </w:r>
            <w:r>
              <w:rPr>
                <w:rFonts w:ascii="Times New Roman" w:hAnsi="Times New Roman" w:eastAsia="宋体" w:cs="Times New Roman"/>
                <w:u w:val="single"/>
              </w:rPr>
              <w:t xml:space="preserve">    </w:t>
            </w:r>
            <w:r>
              <w:rPr>
                <w:rFonts w:ascii="Times New Roman" w:hAnsi="Times New Roman" w:eastAsia="宋体" w:cs="Times New Roman"/>
              </w:rPr>
              <w:t>。请投标人在上述时间内提供样品并按规定位置安装完毕。超过截止时间的，采购人或采购代理机构将不予接收，并将清场并封闭样品现场。</w:t>
            </w:r>
          </w:p>
          <w:p>
            <w:pPr>
              <w:spacing w:line="276" w:lineRule="auto"/>
              <w:rPr>
                <w:rFonts w:ascii="Times New Roman" w:hAnsi="Times New Roman" w:eastAsia="宋体" w:cs="Times New Roman"/>
              </w:rPr>
            </w:pPr>
            <w:r>
              <w:rPr>
                <w:rFonts w:hint="eastAsia" w:ascii="Times New Roman" w:hAnsi="Times New Roman" w:eastAsia="宋体" w:cs="Times New Roman"/>
              </w:rPr>
              <w:t>（6）</w:t>
            </w:r>
            <w:r>
              <w:rPr>
                <w:rFonts w:ascii="Times New Roman" w:hAnsi="Times New Roman" w:eastAsia="宋体" w:cs="Times New Roman"/>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276" w:lineRule="auto"/>
              <w:rPr>
                <w:rFonts w:ascii="Times New Roman" w:hAnsi="Times New Roman" w:eastAsia="宋体" w:cs="Times New Roman"/>
              </w:rPr>
            </w:pPr>
            <w:r>
              <w:rPr>
                <w:rFonts w:ascii="Times New Roman" w:hAnsi="Times New Roman" w:eastAsia="宋体" w:cs="Times New Roman"/>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pPr>
              <w:pStyle w:val="24"/>
              <w:widowControl w:val="0"/>
              <w:adjustRightInd w:val="0"/>
              <w:snapToGrid w:val="0"/>
              <w:spacing w:before="120" w:beforeLines="50" w:after="120" w:afterLines="50" w:line="276" w:lineRule="auto"/>
              <w:jc w:val="center"/>
              <w:rPr>
                <w:rFonts w:ascii="Times New Roman" w:hAnsi="Times New Roman" w:eastAsia="宋体" w:cs="Times New Roman"/>
              </w:rPr>
            </w:pPr>
            <w:r>
              <w:rPr>
                <w:rFonts w:ascii="Times New Roman" w:hAnsi="Times New Roman" w:eastAsia="宋体" w:cs="Times New Roman"/>
              </w:rPr>
              <w:t>9</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rPr>
            </w:pPr>
            <w:r>
              <w:rPr>
                <w:rFonts w:ascii="Times New Roman" w:hAnsi="Times New Roman" w:eastAsia="宋体" w:cs="Times New Roman"/>
              </w:rPr>
              <w:t>方案讲解演示</w:t>
            </w:r>
          </w:p>
        </w:tc>
        <w:tc>
          <w:tcPr>
            <w:tcW w:w="7035" w:type="dxa"/>
            <w:noWrap w:val="0"/>
            <w:vAlign w:val="center"/>
          </w:tcPr>
          <w:p>
            <w:pPr>
              <w:spacing w:line="276" w:lineRule="auto"/>
              <w:rPr>
                <w:rFonts w:ascii="Times New Roman" w:hAnsi="Times New Roman" w:eastAsia="仿宋_GB2312" w:cs="Times New Roman"/>
              </w:rPr>
            </w:pPr>
            <w:r>
              <w:rPr>
                <w:rFonts w:ascii="Segoe UI Symbol" w:hAnsi="Segoe UI Symbol" w:eastAsia="仿宋_GB2312" w:cs="Segoe UI Symbol"/>
              </w:rPr>
              <w:t>☑</w:t>
            </w:r>
            <w:r>
              <w:rPr>
                <w:rFonts w:ascii="Times New Roman" w:hAnsi="Times New Roman" w:eastAsia="宋体" w:cs="Times New Roman"/>
              </w:rPr>
              <w:t>A不组织。</w:t>
            </w:r>
          </w:p>
          <w:p>
            <w:pPr>
              <w:spacing w:line="276" w:lineRule="auto"/>
              <w:rPr>
                <w:rFonts w:ascii="Times New Roman" w:hAnsi="Times New Roman" w:eastAsia="仿宋_GB2312" w:cs="Times New Roman"/>
              </w:rPr>
            </w:pPr>
            <w:r>
              <w:rPr>
                <w:rFonts w:ascii="Segoe UI Symbol" w:hAnsi="Segoe UI Symbol" w:eastAsia="仿宋_GB2312" w:cs="Segoe UI Symbol"/>
              </w:rPr>
              <w:t>☐</w:t>
            </w:r>
            <w:r>
              <w:rPr>
                <w:rFonts w:ascii="Times New Roman" w:hAnsi="Times New Roman" w:eastAsia="宋体" w:cs="Times New Roman"/>
              </w:rPr>
              <w:t>B组织。</w:t>
            </w:r>
          </w:p>
          <w:p>
            <w:pPr>
              <w:snapToGrid w:val="0"/>
              <w:spacing w:line="276" w:lineRule="auto"/>
              <w:rPr>
                <w:rFonts w:ascii="Times New Roman" w:hAnsi="Times New Roman" w:eastAsia="宋体" w:cs="Times New Roman"/>
              </w:rPr>
            </w:pPr>
            <w:r>
              <w:rPr>
                <w:rFonts w:ascii="Times New Roman" w:hAnsi="Times New Roman" w:eastAsia="宋体" w:cs="Times New Roman"/>
              </w:rPr>
              <w:t>（1）在评</w:t>
            </w:r>
            <w:r>
              <w:rPr>
                <w:rFonts w:hint="eastAsia" w:ascii="Times New Roman" w:hAnsi="Times New Roman" w:eastAsia="宋体" w:cs="Times New Roman"/>
              </w:rPr>
              <w:t>标</w:t>
            </w:r>
            <w:r>
              <w:rPr>
                <w:rFonts w:ascii="Times New Roman" w:hAnsi="Times New Roman" w:eastAsia="宋体" w:cs="Times New Roman"/>
              </w:rPr>
              <w:t>时安排每个</w:t>
            </w:r>
            <w:r>
              <w:rPr>
                <w:rFonts w:hint="eastAsia" w:ascii="Times New Roman" w:hAnsi="Times New Roman" w:eastAsia="宋体" w:cs="Times New Roman"/>
              </w:rPr>
              <w:t>投标人</w:t>
            </w:r>
            <w:r>
              <w:rPr>
                <w:rFonts w:ascii="Times New Roman" w:hAnsi="Times New Roman" w:eastAsia="宋体" w:cs="Times New Roman"/>
              </w:rPr>
              <w:t>进行方案讲解演示。每个</w:t>
            </w:r>
            <w:r>
              <w:rPr>
                <w:rFonts w:hint="eastAsia" w:ascii="Times New Roman" w:hAnsi="Times New Roman" w:eastAsia="宋体" w:cs="Times New Roman"/>
              </w:rPr>
              <w:t>投标人</w:t>
            </w:r>
            <w:r>
              <w:rPr>
                <w:rFonts w:ascii="Times New Roman" w:hAnsi="Times New Roman" w:eastAsia="宋体" w:cs="Times New Roman"/>
              </w:rPr>
              <w:t>时间不超过20分钟，讲解次序以</w:t>
            </w:r>
            <w:r>
              <w:rPr>
                <w:rFonts w:hint="eastAsia" w:ascii="Times New Roman" w:hAnsi="Times New Roman" w:eastAsia="宋体" w:cs="Times New Roman"/>
              </w:rPr>
              <w:t>投标</w:t>
            </w:r>
            <w:r>
              <w:rPr>
                <w:rFonts w:ascii="Times New Roman" w:hAnsi="Times New Roman" w:eastAsia="宋体" w:cs="Times New Roman"/>
              </w:rPr>
              <w:t>文件解密时间先后次序为准。</w:t>
            </w:r>
          </w:p>
          <w:p>
            <w:pPr>
              <w:snapToGrid w:val="0"/>
              <w:spacing w:line="276" w:lineRule="auto"/>
              <w:rPr>
                <w:rFonts w:ascii="Times New Roman" w:hAnsi="Times New Roman" w:eastAsia="宋体" w:cs="Times New Roman"/>
              </w:rPr>
            </w:pPr>
            <w:r>
              <w:rPr>
                <w:rFonts w:ascii="Times New Roman" w:hAnsi="Times New Roman" w:eastAsia="宋体" w:cs="Times New Roman"/>
              </w:rPr>
              <w:t>（2）方案讲解方式：</w:t>
            </w:r>
            <w:r>
              <w:rPr>
                <w:rFonts w:hint="eastAsia" w:ascii="Times New Roman" w:hAnsi="Times New Roman" w:eastAsia="宋体" w:cs="Times New Roman"/>
              </w:rPr>
              <w:t>钉钉会议远程讲解。各投标人需在投标文件提交截止时间前添加代理公司工作人员钉钉号，添加时请注明“**公司***项目”；开启文件后，由代理公司工作人员分别组建钉钉会议，逐一进行远程讲解</w:t>
            </w:r>
            <w:r>
              <w:rPr>
                <w:rFonts w:ascii="Times New Roman" w:hAnsi="Times New Roman" w:eastAsia="宋体" w:cs="Times New Roman"/>
              </w:rPr>
              <w:t>。</w:t>
            </w:r>
          </w:p>
          <w:p>
            <w:pPr>
              <w:spacing w:line="276" w:lineRule="auto"/>
              <w:rPr>
                <w:rFonts w:ascii="Times New Roman" w:hAnsi="Times New Roman" w:eastAsia="宋体" w:cs="Times New Roman"/>
              </w:rPr>
            </w:pPr>
            <w:r>
              <w:rPr>
                <w:rFonts w:ascii="Times New Roman" w:hAnsi="Times New Roman" w:eastAsia="宋体" w:cs="Times New Roman"/>
              </w:rPr>
              <w:t>注：因</w:t>
            </w:r>
            <w:r>
              <w:rPr>
                <w:rFonts w:hint="eastAsia" w:ascii="Times New Roman" w:hAnsi="Times New Roman" w:eastAsia="宋体" w:cs="Times New Roman"/>
              </w:rPr>
              <w:t>投标人</w:t>
            </w:r>
            <w:r>
              <w:rPr>
                <w:rFonts w:ascii="Times New Roman" w:hAnsi="Times New Roman" w:eastAsia="宋体" w:cs="Times New Roman"/>
              </w:rPr>
              <w:t>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pPr>
              <w:pStyle w:val="24"/>
              <w:widowControl w:val="0"/>
              <w:adjustRightInd w:val="0"/>
              <w:snapToGrid w:val="0"/>
              <w:spacing w:before="120" w:beforeLines="50" w:after="120" w:afterLines="50" w:line="276" w:lineRule="auto"/>
              <w:jc w:val="center"/>
              <w:rPr>
                <w:rFonts w:ascii="Times New Roman" w:hAnsi="Times New Roman" w:eastAsia="宋体" w:cs="Times New Roman"/>
              </w:rPr>
            </w:pPr>
            <w:r>
              <w:rPr>
                <w:rFonts w:ascii="Times New Roman" w:hAnsi="Times New Roman" w:eastAsia="宋体" w:cs="Times New Roman"/>
              </w:rPr>
              <w:t>10</w:t>
            </w:r>
          </w:p>
        </w:tc>
        <w:tc>
          <w:tcPr>
            <w:tcW w:w="2076" w:type="dxa"/>
            <w:noWrap w:val="0"/>
            <w:vAlign w:val="center"/>
          </w:tcPr>
          <w:p>
            <w:pPr>
              <w:snapToGrid w:val="0"/>
              <w:spacing w:line="276" w:lineRule="auto"/>
              <w:jc w:val="center"/>
              <w:rPr>
                <w:rFonts w:ascii="Times New Roman" w:hAnsi="Times New Roman" w:eastAsia="宋体" w:cs="Times New Roman"/>
              </w:rPr>
            </w:pPr>
            <w:r>
              <w:rPr>
                <w:rFonts w:ascii="Times New Roman" w:hAnsi="Times New Roman" w:eastAsia="宋体" w:cs="Times New Roman"/>
              </w:rPr>
              <w:t>政府采购优惠政策</w:t>
            </w:r>
          </w:p>
        </w:tc>
        <w:tc>
          <w:tcPr>
            <w:tcW w:w="7035" w:type="dxa"/>
            <w:noWrap w:val="0"/>
            <w:vAlign w:val="center"/>
          </w:tcPr>
          <w:p>
            <w:pPr>
              <w:snapToGrid w:val="0"/>
              <w:spacing w:line="276" w:lineRule="auto"/>
              <w:rPr>
                <w:rFonts w:ascii="Times New Roman" w:hAnsi="Times New Roman" w:eastAsia="宋体" w:cs="Times New Roman"/>
                <w:bCs/>
              </w:rPr>
            </w:pPr>
            <w:r>
              <w:rPr>
                <w:rFonts w:ascii="Times New Roman" w:hAnsi="Times New Roman" w:eastAsia="宋体" w:cs="Times New Roman"/>
                <w:bCs/>
              </w:rPr>
              <w:t>（1）根据《政府采购货物和服务招标投标管理办法》第五条规定，属“节约能源、保护环境、扶持不发达地区和少数民族地区等”政府采购政策扶持对象的，提供相关证明材料和政策依据，</w:t>
            </w:r>
            <w:r>
              <w:rPr>
                <w:rFonts w:hint="eastAsia" w:ascii="Times New Roman" w:hAnsi="Times New Roman" w:eastAsia="宋体" w:cs="Times New Roman"/>
                <w:bCs/>
              </w:rPr>
              <w:t>优先采购</w:t>
            </w:r>
            <w:r>
              <w:rPr>
                <w:rFonts w:ascii="Times New Roman" w:hAnsi="Times New Roman" w:eastAsia="宋体" w:cs="Times New Roman"/>
                <w:bCs/>
              </w:rPr>
              <w:t>。</w:t>
            </w:r>
          </w:p>
          <w:p>
            <w:pPr>
              <w:snapToGrid w:val="0"/>
              <w:spacing w:line="276" w:lineRule="auto"/>
              <w:rPr>
                <w:rFonts w:ascii="Times New Roman" w:hAnsi="Times New Roman" w:eastAsia="宋体" w:cs="Times New Roman"/>
                <w:bCs/>
              </w:rPr>
            </w:pPr>
            <w:r>
              <w:rPr>
                <w:rFonts w:ascii="Times New Roman" w:hAnsi="Times New Roman" w:eastAsia="宋体" w:cs="Times New Roman"/>
                <w:bCs/>
              </w:rPr>
              <w:t>（2）根据财库[2020]46 号文件《政府采购促进中小企业发展管理办法》的要求，对小型和微型企业服务的价格给予</w:t>
            </w:r>
            <w:r>
              <w:rPr>
                <w:rFonts w:hint="eastAsia" w:ascii="Times New Roman" w:hAnsi="Times New Roman" w:eastAsia="宋体" w:cs="Times New Roman"/>
                <w:bCs/>
              </w:rPr>
              <w:t>20</w:t>
            </w:r>
            <w:r>
              <w:rPr>
                <w:rFonts w:ascii="Times New Roman" w:hAnsi="Times New Roman" w:eastAsia="宋体" w:cs="Times New Roman"/>
                <w:bCs/>
              </w:rPr>
              <w:t>%扣除，用扣除后的价格参与评审（需主动提供小微企业声明函，否则不予扣）。监狱企业提供由省级以上监狱管理局、戒毒管理局（含新疆生产建设兵团）出具的监狱企业的证明文件视同小微企业，残疾人福利性企业提供《残疾人福利性单位声明函》的视同小微企业，同样享受上述优惠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pPr>
              <w:pStyle w:val="24"/>
              <w:widowControl w:val="0"/>
              <w:adjustRightInd w:val="0"/>
              <w:snapToGrid w:val="0"/>
              <w:spacing w:before="120" w:beforeLines="50" w:after="120" w:afterLines="50" w:line="276" w:lineRule="auto"/>
              <w:jc w:val="center"/>
              <w:rPr>
                <w:rFonts w:ascii="Times New Roman" w:hAnsi="Times New Roman" w:eastAsia="宋体" w:cs="Times New Roman"/>
              </w:rPr>
            </w:pPr>
            <w:r>
              <w:rPr>
                <w:rFonts w:ascii="Times New Roman" w:hAnsi="Times New Roman" w:eastAsia="宋体" w:cs="Times New Roman"/>
              </w:rPr>
              <w:t>11</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rPr>
            </w:pPr>
            <w:r>
              <w:rPr>
                <w:rFonts w:ascii="Times New Roman" w:hAnsi="Times New Roman" w:eastAsia="宋体" w:cs="Times New Roman"/>
              </w:rPr>
              <w:t>中小企业信用融资</w:t>
            </w:r>
          </w:p>
        </w:tc>
        <w:tc>
          <w:tcPr>
            <w:tcW w:w="7035" w:type="dxa"/>
            <w:noWrap w:val="0"/>
            <w:vAlign w:val="center"/>
          </w:tcPr>
          <w:p>
            <w:pPr>
              <w:autoSpaceDE w:val="0"/>
              <w:autoSpaceDN w:val="0"/>
              <w:adjustRightInd w:val="0"/>
              <w:spacing w:line="276" w:lineRule="auto"/>
              <w:rPr>
                <w:rFonts w:ascii="Times New Roman" w:hAnsi="Times New Roman" w:eastAsia="宋体" w:cs="Times New Roman"/>
              </w:rPr>
            </w:pPr>
            <w:r>
              <w:rPr>
                <w:rFonts w:ascii="Times New Roman" w:hAnsi="Times New Roman" w:eastAsia="宋体" w:cs="Times New Roman"/>
              </w:rPr>
              <w:t>为支持和促进中小企业发展，进一步发挥政府采购政策功能，浙江省财政厅出台浙财采监〔2020〕3 号文件，企业若有购买保险/保函或者融资意向，可登陆政采云平台融资服务（https://jinrong.zcygov.cn/），查看相应融资政策文件及各相关服务方案，咨询热线400-903-9583。</w:t>
            </w:r>
          </w:p>
          <w:p>
            <w:pPr>
              <w:autoSpaceDE w:val="0"/>
              <w:autoSpaceDN w:val="0"/>
              <w:adjustRightInd w:val="0"/>
              <w:spacing w:line="276" w:lineRule="auto"/>
              <w:rPr>
                <w:rFonts w:ascii="Times New Roman" w:hAnsi="Times New Roman" w:eastAsia="宋体" w:cs="Times New Roman"/>
              </w:rPr>
            </w:pPr>
            <w:r>
              <w:rPr>
                <w:rFonts w:ascii="Times New Roman" w:hAnsi="Times New Roman" w:eastAsia="宋体" w:cs="Times New Roman"/>
              </w:rPr>
              <w:t>为扩大政府采购金融服务面，除政采云网上金融服务合作银行外，金华市范围增加线下合作银行两家，具体信息如下：</w:t>
            </w:r>
          </w:p>
          <w:p>
            <w:pPr>
              <w:autoSpaceDE w:val="0"/>
              <w:autoSpaceDN w:val="0"/>
              <w:adjustRightInd w:val="0"/>
              <w:spacing w:line="276" w:lineRule="auto"/>
              <w:rPr>
                <w:rFonts w:ascii="Times New Roman" w:hAnsi="Times New Roman" w:eastAsia="宋体" w:cs="Times New Roman"/>
              </w:rPr>
            </w:pPr>
            <w:r>
              <w:rPr>
                <w:rFonts w:ascii="Times New Roman" w:hAnsi="Times New Roman" w:eastAsia="宋体" w:cs="Times New Roman"/>
              </w:rPr>
              <w:t>金华银行文创支行  联系人：张琳俊</w:t>
            </w:r>
          </w:p>
          <w:p>
            <w:pPr>
              <w:autoSpaceDE w:val="0"/>
              <w:autoSpaceDN w:val="0"/>
              <w:adjustRightInd w:val="0"/>
              <w:spacing w:line="276" w:lineRule="auto"/>
              <w:rPr>
                <w:rFonts w:ascii="Times New Roman" w:hAnsi="Times New Roman" w:eastAsia="宋体" w:cs="Times New Roman"/>
              </w:rPr>
            </w:pPr>
            <w:r>
              <w:rPr>
                <w:rFonts w:ascii="Times New Roman" w:hAnsi="Times New Roman" w:eastAsia="宋体" w:cs="Times New Roman"/>
              </w:rPr>
              <w:t>联系电话：13586975082    0579-82479020</w:t>
            </w:r>
          </w:p>
          <w:p>
            <w:pPr>
              <w:autoSpaceDE w:val="0"/>
              <w:autoSpaceDN w:val="0"/>
              <w:adjustRightInd w:val="0"/>
              <w:spacing w:line="276" w:lineRule="auto"/>
              <w:rPr>
                <w:rFonts w:ascii="Times New Roman" w:hAnsi="Times New Roman" w:eastAsia="宋体" w:cs="Times New Roman"/>
              </w:rPr>
            </w:pPr>
            <w:r>
              <w:rPr>
                <w:rFonts w:ascii="Times New Roman" w:hAnsi="Times New Roman" w:eastAsia="宋体" w:cs="Times New Roman"/>
              </w:rPr>
              <w:t xml:space="preserve">浙商银行金华分行   联系人：朱晨祥 </w:t>
            </w:r>
          </w:p>
          <w:p>
            <w:pPr>
              <w:autoSpaceDE w:val="0"/>
              <w:autoSpaceDN w:val="0"/>
              <w:adjustRightInd w:val="0"/>
              <w:spacing w:line="276" w:lineRule="auto"/>
              <w:rPr>
                <w:rFonts w:ascii="Times New Roman" w:hAnsi="Times New Roman" w:eastAsia="宋体" w:cs="Times New Roman"/>
              </w:rPr>
            </w:pPr>
            <w:r>
              <w:rPr>
                <w:rFonts w:ascii="Times New Roman" w:hAnsi="Times New Roman" w:eastAsia="宋体" w:cs="Times New Roman"/>
              </w:rPr>
              <w:t>联系电话：15857978811    0579-82999581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3" w:type="dxa"/>
            <w:noWrap w:val="0"/>
            <w:vAlign w:val="center"/>
          </w:tcPr>
          <w:p>
            <w:pPr>
              <w:snapToGrid w:val="0"/>
              <w:spacing w:line="276" w:lineRule="auto"/>
              <w:jc w:val="center"/>
              <w:rPr>
                <w:rFonts w:ascii="Times New Roman" w:hAnsi="Times New Roman" w:eastAsia="宋体" w:cs="Times New Roman"/>
              </w:rPr>
            </w:pPr>
            <w:r>
              <w:rPr>
                <w:rFonts w:ascii="Times New Roman" w:hAnsi="Times New Roman" w:eastAsia="宋体" w:cs="Times New Roman"/>
              </w:rPr>
              <w:t>12</w:t>
            </w:r>
          </w:p>
        </w:tc>
        <w:tc>
          <w:tcPr>
            <w:tcW w:w="2076" w:type="dxa"/>
            <w:noWrap w:val="0"/>
            <w:vAlign w:val="center"/>
          </w:tcPr>
          <w:p>
            <w:pPr>
              <w:widowControl w:val="0"/>
              <w:snapToGrid w:val="0"/>
              <w:spacing w:line="276" w:lineRule="auto"/>
              <w:jc w:val="center"/>
              <w:textAlignment w:val="bottom"/>
              <w:rPr>
                <w:rFonts w:ascii="Times New Roman" w:hAnsi="Times New Roman" w:eastAsia="宋体" w:cs="Times New Roman"/>
                <w:kern w:val="2"/>
              </w:rPr>
            </w:pPr>
            <w:r>
              <w:rPr>
                <w:rFonts w:ascii="Times New Roman" w:hAnsi="Times New Roman" w:eastAsia="宋体" w:cs="Times New Roman"/>
              </w:rPr>
              <w:t>备份投标文件</w:t>
            </w:r>
            <w:r>
              <w:rPr>
                <w:rFonts w:hint="eastAsia" w:ascii="Times New Roman" w:hAnsi="Times New Roman" w:eastAsia="宋体" w:cs="Times New Roman"/>
              </w:rPr>
              <w:t>注意事项</w:t>
            </w:r>
          </w:p>
        </w:tc>
        <w:tc>
          <w:tcPr>
            <w:tcW w:w="7035" w:type="dxa"/>
            <w:noWrap w:val="0"/>
            <w:vAlign w:val="center"/>
          </w:tcPr>
          <w:p>
            <w:pPr>
              <w:widowControl w:val="0"/>
              <w:snapToGrid w:val="0"/>
              <w:spacing w:line="276" w:lineRule="auto"/>
              <w:jc w:val="both"/>
              <w:textAlignment w:val="bottom"/>
              <w:rPr>
                <w:rFonts w:ascii="Times New Roman" w:hAnsi="Times New Roman" w:eastAsia="宋体" w:cs="Times New Roman"/>
                <w:b/>
                <w:bCs/>
                <w:kern w:val="2"/>
              </w:rPr>
            </w:pPr>
            <w:r>
              <w:rPr>
                <w:rFonts w:ascii="Times New Roman" w:hAnsi="Times New Roman" w:eastAsia="宋体" w:cs="Times New Roman"/>
                <w:b/>
                <w:bCs/>
                <w:kern w:val="2"/>
              </w:rPr>
              <w:t>备份</w:t>
            </w:r>
            <w:r>
              <w:rPr>
                <w:rFonts w:hint="eastAsia" w:ascii="Times New Roman" w:hAnsi="Times New Roman" w:eastAsia="宋体" w:cs="Times New Roman"/>
                <w:b/>
                <w:bCs/>
                <w:kern w:val="2"/>
              </w:rPr>
              <w:t>投标</w:t>
            </w:r>
            <w:r>
              <w:rPr>
                <w:rFonts w:ascii="Times New Roman" w:hAnsi="Times New Roman" w:eastAsia="宋体" w:cs="Times New Roman"/>
                <w:b/>
                <w:bCs/>
                <w:kern w:val="2"/>
              </w:rPr>
              <w:t>文件</w:t>
            </w:r>
            <w:r>
              <w:rPr>
                <w:rFonts w:hint="eastAsia" w:ascii="Times New Roman" w:hAnsi="Times New Roman" w:eastAsia="宋体" w:cs="Times New Roman"/>
                <w:b/>
                <w:bCs/>
                <w:kern w:val="2"/>
              </w:rPr>
              <w:t>发送</w:t>
            </w:r>
            <w:r>
              <w:rPr>
                <w:rFonts w:ascii="Times New Roman" w:hAnsi="Times New Roman" w:eastAsia="宋体" w:cs="Times New Roman"/>
                <w:b/>
                <w:bCs/>
                <w:kern w:val="2"/>
              </w:rPr>
              <w:t>截止时间：与</w:t>
            </w:r>
            <w:r>
              <w:rPr>
                <w:rFonts w:hint="eastAsia" w:ascii="Times New Roman" w:hAnsi="Times New Roman" w:eastAsia="宋体" w:cs="Times New Roman"/>
                <w:b/>
                <w:bCs/>
                <w:kern w:val="2"/>
              </w:rPr>
              <w:t>投标文件递交截止</w:t>
            </w:r>
            <w:r>
              <w:rPr>
                <w:rFonts w:ascii="Times New Roman" w:hAnsi="Times New Roman" w:eastAsia="宋体" w:cs="Times New Roman"/>
                <w:b/>
                <w:bCs/>
                <w:kern w:val="2"/>
              </w:rPr>
              <w:t>时间一致</w:t>
            </w:r>
          </w:p>
          <w:p>
            <w:pPr>
              <w:widowControl w:val="0"/>
              <w:snapToGrid w:val="0"/>
              <w:spacing w:line="276" w:lineRule="auto"/>
              <w:jc w:val="both"/>
              <w:textAlignment w:val="bottom"/>
              <w:rPr>
                <w:rFonts w:ascii="Times New Roman" w:hAnsi="Times New Roman" w:eastAsia="宋体" w:cs="Times New Roman"/>
                <w:b/>
                <w:bCs/>
                <w:kern w:val="2"/>
              </w:rPr>
            </w:pPr>
            <w:r>
              <w:rPr>
                <w:rFonts w:ascii="Times New Roman" w:hAnsi="Times New Roman" w:eastAsia="宋体" w:cs="Times New Roman"/>
                <w:b/>
                <w:bCs/>
                <w:kern w:val="2"/>
              </w:rPr>
              <w:t>备份</w:t>
            </w:r>
            <w:r>
              <w:rPr>
                <w:rFonts w:hint="eastAsia" w:ascii="Times New Roman" w:hAnsi="Times New Roman" w:eastAsia="宋体" w:cs="Times New Roman"/>
                <w:b/>
                <w:bCs/>
                <w:kern w:val="2"/>
              </w:rPr>
              <w:t>投标</w:t>
            </w:r>
            <w:r>
              <w:rPr>
                <w:rFonts w:ascii="Times New Roman" w:hAnsi="Times New Roman" w:eastAsia="宋体" w:cs="Times New Roman"/>
                <w:b/>
                <w:bCs/>
                <w:kern w:val="2"/>
              </w:rPr>
              <w:t>文件</w:t>
            </w:r>
            <w:r>
              <w:rPr>
                <w:rFonts w:hint="eastAsia" w:ascii="Times New Roman" w:hAnsi="Times New Roman" w:eastAsia="宋体" w:cs="Times New Roman"/>
                <w:b/>
                <w:bCs/>
                <w:kern w:val="2"/>
              </w:rPr>
              <w:t>递交方式</w:t>
            </w:r>
            <w:r>
              <w:rPr>
                <w:rFonts w:ascii="Times New Roman" w:hAnsi="Times New Roman" w:eastAsia="宋体" w:cs="Times New Roman"/>
                <w:b/>
                <w:bCs/>
                <w:kern w:val="2"/>
              </w:rPr>
              <w:t>：</w:t>
            </w:r>
            <w:r>
              <w:rPr>
                <w:rFonts w:hint="eastAsia" w:ascii="Times New Roman" w:hAnsi="Times New Roman" w:eastAsia="宋体" w:cs="Times New Roman"/>
                <w:b/>
                <w:bCs/>
                <w:kern w:val="2"/>
              </w:rPr>
              <w:t>电子文件加密后邮件发送至代理公司邮箱（j</w:t>
            </w:r>
            <w:r>
              <w:rPr>
                <w:rFonts w:ascii="Times New Roman" w:hAnsi="Times New Roman" w:eastAsia="宋体" w:cs="Times New Roman"/>
                <w:b/>
                <w:bCs/>
                <w:kern w:val="2"/>
              </w:rPr>
              <w:t>hygzb</w:t>
            </w:r>
            <w:r>
              <w:rPr>
                <w:rFonts w:hint="eastAsia" w:ascii="Times New Roman" w:hAnsi="Times New Roman" w:eastAsia="宋体" w:cs="Times New Roman"/>
                <w:b/>
                <w:bCs/>
                <w:kern w:val="2"/>
              </w:rPr>
              <w:t>@</w:t>
            </w:r>
            <w:r>
              <w:rPr>
                <w:rFonts w:ascii="Times New Roman" w:hAnsi="Times New Roman" w:eastAsia="宋体" w:cs="Times New Roman"/>
                <w:b/>
                <w:bCs/>
                <w:kern w:val="2"/>
              </w:rPr>
              <w:t>qq.com</w:t>
            </w:r>
            <w:r>
              <w:rPr>
                <w:rFonts w:hint="eastAsia" w:ascii="Times New Roman" w:hAnsi="Times New Roman" w:eastAsia="宋体" w:cs="Times New Roman"/>
                <w:b/>
                <w:bCs/>
                <w:kern w:val="2"/>
              </w:rPr>
              <w:t>），密码在投标文件开启时间后再次发送至邮箱即可。</w:t>
            </w:r>
          </w:p>
          <w:p>
            <w:pPr>
              <w:widowControl w:val="0"/>
              <w:snapToGrid w:val="0"/>
              <w:spacing w:line="276" w:lineRule="auto"/>
              <w:jc w:val="both"/>
              <w:textAlignment w:val="bottom"/>
              <w:rPr>
                <w:rFonts w:hint="eastAsia" w:ascii="Times New Roman" w:hAnsi="Times New Roman" w:eastAsia="宋体" w:cs="Times New Roman"/>
                <w:kern w:val="2"/>
              </w:rPr>
            </w:pPr>
            <w:r>
              <w:rPr>
                <w:rFonts w:ascii="Times New Roman" w:hAnsi="Times New Roman" w:eastAsia="宋体" w:cs="Times New Roman"/>
                <w:kern w:val="2"/>
              </w:rPr>
              <w:t>（1）“电子备份</w:t>
            </w:r>
            <w:r>
              <w:rPr>
                <w:rFonts w:hint="eastAsia" w:ascii="Times New Roman" w:hAnsi="Times New Roman" w:eastAsia="宋体" w:cs="Times New Roman"/>
                <w:kern w:val="2"/>
              </w:rPr>
              <w:t>投标</w:t>
            </w:r>
            <w:r>
              <w:rPr>
                <w:rFonts w:ascii="Times New Roman" w:hAnsi="Times New Roman" w:eastAsia="宋体" w:cs="Times New Roman"/>
                <w:kern w:val="2"/>
              </w:rPr>
              <w:t>文件”须在</w:t>
            </w:r>
            <w:r>
              <w:rPr>
                <w:rFonts w:ascii="Times New Roman" w:hAnsi="Times New Roman" w:eastAsia="宋体" w:cs="Times New Roman"/>
              </w:rPr>
              <w:t>“政采云投标客户端”制作生成。</w:t>
            </w:r>
          </w:p>
          <w:p>
            <w:pPr>
              <w:widowControl w:val="0"/>
              <w:snapToGrid w:val="0"/>
              <w:spacing w:line="276" w:lineRule="auto"/>
              <w:jc w:val="both"/>
              <w:textAlignment w:val="bottom"/>
              <w:rPr>
                <w:rFonts w:ascii="Times New Roman" w:hAnsi="Times New Roman" w:eastAsia="宋体" w:cs="Times New Roman"/>
                <w:kern w:val="2"/>
              </w:rPr>
            </w:pPr>
            <w:r>
              <w:rPr>
                <w:rFonts w:ascii="Times New Roman" w:hAnsi="Times New Roman" w:eastAsia="宋体" w:cs="Times New Roman"/>
                <w:kern w:val="2"/>
              </w:rPr>
              <w:t>（2）</w:t>
            </w:r>
            <w:r>
              <w:rPr>
                <w:rFonts w:hint="eastAsia" w:ascii="Times New Roman" w:hAnsi="Times New Roman" w:eastAsia="宋体" w:cs="Times New Roman"/>
                <w:kern w:val="2"/>
              </w:rPr>
              <w:t>投标</w:t>
            </w:r>
            <w:r>
              <w:rPr>
                <w:rFonts w:ascii="Times New Roman" w:hAnsi="Times New Roman" w:eastAsia="宋体" w:cs="Times New Roman"/>
                <w:kern w:val="2"/>
              </w:rPr>
              <w:t>文件递交截止时间前，</w:t>
            </w:r>
            <w:r>
              <w:rPr>
                <w:rFonts w:hint="eastAsia" w:ascii="Times New Roman" w:hAnsi="Times New Roman" w:eastAsia="宋体" w:cs="Times New Roman"/>
                <w:kern w:val="2"/>
              </w:rPr>
              <w:t>投标人</w:t>
            </w:r>
            <w:r>
              <w:rPr>
                <w:rFonts w:ascii="Times New Roman" w:hAnsi="Times New Roman" w:eastAsia="宋体" w:cs="Times New Roman"/>
                <w:kern w:val="2"/>
              </w:rPr>
              <w:t>仅递交了“电子备份响应文件”而未将“电子加密响应文件”上传至“政府采购云平台”的，</w:t>
            </w:r>
            <w:r>
              <w:rPr>
                <w:rFonts w:hint="eastAsia" w:ascii="Times New Roman" w:hAnsi="Times New Roman" w:eastAsia="宋体" w:cs="Times New Roman"/>
                <w:kern w:val="2"/>
              </w:rPr>
              <w:t>投标</w:t>
            </w:r>
            <w:r>
              <w:rPr>
                <w:rFonts w:ascii="Times New Roman" w:hAnsi="Times New Roman" w:eastAsia="宋体" w:cs="Times New Roman"/>
                <w:kern w:val="2"/>
              </w:rPr>
              <w:t>无效。</w:t>
            </w:r>
          </w:p>
          <w:p>
            <w:pPr>
              <w:widowControl w:val="0"/>
              <w:adjustRightInd w:val="0"/>
              <w:snapToGrid w:val="0"/>
              <w:spacing w:line="276" w:lineRule="auto"/>
              <w:rPr>
                <w:rFonts w:ascii="Times New Roman" w:hAnsi="Times New Roman" w:eastAsia="宋体" w:cs="Times New Roman"/>
                <w:kern w:val="2"/>
              </w:rPr>
            </w:pPr>
            <w:r>
              <w:rPr>
                <w:rFonts w:ascii="Times New Roman" w:hAnsi="Times New Roman" w:eastAsia="宋体" w:cs="Times New Roman"/>
                <w:kern w:val="2"/>
              </w:rPr>
              <w:t>（3）“电子备份</w:t>
            </w:r>
            <w:r>
              <w:rPr>
                <w:rFonts w:hint="eastAsia" w:ascii="Times New Roman" w:hAnsi="Times New Roman" w:eastAsia="宋体" w:cs="Times New Roman"/>
                <w:kern w:val="2"/>
              </w:rPr>
              <w:t>投标</w:t>
            </w:r>
            <w:r>
              <w:rPr>
                <w:rFonts w:ascii="Times New Roman" w:hAnsi="Times New Roman" w:eastAsia="宋体" w:cs="Times New Roman"/>
                <w:kern w:val="2"/>
              </w:rPr>
              <w:t>文件”为非强制性要求，但如遇</w:t>
            </w:r>
            <w:r>
              <w:rPr>
                <w:rFonts w:hint="eastAsia" w:ascii="Times New Roman" w:hAnsi="Times New Roman" w:eastAsia="宋体" w:cs="Times New Roman"/>
                <w:kern w:val="2"/>
              </w:rPr>
              <w:t>投标人</w:t>
            </w:r>
            <w:r>
              <w:rPr>
                <w:rFonts w:ascii="Times New Roman" w:hAnsi="Times New Roman" w:eastAsia="宋体" w:cs="Times New Roman"/>
                <w:kern w:val="2"/>
              </w:rPr>
              <w:t>未按时解密成功且未提供“电子备份</w:t>
            </w:r>
            <w:r>
              <w:rPr>
                <w:rFonts w:hint="eastAsia" w:ascii="Times New Roman" w:hAnsi="Times New Roman" w:eastAsia="宋体" w:cs="Times New Roman"/>
                <w:kern w:val="2"/>
              </w:rPr>
              <w:t>投标</w:t>
            </w:r>
            <w:r>
              <w:rPr>
                <w:rFonts w:ascii="Times New Roman" w:hAnsi="Times New Roman" w:eastAsia="宋体" w:cs="Times New Roman"/>
                <w:kern w:val="2"/>
              </w:rPr>
              <w:t>文件”的，作</w:t>
            </w:r>
            <w:r>
              <w:rPr>
                <w:rFonts w:hint="eastAsia" w:ascii="Times New Roman" w:hAnsi="Times New Roman" w:eastAsia="宋体" w:cs="Times New Roman"/>
                <w:kern w:val="2"/>
              </w:rPr>
              <w:t>投标</w:t>
            </w:r>
            <w:r>
              <w:rPr>
                <w:rFonts w:ascii="Times New Roman" w:hAnsi="Times New Roman" w:eastAsia="宋体" w:cs="Times New Roman"/>
                <w:kern w:val="2"/>
              </w:rPr>
              <w:t>无效处理，后果由</w:t>
            </w:r>
            <w:r>
              <w:rPr>
                <w:rFonts w:hint="eastAsia" w:ascii="Times New Roman" w:hAnsi="Times New Roman" w:eastAsia="宋体" w:cs="Times New Roman"/>
                <w:kern w:val="2"/>
              </w:rPr>
              <w:t>投标人</w:t>
            </w:r>
            <w:r>
              <w:rPr>
                <w:rFonts w:ascii="Times New Roman" w:hAnsi="Times New Roman" w:eastAsia="宋体" w:cs="Times New Roman"/>
                <w:kern w:val="2"/>
              </w:rPr>
              <w:t>自负。</w:t>
            </w:r>
          </w:p>
          <w:p>
            <w:pPr>
              <w:widowControl w:val="0"/>
              <w:adjustRightInd w:val="0"/>
              <w:snapToGrid w:val="0"/>
              <w:spacing w:line="276" w:lineRule="auto"/>
              <w:rPr>
                <w:rFonts w:hint="eastAsia" w:ascii="宋体" w:hAnsi="宋体" w:eastAsia="宋体" w:cs="Times New Roman"/>
                <w:kern w:val="2"/>
              </w:rPr>
            </w:pPr>
            <w:r>
              <w:rPr>
                <w:rFonts w:hint="eastAsia" w:ascii="宋体" w:hAnsi="宋体" w:eastAsia="宋体" w:cs="Times New Roman"/>
                <w:b/>
              </w:rPr>
              <w:t>不符合上述制作、</w:t>
            </w:r>
            <w:r>
              <w:rPr>
                <w:rFonts w:hint="eastAsia" w:ascii="宋体" w:hAnsi="宋体" w:eastAsia="宋体" w:cs="仿宋_GB2312"/>
                <w:b/>
              </w:rPr>
              <w:t>递交时间及递交方式的备份投标文件将被视为无效的</w:t>
            </w:r>
            <w:r>
              <w:rPr>
                <w:rFonts w:ascii="Times New Roman" w:hAnsi="Times New Roman" w:eastAsia="宋体" w:cs="Times New Roman"/>
                <w:b/>
                <w:bCs/>
                <w:kern w:val="2"/>
              </w:rPr>
              <w:t>备份</w:t>
            </w:r>
            <w:r>
              <w:rPr>
                <w:rFonts w:hint="eastAsia" w:ascii="Times New Roman" w:hAnsi="Times New Roman" w:eastAsia="宋体" w:cs="Times New Roman"/>
                <w:b/>
                <w:bCs/>
                <w:kern w:val="2"/>
              </w:rPr>
              <w:t>投标</w:t>
            </w:r>
            <w:r>
              <w:rPr>
                <w:rFonts w:ascii="Times New Roman" w:hAnsi="Times New Roman" w:eastAsia="宋体" w:cs="Times New Roman"/>
                <w:b/>
                <w:bCs/>
                <w:kern w:val="2"/>
              </w:rPr>
              <w:t>文件</w:t>
            </w:r>
            <w:r>
              <w:rPr>
                <w:rFonts w:hint="eastAsia" w:ascii="宋体" w:hAnsi="宋体" w:eastAsia="宋体" w:cs="仿宋_GB2312"/>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 w:type="dxa"/>
            <w:noWrap w:val="0"/>
            <w:vAlign w:val="center"/>
          </w:tcPr>
          <w:p>
            <w:pPr>
              <w:pStyle w:val="24"/>
              <w:widowControl w:val="0"/>
              <w:adjustRightInd w:val="0"/>
              <w:snapToGrid w:val="0"/>
              <w:spacing w:before="120" w:beforeLines="50" w:after="120" w:afterLines="50" w:line="276" w:lineRule="auto"/>
              <w:jc w:val="center"/>
              <w:rPr>
                <w:rFonts w:ascii="Times New Roman" w:hAnsi="Times New Roman" w:eastAsia="宋体" w:cs="Times New Roman"/>
              </w:rPr>
            </w:pPr>
            <w:r>
              <w:rPr>
                <w:rFonts w:ascii="Times New Roman" w:hAnsi="Times New Roman" w:eastAsia="宋体" w:cs="Times New Roman"/>
              </w:rPr>
              <w:t>13</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rPr>
            </w:pPr>
            <w:r>
              <w:rPr>
                <w:rFonts w:ascii="Times New Roman" w:hAnsi="Times New Roman" w:eastAsia="宋体" w:cs="Times New Roman"/>
              </w:rPr>
              <w:t>答疑与澄清</w:t>
            </w:r>
          </w:p>
        </w:tc>
        <w:tc>
          <w:tcPr>
            <w:tcW w:w="7035" w:type="dxa"/>
            <w:noWrap w:val="0"/>
            <w:vAlign w:val="center"/>
          </w:tcPr>
          <w:p>
            <w:pPr>
              <w:widowControl w:val="0"/>
              <w:adjustRightInd w:val="0"/>
              <w:snapToGrid w:val="0"/>
              <w:spacing w:line="276" w:lineRule="auto"/>
              <w:rPr>
                <w:rFonts w:ascii="Times New Roman" w:hAnsi="Times New Roman" w:eastAsia="宋体" w:cs="Times New Roman"/>
              </w:rPr>
            </w:pPr>
            <w:r>
              <w:rPr>
                <w:rFonts w:ascii="Times New Roman" w:hAnsi="Times New Roman" w:eastAsia="宋体" w:cs="Times New Roman"/>
              </w:rPr>
              <w:t>投标人如认为公开招标文件表述不清晰、存在歧视性、排他性或者其他违法内容的，可以自获取招标文件之日（招标文件公告期限届满之后获取招标文件的以公告期限届满之日起计算）起7个工作日内，以书面形式向采购人和采购代理机构提出质疑；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 w:type="dxa"/>
            <w:noWrap w:val="0"/>
            <w:vAlign w:val="center"/>
          </w:tcPr>
          <w:p>
            <w:pPr>
              <w:pStyle w:val="24"/>
              <w:widowControl w:val="0"/>
              <w:adjustRightInd w:val="0"/>
              <w:snapToGrid w:val="0"/>
              <w:spacing w:before="120" w:beforeLines="50" w:after="120" w:afterLines="50" w:line="276" w:lineRule="auto"/>
              <w:jc w:val="center"/>
              <w:rPr>
                <w:rFonts w:ascii="Times New Roman" w:hAnsi="Times New Roman" w:eastAsia="宋体" w:cs="Times New Roman"/>
              </w:rPr>
            </w:pPr>
            <w:r>
              <w:rPr>
                <w:rFonts w:ascii="Times New Roman" w:hAnsi="Times New Roman" w:eastAsia="宋体" w:cs="Times New Roman"/>
              </w:rPr>
              <w:t>14</w:t>
            </w:r>
          </w:p>
        </w:tc>
        <w:tc>
          <w:tcPr>
            <w:tcW w:w="2076" w:type="dxa"/>
            <w:noWrap w:val="0"/>
            <w:vAlign w:val="center"/>
          </w:tcPr>
          <w:p>
            <w:pPr>
              <w:widowControl w:val="0"/>
              <w:adjustRightInd w:val="0"/>
              <w:snapToGrid w:val="0"/>
              <w:spacing w:line="276" w:lineRule="auto"/>
              <w:jc w:val="center"/>
              <w:rPr>
                <w:rFonts w:ascii="Times New Roman" w:hAnsi="Times New Roman" w:eastAsia="宋体" w:cs="Times New Roman"/>
              </w:rPr>
            </w:pPr>
            <w:r>
              <w:rPr>
                <w:rFonts w:ascii="Times New Roman" w:hAnsi="Times New Roman" w:eastAsia="宋体" w:cs="Times New Roman"/>
              </w:rPr>
              <w:t>特别说明</w:t>
            </w:r>
          </w:p>
        </w:tc>
        <w:tc>
          <w:tcPr>
            <w:tcW w:w="7035" w:type="dxa"/>
            <w:noWrap w:val="0"/>
            <w:vAlign w:val="center"/>
          </w:tcPr>
          <w:p>
            <w:pPr>
              <w:widowControl w:val="0"/>
              <w:adjustRightInd w:val="0"/>
              <w:snapToGrid w:val="0"/>
              <w:spacing w:line="276" w:lineRule="auto"/>
              <w:rPr>
                <w:rFonts w:ascii="Times New Roman" w:hAnsi="Times New Roman" w:eastAsia="宋体" w:cs="Times New Roman"/>
              </w:rPr>
            </w:pPr>
            <w:r>
              <w:rPr>
                <w:rFonts w:ascii="Times New Roman" w:hAnsi="Times New Roman" w:eastAsia="宋体" w:cs="Times New Roman"/>
              </w:rPr>
              <w:t>当招标文件中的内容与前附表规定不一致时，以前附表规定为准。</w:t>
            </w:r>
          </w:p>
        </w:tc>
      </w:tr>
    </w:tbl>
    <w:p>
      <w:pPr>
        <w:spacing w:line="360" w:lineRule="auto"/>
        <w:rPr>
          <w:rFonts w:ascii="宋体" w:hAnsi="宋体"/>
        </w:rPr>
        <w:sectPr>
          <w:pgSz w:w="11906" w:h="16838"/>
          <w:pgMar w:top="1258" w:right="1286" w:bottom="1361" w:left="1620" w:header="709" w:footer="971" w:gutter="0"/>
          <w:cols w:space="720" w:num="1"/>
          <w:docGrid w:linePitch="360" w:charSpace="0"/>
        </w:sectPr>
      </w:pPr>
    </w:p>
    <w:p>
      <w:pPr>
        <w:pStyle w:val="2"/>
        <w:spacing w:before="120" w:after="240" w:line="240" w:lineRule="auto"/>
        <w:jc w:val="center"/>
        <w:rPr>
          <w:rFonts w:ascii="宋体" w:hAnsi="宋体"/>
        </w:rPr>
      </w:pPr>
      <w:bookmarkStart w:id="44" w:name="_Toc93668161"/>
      <w:r>
        <w:rPr>
          <w:rFonts w:hint="eastAsia" w:ascii="宋体" w:hAnsi="宋体"/>
        </w:rPr>
        <w:t xml:space="preserve">第三章 </w:t>
      </w:r>
      <w:r>
        <w:rPr>
          <w:rFonts w:ascii="宋体" w:hAnsi="宋体"/>
        </w:rPr>
        <w:t xml:space="preserve"> 项目技术规范和要求</w:t>
      </w:r>
      <w:bookmarkEnd w:id="44"/>
    </w:p>
    <w:p>
      <w:pPr>
        <w:spacing w:line="360" w:lineRule="auto"/>
        <w:jc w:val="center"/>
        <w:rPr>
          <w:b/>
          <w:sz w:val="30"/>
          <w:szCs w:val="30"/>
        </w:rPr>
      </w:pPr>
      <w:r>
        <w:rPr>
          <w:b/>
          <w:sz w:val="30"/>
          <w:szCs w:val="30"/>
        </w:rPr>
        <w:t>一、项目</w:t>
      </w:r>
      <w:r>
        <w:rPr>
          <w:rFonts w:hint="eastAsia"/>
          <w:b/>
          <w:sz w:val="30"/>
          <w:szCs w:val="30"/>
        </w:rPr>
        <w:t>内容</w:t>
      </w:r>
    </w:p>
    <w:p>
      <w:pPr>
        <w:keepNext/>
        <w:keepLines/>
        <w:widowControl w:val="0"/>
        <w:numPr>
          <w:ilvl w:val="1"/>
          <w:numId w:val="2"/>
        </w:numPr>
        <w:spacing w:before="240" w:beforeLines="100" w:after="180" w:afterLines="75" w:line="360" w:lineRule="auto"/>
        <w:ind w:left="0" w:firstLine="602" w:firstLineChars="200"/>
        <w:contextualSpacing/>
        <w:jc w:val="both"/>
        <w:outlineLvl w:val="1"/>
        <w:rPr>
          <w:rFonts w:ascii="宋体" w:hAnsi="宋体"/>
          <w:b/>
          <w:bCs/>
          <w:kern w:val="2"/>
          <w:sz w:val="30"/>
          <w:szCs w:val="30"/>
        </w:rPr>
      </w:pPr>
      <w:r>
        <w:rPr>
          <w:rFonts w:hint="eastAsia" w:ascii="宋体" w:hAnsi="宋体"/>
          <w:b/>
          <w:bCs/>
          <w:kern w:val="2"/>
          <w:sz w:val="30"/>
          <w:szCs w:val="30"/>
        </w:rPr>
        <w:t>项目背景</w:t>
      </w:r>
    </w:p>
    <w:p>
      <w:pPr>
        <w:widowControl w:val="0"/>
        <w:spacing w:line="360" w:lineRule="auto"/>
        <w:ind w:firstLine="480" w:firstLineChars="200"/>
        <w:jc w:val="both"/>
        <w:rPr>
          <w:rFonts w:hint="eastAsia" w:ascii="宋体" w:hAnsi="宋体"/>
          <w:kern w:val="2"/>
        </w:rPr>
      </w:pPr>
      <w:r>
        <w:rPr>
          <w:rFonts w:hint="eastAsia" w:ascii="宋体" w:hAnsi="宋体"/>
          <w:kern w:val="2"/>
        </w:rPr>
        <w:t>为贯彻落实上级关于公共视频监控建设一体化改革相关文件精神，推动社会面治安防控体系建设，实现整体智治，近年来，金东区大力推进辖区前端智能感知设备建设，逐步形成了以公安主导建设为主体，结合政府行业与社会资源接入为辅助的整体构架，已基本覆盖全区各主要城区道路、重点部位。视频监控在预防打击违法犯罪、防范暴力恐怖袭击、处置突发事件、维护社会稳定等工作中发挥了重要的作用。</w:t>
      </w:r>
    </w:p>
    <w:p>
      <w:pPr>
        <w:widowControl w:val="0"/>
        <w:spacing w:line="360" w:lineRule="auto"/>
        <w:ind w:firstLine="480" w:firstLineChars="200"/>
        <w:jc w:val="both"/>
        <w:rPr>
          <w:rFonts w:hint="eastAsia" w:ascii="宋体" w:hAnsi="宋体"/>
          <w:kern w:val="2"/>
        </w:rPr>
      </w:pPr>
      <w:r>
        <w:rPr>
          <w:rFonts w:hint="eastAsia" w:ascii="宋体" w:hAnsi="宋体"/>
          <w:kern w:val="2"/>
        </w:rPr>
        <w:t>面对社会治安出现的新情况新问题，迫切需要进一步提升前端感知网在重大活动安保、处置突发事件等勤务工作中的实时防控能力和轨迹覆盖还原能力、利用全域视频提高案件侦破的侦查效率、解决最后一公里视频监控接入、进一步发挥在预防打击违法犯罪和维护社会稳定等案事件处置工作中的实在作用。</w:t>
      </w:r>
    </w:p>
    <w:p>
      <w:pPr>
        <w:keepNext/>
        <w:keepLines/>
        <w:widowControl w:val="0"/>
        <w:numPr>
          <w:ilvl w:val="1"/>
          <w:numId w:val="2"/>
        </w:numPr>
        <w:spacing w:before="240" w:beforeLines="100" w:after="180" w:afterLines="75" w:line="360" w:lineRule="auto"/>
        <w:ind w:left="0" w:firstLine="602" w:firstLineChars="200"/>
        <w:contextualSpacing/>
        <w:jc w:val="both"/>
        <w:outlineLvl w:val="1"/>
        <w:rPr>
          <w:rFonts w:hint="eastAsia" w:ascii="宋体" w:hAnsi="宋体"/>
          <w:b/>
          <w:bCs/>
          <w:kern w:val="2"/>
          <w:sz w:val="30"/>
          <w:szCs w:val="30"/>
        </w:rPr>
      </w:pPr>
      <w:r>
        <w:rPr>
          <w:rFonts w:hint="eastAsia" w:ascii="宋体" w:hAnsi="宋体"/>
          <w:b/>
          <w:bCs/>
          <w:kern w:val="2"/>
          <w:sz w:val="30"/>
          <w:szCs w:val="30"/>
        </w:rPr>
        <w:t>现状分析</w:t>
      </w:r>
    </w:p>
    <w:p>
      <w:pPr>
        <w:adjustRightInd w:val="0"/>
        <w:snapToGrid w:val="0"/>
        <w:spacing w:before="100" w:beforeAutospacing="1" w:after="100" w:afterAutospacing="1" w:line="360" w:lineRule="auto"/>
        <w:ind w:firstLine="480" w:firstLineChars="200"/>
        <w:rPr>
          <w:rFonts w:hint="eastAsia" w:ascii="宋体" w:hAnsi="宋体"/>
        </w:rPr>
      </w:pPr>
      <w:r>
        <w:rPr>
          <w:rFonts w:hint="eastAsia" w:ascii="宋体" w:hAnsi="宋体"/>
        </w:rPr>
        <w:t>随着近几年公安机关信息化的发展，软硬件设备的不断提升，基层采集设备的逐步增多，智慧安防技术的应用及全国智慧安防工作的持续推进，我区现有系统库容、比对速度、比对精度及功能应用，无法满足日常查询及治安防控、治理创新和市域治理能力现代化的提升需求。</w:t>
      </w:r>
    </w:p>
    <w:p>
      <w:pPr>
        <w:keepNext/>
        <w:keepLines/>
        <w:widowControl w:val="0"/>
        <w:numPr>
          <w:ilvl w:val="1"/>
          <w:numId w:val="2"/>
        </w:numPr>
        <w:spacing w:before="240" w:beforeLines="100" w:after="180" w:afterLines="75" w:line="360" w:lineRule="auto"/>
        <w:ind w:left="0" w:firstLine="602" w:firstLineChars="200"/>
        <w:contextualSpacing/>
        <w:jc w:val="both"/>
        <w:outlineLvl w:val="1"/>
        <w:rPr>
          <w:rFonts w:hint="eastAsia" w:ascii="宋体" w:hAnsi="宋体"/>
          <w:b/>
          <w:bCs/>
          <w:kern w:val="2"/>
          <w:sz w:val="30"/>
          <w:szCs w:val="30"/>
        </w:rPr>
      </w:pPr>
      <w:r>
        <w:rPr>
          <w:rFonts w:hint="eastAsia" w:ascii="宋体" w:hAnsi="宋体"/>
          <w:b/>
          <w:bCs/>
          <w:kern w:val="2"/>
          <w:sz w:val="30"/>
          <w:szCs w:val="30"/>
        </w:rPr>
        <w:t>业务需求分析</w:t>
      </w:r>
    </w:p>
    <w:p>
      <w:pPr>
        <w:widowControl w:val="0"/>
        <w:spacing w:line="360" w:lineRule="auto"/>
        <w:ind w:firstLine="480" w:firstLineChars="200"/>
        <w:jc w:val="both"/>
        <w:rPr>
          <w:rFonts w:hint="eastAsia" w:ascii="宋体" w:hAnsi="宋体"/>
          <w:kern w:val="2"/>
        </w:rPr>
      </w:pPr>
      <w:r>
        <w:rPr>
          <w:rFonts w:hint="eastAsia" w:ascii="宋体" w:hAnsi="宋体"/>
          <w:kern w:val="2"/>
        </w:rPr>
        <w:t>村居安防工程：深化科学布点，开展场景建设，系统建设遵循科学、合理的布点规划理论，在成熟的布建模型“圈块格线点”的基础上，通过梳理归纳不同城市区位空间环境的组成、结构以及承载城市活动的功能差异性，探寻治安与犯罪问题的空间性规律。密织防控网络，实现多维感知依托行业领先的前沿技术，在不同城市区位、场景中因地制宜地部署“地面、空中、静态、动态、物联”这五张前端防控感知网络。前端系统以泛在网络思维进行架构，改变原有各类感知前端遍布，各分系统林立，彼此之间却缺乏深层意义上互联互通的状况，构建一个多角度、多层次、全时空的立体化前端数据采集网络。各子网、分系统各司其职，同时又协同作战，成为一个有机的、不可割裂的整体，全面提升对于人、车、事物、组织以时间为轴运行发展的全过程防控水平，提升社会治安整体防控能力。</w:t>
      </w:r>
    </w:p>
    <w:p>
      <w:pPr>
        <w:widowControl w:val="0"/>
        <w:numPr>
          <w:ilvl w:val="2"/>
          <w:numId w:val="2"/>
        </w:numPr>
        <w:spacing w:before="100" w:after="75" w:line="360" w:lineRule="auto"/>
        <w:ind w:left="0" w:firstLine="562" w:firstLineChars="200"/>
        <w:jc w:val="both"/>
        <w:outlineLvl w:val="2"/>
        <w:rPr>
          <w:rFonts w:hint="eastAsia" w:ascii="宋体" w:hAnsi="宋体"/>
          <w:b/>
          <w:bCs/>
          <w:kern w:val="2"/>
          <w:sz w:val="28"/>
          <w:szCs w:val="28"/>
        </w:rPr>
      </w:pPr>
      <w:r>
        <w:rPr>
          <w:rFonts w:hint="eastAsia" w:ascii="宋体" w:hAnsi="宋体"/>
          <w:b/>
          <w:bCs/>
          <w:kern w:val="2"/>
          <w:sz w:val="28"/>
          <w:szCs w:val="28"/>
        </w:rPr>
        <w:t>用户需求分析</w:t>
      </w:r>
    </w:p>
    <w:p>
      <w:pPr>
        <w:widowControl w:val="0"/>
        <w:spacing w:line="360" w:lineRule="auto"/>
        <w:ind w:firstLine="480" w:firstLineChars="200"/>
        <w:jc w:val="both"/>
        <w:rPr>
          <w:rFonts w:hint="eastAsia" w:ascii="宋体" w:hAnsi="宋体"/>
          <w:kern w:val="2"/>
        </w:rPr>
      </w:pPr>
      <w:r>
        <w:rPr>
          <w:rFonts w:hint="eastAsia" w:ascii="宋体" w:hAnsi="宋体"/>
          <w:kern w:val="2"/>
        </w:rPr>
        <w:t>本项目主要涉及金东区公安局、城区、乡镇居民等。</w:t>
      </w:r>
    </w:p>
    <w:p>
      <w:pPr>
        <w:widowControl w:val="0"/>
        <w:spacing w:line="360" w:lineRule="auto"/>
        <w:ind w:firstLine="480" w:firstLineChars="200"/>
        <w:jc w:val="both"/>
        <w:rPr>
          <w:rFonts w:hint="eastAsia" w:ascii="宋体" w:hAnsi="宋体"/>
          <w:kern w:val="2"/>
        </w:rPr>
      </w:pPr>
      <w:r>
        <w:rPr>
          <w:rFonts w:hint="eastAsia" w:ascii="宋体" w:hAnsi="宋体"/>
          <w:kern w:val="2"/>
        </w:rPr>
        <w:t>（1）金华市金东公安局</w:t>
      </w:r>
    </w:p>
    <w:p>
      <w:pPr>
        <w:widowControl w:val="0"/>
        <w:spacing w:line="360" w:lineRule="auto"/>
        <w:ind w:firstLine="480" w:firstLineChars="200"/>
        <w:jc w:val="both"/>
        <w:rPr>
          <w:rFonts w:hint="eastAsia" w:ascii="宋体" w:hAnsi="宋体"/>
          <w:kern w:val="2"/>
        </w:rPr>
      </w:pPr>
      <w:r>
        <w:rPr>
          <w:rFonts w:hint="eastAsia" w:ascii="宋体" w:hAnsi="宋体"/>
          <w:kern w:val="2"/>
        </w:rPr>
        <w:t>金华市金东公安局可以利用本项目监控系统对辖区内各个乡镇街道外来人员及车辆的轨迹掌控和对遗失车辆的快速定位。对辖区内其他治安事件和刑侦案件的快速查询比对帮助。对辖区内疫情防控能提供有效的帮助。</w:t>
      </w:r>
    </w:p>
    <w:p>
      <w:pPr>
        <w:widowControl w:val="0"/>
        <w:spacing w:line="360" w:lineRule="auto"/>
        <w:ind w:firstLine="480" w:firstLineChars="200"/>
        <w:jc w:val="both"/>
        <w:rPr>
          <w:rFonts w:hint="eastAsia" w:ascii="宋体" w:hAnsi="宋体"/>
          <w:kern w:val="2"/>
        </w:rPr>
      </w:pPr>
      <w:r>
        <w:rPr>
          <w:rFonts w:hint="eastAsia" w:ascii="宋体" w:hAnsi="宋体"/>
          <w:kern w:val="2"/>
        </w:rPr>
        <w:t>（2）城区、乡镇居民</w:t>
      </w:r>
    </w:p>
    <w:p>
      <w:pPr>
        <w:widowControl w:val="0"/>
        <w:spacing w:line="360" w:lineRule="auto"/>
        <w:ind w:firstLine="480" w:firstLineChars="200"/>
        <w:jc w:val="both"/>
        <w:rPr>
          <w:rFonts w:hint="eastAsia" w:ascii="宋体" w:hAnsi="宋体"/>
          <w:kern w:val="2"/>
        </w:rPr>
      </w:pPr>
      <w:r>
        <w:rPr>
          <w:rFonts w:hint="eastAsia" w:ascii="宋体" w:hAnsi="宋体"/>
          <w:kern w:val="2"/>
        </w:rPr>
        <w:t>小区业主和乡镇居民对市区治安防控满意度上升，对自身人身安全、财产安全的保障具有充分的信心。</w:t>
      </w:r>
    </w:p>
    <w:p>
      <w:pPr>
        <w:widowControl w:val="0"/>
        <w:numPr>
          <w:ilvl w:val="2"/>
          <w:numId w:val="2"/>
        </w:numPr>
        <w:spacing w:before="100" w:after="75" w:line="360" w:lineRule="auto"/>
        <w:ind w:left="0" w:firstLine="562" w:firstLineChars="200"/>
        <w:jc w:val="both"/>
        <w:outlineLvl w:val="2"/>
        <w:rPr>
          <w:rFonts w:hint="eastAsia" w:ascii="宋体" w:hAnsi="宋体"/>
          <w:b/>
          <w:bCs/>
          <w:kern w:val="2"/>
          <w:sz w:val="28"/>
          <w:szCs w:val="28"/>
        </w:rPr>
      </w:pPr>
      <w:r>
        <w:rPr>
          <w:rFonts w:hint="eastAsia" w:ascii="宋体" w:hAnsi="宋体"/>
          <w:b/>
          <w:bCs/>
          <w:kern w:val="2"/>
          <w:sz w:val="28"/>
          <w:szCs w:val="28"/>
        </w:rPr>
        <w:t>公安数字化改革的需求</w:t>
      </w:r>
    </w:p>
    <w:p>
      <w:pPr>
        <w:widowControl w:val="0"/>
        <w:spacing w:line="360" w:lineRule="auto"/>
        <w:ind w:firstLine="480" w:firstLineChars="200"/>
        <w:jc w:val="both"/>
        <w:rPr>
          <w:rFonts w:hint="eastAsia" w:ascii="宋体" w:hAnsi="宋体"/>
          <w:kern w:val="2"/>
        </w:rPr>
      </w:pPr>
      <w:r>
        <w:rPr>
          <w:rFonts w:hint="eastAsia" w:ascii="宋体" w:hAnsi="宋体"/>
          <w:kern w:val="2"/>
        </w:rPr>
        <w:t>紧扣金华公安数字化改革“1+1+5+2+N”工作体系建设要求，围绕党政机关、数字政府、数字经济、数字社会、数字法治五大改革重点，立足公安、支撑政法、服务全市，以构建现代**体系为核心，全面推动“云上公安、智慧**大数据建设应用，依托“雪亮工程”全域感知、智能认知能力，以“五星透视”为引领，融合人员流动精密智控体系，打造全市数字**新生态，把数字化贯穿到维护稳定、打击犯罪、基层治理、公共服务、执法办案以及队伍建设全过程各方面，统筹推进数字技术应用和理论制度体系建设，在“制度”“治理”“智慧”三个维度纵深推进精确指挥、精准打击、精密管控、精细服务、精致保障，加快实现公安工作现代化。</w:t>
      </w:r>
    </w:p>
    <w:p>
      <w:pPr>
        <w:widowControl w:val="0"/>
        <w:numPr>
          <w:ilvl w:val="2"/>
          <w:numId w:val="2"/>
        </w:numPr>
        <w:spacing w:before="100" w:after="75" w:line="360" w:lineRule="auto"/>
        <w:ind w:left="0" w:firstLine="562" w:firstLineChars="200"/>
        <w:jc w:val="both"/>
        <w:outlineLvl w:val="2"/>
        <w:rPr>
          <w:rFonts w:hint="eastAsia" w:ascii="宋体" w:hAnsi="宋体"/>
          <w:b/>
          <w:bCs/>
          <w:kern w:val="2"/>
          <w:sz w:val="28"/>
          <w:szCs w:val="28"/>
        </w:rPr>
      </w:pPr>
      <w:r>
        <w:rPr>
          <w:rFonts w:hint="eastAsia" w:ascii="宋体" w:hAnsi="宋体"/>
          <w:b/>
          <w:bCs/>
          <w:kern w:val="2"/>
          <w:sz w:val="28"/>
          <w:szCs w:val="28"/>
        </w:rPr>
        <w:t>公安业务实战应用需求分析</w:t>
      </w:r>
    </w:p>
    <w:p>
      <w:pPr>
        <w:widowControl w:val="0"/>
        <w:spacing w:line="360" w:lineRule="auto"/>
        <w:ind w:firstLine="480" w:firstLineChars="200"/>
        <w:jc w:val="both"/>
        <w:rPr>
          <w:rFonts w:hint="eastAsia" w:ascii="宋体" w:hAnsi="宋体"/>
          <w:kern w:val="2"/>
        </w:rPr>
      </w:pPr>
      <w:r>
        <w:rPr>
          <w:rFonts w:hint="eastAsia" w:ascii="宋体" w:hAnsi="宋体"/>
          <w:kern w:val="2"/>
        </w:rPr>
        <w:t>目前公安机关急待解决的问题是如何最大化的发挥视频监控系统的作用，为日常工作所用。该实战应用建设应符合以下几方面的需求：</w:t>
      </w:r>
    </w:p>
    <w:p>
      <w:pPr>
        <w:widowControl w:val="0"/>
        <w:spacing w:line="360" w:lineRule="auto"/>
        <w:ind w:firstLine="480" w:firstLineChars="200"/>
        <w:jc w:val="both"/>
        <w:rPr>
          <w:rFonts w:hint="eastAsia" w:ascii="宋体" w:hAnsi="宋体"/>
          <w:kern w:val="2"/>
        </w:rPr>
      </w:pPr>
      <w:r>
        <w:rPr>
          <w:rFonts w:hint="eastAsia" w:ascii="宋体" w:hAnsi="宋体"/>
          <w:kern w:val="2"/>
        </w:rPr>
        <w:t>1、解析中心</w:t>
      </w:r>
    </w:p>
    <w:p>
      <w:pPr>
        <w:widowControl w:val="0"/>
        <w:spacing w:line="360" w:lineRule="auto"/>
        <w:ind w:firstLine="480" w:firstLineChars="200"/>
        <w:jc w:val="both"/>
        <w:rPr>
          <w:rFonts w:hint="eastAsia" w:ascii="宋体" w:hAnsi="宋体"/>
          <w:kern w:val="2"/>
        </w:rPr>
      </w:pPr>
      <w:r>
        <w:rPr>
          <w:rFonts w:hint="eastAsia" w:ascii="宋体" w:hAnsi="宋体"/>
          <w:kern w:val="2"/>
        </w:rPr>
        <w:t>根据公安部要求，建设解析中心，实现硬件服务器资源与软件算法解耦，满足本项目建设前端设备产生的视频图像信息数据的解析。</w:t>
      </w:r>
    </w:p>
    <w:p>
      <w:pPr>
        <w:widowControl w:val="0"/>
        <w:spacing w:line="360" w:lineRule="auto"/>
        <w:ind w:firstLine="480" w:firstLineChars="200"/>
        <w:jc w:val="both"/>
        <w:rPr>
          <w:rFonts w:hint="eastAsia" w:ascii="宋体" w:hAnsi="宋体"/>
          <w:kern w:val="2"/>
        </w:rPr>
      </w:pPr>
      <w:r>
        <w:rPr>
          <w:rFonts w:hint="eastAsia" w:ascii="宋体" w:hAnsi="宋体"/>
          <w:kern w:val="2"/>
        </w:rPr>
        <w:t>2、视频综合应用</w:t>
      </w:r>
    </w:p>
    <w:p>
      <w:pPr>
        <w:widowControl w:val="0"/>
        <w:spacing w:line="360" w:lineRule="auto"/>
        <w:ind w:firstLine="480" w:firstLineChars="200"/>
        <w:jc w:val="both"/>
        <w:rPr>
          <w:rFonts w:hint="eastAsia" w:ascii="宋体" w:hAnsi="宋体"/>
          <w:kern w:val="2"/>
        </w:rPr>
      </w:pPr>
      <w:r>
        <w:rPr>
          <w:rFonts w:hint="eastAsia" w:ascii="宋体" w:hAnsi="宋体"/>
          <w:kern w:val="2"/>
        </w:rPr>
        <w:t>1）治安管理需求：通过整合后的各类场所、小区视频资源，实现对重点人员、重点场所的监管，服务于侦查破案、视频守候、震慑黄赌毒类违法犯罪等实战工作。通过快速浏览、局部特征检索、模糊图像处理、人像大数据应用等应用，提升对“人、车、物、事件”动态信息的准确发现能力。</w:t>
      </w:r>
    </w:p>
    <w:p>
      <w:pPr>
        <w:widowControl w:val="0"/>
        <w:spacing w:line="360" w:lineRule="auto"/>
        <w:ind w:firstLine="480" w:firstLineChars="200"/>
        <w:jc w:val="both"/>
        <w:rPr>
          <w:rFonts w:hint="eastAsia" w:ascii="宋体" w:hAnsi="宋体"/>
          <w:kern w:val="2"/>
        </w:rPr>
      </w:pPr>
      <w:r>
        <w:rPr>
          <w:rFonts w:hint="eastAsia" w:ascii="宋体" w:hAnsi="宋体"/>
          <w:kern w:val="2"/>
        </w:rPr>
        <w:t>2）信息服务需求：为了提升金华市公安机关情报研判预警水平，增强城市稳定和处理突发事件的能力，同时预防犯罪、**维稳、处置突发性事件，需要对辖区内城市重要道路、重点场所（地铁口、公交车站、政府机关、医院、学校、广场、重点停车场等）、人员、车辆等进行有效管理。对进入辖区的黑名单图像库人员、高危车辆实时预警提示。</w:t>
      </w:r>
    </w:p>
    <w:p>
      <w:pPr>
        <w:widowControl w:val="0"/>
        <w:spacing w:line="360" w:lineRule="auto"/>
        <w:ind w:firstLine="480" w:firstLineChars="200"/>
        <w:jc w:val="both"/>
        <w:rPr>
          <w:rFonts w:hint="eastAsia" w:ascii="宋体" w:hAnsi="宋体"/>
          <w:kern w:val="2"/>
        </w:rPr>
      </w:pPr>
      <w:r>
        <w:rPr>
          <w:rFonts w:hint="eastAsia" w:ascii="宋体" w:hAnsi="宋体"/>
          <w:kern w:val="2"/>
        </w:rPr>
        <w:t>通过在以上场所布建网络摄像机、人脸识别设备，结合大数据系统手段，通过布控预警，提前识别出高危的维稳对象图片、其它重点对象及其行踪信息，形成不同等级的情报供领导决策。</w:t>
      </w:r>
    </w:p>
    <w:p>
      <w:pPr>
        <w:widowControl w:val="0"/>
        <w:spacing w:line="360" w:lineRule="auto"/>
        <w:ind w:firstLine="480" w:firstLineChars="200"/>
        <w:jc w:val="both"/>
        <w:rPr>
          <w:rFonts w:hint="eastAsia" w:ascii="宋体" w:hAnsi="宋体"/>
          <w:kern w:val="2"/>
        </w:rPr>
      </w:pPr>
      <w:r>
        <w:rPr>
          <w:rFonts w:hint="eastAsia" w:ascii="宋体" w:hAnsi="宋体"/>
          <w:kern w:val="2"/>
        </w:rPr>
        <w:t>3）重大区域安保需求：随着城市化进程的加快，各类动迁矛盾、劳资纠纷等呈现尖锐化趋势，非访、非法集会等事件间有发生，金华市政府、高铁站等重点场所容易成为涉稳、**分子滋事甚至袭击的目标，由此造成的维稳压力显著增大。因此可视化监控以及通过专业的统计数据分析与数据清洗，将多个视图整合在图墙集中展示成为以后治安管理发展的趋势，以监控可视化形式将有效视频和数据直观地在大屏上展现，为合成作战、指挥决策提供依据。</w:t>
      </w:r>
    </w:p>
    <w:p>
      <w:pPr>
        <w:widowControl w:val="0"/>
        <w:spacing w:line="360" w:lineRule="auto"/>
        <w:ind w:firstLine="480"/>
        <w:jc w:val="both"/>
        <w:rPr>
          <w:rFonts w:hint="eastAsia" w:ascii="宋体" w:hAnsi="宋体"/>
          <w:kern w:val="2"/>
        </w:rPr>
      </w:pPr>
      <w:r>
        <w:rPr>
          <w:rFonts w:hint="eastAsia" w:ascii="宋体" w:hAnsi="宋体"/>
          <w:kern w:val="2"/>
        </w:rPr>
        <w:t>2、数据仓库</w:t>
      </w:r>
    </w:p>
    <w:p>
      <w:pPr>
        <w:widowControl w:val="0"/>
        <w:numPr>
          <w:ilvl w:val="0"/>
          <w:numId w:val="3"/>
        </w:numPr>
        <w:spacing w:line="360" w:lineRule="auto"/>
        <w:ind w:left="0" w:firstLine="426"/>
        <w:jc w:val="both"/>
        <w:rPr>
          <w:rFonts w:hint="eastAsia" w:ascii="宋体" w:hAnsi="宋体"/>
          <w:kern w:val="2"/>
        </w:rPr>
      </w:pPr>
      <w:r>
        <w:rPr>
          <w:rFonts w:hint="eastAsia" w:ascii="宋体" w:hAnsi="宋体"/>
          <w:kern w:val="2"/>
        </w:rPr>
        <w:t>随着视频在案事件侦破以及各类公安业务中发挥的作用越来越大，传统视频监控的局限以及对应用的制约也越来越明显。传统视频监控系统功能有限，缺乏与公安实战紧密结合的功能的深度挖掘，难以支持不同警种差异化的视频监控深化应用需求。</w:t>
      </w:r>
    </w:p>
    <w:p>
      <w:pPr>
        <w:widowControl w:val="0"/>
        <w:numPr>
          <w:ilvl w:val="0"/>
          <w:numId w:val="3"/>
        </w:numPr>
        <w:spacing w:line="360" w:lineRule="auto"/>
        <w:ind w:left="0" w:firstLine="426"/>
        <w:jc w:val="both"/>
        <w:rPr>
          <w:rFonts w:hint="eastAsia" w:ascii="宋体" w:hAnsi="宋体"/>
          <w:kern w:val="2"/>
        </w:rPr>
      </w:pPr>
      <w:r>
        <w:rPr>
          <w:rFonts w:hint="eastAsia" w:ascii="宋体" w:hAnsi="宋体"/>
          <w:kern w:val="2"/>
        </w:rPr>
        <w:t>要推动视频监控的公安实战应用的深度发展，首先要将连续的视频流转化成视频图像内容信息流，同时在视频图像内容信息层面完成对治安监控、交警监控、电子警察和等各类视频监控资源的内在统一整合。数据仓库正是一个提供除传统连续视频流及图片以外的视频图像内容信息流的存储和相应服务的新的基础设施，是一个提供除传统视频监控实时浏览、云镜控制、录像下载回放等基本功能以外的，与公安实战应用能深度结合的视频图像信息深化应用服务支撑平台。</w:t>
      </w:r>
    </w:p>
    <w:p>
      <w:pPr>
        <w:widowControl w:val="0"/>
        <w:numPr>
          <w:ilvl w:val="0"/>
          <w:numId w:val="3"/>
        </w:numPr>
        <w:spacing w:line="360" w:lineRule="auto"/>
        <w:ind w:left="0" w:firstLine="426"/>
        <w:jc w:val="both"/>
        <w:rPr>
          <w:rFonts w:hint="eastAsia" w:ascii="宋体" w:hAnsi="宋体"/>
          <w:kern w:val="2"/>
        </w:rPr>
      </w:pPr>
      <w:r>
        <w:rPr>
          <w:rFonts w:hint="eastAsia" w:ascii="宋体" w:hAnsi="宋体"/>
          <w:kern w:val="2"/>
        </w:rPr>
        <w:t>公安视频专网数据仓库作为“雪亮工程”数据共享的重要部分，需要相应的数据接口与各个部门以及公安信息网做数据对接，因此需要建设一个公安视频专网数据服务总线来提供此服务。</w:t>
      </w:r>
    </w:p>
    <w:p>
      <w:pPr>
        <w:widowControl w:val="0"/>
        <w:adjustRightInd w:val="0"/>
        <w:snapToGrid w:val="0"/>
        <w:spacing w:line="360" w:lineRule="auto"/>
        <w:ind w:firstLine="435"/>
        <w:jc w:val="center"/>
        <w:rPr>
          <w:rFonts w:hint="eastAsia"/>
          <w:b/>
          <w:sz w:val="30"/>
          <w:szCs w:val="30"/>
        </w:rPr>
      </w:pPr>
      <w:bookmarkStart w:id="45" w:name="_Toc497733394"/>
      <w:r>
        <w:rPr>
          <w:rFonts w:hint="eastAsia"/>
          <w:b/>
          <w:sz w:val="30"/>
          <w:szCs w:val="30"/>
        </w:rPr>
        <w:t>二</w:t>
      </w:r>
      <w:r>
        <w:rPr>
          <w:b/>
          <w:sz w:val="30"/>
          <w:szCs w:val="30"/>
        </w:rPr>
        <w:t>、</w:t>
      </w:r>
      <w:bookmarkEnd w:id="45"/>
      <w:r>
        <w:rPr>
          <w:rFonts w:hint="eastAsia"/>
          <w:b/>
          <w:sz w:val="30"/>
          <w:szCs w:val="30"/>
        </w:rPr>
        <w:t>主要设备参数</w:t>
      </w:r>
    </w:p>
    <w:p>
      <w:pPr>
        <w:widowControl w:val="0"/>
        <w:adjustRightInd w:val="0"/>
        <w:snapToGrid w:val="0"/>
        <w:spacing w:line="360" w:lineRule="auto"/>
        <w:ind w:firstLine="435"/>
        <w:rPr>
          <w:b/>
          <w:sz w:val="30"/>
          <w:szCs w:val="30"/>
          <w:u w:val="single"/>
        </w:rPr>
      </w:pPr>
      <w:r>
        <w:rPr>
          <w:rFonts w:hint="eastAsia"/>
          <w:u w:val="single"/>
        </w:rPr>
        <w:t>详见招标采购清单Excel。</w:t>
      </w:r>
    </w:p>
    <w:p>
      <w:pPr>
        <w:spacing w:line="360" w:lineRule="auto"/>
        <w:jc w:val="center"/>
        <w:rPr>
          <w:b/>
          <w:sz w:val="30"/>
          <w:szCs w:val="30"/>
        </w:rPr>
      </w:pPr>
      <w:r>
        <w:rPr>
          <w:rFonts w:hint="eastAsia"/>
          <w:b/>
          <w:sz w:val="30"/>
          <w:szCs w:val="30"/>
        </w:rPr>
        <w:t>三</w:t>
      </w:r>
      <w:r>
        <w:rPr>
          <w:b/>
          <w:sz w:val="30"/>
          <w:szCs w:val="30"/>
        </w:rPr>
        <w:t>、</w:t>
      </w:r>
      <w:r>
        <w:rPr>
          <w:rFonts w:hint="eastAsia"/>
          <w:b/>
          <w:sz w:val="30"/>
          <w:szCs w:val="30"/>
        </w:rPr>
        <w:t>工期及施工要求</w:t>
      </w:r>
    </w:p>
    <w:p>
      <w:pPr>
        <w:spacing w:line="360" w:lineRule="auto"/>
        <w:ind w:firstLine="480" w:firstLineChars="200"/>
        <w:rPr>
          <w:rFonts w:ascii="宋体" w:hAnsi="宋体"/>
        </w:rPr>
      </w:pPr>
      <w:r>
        <w:rPr>
          <w:rFonts w:hint="eastAsia" w:ascii="宋体" w:hAnsi="宋体"/>
        </w:rPr>
        <w:t>1、施工周期为2个月。9月底前完成施工和安装测试上线，试运行三个月，试运行期满后组织验收</w:t>
      </w:r>
      <w:r>
        <w:rPr>
          <w:rFonts w:ascii="宋体" w:hAnsi="宋体"/>
        </w:rPr>
        <w:t>。</w:t>
      </w:r>
    </w:p>
    <w:p>
      <w:pPr>
        <w:spacing w:line="360" w:lineRule="auto"/>
        <w:ind w:firstLine="480" w:firstLineChars="200"/>
        <w:rPr>
          <w:rFonts w:hint="eastAsia" w:ascii="宋体" w:hAnsi="宋体"/>
        </w:rPr>
      </w:pPr>
      <w:r>
        <w:rPr>
          <w:rFonts w:hint="eastAsia" w:ascii="宋体" w:hAnsi="宋体"/>
        </w:rPr>
        <w:t>单个设备掉线超过24小时扣人民币1000元，每超过一天扣款为天数x1000（例：设备掉线三天扣款为3x1000）。</w:t>
      </w:r>
    </w:p>
    <w:p>
      <w:pPr>
        <w:spacing w:line="360" w:lineRule="auto"/>
        <w:ind w:firstLine="480" w:firstLineChars="200"/>
        <w:rPr>
          <w:rFonts w:hint="eastAsia" w:ascii="宋体" w:hAnsi="宋体"/>
        </w:rPr>
      </w:pPr>
      <w:r>
        <w:rPr>
          <w:rFonts w:hint="eastAsia" w:ascii="宋体" w:hAnsi="宋体"/>
        </w:rPr>
        <w:t>月考核设备在线率不得低于百分之98（不含），每次加扣款2000元。</w:t>
      </w:r>
    </w:p>
    <w:p>
      <w:pPr>
        <w:spacing w:line="360" w:lineRule="auto"/>
        <w:ind w:firstLine="480" w:firstLineChars="200"/>
        <w:rPr>
          <w:rFonts w:hint="eastAsia" w:ascii="宋体" w:hAnsi="宋体"/>
        </w:rPr>
      </w:pPr>
      <w:r>
        <w:rPr>
          <w:rFonts w:hint="eastAsia" w:ascii="宋体" w:hAnsi="宋体"/>
        </w:rPr>
        <w:t>2、</w:t>
      </w:r>
      <w:r>
        <w:rPr>
          <w:rFonts w:ascii="宋体" w:hAnsi="宋体"/>
        </w:rPr>
        <w:t>中标人在安装施工中必须服从</w:t>
      </w:r>
      <w:r>
        <w:rPr>
          <w:rFonts w:hint="eastAsia" w:ascii="宋体" w:hAnsi="宋体"/>
        </w:rPr>
        <w:t>采购人</w:t>
      </w:r>
      <w:r>
        <w:rPr>
          <w:rFonts w:ascii="宋体" w:hAnsi="宋体"/>
        </w:rPr>
        <w:t>的现场指挥。</w:t>
      </w:r>
      <w:r>
        <w:rPr>
          <w:rFonts w:hint="eastAsia" w:ascii="宋体" w:hAnsi="宋体"/>
        </w:rPr>
        <w:t>中标人在安装施工过程中如发生安全责任事故，一切责任由中标人承担。</w:t>
      </w:r>
    </w:p>
    <w:p>
      <w:pPr>
        <w:spacing w:line="360" w:lineRule="auto"/>
        <w:ind w:firstLine="480" w:firstLineChars="200"/>
        <w:rPr>
          <w:rFonts w:hint="eastAsia" w:ascii="宋体" w:hAnsi="宋体"/>
        </w:rPr>
      </w:pPr>
      <w:r>
        <w:rPr>
          <w:rFonts w:hint="eastAsia" w:ascii="宋体" w:hAnsi="宋体"/>
        </w:rPr>
        <w:t>3、中标人在施工过程中必须确保设施及人员的安全。安装施工过程中如对</w:t>
      </w:r>
      <w:r>
        <w:rPr>
          <w:rFonts w:ascii="宋体" w:hAnsi="宋体"/>
        </w:rPr>
        <w:t>采购人</w:t>
      </w:r>
      <w:r>
        <w:rPr>
          <w:rFonts w:hint="eastAsia" w:ascii="宋体" w:hAnsi="宋体"/>
        </w:rPr>
        <w:t>的建筑物及设备、设施造成损坏的，中标人须负责赔偿或按采购人要求免费修复。</w:t>
      </w:r>
    </w:p>
    <w:p>
      <w:pPr>
        <w:spacing w:line="360" w:lineRule="auto"/>
        <w:ind w:firstLine="480" w:firstLineChars="200"/>
        <w:rPr>
          <w:rFonts w:hint="eastAsia" w:ascii="宋体" w:hAnsi="宋体"/>
        </w:rPr>
      </w:pPr>
      <w:r>
        <w:rPr>
          <w:rFonts w:hint="eastAsia" w:ascii="宋体" w:hAnsi="宋体"/>
        </w:rPr>
        <w:t>★4、本项目为交钥匙工程，投标人在报价时要考虑其他未列入的设备及配件等。</w:t>
      </w:r>
    </w:p>
    <w:p>
      <w:pPr>
        <w:spacing w:line="360" w:lineRule="auto"/>
        <w:ind w:firstLine="480" w:firstLineChars="200"/>
        <w:rPr>
          <w:rFonts w:hint="eastAsia" w:ascii="宋体" w:hAnsi="宋体"/>
        </w:rPr>
      </w:pPr>
      <w:r>
        <w:rPr>
          <w:rFonts w:hint="eastAsia" w:ascii="宋体" w:hAnsi="宋体"/>
        </w:rPr>
        <w:t>5、设备说明：</w:t>
      </w:r>
    </w:p>
    <w:p>
      <w:pPr>
        <w:spacing w:line="360" w:lineRule="auto"/>
        <w:ind w:firstLine="480" w:firstLineChars="200"/>
        <w:rPr>
          <w:rFonts w:hint="eastAsia" w:ascii="宋体" w:hAnsi="宋体"/>
        </w:rPr>
      </w:pPr>
      <w:r>
        <w:rPr>
          <w:rFonts w:hint="eastAsia" w:ascii="宋体" w:hAnsi="宋体"/>
        </w:rPr>
        <w:t>（1）投标人可以根据自身方案提供合理的设备品牌与型号，并可以对具体配置进行合理调配（但必须达到采购人建设的标准规范），数量不得少于文件要求，并详细提供品牌型号、技术参数、集成说明等技术资料与更改说明。</w:t>
      </w:r>
    </w:p>
    <w:p>
      <w:pPr>
        <w:spacing w:line="360" w:lineRule="auto"/>
        <w:ind w:firstLine="480" w:firstLineChars="200"/>
        <w:rPr>
          <w:rFonts w:hint="eastAsia" w:ascii="宋体" w:hAnsi="宋体"/>
        </w:rPr>
      </w:pPr>
      <w:r>
        <w:rPr>
          <w:rFonts w:hint="eastAsia" w:ascii="宋体" w:hAnsi="宋体"/>
        </w:rPr>
        <w:t>（2）本次采购的软硬件设备，采购人要求不低于以上主要技术指标的产品，除加“★”的基本技术指标不允许负偏离外，投标人必须对其他的集成与技术差异提供说明（具体技术指标详见招标文件），并在投标文件的技术文件中提供该产品的技术参数或检测报告或相关证书。</w:t>
      </w:r>
    </w:p>
    <w:p>
      <w:pPr>
        <w:spacing w:line="360" w:lineRule="auto"/>
        <w:ind w:firstLine="480" w:firstLineChars="200"/>
        <w:rPr>
          <w:rFonts w:hint="eastAsia" w:ascii="宋体" w:hAnsi="宋体"/>
        </w:rPr>
      </w:pPr>
      <w:r>
        <w:rPr>
          <w:rFonts w:hint="eastAsia" w:ascii="宋体" w:hAnsi="宋体"/>
        </w:rPr>
        <w:t>（3）设备清单中所列举的要求为一个基本的功能配置要求，为达到该要求，投标人需在设备清单中详细列明所提供的品牌、型号、配置数量等具体信息，未提供或提供不全相关产品资料，评标委员会有权在评审时作出对其不利的评定，并有可能导致被判定为重大偏离。</w:t>
      </w:r>
    </w:p>
    <w:p>
      <w:pPr>
        <w:spacing w:line="360" w:lineRule="auto"/>
        <w:ind w:firstLine="480" w:firstLineChars="200"/>
        <w:rPr>
          <w:rFonts w:hint="eastAsia" w:ascii="宋体" w:hAnsi="宋体"/>
        </w:rPr>
      </w:pPr>
      <w:r>
        <w:rPr>
          <w:rFonts w:hint="eastAsia" w:ascii="宋体" w:hAnsi="宋体"/>
        </w:rPr>
        <w:t>（4）投标人应确保投标所选用的设备、材料之间的兼容性，如评标时发现投标人投标选用的设备、材料存在不兼容性，将对其作出不利的评定，并有可能导致被判定为重大偏离。</w:t>
      </w:r>
    </w:p>
    <w:p>
      <w:pPr>
        <w:spacing w:line="360" w:lineRule="auto"/>
        <w:ind w:firstLine="480" w:firstLineChars="200"/>
        <w:rPr>
          <w:rFonts w:hint="eastAsia" w:ascii="宋体" w:hAnsi="宋体"/>
        </w:rPr>
      </w:pPr>
      <w:r>
        <w:rPr>
          <w:rFonts w:hint="eastAsia" w:ascii="宋体" w:hAnsi="宋体"/>
        </w:rPr>
        <w:t>（5）如中标后在工程实施中发现选用的设备、材料存在不兼容性（或经专家认定），投标人无条件同意在工程实施过程中由采购人在招标文件建议品牌或采购机关组织的专家组推荐品牌中任选一品牌，根据系统功能要求及技术参数选择相应型号及其相关材料、软件进行替换，且合同价不变，投标人不得对此提出异议。</w:t>
      </w:r>
    </w:p>
    <w:p>
      <w:pPr>
        <w:spacing w:line="360" w:lineRule="auto"/>
        <w:ind w:firstLine="480" w:firstLineChars="200"/>
        <w:rPr>
          <w:rFonts w:hint="eastAsia" w:ascii="宋体" w:hAnsi="宋体"/>
        </w:rPr>
      </w:pPr>
      <w:r>
        <w:rPr>
          <w:rFonts w:hint="eastAsia" w:ascii="宋体" w:hAnsi="宋体"/>
        </w:rPr>
        <w:t>（6）如采购人在设备清单存在不合理与不完善的，供应商提出良好的解决方案与合理化建议，将在评定时予以有利的评判。</w:t>
      </w:r>
    </w:p>
    <w:p>
      <w:pPr>
        <w:spacing w:line="360" w:lineRule="auto"/>
        <w:ind w:firstLine="480" w:firstLineChars="200"/>
        <w:rPr>
          <w:rFonts w:hint="eastAsia" w:ascii="宋体" w:hAnsi="宋体"/>
        </w:rPr>
      </w:pPr>
      <w:r>
        <w:rPr>
          <w:rFonts w:hint="eastAsia" w:ascii="宋体" w:hAnsi="宋体"/>
        </w:rPr>
        <w:t>6、信用承诺：</w:t>
      </w:r>
    </w:p>
    <w:p>
      <w:pPr>
        <w:spacing w:line="360" w:lineRule="auto"/>
        <w:ind w:firstLine="480" w:firstLineChars="200"/>
        <w:rPr>
          <w:rFonts w:hint="eastAsia" w:ascii="宋体" w:hAnsi="宋体"/>
        </w:rPr>
      </w:pPr>
      <w:r>
        <w:rPr>
          <w:rFonts w:hint="eastAsia" w:ascii="宋体" w:hAnsi="宋体"/>
        </w:rPr>
        <w:t>供应商必须承诺在投标文件中说明的其他技术指标、产品资料、按照招标文件要求提供的案例、服务承诺、实施方案等是真实的，无条件同意一旦由专家或者使用单位或者设备到货后或者实施使用中发现技术指标、产品资料、案例、服务承诺、实施方案等与投标文件中说明不符或安装调试中达不到采购人集成要求影响采购人按期正常应用的，使用单位可以取消投标人的资格或解除合同，投标人无条件同意相关机构的处理。</w:t>
      </w:r>
    </w:p>
    <w:p>
      <w:pPr>
        <w:spacing w:line="360" w:lineRule="auto"/>
        <w:ind w:firstLine="480" w:firstLineChars="200"/>
        <w:rPr>
          <w:rFonts w:hint="eastAsia" w:ascii="宋体" w:hAnsi="宋体"/>
        </w:rPr>
      </w:pPr>
      <w:r>
        <w:rPr>
          <w:rFonts w:hint="eastAsia" w:ascii="宋体" w:hAnsi="宋体"/>
        </w:rPr>
        <w:t>7、原装说明：</w:t>
      </w:r>
    </w:p>
    <w:p>
      <w:pPr>
        <w:spacing w:line="360" w:lineRule="auto"/>
        <w:ind w:firstLine="480" w:firstLineChars="200"/>
        <w:rPr>
          <w:rFonts w:hint="eastAsia" w:ascii="宋体" w:hAnsi="宋体"/>
        </w:rPr>
      </w:pPr>
      <w:r>
        <w:rPr>
          <w:rFonts w:hint="eastAsia" w:ascii="宋体" w:hAnsi="宋体"/>
        </w:rPr>
        <w:t>所有设备须原包装到位，需要的配件必须是原包装到达采购人，未经采购人允许不得私自预先安装（原厂安装的除外），全部设备及配件的最终用户注册为金华市公安局金东分局（厂方用户注册不是采购人的设备要更换，延期时间按规定处理）。</w:t>
      </w:r>
    </w:p>
    <w:p>
      <w:pPr>
        <w:spacing w:line="360" w:lineRule="auto"/>
        <w:ind w:firstLine="480" w:firstLineChars="200"/>
        <w:rPr>
          <w:rFonts w:hint="eastAsia" w:ascii="宋体" w:hAnsi="宋体"/>
        </w:rPr>
      </w:pPr>
      <w:r>
        <w:rPr>
          <w:rFonts w:hint="eastAsia" w:ascii="宋体" w:hAnsi="宋体"/>
        </w:rPr>
        <w:t>8、集成要求：</w:t>
      </w:r>
    </w:p>
    <w:p>
      <w:pPr>
        <w:spacing w:line="360" w:lineRule="auto"/>
        <w:ind w:firstLine="480" w:firstLineChars="200"/>
        <w:rPr>
          <w:rFonts w:hint="eastAsia" w:ascii="宋体" w:hAnsi="宋体"/>
        </w:rPr>
      </w:pPr>
      <w:r>
        <w:rPr>
          <w:rFonts w:hint="eastAsia" w:ascii="宋体" w:hAnsi="宋体"/>
        </w:rPr>
        <w:t>中标人除需保证完成清单中的设备以上全部具体内容与要求的集成工作，所需设备配置、软件、软件许可（含清单中未说明但必需的）、各种费用及原应用的数据移植与可能需要的配件、可能的第三方指导、电源线、电源接头、零地电压、网络跳线、光纤跳线、数据移植、数据安全与集成工作由中标人自行协调完成，并承担全部费用及工作责任，集成完成后必须保证采购人能够进行其他应用软件的安装与使用。</w:t>
      </w:r>
    </w:p>
    <w:p>
      <w:pPr>
        <w:spacing w:line="360" w:lineRule="auto"/>
        <w:jc w:val="center"/>
        <w:rPr>
          <w:b/>
          <w:sz w:val="30"/>
          <w:szCs w:val="30"/>
        </w:rPr>
      </w:pPr>
      <w:r>
        <w:rPr>
          <w:rFonts w:hint="eastAsia"/>
          <w:b/>
          <w:sz w:val="30"/>
          <w:szCs w:val="30"/>
        </w:rPr>
        <w:t>四</w:t>
      </w:r>
      <w:r>
        <w:rPr>
          <w:b/>
          <w:sz w:val="30"/>
          <w:szCs w:val="30"/>
        </w:rPr>
        <w:t>、</w:t>
      </w:r>
      <w:r>
        <w:rPr>
          <w:rFonts w:hint="eastAsia"/>
          <w:b/>
          <w:sz w:val="30"/>
          <w:szCs w:val="30"/>
        </w:rPr>
        <w:t>质量、售后服务要求</w:t>
      </w:r>
    </w:p>
    <w:p>
      <w:pPr>
        <w:spacing w:line="360" w:lineRule="auto"/>
        <w:ind w:firstLine="480" w:firstLineChars="200"/>
        <w:rPr>
          <w:rFonts w:hint="eastAsia" w:ascii="宋体" w:hAnsi="宋体"/>
        </w:rPr>
      </w:pPr>
      <w:r>
        <w:rPr>
          <w:rFonts w:hint="eastAsia" w:ascii="宋体" w:hAnsi="宋体"/>
        </w:rPr>
        <w:t>（一）</w:t>
      </w:r>
      <w:r>
        <w:rPr>
          <w:rFonts w:ascii="宋体" w:hAnsi="宋体"/>
        </w:rPr>
        <w:t>投标人拟提供的产品、设备必须是原装（全新未曾使用）的合格产品、符合国家有关规定，凡涉及国家强制性检测的设备或部件须提供3C认证文件及其他检测证明文件</w:t>
      </w:r>
      <w:r>
        <w:rPr>
          <w:rFonts w:hint="eastAsia" w:ascii="宋体" w:hAnsi="宋体"/>
        </w:rPr>
        <w:t>。</w:t>
      </w:r>
      <w:r>
        <w:rPr>
          <w:rFonts w:ascii="宋体" w:hAnsi="宋体"/>
        </w:rPr>
        <w:t>投标人拟提供的产品、设备必须证件齐全、保证质量，操作系统软件应符合相关质量要求。投标人所提供的设备附件与中标设备兼容匹配。</w:t>
      </w:r>
    </w:p>
    <w:p>
      <w:pPr>
        <w:spacing w:line="360" w:lineRule="auto"/>
        <w:ind w:firstLine="480" w:firstLineChars="200"/>
        <w:rPr>
          <w:rFonts w:hint="eastAsia" w:ascii="宋体" w:hAnsi="宋体"/>
        </w:rPr>
      </w:pPr>
      <w:r>
        <w:rPr>
          <w:rFonts w:hint="eastAsia" w:ascii="宋体" w:hAnsi="宋体"/>
        </w:rPr>
        <w:t>（二）质量</w:t>
      </w:r>
      <w:r>
        <w:rPr>
          <w:rFonts w:ascii="宋体" w:hAnsi="宋体"/>
        </w:rPr>
        <w:t>合格标准：一次性验收合格。</w:t>
      </w:r>
      <w:r>
        <w:rPr>
          <w:rFonts w:hint="eastAsia" w:ascii="宋体" w:hAnsi="宋体"/>
        </w:rPr>
        <w:t>设备</w:t>
      </w:r>
      <w:r>
        <w:rPr>
          <w:rFonts w:ascii="宋体" w:hAnsi="宋体"/>
        </w:rPr>
        <w:t>质量及施工</w:t>
      </w:r>
      <w:r>
        <w:rPr>
          <w:rFonts w:hint="eastAsia" w:ascii="宋体" w:hAnsi="宋体"/>
        </w:rPr>
        <w:t>安装</w:t>
      </w:r>
      <w:r>
        <w:rPr>
          <w:rFonts w:ascii="宋体" w:hAnsi="宋体"/>
        </w:rPr>
        <w:t>质量符合国家标准</w:t>
      </w:r>
      <w:r>
        <w:rPr>
          <w:rFonts w:hint="eastAsia" w:ascii="宋体" w:hAnsi="宋体"/>
        </w:rPr>
        <w:t>和</w:t>
      </w:r>
      <w:r>
        <w:rPr>
          <w:rFonts w:ascii="宋体" w:hAnsi="宋体"/>
        </w:rPr>
        <w:t>招标文件的合格要求，同时符合</w:t>
      </w:r>
      <w:r>
        <w:rPr>
          <w:rFonts w:hint="eastAsia" w:ascii="宋体" w:hAnsi="宋体"/>
        </w:rPr>
        <w:t>金华市公安局金东分局</w:t>
      </w:r>
      <w:r>
        <w:rPr>
          <w:rFonts w:ascii="宋体" w:hAnsi="宋体"/>
        </w:rPr>
        <w:t>管理的质量、安全要求。</w:t>
      </w:r>
    </w:p>
    <w:p>
      <w:pPr>
        <w:spacing w:line="360" w:lineRule="auto"/>
        <w:ind w:firstLine="480" w:firstLineChars="200"/>
        <w:rPr>
          <w:rFonts w:hint="eastAsia" w:ascii="宋体" w:hAnsi="宋体"/>
        </w:rPr>
      </w:pPr>
      <w:r>
        <w:rPr>
          <w:rFonts w:hint="eastAsia" w:ascii="宋体" w:hAnsi="宋体"/>
        </w:rPr>
        <w:t>（三）售后服务</w:t>
      </w:r>
    </w:p>
    <w:p>
      <w:pPr>
        <w:spacing w:line="360" w:lineRule="auto"/>
        <w:ind w:firstLine="480" w:firstLineChars="200"/>
        <w:rPr>
          <w:rFonts w:hint="eastAsia" w:ascii="宋体" w:hAnsi="宋体"/>
        </w:rPr>
      </w:pPr>
      <w:r>
        <w:rPr>
          <w:rFonts w:hint="eastAsia" w:ascii="宋体" w:hAnsi="宋体"/>
        </w:rPr>
        <w:t>1.质保期：</w:t>
      </w:r>
    </w:p>
    <w:p>
      <w:pPr>
        <w:spacing w:line="360" w:lineRule="auto"/>
        <w:ind w:firstLine="480" w:firstLineChars="200"/>
        <w:rPr>
          <w:rFonts w:hint="eastAsia" w:ascii="宋体" w:hAnsi="宋体"/>
        </w:rPr>
      </w:pPr>
      <w:r>
        <w:rPr>
          <w:rFonts w:hint="eastAsia" w:ascii="宋体" w:hAnsi="宋体"/>
        </w:rPr>
        <w:t>标段一设备：由标段一中标人负责前2年（免费），标段二中标人负责后3年（有维护费），时间自验收合格后2年时进行交接。</w:t>
      </w:r>
    </w:p>
    <w:p>
      <w:pPr>
        <w:spacing w:line="360" w:lineRule="auto"/>
        <w:ind w:firstLine="480" w:firstLineChars="200"/>
        <w:rPr>
          <w:rFonts w:hint="eastAsia" w:ascii="宋体" w:hAnsi="宋体"/>
        </w:rPr>
      </w:pPr>
      <w:r>
        <w:rPr>
          <w:rFonts w:hint="eastAsia" w:ascii="宋体" w:hAnsi="宋体"/>
        </w:rPr>
        <w:t>标段二设备：由标段二中标人负责5年（前2年免费，后3年付费）</w:t>
      </w:r>
    </w:p>
    <w:p>
      <w:pPr>
        <w:spacing w:line="360" w:lineRule="auto"/>
        <w:ind w:firstLine="480" w:firstLineChars="200"/>
        <w:rPr>
          <w:rFonts w:hint="eastAsia" w:ascii="宋体" w:hAnsi="宋体"/>
        </w:rPr>
      </w:pPr>
      <w:r>
        <w:rPr>
          <w:rFonts w:hint="eastAsia" w:ascii="宋体" w:hAnsi="宋体"/>
        </w:rPr>
        <w:t>标段三设备：标段三中标人负责5年（免费）；</w:t>
      </w:r>
    </w:p>
    <w:p>
      <w:pPr>
        <w:spacing w:line="360" w:lineRule="auto"/>
        <w:ind w:firstLine="480" w:firstLineChars="200"/>
        <w:rPr>
          <w:rFonts w:hint="eastAsia" w:ascii="宋体" w:hAnsi="宋体"/>
        </w:rPr>
      </w:pPr>
      <w:r>
        <w:rPr>
          <w:rFonts w:hint="eastAsia" w:ascii="宋体" w:hAnsi="宋体"/>
        </w:rPr>
        <w:t>2.响应时间：</w:t>
      </w:r>
      <w:r>
        <w:rPr>
          <w:rFonts w:ascii="宋体" w:hAnsi="宋体"/>
        </w:rPr>
        <w:t>在质保期限内，接到用户报修电话通知后，应在</w:t>
      </w:r>
      <w:r>
        <w:rPr>
          <w:rFonts w:hint="eastAsia" w:ascii="宋体" w:hAnsi="宋体"/>
        </w:rPr>
        <w:t>2</w:t>
      </w:r>
      <w:r>
        <w:rPr>
          <w:rFonts w:ascii="宋体" w:hAnsi="宋体"/>
        </w:rPr>
        <w:t>小时内上门服务，并在</w:t>
      </w:r>
      <w:r>
        <w:rPr>
          <w:rFonts w:hint="eastAsia" w:ascii="宋体" w:hAnsi="宋体"/>
        </w:rPr>
        <w:t>12</w:t>
      </w:r>
      <w:r>
        <w:rPr>
          <w:rFonts w:ascii="宋体" w:hAnsi="宋体"/>
        </w:rPr>
        <w:t>小时内修复</w:t>
      </w:r>
      <w:r>
        <w:rPr>
          <w:rFonts w:hint="eastAsia" w:ascii="宋体" w:hAnsi="宋体"/>
        </w:rPr>
        <w:t>。若无法按规定及时修复的须</w:t>
      </w:r>
      <w:r>
        <w:rPr>
          <w:rFonts w:ascii="宋体" w:hAnsi="宋体"/>
        </w:rPr>
        <w:t>根据使用单位要求提供备用</w:t>
      </w:r>
      <w:r>
        <w:rPr>
          <w:rFonts w:hint="eastAsia" w:ascii="宋体" w:hAnsi="宋体"/>
        </w:rPr>
        <w:t>设备</w:t>
      </w:r>
      <w:r>
        <w:rPr>
          <w:rFonts w:ascii="宋体" w:hAnsi="宋体"/>
        </w:rPr>
        <w:t>。</w:t>
      </w:r>
    </w:p>
    <w:p>
      <w:pPr>
        <w:spacing w:line="360" w:lineRule="auto"/>
        <w:ind w:firstLine="480" w:firstLineChars="200"/>
        <w:rPr>
          <w:rFonts w:ascii="宋体" w:hAnsi="宋体"/>
        </w:rPr>
      </w:pPr>
      <w:r>
        <w:rPr>
          <w:rFonts w:hint="eastAsia" w:ascii="宋体" w:hAnsi="宋体"/>
        </w:rPr>
        <w:t>3.技术服务：要求中标设备</w:t>
      </w:r>
      <w:r>
        <w:rPr>
          <w:rFonts w:ascii="宋体" w:hAnsi="宋体"/>
        </w:rPr>
        <w:t>随机资料需齐全，备品备件齐全有效。</w:t>
      </w:r>
      <w:r>
        <w:rPr>
          <w:rFonts w:hint="eastAsia" w:ascii="宋体" w:hAnsi="宋体"/>
        </w:rPr>
        <w:t>中标人对使用单位的操作人员进行现场培训，人数不少于二名。</w:t>
      </w:r>
      <w:r>
        <w:rPr>
          <w:rFonts w:ascii="宋体" w:hAnsi="宋体"/>
        </w:rPr>
        <w:t>投标人如额外</w:t>
      </w:r>
      <w:r>
        <w:rPr>
          <w:rFonts w:hint="eastAsia" w:ascii="宋体" w:hAnsi="宋体"/>
        </w:rPr>
        <w:t>增加培训名额或进行厂家培训的</w:t>
      </w:r>
      <w:r>
        <w:rPr>
          <w:rFonts w:ascii="宋体" w:hAnsi="宋体"/>
        </w:rPr>
        <w:t>，需技术标书中予以明确承诺。</w:t>
      </w:r>
    </w:p>
    <w:p>
      <w:pPr>
        <w:spacing w:line="360" w:lineRule="auto"/>
        <w:ind w:firstLine="480" w:firstLineChars="200"/>
        <w:rPr>
          <w:rFonts w:hint="eastAsia" w:ascii="宋体" w:hAnsi="宋体"/>
        </w:rPr>
      </w:pPr>
      <w:r>
        <w:rPr>
          <w:rFonts w:hint="eastAsia" w:ascii="宋体" w:hAnsi="宋体"/>
        </w:rPr>
        <w:t>4.★投标人须承诺中标后与金华市公安局雪亮平台无缝对接，提供承诺函。</w:t>
      </w:r>
    </w:p>
    <w:p>
      <w:pPr>
        <w:spacing w:line="360" w:lineRule="auto"/>
        <w:jc w:val="center"/>
        <w:rPr>
          <w:b/>
          <w:sz w:val="30"/>
          <w:szCs w:val="30"/>
        </w:rPr>
      </w:pPr>
      <w:r>
        <w:rPr>
          <w:rFonts w:hint="eastAsia"/>
          <w:b/>
          <w:sz w:val="30"/>
          <w:szCs w:val="30"/>
        </w:rPr>
        <w:t>五、</w:t>
      </w:r>
      <w:r>
        <w:rPr>
          <w:b/>
          <w:sz w:val="30"/>
          <w:szCs w:val="30"/>
        </w:rPr>
        <w:t>付款方式</w:t>
      </w:r>
    </w:p>
    <w:bookmarkEnd w:id="43"/>
    <w:p>
      <w:pPr>
        <w:widowControl w:val="0"/>
        <w:spacing w:line="360" w:lineRule="auto"/>
        <w:ind w:firstLine="480" w:firstLineChars="200"/>
      </w:pPr>
      <w:bookmarkStart w:id="46" w:name="_Toc39239706"/>
      <w:r>
        <w:rPr>
          <w:rFonts w:hint="eastAsia"/>
        </w:rPr>
        <w:t>（一）</w:t>
      </w:r>
      <w:r>
        <w:rPr>
          <w:rFonts w:hint="eastAsia" w:ascii="宋体" w:hAnsi="宋体"/>
        </w:rPr>
        <w:t>合同签订后七日内，中标人须向采购人出具履约保证金保函（可在政采云</w:t>
      </w:r>
      <w:r>
        <w:rPr>
          <w:rFonts w:hint="eastAsia"/>
        </w:rPr>
        <w:t>平台购买）。</w:t>
      </w:r>
    </w:p>
    <w:p>
      <w:pPr>
        <w:widowControl w:val="0"/>
        <w:spacing w:line="360" w:lineRule="auto"/>
        <w:ind w:firstLine="480" w:firstLineChars="200"/>
      </w:pPr>
      <w:r>
        <w:rPr>
          <w:rFonts w:hint="eastAsia"/>
        </w:rPr>
        <w:t>（二）合同生效及具备实施条件后七个工作日内支付合同总款的</w:t>
      </w:r>
      <w:r>
        <w:t>30%</w:t>
      </w:r>
      <w:r>
        <w:rPr>
          <w:rFonts w:hint="eastAsia"/>
        </w:rPr>
        <w:t>为预付款（若中标人为大型企业，或合同签订时，中标人明确表示无需预付款或主动降低预付款比例的，采购单位可不适用前述规定；采购人根据项目特点、中标人诚信等因素，可要求中标人提供预付款保函）</w:t>
      </w:r>
    </w:p>
    <w:p>
      <w:pPr>
        <w:widowControl w:val="0"/>
        <w:spacing w:line="360" w:lineRule="auto"/>
        <w:ind w:firstLine="480" w:firstLineChars="200"/>
        <w:rPr>
          <w:rFonts w:hint="eastAsia"/>
        </w:rPr>
      </w:pPr>
      <w:r>
        <w:rPr>
          <w:rFonts w:hint="eastAsia"/>
        </w:rPr>
        <w:t xml:space="preserve">（三）项目完成验收合格后，款项分五年付清，第一年支付至款项的60%，后四年每年支付款项的10%。中标人应随付款进度提供正式税务发票。 </w:t>
      </w:r>
    </w:p>
    <w:p>
      <w:pPr>
        <w:pStyle w:val="2"/>
        <w:spacing w:before="120" w:after="240" w:line="240" w:lineRule="auto"/>
        <w:jc w:val="center"/>
        <w:rPr>
          <w:rFonts w:ascii="宋体" w:hAnsi="宋体"/>
        </w:rPr>
        <w:sectPr>
          <w:pgSz w:w="11906" w:h="16838"/>
          <w:pgMar w:top="1258" w:right="1286" w:bottom="1361" w:left="1620" w:header="709" w:footer="971" w:gutter="0"/>
          <w:cols w:space="720" w:num="1"/>
          <w:docGrid w:linePitch="360" w:charSpace="0"/>
        </w:sectPr>
      </w:pPr>
    </w:p>
    <w:p>
      <w:pPr>
        <w:pStyle w:val="2"/>
        <w:spacing w:before="120" w:after="240" w:line="240" w:lineRule="auto"/>
        <w:jc w:val="center"/>
        <w:rPr>
          <w:rFonts w:ascii="宋体" w:hAnsi="宋体"/>
        </w:rPr>
      </w:pPr>
      <w:bookmarkStart w:id="47" w:name="_Toc93668162"/>
      <w:r>
        <w:rPr>
          <w:rFonts w:ascii="宋体" w:hAnsi="宋体"/>
        </w:rPr>
        <w:t>第四章  投标人须知</w:t>
      </w:r>
      <w:bookmarkEnd w:id="46"/>
      <w:bookmarkEnd w:id="47"/>
    </w:p>
    <w:p>
      <w:pPr>
        <w:pStyle w:val="24"/>
        <w:widowControl w:val="0"/>
        <w:adjustRightInd w:val="0"/>
        <w:snapToGrid w:val="0"/>
        <w:spacing w:before="0" w:beforeAutospacing="0" w:after="0" w:afterAutospacing="0" w:line="360" w:lineRule="auto"/>
        <w:ind w:firstLine="540" w:firstLineChars="224"/>
        <w:jc w:val="both"/>
        <w:rPr>
          <w:rFonts w:ascii="Times New Roman" w:hAnsi="Times New Roman"/>
          <w:b/>
          <w:bCs/>
        </w:rPr>
      </w:pPr>
      <w:bookmarkStart w:id="48" w:name="_Toc198712702"/>
      <w:r>
        <w:rPr>
          <w:rFonts w:ascii="Times New Roman" w:hAnsi="Times New Roman"/>
          <w:b/>
          <w:bCs/>
        </w:rPr>
        <w:t>一、总则</w:t>
      </w:r>
    </w:p>
    <w:p>
      <w:pPr>
        <w:widowControl w:val="0"/>
        <w:adjustRightInd w:val="0"/>
        <w:snapToGrid w:val="0"/>
        <w:spacing w:line="360" w:lineRule="auto"/>
        <w:ind w:firstLine="537" w:firstLineChars="224"/>
      </w:pPr>
      <w:r>
        <w:t>（一）适用范围</w:t>
      </w:r>
    </w:p>
    <w:p>
      <w:pPr>
        <w:widowControl w:val="0"/>
        <w:adjustRightInd w:val="0"/>
        <w:snapToGrid w:val="0"/>
        <w:spacing w:line="360" w:lineRule="auto"/>
        <w:ind w:firstLine="537" w:firstLineChars="224"/>
      </w:pPr>
      <w:r>
        <w:t>本招标文件适用于该项目的招标、投标、开标、资格审查及信用信息查询、评标、定标、合同、验收等行为（法律、法规另有规定的，从其规定）。</w:t>
      </w:r>
    </w:p>
    <w:p>
      <w:pPr>
        <w:widowControl w:val="0"/>
        <w:adjustRightInd w:val="0"/>
        <w:snapToGrid w:val="0"/>
        <w:spacing w:line="360" w:lineRule="auto"/>
        <w:ind w:firstLine="537" w:firstLineChars="224"/>
      </w:pPr>
      <w:r>
        <w:t>（二）定义</w:t>
      </w:r>
    </w:p>
    <w:p>
      <w:pPr>
        <w:widowControl w:val="0"/>
        <w:adjustRightInd w:val="0"/>
        <w:snapToGrid w:val="0"/>
        <w:spacing w:line="360" w:lineRule="auto"/>
        <w:ind w:firstLine="537" w:firstLineChars="224"/>
      </w:pPr>
      <w:r>
        <w:t>1.“采购人”系指金华市公安局金东分局。</w:t>
      </w:r>
    </w:p>
    <w:p>
      <w:pPr>
        <w:widowControl w:val="0"/>
        <w:adjustRightInd w:val="0"/>
        <w:snapToGrid w:val="0"/>
        <w:spacing w:line="360" w:lineRule="auto"/>
        <w:ind w:firstLine="537" w:firstLineChars="224"/>
      </w:pPr>
      <w:r>
        <w:t>2.“投标人”系系指是指响应招标、参加投标竞争的法人、其他组织或者自然人。</w:t>
      </w:r>
    </w:p>
    <w:p>
      <w:pPr>
        <w:widowControl w:val="0"/>
        <w:adjustRightInd w:val="0"/>
        <w:snapToGrid w:val="0"/>
        <w:spacing w:line="360" w:lineRule="auto"/>
        <w:ind w:firstLine="537" w:firstLineChars="224"/>
      </w:pPr>
      <w:r>
        <w:t>3.“代理机构”系指组织招标活动的浙江金华阳光招标代理有限公司。</w:t>
      </w:r>
    </w:p>
    <w:p>
      <w:pPr>
        <w:widowControl w:val="0"/>
        <w:adjustRightInd w:val="0"/>
        <w:snapToGrid w:val="0"/>
        <w:spacing w:line="360" w:lineRule="auto"/>
        <w:ind w:firstLine="537" w:firstLineChars="224"/>
      </w:pPr>
      <w:r>
        <w:t>4.“负责人”系指法人企业的法定负责人，或其他组织为法律、行政法规规定代表单位行使职权的主要负责人，或自然人本人。</w:t>
      </w:r>
    </w:p>
    <w:p>
      <w:pPr>
        <w:widowControl w:val="0"/>
        <w:adjustRightInd w:val="0"/>
        <w:snapToGrid w:val="0"/>
        <w:spacing w:line="360" w:lineRule="auto"/>
        <w:ind w:firstLine="537" w:firstLineChars="224"/>
      </w:pPr>
      <w:r>
        <w:t>5.“服务”系指招标文件规定投标人须承担的与本项目有关的</w:t>
      </w:r>
      <w:r>
        <w:rPr>
          <w:rFonts w:hint="eastAsia"/>
        </w:rPr>
        <w:t>所有</w:t>
      </w:r>
      <w:r>
        <w:t>服务。</w:t>
      </w:r>
    </w:p>
    <w:p>
      <w:pPr>
        <w:widowControl w:val="0"/>
        <w:adjustRightInd w:val="0"/>
        <w:snapToGrid w:val="0"/>
        <w:spacing w:line="360" w:lineRule="auto"/>
        <w:ind w:firstLine="537" w:firstLineChars="224"/>
      </w:pPr>
      <w:r>
        <w:t>6.“货物”系指招标文件规定投标人须向采购人提供的</w:t>
      </w:r>
      <w:r>
        <w:rPr>
          <w:rFonts w:hint="eastAsia"/>
        </w:rPr>
        <w:t>与本项目服务相关的</w:t>
      </w:r>
      <w:r>
        <w:t>一切材料、设备、机械、仪器仪表、工具及其它有关技术资料和文字材料</w:t>
      </w:r>
      <w:r>
        <w:rPr>
          <w:rFonts w:hint="eastAsia"/>
        </w:rPr>
        <w:t>。</w:t>
      </w:r>
    </w:p>
    <w:p>
      <w:pPr>
        <w:widowControl w:val="0"/>
        <w:adjustRightInd w:val="0"/>
        <w:snapToGrid w:val="0"/>
        <w:spacing w:line="360" w:lineRule="auto"/>
        <w:ind w:firstLine="537" w:firstLineChars="224"/>
      </w:pPr>
      <w:r>
        <w:t>7. “电子签名”系指数据电文中以电子形式所含、所附用于识别签名人身份并表明签名人认可其中内容的数据</w:t>
      </w:r>
      <w:r>
        <w:rPr>
          <w:rFonts w:hint="eastAsia"/>
        </w:rPr>
        <w:t>。投标人在投标文件中的公章均为“电子公章”。</w:t>
      </w:r>
    </w:p>
    <w:p>
      <w:pPr>
        <w:widowControl w:val="0"/>
        <w:adjustRightInd w:val="0"/>
        <w:snapToGrid w:val="0"/>
        <w:spacing w:line="360" w:lineRule="auto"/>
        <w:ind w:firstLine="537" w:firstLineChars="224"/>
      </w:pPr>
      <w:r>
        <w:t>8.“电子交易平台”是指本项目政府采购活动所依托的政府采购云平台（https://www.zcygov.cn/）。</w:t>
      </w:r>
    </w:p>
    <w:p>
      <w:pPr>
        <w:widowControl w:val="0"/>
        <w:adjustRightInd w:val="0"/>
        <w:snapToGrid w:val="0"/>
        <w:spacing w:line="360" w:lineRule="auto"/>
        <w:ind w:firstLine="537" w:firstLineChars="224"/>
      </w:pPr>
      <w:r>
        <w:t>9.“</w:t>
      </w:r>
      <w:r>
        <w:rPr>
          <w:rFonts w:ascii="Segoe UI Symbol" w:hAnsi="Segoe UI Symbol" w:cs="Segoe UI Symbol"/>
        </w:rPr>
        <w:t>★</w:t>
      </w:r>
      <w:r>
        <w:t>”系指实质性要求条款，“▲” 系指重要条款，“</w:t>
      </w:r>
      <w:r>
        <w:rPr>
          <w:rFonts w:ascii="Segoe UI Symbol" w:hAnsi="Segoe UI Symbol" w:eastAsia="仿宋_GB2312" w:cs="Segoe UI Symbol"/>
        </w:rPr>
        <w:t>☑</w:t>
      </w:r>
      <w:r>
        <w:t>” 系指适用本项目的要求，“</w:t>
      </w:r>
      <w:r>
        <w:rPr>
          <w:rFonts w:ascii="Segoe UI Symbol" w:hAnsi="Segoe UI Symbol" w:cs="Segoe UI Symbol"/>
        </w:rPr>
        <w:t>☐</w:t>
      </w:r>
      <w:r>
        <w:t>” 系指不适用本项目的要求。</w:t>
      </w:r>
    </w:p>
    <w:p>
      <w:pPr>
        <w:widowControl w:val="0"/>
        <w:adjustRightInd w:val="0"/>
        <w:snapToGrid w:val="0"/>
        <w:spacing w:line="360" w:lineRule="auto"/>
        <w:ind w:firstLine="540" w:firstLineChars="224"/>
        <w:rPr>
          <w:b/>
          <w:bCs/>
        </w:rPr>
      </w:pPr>
      <w:r>
        <w:rPr>
          <w:b/>
          <w:bCs/>
        </w:rPr>
        <w:t>（三）采购项目需要落实的政府采购政策</w:t>
      </w:r>
    </w:p>
    <w:p>
      <w:pPr>
        <w:widowControl w:val="0"/>
        <w:adjustRightInd w:val="0"/>
        <w:snapToGrid w:val="0"/>
        <w:spacing w:line="360" w:lineRule="auto"/>
        <w:ind w:firstLine="537" w:firstLineChars="224"/>
      </w:pPr>
      <w:r>
        <w:t>1.支持中小企业发展</w:t>
      </w:r>
    </w:p>
    <w:p>
      <w:pPr>
        <w:widowControl w:val="0"/>
        <w:adjustRightInd w:val="0"/>
        <w:snapToGrid w:val="0"/>
        <w:spacing w:line="360" w:lineRule="auto"/>
        <w:ind w:firstLine="537" w:firstLineChars="224"/>
      </w:pPr>
      <w:r>
        <w:t>1.1中小企业，是指在中华人民共和国境内依法设立，依据国务院批准的中小企业划分标准确定的中型企业、小型企业和微型企业，但与大企业的负责人为同一人，或者与大企业存在直接控股、管理关系的除外。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val="0"/>
        <w:adjustRightInd w:val="0"/>
        <w:snapToGrid w:val="0"/>
        <w:spacing w:line="360" w:lineRule="auto"/>
        <w:ind w:firstLine="537" w:firstLineChars="224"/>
      </w:pPr>
      <w:r>
        <w:t>符合中小企业划分标准的个体工商户，在政府采购活动中视同中小企业。</w:t>
      </w:r>
    </w:p>
    <w:p>
      <w:pPr>
        <w:widowControl w:val="0"/>
        <w:adjustRightInd w:val="0"/>
        <w:snapToGrid w:val="0"/>
        <w:spacing w:line="360" w:lineRule="auto"/>
        <w:ind w:firstLine="537" w:firstLineChars="224"/>
      </w:pPr>
      <w:r>
        <w:t>1.2在政府采购活动中，投标人提供的货物、工程或者服务符合下列情形的，享受中小企业扶持政策：</w:t>
      </w:r>
    </w:p>
    <w:p>
      <w:pPr>
        <w:widowControl w:val="0"/>
        <w:adjustRightInd w:val="0"/>
        <w:snapToGrid w:val="0"/>
        <w:spacing w:line="360" w:lineRule="auto"/>
        <w:ind w:firstLine="537" w:firstLineChars="224"/>
      </w:pPr>
      <w: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val="0"/>
        <w:adjustRightInd w:val="0"/>
        <w:snapToGrid w:val="0"/>
        <w:spacing w:line="360" w:lineRule="auto"/>
        <w:ind w:firstLine="537" w:firstLineChars="224"/>
      </w:pPr>
      <w:r>
        <w:t>（2）在工程采购项目中，工程由中小企业承建，即工程施工单位为中小企业；</w:t>
      </w:r>
    </w:p>
    <w:p>
      <w:pPr>
        <w:widowControl w:val="0"/>
        <w:adjustRightInd w:val="0"/>
        <w:snapToGrid w:val="0"/>
        <w:spacing w:line="360" w:lineRule="auto"/>
        <w:ind w:firstLine="537" w:firstLineChars="224"/>
      </w:pPr>
      <w:r>
        <w:t>（3）在服务采购项目中，服务由中小企业承接，即提供服务的人员为中小企业依照《中华人民共和国劳动合同法》订立劳动合同的从业人员。</w:t>
      </w:r>
    </w:p>
    <w:p>
      <w:pPr>
        <w:widowControl w:val="0"/>
        <w:adjustRightInd w:val="0"/>
        <w:snapToGrid w:val="0"/>
        <w:spacing w:line="360" w:lineRule="auto"/>
        <w:ind w:firstLine="537" w:firstLineChars="224"/>
      </w:pPr>
      <w:r>
        <w:t>以联合体形式参加政府采购活动，联合体各方均为中小企业的，联合体视同中小企业。其中，联合体各方均为小微企业的，联合体视同小微企业。</w:t>
      </w:r>
    </w:p>
    <w:p>
      <w:pPr>
        <w:widowControl w:val="0"/>
        <w:adjustRightInd w:val="0"/>
        <w:snapToGrid w:val="0"/>
        <w:spacing w:line="360" w:lineRule="auto"/>
        <w:ind w:firstLine="537" w:firstLineChars="224"/>
        <w:rPr>
          <w:rFonts w:hint="eastAsia"/>
        </w:rPr>
      </w:pPr>
      <w:r>
        <w:t>1.3对符合前述条款要求的小型和微型企业的投标报价给予</w:t>
      </w:r>
      <w:r>
        <w:rPr>
          <w:rFonts w:hint="eastAsia"/>
        </w:rPr>
        <w:t>20</w:t>
      </w:r>
      <w:r>
        <w:t>%的扣除，用扣除后的价格参与评审。</w:t>
      </w:r>
    </w:p>
    <w:p>
      <w:pPr>
        <w:widowControl w:val="0"/>
        <w:adjustRightInd w:val="0"/>
        <w:snapToGrid w:val="0"/>
        <w:spacing w:line="360" w:lineRule="auto"/>
        <w:ind w:firstLine="537" w:firstLineChars="224"/>
      </w:pPr>
      <w:r>
        <w:t>1.4符合《关于促进残疾人就业政府采购政策的通知》（财库〔2017〕141号）规定的条件并提供《残疾人福利性单位声明函》的残疾人福利性单位视同小型、微型企业；</w:t>
      </w:r>
    </w:p>
    <w:p>
      <w:pPr>
        <w:widowControl w:val="0"/>
        <w:adjustRightInd w:val="0"/>
        <w:snapToGrid w:val="0"/>
        <w:spacing w:line="360" w:lineRule="auto"/>
        <w:ind w:firstLine="537" w:firstLineChars="224"/>
        <w:rPr>
          <w:rFonts w:hint="eastAsia"/>
        </w:rPr>
      </w:pPr>
      <w:r>
        <w:t>1.5</w:t>
      </w:r>
      <w:r>
        <w:rPr>
          <w:rFonts w:hint="eastAsia"/>
        </w:rPr>
        <w:t>对于未预留份额专门面向中小企业的政府采购货物或服务项目，以及预留份额政府采购货物或服务项目中的非预留部分标项，对小型和微型企业的投标报价给予20</w:t>
      </w:r>
      <w:r>
        <w:t>%的扣除，用扣除后的价格参与评审。接受大中型企业与小微企业组成联合体或者允许大中型企业向一家或者多家小微企业分包的</w:t>
      </w:r>
      <w:r>
        <w:rPr>
          <w:rFonts w:hint="eastAsia"/>
        </w:rPr>
        <w:t>政府</w:t>
      </w:r>
      <w:r>
        <w:t>采购</w:t>
      </w:r>
      <w:r>
        <w:rPr>
          <w:rFonts w:hint="eastAsia"/>
        </w:rPr>
        <w:t>货物或服务</w:t>
      </w:r>
      <w:r>
        <w:t>项目，对于联合协议或者分包意向协议约定小微企业的合同份额占到合同总金额30%以上的，对联合体或者大中型企业的报价给予</w:t>
      </w:r>
      <w:r>
        <w:rPr>
          <w:rFonts w:hint="eastAsia"/>
        </w:rPr>
        <w:t>6</w:t>
      </w:r>
      <w:r>
        <w:t>%的扣除，用扣除后的价格参加评审。组成联合体或者接受分包的小微企业与联合体内其他企业、分包企业之间存在直接控股、管理关系的，不享受价格扣除优惠政策。</w:t>
      </w:r>
    </w:p>
    <w:p>
      <w:pPr>
        <w:widowControl w:val="0"/>
        <w:adjustRightInd w:val="0"/>
        <w:snapToGrid w:val="0"/>
        <w:spacing w:line="360" w:lineRule="auto"/>
        <w:ind w:firstLine="537" w:firstLineChars="224"/>
      </w:pPr>
      <w:r>
        <w:t>1.6符合《关于政府采购支持监狱企业发展有关问题的通知》（财库[2014]68号）规定的监狱企业并提供由省级以上监狱管理局、戒毒管理局（含新疆生产建设兵团）出具的属于监狱企业证明文件的，视同为小型、微型企业。</w:t>
      </w:r>
    </w:p>
    <w:p>
      <w:pPr>
        <w:widowControl w:val="0"/>
        <w:adjustRightInd w:val="0"/>
        <w:snapToGrid w:val="0"/>
        <w:spacing w:line="360" w:lineRule="auto"/>
        <w:ind w:firstLine="537" w:firstLineChars="224"/>
      </w:pPr>
      <w:r>
        <w:t>1.7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idowControl w:val="0"/>
        <w:adjustRightInd w:val="0"/>
        <w:snapToGrid w:val="0"/>
        <w:spacing w:line="360" w:lineRule="auto"/>
        <w:ind w:firstLine="537" w:firstLineChars="224"/>
      </w:pPr>
      <w:r>
        <w:t>1.8中小企业享受扶持政策获得政府采购合同的，小微企业不得将合同分包给大中型企业，中型企业不得将合同分包给大型企业。</w:t>
      </w:r>
    </w:p>
    <w:p>
      <w:pPr>
        <w:widowControl w:val="0"/>
        <w:adjustRightInd w:val="0"/>
        <w:snapToGrid w:val="0"/>
        <w:spacing w:line="360" w:lineRule="auto"/>
        <w:ind w:firstLine="537" w:firstLineChars="224"/>
      </w:pPr>
      <w:r>
        <w:t>（</w:t>
      </w:r>
      <w:r>
        <w:rPr>
          <w:rFonts w:hint="eastAsia"/>
        </w:rPr>
        <w:t>四</w:t>
      </w:r>
      <w:r>
        <w:t>）投标费用</w:t>
      </w:r>
    </w:p>
    <w:p>
      <w:pPr>
        <w:widowControl w:val="0"/>
        <w:adjustRightInd w:val="0"/>
        <w:snapToGrid w:val="0"/>
        <w:spacing w:line="360" w:lineRule="auto"/>
        <w:ind w:firstLine="537" w:firstLineChars="224"/>
        <w:rPr>
          <w:b/>
          <w:bCs/>
        </w:rPr>
      </w:pPr>
      <w:r>
        <w:t>无论投标过程中的做法和结果如何，投标人自行承担所有与参加投标有关的费用，投标人取得中标资格后，须向招标代理机构支付中标服务费（详见前附表）。</w:t>
      </w:r>
      <w:r>
        <w:rPr>
          <w:b/>
          <w:bCs/>
        </w:rPr>
        <w:t>因中标人原因放弃项目须重新组织招标的，须正常向代理机构支付服务费，并由代理机构上报财政，作相应处理。</w:t>
      </w:r>
    </w:p>
    <w:p>
      <w:pPr>
        <w:spacing w:line="360" w:lineRule="auto"/>
        <w:ind w:firstLine="480" w:firstLineChars="200"/>
        <w:jc w:val="both"/>
      </w:pPr>
      <w:r>
        <w:t>（</w:t>
      </w:r>
      <w:r>
        <w:rPr>
          <w:rFonts w:hint="eastAsia"/>
        </w:rPr>
        <w:t>五</w:t>
      </w:r>
      <w:r>
        <w:t>）特别说明：</w:t>
      </w:r>
    </w:p>
    <w:p>
      <w:pPr>
        <w:spacing w:line="360" w:lineRule="auto"/>
        <w:ind w:firstLine="480" w:firstLineChars="200"/>
        <w:jc w:val="both"/>
      </w:pPr>
      <w:r>
        <w:t>1.投标人投标所使用的资格、信誉、荣誉、业绩与企业认证必须为本法人所拥有。</w:t>
      </w:r>
    </w:p>
    <w:p>
      <w:pPr>
        <w:spacing w:line="360" w:lineRule="auto"/>
        <w:ind w:firstLine="480" w:firstLineChars="200"/>
        <w:jc w:val="both"/>
      </w:pPr>
      <w:r>
        <w:t>2.投标人应仔细阅读招标文件的所有内容，按照招标文件的要求提交投标文件，并对所提供的全部资料的真实性承担法律责任。</w:t>
      </w:r>
    </w:p>
    <w:p>
      <w:pPr>
        <w:spacing w:line="360" w:lineRule="auto"/>
        <w:ind w:firstLine="480" w:firstLineChars="200"/>
        <w:jc w:val="both"/>
      </w:pPr>
      <w:r>
        <w:t>3.投标人应仔细阅读</w:t>
      </w:r>
      <w:r>
        <w:rPr>
          <w:u w:val="thick" w:color="FFFFFF"/>
        </w:rPr>
        <w:t>招标文件</w:t>
      </w:r>
      <w:r>
        <w:t>的所有内容，按</w:t>
      </w:r>
      <w:r>
        <w:rPr>
          <w:u w:val="thick" w:color="FFFFFF"/>
        </w:rPr>
        <w:t>招标文件</w:t>
      </w:r>
      <w:r>
        <w:t>的要求提供投标文件，并保证所提供的全部资料的真实性，以使其投标对</w:t>
      </w:r>
      <w:r>
        <w:rPr>
          <w:u w:val="thick" w:color="FFFFFF"/>
        </w:rPr>
        <w:t>招标文件</w:t>
      </w:r>
      <w:r>
        <w:t>的实质性要求做出完全响应，否则其投标将被拒绝。</w:t>
      </w:r>
    </w:p>
    <w:p>
      <w:pPr>
        <w:spacing w:line="360" w:lineRule="auto"/>
        <w:ind w:firstLine="480" w:firstLineChars="200"/>
        <w:jc w:val="both"/>
      </w:pPr>
      <w:r>
        <w:t>4.投标人应按照招标文件要求及有关资料编制投标文件，并保证投标文件的正确性和真实性，所有文件资料必须是针对本次招标。</w:t>
      </w:r>
    </w:p>
    <w:p>
      <w:pPr>
        <w:widowControl w:val="0"/>
        <w:adjustRightInd w:val="0"/>
        <w:snapToGrid w:val="0"/>
        <w:spacing w:line="360" w:lineRule="auto"/>
        <w:ind w:firstLine="537" w:firstLineChars="224"/>
      </w:pPr>
      <w:r>
        <w:t>（</w:t>
      </w:r>
      <w:r>
        <w:rPr>
          <w:rFonts w:hint="eastAsia"/>
        </w:rPr>
        <w:t>六</w:t>
      </w:r>
      <w:r>
        <w:t>）现场踏勘</w:t>
      </w:r>
    </w:p>
    <w:p>
      <w:pPr>
        <w:widowControl w:val="0"/>
        <w:adjustRightInd w:val="0"/>
        <w:snapToGrid w:val="0"/>
        <w:spacing w:line="360" w:lineRule="auto"/>
        <w:ind w:firstLine="537" w:firstLineChars="224"/>
      </w:pPr>
      <w:r>
        <w:t>1.不组织集中踏勘，由各投标人自行安排。投标人在踏勘过程中发生的各类事件和所发生的各项费用，均由投标人自行承担，采购人和代理机构概不负责。</w:t>
      </w:r>
    </w:p>
    <w:p>
      <w:pPr>
        <w:spacing w:line="360" w:lineRule="auto"/>
        <w:ind w:firstLine="480" w:firstLineChars="200"/>
        <w:jc w:val="both"/>
      </w:pPr>
      <w:r>
        <w:t>2.采购人向投标人提供的有关现场的数据和资料，是采购人现有的能被投标人利用的资料，采购人对投标人据此做出的任何推论、理解和结论不负责任。</w:t>
      </w:r>
    </w:p>
    <w:p>
      <w:pPr>
        <w:spacing w:line="360" w:lineRule="auto"/>
        <w:ind w:firstLine="480" w:firstLineChars="200"/>
        <w:jc w:val="both"/>
      </w:pPr>
      <w:r>
        <w:t>（</w:t>
      </w:r>
      <w:r>
        <w:rPr>
          <w:rFonts w:hint="eastAsia"/>
        </w:rPr>
        <w:t>七</w:t>
      </w:r>
      <w:r>
        <w:t>）询问、质疑、投诉</w:t>
      </w:r>
    </w:p>
    <w:p>
      <w:pPr>
        <w:spacing w:line="360" w:lineRule="auto"/>
        <w:ind w:firstLine="480" w:firstLineChars="200"/>
        <w:jc w:val="both"/>
      </w:pPr>
      <w:r>
        <w:t>1.询问</w:t>
      </w:r>
    </w:p>
    <w:p>
      <w:pPr>
        <w:spacing w:line="360" w:lineRule="auto"/>
        <w:ind w:firstLine="480" w:firstLineChars="200"/>
        <w:jc w:val="both"/>
      </w:pPr>
      <w:r>
        <w:t>供应商对政府采购活动事项有疑问的，可以提出询问，采购人或者采购代理机构应当在</w:t>
      </w:r>
      <w:r>
        <w:rPr>
          <w:rFonts w:hint="eastAsia"/>
        </w:rPr>
        <w:t>3</w:t>
      </w:r>
      <w:r>
        <w:t>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480" w:firstLineChars="200"/>
        <w:jc w:val="both"/>
      </w:pPr>
      <w:r>
        <w:t>2.质疑</w:t>
      </w:r>
    </w:p>
    <w:p>
      <w:pPr>
        <w:spacing w:line="360" w:lineRule="auto"/>
        <w:ind w:firstLine="480" w:firstLineChars="200"/>
        <w:jc w:val="both"/>
      </w:pPr>
      <w:r>
        <w:t>2.1提出质疑的供应商应当是参与所质疑项目采购活动的供应商。潜在供应商已依法获取其可质疑的招标文件的，可以对该文件提出质疑。</w:t>
      </w:r>
    </w:p>
    <w:p>
      <w:pPr>
        <w:spacing w:line="360" w:lineRule="auto"/>
        <w:ind w:firstLine="480" w:firstLineChars="200"/>
        <w:jc w:val="both"/>
      </w:pPr>
      <w:r>
        <w:rPr>
          <w:lang w:val="zh-CN"/>
        </w:rPr>
        <w:t>2</w:t>
      </w:r>
      <w:r>
        <w:t>.2供应商认为招标文件、采购过程和中标结果使自己的权益受到损害的，可以在知道或者应知其权益受到损害之日起</w:t>
      </w:r>
      <w:r>
        <w:rPr>
          <w:rFonts w:hint="eastAsia"/>
        </w:rPr>
        <w:t>7</w:t>
      </w:r>
      <w:r>
        <w:t>个工作日内，以书面形式向采购人或者采购代理机构提出质疑，否则，采购人或者采购代理机构不予受理：</w:t>
      </w:r>
    </w:p>
    <w:p>
      <w:pPr>
        <w:spacing w:line="360" w:lineRule="auto"/>
        <w:ind w:firstLine="480" w:firstLineChars="200"/>
        <w:jc w:val="both"/>
        <w:rPr>
          <w:kern w:val="2"/>
        </w:rPr>
      </w:pPr>
      <w:r>
        <w:t>（1）</w:t>
      </w:r>
      <w:r>
        <w:rPr>
          <w:kern w:val="2"/>
        </w:rPr>
        <w:t>对招标文件提出质疑的，质疑期限为供应商获得招标文件之日或者招标文件公告期限届满之日起计算。</w:t>
      </w:r>
    </w:p>
    <w:p>
      <w:pPr>
        <w:spacing w:line="360" w:lineRule="auto"/>
        <w:ind w:firstLine="480" w:firstLineChars="200"/>
        <w:jc w:val="both"/>
      </w:pPr>
      <w:r>
        <w:t>（2）对采购过程提出质疑的，质疑期限为各采购程序环节结束之日起计算。对同一采购程序环节的质疑，供应商须一次性提出。</w:t>
      </w:r>
    </w:p>
    <w:p>
      <w:pPr>
        <w:spacing w:line="360" w:lineRule="auto"/>
        <w:ind w:firstLine="480" w:firstLineChars="200"/>
        <w:jc w:val="both"/>
      </w:pPr>
      <w:r>
        <w:t>（3）对采购结果提出质疑的，质疑期限自采购结果公告期限届满之日起计算。</w:t>
      </w:r>
    </w:p>
    <w:p>
      <w:pPr>
        <w:spacing w:line="360" w:lineRule="auto"/>
        <w:ind w:firstLine="480" w:firstLineChars="200"/>
        <w:jc w:val="both"/>
      </w:pPr>
      <w:r>
        <w:t>2.3供应商提出质疑应当提交质疑函和必要的证明材料。质疑函应当包括下列内容：</w:t>
      </w:r>
    </w:p>
    <w:p>
      <w:pPr>
        <w:spacing w:line="360" w:lineRule="auto"/>
        <w:ind w:firstLine="480" w:firstLineChars="200"/>
        <w:jc w:val="both"/>
      </w:pPr>
      <w:r>
        <w:t>（1）供应商的姓名或者名称、地址、邮编、联系人及联系电话；</w:t>
      </w:r>
    </w:p>
    <w:p>
      <w:pPr>
        <w:spacing w:line="360" w:lineRule="auto"/>
        <w:ind w:firstLine="480" w:firstLineChars="200"/>
        <w:jc w:val="both"/>
      </w:pPr>
      <w:r>
        <w:t>（2）质疑项目的名称、编号；</w:t>
      </w:r>
    </w:p>
    <w:p>
      <w:pPr>
        <w:spacing w:line="360" w:lineRule="auto"/>
        <w:ind w:firstLine="480" w:firstLineChars="200"/>
        <w:jc w:val="both"/>
      </w:pPr>
      <w:r>
        <w:t>（3）具体、明确的质疑事项和与质疑事项相关的请求；</w:t>
      </w:r>
    </w:p>
    <w:p>
      <w:pPr>
        <w:spacing w:line="360" w:lineRule="auto"/>
        <w:ind w:firstLine="480" w:firstLineChars="200"/>
        <w:jc w:val="both"/>
      </w:pPr>
      <w:r>
        <w:t>（4）事实依据；</w:t>
      </w:r>
    </w:p>
    <w:p>
      <w:pPr>
        <w:spacing w:line="360" w:lineRule="auto"/>
        <w:ind w:firstLine="480" w:firstLineChars="200"/>
        <w:jc w:val="both"/>
      </w:pPr>
      <w:r>
        <w:t>（5）必要的法律依据；</w:t>
      </w:r>
    </w:p>
    <w:p>
      <w:pPr>
        <w:spacing w:line="360" w:lineRule="auto"/>
        <w:ind w:firstLine="480" w:firstLineChars="200"/>
        <w:jc w:val="both"/>
      </w:pPr>
      <w:r>
        <w:t>（6）提出质疑的日期。</w:t>
      </w:r>
    </w:p>
    <w:p>
      <w:pPr>
        <w:spacing w:line="360" w:lineRule="auto"/>
        <w:ind w:firstLine="480" w:firstLineChars="200"/>
        <w:jc w:val="both"/>
      </w:pPr>
      <w:r>
        <w:t>2.4采购人或者采购代理机构应当在收到供应商的书面质疑后</w:t>
      </w:r>
      <w:r>
        <w:rPr>
          <w:rFonts w:hint="eastAsia"/>
        </w:rPr>
        <w:t>7</w:t>
      </w:r>
      <w:r>
        <w:t>个工作日内作出答复，并以书面形式通知质疑供应商和其他与质疑处理结果有利害关系的政府采购当事人，但答复的内容不得涉及商业秘密。</w:t>
      </w:r>
    </w:p>
    <w:p>
      <w:pPr>
        <w:spacing w:line="360" w:lineRule="auto"/>
        <w:ind w:firstLine="480" w:firstLineChars="200"/>
        <w:jc w:val="both"/>
      </w:pPr>
      <w:r>
        <w:t>2.5投标人须在法定质疑期内一次性提出针对同一采购程序环节的质疑。未按上述要求提供的质疑函，采购代理机构不予受理。</w:t>
      </w:r>
    </w:p>
    <w:p>
      <w:pPr>
        <w:spacing w:line="360" w:lineRule="auto"/>
        <w:ind w:firstLine="480" w:firstLineChars="200"/>
        <w:jc w:val="both"/>
      </w:pPr>
      <w:r>
        <w:t>3.投诉</w:t>
      </w:r>
    </w:p>
    <w:p>
      <w:pPr>
        <w:spacing w:line="360" w:lineRule="auto"/>
        <w:ind w:firstLine="480" w:firstLineChars="200"/>
        <w:jc w:val="both"/>
      </w:pPr>
      <w:r>
        <w:t>3.1质疑供应商对采购人、采购代理机构的答复不满意或者采购人、采购代理机构未在规定的时间内作出答复的，可以在答复期满后</w:t>
      </w:r>
      <w:r>
        <w:rPr>
          <w:rFonts w:hint="eastAsia"/>
        </w:rPr>
        <w:t>1</w:t>
      </w:r>
      <w:r>
        <w:t>5个工作日内向同级政府采购监督管理部门提出投诉。</w:t>
      </w:r>
    </w:p>
    <w:p>
      <w:pPr>
        <w:spacing w:line="360" w:lineRule="auto"/>
        <w:ind w:firstLine="480" w:firstLineChars="200"/>
        <w:jc w:val="both"/>
      </w:pPr>
      <w:r>
        <w:t>3.2供应商投诉的事项不得超出已质疑事项的范围，基于质疑答复内容提出的投诉事项除外。</w:t>
      </w:r>
    </w:p>
    <w:p>
      <w:pPr>
        <w:spacing w:line="360" w:lineRule="auto"/>
        <w:ind w:firstLine="480" w:firstLineChars="200"/>
        <w:jc w:val="both"/>
      </w:pPr>
      <w:r>
        <w:t>3.3供应商投诉应当有明确的请求和必要的证明材料。</w:t>
      </w:r>
    </w:p>
    <w:p>
      <w:pPr>
        <w:spacing w:line="360" w:lineRule="auto"/>
        <w:ind w:firstLine="482" w:firstLineChars="200"/>
        <w:jc w:val="both"/>
      </w:pPr>
      <w:r>
        <w:rPr>
          <w:b/>
          <w:bCs/>
        </w:rPr>
        <w:t>质疑函范本、投诉书范本请到浙江政府采购网下载专区下载</w:t>
      </w:r>
      <w:r>
        <w:t>。</w:t>
      </w:r>
    </w:p>
    <w:p>
      <w:pPr>
        <w:spacing w:line="360" w:lineRule="auto"/>
        <w:ind w:firstLine="482" w:firstLineChars="200"/>
        <w:jc w:val="both"/>
        <w:rPr>
          <w:b/>
        </w:rPr>
      </w:pPr>
      <w:r>
        <w:rPr>
          <w:b/>
        </w:rPr>
        <w:t>二、招标文件构成、澄清、 修改</w:t>
      </w:r>
    </w:p>
    <w:p>
      <w:pPr>
        <w:widowControl w:val="0"/>
        <w:adjustRightInd w:val="0"/>
        <w:snapToGrid w:val="0"/>
        <w:spacing w:line="360" w:lineRule="auto"/>
        <w:ind w:firstLine="537" w:firstLineChars="224"/>
      </w:pPr>
      <w:r>
        <w:t>（一）招标文件的构成：</w:t>
      </w:r>
    </w:p>
    <w:p>
      <w:pPr>
        <w:widowControl w:val="0"/>
        <w:adjustRightInd w:val="0"/>
        <w:snapToGrid w:val="0"/>
        <w:spacing w:line="360" w:lineRule="auto"/>
        <w:ind w:firstLine="537" w:firstLineChars="224"/>
      </w:pPr>
      <w:r>
        <w:t>1.招标公告</w:t>
      </w:r>
    </w:p>
    <w:p>
      <w:pPr>
        <w:widowControl w:val="0"/>
        <w:adjustRightInd w:val="0"/>
        <w:snapToGrid w:val="0"/>
        <w:spacing w:line="360" w:lineRule="auto"/>
        <w:ind w:firstLine="537" w:firstLineChars="224"/>
      </w:pPr>
      <w:r>
        <w:t>2.前附表</w:t>
      </w:r>
    </w:p>
    <w:p>
      <w:pPr>
        <w:widowControl w:val="0"/>
        <w:adjustRightInd w:val="0"/>
        <w:snapToGrid w:val="0"/>
        <w:spacing w:line="360" w:lineRule="auto"/>
        <w:ind w:firstLine="537" w:firstLineChars="224"/>
      </w:pPr>
      <w:r>
        <w:t>3.项目技术规范和要求</w:t>
      </w:r>
    </w:p>
    <w:p>
      <w:pPr>
        <w:widowControl w:val="0"/>
        <w:adjustRightInd w:val="0"/>
        <w:snapToGrid w:val="0"/>
        <w:spacing w:line="360" w:lineRule="auto"/>
        <w:ind w:firstLine="537" w:firstLineChars="224"/>
      </w:pPr>
      <w:r>
        <w:t>4.投标人须知</w:t>
      </w:r>
    </w:p>
    <w:p>
      <w:pPr>
        <w:widowControl w:val="0"/>
        <w:adjustRightInd w:val="0"/>
        <w:snapToGrid w:val="0"/>
        <w:spacing w:line="360" w:lineRule="auto"/>
        <w:ind w:firstLine="537" w:firstLineChars="224"/>
        <w:rPr>
          <w:rFonts w:hint="eastAsia"/>
        </w:rPr>
      </w:pPr>
      <w:r>
        <w:t>5.评标办法</w:t>
      </w:r>
    </w:p>
    <w:p>
      <w:pPr>
        <w:widowControl w:val="0"/>
        <w:adjustRightInd w:val="0"/>
        <w:snapToGrid w:val="0"/>
        <w:spacing w:line="360" w:lineRule="auto"/>
        <w:ind w:firstLine="537" w:firstLineChars="224"/>
      </w:pPr>
      <w:r>
        <w:t>6.合同范本</w:t>
      </w:r>
    </w:p>
    <w:p>
      <w:pPr>
        <w:widowControl w:val="0"/>
        <w:adjustRightInd w:val="0"/>
        <w:snapToGrid w:val="0"/>
        <w:spacing w:line="360" w:lineRule="auto"/>
        <w:ind w:firstLine="537" w:firstLineChars="224"/>
      </w:pPr>
      <w:r>
        <w:t>7.投标文件格式</w:t>
      </w:r>
    </w:p>
    <w:p>
      <w:pPr>
        <w:widowControl w:val="0"/>
        <w:adjustRightInd w:val="0"/>
        <w:snapToGrid w:val="0"/>
        <w:spacing w:line="360" w:lineRule="auto"/>
        <w:ind w:firstLine="537" w:firstLineChars="224"/>
      </w:pPr>
      <w:r>
        <w:t>8.本项目招标文件的澄清、答复、修改、补充的内容</w:t>
      </w:r>
    </w:p>
    <w:p>
      <w:pPr>
        <w:widowControl w:val="0"/>
        <w:adjustRightInd w:val="0"/>
        <w:snapToGrid w:val="0"/>
        <w:spacing w:line="360" w:lineRule="auto"/>
        <w:ind w:firstLine="537" w:firstLineChars="224"/>
      </w:pPr>
      <w:r>
        <w:t xml:space="preserve">（二）招标文件的澄清与修改 </w:t>
      </w:r>
    </w:p>
    <w:p>
      <w:pPr>
        <w:widowControl w:val="0"/>
        <w:adjustRightInd w:val="0"/>
        <w:snapToGrid w:val="0"/>
        <w:spacing w:line="360" w:lineRule="auto"/>
        <w:ind w:firstLine="537" w:firstLineChars="224"/>
      </w:pPr>
      <w:r>
        <w:t>1.已获取招标文件的潜在投标人，若有问题需要澄清，应于投标截止时间前，以书面形式向采购代理机构提出。</w:t>
      </w:r>
    </w:p>
    <w:p>
      <w:pPr>
        <w:widowControl w:val="0"/>
        <w:adjustRightInd w:val="0"/>
        <w:snapToGrid w:val="0"/>
        <w:spacing w:line="360" w:lineRule="auto"/>
        <w:ind w:firstLine="537" w:firstLineChars="224"/>
      </w:pPr>
      <w: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widowControl w:val="0"/>
        <w:adjustRightInd w:val="0"/>
        <w:snapToGrid w:val="0"/>
        <w:spacing w:before="0" w:beforeAutospacing="0" w:after="0" w:afterAutospacing="0" w:line="360" w:lineRule="auto"/>
        <w:ind w:firstLine="540" w:firstLineChars="224"/>
        <w:rPr>
          <w:rFonts w:ascii="Times New Roman" w:hAnsi="Times New Roman"/>
          <w:b/>
        </w:rPr>
      </w:pPr>
      <w:r>
        <w:rPr>
          <w:rFonts w:ascii="Times New Roman" w:hAnsi="Times New Roman"/>
          <w:b/>
        </w:rPr>
        <w:t>三、投标</w:t>
      </w:r>
    </w:p>
    <w:p>
      <w:pPr>
        <w:widowControl w:val="0"/>
        <w:adjustRightInd w:val="0"/>
        <w:snapToGrid w:val="0"/>
        <w:spacing w:line="360" w:lineRule="auto"/>
        <w:ind w:firstLine="537" w:firstLineChars="224"/>
      </w:pPr>
      <w:r>
        <w:t>（一）投标保证金</w:t>
      </w:r>
    </w:p>
    <w:p>
      <w:pPr>
        <w:widowControl w:val="0"/>
        <w:adjustRightInd w:val="0"/>
        <w:snapToGrid w:val="0"/>
        <w:spacing w:line="360" w:lineRule="auto"/>
        <w:ind w:firstLine="537" w:firstLineChars="224"/>
      </w:pPr>
      <w:r>
        <w:t>本项目不需缴纳投标保证金。</w:t>
      </w:r>
    </w:p>
    <w:p>
      <w:pPr>
        <w:widowControl w:val="0"/>
        <w:adjustRightInd w:val="0"/>
        <w:snapToGrid w:val="0"/>
        <w:spacing w:line="360" w:lineRule="auto"/>
        <w:ind w:firstLine="537" w:firstLineChars="224"/>
      </w:pPr>
      <w:r>
        <w:t>（二）投标文件的语言</w:t>
      </w:r>
    </w:p>
    <w:p>
      <w:pPr>
        <w:widowControl w:val="0"/>
        <w:adjustRightInd w:val="0"/>
        <w:snapToGrid w:val="0"/>
        <w:spacing w:line="360" w:lineRule="auto"/>
        <w:ind w:firstLine="537" w:firstLineChars="224"/>
      </w:pPr>
      <w:r>
        <w:t>投标文件及投标人与采购有关的来往通知、函件和文件均应使用中文。</w:t>
      </w:r>
    </w:p>
    <w:p>
      <w:pPr>
        <w:widowControl w:val="0"/>
        <w:adjustRightInd w:val="0"/>
        <w:snapToGrid w:val="0"/>
        <w:spacing w:line="360" w:lineRule="auto"/>
        <w:ind w:firstLine="537" w:firstLineChars="224"/>
      </w:pPr>
      <w:r>
        <w:t>（三）计量单位</w:t>
      </w:r>
    </w:p>
    <w:p>
      <w:pPr>
        <w:widowControl w:val="0"/>
        <w:adjustRightInd w:val="0"/>
        <w:snapToGrid w:val="0"/>
        <w:spacing w:line="360" w:lineRule="auto"/>
        <w:ind w:firstLine="537" w:firstLineChars="224"/>
      </w:pPr>
      <w:r>
        <w:t>除在招标文件中另有规定外，计量单位应使用中华人民共和国法定计量单位（国际单位制和国家选定的其他计量单位）。</w:t>
      </w:r>
    </w:p>
    <w:p>
      <w:pPr>
        <w:widowControl w:val="0"/>
        <w:adjustRightInd w:val="0"/>
        <w:snapToGrid w:val="0"/>
        <w:spacing w:line="360" w:lineRule="auto"/>
        <w:ind w:firstLine="537" w:firstLineChars="224"/>
      </w:pPr>
      <w:r>
        <w:t>（四）投标文件的组成</w:t>
      </w:r>
    </w:p>
    <w:p>
      <w:pPr>
        <w:widowControl w:val="0"/>
        <w:adjustRightInd w:val="0"/>
        <w:snapToGrid w:val="0"/>
        <w:spacing w:line="360" w:lineRule="auto"/>
        <w:ind w:firstLine="540" w:firstLineChars="224"/>
        <w:rPr>
          <w:b/>
          <w:bCs/>
        </w:rPr>
      </w:pPr>
      <w:bookmarkStart w:id="49" w:name="_Hlk94089038"/>
      <w:r>
        <w:rPr>
          <w:b/>
          <w:bCs/>
        </w:rPr>
        <w:t>1.资格文件</w:t>
      </w:r>
      <w:r>
        <w:t>（</w:t>
      </w:r>
      <w:r>
        <w:rPr>
          <w:b/>
          <w:u w:val="single"/>
        </w:rPr>
        <w:t>未提供齐全将导致资格审查不通过，投标文件无效</w:t>
      </w:r>
      <w:r>
        <w:t>）</w:t>
      </w:r>
    </w:p>
    <w:p>
      <w:pPr>
        <w:widowControl w:val="0"/>
        <w:adjustRightInd w:val="0"/>
        <w:snapToGrid w:val="0"/>
        <w:spacing w:line="360" w:lineRule="auto"/>
        <w:ind w:firstLine="537" w:firstLineChars="224"/>
      </w:pPr>
      <w:bookmarkStart w:id="50" w:name="_Hlk103778968"/>
      <w:r>
        <w:t>1.1满足《中华人民共和国政府采购法》第二十二条规定</w:t>
      </w:r>
      <w:r>
        <w:rPr>
          <w:rFonts w:hint="eastAsia"/>
        </w:rPr>
        <w:t>的</w:t>
      </w:r>
      <w:r>
        <w:t xml:space="preserve">承诺函： </w:t>
      </w:r>
    </w:p>
    <w:p>
      <w:pPr>
        <w:widowControl w:val="0"/>
        <w:adjustRightInd w:val="0"/>
        <w:snapToGrid w:val="0"/>
        <w:spacing w:line="360" w:lineRule="auto"/>
        <w:ind w:firstLine="537" w:firstLineChars="224"/>
      </w:pPr>
      <w:r>
        <w:t>（1）</w:t>
      </w:r>
      <w:r>
        <w:rPr>
          <w:rFonts w:hint="eastAsia"/>
        </w:rPr>
        <w:t>投标人</w:t>
      </w:r>
      <w:r>
        <w:t>法人营业执照（副本）或事业单位法人证书（副本）或个体工商户营业执照或有效的自然人身份证明或社会团体法人登记证书（提供复印件</w:t>
      </w:r>
      <w:r>
        <w:rPr>
          <w:rFonts w:hint="eastAsia"/>
        </w:rPr>
        <w:t>上传</w:t>
      </w:r>
      <w:r>
        <w:t>）；</w:t>
      </w:r>
    </w:p>
    <w:p>
      <w:pPr>
        <w:widowControl w:val="0"/>
        <w:adjustRightInd w:val="0"/>
        <w:snapToGrid w:val="0"/>
        <w:spacing w:line="360" w:lineRule="auto"/>
        <w:ind w:firstLine="537" w:firstLineChars="224"/>
      </w:pPr>
      <w:r>
        <w:t>（2）具有依法缴纳税收和社保费的证明；</w:t>
      </w:r>
    </w:p>
    <w:p>
      <w:pPr>
        <w:widowControl w:val="0"/>
        <w:adjustRightInd w:val="0"/>
        <w:snapToGrid w:val="0"/>
        <w:spacing w:line="360" w:lineRule="auto"/>
        <w:ind w:firstLine="537" w:firstLineChars="224"/>
      </w:pPr>
      <w:r>
        <w:t>（3）具有良好的商业信誉和健全的财务会计制度；</w:t>
      </w:r>
    </w:p>
    <w:p>
      <w:pPr>
        <w:widowControl w:val="0"/>
        <w:adjustRightInd w:val="0"/>
        <w:snapToGrid w:val="0"/>
        <w:spacing w:line="360" w:lineRule="auto"/>
        <w:ind w:firstLine="537" w:firstLineChars="224"/>
      </w:pPr>
      <w:r>
        <w:t xml:space="preserve">（4）具有履行合同所必须的设备和专业技术能力； </w:t>
      </w:r>
    </w:p>
    <w:p>
      <w:pPr>
        <w:widowControl w:val="0"/>
        <w:adjustRightInd w:val="0"/>
        <w:snapToGrid w:val="0"/>
        <w:spacing w:line="360" w:lineRule="auto"/>
        <w:ind w:firstLine="537" w:firstLineChars="224"/>
      </w:pPr>
      <w:r>
        <w:t>（5）参加采购活动前三年内（开标之日往前推算），在经营活动中没有重大违法记录；</w:t>
      </w:r>
    </w:p>
    <w:bookmarkEnd w:id="50"/>
    <w:p>
      <w:pPr>
        <w:spacing w:line="360" w:lineRule="auto"/>
        <w:ind w:firstLine="540" w:firstLineChars="225"/>
        <w:rPr>
          <w:rFonts w:hint="eastAsia"/>
        </w:rPr>
      </w:pPr>
      <w:r>
        <w:rPr>
          <w:rFonts w:hint="eastAsia"/>
        </w:rPr>
        <w:t>1</w:t>
      </w:r>
      <w:r>
        <w:t>.2落实政府采购政策需满足的资格要求：</w:t>
      </w:r>
      <w:r>
        <w:rPr>
          <w:rFonts w:hint="eastAsia" w:ascii="Segoe UI Symbol" w:hAnsi="Segoe UI Symbol" w:cs="Segoe UI Symbol"/>
        </w:rPr>
        <w:t>详见公告</w:t>
      </w:r>
    </w:p>
    <w:p>
      <w:pPr>
        <w:widowControl w:val="0"/>
        <w:adjustRightInd w:val="0"/>
        <w:snapToGrid w:val="0"/>
        <w:spacing w:line="360" w:lineRule="auto"/>
        <w:ind w:firstLine="537" w:firstLineChars="224"/>
      </w:pPr>
      <w:r>
        <w:t>1.3“本项目的特定资格要求”中规定的相关证书复印件</w:t>
      </w:r>
      <w:r>
        <w:rPr>
          <w:rFonts w:hint="eastAsia"/>
        </w:rPr>
        <w:t>：</w:t>
      </w:r>
      <w:r>
        <w:rPr>
          <w:rFonts w:hint="eastAsia" w:ascii="Segoe UI Symbol" w:hAnsi="Segoe UI Symbol" w:cs="Segoe UI Symbol"/>
        </w:rPr>
        <w:t>详见公告</w:t>
      </w:r>
    </w:p>
    <w:p>
      <w:pPr>
        <w:widowControl w:val="0"/>
        <w:adjustRightInd w:val="0"/>
        <w:snapToGrid w:val="0"/>
        <w:spacing w:line="360" w:lineRule="auto"/>
        <w:ind w:firstLine="540" w:firstLineChars="224"/>
        <w:rPr>
          <w:b/>
        </w:rPr>
      </w:pPr>
      <w:r>
        <w:rPr>
          <w:b/>
        </w:rPr>
        <w:t>2.商务技术文件</w:t>
      </w:r>
    </w:p>
    <w:p>
      <w:pPr>
        <w:widowControl w:val="0"/>
        <w:adjustRightInd w:val="0"/>
        <w:snapToGrid w:val="0"/>
        <w:spacing w:line="360" w:lineRule="auto"/>
        <w:ind w:firstLine="537" w:firstLineChars="224"/>
      </w:pPr>
      <w:r>
        <w:t>2.1投标函。</w:t>
      </w:r>
    </w:p>
    <w:p>
      <w:pPr>
        <w:widowControl w:val="0"/>
        <w:adjustRightInd w:val="0"/>
        <w:snapToGrid w:val="0"/>
        <w:spacing w:line="360" w:lineRule="auto"/>
        <w:ind w:firstLine="537" w:firstLineChars="224"/>
      </w:pPr>
      <w:r>
        <w:rPr>
          <w:rFonts w:hint="eastAsia"/>
        </w:rPr>
        <w:t>2</w:t>
      </w:r>
      <w:r>
        <w:t>.2法定代表人（负责人）授权委托书（法定代表人或负责人亲自参加的仅须提供身份证复印件）；</w:t>
      </w:r>
    </w:p>
    <w:p>
      <w:pPr>
        <w:widowControl w:val="0"/>
        <w:adjustRightInd w:val="0"/>
        <w:snapToGrid w:val="0"/>
        <w:spacing w:line="360" w:lineRule="auto"/>
        <w:ind w:firstLine="537" w:firstLineChars="224"/>
      </w:pPr>
      <w:r>
        <w:t>2.3服务要求偏离表。（投标人拟提供的服务要求与</w:t>
      </w:r>
      <w:r>
        <w:rPr>
          <w:u w:val="thick" w:color="FFFFFF"/>
        </w:rPr>
        <w:t>招标文件</w:t>
      </w:r>
      <w:r>
        <w:t>中的要求不一致时，则必须在《服务要求偏离表》中予以明确，否则将视为投标人完全响应</w:t>
      </w:r>
      <w:r>
        <w:rPr>
          <w:u w:val="thick" w:color="FFFFFF"/>
        </w:rPr>
        <w:t>招标文件</w:t>
      </w:r>
      <w:r>
        <w:t>的要求，并以</w:t>
      </w:r>
      <w:r>
        <w:rPr>
          <w:u w:val="thick" w:color="FFFFFF"/>
        </w:rPr>
        <w:t>招标文件</w:t>
      </w:r>
      <w:r>
        <w:t>作为合同条件。）</w:t>
      </w:r>
    </w:p>
    <w:p>
      <w:pPr>
        <w:widowControl w:val="0"/>
        <w:adjustRightInd w:val="0"/>
        <w:snapToGrid w:val="0"/>
        <w:spacing w:line="360" w:lineRule="auto"/>
        <w:ind w:firstLine="537" w:firstLineChars="224"/>
      </w:pPr>
      <w:r>
        <w:t>2.4项目实施人员一览表。</w:t>
      </w:r>
    </w:p>
    <w:p>
      <w:pPr>
        <w:widowControl w:val="0"/>
        <w:adjustRightInd w:val="0"/>
        <w:snapToGrid w:val="0"/>
        <w:spacing w:line="360" w:lineRule="auto"/>
        <w:ind w:firstLine="537" w:firstLineChars="224"/>
        <w:rPr>
          <w:rFonts w:hint="eastAsia"/>
        </w:rPr>
      </w:pPr>
      <w:r>
        <w:rPr>
          <w:rFonts w:hint="eastAsia"/>
        </w:rPr>
        <w:t>2</w:t>
      </w:r>
      <w:r>
        <w:t>.5</w:t>
      </w:r>
      <w:r>
        <w:rPr>
          <w:rFonts w:ascii="宋体" w:hAnsi="宋体"/>
        </w:rPr>
        <w:t>拟投入本项目的设备明细表</w:t>
      </w:r>
      <w:r>
        <w:rPr>
          <w:rFonts w:hint="eastAsia" w:ascii="宋体" w:hAnsi="宋体"/>
        </w:rPr>
        <w:t>。（如有）</w:t>
      </w:r>
    </w:p>
    <w:p>
      <w:pPr>
        <w:widowControl w:val="0"/>
        <w:adjustRightInd w:val="0"/>
        <w:snapToGrid w:val="0"/>
        <w:spacing w:line="360" w:lineRule="auto"/>
        <w:ind w:firstLine="537" w:firstLineChars="224"/>
      </w:pPr>
      <w:r>
        <w:t>2.6服务计划书（例：质量保证措施及承诺，服务措施及承诺，售后服务措施及承诺，其他服务措施及承诺）。</w:t>
      </w:r>
    </w:p>
    <w:p>
      <w:pPr>
        <w:widowControl w:val="0"/>
        <w:adjustRightInd w:val="0"/>
        <w:snapToGrid w:val="0"/>
        <w:spacing w:line="360" w:lineRule="auto"/>
        <w:ind w:firstLine="537" w:firstLineChars="224"/>
      </w:pPr>
      <w:r>
        <w:t>2.7投标人情况：</w:t>
      </w:r>
    </w:p>
    <w:p>
      <w:pPr>
        <w:widowControl w:val="0"/>
        <w:adjustRightInd w:val="0"/>
        <w:snapToGrid w:val="0"/>
        <w:spacing w:line="360" w:lineRule="auto"/>
        <w:ind w:firstLine="537" w:firstLineChars="224"/>
      </w:pPr>
      <w:r>
        <w:t>（1）单位简介；</w:t>
      </w:r>
    </w:p>
    <w:p>
      <w:pPr>
        <w:widowControl w:val="0"/>
        <w:adjustRightInd w:val="0"/>
        <w:snapToGrid w:val="0"/>
        <w:spacing w:line="360" w:lineRule="auto"/>
        <w:ind w:firstLine="537" w:firstLineChars="224"/>
      </w:pPr>
      <w:r>
        <w:t>（2）投标人的信誉、荣誉证书；（如有）</w:t>
      </w:r>
    </w:p>
    <w:p>
      <w:pPr>
        <w:widowControl w:val="0"/>
        <w:adjustRightInd w:val="0"/>
        <w:snapToGrid w:val="0"/>
        <w:spacing w:line="360" w:lineRule="auto"/>
        <w:ind w:firstLine="537" w:firstLineChars="224"/>
      </w:pPr>
      <w:r>
        <w:t>（2）投标人质量管理和质量保证体系等方面的认证证书。（如有）</w:t>
      </w:r>
    </w:p>
    <w:p>
      <w:pPr>
        <w:widowControl w:val="0"/>
        <w:adjustRightInd w:val="0"/>
        <w:snapToGrid w:val="0"/>
        <w:spacing w:line="360" w:lineRule="auto"/>
        <w:ind w:firstLine="537" w:firstLineChars="224"/>
      </w:pPr>
      <w:r>
        <w:t>（3）同类业绩证明（如有，需提供合同复印件）；</w:t>
      </w:r>
    </w:p>
    <w:p>
      <w:pPr>
        <w:widowControl w:val="0"/>
        <w:adjustRightInd w:val="0"/>
        <w:snapToGrid w:val="0"/>
        <w:spacing w:line="360" w:lineRule="auto"/>
        <w:ind w:firstLine="537" w:firstLineChars="224"/>
      </w:pPr>
      <w:r>
        <w:t>2.8评标标准相应的商务技术资料。</w:t>
      </w:r>
    </w:p>
    <w:p>
      <w:pPr>
        <w:widowControl w:val="0"/>
        <w:adjustRightInd w:val="0"/>
        <w:snapToGrid w:val="0"/>
        <w:spacing w:line="360" w:lineRule="auto"/>
        <w:ind w:firstLine="540" w:firstLineChars="224"/>
        <w:rPr>
          <w:b/>
        </w:rPr>
      </w:pPr>
      <w:r>
        <w:rPr>
          <w:b/>
        </w:rPr>
        <w:t>3.报价文件</w:t>
      </w:r>
    </w:p>
    <w:p>
      <w:pPr>
        <w:widowControl w:val="0"/>
        <w:adjustRightInd w:val="0"/>
        <w:snapToGrid w:val="0"/>
        <w:spacing w:line="360" w:lineRule="auto"/>
        <w:ind w:firstLine="537" w:firstLineChars="224"/>
      </w:pPr>
      <w:r>
        <w:t xml:space="preserve">3.1开标一览表。 </w:t>
      </w:r>
    </w:p>
    <w:p>
      <w:pPr>
        <w:widowControl w:val="0"/>
        <w:adjustRightInd w:val="0"/>
        <w:snapToGrid w:val="0"/>
        <w:spacing w:line="360" w:lineRule="auto"/>
        <w:ind w:firstLine="537" w:firstLineChars="224"/>
      </w:pPr>
      <w:r>
        <w:t>3.2投标报价明细表。</w:t>
      </w:r>
      <w:r>
        <w:rPr>
          <w:rFonts w:hint="eastAsia"/>
        </w:rPr>
        <w:t>（如有，由投标人自行提供）</w:t>
      </w:r>
    </w:p>
    <w:p>
      <w:pPr>
        <w:widowControl w:val="0"/>
        <w:adjustRightInd w:val="0"/>
        <w:snapToGrid w:val="0"/>
        <w:spacing w:line="360" w:lineRule="auto"/>
        <w:ind w:firstLine="537" w:firstLineChars="224"/>
      </w:pPr>
      <w:r>
        <w:t>3.3《中小微企业声明函》、残疾人福利性单位、监狱企业声明函（如有）。</w:t>
      </w:r>
    </w:p>
    <w:p>
      <w:pPr>
        <w:widowControl w:val="0"/>
        <w:adjustRightInd w:val="0"/>
        <w:snapToGrid w:val="0"/>
        <w:spacing w:line="360" w:lineRule="auto"/>
        <w:ind w:firstLine="540" w:firstLineChars="224"/>
      </w:pPr>
      <w:r>
        <w:rPr>
          <w:b/>
        </w:rPr>
        <w:t>资格文件和商务技术文件不得出现报价，否则作无效标处理。</w:t>
      </w:r>
    </w:p>
    <w:bookmarkEnd w:id="49"/>
    <w:p>
      <w:pPr>
        <w:widowControl w:val="0"/>
        <w:adjustRightInd w:val="0"/>
        <w:snapToGrid w:val="0"/>
        <w:spacing w:line="360" w:lineRule="auto"/>
        <w:ind w:firstLine="537" w:firstLineChars="224"/>
      </w:pPr>
      <w:r>
        <w:rPr>
          <w:rFonts w:ascii="Segoe UI Symbol" w:hAnsi="Segoe UI Symbol" w:cs="Segoe UI Symbol"/>
        </w:rPr>
        <w:t>★</w:t>
      </w:r>
      <w:r>
        <w:t>（五）投标报价</w:t>
      </w:r>
    </w:p>
    <w:p>
      <w:pPr>
        <w:widowControl w:val="0"/>
        <w:adjustRightInd w:val="0"/>
        <w:snapToGrid w:val="0"/>
        <w:spacing w:line="360" w:lineRule="auto"/>
        <w:ind w:firstLine="537" w:firstLineChars="224"/>
      </w:pPr>
      <w:r>
        <w:t>1.有关本项目实施所需的所有费用（含税费）均计入报价。招标文件未列明，而投标人认为必需的费用也需列入报价。</w:t>
      </w:r>
    </w:p>
    <w:p>
      <w:pPr>
        <w:widowControl w:val="0"/>
        <w:adjustRightInd w:val="0"/>
        <w:snapToGrid w:val="0"/>
        <w:spacing w:line="360" w:lineRule="auto"/>
        <w:ind w:firstLine="537" w:firstLineChars="224"/>
      </w:pPr>
      <w:r>
        <w:t>2.</w:t>
      </w:r>
      <w:r>
        <w:rPr>
          <w:rFonts w:hint="eastAsia"/>
        </w:rPr>
        <w:t>报价口径详见前附表。</w:t>
      </w:r>
    </w:p>
    <w:p>
      <w:pPr>
        <w:widowControl w:val="0"/>
        <w:adjustRightInd w:val="0"/>
        <w:snapToGrid w:val="0"/>
        <w:spacing w:line="360" w:lineRule="auto"/>
        <w:ind w:firstLine="537" w:firstLineChars="224"/>
      </w:pPr>
      <w:r>
        <w:t>3.投标人根据企业内部的管理水平，结合市场综合分析后自主确定。投标人报价时需考虑以下因素：</w:t>
      </w:r>
    </w:p>
    <w:p>
      <w:pPr>
        <w:widowControl w:val="0"/>
        <w:adjustRightInd w:val="0"/>
        <w:snapToGrid w:val="0"/>
        <w:spacing w:line="360" w:lineRule="auto"/>
        <w:ind w:firstLine="537" w:firstLineChars="224"/>
      </w:pPr>
      <w:r>
        <w:t>3.1因国家政策性调整或市场供求关系引起的各种材料、货物的价格调整。</w:t>
      </w:r>
    </w:p>
    <w:p>
      <w:pPr>
        <w:widowControl w:val="0"/>
        <w:adjustRightInd w:val="0"/>
        <w:snapToGrid w:val="0"/>
        <w:spacing w:line="360" w:lineRule="auto"/>
        <w:ind w:firstLine="537" w:firstLineChars="224"/>
      </w:pPr>
      <w:r>
        <w:t>3.2其它各种风险和费用。</w:t>
      </w:r>
    </w:p>
    <w:p>
      <w:pPr>
        <w:widowControl w:val="0"/>
        <w:adjustRightInd w:val="0"/>
        <w:snapToGrid w:val="0"/>
        <w:spacing w:line="360" w:lineRule="auto"/>
        <w:ind w:firstLine="540" w:firstLineChars="224"/>
        <w:rPr>
          <w:b/>
        </w:rPr>
      </w:pPr>
      <w:r>
        <w:rPr>
          <w:b/>
        </w:rPr>
        <w:t>4.本次招标项目设有最高限价，超过最高限价的投标作无效标处理。</w:t>
      </w:r>
    </w:p>
    <w:p>
      <w:pPr>
        <w:widowControl w:val="0"/>
        <w:adjustRightInd w:val="0"/>
        <w:snapToGrid w:val="0"/>
        <w:spacing w:line="360" w:lineRule="auto"/>
        <w:ind w:firstLine="540" w:firstLineChars="224"/>
        <w:rPr>
          <w:b/>
          <w:bCs/>
        </w:rPr>
      </w:pPr>
      <w:r>
        <w:rPr>
          <w:b/>
          <w:bCs/>
        </w:rPr>
        <w:t>5.投标文件只允许有一个报价，有选择的或有条件的报价作无效标处理。</w:t>
      </w:r>
    </w:p>
    <w:p>
      <w:pPr>
        <w:adjustRightInd w:val="0"/>
        <w:snapToGrid w:val="0"/>
        <w:spacing w:line="360" w:lineRule="auto"/>
        <w:ind w:firstLine="537" w:firstLineChars="224"/>
      </w:pPr>
      <w:r>
        <w:t>（六）投标文件的编制</w:t>
      </w:r>
    </w:p>
    <w:p>
      <w:pPr>
        <w:widowControl w:val="0"/>
        <w:adjustRightInd w:val="0"/>
        <w:snapToGrid w:val="0"/>
        <w:spacing w:line="360" w:lineRule="auto"/>
        <w:ind w:firstLine="537" w:firstLineChars="224"/>
      </w:pPr>
      <w:r>
        <w:t>1.投标文件分为资格文件、商务技术文件、报价文件三部分。各投标人在编制投标文件时请参照招标文件第七</w:t>
      </w:r>
      <w:r>
        <w:rPr>
          <w:rFonts w:hint="eastAsia"/>
        </w:rPr>
        <w:t>章</w:t>
      </w:r>
      <w:r>
        <w:t>的格式进行，混乱的编排导致投标文件被误读或评标委员会查找不到有效文件是投标人的风险。</w:t>
      </w:r>
    </w:p>
    <w:p>
      <w:pPr>
        <w:widowControl w:val="0"/>
        <w:adjustRightInd w:val="0"/>
        <w:snapToGrid w:val="0"/>
        <w:spacing w:line="360" w:lineRule="auto"/>
        <w:ind w:firstLine="537" w:firstLineChars="224"/>
      </w:pPr>
      <w:r>
        <w:t>2.投标人进行电子投标应安装客户端软件—“政采云电子交易客户端”，并按照招标文件和电子交易平台的要求编制并加密投标文件。投标人未按规定加密的投标文件，电子交易平台将拒收并提示。</w:t>
      </w:r>
    </w:p>
    <w:p>
      <w:pPr>
        <w:widowControl w:val="0"/>
        <w:adjustRightInd w:val="0"/>
        <w:snapToGrid w:val="0"/>
        <w:spacing w:line="360" w:lineRule="auto"/>
        <w:ind w:firstLine="537" w:firstLineChars="224"/>
      </w:pPr>
      <w:r>
        <w:t>3.使用“政采云电子交易客户端”需要提前申领CA数字证书，申领流程请自行前往“浙江政府采购网-下载专区-电子交易客户端-CA驱动和申领流程”进行查阅。</w:t>
      </w:r>
    </w:p>
    <w:p>
      <w:pPr>
        <w:widowControl w:val="0"/>
        <w:adjustRightInd w:val="0"/>
        <w:snapToGrid w:val="0"/>
        <w:spacing w:line="360" w:lineRule="auto"/>
        <w:ind w:firstLine="537" w:firstLineChars="224"/>
      </w:pPr>
      <w:r>
        <w:t>（七）投标文件的签署、盖章</w:t>
      </w:r>
    </w:p>
    <w:p>
      <w:pPr>
        <w:widowControl w:val="0"/>
        <w:adjustRightInd w:val="0"/>
        <w:snapToGrid w:val="0"/>
        <w:spacing w:line="360" w:lineRule="auto"/>
        <w:ind w:firstLine="537" w:firstLineChars="224"/>
      </w:pPr>
      <w:r>
        <w:t>1.投标文件按照招标文件第</w:t>
      </w:r>
      <w:r>
        <w:rPr>
          <w:rFonts w:hint="eastAsia"/>
        </w:rPr>
        <w:t>七章</w:t>
      </w:r>
      <w:r>
        <w:t>格式要求进行签署、盖章。</w:t>
      </w:r>
      <w:r>
        <w:rPr>
          <w:rFonts w:ascii="Segoe UI Symbol" w:hAnsi="Segoe UI Symbol" w:cs="Segoe UI Symbol"/>
          <w:b/>
          <w:bCs/>
        </w:rPr>
        <w:t>★</w:t>
      </w:r>
      <w:r>
        <w:rPr>
          <w:b/>
          <w:bCs/>
        </w:rPr>
        <w:t>投标人的投标文件未按照招标文件要求签署、盖章的，其投标无效。</w:t>
      </w:r>
    </w:p>
    <w:p>
      <w:pPr>
        <w:widowControl w:val="0"/>
        <w:adjustRightInd w:val="0"/>
        <w:snapToGrid w:val="0"/>
        <w:spacing w:line="360" w:lineRule="auto"/>
        <w:ind w:firstLine="537" w:firstLineChars="224"/>
      </w:pPr>
      <w:r>
        <w:t>2.为确保网上操作合法、有效和安全，投标人应当在投标截止时间前完成在“政府采购云平台”的身份认证，确保在电子投标过程中能够对相关数据电文进行加密和使用电子签名。</w:t>
      </w:r>
    </w:p>
    <w:p>
      <w:pPr>
        <w:widowControl w:val="0"/>
        <w:adjustRightInd w:val="0"/>
        <w:snapToGrid w:val="0"/>
        <w:spacing w:line="360" w:lineRule="auto"/>
        <w:ind w:firstLine="537" w:firstLineChars="224"/>
        <w:rPr>
          <w:rFonts w:hint="eastAsia"/>
        </w:rPr>
      </w:pPr>
      <w:r>
        <w:t>3.招标文件对投标文件签署、盖章的要求适用于电子签名。</w:t>
      </w:r>
    </w:p>
    <w:p>
      <w:pPr>
        <w:widowControl w:val="0"/>
        <w:adjustRightInd w:val="0"/>
        <w:snapToGrid w:val="0"/>
        <w:spacing w:line="360" w:lineRule="auto"/>
        <w:ind w:firstLine="537" w:firstLineChars="224"/>
      </w:pPr>
      <w:bookmarkStart w:id="51" w:name="_Hlk93998502"/>
      <w:r>
        <w:t>（八） 投标文件的提交、补充、修改、撤回</w:t>
      </w:r>
    </w:p>
    <w:p>
      <w:pPr>
        <w:widowControl w:val="0"/>
        <w:adjustRightInd w:val="0"/>
        <w:snapToGrid w:val="0"/>
        <w:spacing w:line="360" w:lineRule="auto"/>
        <w:ind w:firstLine="537" w:firstLineChars="224"/>
      </w:pPr>
      <w: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widowControl w:val="0"/>
        <w:adjustRightInd w:val="0"/>
        <w:snapToGrid w:val="0"/>
        <w:spacing w:line="360" w:lineRule="auto"/>
        <w:ind w:firstLine="537" w:firstLineChars="224"/>
      </w:pPr>
      <w:r>
        <w:t>2.电子交易平台收到投标文件，将妥善保存并即时向供应商发出确认回执通知。在投标截止时间前，除供应商补充、修改或者撤回投标文件外，任何单位和个人不得解密或提取投标文件。</w:t>
      </w:r>
    </w:p>
    <w:p>
      <w:pPr>
        <w:widowControl w:val="0"/>
        <w:adjustRightInd w:val="0"/>
        <w:snapToGrid w:val="0"/>
        <w:spacing w:line="360" w:lineRule="auto"/>
        <w:ind w:firstLine="537" w:firstLineChars="224"/>
      </w:pPr>
      <w:r>
        <w:t>3.采购人、采购代理机构可以视情况延长投标文件提交的截止时间。</w:t>
      </w:r>
    </w:p>
    <w:bookmarkEnd w:id="51"/>
    <w:p>
      <w:pPr>
        <w:widowControl w:val="0"/>
        <w:adjustRightInd w:val="0"/>
        <w:snapToGrid w:val="0"/>
        <w:spacing w:line="360" w:lineRule="auto"/>
        <w:ind w:firstLine="537" w:firstLineChars="224"/>
      </w:pPr>
      <w:r>
        <w:t>（九）备份投标文件</w:t>
      </w:r>
    </w:p>
    <w:p>
      <w:pPr>
        <w:widowControl w:val="0"/>
        <w:adjustRightInd w:val="0"/>
        <w:snapToGrid w:val="0"/>
        <w:spacing w:line="360" w:lineRule="auto"/>
        <w:ind w:firstLine="537" w:firstLineChars="224"/>
        <w:rPr>
          <w:b/>
          <w:bCs/>
        </w:rPr>
      </w:pPr>
      <w:r>
        <w:t>1.投标人在电子交易平台传输递交投标文件后，可自行选择</w:t>
      </w:r>
      <w:r>
        <w:rPr>
          <w:rFonts w:hint="eastAsia"/>
        </w:rPr>
        <w:t>是否递交备份电子投标文件，递交事项详见前附表</w:t>
      </w:r>
      <w:r>
        <w:t>。</w:t>
      </w:r>
      <w:r>
        <w:rPr>
          <w:b/>
          <w:bCs/>
          <w:kern w:val="2"/>
        </w:rPr>
        <w:t>“电子备份投标文件”为非强制性要求，但如遇投标人未按时解密成功且未提供“电子备份投标文件”的，作投标无效处理，后果由投标人自负。</w:t>
      </w:r>
    </w:p>
    <w:p>
      <w:pPr>
        <w:widowControl w:val="0"/>
        <w:adjustRightInd w:val="0"/>
        <w:snapToGrid w:val="0"/>
        <w:spacing w:line="360" w:lineRule="auto"/>
        <w:ind w:firstLine="540" w:firstLineChars="224"/>
      </w:pPr>
      <w:r>
        <w:rPr>
          <w:b/>
        </w:rPr>
        <w:t>2.投标人仅提交</w:t>
      </w:r>
      <w:r>
        <w:rPr>
          <w:rFonts w:hint="eastAsia"/>
          <w:b/>
        </w:rPr>
        <w:t>电子</w:t>
      </w:r>
      <w:r>
        <w:rPr>
          <w:b/>
        </w:rPr>
        <w:t>备份投标文件，没有在电子交易平台传输递交投标文件的，投标无效。</w:t>
      </w:r>
    </w:p>
    <w:p>
      <w:pPr>
        <w:widowControl w:val="0"/>
        <w:adjustRightInd w:val="0"/>
        <w:snapToGrid w:val="0"/>
        <w:spacing w:line="360" w:lineRule="auto"/>
        <w:ind w:firstLine="537" w:firstLineChars="224"/>
      </w:pPr>
      <w:r>
        <w:t>（十）投标有效期</w:t>
      </w:r>
    </w:p>
    <w:p>
      <w:pPr>
        <w:widowControl w:val="0"/>
        <w:adjustRightInd w:val="0"/>
        <w:snapToGrid w:val="0"/>
        <w:spacing w:line="360" w:lineRule="auto"/>
        <w:ind w:firstLine="537" w:firstLineChars="224"/>
      </w:pPr>
      <w:r>
        <w:t>1.自投标截止日起90天投标文件应保持有效。</w:t>
      </w:r>
      <w:r>
        <w:rPr>
          <w:b/>
        </w:rPr>
        <w:t>投标人的投标文件中承诺的投标有效期少于招标文件中载明的投标有效期的，投标无效。</w:t>
      </w:r>
    </w:p>
    <w:p>
      <w:pPr>
        <w:snapToGrid w:val="0"/>
        <w:spacing w:line="360" w:lineRule="auto"/>
        <w:ind w:firstLine="480" w:firstLineChars="200"/>
      </w:pPr>
      <w:r>
        <w:t>2.投标文件合格投递后，自投标截止日期起，在投标有效期内有效。</w:t>
      </w:r>
    </w:p>
    <w:p>
      <w:pPr>
        <w:snapToGrid w:val="0"/>
        <w:spacing w:line="360" w:lineRule="auto"/>
        <w:ind w:firstLine="480" w:firstLineChars="200"/>
      </w:pPr>
      <w:r>
        <w:t>3.在原定投标有效期满之前，如果出现特殊情况，采购代理机构可以以书面形式通知投标人延长投标有效期。投标人同意延长的，不得要求或被允许修改其投标文件，投标人拒绝延长的，其投标无效。</w:t>
      </w:r>
    </w:p>
    <w:p>
      <w:pPr>
        <w:widowControl w:val="0"/>
        <w:adjustRightInd w:val="0"/>
        <w:snapToGrid w:val="0"/>
        <w:spacing w:line="360" w:lineRule="auto"/>
        <w:ind w:firstLine="540" w:firstLineChars="224"/>
        <w:rPr>
          <w:b/>
          <w:bCs/>
        </w:rPr>
      </w:pPr>
      <w:r>
        <w:rPr>
          <w:b/>
          <w:bCs/>
        </w:rPr>
        <w:t>（十一）投标无效的情形</w:t>
      </w:r>
    </w:p>
    <w:p>
      <w:pPr>
        <w:pStyle w:val="20"/>
        <w:snapToGrid w:val="0"/>
        <w:spacing w:line="360" w:lineRule="auto"/>
        <w:ind w:firstLine="470" w:firstLineChars="196"/>
        <w:rPr>
          <w:rFonts w:eastAsia="宋体"/>
        </w:rPr>
      </w:pPr>
      <w:r>
        <w:rPr>
          <w:rFonts w:eastAsia="宋体"/>
        </w:rPr>
        <w:t>1.投标人不具备招标文件中规定的资格要求的（投标人未提供有效的资格文件的，视为投标人不具备招标文件中规定的资格要求）；</w:t>
      </w:r>
    </w:p>
    <w:p>
      <w:pPr>
        <w:pStyle w:val="20"/>
        <w:snapToGrid w:val="0"/>
        <w:spacing w:line="360" w:lineRule="auto"/>
        <w:ind w:firstLine="470" w:firstLineChars="196"/>
        <w:rPr>
          <w:rFonts w:eastAsia="宋体"/>
        </w:rPr>
      </w:pPr>
      <w:r>
        <w:rPr>
          <w:rFonts w:eastAsia="宋体"/>
        </w:rPr>
        <w:t>2.投标人仅提交备份投标文件，没有在电子交易平台传输递交投标文件的；</w:t>
      </w:r>
    </w:p>
    <w:p>
      <w:pPr>
        <w:pStyle w:val="20"/>
        <w:snapToGrid w:val="0"/>
        <w:spacing w:line="360" w:lineRule="auto"/>
        <w:ind w:firstLine="470" w:firstLineChars="196"/>
        <w:rPr>
          <w:rFonts w:eastAsia="宋体"/>
        </w:rPr>
      </w:pPr>
      <w:r>
        <w:rPr>
          <w:rFonts w:eastAsia="宋体"/>
        </w:rPr>
        <w:t>3.投标文件未按照招标文件要求签署、盖章的；</w:t>
      </w:r>
    </w:p>
    <w:p>
      <w:pPr>
        <w:pStyle w:val="20"/>
        <w:snapToGrid w:val="0"/>
        <w:spacing w:line="360" w:lineRule="auto"/>
        <w:ind w:firstLine="470" w:firstLineChars="196"/>
        <w:rPr>
          <w:rFonts w:eastAsia="宋体"/>
        </w:rPr>
      </w:pPr>
      <w:r>
        <w:rPr>
          <w:rFonts w:eastAsia="宋体"/>
        </w:rPr>
        <w:t>4.投标文件不满足招标文件的实质性要求的；</w:t>
      </w:r>
    </w:p>
    <w:p>
      <w:pPr>
        <w:pStyle w:val="20"/>
        <w:snapToGrid w:val="0"/>
        <w:spacing w:line="360" w:lineRule="auto"/>
        <w:ind w:firstLine="470" w:firstLineChars="196"/>
        <w:rPr>
          <w:rFonts w:eastAsia="宋体"/>
        </w:rPr>
      </w:pPr>
      <w:r>
        <w:rPr>
          <w:rFonts w:eastAsia="宋体"/>
        </w:rPr>
        <w:t>5.允许偏离的技术、性能指标或者辅助功能项目发生负偏离与招标文件的要求存在差异并严重影响项目实施的，经评标委员会集体（少数服从多数原则）认定确属的；</w:t>
      </w:r>
    </w:p>
    <w:p>
      <w:pPr>
        <w:pStyle w:val="20"/>
        <w:snapToGrid w:val="0"/>
        <w:spacing w:line="360" w:lineRule="auto"/>
        <w:ind w:firstLine="470" w:firstLineChars="196"/>
        <w:rPr>
          <w:rFonts w:eastAsia="宋体"/>
        </w:rPr>
      </w:pPr>
      <w:r>
        <w:rPr>
          <w:rFonts w:eastAsia="宋体"/>
        </w:rPr>
        <w:t>6.投标方案不明确，存在一个或一个以上备选（替代）投标方案的；</w:t>
      </w:r>
    </w:p>
    <w:p>
      <w:pPr>
        <w:pStyle w:val="20"/>
        <w:snapToGrid w:val="0"/>
        <w:spacing w:line="360" w:lineRule="auto"/>
        <w:ind w:firstLine="470" w:firstLineChars="196"/>
        <w:rPr>
          <w:rFonts w:eastAsia="宋体"/>
        </w:rPr>
      </w:pPr>
      <w:r>
        <w:rPr>
          <w:rFonts w:eastAsia="宋体"/>
        </w:rPr>
        <w:t>7.投标人提供虚假材料投标的；（包括中标后发现的）</w:t>
      </w:r>
    </w:p>
    <w:p>
      <w:pPr>
        <w:pStyle w:val="20"/>
        <w:snapToGrid w:val="0"/>
        <w:spacing w:line="360" w:lineRule="auto"/>
        <w:ind w:firstLine="470" w:firstLineChars="196"/>
        <w:rPr>
          <w:rFonts w:eastAsia="宋体"/>
        </w:rPr>
      </w:pPr>
      <w:r>
        <w:rPr>
          <w:rFonts w:eastAsia="宋体"/>
        </w:rPr>
        <w:t>8.投标人所提供的样品（如有）参数与其投标文件承诺参数明显不符的；</w:t>
      </w:r>
    </w:p>
    <w:p>
      <w:pPr>
        <w:pStyle w:val="20"/>
        <w:snapToGrid w:val="0"/>
        <w:spacing w:line="360" w:lineRule="auto"/>
        <w:ind w:firstLine="470" w:firstLineChars="196"/>
        <w:rPr>
          <w:rFonts w:eastAsia="宋体"/>
        </w:rPr>
      </w:pPr>
      <w:r>
        <w:rPr>
          <w:rFonts w:eastAsia="宋体"/>
        </w:rPr>
        <w:t>9.投标文件有采购人不能接受的附加条件的；</w:t>
      </w:r>
    </w:p>
    <w:p>
      <w:pPr>
        <w:pStyle w:val="20"/>
        <w:snapToGrid w:val="0"/>
        <w:spacing w:line="360" w:lineRule="auto"/>
        <w:ind w:firstLine="470" w:firstLineChars="196"/>
        <w:rPr>
          <w:rFonts w:eastAsia="宋体"/>
        </w:rPr>
      </w:pPr>
      <w:r>
        <w:rPr>
          <w:rFonts w:eastAsia="宋体"/>
        </w:rPr>
        <w:t>10.资格文件或商务技术文件中包含有本次投标报价内容的；</w:t>
      </w:r>
    </w:p>
    <w:p>
      <w:pPr>
        <w:pStyle w:val="20"/>
        <w:snapToGrid w:val="0"/>
        <w:spacing w:line="360" w:lineRule="auto"/>
        <w:ind w:firstLine="470" w:firstLineChars="196"/>
        <w:rPr>
          <w:rFonts w:eastAsia="宋体"/>
        </w:rPr>
      </w:pPr>
      <w:r>
        <w:rPr>
          <w:rFonts w:eastAsia="宋体"/>
        </w:rPr>
        <w:t>11.投标报价未按照招标文件标明报价口径进行报价的；</w:t>
      </w:r>
    </w:p>
    <w:p>
      <w:pPr>
        <w:pStyle w:val="20"/>
        <w:snapToGrid w:val="0"/>
        <w:spacing w:line="360" w:lineRule="auto"/>
        <w:ind w:firstLine="470" w:firstLineChars="196"/>
        <w:rPr>
          <w:rFonts w:eastAsia="宋体"/>
        </w:rPr>
      </w:pPr>
      <w:r>
        <w:rPr>
          <w:rFonts w:eastAsia="宋体"/>
        </w:rPr>
        <w:t>12.投标报价超出最高限价，或者超出采购预算金额，采购人不能支付的；</w:t>
      </w:r>
    </w:p>
    <w:p>
      <w:pPr>
        <w:pStyle w:val="20"/>
        <w:snapToGrid w:val="0"/>
        <w:spacing w:line="360" w:lineRule="auto"/>
        <w:rPr>
          <w:rFonts w:eastAsia="宋体"/>
        </w:rPr>
      </w:pPr>
      <w:r>
        <w:rPr>
          <w:rFonts w:eastAsia="宋体"/>
        </w:rPr>
        <w:t>13.投标报价具有选择性，投标人在一套投标文件中对同一项目有二个或多个报价，且未声明哪个有效的；</w:t>
      </w:r>
    </w:p>
    <w:p>
      <w:pPr>
        <w:pStyle w:val="20"/>
        <w:snapToGrid w:val="0"/>
        <w:spacing w:line="360" w:lineRule="auto"/>
        <w:rPr>
          <w:rFonts w:eastAsia="宋体"/>
        </w:rPr>
      </w:pPr>
      <w:r>
        <w:rPr>
          <w:rFonts w:eastAsia="宋体"/>
        </w:rPr>
        <w:t>14.投标报价出现计算或表达上的错误，投标人拒绝修正的；</w:t>
      </w:r>
    </w:p>
    <w:p>
      <w:pPr>
        <w:pStyle w:val="20"/>
        <w:snapToGrid w:val="0"/>
        <w:spacing w:line="360" w:lineRule="auto"/>
        <w:rPr>
          <w:rFonts w:eastAsia="宋体"/>
        </w:rPr>
      </w:pPr>
      <w:r>
        <w:rPr>
          <w:rFonts w:eastAsia="宋体"/>
        </w:rPr>
        <w:t>15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pStyle w:val="20"/>
        <w:snapToGrid w:val="0"/>
        <w:spacing w:line="360" w:lineRule="auto"/>
        <w:ind w:firstLine="470" w:firstLineChars="196"/>
        <w:rPr>
          <w:rFonts w:eastAsia="宋体"/>
        </w:rPr>
      </w:pPr>
      <w:r>
        <w:rPr>
          <w:rFonts w:eastAsia="宋体"/>
        </w:rPr>
        <w:t>16.不符合法律、法规规定的其他要求的。</w:t>
      </w:r>
    </w:p>
    <w:p>
      <w:pPr>
        <w:pStyle w:val="20"/>
        <w:snapToGrid w:val="0"/>
        <w:spacing w:line="360" w:lineRule="auto"/>
        <w:ind w:firstLine="472" w:firstLineChars="196"/>
        <w:rPr>
          <w:rFonts w:eastAsia="宋体"/>
          <w:b/>
          <w:bCs/>
        </w:rPr>
      </w:pPr>
      <w:r>
        <w:rPr>
          <w:rFonts w:eastAsia="宋体"/>
          <w:b/>
          <w:bCs/>
        </w:rPr>
        <w:t>（十二）废标</w:t>
      </w:r>
    </w:p>
    <w:p>
      <w:pPr>
        <w:pStyle w:val="20"/>
        <w:snapToGrid w:val="0"/>
        <w:spacing w:line="360" w:lineRule="auto"/>
        <w:rPr>
          <w:rFonts w:eastAsia="宋体"/>
        </w:rPr>
      </w:pPr>
      <w:r>
        <w:rPr>
          <w:rFonts w:hint="eastAsia" w:eastAsia="宋体"/>
        </w:rPr>
        <w:t>1</w:t>
      </w:r>
      <w:r>
        <w:rPr>
          <w:rFonts w:eastAsia="宋体"/>
        </w:rPr>
        <w:t>.根据《中华人民共和国政府采购法》第三十六条之规定，在采购中，出现下列情形之一的，应予废标：</w:t>
      </w:r>
    </w:p>
    <w:p>
      <w:pPr>
        <w:pStyle w:val="20"/>
        <w:snapToGrid w:val="0"/>
        <w:spacing w:line="360" w:lineRule="auto"/>
        <w:rPr>
          <w:rFonts w:eastAsia="宋体"/>
        </w:rPr>
      </w:pPr>
      <w:r>
        <w:rPr>
          <w:rFonts w:eastAsia="宋体"/>
        </w:rPr>
        <w:t>1.1符合专业条件的供应商或者对招标文件作实质响应的供应商不足3家的；</w:t>
      </w:r>
    </w:p>
    <w:p>
      <w:pPr>
        <w:pStyle w:val="20"/>
        <w:snapToGrid w:val="0"/>
        <w:spacing w:line="360" w:lineRule="auto"/>
        <w:rPr>
          <w:rFonts w:eastAsia="宋体"/>
        </w:rPr>
      </w:pPr>
      <w:r>
        <w:rPr>
          <w:rFonts w:eastAsia="宋体"/>
        </w:rPr>
        <w:t>1.2出现影响采购公正的违法、违规行为的；</w:t>
      </w:r>
    </w:p>
    <w:p>
      <w:pPr>
        <w:pStyle w:val="20"/>
        <w:snapToGrid w:val="0"/>
        <w:spacing w:line="360" w:lineRule="auto"/>
        <w:rPr>
          <w:rFonts w:eastAsia="宋体"/>
        </w:rPr>
      </w:pPr>
      <w:r>
        <w:rPr>
          <w:rFonts w:eastAsia="宋体"/>
        </w:rPr>
        <w:t>1.3投标人的报价均超过了采购预算，采购人不能支付的；</w:t>
      </w:r>
    </w:p>
    <w:p>
      <w:pPr>
        <w:pStyle w:val="20"/>
        <w:snapToGrid w:val="0"/>
        <w:spacing w:line="360" w:lineRule="auto"/>
        <w:rPr>
          <w:rFonts w:eastAsia="宋体"/>
        </w:rPr>
      </w:pPr>
      <w:r>
        <w:rPr>
          <w:rFonts w:eastAsia="宋体"/>
        </w:rPr>
        <w:t>1.4因重大变故，采购任务取消的。</w:t>
      </w:r>
    </w:p>
    <w:p>
      <w:pPr>
        <w:pStyle w:val="20"/>
        <w:snapToGrid w:val="0"/>
        <w:spacing w:line="360" w:lineRule="auto"/>
        <w:rPr>
          <w:rFonts w:eastAsia="宋体"/>
        </w:rPr>
      </w:pPr>
      <w:r>
        <w:rPr>
          <w:rFonts w:eastAsia="宋体"/>
        </w:rPr>
        <w:t>废标后，采购代理机构应当将废标理由通知所有投标人。</w:t>
      </w:r>
    </w:p>
    <w:p>
      <w:pPr>
        <w:pStyle w:val="24"/>
        <w:widowControl w:val="0"/>
        <w:adjustRightInd w:val="0"/>
        <w:snapToGrid w:val="0"/>
        <w:spacing w:before="0" w:beforeAutospacing="0" w:after="0" w:afterAutospacing="0" w:line="360" w:lineRule="auto"/>
        <w:ind w:firstLine="480" w:firstLineChars="200"/>
        <w:rPr>
          <w:rFonts w:ascii="Times New Roman" w:hAnsi="Times New Roman"/>
        </w:rPr>
      </w:pPr>
      <w:r>
        <w:rPr>
          <w:rFonts w:ascii="Times New Roman" w:hAnsi="Times New Roman"/>
        </w:rPr>
        <w:t>2.除采购任务取消情形外，按照以下方式处理：</w:t>
      </w:r>
    </w:p>
    <w:p>
      <w:pPr>
        <w:pStyle w:val="24"/>
        <w:widowControl w:val="0"/>
        <w:adjustRightInd w:val="0"/>
        <w:snapToGrid w:val="0"/>
        <w:spacing w:before="0" w:beforeAutospacing="0" w:after="0" w:afterAutospacing="0" w:line="360" w:lineRule="auto"/>
        <w:ind w:firstLine="480" w:firstLineChars="200"/>
        <w:rPr>
          <w:rFonts w:ascii="Times New Roman" w:hAnsi="Times New Roman"/>
        </w:rPr>
      </w:pPr>
      <w:r>
        <w:rPr>
          <w:rFonts w:ascii="Times New Roman" w:hAnsi="Times New Roman"/>
        </w:rPr>
        <w:t>2.1招标文件存在不合理条款或者招标程序不符合规定的，改正后依法重新招标；</w:t>
      </w:r>
    </w:p>
    <w:p>
      <w:pPr>
        <w:pStyle w:val="24"/>
        <w:widowControl w:val="0"/>
        <w:adjustRightInd w:val="0"/>
        <w:snapToGrid w:val="0"/>
        <w:spacing w:before="0" w:beforeAutospacing="0" w:after="0" w:afterAutospacing="0" w:line="360" w:lineRule="auto"/>
        <w:ind w:firstLine="480" w:firstLineChars="200"/>
        <w:rPr>
          <w:rFonts w:hint="eastAsia" w:ascii="Times New Roman" w:hAnsi="Times New Roman"/>
        </w:rPr>
      </w:pPr>
      <w:r>
        <w:rPr>
          <w:rFonts w:ascii="Times New Roman" w:hAnsi="Times New Roman"/>
        </w:rPr>
        <w:t>2.2招标文件没有不合理条款、招标程序符合规定，需要采用其他采购方式采购的，采购人应当依法报财政部门批准。</w:t>
      </w:r>
    </w:p>
    <w:p>
      <w:pPr>
        <w:pStyle w:val="20"/>
        <w:snapToGrid w:val="0"/>
        <w:spacing w:line="360" w:lineRule="auto"/>
        <w:ind w:firstLine="482"/>
        <w:rPr>
          <w:rFonts w:eastAsia="宋体"/>
          <w:b/>
          <w:bCs/>
        </w:rPr>
      </w:pPr>
      <w:r>
        <w:rPr>
          <w:rFonts w:eastAsia="宋体"/>
          <w:b/>
          <w:bCs/>
        </w:rPr>
        <w:t>（十三）修改招标文件，重新组织采购活动</w:t>
      </w:r>
    </w:p>
    <w:p>
      <w:pPr>
        <w:pStyle w:val="20"/>
        <w:snapToGrid w:val="0"/>
        <w:spacing w:line="360" w:lineRule="auto"/>
        <w:rPr>
          <w:rFonts w:eastAsia="宋体"/>
        </w:rPr>
      </w:pPr>
      <w:r>
        <w:rPr>
          <w:rFonts w:eastAsia="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0"/>
        <w:snapToGrid w:val="0"/>
        <w:spacing w:line="360" w:lineRule="auto"/>
        <w:ind w:firstLine="590" w:firstLineChars="245"/>
        <w:rPr>
          <w:rFonts w:eastAsia="宋体"/>
          <w:b/>
        </w:rPr>
      </w:pPr>
      <w:r>
        <w:rPr>
          <w:rFonts w:eastAsia="宋体"/>
          <w:b/>
          <w:bCs/>
        </w:rPr>
        <w:t>（十四）重新开展采购</w:t>
      </w:r>
    </w:p>
    <w:p>
      <w:pPr>
        <w:pStyle w:val="20"/>
        <w:snapToGrid w:val="0"/>
        <w:spacing w:line="360" w:lineRule="auto"/>
        <w:rPr>
          <w:rFonts w:eastAsia="宋体"/>
        </w:rPr>
      </w:pPr>
      <w:r>
        <w:rPr>
          <w:rFonts w:eastAsia="宋体"/>
        </w:rPr>
        <w:t>有政府采购法第七十一条、第七十二条规定的违法行为之一，影响或者可能影响中标、成交结果的，依照下列规定处理：</w:t>
      </w:r>
    </w:p>
    <w:p>
      <w:pPr>
        <w:pStyle w:val="20"/>
        <w:snapToGrid w:val="0"/>
        <w:spacing w:line="360" w:lineRule="auto"/>
        <w:rPr>
          <w:rFonts w:eastAsia="宋体"/>
        </w:rPr>
      </w:pPr>
      <w:r>
        <w:rPr>
          <w:rFonts w:eastAsia="宋体"/>
        </w:rPr>
        <w:t>1.未确定中标或者中标人的，终止本次政府采购活动，重新开展政府采购活动。</w:t>
      </w:r>
    </w:p>
    <w:p>
      <w:pPr>
        <w:pStyle w:val="20"/>
        <w:snapToGrid w:val="0"/>
        <w:spacing w:line="360" w:lineRule="auto"/>
        <w:rPr>
          <w:rFonts w:eastAsia="宋体"/>
        </w:rPr>
      </w:pPr>
      <w:r>
        <w:rPr>
          <w:rFonts w:eastAsia="宋体"/>
        </w:rPr>
        <w:t>2.已确定中标或者中标人但尚未签订政府采购合同的，中标或者成交结果无效，从合格的中标或者成交候选人中另行确定中标或者中标人；没有合格的中标或者成交候选人的，重新开展政府采购活动。</w:t>
      </w:r>
    </w:p>
    <w:p>
      <w:pPr>
        <w:pStyle w:val="20"/>
        <w:snapToGrid w:val="0"/>
        <w:spacing w:line="360" w:lineRule="auto"/>
        <w:rPr>
          <w:rFonts w:eastAsia="宋体"/>
        </w:rPr>
      </w:pPr>
      <w:r>
        <w:rPr>
          <w:rFonts w:eastAsia="宋体"/>
        </w:rPr>
        <w:t>3.政府采购合同已签订但尚未履行的，撤销合同，从合格的中标或者成交候选人中另行确定中标或者中标人；没有合格的中标或者成交候选人的，重新开展政府采购活动。</w:t>
      </w:r>
    </w:p>
    <w:p>
      <w:pPr>
        <w:pStyle w:val="20"/>
        <w:snapToGrid w:val="0"/>
        <w:spacing w:line="360" w:lineRule="auto"/>
        <w:rPr>
          <w:rFonts w:eastAsia="宋体"/>
        </w:rPr>
      </w:pPr>
      <w:r>
        <w:rPr>
          <w:rFonts w:eastAsia="宋体"/>
        </w:rPr>
        <w:t>4.政府采购合同已经履行，给采购人、供应商造成损失的，由责任人承担赔偿责任。</w:t>
      </w:r>
    </w:p>
    <w:p>
      <w:pPr>
        <w:pStyle w:val="20"/>
        <w:snapToGrid w:val="0"/>
        <w:spacing w:line="360" w:lineRule="auto"/>
        <w:rPr>
          <w:rFonts w:hint="eastAsia" w:eastAsia="宋体"/>
        </w:rPr>
      </w:pPr>
      <w:r>
        <w:rPr>
          <w:rFonts w:eastAsia="宋体"/>
        </w:rPr>
        <w:t>5.政府采购当事人有其他违反政府采购法或者政府采购法实施条例等法律法规规定的行为，经改正后仍然影响或者可能影响中标、成交结果或者依法被认定为中标、成交无效的，依照1-4规定处理。</w:t>
      </w:r>
    </w:p>
    <w:p>
      <w:pPr>
        <w:pStyle w:val="20"/>
        <w:snapToGrid w:val="0"/>
        <w:spacing w:line="360" w:lineRule="auto"/>
        <w:ind w:firstLine="482"/>
        <w:rPr>
          <w:rFonts w:eastAsia="宋体"/>
          <w:b/>
          <w:bCs/>
        </w:rPr>
      </w:pPr>
      <w:r>
        <w:rPr>
          <w:rFonts w:eastAsia="宋体"/>
          <w:b/>
          <w:bCs/>
        </w:rPr>
        <w:t>四、开标、资格审查与信用信息查询</w:t>
      </w:r>
    </w:p>
    <w:p>
      <w:pPr>
        <w:pStyle w:val="20"/>
        <w:snapToGrid w:val="0"/>
        <w:spacing w:line="360" w:lineRule="auto"/>
        <w:rPr>
          <w:rFonts w:eastAsia="宋体"/>
        </w:rPr>
      </w:pPr>
      <w:r>
        <w:rPr>
          <w:rFonts w:eastAsia="宋体"/>
        </w:rPr>
        <w:t>（一）开标</w:t>
      </w:r>
    </w:p>
    <w:p>
      <w:pPr>
        <w:pStyle w:val="20"/>
        <w:snapToGrid w:val="0"/>
        <w:spacing w:line="360" w:lineRule="auto"/>
        <w:rPr>
          <w:rFonts w:eastAsia="宋体"/>
        </w:rPr>
      </w:pPr>
      <w:r>
        <w:rPr>
          <w:rFonts w:eastAsia="宋体"/>
        </w:rPr>
        <w:t>1.采购代理机构按照招标文件规定的时间通过电子交易平台组织开标，所有投标人均应当准时在线参加。投标人不足3家的，不得开标。</w:t>
      </w:r>
    </w:p>
    <w:p>
      <w:pPr>
        <w:pStyle w:val="20"/>
        <w:snapToGrid w:val="0"/>
        <w:spacing w:line="360" w:lineRule="auto"/>
        <w:rPr>
          <w:rFonts w:eastAsia="宋体"/>
        </w:rPr>
      </w:pPr>
      <w:r>
        <w:rPr>
          <w:rFonts w:eastAsia="宋体"/>
        </w:rPr>
        <w:t>2.开标时，电子交易平台按开标时间自动提取所有投标文件。采购代理机构依托电子交易平台发起开始解密指令，投标人按照平台提示和招标文件的规定在半小时内完成在线解密。</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3.投标文件未按时解密，投标人提供了备份投标文件的，以备份投标文件作为依据，否则视为投标文件撤回。投标文件已按时解密的，备份投标文件自动失效。</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（二）资格审查</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1.开标后，采购人或采购代理机构将依据法律法规和招标文件的规定，对投标人的基本资格条件、特定资格条件进行审查。</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2.投标人未按照招标文件要求提供与基本资格条件、特定资格条件相应的有效资格证明材料的，视为投标人不具备招标文件中规定的资格要求，其投标无效。</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3.对未通过资格审查的投标人，采购人或采购代理机构告知其未通过的原因。</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4.合格投标人不足3家的，不再评标，项目作流标处理。</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（三）信用信息查询</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1.信用信息查询渠道及截止时间：截至投标截止时间前1个工作日17:00（北京时间），采购代理机构将通过“信用中国”网站(www.creditchina.gov.cn)、中国政府采购网(www.ccgp.gov.cn)渠道查询投标人的信用记录。</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2.信用信息查询记录和证据留存的具体方式：投标人的信用记录、查询结果经确认后将与采购文件一起存档。</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3.信用信息的使用规则：经查询列入失信被执行人名单、重大税收违法案件当事人名单、政府采购严重违法失信行为记录名单的投标人将被拒绝参与政府采购活动。</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4"/>
        <w:widowControl w:val="0"/>
        <w:snapToGrid w:val="0"/>
        <w:spacing w:before="0" w:beforeAutospacing="0" w:after="0" w:afterAutospacing="0" w:line="360" w:lineRule="auto"/>
        <w:ind w:firstLine="479" w:firstLineChars="199"/>
        <w:rPr>
          <w:rFonts w:ascii="Times New Roman" w:hAnsi="Times New Roman"/>
          <w:b/>
          <w:bCs/>
        </w:rPr>
      </w:pPr>
      <w:r>
        <w:rPr>
          <w:rFonts w:ascii="Times New Roman" w:hAnsi="Times New Roman"/>
          <w:b/>
          <w:bCs/>
        </w:rPr>
        <w:t>五、评标</w:t>
      </w:r>
    </w:p>
    <w:p>
      <w:pPr>
        <w:pStyle w:val="24"/>
        <w:widowControl w:val="0"/>
        <w:snapToGrid w:val="0"/>
        <w:spacing w:before="0" w:beforeAutospacing="0" w:after="0" w:afterAutospacing="0" w:line="360" w:lineRule="auto"/>
        <w:ind w:firstLine="477" w:firstLineChars="199"/>
        <w:rPr>
          <w:rFonts w:ascii="Times New Roman" w:hAnsi="Times New Roman"/>
          <w:b/>
          <w:bCs/>
        </w:rPr>
      </w:pPr>
      <w:r>
        <w:rPr>
          <w:rFonts w:ascii="Times New Roman" w:hAnsi="Times New Roman"/>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imes New Roman" w:hAnsi="Times New Roman"/>
          <w:b/>
          <w:bCs/>
        </w:rPr>
        <w:t>详见招标文件第</w:t>
      </w:r>
      <w:r>
        <w:rPr>
          <w:rFonts w:hint="eastAsia" w:ascii="Times New Roman" w:hAnsi="Times New Roman"/>
          <w:b/>
          <w:bCs/>
        </w:rPr>
        <w:t>五章</w:t>
      </w:r>
      <w:r>
        <w:rPr>
          <w:rFonts w:ascii="Times New Roman" w:hAnsi="Times New Roman"/>
          <w:b/>
          <w:bCs/>
        </w:rPr>
        <w:t>评标办法。</w:t>
      </w:r>
    </w:p>
    <w:p>
      <w:pPr>
        <w:pStyle w:val="24"/>
        <w:widowControl w:val="0"/>
        <w:snapToGrid w:val="0"/>
        <w:spacing w:before="0" w:beforeAutospacing="0" w:after="0" w:afterAutospacing="0" w:line="360" w:lineRule="auto"/>
        <w:ind w:firstLine="479" w:firstLineChars="199"/>
        <w:rPr>
          <w:rFonts w:ascii="Times New Roman" w:hAnsi="Times New Roman"/>
          <w:b/>
          <w:bCs/>
        </w:rPr>
      </w:pPr>
      <w:r>
        <w:rPr>
          <w:rFonts w:ascii="Times New Roman" w:hAnsi="Times New Roman"/>
          <w:b/>
          <w:bCs/>
        </w:rPr>
        <w:t>六、定标</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1.确定中标人</w:t>
      </w:r>
    </w:p>
    <w:p>
      <w:pPr>
        <w:widowControl w:val="0"/>
        <w:adjustRightInd w:val="0"/>
        <w:snapToGrid w:val="0"/>
        <w:spacing w:line="360" w:lineRule="auto"/>
        <w:ind w:firstLine="435"/>
        <w:jc w:val="both"/>
        <w:rPr>
          <w:kern w:val="2"/>
        </w:rPr>
      </w:pPr>
      <w:r>
        <w:rPr>
          <w:kern w:val="2"/>
        </w:rPr>
        <w:t>1.1评标委员会将根据综合得分由高到低排序推荐中标候选人。</w:t>
      </w:r>
    </w:p>
    <w:p>
      <w:pPr>
        <w:widowControl w:val="0"/>
        <w:adjustRightInd w:val="0"/>
        <w:snapToGrid w:val="0"/>
        <w:spacing w:line="360" w:lineRule="auto"/>
        <w:ind w:firstLine="435"/>
        <w:jc w:val="both"/>
        <w:rPr>
          <w:kern w:val="2"/>
        </w:rPr>
      </w:pPr>
      <w:r>
        <w:t>1.2采购人自收到评审报告之日起5个工作日内通过电子交易平台在评审报告推荐的中标候选人中按顺序确定中标人。</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2.中标通知书与中标结果公告</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2.1自中标人确定之日起2个工作日内，采购代理机构在省级及以上财政部门指定媒体上发布采购结果公告。同时，采购代理机构也以书面形式发出中标通知书。</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2.2公告期限为1个工作日。</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2.3《中标通知书》一经发出即产生法律效力，采购人改变中标结果或中标人放弃中标的，应当依法承担法律责任。</w:t>
      </w:r>
    </w:p>
    <w:p>
      <w:pPr>
        <w:pStyle w:val="24"/>
        <w:widowControl w:val="0"/>
        <w:snapToGrid w:val="0"/>
        <w:spacing w:before="0" w:beforeAutospacing="0" w:after="0" w:afterAutospacing="0" w:line="360" w:lineRule="auto"/>
        <w:ind w:firstLine="479" w:firstLineChars="199"/>
        <w:rPr>
          <w:rFonts w:ascii="Times New Roman" w:hAnsi="Times New Roman"/>
          <w:b/>
          <w:bCs/>
        </w:rPr>
      </w:pPr>
      <w:r>
        <w:rPr>
          <w:rFonts w:ascii="Times New Roman" w:hAnsi="Times New Roman"/>
          <w:b/>
          <w:bCs/>
        </w:rPr>
        <w:t>七、合同授予</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1.合同的签订</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1.1采购人与中标人应当在中标通知书发出之日起</w:t>
      </w:r>
      <w:r>
        <w:rPr>
          <w:rFonts w:hint="eastAsia" w:ascii="Times New Roman" w:hAnsi="Times New Roman"/>
        </w:rPr>
        <w:t>2</w:t>
      </w:r>
      <w:r>
        <w:rPr>
          <w:rFonts w:ascii="Times New Roman" w:hAnsi="Times New Roman"/>
        </w:rPr>
        <w:t>0日内，签订政府采购合同，如中标人为联合体的，由联合体成员各方法定代表人或其授权代表与采购人代表签订合同。</w:t>
      </w:r>
    </w:p>
    <w:p>
      <w:pPr>
        <w:pStyle w:val="24"/>
        <w:widowControl w:val="0"/>
        <w:adjustRightInd w:val="0"/>
        <w:snapToGrid w:val="0"/>
        <w:spacing w:before="0" w:beforeAutospacing="0" w:after="0" w:afterAutospacing="0" w:line="360" w:lineRule="auto"/>
        <w:ind w:firstLine="537" w:firstLineChars="224"/>
        <w:rPr>
          <w:rFonts w:ascii="Times New Roman" w:hAnsi="Times New Roman"/>
        </w:rPr>
      </w:pPr>
      <w:r>
        <w:rPr>
          <w:rFonts w:ascii="Times New Roman" w:hAnsi="Times New Roman"/>
        </w:rPr>
        <w:t>1.2招标文件、投标文件、投标人作出的承诺及其澄清文件、中标通知书等，均为合同的组成部分。</w:t>
      </w:r>
    </w:p>
    <w:p>
      <w:pPr>
        <w:pStyle w:val="24"/>
        <w:widowControl w:val="0"/>
        <w:adjustRightInd w:val="0"/>
        <w:snapToGrid w:val="0"/>
        <w:spacing w:before="0" w:beforeAutospacing="0" w:after="0" w:afterAutospacing="0" w:line="360" w:lineRule="auto"/>
        <w:ind w:firstLine="537" w:firstLineChars="224"/>
        <w:rPr>
          <w:rFonts w:ascii="Times New Roman" w:hAnsi="Times New Roman"/>
        </w:rPr>
      </w:pPr>
      <w:r>
        <w:rPr>
          <w:rFonts w:ascii="Times New Roman" w:hAnsi="Times New Roman"/>
        </w:rPr>
        <w:t>1.3 中标人拒绝与采购人签订合同的，采购人可以按照评审报告推荐的中标候选人名单排序，确定下一候选人为中标人，也可以重新开展政府采购活动。</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1.4采购人或采购代理机构在合同签订之日起2个工作日内依法发布合同公告并自动备案。</w:t>
      </w:r>
    </w:p>
    <w:p>
      <w:pPr>
        <w:pStyle w:val="24"/>
        <w:widowControl w:val="0"/>
        <w:adjustRightInd w:val="0"/>
        <w:snapToGrid w:val="0"/>
        <w:spacing w:before="0" w:beforeAutospacing="0" w:after="0" w:afterAutospacing="0" w:line="360" w:lineRule="auto"/>
        <w:ind w:firstLine="537" w:firstLineChars="224"/>
        <w:rPr>
          <w:rFonts w:ascii="Times New Roman" w:hAnsi="Times New Roman"/>
        </w:rPr>
      </w:pPr>
      <w:r>
        <w:rPr>
          <w:rFonts w:ascii="Times New Roman" w:hAnsi="Times New Roman"/>
        </w:rPr>
        <w:t>2.履约保证金</w:t>
      </w:r>
    </w:p>
    <w:p>
      <w:pPr>
        <w:pStyle w:val="24"/>
        <w:widowControl w:val="0"/>
        <w:adjustRightInd w:val="0"/>
        <w:snapToGrid w:val="0"/>
        <w:spacing w:before="0" w:beforeAutospacing="0" w:after="0" w:afterAutospacing="0" w:line="360" w:lineRule="auto"/>
        <w:ind w:firstLine="537" w:firstLineChars="224"/>
        <w:rPr>
          <w:rFonts w:ascii="Times New Roman" w:hAnsi="Times New Roman"/>
        </w:rPr>
      </w:pPr>
      <w:r>
        <w:rPr>
          <w:rFonts w:ascii="Times New Roman" w:hAnsi="Times New Roman"/>
        </w:rPr>
        <w:t>2.1</w:t>
      </w:r>
      <w:r>
        <w:rPr>
          <w:rFonts w:hint="eastAsia" w:ascii="Times New Roman" w:hAnsi="Times New Roman"/>
        </w:rPr>
        <w:t>缴纳规则详见前附表。</w:t>
      </w:r>
    </w:p>
    <w:p>
      <w:pPr>
        <w:widowControl w:val="0"/>
        <w:adjustRightInd w:val="0"/>
        <w:snapToGrid w:val="0"/>
        <w:spacing w:line="360" w:lineRule="auto"/>
        <w:ind w:firstLine="537" w:firstLineChars="224"/>
      </w:pPr>
      <w:r>
        <w:t>2.2签订合同后，如中标人不按双方合同约定履约，违反有关法律法规的规定及合同约定的条款，损害了采购人利益的，采购人将没收全部履约保证金。履约保证金不足以赔偿损失的，按实际损失赔偿。</w:t>
      </w:r>
    </w:p>
    <w:p>
      <w:pPr>
        <w:widowControl w:val="0"/>
        <w:adjustRightInd w:val="0"/>
        <w:snapToGrid w:val="0"/>
        <w:spacing w:line="360" w:lineRule="auto"/>
        <w:ind w:firstLine="537" w:firstLineChars="224"/>
        <w:rPr>
          <w:rFonts w:hint="eastAsia"/>
        </w:rPr>
      </w:pPr>
      <w:r>
        <w:rPr>
          <w:rFonts w:hint="eastAsia"/>
        </w:rPr>
        <w:t>2</w:t>
      </w:r>
      <w:r>
        <w:t>.3</w:t>
      </w:r>
      <w:r>
        <w:rPr>
          <w:rFonts w:hint="eastAsi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widowControl w:val="0"/>
        <w:adjustRightInd w:val="0"/>
        <w:snapToGrid w:val="0"/>
        <w:spacing w:line="360" w:lineRule="auto"/>
        <w:ind w:firstLine="540" w:firstLineChars="224"/>
        <w:rPr>
          <w:b/>
          <w:bCs/>
        </w:rPr>
      </w:pPr>
      <w:r>
        <w:rPr>
          <w:b/>
          <w:bCs/>
        </w:rPr>
        <w:t>八、电子交易活动的中止</w:t>
      </w:r>
    </w:p>
    <w:p>
      <w:pPr>
        <w:widowControl w:val="0"/>
        <w:adjustRightInd w:val="0"/>
        <w:snapToGrid w:val="0"/>
        <w:spacing w:line="360" w:lineRule="auto"/>
        <w:ind w:firstLine="537" w:firstLineChars="224"/>
      </w:pPr>
      <w:r>
        <w:t>1.采购过程中出现以下情形，导致电子交易平台无法正常运行，或者无法保证电子交易的公平、公正和安全时，采购代理机构可中止电子交易活动：</w:t>
      </w:r>
    </w:p>
    <w:p>
      <w:pPr>
        <w:widowControl w:val="0"/>
        <w:adjustRightInd w:val="0"/>
        <w:snapToGrid w:val="0"/>
        <w:spacing w:line="360" w:lineRule="auto"/>
        <w:ind w:firstLine="537" w:firstLineChars="224"/>
      </w:pPr>
      <w:r>
        <w:t xml:space="preserve">1.1电子交易平台发生故障而无法登录访问的； </w:t>
      </w:r>
    </w:p>
    <w:p>
      <w:pPr>
        <w:widowControl w:val="0"/>
        <w:adjustRightInd w:val="0"/>
        <w:snapToGrid w:val="0"/>
        <w:spacing w:line="360" w:lineRule="auto"/>
        <w:ind w:firstLine="537" w:firstLineChars="224"/>
      </w:pPr>
      <w:r>
        <w:t>1.2电子交易平台应用或数据库出现错误，不能进行正常操作的；</w:t>
      </w:r>
    </w:p>
    <w:p>
      <w:pPr>
        <w:widowControl w:val="0"/>
        <w:adjustRightInd w:val="0"/>
        <w:snapToGrid w:val="0"/>
        <w:spacing w:line="360" w:lineRule="auto"/>
        <w:ind w:firstLine="537" w:firstLineChars="224"/>
      </w:pPr>
      <w:r>
        <w:t>1.3电子交易平台发现严重安全漏洞，有潜在泄密危险的；</w:t>
      </w:r>
    </w:p>
    <w:p>
      <w:pPr>
        <w:widowControl w:val="0"/>
        <w:adjustRightInd w:val="0"/>
        <w:snapToGrid w:val="0"/>
        <w:spacing w:line="360" w:lineRule="auto"/>
        <w:ind w:firstLine="537" w:firstLineChars="224"/>
      </w:pPr>
      <w:r>
        <w:t xml:space="preserve">1.4病毒发作导致不能进行正常操作的； </w:t>
      </w:r>
    </w:p>
    <w:p>
      <w:pPr>
        <w:widowControl w:val="0"/>
        <w:adjustRightInd w:val="0"/>
        <w:snapToGrid w:val="0"/>
        <w:spacing w:line="360" w:lineRule="auto"/>
        <w:ind w:firstLine="537" w:firstLineChars="224"/>
      </w:pPr>
      <w:r>
        <w:t>1.5其他无法保证电子交易的公平、公正和安全的情况。</w:t>
      </w:r>
    </w:p>
    <w:p>
      <w:pPr>
        <w:widowControl w:val="0"/>
        <w:adjustRightInd w:val="0"/>
        <w:snapToGrid w:val="0"/>
        <w:spacing w:line="360" w:lineRule="auto"/>
        <w:ind w:firstLine="537" w:firstLineChars="224"/>
      </w:pPr>
      <w:r>
        <w:t>2.出现以上情形，不影响采购公平、公正性的，采购组织机构可以待上述情形消除后继续组织电子交易活动；影响或可能影响采购公平、公正性的，应当重新采购。</w:t>
      </w:r>
    </w:p>
    <w:p>
      <w:pPr>
        <w:widowControl w:val="0"/>
        <w:adjustRightInd w:val="0"/>
        <w:snapToGrid w:val="0"/>
        <w:spacing w:line="360" w:lineRule="auto"/>
        <w:ind w:firstLine="537" w:firstLineChars="224"/>
      </w:pPr>
    </w:p>
    <w:p>
      <w:pPr>
        <w:pStyle w:val="24"/>
        <w:widowControl w:val="0"/>
        <w:snapToGrid w:val="0"/>
        <w:spacing w:before="0" w:beforeAutospacing="0" w:after="0" w:afterAutospacing="0" w:line="360" w:lineRule="auto"/>
        <w:ind w:firstLine="477" w:firstLineChars="199"/>
        <w:rPr>
          <w:rFonts w:ascii="Times New Roman" w:hAnsi="Times New Roman"/>
        </w:rPr>
      </w:pPr>
    </w:p>
    <w:p>
      <w:pPr>
        <w:pStyle w:val="20"/>
        <w:snapToGrid w:val="0"/>
        <w:spacing w:line="360" w:lineRule="auto"/>
        <w:rPr>
          <w:rFonts w:eastAsia="宋体"/>
        </w:rPr>
      </w:pPr>
      <w:r>
        <w:rPr>
          <w:rFonts w:eastAsia="宋体"/>
        </w:rPr>
        <w:t xml:space="preserve">                                                                                             </w:t>
      </w:r>
      <w:bookmarkStart w:id="52" w:name="_Hlk69810139"/>
      <w:bookmarkStart w:id="53" w:name="_Hlk62118689"/>
    </w:p>
    <w:bookmarkEnd w:id="48"/>
    <w:bookmarkEnd w:id="52"/>
    <w:bookmarkEnd w:id="53"/>
    <w:p>
      <w:pPr>
        <w:pStyle w:val="2"/>
        <w:spacing w:before="120" w:after="240" w:line="240" w:lineRule="auto"/>
        <w:jc w:val="center"/>
        <w:rPr>
          <w:rFonts w:ascii="宋体" w:hAnsi="宋体"/>
          <w:b w:val="0"/>
          <w:sz w:val="48"/>
          <w:szCs w:val="48"/>
        </w:rPr>
      </w:pPr>
      <w:r>
        <w:rPr>
          <w:spacing w:val="60"/>
        </w:rPr>
        <w:br w:type="page"/>
      </w:r>
      <w:bookmarkStart w:id="54" w:name="_Toc39239707"/>
      <w:bookmarkStart w:id="55" w:name="_Toc93668163"/>
      <w:r>
        <w:rPr>
          <w:rFonts w:ascii="宋体" w:hAnsi="宋体"/>
        </w:rPr>
        <w:t xml:space="preserve">第五章  </w:t>
      </w:r>
      <w:bookmarkEnd w:id="54"/>
      <w:r>
        <w:rPr>
          <w:rFonts w:hint="eastAsia" w:ascii="宋体" w:hAnsi="宋体"/>
        </w:rPr>
        <w:t>评标办法</w:t>
      </w:r>
      <w:bookmarkEnd w:id="55"/>
    </w:p>
    <w:p>
      <w:pPr>
        <w:widowControl w:val="0"/>
        <w:adjustRightInd w:val="0"/>
        <w:snapToGrid w:val="0"/>
        <w:spacing w:line="360" w:lineRule="auto"/>
        <w:ind w:firstLine="435"/>
        <w:jc w:val="both"/>
        <w:rPr>
          <w:b/>
          <w:bCs/>
        </w:rPr>
      </w:pPr>
      <w:r>
        <w:rPr>
          <w:b/>
          <w:bCs/>
        </w:rPr>
        <w:t>一、评标</w:t>
      </w:r>
    </w:p>
    <w:p>
      <w:pPr>
        <w:pStyle w:val="24"/>
        <w:widowControl w:val="0"/>
        <w:adjustRightInd w:val="0"/>
        <w:snapToGrid w:val="0"/>
        <w:spacing w:before="0" w:beforeAutospacing="0" w:after="0" w:afterAutospacing="0" w:line="360" w:lineRule="auto"/>
        <w:ind w:firstLine="480" w:firstLineChars="200"/>
        <w:rPr>
          <w:rFonts w:ascii="Times New Roman" w:hAnsi="Times New Roman"/>
        </w:rPr>
      </w:pPr>
      <w:r>
        <w:rPr>
          <w:rFonts w:ascii="Times New Roman" w:hAnsi="Times New Roman"/>
        </w:rPr>
        <w:t>1.评标办法</w:t>
      </w:r>
    </w:p>
    <w:p>
      <w:pPr>
        <w:pStyle w:val="24"/>
        <w:widowControl w:val="0"/>
        <w:adjustRightInd w:val="0"/>
        <w:snapToGrid w:val="0"/>
        <w:spacing w:before="0" w:beforeAutospacing="0" w:after="0" w:afterAutospacing="0" w:line="360" w:lineRule="auto"/>
        <w:ind w:firstLine="482" w:firstLineChars="200"/>
        <w:rPr>
          <w:rFonts w:ascii="Times New Roman" w:hAnsi="Times New Roman"/>
        </w:rPr>
      </w:pPr>
      <w:r>
        <w:rPr>
          <w:rFonts w:ascii="Times New Roman" w:hAnsi="Times New Roman"/>
          <w:b/>
          <w:bCs/>
        </w:rPr>
        <w:t>本项目采用综合评分法</w:t>
      </w:r>
      <w:r>
        <w:rPr>
          <w:rFonts w:ascii="Times New Roman" w:hAnsi="Times New Roman"/>
        </w:rPr>
        <w:t>。综合评分法，是指投标文件满足招标文件全部实质性要求，且按照评审因素的量化指标评审得分最高的投标人为中标候选人的评标方法。先进行资格审查和</w:t>
      </w:r>
      <w:r>
        <w:rPr>
          <w:rFonts w:hint="eastAsia" w:ascii="Times New Roman" w:hAnsi="Times New Roman"/>
        </w:rPr>
        <w:t>商务</w:t>
      </w:r>
      <w:r>
        <w:rPr>
          <w:rFonts w:ascii="Times New Roman" w:hAnsi="Times New Roman"/>
        </w:rPr>
        <w:t>技术评审，评定计算</w:t>
      </w:r>
      <w:r>
        <w:rPr>
          <w:rFonts w:hint="eastAsia" w:ascii="Times New Roman" w:hAnsi="Times New Roman"/>
        </w:rPr>
        <w:t>商务</w:t>
      </w:r>
      <w:r>
        <w:rPr>
          <w:rFonts w:ascii="Times New Roman" w:hAnsi="Times New Roman"/>
        </w:rPr>
        <w:t>技术分后再进行价格评审。</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2.评标组织</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采购人和代理机构将根据本项目的特点依法组建评标委员会，评标委员会由采购人代表和评审专家组成，成员人数应当为5人或以上单数，其中评审专家不得少于成员总数的三分之二。评审专家统一在省级以上财政部门设立的政府采购评审专家库中随机抽取。</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3.评标方式</w:t>
      </w:r>
    </w:p>
    <w:p>
      <w:pPr>
        <w:pStyle w:val="24"/>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3.1本项目采用电子评标，评标的依据为招标文件和投标文件。投标人在投标截止以后提供的资料不得作为评标依据，但应评标委员会要求提供的证明、说明不在此列。</w:t>
      </w:r>
    </w:p>
    <w:p>
      <w:pPr>
        <w:widowControl w:val="0"/>
        <w:adjustRightInd w:val="0"/>
        <w:snapToGrid w:val="0"/>
        <w:spacing w:line="360" w:lineRule="auto"/>
        <w:ind w:firstLine="435"/>
        <w:jc w:val="both"/>
      </w:pPr>
      <w:r>
        <w:t>3.2评标是招标过程中的重要环节，评标工作在评标委员会成员内独立进行。评标委员会将遵照评标原则，公正、公平、客观地对待所有投标人。</w:t>
      </w:r>
    </w:p>
    <w:p>
      <w:pPr>
        <w:widowControl w:val="0"/>
        <w:adjustRightInd w:val="0"/>
        <w:snapToGrid w:val="0"/>
        <w:spacing w:line="360" w:lineRule="auto"/>
        <w:ind w:firstLine="435"/>
      </w:pPr>
      <w:r>
        <w:t>3.3采购人、代理机构及评标委员会不向落标方解释落标原因。</w:t>
      </w:r>
    </w:p>
    <w:p>
      <w:pPr>
        <w:spacing w:line="360" w:lineRule="auto"/>
        <w:ind w:firstLine="480" w:firstLineChars="200"/>
        <w:jc w:val="both"/>
      </w:pPr>
      <w:r>
        <w:t>3.4本项目评标过程实行全程录音、录像监控。</w:t>
      </w:r>
    </w:p>
    <w:p>
      <w:pPr>
        <w:widowControl w:val="0"/>
        <w:adjustRightInd w:val="0"/>
        <w:snapToGrid w:val="0"/>
        <w:spacing w:line="360" w:lineRule="auto"/>
        <w:ind w:firstLine="435"/>
        <w:jc w:val="both"/>
        <w:rPr>
          <w:b/>
          <w:bCs/>
        </w:rPr>
      </w:pPr>
      <w:r>
        <w:rPr>
          <w:b/>
          <w:bCs/>
        </w:rPr>
        <w:t>二、评标办法</w:t>
      </w:r>
    </w:p>
    <w:p>
      <w:pPr>
        <w:widowControl w:val="0"/>
        <w:adjustRightInd w:val="0"/>
        <w:snapToGrid w:val="0"/>
        <w:spacing w:line="360" w:lineRule="auto"/>
        <w:ind w:firstLine="480" w:firstLineChars="200"/>
        <w:jc w:val="both"/>
      </w:pPr>
      <w:r>
        <w:t>1.</w:t>
      </w:r>
      <w:r>
        <w:rPr>
          <w:rFonts w:hint="eastAsia"/>
        </w:rPr>
        <w:t>商务</w:t>
      </w:r>
      <w:r>
        <w:t>技术评审：由评标委员会采用记名方式独立进行评审，此项评分计算方法为：</w:t>
      </w:r>
      <w:r>
        <w:rPr>
          <w:rFonts w:hint="eastAsia"/>
        </w:rPr>
        <w:t>商务</w:t>
      </w:r>
      <w:r>
        <w:t>技术得分=（评标委员会所有成员评分之和）÷（评标委员会组成人数）。</w:t>
      </w:r>
    </w:p>
    <w:p>
      <w:pPr>
        <w:pStyle w:val="39"/>
        <w:widowControl w:val="0"/>
        <w:adjustRightInd w:val="0"/>
        <w:snapToGrid w:val="0"/>
        <w:spacing w:before="0" w:beforeAutospacing="0" w:after="0" w:afterAutospacing="0"/>
        <w:jc w:val="center"/>
        <w:rPr>
          <w:rFonts w:hint="default" w:ascii="Times New Roman" w:hAnsi="Times New Roman"/>
          <w:b/>
          <w:sz w:val="36"/>
          <w:szCs w:val="36"/>
        </w:rPr>
      </w:pPr>
      <w:r>
        <w:rPr>
          <w:rFonts w:ascii="Times New Roman" w:hAnsi="Times New Roman"/>
          <w:b/>
          <w:sz w:val="36"/>
          <w:szCs w:val="36"/>
        </w:rPr>
        <w:t>商务</w:t>
      </w:r>
      <w:r>
        <w:rPr>
          <w:rFonts w:hint="default" w:ascii="Times New Roman" w:hAnsi="Times New Roman"/>
          <w:b/>
          <w:sz w:val="36"/>
          <w:szCs w:val="36"/>
        </w:rPr>
        <w:t>技术评分明细表</w:t>
      </w:r>
      <w:r>
        <w:rPr>
          <w:rFonts w:ascii="Times New Roman" w:hAnsi="Times New Roman"/>
          <w:b/>
          <w:sz w:val="36"/>
          <w:szCs w:val="36"/>
        </w:rPr>
        <w:t>（标段一、二、三）</w:t>
      </w:r>
    </w:p>
    <w:tbl>
      <w:tblPr>
        <w:tblStyle w:val="43"/>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1296"/>
        <w:gridCol w:w="6852"/>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项目</w:t>
            </w:r>
          </w:p>
        </w:tc>
        <w:tc>
          <w:tcPr>
            <w:tcW w:w="6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评分标准</w:t>
            </w:r>
          </w:p>
        </w:tc>
        <w:tc>
          <w:tcPr>
            <w:tcW w:w="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ascii="Times New Roman" w:hAnsi="Times New Roman" w:eastAsia="宋体" w:cs="Times New Roman"/>
                <w:kern w:val="2"/>
                <w:sz w:val="22"/>
                <w:szCs w:val="22"/>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技术参数及配置</w:t>
            </w:r>
          </w:p>
        </w:tc>
        <w:tc>
          <w:tcPr>
            <w:tcW w:w="6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投标产品的基本功能、技术指标与需求的吻合程度和偏差情况，是否能够满足招标文件要求，全部满足招标文件要求的得15分；“★”项属于关键指标不允许出现负偏离，否则视为无效标；根据《技术偏离表》“▲”项负偏离每项扣2分（有要求提供证明材料但未提供的作负偏离处理）；其他参数指标负偏离每项扣1分。是否负偏离由评标委员会认定，扣完为止。</w:t>
            </w:r>
          </w:p>
        </w:tc>
        <w:tc>
          <w:tcPr>
            <w:tcW w:w="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ascii="Times New Roman" w:hAnsi="Times New Roman" w:eastAsia="宋体" w:cs="Times New Roman"/>
                <w:kern w:val="2"/>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ascii="Times New Roman" w:hAnsi="Times New Roman" w:eastAsia="宋体" w:cs="Times New Roman"/>
                <w:kern w:val="2"/>
                <w:sz w:val="22"/>
                <w:szCs w:val="22"/>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技术方案</w:t>
            </w:r>
          </w:p>
        </w:tc>
        <w:tc>
          <w:tcPr>
            <w:tcW w:w="6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根据投标人针对本项目技术方案的清晰和完整性、技术方案的先进性、技术方案的经济合理性、核心部件及软件满足要求的情况及功能及技术指标，设备可维护性，设备稳定性等情况进行打分。方案完整、可行性高的得</w:t>
            </w:r>
            <w:r>
              <w:rPr>
                <w:rFonts w:hint="eastAsia" w:ascii="Times New Roman" w:hAnsi="Times New Roman" w:eastAsia="宋体" w:cs="Times New Roman"/>
                <w:kern w:val="2"/>
                <w:sz w:val="22"/>
                <w:szCs w:val="22"/>
              </w:rPr>
              <w:t>10</w:t>
            </w:r>
            <w:r>
              <w:rPr>
                <w:rFonts w:hint="eastAsia" w:ascii="宋体" w:hAnsi="宋体" w:eastAsia="宋体" w:cs="Times New Roman"/>
                <w:kern w:val="2"/>
                <w:sz w:val="22"/>
                <w:szCs w:val="22"/>
              </w:rPr>
              <w:t>分，有所欠缺的每处扣1分，扣完为止。</w:t>
            </w:r>
          </w:p>
        </w:tc>
        <w:tc>
          <w:tcPr>
            <w:tcW w:w="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hint="eastAsia" w:ascii="Times New Roman" w:hAnsi="Times New Roman" w:eastAsia="宋体" w:cs="Times New Roman"/>
                <w:kern w:val="2"/>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ascii="Times New Roman" w:hAnsi="Times New Roman" w:eastAsia="宋体" w:cs="Times New Roman"/>
                <w:kern w:val="2"/>
                <w:sz w:val="22"/>
                <w:szCs w:val="22"/>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保证措施</w:t>
            </w:r>
          </w:p>
        </w:tc>
        <w:tc>
          <w:tcPr>
            <w:tcW w:w="6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投标人针对本项目进度及安全保障措施措施等情况综合打分。方案措施完整、可行性高的得3分，有所欠缺的每处扣1分，扣完为止。</w:t>
            </w:r>
          </w:p>
        </w:tc>
        <w:tc>
          <w:tcPr>
            <w:tcW w:w="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hint="eastAsia" w:ascii="Times New Roman" w:hAnsi="Times New Roman" w:eastAsia="宋体" w:cs="Times New Roman"/>
                <w:kern w:val="2"/>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ascii="Times New Roman" w:hAnsi="Times New Roman" w:eastAsia="宋体" w:cs="Times New Roman"/>
                <w:kern w:val="2"/>
                <w:sz w:val="22"/>
                <w:szCs w:val="22"/>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验收方案</w:t>
            </w:r>
          </w:p>
        </w:tc>
        <w:tc>
          <w:tcPr>
            <w:tcW w:w="6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根据投标人针对本项目的整个安装、调试、验收等方案综合打分。综合打分。方案完整、可行性高的得6分，有所欠缺的每处扣1分，扣完为止。</w:t>
            </w:r>
          </w:p>
        </w:tc>
        <w:tc>
          <w:tcPr>
            <w:tcW w:w="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hint="eastAsia" w:ascii="Times New Roman" w:hAnsi="Times New Roman" w:eastAsia="宋体" w:cs="Times New Roman"/>
                <w:kern w:val="2"/>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restart"/>
            <w:tcBorders>
              <w:top w:val="nil"/>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ascii="Times New Roman" w:hAnsi="Times New Roman" w:eastAsia="宋体" w:cs="Times New Roman"/>
                <w:kern w:val="2"/>
                <w:sz w:val="22"/>
                <w:szCs w:val="22"/>
              </w:rPr>
              <w:t>5</w:t>
            </w:r>
          </w:p>
        </w:tc>
        <w:tc>
          <w:tcPr>
            <w:tcW w:w="0" w:type="auto"/>
            <w:vMerge w:val="restart"/>
            <w:tcBorders>
              <w:top w:val="nil"/>
              <w:left w:val="single" w:color="auto" w:sz="4" w:space="0"/>
              <w:bottom w:val="single" w:color="auto" w:sz="4" w:space="0"/>
              <w:right w:val="single" w:color="auto" w:sz="4" w:space="0"/>
            </w:tcBorders>
            <w:noWrap w:val="0"/>
            <w:vAlign w:val="center"/>
          </w:tcPr>
          <w:p>
            <w:pPr>
              <w:spacing w:line="360" w:lineRule="auto"/>
              <w:jc w:val="center"/>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人员配置</w:t>
            </w:r>
          </w:p>
          <w:p>
            <w:pPr>
              <w:spacing w:line="360" w:lineRule="auto"/>
              <w:jc w:val="center"/>
              <w:textAlignment w:val="center"/>
              <w:rPr>
                <w:rFonts w:ascii="宋体" w:hAnsi="宋体" w:eastAsia="宋体" w:cs="Times New Roman"/>
                <w:b/>
                <w:kern w:val="2"/>
                <w:sz w:val="22"/>
                <w:szCs w:val="22"/>
              </w:rPr>
            </w:pPr>
            <w:r>
              <w:rPr>
                <w:rFonts w:hint="eastAsia" w:ascii="宋体" w:hAnsi="宋体" w:eastAsia="宋体" w:cs="Times New Roman"/>
                <w:b/>
                <w:kern w:val="2"/>
                <w:sz w:val="22"/>
                <w:szCs w:val="22"/>
              </w:rPr>
              <w:t>（提供近</w:t>
            </w:r>
            <w:r>
              <w:rPr>
                <w:rFonts w:ascii="Times New Roman" w:hAnsi="Times New Roman" w:eastAsia="宋体" w:cs="Times New Roman"/>
                <w:b/>
                <w:kern w:val="2"/>
                <w:sz w:val="22"/>
                <w:szCs w:val="22"/>
              </w:rPr>
              <w:t>3</w:t>
            </w:r>
            <w:r>
              <w:rPr>
                <w:rFonts w:hint="eastAsia" w:ascii="宋体" w:hAnsi="宋体" w:eastAsia="宋体" w:cs="Times New Roman"/>
                <w:b/>
                <w:kern w:val="2"/>
                <w:sz w:val="22"/>
                <w:szCs w:val="22"/>
              </w:rPr>
              <w:t>个月社保证明材料）</w:t>
            </w:r>
          </w:p>
        </w:tc>
        <w:tc>
          <w:tcPr>
            <w:tcW w:w="6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投标人拟派的项目负责人同时具备（信息系统集成及服务高级项目经理或一级建造师)、（高级工程师证书或计算机软件高级程序员证书)、（信息系统项目管理师证书或</w:t>
            </w:r>
            <w:r>
              <w:rPr>
                <w:rFonts w:ascii="Times New Roman" w:hAnsi="Times New Roman" w:eastAsia="宋体" w:cs="Times New Roman"/>
                <w:kern w:val="2"/>
                <w:sz w:val="22"/>
                <w:szCs w:val="22"/>
              </w:rPr>
              <w:t>PMP</w:t>
            </w:r>
            <w:r>
              <w:rPr>
                <w:rFonts w:hint="eastAsia" w:ascii="宋体" w:hAnsi="宋体" w:eastAsia="宋体" w:cs="Times New Roman"/>
                <w:kern w:val="2"/>
                <w:sz w:val="22"/>
                <w:szCs w:val="22"/>
              </w:rPr>
              <w:t>证书）的得6分；</w:t>
            </w:r>
          </w:p>
          <w:p>
            <w:pPr>
              <w:spacing w:line="360" w:lineRule="auto"/>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提供证书复印件，未提供不得分。（本项目</w:t>
            </w:r>
            <w:r>
              <w:rPr>
                <w:rFonts w:ascii="宋体" w:hAnsi="宋体" w:eastAsia="宋体" w:cs="Times New Roman"/>
                <w:kern w:val="2"/>
                <w:sz w:val="22"/>
                <w:szCs w:val="22"/>
              </w:rPr>
              <w:t>负责人</w:t>
            </w:r>
            <w:r>
              <w:rPr>
                <w:rFonts w:hint="eastAsia" w:ascii="宋体" w:hAnsi="宋体" w:eastAsia="宋体" w:cs="Times New Roman"/>
                <w:kern w:val="2"/>
                <w:sz w:val="22"/>
                <w:szCs w:val="22"/>
              </w:rPr>
              <w:t>只允许</w:t>
            </w:r>
            <w:r>
              <w:rPr>
                <w:rFonts w:ascii="宋体" w:hAnsi="宋体" w:eastAsia="宋体" w:cs="Times New Roman"/>
                <w:kern w:val="2"/>
                <w:sz w:val="22"/>
                <w:szCs w:val="22"/>
              </w:rPr>
              <w:t>配置一人</w:t>
            </w:r>
            <w:r>
              <w:rPr>
                <w:rFonts w:hint="eastAsia" w:ascii="宋体" w:hAnsi="宋体" w:eastAsia="宋体" w:cs="Times New Roman"/>
                <w:kern w:val="2"/>
                <w:sz w:val="22"/>
                <w:szCs w:val="22"/>
              </w:rPr>
              <w:t>）</w:t>
            </w:r>
          </w:p>
        </w:tc>
        <w:tc>
          <w:tcPr>
            <w:tcW w:w="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hint="eastAsia" w:ascii="Times New Roman" w:hAnsi="Times New Roman" w:eastAsia="宋体" w:cs="Times New Roman"/>
                <w:kern w:val="2"/>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宋体" w:cs="Times New Roman"/>
                <w:kern w:val="2"/>
                <w:sz w:val="22"/>
                <w:szCs w:val="22"/>
              </w:rPr>
            </w:pPr>
          </w:p>
        </w:tc>
        <w:tc>
          <w:tcPr>
            <w:tcW w:w="0" w:type="auto"/>
            <w:vMerge w:val="continue"/>
            <w:tcBorders>
              <w:top w:val="nil"/>
              <w:left w:val="single" w:color="auto" w:sz="4" w:space="0"/>
              <w:bottom w:val="single" w:color="auto" w:sz="4" w:space="0"/>
              <w:right w:val="single" w:color="auto" w:sz="4" w:space="0"/>
            </w:tcBorders>
            <w:noWrap w:val="0"/>
            <w:vAlign w:val="center"/>
          </w:tcPr>
          <w:p>
            <w:pPr>
              <w:rPr>
                <w:rFonts w:ascii="宋体" w:hAnsi="宋体" w:eastAsia="宋体" w:cs="Times New Roman"/>
                <w:b/>
                <w:kern w:val="2"/>
                <w:sz w:val="22"/>
                <w:szCs w:val="22"/>
              </w:rPr>
            </w:pPr>
          </w:p>
        </w:tc>
        <w:tc>
          <w:tcPr>
            <w:tcW w:w="6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根据投标人拟派的服务团队配置人员的整体专业经验和服务能力、人员专业配置等进行综合打分，最高得</w:t>
            </w:r>
            <w:r>
              <w:rPr>
                <w:rFonts w:ascii="Times New Roman" w:hAnsi="Times New Roman" w:eastAsia="宋体" w:cs="Times New Roman"/>
                <w:kern w:val="2"/>
                <w:sz w:val="22"/>
                <w:szCs w:val="22"/>
              </w:rPr>
              <w:t>3</w:t>
            </w:r>
            <w:r>
              <w:rPr>
                <w:rFonts w:hint="eastAsia" w:ascii="宋体" w:hAnsi="宋体" w:eastAsia="宋体" w:cs="Times New Roman"/>
                <w:kern w:val="2"/>
                <w:sz w:val="22"/>
                <w:szCs w:val="22"/>
              </w:rPr>
              <w:t>分，缺漏项每处扣</w:t>
            </w:r>
            <w:r>
              <w:rPr>
                <w:rFonts w:hint="eastAsia" w:ascii="Times New Roman" w:hAnsi="Times New Roman" w:eastAsia="宋体" w:cs="Times New Roman"/>
                <w:kern w:val="2"/>
                <w:sz w:val="22"/>
                <w:szCs w:val="22"/>
              </w:rPr>
              <w:t>1</w:t>
            </w:r>
            <w:r>
              <w:rPr>
                <w:rFonts w:hint="eastAsia" w:ascii="宋体" w:hAnsi="宋体" w:eastAsia="宋体" w:cs="Times New Roman"/>
                <w:kern w:val="2"/>
                <w:sz w:val="22"/>
                <w:szCs w:val="22"/>
              </w:rPr>
              <w:t>分，扣完为止。</w:t>
            </w:r>
          </w:p>
        </w:tc>
        <w:tc>
          <w:tcPr>
            <w:tcW w:w="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ascii="Times New Roman" w:hAnsi="Times New Roman" w:eastAsia="宋体" w:cs="Times New Roman"/>
                <w:kern w:val="2"/>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0" w:type="auto"/>
            <w:vMerge w:val="restart"/>
            <w:tcBorders>
              <w:top w:val="nil"/>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ascii="Times New Roman" w:hAnsi="Times New Roman" w:eastAsia="宋体" w:cs="Times New Roman"/>
                <w:kern w:val="2"/>
                <w:sz w:val="22"/>
                <w:szCs w:val="22"/>
              </w:rPr>
              <w:t>6</w:t>
            </w:r>
          </w:p>
        </w:tc>
        <w:tc>
          <w:tcPr>
            <w:tcW w:w="0" w:type="auto"/>
            <w:vMerge w:val="restart"/>
            <w:tcBorders>
              <w:top w:val="nil"/>
              <w:left w:val="single" w:color="auto" w:sz="4" w:space="0"/>
              <w:bottom w:val="single" w:color="auto" w:sz="4" w:space="0"/>
              <w:right w:val="single" w:color="auto" w:sz="4" w:space="0"/>
            </w:tcBorders>
            <w:noWrap w:val="0"/>
            <w:vAlign w:val="center"/>
          </w:tcPr>
          <w:p>
            <w:pPr>
              <w:spacing w:line="360" w:lineRule="auto"/>
              <w:jc w:val="center"/>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投标人综合实力</w:t>
            </w:r>
          </w:p>
        </w:tc>
        <w:tc>
          <w:tcPr>
            <w:tcW w:w="6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根据投标人技术综合情况等综合打分。</w:t>
            </w:r>
          </w:p>
        </w:tc>
        <w:tc>
          <w:tcPr>
            <w:tcW w:w="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ascii="Times New Roman" w:hAnsi="Times New Roman" w:eastAsia="宋体" w:cs="Times New Roman"/>
                <w:kern w:val="2"/>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宋体" w:cs="Times New Roman"/>
                <w:kern w:val="2"/>
                <w:sz w:val="22"/>
                <w:szCs w:val="22"/>
              </w:rPr>
            </w:pPr>
          </w:p>
        </w:tc>
        <w:tc>
          <w:tcPr>
            <w:tcW w:w="0" w:type="auto"/>
            <w:vMerge w:val="continue"/>
            <w:tcBorders>
              <w:top w:val="nil"/>
              <w:left w:val="single" w:color="auto" w:sz="4" w:space="0"/>
              <w:bottom w:val="single" w:color="auto" w:sz="4" w:space="0"/>
              <w:right w:val="single" w:color="auto" w:sz="4" w:space="0"/>
            </w:tcBorders>
            <w:noWrap w:val="0"/>
            <w:vAlign w:val="center"/>
          </w:tcPr>
          <w:p>
            <w:pPr>
              <w:rPr>
                <w:rFonts w:ascii="宋体" w:hAnsi="宋体" w:eastAsia="宋体" w:cs="Times New Roman"/>
                <w:kern w:val="2"/>
                <w:sz w:val="22"/>
                <w:szCs w:val="22"/>
              </w:rPr>
            </w:pPr>
          </w:p>
        </w:tc>
        <w:tc>
          <w:tcPr>
            <w:tcW w:w="6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投标人具有</w:t>
            </w:r>
            <w:r>
              <w:rPr>
                <w:rFonts w:hint="eastAsia" w:ascii="宋体" w:hAnsi="宋体" w:eastAsia="宋体" w:cs="Times New Roman"/>
                <w:kern w:val="2"/>
                <w:sz w:val="21"/>
                <w:szCs w:val="21"/>
              </w:rPr>
              <w:t>系统集成服务能力体系认证证书</w:t>
            </w:r>
            <w:r>
              <w:rPr>
                <w:rFonts w:hint="eastAsia" w:ascii="宋体" w:hAnsi="宋体" w:eastAsia="宋体" w:cs="Times New Roman"/>
                <w:kern w:val="2"/>
                <w:sz w:val="22"/>
                <w:szCs w:val="22"/>
              </w:rPr>
              <w:t>的得</w:t>
            </w:r>
            <w:r>
              <w:rPr>
                <w:rFonts w:hint="eastAsia" w:ascii="Times New Roman" w:hAnsi="Times New Roman" w:eastAsia="宋体" w:cs="Times New Roman"/>
                <w:kern w:val="2"/>
                <w:sz w:val="22"/>
                <w:szCs w:val="22"/>
              </w:rPr>
              <w:t>2</w:t>
            </w:r>
            <w:r>
              <w:rPr>
                <w:rFonts w:hint="eastAsia" w:ascii="宋体" w:hAnsi="宋体" w:eastAsia="宋体" w:cs="Times New Roman"/>
                <w:kern w:val="2"/>
                <w:sz w:val="22"/>
                <w:szCs w:val="22"/>
              </w:rPr>
              <w:t>分；具有电子与智能化工程专业二级及以上的得2分。</w:t>
            </w:r>
          </w:p>
          <w:p>
            <w:pPr>
              <w:spacing w:line="360" w:lineRule="auto"/>
              <w:textAlignment w:val="center"/>
              <w:rPr>
                <w:rFonts w:ascii="宋体" w:hAnsi="宋体" w:eastAsia="宋体" w:cs="Times New Roman"/>
                <w:kern w:val="2"/>
                <w:sz w:val="22"/>
                <w:szCs w:val="22"/>
              </w:rPr>
            </w:pPr>
            <w:r>
              <w:rPr>
                <w:rFonts w:ascii="Times New Roman" w:hAnsi="Times New Roman" w:eastAsia="宋体" w:cs="Times New Roman"/>
                <w:kern w:val="2"/>
                <w:sz w:val="22"/>
                <w:szCs w:val="22"/>
              </w:rPr>
              <w:t>(</w:t>
            </w:r>
            <w:r>
              <w:rPr>
                <w:rFonts w:hint="eastAsia" w:ascii="宋体" w:hAnsi="宋体" w:eastAsia="宋体" w:cs="Times New Roman"/>
                <w:kern w:val="2"/>
                <w:sz w:val="22"/>
                <w:szCs w:val="22"/>
              </w:rPr>
              <w:t>以上证书须提供证书复印件，不提供不得分</w:t>
            </w:r>
            <w:r>
              <w:rPr>
                <w:rFonts w:ascii="Times New Roman" w:hAnsi="Times New Roman" w:eastAsia="宋体" w:cs="Times New Roman"/>
                <w:kern w:val="2"/>
                <w:sz w:val="22"/>
                <w:szCs w:val="22"/>
              </w:rPr>
              <w:t>)</w:t>
            </w:r>
          </w:p>
        </w:tc>
        <w:tc>
          <w:tcPr>
            <w:tcW w:w="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hint="eastAsia" w:ascii="Times New Roman" w:hAnsi="Times New Roman" w:eastAsia="宋体" w:cs="Times New Roman"/>
                <w:kern w:val="2"/>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ascii="Times New Roman" w:hAnsi="Times New Roman" w:eastAsia="宋体" w:cs="Times New Roman"/>
                <w:kern w:val="2"/>
                <w:sz w:val="22"/>
                <w:szCs w:val="22"/>
              </w:rPr>
              <w:t>7</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认证证书</w:t>
            </w:r>
          </w:p>
        </w:tc>
        <w:tc>
          <w:tcPr>
            <w:tcW w:w="6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投标人通过</w:t>
            </w:r>
            <w:r>
              <w:rPr>
                <w:rFonts w:ascii="Times New Roman" w:hAnsi="Times New Roman" w:eastAsia="宋体" w:cs="Times New Roman"/>
                <w:kern w:val="2"/>
                <w:sz w:val="22"/>
                <w:szCs w:val="22"/>
              </w:rPr>
              <w:t>ISO9001</w:t>
            </w:r>
            <w:r>
              <w:rPr>
                <w:rFonts w:hint="eastAsia" w:ascii="宋体" w:hAnsi="宋体" w:eastAsia="宋体" w:cs="Times New Roman"/>
                <w:kern w:val="2"/>
                <w:sz w:val="22"/>
                <w:szCs w:val="22"/>
              </w:rPr>
              <w:t>质量管理体系认证、</w:t>
            </w:r>
            <w:r>
              <w:rPr>
                <w:rFonts w:ascii="Times New Roman" w:hAnsi="Times New Roman" w:eastAsia="宋体" w:cs="Times New Roman"/>
                <w:kern w:val="2"/>
                <w:sz w:val="22"/>
                <w:szCs w:val="22"/>
              </w:rPr>
              <w:t>ISO14001</w:t>
            </w:r>
            <w:r>
              <w:rPr>
                <w:rFonts w:hint="eastAsia" w:ascii="宋体" w:hAnsi="宋体" w:eastAsia="宋体" w:cs="Times New Roman"/>
                <w:kern w:val="2"/>
                <w:sz w:val="22"/>
                <w:szCs w:val="22"/>
              </w:rPr>
              <w:t>环境管理体系认证、</w:t>
            </w:r>
            <w:r>
              <w:rPr>
                <w:rFonts w:ascii="Times New Roman" w:hAnsi="Times New Roman" w:eastAsia="宋体" w:cs="Times New Roman"/>
                <w:kern w:val="2"/>
                <w:sz w:val="22"/>
                <w:szCs w:val="22"/>
              </w:rPr>
              <w:t>ISO27001</w:t>
            </w:r>
            <w:r>
              <w:rPr>
                <w:rFonts w:hint="eastAsia" w:ascii="宋体" w:hAnsi="宋体" w:eastAsia="宋体" w:cs="Times New Roman"/>
                <w:kern w:val="2"/>
                <w:sz w:val="22"/>
                <w:szCs w:val="22"/>
              </w:rPr>
              <w:t>信息安全管理体系的每项得</w:t>
            </w:r>
            <w:r>
              <w:rPr>
                <w:rFonts w:hint="eastAsia" w:ascii="Times New Roman" w:hAnsi="Times New Roman" w:eastAsia="宋体" w:cs="Times New Roman"/>
                <w:kern w:val="2"/>
                <w:sz w:val="22"/>
                <w:szCs w:val="22"/>
              </w:rPr>
              <w:t>1</w:t>
            </w:r>
            <w:r>
              <w:rPr>
                <w:rFonts w:hint="eastAsia" w:ascii="宋体" w:hAnsi="宋体" w:eastAsia="宋体" w:cs="Times New Roman"/>
                <w:kern w:val="2"/>
                <w:sz w:val="22"/>
                <w:szCs w:val="22"/>
              </w:rPr>
              <w:t>分，最高得3分，没有不得分。</w:t>
            </w:r>
            <w:r>
              <w:rPr>
                <w:rFonts w:ascii="Times New Roman" w:hAnsi="Times New Roman" w:eastAsia="宋体" w:cs="Times New Roman"/>
                <w:kern w:val="2"/>
                <w:sz w:val="22"/>
                <w:szCs w:val="22"/>
              </w:rPr>
              <w:t>(</w:t>
            </w:r>
            <w:r>
              <w:rPr>
                <w:rFonts w:hint="eastAsia" w:ascii="宋体" w:hAnsi="宋体" w:eastAsia="宋体" w:cs="Times New Roman"/>
                <w:kern w:val="2"/>
                <w:sz w:val="22"/>
                <w:szCs w:val="22"/>
              </w:rPr>
              <w:t>投标人名称必须与以上证书严格一致，提供有效期内证书复印件，不提供不得分</w:t>
            </w:r>
            <w:r>
              <w:rPr>
                <w:rFonts w:ascii="Times New Roman" w:hAnsi="Times New Roman" w:eastAsia="宋体" w:cs="Times New Roman"/>
                <w:kern w:val="2"/>
                <w:sz w:val="22"/>
                <w:szCs w:val="22"/>
              </w:rPr>
              <w:t>)</w:t>
            </w:r>
          </w:p>
        </w:tc>
        <w:tc>
          <w:tcPr>
            <w:tcW w:w="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hint="eastAsia" w:ascii="Times New Roman" w:hAnsi="Times New Roman" w:eastAsia="宋体" w:cs="Times New Roman"/>
                <w:kern w:val="2"/>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0" w:type="auto"/>
            <w:vMerge w:val="restart"/>
            <w:tcBorders>
              <w:top w:val="nil"/>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ascii="Times New Roman" w:hAnsi="Times New Roman" w:eastAsia="宋体" w:cs="Times New Roman"/>
                <w:kern w:val="2"/>
                <w:sz w:val="22"/>
                <w:szCs w:val="22"/>
              </w:rPr>
              <w:t>8</w:t>
            </w:r>
          </w:p>
        </w:tc>
        <w:tc>
          <w:tcPr>
            <w:tcW w:w="0" w:type="auto"/>
            <w:vMerge w:val="restart"/>
            <w:tcBorders>
              <w:top w:val="nil"/>
              <w:left w:val="single" w:color="auto" w:sz="4" w:space="0"/>
              <w:bottom w:val="single" w:color="auto" w:sz="4" w:space="0"/>
              <w:right w:val="single" w:color="auto" w:sz="4" w:space="0"/>
            </w:tcBorders>
            <w:noWrap w:val="0"/>
            <w:vAlign w:val="center"/>
          </w:tcPr>
          <w:p>
            <w:pPr>
              <w:spacing w:line="360" w:lineRule="auto"/>
              <w:jc w:val="center"/>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售后服务情况</w:t>
            </w:r>
          </w:p>
        </w:tc>
        <w:tc>
          <w:tcPr>
            <w:tcW w:w="6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售后服务计划（包括服务承诺，对用户故障的响应时间、处理、定期巡检、保障措施等情况）。方案完整、全面、可行性高的得6分，有所欠缺的每处扣1分，扣完为止。</w:t>
            </w:r>
          </w:p>
        </w:tc>
        <w:tc>
          <w:tcPr>
            <w:tcW w:w="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hint="eastAsia" w:ascii="Times New Roman" w:hAnsi="Times New Roman" w:eastAsia="宋体" w:cs="Times New Roman"/>
                <w:kern w:val="2"/>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宋体" w:cs="Times New Roman"/>
                <w:kern w:val="2"/>
                <w:sz w:val="22"/>
                <w:szCs w:val="22"/>
              </w:rPr>
            </w:pPr>
          </w:p>
        </w:tc>
        <w:tc>
          <w:tcPr>
            <w:tcW w:w="0" w:type="auto"/>
            <w:vMerge w:val="continue"/>
            <w:tcBorders>
              <w:top w:val="nil"/>
              <w:left w:val="single" w:color="auto" w:sz="4" w:space="0"/>
              <w:bottom w:val="single" w:color="auto" w:sz="4" w:space="0"/>
              <w:right w:val="single" w:color="auto" w:sz="4" w:space="0"/>
            </w:tcBorders>
            <w:noWrap w:val="0"/>
            <w:vAlign w:val="center"/>
          </w:tcPr>
          <w:p>
            <w:pPr>
              <w:rPr>
                <w:rFonts w:ascii="宋体" w:hAnsi="宋体" w:eastAsia="宋体" w:cs="Times New Roman"/>
                <w:kern w:val="2"/>
                <w:sz w:val="22"/>
                <w:szCs w:val="22"/>
              </w:rPr>
            </w:pPr>
          </w:p>
        </w:tc>
        <w:tc>
          <w:tcPr>
            <w:tcW w:w="6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为确保项目进度，投标人在项目所在地具有光纤资源的得</w:t>
            </w:r>
            <w:r>
              <w:rPr>
                <w:rFonts w:ascii="Times New Roman" w:hAnsi="Times New Roman" w:eastAsia="宋体" w:cs="Times New Roman"/>
                <w:kern w:val="2"/>
                <w:sz w:val="22"/>
                <w:szCs w:val="22"/>
              </w:rPr>
              <w:t>3</w:t>
            </w:r>
            <w:r>
              <w:rPr>
                <w:rFonts w:hint="eastAsia" w:ascii="宋体" w:hAnsi="宋体" w:eastAsia="宋体" w:cs="Times New Roman"/>
                <w:kern w:val="2"/>
                <w:sz w:val="22"/>
                <w:szCs w:val="22"/>
              </w:rPr>
              <w:t>分。</w:t>
            </w:r>
          </w:p>
          <w:p>
            <w:pPr>
              <w:spacing w:line="360" w:lineRule="auto"/>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提供相关证明材料，未提供不得分。</w:t>
            </w:r>
          </w:p>
        </w:tc>
        <w:tc>
          <w:tcPr>
            <w:tcW w:w="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ascii="Times New Roman" w:hAnsi="Times New Roman" w:eastAsia="宋体" w:cs="Times New Roman"/>
                <w:kern w:val="2"/>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ascii="Times New Roman" w:hAnsi="Times New Roman" w:eastAsia="宋体" w:cs="Times New Roman"/>
                <w:kern w:val="2"/>
                <w:sz w:val="22"/>
                <w:szCs w:val="22"/>
              </w:rPr>
              <w:t>9</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投标产品实力</w:t>
            </w:r>
          </w:p>
        </w:tc>
        <w:tc>
          <w:tcPr>
            <w:tcW w:w="6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参与过GA/T1470-2018《安全防范人脸识别应用分类》公共安全行业标准制定的得2分。</w:t>
            </w:r>
          </w:p>
          <w:p>
            <w:pPr>
              <w:spacing w:line="360" w:lineRule="auto"/>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提供证明材料，未提供不得分。</w:t>
            </w:r>
          </w:p>
        </w:tc>
        <w:tc>
          <w:tcPr>
            <w:tcW w:w="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hint="eastAsia" w:ascii="Times New Roman" w:hAnsi="Times New Roman" w:eastAsia="宋体" w:cs="Times New Roman"/>
                <w:kern w:val="2"/>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ascii="Times New Roman" w:hAnsi="Times New Roman" w:eastAsia="宋体" w:cs="Times New Roman"/>
                <w:kern w:val="2"/>
                <w:sz w:val="22"/>
                <w:szCs w:val="22"/>
              </w:rPr>
              <w:t>10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优惠及承诺</w:t>
            </w:r>
          </w:p>
        </w:tc>
        <w:tc>
          <w:tcPr>
            <w:tcW w:w="6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投标人承诺提供前端线路资源100M线路带宽的得2分。</w:t>
            </w:r>
          </w:p>
        </w:tc>
        <w:tc>
          <w:tcPr>
            <w:tcW w:w="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hint="eastAsia" w:ascii="Times New Roman" w:hAnsi="Times New Roman" w:eastAsia="宋体" w:cs="Times New Roman"/>
                <w:kern w:val="2"/>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ascii="Times New Roman" w:hAnsi="Times New Roman" w:eastAsia="宋体" w:cs="Times New Roman"/>
                <w:kern w:val="2"/>
                <w:sz w:val="22"/>
                <w:szCs w:val="22"/>
              </w:rPr>
              <w:t>11</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同类业绩</w:t>
            </w:r>
          </w:p>
        </w:tc>
        <w:tc>
          <w:tcPr>
            <w:tcW w:w="6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提供2019年1月1日以来（以合同签订时间为准）承担同类项目每项业绩得1分，最多得3分。</w:t>
            </w:r>
          </w:p>
          <w:p>
            <w:pPr>
              <w:spacing w:line="360" w:lineRule="auto"/>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投标人未按要求提供合同复印件、或提供的合同复印件字迹模糊无法辨识的，该笔业绩均不予计分。有效业绩以评标委员会集体判定为准。</w:t>
            </w:r>
          </w:p>
        </w:tc>
        <w:tc>
          <w:tcPr>
            <w:tcW w:w="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ascii="Times New Roman" w:hAnsi="Times New Roman" w:eastAsia="宋体" w:cs="Times New Roman"/>
                <w:kern w:val="2"/>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ascii="Times New Roman" w:hAnsi="Times New Roman" w:eastAsia="宋体" w:cs="Times New Roman"/>
                <w:kern w:val="2"/>
                <w:sz w:val="22"/>
                <w:szCs w:val="22"/>
              </w:rPr>
              <w:t>12</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政策分</w:t>
            </w:r>
          </w:p>
        </w:tc>
        <w:tc>
          <w:tcPr>
            <w:tcW w:w="6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textAlignment w:val="center"/>
              <w:rPr>
                <w:rFonts w:ascii="宋体" w:hAnsi="宋体" w:eastAsia="宋体" w:cs="Times New Roman"/>
                <w:kern w:val="2"/>
                <w:sz w:val="22"/>
                <w:szCs w:val="22"/>
              </w:rPr>
            </w:pPr>
            <w:r>
              <w:rPr>
                <w:rFonts w:hint="eastAsia" w:ascii="Times New Roman" w:hAnsi="Times New Roman" w:eastAsia="宋体" w:cs="Times New Roman"/>
                <w:kern w:val="2"/>
                <w:sz w:val="22"/>
                <w:szCs w:val="22"/>
              </w:rPr>
              <w:t>供应商符合《政府采购货物和服务招标投标管理办法》第五条规定，属“节约能源、保护环境、扶持不发达地区和少数民族地区等”政府采购政策扶持对象的，提供相关证明材料和政策依据，根据其重要性每符合一项得0.5-1分，最高可得2分。未提供相关证明材料的不得分。</w:t>
            </w:r>
          </w:p>
        </w:tc>
        <w:tc>
          <w:tcPr>
            <w:tcW w:w="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ascii="Times New Roman" w:hAnsi="Times New Roman" w:eastAsia="宋体" w:cs="Times New Roman"/>
                <w:kern w:val="2"/>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94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宋体" w:hAnsi="宋体" w:eastAsia="宋体" w:cs="Times New Roman"/>
                <w:kern w:val="2"/>
                <w:sz w:val="22"/>
                <w:szCs w:val="22"/>
              </w:rPr>
            </w:pPr>
            <w:r>
              <w:rPr>
                <w:rFonts w:hint="eastAsia" w:ascii="宋体" w:hAnsi="宋体" w:eastAsia="宋体" w:cs="Times New Roman"/>
                <w:kern w:val="2"/>
                <w:sz w:val="22"/>
                <w:szCs w:val="22"/>
              </w:rPr>
              <w:t>合计</w:t>
            </w:r>
          </w:p>
        </w:tc>
        <w:tc>
          <w:tcPr>
            <w:tcW w:w="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ascii="Times New Roman" w:hAnsi="Times New Roman" w:eastAsia="宋体" w:cs="Times New Roman"/>
                <w:kern w:val="2"/>
                <w:sz w:val="22"/>
                <w:szCs w:val="22"/>
              </w:rPr>
            </w:pPr>
            <w:r>
              <w:rPr>
                <w:rFonts w:ascii="Times New Roman" w:hAnsi="Times New Roman" w:eastAsia="宋体" w:cs="Times New Roman"/>
                <w:kern w:val="2"/>
                <w:sz w:val="22"/>
                <w:szCs w:val="22"/>
              </w:rPr>
              <w:t>70</w:t>
            </w:r>
          </w:p>
        </w:tc>
      </w:tr>
    </w:tbl>
    <w:p>
      <w:pPr>
        <w:pStyle w:val="42"/>
        <w:ind w:left="480" w:firstLine="480"/>
        <w:rPr>
          <w:rFonts w:hint="eastAsia"/>
        </w:rPr>
      </w:pPr>
    </w:p>
    <w:p>
      <w:pPr>
        <w:pStyle w:val="39"/>
        <w:widowControl w:val="0"/>
        <w:adjustRightInd w:val="0"/>
        <w:snapToGrid w:val="0"/>
        <w:spacing w:before="0" w:beforeAutospacing="0" w:after="0" w:afterAutospacing="0" w:line="360" w:lineRule="auto"/>
        <w:ind w:firstLine="470" w:firstLineChars="196"/>
        <w:rPr>
          <w:rFonts w:hint="default" w:ascii="Times New Roman" w:hAnsi="Times New Roman"/>
        </w:rPr>
      </w:pPr>
      <w:r>
        <w:rPr>
          <w:rFonts w:hint="default" w:ascii="Times New Roman" w:hAnsi="Times New Roman"/>
        </w:rPr>
        <w:t xml:space="preserve">2.价格评审：有效投标报价的最低价作为评标基准价，其最低报价为满分，其余各投标人价格得分的计算公式为：（评标基准价÷各投标人的有效报价）×30分。 </w:t>
      </w:r>
    </w:p>
    <w:p>
      <w:pPr>
        <w:widowControl w:val="0"/>
        <w:adjustRightInd w:val="0"/>
        <w:snapToGrid w:val="0"/>
        <w:spacing w:line="360" w:lineRule="auto"/>
        <w:ind w:firstLine="361" w:firstLineChars="150"/>
        <w:rPr>
          <w:b/>
        </w:rPr>
      </w:pPr>
      <w:r>
        <w:rPr>
          <w:b/>
        </w:rPr>
        <w:t>注：根据相关扶持政策的规定，对符合相关要求的有效投标人，给予小型和微型企业产品</w:t>
      </w:r>
      <w:r>
        <w:rPr>
          <w:rFonts w:hint="eastAsia"/>
          <w:b/>
        </w:rPr>
        <w:t>2</w:t>
      </w:r>
      <w:r>
        <w:rPr>
          <w:b/>
        </w:rPr>
        <w:t>0%的价格扣除，以调整后的价格计算评标基准价和投标报价。</w:t>
      </w:r>
    </w:p>
    <w:p>
      <w:pPr>
        <w:widowControl w:val="0"/>
        <w:adjustRightInd w:val="0"/>
        <w:snapToGrid w:val="0"/>
        <w:spacing w:line="360" w:lineRule="auto"/>
        <w:ind w:firstLine="361" w:firstLineChars="150"/>
        <w:rPr>
          <w:b/>
        </w:rPr>
      </w:pPr>
      <w:r>
        <w:rPr>
          <w:b/>
        </w:rPr>
        <w:t>小型和微型企业评标价格＝符合小微企业的报价×(1-</w:t>
      </w:r>
      <w:r>
        <w:rPr>
          <w:rFonts w:hint="eastAsia"/>
          <w:b/>
        </w:rPr>
        <w:t>2</w:t>
      </w:r>
      <w:r>
        <w:rPr>
          <w:b/>
        </w:rPr>
        <w:t>0%)</w:t>
      </w:r>
    </w:p>
    <w:p>
      <w:pPr>
        <w:widowControl w:val="0"/>
        <w:adjustRightInd w:val="0"/>
        <w:snapToGrid w:val="0"/>
        <w:spacing w:line="360" w:lineRule="auto"/>
        <w:ind w:firstLine="480" w:firstLineChars="200"/>
      </w:pPr>
      <w:r>
        <w:t>3.总分计算（满分为100分）</w:t>
      </w:r>
    </w:p>
    <w:p>
      <w:pPr>
        <w:widowControl w:val="0"/>
        <w:adjustRightInd w:val="0"/>
        <w:snapToGrid w:val="0"/>
        <w:spacing w:line="360" w:lineRule="auto"/>
        <w:ind w:firstLine="480" w:firstLineChars="200"/>
      </w:pPr>
      <w:r>
        <w:t>投标人的最终得分=</w:t>
      </w:r>
      <w:r>
        <w:rPr>
          <w:rFonts w:hint="eastAsia"/>
        </w:rPr>
        <w:t>商务</w:t>
      </w:r>
      <w:r>
        <w:t>技术得分+价格得分</w:t>
      </w:r>
    </w:p>
    <w:p>
      <w:pPr>
        <w:widowControl w:val="0"/>
        <w:adjustRightInd w:val="0"/>
        <w:snapToGrid w:val="0"/>
        <w:spacing w:line="360" w:lineRule="auto"/>
        <w:ind w:firstLine="435"/>
        <w:jc w:val="both"/>
        <w:rPr>
          <w:b/>
          <w:bCs/>
        </w:rPr>
      </w:pPr>
      <w:r>
        <w:rPr>
          <w:b/>
          <w:bCs/>
        </w:rPr>
        <w:t>三、评标程序</w:t>
      </w:r>
    </w:p>
    <w:p>
      <w:pPr>
        <w:spacing w:line="360" w:lineRule="auto"/>
        <w:ind w:firstLine="472" w:firstLineChars="196"/>
      </w:pPr>
      <w:r>
        <w:rPr>
          <w:b/>
        </w:rPr>
        <w:t>1.符合性审查。</w:t>
      </w:r>
      <w: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pPr>
      <w:r>
        <w:rPr>
          <w:b/>
        </w:rPr>
        <w:t>2.比较与评价。</w:t>
      </w:r>
      <w:r>
        <w:t>评标委员会应当按照招标文件中规定的评标方法和标准，对符合性审查合格的投标文件进行商务技术评估，综合比较与评价。</w:t>
      </w:r>
    </w:p>
    <w:p>
      <w:pPr>
        <w:widowControl w:val="0"/>
        <w:adjustRightInd w:val="0"/>
        <w:snapToGrid w:val="0"/>
        <w:spacing w:line="360" w:lineRule="auto"/>
        <w:ind w:firstLine="435"/>
        <w:jc w:val="both"/>
      </w:pPr>
      <w:r>
        <w:rPr>
          <w:b/>
          <w:bCs/>
        </w:rPr>
        <w:t>3.投标人澄清、说明或者补正。</w:t>
      </w:r>
      <w: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对投标文件中含义不明确、同类问题表述不一致或者有明显文字和计算错误的内容，评标委员会可要求投标人作出必要的澄清说明。投标人的澄清说明应当在政采云端口进行，内容不得超出投标文件的范围或者改变投标文件的实质性内容。</w:t>
      </w:r>
    </w:p>
    <w:p>
      <w:pPr>
        <w:spacing w:line="360" w:lineRule="auto"/>
        <w:ind w:firstLine="472" w:firstLineChars="196"/>
      </w:pPr>
      <w:r>
        <w:rPr>
          <w:b/>
        </w:rPr>
        <w:t>4.汇总商务技术得分。</w:t>
      </w:r>
      <w:r>
        <w:t>评标委员会各成员应当独立对每个投标人的商务技术文件进行评价，并汇总商务技术得分情况。</w:t>
      </w:r>
    </w:p>
    <w:p>
      <w:pPr>
        <w:widowControl w:val="0"/>
        <w:adjustRightInd w:val="0"/>
        <w:snapToGrid w:val="0"/>
        <w:spacing w:line="360" w:lineRule="auto"/>
        <w:ind w:firstLine="435"/>
        <w:jc w:val="both"/>
        <w:rPr>
          <w:b/>
          <w:bCs/>
        </w:rPr>
      </w:pPr>
      <w:r>
        <w:rPr>
          <w:b/>
          <w:bCs/>
        </w:rPr>
        <w:t>5.错误修正</w:t>
      </w:r>
    </w:p>
    <w:p>
      <w:pPr>
        <w:widowControl w:val="0"/>
        <w:adjustRightInd w:val="0"/>
        <w:snapToGrid w:val="0"/>
        <w:spacing w:line="360" w:lineRule="auto"/>
        <w:ind w:firstLine="435"/>
        <w:jc w:val="both"/>
      </w:pPr>
      <w:r>
        <w:t>报价文件如果出现计算或表达上的错误，修正错误的原则如下：</w:t>
      </w:r>
    </w:p>
    <w:p>
      <w:pPr>
        <w:widowControl w:val="0"/>
        <w:adjustRightInd w:val="0"/>
        <w:snapToGrid w:val="0"/>
        <w:spacing w:line="360" w:lineRule="auto"/>
        <w:ind w:firstLine="435"/>
        <w:jc w:val="both"/>
      </w:pPr>
      <w:bookmarkStart w:id="56" w:name="_Hlk92876645"/>
      <w:r>
        <w:t>5.1电子交易平台中“开标一览表”与投标人上传报价文件中“开标一览表”不一致的，以投标人上传报价文件的“开标一览表”为准。</w:t>
      </w:r>
    </w:p>
    <w:p>
      <w:pPr>
        <w:widowControl w:val="0"/>
        <w:adjustRightInd w:val="0"/>
        <w:snapToGrid w:val="0"/>
        <w:spacing w:line="360" w:lineRule="auto"/>
        <w:ind w:firstLine="435"/>
        <w:jc w:val="both"/>
      </w:pPr>
      <w:r>
        <w:t>5.2投标文件中开标一览表（报价表）内容与投标文件中相应内容不一致的，以开标一览表（报价表）为准；</w:t>
      </w:r>
    </w:p>
    <w:p>
      <w:pPr>
        <w:widowControl w:val="0"/>
        <w:adjustRightInd w:val="0"/>
        <w:snapToGrid w:val="0"/>
        <w:spacing w:line="360" w:lineRule="auto"/>
        <w:ind w:firstLine="435"/>
        <w:jc w:val="both"/>
      </w:pPr>
      <w:r>
        <w:t>5.3大写金额和小写金额不一致的，以大写金额为准；</w:t>
      </w:r>
    </w:p>
    <w:p>
      <w:pPr>
        <w:widowControl w:val="0"/>
        <w:adjustRightInd w:val="0"/>
        <w:snapToGrid w:val="0"/>
        <w:spacing w:line="360" w:lineRule="auto"/>
        <w:ind w:firstLine="435"/>
        <w:jc w:val="both"/>
      </w:pPr>
      <w:r>
        <w:t>5.4单价金额小数点或者百分比有明显错位的，以报价一览表的总价为准，并修改单价；</w:t>
      </w:r>
    </w:p>
    <w:p>
      <w:pPr>
        <w:widowControl w:val="0"/>
        <w:adjustRightInd w:val="0"/>
        <w:snapToGrid w:val="0"/>
        <w:spacing w:line="360" w:lineRule="auto"/>
        <w:ind w:firstLine="435"/>
        <w:jc w:val="both"/>
      </w:pPr>
      <w:r>
        <w:t>5.5总价金额与按单价汇总金额不一致的，以单价金额计算结果为准。</w:t>
      </w:r>
    </w:p>
    <w:bookmarkEnd w:id="56"/>
    <w:p>
      <w:pPr>
        <w:pStyle w:val="120"/>
        <w:spacing w:before="0"/>
        <w:ind w:firstLine="482"/>
        <w:rPr>
          <w:b/>
          <w:bCs/>
        </w:rPr>
      </w:pPr>
      <w:r>
        <w:rPr>
          <w:b/>
          <w:bCs/>
        </w:rPr>
        <w:t>同时出现两种以上不一致的，按照顺序修正，修正后的报价按照财政部第87号令 《政府采购货物和服务招标投标管理办法》第五十一条第二款的规定经投标人确认后产生约束力。</w:t>
      </w:r>
    </w:p>
    <w:p>
      <w:pPr>
        <w:widowControl w:val="0"/>
        <w:adjustRightInd w:val="0"/>
        <w:snapToGrid w:val="0"/>
        <w:spacing w:line="360" w:lineRule="auto"/>
        <w:ind w:firstLine="435"/>
        <w:jc w:val="both"/>
        <w:rPr>
          <w:kern w:val="2"/>
        </w:rPr>
      </w:pPr>
      <w:r>
        <w:rPr>
          <w:b/>
          <w:bCs/>
        </w:rPr>
        <w:t>6.</w:t>
      </w:r>
      <w:r>
        <w:rPr>
          <w:b/>
        </w:rPr>
        <w:t>排序与推荐。</w:t>
      </w:r>
      <w:r>
        <w:t>采用综合评分法的，评标结果按评审后得分由高到低顺序排列。如出现得分相同的，则按投标报价由低到高顺序排列；得分且投标报价相同的并列，</w:t>
      </w:r>
      <w:r>
        <w:rPr>
          <w:rFonts w:hint="eastAsia"/>
        </w:rPr>
        <w:t>由</w:t>
      </w:r>
      <w:r>
        <w:t>评标委员会采取抽签方式确定排序。</w:t>
      </w:r>
    </w:p>
    <w:p>
      <w:pPr>
        <w:spacing w:line="360" w:lineRule="auto"/>
        <w:ind w:firstLine="472" w:firstLineChars="196"/>
      </w:pPr>
      <w:r>
        <w:rPr>
          <w:b/>
        </w:rPr>
        <w:t>7.编写评标报告。</w:t>
      </w:r>
      <w: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2"/>
        <w:spacing w:before="120" w:after="240" w:line="240" w:lineRule="auto"/>
        <w:jc w:val="center"/>
        <w:rPr>
          <w:rFonts w:ascii="宋体" w:hAnsi="宋体"/>
        </w:rPr>
        <w:sectPr>
          <w:pgSz w:w="11906" w:h="16838"/>
          <w:pgMar w:top="1259" w:right="1287" w:bottom="1361" w:left="1622" w:header="709" w:footer="971" w:gutter="0"/>
          <w:cols w:space="720" w:num="1"/>
          <w:docGrid w:linePitch="360" w:charSpace="0"/>
        </w:sectPr>
      </w:pPr>
      <w:bookmarkStart w:id="57" w:name="_Toc39239708"/>
    </w:p>
    <w:p>
      <w:pPr>
        <w:pStyle w:val="2"/>
        <w:spacing w:before="120" w:after="240" w:line="240" w:lineRule="auto"/>
        <w:jc w:val="center"/>
        <w:rPr>
          <w:rFonts w:hint="eastAsia" w:ascii="宋体" w:hAnsi="宋体"/>
        </w:rPr>
      </w:pPr>
      <w:bookmarkStart w:id="58" w:name="_Toc93668164"/>
      <w:r>
        <w:rPr>
          <w:rFonts w:ascii="宋体" w:hAnsi="宋体"/>
        </w:rPr>
        <w:t xml:space="preserve">第六章  </w:t>
      </w:r>
      <w:bookmarkEnd w:id="57"/>
      <w:bookmarkStart w:id="59" w:name="_Toc39239709"/>
      <w:r>
        <w:rPr>
          <w:rFonts w:ascii="宋体" w:hAnsi="宋体"/>
        </w:rPr>
        <w:t>合同</w:t>
      </w:r>
      <w:r>
        <w:rPr>
          <w:rFonts w:hint="eastAsia" w:ascii="宋体" w:hAnsi="宋体"/>
        </w:rPr>
        <w:t>范本</w:t>
      </w:r>
      <w:bookmarkEnd w:id="58"/>
    </w:p>
    <w:p>
      <w:pPr>
        <w:widowControl w:val="0"/>
        <w:adjustRightInd w:val="0"/>
        <w:snapToGrid w:val="0"/>
        <w:spacing w:after="60" w:line="360" w:lineRule="auto"/>
        <w:rPr>
          <w:rFonts w:ascii="宋体" w:hAnsi="宋体"/>
          <w:b/>
          <w:szCs w:val="22"/>
        </w:rPr>
      </w:pPr>
      <w:r>
        <w:rPr>
          <w:rFonts w:hint="eastAsia" w:ascii="宋体" w:hAnsi="宋体"/>
          <w:b/>
          <w:szCs w:val="22"/>
        </w:rPr>
        <w:t>本合同为样稿，最终稿由甲乙双方协商后确定，但不允许偏离招投标文件。中标人须将合同电子版交由采购代理机构审核（邮件发送至j</w:t>
      </w:r>
      <w:r>
        <w:rPr>
          <w:rFonts w:ascii="宋体" w:hAnsi="宋体"/>
          <w:b/>
          <w:szCs w:val="22"/>
        </w:rPr>
        <w:t>hygzb@qq.com</w:t>
      </w:r>
      <w:r>
        <w:rPr>
          <w:rFonts w:hint="eastAsia" w:ascii="宋体" w:hAnsi="宋体"/>
          <w:b/>
          <w:szCs w:val="22"/>
        </w:rPr>
        <w:t>），审核后的合同经甲乙双方盖章签字后送至采购代理机构盖章备案。</w:t>
      </w:r>
    </w:p>
    <w:p>
      <w:pPr>
        <w:pStyle w:val="42"/>
        <w:ind w:left="0" w:leftChars="0" w:firstLine="0" w:firstLineChars="0"/>
        <w:jc w:val="center"/>
        <w:rPr>
          <w:rFonts w:hint="eastAsia"/>
          <w:sz w:val="32"/>
          <w:szCs w:val="32"/>
        </w:rPr>
      </w:pPr>
      <w:bookmarkStart w:id="60" w:name="_Hlk94003826"/>
      <w:r>
        <w:rPr>
          <w:rFonts w:hint="eastAsia"/>
          <w:sz w:val="32"/>
          <w:szCs w:val="32"/>
        </w:rPr>
        <w:t>X</w:t>
      </w:r>
      <w:r>
        <w:rPr>
          <w:sz w:val="32"/>
          <w:szCs w:val="32"/>
        </w:rPr>
        <w:t>XXX</w:t>
      </w:r>
      <w:r>
        <w:rPr>
          <w:rFonts w:hint="eastAsia"/>
          <w:sz w:val="32"/>
          <w:szCs w:val="32"/>
        </w:rPr>
        <w:t>项目采购合同</w:t>
      </w:r>
    </w:p>
    <w:bookmarkEnd w:id="60"/>
    <w:p>
      <w:pPr>
        <w:widowControl w:val="0"/>
        <w:adjustRightInd w:val="0"/>
        <w:snapToGrid w:val="0"/>
        <w:spacing w:line="360" w:lineRule="auto"/>
        <w:ind w:firstLine="480" w:firstLineChars="200"/>
      </w:pPr>
      <w:r>
        <w:t xml:space="preserve">项目名称：                                       </w:t>
      </w:r>
    </w:p>
    <w:p>
      <w:pPr>
        <w:widowControl w:val="0"/>
        <w:adjustRightInd w:val="0"/>
        <w:snapToGrid w:val="0"/>
        <w:spacing w:line="360" w:lineRule="auto"/>
        <w:ind w:firstLine="480" w:firstLineChars="200"/>
      </w:pPr>
      <w:r>
        <w:t>项目编号：</w:t>
      </w:r>
    </w:p>
    <w:p>
      <w:pPr>
        <w:widowControl w:val="0"/>
        <w:adjustRightInd w:val="0"/>
        <w:snapToGrid w:val="0"/>
        <w:spacing w:line="360" w:lineRule="auto"/>
        <w:ind w:firstLine="480" w:firstLineChars="200"/>
      </w:pPr>
      <w:r>
        <w:t>甲方：（采购人）</w:t>
      </w:r>
    </w:p>
    <w:p>
      <w:pPr>
        <w:widowControl w:val="0"/>
        <w:adjustRightInd w:val="0"/>
        <w:snapToGrid w:val="0"/>
        <w:spacing w:line="360" w:lineRule="auto"/>
        <w:ind w:firstLine="480" w:firstLineChars="200"/>
      </w:pPr>
      <w:r>
        <w:t>乙方：（中标人）</w:t>
      </w:r>
    </w:p>
    <w:p>
      <w:pPr>
        <w:widowControl w:val="0"/>
        <w:adjustRightInd w:val="0"/>
        <w:snapToGrid w:val="0"/>
        <w:spacing w:line="360" w:lineRule="auto"/>
        <w:ind w:firstLine="480" w:firstLineChars="200"/>
      </w:pPr>
      <w:r>
        <w:t>甲方以</w:t>
      </w:r>
      <w:r>
        <w:rPr>
          <w:u w:val="single"/>
        </w:rPr>
        <w:t xml:space="preserve">         </w:t>
      </w:r>
      <w:r>
        <w:t>的方式确定乙方为</w:t>
      </w:r>
      <w:r>
        <w:rPr>
          <w:u w:val="single"/>
        </w:rPr>
        <w:t xml:space="preserve">                                  </w:t>
      </w:r>
      <w:r>
        <w:t>项目的中标人，根据</w:t>
      </w:r>
      <w:r>
        <w:rPr>
          <w:rFonts w:hint="eastAsia"/>
        </w:rPr>
        <w:t>招标</w:t>
      </w:r>
      <w:r>
        <w:t>文件、</w:t>
      </w:r>
      <w:r>
        <w:rPr>
          <w:rFonts w:hint="eastAsia"/>
        </w:rPr>
        <w:t>投标</w:t>
      </w:r>
      <w:r>
        <w:t>文件，依据《中华人民共和国政府采购法》和《中华人民共和国民法典》及有关法规，结合项目实际，经双方协商，签订本合同。</w:t>
      </w:r>
    </w:p>
    <w:p>
      <w:pPr>
        <w:widowControl w:val="0"/>
        <w:spacing w:line="360" w:lineRule="auto"/>
        <w:ind w:firstLine="537" w:firstLineChars="224"/>
        <w:jc w:val="both"/>
      </w:pPr>
      <w:r>
        <w:t>一</w:t>
      </w:r>
      <w:r>
        <w:rPr>
          <w:rFonts w:hint="eastAsia"/>
        </w:rPr>
        <w:t>、合同标的</w:t>
      </w:r>
      <w:r>
        <w:t>：</w:t>
      </w:r>
    </w:p>
    <w:p>
      <w:pPr>
        <w:widowControl w:val="0"/>
        <w:spacing w:line="360" w:lineRule="auto"/>
        <w:ind w:firstLine="537" w:firstLineChars="224"/>
        <w:jc w:val="both"/>
      </w:pPr>
      <w:r>
        <w:rPr>
          <w:rFonts w:hint="eastAsia"/>
        </w:rPr>
        <w:t>1</w:t>
      </w:r>
      <w:r>
        <w:t>.</w:t>
      </w:r>
      <w:r>
        <w:rPr>
          <w:rFonts w:hint="eastAsia"/>
        </w:rPr>
        <w:t>服务名称：……</w:t>
      </w:r>
    </w:p>
    <w:p>
      <w:pPr>
        <w:widowControl w:val="0"/>
        <w:spacing w:line="360" w:lineRule="auto"/>
        <w:ind w:firstLine="537" w:firstLineChars="224"/>
        <w:jc w:val="both"/>
      </w:pPr>
      <w:r>
        <w:rPr>
          <w:rFonts w:hint="eastAsia"/>
        </w:rPr>
        <w:t>2</w:t>
      </w:r>
      <w:r>
        <w:t>.</w:t>
      </w:r>
      <w:r>
        <w:rPr>
          <w:rFonts w:hint="eastAsia"/>
        </w:rPr>
        <w:t>服务内容：……</w:t>
      </w:r>
    </w:p>
    <w:p>
      <w:pPr>
        <w:widowControl w:val="0"/>
        <w:spacing w:line="360" w:lineRule="auto"/>
        <w:ind w:firstLine="537" w:firstLineChars="224"/>
        <w:jc w:val="both"/>
      </w:pPr>
      <w:r>
        <w:rPr>
          <w:rFonts w:hint="eastAsia"/>
        </w:rPr>
        <w:t>3</w:t>
      </w:r>
      <w:r>
        <w:t>.</w:t>
      </w:r>
      <w:r>
        <w:rPr>
          <w:rFonts w:hint="eastAsia"/>
        </w:rPr>
        <w:t>技术标准：……</w:t>
      </w:r>
    </w:p>
    <w:p>
      <w:pPr>
        <w:widowControl w:val="0"/>
        <w:spacing w:line="360" w:lineRule="auto"/>
        <w:ind w:firstLine="537" w:firstLineChars="224"/>
        <w:jc w:val="both"/>
      </w:pPr>
      <w:r>
        <w:t>二</w:t>
      </w:r>
      <w:r>
        <w:rPr>
          <w:rFonts w:hint="eastAsia"/>
        </w:rPr>
        <w:t>、</w:t>
      </w:r>
      <w:r>
        <w:t>合同金额：本合同金额为（大写）：人民币__________元（￥______元）。</w:t>
      </w:r>
    </w:p>
    <w:p>
      <w:pPr>
        <w:widowControl w:val="0"/>
        <w:spacing w:line="360" w:lineRule="auto"/>
        <w:ind w:firstLine="537" w:firstLineChars="224"/>
        <w:jc w:val="both"/>
        <w:rPr>
          <w:rFonts w:hint="eastAsia"/>
        </w:rPr>
      </w:pPr>
      <w:r>
        <w:t>三</w:t>
      </w:r>
      <w:r>
        <w:rPr>
          <w:rFonts w:hint="eastAsia"/>
        </w:rPr>
        <w:t>、服务（交付）时间：</w:t>
      </w:r>
    </w:p>
    <w:p>
      <w:pPr>
        <w:widowControl w:val="0"/>
        <w:spacing w:line="360" w:lineRule="auto"/>
        <w:ind w:firstLine="537" w:firstLineChars="224"/>
        <w:jc w:val="both"/>
        <w:rPr>
          <w:rFonts w:hint="eastAsia"/>
        </w:rPr>
      </w:pPr>
      <w:r>
        <w:rPr>
          <w:rFonts w:hint="eastAsia"/>
        </w:rPr>
        <w:t>四、</w:t>
      </w:r>
      <w:r>
        <w:t>履约保证金</w:t>
      </w:r>
      <w:r>
        <w:rPr>
          <w:rFonts w:hint="eastAsia"/>
        </w:rPr>
        <w:t>：（</w:t>
      </w:r>
      <w:r>
        <w:t>根据招标文件要求填写</w:t>
      </w:r>
      <w:r>
        <w:rPr>
          <w:rFonts w:hint="eastAsia"/>
        </w:rPr>
        <w:t>）</w:t>
      </w:r>
    </w:p>
    <w:p>
      <w:pPr>
        <w:widowControl w:val="0"/>
        <w:spacing w:line="360" w:lineRule="auto"/>
        <w:ind w:firstLine="537" w:firstLineChars="224"/>
        <w:jc w:val="both"/>
      </w:pPr>
      <w:r>
        <w:rPr>
          <w:rFonts w:hint="eastAsia"/>
        </w:rPr>
        <w:t>五、</w:t>
      </w:r>
      <w:r>
        <w:t>转包或分包</w:t>
      </w:r>
    </w:p>
    <w:p>
      <w:pPr>
        <w:widowControl w:val="0"/>
        <w:spacing w:line="360" w:lineRule="auto"/>
        <w:ind w:firstLine="537" w:firstLineChars="224"/>
        <w:jc w:val="both"/>
      </w:pPr>
      <w:r>
        <w:t>1.本合同范围的服务，应由乙方直接供应，不得转让他人供应；</w:t>
      </w:r>
    </w:p>
    <w:p>
      <w:pPr>
        <w:widowControl w:val="0"/>
        <w:spacing w:line="360" w:lineRule="auto"/>
        <w:ind w:firstLine="537" w:firstLineChars="224"/>
        <w:jc w:val="both"/>
      </w:pPr>
      <w:r>
        <w:t>2.如有转让和未经甲方同意的分包行为，甲方有权解除合同，没收履约保证金并追究乙方的违约责任。</w:t>
      </w:r>
    </w:p>
    <w:p>
      <w:pPr>
        <w:widowControl w:val="0"/>
        <w:spacing w:line="360" w:lineRule="auto"/>
        <w:ind w:firstLine="537" w:firstLineChars="224"/>
        <w:jc w:val="both"/>
      </w:pPr>
      <w:r>
        <w:rPr>
          <w:rFonts w:hint="eastAsia"/>
        </w:rPr>
        <w:t>六、</w:t>
      </w:r>
      <w:r>
        <w:t>付款方式：</w:t>
      </w:r>
    </w:p>
    <w:p>
      <w:pPr>
        <w:widowControl w:val="0"/>
        <w:adjustRightInd w:val="0"/>
        <w:snapToGrid w:val="0"/>
        <w:spacing w:after="60" w:line="360" w:lineRule="auto"/>
        <w:ind w:firstLine="480" w:firstLineChars="200"/>
      </w:pPr>
      <w:r>
        <w:rPr>
          <w:rFonts w:ascii="Segoe UI Symbol" w:hAnsi="Segoe UI Symbol" w:cs="Segoe UI Symbol"/>
        </w:rPr>
        <w:t>☐</w:t>
      </w:r>
      <w:r>
        <w:rPr>
          <w:rFonts w:hint="eastAsia" w:ascii="Segoe UI Symbol" w:hAnsi="Segoe UI Symbol" w:cs="Segoe UI Symbol"/>
        </w:rPr>
        <w:t xml:space="preserve">不需要预付款，…… </w:t>
      </w:r>
      <w:r>
        <w:rPr>
          <w:rFonts w:ascii="Segoe UI Symbol" w:hAnsi="Segoe UI Symbol" w:cs="Segoe UI Symbol"/>
        </w:rPr>
        <w:t xml:space="preserve">  </w:t>
      </w:r>
    </w:p>
    <w:p>
      <w:pPr>
        <w:widowControl w:val="0"/>
        <w:adjustRightInd w:val="0"/>
        <w:snapToGrid w:val="0"/>
        <w:spacing w:after="60" w:line="360" w:lineRule="auto"/>
        <w:ind w:firstLine="480" w:firstLineChars="200"/>
        <w:rPr>
          <w:rFonts w:hint="eastAsia" w:ascii="Segoe UI Symbol" w:hAnsi="Segoe UI Symbol" w:cs="Segoe UI Symbol"/>
        </w:rPr>
      </w:pPr>
      <w:r>
        <w:rPr>
          <w:rFonts w:ascii="Segoe UI Symbol" w:hAnsi="Segoe UI Symbol" w:cs="Segoe UI Symbol"/>
        </w:rPr>
        <w:t>☐</w:t>
      </w:r>
      <w:r>
        <w:rPr>
          <w:rFonts w:hint="eastAsia" w:ascii="Segoe UI Symbol" w:hAnsi="Segoe UI Symbol" w:cs="Segoe UI Symbol"/>
        </w:rPr>
        <w:t>需要预付款，……</w:t>
      </w:r>
    </w:p>
    <w:p>
      <w:pPr>
        <w:widowControl w:val="0"/>
        <w:spacing w:line="360" w:lineRule="auto"/>
        <w:ind w:firstLine="537" w:firstLineChars="224"/>
        <w:jc w:val="both"/>
      </w:pPr>
      <w:r>
        <w:rPr>
          <w:rFonts w:hint="eastAsia"/>
        </w:rPr>
        <w:t>七、</w:t>
      </w:r>
      <w:r>
        <w:t>税费：本合同执行中相关的一切税费均由乙方负担。</w:t>
      </w:r>
    </w:p>
    <w:p>
      <w:pPr>
        <w:widowControl w:val="0"/>
        <w:spacing w:line="360" w:lineRule="auto"/>
        <w:ind w:firstLine="537" w:firstLineChars="224"/>
        <w:jc w:val="both"/>
      </w:pPr>
      <w:r>
        <w:rPr>
          <w:rFonts w:hint="eastAsia"/>
        </w:rPr>
        <w:t>八、交付验收</w:t>
      </w:r>
    </w:p>
    <w:p>
      <w:pPr>
        <w:widowControl w:val="0"/>
        <w:spacing w:line="360" w:lineRule="auto"/>
        <w:ind w:firstLine="537" w:firstLineChars="224"/>
        <w:jc w:val="both"/>
        <w:rPr>
          <w:rFonts w:hint="eastAsia"/>
        </w:rPr>
      </w:pPr>
      <w:r>
        <w:rPr>
          <w:rFonts w:hint="eastAsia"/>
        </w:rPr>
        <w:t>1</w:t>
      </w:r>
      <w:r>
        <w:t>.</w:t>
      </w:r>
      <w:r>
        <w:rPr>
          <w:rFonts w:hint="eastAsia"/>
        </w:rPr>
        <w:t>乙方应对提交的服务成果作出全面检查和整理，并列出清单，作为甲方验收和使用技术条件依据，清单应随提交的服务成果交给甲方。甲方应当根据招标文件内容、国家、行业验收标准，对服务成果进行详细而全面的验收。验收不合格的甲方有权限根据验收结果要求乙方立即更换或者提出索赔要求。验收合格后，由甲方组成的验收小组签署验收报告，作为付款凭据之一。</w:t>
      </w:r>
    </w:p>
    <w:p>
      <w:pPr>
        <w:widowControl w:val="0"/>
        <w:spacing w:line="360" w:lineRule="auto"/>
        <w:ind w:firstLine="537" w:firstLineChars="224"/>
        <w:jc w:val="both"/>
      </w:pPr>
      <w:r>
        <w:rPr>
          <w:rFonts w:hint="eastAsia"/>
        </w:rPr>
        <w:t>2</w:t>
      </w:r>
      <w:r>
        <w:t>.大型或者复杂的政府采购项目，应当邀请国家认可的质量检测机构参加验收工作。验收方成员应当在验收书上签字，并承担相应的法律责任。如果发现与合同中要求不符，</w:t>
      </w:r>
      <w:r>
        <w:rPr>
          <w:rFonts w:hint="eastAsia"/>
        </w:rPr>
        <w:t>乙方</w:t>
      </w:r>
      <w:r>
        <w:t>须承担由此发生的一切损失和费用，并接受相应的处理。</w:t>
      </w:r>
    </w:p>
    <w:p>
      <w:pPr>
        <w:widowControl w:val="0"/>
        <w:adjustRightInd w:val="0"/>
        <w:snapToGrid w:val="0"/>
        <w:spacing w:line="360" w:lineRule="auto"/>
        <w:ind w:firstLine="537" w:firstLineChars="224"/>
      </w:pPr>
      <w:r>
        <w:rPr>
          <w:rFonts w:hint="eastAsia"/>
        </w:rPr>
        <w:t>3</w:t>
      </w:r>
      <w:r>
        <w:t>.</w:t>
      </w:r>
      <w:r>
        <w:rPr>
          <w:rFonts w:hint="eastAsia"/>
        </w:rPr>
        <w:t>甲方</w:t>
      </w:r>
      <w:r>
        <w:t>可以邀请参加本项目的其他投标人或者第三方机构参与验收。参与验收的投标人或者第三方机构的意见作为验收书的参考资料一并存档。</w:t>
      </w:r>
    </w:p>
    <w:p>
      <w:pPr>
        <w:widowControl w:val="0"/>
        <w:adjustRightInd w:val="0"/>
        <w:snapToGrid w:val="0"/>
        <w:spacing w:line="360" w:lineRule="auto"/>
        <w:ind w:firstLine="537" w:firstLineChars="224"/>
      </w:pPr>
      <w:r>
        <w:rPr>
          <w:rFonts w:hint="eastAsia"/>
        </w:rPr>
        <w:t>4</w:t>
      </w:r>
      <w:r>
        <w:t>.严格按照采购合同开展履约验收。</w:t>
      </w:r>
      <w:r>
        <w:rPr>
          <w:rFonts w:hint="eastAsia"/>
        </w:rPr>
        <w:t>甲方</w:t>
      </w:r>
      <w:r>
        <w:t>成立验收小组，按照采购合同的约定对</w:t>
      </w:r>
      <w:r>
        <w:rPr>
          <w:rFonts w:hint="eastAsia"/>
        </w:rPr>
        <w:t>乙方</w:t>
      </w:r>
      <w: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adjustRightInd w:val="0"/>
        <w:snapToGrid w:val="0"/>
        <w:spacing w:line="360" w:lineRule="auto"/>
        <w:ind w:firstLine="537" w:firstLineChars="224"/>
      </w:pPr>
      <w:r>
        <w:rPr>
          <w:rFonts w:hint="eastAsia"/>
        </w:rPr>
        <w:t>5</w:t>
      </w:r>
      <w:r>
        <w:t>.验收合格的项目，</w:t>
      </w:r>
      <w:r>
        <w:rPr>
          <w:rFonts w:hint="eastAsia"/>
        </w:rPr>
        <w:t>甲方</w:t>
      </w:r>
      <w:r>
        <w:t>将根据采购合同的约定及时向</w:t>
      </w:r>
      <w:r>
        <w:rPr>
          <w:rFonts w:hint="eastAsia"/>
        </w:rPr>
        <w:t>乙方</w:t>
      </w:r>
      <w:r>
        <w:t>支付采购资金、退还履约保证金。验收不合格的项目，</w:t>
      </w:r>
      <w:r>
        <w:rPr>
          <w:rFonts w:hint="eastAsia"/>
        </w:rPr>
        <w:t>甲方</w:t>
      </w:r>
      <w:r>
        <w:t>将依法及时处理。采购合同的履行、违约责任和解决争议的方式等适用《中华人民共和国民法典》。</w:t>
      </w:r>
      <w:r>
        <w:rPr>
          <w:rFonts w:hint="eastAsia"/>
        </w:rPr>
        <w:t>乙方</w:t>
      </w:r>
      <w:r>
        <w:t>在履约过程中有政府采购法律法规规定的违法违规情形的，</w:t>
      </w:r>
      <w:r>
        <w:rPr>
          <w:rFonts w:hint="eastAsia"/>
        </w:rPr>
        <w:t>甲方</w:t>
      </w:r>
      <w:r>
        <w:t>应当及时报告本级财政部门。</w:t>
      </w:r>
    </w:p>
    <w:p>
      <w:pPr>
        <w:widowControl w:val="0"/>
        <w:adjustRightInd w:val="0"/>
        <w:snapToGrid w:val="0"/>
        <w:spacing w:after="60" w:line="360" w:lineRule="auto"/>
        <w:ind w:firstLine="480" w:firstLineChars="200"/>
        <w:rPr>
          <w:rFonts w:hint="eastAsia"/>
        </w:rPr>
      </w:pPr>
      <w:r>
        <w:rPr>
          <w:rFonts w:hint="eastAsia"/>
        </w:rPr>
        <w:t>6</w:t>
      </w:r>
      <w:r>
        <w:t>.验收时</w:t>
      </w:r>
      <w:r>
        <w:rPr>
          <w:rFonts w:hint="eastAsia"/>
        </w:rPr>
        <w:t>乙方</w:t>
      </w:r>
      <w:r>
        <w:t>必须在现场，验收过程中相关检测费用（如有）</w:t>
      </w:r>
      <w:r>
        <w:rPr>
          <w:rFonts w:hint="eastAsia"/>
        </w:rPr>
        <w:t>由乙方负责</w:t>
      </w:r>
      <w:r>
        <w:t>。</w:t>
      </w:r>
    </w:p>
    <w:p>
      <w:pPr>
        <w:widowControl w:val="0"/>
        <w:adjustRightInd w:val="0"/>
        <w:snapToGrid w:val="0"/>
        <w:spacing w:after="60" w:line="360" w:lineRule="auto"/>
        <w:ind w:firstLine="480" w:firstLineChars="200"/>
      </w:pPr>
      <w:r>
        <w:rPr>
          <w:rFonts w:hint="eastAsia"/>
        </w:rPr>
        <w:t>九、所有权归属</w:t>
      </w:r>
    </w:p>
    <w:p>
      <w:pPr>
        <w:widowControl w:val="0"/>
        <w:adjustRightInd w:val="0"/>
        <w:snapToGrid w:val="0"/>
        <w:spacing w:after="60" w:line="360" w:lineRule="auto"/>
        <w:ind w:firstLine="480" w:firstLineChars="200"/>
      </w:pPr>
      <w:r>
        <w:rPr>
          <w:rFonts w:hint="eastAsia"/>
        </w:rPr>
        <w:t>1</w:t>
      </w:r>
      <w:r>
        <w:t>.</w:t>
      </w:r>
      <w:r>
        <w:rPr>
          <w:rFonts w:hint="eastAsia"/>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pPr>
        <w:widowControl w:val="0"/>
        <w:adjustRightInd w:val="0"/>
        <w:snapToGrid w:val="0"/>
        <w:spacing w:after="60" w:line="360" w:lineRule="auto"/>
        <w:ind w:firstLine="480" w:firstLineChars="200"/>
      </w:pPr>
      <w:r>
        <w:rPr>
          <w:rFonts w:hint="eastAsia"/>
        </w:rPr>
        <w:t>2</w:t>
      </w:r>
      <w:r>
        <w:t>.</w:t>
      </w:r>
      <w:r>
        <w:rPr>
          <w:rFonts w:hint="eastAsia"/>
        </w:rPr>
        <w:t>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pPr>
        <w:widowControl w:val="0"/>
        <w:spacing w:line="360" w:lineRule="auto"/>
        <w:ind w:firstLine="537" w:firstLineChars="224"/>
        <w:jc w:val="both"/>
      </w:pPr>
      <w:r>
        <w:rPr>
          <w:rFonts w:hint="eastAsia"/>
        </w:rPr>
        <w:t>十、</w:t>
      </w:r>
      <w:r>
        <w:t>知识产权与保密要求</w:t>
      </w:r>
    </w:p>
    <w:p>
      <w:pPr>
        <w:widowControl w:val="0"/>
        <w:adjustRightInd w:val="0"/>
        <w:snapToGrid w:val="0"/>
        <w:spacing w:after="60" w:line="360" w:lineRule="auto"/>
        <w:ind w:firstLine="480" w:firstLineChars="200"/>
        <w:rPr>
          <w:rFonts w:hint="eastAsia"/>
        </w:rPr>
      </w:pPr>
      <w:r>
        <w:t>1.</w:t>
      </w:r>
      <w:r>
        <w:rPr>
          <w:rFonts w:hint="eastAsia"/>
        </w:rPr>
        <w:t>乙方保证，甲方在享受服务或者服务的任何一部分时，免受第三方提出的侵犯其专利权、商标权或其他知识产权的起诉。如发生此类纠纷，由乙方承担一切责任；如因此给甲方造成损失的，乙方负责全额赔偿。</w:t>
      </w:r>
    </w:p>
    <w:p>
      <w:pPr>
        <w:widowControl w:val="0"/>
        <w:spacing w:line="360" w:lineRule="auto"/>
        <w:ind w:firstLine="537" w:firstLineChars="224"/>
        <w:jc w:val="both"/>
      </w:pPr>
      <w:r>
        <w:t>2.乙方在履行合同过程及完成本合同所涉项目服务后须承担与此有关的技术情报和数据资料的保密责任。乙方对本项目有关的资料及数据成果中涉及国家秘密的内容，均要求按照《</w:t>
      </w:r>
      <w:r>
        <w:rPr>
          <w:rFonts w:hint="eastAsia"/>
        </w:rPr>
        <w:t>中华人民共和国保守国家秘密法</w:t>
      </w:r>
      <w:r>
        <w:t>》及相关法律法规执行。否则，应承担相应的法律责任。</w:t>
      </w:r>
    </w:p>
    <w:p>
      <w:pPr>
        <w:widowControl w:val="0"/>
        <w:spacing w:line="360" w:lineRule="auto"/>
        <w:ind w:firstLine="537" w:firstLineChars="224"/>
        <w:jc w:val="both"/>
        <w:rPr>
          <w:rFonts w:hint="eastAsia"/>
        </w:rPr>
      </w:pPr>
      <w:r>
        <w:rPr>
          <w:rFonts w:hint="eastAsia"/>
        </w:rPr>
        <w:t>3</w:t>
      </w:r>
      <w: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val="0"/>
        <w:adjustRightInd w:val="0"/>
        <w:snapToGrid w:val="0"/>
        <w:spacing w:after="60" w:line="360" w:lineRule="auto"/>
        <w:ind w:firstLine="480" w:firstLineChars="200"/>
        <w:rPr>
          <w:rFonts w:hint="eastAsia"/>
        </w:rPr>
      </w:pPr>
      <w:r>
        <w:rPr>
          <w:rFonts w:hint="eastAsia"/>
        </w:rPr>
        <w:t>十一、网络、数据安全责任条款：……</w:t>
      </w:r>
    </w:p>
    <w:p>
      <w:pPr>
        <w:widowControl w:val="0"/>
        <w:adjustRightInd w:val="0"/>
        <w:snapToGrid w:val="0"/>
        <w:spacing w:after="60" w:line="360" w:lineRule="auto"/>
        <w:ind w:firstLine="480" w:firstLineChars="200"/>
      </w:pPr>
      <w:r>
        <w:rPr>
          <w:rFonts w:hint="eastAsia"/>
        </w:rPr>
        <w:t>十二、售后服务及承诺（如有）</w:t>
      </w:r>
    </w:p>
    <w:p>
      <w:pPr>
        <w:widowControl w:val="0"/>
        <w:adjustRightInd w:val="0"/>
        <w:snapToGrid w:val="0"/>
        <w:spacing w:after="60" w:line="360" w:lineRule="auto"/>
        <w:ind w:firstLine="480" w:firstLineChars="200"/>
      </w:pPr>
      <w:r>
        <w:t>1.</w:t>
      </w:r>
      <w:r>
        <w:rPr>
          <w:rFonts w:hint="eastAsia"/>
        </w:rPr>
        <w:t>服务质量保证期限自提交服务验收合格之日起</w:t>
      </w:r>
      <w:r>
        <w:rPr>
          <w:rFonts w:hint="eastAsia"/>
          <w:u w:val="single"/>
        </w:rPr>
        <w:t xml:space="preserve">     </w:t>
      </w:r>
      <w:r>
        <w:rPr>
          <w:rFonts w:hint="eastAsia"/>
        </w:rPr>
        <w:t>年，在质量保证期内，乙方应对服务出现的问题负责处理并承担一切费用，并且赔偿甲方的损失。</w:t>
      </w:r>
    </w:p>
    <w:p>
      <w:pPr>
        <w:widowControl w:val="0"/>
        <w:adjustRightInd w:val="0"/>
        <w:snapToGrid w:val="0"/>
        <w:spacing w:after="60" w:line="360" w:lineRule="auto"/>
        <w:ind w:firstLine="480" w:firstLineChars="200"/>
        <w:rPr>
          <w:rFonts w:hint="eastAsia"/>
        </w:rPr>
      </w:pPr>
      <w:r>
        <w:t>2.</w:t>
      </w:r>
      <w:r>
        <w:rPr>
          <w:rFonts w:hint="eastAsia"/>
        </w:rPr>
        <w:t>乙方有完善的服务体系，有能力提供持续的、本地化售后服务。</w:t>
      </w:r>
    </w:p>
    <w:p>
      <w:pPr>
        <w:widowControl w:val="0"/>
        <w:spacing w:line="360" w:lineRule="auto"/>
        <w:ind w:firstLine="537" w:firstLineChars="224"/>
        <w:jc w:val="both"/>
      </w:pPr>
      <w:r>
        <w:rPr>
          <w:rFonts w:hint="eastAsia"/>
        </w:rPr>
        <w:t>十三、</w:t>
      </w:r>
      <w:r>
        <w:t>违约责任</w:t>
      </w:r>
    </w:p>
    <w:p>
      <w:pPr>
        <w:widowControl w:val="0"/>
        <w:spacing w:line="360" w:lineRule="auto"/>
        <w:ind w:firstLine="537" w:firstLineChars="224"/>
        <w:jc w:val="both"/>
        <w:rPr>
          <w:rFonts w:hint="eastAsia" w:ascii="宋体" w:hAnsi="宋体" w:cs="宋体"/>
        </w:rPr>
      </w:pPr>
      <w:r>
        <w:rPr>
          <w:rFonts w:hint="eastAsia" w:ascii="宋体" w:hAnsi="宋体" w:cs="宋体"/>
        </w:rPr>
        <w:t>1.甲方无正当理由拒绝接受服务的，甲方向乙方偿付合同款项百分之四作为违约金。</w:t>
      </w:r>
    </w:p>
    <w:p>
      <w:pPr>
        <w:widowControl w:val="0"/>
        <w:spacing w:line="360" w:lineRule="auto"/>
        <w:ind w:firstLine="537" w:firstLineChars="224"/>
        <w:jc w:val="both"/>
        <w:rPr>
          <w:rFonts w:hint="eastAsia" w:ascii="宋体" w:hAnsi="宋体" w:cs="宋体"/>
        </w:rPr>
      </w:pPr>
      <w:r>
        <w:rPr>
          <w:rFonts w:hint="eastAsia" w:ascii="宋体" w:hAnsi="宋体" w:cs="宋体"/>
        </w:rPr>
        <w:t>2.甲方无故逾期验收和办理款项支付手续的,甲方应按逾期付款总额每日万分之四向乙方支付违约金。</w:t>
      </w:r>
    </w:p>
    <w:p>
      <w:pPr>
        <w:widowControl w:val="0"/>
        <w:spacing w:line="360" w:lineRule="auto"/>
        <w:ind w:firstLine="537" w:firstLineChars="224"/>
        <w:jc w:val="both"/>
        <w:rPr>
          <w:rFonts w:hint="eastAsia" w:ascii="宋体" w:hAnsi="宋体" w:cs="宋体"/>
        </w:rPr>
      </w:pPr>
      <w:r>
        <w:rPr>
          <w:rFonts w:hint="eastAsia" w:ascii="宋体" w:hAnsi="宋体" w:cs="宋体"/>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百分之五的违约金，如造成甲方损失超过违约金的，超出部分由乙方继续承担赔偿责任。 </w:t>
      </w:r>
    </w:p>
    <w:p>
      <w:pPr>
        <w:widowControl w:val="0"/>
        <w:adjustRightInd w:val="0"/>
        <w:snapToGrid w:val="0"/>
        <w:spacing w:after="60" w:line="360" w:lineRule="auto"/>
        <w:ind w:firstLine="480" w:firstLineChars="200"/>
      </w:pPr>
      <w:r>
        <w:t>4.</w:t>
      </w:r>
      <w:r>
        <w:rPr>
          <w:rFonts w:hint="eastAsia"/>
        </w:rPr>
        <w:t>任何一方按照前述约定要求违约方支付违约金的同时，仍有权要求违约方继续履行合同、采取补救措施，并有权按照实际损失情况要求违约方赔偿损失；任何一方按照前述约定要求解除本合同的同时，仍有权要求违约方支付违约金和按照实际损失情况要求违约方赔偿损失；且守约方行使的任何权利救济方式均不视为其放弃了其他法定或者约定的权利救济方式；</w:t>
      </w:r>
    </w:p>
    <w:p>
      <w:pPr>
        <w:widowControl w:val="0"/>
        <w:adjustRightInd w:val="0"/>
        <w:snapToGrid w:val="0"/>
        <w:spacing w:after="60" w:line="360" w:lineRule="auto"/>
        <w:ind w:firstLine="480" w:firstLineChars="200"/>
      </w:pPr>
      <w:r>
        <w:t>5.</w:t>
      </w:r>
      <w:r>
        <w:rPr>
          <w:rFonts w:hint="eastAsia"/>
        </w:rPr>
        <w:t>除前述约定与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widowControl w:val="0"/>
        <w:adjustRightInd w:val="0"/>
        <w:snapToGrid w:val="0"/>
        <w:spacing w:after="60" w:line="360" w:lineRule="auto"/>
        <w:ind w:firstLine="480" w:firstLineChars="200"/>
      </w:pPr>
      <w:r>
        <w:t>6.</w:t>
      </w:r>
      <w:r>
        <w:rPr>
          <w:rFonts w:hint="eastAsia"/>
        </w:rPr>
        <w:t>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0" w:firstLineChars="200"/>
      </w:pPr>
      <w:r>
        <w:t>十</w:t>
      </w:r>
      <w:r>
        <w:rPr>
          <w:rFonts w:hint="eastAsia"/>
        </w:rPr>
        <w:t>四、</w:t>
      </w:r>
      <w:r>
        <w:t>不可抗力事件处理</w:t>
      </w:r>
    </w:p>
    <w:p>
      <w:pPr>
        <w:spacing w:line="360" w:lineRule="auto"/>
        <w:ind w:firstLine="480" w:firstLineChars="200"/>
      </w:pPr>
      <w:r>
        <w:t>1.如果任何一方遭遇法律规定的不可抗力，致使合同履行受阻时，履行合同的期限应予延长，延长的期限应相当于不可抗力所影响的时间；</w:t>
      </w:r>
    </w:p>
    <w:p>
      <w:pPr>
        <w:spacing w:line="360" w:lineRule="auto"/>
        <w:ind w:firstLine="480" w:firstLineChars="200"/>
      </w:pPr>
      <w:r>
        <w:t>2. 因不可抗力致使不能实现合同目的的，当事人可以解除合同；</w:t>
      </w:r>
    </w:p>
    <w:p>
      <w:pPr>
        <w:spacing w:line="360" w:lineRule="auto"/>
        <w:ind w:firstLine="480" w:firstLineChars="200"/>
      </w:pPr>
      <w:r>
        <w:t>3. 因不可抗力致使合同有变更必要的，双方当事人应以书面形式变更合同；</w:t>
      </w:r>
    </w:p>
    <w:p>
      <w:pPr>
        <w:spacing w:line="360" w:lineRule="auto"/>
        <w:ind w:firstLine="480" w:firstLineChars="200"/>
      </w:pPr>
      <w:r>
        <w:t>4.受不可抗力影响的一方在不可抗力发生后，应以书面形式通知对方当事人，并在约定时间内，将有关部门出具的证明文件送达对方当事人。</w:t>
      </w:r>
    </w:p>
    <w:p>
      <w:pPr>
        <w:spacing w:line="360" w:lineRule="auto"/>
        <w:ind w:firstLine="480" w:firstLineChars="200"/>
      </w:pPr>
      <w:bookmarkStart w:id="61" w:name="_Toc487900368"/>
      <w:bookmarkStart w:id="62" w:name="_Toc16959"/>
      <w:bookmarkStart w:id="63" w:name="_Toc259093687"/>
      <w:bookmarkStart w:id="64" w:name="_Toc279701258"/>
      <w:bookmarkStart w:id="65" w:name="_Toc8298"/>
      <w:bookmarkStart w:id="66" w:name="_Toc7102"/>
      <w:r>
        <w:t>十</w:t>
      </w:r>
      <w:r>
        <w:rPr>
          <w:rFonts w:hint="eastAsia"/>
        </w:rPr>
        <w:t>五</w:t>
      </w:r>
      <w:r>
        <w:t>、</w:t>
      </w:r>
      <w:bookmarkEnd w:id="61"/>
      <w:bookmarkEnd w:id="62"/>
      <w:bookmarkEnd w:id="63"/>
      <w:bookmarkEnd w:id="64"/>
      <w:bookmarkEnd w:id="65"/>
      <w:bookmarkEnd w:id="66"/>
      <w:bookmarkStart w:id="67" w:name="_Toc6134"/>
      <w:bookmarkStart w:id="68" w:name="_Toc15387"/>
      <w:bookmarkStart w:id="69" w:name="_Toc29333"/>
      <w:r>
        <w:t>合同中止、终止</w:t>
      </w:r>
      <w:bookmarkEnd w:id="67"/>
      <w:bookmarkEnd w:id="68"/>
      <w:bookmarkEnd w:id="69"/>
    </w:p>
    <w:p>
      <w:pPr>
        <w:spacing w:line="360" w:lineRule="auto"/>
        <w:ind w:firstLine="480" w:firstLineChars="200"/>
      </w:pPr>
      <w:r>
        <w:t>1.双方当事人不得擅自中止或者终止合同；</w:t>
      </w:r>
    </w:p>
    <w:p>
      <w:pPr>
        <w:spacing w:line="360" w:lineRule="auto"/>
        <w:ind w:firstLine="480" w:firstLineChars="200"/>
      </w:pPr>
      <w:r>
        <w:t>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pPr>
      <w:r>
        <w:rPr>
          <w:rFonts w:hint="eastAsia"/>
        </w:rPr>
        <w:t>十六</w:t>
      </w:r>
      <w:r>
        <w:t>、合同争议的解决</w:t>
      </w:r>
    </w:p>
    <w:p>
      <w:pPr>
        <w:spacing w:line="360" w:lineRule="auto"/>
        <w:ind w:firstLine="480" w:firstLineChars="200"/>
      </w:pPr>
      <w:r>
        <w:t xml:space="preserve"> 本合同履行过程中发生的任何争议，双方当事人均可通过和解或者调解解决；不愿和解、调解或者和解、调解不成的，可以向</w:t>
      </w:r>
      <w:r>
        <w:rPr>
          <w:rFonts w:hint="eastAsia"/>
        </w:rPr>
        <w:t>甲方</w:t>
      </w:r>
      <w:r>
        <w:t>所在地人民法院起诉。</w:t>
      </w:r>
    </w:p>
    <w:p>
      <w:pPr>
        <w:spacing w:line="360" w:lineRule="auto"/>
        <w:ind w:firstLine="480" w:firstLineChars="200"/>
      </w:pPr>
      <w:r>
        <w:rPr>
          <w:rFonts w:hint="eastAsia"/>
        </w:rPr>
        <w:t>十七</w:t>
      </w:r>
      <w:r>
        <w:t>、合同构成</w:t>
      </w:r>
    </w:p>
    <w:p>
      <w:pPr>
        <w:spacing w:line="360" w:lineRule="auto"/>
        <w:ind w:firstLine="480" w:firstLineChars="200"/>
      </w:pPr>
      <w:r>
        <w:t>下述文件是构成合同不可分割的部分，应一并阅读和理解。</w:t>
      </w:r>
    </w:p>
    <w:p>
      <w:pPr>
        <w:spacing w:line="360" w:lineRule="auto"/>
        <w:ind w:firstLine="480" w:firstLineChars="200"/>
      </w:pPr>
      <w:r>
        <w:rPr>
          <w:rFonts w:hint="eastAsia"/>
        </w:rPr>
        <w:t>1</w:t>
      </w:r>
      <w:r>
        <w:t>.本合同协议书；</w:t>
      </w:r>
    </w:p>
    <w:p>
      <w:pPr>
        <w:spacing w:line="360" w:lineRule="auto"/>
        <w:ind w:firstLine="480" w:firstLineChars="200"/>
      </w:pPr>
      <w:r>
        <w:rPr>
          <w:rFonts w:hint="eastAsia"/>
        </w:rPr>
        <w:t>2</w:t>
      </w:r>
      <w:r>
        <w:t>.中标通知书；</w:t>
      </w:r>
    </w:p>
    <w:p>
      <w:pPr>
        <w:spacing w:line="360" w:lineRule="auto"/>
        <w:ind w:firstLine="480" w:firstLineChars="200"/>
      </w:pPr>
      <w:r>
        <w:rPr>
          <w:rFonts w:hint="eastAsia"/>
        </w:rPr>
        <w:t>3</w:t>
      </w:r>
      <w:r>
        <w:t>.招标文件及附件；</w:t>
      </w:r>
    </w:p>
    <w:p>
      <w:pPr>
        <w:spacing w:line="360" w:lineRule="auto"/>
        <w:ind w:firstLine="480" w:firstLineChars="200"/>
      </w:pPr>
      <w:r>
        <w:rPr>
          <w:rFonts w:hint="eastAsia"/>
        </w:rPr>
        <w:t>4</w:t>
      </w:r>
      <w:r>
        <w:t>.投标文件及附件；</w:t>
      </w:r>
    </w:p>
    <w:p>
      <w:pPr>
        <w:spacing w:line="360" w:lineRule="auto"/>
        <w:ind w:firstLine="480" w:firstLineChars="200"/>
      </w:pPr>
      <w:r>
        <w:rPr>
          <w:rFonts w:hint="eastAsia"/>
        </w:rPr>
        <w:t>5</w:t>
      </w:r>
      <w:r>
        <w:t>.经双方协商一致达成的补充协议。</w:t>
      </w:r>
    </w:p>
    <w:p>
      <w:pPr>
        <w:spacing w:line="360" w:lineRule="auto"/>
        <w:ind w:firstLine="480" w:firstLineChars="200"/>
      </w:pPr>
      <w:r>
        <w:t>上述文件应认为是互为补充和解释的，若有不明确及不一致之处，以上面所列顺序先后为准。</w:t>
      </w:r>
    </w:p>
    <w:p>
      <w:pPr>
        <w:spacing w:line="360" w:lineRule="auto"/>
        <w:ind w:firstLine="480" w:firstLineChars="200"/>
      </w:pPr>
      <w:r>
        <w:rPr>
          <w:rFonts w:hint="eastAsia"/>
        </w:rPr>
        <w:t>十八</w:t>
      </w:r>
      <w:r>
        <w:t>、合同生效及其它</w:t>
      </w:r>
    </w:p>
    <w:p>
      <w:pPr>
        <w:spacing w:line="360" w:lineRule="auto"/>
        <w:ind w:firstLine="480" w:firstLineChars="200"/>
      </w:pPr>
      <w:r>
        <w:t>1. 本合同自双方当事人盖章或者签字时生效。</w:t>
      </w:r>
    </w:p>
    <w:p>
      <w:pPr>
        <w:spacing w:line="360" w:lineRule="auto"/>
        <w:ind w:firstLine="480" w:firstLineChars="200"/>
      </w:pPr>
      <w:r>
        <w:t>2.合同执行中涉及采购资金和采购内容修改或补充的，须经财政部门审批，并签书面补充协议报政府采购监督管理部门备案，方可作为主合同不可分割的一部分。</w:t>
      </w:r>
    </w:p>
    <w:p>
      <w:pPr>
        <w:spacing w:line="360" w:lineRule="auto"/>
        <w:ind w:firstLine="480" w:firstLineChars="200"/>
      </w:pPr>
      <w:r>
        <w:t>3.本合同未尽事宜，遵照《中华人民共和国民法典》有关条文执行。</w:t>
      </w:r>
    </w:p>
    <w:p>
      <w:pPr>
        <w:spacing w:line="360" w:lineRule="auto"/>
        <w:ind w:firstLine="480" w:firstLineChars="200"/>
      </w:pPr>
      <w:r>
        <w:t>4.本合同壹式陆份，甲乙双方各执</w:t>
      </w:r>
      <w:r>
        <w:rPr>
          <w:rFonts w:hint="eastAsia"/>
        </w:rPr>
        <w:t>贰</w:t>
      </w:r>
      <w:r>
        <w:t>份，招标代理机构</w:t>
      </w:r>
      <w:r>
        <w:rPr>
          <w:rFonts w:hint="eastAsia"/>
        </w:rPr>
        <w:t>贰</w:t>
      </w:r>
      <w:r>
        <w:t>份（备案及资料归集）。</w:t>
      </w:r>
    </w:p>
    <w:p>
      <w:pPr>
        <w:widowControl w:val="0"/>
        <w:adjustRightInd w:val="0"/>
        <w:snapToGrid w:val="0"/>
        <w:spacing w:after="60" w:line="360" w:lineRule="auto"/>
        <w:ind w:firstLine="480" w:firstLineChars="200"/>
        <w:rPr>
          <w:u w:val="single"/>
        </w:rPr>
      </w:pPr>
      <w:r>
        <w:rPr>
          <w:rFonts w:hint="eastAsia"/>
        </w:rPr>
        <w:t>十九</w:t>
      </w:r>
      <w:r>
        <w:t>、其他补充条款：</w:t>
      </w:r>
      <w:r>
        <w:rPr>
          <w:u w:val="single"/>
        </w:rPr>
        <w:t xml:space="preserve"> （如有）                                           。</w:t>
      </w:r>
    </w:p>
    <w:p>
      <w:pPr>
        <w:spacing w:line="360" w:lineRule="auto"/>
        <w:ind w:firstLine="480" w:firstLineChars="200"/>
      </w:pPr>
    </w:p>
    <w:p>
      <w:pPr>
        <w:spacing w:line="360" w:lineRule="auto"/>
        <w:ind w:firstLine="480" w:firstLineChars="200"/>
      </w:pPr>
      <w:r>
        <w:t xml:space="preserve">甲方（盖章）：                                       乙方（盖章）：                            </w:t>
      </w:r>
    </w:p>
    <w:p>
      <w:pPr>
        <w:spacing w:line="360" w:lineRule="auto"/>
        <w:ind w:firstLine="480" w:firstLineChars="200"/>
      </w:pPr>
      <w:r>
        <w:t xml:space="preserve">法定代表人：                                           法定代表人： </w:t>
      </w:r>
    </w:p>
    <w:p>
      <w:pPr>
        <w:spacing w:line="360" w:lineRule="auto"/>
        <w:ind w:firstLine="480" w:firstLineChars="200"/>
      </w:pPr>
      <w:r>
        <w:t xml:space="preserve">委托代理人：                                           委托代理人：   </w:t>
      </w:r>
    </w:p>
    <w:p>
      <w:pPr>
        <w:spacing w:line="360" w:lineRule="auto"/>
        <w:ind w:firstLine="480" w:firstLineChars="200"/>
      </w:pPr>
      <w:r>
        <w:t>电话：                                                      电话：</w:t>
      </w:r>
    </w:p>
    <w:p>
      <w:pPr>
        <w:spacing w:line="360" w:lineRule="auto"/>
        <w:ind w:firstLine="480" w:firstLineChars="200"/>
      </w:pPr>
      <w:r>
        <w:t>开户银行：                                              开户银行：</w:t>
      </w:r>
    </w:p>
    <w:p>
      <w:pPr>
        <w:spacing w:line="360" w:lineRule="auto"/>
        <w:ind w:firstLine="480" w:firstLineChars="200"/>
      </w:pPr>
      <w:r>
        <w:t>银行账号：                                              银行账号：</w:t>
      </w:r>
    </w:p>
    <w:p>
      <w:pPr>
        <w:widowControl w:val="0"/>
        <w:adjustRightInd w:val="0"/>
        <w:snapToGrid w:val="0"/>
        <w:spacing w:after="60" w:line="360" w:lineRule="auto"/>
        <w:ind w:firstLine="480" w:firstLineChars="200"/>
      </w:pPr>
      <w:r>
        <w:rPr>
          <w:bCs/>
        </w:rPr>
        <w:t>签订日期：  年  月  日                            签订日期：  年  月  日</w:t>
      </w:r>
    </w:p>
    <w:p>
      <w:pPr>
        <w:widowControl w:val="0"/>
        <w:adjustRightInd w:val="0"/>
        <w:snapToGrid w:val="0"/>
        <w:spacing w:after="60" w:line="360" w:lineRule="auto"/>
        <w:ind w:firstLine="480" w:firstLineChars="200"/>
        <w:rPr>
          <w:bCs/>
        </w:rPr>
      </w:pPr>
      <w:r>
        <w:rPr>
          <w:bCs/>
        </w:rPr>
        <w:t xml:space="preserve">   </w:t>
      </w:r>
    </w:p>
    <w:p>
      <w:pPr>
        <w:widowControl w:val="0"/>
        <w:spacing w:line="360" w:lineRule="auto"/>
        <w:ind w:right="-120" w:rightChars="-50" w:firstLine="360" w:firstLineChars="150"/>
        <w:rPr>
          <w:bCs/>
        </w:rPr>
      </w:pPr>
      <w:r>
        <w:rPr>
          <w:bCs/>
        </w:rPr>
        <w:t>采购代理机构意见：</w:t>
      </w:r>
    </w:p>
    <w:p>
      <w:pPr>
        <w:widowControl w:val="0"/>
        <w:spacing w:line="360" w:lineRule="auto"/>
        <w:ind w:right="-120" w:rightChars="-50" w:firstLine="360" w:firstLineChars="150"/>
        <w:rPr>
          <w:bCs/>
        </w:rPr>
      </w:pPr>
      <w:r>
        <w:rPr>
          <w:bCs/>
        </w:rPr>
        <w:t>年  月  日</w:t>
      </w:r>
    </w:p>
    <w:p>
      <w:pPr>
        <w:spacing w:line="360" w:lineRule="auto"/>
        <w:jc w:val="center"/>
        <w:rPr>
          <w:rFonts w:ascii="宋体" w:hAnsi="宋体"/>
          <w:b/>
          <w:sz w:val="48"/>
          <w:szCs w:val="48"/>
        </w:rPr>
        <w:sectPr>
          <w:pgSz w:w="11906" w:h="16838"/>
          <w:pgMar w:top="1259" w:right="1287" w:bottom="1361" w:left="1622" w:header="709" w:footer="971" w:gutter="0"/>
          <w:cols w:space="720" w:num="1"/>
          <w:docGrid w:linePitch="360" w:charSpace="0"/>
        </w:sectPr>
      </w:pPr>
    </w:p>
    <w:p>
      <w:pPr>
        <w:pStyle w:val="2"/>
        <w:spacing w:before="120" w:after="240" w:line="240" w:lineRule="auto"/>
        <w:jc w:val="center"/>
        <w:rPr>
          <w:rFonts w:hint="eastAsia" w:ascii="宋体" w:hAnsi="宋体"/>
        </w:rPr>
      </w:pPr>
      <w:bookmarkStart w:id="70" w:name="_Toc93668165"/>
      <w:r>
        <w:rPr>
          <w:rFonts w:ascii="宋体" w:hAnsi="宋体"/>
        </w:rPr>
        <w:t>第七章  投标文件格式</w:t>
      </w:r>
      <w:bookmarkEnd w:id="59"/>
      <w:bookmarkEnd w:id="70"/>
    </w:p>
    <w:p>
      <w:pPr>
        <w:pStyle w:val="39"/>
        <w:widowControl w:val="0"/>
        <w:adjustRightInd w:val="0"/>
        <w:snapToGrid w:val="0"/>
        <w:spacing w:line="390" w:lineRule="atLeast"/>
        <w:rPr>
          <w:b/>
          <w:sz w:val="32"/>
          <w:szCs w:val="32"/>
        </w:rPr>
      </w:pPr>
      <w:bookmarkStart w:id="71" w:name="_Hlk94088670"/>
      <w:r>
        <w:rPr>
          <w:b/>
          <w:sz w:val="32"/>
          <w:szCs w:val="32"/>
        </w:rPr>
        <w:t>资格文件：</w:t>
      </w:r>
      <w:r>
        <w:t>（</w:t>
      </w:r>
      <w:r>
        <w:rPr>
          <w:b/>
          <w:u w:val="single"/>
        </w:rPr>
        <w:t>未提供齐全将导致资格审查不通过，投标文件无效</w:t>
      </w:r>
      <w:r>
        <w:t>）</w:t>
      </w:r>
    </w:p>
    <w:p>
      <w:pPr>
        <w:widowControl w:val="0"/>
        <w:adjustRightInd w:val="0"/>
        <w:snapToGrid w:val="0"/>
        <w:spacing w:line="360" w:lineRule="auto"/>
        <w:ind w:firstLine="537" w:firstLineChars="224"/>
      </w:pPr>
      <w:r>
        <w:t>1.满足《中华人民共和国政府采购法》第二十二条规定</w:t>
      </w:r>
      <w:r>
        <w:rPr>
          <w:rFonts w:hint="eastAsia"/>
        </w:rPr>
        <w:t>的</w:t>
      </w:r>
      <w:r>
        <w:t xml:space="preserve">承诺函： </w:t>
      </w:r>
    </w:p>
    <w:p>
      <w:pPr>
        <w:widowControl w:val="0"/>
        <w:adjustRightInd w:val="0"/>
        <w:snapToGrid w:val="0"/>
        <w:spacing w:line="360" w:lineRule="auto"/>
        <w:ind w:firstLine="537" w:firstLineChars="224"/>
      </w:pPr>
      <w:r>
        <w:t>（1）</w:t>
      </w:r>
      <w:r>
        <w:rPr>
          <w:rFonts w:hint="eastAsia"/>
        </w:rPr>
        <w:t>投标人</w:t>
      </w:r>
      <w:r>
        <w:t>法人营业执照（副本）或事业单位法人证书（副本）或个体工商户营业执照或有效的自然人身份证明或社会团体法人登记证书（提供复印件</w:t>
      </w:r>
      <w:r>
        <w:rPr>
          <w:rFonts w:hint="eastAsia"/>
        </w:rPr>
        <w:t>上传</w:t>
      </w:r>
      <w:r>
        <w:t>）；</w:t>
      </w:r>
    </w:p>
    <w:p>
      <w:pPr>
        <w:widowControl w:val="0"/>
        <w:adjustRightInd w:val="0"/>
        <w:snapToGrid w:val="0"/>
        <w:spacing w:line="360" w:lineRule="auto"/>
        <w:ind w:firstLine="537" w:firstLineChars="224"/>
      </w:pPr>
      <w:r>
        <w:t>（2）具有依法缴纳税收和社保费的证明；</w:t>
      </w:r>
    </w:p>
    <w:p>
      <w:pPr>
        <w:widowControl w:val="0"/>
        <w:adjustRightInd w:val="0"/>
        <w:snapToGrid w:val="0"/>
        <w:spacing w:line="360" w:lineRule="auto"/>
        <w:ind w:firstLine="537" w:firstLineChars="224"/>
      </w:pPr>
      <w:r>
        <w:t>（3）具有良好的商业信誉和健全的财务会计制度；</w:t>
      </w:r>
    </w:p>
    <w:p>
      <w:pPr>
        <w:widowControl w:val="0"/>
        <w:adjustRightInd w:val="0"/>
        <w:snapToGrid w:val="0"/>
        <w:spacing w:line="360" w:lineRule="auto"/>
        <w:ind w:firstLine="537" w:firstLineChars="224"/>
      </w:pPr>
      <w:r>
        <w:t xml:space="preserve">（4）具有履行合同所必须的设备和专业技术能力； </w:t>
      </w:r>
    </w:p>
    <w:p>
      <w:pPr>
        <w:widowControl w:val="0"/>
        <w:adjustRightInd w:val="0"/>
        <w:snapToGrid w:val="0"/>
        <w:spacing w:line="360" w:lineRule="auto"/>
        <w:ind w:firstLine="537" w:firstLineChars="224"/>
      </w:pPr>
      <w:r>
        <w:t>（5）参加采购活动前三年内（开标之日往前推算），在经营活动中没有重大违法记录；</w:t>
      </w:r>
    </w:p>
    <w:p>
      <w:pPr>
        <w:spacing w:line="360" w:lineRule="auto"/>
        <w:ind w:firstLine="540" w:firstLineChars="225"/>
      </w:pPr>
      <w:r>
        <w:t>2.落实政府采购政策需满足的资格要求：</w:t>
      </w:r>
      <w:r>
        <w:rPr>
          <w:rFonts w:hint="eastAsia"/>
        </w:rPr>
        <w:t>详见公告</w:t>
      </w:r>
    </w:p>
    <w:p>
      <w:pPr>
        <w:widowControl w:val="0"/>
        <w:adjustRightInd w:val="0"/>
        <w:snapToGrid w:val="0"/>
        <w:spacing w:line="360" w:lineRule="auto"/>
        <w:ind w:firstLine="537" w:firstLineChars="224"/>
      </w:pPr>
      <w:r>
        <w:t>3.“本项目的特定资格要求”中规定的相关证书复印件</w:t>
      </w:r>
      <w:r>
        <w:rPr>
          <w:rFonts w:hint="eastAsia"/>
        </w:rPr>
        <w:t>：详见公告</w:t>
      </w:r>
    </w:p>
    <w:p>
      <w:pPr>
        <w:pStyle w:val="39"/>
        <w:widowControl w:val="0"/>
        <w:adjustRightInd w:val="0"/>
        <w:snapToGrid w:val="0"/>
        <w:spacing w:line="390" w:lineRule="atLeast"/>
        <w:rPr>
          <w:rFonts w:hint="default"/>
          <w:b/>
          <w:sz w:val="32"/>
          <w:szCs w:val="32"/>
        </w:rPr>
        <w:sectPr>
          <w:pgSz w:w="11906" w:h="16838"/>
          <w:pgMar w:top="1259" w:right="1287" w:bottom="1361" w:left="1622" w:header="709" w:footer="975" w:gutter="0"/>
          <w:cols w:space="720" w:num="1"/>
          <w:docGrid w:linePitch="360" w:charSpace="0"/>
        </w:sectPr>
      </w:pPr>
    </w:p>
    <w:p>
      <w:pPr>
        <w:snapToGrid w:val="0"/>
        <w:spacing w:line="360" w:lineRule="auto"/>
        <w:ind w:right="480"/>
        <w:jc w:val="center"/>
        <w:rPr>
          <w:b/>
          <w:sz w:val="32"/>
          <w:szCs w:val="32"/>
        </w:rPr>
      </w:pPr>
      <w:r>
        <w:rPr>
          <w:b/>
          <w:sz w:val="32"/>
          <w:szCs w:val="32"/>
        </w:rPr>
        <w:t>一、 符合参加政府采购活动应当具备的一般条件的承诺函</w:t>
      </w:r>
    </w:p>
    <w:p>
      <w:pPr>
        <w:snapToGrid w:val="0"/>
        <w:spacing w:line="360" w:lineRule="auto"/>
      </w:pPr>
      <w:r>
        <w:t>（采购人）、（采购代理机构）：</w:t>
      </w:r>
    </w:p>
    <w:p>
      <w:pPr>
        <w:snapToGrid w:val="0"/>
        <w:spacing w:line="360" w:lineRule="auto"/>
        <w:ind w:firstLine="480" w:firstLineChars="200"/>
      </w:pPr>
      <w:r>
        <w:t>我方参与</w:t>
      </w:r>
      <w:r>
        <w:rPr>
          <w:u w:val="single"/>
        </w:rPr>
        <w:t>（项目名称）             【项目编号：    】</w:t>
      </w:r>
      <w:r>
        <w:t>政府采购活动，郑重承诺：</w:t>
      </w:r>
    </w:p>
    <w:p>
      <w:pPr>
        <w:snapToGrid w:val="0"/>
        <w:spacing w:line="360" w:lineRule="auto"/>
        <w:ind w:firstLine="360" w:firstLineChars="150"/>
      </w:pPr>
      <w:r>
        <w:t>（一）具备《中华人民共和国政府采购法》第二十二条第一款规定的条件：</w:t>
      </w:r>
    </w:p>
    <w:p>
      <w:pPr>
        <w:snapToGrid w:val="0"/>
        <w:spacing w:line="360" w:lineRule="auto"/>
        <w:ind w:firstLine="480" w:firstLineChars="200"/>
      </w:pPr>
      <w:r>
        <w:t>1.具有独立承担民事责任的能力；</w:t>
      </w:r>
    </w:p>
    <w:p>
      <w:pPr>
        <w:snapToGrid w:val="0"/>
        <w:spacing w:line="360" w:lineRule="auto"/>
        <w:ind w:firstLine="480" w:firstLineChars="200"/>
      </w:pPr>
      <w:r>
        <w:t xml:space="preserve">2.具有良好的商业信誉和健全的财务会计制度； </w:t>
      </w:r>
    </w:p>
    <w:p>
      <w:pPr>
        <w:snapToGrid w:val="0"/>
        <w:spacing w:line="360" w:lineRule="auto"/>
        <w:ind w:firstLine="480" w:firstLineChars="200"/>
      </w:pPr>
      <w:r>
        <w:t>3.具有履行合同所必需的设备和专业技术能力；</w:t>
      </w:r>
    </w:p>
    <w:p>
      <w:pPr>
        <w:snapToGrid w:val="0"/>
        <w:spacing w:line="360" w:lineRule="auto"/>
        <w:ind w:firstLine="480" w:firstLineChars="200"/>
      </w:pPr>
      <w:r>
        <w:t>4.有依法缴纳税收和社会保障资金的良好记录；</w:t>
      </w:r>
    </w:p>
    <w:p>
      <w:pPr>
        <w:snapToGrid w:val="0"/>
        <w:spacing w:line="360" w:lineRule="auto"/>
        <w:ind w:firstLine="480" w:firstLineChars="200"/>
      </w:pPr>
      <w:r>
        <w:t>5.参加政府采购活动前三年内，在经营活动中没有重大违法记录；</w:t>
      </w:r>
    </w:p>
    <w:p>
      <w:pPr>
        <w:snapToGrid w:val="0"/>
        <w:spacing w:line="360" w:lineRule="auto"/>
        <w:ind w:firstLine="480" w:firstLineChars="200"/>
      </w:pPr>
      <w:r>
        <w:t>6.具有法律、行政法规规定的其他条件。</w:t>
      </w:r>
    </w:p>
    <w:p>
      <w:pPr>
        <w:snapToGrid w:val="0"/>
        <w:spacing w:line="360" w:lineRule="auto"/>
        <w:ind w:firstLine="480" w:firstLineChars="200"/>
      </w:pPr>
      <w: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pPr>
      <w:r>
        <w:t>（三）不存在以下情况：</w:t>
      </w:r>
    </w:p>
    <w:p>
      <w:pPr>
        <w:snapToGrid w:val="0"/>
        <w:spacing w:line="360" w:lineRule="auto"/>
        <w:ind w:firstLine="480" w:firstLineChars="200"/>
      </w:pPr>
      <w:r>
        <w:t>1.单位负责人为同一人或者存在直接控股、管理关系的不同供应商参加同一合同项下的政府采购活动的；</w:t>
      </w:r>
    </w:p>
    <w:p>
      <w:pPr>
        <w:snapToGrid w:val="0"/>
        <w:spacing w:line="360" w:lineRule="auto"/>
        <w:ind w:firstLine="480" w:firstLineChars="200"/>
      </w:pPr>
      <w:r>
        <w:t>2.为采购项目提供整体设计、规范编制或者项目管理、监理、检测等服务后再参加该采购项目的其他采购活动的。</w:t>
      </w:r>
    </w:p>
    <w:p>
      <w:pPr>
        <w:snapToGrid w:val="0"/>
        <w:spacing w:line="360" w:lineRule="auto"/>
        <w:ind w:firstLine="480" w:firstLineChars="200"/>
      </w:pPr>
      <w:r>
        <w:t>3.</w:t>
      </w:r>
      <w:r>
        <w:rPr>
          <w:rFonts w:hint="eastAsia"/>
        </w:rPr>
        <w:t>我单位不属于公益一类事业单位（该条承诺仅针对政府购买服务清单中项</w:t>
      </w:r>
      <w:r>
        <w:rPr>
          <w:rFonts w:hint="eastAsia" w:ascii="宋体" w:hAnsi="宋体"/>
        </w:rPr>
        <w:t>目）。</w:t>
      </w:r>
    </w:p>
    <w:p>
      <w:pPr>
        <w:pStyle w:val="42"/>
        <w:ind w:left="480" w:firstLine="480"/>
      </w:pPr>
    </w:p>
    <w:p>
      <w:pPr>
        <w:pStyle w:val="42"/>
        <w:ind w:left="480" w:firstLine="480"/>
      </w:pPr>
    </w:p>
    <w:p>
      <w:pPr>
        <w:pStyle w:val="24"/>
        <w:widowControl w:val="0"/>
        <w:adjustRightInd w:val="0"/>
        <w:snapToGrid w:val="0"/>
        <w:spacing w:before="0" w:beforeAutospacing="0" w:after="0" w:afterAutospacing="0" w:line="360" w:lineRule="auto"/>
        <w:ind w:firstLine="900" w:firstLineChars="375"/>
        <w:jc w:val="right"/>
        <w:rPr>
          <w:rFonts w:ascii="Times New Roman" w:hAnsi="Times New Roman"/>
        </w:rPr>
      </w:pPr>
      <w:r>
        <w:rPr>
          <w:rFonts w:ascii="Times New Roman" w:hAnsi="Times New Roman"/>
        </w:rPr>
        <w:t>投标人（电子签章）：__________________________</w:t>
      </w:r>
    </w:p>
    <w:p>
      <w:pPr>
        <w:pStyle w:val="24"/>
        <w:widowControl w:val="0"/>
        <w:adjustRightInd w:val="0"/>
        <w:snapToGrid w:val="0"/>
        <w:spacing w:before="0" w:beforeAutospacing="0" w:after="0" w:afterAutospacing="0"/>
        <w:ind w:firstLine="900" w:firstLineChars="375"/>
        <w:jc w:val="right"/>
        <w:rPr>
          <w:rFonts w:ascii="Times New Roman" w:hAnsi="Times New Roman"/>
        </w:rPr>
      </w:pPr>
      <w:r>
        <w:rPr>
          <w:rFonts w:ascii="Times New Roman" w:hAnsi="Times New Roman"/>
        </w:rPr>
        <w:t>日期：____年____月____日</w:t>
      </w:r>
    </w:p>
    <w:p>
      <w:pPr>
        <w:snapToGrid w:val="0"/>
        <w:spacing w:line="360" w:lineRule="auto"/>
        <w:ind w:right="480"/>
        <w:jc w:val="center"/>
        <w:rPr>
          <w:rFonts w:eastAsia="仿宋_GB2312"/>
          <w:b/>
          <w:sz w:val="32"/>
          <w:szCs w:val="32"/>
        </w:rPr>
      </w:pPr>
    </w:p>
    <w:p>
      <w:pPr>
        <w:snapToGrid w:val="0"/>
        <w:spacing w:line="360" w:lineRule="auto"/>
        <w:ind w:right="480"/>
        <w:rPr>
          <w:rFonts w:hint="eastAsia" w:ascii="仿宋_GB2312" w:hAnsi="仿宋" w:eastAsia="仿宋_GB2312" w:cs="仿宋_GB2312"/>
          <w:b/>
          <w:sz w:val="32"/>
          <w:szCs w:val="32"/>
        </w:rPr>
      </w:pPr>
      <w:r>
        <w:rPr>
          <w:rFonts w:hint="eastAsia" w:ascii="仿宋_GB2312" w:hAnsi="仿宋" w:eastAsia="仿宋_GB2312" w:cs="仿宋_GB2312"/>
          <w:b/>
          <w:sz w:val="32"/>
          <w:szCs w:val="32"/>
        </w:rPr>
        <w:t>----------------------------------------------------</w:t>
      </w:r>
    </w:p>
    <w:p>
      <w:pPr>
        <w:pStyle w:val="42"/>
        <w:ind w:left="0" w:leftChars="0" w:firstLine="0" w:firstLineChars="0"/>
        <w:rPr>
          <w:rFonts w:hint="eastAsia"/>
        </w:rPr>
        <w:sectPr>
          <w:pgSz w:w="11906" w:h="16838"/>
          <w:pgMar w:top="1259" w:right="1287" w:bottom="1361" w:left="1622" w:header="709" w:footer="975" w:gutter="0"/>
          <w:cols w:space="720" w:num="1"/>
          <w:docGrid w:linePitch="360" w:charSpace="0"/>
        </w:sectPr>
      </w:pPr>
      <w:r>
        <w:rPr>
          <w:rFonts w:hint="eastAsia"/>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before="50" w:after="50" w:line="360" w:lineRule="auto"/>
        <w:jc w:val="center"/>
        <w:rPr>
          <w:b/>
          <w:sz w:val="32"/>
          <w:szCs w:val="32"/>
          <w:lang w:val="zh-CN"/>
        </w:rPr>
      </w:pPr>
      <w:r>
        <w:rPr>
          <w:rFonts w:hint="eastAsia"/>
          <w:b/>
          <w:sz w:val="32"/>
          <w:szCs w:val="32"/>
          <w:lang w:val="zh-CN"/>
        </w:rPr>
        <w:t>联合协议</w:t>
      </w:r>
    </w:p>
    <w:p>
      <w:pPr>
        <w:snapToGrid w:val="0"/>
        <w:spacing w:line="400" w:lineRule="exact"/>
        <w:ind w:firstLine="576"/>
        <w:rPr>
          <w:lang w:val="zh-CN"/>
        </w:rPr>
      </w:pPr>
      <w:r>
        <w:rPr>
          <w:rFonts w:hint="eastAsia"/>
          <w:u w:val="single"/>
        </w:rPr>
        <w:t>（联合体所有成员名称）</w:t>
      </w:r>
      <w:r>
        <w:rPr>
          <w:rFonts w:hint="eastAsia"/>
        </w:rPr>
        <w:t>自愿</w:t>
      </w:r>
      <w:r>
        <w:rPr>
          <w:rFonts w:hint="eastAsia"/>
          <w:lang w:val="zh-CN"/>
        </w:rPr>
        <w:t>组成一个联合体，以一个供应商的身份</w:t>
      </w:r>
      <w:r>
        <w:rPr>
          <w:rFonts w:hint="eastAsia"/>
        </w:rPr>
        <w:t>参加（项目名称）（项目编号：）</w:t>
      </w:r>
      <w:r>
        <w:rPr>
          <w:rFonts w:hint="eastAsia"/>
          <w:lang w:val="zh-CN"/>
        </w:rPr>
        <w:t>投标。</w:t>
      </w:r>
      <w:r>
        <w:rPr>
          <w:lang w:val="zh-CN"/>
        </w:rPr>
        <w:t xml:space="preserve"> </w:t>
      </w:r>
    </w:p>
    <w:p>
      <w:pPr>
        <w:snapToGrid w:val="0"/>
        <w:spacing w:line="400" w:lineRule="exact"/>
        <w:ind w:firstLine="576"/>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rPr>
        <w:t>，代表所有联合体成员负责投标和合同实施阶段的主办、协调工作</w:t>
      </w:r>
      <w:r>
        <w:rPr>
          <w:rFonts w:hint="eastAsia"/>
          <w:lang w:val="zh-CN"/>
        </w:rPr>
        <w:t>。</w:t>
      </w:r>
    </w:p>
    <w:p>
      <w:pPr>
        <w:snapToGrid w:val="0"/>
        <w:spacing w:line="400" w:lineRule="exact"/>
        <w:ind w:firstLine="576"/>
        <w:rPr>
          <w:lang w:val="zh-CN"/>
        </w:rPr>
      </w:pPr>
      <w:r>
        <w:rPr>
          <w:rFonts w:hint="eastAsia"/>
          <w:lang w:val="zh-CN"/>
        </w:rPr>
        <w:t>二、</w:t>
      </w:r>
      <w:r>
        <w:rPr>
          <w:rFonts w:hint="eastAsia"/>
        </w:rPr>
        <w:t>所有联合体成员各方签署授权书，授权书载明的</w:t>
      </w:r>
      <w:r>
        <w:rPr>
          <w:rFonts w:hint="eastAsia"/>
          <w:lang w:val="zh-CN"/>
        </w:rPr>
        <w:t>授权代表根据磋商文件规定及投标内容而对采购人、采购机构所作的任何合法承诺，包括书面澄清及相应等均对联合投标各方产生约束力。</w:t>
      </w:r>
    </w:p>
    <w:p>
      <w:pPr>
        <w:snapToGrid w:val="0"/>
        <w:spacing w:line="400" w:lineRule="exact"/>
        <w:ind w:firstLine="576"/>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u w:val="single"/>
        </w:rPr>
        <w:t xml:space="preserve">             </w:t>
      </w:r>
      <w:r>
        <w:rPr>
          <w:rFonts w:hint="eastAsia"/>
          <w:lang w:val="zh-CN"/>
        </w:rPr>
        <w:t>；</w:t>
      </w:r>
      <w:r>
        <w:rPr>
          <w:rFonts w:hint="eastAsia"/>
          <w:u w:val="single"/>
        </w:rPr>
        <w:t>（联合体其中一方成员名称）</w:t>
      </w:r>
      <w:r>
        <w:rPr>
          <w:rFonts w:hint="eastAsia"/>
          <w:lang w:val="zh-CN"/>
        </w:rPr>
        <w:t>承担的工作和义务为：</w:t>
      </w:r>
      <w:r>
        <w:rPr>
          <w:u w:val="single"/>
        </w:rPr>
        <w:t xml:space="preserve">            </w:t>
      </w:r>
      <w:r>
        <w:rPr>
          <w:lang w:val="zh-CN"/>
        </w:rPr>
        <w:t xml:space="preserve"> </w:t>
      </w:r>
      <w:r>
        <w:rPr>
          <w:rFonts w:hint="eastAsia"/>
          <w:lang w:val="zh-CN"/>
        </w:rPr>
        <w:t>；</w:t>
      </w:r>
      <w:r>
        <w:rPr>
          <w:lang w:val="zh-CN"/>
        </w:rPr>
        <w:t>……</w:t>
      </w:r>
      <w:r>
        <w:rPr>
          <w:rFonts w:hint="eastAsia"/>
          <w:lang w:val="zh-CN"/>
        </w:rPr>
        <w:t>。</w:t>
      </w:r>
    </w:p>
    <w:p>
      <w:pPr>
        <w:snapToGrid w:val="0"/>
        <w:spacing w:line="400" w:lineRule="exact"/>
        <w:ind w:firstLine="576"/>
        <w:rPr>
          <w:lang w:val="zh-CN"/>
        </w:rPr>
      </w:pPr>
      <w:r>
        <w:rPr>
          <w:lang w:val="zh-CN"/>
        </w:rPr>
        <w:t>四、</w:t>
      </w:r>
      <w:r>
        <w:t>中小企业合同金额达到</w:t>
      </w:r>
      <w:r>
        <w:rPr>
          <w:rFonts w:hint="eastAsia"/>
        </w:rPr>
        <w:t>项目金额</w:t>
      </w:r>
      <w:r>
        <w:rPr>
          <w:u w:val="single"/>
        </w:rPr>
        <w:t xml:space="preserve">  </w:t>
      </w:r>
      <w:r>
        <w:t>%，小微企业合同金额达到</w:t>
      </w:r>
      <w:r>
        <w:rPr>
          <w:rFonts w:hint="eastAsia"/>
        </w:rPr>
        <w:t>项目金额</w:t>
      </w:r>
      <w:r>
        <w:rPr>
          <w:u w:val="single"/>
        </w:rPr>
        <w:t xml:space="preserve"> </w:t>
      </w:r>
      <w:r>
        <w:t>%</w:t>
      </w:r>
      <w:r>
        <w:rPr>
          <w:lang w:val="zh-CN"/>
        </w:rPr>
        <w:t>。</w:t>
      </w:r>
    </w:p>
    <w:p>
      <w:pPr>
        <w:snapToGrid w:val="0"/>
        <w:spacing w:line="400" w:lineRule="exact"/>
        <w:ind w:firstLine="576"/>
        <w:rPr>
          <w:b/>
          <w:lang w:val="zh-CN"/>
        </w:rPr>
      </w:pPr>
      <w:r>
        <w:rPr>
          <w:rFonts w:hint="eastAsia"/>
          <w:lang w:val="zh-CN"/>
        </w:rPr>
        <w:t>五</w:t>
      </w:r>
      <w:r>
        <w:rPr>
          <w:lang w:val="zh-CN"/>
        </w:rPr>
        <w:t>、</w:t>
      </w:r>
      <w:r>
        <w:rPr>
          <w:u w:val="single"/>
        </w:rPr>
        <w:t>（联合体其中一方成员名称）</w:t>
      </w:r>
      <w:r>
        <w:t>提供的全部</w:t>
      </w:r>
      <w:r>
        <w:rPr>
          <w:rFonts w:hint="eastAsia"/>
        </w:rPr>
        <w:t>服务</w:t>
      </w:r>
      <w:r>
        <w:t>由小微企业</w:t>
      </w:r>
      <w:r>
        <w:rPr>
          <w:rFonts w:hint="eastAsia"/>
        </w:rPr>
        <w:t>承接</w:t>
      </w:r>
      <w:r>
        <w:t>，其合同份额占到</w:t>
      </w:r>
      <w:r>
        <w:rPr>
          <w:rFonts w:hint="eastAsia"/>
        </w:rPr>
        <w:t>项目</w:t>
      </w:r>
      <w:r>
        <w:t>总金额</w:t>
      </w:r>
      <w:r>
        <w:rPr>
          <w:u w:val="single"/>
        </w:rPr>
        <w:t xml:space="preserve">     </w:t>
      </w:r>
      <w:r>
        <w:t>%以上；</w:t>
      </w:r>
      <w:r>
        <w:rPr>
          <w:lang w:val="zh-CN"/>
        </w:rPr>
        <w:t>……。</w:t>
      </w:r>
      <w:r>
        <w:rPr>
          <w:b/>
          <w:lang w:val="zh-CN"/>
        </w:rPr>
        <w:t>（未预留份额专门面向中小企业采购的采购项目，以及预留份额中的非预留部分采购包，接受联合体投标的，联合体其中一方提供的</w:t>
      </w:r>
      <w:r>
        <w:rPr>
          <w:rFonts w:hint="eastAsia"/>
          <w:b/>
          <w:lang w:val="zh-CN"/>
        </w:rPr>
        <w:t>服务</w:t>
      </w:r>
      <w:r>
        <w:rPr>
          <w:b/>
          <w:lang w:val="zh-CN"/>
        </w:rPr>
        <w:t>全部由小微企业</w:t>
      </w:r>
      <w:r>
        <w:rPr>
          <w:rFonts w:hint="eastAsia"/>
          <w:b/>
          <w:lang w:val="zh-CN"/>
        </w:rPr>
        <w:t>承接</w:t>
      </w:r>
      <w:r>
        <w:rPr>
          <w:b/>
          <w:lang w:val="zh-CN"/>
        </w:rPr>
        <w:t>，且其合同份额占到</w:t>
      </w:r>
      <w:r>
        <w:rPr>
          <w:rFonts w:hint="eastAsia"/>
          <w:b/>
          <w:lang w:val="zh-CN"/>
        </w:rPr>
        <w:t>项目</w:t>
      </w:r>
      <w:r>
        <w:rPr>
          <w:b/>
          <w:lang w:val="zh-CN"/>
        </w:rPr>
        <w:t>总金额 30%以上，对联合体报价给予</w:t>
      </w:r>
      <w:r>
        <w:rPr>
          <w:rFonts w:hint="eastAsia"/>
          <w:b/>
        </w:rPr>
        <w:t>6</w:t>
      </w:r>
      <w:r>
        <w:rPr>
          <w:b/>
          <w:lang w:val="zh-CN"/>
        </w:rPr>
        <w:t>%的扣除）</w:t>
      </w:r>
    </w:p>
    <w:p>
      <w:pPr>
        <w:snapToGrid w:val="0"/>
        <w:spacing w:line="400" w:lineRule="exact"/>
        <w:ind w:firstLine="576"/>
        <w:rPr>
          <w:lang w:val="zh-CN"/>
        </w:rPr>
      </w:pPr>
      <w:r>
        <w:rPr>
          <w:rFonts w:hint="eastAsia"/>
          <w:lang w:val="zh-CN"/>
        </w:rPr>
        <w:t>六、如果成交，</w:t>
      </w:r>
      <w:r>
        <w:rPr>
          <w:rFonts w:hint="eastAsia"/>
        </w:rPr>
        <w:t>联合体各成员方共同与采购人签订合同，并就采购合同约定的事项对采购人承担连带责任。</w:t>
      </w:r>
    </w:p>
    <w:p>
      <w:pPr>
        <w:snapToGrid w:val="0"/>
        <w:spacing w:line="400" w:lineRule="exact"/>
        <w:ind w:firstLine="576"/>
        <w:rPr>
          <w:lang w:val="zh-CN"/>
        </w:rPr>
      </w:pPr>
      <w:r>
        <w:rPr>
          <w:rFonts w:hint="eastAsia"/>
          <w:lang w:val="zh-CN"/>
        </w:rPr>
        <w:t>七、有关本次联合投标的其他事宜：</w:t>
      </w:r>
    </w:p>
    <w:p>
      <w:pPr>
        <w:snapToGrid w:val="0"/>
        <w:spacing w:line="400" w:lineRule="exact"/>
        <w:ind w:firstLine="576"/>
        <w:rPr>
          <w:lang w:val="zh-CN"/>
        </w:rPr>
      </w:pPr>
      <w:r>
        <w:rPr>
          <w:lang w:val="zh-CN"/>
        </w:rPr>
        <w:t>1.</w:t>
      </w:r>
      <w:r>
        <w:rPr>
          <w:rFonts w:hint="eastAsia"/>
          <w:lang w:val="zh-CN"/>
        </w:rPr>
        <w:t>联合体各方不再单独参加或者与其他供应商另外组成联合体参加同一合同项下的政府采购活动。</w:t>
      </w:r>
    </w:p>
    <w:p>
      <w:pPr>
        <w:snapToGrid w:val="0"/>
        <w:spacing w:line="400" w:lineRule="exact"/>
        <w:ind w:firstLine="576"/>
        <w:rPr>
          <w:lang w:val="zh-CN"/>
        </w:rPr>
      </w:pPr>
      <w:r>
        <w:rPr>
          <w:lang w:val="zh-CN"/>
        </w:rPr>
        <w:t>2.</w:t>
      </w:r>
      <w:r>
        <w:rPr>
          <w:rFonts w:hint="eastAsia"/>
          <w:lang w:val="zh-CN"/>
        </w:rPr>
        <w:t>联合体中有同类资质的各方按照联合体分工承担相同工作的，按照资质等级较低的供应商确定资质等级。</w:t>
      </w:r>
    </w:p>
    <w:p>
      <w:pPr>
        <w:snapToGrid w:val="0"/>
        <w:spacing w:line="400" w:lineRule="exact"/>
        <w:ind w:firstLine="576"/>
        <w:rPr>
          <w:lang w:val="zh-CN"/>
        </w:rPr>
      </w:pPr>
      <w:r>
        <w:rPr>
          <w:lang w:val="zh-CN"/>
        </w:rPr>
        <w:t>3.</w:t>
      </w:r>
      <w:r>
        <w:rPr>
          <w:rFonts w:hint="eastAsia"/>
          <w:lang w:val="zh-CN"/>
        </w:rPr>
        <w:t>本协议提交采购人、采购机构后，联合体各方不得以任何形式对上述内容进行修改或撤销。</w:t>
      </w:r>
    </w:p>
    <w:p>
      <w:pPr>
        <w:snapToGrid w:val="0"/>
        <w:spacing w:line="400" w:lineRule="exact"/>
        <w:ind w:firstLine="5040" w:firstLineChars="2100"/>
        <w:rPr>
          <w:lang w:val="zh-CN"/>
        </w:rPr>
      </w:pPr>
      <w:r>
        <w:rPr>
          <w:rFonts w:hint="eastAsia"/>
          <w:lang w:val="zh-CN"/>
        </w:rPr>
        <w:t>联合体成员名称</w:t>
      </w:r>
      <w:r>
        <w:rPr>
          <w:lang w:val="zh-CN"/>
        </w:rPr>
        <w:t>(</w:t>
      </w:r>
      <w:r>
        <w:rPr>
          <w:rFonts w:hint="eastAsia"/>
          <w:lang w:val="zh-CN"/>
        </w:rPr>
        <w:t>电子签章</w:t>
      </w:r>
      <w:r>
        <w:rPr>
          <w:lang w:val="zh-CN"/>
        </w:rPr>
        <w:t>/</w:t>
      </w:r>
      <w:r>
        <w:rPr>
          <w:rFonts w:hint="eastAsia"/>
          <w:lang w:val="zh-CN"/>
        </w:rPr>
        <w:t>公章</w:t>
      </w:r>
      <w:r>
        <w:rPr>
          <w:lang w:val="zh-CN"/>
        </w:rPr>
        <w:t>)</w:t>
      </w:r>
      <w:r>
        <w:rPr>
          <w:rFonts w:hint="eastAsia"/>
          <w:lang w:val="zh-CN"/>
        </w:rPr>
        <w:t>：</w:t>
      </w:r>
    </w:p>
    <w:p>
      <w:pPr>
        <w:snapToGrid w:val="0"/>
        <w:spacing w:line="400" w:lineRule="exact"/>
        <w:ind w:firstLine="5040" w:firstLineChars="2100"/>
        <w:rPr>
          <w:lang w:val="zh-CN"/>
        </w:rPr>
      </w:pPr>
      <w:r>
        <w:rPr>
          <w:rFonts w:hint="eastAsia"/>
          <w:lang w:val="zh-CN"/>
        </w:rPr>
        <w:t>联合体成员名称</w:t>
      </w:r>
      <w:r>
        <w:rPr>
          <w:lang w:val="zh-CN"/>
        </w:rPr>
        <w:t>(</w:t>
      </w:r>
      <w:r>
        <w:rPr>
          <w:rFonts w:hint="eastAsia"/>
          <w:lang w:val="zh-CN"/>
        </w:rPr>
        <w:t>电子签章</w:t>
      </w:r>
      <w:r>
        <w:rPr>
          <w:lang w:val="zh-CN"/>
        </w:rPr>
        <w:t>/</w:t>
      </w:r>
      <w:r>
        <w:rPr>
          <w:rFonts w:hint="eastAsia"/>
          <w:lang w:val="zh-CN"/>
        </w:rPr>
        <w:t>公章</w:t>
      </w:r>
      <w:r>
        <w:rPr>
          <w:lang w:val="zh-CN"/>
        </w:rPr>
        <w:t>)</w:t>
      </w:r>
      <w:r>
        <w:rPr>
          <w:rFonts w:hint="eastAsia"/>
          <w:lang w:val="zh-CN"/>
        </w:rPr>
        <w:t>：</w:t>
      </w:r>
    </w:p>
    <w:p>
      <w:pPr>
        <w:snapToGrid w:val="0"/>
        <w:spacing w:line="400" w:lineRule="exact"/>
        <w:ind w:firstLine="5760" w:firstLineChars="2400"/>
      </w:pPr>
      <w:r>
        <w:rPr>
          <w:lang w:val="zh-CN"/>
        </w:rPr>
        <w:t>……</w:t>
      </w:r>
    </w:p>
    <w:p>
      <w:pPr>
        <w:snapToGrid w:val="0"/>
        <w:spacing w:line="400" w:lineRule="exact"/>
        <w:rPr>
          <w:lang w:val="zh-CN"/>
        </w:rPr>
      </w:pPr>
      <w:r>
        <w:rPr>
          <w:lang w:val="zh-CN"/>
        </w:rPr>
        <w:t xml:space="preserve">                                                                                      </w:t>
      </w:r>
      <w:r>
        <w:rPr>
          <w:rFonts w:hint="eastAsia"/>
          <w:lang w:val="zh-CN"/>
        </w:rPr>
        <w:t>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pPr>
        <w:spacing w:line="276" w:lineRule="auto"/>
        <w:rPr>
          <w:rFonts w:ascii="宋体" w:hAnsi="宋体"/>
          <w:b/>
          <w:sz w:val="32"/>
          <w:szCs w:val="32"/>
        </w:rPr>
      </w:pPr>
    </w:p>
    <w:p>
      <w:pPr>
        <w:pStyle w:val="42"/>
        <w:ind w:left="480" w:firstLine="0" w:firstLineChars="0"/>
      </w:pPr>
      <w:r>
        <w:rPr>
          <w:rFonts w:hint="eastAsia"/>
        </w:rPr>
        <w:t>----------------------------------------------------------------------------------------------------------</w:t>
      </w:r>
    </w:p>
    <w:p>
      <w:pPr>
        <w:snapToGrid w:val="0"/>
        <w:spacing w:line="360" w:lineRule="auto"/>
        <w:ind w:firstLine="576"/>
        <w:rPr>
          <w:rFonts w:hint="eastAsia"/>
          <w:lang w:val="zh-CN"/>
        </w:rPr>
      </w:pPr>
      <w:r>
        <w:rPr>
          <w:rFonts w:hint="eastAsia"/>
        </w:rPr>
        <w:t>备注：</w:t>
      </w:r>
      <w:r>
        <w:rPr>
          <w:rFonts w:hint="eastAsia"/>
          <w:lang w:val="zh-CN"/>
        </w:rPr>
        <w:t>联合体各方资质及业绩可共享共用，同等有效。</w:t>
      </w:r>
    </w:p>
    <w:p>
      <w:pPr>
        <w:pStyle w:val="42"/>
        <w:ind w:left="480" w:firstLine="480"/>
        <w:rPr>
          <w:rFonts w:hint="eastAsia"/>
        </w:rPr>
        <w:sectPr>
          <w:pgSz w:w="11906" w:h="16838"/>
          <w:pgMar w:top="1259" w:right="1287" w:bottom="1361" w:left="1622" w:header="709" w:footer="975" w:gutter="0"/>
          <w:cols w:space="720" w:num="1"/>
        </w:sectPr>
      </w:pPr>
    </w:p>
    <w:p>
      <w:pPr>
        <w:snapToGrid w:val="0"/>
        <w:spacing w:line="360" w:lineRule="auto"/>
        <w:ind w:firstLine="3534" w:firstLineChars="1100"/>
        <w:rPr>
          <w:b/>
          <w:sz w:val="32"/>
          <w:szCs w:val="32"/>
        </w:rPr>
      </w:pPr>
      <w:r>
        <w:rPr>
          <w:rFonts w:hint="eastAsia"/>
          <w:b/>
          <w:sz w:val="32"/>
          <w:szCs w:val="32"/>
        </w:rPr>
        <w:t>分包意向协议</w:t>
      </w:r>
    </w:p>
    <w:p>
      <w:pPr>
        <w:spacing w:line="360" w:lineRule="auto"/>
        <w:ind w:firstLine="120" w:firstLineChars="50"/>
      </w:pPr>
      <w:r>
        <w:rPr>
          <w:rFonts w:hint="eastAsia"/>
        </w:rPr>
        <w:t>（</w:t>
      </w:r>
      <w:r>
        <w:rPr>
          <w:rFonts w:hint="eastAsia"/>
          <w:b/>
        </w:rPr>
        <w:t>成交后以分包方式履行合同的，提供分包意向协议；采购人不同意分包或者供应商成交后不以分包方式履行合同的，则不需要提供。</w:t>
      </w:r>
      <w:r>
        <w:rPr>
          <w:rFonts w:hint="eastAsia"/>
        </w:rPr>
        <w:t>）</w:t>
      </w:r>
    </w:p>
    <w:p>
      <w:pPr>
        <w:snapToGrid w:val="0"/>
        <w:spacing w:line="360" w:lineRule="auto"/>
        <w:ind w:firstLine="576"/>
        <w:rPr>
          <w:lang w:val="zh-CN"/>
        </w:rPr>
      </w:pPr>
      <w:r>
        <w:rPr>
          <w:rFonts w:hint="eastAsia"/>
          <w:u w:val="single"/>
        </w:rPr>
        <w:t>（供应商名称）</w:t>
      </w:r>
      <w:r>
        <w:rPr>
          <w:rFonts w:hint="eastAsia"/>
          <w:lang w:val="zh-CN"/>
        </w:rPr>
        <w:t>若成为</w:t>
      </w:r>
      <w:r>
        <w:rPr>
          <w:rFonts w:hint="eastAsia"/>
        </w:rPr>
        <w:t>（项目名称）（采购编号）</w:t>
      </w:r>
      <w:r>
        <w:rPr>
          <w:rFonts w:hint="eastAsia"/>
          <w:lang w:val="zh-CN"/>
        </w:rPr>
        <w:t>的成交供应商，将依法采取分包方式履行合同。</w:t>
      </w:r>
      <w:r>
        <w:rPr>
          <w:rFonts w:hint="eastAsia"/>
          <w:u w:val="single"/>
        </w:rPr>
        <w:t>（供应商名称）</w:t>
      </w:r>
      <w:r>
        <w:rPr>
          <w:rFonts w:hint="eastAsia"/>
        </w:rPr>
        <w:t>与</w:t>
      </w:r>
      <w:r>
        <w:rPr>
          <w:rFonts w:hint="eastAsia"/>
          <w:u w:val="single"/>
        </w:rPr>
        <w:t>（所有分包供应商名称）</w:t>
      </w:r>
      <w:r>
        <w:rPr>
          <w:rFonts w:hint="eastAsia"/>
        </w:rPr>
        <w:t>达成分包意向协议</w:t>
      </w:r>
      <w:r>
        <w:rPr>
          <w:rFonts w:hint="eastAsia"/>
          <w:lang w:val="zh-CN"/>
        </w:rPr>
        <w:t>。</w:t>
      </w:r>
      <w:r>
        <w:rPr>
          <w:lang w:val="zh-CN"/>
        </w:rPr>
        <w:t xml:space="preserve"> </w:t>
      </w:r>
    </w:p>
    <w:p>
      <w:pPr>
        <w:snapToGrid w:val="0"/>
        <w:spacing w:line="360" w:lineRule="auto"/>
        <w:ind w:firstLine="576"/>
        <w:rPr>
          <w:lang w:val="zh-CN"/>
        </w:rPr>
      </w:pPr>
      <w:r>
        <w:rPr>
          <w:rFonts w:hint="eastAsia"/>
          <w:lang w:val="zh-CN"/>
        </w:rPr>
        <w:t>一、分包标的及数量</w:t>
      </w:r>
    </w:p>
    <w:p>
      <w:pPr>
        <w:snapToGrid w:val="0"/>
        <w:spacing w:line="360" w:lineRule="auto"/>
        <w:ind w:firstLine="576"/>
        <w:rPr>
          <w:lang w:val="zh-CN"/>
        </w:rPr>
      </w:pPr>
      <w:r>
        <w:rPr>
          <w:rFonts w:hint="eastAsia"/>
          <w:u w:val="single"/>
        </w:rPr>
        <w:t>（供应商名称）</w:t>
      </w:r>
      <w:r>
        <w:rPr>
          <w:rFonts w:hint="eastAsia"/>
          <w:lang w:val="zh-CN"/>
        </w:rPr>
        <w:t>将</w:t>
      </w:r>
      <w:r>
        <w:rPr>
          <w:u w:val="single"/>
        </w:rPr>
        <w:t xml:space="preserve">   XX</w:t>
      </w:r>
      <w:r>
        <w:rPr>
          <w:rFonts w:hint="eastAsia"/>
          <w:u w:val="single"/>
        </w:rPr>
        <w:t>工作内容</w:t>
      </w:r>
      <w:r>
        <w:rPr>
          <w:u w:val="single"/>
        </w:rPr>
        <w:t xml:space="preserve">   </w:t>
      </w:r>
      <w:r>
        <w:rPr>
          <w:rFonts w:hint="eastAsia"/>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w:t>
      </w:r>
      <w:r>
        <w:rPr>
          <w:rFonts w:hint="eastAsia"/>
          <w:u w:val="single"/>
          <w:lang w:val="zh-CN"/>
        </w:rPr>
        <w:t>工作内容</w:t>
      </w:r>
      <w:r>
        <w:rPr>
          <w:rFonts w:hint="eastAsia"/>
          <w:lang w:val="zh-CN"/>
        </w:rPr>
        <w:t>相应资质条件且不得再次分包；</w:t>
      </w:r>
    </w:p>
    <w:p>
      <w:pPr>
        <w:spacing w:line="360" w:lineRule="auto"/>
        <w:ind w:firstLine="720" w:firstLineChars="300"/>
      </w:pPr>
      <w:r>
        <w:t>……</w:t>
      </w:r>
    </w:p>
    <w:p>
      <w:pPr>
        <w:snapToGrid w:val="0"/>
        <w:spacing w:line="360" w:lineRule="auto"/>
        <w:ind w:firstLine="576"/>
        <w:rPr>
          <w:lang w:val="zh-CN"/>
        </w:rPr>
      </w:pPr>
      <w:r>
        <w:rPr>
          <w:rFonts w:hint="eastAsia"/>
          <w:lang w:val="zh-CN"/>
        </w:rPr>
        <w:t>二、分包工作履行期限、地点、方式</w:t>
      </w:r>
    </w:p>
    <w:p>
      <w:pPr>
        <w:snapToGrid w:val="0"/>
        <w:spacing w:line="360" w:lineRule="auto"/>
        <w:ind w:firstLine="576"/>
        <w:rPr>
          <w:lang w:val="zh-CN"/>
        </w:rPr>
      </w:pPr>
      <w:r>
        <w:rPr>
          <w:rFonts w:hint="eastAsia"/>
          <w:lang w:val="zh-CN"/>
        </w:rPr>
        <w:t>三、质量</w:t>
      </w:r>
    </w:p>
    <w:p>
      <w:pPr>
        <w:snapToGrid w:val="0"/>
        <w:spacing w:line="360" w:lineRule="auto"/>
        <w:ind w:firstLine="576"/>
        <w:rPr>
          <w:lang w:val="zh-CN"/>
        </w:rPr>
      </w:pPr>
      <w:r>
        <w:rPr>
          <w:rFonts w:hint="eastAsia"/>
          <w:lang w:val="zh-CN"/>
        </w:rPr>
        <w:t>四、价款或者报酬</w:t>
      </w:r>
    </w:p>
    <w:p>
      <w:pPr>
        <w:snapToGrid w:val="0"/>
        <w:spacing w:line="360" w:lineRule="auto"/>
        <w:ind w:firstLine="576"/>
        <w:rPr>
          <w:lang w:val="zh-CN"/>
        </w:rPr>
      </w:pPr>
      <w:r>
        <w:rPr>
          <w:rFonts w:hint="eastAsia"/>
          <w:lang w:val="zh-CN"/>
        </w:rPr>
        <w:t>五、违约责任</w:t>
      </w:r>
    </w:p>
    <w:p>
      <w:pPr>
        <w:snapToGrid w:val="0"/>
        <w:spacing w:line="360" w:lineRule="auto"/>
        <w:ind w:firstLine="576"/>
        <w:rPr>
          <w:lang w:val="zh-CN"/>
        </w:rPr>
      </w:pPr>
      <w:r>
        <w:rPr>
          <w:rFonts w:hint="eastAsia"/>
          <w:lang w:val="zh-CN"/>
        </w:rPr>
        <w:t>六、争议解决的办法</w:t>
      </w:r>
    </w:p>
    <w:p>
      <w:pPr>
        <w:snapToGrid w:val="0"/>
        <w:spacing w:line="360" w:lineRule="auto"/>
        <w:ind w:firstLine="576"/>
        <w:rPr>
          <w:lang w:val="zh-CN"/>
        </w:rPr>
      </w:pPr>
      <w:bookmarkStart w:id="72" w:name="_Hlk99031765"/>
      <w:r>
        <w:rPr>
          <w:lang w:val="zh-CN"/>
        </w:rPr>
        <w:t>七、其他</w:t>
      </w:r>
    </w:p>
    <w:p>
      <w:pPr>
        <w:snapToGrid w:val="0"/>
        <w:spacing w:line="360" w:lineRule="auto"/>
        <w:ind w:firstLine="576"/>
        <w:rPr>
          <w:lang w:val="zh-CN"/>
        </w:rPr>
      </w:pPr>
      <w:r>
        <w:t>中小企业合同金额达到</w:t>
      </w:r>
      <w:r>
        <w:rPr>
          <w:rFonts w:hint="eastAsia"/>
        </w:rPr>
        <w:t>项目金额</w:t>
      </w:r>
      <w:r>
        <w:rPr>
          <w:u w:val="single"/>
        </w:rPr>
        <w:t xml:space="preserve">  </w:t>
      </w:r>
      <w:r>
        <w:t>%，小微企业合同金额达到</w:t>
      </w:r>
      <w:r>
        <w:rPr>
          <w:rFonts w:hint="eastAsia"/>
        </w:rPr>
        <w:t>项目金额</w:t>
      </w:r>
      <w:r>
        <w:rPr>
          <w:u w:val="single"/>
        </w:rPr>
        <w:t xml:space="preserve"> </w:t>
      </w:r>
      <w:r>
        <w:t>%</w:t>
      </w:r>
      <w:r>
        <w:rPr>
          <w:lang w:val="zh-CN"/>
        </w:rPr>
        <w:t xml:space="preserve">。  </w:t>
      </w:r>
    </w:p>
    <w:p>
      <w:pPr>
        <w:snapToGrid w:val="0"/>
        <w:spacing w:line="360" w:lineRule="auto"/>
        <w:ind w:firstLine="576"/>
        <w:rPr>
          <w:b/>
          <w:lang w:val="zh-CN"/>
        </w:rPr>
      </w:pPr>
      <w:r>
        <w:rPr>
          <w:rFonts w:hint="eastAsia"/>
        </w:rPr>
        <w:t>八、</w:t>
      </w:r>
      <w:r>
        <w:rPr>
          <w:u w:val="single"/>
        </w:rPr>
        <w:t>（分包供应商名称）提供的</w:t>
      </w:r>
      <w:r>
        <w:rPr>
          <w:rFonts w:hint="eastAsia"/>
          <w:u w:val="single"/>
        </w:rPr>
        <w:t>服务</w:t>
      </w:r>
      <w:r>
        <w:rPr>
          <w:u w:val="single"/>
        </w:rPr>
        <w:t>全部由小微企业</w:t>
      </w:r>
      <w:r>
        <w:rPr>
          <w:rFonts w:hint="eastAsia"/>
          <w:u w:val="single"/>
        </w:rPr>
        <w:t>承接</w:t>
      </w:r>
      <w:r>
        <w:rPr>
          <w:u w:val="single"/>
        </w:rPr>
        <w:t>，</w:t>
      </w:r>
      <w:r>
        <w:t>其合同份额占到合同总金额</w:t>
      </w:r>
      <w:r>
        <w:rPr>
          <w:u w:val="single"/>
        </w:rPr>
        <w:t xml:space="preserve">     </w:t>
      </w:r>
      <w:r>
        <w:t>%以上。</w:t>
      </w:r>
      <w:r>
        <w:rPr>
          <w:b/>
          <w:lang w:val="zh-CN"/>
        </w:rPr>
        <w:t>（未预留份额专门面向中小企业采购的采购项目，以及预留份额中的非预留部分采购包，允许分包的，分包供应商提供的</w:t>
      </w:r>
      <w:r>
        <w:rPr>
          <w:rFonts w:hint="eastAsia"/>
          <w:b/>
          <w:lang w:val="zh-CN"/>
        </w:rPr>
        <w:t>服务</w:t>
      </w:r>
      <w:r>
        <w:rPr>
          <w:b/>
          <w:lang w:val="zh-CN"/>
        </w:rPr>
        <w:t>全部由小微企业</w:t>
      </w:r>
      <w:r>
        <w:rPr>
          <w:rFonts w:hint="eastAsia"/>
          <w:b/>
          <w:lang w:val="zh-CN"/>
        </w:rPr>
        <w:t>承接</w:t>
      </w:r>
      <w:r>
        <w:rPr>
          <w:b/>
          <w:lang w:val="zh-CN"/>
        </w:rPr>
        <w:t>，且其合同份额占到</w:t>
      </w:r>
      <w:r>
        <w:rPr>
          <w:rFonts w:hint="eastAsia"/>
          <w:b/>
          <w:lang w:val="zh-CN"/>
        </w:rPr>
        <w:t>项目</w:t>
      </w:r>
      <w:r>
        <w:rPr>
          <w:b/>
          <w:lang w:val="zh-CN"/>
        </w:rPr>
        <w:t>总金额 30%以上的，对大中型企业的报价给予</w:t>
      </w:r>
      <w:r>
        <w:rPr>
          <w:rFonts w:hint="eastAsia"/>
          <w:b/>
        </w:rPr>
        <w:t>6</w:t>
      </w:r>
      <w:r>
        <w:rPr>
          <w:b/>
          <w:lang w:val="zh-CN"/>
        </w:rPr>
        <w:t>%的扣除）</w:t>
      </w:r>
    </w:p>
    <w:bookmarkEnd w:id="72"/>
    <w:p>
      <w:pPr>
        <w:snapToGrid w:val="0"/>
        <w:spacing w:line="360" w:lineRule="auto"/>
        <w:ind w:firstLine="576"/>
        <w:rPr>
          <w:b/>
          <w:lang w:val="zh-CN"/>
        </w:rPr>
      </w:pPr>
    </w:p>
    <w:p>
      <w:pPr>
        <w:snapToGrid w:val="0"/>
        <w:spacing w:line="360" w:lineRule="auto"/>
        <w:ind w:left="5040" w:leftChars="100" w:hanging="4800" w:hangingChars="2000"/>
        <w:rPr>
          <w:lang w:val="zh-CN"/>
        </w:rPr>
      </w:pPr>
    </w:p>
    <w:p>
      <w:pPr>
        <w:snapToGrid w:val="0"/>
        <w:spacing w:line="360" w:lineRule="auto"/>
        <w:ind w:left="5040" w:leftChars="100" w:hanging="4800" w:hangingChars="2000"/>
        <w:rPr>
          <w:lang w:val="zh-CN"/>
        </w:rPr>
      </w:pPr>
    </w:p>
    <w:p>
      <w:pPr>
        <w:snapToGrid w:val="0"/>
        <w:spacing w:line="360" w:lineRule="auto"/>
        <w:ind w:left="5040" w:leftChars="1300" w:hanging="1920" w:hangingChars="800"/>
        <w:rPr>
          <w:lang w:val="zh-CN"/>
        </w:rPr>
      </w:pPr>
      <w:r>
        <w:rPr>
          <w:lang w:val="zh-CN"/>
        </w:rPr>
        <w:t xml:space="preserve">                                          </w:t>
      </w:r>
      <w:r>
        <w:rPr>
          <w:rFonts w:hint="eastAsia"/>
          <w:lang w:val="zh-CN"/>
        </w:rPr>
        <w:t>供应商名称</w:t>
      </w:r>
      <w:r>
        <w:rPr>
          <w:lang w:val="zh-CN"/>
        </w:rPr>
        <w:t>(</w:t>
      </w:r>
      <w:r>
        <w:rPr>
          <w:rFonts w:hint="eastAsia"/>
          <w:lang w:val="zh-CN"/>
        </w:rPr>
        <w:t>电子签章</w:t>
      </w:r>
      <w:r>
        <w:rPr>
          <w:lang w:val="zh-CN"/>
        </w:rPr>
        <w:t>)</w:t>
      </w:r>
      <w:r>
        <w:rPr>
          <w:rFonts w:hint="eastAsia"/>
          <w:lang w:val="zh-CN"/>
        </w:rPr>
        <w:t>：</w:t>
      </w:r>
    </w:p>
    <w:p>
      <w:pPr>
        <w:snapToGrid w:val="0"/>
        <w:spacing w:line="360" w:lineRule="auto"/>
        <w:ind w:firstLine="5640" w:firstLineChars="2350"/>
        <w:rPr>
          <w:lang w:val="zh-CN"/>
        </w:rPr>
      </w:pPr>
      <w:r>
        <w:rPr>
          <w:rFonts w:hint="eastAsia"/>
          <w:lang w:val="zh-CN"/>
        </w:rPr>
        <w:t>分包供应商名称：</w:t>
      </w:r>
    </w:p>
    <w:p>
      <w:pPr>
        <w:snapToGrid w:val="0"/>
        <w:spacing w:line="360" w:lineRule="auto"/>
        <w:ind w:firstLine="5760" w:firstLineChars="2400"/>
      </w:pPr>
      <w:r>
        <w:rPr>
          <w:lang w:val="zh-CN"/>
        </w:rPr>
        <w:t>……</w:t>
      </w:r>
    </w:p>
    <w:p>
      <w:pPr>
        <w:spacing w:line="360" w:lineRule="auto"/>
        <w:jc w:val="center"/>
        <w:rPr>
          <w:lang w:val="zh-CN"/>
        </w:rPr>
      </w:pPr>
      <w:r>
        <w:rPr>
          <w:lang w:val="zh-CN"/>
        </w:rPr>
        <w:t xml:space="preserve">                                                                      </w:t>
      </w:r>
      <w:r>
        <w:rPr>
          <w:rFonts w:hint="eastAsia"/>
          <w:lang w:val="zh-CN"/>
        </w:rPr>
        <w:t>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pPr>
        <w:pStyle w:val="24"/>
        <w:widowControl w:val="0"/>
        <w:adjustRightInd w:val="0"/>
        <w:snapToGrid w:val="0"/>
        <w:spacing w:line="276" w:lineRule="auto"/>
        <w:jc w:val="center"/>
        <w:rPr>
          <w:rFonts w:hint="eastAsia"/>
          <w:b/>
          <w:sz w:val="32"/>
          <w:szCs w:val="32"/>
        </w:rPr>
        <w:sectPr>
          <w:pgSz w:w="11906" w:h="16838"/>
          <w:pgMar w:top="1259" w:right="1287" w:bottom="1361" w:left="1622" w:header="709" w:footer="975" w:gutter="0"/>
          <w:cols w:space="720" w:num="1"/>
          <w:docGrid w:linePitch="360" w:charSpace="0"/>
        </w:sectPr>
      </w:pPr>
    </w:p>
    <w:p>
      <w:pPr>
        <w:spacing w:line="360" w:lineRule="auto"/>
        <w:ind w:left="150"/>
        <w:jc w:val="center"/>
        <w:rPr>
          <w:rFonts w:ascii="宋体" w:hAnsi="宋体" w:cs="仿宋_GB2312"/>
          <w:b/>
          <w:sz w:val="32"/>
          <w:szCs w:val="32"/>
        </w:rPr>
      </w:pPr>
      <w:r>
        <w:rPr>
          <w:rFonts w:hint="eastAsia" w:ascii="宋体" w:hAnsi="宋体" w:cs="仿宋_GB2312"/>
          <w:b/>
          <w:sz w:val="32"/>
          <w:szCs w:val="32"/>
        </w:rPr>
        <w:t>三、本项目的特定资格要求</w:t>
      </w:r>
    </w:p>
    <w:p>
      <w:pPr>
        <w:spacing w:line="360" w:lineRule="auto"/>
        <w:jc w:val="center"/>
        <w:rPr>
          <w:rFonts w:ascii="宋体" w:hAnsi="宋体"/>
        </w:rPr>
      </w:pPr>
      <w:r>
        <w:rPr>
          <w:rFonts w:hint="eastAsia" w:ascii="宋体" w:hAnsi="宋体" w:cs="仿宋_GB2312"/>
        </w:rPr>
        <w:t>（根据招标公告本项目的特定资格要求</w:t>
      </w:r>
      <w:r>
        <w:rPr>
          <w:rFonts w:hint="eastAsia" w:ascii="宋体" w:hAnsi="宋体"/>
        </w:rPr>
        <w:t>提供相应的材料；未要求的，无需提供</w:t>
      </w:r>
      <w:r>
        <w:rPr>
          <w:rFonts w:hint="eastAsia" w:ascii="宋体" w:hAnsi="宋体" w:cs="仿宋_GB2312"/>
        </w:rPr>
        <w:t>）</w:t>
      </w:r>
    </w:p>
    <w:bookmarkEnd w:id="71"/>
    <w:p>
      <w:pPr>
        <w:pStyle w:val="39"/>
        <w:widowControl w:val="0"/>
        <w:adjustRightInd w:val="0"/>
        <w:snapToGrid w:val="0"/>
        <w:spacing w:line="390" w:lineRule="atLeast"/>
        <w:rPr>
          <w:rFonts w:hint="default"/>
          <w:b/>
          <w:sz w:val="32"/>
          <w:szCs w:val="32"/>
        </w:rPr>
        <w:sectPr>
          <w:pgSz w:w="11906" w:h="16838"/>
          <w:pgMar w:top="1259" w:right="1287" w:bottom="1361" w:left="1622" w:header="709" w:footer="975" w:gutter="0"/>
          <w:cols w:space="720" w:num="1"/>
          <w:docGrid w:linePitch="360" w:charSpace="0"/>
        </w:sectPr>
      </w:pPr>
    </w:p>
    <w:p>
      <w:pPr>
        <w:pStyle w:val="39"/>
        <w:widowControl w:val="0"/>
        <w:adjustRightInd w:val="0"/>
        <w:snapToGrid w:val="0"/>
        <w:spacing w:line="390" w:lineRule="atLeast"/>
        <w:rPr>
          <w:rFonts w:hint="default" w:ascii="Times New Roman" w:hAnsi="Times New Roman"/>
          <w:b/>
          <w:sz w:val="32"/>
          <w:szCs w:val="32"/>
        </w:rPr>
      </w:pPr>
      <w:bookmarkStart w:id="73" w:name="_Hlk94088739"/>
      <w:r>
        <w:rPr>
          <w:rFonts w:hint="default" w:ascii="Times New Roman" w:hAnsi="Times New Roman"/>
          <w:b/>
          <w:sz w:val="32"/>
          <w:szCs w:val="32"/>
        </w:rPr>
        <w:t>商务技术文件：</w:t>
      </w:r>
    </w:p>
    <w:p>
      <w:pPr>
        <w:pStyle w:val="39"/>
        <w:widowControl w:val="0"/>
        <w:adjustRightInd w:val="0"/>
        <w:snapToGrid w:val="0"/>
        <w:spacing w:line="390" w:lineRule="atLeast"/>
        <w:jc w:val="center"/>
        <w:rPr>
          <w:rFonts w:hint="default" w:ascii="Times New Roman" w:hAnsi="Times New Roman"/>
          <w:b/>
          <w:sz w:val="32"/>
          <w:szCs w:val="32"/>
        </w:rPr>
      </w:pPr>
      <w:r>
        <w:rPr>
          <w:rFonts w:hint="default" w:ascii="Times New Roman" w:hAnsi="Times New Roman"/>
          <w:b/>
          <w:sz w:val="32"/>
          <w:szCs w:val="32"/>
        </w:rPr>
        <w:t>目录</w:t>
      </w:r>
    </w:p>
    <w:p>
      <w:pPr>
        <w:widowControl w:val="0"/>
        <w:adjustRightInd w:val="0"/>
        <w:snapToGrid w:val="0"/>
        <w:spacing w:line="360" w:lineRule="auto"/>
        <w:ind w:firstLine="537" w:firstLineChars="224"/>
      </w:pPr>
      <w:r>
        <w:t>1.投标函。</w:t>
      </w:r>
    </w:p>
    <w:p>
      <w:pPr>
        <w:widowControl w:val="0"/>
        <w:adjustRightInd w:val="0"/>
        <w:snapToGrid w:val="0"/>
        <w:spacing w:line="360" w:lineRule="auto"/>
        <w:ind w:firstLine="537" w:firstLineChars="224"/>
      </w:pPr>
      <w:r>
        <w:t>2.法定代表人（负责人）授权委托书（法定代表人或负责人亲自参加的仅须提供身份证复印件）；</w:t>
      </w:r>
    </w:p>
    <w:p>
      <w:pPr>
        <w:widowControl w:val="0"/>
        <w:adjustRightInd w:val="0"/>
        <w:snapToGrid w:val="0"/>
        <w:spacing w:line="360" w:lineRule="auto"/>
        <w:ind w:firstLine="537" w:firstLineChars="224"/>
      </w:pPr>
      <w:r>
        <w:t>3.服务要求偏离表。（</w:t>
      </w:r>
      <w:r>
        <w:rPr>
          <w:rFonts w:hint="eastAsia"/>
        </w:rPr>
        <w:t>投标人</w:t>
      </w:r>
      <w:r>
        <w:t>拟提供的服务要求与</w:t>
      </w:r>
      <w:r>
        <w:rPr>
          <w:rFonts w:hint="eastAsia"/>
          <w:u w:val="thick" w:color="FFFFFF"/>
        </w:rPr>
        <w:t>招标</w:t>
      </w:r>
      <w:r>
        <w:rPr>
          <w:u w:val="thick" w:color="FFFFFF"/>
        </w:rPr>
        <w:t>文件</w:t>
      </w:r>
      <w:r>
        <w:t>中的要求不一致时，则必须在《服务要求偏离表》中予以明确，否则将视为</w:t>
      </w:r>
      <w:r>
        <w:rPr>
          <w:rFonts w:hint="eastAsia"/>
        </w:rPr>
        <w:t>投标人</w:t>
      </w:r>
      <w:r>
        <w:t>完全响应</w:t>
      </w:r>
      <w:r>
        <w:rPr>
          <w:rFonts w:hint="eastAsia"/>
          <w:u w:val="thick" w:color="FFFFFF"/>
        </w:rPr>
        <w:t>招标</w:t>
      </w:r>
      <w:r>
        <w:rPr>
          <w:u w:val="thick" w:color="FFFFFF"/>
        </w:rPr>
        <w:t>文件</w:t>
      </w:r>
      <w:r>
        <w:t>的要求，并以</w:t>
      </w:r>
      <w:r>
        <w:rPr>
          <w:rFonts w:hint="eastAsia"/>
          <w:u w:val="thick" w:color="FFFFFF"/>
        </w:rPr>
        <w:t>招标</w:t>
      </w:r>
      <w:r>
        <w:rPr>
          <w:u w:val="thick" w:color="FFFFFF"/>
        </w:rPr>
        <w:t>文件</w:t>
      </w:r>
      <w:r>
        <w:t>作为合同条件。）</w:t>
      </w:r>
    </w:p>
    <w:p>
      <w:pPr>
        <w:widowControl w:val="0"/>
        <w:adjustRightInd w:val="0"/>
        <w:snapToGrid w:val="0"/>
        <w:spacing w:line="360" w:lineRule="auto"/>
        <w:ind w:firstLine="537" w:firstLineChars="224"/>
      </w:pPr>
      <w:r>
        <w:t>4.项目实施人员一览表。</w:t>
      </w:r>
    </w:p>
    <w:p>
      <w:pPr>
        <w:widowControl w:val="0"/>
        <w:adjustRightInd w:val="0"/>
        <w:snapToGrid w:val="0"/>
        <w:spacing w:line="360" w:lineRule="auto"/>
        <w:ind w:firstLine="537" w:firstLineChars="224"/>
        <w:rPr>
          <w:rFonts w:hint="eastAsia"/>
        </w:rPr>
      </w:pPr>
      <w:r>
        <w:t>5.</w:t>
      </w:r>
      <w:r>
        <w:rPr>
          <w:rFonts w:ascii="宋体" w:hAnsi="宋体"/>
        </w:rPr>
        <w:t>拟投入本项目的设备明细表</w:t>
      </w:r>
      <w:r>
        <w:rPr>
          <w:rFonts w:hint="eastAsia" w:ascii="宋体" w:hAnsi="宋体"/>
        </w:rPr>
        <w:t>。（如有）</w:t>
      </w:r>
    </w:p>
    <w:p>
      <w:pPr>
        <w:widowControl w:val="0"/>
        <w:adjustRightInd w:val="0"/>
        <w:snapToGrid w:val="0"/>
        <w:spacing w:line="360" w:lineRule="auto"/>
        <w:ind w:firstLine="537" w:firstLineChars="224"/>
      </w:pPr>
      <w:r>
        <w:t>6.服务计划书（例：质量保证措施及承诺，服务措施及承诺，售后服务措施及承诺，其他服务措施及承诺）。</w:t>
      </w:r>
    </w:p>
    <w:p>
      <w:pPr>
        <w:widowControl w:val="0"/>
        <w:adjustRightInd w:val="0"/>
        <w:snapToGrid w:val="0"/>
        <w:spacing w:line="360" w:lineRule="auto"/>
        <w:ind w:firstLine="537" w:firstLineChars="224"/>
      </w:pPr>
      <w:r>
        <w:t>7.</w:t>
      </w:r>
      <w:r>
        <w:rPr>
          <w:rFonts w:hint="eastAsia"/>
        </w:rPr>
        <w:t>投标人</w:t>
      </w:r>
      <w:r>
        <w:t>情况：</w:t>
      </w:r>
    </w:p>
    <w:p>
      <w:pPr>
        <w:widowControl w:val="0"/>
        <w:adjustRightInd w:val="0"/>
        <w:snapToGrid w:val="0"/>
        <w:spacing w:line="360" w:lineRule="auto"/>
        <w:ind w:firstLine="537" w:firstLineChars="224"/>
      </w:pPr>
      <w:r>
        <w:t>（1）单位简介；</w:t>
      </w:r>
    </w:p>
    <w:p>
      <w:pPr>
        <w:widowControl w:val="0"/>
        <w:adjustRightInd w:val="0"/>
        <w:snapToGrid w:val="0"/>
        <w:spacing w:line="360" w:lineRule="auto"/>
        <w:ind w:firstLine="537" w:firstLineChars="224"/>
      </w:pPr>
      <w:r>
        <w:t>（2）</w:t>
      </w:r>
      <w:r>
        <w:rPr>
          <w:rFonts w:hint="eastAsia"/>
        </w:rPr>
        <w:t>投标人</w:t>
      </w:r>
      <w:r>
        <w:t>的信誉、荣誉证书；（如有）</w:t>
      </w:r>
    </w:p>
    <w:p>
      <w:pPr>
        <w:widowControl w:val="0"/>
        <w:adjustRightInd w:val="0"/>
        <w:snapToGrid w:val="0"/>
        <w:spacing w:line="360" w:lineRule="auto"/>
        <w:ind w:firstLine="537" w:firstLineChars="224"/>
      </w:pPr>
      <w:r>
        <w:t>（2）</w:t>
      </w:r>
      <w:r>
        <w:rPr>
          <w:rFonts w:hint="eastAsia"/>
        </w:rPr>
        <w:t>投标人</w:t>
      </w:r>
      <w:r>
        <w:t>质量管理和质量保证体系等方面的认证证书。（如有）</w:t>
      </w:r>
    </w:p>
    <w:p>
      <w:pPr>
        <w:widowControl w:val="0"/>
        <w:adjustRightInd w:val="0"/>
        <w:snapToGrid w:val="0"/>
        <w:spacing w:line="360" w:lineRule="auto"/>
        <w:ind w:firstLine="537" w:firstLineChars="224"/>
      </w:pPr>
      <w:r>
        <w:t>（3）同类业绩证明（如有，需提供合同复印件）；</w:t>
      </w:r>
    </w:p>
    <w:p>
      <w:pPr>
        <w:widowControl w:val="0"/>
        <w:adjustRightInd w:val="0"/>
        <w:snapToGrid w:val="0"/>
        <w:spacing w:line="360" w:lineRule="auto"/>
        <w:ind w:firstLine="537" w:firstLineChars="224"/>
      </w:pPr>
      <w:r>
        <w:t>8.评审标准相应的商务技术资料。</w:t>
      </w:r>
    </w:p>
    <w:p>
      <w:pPr>
        <w:shd w:val="clear" w:color="auto" w:fill="FFFFFF"/>
        <w:snapToGrid w:val="0"/>
        <w:spacing w:after="50"/>
        <w:jc w:val="center"/>
        <w:rPr>
          <w:rFonts w:ascii="宋体" w:hAnsi="宋体"/>
          <w:b/>
        </w:rPr>
      </w:pPr>
      <w:r>
        <w:rPr>
          <w:rFonts w:ascii="宋体" w:hAnsi="宋体"/>
          <w:b/>
          <w:sz w:val="32"/>
        </w:rPr>
        <w:t>评分索引表</w:t>
      </w:r>
    </w:p>
    <w:tbl>
      <w:tblPr>
        <w:tblStyle w:val="43"/>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45"/>
        <w:gridCol w:w="4821"/>
        <w:gridCol w:w="1270"/>
        <w:gridCol w:w="185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noWrap w:val="0"/>
            <w:vAlign w:val="center"/>
          </w:tcPr>
          <w:p>
            <w:pPr>
              <w:jc w:val="center"/>
              <w:rPr>
                <w:rFonts w:ascii="宋体" w:hAnsi="宋体" w:eastAsia="宋体" w:cs="Times New Roman"/>
                <w:bCs/>
                <w:kern w:val="2"/>
                <w:sz w:val="21"/>
                <w:szCs w:val="21"/>
              </w:rPr>
            </w:pPr>
            <w:r>
              <w:rPr>
                <w:rFonts w:ascii="宋体" w:hAnsi="宋体" w:eastAsia="宋体" w:cs="Times New Roman"/>
                <w:bCs/>
                <w:kern w:val="2"/>
                <w:sz w:val="21"/>
                <w:szCs w:val="21"/>
              </w:rPr>
              <w:t>序号</w:t>
            </w:r>
          </w:p>
        </w:tc>
        <w:tc>
          <w:tcPr>
            <w:tcW w:w="645" w:type="dxa"/>
            <w:noWrap w:val="0"/>
            <w:vAlign w:val="center"/>
          </w:tcPr>
          <w:p>
            <w:pPr>
              <w:jc w:val="center"/>
              <w:rPr>
                <w:rFonts w:ascii="宋体" w:hAnsi="宋体" w:eastAsia="宋体" w:cs="Times New Roman"/>
                <w:bCs/>
                <w:kern w:val="2"/>
                <w:sz w:val="21"/>
                <w:szCs w:val="21"/>
              </w:rPr>
            </w:pPr>
            <w:r>
              <w:rPr>
                <w:rFonts w:ascii="宋体" w:hAnsi="宋体" w:eastAsia="宋体" w:cs="Times New Roman"/>
                <w:bCs/>
                <w:kern w:val="2"/>
                <w:sz w:val="21"/>
                <w:szCs w:val="21"/>
              </w:rPr>
              <w:t>项目</w:t>
            </w:r>
          </w:p>
        </w:tc>
        <w:tc>
          <w:tcPr>
            <w:tcW w:w="4821" w:type="dxa"/>
            <w:noWrap w:val="0"/>
            <w:vAlign w:val="center"/>
          </w:tcPr>
          <w:p>
            <w:pPr>
              <w:jc w:val="center"/>
              <w:rPr>
                <w:rFonts w:ascii="宋体" w:hAnsi="宋体" w:eastAsia="宋体" w:cs="Times New Roman"/>
                <w:bCs/>
                <w:kern w:val="2"/>
                <w:sz w:val="21"/>
                <w:szCs w:val="21"/>
              </w:rPr>
            </w:pPr>
            <w:r>
              <w:rPr>
                <w:rFonts w:ascii="宋体" w:hAnsi="宋体" w:eastAsia="宋体" w:cs="Times New Roman"/>
                <w:bCs/>
                <w:kern w:val="2"/>
                <w:sz w:val="21"/>
                <w:szCs w:val="21"/>
              </w:rPr>
              <w:t>评分标准</w:t>
            </w:r>
          </w:p>
        </w:tc>
        <w:tc>
          <w:tcPr>
            <w:tcW w:w="1270" w:type="dxa"/>
            <w:noWrap w:val="0"/>
            <w:vAlign w:val="center"/>
          </w:tcPr>
          <w:p>
            <w:pPr>
              <w:jc w:val="center"/>
              <w:rPr>
                <w:rFonts w:ascii="宋体" w:hAnsi="宋体" w:eastAsia="宋体" w:cs="Times New Roman"/>
                <w:bCs/>
                <w:kern w:val="2"/>
                <w:sz w:val="21"/>
                <w:szCs w:val="21"/>
              </w:rPr>
            </w:pPr>
            <w:r>
              <w:rPr>
                <w:rFonts w:ascii="宋体" w:hAnsi="宋体" w:eastAsia="宋体" w:cs="Times New Roman"/>
                <w:bCs/>
                <w:kern w:val="2"/>
                <w:sz w:val="21"/>
                <w:szCs w:val="21"/>
              </w:rPr>
              <w:t>分值</w:t>
            </w:r>
          </w:p>
        </w:tc>
        <w:tc>
          <w:tcPr>
            <w:tcW w:w="1858" w:type="dxa"/>
            <w:noWrap w:val="0"/>
            <w:vAlign w:val="center"/>
          </w:tcPr>
          <w:p>
            <w:pPr>
              <w:jc w:val="center"/>
              <w:rPr>
                <w:rFonts w:ascii="宋体" w:hAnsi="宋体" w:eastAsia="宋体" w:cs="Times New Roman"/>
                <w:bCs/>
                <w:kern w:val="2"/>
                <w:sz w:val="21"/>
                <w:szCs w:val="21"/>
              </w:rPr>
            </w:pPr>
            <w:r>
              <w:rPr>
                <w:rFonts w:ascii="宋体" w:hAnsi="宋体" w:eastAsia="宋体" w:cs="Times New Roman"/>
                <w:bCs/>
                <w:kern w:val="2"/>
                <w:sz w:val="21"/>
                <w:szCs w:val="21"/>
              </w:rPr>
              <w:t>自评分</w:t>
            </w:r>
          </w:p>
        </w:tc>
        <w:tc>
          <w:tcPr>
            <w:tcW w:w="721" w:type="dxa"/>
            <w:noWrap w:val="0"/>
            <w:vAlign w:val="center"/>
          </w:tcPr>
          <w:p>
            <w:pPr>
              <w:jc w:val="center"/>
              <w:rPr>
                <w:rFonts w:ascii="宋体" w:hAnsi="宋体" w:eastAsia="宋体" w:cs="Times New Roman"/>
                <w:bCs/>
                <w:kern w:val="2"/>
                <w:sz w:val="21"/>
                <w:szCs w:val="21"/>
              </w:rPr>
            </w:pPr>
            <w:r>
              <w:rPr>
                <w:rFonts w:ascii="宋体" w:hAnsi="宋体" w:eastAsia="宋体" w:cs="Times New Roman"/>
                <w:bCs/>
                <w:kern w:val="2"/>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noWrap w:val="0"/>
            <w:vAlign w:val="center"/>
          </w:tcPr>
          <w:p>
            <w:pPr>
              <w:jc w:val="center"/>
              <w:rPr>
                <w:rFonts w:ascii="宋体" w:hAnsi="宋体" w:eastAsia="宋体" w:cs="Times New Roman"/>
                <w:bCs/>
                <w:kern w:val="2"/>
                <w:sz w:val="21"/>
                <w:szCs w:val="21"/>
              </w:rPr>
            </w:pPr>
            <w:r>
              <w:rPr>
                <w:rFonts w:ascii="宋体" w:hAnsi="宋体" w:eastAsia="宋体" w:cs="Times New Roman"/>
                <w:bCs/>
                <w:kern w:val="2"/>
                <w:sz w:val="21"/>
                <w:szCs w:val="21"/>
              </w:rPr>
              <w:t>1</w:t>
            </w:r>
          </w:p>
        </w:tc>
        <w:tc>
          <w:tcPr>
            <w:tcW w:w="645" w:type="dxa"/>
            <w:noWrap w:val="0"/>
            <w:vAlign w:val="center"/>
          </w:tcPr>
          <w:p>
            <w:pPr>
              <w:keepNext/>
              <w:tabs>
                <w:tab w:val="left" w:pos="3808"/>
              </w:tabs>
              <w:adjustRightInd w:val="0"/>
              <w:snapToGrid w:val="0"/>
              <w:spacing w:before="60" w:after="60"/>
              <w:jc w:val="center"/>
              <w:rPr>
                <w:rFonts w:ascii="宋体" w:hAnsi="宋体" w:eastAsia="宋体" w:cs="Times New Roman"/>
                <w:bCs/>
                <w:kern w:val="2"/>
                <w:sz w:val="21"/>
                <w:szCs w:val="21"/>
              </w:rPr>
            </w:pPr>
            <w:r>
              <w:rPr>
                <w:rFonts w:ascii="宋体" w:hAnsi="宋体" w:eastAsia="宋体" w:cs="Times New Roman"/>
                <w:bCs/>
                <w:kern w:val="2"/>
                <w:sz w:val="21"/>
                <w:szCs w:val="21"/>
              </w:rPr>
              <w:t>…</w:t>
            </w:r>
          </w:p>
        </w:tc>
        <w:tc>
          <w:tcPr>
            <w:tcW w:w="4821" w:type="dxa"/>
            <w:noWrap w:val="0"/>
            <w:vAlign w:val="center"/>
          </w:tcPr>
          <w:p>
            <w:pPr>
              <w:keepNext/>
              <w:tabs>
                <w:tab w:val="left" w:pos="3808"/>
              </w:tabs>
              <w:adjustRightInd w:val="0"/>
              <w:snapToGrid w:val="0"/>
              <w:spacing w:before="60" w:after="60"/>
              <w:rPr>
                <w:rFonts w:ascii="宋体" w:hAnsi="宋体" w:eastAsia="宋体" w:cs="Times New Roman"/>
                <w:bCs/>
                <w:kern w:val="2"/>
                <w:sz w:val="21"/>
                <w:szCs w:val="21"/>
              </w:rPr>
            </w:pPr>
            <w:r>
              <w:rPr>
                <w:rFonts w:ascii="宋体" w:hAnsi="宋体" w:eastAsia="宋体" w:cs="Times New Roman"/>
                <w:bCs/>
                <w:kern w:val="2"/>
                <w:sz w:val="21"/>
                <w:szCs w:val="21"/>
              </w:rPr>
              <w:t>…（请按</w:t>
            </w:r>
            <w:r>
              <w:rPr>
                <w:rFonts w:hint="eastAsia" w:ascii="宋体" w:hAnsi="宋体" w:eastAsia="宋体" w:cs="Times New Roman"/>
                <w:bCs/>
                <w:kern w:val="2"/>
                <w:sz w:val="21"/>
                <w:szCs w:val="21"/>
              </w:rPr>
              <w:t>商务</w:t>
            </w:r>
            <w:r>
              <w:rPr>
                <w:rFonts w:ascii="宋体" w:hAnsi="宋体" w:eastAsia="宋体" w:cs="Times New Roman"/>
                <w:bCs/>
                <w:kern w:val="2"/>
                <w:sz w:val="21"/>
                <w:szCs w:val="21"/>
              </w:rPr>
              <w:t>技术评分标准填写）</w:t>
            </w:r>
          </w:p>
        </w:tc>
        <w:tc>
          <w:tcPr>
            <w:tcW w:w="1270" w:type="dxa"/>
            <w:noWrap w:val="0"/>
            <w:vAlign w:val="center"/>
          </w:tcPr>
          <w:p>
            <w:pPr>
              <w:keepNext/>
              <w:tabs>
                <w:tab w:val="left" w:pos="3808"/>
              </w:tabs>
              <w:adjustRightInd w:val="0"/>
              <w:snapToGrid w:val="0"/>
              <w:spacing w:before="60" w:after="60"/>
              <w:jc w:val="center"/>
              <w:rPr>
                <w:rFonts w:ascii="宋体" w:hAnsi="宋体" w:eastAsia="宋体" w:cs="Times New Roman"/>
                <w:bCs/>
                <w:spacing w:val="20"/>
                <w:kern w:val="2"/>
                <w:sz w:val="21"/>
                <w:szCs w:val="21"/>
              </w:rPr>
            </w:pPr>
          </w:p>
        </w:tc>
        <w:tc>
          <w:tcPr>
            <w:tcW w:w="1858" w:type="dxa"/>
            <w:noWrap w:val="0"/>
            <w:vAlign w:val="center"/>
          </w:tcPr>
          <w:p>
            <w:pPr>
              <w:keepNext/>
              <w:tabs>
                <w:tab w:val="left" w:pos="3808"/>
              </w:tabs>
              <w:adjustRightInd w:val="0"/>
              <w:snapToGrid w:val="0"/>
              <w:spacing w:before="60" w:after="60"/>
              <w:jc w:val="center"/>
              <w:rPr>
                <w:rFonts w:ascii="宋体" w:hAnsi="宋体" w:eastAsia="宋体" w:cs="Times New Roman"/>
                <w:bCs/>
                <w:spacing w:val="20"/>
                <w:kern w:val="2"/>
                <w:sz w:val="21"/>
                <w:szCs w:val="21"/>
              </w:rPr>
            </w:pPr>
          </w:p>
        </w:tc>
        <w:tc>
          <w:tcPr>
            <w:tcW w:w="721" w:type="dxa"/>
            <w:noWrap w:val="0"/>
            <w:vAlign w:val="center"/>
          </w:tcPr>
          <w:p>
            <w:pPr>
              <w:keepNext/>
              <w:tabs>
                <w:tab w:val="left" w:pos="3808"/>
              </w:tabs>
              <w:adjustRightInd w:val="0"/>
              <w:snapToGrid w:val="0"/>
              <w:spacing w:before="60" w:after="60"/>
              <w:jc w:val="center"/>
              <w:rPr>
                <w:rFonts w:ascii="宋体" w:hAnsi="宋体" w:eastAsia="宋体" w:cs="Times New Roman"/>
                <w:bCs/>
                <w:spacing w:val="2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noWrap w:val="0"/>
            <w:vAlign w:val="center"/>
          </w:tcPr>
          <w:p>
            <w:pPr>
              <w:jc w:val="center"/>
              <w:rPr>
                <w:rFonts w:ascii="宋体" w:hAnsi="宋体" w:eastAsia="宋体" w:cs="Times New Roman"/>
                <w:bCs/>
                <w:kern w:val="2"/>
                <w:sz w:val="21"/>
                <w:szCs w:val="21"/>
              </w:rPr>
            </w:pPr>
            <w:r>
              <w:rPr>
                <w:rFonts w:ascii="宋体" w:hAnsi="宋体" w:eastAsia="宋体" w:cs="Times New Roman"/>
                <w:bCs/>
                <w:kern w:val="2"/>
                <w:sz w:val="21"/>
                <w:szCs w:val="21"/>
              </w:rPr>
              <w:t>2</w:t>
            </w:r>
          </w:p>
        </w:tc>
        <w:tc>
          <w:tcPr>
            <w:tcW w:w="645" w:type="dxa"/>
            <w:noWrap w:val="0"/>
            <w:vAlign w:val="center"/>
          </w:tcPr>
          <w:p>
            <w:pPr>
              <w:keepNext/>
              <w:tabs>
                <w:tab w:val="left" w:pos="3808"/>
              </w:tabs>
              <w:adjustRightInd w:val="0"/>
              <w:snapToGrid w:val="0"/>
              <w:spacing w:before="60" w:after="60"/>
              <w:jc w:val="center"/>
              <w:rPr>
                <w:rFonts w:ascii="宋体" w:hAnsi="宋体" w:eastAsia="宋体" w:cs="Times New Roman"/>
                <w:bCs/>
                <w:kern w:val="2"/>
                <w:sz w:val="21"/>
                <w:szCs w:val="21"/>
              </w:rPr>
            </w:pPr>
            <w:r>
              <w:rPr>
                <w:rFonts w:ascii="宋体" w:hAnsi="宋体" w:eastAsia="宋体" w:cs="Times New Roman"/>
                <w:bCs/>
                <w:kern w:val="2"/>
                <w:sz w:val="21"/>
                <w:szCs w:val="21"/>
              </w:rPr>
              <w:t>…</w:t>
            </w:r>
          </w:p>
        </w:tc>
        <w:tc>
          <w:tcPr>
            <w:tcW w:w="4821" w:type="dxa"/>
            <w:noWrap w:val="0"/>
            <w:vAlign w:val="center"/>
          </w:tcPr>
          <w:p>
            <w:pPr>
              <w:keepNext/>
              <w:tabs>
                <w:tab w:val="left" w:pos="3808"/>
              </w:tabs>
              <w:adjustRightInd w:val="0"/>
              <w:snapToGrid w:val="0"/>
              <w:spacing w:before="60" w:after="60"/>
              <w:rPr>
                <w:rFonts w:ascii="宋体" w:hAnsi="宋体" w:eastAsia="宋体" w:cs="Times New Roman"/>
                <w:bCs/>
                <w:kern w:val="2"/>
                <w:sz w:val="21"/>
                <w:szCs w:val="21"/>
              </w:rPr>
            </w:pPr>
            <w:r>
              <w:rPr>
                <w:rFonts w:ascii="宋体" w:hAnsi="宋体" w:eastAsia="宋体" w:cs="Times New Roman"/>
                <w:bCs/>
                <w:kern w:val="2"/>
                <w:sz w:val="21"/>
                <w:szCs w:val="21"/>
              </w:rPr>
              <w:t>…</w:t>
            </w:r>
          </w:p>
        </w:tc>
        <w:tc>
          <w:tcPr>
            <w:tcW w:w="1270" w:type="dxa"/>
            <w:noWrap w:val="0"/>
            <w:vAlign w:val="center"/>
          </w:tcPr>
          <w:p>
            <w:pPr>
              <w:keepNext/>
              <w:tabs>
                <w:tab w:val="left" w:pos="3808"/>
              </w:tabs>
              <w:adjustRightInd w:val="0"/>
              <w:snapToGrid w:val="0"/>
              <w:spacing w:before="60" w:after="60"/>
              <w:jc w:val="center"/>
              <w:rPr>
                <w:rFonts w:ascii="宋体" w:hAnsi="宋体" w:eastAsia="宋体" w:cs="Times New Roman"/>
                <w:bCs/>
                <w:spacing w:val="20"/>
                <w:kern w:val="2"/>
                <w:sz w:val="21"/>
                <w:szCs w:val="21"/>
              </w:rPr>
            </w:pPr>
          </w:p>
        </w:tc>
        <w:tc>
          <w:tcPr>
            <w:tcW w:w="1858" w:type="dxa"/>
            <w:noWrap w:val="0"/>
            <w:vAlign w:val="center"/>
          </w:tcPr>
          <w:p>
            <w:pPr>
              <w:keepNext/>
              <w:tabs>
                <w:tab w:val="left" w:pos="3808"/>
              </w:tabs>
              <w:adjustRightInd w:val="0"/>
              <w:snapToGrid w:val="0"/>
              <w:spacing w:before="60" w:after="60"/>
              <w:jc w:val="center"/>
              <w:rPr>
                <w:rFonts w:ascii="宋体" w:hAnsi="宋体" w:eastAsia="宋体" w:cs="Times New Roman"/>
                <w:bCs/>
                <w:spacing w:val="20"/>
                <w:kern w:val="2"/>
                <w:sz w:val="21"/>
                <w:szCs w:val="21"/>
              </w:rPr>
            </w:pPr>
          </w:p>
        </w:tc>
        <w:tc>
          <w:tcPr>
            <w:tcW w:w="721" w:type="dxa"/>
            <w:noWrap w:val="0"/>
            <w:vAlign w:val="center"/>
          </w:tcPr>
          <w:p>
            <w:pPr>
              <w:keepNext/>
              <w:tabs>
                <w:tab w:val="left" w:pos="3808"/>
              </w:tabs>
              <w:adjustRightInd w:val="0"/>
              <w:snapToGrid w:val="0"/>
              <w:spacing w:before="60" w:after="60"/>
              <w:jc w:val="center"/>
              <w:rPr>
                <w:rFonts w:ascii="宋体" w:hAnsi="宋体" w:eastAsia="宋体" w:cs="Times New Roman"/>
                <w:bCs/>
                <w:spacing w:val="20"/>
                <w:kern w:val="2"/>
                <w:sz w:val="21"/>
                <w:szCs w:val="21"/>
              </w:rPr>
            </w:pPr>
          </w:p>
        </w:tc>
      </w:tr>
    </w:tbl>
    <w:p>
      <w:pPr>
        <w:shd w:val="clear" w:color="auto" w:fill="FFFFFF"/>
        <w:snapToGrid w:val="0"/>
        <w:spacing w:after="50"/>
        <w:rPr>
          <w:rFonts w:ascii="宋体" w:hAnsi="宋体"/>
          <w:szCs w:val="20"/>
        </w:rPr>
      </w:pPr>
      <w:r>
        <w:rPr>
          <w:rFonts w:ascii="宋体" w:hAnsi="宋体"/>
          <w:b/>
          <w:spacing w:val="-4"/>
          <w:sz w:val="21"/>
          <w:szCs w:val="21"/>
        </w:rPr>
        <w:t>备注：该表格仅为方便评标之用，表格放置在</w:t>
      </w:r>
      <w:r>
        <w:rPr>
          <w:rFonts w:hint="eastAsia" w:ascii="宋体" w:hAnsi="宋体"/>
          <w:b/>
          <w:spacing w:val="-4"/>
          <w:sz w:val="21"/>
          <w:szCs w:val="21"/>
        </w:rPr>
        <w:t>商务</w:t>
      </w:r>
      <w:r>
        <w:rPr>
          <w:rFonts w:ascii="宋体" w:hAnsi="宋体"/>
          <w:b/>
          <w:spacing w:val="-4"/>
          <w:sz w:val="21"/>
          <w:szCs w:val="21"/>
        </w:rPr>
        <w:t>技术文件目录的前页，以方便评标委员会进行评审。</w:t>
      </w:r>
    </w:p>
    <w:p>
      <w:pPr>
        <w:shd w:val="clear" w:color="auto" w:fill="FFFFFF"/>
        <w:spacing w:before="100" w:beforeAutospacing="1" w:after="100" w:afterAutospacing="1" w:line="500" w:lineRule="atLeast"/>
        <w:jc w:val="center"/>
        <w:rPr>
          <w:b/>
          <w:sz w:val="32"/>
          <w:szCs w:val="32"/>
        </w:rPr>
        <w:sectPr>
          <w:pgSz w:w="11906" w:h="16838"/>
          <w:pgMar w:top="1259" w:right="1287" w:bottom="1361" w:left="1622" w:header="709" w:footer="975" w:gutter="0"/>
          <w:cols w:space="720" w:num="1"/>
          <w:docGrid w:linePitch="360" w:charSpace="0"/>
        </w:sectPr>
      </w:pPr>
    </w:p>
    <w:p>
      <w:pPr>
        <w:shd w:val="clear" w:color="auto" w:fill="FFFFFF"/>
        <w:spacing w:before="100" w:beforeAutospacing="1" w:after="100" w:afterAutospacing="1" w:line="500" w:lineRule="atLeast"/>
        <w:jc w:val="center"/>
        <w:rPr>
          <w:b/>
          <w:sz w:val="32"/>
          <w:szCs w:val="32"/>
        </w:rPr>
      </w:pPr>
      <w:r>
        <w:rPr>
          <w:b/>
          <w:sz w:val="32"/>
          <w:szCs w:val="32"/>
        </w:rPr>
        <w:t>一、投标函</w:t>
      </w:r>
    </w:p>
    <w:p>
      <w:pPr>
        <w:snapToGrid w:val="0"/>
        <w:spacing w:line="360" w:lineRule="auto"/>
      </w:pPr>
      <w:r>
        <w:t>（采购人）、（采购代理机构）：</w:t>
      </w:r>
    </w:p>
    <w:p>
      <w:pPr>
        <w:snapToGrid w:val="0"/>
        <w:spacing w:line="360" w:lineRule="auto"/>
        <w:ind w:firstLine="480" w:firstLineChars="200"/>
      </w:pPr>
      <w:r>
        <w:t>我方参加你方组织的</w:t>
      </w:r>
      <w:r>
        <w:rPr>
          <w:u w:val="single"/>
        </w:rPr>
        <w:t>（项目名称）        （项目编号：      ）</w:t>
      </w:r>
      <w:r>
        <w:t>招标的有关活动，并对此项目进行投标。为此：</w:t>
      </w:r>
    </w:p>
    <w:p>
      <w:pPr>
        <w:snapToGrid w:val="0"/>
        <w:spacing w:line="360" w:lineRule="auto"/>
        <w:ind w:firstLine="480" w:firstLineChars="200"/>
      </w:pPr>
      <w:r>
        <w:t>1.我方承诺投标有效期从提交投标文件的截止之日起</w:t>
      </w:r>
      <w:r>
        <w:rPr>
          <w:u w:val="single"/>
        </w:rPr>
        <w:t xml:space="preserve">     </w:t>
      </w:r>
      <w:r>
        <w:t>天（不少于90天），本投标文件在投标有效期满之前均具有约束力。</w:t>
      </w:r>
    </w:p>
    <w:p>
      <w:pPr>
        <w:snapToGrid w:val="0"/>
        <w:spacing w:line="360" w:lineRule="auto"/>
        <w:ind w:firstLine="480" w:firstLineChars="200"/>
      </w:pPr>
      <w:r>
        <w:t>2.我方的投标文件包括以下内容：</w:t>
      </w:r>
    </w:p>
    <w:p>
      <w:pPr>
        <w:snapToGrid w:val="0"/>
        <w:spacing w:line="360" w:lineRule="auto"/>
        <w:ind w:firstLine="480" w:firstLineChars="200"/>
      </w:pPr>
      <w:r>
        <w:t>2.1资格文件</w:t>
      </w:r>
    </w:p>
    <w:p>
      <w:pPr>
        <w:snapToGrid w:val="0"/>
        <w:spacing w:line="360" w:lineRule="auto"/>
        <w:ind w:firstLine="480" w:firstLineChars="200"/>
      </w:pPr>
      <w:r>
        <w:t>2</w:t>
      </w:r>
      <w:r>
        <w:rPr>
          <w:lang w:val="zh-CN"/>
        </w:rPr>
        <w:t>.</w:t>
      </w:r>
      <w:r>
        <w:t>2</w:t>
      </w:r>
      <w:r>
        <w:rPr>
          <w:lang w:val="zh-CN"/>
        </w:rPr>
        <w:t xml:space="preserve"> </w:t>
      </w:r>
      <w:r>
        <w:t>商务技术</w:t>
      </w:r>
      <w:r>
        <w:rPr>
          <w:lang w:val="zh-CN"/>
        </w:rPr>
        <w:t>文件</w:t>
      </w:r>
    </w:p>
    <w:p>
      <w:pPr>
        <w:snapToGrid w:val="0"/>
        <w:spacing w:line="360" w:lineRule="auto"/>
        <w:ind w:firstLine="480" w:firstLineChars="200"/>
      </w:pPr>
      <w:r>
        <w:t>2</w:t>
      </w:r>
      <w:r>
        <w:rPr>
          <w:lang w:val="zh-CN"/>
        </w:rPr>
        <w:t>.</w:t>
      </w:r>
      <w:r>
        <w:t>3报价文件</w:t>
      </w:r>
    </w:p>
    <w:p>
      <w:pPr>
        <w:snapToGrid w:val="0"/>
        <w:spacing w:line="360" w:lineRule="auto"/>
        <w:ind w:firstLine="480" w:firstLineChars="200"/>
      </w:pPr>
      <w:r>
        <w:t>3.我方承诺除偏离表列出的负偏离外，我方响应招标文件的全部要求。</w:t>
      </w:r>
    </w:p>
    <w:p>
      <w:pPr>
        <w:snapToGrid w:val="0"/>
        <w:spacing w:line="360" w:lineRule="auto"/>
        <w:ind w:firstLine="480" w:firstLineChars="200"/>
      </w:pPr>
      <w:r>
        <w:t>4.如我方中标，我方承诺：</w:t>
      </w:r>
    </w:p>
    <w:p>
      <w:pPr>
        <w:snapToGrid w:val="0"/>
        <w:spacing w:line="360" w:lineRule="auto"/>
        <w:ind w:firstLine="480" w:firstLineChars="200"/>
      </w:pPr>
      <w:r>
        <w:t xml:space="preserve">4.1在收到中标通知书后，在中标通知书规定的期限内与你方签订合同； </w:t>
      </w:r>
    </w:p>
    <w:p>
      <w:pPr>
        <w:snapToGrid w:val="0"/>
        <w:spacing w:line="360" w:lineRule="auto"/>
        <w:ind w:firstLine="480" w:firstLineChars="200"/>
      </w:pPr>
      <w:r>
        <w:t xml:space="preserve">4.2在签订合同时不向你方提出附加条件； </w:t>
      </w:r>
    </w:p>
    <w:p>
      <w:pPr>
        <w:snapToGrid w:val="0"/>
        <w:spacing w:line="360" w:lineRule="auto"/>
        <w:ind w:firstLine="480" w:firstLineChars="200"/>
      </w:pPr>
      <w:r>
        <w:t xml:space="preserve">4.3按照招标文件要求提交履约保证金； </w:t>
      </w:r>
    </w:p>
    <w:p>
      <w:pPr>
        <w:snapToGrid w:val="0"/>
        <w:spacing w:line="360" w:lineRule="auto"/>
        <w:ind w:firstLine="480" w:firstLineChars="200"/>
      </w:pPr>
      <w:r>
        <w:t xml:space="preserve">4.4在合同约定的期限内完成合同规定的全部义务。 </w:t>
      </w:r>
    </w:p>
    <w:p>
      <w:pPr>
        <w:snapToGrid w:val="0"/>
        <w:spacing w:line="360" w:lineRule="auto"/>
        <w:ind w:firstLine="480" w:firstLineChars="200"/>
      </w:pPr>
      <w:r>
        <w:t>5.其他补充说明:</w:t>
      </w:r>
      <w:r>
        <w:rPr>
          <w:u w:val="single"/>
        </w:rPr>
        <w:t xml:space="preserve">                                        </w:t>
      </w:r>
      <w:r>
        <w:t>。</w:t>
      </w:r>
    </w:p>
    <w:p>
      <w:pPr>
        <w:snapToGrid w:val="0"/>
        <w:spacing w:line="360" w:lineRule="auto"/>
        <w:ind w:firstLine="480" w:firstLineChars="200"/>
      </w:pPr>
    </w:p>
    <w:p>
      <w:pPr>
        <w:pStyle w:val="24"/>
        <w:widowControl w:val="0"/>
        <w:adjustRightInd w:val="0"/>
        <w:snapToGrid w:val="0"/>
        <w:spacing w:before="0" w:beforeAutospacing="0" w:after="0" w:afterAutospacing="0"/>
        <w:ind w:firstLine="900" w:firstLineChars="375"/>
        <w:jc w:val="right"/>
        <w:rPr>
          <w:rFonts w:ascii="Times New Roman" w:hAnsi="Times New Roman"/>
        </w:rPr>
      </w:pPr>
    </w:p>
    <w:p>
      <w:pPr>
        <w:pStyle w:val="24"/>
        <w:widowControl w:val="0"/>
        <w:adjustRightInd w:val="0"/>
        <w:snapToGrid w:val="0"/>
        <w:spacing w:before="0" w:beforeAutospacing="0" w:after="0" w:afterAutospacing="0"/>
        <w:ind w:firstLine="900" w:firstLineChars="375"/>
        <w:jc w:val="right"/>
        <w:rPr>
          <w:rFonts w:ascii="Times New Roman" w:hAnsi="Times New Roman"/>
        </w:rPr>
      </w:pPr>
    </w:p>
    <w:p>
      <w:pPr>
        <w:pStyle w:val="24"/>
        <w:widowControl w:val="0"/>
        <w:adjustRightInd w:val="0"/>
        <w:snapToGrid w:val="0"/>
        <w:spacing w:before="0" w:beforeAutospacing="0" w:after="0" w:afterAutospacing="0"/>
        <w:ind w:firstLine="900" w:firstLineChars="375"/>
        <w:jc w:val="right"/>
        <w:rPr>
          <w:rFonts w:ascii="Times New Roman" w:hAnsi="Times New Roman"/>
        </w:rPr>
      </w:pPr>
    </w:p>
    <w:p>
      <w:pPr>
        <w:pStyle w:val="24"/>
        <w:widowControl w:val="0"/>
        <w:adjustRightInd w:val="0"/>
        <w:snapToGrid w:val="0"/>
        <w:spacing w:before="0" w:beforeAutospacing="0" w:after="0" w:afterAutospacing="0" w:line="360" w:lineRule="auto"/>
        <w:ind w:firstLine="900" w:firstLineChars="375"/>
        <w:jc w:val="right"/>
        <w:rPr>
          <w:rFonts w:ascii="Times New Roman" w:hAnsi="Times New Roman"/>
        </w:rPr>
      </w:pPr>
      <w:r>
        <w:rPr>
          <w:rFonts w:ascii="Times New Roman" w:hAnsi="Times New Roman"/>
        </w:rPr>
        <w:t>投标人</w:t>
      </w:r>
      <w:r>
        <w:t>（</w:t>
      </w:r>
      <w:r>
        <w:rPr>
          <w:rFonts w:hint="eastAsia"/>
        </w:rPr>
        <w:t>电子签章</w:t>
      </w:r>
      <w:r>
        <w:t>）</w:t>
      </w:r>
      <w:r>
        <w:rPr>
          <w:rFonts w:ascii="Times New Roman" w:hAnsi="Times New Roman"/>
        </w:rPr>
        <w:t>：__________________________</w:t>
      </w:r>
    </w:p>
    <w:p>
      <w:pPr>
        <w:pStyle w:val="24"/>
        <w:widowControl w:val="0"/>
        <w:adjustRightInd w:val="0"/>
        <w:snapToGrid w:val="0"/>
        <w:spacing w:before="0" w:beforeAutospacing="0" w:after="0" w:afterAutospacing="0"/>
        <w:ind w:firstLine="900" w:firstLineChars="375"/>
        <w:jc w:val="right"/>
        <w:rPr>
          <w:rFonts w:ascii="Times New Roman" w:hAnsi="Times New Roman"/>
        </w:rPr>
        <w:sectPr>
          <w:pgSz w:w="11906" w:h="16838"/>
          <w:pgMar w:top="1259" w:right="1287" w:bottom="1361" w:left="1622" w:header="709" w:footer="975" w:gutter="0"/>
          <w:cols w:space="720" w:num="1"/>
          <w:docGrid w:linePitch="360" w:charSpace="0"/>
        </w:sectPr>
      </w:pPr>
      <w:r>
        <w:rPr>
          <w:rFonts w:ascii="Times New Roman" w:hAnsi="Times New Roman"/>
        </w:rPr>
        <w:t>日期：____年____月____日</w:t>
      </w:r>
    </w:p>
    <w:p>
      <w:pPr>
        <w:pStyle w:val="39"/>
        <w:widowControl w:val="0"/>
        <w:adjustRightInd w:val="0"/>
        <w:snapToGrid w:val="0"/>
        <w:spacing w:line="390" w:lineRule="atLeast"/>
        <w:jc w:val="center"/>
        <w:rPr>
          <w:b/>
          <w:sz w:val="32"/>
          <w:szCs w:val="32"/>
        </w:rPr>
      </w:pPr>
      <w:r>
        <w:rPr>
          <w:b/>
          <w:sz w:val="32"/>
          <w:szCs w:val="32"/>
        </w:rPr>
        <w:t>二、</w:t>
      </w:r>
      <w:r>
        <w:rPr>
          <w:rFonts w:hint="default"/>
          <w:b/>
          <w:sz w:val="32"/>
          <w:szCs w:val="32"/>
        </w:rPr>
        <w:t>授权委托书或法定代表人（单位负责人、自然人本人）身份证明</w:t>
      </w:r>
    </w:p>
    <w:p>
      <w:pPr>
        <w:pStyle w:val="39"/>
        <w:widowControl w:val="0"/>
        <w:adjustRightInd w:val="0"/>
        <w:snapToGrid w:val="0"/>
        <w:spacing w:line="390" w:lineRule="atLeast"/>
        <w:jc w:val="center"/>
        <w:rPr>
          <w:rFonts w:hint="default"/>
          <w:b/>
          <w:sz w:val="32"/>
          <w:szCs w:val="32"/>
        </w:rPr>
      </w:pPr>
      <w:r>
        <w:rPr>
          <w:b/>
          <w:sz w:val="32"/>
          <w:szCs w:val="32"/>
        </w:rPr>
        <w:t>授权委托书（适用于非联合体投标）</w:t>
      </w:r>
    </w:p>
    <w:p>
      <w:pPr>
        <w:snapToGrid w:val="0"/>
        <w:spacing w:line="360" w:lineRule="auto"/>
      </w:pPr>
      <w:r>
        <w:t>（采购人）、（采购代理机构）</w:t>
      </w:r>
      <w:r>
        <w:rPr>
          <w:lang w:val="zh-CN"/>
        </w:rPr>
        <w:t>：</w:t>
      </w:r>
    </w:p>
    <w:p>
      <w:pPr>
        <w:snapToGrid w:val="0"/>
        <w:spacing w:line="360" w:lineRule="auto"/>
        <w:ind w:firstLine="480" w:firstLineChars="200"/>
      </w:pPr>
      <w:r>
        <w:t>现</w:t>
      </w:r>
      <w:r>
        <w:rPr>
          <w:lang w:val="zh-CN"/>
        </w:rPr>
        <w:t>委托</w:t>
      </w:r>
      <w:r>
        <w:rPr>
          <w:u w:val="single"/>
          <w:lang w:val="zh-CN"/>
        </w:rPr>
        <w:t xml:space="preserve">          </w:t>
      </w:r>
      <w:r>
        <w:rPr>
          <w:lang w:val="zh-CN"/>
        </w:rPr>
        <w:t>（姓名）为我方代理人（身份证号码：</w:t>
      </w:r>
      <w:r>
        <w:rPr>
          <w:u w:val="single"/>
          <w:lang w:val="zh-CN"/>
        </w:rPr>
        <w:t xml:space="preserve">          </w:t>
      </w:r>
      <w:r>
        <w:rPr>
          <w:lang w:val="zh-CN"/>
        </w:rPr>
        <w:t>，手机：</w:t>
      </w:r>
      <w:r>
        <w:rPr>
          <w:u w:val="single"/>
          <w:lang w:val="zh-CN"/>
        </w:rPr>
        <w:t xml:space="preserve">          </w:t>
      </w:r>
      <w:r>
        <w:rPr>
          <w:lang w:val="zh-CN"/>
        </w:rPr>
        <w:t>），以我方名义处理</w:t>
      </w:r>
      <w:r>
        <w:rPr>
          <w:u w:val="single"/>
        </w:rPr>
        <w:t>（项目名称）</w:t>
      </w:r>
      <w:r>
        <w:rPr>
          <w:rFonts w:hint="eastAsia"/>
          <w:u w:val="single"/>
        </w:rPr>
        <w:t xml:space="preserve"> </w:t>
      </w:r>
      <w:r>
        <w:rPr>
          <w:u w:val="single"/>
        </w:rPr>
        <w:t xml:space="preserve">    （</w:t>
      </w:r>
      <w:r>
        <w:rPr>
          <w:rFonts w:hint="eastAsia"/>
          <w:u w:val="single"/>
        </w:rPr>
        <w:t>项目</w:t>
      </w:r>
      <w:r>
        <w:rPr>
          <w:u w:val="single"/>
        </w:rPr>
        <w:t>编号：</w:t>
      </w:r>
      <w:r>
        <w:rPr>
          <w:lang w:val="zh-CN"/>
        </w:rPr>
        <w:t>）政府采购投标的一切事项，其法律后果由我方承担。</w:t>
      </w:r>
    </w:p>
    <w:p>
      <w:pPr>
        <w:snapToGrid w:val="0"/>
        <w:spacing w:line="360" w:lineRule="auto"/>
        <w:ind w:firstLine="480" w:firstLineChars="200"/>
      </w:pPr>
      <w:r>
        <w:t>委托期限：自   年 月  日起至  年  月  日止。</w:t>
      </w:r>
    </w:p>
    <w:p>
      <w:pPr>
        <w:snapToGrid w:val="0"/>
        <w:spacing w:line="360" w:lineRule="auto"/>
      </w:pPr>
      <w:r>
        <w:t xml:space="preserve">        特此告知。</w:t>
      </w:r>
    </w:p>
    <w:p>
      <w:pPr>
        <w:pStyle w:val="42"/>
        <w:ind w:left="480" w:firstLine="480"/>
      </w:pPr>
    </w:p>
    <w:p>
      <w:pPr>
        <w:pStyle w:val="42"/>
        <w:ind w:left="480" w:firstLine="480"/>
        <w:rPr>
          <w:rFonts w:hint="eastAsia"/>
        </w:rPr>
      </w:pPr>
    </w:p>
    <w:p>
      <w:pPr>
        <w:snapToGrid w:val="0"/>
        <w:spacing w:line="360" w:lineRule="auto"/>
      </w:pPr>
      <w:r>
        <w:t>附：授权代表身份证复印件（正反面）</w:t>
      </w:r>
    </w:p>
    <w:p>
      <w:pPr>
        <w:pStyle w:val="42"/>
        <w:ind w:left="480" w:firstLine="480"/>
        <w:rPr>
          <w:rFonts w:hint="eastAsia"/>
        </w:rPr>
      </w:pPr>
    </w:p>
    <w:p>
      <w:pPr>
        <w:snapToGrid w:val="0"/>
        <w:spacing w:line="360" w:lineRule="auto"/>
        <w:ind w:firstLine="480" w:firstLineChars="200"/>
      </w:pPr>
      <w:r>
        <w:t>法定代表人身份证复印件（正反面）</w:t>
      </w:r>
    </w:p>
    <w:p>
      <w:pPr>
        <w:pStyle w:val="39"/>
        <w:widowControl w:val="0"/>
        <w:adjustRightInd w:val="0"/>
        <w:snapToGrid w:val="0"/>
        <w:spacing w:line="480" w:lineRule="auto"/>
        <w:rPr>
          <w:rFonts w:hint="default"/>
        </w:rPr>
      </w:pPr>
    </w:p>
    <w:p>
      <w:pPr>
        <w:pStyle w:val="39"/>
        <w:widowControl w:val="0"/>
        <w:adjustRightInd w:val="0"/>
        <w:snapToGrid w:val="0"/>
        <w:spacing w:line="480" w:lineRule="auto"/>
      </w:pPr>
    </w:p>
    <w:p>
      <w:pPr>
        <w:snapToGrid w:val="0"/>
        <w:spacing w:line="360" w:lineRule="auto"/>
        <w:ind w:left="4819" w:leftChars="2008"/>
      </w:pPr>
      <w:r>
        <w:t>单位名称</w:t>
      </w:r>
      <w:r>
        <w:rPr>
          <w:rFonts w:ascii="宋体" w:hAnsi="宋体"/>
        </w:rPr>
        <w:t>（</w:t>
      </w:r>
      <w:r>
        <w:rPr>
          <w:rFonts w:hint="eastAsia" w:ascii="宋体" w:hAnsi="宋体"/>
        </w:rPr>
        <w:t>电子签章</w:t>
      </w:r>
      <w:r>
        <w:rPr>
          <w:rFonts w:ascii="宋体" w:hAnsi="宋体"/>
        </w:rPr>
        <w:t>）</w:t>
      </w:r>
      <w:r>
        <w:t>：         </w:t>
      </w:r>
    </w:p>
    <w:p>
      <w:pPr>
        <w:snapToGrid w:val="0"/>
        <w:spacing w:line="360" w:lineRule="auto"/>
        <w:ind w:left="4819" w:leftChars="2008"/>
      </w:pPr>
      <w:r>
        <w:t>法定代表人签字（或</w:t>
      </w:r>
      <w:r>
        <w:rPr>
          <w:rFonts w:hint="eastAsia"/>
        </w:rPr>
        <w:t>盖章或电子签章</w:t>
      </w:r>
      <w:r>
        <w:t>）：</w:t>
      </w:r>
    </w:p>
    <w:p>
      <w:pPr>
        <w:pStyle w:val="42"/>
        <w:ind w:left="4819" w:leftChars="2008" w:firstLine="0" w:firstLineChars="0"/>
        <w:rPr>
          <w:rFonts w:hint="eastAsia"/>
        </w:rPr>
      </w:pPr>
      <w:r>
        <w:rPr>
          <w:rFonts w:hint="eastAsia"/>
        </w:rPr>
        <w:t>授权代表</w:t>
      </w:r>
      <w:r>
        <w:t>签字（或</w:t>
      </w:r>
      <w:r>
        <w:rPr>
          <w:rFonts w:hint="eastAsia"/>
        </w:rPr>
        <w:t>盖章或电子签章</w:t>
      </w:r>
      <w:r>
        <w:t>）</w:t>
      </w:r>
      <w:r>
        <w:rPr>
          <w:rFonts w:hint="eastAsia"/>
        </w:rPr>
        <w:t>：</w:t>
      </w:r>
    </w:p>
    <w:p>
      <w:pPr>
        <w:snapToGrid w:val="0"/>
        <w:spacing w:line="360" w:lineRule="auto"/>
        <w:ind w:left="4819" w:leftChars="2008"/>
      </w:pPr>
      <w:r>
        <w:t> 年         月        日</w:t>
      </w:r>
    </w:p>
    <w:p>
      <w:pPr>
        <w:snapToGrid w:val="0"/>
        <w:spacing w:line="360" w:lineRule="auto"/>
      </w:pPr>
    </w:p>
    <w:p>
      <w:pPr>
        <w:snapToGrid w:val="0"/>
        <w:spacing w:line="360" w:lineRule="auto"/>
        <w:rPr>
          <w:rFonts w:ascii="仿宋_GB2312" w:hAnsi="仿宋" w:eastAsia="仿宋_GB2312" w:cs="仿宋_GB2312"/>
        </w:rPr>
      </w:pPr>
    </w:p>
    <w:p>
      <w:pPr>
        <w:snapToGrid w:val="0"/>
        <w:spacing w:line="360" w:lineRule="auto"/>
        <w:rPr>
          <w:rFonts w:ascii="仿宋_GB2312" w:hAnsi="仿宋" w:eastAsia="仿宋_GB2312" w:cs="仿宋_GB2312"/>
        </w:rPr>
        <w:sectPr>
          <w:pgSz w:w="11906" w:h="16838"/>
          <w:pgMar w:top="1259" w:right="1287" w:bottom="1361" w:left="1622" w:header="709" w:footer="975" w:gutter="0"/>
          <w:cols w:space="720" w:num="1"/>
          <w:docGrid w:linePitch="360" w:charSpace="0"/>
        </w:sectPr>
      </w:pPr>
    </w:p>
    <w:p>
      <w:pPr>
        <w:snapToGrid w:val="0"/>
        <w:spacing w:line="360" w:lineRule="auto"/>
        <w:rPr>
          <w:rFonts w:ascii="仿宋_GB2312" w:hAnsi="仿宋" w:eastAsia="仿宋_GB2312" w:cs="仿宋_GB2312"/>
        </w:rPr>
      </w:pPr>
    </w:p>
    <w:p>
      <w:pPr>
        <w:spacing w:line="360" w:lineRule="auto"/>
        <w:jc w:val="center"/>
        <w:rPr>
          <w:b/>
          <w:sz w:val="32"/>
          <w:szCs w:val="32"/>
        </w:rPr>
      </w:pPr>
      <w:r>
        <w:rPr>
          <w:rFonts w:ascii="仿宋_GB2312" w:hAnsi="仿宋" w:eastAsia="仿宋_GB2312" w:cs="仿宋_GB2312"/>
          <w:b/>
          <w:sz w:val="32"/>
          <w:szCs w:val="32"/>
          <w:lang w:val="zh-CN"/>
        </w:rPr>
        <w:t xml:space="preserve">     </w:t>
      </w:r>
      <w:r>
        <w:rPr>
          <w:b/>
          <w:sz w:val="32"/>
          <w:szCs w:val="32"/>
          <w:lang w:val="zh-CN"/>
        </w:rPr>
        <w:t xml:space="preserve"> </w:t>
      </w:r>
      <w:r>
        <w:rPr>
          <w:b/>
          <w:sz w:val="32"/>
          <w:szCs w:val="32"/>
        </w:rPr>
        <w:t xml:space="preserve"> </w:t>
      </w:r>
      <w:r>
        <w:rPr>
          <w:b/>
          <w:sz w:val="32"/>
          <w:szCs w:val="32"/>
          <w:lang w:val="zh-CN"/>
        </w:rPr>
        <w:t>授权委托书（适用于联合体投标）</w:t>
      </w:r>
    </w:p>
    <w:p>
      <w:pPr>
        <w:snapToGrid w:val="0"/>
        <w:spacing w:line="360" w:lineRule="auto"/>
      </w:pPr>
      <w:r>
        <w:t>（采购人）、（采购代理机构）</w:t>
      </w:r>
      <w:r>
        <w:rPr>
          <w:lang w:val="zh-CN"/>
        </w:rPr>
        <w:t>：</w:t>
      </w:r>
    </w:p>
    <w:p>
      <w:pPr>
        <w:snapToGrid w:val="0"/>
        <w:spacing w:line="360" w:lineRule="auto"/>
        <w:ind w:firstLine="576"/>
      </w:pPr>
      <w:r>
        <w:t>现</w:t>
      </w:r>
      <w:r>
        <w:rPr>
          <w:lang w:val="zh-CN"/>
        </w:rPr>
        <w:t>委托</w:t>
      </w:r>
      <w:r>
        <w:rPr>
          <w:u w:val="single"/>
          <w:lang w:val="zh-CN"/>
        </w:rPr>
        <w:t xml:space="preserve">          </w:t>
      </w:r>
      <w:r>
        <w:rPr>
          <w:lang w:val="zh-CN"/>
        </w:rPr>
        <w:t>（姓名）为我方代理人（身份证号码：</w:t>
      </w:r>
      <w:r>
        <w:rPr>
          <w:u w:val="single"/>
          <w:lang w:val="zh-CN"/>
        </w:rPr>
        <w:t xml:space="preserve">          </w:t>
      </w:r>
      <w:r>
        <w:rPr>
          <w:lang w:val="zh-CN"/>
        </w:rPr>
        <w:t>，手机：</w:t>
      </w:r>
      <w:r>
        <w:rPr>
          <w:u w:val="single"/>
          <w:lang w:val="zh-CN"/>
        </w:rPr>
        <w:t xml:space="preserve">          </w:t>
      </w:r>
      <w:r>
        <w:rPr>
          <w:lang w:val="zh-CN"/>
        </w:rPr>
        <w:t>），以我方名义处理</w:t>
      </w:r>
      <w:r>
        <w:t>（项目名称）（</w:t>
      </w:r>
      <w:r>
        <w:rPr>
          <w:rFonts w:hint="eastAsia"/>
        </w:rPr>
        <w:t>项目</w:t>
      </w:r>
      <w:r>
        <w:t>编号）</w:t>
      </w:r>
      <w:r>
        <w:rPr>
          <w:lang w:val="zh-CN"/>
        </w:rPr>
        <w:t>政府采购投标的一切事项，其法律后果由我方承担。</w:t>
      </w:r>
    </w:p>
    <w:p>
      <w:pPr>
        <w:snapToGrid w:val="0"/>
        <w:spacing w:line="360" w:lineRule="auto"/>
      </w:pPr>
      <w:r>
        <w:t xml:space="preserve">    </w:t>
      </w:r>
      <w:r>
        <w:rPr>
          <w:lang w:val="zh-CN"/>
        </w:rPr>
        <w:t>委托期限</w:t>
      </w:r>
      <w:r>
        <w:t>：</w:t>
      </w:r>
      <w:r>
        <w:rPr>
          <w:lang w:val="zh-CN"/>
        </w:rPr>
        <w:t>自</w:t>
      </w:r>
      <w:r>
        <w:t xml:space="preserve">   </w:t>
      </w:r>
      <w:r>
        <w:rPr>
          <w:lang w:val="zh-CN"/>
        </w:rPr>
        <w:t>年</w:t>
      </w:r>
      <w:r>
        <w:t xml:space="preserve"> </w:t>
      </w:r>
      <w:r>
        <w:rPr>
          <w:lang w:val="zh-CN"/>
        </w:rPr>
        <w:t>月</w:t>
      </w:r>
      <w:r>
        <w:t xml:space="preserve">  </w:t>
      </w:r>
      <w:r>
        <w:rPr>
          <w:lang w:val="zh-CN"/>
        </w:rPr>
        <w:t>日起至</w:t>
      </w:r>
      <w:r>
        <w:t xml:space="preserve">  </w:t>
      </w:r>
      <w:r>
        <w:rPr>
          <w:lang w:val="zh-CN"/>
        </w:rPr>
        <w:t>年</w:t>
      </w:r>
      <w:r>
        <w:t xml:space="preserve">  </w:t>
      </w:r>
      <w:r>
        <w:rPr>
          <w:lang w:val="zh-CN"/>
        </w:rPr>
        <w:t>月</w:t>
      </w:r>
      <w:r>
        <w:t xml:space="preserve">  </w:t>
      </w:r>
      <w:r>
        <w:rPr>
          <w:lang w:val="zh-CN"/>
        </w:rPr>
        <w:t>日止。</w:t>
      </w:r>
    </w:p>
    <w:p>
      <w:pPr>
        <w:snapToGrid w:val="0"/>
        <w:spacing w:line="360" w:lineRule="auto"/>
      </w:pPr>
      <w:r>
        <w:t xml:space="preserve">    </w:t>
      </w:r>
      <w:r>
        <w:rPr>
          <w:lang w:val="zh-CN"/>
        </w:rPr>
        <w:t>特此告知。</w:t>
      </w: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pPr>
    </w:p>
    <w:p>
      <w:pPr>
        <w:snapToGrid w:val="0"/>
        <w:spacing w:line="360" w:lineRule="auto"/>
        <w:ind w:firstLine="5040" w:firstLineChars="2100"/>
        <w:rPr>
          <w:lang w:val="zh-CN"/>
        </w:rPr>
      </w:pPr>
      <w:r>
        <w:rPr>
          <w:lang w:val="zh-CN"/>
        </w:rPr>
        <w:t>联合体成员名称(电子签</w:t>
      </w:r>
      <w:r>
        <w:rPr>
          <w:rFonts w:hint="eastAsia"/>
          <w:lang w:val="zh-CN"/>
        </w:rPr>
        <w:t>章</w:t>
      </w:r>
      <w:r>
        <w:rPr>
          <w:lang w:val="zh-CN"/>
        </w:rPr>
        <w:t>/公章)：</w:t>
      </w:r>
    </w:p>
    <w:p>
      <w:pPr>
        <w:snapToGrid w:val="0"/>
        <w:spacing w:line="360" w:lineRule="auto"/>
        <w:ind w:firstLine="5040" w:firstLineChars="2100"/>
        <w:rPr>
          <w:lang w:val="zh-CN"/>
        </w:rPr>
      </w:pPr>
      <w:r>
        <w:rPr>
          <w:lang w:val="zh-CN"/>
        </w:rPr>
        <w:t>联合体成员名称(电子签</w:t>
      </w:r>
      <w:r>
        <w:rPr>
          <w:rFonts w:hint="eastAsia"/>
          <w:lang w:val="zh-CN"/>
        </w:rPr>
        <w:t>章</w:t>
      </w:r>
      <w:r>
        <w:rPr>
          <w:lang w:val="zh-CN"/>
        </w:rPr>
        <w:t>/公章)：</w:t>
      </w:r>
    </w:p>
    <w:p>
      <w:pPr>
        <w:snapToGrid w:val="0"/>
        <w:spacing w:line="360" w:lineRule="auto"/>
        <w:ind w:firstLine="5760" w:firstLineChars="2400"/>
      </w:pPr>
      <w:r>
        <w:rPr>
          <w:lang w:val="zh-CN"/>
        </w:rPr>
        <w:t>……</w:t>
      </w:r>
    </w:p>
    <w:p>
      <w:pPr>
        <w:snapToGrid w:val="0"/>
        <w:spacing w:line="360" w:lineRule="auto"/>
        <w:rPr>
          <w:lang w:val="zh-CN"/>
        </w:rPr>
      </w:pPr>
      <w:r>
        <w:rPr>
          <w:lang w:val="zh-CN"/>
        </w:rPr>
        <w:t xml:space="preserve">                                                                                    日期：  年  月   日</w:t>
      </w:r>
    </w:p>
    <w:p>
      <w:pPr>
        <w:pStyle w:val="42"/>
        <w:ind w:left="480" w:firstLine="480"/>
        <w:sectPr>
          <w:pgSz w:w="11906" w:h="16838"/>
          <w:pgMar w:top="1259" w:right="1287" w:bottom="1361" w:left="1622" w:header="709" w:footer="975" w:gutter="0"/>
          <w:cols w:space="720" w:num="1"/>
          <w:docGrid w:linePitch="360" w:charSpace="0"/>
        </w:sectPr>
      </w:pPr>
    </w:p>
    <w:p>
      <w:pPr>
        <w:shd w:val="clear" w:color="auto" w:fill="FFFFFF"/>
        <w:spacing w:before="100" w:beforeAutospacing="1" w:after="100" w:afterAutospacing="1"/>
        <w:jc w:val="center"/>
        <w:rPr>
          <w:rFonts w:ascii="宋体" w:hAnsi="宋体"/>
          <w:b/>
          <w:sz w:val="32"/>
          <w:szCs w:val="32"/>
        </w:rPr>
      </w:pPr>
      <w:r>
        <w:rPr>
          <w:rFonts w:hint="eastAsia" w:ascii="宋体" w:hAnsi="宋体"/>
          <w:b/>
          <w:sz w:val="32"/>
          <w:szCs w:val="32"/>
        </w:rPr>
        <w:t>法定代表人、单位负责人或自然人本人的身份证明（适用于法定代表人、单位负责人或者自然人本人代表投标人参加投标）</w:t>
      </w:r>
    </w:p>
    <w:p>
      <w:pPr>
        <w:shd w:val="clear" w:color="auto" w:fill="FFFFFF"/>
        <w:spacing w:before="100" w:beforeAutospacing="1" w:after="100" w:afterAutospacing="1" w:line="500" w:lineRule="atLeast"/>
        <w:ind w:firstLine="358"/>
        <w:jc w:val="center"/>
        <w:rPr>
          <w:rFonts w:ascii="宋体" w:hAnsi="宋体"/>
          <w:szCs w:val="28"/>
        </w:rPr>
        <w:sectPr>
          <w:headerReference r:id="rId8" w:type="default"/>
          <w:pgSz w:w="11906" w:h="16838"/>
          <w:pgMar w:top="1259" w:right="1287" w:bottom="1361" w:left="1622" w:header="709" w:footer="975" w:gutter="0"/>
          <w:cols w:space="720" w:num="1"/>
          <w:docGrid w:linePitch="360" w:charSpace="0"/>
        </w:sectPr>
      </w:pPr>
      <w:r>
        <w:rPr>
          <w:rFonts w:hint="eastAsia" w:ascii="宋体" w:hAnsi="宋体"/>
          <w:szCs w:val="28"/>
        </w:rPr>
        <w:t>仅提供身份证正反面即可</w:t>
      </w:r>
    </w:p>
    <w:p>
      <w:pPr>
        <w:pStyle w:val="39"/>
        <w:widowControl w:val="0"/>
        <w:adjustRightInd w:val="0"/>
        <w:snapToGrid w:val="0"/>
        <w:spacing w:line="390" w:lineRule="atLeast"/>
        <w:jc w:val="center"/>
        <w:rPr>
          <w:rFonts w:hint="default"/>
          <w:b/>
          <w:sz w:val="32"/>
          <w:szCs w:val="32"/>
        </w:rPr>
      </w:pPr>
      <w:r>
        <w:rPr>
          <w:b/>
          <w:sz w:val="32"/>
          <w:szCs w:val="32"/>
        </w:rPr>
        <w:t>三</w:t>
      </w:r>
      <w:r>
        <w:rPr>
          <w:rFonts w:hint="default"/>
          <w:b/>
          <w:sz w:val="32"/>
          <w:szCs w:val="32"/>
        </w:rPr>
        <w:t>、服务条款</w:t>
      </w:r>
      <w:r>
        <w:rPr>
          <w:b/>
          <w:sz w:val="32"/>
          <w:szCs w:val="32"/>
        </w:rPr>
        <w:t>偏离</w:t>
      </w:r>
      <w:r>
        <w:rPr>
          <w:rFonts w:hint="default"/>
          <w:b/>
          <w:sz w:val="32"/>
          <w:szCs w:val="32"/>
        </w:rPr>
        <w:t>表</w:t>
      </w:r>
    </w:p>
    <w:p>
      <w:pPr>
        <w:pStyle w:val="39"/>
        <w:widowControl w:val="0"/>
        <w:adjustRightInd w:val="0"/>
        <w:snapToGrid w:val="0"/>
        <w:rPr>
          <w:rFonts w:hint="default"/>
        </w:rPr>
      </w:pPr>
      <w:r>
        <w:rPr>
          <w:rFonts w:hint="default"/>
        </w:rPr>
        <w:t xml:space="preserve"> </w:t>
      </w:r>
    </w:p>
    <w:tbl>
      <w:tblPr>
        <w:tblStyle w:val="43"/>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80"/>
        <w:gridCol w:w="2773"/>
        <w:gridCol w:w="145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pPr>
              <w:pStyle w:val="39"/>
              <w:widowControl w:val="0"/>
              <w:adjustRightInd w:val="0"/>
              <w:snapToGrid w:val="0"/>
              <w:jc w:val="center"/>
              <w:rPr>
                <w:rFonts w:hint="default" w:ascii="Times New Roman" w:hAnsi="Times New Roman"/>
              </w:rPr>
            </w:pPr>
            <w:r>
              <w:rPr>
                <w:rFonts w:hint="default" w:ascii="Times New Roman" w:hAnsi="Times New Roman"/>
              </w:rPr>
              <w:t>序号</w:t>
            </w:r>
          </w:p>
        </w:tc>
        <w:tc>
          <w:tcPr>
            <w:tcW w:w="3180" w:type="dxa"/>
            <w:noWrap w:val="0"/>
            <w:vAlign w:val="center"/>
          </w:tcPr>
          <w:p>
            <w:pPr>
              <w:pStyle w:val="39"/>
              <w:widowControl w:val="0"/>
              <w:adjustRightInd w:val="0"/>
              <w:snapToGrid w:val="0"/>
              <w:jc w:val="center"/>
              <w:rPr>
                <w:rFonts w:hint="default" w:ascii="Times New Roman" w:hAnsi="Times New Roman"/>
              </w:rPr>
            </w:pPr>
            <w:r>
              <w:rPr>
                <w:rFonts w:hint="default" w:ascii="Times New Roman" w:hAnsi="Times New Roman"/>
                <w:u w:val="thick" w:color="FFFFFF"/>
              </w:rPr>
              <w:t>招标文件</w:t>
            </w:r>
            <w:r>
              <w:rPr>
                <w:rFonts w:hint="default" w:ascii="Times New Roman" w:hAnsi="Times New Roman"/>
              </w:rPr>
              <w:t>要求</w:t>
            </w:r>
          </w:p>
        </w:tc>
        <w:tc>
          <w:tcPr>
            <w:tcW w:w="2773" w:type="dxa"/>
            <w:noWrap w:val="0"/>
            <w:vAlign w:val="center"/>
          </w:tcPr>
          <w:p>
            <w:pPr>
              <w:pStyle w:val="39"/>
              <w:widowControl w:val="0"/>
              <w:adjustRightInd w:val="0"/>
              <w:snapToGrid w:val="0"/>
              <w:jc w:val="center"/>
              <w:rPr>
                <w:rFonts w:hint="default" w:ascii="Times New Roman" w:hAnsi="Times New Roman"/>
              </w:rPr>
            </w:pPr>
            <w:r>
              <w:rPr>
                <w:rFonts w:hint="default" w:ascii="Times New Roman" w:hAnsi="Times New Roman"/>
              </w:rPr>
              <w:t>投标响应内容</w:t>
            </w:r>
          </w:p>
        </w:tc>
        <w:tc>
          <w:tcPr>
            <w:tcW w:w="1452" w:type="dxa"/>
            <w:noWrap w:val="0"/>
            <w:vAlign w:val="center"/>
          </w:tcPr>
          <w:p>
            <w:pPr>
              <w:pStyle w:val="39"/>
              <w:widowControl w:val="0"/>
              <w:adjustRightInd w:val="0"/>
              <w:snapToGrid w:val="0"/>
              <w:jc w:val="center"/>
              <w:rPr>
                <w:rFonts w:hint="default" w:ascii="Times New Roman" w:hAnsi="Times New Roman"/>
              </w:rPr>
            </w:pPr>
            <w:r>
              <w:rPr>
                <w:rFonts w:hint="default" w:ascii="Times New Roman" w:hAnsi="Times New Roman"/>
              </w:rPr>
              <w:t>偏离情况</w:t>
            </w:r>
          </w:p>
        </w:tc>
        <w:tc>
          <w:tcPr>
            <w:tcW w:w="1134" w:type="dxa"/>
            <w:noWrap w:val="0"/>
            <w:vAlign w:val="center"/>
          </w:tcPr>
          <w:p>
            <w:pPr>
              <w:pStyle w:val="39"/>
              <w:widowControl w:val="0"/>
              <w:adjustRightInd w:val="0"/>
              <w:snapToGrid w:val="0"/>
              <w:jc w:val="center"/>
              <w:rPr>
                <w:rFonts w:hint="default" w:ascii="Times New Roman" w:hAnsi="Times New Roman"/>
              </w:rPr>
            </w:pPr>
            <w:r>
              <w:rPr>
                <w:rFonts w:hint="default"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pPr>
              <w:pStyle w:val="39"/>
              <w:widowControl w:val="0"/>
              <w:adjustRightInd w:val="0"/>
              <w:snapToGrid w:val="0"/>
              <w:jc w:val="center"/>
              <w:rPr>
                <w:rFonts w:hint="default" w:ascii="Times New Roman" w:hAnsi="Times New Roman"/>
              </w:rPr>
            </w:pPr>
            <w:r>
              <w:rPr>
                <w:rFonts w:hint="default" w:ascii="Times New Roman" w:hAnsi="Times New Roman"/>
              </w:rPr>
              <w:t>1</w:t>
            </w:r>
          </w:p>
        </w:tc>
        <w:tc>
          <w:tcPr>
            <w:tcW w:w="3180" w:type="dxa"/>
            <w:noWrap w:val="0"/>
            <w:vAlign w:val="center"/>
          </w:tcPr>
          <w:p>
            <w:pPr>
              <w:pStyle w:val="39"/>
              <w:widowControl w:val="0"/>
              <w:adjustRightInd w:val="0"/>
              <w:snapToGrid w:val="0"/>
              <w:jc w:val="center"/>
              <w:rPr>
                <w:rFonts w:hint="default" w:ascii="Times New Roman" w:hAnsi="Times New Roman"/>
              </w:rPr>
            </w:pPr>
            <w:r>
              <w:rPr>
                <w:rFonts w:hint="default" w:ascii="Times New Roman" w:hAnsi="Times New Roman"/>
              </w:rPr>
              <w:t>（</w:t>
            </w:r>
            <w:r>
              <w:rPr>
                <w:rFonts w:ascii="Times New Roman" w:hAnsi="Times New Roman"/>
              </w:rPr>
              <w:t>服务</w:t>
            </w:r>
            <w:r>
              <w:rPr>
                <w:rFonts w:hint="default" w:ascii="Times New Roman" w:hAnsi="Times New Roman"/>
              </w:rPr>
              <w:t>期/</w:t>
            </w:r>
            <w:r>
              <w:rPr>
                <w:rFonts w:ascii="Times New Roman" w:hAnsi="Times New Roman"/>
              </w:rPr>
              <w:t>完工</w:t>
            </w:r>
            <w:r>
              <w:rPr>
                <w:rFonts w:hint="default" w:ascii="Times New Roman" w:hAnsi="Times New Roman"/>
              </w:rPr>
              <w:t>时间）</w:t>
            </w:r>
          </w:p>
        </w:tc>
        <w:tc>
          <w:tcPr>
            <w:tcW w:w="2773" w:type="dxa"/>
            <w:noWrap w:val="0"/>
            <w:vAlign w:val="center"/>
          </w:tcPr>
          <w:p>
            <w:pPr>
              <w:pStyle w:val="39"/>
              <w:widowControl w:val="0"/>
              <w:adjustRightInd w:val="0"/>
              <w:snapToGrid w:val="0"/>
              <w:jc w:val="both"/>
              <w:rPr>
                <w:rFonts w:hint="default" w:ascii="Times New Roman" w:hAnsi="Times New Roman"/>
              </w:rPr>
            </w:pPr>
          </w:p>
        </w:tc>
        <w:tc>
          <w:tcPr>
            <w:tcW w:w="1452" w:type="dxa"/>
            <w:noWrap w:val="0"/>
            <w:vAlign w:val="center"/>
          </w:tcPr>
          <w:p>
            <w:pPr>
              <w:pStyle w:val="39"/>
              <w:widowControl w:val="0"/>
              <w:adjustRightInd w:val="0"/>
              <w:snapToGrid w:val="0"/>
              <w:jc w:val="center"/>
              <w:rPr>
                <w:rFonts w:hint="default" w:ascii="Times New Roman" w:hAnsi="Times New Roman"/>
              </w:rPr>
            </w:pPr>
          </w:p>
        </w:tc>
        <w:tc>
          <w:tcPr>
            <w:tcW w:w="1134" w:type="dxa"/>
            <w:noWrap w:val="0"/>
            <w:vAlign w:val="center"/>
          </w:tcPr>
          <w:p>
            <w:pPr>
              <w:pStyle w:val="39"/>
              <w:widowControl w:val="0"/>
              <w:adjustRightInd w:val="0"/>
              <w:snapToGrid w:val="0"/>
              <w:jc w:val="both"/>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pPr>
              <w:pStyle w:val="39"/>
              <w:widowControl w:val="0"/>
              <w:adjustRightInd w:val="0"/>
              <w:snapToGrid w:val="0"/>
              <w:jc w:val="center"/>
              <w:rPr>
                <w:rFonts w:hint="default" w:ascii="Times New Roman" w:hAnsi="Times New Roman"/>
              </w:rPr>
            </w:pPr>
            <w:r>
              <w:rPr>
                <w:rFonts w:hint="default" w:ascii="Times New Roman" w:hAnsi="Times New Roman"/>
              </w:rPr>
              <w:t>2</w:t>
            </w:r>
          </w:p>
        </w:tc>
        <w:tc>
          <w:tcPr>
            <w:tcW w:w="3180" w:type="dxa"/>
            <w:noWrap w:val="0"/>
            <w:vAlign w:val="center"/>
          </w:tcPr>
          <w:p>
            <w:pPr>
              <w:pStyle w:val="39"/>
              <w:widowControl w:val="0"/>
              <w:adjustRightInd w:val="0"/>
              <w:snapToGrid w:val="0"/>
              <w:jc w:val="center"/>
              <w:rPr>
                <w:rFonts w:hint="default" w:ascii="Times New Roman" w:hAnsi="Times New Roman"/>
              </w:rPr>
            </w:pPr>
            <w:r>
              <w:rPr>
                <w:rFonts w:hint="default" w:ascii="Times New Roman" w:hAnsi="Times New Roman"/>
              </w:rPr>
              <w:t>（售后要求）</w:t>
            </w:r>
          </w:p>
        </w:tc>
        <w:tc>
          <w:tcPr>
            <w:tcW w:w="2773" w:type="dxa"/>
            <w:noWrap w:val="0"/>
            <w:vAlign w:val="center"/>
          </w:tcPr>
          <w:p>
            <w:pPr>
              <w:pStyle w:val="39"/>
              <w:widowControl w:val="0"/>
              <w:adjustRightInd w:val="0"/>
              <w:snapToGrid w:val="0"/>
              <w:jc w:val="both"/>
              <w:rPr>
                <w:rFonts w:hint="default" w:ascii="Times New Roman" w:hAnsi="Times New Roman"/>
              </w:rPr>
            </w:pPr>
          </w:p>
        </w:tc>
        <w:tc>
          <w:tcPr>
            <w:tcW w:w="1452" w:type="dxa"/>
            <w:noWrap w:val="0"/>
            <w:vAlign w:val="center"/>
          </w:tcPr>
          <w:p>
            <w:pPr>
              <w:pStyle w:val="39"/>
              <w:widowControl w:val="0"/>
              <w:adjustRightInd w:val="0"/>
              <w:snapToGrid w:val="0"/>
              <w:jc w:val="center"/>
              <w:rPr>
                <w:rFonts w:hint="default" w:ascii="Times New Roman" w:hAnsi="Times New Roman"/>
              </w:rPr>
            </w:pPr>
          </w:p>
        </w:tc>
        <w:tc>
          <w:tcPr>
            <w:tcW w:w="1134" w:type="dxa"/>
            <w:noWrap w:val="0"/>
            <w:vAlign w:val="center"/>
          </w:tcPr>
          <w:p>
            <w:pPr>
              <w:pStyle w:val="39"/>
              <w:widowControl w:val="0"/>
              <w:adjustRightInd w:val="0"/>
              <w:snapToGrid w:val="0"/>
              <w:jc w:val="both"/>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pPr>
              <w:pStyle w:val="39"/>
              <w:widowControl w:val="0"/>
              <w:adjustRightInd w:val="0"/>
              <w:snapToGrid w:val="0"/>
              <w:jc w:val="center"/>
              <w:rPr>
                <w:rFonts w:hint="default" w:ascii="Times New Roman" w:hAnsi="Times New Roman"/>
              </w:rPr>
            </w:pPr>
            <w:r>
              <w:rPr>
                <w:rFonts w:hint="default" w:ascii="Times New Roman" w:hAnsi="Times New Roman"/>
              </w:rPr>
              <w:t>3</w:t>
            </w:r>
          </w:p>
        </w:tc>
        <w:tc>
          <w:tcPr>
            <w:tcW w:w="3180" w:type="dxa"/>
            <w:noWrap w:val="0"/>
            <w:vAlign w:val="center"/>
          </w:tcPr>
          <w:p>
            <w:pPr>
              <w:pStyle w:val="39"/>
              <w:widowControl w:val="0"/>
              <w:adjustRightInd w:val="0"/>
              <w:snapToGrid w:val="0"/>
              <w:jc w:val="center"/>
              <w:rPr>
                <w:rFonts w:hint="default" w:ascii="Times New Roman" w:hAnsi="Times New Roman"/>
              </w:rPr>
            </w:pPr>
            <w:r>
              <w:rPr>
                <w:rFonts w:hint="default" w:ascii="Times New Roman" w:hAnsi="Times New Roman"/>
              </w:rPr>
              <w:t>（付款方式）</w:t>
            </w:r>
          </w:p>
        </w:tc>
        <w:tc>
          <w:tcPr>
            <w:tcW w:w="2773" w:type="dxa"/>
            <w:noWrap w:val="0"/>
            <w:vAlign w:val="center"/>
          </w:tcPr>
          <w:p>
            <w:pPr>
              <w:pStyle w:val="39"/>
              <w:widowControl w:val="0"/>
              <w:adjustRightInd w:val="0"/>
              <w:snapToGrid w:val="0"/>
              <w:jc w:val="both"/>
              <w:rPr>
                <w:rFonts w:hint="default" w:ascii="Times New Roman" w:hAnsi="Times New Roman"/>
              </w:rPr>
            </w:pPr>
          </w:p>
        </w:tc>
        <w:tc>
          <w:tcPr>
            <w:tcW w:w="1452" w:type="dxa"/>
            <w:noWrap w:val="0"/>
            <w:vAlign w:val="center"/>
          </w:tcPr>
          <w:p>
            <w:pPr>
              <w:pStyle w:val="39"/>
              <w:widowControl w:val="0"/>
              <w:adjustRightInd w:val="0"/>
              <w:snapToGrid w:val="0"/>
              <w:jc w:val="both"/>
              <w:rPr>
                <w:rFonts w:hint="default" w:ascii="Times New Roman" w:hAnsi="Times New Roman"/>
              </w:rPr>
            </w:pPr>
          </w:p>
        </w:tc>
        <w:tc>
          <w:tcPr>
            <w:tcW w:w="1134" w:type="dxa"/>
            <w:noWrap w:val="0"/>
            <w:vAlign w:val="center"/>
          </w:tcPr>
          <w:p>
            <w:pPr>
              <w:pStyle w:val="39"/>
              <w:widowControl w:val="0"/>
              <w:adjustRightInd w:val="0"/>
              <w:snapToGrid w:val="0"/>
              <w:jc w:val="both"/>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pPr>
              <w:pStyle w:val="39"/>
              <w:widowControl w:val="0"/>
              <w:adjustRightInd w:val="0"/>
              <w:snapToGrid w:val="0"/>
              <w:jc w:val="center"/>
              <w:rPr>
                <w:rFonts w:hint="default" w:ascii="Times New Roman" w:hAnsi="Times New Roman"/>
              </w:rPr>
            </w:pPr>
            <w:r>
              <w:rPr>
                <w:rFonts w:hint="default" w:ascii="Times New Roman" w:hAnsi="Times New Roman"/>
              </w:rPr>
              <w:t>4</w:t>
            </w:r>
          </w:p>
        </w:tc>
        <w:tc>
          <w:tcPr>
            <w:tcW w:w="3180" w:type="dxa"/>
            <w:noWrap w:val="0"/>
            <w:vAlign w:val="center"/>
          </w:tcPr>
          <w:p>
            <w:pPr>
              <w:pStyle w:val="39"/>
              <w:widowControl w:val="0"/>
              <w:adjustRightInd w:val="0"/>
              <w:snapToGrid w:val="0"/>
              <w:jc w:val="center"/>
              <w:rPr>
                <w:rFonts w:hint="default" w:ascii="Times New Roman" w:hAnsi="Times New Roman"/>
              </w:rPr>
            </w:pPr>
          </w:p>
        </w:tc>
        <w:tc>
          <w:tcPr>
            <w:tcW w:w="2773" w:type="dxa"/>
            <w:noWrap w:val="0"/>
            <w:vAlign w:val="center"/>
          </w:tcPr>
          <w:p>
            <w:pPr>
              <w:pStyle w:val="39"/>
              <w:widowControl w:val="0"/>
              <w:adjustRightInd w:val="0"/>
              <w:snapToGrid w:val="0"/>
              <w:jc w:val="both"/>
              <w:rPr>
                <w:rFonts w:hint="default" w:ascii="Times New Roman" w:hAnsi="Times New Roman"/>
              </w:rPr>
            </w:pPr>
          </w:p>
        </w:tc>
        <w:tc>
          <w:tcPr>
            <w:tcW w:w="1452" w:type="dxa"/>
            <w:noWrap w:val="0"/>
            <w:vAlign w:val="center"/>
          </w:tcPr>
          <w:p>
            <w:pPr>
              <w:pStyle w:val="39"/>
              <w:widowControl w:val="0"/>
              <w:adjustRightInd w:val="0"/>
              <w:snapToGrid w:val="0"/>
              <w:jc w:val="both"/>
              <w:rPr>
                <w:rFonts w:hint="default" w:ascii="Times New Roman" w:hAnsi="Times New Roman"/>
              </w:rPr>
            </w:pPr>
          </w:p>
        </w:tc>
        <w:tc>
          <w:tcPr>
            <w:tcW w:w="1134" w:type="dxa"/>
            <w:noWrap w:val="0"/>
            <w:vAlign w:val="center"/>
          </w:tcPr>
          <w:p>
            <w:pPr>
              <w:pStyle w:val="39"/>
              <w:widowControl w:val="0"/>
              <w:adjustRightInd w:val="0"/>
              <w:snapToGrid w:val="0"/>
              <w:jc w:val="both"/>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pPr>
              <w:pStyle w:val="39"/>
              <w:widowControl w:val="0"/>
              <w:adjustRightInd w:val="0"/>
              <w:snapToGrid w:val="0"/>
              <w:jc w:val="center"/>
              <w:rPr>
                <w:rFonts w:hint="default" w:ascii="Times New Roman" w:hAnsi="Times New Roman"/>
              </w:rPr>
            </w:pPr>
          </w:p>
        </w:tc>
        <w:tc>
          <w:tcPr>
            <w:tcW w:w="3180" w:type="dxa"/>
            <w:noWrap w:val="0"/>
            <w:vAlign w:val="center"/>
          </w:tcPr>
          <w:p>
            <w:pPr>
              <w:pStyle w:val="39"/>
              <w:widowControl w:val="0"/>
              <w:adjustRightInd w:val="0"/>
              <w:snapToGrid w:val="0"/>
              <w:jc w:val="both"/>
              <w:rPr>
                <w:rFonts w:hint="default" w:ascii="Times New Roman" w:hAnsi="Times New Roman"/>
              </w:rPr>
            </w:pPr>
            <w:r>
              <w:rPr>
                <w:rFonts w:hint="default" w:ascii="Times New Roman" w:hAnsi="Times New Roman"/>
              </w:rPr>
              <w:t>……</w:t>
            </w:r>
          </w:p>
        </w:tc>
        <w:tc>
          <w:tcPr>
            <w:tcW w:w="2773" w:type="dxa"/>
            <w:noWrap w:val="0"/>
            <w:vAlign w:val="center"/>
          </w:tcPr>
          <w:p>
            <w:pPr>
              <w:pStyle w:val="39"/>
              <w:widowControl w:val="0"/>
              <w:adjustRightInd w:val="0"/>
              <w:snapToGrid w:val="0"/>
              <w:jc w:val="both"/>
              <w:rPr>
                <w:rFonts w:hint="default" w:ascii="Times New Roman" w:hAnsi="Times New Roman"/>
              </w:rPr>
            </w:pPr>
          </w:p>
        </w:tc>
        <w:tc>
          <w:tcPr>
            <w:tcW w:w="1452" w:type="dxa"/>
            <w:noWrap w:val="0"/>
            <w:vAlign w:val="center"/>
          </w:tcPr>
          <w:p>
            <w:pPr>
              <w:pStyle w:val="39"/>
              <w:widowControl w:val="0"/>
              <w:adjustRightInd w:val="0"/>
              <w:snapToGrid w:val="0"/>
              <w:jc w:val="both"/>
              <w:rPr>
                <w:rFonts w:hint="default" w:ascii="Times New Roman" w:hAnsi="Times New Roman"/>
              </w:rPr>
            </w:pPr>
          </w:p>
        </w:tc>
        <w:tc>
          <w:tcPr>
            <w:tcW w:w="1134" w:type="dxa"/>
            <w:noWrap w:val="0"/>
            <w:vAlign w:val="center"/>
          </w:tcPr>
          <w:p>
            <w:pPr>
              <w:pStyle w:val="39"/>
              <w:widowControl w:val="0"/>
              <w:adjustRightInd w:val="0"/>
              <w:snapToGrid w:val="0"/>
              <w:jc w:val="both"/>
              <w:rPr>
                <w:rFonts w:hint="default" w:ascii="Times New Roman" w:hAnsi="Times New Roman"/>
              </w:rPr>
            </w:pPr>
          </w:p>
        </w:tc>
      </w:tr>
    </w:tbl>
    <w:p>
      <w:pPr>
        <w:pStyle w:val="24"/>
        <w:widowControl w:val="0"/>
        <w:adjustRightInd w:val="0"/>
        <w:snapToGrid w:val="0"/>
        <w:spacing w:before="0" w:beforeAutospacing="0" w:after="0" w:afterAutospacing="0" w:line="360" w:lineRule="auto"/>
      </w:pPr>
    </w:p>
    <w:p>
      <w:pPr>
        <w:pStyle w:val="24"/>
        <w:widowControl w:val="0"/>
        <w:adjustRightInd w:val="0"/>
        <w:snapToGrid w:val="0"/>
        <w:spacing w:before="0" w:beforeAutospacing="0" w:after="0" w:afterAutospacing="0"/>
        <w:rPr>
          <w:b/>
          <w:sz w:val="21"/>
          <w:szCs w:val="21"/>
        </w:rPr>
      </w:pPr>
      <w:r>
        <w:rPr>
          <w:b/>
          <w:sz w:val="21"/>
          <w:szCs w:val="21"/>
        </w:rPr>
        <w:t>说明：1.投标人拟提供的服务承诺与招标文件中的要求不一致时，则必须在</w:t>
      </w:r>
      <w:r>
        <w:rPr>
          <w:rFonts w:hint="eastAsia"/>
          <w:b/>
          <w:sz w:val="21"/>
          <w:szCs w:val="21"/>
        </w:rPr>
        <w:t>此表</w:t>
      </w:r>
      <w:r>
        <w:rPr>
          <w:b/>
          <w:sz w:val="21"/>
          <w:szCs w:val="21"/>
        </w:rPr>
        <w:t>中予以明确。否则将视为投标人完全响应招标文件的要求，并以招标文件作为合同条件。</w:t>
      </w:r>
      <w:r>
        <w:rPr>
          <w:b/>
          <w:sz w:val="21"/>
          <w:szCs w:val="21"/>
        </w:rPr>
        <w:br w:type="textWrapping"/>
      </w:r>
      <w:r>
        <w:rPr>
          <w:b/>
          <w:sz w:val="21"/>
          <w:szCs w:val="21"/>
        </w:rPr>
        <w:t>    2.</w:t>
      </w:r>
      <w:r>
        <w:rPr>
          <w:rFonts w:hint="eastAsia"/>
          <w:b/>
          <w:sz w:val="21"/>
          <w:szCs w:val="21"/>
        </w:rPr>
        <w:t>偏离</w:t>
      </w:r>
      <w:r>
        <w:rPr>
          <w:b/>
          <w:sz w:val="21"/>
          <w:szCs w:val="21"/>
        </w:rPr>
        <w:t>情况分别为：正偏离、</w:t>
      </w:r>
      <w:r>
        <w:rPr>
          <w:rFonts w:hint="eastAsia"/>
          <w:b/>
          <w:sz w:val="21"/>
          <w:szCs w:val="21"/>
        </w:rPr>
        <w:t>无偏离</w:t>
      </w:r>
      <w:r>
        <w:rPr>
          <w:b/>
          <w:sz w:val="21"/>
          <w:szCs w:val="21"/>
        </w:rPr>
        <w:t>或负偏离。投标人可在备注栏内就偏离原因进行简要说明。</w:t>
      </w:r>
    </w:p>
    <w:p>
      <w:pPr>
        <w:pStyle w:val="24"/>
        <w:widowControl w:val="0"/>
        <w:adjustRightInd w:val="0"/>
        <w:snapToGrid w:val="0"/>
        <w:spacing w:before="0" w:beforeAutospacing="0" w:after="0" w:afterAutospacing="0"/>
      </w:pPr>
    </w:p>
    <w:p>
      <w:pPr>
        <w:pStyle w:val="24"/>
        <w:widowControl w:val="0"/>
        <w:adjustRightInd w:val="0"/>
        <w:snapToGrid w:val="0"/>
        <w:spacing w:before="0" w:beforeAutospacing="0" w:after="0" w:afterAutospacing="0"/>
      </w:pPr>
    </w:p>
    <w:p>
      <w:pPr>
        <w:pStyle w:val="24"/>
        <w:widowControl w:val="0"/>
        <w:adjustRightInd w:val="0"/>
        <w:snapToGrid w:val="0"/>
        <w:spacing w:before="0" w:beforeAutospacing="0" w:after="0" w:afterAutospacing="0"/>
      </w:pPr>
    </w:p>
    <w:p>
      <w:pPr>
        <w:pStyle w:val="24"/>
        <w:widowControl w:val="0"/>
        <w:adjustRightInd w:val="0"/>
        <w:snapToGrid w:val="0"/>
        <w:spacing w:before="0" w:beforeAutospacing="0" w:after="0" w:afterAutospacing="0" w:line="360" w:lineRule="auto"/>
        <w:ind w:firstLine="3120" w:firstLineChars="1300"/>
      </w:pPr>
      <w:r>
        <w:t>投标人（电子签章）：__________________________</w:t>
      </w:r>
    </w:p>
    <w:p>
      <w:pPr>
        <w:shd w:val="clear" w:color="auto" w:fill="FFFFFF"/>
        <w:spacing w:before="100" w:beforeAutospacing="1" w:after="100" w:afterAutospacing="1" w:line="500" w:lineRule="atLeast"/>
        <w:ind w:firstLine="358"/>
        <w:jc w:val="center"/>
        <w:sectPr>
          <w:pgSz w:w="11906" w:h="16838"/>
          <w:pgMar w:top="1259" w:right="1287" w:bottom="1361" w:left="1622" w:header="709" w:footer="975" w:gutter="0"/>
          <w:cols w:space="720" w:num="1"/>
          <w:docGrid w:linePitch="360" w:charSpace="0"/>
        </w:sectPr>
      </w:pPr>
      <w:r>
        <w:t>日期：____年____月____日</w:t>
      </w:r>
    </w:p>
    <w:p>
      <w:pPr>
        <w:pStyle w:val="24"/>
        <w:widowControl w:val="0"/>
        <w:adjustRightInd w:val="0"/>
        <w:snapToGrid w:val="0"/>
        <w:jc w:val="center"/>
        <w:rPr>
          <w:rFonts w:hint="eastAsia"/>
          <w:spacing w:val="60"/>
          <w:sz w:val="32"/>
          <w:szCs w:val="32"/>
        </w:rPr>
      </w:pPr>
      <w:r>
        <w:rPr>
          <w:rFonts w:hint="eastAsia"/>
          <w:b/>
          <w:sz w:val="32"/>
          <w:szCs w:val="32"/>
        </w:rPr>
        <w:t>四</w:t>
      </w:r>
      <w:r>
        <w:rPr>
          <w:b/>
          <w:sz w:val="32"/>
          <w:szCs w:val="32"/>
        </w:rPr>
        <w:t>、项目实施人员一览表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40"/>
        <w:gridCol w:w="2118"/>
        <w:gridCol w:w="2880"/>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24"/>
              <w:widowControl w:val="0"/>
              <w:snapToGrid w:val="0"/>
              <w:jc w:val="center"/>
              <w:rPr>
                <w:rFonts w:eastAsia="宋体" w:cs="Times New Roman"/>
              </w:rPr>
            </w:pPr>
            <w:r>
              <w:rPr>
                <w:rFonts w:eastAsia="宋体" w:cs="Times New Roman"/>
              </w:rPr>
              <w:t>序号</w:t>
            </w:r>
          </w:p>
        </w:tc>
        <w:tc>
          <w:tcPr>
            <w:tcW w:w="1740" w:type="dxa"/>
            <w:noWrap w:val="0"/>
            <w:vAlign w:val="center"/>
          </w:tcPr>
          <w:p>
            <w:pPr>
              <w:pStyle w:val="24"/>
              <w:widowControl w:val="0"/>
              <w:snapToGrid w:val="0"/>
              <w:jc w:val="center"/>
              <w:rPr>
                <w:rFonts w:eastAsia="宋体" w:cs="Times New Roman"/>
              </w:rPr>
            </w:pPr>
            <w:r>
              <w:rPr>
                <w:rFonts w:eastAsia="宋体" w:cs="Times New Roman"/>
              </w:rPr>
              <w:t>姓名</w:t>
            </w:r>
          </w:p>
        </w:tc>
        <w:tc>
          <w:tcPr>
            <w:tcW w:w="2118" w:type="dxa"/>
            <w:noWrap w:val="0"/>
            <w:vAlign w:val="center"/>
          </w:tcPr>
          <w:p>
            <w:pPr>
              <w:pStyle w:val="24"/>
              <w:widowControl w:val="0"/>
              <w:snapToGrid w:val="0"/>
              <w:jc w:val="center"/>
              <w:rPr>
                <w:rFonts w:eastAsia="宋体" w:cs="Times New Roman"/>
              </w:rPr>
            </w:pPr>
            <w:r>
              <w:rPr>
                <w:rFonts w:eastAsia="宋体" w:cs="Times New Roman"/>
              </w:rPr>
              <w:t>职务/职称</w:t>
            </w:r>
          </w:p>
        </w:tc>
        <w:tc>
          <w:tcPr>
            <w:tcW w:w="2880" w:type="dxa"/>
            <w:noWrap w:val="0"/>
            <w:vAlign w:val="center"/>
          </w:tcPr>
          <w:p>
            <w:pPr>
              <w:pStyle w:val="24"/>
              <w:widowControl w:val="0"/>
              <w:snapToGrid w:val="0"/>
              <w:jc w:val="center"/>
              <w:rPr>
                <w:rFonts w:eastAsia="宋体" w:cs="Times New Roman"/>
              </w:rPr>
            </w:pPr>
            <w:r>
              <w:rPr>
                <w:rFonts w:eastAsia="宋体" w:cs="Times New Roman"/>
              </w:rPr>
              <w:t>拟负责岗位</w:t>
            </w:r>
          </w:p>
        </w:tc>
        <w:tc>
          <w:tcPr>
            <w:tcW w:w="1482" w:type="dxa"/>
            <w:noWrap w:val="0"/>
            <w:vAlign w:val="center"/>
          </w:tcPr>
          <w:p>
            <w:pPr>
              <w:pStyle w:val="24"/>
              <w:widowControl w:val="0"/>
              <w:snapToGrid w:val="0"/>
              <w:jc w:val="center"/>
              <w:rPr>
                <w:rFonts w:eastAsia="宋体" w:cs="Times New Roman"/>
              </w:rPr>
            </w:pPr>
            <w:r>
              <w:rPr>
                <w:rFonts w:eastAsia="宋体" w:cs="Times New Roma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24"/>
              <w:widowControl w:val="0"/>
              <w:snapToGrid w:val="0"/>
              <w:ind w:left="480" w:firstLine="480"/>
              <w:jc w:val="center"/>
              <w:rPr>
                <w:rFonts w:eastAsia="宋体" w:cs="Times New Roman"/>
              </w:rPr>
            </w:pPr>
          </w:p>
        </w:tc>
        <w:tc>
          <w:tcPr>
            <w:tcW w:w="1740" w:type="dxa"/>
            <w:noWrap w:val="0"/>
            <w:vAlign w:val="center"/>
          </w:tcPr>
          <w:p>
            <w:pPr>
              <w:pStyle w:val="24"/>
              <w:widowControl w:val="0"/>
              <w:snapToGrid w:val="0"/>
              <w:rPr>
                <w:rFonts w:eastAsia="宋体" w:cs="Times New Roman"/>
              </w:rPr>
            </w:pPr>
            <w:r>
              <w:rPr>
                <w:rFonts w:eastAsia="宋体" w:cs="Times New Roman"/>
              </w:rPr>
              <w:t>……</w:t>
            </w:r>
          </w:p>
        </w:tc>
        <w:tc>
          <w:tcPr>
            <w:tcW w:w="2118" w:type="dxa"/>
            <w:noWrap w:val="0"/>
            <w:vAlign w:val="center"/>
          </w:tcPr>
          <w:p>
            <w:pPr>
              <w:pStyle w:val="24"/>
              <w:widowControl w:val="0"/>
              <w:snapToGrid w:val="0"/>
              <w:ind w:left="480" w:firstLine="480"/>
              <w:jc w:val="center"/>
              <w:rPr>
                <w:rFonts w:eastAsia="宋体" w:cs="Times New Roman"/>
              </w:rPr>
            </w:pPr>
          </w:p>
        </w:tc>
        <w:tc>
          <w:tcPr>
            <w:tcW w:w="2880" w:type="dxa"/>
            <w:noWrap w:val="0"/>
            <w:vAlign w:val="center"/>
          </w:tcPr>
          <w:p>
            <w:pPr>
              <w:pStyle w:val="24"/>
              <w:widowControl w:val="0"/>
              <w:snapToGrid w:val="0"/>
              <w:ind w:left="480" w:firstLine="480"/>
              <w:jc w:val="center"/>
              <w:rPr>
                <w:rFonts w:eastAsia="宋体" w:cs="Times New Roman"/>
              </w:rPr>
            </w:pPr>
          </w:p>
        </w:tc>
        <w:tc>
          <w:tcPr>
            <w:tcW w:w="1482" w:type="dxa"/>
            <w:noWrap w:val="0"/>
            <w:vAlign w:val="center"/>
          </w:tcPr>
          <w:p>
            <w:pPr>
              <w:pStyle w:val="24"/>
              <w:widowControl w:val="0"/>
              <w:snapToGrid w:val="0"/>
              <w:ind w:left="480" w:firstLine="480"/>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24"/>
              <w:widowControl w:val="0"/>
              <w:snapToGrid w:val="0"/>
              <w:ind w:left="480" w:firstLine="480"/>
              <w:jc w:val="center"/>
              <w:rPr>
                <w:rFonts w:eastAsia="宋体" w:cs="Times New Roman"/>
              </w:rPr>
            </w:pPr>
          </w:p>
        </w:tc>
        <w:tc>
          <w:tcPr>
            <w:tcW w:w="1740" w:type="dxa"/>
            <w:noWrap w:val="0"/>
            <w:vAlign w:val="center"/>
          </w:tcPr>
          <w:p>
            <w:pPr>
              <w:pStyle w:val="24"/>
              <w:widowControl w:val="0"/>
              <w:snapToGrid w:val="0"/>
              <w:ind w:left="480" w:firstLine="480"/>
              <w:jc w:val="center"/>
              <w:rPr>
                <w:rFonts w:eastAsia="宋体" w:cs="Times New Roman"/>
              </w:rPr>
            </w:pPr>
          </w:p>
        </w:tc>
        <w:tc>
          <w:tcPr>
            <w:tcW w:w="2118" w:type="dxa"/>
            <w:noWrap w:val="0"/>
            <w:vAlign w:val="center"/>
          </w:tcPr>
          <w:p>
            <w:pPr>
              <w:pStyle w:val="24"/>
              <w:widowControl w:val="0"/>
              <w:snapToGrid w:val="0"/>
              <w:ind w:left="480" w:firstLine="480"/>
              <w:jc w:val="center"/>
              <w:rPr>
                <w:rFonts w:eastAsia="宋体" w:cs="Times New Roman"/>
              </w:rPr>
            </w:pPr>
          </w:p>
        </w:tc>
        <w:tc>
          <w:tcPr>
            <w:tcW w:w="2880" w:type="dxa"/>
            <w:noWrap w:val="0"/>
            <w:vAlign w:val="center"/>
          </w:tcPr>
          <w:p>
            <w:pPr>
              <w:pStyle w:val="24"/>
              <w:widowControl w:val="0"/>
              <w:snapToGrid w:val="0"/>
              <w:ind w:left="480" w:firstLine="480"/>
              <w:jc w:val="center"/>
              <w:rPr>
                <w:rFonts w:eastAsia="宋体" w:cs="Times New Roman"/>
              </w:rPr>
            </w:pPr>
          </w:p>
        </w:tc>
        <w:tc>
          <w:tcPr>
            <w:tcW w:w="1482" w:type="dxa"/>
            <w:noWrap w:val="0"/>
            <w:vAlign w:val="center"/>
          </w:tcPr>
          <w:p>
            <w:pPr>
              <w:pStyle w:val="24"/>
              <w:widowControl w:val="0"/>
              <w:snapToGrid w:val="0"/>
              <w:ind w:left="480" w:firstLine="480"/>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24"/>
              <w:widowControl w:val="0"/>
              <w:snapToGrid w:val="0"/>
              <w:ind w:left="480" w:firstLine="480"/>
              <w:jc w:val="center"/>
              <w:rPr>
                <w:rFonts w:eastAsia="宋体" w:cs="Times New Roman"/>
              </w:rPr>
            </w:pPr>
          </w:p>
        </w:tc>
        <w:tc>
          <w:tcPr>
            <w:tcW w:w="1740" w:type="dxa"/>
            <w:noWrap w:val="0"/>
            <w:vAlign w:val="center"/>
          </w:tcPr>
          <w:p>
            <w:pPr>
              <w:pStyle w:val="24"/>
              <w:widowControl w:val="0"/>
              <w:snapToGrid w:val="0"/>
              <w:ind w:left="480" w:firstLine="480"/>
              <w:jc w:val="center"/>
              <w:rPr>
                <w:rFonts w:eastAsia="宋体" w:cs="Times New Roman"/>
              </w:rPr>
            </w:pPr>
          </w:p>
        </w:tc>
        <w:tc>
          <w:tcPr>
            <w:tcW w:w="2118" w:type="dxa"/>
            <w:noWrap w:val="0"/>
            <w:vAlign w:val="center"/>
          </w:tcPr>
          <w:p>
            <w:pPr>
              <w:pStyle w:val="24"/>
              <w:widowControl w:val="0"/>
              <w:snapToGrid w:val="0"/>
              <w:ind w:left="480" w:firstLine="480"/>
              <w:jc w:val="center"/>
              <w:rPr>
                <w:rFonts w:eastAsia="宋体" w:cs="Times New Roman"/>
              </w:rPr>
            </w:pPr>
          </w:p>
        </w:tc>
        <w:tc>
          <w:tcPr>
            <w:tcW w:w="2880" w:type="dxa"/>
            <w:noWrap w:val="0"/>
            <w:vAlign w:val="center"/>
          </w:tcPr>
          <w:p>
            <w:pPr>
              <w:pStyle w:val="24"/>
              <w:widowControl w:val="0"/>
              <w:snapToGrid w:val="0"/>
              <w:ind w:left="480" w:firstLine="480"/>
              <w:jc w:val="center"/>
              <w:rPr>
                <w:rFonts w:eastAsia="宋体" w:cs="Times New Roman"/>
              </w:rPr>
            </w:pPr>
          </w:p>
        </w:tc>
        <w:tc>
          <w:tcPr>
            <w:tcW w:w="1482" w:type="dxa"/>
            <w:noWrap w:val="0"/>
            <w:vAlign w:val="center"/>
          </w:tcPr>
          <w:p>
            <w:pPr>
              <w:pStyle w:val="24"/>
              <w:widowControl w:val="0"/>
              <w:snapToGrid w:val="0"/>
              <w:ind w:left="480" w:firstLine="480"/>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24"/>
              <w:widowControl w:val="0"/>
              <w:snapToGrid w:val="0"/>
              <w:ind w:left="480" w:firstLine="480"/>
              <w:jc w:val="center"/>
              <w:rPr>
                <w:rFonts w:eastAsia="宋体" w:cs="Times New Roman"/>
              </w:rPr>
            </w:pPr>
          </w:p>
        </w:tc>
        <w:tc>
          <w:tcPr>
            <w:tcW w:w="1740" w:type="dxa"/>
            <w:noWrap w:val="0"/>
            <w:vAlign w:val="center"/>
          </w:tcPr>
          <w:p>
            <w:pPr>
              <w:pStyle w:val="24"/>
              <w:widowControl w:val="0"/>
              <w:snapToGrid w:val="0"/>
              <w:ind w:left="480" w:firstLine="480"/>
              <w:jc w:val="center"/>
              <w:rPr>
                <w:rFonts w:eastAsia="宋体" w:cs="Times New Roman"/>
              </w:rPr>
            </w:pPr>
          </w:p>
        </w:tc>
        <w:tc>
          <w:tcPr>
            <w:tcW w:w="2118" w:type="dxa"/>
            <w:noWrap w:val="0"/>
            <w:vAlign w:val="center"/>
          </w:tcPr>
          <w:p>
            <w:pPr>
              <w:pStyle w:val="24"/>
              <w:widowControl w:val="0"/>
              <w:snapToGrid w:val="0"/>
              <w:ind w:left="480" w:firstLine="480"/>
              <w:jc w:val="center"/>
              <w:rPr>
                <w:rFonts w:eastAsia="宋体" w:cs="Times New Roman"/>
              </w:rPr>
            </w:pPr>
          </w:p>
        </w:tc>
        <w:tc>
          <w:tcPr>
            <w:tcW w:w="2880" w:type="dxa"/>
            <w:noWrap w:val="0"/>
            <w:vAlign w:val="center"/>
          </w:tcPr>
          <w:p>
            <w:pPr>
              <w:pStyle w:val="24"/>
              <w:widowControl w:val="0"/>
              <w:snapToGrid w:val="0"/>
              <w:ind w:left="480" w:firstLine="480"/>
              <w:jc w:val="center"/>
              <w:rPr>
                <w:rFonts w:eastAsia="宋体" w:cs="Times New Roman"/>
              </w:rPr>
            </w:pPr>
          </w:p>
        </w:tc>
        <w:tc>
          <w:tcPr>
            <w:tcW w:w="1482" w:type="dxa"/>
            <w:noWrap w:val="0"/>
            <w:vAlign w:val="center"/>
          </w:tcPr>
          <w:p>
            <w:pPr>
              <w:pStyle w:val="24"/>
              <w:widowControl w:val="0"/>
              <w:snapToGrid w:val="0"/>
              <w:ind w:left="480" w:firstLine="480"/>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24"/>
              <w:widowControl w:val="0"/>
              <w:snapToGrid w:val="0"/>
              <w:ind w:left="480" w:firstLine="480"/>
              <w:jc w:val="center"/>
              <w:rPr>
                <w:rFonts w:eastAsia="宋体" w:cs="Times New Roman"/>
              </w:rPr>
            </w:pPr>
          </w:p>
        </w:tc>
        <w:tc>
          <w:tcPr>
            <w:tcW w:w="1740" w:type="dxa"/>
            <w:noWrap w:val="0"/>
            <w:vAlign w:val="center"/>
          </w:tcPr>
          <w:p>
            <w:pPr>
              <w:pStyle w:val="24"/>
              <w:widowControl w:val="0"/>
              <w:snapToGrid w:val="0"/>
              <w:ind w:left="480" w:firstLine="480"/>
              <w:jc w:val="center"/>
              <w:rPr>
                <w:rFonts w:eastAsia="宋体" w:cs="Times New Roman"/>
              </w:rPr>
            </w:pPr>
          </w:p>
        </w:tc>
        <w:tc>
          <w:tcPr>
            <w:tcW w:w="2118" w:type="dxa"/>
            <w:noWrap w:val="0"/>
            <w:vAlign w:val="center"/>
          </w:tcPr>
          <w:p>
            <w:pPr>
              <w:pStyle w:val="24"/>
              <w:widowControl w:val="0"/>
              <w:snapToGrid w:val="0"/>
              <w:ind w:left="480" w:firstLine="480"/>
              <w:jc w:val="center"/>
              <w:rPr>
                <w:rFonts w:eastAsia="宋体" w:cs="Times New Roman"/>
              </w:rPr>
            </w:pPr>
          </w:p>
        </w:tc>
        <w:tc>
          <w:tcPr>
            <w:tcW w:w="2880" w:type="dxa"/>
            <w:noWrap w:val="0"/>
            <w:vAlign w:val="center"/>
          </w:tcPr>
          <w:p>
            <w:pPr>
              <w:pStyle w:val="24"/>
              <w:widowControl w:val="0"/>
              <w:snapToGrid w:val="0"/>
              <w:ind w:left="480" w:firstLine="480"/>
              <w:jc w:val="center"/>
              <w:rPr>
                <w:rFonts w:eastAsia="宋体" w:cs="Times New Roman"/>
              </w:rPr>
            </w:pPr>
          </w:p>
        </w:tc>
        <w:tc>
          <w:tcPr>
            <w:tcW w:w="1482" w:type="dxa"/>
            <w:noWrap w:val="0"/>
            <w:vAlign w:val="center"/>
          </w:tcPr>
          <w:p>
            <w:pPr>
              <w:pStyle w:val="24"/>
              <w:widowControl w:val="0"/>
              <w:snapToGrid w:val="0"/>
              <w:ind w:left="480" w:firstLine="480"/>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24"/>
              <w:widowControl w:val="0"/>
              <w:snapToGrid w:val="0"/>
              <w:ind w:left="480" w:firstLine="480"/>
              <w:jc w:val="center"/>
              <w:rPr>
                <w:rFonts w:eastAsia="宋体" w:cs="Times New Roman"/>
              </w:rPr>
            </w:pPr>
          </w:p>
        </w:tc>
        <w:tc>
          <w:tcPr>
            <w:tcW w:w="1740" w:type="dxa"/>
            <w:noWrap w:val="0"/>
            <w:vAlign w:val="center"/>
          </w:tcPr>
          <w:p>
            <w:pPr>
              <w:pStyle w:val="24"/>
              <w:widowControl w:val="0"/>
              <w:snapToGrid w:val="0"/>
              <w:ind w:left="480" w:firstLine="480"/>
              <w:jc w:val="center"/>
              <w:rPr>
                <w:rFonts w:eastAsia="宋体" w:cs="Times New Roman"/>
              </w:rPr>
            </w:pPr>
          </w:p>
        </w:tc>
        <w:tc>
          <w:tcPr>
            <w:tcW w:w="2118" w:type="dxa"/>
            <w:noWrap w:val="0"/>
            <w:vAlign w:val="center"/>
          </w:tcPr>
          <w:p>
            <w:pPr>
              <w:pStyle w:val="24"/>
              <w:widowControl w:val="0"/>
              <w:snapToGrid w:val="0"/>
              <w:ind w:left="480" w:firstLine="480"/>
              <w:jc w:val="center"/>
              <w:rPr>
                <w:rFonts w:eastAsia="宋体" w:cs="Times New Roman"/>
              </w:rPr>
            </w:pPr>
          </w:p>
        </w:tc>
        <w:tc>
          <w:tcPr>
            <w:tcW w:w="2880" w:type="dxa"/>
            <w:noWrap w:val="0"/>
            <w:vAlign w:val="center"/>
          </w:tcPr>
          <w:p>
            <w:pPr>
              <w:pStyle w:val="24"/>
              <w:widowControl w:val="0"/>
              <w:snapToGrid w:val="0"/>
              <w:ind w:left="480" w:firstLine="480"/>
              <w:jc w:val="center"/>
              <w:rPr>
                <w:rFonts w:eastAsia="宋体" w:cs="Times New Roman"/>
              </w:rPr>
            </w:pPr>
          </w:p>
        </w:tc>
        <w:tc>
          <w:tcPr>
            <w:tcW w:w="1482" w:type="dxa"/>
            <w:noWrap w:val="0"/>
            <w:vAlign w:val="center"/>
          </w:tcPr>
          <w:p>
            <w:pPr>
              <w:pStyle w:val="24"/>
              <w:widowControl w:val="0"/>
              <w:snapToGrid w:val="0"/>
              <w:ind w:left="480" w:firstLine="480"/>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24"/>
              <w:widowControl w:val="0"/>
              <w:snapToGrid w:val="0"/>
              <w:ind w:left="480" w:firstLine="480"/>
              <w:jc w:val="center"/>
              <w:rPr>
                <w:rFonts w:eastAsia="宋体" w:cs="Times New Roman"/>
              </w:rPr>
            </w:pPr>
          </w:p>
        </w:tc>
        <w:tc>
          <w:tcPr>
            <w:tcW w:w="1740" w:type="dxa"/>
            <w:noWrap w:val="0"/>
            <w:vAlign w:val="center"/>
          </w:tcPr>
          <w:p>
            <w:pPr>
              <w:pStyle w:val="24"/>
              <w:widowControl w:val="0"/>
              <w:snapToGrid w:val="0"/>
              <w:ind w:left="480" w:firstLine="480"/>
              <w:jc w:val="center"/>
              <w:rPr>
                <w:rFonts w:eastAsia="宋体" w:cs="Times New Roman"/>
              </w:rPr>
            </w:pPr>
          </w:p>
        </w:tc>
        <w:tc>
          <w:tcPr>
            <w:tcW w:w="2118" w:type="dxa"/>
            <w:noWrap w:val="0"/>
            <w:vAlign w:val="center"/>
          </w:tcPr>
          <w:p>
            <w:pPr>
              <w:pStyle w:val="24"/>
              <w:widowControl w:val="0"/>
              <w:snapToGrid w:val="0"/>
              <w:ind w:left="480" w:firstLine="480"/>
              <w:jc w:val="center"/>
              <w:rPr>
                <w:rFonts w:eastAsia="宋体" w:cs="Times New Roman"/>
              </w:rPr>
            </w:pPr>
          </w:p>
        </w:tc>
        <w:tc>
          <w:tcPr>
            <w:tcW w:w="2880" w:type="dxa"/>
            <w:noWrap w:val="0"/>
            <w:vAlign w:val="center"/>
          </w:tcPr>
          <w:p>
            <w:pPr>
              <w:pStyle w:val="24"/>
              <w:widowControl w:val="0"/>
              <w:snapToGrid w:val="0"/>
              <w:ind w:left="480" w:firstLine="480"/>
              <w:jc w:val="center"/>
              <w:rPr>
                <w:rFonts w:eastAsia="宋体" w:cs="Times New Roman"/>
              </w:rPr>
            </w:pPr>
          </w:p>
        </w:tc>
        <w:tc>
          <w:tcPr>
            <w:tcW w:w="1482" w:type="dxa"/>
            <w:noWrap w:val="0"/>
            <w:vAlign w:val="center"/>
          </w:tcPr>
          <w:p>
            <w:pPr>
              <w:pStyle w:val="24"/>
              <w:widowControl w:val="0"/>
              <w:snapToGrid w:val="0"/>
              <w:ind w:left="480" w:firstLine="480"/>
              <w:jc w:val="center"/>
              <w:rPr>
                <w:rFonts w:eastAsia="宋体" w:cs="Times New Roman"/>
              </w:rPr>
            </w:pPr>
          </w:p>
        </w:tc>
      </w:tr>
    </w:tbl>
    <w:p>
      <w:pPr>
        <w:pStyle w:val="24"/>
        <w:widowControl w:val="0"/>
        <w:snapToGrid w:val="0"/>
      </w:pPr>
    </w:p>
    <w:p>
      <w:pPr>
        <w:pStyle w:val="24"/>
        <w:widowControl w:val="0"/>
        <w:snapToGrid w:val="0"/>
      </w:pPr>
    </w:p>
    <w:p>
      <w:pPr>
        <w:pStyle w:val="24"/>
        <w:widowControl w:val="0"/>
        <w:adjustRightInd w:val="0"/>
        <w:snapToGrid w:val="0"/>
        <w:spacing w:before="0" w:beforeAutospacing="0" w:after="0" w:afterAutospacing="0" w:line="360" w:lineRule="auto"/>
        <w:ind w:firstLine="3360" w:firstLineChars="1400"/>
      </w:pPr>
      <w:r>
        <w:t>投标人（电子签章）：__________________________</w:t>
      </w:r>
    </w:p>
    <w:p>
      <w:pPr>
        <w:shd w:val="clear" w:color="auto" w:fill="FFFFFF"/>
        <w:spacing w:before="100" w:beforeAutospacing="1" w:after="100" w:afterAutospacing="1" w:line="500" w:lineRule="atLeast"/>
        <w:ind w:firstLine="358"/>
        <w:jc w:val="center"/>
        <w:sectPr>
          <w:pgSz w:w="11906" w:h="16838"/>
          <w:pgMar w:top="1259" w:right="1287" w:bottom="1361" w:left="1622" w:header="709" w:footer="975" w:gutter="0"/>
          <w:cols w:space="720" w:num="1"/>
          <w:docGrid w:linePitch="360" w:charSpace="0"/>
        </w:sectPr>
      </w:pPr>
      <w:r>
        <w:t>日期：____年____月____日</w:t>
      </w:r>
    </w:p>
    <w:p>
      <w:pPr>
        <w:adjustRightInd w:val="0"/>
        <w:snapToGrid w:val="0"/>
        <w:spacing w:before="100" w:beforeAutospacing="1" w:after="100" w:afterAutospacing="1"/>
        <w:jc w:val="center"/>
        <w:rPr>
          <w:rFonts w:ascii="宋体" w:hAnsi="宋体"/>
          <w:b/>
          <w:sz w:val="32"/>
          <w:szCs w:val="32"/>
        </w:rPr>
      </w:pPr>
      <w:r>
        <w:rPr>
          <w:rFonts w:hint="eastAsia" w:ascii="宋体" w:hAnsi="宋体"/>
          <w:b/>
          <w:sz w:val="32"/>
          <w:szCs w:val="32"/>
        </w:rPr>
        <w:t>五、</w:t>
      </w:r>
      <w:r>
        <w:rPr>
          <w:rFonts w:ascii="宋体" w:hAnsi="宋体"/>
          <w:b/>
          <w:sz w:val="32"/>
          <w:szCs w:val="32"/>
        </w:rPr>
        <w:t>拟投入本项目的设备明细表</w:t>
      </w:r>
      <w:r>
        <w:rPr>
          <w:rFonts w:hint="eastAsia" w:ascii="宋体" w:hAnsi="宋体"/>
          <w:b/>
          <w:sz w:val="32"/>
          <w:szCs w:val="32"/>
        </w:rPr>
        <w:t>（如有）</w:t>
      </w:r>
    </w:p>
    <w:tbl>
      <w:tblPr>
        <w:tblStyle w:val="43"/>
        <w:tblW w:w="90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644"/>
        <w:gridCol w:w="2835"/>
        <w:gridCol w:w="135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Times New Roman"/>
              </w:rPr>
            </w:pPr>
            <w:r>
              <w:rPr>
                <w:rFonts w:ascii="宋体" w:hAnsi="宋体" w:eastAsia="宋体" w:cs="Times New Roman"/>
              </w:rPr>
              <w:t>序号</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eastAsia="宋体" w:cs="Times New Roman"/>
              </w:rPr>
            </w:pPr>
            <w:r>
              <w:rPr>
                <w:rFonts w:ascii="宋体" w:hAnsi="宋体" w:eastAsia="宋体" w:cs="Times New Roman"/>
              </w:rPr>
              <w:t>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eastAsia="宋体" w:cs="Times New Roman"/>
              </w:rPr>
            </w:pPr>
            <w:r>
              <w:rPr>
                <w:rFonts w:ascii="宋体" w:hAnsi="宋体" w:eastAsia="宋体" w:cs="Times New Roman"/>
              </w:rPr>
              <w:t>规格型号</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eastAsia="宋体" w:cs="Times New Roman"/>
              </w:rPr>
            </w:pPr>
            <w:r>
              <w:rPr>
                <w:rFonts w:ascii="宋体" w:hAnsi="宋体" w:eastAsia="宋体" w:cs="Times New Roman"/>
              </w:rPr>
              <w:t>数量</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eastAsia="宋体" w:cs="Times New Roman"/>
              </w:rPr>
            </w:pPr>
            <w:r>
              <w:rPr>
                <w:rFonts w:ascii="宋体" w:hAnsi="宋体"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Times New Roman"/>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Times New Roma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Times New Roman"/>
              </w:rPr>
            </w:pPr>
          </w:p>
        </w:tc>
      </w:tr>
    </w:tbl>
    <w:p>
      <w:pPr>
        <w:adjustRightInd w:val="0"/>
        <w:snapToGrid w:val="0"/>
        <w:spacing w:line="360" w:lineRule="auto"/>
        <w:rPr>
          <w:rFonts w:ascii="宋体" w:hAnsi="宋体"/>
        </w:rPr>
      </w:pPr>
      <w:r>
        <w:rPr>
          <w:rFonts w:ascii="宋体" w:hAnsi="宋体"/>
        </w:rPr>
        <w:t>备注：数量可为预估数量。</w:t>
      </w:r>
    </w:p>
    <w:p>
      <w:pPr>
        <w:adjustRightInd w:val="0"/>
        <w:snapToGrid w:val="0"/>
        <w:spacing w:line="360" w:lineRule="auto"/>
        <w:ind w:firstLine="720" w:firstLineChars="300"/>
        <w:rPr>
          <w:rFonts w:ascii="宋体" w:hAnsi="宋体"/>
        </w:rPr>
      </w:pPr>
    </w:p>
    <w:p>
      <w:pPr>
        <w:adjustRightInd w:val="0"/>
        <w:snapToGrid w:val="0"/>
        <w:spacing w:line="360" w:lineRule="auto"/>
        <w:ind w:firstLine="720" w:firstLineChars="300"/>
        <w:rPr>
          <w:rFonts w:ascii="宋体" w:hAnsi="宋体"/>
        </w:rPr>
      </w:pPr>
    </w:p>
    <w:p>
      <w:pPr>
        <w:pStyle w:val="24"/>
        <w:widowControl w:val="0"/>
        <w:adjustRightInd w:val="0"/>
        <w:snapToGrid w:val="0"/>
        <w:spacing w:before="0" w:beforeAutospacing="0" w:after="0" w:afterAutospacing="0" w:line="360" w:lineRule="auto"/>
        <w:ind w:left="3259" w:leftChars="1358"/>
      </w:pPr>
      <w:r>
        <w:t>投标人（电子签章）：__________________________</w:t>
      </w:r>
    </w:p>
    <w:p>
      <w:pPr>
        <w:shd w:val="clear" w:color="auto" w:fill="FFFFFF"/>
        <w:spacing w:before="100" w:beforeAutospacing="1" w:after="100" w:afterAutospacing="1" w:line="500" w:lineRule="atLeast"/>
        <w:ind w:firstLine="358"/>
        <w:jc w:val="center"/>
        <w:sectPr>
          <w:pgSz w:w="11906" w:h="16838"/>
          <w:pgMar w:top="1259" w:right="1287" w:bottom="1361" w:left="1622" w:header="709" w:footer="975" w:gutter="0"/>
          <w:cols w:space="720" w:num="1"/>
          <w:docGrid w:linePitch="360" w:charSpace="0"/>
        </w:sectPr>
      </w:pPr>
      <w:r>
        <w:t>日期：____年____月____日</w:t>
      </w:r>
    </w:p>
    <w:p>
      <w:pPr>
        <w:pStyle w:val="24"/>
        <w:widowControl w:val="0"/>
        <w:adjustRightInd w:val="0"/>
        <w:snapToGrid w:val="0"/>
        <w:jc w:val="center"/>
        <w:rPr>
          <w:b/>
          <w:sz w:val="32"/>
          <w:szCs w:val="32"/>
        </w:rPr>
      </w:pPr>
      <w:r>
        <w:rPr>
          <w:rFonts w:hint="eastAsia"/>
          <w:b/>
          <w:sz w:val="32"/>
          <w:szCs w:val="32"/>
        </w:rPr>
        <w:t>六</w:t>
      </w:r>
      <w:r>
        <w:rPr>
          <w:b/>
          <w:sz w:val="32"/>
          <w:szCs w:val="32"/>
        </w:rPr>
        <w:t>、同类业绩</w:t>
      </w:r>
    </w:p>
    <w:tbl>
      <w:tblPr>
        <w:tblStyle w:val="4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765"/>
        <w:gridCol w:w="1456"/>
        <w:gridCol w:w="1757"/>
        <w:gridCol w:w="1531"/>
        <w:gridCol w:w="11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8" w:hRule="exact"/>
          <w:jc w:val="center"/>
        </w:trPr>
        <w:tc>
          <w:tcPr>
            <w:tcW w:w="2765"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r>
              <w:rPr>
                <w:rFonts w:ascii="宋体" w:hAnsi="宋体" w:eastAsia="宋体" w:cs="Times New Roman"/>
                <w:sz w:val="27"/>
                <w:szCs w:val="27"/>
              </w:rPr>
              <w:t> </w:t>
            </w:r>
            <w:r>
              <w:rPr>
                <w:rFonts w:ascii="宋体" w:hAnsi="宋体" w:eastAsia="宋体" w:cs="Times New Roman"/>
              </w:rPr>
              <w:t>项目名称</w:t>
            </w:r>
          </w:p>
        </w:tc>
        <w:tc>
          <w:tcPr>
            <w:tcW w:w="1456"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r>
              <w:rPr>
                <w:rFonts w:ascii="宋体" w:hAnsi="宋体" w:eastAsia="宋体" w:cs="Times New Roman"/>
              </w:rPr>
              <w:t>合同金额</w:t>
            </w:r>
          </w:p>
        </w:tc>
        <w:tc>
          <w:tcPr>
            <w:tcW w:w="1757"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r>
              <w:rPr>
                <w:rFonts w:ascii="宋体" w:hAnsi="宋体" w:eastAsia="宋体" w:cs="Times New Roman"/>
              </w:rPr>
              <w:t>签订时间</w:t>
            </w:r>
          </w:p>
        </w:tc>
        <w:tc>
          <w:tcPr>
            <w:tcW w:w="1531"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r>
              <w:rPr>
                <w:rFonts w:ascii="宋体" w:hAnsi="宋体" w:eastAsia="宋体" w:cs="Times New Roman"/>
              </w:rPr>
              <w:t>业主名称及联系方式</w:t>
            </w:r>
          </w:p>
        </w:tc>
        <w:tc>
          <w:tcPr>
            <w:tcW w:w="1132"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r>
              <w:rPr>
                <w:rFonts w:ascii="宋体" w:hAnsi="宋体" w:eastAsia="宋体" w:cs="Times New Roma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r>
              <w:rPr>
                <w:rFonts w:ascii="宋体" w:hAnsi="宋体" w:eastAsia="宋体" w:cs="Times New Roman"/>
              </w:rPr>
              <w:t> </w:t>
            </w:r>
          </w:p>
        </w:tc>
        <w:tc>
          <w:tcPr>
            <w:tcW w:w="1456"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r>
              <w:rPr>
                <w:rFonts w:ascii="宋体" w:hAnsi="宋体" w:eastAsia="宋体" w:cs="Times New Roman"/>
              </w:rPr>
              <w:t> </w:t>
            </w:r>
          </w:p>
        </w:tc>
        <w:tc>
          <w:tcPr>
            <w:tcW w:w="1757"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r>
              <w:rPr>
                <w:rFonts w:ascii="宋体" w:hAnsi="宋体" w:eastAsia="宋体" w:cs="Times New Roman"/>
              </w:rPr>
              <w:t> </w:t>
            </w:r>
          </w:p>
        </w:tc>
        <w:tc>
          <w:tcPr>
            <w:tcW w:w="1531"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p>
        </w:tc>
        <w:tc>
          <w:tcPr>
            <w:tcW w:w="1132"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r>
              <w:rPr>
                <w:rFonts w:ascii="宋体" w:hAnsi="宋体" w:eastAsia="宋体" w:cs="Times New Roman"/>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r>
              <w:rPr>
                <w:rFonts w:ascii="宋体" w:hAnsi="宋体" w:eastAsia="宋体" w:cs="Times New Roman"/>
              </w:rPr>
              <w:t> </w:t>
            </w:r>
          </w:p>
        </w:tc>
        <w:tc>
          <w:tcPr>
            <w:tcW w:w="1456"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r>
              <w:rPr>
                <w:rFonts w:ascii="宋体" w:hAnsi="宋体" w:eastAsia="宋体" w:cs="Times New Roman"/>
              </w:rPr>
              <w:t> </w:t>
            </w:r>
          </w:p>
        </w:tc>
        <w:tc>
          <w:tcPr>
            <w:tcW w:w="1757"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r>
              <w:rPr>
                <w:rFonts w:ascii="宋体" w:hAnsi="宋体" w:eastAsia="宋体" w:cs="Times New Roman"/>
              </w:rPr>
              <w:t> </w:t>
            </w:r>
          </w:p>
        </w:tc>
        <w:tc>
          <w:tcPr>
            <w:tcW w:w="1531"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p>
        </w:tc>
        <w:tc>
          <w:tcPr>
            <w:tcW w:w="1132"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r>
              <w:rPr>
                <w:rFonts w:ascii="宋体" w:hAnsi="宋体" w:eastAsia="宋体" w:cs="Times New Roman"/>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r>
              <w:rPr>
                <w:rFonts w:ascii="宋体" w:hAnsi="宋体" w:eastAsia="宋体" w:cs="Times New Roman"/>
              </w:rPr>
              <w:t> </w:t>
            </w:r>
          </w:p>
        </w:tc>
        <w:tc>
          <w:tcPr>
            <w:tcW w:w="1456"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r>
              <w:rPr>
                <w:rFonts w:ascii="宋体" w:hAnsi="宋体" w:eastAsia="宋体" w:cs="Times New Roman"/>
              </w:rPr>
              <w:t> </w:t>
            </w:r>
          </w:p>
        </w:tc>
        <w:tc>
          <w:tcPr>
            <w:tcW w:w="1757"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r>
              <w:rPr>
                <w:rFonts w:ascii="宋体" w:hAnsi="宋体" w:eastAsia="宋体" w:cs="Times New Roman"/>
              </w:rPr>
              <w:t> </w:t>
            </w:r>
          </w:p>
        </w:tc>
        <w:tc>
          <w:tcPr>
            <w:tcW w:w="1531"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p>
        </w:tc>
        <w:tc>
          <w:tcPr>
            <w:tcW w:w="1132"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r>
              <w:rPr>
                <w:rFonts w:ascii="宋体" w:hAnsi="宋体" w:eastAsia="宋体" w:cs="Times New Roman"/>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r>
              <w:rPr>
                <w:rFonts w:ascii="宋体" w:hAnsi="宋体" w:eastAsia="宋体" w:cs="Times New Roman"/>
              </w:rPr>
              <w:t> </w:t>
            </w:r>
          </w:p>
        </w:tc>
        <w:tc>
          <w:tcPr>
            <w:tcW w:w="1456"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r>
              <w:rPr>
                <w:rFonts w:ascii="宋体" w:hAnsi="宋体" w:eastAsia="宋体" w:cs="Times New Roman"/>
              </w:rPr>
              <w:t> </w:t>
            </w:r>
          </w:p>
        </w:tc>
        <w:tc>
          <w:tcPr>
            <w:tcW w:w="1757"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r>
              <w:rPr>
                <w:rFonts w:ascii="宋体" w:hAnsi="宋体" w:eastAsia="宋体" w:cs="Times New Roman"/>
              </w:rPr>
              <w:t> </w:t>
            </w:r>
          </w:p>
        </w:tc>
        <w:tc>
          <w:tcPr>
            <w:tcW w:w="1531"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p>
        </w:tc>
        <w:tc>
          <w:tcPr>
            <w:tcW w:w="1132"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eastAsia="宋体" w:cs="Times New Roman"/>
              </w:rPr>
            </w:pPr>
            <w:r>
              <w:rPr>
                <w:rFonts w:ascii="宋体" w:hAnsi="宋体" w:eastAsia="宋体" w:cs="Times New Roman"/>
              </w:rPr>
              <w:t> </w:t>
            </w:r>
          </w:p>
        </w:tc>
      </w:tr>
    </w:tbl>
    <w:p>
      <w:pPr>
        <w:widowControl w:val="0"/>
        <w:adjustRightInd w:val="0"/>
        <w:snapToGrid w:val="0"/>
        <w:spacing w:line="440" w:lineRule="exact"/>
        <w:ind w:firstLine="435"/>
        <w:rPr>
          <w:rFonts w:ascii="宋体" w:hAnsi="宋体"/>
        </w:rPr>
      </w:pPr>
      <w:r>
        <w:rPr>
          <w:rFonts w:ascii="宋体" w:hAnsi="宋体"/>
        </w:rPr>
        <w:t>注：</w:t>
      </w:r>
      <w:r>
        <w:rPr>
          <w:rFonts w:hint="eastAsia" w:ascii="宋体" w:hAnsi="宋体"/>
        </w:rPr>
        <w:t>须附</w:t>
      </w:r>
      <w:r>
        <w:rPr>
          <w:rFonts w:ascii="宋体" w:hAnsi="宋体"/>
        </w:rPr>
        <w:t>合同复印件。</w:t>
      </w:r>
    </w:p>
    <w:p>
      <w:pPr>
        <w:shd w:val="clear" w:color="auto" w:fill="FFFFFF"/>
        <w:spacing w:before="100" w:beforeAutospacing="1" w:after="100" w:afterAutospacing="1" w:line="500" w:lineRule="atLeast"/>
        <w:ind w:firstLine="358"/>
        <w:jc w:val="center"/>
        <w:rPr>
          <w:rFonts w:ascii="宋体" w:hAnsi="宋体"/>
          <w:szCs w:val="28"/>
        </w:rPr>
        <w:sectPr>
          <w:pgSz w:w="11906" w:h="16838"/>
          <w:pgMar w:top="1259" w:right="1287" w:bottom="1361" w:left="1622" w:header="709" w:footer="975" w:gutter="0"/>
          <w:cols w:space="720" w:num="1"/>
          <w:docGrid w:linePitch="360" w:charSpace="0"/>
        </w:sectPr>
      </w:pPr>
    </w:p>
    <w:p>
      <w:pPr>
        <w:pStyle w:val="39"/>
        <w:widowControl w:val="0"/>
        <w:tabs>
          <w:tab w:val="left" w:pos="3277"/>
          <w:tab w:val="center" w:pos="4411"/>
        </w:tabs>
        <w:adjustRightInd w:val="0"/>
        <w:snapToGrid w:val="0"/>
        <w:spacing w:line="276" w:lineRule="auto"/>
        <w:rPr>
          <w:rFonts w:hint="default"/>
          <w:b/>
          <w:sz w:val="32"/>
          <w:szCs w:val="32"/>
        </w:rPr>
      </w:pPr>
      <w:bookmarkStart w:id="74" w:name="_Hlk94088800"/>
      <w:r>
        <w:rPr>
          <w:b/>
          <w:sz w:val="32"/>
          <w:szCs w:val="32"/>
        </w:rPr>
        <w:t>报价文件</w:t>
      </w:r>
      <w:r>
        <w:rPr>
          <w:rFonts w:hint="default"/>
          <w:b/>
          <w:sz w:val="32"/>
          <w:szCs w:val="32"/>
        </w:rPr>
        <w:t>：</w:t>
      </w:r>
      <w:r>
        <w:rPr>
          <w:rFonts w:hint="default"/>
        </w:rPr>
        <w:tab/>
      </w:r>
      <w:r>
        <w:rPr>
          <w:rFonts w:hint="default"/>
          <w:b/>
          <w:sz w:val="32"/>
          <w:szCs w:val="32"/>
        </w:rPr>
        <w:t xml:space="preserve">    </w:t>
      </w:r>
    </w:p>
    <w:p>
      <w:pPr>
        <w:pStyle w:val="24"/>
        <w:widowControl w:val="0"/>
        <w:adjustRightInd w:val="0"/>
        <w:snapToGrid w:val="0"/>
        <w:spacing w:before="0" w:beforeAutospacing="0" w:after="0" w:afterAutospacing="0" w:line="276" w:lineRule="auto"/>
        <w:jc w:val="center"/>
        <w:rPr>
          <w:b/>
          <w:sz w:val="32"/>
          <w:szCs w:val="32"/>
        </w:rPr>
      </w:pPr>
      <w:r>
        <w:rPr>
          <w:rFonts w:hint="eastAsia"/>
          <w:b/>
          <w:sz w:val="32"/>
          <w:szCs w:val="32"/>
        </w:rPr>
        <w:t>一</w:t>
      </w:r>
      <w:r>
        <w:rPr>
          <w:b/>
          <w:sz w:val="32"/>
          <w:szCs w:val="32"/>
        </w:rPr>
        <w:t>、开标一览表</w:t>
      </w:r>
      <w:r>
        <w:rPr>
          <w:rFonts w:hint="eastAsia"/>
          <w:b/>
          <w:sz w:val="32"/>
          <w:szCs w:val="32"/>
        </w:rPr>
        <w:t>（报价表）</w:t>
      </w:r>
    </w:p>
    <w:p>
      <w:pPr>
        <w:snapToGrid w:val="0"/>
        <w:spacing w:line="276" w:lineRule="auto"/>
      </w:pPr>
      <w:r>
        <w:t>（采购人）、（采购代理机构）</w:t>
      </w:r>
      <w:r>
        <w:rPr>
          <w:lang w:val="zh-CN"/>
        </w:rPr>
        <w:t>：</w:t>
      </w:r>
    </w:p>
    <w:p>
      <w:pPr>
        <w:snapToGrid w:val="0"/>
        <w:spacing w:line="276" w:lineRule="auto"/>
        <w:ind w:firstLine="482"/>
        <w:rPr>
          <w:rFonts w:hint="eastAsia"/>
          <w:lang w:val="zh-CN"/>
        </w:rPr>
      </w:pPr>
      <w:r>
        <w:rPr>
          <w:lang w:val="zh-CN"/>
        </w:rPr>
        <w:t>按你方招标文件要求，</w:t>
      </w:r>
      <w:r>
        <w:rPr>
          <w:rFonts w:hint="eastAsia"/>
          <w:lang w:val="zh-CN"/>
        </w:rPr>
        <w:t>我方承诺按照如下开标一览表（报价表）的价格完成</w:t>
      </w:r>
      <w:r>
        <w:rPr>
          <w:rFonts w:hint="eastAsia"/>
          <w:u w:val="single"/>
          <w:lang w:val="zh-CN"/>
        </w:rPr>
        <w:t xml:space="preserve">（项目名称） </w:t>
      </w:r>
      <w:r>
        <w:rPr>
          <w:u w:val="single"/>
          <w:lang w:val="zh-CN"/>
        </w:rPr>
        <w:t xml:space="preserve">         </w:t>
      </w:r>
      <w:r>
        <w:rPr>
          <w:rFonts w:hint="eastAsia"/>
          <w:u w:val="single"/>
          <w:lang w:val="zh-CN"/>
        </w:rPr>
        <w:t xml:space="preserve">（项目编号： </w:t>
      </w:r>
      <w:r>
        <w:rPr>
          <w:u w:val="single"/>
          <w:lang w:val="zh-CN"/>
        </w:rPr>
        <w:t xml:space="preserve">   </w:t>
      </w:r>
      <w:r>
        <w:rPr>
          <w:rFonts w:hint="eastAsia"/>
          <w:u w:val="single"/>
          <w:lang w:val="zh-CN"/>
        </w:rPr>
        <w:t>）</w:t>
      </w:r>
      <w:r>
        <w:rPr>
          <w:rFonts w:hint="eastAsia"/>
          <w:lang w:val="zh-CN"/>
        </w:rPr>
        <w:t>的实施。</w:t>
      </w:r>
    </w:p>
    <w:bookmarkEnd w:id="74"/>
    <w:tbl>
      <w:tblPr>
        <w:tblStyle w:val="4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1198"/>
        <w:gridCol w:w="4077"/>
        <w:gridCol w:w="37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1" w:hRule="atLeast"/>
        </w:trPr>
        <w:tc>
          <w:tcPr>
            <w:tcW w:w="661" w:type="pct"/>
            <w:noWrap w:val="0"/>
            <w:vAlign w:val="center"/>
          </w:tcPr>
          <w:p>
            <w:pPr>
              <w:autoSpaceDE w:val="0"/>
              <w:autoSpaceDN w:val="0"/>
              <w:adjustRightInd w:val="0"/>
              <w:jc w:val="center"/>
              <w:rPr>
                <w:rFonts w:ascii="宋体" w:hAnsi="宋体" w:eastAsia="宋体" w:cs="Times New Roman"/>
                <w:b/>
                <w:szCs w:val="21"/>
              </w:rPr>
            </w:pPr>
            <w:r>
              <w:rPr>
                <w:rFonts w:hint="eastAsia" w:ascii="宋体" w:hAnsi="宋体" w:eastAsia="宋体" w:cs="Times New Roman"/>
                <w:b/>
                <w:szCs w:val="21"/>
              </w:rPr>
              <w:t>标段</w:t>
            </w:r>
          </w:p>
        </w:tc>
        <w:tc>
          <w:tcPr>
            <w:tcW w:w="2251" w:type="pct"/>
            <w:noWrap w:val="0"/>
            <w:vAlign w:val="center"/>
          </w:tcPr>
          <w:p>
            <w:pPr>
              <w:autoSpaceDE w:val="0"/>
              <w:autoSpaceDN w:val="0"/>
              <w:adjustRightInd w:val="0"/>
              <w:jc w:val="center"/>
              <w:rPr>
                <w:rFonts w:ascii="宋体" w:hAnsi="宋体" w:eastAsia="宋体" w:cs="Times New Roman"/>
                <w:b/>
                <w:szCs w:val="21"/>
              </w:rPr>
            </w:pPr>
            <w:r>
              <w:rPr>
                <w:rFonts w:ascii="宋体" w:hAnsi="宋体" w:eastAsia="宋体" w:cs="Times New Roman"/>
                <w:b/>
                <w:szCs w:val="21"/>
              </w:rPr>
              <w:t>项目名称</w:t>
            </w:r>
          </w:p>
        </w:tc>
        <w:tc>
          <w:tcPr>
            <w:tcW w:w="2088" w:type="pct"/>
            <w:tcBorders>
              <w:left w:val="single" w:color="auto" w:sz="4" w:space="0"/>
            </w:tcBorders>
            <w:noWrap w:val="0"/>
            <w:vAlign w:val="center"/>
          </w:tcPr>
          <w:p>
            <w:pPr>
              <w:autoSpaceDE w:val="0"/>
              <w:autoSpaceDN w:val="0"/>
              <w:adjustRightInd w:val="0"/>
              <w:jc w:val="center"/>
              <w:rPr>
                <w:rFonts w:ascii="宋体" w:hAnsi="宋体" w:eastAsia="宋体" w:cs="Times New Roman"/>
                <w:b/>
                <w:szCs w:val="21"/>
              </w:rPr>
            </w:pPr>
            <w:r>
              <w:rPr>
                <w:rFonts w:ascii="宋体" w:hAnsi="宋体" w:eastAsia="宋体" w:cs="Times New Roman"/>
                <w:b/>
                <w:szCs w:val="21"/>
              </w:rPr>
              <w:t>投标报价</w:t>
            </w:r>
            <w:r>
              <w:rPr>
                <w:rFonts w:hint="eastAsia" w:ascii="宋体" w:hAnsi="宋体" w:eastAsia="宋体" w:cs="Times New Roman"/>
                <w:b/>
                <w:szCs w:val="21"/>
              </w:rPr>
              <w:t xml:space="preserve"> （人民币）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1413" w:hRule="exact"/>
        </w:trPr>
        <w:tc>
          <w:tcPr>
            <w:tcW w:w="661" w:type="pct"/>
            <w:noWrap w:val="0"/>
            <w:vAlign w:val="center"/>
          </w:tcPr>
          <w:p>
            <w:pPr>
              <w:autoSpaceDE w:val="0"/>
              <w:autoSpaceDN w:val="0"/>
              <w:adjustRightInd w:val="0"/>
              <w:jc w:val="center"/>
              <w:rPr>
                <w:rFonts w:ascii="宋体" w:hAnsi="宋体" w:eastAsia="宋体" w:cs="Times New Roman"/>
              </w:rPr>
            </w:pPr>
          </w:p>
        </w:tc>
        <w:tc>
          <w:tcPr>
            <w:tcW w:w="2251" w:type="pct"/>
            <w:noWrap w:val="0"/>
            <w:vAlign w:val="center"/>
          </w:tcPr>
          <w:p>
            <w:pPr>
              <w:autoSpaceDE w:val="0"/>
              <w:autoSpaceDN w:val="0"/>
              <w:adjustRightInd w:val="0"/>
              <w:jc w:val="center"/>
              <w:rPr>
                <w:rFonts w:ascii="宋体" w:hAnsi="宋体" w:eastAsia="宋体" w:cs="Times New Roman"/>
                <w:szCs w:val="21"/>
              </w:rPr>
            </w:pPr>
            <w:r>
              <w:rPr>
                <w:rFonts w:hint="eastAsia" w:ascii="宋体" w:hAnsi="宋体" w:eastAsia="宋体" w:cs="Times New Roman"/>
              </w:rPr>
              <w:t xml:space="preserve"> </w:t>
            </w:r>
          </w:p>
        </w:tc>
        <w:tc>
          <w:tcPr>
            <w:tcW w:w="2088" w:type="pct"/>
            <w:tcBorders>
              <w:left w:val="single" w:color="auto" w:sz="4" w:space="0"/>
            </w:tcBorders>
            <w:noWrap w:val="0"/>
            <w:vAlign w:val="center"/>
          </w:tcPr>
          <w:p>
            <w:pPr>
              <w:autoSpaceDE w:val="0"/>
              <w:autoSpaceDN w:val="0"/>
              <w:adjustRightInd w:val="0"/>
              <w:jc w:val="center"/>
              <w:rPr>
                <w:rFonts w:ascii="宋体" w:hAnsi="宋体" w:eastAsia="宋体" w:cs="Times New Roman"/>
              </w:rPr>
            </w:pPr>
            <w:r>
              <w:rPr>
                <w:rFonts w:ascii="宋体" w:hAnsi="宋体" w:eastAsia="宋体" w:cs="Times New Roman"/>
              </w:rPr>
              <w:t>大写：</w:t>
            </w:r>
          </w:p>
          <w:p>
            <w:pPr>
              <w:autoSpaceDE w:val="0"/>
              <w:autoSpaceDN w:val="0"/>
              <w:adjustRightInd w:val="0"/>
              <w:jc w:val="center"/>
              <w:rPr>
                <w:rFonts w:ascii="宋体" w:hAnsi="宋体" w:eastAsia="宋体" w:cs="Times New Roman"/>
              </w:rPr>
            </w:pPr>
            <w:r>
              <w:rPr>
                <w:rFonts w:ascii="宋体" w:hAnsi="宋体" w:eastAsia="宋体" w:cs="Times New Roman"/>
              </w:rPr>
              <w:t xml:space="preserve">小写： </w:t>
            </w:r>
          </w:p>
        </w:tc>
      </w:tr>
    </w:tbl>
    <w:p>
      <w:pPr>
        <w:autoSpaceDE w:val="0"/>
        <w:autoSpaceDN w:val="0"/>
        <w:adjustRightInd w:val="0"/>
        <w:spacing w:line="360" w:lineRule="auto"/>
        <w:rPr>
          <w:rFonts w:hint="eastAsia" w:ascii="宋体" w:hAnsi="宋体"/>
        </w:rPr>
      </w:pPr>
    </w:p>
    <w:p>
      <w:pPr>
        <w:snapToGrid w:val="0"/>
        <w:spacing w:line="276" w:lineRule="auto"/>
        <w:ind w:left="480"/>
        <w:rPr>
          <w:b/>
          <w:lang w:val="zh-CN"/>
        </w:rPr>
      </w:pPr>
      <w:r>
        <w:rPr>
          <w:b/>
          <w:lang w:val="zh-CN"/>
        </w:rPr>
        <w:t>注：</w:t>
      </w:r>
    </w:p>
    <w:p>
      <w:pPr>
        <w:spacing w:line="276" w:lineRule="auto"/>
        <w:ind w:left="-2" w:leftChars="-1" w:firstLine="480" w:firstLineChars="200"/>
        <w:rPr>
          <w:lang w:val="zh-CN"/>
        </w:rPr>
      </w:pPr>
      <w:r>
        <w:rPr>
          <w:lang w:val="zh-CN"/>
        </w:rPr>
        <w:t>1.投标人需按本表格式填写，不得自行更改。</w:t>
      </w:r>
    </w:p>
    <w:p>
      <w:pPr>
        <w:spacing w:line="276" w:lineRule="auto"/>
        <w:ind w:firstLine="480" w:firstLineChars="200"/>
        <w:rPr>
          <w:lang w:val="zh-CN"/>
        </w:rPr>
      </w:pPr>
      <w:r>
        <w:rPr>
          <w:lang w:val="zh-CN"/>
        </w:rPr>
        <w:t>2.</w:t>
      </w:r>
      <w:r>
        <w:rPr>
          <w:rFonts w:hint="eastAsia"/>
          <w:lang w:val="zh-CN"/>
        </w:rPr>
        <w:t>有关本项目实施所涉及的一切费用均计入报价。</w:t>
      </w:r>
    </w:p>
    <w:p>
      <w:pPr>
        <w:snapToGrid w:val="0"/>
        <w:spacing w:line="276" w:lineRule="auto"/>
        <w:ind w:firstLine="480" w:firstLineChars="200"/>
        <w:rPr>
          <w:lang w:val="zh-CN"/>
        </w:rPr>
      </w:pPr>
      <w:r>
        <w:rPr>
          <w:lang w:val="zh-CN"/>
        </w:rPr>
        <w:t>3.特别提示：采购代理机构将对项目名称和项目编号，中标供应商名称、地址和中标金额，主要中标标的的名称、数量、单价、服务要求等予以公示。</w:t>
      </w:r>
    </w:p>
    <w:p>
      <w:pPr>
        <w:snapToGrid w:val="0"/>
        <w:spacing w:line="276" w:lineRule="auto"/>
        <w:ind w:firstLine="480" w:firstLineChars="200"/>
        <w:rPr>
          <w:lang w:val="zh-CN"/>
        </w:rPr>
      </w:pPr>
      <w:r>
        <w:rPr>
          <w:szCs w:val="22"/>
          <w:lang w:val="zh-CN"/>
        </w:rPr>
        <w:t>4.</w:t>
      </w:r>
      <w:r>
        <w:rPr>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4"/>
        <w:widowControl w:val="0"/>
        <w:adjustRightInd w:val="0"/>
        <w:snapToGrid w:val="0"/>
        <w:spacing w:before="0" w:beforeAutospacing="0" w:after="0" w:afterAutospacing="0" w:line="360" w:lineRule="auto"/>
        <w:rPr>
          <w:rFonts w:ascii="Times New Roman" w:hAnsi="Times New Roman"/>
        </w:rPr>
      </w:pPr>
    </w:p>
    <w:p>
      <w:pPr>
        <w:pStyle w:val="24"/>
        <w:widowControl w:val="0"/>
        <w:adjustRightInd w:val="0"/>
        <w:snapToGrid w:val="0"/>
        <w:spacing w:before="0" w:beforeAutospacing="0" w:after="0" w:afterAutospacing="0" w:line="360" w:lineRule="auto"/>
        <w:rPr>
          <w:rFonts w:ascii="Times New Roman" w:hAnsi="Times New Roman"/>
        </w:rPr>
      </w:pPr>
    </w:p>
    <w:p>
      <w:pPr>
        <w:pStyle w:val="24"/>
        <w:widowControl w:val="0"/>
        <w:adjustRightInd w:val="0"/>
        <w:snapToGrid w:val="0"/>
        <w:spacing w:before="0" w:beforeAutospacing="0" w:after="0" w:afterAutospacing="0" w:line="360" w:lineRule="auto"/>
        <w:rPr>
          <w:rFonts w:ascii="Times New Roman" w:hAnsi="Times New Roman"/>
        </w:rPr>
      </w:pPr>
    </w:p>
    <w:p>
      <w:pPr>
        <w:pStyle w:val="24"/>
        <w:widowControl w:val="0"/>
        <w:adjustRightInd w:val="0"/>
        <w:snapToGrid w:val="0"/>
        <w:spacing w:before="0" w:beforeAutospacing="0" w:after="0" w:afterAutospacing="0" w:line="360" w:lineRule="auto"/>
        <w:rPr>
          <w:rFonts w:ascii="Times New Roman" w:hAnsi="Times New Roman"/>
        </w:rPr>
      </w:pPr>
    </w:p>
    <w:p>
      <w:pPr>
        <w:pStyle w:val="24"/>
        <w:widowControl w:val="0"/>
        <w:adjustRightInd w:val="0"/>
        <w:snapToGrid w:val="0"/>
        <w:spacing w:before="0" w:beforeAutospacing="0" w:after="0" w:afterAutospacing="0" w:line="360" w:lineRule="auto"/>
        <w:ind w:firstLine="900" w:firstLineChars="375"/>
        <w:jc w:val="right"/>
        <w:rPr>
          <w:rFonts w:ascii="Times New Roman" w:hAnsi="Times New Roman"/>
        </w:rPr>
      </w:pPr>
      <w:r>
        <w:rPr>
          <w:rFonts w:ascii="Times New Roman" w:hAnsi="Times New Roman"/>
        </w:rPr>
        <w:t>投标人</w:t>
      </w:r>
      <w:r>
        <w:t>（电子签章）</w:t>
      </w:r>
      <w:r>
        <w:rPr>
          <w:rFonts w:ascii="Times New Roman" w:hAnsi="Times New Roman"/>
        </w:rPr>
        <w:t>：__________________________</w:t>
      </w:r>
    </w:p>
    <w:p>
      <w:pPr>
        <w:pStyle w:val="24"/>
        <w:widowControl w:val="0"/>
        <w:adjustRightInd w:val="0"/>
        <w:snapToGrid w:val="0"/>
        <w:spacing w:before="0" w:beforeAutospacing="0" w:after="0" w:afterAutospacing="0" w:line="360" w:lineRule="auto"/>
        <w:ind w:firstLine="900" w:firstLineChars="375"/>
        <w:jc w:val="right"/>
        <w:rPr>
          <w:rFonts w:ascii="Times New Roman" w:hAnsi="Times New Roman"/>
        </w:rPr>
        <w:sectPr>
          <w:pgSz w:w="11906" w:h="16838"/>
          <w:pgMar w:top="1259" w:right="1287" w:bottom="1361" w:left="1622" w:header="709" w:footer="975" w:gutter="0"/>
          <w:cols w:space="720" w:num="1"/>
          <w:docGrid w:linePitch="360" w:charSpace="0"/>
        </w:sectPr>
      </w:pPr>
      <w:r>
        <w:rPr>
          <w:rFonts w:ascii="Times New Roman" w:hAnsi="Times New Roman"/>
        </w:rPr>
        <w:t>日期：____年____月____日</w:t>
      </w:r>
    </w:p>
    <w:p>
      <w:pPr>
        <w:pStyle w:val="24"/>
        <w:widowControl w:val="0"/>
        <w:adjustRightInd w:val="0"/>
        <w:snapToGrid w:val="0"/>
        <w:jc w:val="center"/>
        <w:rPr>
          <w:rFonts w:ascii="Times New Roman" w:hAnsi="Times New Roman"/>
          <w:b/>
          <w:sz w:val="32"/>
          <w:szCs w:val="32"/>
        </w:rPr>
      </w:pPr>
      <w:r>
        <w:rPr>
          <w:rFonts w:ascii="Times New Roman" w:hAnsi="Times New Roman"/>
          <w:b/>
          <w:sz w:val="32"/>
          <w:szCs w:val="32"/>
        </w:rPr>
        <w:t>二、</w:t>
      </w:r>
      <w:r>
        <w:rPr>
          <w:rFonts w:hint="eastAsia" w:ascii="Times New Roman" w:hAnsi="Times New Roman"/>
          <w:b/>
          <w:sz w:val="32"/>
          <w:szCs w:val="32"/>
        </w:rPr>
        <w:t>投标报价明细表（如有，投标人可自行提供）</w:t>
      </w:r>
    </w:p>
    <w:p>
      <w:pPr>
        <w:pStyle w:val="24"/>
        <w:widowControl w:val="0"/>
        <w:adjustRightInd w:val="0"/>
        <w:snapToGrid w:val="0"/>
        <w:jc w:val="center"/>
        <w:rPr>
          <w:rFonts w:hint="eastAsia" w:ascii="Times New Roman" w:hAnsi="Times New Roman"/>
          <w:b/>
          <w:sz w:val="32"/>
          <w:szCs w:val="32"/>
        </w:rPr>
      </w:pPr>
      <w:r>
        <w:rPr>
          <w:rFonts w:hint="eastAsia" w:ascii="Times New Roman" w:hAnsi="Times New Roman"/>
          <w:b/>
          <w:sz w:val="32"/>
          <w:szCs w:val="32"/>
        </w:rPr>
        <w:t>三、</w:t>
      </w:r>
      <w:r>
        <w:rPr>
          <w:rFonts w:ascii="Times New Roman" w:hAnsi="Times New Roman"/>
          <w:b/>
          <w:sz w:val="32"/>
          <w:szCs w:val="32"/>
        </w:rPr>
        <w:t>中小企业声明函</w:t>
      </w:r>
    </w:p>
    <w:p>
      <w:pPr>
        <w:shd w:val="clear" w:color="auto" w:fill="FFFFFF"/>
        <w:spacing w:before="100" w:beforeAutospacing="1" w:after="100" w:afterAutospacing="1" w:line="360" w:lineRule="auto"/>
        <w:rPr>
          <w:rFonts w:hint="eastAsia" w:ascii="宋体" w:hAnsi="宋体"/>
        </w:rPr>
      </w:pPr>
      <w:r>
        <w:rPr>
          <w:rFonts w:hint="eastAsia" w:ascii="宋体" w:hAnsi="宋体"/>
        </w:rPr>
        <w:t>　　本公司郑重声明，根据《政府采购促进中小企业发展管理办法》（财库[2020]46号）的规定，本公司参加</w:t>
      </w:r>
      <w:r>
        <w:rPr>
          <w:rFonts w:hint="eastAsia" w:ascii="宋体" w:hAnsi="宋体"/>
          <w:u w:val="single"/>
        </w:rPr>
        <w:t xml:space="preserve">       </w:t>
      </w:r>
      <w:r>
        <w:rPr>
          <w:rFonts w:hint="eastAsia" w:ascii="宋体" w:hAnsi="宋体"/>
        </w:rPr>
        <w:t>（单位名称）的</w:t>
      </w:r>
      <w:r>
        <w:rPr>
          <w:rFonts w:hint="eastAsia" w:ascii="宋体" w:hAnsi="宋体"/>
          <w:u w:val="single"/>
        </w:rPr>
        <w:t xml:space="preserve">            </w:t>
      </w:r>
      <w:r>
        <w:rPr>
          <w:rFonts w:hint="eastAsia" w:ascii="宋体" w:hAnsi="宋体"/>
        </w:rPr>
        <w:t>（项目名称）采购活动，服务全部由符合政策要求的中小企业承接。相关企业的具体情况如下：</w:t>
      </w:r>
    </w:p>
    <w:p>
      <w:pPr>
        <w:shd w:val="clear" w:color="auto" w:fill="FFFFFF"/>
        <w:spacing w:before="100" w:beforeAutospacing="1" w:after="100" w:afterAutospacing="1" w:line="360" w:lineRule="auto"/>
        <w:rPr>
          <w:rFonts w:hint="eastAsia" w:ascii="宋体" w:hAnsi="宋体"/>
        </w:rPr>
      </w:pPr>
      <w:r>
        <w:rPr>
          <w:rFonts w:hint="eastAsia" w:ascii="宋体" w:hAnsi="宋体"/>
        </w:rPr>
        <w:t>1._____（标的名称），属于（采购文件中明确的所属行业）行业；承接企业为（企业名称），从业人员_____人，营业收入为_____万元，资产总额为_____万元</w:t>
      </w:r>
      <w:r>
        <w:rPr>
          <w:rFonts w:hint="eastAsia" w:ascii="宋体" w:hAnsi="宋体" w:cs="宋体"/>
        </w:rPr>
        <w:t>¹</w:t>
      </w:r>
      <w:r>
        <w:rPr>
          <w:rFonts w:hint="eastAsia" w:ascii="宋体" w:hAnsi="宋体" w:cs="仿宋_GB2312"/>
        </w:rPr>
        <w:t>，属于（中型企业、小型企业、微型企业）</w:t>
      </w:r>
    </w:p>
    <w:p>
      <w:pPr>
        <w:shd w:val="clear" w:color="auto" w:fill="FFFFFF"/>
        <w:spacing w:before="100" w:beforeAutospacing="1" w:after="100" w:afterAutospacing="1" w:line="360" w:lineRule="auto"/>
        <w:rPr>
          <w:rFonts w:hint="eastAsia" w:ascii="宋体" w:hAnsi="宋体"/>
        </w:rPr>
      </w:pPr>
      <w:r>
        <w:rPr>
          <w:rFonts w:hint="eastAsia" w:ascii="宋体" w:hAnsi="宋体"/>
        </w:rPr>
        <w:t>以上企业，不属于大型企业的分支机构，不存在控股股东为大型企业的情形，也不存在与大企业的负责人为同一人的情形。</w:t>
      </w:r>
    </w:p>
    <w:p>
      <w:pPr>
        <w:shd w:val="clear" w:color="auto" w:fill="FFFFFF"/>
        <w:spacing w:before="100" w:beforeAutospacing="1" w:after="100" w:afterAutospacing="1" w:line="360" w:lineRule="auto"/>
        <w:rPr>
          <w:rFonts w:hint="eastAsia" w:ascii="宋体" w:hAnsi="宋体"/>
        </w:rPr>
      </w:pPr>
      <w:r>
        <w:rPr>
          <w:rFonts w:hint="eastAsia" w:ascii="宋体" w:hAnsi="宋体"/>
        </w:rPr>
        <w:t>本企业对上述声明内容的真实性负责。如有虚假，将依法承担相应责任。</w:t>
      </w:r>
    </w:p>
    <w:p>
      <w:pPr>
        <w:shd w:val="clear" w:color="auto" w:fill="FFFFFF"/>
        <w:spacing w:before="100" w:beforeAutospacing="1" w:after="100" w:afterAutospacing="1" w:line="360" w:lineRule="auto"/>
        <w:rPr>
          <w:rFonts w:hint="eastAsia" w:ascii="宋体" w:hAnsi="宋体"/>
        </w:rPr>
      </w:pPr>
      <w:r>
        <w:rPr>
          <w:rFonts w:hint="eastAsia" w:ascii="宋体" w:hAnsi="宋体"/>
        </w:rPr>
        <w:t>　　　　　　  　　　　　　　　　　　　　　　　　　　企业名称（电子签章）：</w:t>
      </w:r>
    </w:p>
    <w:p>
      <w:pPr>
        <w:shd w:val="clear" w:color="auto" w:fill="FFFFFF"/>
        <w:spacing w:before="100" w:beforeAutospacing="1" w:after="100" w:afterAutospacing="1" w:line="360" w:lineRule="auto"/>
        <w:rPr>
          <w:rFonts w:hint="eastAsia" w:ascii="宋体" w:hAnsi="宋体"/>
        </w:rPr>
      </w:pPr>
      <w:r>
        <w:rPr>
          <w:rFonts w:hint="eastAsia" w:ascii="宋体" w:hAnsi="宋体"/>
        </w:rPr>
        <w:t>　　　　　　　　　　　　　　　　　　　　　　　　　　　日  期：</w:t>
      </w:r>
    </w:p>
    <w:p>
      <w:pPr>
        <w:spacing w:after="120"/>
        <w:ind w:left="200" w:firstLine="200"/>
      </w:pPr>
    </w:p>
    <w:p>
      <w:pPr>
        <w:spacing w:after="120"/>
        <w:ind w:left="200" w:firstLine="200"/>
      </w:pPr>
      <w:r>
        <w:t>-----------------------------------------------------------------------</w:t>
      </w:r>
    </w:p>
    <w:p>
      <w:pPr>
        <w:pStyle w:val="24"/>
        <w:widowControl w:val="0"/>
        <w:adjustRightInd w:val="0"/>
        <w:snapToGrid w:val="0"/>
        <w:rPr>
          <w:rFonts w:ascii="Times New Roman" w:hAnsi="Times New Roman"/>
        </w:rPr>
      </w:pPr>
      <w:r>
        <w:rPr>
          <w:rFonts w:ascii="Times New Roman" w:hAnsi="Times New Roman"/>
        </w:rPr>
        <w:t>¹从业人员、营业收入、资产总额填报上一年度的数据，无上一年度数据的新成立企业可不填报。</w:t>
      </w:r>
    </w:p>
    <w:p>
      <w:pPr>
        <w:pStyle w:val="24"/>
        <w:widowControl w:val="0"/>
        <w:adjustRightInd w:val="0"/>
        <w:snapToGrid w:val="0"/>
        <w:spacing w:before="0" w:beforeAutospacing="0" w:after="0" w:afterAutospacing="0" w:line="360" w:lineRule="auto"/>
        <w:ind w:firstLine="900" w:firstLineChars="375"/>
        <w:jc w:val="right"/>
        <w:rPr>
          <w:rFonts w:ascii="Times New Roman" w:hAnsi="Times New Roman"/>
        </w:rPr>
        <w:sectPr>
          <w:pgSz w:w="11906" w:h="16838"/>
          <w:pgMar w:top="1259" w:right="1287" w:bottom="1361" w:left="1622" w:header="709" w:footer="975" w:gutter="0"/>
          <w:cols w:space="720" w:num="1"/>
          <w:docGrid w:linePitch="360" w:charSpace="0"/>
        </w:sectPr>
      </w:pPr>
    </w:p>
    <w:p>
      <w:pPr>
        <w:widowControl w:val="0"/>
        <w:autoSpaceDE w:val="0"/>
        <w:autoSpaceDN w:val="0"/>
        <w:adjustRightInd w:val="0"/>
        <w:jc w:val="center"/>
        <w:rPr>
          <w:b/>
          <w:sz w:val="32"/>
          <w:szCs w:val="32"/>
        </w:rPr>
      </w:pPr>
      <w:r>
        <w:rPr>
          <w:b/>
          <w:sz w:val="32"/>
          <w:szCs w:val="32"/>
        </w:rPr>
        <w:t>残疾人福利性单位声明函</w:t>
      </w:r>
    </w:p>
    <w:p>
      <w:pPr>
        <w:shd w:val="clear" w:color="auto" w:fill="FFFFFF"/>
        <w:spacing w:before="100" w:beforeAutospacing="1" w:after="100" w:afterAutospacing="1" w:line="360" w:lineRule="auto"/>
        <w:ind w:firstLine="480" w:firstLineChars="200"/>
      </w:pPr>
      <w: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color="auto" w:fill="FFFFFF"/>
        <w:spacing w:before="100" w:beforeAutospacing="1" w:after="100" w:afterAutospacing="1" w:line="360" w:lineRule="auto"/>
      </w:pPr>
      <w:r>
        <w:t>本单位对上述声明的真实性负责。如有虚假，将依法承担相应责任。</w:t>
      </w:r>
    </w:p>
    <w:p>
      <w:pPr>
        <w:shd w:val="clear" w:color="auto" w:fill="FFFFFF"/>
        <w:spacing w:before="100" w:beforeAutospacing="1" w:after="100" w:afterAutospacing="1" w:line="360" w:lineRule="auto"/>
      </w:pPr>
    </w:p>
    <w:p>
      <w:pPr>
        <w:shd w:val="clear" w:color="auto" w:fill="FFFFFF"/>
        <w:spacing w:before="100" w:beforeAutospacing="1" w:after="100" w:afterAutospacing="1" w:line="360" w:lineRule="auto"/>
        <w:ind w:firstLine="6360" w:firstLineChars="2650"/>
      </w:pPr>
      <w:r>
        <w:t>投标人</w:t>
      </w:r>
      <w:r>
        <w:rPr>
          <w:rFonts w:ascii="宋体" w:hAnsi="宋体"/>
        </w:rPr>
        <w:t>（电子签章）</w:t>
      </w:r>
      <w:r>
        <w:t>：</w:t>
      </w:r>
    </w:p>
    <w:p>
      <w:pPr>
        <w:shd w:val="clear" w:color="auto" w:fill="FFFFFF"/>
        <w:spacing w:before="100" w:beforeAutospacing="1" w:after="100" w:afterAutospacing="1" w:line="360" w:lineRule="auto"/>
      </w:pPr>
      <w:r>
        <w:t>　　　　　　　　　　　　　　　　　　　　　　　　　　　日  期：</w:t>
      </w:r>
    </w:p>
    <w:p>
      <w:pPr>
        <w:shd w:val="clear" w:color="auto" w:fill="FFFFFF"/>
        <w:spacing w:before="100" w:beforeAutospacing="1" w:after="100" w:afterAutospacing="1" w:line="360" w:lineRule="auto"/>
      </w:pPr>
    </w:p>
    <w:p>
      <w:pPr>
        <w:widowControl w:val="0"/>
        <w:autoSpaceDE w:val="0"/>
        <w:autoSpaceDN w:val="0"/>
        <w:adjustRightInd w:val="0"/>
        <w:jc w:val="center"/>
        <w:rPr>
          <w:b/>
          <w:sz w:val="32"/>
          <w:szCs w:val="32"/>
        </w:rPr>
      </w:pPr>
      <w:r>
        <w:rPr>
          <w:b/>
          <w:sz w:val="32"/>
          <w:szCs w:val="32"/>
        </w:rPr>
        <w:t>监狱企业证明文件</w:t>
      </w:r>
    </w:p>
    <w:p>
      <w:pPr>
        <w:pStyle w:val="24"/>
        <w:widowControl w:val="0"/>
        <w:adjustRightInd w:val="0"/>
        <w:snapToGrid w:val="0"/>
        <w:spacing w:before="0" w:beforeAutospacing="0" w:after="0" w:afterAutospacing="0"/>
        <w:rPr>
          <w:rFonts w:hint="eastAsia"/>
          <w:sz w:val="21"/>
          <w:szCs w:val="21"/>
        </w:rPr>
      </w:pPr>
      <w:r>
        <w:rPr>
          <w:rFonts w:ascii="Times New Roman" w:hAnsi="Times New Roman"/>
        </w:rPr>
        <w:t>注：监狱企业参加政府采购活动时，应当提供由省级以上监狱管理局、戒毒管理局（含新疆生产建设兵团）出具的属于监狱企业的证明文件。</w:t>
      </w:r>
    </w:p>
    <w:bookmarkEnd w:id="73"/>
    <w:p>
      <w:pPr>
        <w:tabs>
          <w:tab w:val="left" w:pos="3926"/>
        </w:tabs>
        <w:rPr>
          <w:rFonts w:hint="eastAsia"/>
          <w:lang w:val="zh-CN"/>
        </w:rPr>
      </w:pPr>
    </w:p>
    <w:sectPr>
      <w:footerReference r:id="rId9" w:type="first"/>
      <w:pgSz w:w="11906" w:h="16838"/>
      <w:pgMar w:top="1259" w:right="1287" w:bottom="1361" w:left="1622" w:header="709" w:footer="97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ˎ̥">
    <w:altName w:val="宋体"/>
    <w:panose1 w:val="00000000000000000000"/>
    <w:charset w:val="00"/>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Univers LT Std 45 Light">
    <w:altName w:val="微软雅黑"/>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center"/>
      <w:rPr>
        <w:rFonts w:hint="eastAsia" w:ascii="宋体" w:hAnsi="宋体" w:cs="宋体"/>
        <w:szCs w:val="21"/>
        <w:u w:val="single"/>
      </w:rPr>
    </w:pPr>
    <w:r>
      <w:rPr>
        <w:rFonts w:hint="eastAsia" w:ascii="宋体" w:hAnsi="宋体"/>
        <w:szCs w:val="21"/>
      </w:rPr>
      <w:t xml:space="preserve">浙江金华阳光招标代理有限公司                                       </w:t>
    </w:r>
    <w:r>
      <w:rPr>
        <w:rFonts w:ascii="宋体" w:hAnsi="宋体" w:cs="宋体"/>
        <w:szCs w:val="21"/>
      </w:rPr>
      <w:t xml:space="preserve"> </w:t>
    </w:r>
    <w:r>
      <w:rPr>
        <w:rFonts w:hint="eastAsia" w:ascii="宋体" w:hAnsi="宋体" w:cs="宋体"/>
        <w:szCs w:val="21"/>
      </w:rPr>
      <w:fldChar w:fldCharType="begin"/>
    </w:r>
    <w:r>
      <w:rPr>
        <w:rFonts w:hint="eastAsia" w:ascii="宋体" w:hAnsi="宋体" w:cs="宋体"/>
        <w:szCs w:val="21"/>
      </w:rPr>
      <w:instrText xml:space="preserve"> HYPERLINK "mailto:jhygzb@qq.com" </w:instrText>
    </w:r>
    <w:r>
      <w:rPr>
        <w:rFonts w:hint="eastAsia" w:ascii="宋体" w:hAnsi="宋体" w:cs="宋体"/>
        <w:szCs w:val="21"/>
      </w:rPr>
      <w:fldChar w:fldCharType="separate"/>
    </w:r>
    <w:r>
      <w:rPr>
        <w:rStyle w:val="49"/>
        <w:rFonts w:hint="eastAsia" w:ascii="宋体" w:hAnsi="宋体" w:cs="宋体"/>
        <w:color w:val="auto"/>
        <w:szCs w:val="21"/>
        <w:u w:val="none"/>
      </w:rPr>
      <w:t>jhygzb@qq.com</w:t>
    </w:r>
    <w:r>
      <w:rPr>
        <w:rFonts w:hint="eastAsia" w:ascii="宋体" w:hAnsi="宋体" w:cs="宋体"/>
        <w:szCs w:val="21"/>
      </w:rPr>
      <w:fldChar w:fldCharType="end"/>
    </w:r>
  </w:p>
  <w:p>
    <w:pPr>
      <w:pStyle w:val="29"/>
      <w:framePr w:wrap="around" w:vAnchor="text" w:hAnchor="page" w:x="5792" w:y="66"/>
      <w:jc w:val="center"/>
      <w:rPr>
        <w:rStyle w:val="47"/>
        <w:rFonts w:hint="eastAsia" w:ascii="宋体" w:hAnsi="宋体"/>
      </w:rPr>
    </w:pPr>
    <w:r>
      <w:rPr>
        <w:rStyle w:val="47"/>
        <w:rFonts w:hint="eastAsia" w:ascii="宋体" w:hAnsi="宋体"/>
        <w:szCs w:val="21"/>
      </w:rPr>
      <w:t xml:space="preserve">第 </w:t>
    </w:r>
    <w:r>
      <w:rPr>
        <w:rFonts w:ascii="宋体" w:hAnsi="宋体"/>
        <w:szCs w:val="21"/>
      </w:rPr>
      <w:fldChar w:fldCharType="begin"/>
    </w:r>
    <w:r>
      <w:rPr>
        <w:rStyle w:val="47"/>
        <w:rFonts w:ascii="宋体" w:hAnsi="宋体"/>
        <w:szCs w:val="21"/>
      </w:rPr>
      <w:instrText xml:space="preserve"> PAGE </w:instrText>
    </w:r>
    <w:r>
      <w:rPr>
        <w:rFonts w:ascii="宋体" w:hAnsi="宋体"/>
        <w:szCs w:val="21"/>
      </w:rPr>
      <w:fldChar w:fldCharType="separate"/>
    </w:r>
    <w:r>
      <w:rPr>
        <w:rStyle w:val="47"/>
        <w:rFonts w:ascii="宋体" w:hAnsi="宋体"/>
        <w:szCs w:val="21"/>
      </w:rPr>
      <w:t>4</w:t>
    </w:r>
    <w:r>
      <w:rPr>
        <w:rFonts w:ascii="宋体" w:hAnsi="宋体"/>
        <w:szCs w:val="21"/>
      </w:rPr>
      <w:fldChar w:fldCharType="end"/>
    </w:r>
    <w:r>
      <w:rPr>
        <w:rStyle w:val="47"/>
        <w:rFonts w:hint="eastAsia" w:ascii="宋体" w:hAnsi="宋体"/>
        <w:szCs w:val="21"/>
      </w:rPr>
      <w:t xml:space="preserve"> 页 共 </w:t>
    </w:r>
    <w:r>
      <w:rPr>
        <w:rFonts w:ascii="宋体" w:hAnsi="宋体"/>
        <w:szCs w:val="21"/>
      </w:rPr>
      <w:fldChar w:fldCharType="begin"/>
    </w:r>
    <w:r>
      <w:rPr>
        <w:rStyle w:val="47"/>
        <w:rFonts w:ascii="宋体" w:hAnsi="宋体"/>
        <w:szCs w:val="21"/>
      </w:rPr>
      <w:instrText xml:space="preserve"> NUMPAGES </w:instrText>
    </w:r>
    <w:r>
      <w:rPr>
        <w:rFonts w:ascii="宋体" w:hAnsi="宋体"/>
        <w:szCs w:val="21"/>
      </w:rPr>
      <w:fldChar w:fldCharType="separate"/>
    </w:r>
    <w:r>
      <w:rPr>
        <w:rStyle w:val="47"/>
        <w:rFonts w:ascii="宋体" w:hAnsi="宋体"/>
        <w:szCs w:val="21"/>
      </w:rPr>
      <w:t>55</w:t>
    </w:r>
    <w:r>
      <w:rPr>
        <w:rFonts w:ascii="宋体" w:hAnsi="宋体"/>
        <w:szCs w:val="21"/>
      </w:rPr>
      <w:fldChar w:fldCharType="end"/>
    </w:r>
    <w:r>
      <w:rPr>
        <w:rStyle w:val="47"/>
        <w:rFonts w:hint="eastAsia" w:ascii="宋体" w:hAnsi="宋体"/>
        <w:szCs w:val="21"/>
      </w:rPr>
      <w:t xml:space="preserve"> 页</w:t>
    </w:r>
  </w:p>
  <w:p>
    <w:pPr>
      <w:pStyle w:val="29"/>
      <w:ind w:right="360"/>
      <w:jc w:val="center"/>
      <w:rPr>
        <w:rFonts w:hint="eastAsia" w:ascii="宋体" w:hAnsi="宋体"/>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7"/>
      </w:rPr>
    </w:pPr>
    <w:r>
      <w:fldChar w:fldCharType="begin"/>
    </w:r>
    <w:r>
      <w:rPr>
        <w:rStyle w:val="47"/>
      </w:rPr>
      <w:instrText xml:space="preserve">PAGE  </w:instrText>
    </w:r>
    <w:r>
      <w:fldChar w:fldCharType="end"/>
    </w:r>
  </w:p>
  <w:p>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30</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71</w:t>
    </w:r>
    <w:r>
      <w:rPr>
        <w:rFonts w:hint="eastAsia" w:ascii="仿宋_GB2312" w:eastAsia="仿宋_GB2312"/>
      </w:rPr>
      <w:fldChar w:fldCharType="end"/>
    </w:r>
    <w:r>
      <w:rPr>
        <w:rFonts w:hint="eastAsia" w:ascii="仿宋_GB2312" w:eastAsia="仿宋_GB2312"/>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6" w:space="0"/>
      </w:pBdr>
      <w:jc w:val="left"/>
      <w:rPr>
        <w:rFonts w:hint="eastAsia"/>
      </w:rPr>
    </w:pPr>
    <w:r>
      <w:rPr>
        <w:rFonts w:hint="eastAsia"/>
      </w:rPr>
      <w:t>金华市金东区公共视频监控建设一体化改革（村居安防三期）建设项目招标文件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_x0000_s1025" o:spid="_x0000_s1025" o:spt="136" type="#_x0000_t136" style="position:absolute;left:0pt;height:39.75pt;width:324pt;mso-position-horizontal:center;mso-position-horizontal-relative:margin;mso-position-vertical:center;mso-position-vertical-relative:margin;rotation:-2949120f;z-index:-251656192;mso-width-relative:page;mso-height-relative:page;" fillcolor="#C0C0C0" filled="t" stroked="f" coordsize="21600,21600" o:allowincell="f">
          <v:path/>
          <v:fill on="t" opacity="32768f" focussize="0,0"/>
          <v:stroke on="f"/>
          <v:imagedata o:title=""/>
          <o:lock v:ext="edit"/>
          <v:textpath on="t" fitshape="t" fitpath="t" trim="t" xscale="f" string="金华阳光招标代理" style="font-family:楷体_GB2312;font-size:40pt;v-rotate-letters:f;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rFonts w:hint="eastAsia"/>
      </w:rPr>
    </w:pPr>
    <w:r>
      <w:pict>
        <v:shape id="_x0000_s1026" o:spid="_x0000_s1026" o:spt="136" type="#_x0000_t136" style="position:absolute;left:0pt;height:39.75pt;width:324pt;mso-position-horizontal:center;mso-position-horizontal-relative:margin;mso-position-vertical:center;mso-position-vertical-relative:margin;rotation:-2949120f;z-index:-251657216;mso-width-relative:page;mso-height-relative:page;" fillcolor="#C0C0C0" filled="t" stroked="f" coordsize="21600,21600" o:allowincell="f">
          <v:path/>
          <v:fill on="t" opacity="32768f" focussize="0,0"/>
          <v:stroke on="f"/>
          <v:imagedata o:title=""/>
          <o:lock v:ext="edit"/>
          <v:textpath on="t" fitshape="t" fitpath="t" trim="t" xscale="f" string="金华阳光招标代理" style="font-family:楷体_GB2312;font-size:40pt;v-rotate-letters:f;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6" w:space="0"/>
      </w:pBdr>
      <w:jc w:val="left"/>
      <w:rPr>
        <w:rFonts w:hint="eastAsia"/>
      </w:rPr>
    </w:pPr>
    <w:r>
      <w:rPr>
        <w:rFonts w:hint="eastAsia"/>
      </w:rPr>
      <w:t>金华市金东区公共视频监控建设一体化改革（村居安防三期）建设项目招标文件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13"/>
      <w:lvlText w:val="%1."/>
      <w:lvlJc w:val="left"/>
      <w:pPr>
        <w:tabs>
          <w:tab w:val="left" w:pos="360"/>
        </w:tabs>
        <w:ind w:left="360" w:hanging="360"/>
      </w:pPr>
    </w:lvl>
  </w:abstractNum>
  <w:abstractNum w:abstractNumId="1">
    <w:nsid w:val="261C431D"/>
    <w:multiLevelType w:val="multilevel"/>
    <w:tmpl w:val="261C431D"/>
    <w:lvl w:ilvl="0" w:tentative="0">
      <w:start w:val="1"/>
      <w:numFmt w:val="chineseCounting"/>
      <w:suff w:val="space"/>
      <w:lvlText w:val="第%1章"/>
      <w:lvlJc w:val="left"/>
      <w:pPr>
        <w:ind w:left="425" w:hanging="425"/>
      </w:pPr>
      <w:rPr>
        <w:rFonts w:hint="eastAsia" w:ascii="宋体" w:hAnsi="宋体" w:eastAsia="宋体"/>
      </w:rPr>
    </w:lvl>
    <w:lvl w:ilvl="1" w:tentative="0">
      <w:start w:val="1"/>
      <w:numFmt w:val="decimal"/>
      <w:isLgl/>
      <w:suff w:val="space"/>
      <w:lvlText w:val="%1.%2"/>
      <w:lvlJc w:val="left"/>
      <w:pPr>
        <w:ind w:left="567" w:hanging="567"/>
      </w:pPr>
      <w:rPr>
        <w:rFonts w:hint="eastAsia" w:ascii="宋体" w:hAnsi="宋体" w:eastAsia="宋体"/>
      </w:rPr>
    </w:lvl>
    <w:lvl w:ilvl="2" w:tentative="0">
      <w:start w:val="1"/>
      <w:numFmt w:val="decimal"/>
      <w:isLgl/>
      <w:lvlText w:val="%1.%2.%3"/>
      <w:lvlJc w:val="left"/>
      <w:pPr>
        <w:tabs>
          <w:tab w:val="left" w:pos="420"/>
        </w:tabs>
        <w:ind w:left="1189" w:hanging="709"/>
      </w:pPr>
      <w:rPr>
        <w:rFonts w:hint="eastAsia" w:ascii="宋体" w:hAnsi="宋体" w:eastAsia="宋体"/>
      </w:rPr>
    </w:lvl>
    <w:lvl w:ilvl="3" w:tentative="0">
      <w:start w:val="1"/>
      <w:numFmt w:val="decimal"/>
      <w:isLgl/>
      <w:suff w:val="space"/>
      <w:lvlText w:val="%1.%2.%3.%4"/>
      <w:lvlJc w:val="left"/>
      <w:pPr>
        <w:ind w:left="850" w:hanging="850"/>
      </w:pPr>
      <w:rPr>
        <w:rFonts w:hint="eastAsia" w:ascii="宋体" w:hAnsi="宋体" w:eastAsia="宋体"/>
      </w:rPr>
    </w:lvl>
    <w:lvl w:ilvl="4" w:tentative="0">
      <w:start w:val="1"/>
      <w:numFmt w:val="decimal"/>
      <w:isLgl/>
      <w:suff w:val="space"/>
      <w:lvlText w:val="%1.%2.%3.%4.%5"/>
      <w:lvlJc w:val="left"/>
      <w:pPr>
        <w:ind w:left="991" w:hanging="991"/>
      </w:pPr>
      <w:rPr>
        <w:rFonts w:hint="eastAsia" w:ascii="宋体" w:hAnsi="宋体" w:eastAsia="宋体"/>
        <w:b/>
        <w:bCs/>
        <w:sz w:val="24"/>
        <w:szCs w:val="24"/>
      </w:rPr>
    </w:lvl>
    <w:lvl w:ilvl="5" w:tentative="0">
      <w:start w:val="1"/>
      <w:numFmt w:val="decimal"/>
      <w:isLgl/>
      <w:lvlText w:val="%1.%2.%3.%4.%5.%6."/>
      <w:lvlJc w:val="left"/>
      <w:pPr>
        <w:tabs>
          <w:tab w:val="left" w:pos="420"/>
        </w:tabs>
        <w:ind w:left="1134" w:hanging="1134"/>
      </w:pPr>
      <w:rPr>
        <w:rFonts w:hint="eastAsia" w:ascii="宋体" w:hAnsi="宋体" w:eastAsia="宋体"/>
      </w:rPr>
    </w:lvl>
    <w:lvl w:ilvl="6" w:tentative="0">
      <w:start w:val="1"/>
      <w:numFmt w:val="decimal"/>
      <w:isLgl/>
      <w:lvlText w:val="%1.%2.%3.%4.%5.%6.%7."/>
      <w:lvlJc w:val="left"/>
      <w:pPr>
        <w:ind w:left="1275" w:hanging="1275"/>
      </w:pPr>
      <w:rPr>
        <w:rFonts w:hint="eastAsia" w:ascii="宋体" w:hAnsi="宋体" w:eastAsia="宋体"/>
      </w:rPr>
    </w:lvl>
    <w:lvl w:ilvl="7" w:tentative="0">
      <w:start w:val="1"/>
      <w:numFmt w:val="decimal"/>
      <w:isLgl/>
      <w:lvlText w:val="%1.%2.%3.%4.%5.%6.%7.%8."/>
      <w:lvlJc w:val="left"/>
      <w:pPr>
        <w:ind w:left="1418" w:hanging="1418"/>
      </w:pPr>
      <w:rPr>
        <w:rFonts w:hint="eastAsia" w:ascii="宋体" w:hAnsi="宋体" w:eastAsia="宋体"/>
      </w:rPr>
    </w:lvl>
    <w:lvl w:ilvl="8" w:tentative="0">
      <w:start w:val="1"/>
      <w:numFmt w:val="decimal"/>
      <w:isLgl/>
      <w:lvlText w:val="%1.%2.%3.%4.%5.%6.%7.%8.%9."/>
      <w:lvlJc w:val="left"/>
      <w:pPr>
        <w:ind w:left="1558" w:hanging="1558"/>
      </w:pPr>
      <w:rPr>
        <w:rFonts w:hint="eastAsia" w:ascii="宋体" w:hAnsi="宋体" w:eastAsia="宋体"/>
        <w:b/>
        <w:i w:val="0"/>
        <w:sz w:val="24"/>
        <w:szCs w:val="24"/>
      </w:rPr>
    </w:lvl>
  </w:abstractNum>
  <w:abstractNum w:abstractNumId="2">
    <w:nsid w:val="288668D1"/>
    <w:multiLevelType w:val="multilevel"/>
    <w:tmpl w:val="288668D1"/>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doNotShadeFormData w:val="1"/>
  <w:noPunctuationKerning w:val="1"/>
  <w:characterSpacingControl w:val="doNotCompress"/>
  <w:doNotValidateAgainstSchema/>
  <w:doNotDemarcateInvalidXml/>
  <w:hdrShapeDefaults>
    <o:shapelayout v:ext="edit">
      <o:idmap v:ext="edit" data="1"/>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Y2YyOGQzNTdmNjBkMzNmNWE5MmVjOTQ3OTI3NmEifQ=="/>
  </w:docVars>
  <w:rsids>
    <w:rsidRoot w:val="00172A27"/>
    <w:rsid w:val="00000476"/>
    <w:rsid w:val="000008B3"/>
    <w:rsid w:val="000010BD"/>
    <w:rsid w:val="00001BD1"/>
    <w:rsid w:val="00002E41"/>
    <w:rsid w:val="00005A6A"/>
    <w:rsid w:val="0000637E"/>
    <w:rsid w:val="0000735E"/>
    <w:rsid w:val="00007458"/>
    <w:rsid w:val="0000762E"/>
    <w:rsid w:val="00010807"/>
    <w:rsid w:val="00010B5F"/>
    <w:rsid w:val="000115B6"/>
    <w:rsid w:val="00012BE0"/>
    <w:rsid w:val="00012CF0"/>
    <w:rsid w:val="000140C6"/>
    <w:rsid w:val="0001509E"/>
    <w:rsid w:val="00015115"/>
    <w:rsid w:val="0001514E"/>
    <w:rsid w:val="000154FF"/>
    <w:rsid w:val="00015D48"/>
    <w:rsid w:val="00015D83"/>
    <w:rsid w:val="0001721F"/>
    <w:rsid w:val="000173FC"/>
    <w:rsid w:val="00020298"/>
    <w:rsid w:val="00020AE9"/>
    <w:rsid w:val="0002187D"/>
    <w:rsid w:val="0002202D"/>
    <w:rsid w:val="000221EF"/>
    <w:rsid w:val="00022AB6"/>
    <w:rsid w:val="000230D4"/>
    <w:rsid w:val="00023D91"/>
    <w:rsid w:val="000242CA"/>
    <w:rsid w:val="000262C6"/>
    <w:rsid w:val="00026CC4"/>
    <w:rsid w:val="000302AC"/>
    <w:rsid w:val="0003056F"/>
    <w:rsid w:val="00032E23"/>
    <w:rsid w:val="000330C9"/>
    <w:rsid w:val="000332F6"/>
    <w:rsid w:val="000335B0"/>
    <w:rsid w:val="0003457A"/>
    <w:rsid w:val="00034978"/>
    <w:rsid w:val="00034CDF"/>
    <w:rsid w:val="00035518"/>
    <w:rsid w:val="000356A7"/>
    <w:rsid w:val="00036698"/>
    <w:rsid w:val="000403F8"/>
    <w:rsid w:val="00042F2A"/>
    <w:rsid w:val="000446D0"/>
    <w:rsid w:val="00044D31"/>
    <w:rsid w:val="00046B09"/>
    <w:rsid w:val="000518BA"/>
    <w:rsid w:val="00052686"/>
    <w:rsid w:val="00052E3E"/>
    <w:rsid w:val="00054BA5"/>
    <w:rsid w:val="00055EA0"/>
    <w:rsid w:val="00055F7C"/>
    <w:rsid w:val="000567A4"/>
    <w:rsid w:val="00057367"/>
    <w:rsid w:val="0006016F"/>
    <w:rsid w:val="000603B1"/>
    <w:rsid w:val="000608C6"/>
    <w:rsid w:val="00061562"/>
    <w:rsid w:val="00061669"/>
    <w:rsid w:val="0006264B"/>
    <w:rsid w:val="000630DA"/>
    <w:rsid w:val="00063823"/>
    <w:rsid w:val="000647B7"/>
    <w:rsid w:val="0006664E"/>
    <w:rsid w:val="00066D2C"/>
    <w:rsid w:val="00066DE7"/>
    <w:rsid w:val="00070293"/>
    <w:rsid w:val="000704E0"/>
    <w:rsid w:val="00070E59"/>
    <w:rsid w:val="00071EFA"/>
    <w:rsid w:val="000731F4"/>
    <w:rsid w:val="000733B0"/>
    <w:rsid w:val="00073799"/>
    <w:rsid w:val="00074121"/>
    <w:rsid w:val="000752D7"/>
    <w:rsid w:val="000756CE"/>
    <w:rsid w:val="00075923"/>
    <w:rsid w:val="00076C9E"/>
    <w:rsid w:val="00077297"/>
    <w:rsid w:val="0007739C"/>
    <w:rsid w:val="00077E19"/>
    <w:rsid w:val="00077E89"/>
    <w:rsid w:val="0008062F"/>
    <w:rsid w:val="0008101D"/>
    <w:rsid w:val="00081379"/>
    <w:rsid w:val="00081F25"/>
    <w:rsid w:val="00082EBE"/>
    <w:rsid w:val="00083647"/>
    <w:rsid w:val="00083704"/>
    <w:rsid w:val="0008387B"/>
    <w:rsid w:val="0008392B"/>
    <w:rsid w:val="00083F36"/>
    <w:rsid w:val="00084AEB"/>
    <w:rsid w:val="00084ECA"/>
    <w:rsid w:val="00085A77"/>
    <w:rsid w:val="000864AB"/>
    <w:rsid w:val="0009086B"/>
    <w:rsid w:val="00091035"/>
    <w:rsid w:val="00091BD4"/>
    <w:rsid w:val="00092275"/>
    <w:rsid w:val="00092D80"/>
    <w:rsid w:val="00093557"/>
    <w:rsid w:val="00095C59"/>
    <w:rsid w:val="00096570"/>
    <w:rsid w:val="00097B92"/>
    <w:rsid w:val="000A0277"/>
    <w:rsid w:val="000A0662"/>
    <w:rsid w:val="000A0B2B"/>
    <w:rsid w:val="000A1693"/>
    <w:rsid w:val="000A1760"/>
    <w:rsid w:val="000A2BE1"/>
    <w:rsid w:val="000A3413"/>
    <w:rsid w:val="000A3D42"/>
    <w:rsid w:val="000A3F43"/>
    <w:rsid w:val="000A5BF5"/>
    <w:rsid w:val="000A70D5"/>
    <w:rsid w:val="000A76AE"/>
    <w:rsid w:val="000B0195"/>
    <w:rsid w:val="000B0BC4"/>
    <w:rsid w:val="000B23DE"/>
    <w:rsid w:val="000B42AC"/>
    <w:rsid w:val="000B4370"/>
    <w:rsid w:val="000B4C35"/>
    <w:rsid w:val="000B4E0C"/>
    <w:rsid w:val="000B5323"/>
    <w:rsid w:val="000B6FC7"/>
    <w:rsid w:val="000C06F5"/>
    <w:rsid w:val="000C0BE0"/>
    <w:rsid w:val="000C0F6F"/>
    <w:rsid w:val="000C2987"/>
    <w:rsid w:val="000C2E29"/>
    <w:rsid w:val="000C3935"/>
    <w:rsid w:val="000C3961"/>
    <w:rsid w:val="000C4AB2"/>
    <w:rsid w:val="000C548D"/>
    <w:rsid w:val="000C604B"/>
    <w:rsid w:val="000C6280"/>
    <w:rsid w:val="000C768A"/>
    <w:rsid w:val="000C7E5D"/>
    <w:rsid w:val="000C7F71"/>
    <w:rsid w:val="000D017D"/>
    <w:rsid w:val="000D062C"/>
    <w:rsid w:val="000D1FFB"/>
    <w:rsid w:val="000D218E"/>
    <w:rsid w:val="000D29B3"/>
    <w:rsid w:val="000D387A"/>
    <w:rsid w:val="000D3F3D"/>
    <w:rsid w:val="000D4970"/>
    <w:rsid w:val="000D50D8"/>
    <w:rsid w:val="000D6BF2"/>
    <w:rsid w:val="000D6F0B"/>
    <w:rsid w:val="000D70D8"/>
    <w:rsid w:val="000E0B27"/>
    <w:rsid w:val="000E21A4"/>
    <w:rsid w:val="000E22E2"/>
    <w:rsid w:val="000E2610"/>
    <w:rsid w:val="000E2D92"/>
    <w:rsid w:val="000E2FCA"/>
    <w:rsid w:val="000E469F"/>
    <w:rsid w:val="000E50B5"/>
    <w:rsid w:val="000E5592"/>
    <w:rsid w:val="000E5E0F"/>
    <w:rsid w:val="000E6B91"/>
    <w:rsid w:val="000E6BB7"/>
    <w:rsid w:val="000E6BDD"/>
    <w:rsid w:val="000E7218"/>
    <w:rsid w:val="000E7567"/>
    <w:rsid w:val="000E7853"/>
    <w:rsid w:val="000E79E0"/>
    <w:rsid w:val="000E7B76"/>
    <w:rsid w:val="000E7CB9"/>
    <w:rsid w:val="000F0758"/>
    <w:rsid w:val="000F0B8A"/>
    <w:rsid w:val="000F126A"/>
    <w:rsid w:val="000F16FA"/>
    <w:rsid w:val="000F27B8"/>
    <w:rsid w:val="000F28B1"/>
    <w:rsid w:val="000F2E93"/>
    <w:rsid w:val="000F3A53"/>
    <w:rsid w:val="000F4023"/>
    <w:rsid w:val="000F424B"/>
    <w:rsid w:val="000F43DF"/>
    <w:rsid w:val="000F4597"/>
    <w:rsid w:val="000F47AA"/>
    <w:rsid w:val="000F5327"/>
    <w:rsid w:val="000F53C4"/>
    <w:rsid w:val="000F59F1"/>
    <w:rsid w:val="000F5E96"/>
    <w:rsid w:val="000F5EB6"/>
    <w:rsid w:val="000F6B3D"/>
    <w:rsid w:val="000F7613"/>
    <w:rsid w:val="000F7F4C"/>
    <w:rsid w:val="00101E0C"/>
    <w:rsid w:val="00102476"/>
    <w:rsid w:val="001037A6"/>
    <w:rsid w:val="00103E37"/>
    <w:rsid w:val="00104086"/>
    <w:rsid w:val="00104093"/>
    <w:rsid w:val="0010464B"/>
    <w:rsid w:val="001049BD"/>
    <w:rsid w:val="00104EDF"/>
    <w:rsid w:val="00104F1F"/>
    <w:rsid w:val="00105323"/>
    <w:rsid w:val="00105370"/>
    <w:rsid w:val="00106078"/>
    <w:rsid w:val="001074A9"/>
    <w:rsid w:val="00110A10"/>
    <w:rsid w:val="00110B3C"/>
    <w:rsid w:val="00113E4E"/>
    <w:rsid w:val="0011406E"/>
    <w:rsid w:val="00114281"/>
    <w:rsid w:val="001144F4"/>
    <w:rsid w:val="00116EC5"/>
    <w:rsid w:val="001200C1"/>
    <w:rsid w:val="001232B5"/>
    <w:rsid w:val="00123E2D"/>
    <w:rsid w:val="00124315"/>
    <w:rsid w:val="001245E9"/>
    <w:rsid w:val="001246FC"/>
    <w:rsid w:val="001270C2"/>
    <w:rsid w:val="001273C8"/>
    <w:rsid w:val="001309AB"/>
    <w:rsid w:val="0013142A"/>
    <w:rsid w:val="00131EBE"/>
    <w:rsid w:val="001323AC"/>
    <w:rsid w:val="001328CE"/>
    <w:rsid w:val="00132E8D"/>
    <w:rsid w:val="00133DC1"/>
    <w:rsid w:val="00133FB0"/>
    <w:rsid w:val="0013482F"/>
    <w:rsid w:val="00136C02"/>
    <w:rsid w:val="001378A5"/>
    <w:rsid w:val="00137A8F"/>
    <w:rsid w:val="001400D1"/>
    <w:rsid w:val="00140F5D"/>
    <w:rsid w:val="00141FB3"/>
    <w:rsid w:val="0014304A"/>
    <w:rsid w:val="00144A44"/>
    <w:rsid w:val="001455EA"/>
    <w:rsid w:val="00145CEC"/>
    <w:rsid w:val="00145D0C"/>
    <w:rsid w:val="001472D7"/>
    <w:rsid w:val="001474F8"/>
    <w:rsid w:val="0014754E"/>
    <w:rsid w:val="001477E2"/>
    <w:rsid w:val="00150470"/>
    <w:rsid w:val="00150A2B"/>
    <w:rsid w:val="0015121D"/>
    <w:rsid w:val="001513EC"/>
    <w:rsid w:val="0015165C"/>
    <w:rsid w:val="00151696"/>
    <w:rsid w:val="00151D6D"/>
    <w:rsid w:val="00151E47"/>
    <w:rsid w:val="00152713"/>
    <w:rsid w:val="00153914"/>
    <w:rsid w:val="00153C1D"/>
    <w:rsid w:val="00154453"/>
    <w:rsid w:val="00154D46"/>
    <w:rsid w:val="00155650"/>
    <w:rsid w:val="00156FD2"/>
    <w:rsid w:val="00157349"/>
    <w:rsid w:val="00157F9F"/>
    <w:rsid w:val="0016096D"/>
    <w:rsid w:val="00161371"/>
    <w:rsid w:val="00161FA7"/>
    <w:rsid w:val="001625A3"/>
    <w:rsid w:val="00162CA9"/>
    <w:rsid w:val="00166964"/>
    <w:rsid w:val="00166B53"/>
    <w:rsid w:val="00166DAB"/>
    <w:rsid w:val="00167ADF"/>
    <w:rsid w:val="00170BBA"/>
    <w:rsid w:val="00171A6E"/>
    <w:rsid w:val="001722C9"/>
    <w:rsid w:val="001725F5"/>
    <w:rsid w:val="00172789"/>
    <w:rsid w:val="00174082"/>
    <w:rsid w:val="00174C76"/>
    <w:rsid w:val="0017758B"/>
    <w:rsid w:val="001812B1"/>
    <w:rsid w:val="00182D83"/>
    <w:rsid w:val="001832DB"/>
    <w:rsid w:val="00183E97"/>
    <w:rsid w:val="001858E2"/>
    <w:rsid w:val="00185A16"/>
    <w:rsid w:val="00187019"/>
    <w:rsid w:val="00190154"/>
    <w:rsid w:val="00190E0A"/>
    <w:rsid w:val="00191546"/>
    <w:rsid w:val="0019193B"/>
    <w:rsid w:val="00192F4D"/>
    <w:rsid w:val="001934A7"/>
    <w:rsid w:val="00193C0C"/>
    <w:rsid w:val="00194985"/>
    <w:rsid w:val="00194B56"/>
    <w:rsid w:val="0019556A"/>
    <w:rsid w:val="00195A7B"/>
    <w:rsid w:val="00195DBC"/>
    <w:rsid w:val="00196244"/>
    <w:rsid w:val="00196451"/>
    <w:rsid w:val="00196DFB"/>
    <w:rsid w:val="00197552"/>
    <w:rsid w:val="001979F0"/>
    <w:rsid w:val="00197D65"/>
    <w:rsid w:val="001A0487"/>
    <w:rsid w:val="001A1962"/>
    <w:rsid w:val="001A2967"/>
    <w:rsid w:val="001A3424"/>
    <w:rsid w:val="001A3C44"/>
    <w:rsid w:val="001A44A5"/>
    <w:rsid w:val="001A4C59"/>
    <w:rsid w:val="001A6896"/>
    <w:rsid w:val="001A7EC6"/>
    <w:rsid w:val="001B115B"/>
    <w:rsid w:val="001B13BC"/>
    <w:rsid w:val="001B1415"/>
    <w:rsid w:val="001B1562"/>
    <w:rsid w:val="001B1F0E"/>
    <w:rsid w:val="001B22FE"/>
    <w:rsid w:val="001B33CD"/>
    <w:rsid w:val="001B39A8"/>
    <w:rsid w:val="001B4514"/>
    <w:rsid w:val="001B4573"/>
    <w:rsid w:val="001B4D15"/>
    <w:rsid w:val="001B55A2"/>
    <w:rsid w:val="001B5852"/>
    <w:rsid w:val="001B653F"/>
    <w:rsid w:val="001B7D11"/>
    <w:rsid w:val="001C0A4D"/>
    <w:rsid w:val="001C24AC"/>
    <w:rsid w:val="001C2CC4"/>
    <w:rsid w:val="001C3A80"/>
    <w:rsid w:val="001C3CA3"/>
    <w:rsid w:val="001C3E69"/>
    <w:rsid w:val="001C485D"/>
    <w:rsid w:val="001C49B0"/>
    <w:rsid w:val="001C4D69"/>
    <w:rsid w:val="001C5484"/>
    <w:rsid w:val="001C5EC5"/>
    <w:rsid w:val="001C7BF5"/>
    <w:rsid w:val="001C7FA3"/>
    <w:rsid w:val="001D2882"/>
    <w:rsid w:val="001D4609"/>
    <w:rsid w:val="001D4FB2"/>
    <w:rsid w:val="001D506D"/>
    <w:rsid w:val="001D5A51"/>
    <w:rsid w:val="001D5C1E"/>
    <w:rsid w:val="001D6D34"/>
    <w:rsid w:val="001D6D39"/>
    <w:rsid w:val="001D775A"/>
    <w:rsid w:val="001D79A6"/>
    <w:rsid w:val="001E089E"/>
    <w:rsid w:val="001E0970"/>
    <w:rsid w:val="001E14C5"/>
    <w:rsid w:val="001E1AFF"/>
    <w:rsid w:val="001E217C"/>
    <w:rsid w:val="001E28F1"/>
    <w:rsid w:val="001E2BE3"/>
    <w:rsid w:val="001E2EB2"/>
    <w:rsid w:val="001E2FAE"/>
    <w:rsid w:val="001E3EEC"/>
    <w:rsid w:val="001E519D"/>
    <w:rsid w:val="001E6414"/>
    <w:rsid w:val="001F0A82"/>
    <w:rsid w:val="001F0B26"/>
    <w:rsid w:val="001F369D"/>
    <w:rsid w:val="001F3ACE"/>
    <w:rsid w:val="001F4931"/>
    <w:rsid w:val="001F4B48"/>
    <w:rsid w:val="001F5F8B"/>
    <w:rsid w:val="001F6CDB"/>
    <w:rsid w:val="001F7E58"/>
    <w:rsid w:val="002002FF"/>
    <w:rsid w:val="0020082E"/>
    <w:rsid w:val="002021A5"/>
    <w:rsid w:val="00202D9C"/>
    <w:rsid w:val="0020322C"/>
    <w:rsid w:val="00203BAC"/>
    <w:rsid w:val="00203D91"/>
    <w:rsid w:val="00204F4B"/>
    <w:rsid w:val="00205E3A"/>
    <w:rsid w:val="00206337"/>
    <w:rsid w:val="0020653C"/>
    <w:rsid w:val="002068C9"/>
    <w:rsid w:val="00207AD3"/>
    <w:rsid w:val="00207BEB"/>
    <w:rsid w:val="00211EF3"/>
    <w:rsid w:val="0021273A"/>
    <w:rsid w:val="00212B6E"/>
    <w:rsid w:val="00212F0D"/>
    <w:rsid w:val="0021301E"/>
    <w:rsid w:val="002133D3"/>
    <w:rsid w:val="00214EDB"/>
    <w:rsid w:val="00214F9D"/>
    <w:rsid w:val="00215096"/>
    <w:rsid w:val="00215E1D"/>
    <w:rsid w:val="0022020F"/>
    <w:rsid w:val="00220F14"/>
    <w:rsid w:val="00221380"/>
    <w:rsid w:val="00221769"/>
    <w:rsid w:val="002218B2"/>
    <w:rsid w:val="00222069"/>
    <w:rsid w:val="002235A3"/>
    <w:rsid w:val="00224782"/>
    <w:rsid w:val="002252B5"/>
    <w:rsid w:val="002311D5"/>
    <w:rsid w:val="00232DEE"/>
    <w:rsid w:val="00232E5C"/>
    <w:rsid w:val="002347E8"/>
    <w:rsid w:val="00234A0E"/>
    <w:rsid w:val="00235957"/>
    <w:rsid w:val="0023674F"/>
    <w:rsid w:val="0023689F"/>
    <w:rsid w:val="00236B9C"/>
    <w:rsid w:val="00236C6D"/>
    <w:rsid w:val="0023782F"/>
    <w:rsid w:val="002406ED"/>
    <w:rsid w:val="00242F80"/>
    <w:rsid w:val="00243C29"/>
    <w:rsid w:val="00243DA5"/>
    <w:rsid w:val="00246BFF"/>
    <w:rsid w:val="00251397"/>
    <w:rsid w:val="0025251B"/>
    <w:rsid w:val="00252B3B"/>
    <w:rsid w:val="002548A2"/>
    <w:rsid w:val="00254EED"/>
    <w:rsid w:val="00254F08"/>
    <w:rsid w:val="00255451"/>
    <w:rsid w:val="0025551C"/>
    <w:rsid w:val="00255C42"/>
    <w:rsid w:val="00256417"/>
    <w:rsid w:val="00256CB0"/>
    <w:rsid w:val="0026154A"/>
    <w:rsid w:val="00262220"/>
    <w:rsid w:val="002623FA"/>
    <w:rsid w:val="00262BC3"/>
    <w:rsid w:val="0026616C"/>
    <w:rsid w:val="002664A4"/>
    <w:rsid w:val="00266A18"/>
    <w:rsid w:val="00266A99"/>
    <w:rsid w:val="00266C23"/>
    <w:rsid w:val="00266D87"/>
    <w:rsid w:val="00266F02"/>
    <w:rsid w:val="002673DC"/>
    <w:rsid w:val="00267CF1"/>
    <w:rsid w:val="00267D95"/>
    <w:rsid w:val="00267ECC"/>
    <w:rsid w:val="00270545"/>
    <w:rsid w:val="00270BD7"/>
    <w:rsid w:val="00271505"/>
    <w:rsid w:val="002718C7"/>
    <w:rsid w:val="00271987"/>
    <w:rsid w:val="00274221"/>
    <w:rsid w:val="00275383"/>
    <w:rsid w:val="002765F4"/>
    <w:rsid w:val="002774A2"/>
    <w:rsid w:val="002777DE"/>
    <w:rsid w:val="00277D30"/>
    <w:rsid w:val="002809F1"/>
    <w:rsid w:val="002810C0"/>
    <w:rsid w:val="00282DA3"/>
    <w:rsid w:val="00283A7F"/>
    <w:rsid w:val="0028401C"/>
    <w:rsid w:val="0028408C"/>
    <w:rsid w:val="002841A8"/>
    <w:rsid w:val="00285715"/>
    <w:rsid w:val="00286108"/>
    <w:rsid w:val="002877AB"/>
    <w:rsid w:val="00287952"/>
    <w:rsid w:val="00287A99"/>
    <w:rsid w:val="002900F6"/>
    <w:rsid w:val="00290E29"/>
    <w:rsid w:val="00290E4D"/>
    <w:rsid w:val="00291BDF"/>
    <w:rsid w:val="00292664"/>
    <w:rsid w:val="0029323A"/>
    <w:rsid w:val="00293A65"/>
    <w:rsid w:val="002949D5"/>
    <w:rsid w:val="00295CF2"/>
    <w:rsid w:val="002A0D53"/>
    <w:rsid w:val="002A0E35"/>
    <w:rsid w:val="002A0EEF"/>
    <w:rsid w:val="002A158E"/>
    <w:rsid w:val="002A1E2C"/>
    <w:rsid w:val="002A23AA"/>
    <w:rsid w:val="002A2B29"/>
    <w:rsid w:val="002A32C6"/>
    <w:rsid w:val="002A3E9E"/>
    <w:rsid w:val="002A48BC"/>
    <w:rsid w:val="002A59D0"/>
    <w:rsid w:val="002A5D5E"/>
    <w:rsid w:val="002A5DF1"/>
    <w:rsid w:val="002A79A2"/>
    <w:rsid w:val="002B053F"/>
    <w:rsid w:val="002B10EF"/>
    <w:rsid w:val="002B14B5"/>
    <w:rsid w:val="002B1E66"/>
    <w:rsid w:val="002B1EB1"/>
    <w:rsid w:val="002B2894"/>
    <w:rsid w:val="002B2B57"/>
    <w:rsid w:val="002B2E8D"/>
    <w:rsid w:val="002B3737"/>
    <w:rsid w:val="002B3E63"/>
    <w:rsid w:val="002B5AA9"/>
    <w:rsid w:val="002B622C"/>
    <w:rsid w:val="002B72CC"/>
    <w:rsid w:val="002B74FC"/>
    <w:rsid w:val="002C0C68"/>
    <w:rsid w:val="002C0C91"/>
    <w:rsid w:val="002C0FFE"/>
    <w:rsid w:val="002C24E3"/>
    <w:rsid w:val="002C2BEB"/>
    <w:rsid w:val="002C3114"/>
    <w:rsid w:val="002C42EA"/>
    <w:rsid w:val="002C4961"/>
    <w:rsid w:val="002C5EE8"/>
    <w:rsid w:val="002C755D"/>
    <w:rsid w:val="002C7821"/>
    <w:rsid w:val="002D0F4F"/>
    <w:rsid w:val="002D18D3"/>
    <w:rsid w:val="002D1AE8"/>
    <w:rsid w:val="002D27DB"/>
    <w:rsid w:val="002D3072"/>
    <w:rsid w:val="002D4630"/>
    <w:rsid w:val="002D475A"/>
    <w:rsid w:val="002D48BA"/>
    <w:rsid w:val="002D51CD"/>
    <w:rsid w:val="002D52C3"/>
    <w:rsid w:val="002D5302"/>
    <w:rsid w:val="002D6A2D"/>
    <w:rsid w:val="002D716D"/>
    <w:rsid w:val="002D7589"/>
    <w:rsid w:val="002D7926"/>
    <w:rsid w:val="002D792C"/>
    <w:rsid w:val="002E02D8"/>
    <w:rsid w:val="002E0B05"/>
    <w:rsid w:val="002E0B81"/>
    <w:rsid w:val="002E1114"/>
    <w:rsid w:val="002E11E7"/>
    <w:rsid w:val="002E4154"/>
    <w:rsid w:val="002E4717"/>
    <w:rsid w:val="002E794D"/>
    <w:rsid w:val="002F0A57"/>
    <w:rsid w:val="002F19C2"/>
    <w:rsid w:val="002F1F94"/>
    <w:rsid w:val="002F2D60"/>
    <w:rsid w:val="002F34E3"/>
    <w:rsid w:val="002F353C"/>
    <w:rsid w:val="002F4C04"/>
    <w:rsid w:val="002F4DE4"/>
    <w:rsid w:val="002F6AC1"/>
    <w:rsid w:val="002F708C"/>
    <w:rsid w:val="002F7462"/>
    <w:rsid w:val="002F74D0"/>
    <w:rsid w:val="002F75FD"/>
    <w:rsid w:val="003003B3"/>
    <w:rsid w:val="00300AB5"/>
    <w:rsid w:val="0030125C"/>
    <w:rsid w:val="00301FA9"/>
    <w:rsid w:val="003023B6"/>
    <w:rsid w:val="00302618"/>
    <w:rsid w:val="00302F52"/>
    <w:rsid w:val="00303C5E"/>
    <w:rsid w:val="00304B09"/>
    <w:rsid w:val="00304B66"/>
    <w:rsid w:val="00305883"/>
    <w:rsid w:val="00305A9F"/>
    <w:rsid w:val="003063B1"/>
    <w:rsid w:val="0030689C"/>
    <w:rsid w:val="00306EC1"/>
    <w:rsid w:val="00307B4D"/>
    <w:rsid w:val="0031104A"/>
    <w:rsid w:val="00311755"/>
    <w:rsid w:val="00311F72"/>
    <w:rsid w:val="0031271F"/>
    <w:rsid w:val="00312A6F"/>
    <w:rsid w:val="00312E4B"/>
    <w:rsid w:val="0031330F"/>
    <w:rsid w:val="0031354E"/>
    <w:rsid w:val="00313F6E"/>
    <w:rsid w:val="003155BA"/>
    <w:rsid w:val="00315853"/>
    <w:rsid w:val="00316732"/>
    <w:rsid w:val="00316822"/>
    <w:rsid w:val="00324FED"/>
    <w:rsid w:val="00325979"/>
    <w:rsid w:val="00326DDC"/>
    <w:rsid w:val="0032793F"/>
    <w:rsid w:val="0032798E"/>
    <w:rsid w:val="00327EFF"/>
    <w:rsid w:val="00330E62"/>
    <w:rsid w:val="0033176A"/>
    <w:rsid w:val="00331EEA"/>
    <w:rsid w:val="0033276B"/>
    <w:rsid w:val="00333806"/>
    <w:rsid w:val="00333A2C"/>
    <w:rsid w:val="003348B7"/>
    <w:rsid w:val="00334E1F"/>
    <w:rsid w:val="003355C1"/>
    <w:rsid w:val="003357FC"/>
    <w:rsid w:val="00335822"/>
    <w:rsid w:val="00335F17"/>
    <w:rsid w:val="00336323"/>
    <w:rsid w:val="003363C0"/>
    <w:rsid w:val="00336554"/>
    <w:rsid w:val="00336A0E"/>
    <w:rsid w:val="00336D7F"/>
    <w:rsid w:val="00336F39"/>
    <w:rsid w:val="00337C12"/>
    <w:rsid w:val="00337E77"/>
    <w:rsid w:val="00340478"/>
    <w:rsid w:val="00340B3D"/>
    <w:rsid w:val="00340C86"/>
    <w:rsid w:val="003415F7"/>
    <w:rsid w:val="00341960"/>
    <w:rsid w:val="00341FEF"/>
    <w:rsid w:val="003422EC"/>
    <w:rsid w:val="003427B1"/>
    <w:rsid w:val="00343F9B"/>
    <w:rsid w:val="00344442"/>
    <w:rsid w:val="00345519"/>
    <w:rsid w:val="00346759"/>
    <w:rsid w:val="00346FAA"/>
    <w:rsid w:val="0034725B"/>
    <w:rsid w:val="00347A4C"/>
    <w:rsid w:val="00350F51"/>
    <w:rsid w:val="00351B45"/>
    <w:rsid w:val="003524A4"/>
    <w:rsid w:val="00352F45"/>
    <w:rsid w:val="003535A7"/>
    <w:rsid w:val="003539C6"/>
    <w:rsid w:val="0035471C"/>
    <w:rsid w:val="00355EC9"/>
    <w:rsid w:val="0035714A"/>
    <w:rsid w:val="00357C71"/>
    <w:rsid w:val="00357C82"/>
    <w:rsid w:val="00357D06"/>
    <w:rsid w:val="00357F75"/>
    <w:rsid w:val="00357FBD"/>
    <w:rsid w:val="0036030C"/>
    <w:rsid w:val="0036261C"/>
    <w:rsid w:val="003628B8"/>
    <w:rsid w:val="00362B5A"/>
    <w:rsid w:val="00362F03"/>
    <w:rsid w:val="00362FF2"/>
    <w:rsid w:val="00363C22"/>
    <w:rsid w:val="0036425D"/>
    <w:rsid w:val="0036453D"/>
    <w:rsid w:val="00364C5A"/>
    <w:rsid w:val="00367D12"/>
    <w:rsid w:val="00370F70"/>
    <w:rsid w:val="0037111A"/>
    <w:rsid w:val="00372FD7"/>
    <w:rsid w:val="0037350D"/>
    <w:rsid w:val="003767E6"/>
    <w:rsid w:val="00376830"/>
    <w:rsid w:val="0037759F"/>
    <w:rsid w:val="00377D02"/>
    <w:rsid w:val="00381445"/>
    <w:rsid w:val="0038360F"/>
    <w:rsid w:val="00384F90"/>
    <w:rsid w:val="00386412"/>
    <w:rsid w:val="00386902"/>
    <w:rsid w:val="00386CDA"/>
    <w:rsid w:val="00387719"/>
    <w:rsid w:val="00390B3A"/>
    <w:rsid w:val="00391172"/>
    <w:rsid w:val="00391539"/>
    <w:rsid w:val="00391C08"/>
    <w:rsid w:val="003920F7"/>
    <w:rsid w:val="00393D40"/>
    <w:rsid w:val="0039695F"/>
    <w:rsid w:val="0039706A"/>
    <w:rsid w:val="003973CA"/>
    <w:rsid w:val="003A0C8A"/>
    <w:rsid w:val="003A12F9"/>
    <w:rsid w:val="003A1DF4"/>
    <w:rsid w:val="003A1FBF"/>
    <w:rsid w:val="003A20AB"/>
    <w:rsid w:val="003A3761"/>
    <w:rsid w:val="003A44B8"/>
    <w:rsid w:val="003A45BA"/>
    <w:rsid w:val="003A47AF"/>
    <w:rsid w:val="003A5D07"/>
    <w:rsid w:val="003A5DF0"/>
    <w:rsid w:val="003A6547"/>
    <w:rsid w:val="003A7D9B"/>
    <w:rsid w:val="003A7FE9"/>
    <w:rsid w:val="003B0021"/>
    <w:rsid w:val="003B036A"/>
    <w:rsid w:val="003B1627"/>
    <w:rsid w:val="003B1F05"/>
    <w:rsid w:val="003B26AB"/>
    <w:rsid w:val="003B2884"/>
    <w:rsid w:val="003B2AA3"/>
    <w:rsid w:val="003B2EE6"/>
    <w:rsid w:val="003B3640"/>
    <w:rsid w:val="003B3D20"/>
    <w:rsid w:val="003B545A"/>
    <w:rsid w:val="003B5F94"/>
    <w:rsid w:val="003B658D"/>
    <w:rsid w:val="003B6670"/>
    <w:rsid w:val="003B7B82"/>
    <w:rsid w:val="003B7D0F"/>
    <w:rsid w:val="003C1C1E"/>
    <w:rsid w:val="003C1DD2"/>
    <w:rsid w:val="003C2BB6"/>
    <w:rsid w:val="003C2D06"/>
    <w:rsid w:val="003C3A18"/>
    <w:rsid w:val="003C44B4"/>
    <w:rsid w:val="003C6BB4"/>
    <w:rsid w:val="003C73C7"/>
    <w:rsid w:val="003C782D"/>
    <w:rsid w:val="003C78E4"/>
    <w:rsid w:val="003C7F2E"/>
    <w:rsid w:val="003D01A2"/>
    <w:rsid w:val="003D03B4"/>
    <w:rsid w:val="003D1239"/>
    <w:rsid w:val="003D13A3"/>
    <w:rsid w:val="003D1A83"/>
    <w:rsid w:val="003D3FFE"/>
    <w:rsid w:val="003D4D30"/>
    <w:rsid w:val="003D4DF8"/>
    <w:rsid w:val="003D617D"/>
    <w:rsid w:val="003D65C3"/>
    <w:rsid w:val="003E0B9D"/>
    <w:rsid w:val="003E1079"/>
    <w:rsid w:val="003E1A7D"/>
    <w:rsid w:val="003E1E60"/>
    <w:rsid w:val="003E21EB"/>
    <w:rsid w:val="003E586C"/>
    <w:rsid w:val="003E5E16"/>
    <w:rsid w:val="003E6C67"/>
    <w:rsid w:val="003E76A2"/>
    <w:rsid w:val="003E7D0C"/>
    <w:rsid w:val="003F0E8F"/>
    <w:rsid w:val="003F0FF5"/>
    <w:rsid w:val="003F1068"/>
    <w:rsid w:val="003F1713"/>
    <w:rsid w:val="003F1FFB"/>
    <w:rsid w:val="003F20C9"/>
    <w:rsid w:val="003F2829"/>
    <w:rsid w:val="003F3BBB"/>
    <w:rsid w:val="003F6347"/>
    <w:rsid w:val="003F6EF2"/>
    <w:rsid w:val="003F78C9"/>
    <w:rsid w:val="004003DC"/>
    <w:rsid w:val="00400856"/>
    <w:rsid w:val="0040106C"/>
    <w:rsid w:val="00401FB1"/>
    <w:rsid w:val="0040254D"/>
    <w:rsid w:val="004042BC"/>
    <w:rsid w:val="00404C53"/>
    <w:rsid w:val="0040501C"/>
    <w:rsid w:val="00405576"/>
    <w:rsid w:val="00405CD0"/>
    <w:rsid w:val="00405DCD"/>
    <w:rsid w:val="004070D9"/>
    <w:rsid w:val="0041105F"/>
    <w:rsid w:val="00411463"/>
    <w:rsid w:val="004128EE"/>
    <w:rsid w:val="004139BE"/>
    <w:rsid w:val="00414614"/>
    <w:rsid w:val="004146D0"/>
    <w:rsid w:val="0041550D"/>
    <w:rsid w:val="00415A7D"/>
    <w:rsid w:val="004161ED"/>
    <w:rsid w:val="004200CE"/>
    <w:rsid w:val="0042013D"/>
    <w:rsid w:val="0042050A"/>
    <w:rsid w:val="00420994"/>
    <w:rsid w:val="00423F8A"/>
    <w:rsid w:val="0042420E"/>
    <w:rsid w:val="004243FF"/>
    <w:rsid w:val="0042515B"/>
    <w:rsid w:val="004253AD"/>
    <w:rsid w:val="00426A40"/>
    <w:rsid w:val="0043060F"/>
    <w:rsid w:val="00430754"/>
    <w:rsid w:val="0043137A"/>
    <w:rsid w:val="00431D66"/>
    <w:rsid w:val="00431E13"/>
    <w:rsid w:val="004324E4"/>
    <w:rsid w:val="00432620"/>
    <w:rsid w:val="00433E24"/>
    <w:rsid w:val="0043506C"/>
    <w:rsid w:val="00435692"/>
    <w:rsid w:val="00435B88"/>
    <w:rsid w:val="004374A5"/>
    <w:rsid w:val="00437D37"/>
    <w:rsid w:val="00437F00"/>
    <w:rsid w:val="0044018F"/>
    <w:rsid w:val="004403E6"/>
    <w:rsid w:val="0044200B"/>
    <w:rsid w:val="00442681"/>
    <w:rsid w:val="004427A8"/>
    <w:rsid w:val="00443148"/>
    <w:rsid w:val="004434BA"/>
    <w:rsid w:val="00445EBB"/>
    <w:rsid w:val="004460E3"/>
    <w:rsid w:val="00446362"/>
    <w:rsid w:val="00446705"/>
    <w:rsid w:val="00446A8D"/>
    <w:rsid w:val="004478C6"/>
    <w:rsid w:val="004509E7"/>
    <w:rsid w:val="00450CE9"/>
    <w:rsid w:val="004513EE"/>
    <w:rsid w:val="00453E16"/>
    <w:rsid w:val="00454130"/>
    <w:rsid w:val="00454D62"/>
    <w:rsid w:val="004550C9"/>
    <w:rsid w:val="004552BD"/>
    <w:rsid w:val="00455354"/>
    <w:rsid w:val="004555DC"/>
    <w:rsid w:val="00455682"/>
    <w:rsid w:val="00455BC5"/>
    <w:rsid w:val="00456A72"/>
    <w:rsid w:val="0045735E"/>
    <w:rsid w:val="00460529"/>
    <w:rsid w:val="00460F45"/>
    <w:rsid w:val="00461368"/>
    <w:rsid w:val="00461BA7"/>
    <w:rsid w:val="004620FF"/>
    <w:rsid w:val="00462EF2"/>
    <w:rsid w:val="00463267"/>
    <w:rsid w:val="00463EB4"/>
    <w:rsid w:val="00465188"/>
    <w:rsid w:val="0046520E"/>
    <w:rsid w:val="004661EC"/>
    <w:rsid w:val="0046724D"/>
    <w:rsid w:val="004672DC"/>
    <w:rsid w:val="00467336"/>
    <w:rsid w:val="00467E59"/>
    <w:rsid w:val="00470306"/>
    <w:rsid w:val="004703E3"/>
    <w:rsid w:val="00470605"/>
    <w:rsid w:val="004715BE"/>
    <w:rsid w:val="00471FDD"/>
    <w:rsid w:val="00472917"/>
    <w:rsid w:val="00472B73"/>
    <w:rsid w:val="00474296"/>
    <w:rsid w:val="0047597E"/>
    <w:rsid w:val="00475F30"/>
    <w:rsid w:val="00476AE7"/>
    <w:rsid w:val="00476C78"/>
    <w:rsid w:val="00477115"/>
    <w:rsid w:val="00480337"/>
    <w:rsid w:val="004809A3"/>
    <w:rsid w:val="0048192A"/>
    <w:rsid w:val="00481C09"/>
    <w:rsid w:val="00482660"/>
    <w:rsid w:val="00485BCF"/>
    <w:rsid w:val="004869AA"/>
    <w:rsid w:val="00486E45"/>
    <w:rsid w:val="004900F7"/>
    <w:rsid w:val="00490E53"/>
    <w:rsid w:val="0049108A"/>
    <w:rsid w:val="00491A9B"/>
    <w:rsid w:val="00491C69"/>
    <w:rsid w:val="00492125"/>
    <w:rsid w:val="004921E7"/>
    <w:rsid w:val="00492D47"/>
    <w:rsid w:val="00492F19"/>
    <w:rsid w:val="00493301"/>
    <w:rsid w:val="004937DF"/>
    <w:rsid w:val="00493D69"/>
    <w:rsid w:val="0049400E"/>
    <w:rsid w:val="00494598"/>
    <w:rsid w:val="00496584"/>
    <w:rsid w:val="00497790"/>
    <w:rsid w:val="004A06A5"/>
    <w:rsid w:val="004A1829"/>
    <w:rsid w:val="004A35D1"/>
    <w:rsid w:val="004A367A"/>
    <w:rsid w:val="004A37FA"/>
    <w:rsid w:val="004A3E52"/>
    <w:rsid w:val="004A462B"/>
    <w:rsid w:val="004A4DD5"/>
    <w:rsid w:val="004A4F44"/>
    <w:rsid w:val="004A5006"/>
    <w:rsid w:val="004A55FB"/>
    <w:rsid w:val="004A589C"/>
    <w:rsid w:val="004A61B5"/>
    <w:rsid w:val="004A6D0C"/>
    <w:rsid w:val="004A7A0E"/>
    <w:rsid w:val="004B0027"/>
    <w:rsid w:val="004B133B"/>
    <w:rsid w:val="004B1BA0"/>
    <w:rsid w:val="004B3132"/>
    <w:rsid w:val="004B3934"/>
    <w:rsid w:val="004B45B5"/>
    <w:rsid w:val="004B4721"/>
    <w:rsid w:val="004B4A19"/>
    <w:rsid w:val="004B4A3D"/>
    <w:rsid w:val="004B55A3"/>
    <w:rsid w:val="004B64F6"/>
    <w:rsid w:val="004B6EB2"/>
    <w:rsid w:val="004B7A23"/>
    <w:rsid w:val="004C0DAA"/>
    <w:rsid w:val="004C1591"/>
    <w:rsid w:val="004C328A"/>
    <w:rsid w:val="004C3E23"/>
    <w:rsid w:val="004C4952"/>
    <w:rsid w:val="004C584F"/>
    <w:rsid w:val="004C602C"/>
    <w:rsid w:val="004C795F"/>
    <w:rsid w:val="004D0712"/>
    <w:rsid w:val="004D0EB9"/>
    <w:rsid w:val="004D17AE"/>
    <w:rsid w:val="004D2B0C"/>
    <w:rsid w:val="004D3DDD"/>
    <w:rsid w:val="004D6BF7"/>
    <w:rsid w:val="004D75BE"/>
    <w:rsid w:val="004D7AA6"/>
    <w:rsid w:val="004E1275"/>
    <w:rsid w:val="004E1A9B"/>
    <w:rsid w:val="004E2185"/>
    <w:rsid w:val="004E2FC2"/>
    <w:rsid w:val="004E3D61"/>
    <w:rsid w:val="004E42CA"/>
    <w:rsid w:val="004E4BB3"/>
    <w:rsid w:val="004E4D7A"/>
    <w:rsid w:val="004E6EFA"/>
    <w:rsid w:val="004E747A"/>
    <w:rsid w:val="004F04A4"/>
    <w:rsid w:val="004F0EAF"/>
    <w:rsid w:val="004F1019"/>
    <w:rsid w:val="004F10CB"/>
    <w:rsid w:val="004F2075"/>
    <w:rsid w:val="004F477D"/>
    <w:rsid w:val="004F5263"/>
    <w:rsid w:val="004F5CB5"/>
    <w:rsid w:val="004F6409"/>
    <w:rsid w:val="004F7882"/>
    <w:rsid w:val="005005EF"/>
    <w:rsid w:val="005009D6"/>
    <w:rsid w:val="005016AC"/>
    <w:rsid w:val="00501798"/>
    <w:rsid w:val="0050308D"/>
    <w:rsid w:val="00503D23"/>
    <w:rsid w:val="0050486F"/>
    <w:rsid w:val="00504C50"/>
    <w:rsid w:val="005060D9"/>
    <w:rsid w:val="0050627E"/>
    <w:rsid w:val="005064BD"/>
    <w:rsid w:val="005068C4"/>
    <w:rsid w:val="00510148"/>
    <w:rsid w:val="005119AB"/>
    <w:rsid w:val="005132E5"/>
    <w:rsid w:val="005137CB"/>
    <w:rsid w:val="00514537"/>
    <w:rsid w:val="00514D56"/>
    <w:rsid w:val="00515ECD"/>
    <w:rsid w:val="00515F71"/>
    <w:rsid w:val="00515FA7"/>
    <w:rsid w:val="0051641B"/>
    <w:rsid w:val="0051646D"/>
    <w:rsid w:val="00517CFF"/>
    <w:rsid w:val="00520180"/>
    <w:rsid w:val="00520736"/>
    <w:rsid w:val="0052199A"/>
    <w:rsid w:val="00521F4D"/>
    <w:rsid w:val="005238FB"/>
    <w:rsid w:val="0052620D"/>
    <w:rsid w:val="0052658D"/>
    <w:rsid w:val="0052768D"/>
    <w:rsid w:val="005300CC"/>
    <w:rsid w:val="005305F7"/>
    <w:rsid w:val="00530AD9"/>
    <w:rsid w:val="00530C3A"/>
    <w:rsid w:val="00530F53"/>
    <w:rsid w:val="00530F86"/>
    <w:rsid w:val="005311C3"/>
    <w:rsid w:val="005315D7"/>
    <w:rsid w:val="00531D2A"/>
    <w:rsid w:val="00531E39"/>
    <w:rsid w:val="005330B9"/>
    <w:rsid w:val="005333D1"/>
    <w:rsid w:val="005340C7"/>
    <w:rsid w:val="00534553"/>
    <w:rsid w:val="0053455A"/>
    <w:rsid w:val="0053457F"/>
    <w:rsid w:val="00535157"/>
    <w:rsid w:val="0053656F"/>
    <w:rsid w:val="00536EEC"/>
    <w:rsid w:val="00537E62"/>
    <w:rsid w:val="005409E4"/>
    <w:rsid w:val="00541A79"/>
    <w:rsid w:val="00543150"/>
    <w:rsid w:val="00543174"/>
    <w:rsid w:val="005449D1"/>
    <w:rsid w:val="005450E8"/>
    <w:rsid w:val="0054671A"/>
    <w:rsid w:val="005509A7"/>
    <w:rsid w:val="00550D81"/>
    <w:rsid w:val="0055160A"/>
    <w:rsid w:val="00551B01"/>
    <w:rsid w:val="00552F16"/>
    <w:rsid w:val="005530A1"/>
    <w:rsid w:val="00554062"/>
    <w:rsid w:val="0055438F"/>
    <w:rsid w:val="005544EC"/>
    <w:rsid w:val="00554F93"/>
    <w:rsid w:val="00555B09"/>
    <w:rsid w:val="005577C9"/>
    <w:rsid w:val="0056093A"/>
    <w:rsid w:val="00560A3D"/>
    <w:rsid w:val="00560C23"/>
    <w:rsid w:val="00560E36"/>
    <w:rsid w:val="005610C1"/>
    <w:rsid w:val="00563CCF"/>
    <w:rsid w:val="00566555"/>
    <w:rsid w:val="0056691F"/>
    <w:rsid w:val="0056714D"/>
    <w:rsid w:val="00567701"/>
    <w:rsid w:val="00572C56"/>
    <w:rsid w:val="0057390B"/>
    <w:rsid w:val="00573DF9"/>
    <w:rsid w:val="00574219"/>
    <w:rsid w:val="005745C9"/>
    <w:rsid w:val="00574909"/>
    <w:rsid w:val="00575470"/>
    <w:rsid w:val="00575637"/>
    <w:rsid w:val="005757F2"/>
    <w:rsid w:val="00575A0D"/>
    <w:rsid w:val="00575FBE"/>
    <w:rsid w:val="005773AC"/>
    <w:rsid w:val="00577E29"/>
    <w:rsid w:val="005804CC"/>
    <w:rsid w:val="005805F9"/>
    <w:rsid w:val="00581D30"/>
    <w:rsid w:val="00583424"/>
    <w:rsid w:val="00583F69"/>
    <w:rsid w:val="0058406A"/>
    <w:rsid w:val="0058415D"/>
    <w:rsid w:val="005842A2"/>
    <w:rsid w:val="0058467A"/>
    <w:rsid w:val="00584A77"/>
    <w:rsid w:val="00585369"/>
    <w:rsid w:val="00585C5F"/>
    <w:rsid w:val="00585E48"/>
    <w:rsid w:val="0058600B"/>
    <w:rsid w:val="005866AD"/>
    <w:rsid w:val="005874AE"/>
    <w:rsid w:val="00587A1D"/>
    <w:rsid w:val="005906B1"/>
    <w:rsid w:val="0059088B"/>
    <w:rsid w:val="005909B6"/>
    <w:rsid w:val="005909FE"/>
    <w:rsid w:val="00590C0F"/>
    <w:rsid w:val="00590DF8"/>
    <w:rsid w:val="00590F77"/>
    <w:rsid w:val="00591306"/>
    <w:rsid w:val="00591808"/>
    <w:rsid w:val="0059202B"/>
    <w:rsid w:val="00592850"/>
    <w:rsid w:val="00593CE0"/>
    <w:rsid w:val="00593D48"/>
    <w:rsid w:val="005941F4"/>
    <w:rsid w:val="00594463"/>
    <w:rsid w:val="00594EC3"/>
    <w:rsid w:val="00595E56"/>
    <w:rsid w:val="005960AF"/>
    <w:rsid w:val="005961EE"/>
    <w:rsid w:val="005972B7"/>
    <w:rsid w:val="0059771F"/>
    <w:rsid w:val="005979B3"/>
    <w:rsid w:val="005A028C"/>
    <w:rsid w:val="005A1037"/>
    <w:rsid w:val="005A12D2"/>
    <w:rsid w:val="005A201D"/>
    <w:rsid w:val="005A21F1"/>
    <w:rsid w:val="005A2258"/>
    <w:rsid w:val="005A246A"/>
    <w:rsid w:val="005A2B52"/>
    <w:rsid w:val="005A2C1E"/>
    <w:rsid w:val="005A38A2"/>
    <w:rsid w:val="005A3E78"/>
    <w:rsid w:val="005A468F"/>
    <w:rsid w:val="005A4887"/>
    <w:rsid w:val="005A5314"/>
    <w:rsid w:val="005A5DC5"/>
    <w:rsid w:val="005A6BCF"/>
    <w:rsid w:val="005A73AE"/>
    <w:rsid w:val="005B13C2"/>
    <w:rsid w:val="005B1489"/>
    <w:rsid w:val="005B1B2C"/>
    <w:rsid w:val="005B3592"/>
    <w:rsid w:val="005B4AB2"/>
    <w:rsid w:val="005B4C3A"/>
    <w:rsid w:val="005B4CBC"/>
    <w:rsid w:val="005B5836"/>
    <w:rsid w:val="005B6002"/>
    <w:rsid w:val="005B6779"/>
    <w:rsid w:val="005B7117"/>
    <w:rsid w:val="005B79C0"/>
    <w:rsid w:val="005B7B5C"/>
    <w:rsid w:val="005B7C30"/>
    <w:rsid w:val="005B7F7A"/>
    <w:rsid w:val="005C047B"/>
    <w:rsid w:val="005C0790"/>
    <w:rsid w:val="005C134B"/>
    <w:rsid w:val="005C1851"/>
    <w:rsid w:val="005C2807"/>
    <w:rsid w:val="005C2BCE"/>
    <w:rsid w:val="005C3EB1"/>
    <w:rsid w:val="005C54E2"/>
    <w:rsid w:val="005C56E9"/>
    <w:rsid w:val="005C7FEA"/>
    <w:rsid w:val="005D04AD"/>
    <w:rsid w:val="005D067D"/>
    <w:rsid w:val="005D124D"/>
    <w:rsid w:val="005D23EB"/>
    <w:rsid w:val="005D31F2"/>
    <w:rsid w:val="005D326F"/>
    <w:rsid w:val="005D49B9"/>
    <w:rsid w:val="005D55DA"/>
    <w:rsid w:val="005D60A7"/>
    <w:rsid w:val="005D66D0"/>
    <w:rsid w:val="005D6C3C"/>
    <w:rsid w:val="005D7520"/>
    <w:rsid w:val="005D7E6F"/>
    <w:rsid w:val="005E06CE"/>
    <w:rsid w:val="005E1029"/>
    <w:rsid w:val="005E198A"/>
    <w:rsid w:val="005E1BA7"/>
    <w:rsid w:val="005E1BE1"/>
    <w:rsid w:val="005E1EA2"/>
    <w:rsid w:val="005E1F4F"/>
    <w:rsid w:val="005E2C8E"/>
    <w:rsid w:val="005E4301"/>
    <w:rsid w:val="005E4525"/>
    <w:rsid w:val="005E68D2"/>
    <w:rsid w:val="005E7344"/>
    <w:rsid w:val="005E79CE"/>
    <w:rsid w:val="005E7A2A"/>
    <w:rsid w:val="005F1756"/>
    <w:rsid w:val="005F1843"/>
    <w:rsid w:val="005F1D8F"/>
    <w:rsid w:val="005F2A51"/>
    <w:rsid w:val="005F2ED9"/>
    <w:rsid w:val="005F4308"/>
    <w:rsid w:val="005F48E9"/>
    <w:rsid w:val="005F5183"/>
    <w:rsid w:val="005F55F7"/>
    <w:rsid w:val="005F6C05"/>
    <w:rsid w:val="005F6F59"/>
    <w:rsid w:val="005F7D95"/>
    <w:rsid w:val="00600114"/>
    <w:rsid w:val="0060166D"/>
    <w:rsid w:val="00604F70"/>
    <w:rsid w:val="00605026"/>
    <w:rsid w:val="006053C3"/>
    <w:rsid w:val="0060545C"/>
    <w:rsid w:val="00605876"/>
    <w:rsid w:val="00606D42"/>
    <w:rsid w:val="0060799D"/>
    <w:rsid w:val="0061018C"/>
    <w:rsid w:val="0061038E"/>
    <w:rsid w:val="0061047A"/>
    <w:rsid w:val="00610CD4"/>
    <w:rsid w:val="006119D5"/>
    <w:rsid w:val="00611F30"/>
    <w:rsid w:val="00612A34"/>
    <w:rsid w:val="006133EE"/>
    <w:rsid w:val="006135AC"/>
    <w:rsid w:val="0061380C"/>
    <w:rsid w:val="006145F6"/>
    <w:rsid w:val="006149FD"/>
    <w:rsid w:val="00614D74"/>
    <w:rsid w:val="00615AD3"/>
    <w:rsid w:val="0061614C"/>
    <w:rsid w:val="006165ED"/>
    <w:rsid w:val="00616EAF"/>
    <w:rsid w:val="006171D1"/>
    <w:rsid w:val="00617B36"/>
    <w:rsid w:val="006213BC"/>
    <w:rsid w:val="00621584"/>
    <w:rsid w:val="00621BD8"/>
    <w:rsid w:val="00622242"/>
    <w:rsid w:val="00623719"/>
    <w:rsid w:val="00623CA7"/>
    <w:rsid w:val="00625639"/>
    <w:rsid w:val="00626684"/>
    <w:rsid w:val="00626F28"/>
    <w:rsid w:val="0062782E"/>
    <w:rsid w:val="00627F05"/>
    <w:rsid w:val="006304C4"/>
    <w:rsid w:val="006307EA"/>
    <w:rsid w:val="00632458"/>
    <w:rsid w:val="006331AF"/>
    <w:rsid w:val="00634C1E"/>
    <w:rsid w:val="006354A7"/>
    <w:rsid w:val="00635EBD"/>
    <w:rsid w:val="00635ECA"/>
    <w:rsid w:val="006409F2"/>
    <w:rsid w:val="006418D4"/>
    <w:rsid w:val="00642363"/>
    <w:rsid w:val="0064273C"/>
    <w:rsid w:val="00642CBA"/>
    <w:rsid w:val="00643B09"/>
    <w:rsid w:val="00643E09"/>
    <w:rsid w:val="00643E55"/>
    <w:rsid w:val="006445E9"/>
    <w:rsid w:val="006456A8"/>
    <w:rsid w:val="00645922"/>
    <w:rsid w:val="006459A4"/>
    <w:rsid w:val="00645D49"/>
    <w:rsid w:val="006501E1"/>
    <w:rsid w:val="00651E8E"/>
    <w:rsid w:val="0065259E"/>
    <w:rsid w:val="006530F8"/>
    <w:rsid w:val="00653F0D"/>
    <w:rsid w:val="00653FE2"/>
    <w:rsid w:val="00654211"/>
    <w:rsid w:val="0065577C"/>
    <w:rsid w:val="00656097"/>
    <w:rsid w:val="0065673C"/>
    <w:rsid w:val="006571AE"/>
    <w:rsid w:val="006578BC"/>
    <w:rsid w:val="006601F8"/>
    <w:rsid w:val="00661E77"/>
    <w:rsid w:val="00662239"/>
    <w:rsid w:val="00662F6E"/>
    <w:rsid w:val="00663E1D"/>
    <w:rsid w:val="006641E3"/>
    <w:rsid w:val="00664DEF"/>
    <w:rsid w:val="00664E34"/>
    <w:rsid w:val="00666FCD"/>
    <w:rsid w:val="00667ABD"/>
    <w:rsid w:val="0067215D"/>
    <w:rsid w:val="00672E44"/>
    <w:rsid w:val="006732D3"/>
    <w:rsid w:val="00673775"/>
    <w:rsid w:val="00673B3A"/>
    <w:rsid w:val="00673FFD"/>
    <w:rsid w:val="00676B78"/>
    <w:rsid w:val="0067737E"/>
    <w:rsid w:val="00682BA7"/>
    <w:rsid w:val="00682E57"/>
    <w:rsid w:val="00683CF6"/>
    <w:rsid w:val="00683F65"/>
    <w:rsid w:val="0068444E"/>
    <w:rsid w:val="00685070"/>
    <w:rsid w:val="00685B61"/>
    <w:rsid w:val="00686903"/>
    <w:rsid w:val="006869CB"/>
    <w:rsid w:val="00687680"/>
    <w:rsid w:val="006878EE"/>
    <w:rsid w:val="00690971"/>
    <w:rsid w:val="00691535"/>
    <w:rsid w:val="006917DC"/>
    <w:rsid w:val="0069191B"/>
    <w:rsid w:val="00692702"/>
    <w:rsid w:val="006929A1"/>
    <w:rsid w:val="00694D9D"/>
    <w:rsid w:val="00694E86"/>
    <w:rsid w:val="00696C8A"/>
    <w:rsid w:val="00697431"/>
    <w:rsid w:val="006A0652"/>
    <w:rsid w:val="006A2EE6"/>
    <w:rsid w:val="006A4835"/>
    <w:rsid w:val="006A4FB8"/>
    <w:rsid w:val="006A703A"/>
    <w:rsid w:val="006A78B5"/>
    <w:rsid w:val="006A7C95"/>
    <w:rsid w:val="006A7EFA"/>
    <w:rsid w:val="006B044B"/>
    <w:rsid w:val="006B1427"/>
    <w:rsid w:val="006B1DB7"/>
    <w:rsid w:val="006B20BA"/>
    <w:rsid w:val="006B2223"/>
    <w:rsid w:val="006B29D8"/>
    <w:rsid w:val="006B3739"/>
    <w:rsid w:val="006B40D3"/>
    <w:rsid w:val="006B43B6"/>
    <w:rsid w:val="006B6860"/>
    <w:rsid w:val="006B6C07"/>
    <w:rsid w:val="006B6D5A"/>
    <w:rsid w:val="006B731F"/>
    <w:rsid w:val="006B76A9"/>
    <w:rsid w:val="006B7899"/>
    <w:rsid w:val="006C25B8"/>
    <w:rsid w:val="006C2929"/>
    <w:rsid w:val="006C2E37"/>
    <w:rsid w:val="006C2EAD"/>
    <w:rsid w:val="006C33D2"/>
    <w:rsid w:val="006C38AE"/>
    <w:rsid w:val="006C3BD1"/>
    <w:rsid w:val="006C422F"/>
    <w:rsid w:val="006C4F88"/>
    <w:rsid w:val="006C52AD"/>
    <w:rsid w:val="006C53F9"/>
    <w:rsid w:val="006C620D"/>
    <w:rsid w:val="006C7D5B"/>
    <w:rsid w:val="006D01DE"/>
    <w:rsid w:val="006D0C93"/>
    <w:rsid w:val="006D1A89"/>
    <w:rsid w:val="006D2492"/>
    <w:rsid w:val="006D273F"/>
    <w:rsid w:val="006D299E"/>
    <w:rsid w:val="006D2D24"/>
    <w:rsid w:val="006D2E37"/>
    <w:rsid w:val="006D43CB"/>
    <w:rsid w:val="006D54D8"/>
    <w:rsid w:val="006D5834"/>
    <w:rsid w:val="006D58C9"/>
    <w:rsid w:val="006D61FA"/>
    <w:rsid w:val="006D6E00"/>
    <w:rsid w:val="006D7ADE"/>
    <w:rsid w:val="006D7F31"/>
    <w:rsid w:val="006E08DF"/>
    <w:rsid w:val="006E0C42"/>
    <w:rsid w:val="006E179C"/>
    <w:rsid w:val="006E2471"/>
    <w:rsid w:val="006E27E2"/>
    <w:rsid w:val="006E4362"/>
    <w:rsid w:val="006E495C"/>
    <w:rsid w:val="006E4D0F"/>
    <w:rsid w:val="006E5D4E"/>
    <w:rsid w:val="006E687C"/>
    <w:rsid w:val="006E699A"/>
    <w:rsid w:val="006F0691"/>
    <w:rsid w:val="006F0AC2"/>
    <w:rsid w:val="006F0B6C"/>
    <w:rsid w:val="006F0E76"/>
    <w:rsid w:val="006F137F"/>
    <w:rsid w:val="006F1659"/>
    <w:rsid w:val="006F2765"/>
    <w:rsid w:val="006F3122"/>
    <w:rsid w:val="006F365D"/>
    <w:rsid w:val="006F3CEF"/>
    <w:rsid w:val="006F4674"/>
    <w:rsid w:val="006F4B0C"/>
    <w:rsid w:val="006F5EEB"/>
    <w:rsid w:val="006F6021"/>
    <w:rsid w:val="006F6AD2"/>
    <w:rsid w:val="006F6D88"/>
    <w:rsid w:val="006F6E0B"/>
    <w:rsid w:val="006F760E"/>
    <w:rsid w:val="006F7780"/>
    <w:rsid w:val="007008F1"/>
    <w:rsid w:val="00700E56"/>
    <w:rsid w:val="007019F9"/>
    <w:rsid w:val="00702452"/>
    <w:rsid w:val="00702E4D"/>
    <w:rsid w:val="00702FE0"/>
    <w:rsid w:val="00703100"/>
    <w:rsid w:val="007047BE"/>
    <w:rsid w:val="00704AAA"/>
    <w:rsid w:val="00704CFF"/>
    <w:rsid w:val="00705C20"/>
    <w:rsid w:val="00706592"/>
    <w:rsid w:val="007112FE"/>
    <w:rsid w:val="00711339"/>
    <w:rsid w:val="00713963"/>
    <w:rsid w:val="00713C2A"/>
    <w:rsid w:val="00714298"/>
    <w:rsid w:val="0071456C"/>
    <w:rsid w:val="007160FE"/>
    <w:rsid w:val="00716D5D"/>
    <w:rsid w:val="00717B00"/>
    <w:rsid w:val="0072124F"/>
    <w:rsid w:val="00721F2D"/>
    <w:rsid w:val="00722884"/>
    <w:rsid w:val="00722CB1"/>
    <w:rsid w:val="00723E75"/>
    <w:rsid w:val="0072423B"/>
    <w:rsid w:val="007248B2"/>
    <w:rsid w:val="00724A6F"/>
    <w:rsid w:val="0072520C"/>
    <w:rsid w:val="007258EB"/>
    <w:rsid w:val="00725F0F"/>
    <w:rsid w:val="007273D3"/>
    <w:rsid w:val="007273EE"/>
    <w:rsid w:val="00727D2E"/>
    <w:rsid w:val="0073035B"/>
    <w:rsid w:val="00730FB0"/>
    <w:rsid w:val="0073133D"/>
    <w:rsid w:val="007338A6"/>
    <w:rsid w:val="00733BDC"/>
    <w:rsid w:val="00733DA6"/>
    <w:rsid w:val="007340A6"/>
    <w:rsid w:val="00735154"/>
    <w:rsid w:val="0073551D"/>
    <w:rsid w:val="0074129E"/>
    <w:rsid w:val="00741421"/>
    <w:rsid w:val="00741F41"/>
    <w:rsid w:val="00741FCD"/>
    <w:rsid w:val="0074281E"/>
    <w:rsid w:val="0074413A"/>
    <w:rsid w:val="00744C04"/>
    <w:rsid w:val="00744E84"/>
    <w:rsid w:val="00745231"/>
    <w:rsid w:val="00745FE9"/>
    <w:rsid w:val="00747CD1"/>
    <w:rsid w:val="0075071F"/>
    <w:rsid w:val="0075074B"/>
    <w:rsid w:val="00751AC3"/>
    <w:rsid w:val="00751C60"/>
    <w:rsid w:val="00751E45"/>
    <w:rsid w:val="00752D95"/>
    <w:rsid w:val="0075318A"/>
    <w:rsid w:val="00754294"/>
    <w:rsid w:val="00754DFF"/>
    <w:rsid w:val="007558B8"/>
    <w:rsid w:val="007568E2"/>
    <w:rsid w:val="00756C43"/>
    <w:rsid w:val="00756C62"/>
    <w:rsid w:val="00757144"/>
    <w:rsid w:val="0075751D"/>
    <w:rsid w:val="007577E0"/>
    <w:rsid w:val="007604A5"/>
    <w:rsid w:val="00760935"/>
    <w:rsid w:val="00760BA1"/>
    <w:rsid w:val="00761336"/>
    <w:rsid w:val="00762D28"/>
    <w:rsid w:val="007639AD"/>
    <w:rsid w:val="00763BAE"/>
    <w:rsid w:val="00763FDF"/>
    <w:rsid w:val="007641A3"/>
    <w:rsid w:val="00764CBF"/>
    <w:rsid w:val="007707EA"/>
    <w:rsid w:val="00772085"/>
    <w:rsid w:val="00773F38"/>
    <w:rsid w:val="00774764"/>
    <w:rsid w:val="007755E4"/>
    <w:rsid w:val="00780386"/>
    <w:rsid w:val="007804F4"/>
    <w:rsid w:val="00781BB1"/>
    <w:rsid w:val="007823E0"/>
    <w:rsid w:val="0078286C"/>
    <w:rsid w:val="0078361A"/>
    <w:rsid w:val="00783BB2"/>
    <w:rsid w:val="00783EFC"/>
    <w:rsid w:val="0078525F"/>
    <w:rsid w:val="00785B48"/>
    <w:rsid w:val="00785E01"/>
    <w:rsid w:val="007862A4"/>
    <w:rsid w:val="00786ACE"/>
    <w:rsid w:val="0078753C"/>
    <w:rsid w:val="0079147E"/>
    <w:rsid w:val="00791FC5"/>
    <w:rsid w:val="00793C60"/>
    <w:rsid w:val="00794DEE"/>
    <w:rsid w:val="00795A25"/>
    <w:rsid w:val="00795B8E"/>
    <w:rsid w:val="007A036F"/>
    <w:rsid w:val="007A0470"/>
    <w:rsid w:val="007A1DD8"/>
    <w:rsid w:val="007A2788"/>
    <w:rsid w:val="007A2E43"/>
    <w:rsid w:val="007A2EFE"/>
    <w:rsid w:val="007A3961"/>
    <w:rsid w:val="007A41E4"/>
    <w:rsid w:val="007A440B"/>
    <w:rsid w:val="007A4847"/>
    <w:rsid w:val="007A4A5D"/>
    <w:rsid w:val="007A502A"/>
    <w:rsid w:val="007A5B16"/>
    <w:rsid w:val="007A60D4"/>
    <w:rsid w:val="007A71CF"/>
    <w:rsid w:val="007A78D0"/>
    <w:rsid w:val="007A792E"/>
    <w:rsid w:val="007B291E"/>
    <w:rsid w:val="007B3238"/>
    <w:rsid w:val="007B3950"/>
    <w:rsid w:val="007B3B0F"/>
    <w:rsid w:val="007B3D4A"/>
    <w:rsid w:val="007B43D2"/>
    <w:rsid w:val="007B537D"/>
    <w:rsid w:val="007B585B"/>
    <w:rsid w:val="007B66BF"/>
    <w:rsid w:val="007B7730"/>
    <w:rsid w:val="007C070C"/>
    <w:rsid w:val="007C09A3"/>
    <w:rsid w:val="007C0B35"/>
    <w:rsid w:val="007C1584"/>
    <w:rsid w:val="007C198A"/>
    <w:rsid w:val="007C1BB4"/>
    <w:rsid w:val="007C1CED"/>
    <w:rsid w:val="007C3AF8"/>
    <w:rsid w:val="007C46AB"/>
    <w:rsid w:val="007C53E2"/>
    <w:rsid w:val="007C6E7D"/>
    <w:rsid w:val="007D01D5"/>
    <w:rsid w:val="007D099A"/>
    <w:rsid w:val="007D125D"/>
    <w:rsid w:val="007D1D40"/>
    <w:rsid w:val="007D3D29"/>
    <w:rsid w:val="007D4491"/>
    <w:rsid w:val="007D5BE4"/>
    <w:rsid w:val="007D7723"/>
    <w:rsid w:val="007D7B72"/>
    <w:rsid w:val="007E0736"/>
    <w:rsid w:val="007E163C"/>
    <w:rsid w:val="007E260E"/>
    <w:rsid w:val="007E264B"/>
    <w:rsid w:val="007E28A1"/>
    <w:rsid w:val="007E2CB7"/>
    <w:rsid w:val="007E3580"/>
    <w:rsid w:val="007E4FCA"/>
    <w:rsid w:val="007E52DA"/>
    <w:rsid w:val="007E5C07"/>
    <w:rsid w:val="007E5D77"/>
    <w:rsid w:val="007E5F30"/>
    <w:rsid w:val="007E6842"/>
    <w:rsid w:val="007E79DA"/>
    <w:rsid w:val="007F0216"/>
    <w:rsid w:val="007F037D"/>
    <w:rsid w:val="007F074D"/>
    <w:rsid w:val="007F17D2"/>
    <w:rsid w:val="007F186F"/>
    <w:rsid w:val="007F2653"/>
    <w:rsid w:val="007F265A"/>
    <w:rsid w:val="007F272D"/>
    <w:rsid w:val="007F2AC5"/>
    <w:rsid w:val="007F4D1F"/>
    <w:rsid w:val="007F5A0E"/>
    <w:rsid w:val="007F60ED"/>
    <w:rsid w:val="007F6199"/>
    <w:rsid w:val="007F696B"/>
    <w:rsid w:val="007F707D"/>
    <w:rsid w:val="007F78E7"/>
    <w:rsid w:val="007F7E1D"/>
    <w:rsid w:val="007F7EDA"/>
    <w:rsid w:val="008005CF"/>
    <w:rsid w:val="00802ECD"/>
    <w:rsid w:val="00803B51"/>
    <w:rsid w:val="0080459A"/>
    <w:rsid w:val="0080538D"/>
    <w:rsid w:val="00805A1D"/>
    <w:rsid w:val="008069BB"/>
    <w:rsid w:val="00806F0D"/>
    <w:rsid w:val="00807B72"/>
    <w:rsid w:val="00810040"/>
    <w:rsid w:val="008119F1"/>
    <w:rsid w:val="00812A75"/>
    <w:rsid w:val="00812C95"/>
    <w:rsid w:val="00812D0F"/>
    <w:rsid w:val="00812FC5"/>
    <w:rsid w:val="00813EC7"/>
    <w:rsid w:val="0081496C"/>
    <w:rsid w:val="00814B5C"/>
    <w:rsid w:val="00815A4A"/>
    <w:rsid w:val="00815B19"/>
    <w:rsid w:val="0081700F"/>
    <w:rsid w:val="0082026D"/>
    <w:rsid w:val="00820C94"/>
    <w:rsid w:val="00820E04"/>
    <w:rsid w:val="00821DB5"/>
    <w:rsid w:val="00821DBD"/>
    <w:rsid w:val="00821F89"/>
    <w:rsid w:val="00822322"/>
    <w:rsid w:val="008225E5"/>
    <w:rsid w:val="008227EB"/>
    <w:rsid w:val="00822CB0"/>
    <w:rsid w:val="008235DF"/>
    <w:rsid w:val="00823976"/>
    <w:rsid w:val="00831655"/>
    <w:rsid w:val="008334D7"/>
    <w:rsid w:val="00833629"/>
    <w:rsid w:val="00833A13"/>
    <w:rsid w:val="0083413E"/>
    <w:rsid w:val="008341E1"/>
    <w:rsid w:val="008342BC"/>
    <w:rsid w:val="008342C1"/>
    <w:rsid w:val="00835671"/>
    <w:rsid w:val="00836B1E"/>
    <w:rsid w:val="00840242"/>
    <w:rsid w:val="00841540"/>
    <w:rsid w:val="008428B4"/>
    <w:rsid w:val="00843193"/>
    <w:rsid w:val="008439F7"/>
    <w:rsid w:val="00843FF7"/>
    <w:rsid w:val="008464FD"/>
    <w:rsid w:val="008465E6"/>
    <w:rsid w:val="00846642"/>
    <w:rsid w:val="00846783"/>
    <w:rsid w:val="00846FC5"/>
    <w:rsid w:val="00847391"/>
    <w:rsid w:val="00847667"/>
    <w:rsid w:val="0085103C"/>
    <w:rsid w:val="00851E63"/>
    <w:rsid w:val="0085247C"/>
    <w:rsid w:val="00852C8A"/>
    <w:rsid w:val="008531CA"/>
    <w:rsid w:val="0085326E"/>
    <w:rsid w:val="00853A9A"/>
    <w:rsid w:val="008540E7"/>
    <w:rsid w:val="00854E78"/>
    <w:rsid w:val="0085504B"/>
    <w:rsid w:val="00856436"/>
    <w:rsid w:val="00856A00"/>
    <w:rsid w:val="00856BB2"/>
    <w:rsid w:val="00857763"/>
    <w:rsid w:val="00861AE4"/>
    <w:rsid w:val="0086394C"/>
    <w:rsid w:val="00863987"/>
    <w:rsid w:val="00863BA1"/>
    <w:rsid w:val="00863CDE"/>
    <w:rsid w:val="00864D13"/>
    <w:rsid w:val="00864EDE"/>
    <w:rsid w:val="00865846"/>
    <w:rsid w:val="00865D6F"/>
    <w:rsid w:val="00870B73"/>
    <w:rsid w:val="00871D37"/>
    <w:rsid w:val="008721CD"/>
    <w:rsid w:val="00873A2B"/>
    <w:rsid w:val="00873DC8"/>
    <w:rsid w:val="00874BA3"/>
    <w:rsid w:val="00875ECD"/>
    <w:rsid w:val="008771B1"/>
    <w:rsid w:val="008776C6"/>
    <w:rsid w:val="00877866"/>
    <w:rsid w:val="008807D1"/>
    <w:rsid w:val="00882626"/>
    <w:rsid w:val="0088389E"/>
    <w:rsid w:val="00884CA2"/>
    <w:rsid w:val="00884D58"/>
    <w:rsid w:val="00884FFB"/>
    <w:rsid w:val="00887053"/>
    <w:rsid w:val="00890478"/>
    <w:rsid w:val="008906B2"/>
    <w:rsid w:val="00891EF0"/>
    <w:rsid w:val="00892F2B"/>
    <w:rsid w:val="00893956"/>
    <w:rsid w:val="00894187"/>
    <w:rsid w:val="008943C4"/>
    <w:rsid w:val="008951D8"/>
    <w:rsid w:val="00895471"/>
    <w:rsid w:val="00895504"/>
    <w:rsid w:val="008956F3"/>
    <w:rsid w:val="00897D46"/>
    <w:rsid w:val="008A17D3"/>
    <w:rsid w:val="008A26EF"/>
    <w:rsid w:val="008A2E2F"/>
    <w:rsid w:val="008A2F17"/>
    <w:rsid w:val="008A3A86"/>
    <w:rsid w:val="008A4070"/>
    <w:rsid w:val="008A412B"/>
    <w:rsid w:val="008A4522"/>
    <w:rsid w:val="008A5A1C"/>
    <w:rsid w:val="008A5F40"/>
    <w:rsid w:val="008A64BB"/>
    <w:rsid w:val="008A658B"/>
    <w:rsid w:val="008A719B"/>
    <w:rsid w:val="008A71CC"/>
    <w:rsid w:val="008A71ED"/>
    <w:rsid w:val="008A7C46"/>
    <w:rsid w:val="008B0338"/>
    <w:rsid w:val="008B0F7E"/>
    <w:rsid w:val="008B1472"/>
    <w:rsid w:val="008B1981"/>
    <w:rsid w:val="008B1D2C"/>
    <w:rsid w:val="008B320F"/>
    <w:rsid w:val="008B3E20"/>
    <w:rsid w:val="008B485A"/>
    <w:rsid w:val="008B4B9F"/>
    <w:rsid w:val="008B5371"/>
    <w:rsid w:val="008B5933"/>
    <w:rsid w:val="008B5B4F"/>
    <w:rsid w:val="008B6DD6"/>
    <w:rsid w:val="008B6FBD"/>
    <w:rsid w:val="008B70A5"/>
    <w:rsid w:val="008B7456"/>
    <w:rsid w:val="008B7D05"/>
    <w:rsid w:val="008C018E"/>
    <w:rsid w:val="008C03D9"/>
    <w:rsid w:val="008C04E0"/>
    <w:rsid w:val="008C075D"/>
    <w:rsid w:val="008C0BB3"/>
    <w:rsid w:val="008C0C31"/>
    <w:rsid w:val="008C1AB8"/>
    <w:rsid w:val="008C2009"/>
    <w:rsid w:val="008C29E3"/>
    <w:rsid w:val="008C3EDE"/>
    <w:rsid w:val="008C4402"/>
    <w:rsid w:val="008C4935"/>
    <w:rsid w:val="008C4E61"/>
    <w:rsid w:val="008C5257"/>
    <w:rsid w:val="008C5947"/>
    <w:rsid w:val="008C60FD"/>
    <w:rsid w:val="008C67E3"/>
    <w:rsid w:val="008C72AA"/>
    <w:rsid w:val="008C7B8C"/>
    <w:rsid w:val="008C7EE3"/>
    <w:rsid w:val="008D2A8B"/>
    <w:rsid w:val="008D2F23"/>
    <w:rsid w:val="008D312C"/>
    <w:rsid w:val="008D4A33"/>
    <w:rsid w:val="008D54EB"/>
    <w:rsid w:val="008D5ACF"/>
    <w:rsid w:val="008D5BBD"/>
    <w:rsid w:val="008D5CF0"/>
    <w:rsid w:val="008D79ED"/>
    <w:rsid w:val="008E0E9F"/>
    <w:rsid w:val="008E1070"/>
    <w:rsid w:val="008E29E8"/>
    <w:rsid w:val="008E39E8"/>
    <w:rsid w:val="008E4019"/>
    <w:rsid w:val="008E440B"/>
    <w:rsid w:val="008E4BC2"/>
    <w:rsid w:val="008E56B1"/>
    <w:rsid w:val="008E75EF"/>
    <w:rsid w:val="008F2688"/>
    <w:rsid w:val="008F2870"/>
    <w:rsid w:val="008F29E0"/>
    <w:rsid w:val="008F3260"/>
    <w:rsid w:val="008F3E24"/>
    <w:rsid w:val="008F4773"/>
    <w:rsid w:val="008F4F74"/>
    <w:rsid w:val="008F4F82"/>
    <w:rsid w:val="008F5E03"/>
    <w:rsid w:val="008F730F"/>
    <w:rsid w:val="008F77EA"/>
    <w:rsid w:val="008F7C09"/>
    <w:rsid w:val="00901337"/>
    <w:rsid w:val="00902326"/>
    <w:rsid w:val="0090243D"/>
    <w:rsid w:val="00902FCC"/>
    <w:rsid w:val="00904475"/>
    <w:rsid w:val="00904760"/>
    <w:rsid w:val="00904998"/>
    <w:rsid w:val="00904D44"/>
    <w:rsid w:val="00905B49"/>
    <w:rsid w:val="009064ED"/>
    <w:rsid w:val="00907E88"/>
    <w:rsid w:val="009102C7"/>
    <w:rsid w:val="00910681"/>
    <w:rsid w:val="009107A7"/>
    <w:rsid w:val="00910DA6"/>
    <w:rsid w:val="0091197B"/>
    <w:rsid w:val="00911AA7"/>
    <w:rsid w:val="00912085"/>
    <w:rsid w:val="00913232"/>
    <w:rsid w:val="009134C5"/>
    <w:rsid w:val="00913971"/>
    <w:rsid w:val="0091397B"/>
    <w:rsid w:val="00915372"/>
    <w:rsid w:val="0091586E"/>
    <w:rsid w:val="00915C93"/>
    <w:rsid w:val="00916152"/>
    <w:rsid w:val="0091679B"/>
    <w:rsid w:val="00917503"/>
    <w:rsid w:val="0091765D"/>
    <w:rsid w:val="009216B0"/>
    <w:rsid w:val="00921D1E"/>
    <w:rsid w:val="009220FE"/>
    <w:rsid w:val="009237F1"/>
    <w:rsid w:val="00923B13"/>
    <w:rsid w:val="009258B4"/>
    <w:rsid w:val="00925C45"/>
    <w:rsid w:val="00926170"/>
    <w:rsid w:val="00926A89"/>
    <w:rsid w:val="00926D7A"/>
    <w:rsid w:val="0092742A"/>
    <w:rsid w:val="00927688"/>
    <w:rsid w:val="0093027B"/>
    <w:rsid w:val="00930447"/>
    <w:rsid w:val="0093101C"/>
    <w:rsid w:val="00933B40"/>
    <w:rsid w:val="00933BC1"/>
    <w:rsid w:val="009365C0"/>
    <w:rsid w:val="00936995"/>
    <w:rsid w:val="00936A50"/>
    <w:rsid w:val="0094114F"/>
    <w:rsid w:val="009427D8"/>
    <w:rsid w:val="009428CD"/>
    <w:rsid w:val="00943377"/>
    <w:rsid w:val="009439F6"/>
    <w:rsid w:val="00943F0B"/>
    <w:rsid w:val="009440FB"/>
    <w:rsid w:val="009442E8"/>
    <w:rsid w:val="00944824"/>
    <w:rsid w:val="009449CA"/>
    <w:rsid w:val="00944D4D"/>
    <w:rsid w:val="00944E35"/>
    <w:rsid w:val="0094586A"/>
    <w:rsid w:val="0094616B"/>
    <w:rsid w:val="00946B2C"/>
    <w:rsid w:val="00946D59"/>
    <w:rsid w:val="00950851"/>
    <w:rsid w:val="0095200B"/>
    <w:rsid w:val="00952334"/>
    <w:rsid w:val="009543A5"/>
    <w:rsid w:val="009544EB"/>
    <w:rsid w:val="00955236"/>
    <w:rsid w:val="00955AEE"/>
    <w:rsid w:val="00955F33"/>
    <w:rsid w:val="00956D55"/>
    <w:rsid w:val="00957841"/>
    <w:rsid w:val="00960182"/>
    <w:rsid w:val="0096074A"/>
    <w:rsid w:val="009614D4"/>
    <w:rsid w:val="00961FC8"/>
    <w:rsid w:val="00962CE1"/>
    <w:rsid w:val="00963312"/>
    <w:rsid w:val="00965081"/>
    <w:rsid w:val="009658B4"/>
    <w:rsid w:val="0096653D"/>
    <w:rsid w:val="00966C1A"/>
    <w:rsid w:val="009708BB"/>
    <w:rsid w:val="00970BAD"/>
    <w:rsid w:val="00971D6E"/>
    <w:rsid w:val="0097287A"/>
    <w:rsid w:val="00973138"/>
    <w:rsid w:val="0097373F"/>
    <w:rsid w:val="009748A2"/>
    <w:rsid w:val="00975463"/>
    <w:rsid w:val="009757A6"/>
    <w:rsid w:val="00976299"/>
    <w:rsid w:val="00976F4D"/>
    <w:rsid w:val="009775D9"/>
    <w:rsid w:val="00981058"/>
    <w:rsid w:val="00981718"/>
    <w:rsid w:val="00982CD8"/>
    <w:rsid w:val="00982E9D"/>
    <w:rsid w:val="009833B3"/>
    <w:rsid w:val="00983DB7"/>
    <w:rsid w:val="00984364"/>
    <w:rsid w:val="00984B7A"/>
    <w:rsid w:val="00984FC9"/>
    <w:rsid w:val="00985C11"/>
    <w:rsid w:val="00986D21"/>
    <w:rsid w:val="009878DE"/>
    <w:rsid w:val="00987BA4"/>
    <w:rsid w:val="00990020"/>
    <w:rsid w:val="00990BD3"/>
    <w:rsid w:val="009912D0"/>
    <w:rsid w:val="00991441"/>
    <w:rsid w:val="00991840"/>
    <w:rsid w:val="00991EF9"/>
    <w:rsid w:val="009923C8"/>
    <w:rsid w:val="009926F5"/>
    <w:rsid w:val="00993D02"/>
    <w:rsid w:val="00994328"/>
    <w:rsid w:val="009968C2"/>
    <w:rsid w:val="00996C96"/>
    <w:rsid w:val="00997361"/>
    <w:rsid w:val="0099778E"/>
    <w:rsid w:val="00997933"/>
    <w:rsid w:val="009A0134"/>
    <w:rsid w:val="009A28C7"/>
    <w:rsid w:val="009A2D1D"/>
    <w:rsid w:val="009A2EDF"/>
    <w:rsid w:val="009A329F"/>
    <w:rsid w:val="009A34E4"/>
    <w:rsid w:val="009A37F9"/>
    <w:rsid w:val="009A3DB6"/>
    <w:rsid w:val="009A3F25"/>
    <w:rsid w:val="009A4BD6"/>
    <w:rsid w:val="009A5527"/>
    <w:rsid w:val="009A60EC"/>
    <w:rsid w:val="009A634A"/>
    <w:rsid w:val="009A66BE"/>
    <w:rsid w:val="009A6D00"/>
    <w:rsid w:val="009A7318"/>
    <w:rsid w:val="009B0645"/>
    <w:rsid w:val="009B0ADC"/>
    <w:rsid w:val="009B0CBC"/>
    <w:rsid w:val="009B12CE"/>
    <w:rsid w:val="009B1CC0"/>
    <w:rsid w:val="009B2049"/>
    <w:rsid w:val="009B28C5"/>
    <w:rsid w:val="009B353D"/>
    <w:rsid w:val="009B3B3B"/>
    <w:rsid w:val="009B55F4"/>
    <w:rsid w:val="009B64B6"/>
    <w:rsid w:val="009B6D16"/>
    <w:rsid w:val="009B7222"/>
    <w:rsid w:val="009B7E8B"/>
    <w:rsid w:val="009C035F"/>
    <w:rsid w:val="009C0C06"/>
    <w:rsid w:val="009C2999"/>
    <w:rsid w:val="009C2B86"/>
    <w:rsid w:val="009C4C34"/>
    <w:rsid w:val="009C5B8B"/>
    <w:rsid w:val="009C5EA9"/>
    <w:rsid w:val="009C7A3A"/>
    <w:rsid w:val="009D02BF"/>
    <w:rsid w:val="009D06C7"/>
    <w:rsid w:val="009D08A0"/>
    <w:rsid w:val="009D1728"/>
    <w:rsid w:val="009D1C9D"/>
    <w:rsid w:val="009D1F7E"/>
    <w:rsid w:val="009D37D4"/>
    <w:rsid w:val="009D3902"/>
    <w:rsid w:val="009D40AC"/>
    <w:rsid w:val="009D4718"/>
    <w:rsid w:val="009D4C31"/>
    <w:rsid w:val="009D7B69"/>
    <w:rsid w:val="009E0612"/>
    <w:rsid w:val="009E18D7"/>
    <w:rsid w:val="009E2904"/>
    <w:rsid w:val="009E2931"/>
    <w:rsid w:val="009E2C1F"/>
    <w:rsid w:val="009E41A5"/>
    <w:rsid w:val="009E5151"/>
    <w:rsid w:val="009E65F5"/>
    <w:rsid w:val="009E6780"/>
    <w:rsid w:val="009E6B9D"/>
    <w:rsid w:val="009E7444"/>
    <w:rsid w:val="009E758D"/>
    <w:rsid w:val="009E7843"/>
    <w:rsid w:val="009F06B9"/>
    <w:rsid w:val="009F4723"/>
    <w:rsid w:val="009F4941"/>
    <w:rsid w:val="009F608A"/>
    <w:rsid w:val="009F613C"/>
    <w:rsid w:val="009F61BC"/>
    <w:rsid w:val="009F6D66"/>
    <w:rsid w:val="009F719F"/>
    <w:rsid w:val="009F7F59"/>
    <w:rsid w:val="00A0025D"/>
    <w:rsid w:val="00A006E8"/>
    <w:rsid w:val="00A00DA7"/>
    <w:rsid w:val="00A00E3F"/>
    <w:rsid w:val="00A01278"/>
    <w:rsid w:val="00A0154C"/>
    <w:rsid w:val="00A01913"/>
    <w:rsid w:val="00A01C48"/>
    <w:rsid w:val="00A01C6B"/>
    <w:rsid w:val="00A03DFA"/>
    <w:rsid w:val="00A03E89"/>
    <w:rsid w:val="00A04340"/>
    <w:rsid w:val="00A055DB"/>
    <w:rsid w:val="00A07D2B"/>
    <w:rsid w:val="00A1008C"/>
    <w:rsid w:val="00A10508"/>
    <w:rsid w:val="00A109AF"/>
    <w:rsid w:val="00A12157"/>
    <w:rsid w:val="00A131BA"/>
    <w:rsid w:val="00A137BF"/>
    <w:rsid w:val="00A139EF"/>
    <w:rsid w:val="00A14FB2"/>
    <w:rsid w:val="00A16521"/>
    <w:rsid w:val="00A168F0"/>
    <w:rsid w:val="00A17033"/>
    <w:rsid w:val="00A204A8"/>
    <w:rsid w:val="00A20D74"/>
    <w:rsid w:val="00A23634"/>
    <w:rsid w:val="00A24BE4"/>
    <w:rsid w:val="00A2586E"/>
    <w:rsid w:val="00A262BA"/>
    <w:rsid w:val="00A264EC"/>
    <w:rsid w:val="00A266C7"/>
    <w:rsid w:val="00A26913"/>
    <w:rsid w:val="00A276BA"/>
    <w:rsid w:val="00A30677"/>
    <w:rsid w:val="00A308AD"/>
    <w:rsid w:val="00A30F68"/>
    <w:rsid w:val="00A3144A"/>
    <w:rsid w:val="00A32DFC"/>
    <w:rsid w:val="00A3306E"/>
    <w:rsid w:val="00A33994"/>
    <w:rsid w:val="00A3473D"/>
    <w:rsid w:val="00A3476B"/>
    <w:rsid w:val="00A35A94"/>
    <w:rsid w:val="00A36A69"/>
    <w:rsid w:val="00A371BE"/>
    <w:rsid w:val="00A37F20"/>
    <w:rsid w:val="00A400C2"/>
    <w:rsid w:val="00A40D32"/>
    <w:rsid w:val="00A410B9"/>
    <w:rsid w:val="00A41491"/>
    <w:rsid w:val="00A425E3"/>
    <w:rsid w:val="00A42E37"/>
    <w:rsid w:val="00A43685"/>
    <w:rsid w:val="00A4392F"/>
    <w:rsid w:val="00A43DCE"/>
    <w:rsid w:val="00A45BEF"/>
    <w:rsid w:val="00A45E6C"/>
    <w:rsid w:val="00A4676E"/>
    <w:rsid w:val="00A4705E"/>
    <w:rsid w:val="00A4709C"/>
    <w:rsid w:val="00A50140"/>
    <w:rsid w:val="00A50C26"/>
    <w:rsid w:val="00A520AC"/>
    <w:rsid w:val="00A5618B"/>
    <w:rsid w:val="00A56966"/>
    <w:rsid w:val="00A56BA6"/>
    <w:rsid w:val="00A61582"/>
    <w:rsid w:val="00A6167D"/>
    <w:rsid w:val="00A618A1"/>
    <w:rsid w:val="00A61AD0"/>
    <w:rsid w:val="00A61D73"/>
    <w:rsid w:val="00A62174"/>
    <w:rsid w:val="00A6217F"/>
    <w:rsid w:val="00A625E3"/>
    <w:rsid w:val="00A62B65"/>
    <w:rsid w:val="00A63A8D"/>
    <w:rsid w:val="00A63C1C"/>
    <w:rsid w:val="00A64F62"/>
    <w:rsid w:val="00A65A64"/>
    <w:rsid w:val="00A660CC"/>
    <w:rsid w:val="00A67539"/>
    <w:rsid w:val="00A678BE"/>
    <w:rsid w:val="00A70543"/>
    <w:rsid w:val="00A708AF"/>
    <w:rsid w:val="00A70D91"/>
    <w:rsid w:val="00A71A9B"/>
    <w:rsid w:val="00A73B34"/>
    <w:rsid w:val="00A73D43"/>
    <w:rsid w:val="00A73D76"/>
    <w:rsid w:val="00A74840"/>
    <w:rsid w:val="00A75158"/>
    <w:rsid w:val="00A76FEF"/>
    <w:rsid w:val="00A770C0"/>
    <w:rsid w:val="00A7748D"/>
    <w:rsid w:val="00A77ED2"/>
    <w:rsid w:val="00A80C3C"/>
    <w:rsid w:val="00A80D63"/>
    <w:rsid w:val="00A8137E"/>
    <w:rsid w:val="00A8144C"/>
    <w:rsid w:val="00A820F4"/>
    <w:rsid w:val="00A822FF"/>
    <w:rsid w:val="00A83453"/>
    <w:rsid w:val="00A84A17"/>
    <w:rsid w:val="00A84C80"/>
    <w:rsid w:val="00A853A4"/>
    <w:rsid w:val="00A855C9"/>
    <w:rsid w:val="00A859FC"/>
    <w:rsid w:val="00A862E1"/>
    <w:rsid w:val="00A87142"/>
    <w:rsid w:val="00A90490"/>
    <w:rsid w:val="00A90E56"/>
    <w:rsid w:val="00A91207"/>
    <w:rsid w:val="00A94273"/>
    <w:rsid w:val="00A9488B"/>
    <w:rsid w:val="00A94FCF"/>
    <w:rsid w:val="00A94FF6"/>
    <w:rsid w:val="00A9553B"/>
    <w:rsid w:val="00A955EB"/>
    <w:rsid w:val="00A9695F"/>
    <w:rsid w:val="00A96BAF"/>
    <w:rsid w:val="00A97248"/>
    <w:rsid w:val="00A9782C"/>
    <w:rsid w:val="00AA013C"/>
    <w:rsid w:val="00AA026C"/>
    <w:rsid w:val="00AA0C18"/>
    <w:rsid w:val="00AA16E3"/>
    <w:rsid w:val="00AA18BC"/>
    <w:rsid w:val="00AA21BA"/>
    <w:rsid w:val="00AA22C2"/>
    <w:rsid w:val="00AA23C1"/>
    <w:rsid w:val="00AA3758"/>
    <w:rsid w:val="00AA3FF1"/>
    <w:rsid w:val="00AA48DB"/>
    <w:rsid w:val="00AA4919"/>
    <w:rsid w:val="00AA561E"/>
    <w:rsid w:val="00AA68C9"/>
    <w:rsid w:val="00AA7438"/>
    <w:rsid w:val="00AA7C80"/>
    <w:rsid w:val="00AA7DD6"/>
    <w:rsid w:val="00AB008B"/>
    <w:rsid w:val="00AB1721"/>
    <w:rsid w:val="00AB1738"/>
    <w:rsid w:val="00AB19A5"/>
    <w:rsid w:val="00AB1C27"/>
    <w:rsid w:val="00AB2534"/>
    <w:rsid w:val="00AB3218"/>
    <w:rsid w:val="00AB38C1"/>
    <w:rsid w:val="00AB5557"/>
    <w:rsid w:val="00AB69C0"/>
    <w:rsid w:val="00AB7356"/>
    <w:rsid w:val="00AC25A0"/>
    <w:rsid w:val="00AC2B27"/>
    <w:rsid w:val="00AC38B7"/>
    <w:rsid w:val="00AC3978"/>
    <w:rsid w:val="00AC3AE6"/>
    <w:rsid w:val="00AC3F2E"/>
    <w:rsid w:val="00AC761F"/>
    <w:rsid w:val="00AC7909"/>
    <w:rsid w:val="00AC7EBD"/>
    <w:rsid w:val="00AD1CB6"/>
    <w:rsid w:val="00AD2568"/>
    <w:rsid w:val="00AD2ABB"/>
    <w:rsid w:val="00AD33B2"/>
    <w:rsid w:val="00AD4873"/>
    <w:rsid w:val="00AD7048"/>
    <w:rsid w:val="00AD7C77"/>
    <w:rsid w:val="00AE0B03"/>
    <w:rsid w:val="00AE1252"/>
    <w:rsid w:val="00AE14BC"/>
    <w:rsid w:val="00AE15A3"/>
    <w:rsid w:val="00AE187F"/>
    <w:rsid w:val="00AE1D1D"/>
    <w:rsid w:val="00AE229A"/>
    <w:rsid w:val="00AE23E1"/>
    <w:rsid w:val="00AE2725"/>
    <w:rsid w:val="00AE2979"/>
    <w:rsid w:val="00AE3B72"/>
    <w:rsid w:val="00AE4ADE"/>
    <w:rsid w:val="00AE4C2D"/>
    <w:rsid w:val="00AE55B5"/>
    <w:rsid w:val="00AE637A"/>
    <w:rsid w:val="00AE734B"/>
    <w:rsid w:val="00AF066C"/>
    <w:rsid w:val="00AF0B70"/>
    <w:rsid w:val="00AF1B70"/>
    <w:rsid w:val="00AF1B71"/>
    <w:rsid w:val="00AF26E1"/>
    <w:rsid w:val="00AF3D20"/>
    <w:rsid w:val="00AF406D"/>
    <w:rsid w:val="00AF4170"/>
    <w:rsid w:val="00AF4C36"/>
    <w:rsid w:val="00AF5074"/>
    <w:rsid w:val="00AF7416"/>
    <w:rsid w:val="00AF775E"/>
    <w:rsid w:val="00AF7FA9"/>
    <w:rsid w:val="00B018E8"/>
    <w:rsid w:val="00B01978"/>
    <w:rsid w:val="00B01CAF"/>
    <w:rsid w:val="00B02073"/>
    <w:rsid w:val="00B02DAF"/>
    <w:rsid w:val="00B030D2"/>
    <w:rsid w:val="00B0397C"/>
    <w:rsid w:val="00B04045"/>
    <w:rsid w:val="00B04A50"/>
    <w:rsid w:val="00B06178"/>
    <w:rsid w:val="00B07373"/>
    <w:rsid w:val="00B07901"/>
    <w:rsid w:val="00B07D05"/>
    <w:rsid w:val="00B1113D"/>
    <w:rsid w:val="00B1245D"/>
    <w:rsid w:val="00B12911"/>
    <w:rsid w:val="00B138AB"/>
    <w:rsid w:val="00B150DF"/>
    <w:rsid w:val="00B15226"/>
    <w:rsid w:val="00B1539D"/>
    <w:rsid w:val="00B15E25"/>
    <w:rsid w:val="00B17764"/>
    <w:rsid w:val="00B2068D"/>
    <w:rsid w:val="00B20A8B"/>
    <w:rsid w:val="00B20B66"/>
    <w:rsid w:val="00B216C3"/>
    <w:rsid w:val="00B22134"/>
    <w:rsid w:val="00B225CB"/>
    <w:rsid w:val="00B23735"/>
    <w:rsid w:val="00B23857"/>
    <w:rsid w:val="00B23DBB"/>
    <w:rsid w:val="00B2411B"/>
    <w:rsid w:val="00B2452E"/>
    <w:rsid w:val="00B2461F"/>
    <w:rsid w:val="00B2476F"/>
    <w:rsid w:val="00B26A59"/>
    <w:rsid w:val="00B27040"/>
    <w:rsid w:val="00B271B1"/>
    <w:rsid w:val="00B27723"/>
    <w:rsid w:val="00B27A81"/>
    <w:rsid w:val="00B31119"/>
    <w:rsid w:val="00B311F4"/>
    <w:rsid w:val="00B32292"/>
    <w:rsid w:val="00B325F9"/>
    <w:rsid w:val="00B326AD"/>
    <w:rsid w:val="00B328CE"/>
    <w:rsid w:val="00B32EB3"/>
    <w:rsid w:val="00B3341E"/>
    <w:rsid w:val="00B33B25"/>
    <w:rsid w:val="00B33DAE"/>
    <w:rsid w:val="00B34176"/>
    <w:rsid w:val="00B346FB"/>
    <w:rsid w:val="00B34E65"/>
    <w:rsid w:val="00B34FF6"/>
    <w:rsid w:val="00B35122"/>
    <w:rsid w:val="00B35934"/>
    <w:rsid w:val="00B36A18"/>
    <w:rsid w:val="00B36EDB"/>
    <w:rsid w:val="00B37295"/>
    <w:rsid w:val="00B373C9"/>
    <w:rsid w:val="00B37798"/>
    <w:rsid w:val="00B37C7D"/>
    <w:rsid w:val="00B41C8A"/>
    <w:rsid w:val="00B42A65"/>
    <w:rsid w:val="00B42B74"/>
    <w:rsid w:val="00B42D6B"/>
    <w:rsid w:val="00B4301F"/>
    <w:rsid w:val="00B43328"/>
    <w:rsid w:val="00B438B5"/>
    <w:rsid w:val="00B43C3F"/>
    <w:rsid w:val="00B43F53"/>
    <w:rsid w:val="00B44A68"/>
    <w:rsid w:val="00B451C4"/>
    <w:rsid w:val="00B451FA"/>
    <w:rsid w:val="00B4670A"/>
    <w:rsid w:val="00B472F0"/>
    <w:rsid w:val="00B47946"/>
    <w:rsid w:val="00B5088B"/>
    <w:rsid w:val="00B51B04"/>
    <w:rsid w:val="00B51EA7"/>
    <w:rsid w:val="00B5266A"/>
    <w:rsid w:val="00B54EE7"/>
    <w:rsid w:val="00B55B65"/>
    <w:rsid w:val="00B56D72"/>
    <w:rsid w:val="00B5775E"/>
    <w:rsid w:val="00B607B5"/>
    <w:rsid w:val="00B6085D"/>
    <w:rsid w:val="00B62BFA"/>
    <w:rsid w:val="00B6421F"/>
    <w:rsid w:val="00B65CF8"/>
    <w:rsid w:val="00B669E5"/>
    <w:rsid w:val="00B66C8E"/>
    <w:rsid w:val="00B67B0B"/>
    <w:rsid w:val="00B71DBD"/>
    <w:rsid w:val="00B722D8"/>
    <w:rsid w:val="00B72937"/>
    <w:rsid w:val="00B74598"/>
    <w:rsid w:val="00B74B53"/>
    <w:rsid w:val="00B75557"/>
    <w:rsid w:val="00B758A9"/>
    <w:rsid w:val="00B75A36"/>
    <w:rsid w:val="00B76D23"/>
    <w:rsid w:val="00B77C5C"/>
    <w:rsid w:val="00B77DDD"/>
    <w:rsid w:val="00B8047B"/>
    <w:rsid w:val="00B81886"/>
    <w:rsid w:val="00B81D39"/>
    <w:rsid w:val="00B81DA7"/>
    <w:rsid w:val="00B8329D"/>
    <w:rsid w:val="00B832A5"/>
    <w:rsid w:val="00B835D6"/>
    <w:rsid w:val="00B83E7F"/>
    <w:rsid w:val="00B858EA"/>
    <w:rsid w:val="00B8596F"/>
    <w:rsid w:val="00B85FEF"/>
    <w:rsid w:val="00B86158"/>
    <w:rsid w:val="00B86293"/>
    <w:rsid w:val="00B866A4"/>
    <w:rsid w:val="00B874E6"/>
    <w:rsid w:val="00B90A57"/>
    <w:rsid w:val="00B91295"/>
    <w:rsid w:val="00B9192A"/>
    <w:rsid w:val="00B91E6D"/>
    <w:rsid w:val="00B92080"/>
    <w:rsid w:val="00B921B9"/>
    <w:rsid w:val="00B92F50"/>
    <w:rsid w:val="00B93985"/>
    <w:rsid w:val="00B94124"/>
    <w:rsid w:val="00B94348"/>
    <w:rsid w:val="00B94427"/>
    <w:rsid w:val="00B9459C"/>
    <w:rsid w:val="00B94742"/>
    <w:rsid w:val="00B94E59"/>
    <w:rsid w:val="00B95893"/>
    <w:rsid w:val="00B965B1"/>
    <w:rsid w:val="00B97703"/>
    <w:rsid w:val="00B97BE8"/>
    <w:rsid w:val="00B97E37"/>
    <w:rsid w:val="00BA02F3"/>
    <w:rsid w:val="00BA1404"/>
    <w:rsid w:val="00BA218A"/>
    <w:rsid w:val="00BA2C07"/>
    <w:rsid w:val="00BA34FF"/>
    <w:rsid w:val="00BA3947"/>
    <w:rsid w:val="00BA3B22"/>
    <w:rsid w:val="00BA44F3"/>
    <w:rsid w:val="00BA56D8"/>
    <w:rsid w:val="00BA5BA7"/>
    <w:rsid w:val="00BA600A"/>
    <w:rsid w:val="00BA685C"/>
    <w:rsid w:val="00BA6E56"/>
    <w:rsid w:val="00BA7027"/>
    <w:rsid w:val="00BB1EAB"/>
    <w:rsid w:val="00BB1EDE"/>
    <w:rsid w:val="00BB2370"/>
    <w:rsid w:val="00BB30A9"/>
    <w:rsid w:val="00BB3815"/>
    <w:rsid w:val="00BB4901"/>
    <w:rsid w:val="00BB4C2E"/>
    <w:rsid w:val="00BB511C"/>
    <w:rsid w:val="00BB531F"/>
    <w:rsid w:val="00BB67AA"/>
    <w:rsid w:val="00BB7225"/>
    <w:rsid w:val="00BC00E6"/>
    <w:rsid w:val="00BC02CB"/>
    <w:rsid w:val="00BC031C"/>
    <w:rsid w:val="00BC09A2"/>
    <w:rsid w:val="00BC0F63"/>
    <w:rsid w:val="00BC12EA"/>
    <w:rsid w:val="00BC1EC8"/>
    <w:rsid w:val="00BC2293"/>
    <w:rsid w:val="00BC2527"/>
    <w:rsid w:val="00BC2603"/>
    <w:rsid w:val="00BC3882"/>
    <w:rsid w:val="00BC4704"/>
    <w:rsid w:val="00BC519D"/>
    <w:rsid w:val="00BC57C6"/>
    <w:rsid w:val="00BC5C44"/>
    <w:rsid w:val="00BC6BB5"/>
    <w:rsid w:val="00BC766E"/>
    <w:rsid w:val="00BC7AA7"/>
    <w:rsid w:val="00BD0A65"/>
    <w:rsid w:val="00BD0FD5"/>
    <w:rsid w:val="00BD1B34"/>
    <w:rsid w:val="00BD2FEB"/>
    <w:rsid w:val="00BD325F"/>
    <w:rsid w:val="00BD37EC"/>
    <w:rsid w:val="00BD3A31"/>
    <w:rsid w:val="00BD4270"/>
    <w:rsid w:val="00BD4B12"/>
    <w:rsid w:val="00BD4F47"/>
    <w:rsid w:val="00BD5261"/>
    <w:rsid w:val="00BD6D6D"/>
    <w:rsid w:val="00BD6FB8"/>
    <w:rsid w:val="00BD73F3"/>
    <w:rsid w:val="00BD746D"/>
    <w:rsid w:val="00BE0806"/>
    <w:rsid w:val="00BE0BAB"/>
    <w:rsid w:val="00BE3649"/>
    <w:rsid w:val="00BE45EE"/>
    <w:rsid w:val="00BE5211"/>
    <w:rsid w:val="00BE6D5C"/>
    <w:rsid w:val="00BE77F2"/>
    <w:rsid w:val="00BF0024"/>
    <w:rsid w:val="00BF16E1"/>
    <w:rsid w:val="00BF2389"/>
    <w:rsid w:val="00BF2E5D"/>
    <w:rsid w:val="00BF4065"/>
    <w:rsid w:val="00BF4100"/>
    <w:rsid w:val="00BF4BA8"/>
    <w:rsid w:val="00BF5C37"/>
    <w:rsid w:val="00BF79D4"/>
    <w:rsid w:val="00C001A4"/>
    <w:rsid w:val="00C002C4"/>
    <w:rsid w:val="00C00366"/>
    <w:rsid w:val="00C003E2"/>
    <w:rsid w:val="00C012AA"/>
    <w:rsid w:val="00C012D1"/>
    <w:rsid w:val="00C01432"/>
    <w:rsid w:val="00C019CF"/>
    <w:rsid w:val="00C025DB"/>
    <w:rsid w:val="00C02AC7"/>
    <w:rsid w:val="00C03B1E"/>
    <w:rsid w:val="00C056DA"/>
    <w:rsid w:val="00C06DF3"/>
    <w:rsid w:val="00C06FEF"/>
    <w:rsid w:val="00C07419"/>
    <w:rsid w:val="00C076C4"/>
    <w:rsid w:val="00C10A89"/>
    <w:rsid w:val="00C11568"/>
    <w:rsid w:val="00C11829"/>
    <w:rsid w:val="00C1182D"/>
    <w:rsid w:val="00C11BE6"/>
    <w:rsid w:val="00C1274F"/>
    <w:rsid w:val="00C12DE0"/>
    <w:rsid w:val="00C13247"/>
    <w:rsid w:val="00C13515"/>
    <w:rsid w:val="00C138A1"/>
    <w:rsid w:val="00C13AA7"/>
    <w:rsid w:val="00C13B5E"/>
    <w:rsid w:val="00C1496E"/>
    <w:rsid w:val="00C157E9"/>
    <w:rsid w:val="00C15B41"/>
    <w:rsid w:val="00C170CE"/>
    <w:rsid w:val="00C17132"/>
    <w:rsid w:val="00C171CA"/>
    <w:rsid w:val="00C1734A"/>
    <w:rsid w:val="00C1753D"/>
    <w:rsid w:val="00C17948"/>
    <w:rsid w:val="00C17AD0"/>
    <w:rsid w:val="00C21CB4"/>
    <w:rsid w:val="00C22B8D"/>
    <w:rsid w:val="00C242DE"/>
    <w:rsid w:val="00C2433E"/>
    <w:rsid w:val="00C24A5A"/>
    <w:rsid w:val="00C24C2B"/>
    <w:rsid w:val="00C25284"/>
    <w:rsid w:val="00C2549B"/>
    <w:rsid w:val="00C25E56"/>
    <w:rsid w:val="00C26E83"/>
    <w:rsid w:val="00C27478"/>
    <w:rsid w:val="00C3004D"/>
    <w:rsid w:val="00C3054E"/>
    <w:rsid w:val="00C31C7E"/>
    <w:rsid w:val="00C32177"/>
    <w:rsid w:val="00C3329B"/>
    <w:rsid w:val="00C34E75"/>
    <w:rsid w:val="00C35B69"/>
    <w:rsid w:val="00C35EDF"/>
    <w:rsid w:val="00C36416"/>
    <w:rsid w:val="00C40037"/>
    <w:rsid w:val="00C41078"/>
    <w:rsid w:val="00C41208"/>
    <w:rsid w:val="00C428DA"/>
    <w:rsid w:val="00C428F9"/>
    <w:rsid w:val="00C44202"/>
    <w:rsid w:val="00C45782"/>
    <w:rsid w:val="00C45927"/>
    <w:rsid w:val="00C45DCC"/>
    <w:rsid w:val="00C47FE8"/>
    <w:rsid w:val="00C526B6"/>
    <w:rsid w:val="00C52763"/>
    <w:rsid w:val="00C5280C"/>
    <w:rsid w:val="00C5298F"/>
    <w:rsid w:val="00C5368B"/>
    <w:rsid w:val="00C53706"/>
    <w:rsid w:val="00C53E6D"/>
    <w:rsid w:val="00C541B5"/>
    <w:rsid w:val="00C54F60"/>
    <w:rsid w:val="00C55F18"/>
    <w:rsid w:val="00C5696C"/>
    <w:rsid w:val="00C604E0"/>
    <w:rsid w:val="00C60A5B"/>
    <w:rsid w:val="00C61300"/>
    <w:rsid w:val="00C61E85"/>
    <w:rsid w:val="00C631A2"/>
    <w:rsid w:val="00C63268"/>
    <w:rsid w:val="00C6334B"/>
    <w:rsid w:val="00C63F9A"/>
    <w:rsid w:val="00C63FF1"/>
    <w:rsid w:val="00C6451F"/>
    <w:rsid w:val="00C6641F"/>
    <w:rsid w:val="00C66CD5"/>
    <w:rsid w:val="00C676C5"/>
    <w:rsid w:val="00C6771D"/>
    <w:rsid w:val="00C70E30"/>
    <w:rsid w:val="00C70F8C"/>
    <w:rsid w:val="00C71770"/>
    <w:rsid w:val="00C723D3"/>
    <w:rsid w:val="00C72806"/>
    <w:rsid w:val="00C72F94"/>
    <w:rsid w:val="00C74258"/>
    <w:rsid w:val="00C743B1"/>
    <w:rsid w:val="00C754B8"/>
    <w:rsid w:val="00C75708"/>
    <w:rsid w:val="00C76460"/>
    <w:rsid w:val="00C76648"/>
    <w:rsid w:val="00C76BE2"/>
    <w:rsid w:val="00C77870"/>
    <w:rsid w:val="00C7788D"/>
    <w:rsid w:val="00C8002E"/>
    <w:rsid w:val="00C8024B"/>
    <w:rsid w:val="00C80A04"/>
    <w:rsid w:val="00C81735"/>
    <w:rsid w:val="00C81EFE"/>
    <w:rsid w:val="00C823EA"/>
    <w:rsid w:val="00C82F31"/>
    <w:rsid w:val="00C82F96"/>
    <w:rsid w:val="00C84A78"/>
    <w:rsid w:val="00C84BDE"/>
    <w:rsid w:val="00C84CBD"/>
    <w:rsid w:val="00C84D21"/>
    <w:rsid w:val="00C8593C"/>
    <w:rsid w:val="00C8675A"/>
    <w:rsid w:val="00C87955"/>
    <w:rsid w:val="00C87A5A"/>
    <w:rsid w:val="00C87AA3"/>
    <w:rsid w:val="00C87F2B"/>
    <w:rsid w:val="00C90E16"/>
    <w:rsid w:val="00C9255B"/>
    <w:rsid w:val="00C93D98"/>
    <w:rsid w:val="00C94422"/>
    <w:rsid w:val="00C945D1"/>
    <w:rsid w:val="00C94C73"/>
    <w:rsid w:val="00C95EFC"/>
    <w:rsid w:val="00C96990"/>
    <w:rsid w:val="00C96A1B"/>
    <w:rsid w:val="00C96ECA"/>
    <w:rsid w:val="00C97629"/>
    <w:rsid w:val="00C976F9"/>
    <w:rsid w:val="00C97807"/>
    <w:rsid w:val="00C97B90"/>
    <w:rsid w:val="00C97CD4"/>
    <w:rsid w:val="00CA0087"/>
    <w:rsid w:val="00CA0AA6"/>
    <w:rsid w:val="00CA1741"/>
    <w:rsid w:val="00CA1B49"/>
    <w:rsid w:val="00CA3362"/>
    <w:rsid w:val="00CA3483"/>
    <w:rsid w:val="00CA3851"/>
    <w:rsid w:val="00CA4227"/>
    <w:rsid w:val="00CA4831"/>
    <w:rsid w:val="00CA5B9F"/>
    <w:rsid w:val="00CA601A"/>
    <w:rsid w:val="00CA693C"/>
    <w:rsid w:val="00CA7C41"/>
    <w:rsid w:val="00CA7F7D"/>
    <w:rsid w:val="00CB006C"/>
    <w:rsid w:val="00CB115B"/>
    <w:rsid w:val="00CB1CE1"/>
    <w:rsid w:val="00CB1D89"/>
    <w:rsid w:val="00CB25FF"/>
    <w:rsid w:val="00CB2AA6"/>
    <w:rsid w:val="00CB3636"/>
    <w:rsid w:val="00CB3A95"/>
    <w:rsid w:val="00CB3B3C"/>
    <w:rsid w:val="00CB3D5B"/>
    <w:rsid w:val="00CB41C8"/>
    <w:rsid w:val="00CB489C"/>
    <w:rsid w:val="00CB4923"/>
    <w:rsid w:val="00CB5C25"/>
    <w:rsid w:val="00CB6052"/>
    <w:rsid w:val="00CB64B8"/>
    <w:rsid w:val="00CB733C"/>
    <w:rsid w:val="00CB7DCF"/>
    <w:rsid w:val="00CC0749"/>
    <w:rsid w:val="00CC1742"/>
    <w:rsid w:val="00CC1ABD"/>
    <w:rsid w:val="00CC20DD"/>
    <w:rsid w:val="00CC3219"/>
    <w:rsid w:val="00CC32E2"/>
    <w:rsid w:val="00CC3E21"/>
    <w:rsid w:val="00CC40B1"/>
    <w:rsid w:val="00CC4428"/>
    <w:rsid w:val="00CC44FC"/>
    <w:rsid w:val="00CC520F"/>
    <w:rsid w:val="00CC547D"/>
    <w:rsid w:val="00CC5A67"/>
    <w:rsid w:val="00CC728E"/>
    <w:rsid w:val="00CC72EF"/>
    <w:rsid w:val="00CC7BE6"/>
    <w:rsid w:val="00CD00F9"/>
    <w:rsid w:val="00CD1617"/>
    <w:rsid w:val="00CD1979"/>
    <w:rsid w:val="00CD1CE6"/>
    <w:rsid w:val="00CD2BF9"/>
    <w:rsid w:val="00CD35DC"/>
    <w:rsid w:val="00CD3C42"/>
    <w:rsid w:val="00CD4423"/>
    <w:rsid w:val="00CD4669"/>
    <w:rsid w:val="00CD4887"/>
    <w:rsid w:val="00CD530D"/>
    <w:rsid w:val="00CD5AF5"/>
    <w:rsid w:val="00CD5EB9"/>
    <w:rsid w:val="00CD630D"/>
    <w:rsid w:val="00CD7FBE"/>
    <w:rsid w:val="00CE019C"/>
    <w:rsid w:val="00CE1C47"/>
    <w:rsid w:val="00CE28BB"/>
    <w:rsid w:val="00CE30E5"/>
    <w:rsid w:val="00CE42BC"/>
    <w:rsid w:val="00CE4E2B"/>
    <w:rsid w:val="00CE5CDD"/>
    <w:rsid w:val="00CE6ACB"/>
    <w:rsid w:val="00CE745D"/>
    <w:rsid w:val="00CE746C"/>
    <w:rsid w:val="00CF1369"/>
    <w:rsid w:val="00CF1BAE"/>
    <w:rsid w:val="00CF1CDE"/>
    <w:rsid w:val="00CF26BE"/>
    <w:rsid w:val="00CF2B49"/>
    <w:rsid w:val="00CF3F87"/>
    <w:rsid w:val="00CF5431"/>
    <w:rsid w:val="00D00D1C"/>
    <w:rsid w:val="00D01270"/>
    <w:rsid w:val="00D01F55"/>
    <w:rsid w:val="00D0207F"/>
    <w:rsid w:val="00D02336"/>
    <w:rsid w:val="00D02431"/>
    <w:rsid w:val="00D02DD6"/>
    <w:rsid w:val="00D03E6A"/>
    <w:rsid w:val="00D04EF8"/>
    <w:rsid w:val="00D05976"/>
    <w:rsid w:val="00D065C6"/>
    <w:rsid w:val="00D06F9D"/>
    <w:rsid w:val="00D07198"/>
    <w:rsid w:val="00D07378"/>
    <w:rsid w:val="00D1183F"/>
    <w:rsid w:val="00D1248B"/>
    <w:rsid w:val="00D13601"/>
    <w:rsid w:val="00D13B57"/>
    <w:rsid w:val="00D13E5D"/>
    <w:rsid w:val="00D14E11"/>
    <w:rsid w:val="00D16608"/>
    <w:rsid w:val="00D16A78"/>
    <w:rsid w:val="00D17B01"/>
    <w:rsid w:val="00D20A6F"/>
    <w:rsid w:val="00D21B3B"/>
    <w:rsid w:val="00D221AF"/>
    <w:rsid w:val="00D22203"/>
    <w:rsid w:val="00D2290B"/>
    <w:rsid w:val="00D22B96"/>
    <w:rsid w:val="00D22C1E"/>
    <w:rsid w:val="00D22EA5"/>
    <w:rsid w:val="00D24CFF"/>
    <w:rsid w:val="00D25444"/>
    <w:rsid w:val="00D25C09"/>
    <w:rsid w:val="00D25C48"/>
    <w:rsid w:val="00D26759"/>
    <w:rsid w:val="00D26798"/>
    <w:rsid w:val="00D274E8"/>
    <w:rsid w:val="00D30593"/>
    <w:rsid w:val="00D30D40"/>
    <w:rsid w:val="00D31C34"/>
    <w:rsid w:val="00D32765"/>
    <w:rsid w:val="00D3398B"/>
    <w:rsid w:val="00D358F8"/>
    <w:rsid w:val="00D35D8D"/>
    <w:rsid w:val="00D367C7"/>
    <w:rsid w:val="00D36E80"/>
    <w:rsid w:val="00D373FC"/>
    <w:rsid w:val="00D37B93"/>
    <w:rsid w:val="00D405A0"/>
    <w:rsid w:val="00D40F32"/>
    <w:rsid w:val="00D42AFB"/>
    <w:rsid w:val="00D43EEC"/>
    <w:rsid w:val="00D44064"/>
    <w:rsid w:val="00D443F5"/>
    <w:rsid w:val="00D451B2"/>
    <w:rsid w:val="00D460C1"/>
    <w:rsid w:val="00D461A0"/>
    <w:rsid w:val="00D471D2"/>
    <w:rsid w:val="00D4784C"/>
    <w:rsid w:val="00D47897"/>
    <w:rsid w:val="00D50966"/>
    <w:rsid w:val="00D50A31"/>
    <w:rsid w:val="00D511F3"/>
    <w:rsid w:val="00D51925"/>
    <w:rsid w:val="00D5194F"/>
    <w:rsid w:val="00D51D67"/>
    <w:rsid w:val="00D521A3"/>
    <w:rsid w:val="00D53C48"/>
    <w:rsid w:val="00D53D1B"/>
    <w:rsid w:val="00D54883"/>
    <w:rsid w:val="00D54C6F"/>
    <w:rsid w:val="00D55AED"/>
    <w:rsid w:val="00D563FD"/>
    <w:rsid w:val="00D564C7"/>
    <w:rsid w:val="00D56B8D"/>
    <w:rsid w:val="00D60C26"/>
    <w:rsid w:val="00D611EE"/>
    <w:rsid w:val="00D6146F"/>
    <w:rsid w:val="00D629CA"/>
    <w:rsid w:val="00D63E5B"/>
    <w:rsid w:val="00D642F8"/>
    <w:rsid w:val="00D64970"/>
    <w:rsid w:val="00D64B13"/>
    <w:rsid w:val="00D654B8"/>
    <w:rsid w:val="00D65FD9"/>
    <w:rsid w:val="00D6610C"/>
    <w:rsid w:val="00D67151"/>
    <w:rsid w:val="00D6745F"/>
    <w:rsid w:val="00D677AA"/>
    <w:rsid w:val="00D7250B"/>
    <w:rsid w:val="00D72F33"/>
    <w:rsid w:val="00D730FA"/>
    <w:rsid w:val="00D7319F"/>
    <w:rsid w:val="00D736F6"/>
    <w:rsid w:val="00D74361"/>
    <w:rsid w:val="00D7524E"/>
    <w:rsid w:val="00D754BB"/>
    <w:rsid w:val="00D75DAB"/>
    <w:rsid w:val="00D76104"/>
    <w:rsid w:val="00D7655F"/>
    <w:rsid w:val="00D77027"/>
    <w:rsid w:val="00D80E81"/>
    <w:rsid w:val="00D81E45"/>
    <w:rsid w:val="00D82B07"/>
    <w:rsid w:val="00D82E8D"/>
    <w:rsid w:val="00D83FD1"/>
    <w:rsid w:val="00D845DD"/>
    <w:rsid w:val="00D852DD"/>
    <w:rsid w:val="00D8578E"/>
    <w:rsid w:val="00D85C45"/>
    <w:rsid w:val="00D85DFA"/>
    <w:rsid w:val="00D85E02"/>
    <w:rsid w:val="00D868B1"/>
    <w:rsid w:val="00D87172"/>
    <w:rsid w:val="00D87ABE"/>
    <w:rsid w:val="00D90169"/>
    <w:rsid w:val="00D90CA4"/>
    <w:rsid w:val="00D90F8A"/>
    <w:rsid w:val="00D923D1"/>
    <w:rsid w:val="00D9257B"/>
    <w:rsid w:val="00D93437"/>
    <w:rsid w:val="00D934A6"/>
    <w:rsid w:val="00D93A0B"/>
    <w:rsid w:val="00D93A72"/>
    <w:rsid w:val="00D94C03"/>
    <w:rsid w:val="00D950DC"/>
    <w:rsid w:val="00D95266"/>
    <w:rsid w:val="00D958B9"/>
    <w:rsid w:val="00D95BA2"/>
    <w:rsid w:val="00D97A78"/>
    <w:rsid w:val="00DA0388"/>
    <w:rsid w:val="00DA26C0"/>
    <w:rsid w:val="00DA3CC5"/>
    <w:rsid w:val="00DA3E80"/>
    <w:rsid w:val="00DA3EE5"/>
    <w:rsid w:val="00DA491F"/>
    <w:rsid w:val="00DA4E72"/>
    <w:rsid w:val="00DA4FAC"/>
    <w:rsid w:val="00DA4FEF"/>
    <w:rsid w:val="00DA512C"/>
    <w:rsid w:val="00DA5550"/>
    <w:rsid w:val="00DA584A"/>
    <w:rsid w:val="00DA5CF9"/>
    <w:rsid w:val="00DA60E3"/>
    <w:rsid w:val="00DA6783"/>
    <w:rsid w:val="00DA72B4"/>
    <w:rsid w:val="00DB033D"/>
    <w:rsid w:val="00DB041F"/>
    <w:rsid w:val="00DB15F7"/>
    <w:rsid w:val="00DB20E6"/>
    <w:rsid w:val="00DB2A27"/>
    <w:rsid w:val="00DB2C28"/>
    <w:rsid w:val="00DB338F"/>
    <w:rsid w:val="00DB4E81"/>
    <w:rsid w:val="00DB4F33"/>
    <w:rsid w:val="00DB551B"/>
    <w:rsid w:val="00DB55E5"/>
    <w:rsid w:val="00DB64A0"/>
    <w:rsid w:val="00DB7D60"/>
    <w:rsid w:val="00DC047B"/>
    <w:rsid w:val="00DC05B5"/>
    <w:rsid w:val="00DC0B4E"/>
    <w:rsid w:val="00DC2748"/>
    <w:rsid w:val="00DC35CB"/>
    <w:rsid w:val="00DC3BE1"/>
    <w:rsid w:val="00DC3D69"/>
    <w:rsid w:val="00DC40A6"/>
    <w:rsid w:val="00DC4112"/>
    <w:rsid w:val="00DC46C3"/>
    <w:rsid w:val="00DC5045"/>
    <w:rsid w:val="00DC532D"/>
    <w:rsid w:val="00DC5D51"/>
    <w:rsid w:val="00DC65EB"/>
    <w:rsid w:val="00DC6813"/>
    <w:rsid w:val="00DC6ED9"/>
    <w:rsid w:val="00DC6F89"/>
    <w:rsid w:val="00DD0133"/>
    <w:rsid w:val="00DD019E"/>
    <w:rsid w:val="00DD0AC7"/>
    <w:rsid w:val="00DD0E05"/>
    <w:rsid w:val="00DD2918"/>
    <w:rsid w:val="00DD2DD9"/>
    <w:rsid w:val="00DD2E21"/>
    <w:rsid w:val="00DD507C"/>
    <w:rsid w:val="00DD6391"/>
    <w:rsid w:val="00DD697E"/>
    <w:rsid w:val="00DD69EF"/>
    <w:rsid w:val="00DD6A64"/>
    <w:rsid w:val="00DD6AC6"/>
    <w:rsid w:val="00DD6B93"/>
    <w:rsid w:val="00DD74BE"/>
    <w:rsid w:val="00DD7608"/>
    <w:rsid w:val="00DD768B"/>
    <w:rsid w:val="00DE135D"/>
    <w:rsid w:val="00DE1930"/>
    <w:rsid w:val="00DE198E"/>
    <w:rsid w:val="00DE5282"/>
    <w:rsid w:val="00DE60CF"/>
    <w:rsid w:val="00DE64EE"/>
    <w:rsid w:val="00DE6BBF"/>
    <w:rsid w:val="00DF033B"/>
    <w:rsid w:val="00DF06E2"/>
    <w:rsid w:val="00DF1546"/>
    <w:rsid w:val="00DF24C0"/>
    <w:rsid w:val="00DF2B87"/>
    <w:rsid w:val="00DF6B25"/>
    <w:rsid w:val="00DF6BC6"/>
    <w:rsid w:val="00DF6BF7"/>
    <w:rsid w:val="00DF6F85"/>
    <w:rsid w:val="00DF7B81"/>
    <w:rsid w:val="00DF7BDE"/>
    <w:rsid w:val="00E00D33"/>
    <w:rsid w:val="00E0141C"/>
    <w:rsid w:val="00E02902"/>
    <w:rsid w:val="00E02FB7"/>
    <w:rsid w:val="00E0354F"/>
    <w:rsid w:val="00E03C83"/>
    <w:rsid w:val="00E04106"/>
    <w:rsid w:val="00E04522"/>
    <w:rsid w:val="00E04D77"/>
    <w:rsid w:val="00E052D9"/>
    <w:rsid w:val="00E053A8"/>
    <w:rsid w:val="00E0645F"/>
    <w:rsid w:val="00E06658"/>
    <w:rsid w:val="00E077A0"/>
    <w:rsid w:val="00E07C46"/>
    <w:rsid w:val="00E07EB4"/>
    <w:rsid w:val="00E10776"/>
    <w:rsid w:val="00E10C34"/>
    <w:rsid w:val="00E1137F"/>
    <w:rsid w:val="00E115FD"/>
    <w:rsid w:val="00E11AC1"/>
    <w:rsid w:val="00E12BE9"/>
    <w:rsid w:val="00E13628"/>
    <w:rsid w:val="00E13B34"/>
    <w:rsid w:val="00E14054"/>
    <w:rsid w:val="00E14440"/>
    <w:rsid w:val="00E1522C"/>
    <w:rsid w:val="00E15975"/>
    <w:rsid w:val="00E15B18"/>
    <w:rsid w:val="00E16443"/>
    <w:rsid w:val="00E167E3"/>
    <w:rsid w:val="00E168AD"/>
    <w:rsid w:val="00E168DE"/>
    <w:rsid w:val="00E20913"/>
    <w:rsid w:val="00E22150"/>
    <w:rsid w:val="00E22238"/>
    <w:rsid w:val="00E22EB0"/>
    <w:rsid w:val="00E22F7C"/>
    <w:rsid w:val="00E2308A"/>
    <w:rsid w:val="00E23546"/>
    <w:rsid w:val="00E241F4"/>
    <w:rsid w:val="00E24C0A"/>
    <w:rsid w:val="00E257DF"/>
    <w:rsid w:val="00E2641D"/>
    <w:rsid w:val="00E2652E"/>
    <w:rsid w:val="00E2695B"/>
    <w:rsid w:val="00E26C2B"/>
    <w:rsid w:val="00E270F9"/>
    <w:rsid w:val="00E27545"/>
    <w:rsid w:val="00E27E07"/>
    <w:rsid w:val="00E32E83"/>
    <w:rsid w:val="00E32E98"/>
    <w:rsid w:val="00E331CA"/>
    <w:rsid w:val="00E33D19"/>
    <w:rsid w:val="00E34F57"/>
    <w:rsid w:val="00E35139"/>
    <w:rsid w:val="00E351F9"/>
    <w:rsid w:val="00E35F98"/>
    <w:rsid w:val="00E37FC0"/>
    <w:rsid w:val="00E409FB"/>
    <w:rsid w:val="00E4179E"/>
    <w:rsid w:val="00E429CD"/>
    <w:rsid w:val="00E43CEA"/>
    <w:rsid w:val="00E442B4"/>
    <w:rsid w:val="00E45726"/>
    <w:rsid w:val="00E466B8"/>
    <w:rsid w:val="00E4688C"/>
    <w:rsid w:val="00E472DD"/>
    <w:rsid w:val="00E4746E"/>
    <w:rsid w:val="00E51CE1"/>
    <w:rsid w:val="00E52653"/>
    <w:rsid w:val="00E546B8"/>
    <w:rsid w:val="00E55A1A"/>
    <w:rsid w:val="00E55B98"/>
    <w:rsid w:val="00E55E62"/>
    <w:rsid w:val="00E57C5C"/>
    <w:rsid w:val="00E57DEB"/>
    <w:rsid w:val="00E60B8E"/>
    <w:rsid w:val="00E613FA"/>
    <w:rsid w:val="00E6286C"/>
    <w:rsid w:val="00E62F83"/>
    <w:rsid w:val="00E63697"/>
    <w:rsid w:val="00E67D8F"/>
    <w:rsid w:val="00E701A7"/>
    <w:rsid w:val="00E70626"/>
    <w:rsid w:val="00E711FA"/>
    <w:rsid w:val="00E73617"/>
    <w:rsid w:val="00E73E72"/>
    <w:rsid w:val="00E73FB0"/>
    <w:rsid w:val="00E746F8"/>
    <w:rsid w:val="00E762F8"/>
    <w:rsid w:val="00E76397"/>
    <w:rsid w:val="00E76FCF"/>
    <w:rsid w:val="00E77C54"/>
    <w:rsid w:val="00E77F5B"/>
    <w:rsid w:val="00E8152F"/>
    <w:rsid w:val="00E81A80"/>
    <w:rsid w:val="00E82281"/>
    <w:rsid w:val="00E83D04"/>
    <w:rsid w:val="00E83E63"/>
    <w:rsid w:val="00E84A08"/>
    <w:rsid w:val="00E858F3"/>
    <w:rsid w:val="00E85BB5"/>
    <w:rsid w:val="00E86439"/>
    <w:rsid w:val="00E87555"/>
    <w:rsid w:val="00E87839"/>
    <w:rsid w:val="00E9056F"/>
    <w:rsid w:val="00E905C4"/>
    <w:rsid w:val="00E905D8"/>
    <w:rsid w:val="00E91B52"/>
    <w:rsid w:val="00E91DE3"/>
    <w:rsid w:val="00E92118"/>
    <w:rsid w:val="00E93F1A"/>
    <w:rsid w:val="00E941D7"/>
    <w:rsid w:val="00E96FF0"/>
    <w:rsid w:val="00E972FA"/>
    <w:rsid w:val="00E97551"/>
    <w:rsid w:val="00EA17D4"/>
    <w:rsid w:val="00EA1B87"/>
    <w:rsid w:val="00EA3B44"/>
    <w:rsid w:val="00EA43B7"/>
    <w:rsid w:val="00EA7D41"/>
    <w:rsid w:val="00EA7FBE"/>
    <w:rsid w:val="00EB08F2"/>
    <w:rsid w:val="00EB2D48"/>
    <w:rsid w:val="00EB43F9"/>
    <w:rsid w:val="00EB55F8"/>
    <w:rsid w:val="00EB59B4"/>
    <w:rsid w:val="00EB5E86"/>
    <w:rsid w:val="00EB5F9F"/>
    <w:rsid w:val="00EB70FC"/>
    <w:rsid w:val="00EB7284"/>
    <w:rsid w:val="00EC0A95"/>
    <w:rsid w:val="00EC11DA"/>
    <w:rsid w:val="00EC1931"/>
    <w:rsid w:val="00EC23B8"/>
    <w:rsid w:val="00EC4703"/>
    <w:rsid w:val="00EC54B6"/>
    <w:rsid w:val="00EC559D"/>
    <w:rsid w:val="00EC5AAF"/>
    <w:rsid w:val="00EC5FD3"/>
    <w:rsid w:val="00EC673D"/>
    <w:rsid w:val="00EC6D6F"/>
    <w:rsid w:val="00EC711D"/>
    <w:rsid w:val="00EC7B82"/>
    <w:rsid w:val="00EC7FBB"/>
    <w:rsid w:val="00ED020B"/>
    <w:rsid w:val="00ED0671"/>
    <w:rsid w:val="00ED1787"/>
    <w:rsid w:val="00ED21B5"/>
    <w:rsid w:val="00ED4792"/>
    <w:rsid w:val="00ED4C15"/>
    <w:rsid w:val="00ED525C"/>
    <w:rsid w:val="00ED5979"/>
    <w:rsid w:val="00ED6898"/>
    <w:rsid w:val="00ED701D"/>
    <w:rsid w:val="00ED72D7"/>
    <w:rsid w:val="00EE018C"/>
    <w:rsid w:val="00EE0845"/>
    <w:rsid w:val="00EE1927"/>
    <w:rsid w:val="00EE2B1B"/>
    <w:rsid w:val="00EE371C"/>
    <w:rsid w:val="00EE5CFE"/>
    <w:rsid w:val="00EE5FF9"/>
    <w:rsid w:val="00EE650C"/>
    <w:rsid w:val="00EE6D79"/>
    <w:rsid w:val="00EE7141"/>
    <w:rsid w:val="00EF02B2"/>
    <w:rsid w:val="00EF0FF3"/>
    <w:rsid w:val="00EF10E0"/>
    <w:rsid w:val="00EF188C"/>
    <w:rsid w:val="00EF2068"/>
    <w:rsid w:val="00EF4903"/>
    <w:rsid w:val="00EF6784"/>
    <w:rsid w:val="00EF7D17"/>
    <w:rsid w:val="00EF7E21"/>
    <w:rsid w:val="00F00CDC"/>
    <w:rsid w:val="00F00F1D"/>
    <w:rsid w:val="00F0143E"/>
    <w:rsid w:val="00F0237C"/>
    <w:rsid w:val="00F027B3"/>
    <w:rsid w:val="00F0414D"/>
    <w:rsid w:val="00F0525C"/>
    <w:rsid w:val="00F074AD"/>
    <w:rsid w:val="00F10535"/>
    <w:rsid w:val="00F11356"/>
    <w:rsid w:val="00F11A64"/>
    <w:rsid w:val="00F12DB9"/>
    <w:rsid w:val="00F131DB"/>
    <w:rsid w:val="00F13594"/>
    <w:rsid w:val="00F141E6"/>
    <w:rsid w:val="00F14671"/>
    <w:rsid w:val="00F14EB1"/>
    <w:rsid w:val="00F15316"/>
    <w:rsid w:val="00F158D1"/>
    <w:rsid w:val="00F15B32"/>
    <w:rsid w:val="00F15DAF"/>
    <w:rsid w:val="00F15DCB"/>
    <w:rsid w:val="00F178A4"/>
    <w:rsid w:val="00F17F1D"/>
    <w:rsid w:val="00F20586"/>
    <w:rsid w:val="00F206D4"/>
    <w:rsid w:val="00F222DF"/>
    <w:rsid w:val="00F22467"/>
    <w:rsid w:val="00F231BD"/>
    <w:rsid w:val="00F23DD9"/>
    <w:rsid w:val="00F260A3"/>
    <w:rsid w:val="00F261EC"/>
    <w:rsid w:val="00F262BA"/>
    <w:rsid w:val="00F2641A"/>
    <w:rsid w:val="00F2664C"/>
    <w:rsid w:val="00F3048A"/>
    <w:rsid w:val="00F31089"/>
    <w:rsid w:val="00F31206"/>
    <w:rsid w:val="00F32BBD"/>
    <w:rsid w:val="00F3325F"/>
    <w:rsid w:val="00F33484"/>
    <w:rsid w:val="00F33BD8"/>
    <w:rsid w:val="00F34484"/>
    <w:rsid w:val="00F34707"/>
    <w:rsid w:val="00F35E1B"/>
    <w:rsid w:val="00F40F9D"/>
    <w:rsid w:val="00F4187B"/>
    <w:rsid w:val="00F41EA7"/>
    <w:rsid w:val="00F42113"/>
    <w:rsid w:val="00F430B4"/>
    <w:rsid w:val="00F43638"/>
    <w:rsid w:val="00F442C0"/>
    <w:rsid w:val="00F44397"/>
    <w:rsid w:val="00F44F7E"/>
    <w:rsid w:val="00F46C43"/>
    <w:rsid w:val="00F46FCC"/>
    <w:rsid w:val="00F47E91"/>
    <w:rsid w:val="00F50B4E"/>
    <w:rsid w:val="00F51BC3"/>
    <w:rsid w:val="00F52155"/>
    <w:rsid w:val="00F532F2"/>
    <w:rsid w:val="00F53325"/>
    <w:rsid w:val="00F5389F"/>
    <w:rsid w:val="00F54167"/>
    <w:rsid w:val="00F561BD"/>
    <w:rsid w:val="00F57003"/>
    <w:rsid w:val="00F57531"/>
    <w:rsid w:val="00F576B8"/>
    <w:rsid w:val="00F57ACC"/>
    <w:rsid w:val="00F57B07"/>
    <w:rsid w:val="00F57D0A"/>
    <w:rsid w:val="00F60D3C"/>
    <w:rsid w:val="00F6133D"/>
    <w:rsid w:val="00F62591"/>
    <w:rsid w:val="00F62F00"/>
    <w:rsid w:val="00F62F2D"/>
    <w:rsid w:val="00F64E48"/>
    <w:rsid w:val="00F65922"/>
    <w:rsid w:val="00F6626A"/>
    <w:rsid w:val="00F66B1D"/>
    <w:rsid w:val="00F671C7"/>
    <w:rsid w:val="00F7120D"/>
    <w:rsid w:val="00F715A9"/>
    <w:rsid w:val="00F71EAA"/>
    <w:rsid w:val="00F72913"/>
    <w:rsid w:val="00F73507"/>
    <w:rsid w:val="00F73ABF"/>
    <w:rsid w:val="00F74B0C"/>
    <w:rsid w:val="00F75AB7"/>
    <w:rsid w:val="00F765C7"/>
    <w:rsid w:val="00F768DE"/>
    <w:rsid w:val="00F77938"/>
    <w:rsid w:val="00F77AE2"/>
    <w:rsid w:val="00F77D40"/>
    <w:rsid w:val="00F77E11"/>
    <w:rsid w:val="00F819E5"/>
    <w:rsid w:val="00F820E4"/>
    <w:rsid w:val="00F82133"/>
    <w:rsid w:val="00F83220"/>
    <w:rsid w:val="00F835BB"/>
    <w:rsid w:val="00F837CA"/>
    <w:rsid w:val="00F83CA0"/>
    <w:rsid w:val="00F84852"/>
    <w:rsid w:val="00F84C46"/>
    <w:rsid w:val="00F84E83"/>
    <w:rsid w:val="00F84EF8"/>
    <w:rsid w:val="00F853A9"/>
    <w:rsid w:val="00F86F8E"/>
    <w:rsid w:val="00F91359"/>
    <w:rsid w:val="00F9374A"/>
    <w:rsid w:val="00F93E4C"/>
    <w:rsid w:val="00F94037"/>
    <w:rsid w:val="00F94286"/>
    <w:rsid w:val="00F95DA2"/>
    <w:rsid w:val="00F96069"/>
    <w:rsid w:val="00F96344"/>
    <w:rsid w:val="00F96B3D"/>
    <w:rsid w:val="00F96D7B"/>
    <w:rsid w:val="00FA0053"/>
    <w:rsid w:val="00FA0279"/>
    <w:rsid w:val="00FA0855"/>
    <w:rsid w:val="00FA1409"/>
    <w:rsid w:val="00FA14DA"/>
    <w:rsid w:val="00FA1FD0"/>
    <w:rsid w:val="00FA2429"/>
    <w:rsid w:val="00FA26EF"/>
    <w:rsid w:val="00FA28C0"/>
    <w:rsid w:val="00FA333C"/>
    <w:rsid w:val="00FA38B7"/>
    <w:rsid w:val="00FA3AEA"/>
    <w:rsid w:val="00FA4217"/>
    <w:rsid w:val="00FA44A3"/>
    <w:rsid w:val="00FA7741"/>
    <w:rsid w:val="00FB08E2"/>
    <w:rsid w:val="00FB0CF5"/>
    <w:rsid w:val="00FB11AA"/>
    <w:rsid w:val="00FB12EE"/>
    <w:rsid w:val="00FB13D7"/>
    <w:rsid w:val="00FB1A78"/>
    <w:rsid w:val="00FB2496"/>
    <w:rsid w:val="00FB2F6D"/>
    <w:rsid w:val="00FB3E76"/>
    <w:rsid w:val="00FB433F"/>
    <w:rsid w:val="00FB4437"/>
    <w:rsid w:val="00FB5C48"/>
    <w:rsid w:val="00FB6616"/>
    <w:rsid w:val="00FB7254"/>
    <w:rsid w:val="00FC0B5D"/>
    <w:rsid w:val="00FC0EE5"/>
    <w:rsid w:val="00FC302C"/>
    <w:rsid w:val="00FC46F0"/>
    <w:rsid w:val="00FC4932"/>
    <w:rsid w:val="00FC4948"/>
    <w:rsid w:val="00FC52B3"/>
    <w:rsid w:val="00FC53C5"/>
    <w:rsid w:val="00FC5AC1"/>
    <w:rsid w:val="00FC5C52"/>
    <w:rsid w:val="00FC64AE"/>
    <w:rsid w:val="00FC7ECC"/>
    <w:rsid w:val="00FD0579"/>
    <w:rsid w:val="00FD24BD"/>
    <w:rsid w:val="00FD2A55"/>
    <w:rsid w:val="00FD2AF9"/>
    <w:rsid w:val="00FD2F98"/>
    <w:rsid w:val="00FD325E"/>
    <w:rsid w:val="00FD3925"/>
    <w:rsid w:val="00FD4EBE"/>
    <w:rsid w:val="00FD6777"/>
    <w:rsid w:val="00FD78A5"/>
    <w:rsid w:val="00FD7973"/>
    <w:rsid w:val="00FE11FB"/>
    <w:rsid w:val="00FE183C"/>
    <w:rsid w:val="00FE1C42"/>
    <w:rsid w:val="00FE3302"/>
    <w:rsid w:val="00FE402D"/>
    <w:rsid w:val="00FE44F1"/>
    <w:rsid w:val="00FE5640"/>
    <w:rsid w:val="00FE5C66"/>
    <w:rsid w:val="00FE6D0E"/>
    <w:rsid w:val="00FE7606"/>
    <w:rsid w:val="00FE76A9"/>
    <w:rsid w:val="00FF006D"/>
    <w:rsid w:val="00FF09B2"/>
    <w:rsid w:val="00FF0AD3"/>
    <w:rsid w:val="00FF109F"/>
    <w:rsid w:val="00FF182F"/>
    <w:rsid w:val="00FF276B"/>
    <w:rsid w:val="00FF3963"/>
    <w:rsid w:val="00FF4242"/>
    <w:rsid w:val="00FF456A"/>
    <w:rsid w:val="00FF4777"/>
    <w:rsid w:val="00FF4988"/>
    <w:rsid w:val="023E4112"/>
    <w:rsid w:val="047A70C5"/>
    <w:rsid w:val="09F7266F"/>
    <w:rsid w:val="0C5346B5"/>
    <w:rsid w:val="1485151A"/>
    <w:rsid w:val="160F5857"/>
    <w:rsid w:val="184F43A8"/>
    <w:rsid w:val="1B81318F"/>
    <w:rsid w:val="1BCC070A"/>
    <w:rsid w:val="1FA74835"/>
    <w:rsid w:val="26E13DF1"/>
    <w:rsid w:val="290C261D"/>
    <w:rsid w:val="2B2A778D"/>
    <w:rsid w:val="2CF1046F"/>
    <w:rsid w:val="2D473C16"/>
    <w:rsid w:val="38372225"/>
    <w:rsid w:val="386A0F34"/>
    <w:rsid w:val="3A3730DA"/>
    <w:rsid w:val="41035F24"/>
    <w:rsid w:val="460F004B"/>
    <w:rsid w:val="46D1248E"/>
    <w:rsid w:val="47975850"/>
    <w:rsid w:val="49A61989"/>
    <w:rsid w:val="4A0871BF"/>
    <w:rsid w:val="4A7142D4"/>
    <w:rsid w:val="5AE44879"/>
    <w:rsid w:val="5C716315"/>
    <w:rsid w:val="5FB46FD8"/>
    <w:rsid w:val="7581506D"/>
    <w:rsid w:val="78583FC5"/>
    <w:rsid w:val="7FAE66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iPriority="39" w:semiHidden="0" w:name="toc 5"/>
    <w:lsdException w:qFormat="1" w:uiPriority="39" w:semiHidden="0" w:name="toc 6"/>
    <w:lsdException w:uiPriority="39" w:semiHidden="0" w:name="toc 7"/>
    <w:lsdException w:uiPriority="39" w:semiHidden="0" w:name="toc 8"/>
    <w:lsdException w:qFormat="1" w:uiPriority="39" w:semiHidden="0" w:name="toc 9"/>
    <w:lsdException w:qFormat="1" w:unhideWhenUsed="0" w:uiPriority="0" w:semiHidden="0"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nhideWhenUsed="0" w:uiPriority="0" w:semiHidden="0"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widowControl w:val="0"/>
      <w:spacing w:before="260" w:after="260" w:line="416" w:lineRule="auto"/>
      <w:ind w:left="992" w:hanging="141"/>
      <w:jc w:val="both"/>
      <w:outlineLvl w:val="2"/>
    </w:pPr>
    <w:rPr>
      <w:rFonts w:ascii="Times New Roman" w:hAnsi="Times New Roman" w:eastAsia="宋体" w:cs="Times New Roman"/>
      <w:b/>
      <w:bCs/>
      <w:kern w:val="2"/>
      <w:sz w:val="32"/>
      <w:szCs w:val="32"/>
    </w:rPr>
  </w:style>
  <w:style w:type="paragraph" w:styleId="5">
    <w:name w:val="heading 4"/>
    <w:basedOn w:val="1"/>
    <w:next w:val="1"/>
    <w:qFormat/>
    <w:uiPriority w:val="0"/>
    <w:pPr>
      <w:keepNext/>
      <w:keepLines/>
      <w:widowControl w:val="0"/>
      <w:spacing w:before="280" w:after="290" w:line="376" w:lineRule="auto"/>
      <w:ind w:left="1276"/>
      <w:jc w:val="both"/>
      <w:outlineLvl w:val="3"/>
    </w:pPr>
    <w:rPr>
      <w:rFonts w:ascii="Arial" w:hAnsi="Arial" w:eastAsia="黑体" w:cs="Times New Roman"/>
      <w:b/>
      <w:bCs/>
      <w:kern w:val="2"/>
      <w:sz w:val="28"/>
      <w:szCs w:val="28"/>
    </w:rPr>
  </w:style>
  <w:style w:type="paragraph" w:styleId="6">
    <w:name w:val="heading 5"/>
    <w:basedOn w:val="1"/>
    <w:next w:val="7"/>
    <w:qFormat/>
    <w:uiPriority w:val="0"/>
    <w:pPr>
      <w:keepNext/>
      <w:keepLines/>
      <w:widowControl w:val="0"/>
      <w:tabs>
        <w:tab w:val="left" w:pos="2580"/>
      </w:tabs>
      <w:spacing w:before="280" w:after="290" w:line="376" w:lineRule="auto"/>
      <w:ind w:left="2580" w:hanging="420"/>
      <w:jc w:val="both"/>
      <w:outlineLvl w:val="4"/>
    </w:pPr>
    <w:rPr>
      <w:rFonts w:ascii="Times New Roman" w:hAnsi="Times New Roman" w:eastAsia="宋体" w:cs="Times New Roman"/>
      <w:b/>
      <w:kern w:val="2"/>
      <w:sz w:val="28"/>
      <w:szCs w:val="20"/>
    </w:rPr>
  </w:style>
  <w:style w:type="paragraph" w:styleId="8">
    <w:name w:val="heading 6"/>
    <w:basedOn w:val="1"/>
    <w:next w:val="7"/>
    <w:qFormat/>
    <w:uiPriority w:val="0"/>
    <w:pPr>
      <w:keepNext/>
      <w:widowControl w:val="0"/>
      <w:tabs>
        <w:tab w:val="left" w:pos="2157"/>
      </w:tabs>
      <w:spacing w:line="440" w:lineRule="exact"/>
      <w:ind w:left="1437" w:hanging="720"/>
      <w:jc w:val="both"/>
      <w:outlineLvl w:val="5"/>
    </w:pPr>
    <w:rPr>
      <w:rFonts w:ascii="Times New Roman" w:hAnsi="Times New Roman" w:eastAsia="宋体" w:cs="Times New Roman"/>
      <w:kern w:val="2"/>
      <w:sz w:val="28"/>
      <w:szCs w:val="20"/>
    </w:rPr>
  </w:style>
  <w:style w:type="paragraph" w:styleId="9">
    <w:name w:val="heading 7"/>
    <w:basedOn w:val="1"/>
    <w:next w:val="1"/>
    <w:qFormat/>
    <w:uiPriority w:val="0"/>
    <w:pPr>
      <w:keepNext/>
      <w:keepLines/>
      <w:widowControl w:val="0"/>
      <w:spacing w:before="240" w:after="64" w:line="320" w:lineRule="auto"/>
      <w:jc w:val="both"/>
      <w:outlineLvl w:val="6"/>
    </w:pPr>
    <w:rPr>
      <w:rFonts w:ascii="Times New Roman" w:hAnsi="Times New Roman" w:eastAsia="宋体" w:cs="Times New Roman"/>
      <w:b/>
      <w:bCs/>
      <w:kern w:val="2"/>
    </w:rPr>
  </w:style>
  <w:style w:type="paragraph" w:styleId="10">
    <w:name w:val="heading 8"/>
    <w:basedOn w:val="1"/>
    <w:next w:val="7"/>
    <w:qFormat/>
    <w:uiPriority w:val="0"/>
    <w:pPr>
      <w:keepNext/>
      <w:keepLines/>
      <w:widowControl w:val="0"/>
      <w:tabs>
        <w:tab w:val="left" w:pos="3840"/>
      </w:tabs>
      <w:spacing w:before="240" w:after="64" w:line="320" w:lineRule="auto"/>
      <w:ind w:left="3840" w:hanging="420"/>
      <w:jc w:val="both"/>
      <w:outlineLvl w:val="7"/>
    </w:pPr>
    <w:rPr>
      <w:rFonts w:ascii="Arial" w:hAnsi="Arial" w:eastAsia="黑体" w:cs="Times New Roman"/>
      <w:kern w:val="2"/>
      <w:szCs w:val="20"/>
    </w:rPr>
  </w:style>
  <w:style w:type="paragraph" w:styleId="11">
    <w:name w:val="heading 9"/>
    <w:basedOn w:val="1"/>
    <w:next w:val="7"/>
    <w:qFormat/>
    <w:uiPriority w:val="0"/>
    <w:pPr>
      <w:keepNext/>
      <w:keepLines/>
      <w:widowControl w:val="0"/>
      <w:tabs>
        <w:tab w:val="left" w:pos="4260"/>
      </w:tabs>
      <w:spacing w:before="240" w:after="64" w:line="320" w:lineRule="auto"/>
      <w:ind w:left="4260" w:hanging="420"/>
      <w:jc w:val="both"/>
      <w:outlineLvl w:val="8"/>
    </w:pPr>
    <w:rPr>
      <w:rFonts w:ascii="Arial" w:hAnsi="Arial" w:eastAsia="黑体" w:cs="Times New Roman"/>
      <w:kern w:val="2"/>
      <w:sz w:val="21"/>
      <w:szCs w:val="20"/>
    </w:rPr>
  </w:style>
  <w:style w:type="character" w:default="1" w:styleId="45">
    <w:name w:val="Default Paragraph Font"/>
    <w:autoRedefine/>
    <w:uiPriority w:val="0"/>
    <w:rPr>
      <w:rFonts w:ascii="Times New Roman" w:hAnsi="Times New Roman" w:eastAsia="宋体" w:cs="Times New Roman"/>
    </w:rPr>
  </w:style>
  <w:style w:type="table" w:default="1" w:styleId="43">
    <w:name w:val="Normal Table"/>
    <w:uiPriority w:val="0"/>
    <w:rPr>
      <w:rFonts w:ascii="Times New Roman" w:hAnsi="Times New Roman" w:eastAsia="宋体" w:cs="Times New Roman"/>
    </w:rPr>
    <w:tblPr>
      <w:tblCellMar>
        <w:top w:w="0" w:type="dxa"/>
        <w:left w:w="108" w:type="dxa"/>
        <w:bottom w:w="0" w:type="dxa"/>
        <w:right w:w="108" w:type="dxa"/>
      </w:tblCellMar>
    </w:tblPr>
  </w:style>
  <w:style w:type="paragraph" w:styleId="7">
    <w:name w:val="Normal Indent"/>
    <w:basedOn w:val="1"/>
    <w:link w:val="53"/>
    <w:qFormat/>
    <w:uiPriority w:val="0"/>
    <w:pPr>
      <w:widowControl w:val="0"/>
      <w:spacing w:line="360" w:lineRule="auto"/>
      <w:ind w:firstLine="200" w:firstLineChars="200"/>
    </w:pPr>
    <w:rPr>
      <w:kern w:val="2"/>
      <w:sz w:val="21"/>
      <w:szCs w:val="20"/>
    </w:rPr>
  </w:style>
  <w:style w:type="paragraph" w:styleId="12">
    <w:name w:val="toc 7"/>
    <w:basedOn w:val="1"/>
    <w:next w:val="1"/>
    <w:unhideWhenUsed/>
    <w:uiPriority w:val="39"/>
    <w:pPr>
      <w:ind w:left="1440"/>
    </w:pPr>
    <w:rPr>
      <w:rFonts w:ascii="等线" w:eastAsia="等线"/>
      <w:sz w:val="18"/>
      <w:szCs w:val="18"/>
    </w:rPr>
  </w:style>
  <w:style w:type="paragraph" w:styleId="13">
    <w:name w:val="List Number"/>
    <w:basedOn w:val="1"/>
    <w:uiPriority w:val="0"/>
    <w:pPr>
      <w:numPr>
        <w:ilvl w:val="0"/>
        <w:numId w:val="1"/>
      </w:numPr>
      <w:contextualSpacing/>
    </w:pPr>
    <w:rPr>
      <w:rFonts w:ascii="Times New Roman" w:hAnsi="Times New Roman" w:eastAsia="宋体" w:cs="Times New Roman"/>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uiPriority w:val="0"/>
    <w:pPr>
      <w:shd w:val="clear" w:color="auto" w:fill="000080"/>
    </w:pPr>
    <w:rPr>
      <w:rFonts w:ascii="Times New Roman" w:hAnsi="Times New Roman" w:eastAsia="宋体" w:cs="Times New Roman"/>
    </w:rPr>
  </w:style>
  <w:style w:type="paragraph" w:styleId="16">
    <w:name w:val="annotation text"/>
    <w:basedOn w:val="1"/>
    <w:link w:val="54"/>
    <w:uiPriority w:val="0"/>
    <w:pPr>
      <w:widowControl w:val="0"/>
    </w:pPr>
    <w:rPr>
      <w:kern w:val="2"/>
      <w:sz w:val="21"/>
    </w:rPr>
  </w:style>
  <w:style w:type="paragraph" w:styleId="17">
    <w:name w:val="index 6"/>
    <w:next w:val="1"/>
    <w:autoRedefine/>
    <w:uiPriority w:val="0"/>
    <w:pPr>
      <w:jc w:val="both"/>
    </w:pPr>
    <w:rPr>
      <w:rFonts w:ascii="Times New Roman" w:hAnsi="Times New Roman" w:eastAsia="宋体" w:cs="Times New Roman"/>
      <w:sz w:val="21"/>
      <w:szCs w:val="24"/>
      <w:lang w:val="en-US" w:eastAsia="zh-CN" w:bidi="ar-SA"/>
    </w:rPr>
  </w:style>
  <w:style w:type="paragraph" w:styleId="18">
    <w:name w:val="Body Text 3"/>
    <w:basedOn w:val="1"/>
    <w:uiPriority w:val="0"/>
    <w:pPr>
      <w:widowControl w:val="0"/>
      <w:tabs>
        <w:tab w:val="left" w:pos="6480"/>
      </w:tabs>
      <w:spacing w:line="360" w:lineRule="auto"/>
      <w:ind w:right="-512" w:rightChars="-244"/>
      <w:jc w:val="both"/>
    </w:pPr>
    <w:rPr>
      <w:rFonts w:ascii="宋体" w:hAnsi="宋体" w:eastAsia="宋体" w:cs="Times New Roman"/>
      <w:kern w:val="2"/>
    </w:rPr>
  </w:style>
  <w:style w:type="paragraph" w:styleId="19">
    <w:name w:val="Body Text"/>
    <w:basedOn w:val="1"/>
    <w:uiPriority w:val="0"/>
    <w:pPr>
      <w:widowControl w:val="0"/>
      <w:jc w:val="both"/>
    </w:pPr>
    <w:rPr>
      <w:rFonts w:ascii="Times New Roman" w:hAnsi="Times New Roman" w:eastAsia="宋体" w:cs="Times New Roman"/>
      <w:kern w:val="2"/>
      <w:sz w:val="28"/>
    </w:rPr>
  </w:style>
  <w:style w:type="paragraph" w:styleId="20">
    <w:name w:val="Body Text Indent"/>
    <w:basedOn w:val="1"/>
    <w:uiPriority w:val="0"/>
    <w:pPr>
      <w:spacing w:line="440" w:lineRule="exact"/>
      <w:ind w:firstLine="480" w:firstLineChars="200"/>
      <w:jc w:val="both"/>
    </w:pPr>
    <w:rPr>
      <w:rFonts w:ascii="Times New Roman" w:hAnsi="Times New Roman" w:eastAsia="仿宋_GB2312" w:cs="Times New Roman"/>
    </w:rPr>
  </w:style>
  <w:style w:type="paragraph" w:styleId="21">
    <w:name w:val="List 2"/>
    <w:basedOn w:val="1"/>
    <w:uiPriority w:val="0"/>
    <w:pPr>
      <w:ind w:left="100" w:leftChars="200" w:hanging="200" w:hangingChars="200"/>
    </w:pPr>
    <w:rPr>
      <w:rFonts w:ascii="Times New Roman" w:hAnsi="Times New Roman" w:eastAsia="宋体" w:cs="Times New Roman"/>
    </w:rPr>
  </w:style>
  <w:style w:type="paragraph" w:styleId="22">
    <w:name w:val="toc 5"/>
    <w:basedOn w:val="1"/>
    <w:next w:val="1"/>
    <w:unhideWhenUsed/>
    <w:uiPriority w:val="39"/>
    <w:pPr>
      <w:ind w:left="960"/>
    </w:pPr>
    <w:rPr>
      <w:rFonts w:ascii="等线" w:eastAsia="等线"/>
      <w:sz w:val="18"/>
      <w:szCs w:val="18"/>
    </w:rPr>
  </w:style>
  <w:style w:type="paragraph" w:styleId="23">
    <w:name w:val="toc 3"/>
    <w:basedOn w:val="1"/>
    <w:next w:val="1"/>
    <w:uiPriority w:val="0"/>
    <w:pPr>
      <w:ind w:left="480"/>
    </w:pPr>
    <w:rPr>
      <w:rFonts w:ascii="等线" w:eastAsia="等线"/>
      <w:i/>
      <w:iCs/>
      <w:sz w:val="20"/>
      <w:szCs w:val="20"/>
    </w:rPr>
  </w:style>
  <w:style w:type="paragraph" w:styleId="24">
    <w:name w:val="Plain Text"/>
    <w:basedOn w:val="1"/>
    <w:link w:val="55"/>
    <w:qFormat/>
    <w:uiPriority w:val="99"/>
    <w:pPr>
      <w:spacing w:before="100" w:beforeAutospacing="1" w:after="100" w:afterAutospacing="1"/>
    </w:pPr>
    <w:rPr>
      <w:rFonts w:ascii="宋体" w:hAnsi="宋体"/>
    </w:rPr>
  </w:style>
  <w:style w:type="paragraph" w:styleId="25">
    <w:name w:val="toc 8"/>
    <w:basedOn w:val="1"/>
    <w:next w:val="1"/>
    <w:unhideWhenUsed/>
    <w:uiPriority w:val="39"/>
    <w:pPr>
      <w:ind w:left="1680"/>
    </w:pPr>
    <w:rPr>
      <w:rFonts w:ascii="等线" w:eastAsia="等线"/>
      <w:sz w:val="18"/>
      <w:szCs w:val="18"/>
    </w:rPr>
  </w:style>
  <w:style w:type="paragraph" w:styleId="26">
    <w:name w:val="Date"/>
    <w:basedOn w:val="1"/>
    <w:next w:val="1"/>
    <w:qFormat/>
    <w:uiPriority w:val="0"/>
    <w:pPr>
      <w:widowControl w:val="0"/>
      <w:ind w:left="100" w:leftChars="2500"/>
      <w:jc w:val="both"/>
    </w:pPr>
    <w:rPr>
      <w:rFonts w:ascii="Times New Roman" w:hAnsi="Times New Roman" w:eastAsia="宋体" w:cs="Times New Roman"/>
      <w:kern w:val="2"/>
      <w:sz w:val="21"/>
    </w:rPr>
  </w:style>
  <w:style w:type="paragraph" w:styleId="27">
    <w:name w:val="Body Text Indent 2"/>
    <w:basedOn w:val="1"/>
    <w:uiPriority w:val="0"/>
    <w:pPr>
      <w:ind w:firstLine="435"/>
    </w:pPr>
    <w:rPr>
      <w:rFonts w:ascii="仿宋_GB2312" w:hAnsi="Times New Roman" w:eastAsia="仿宋_GB2312" w:cs="Times New Roman"/>
    </w:rPr>
  </w:style>
  <w:style w:type="paragraph" w:styleId="28">
    <w:name w:val="Balloon Text"/>
    <w:basedOn w:val="1"/>
    <w:uiPriority w:val="0"/>
    <w:rPr>
      <w:rFonts w:ascii="Times New Roman" w:hAnsi="Times New Roman" w:eastAsia="宋体" w:cs="Times New Roman"/>
      <w:sz w:val="18"/>
      <w:szCs w:val="18"/>
    </w:rPr>
  </w:style>
  <w:style w:type="paragraph" w:styleId="29">
    <w:name w:val="footer"/>
    <w:basedOn w:val="1"/>
    <w:link w:val="56"/>
    <w:qFormat/>
    <w:uiPriority w:val="0"/>
    <w:pPr>
      <w:tabs>
        <w:tab w:val="center" w:pos="4153"/>
        <w:tab w:val="right" w:pos="8306"/>
      </w:tabs>
      <w:snapToGrid w:val="0"/>
    </w:pPr>
    <w:rPr>
      <w:sz w:val="18"/>
      <w:szCs w:val="18"/>
    </w:rPr>
  </w:style>
  <w:style w:type="paragraph" w:styleId="30">
    <w:name w:val="header"/>
    <w:basedOn w:val="1"/>
    <w:link w:val="57"/>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spacing w:before="120" w:after="120"/>
    </w:pPr>
    <w:rPr>
      <w:rFonts w:ascii="等线" w:eastAsia="等线"/>
      <w:b/>
      <w:bCs/>
      <w:caps/>
      <w:sz w:val="20"/>
      <w:szCs w:val="20"/>
    </w:rPr>
  </w:style>
  <w:style w:type="paragraph" w:styleId="32">
    <w:name w:val="toc 4"/>
    <w:basedOn w:val="1"/>
    <w:next w:val="1"/>
    <w:autoRedefine/>
    <w:unhideWhenUsed/>
    <w:qFormat/>
    <w:uiPriority w:val="39"/>
    <w:pPr>
      <w:ind w:left="720"/>
    </w:pPr>
    <w:rPr>
      <w:rFonts w:ascii="等线" w:eastAsia="等线"/>
      <w:sz w:val="18"/>
      <w:szCs w:val="18"/>
    </w:rPr>
  </w:style>
  <w:style w:type="paragraph" w:styleId="33">
    <w:name w:val="List"/>
    <w:basedOn w:val="1"/>
    <w:autoRedefine/>
    <w:qFormat/>
    <w:uiPriority w:val="0"/>
    <w:pPr>
      <w:ind w:left="200" w:hanging="200" w:hangingChars="200"/>
    </w:pPr>
    <w:rPr>
      <w:rFonts w:ascii="Times New Roman" w:hAnsi="Times New Roman" w:eastAsia="宋体" w:cs="Times New Roman"/>
    </w:rPr>
  </w:style>
  <w:style w:type="paragraph" w:styleId="34">
    <w:name w:val="toc 6"/>
    <w:basedOn w:val="1"/>
    <w:next w:val="1"/>
    <w:autoRedefine/>
    <w:unhideWhenUsed/>
    <w:qFormat/>
    <w:uiPriority w:val="39"/>
    <w:pPr>
      <w:ind w:left="1200"/>
    </w:pPr>
    <w:rPr>
      <w:rFonts w:ascii="等线" w:eastAsia="等线"/>
      <w:sz w:val="18"/>
      <w:szCs w:val="18"/>
    </w:rPr>
  </w:style>
  <w:style w:type="paragraph" w:styleId="35">
    <w:name w:val="Body Text Indent 3"/>
    <w:basedOn w:val="1"/>
    <w:autoRedefine/>
    <w:qFormat/>
    <w:uiPriority w:val="0"/>
    <w:pPr>
      <w:ind w:firstLine="540" w:firstLineChars="225"/>
      <w:jc w:val="both"/>
    </w:pPr>
    <w:rPr>
      <w:rFonts w:ascii="仿宋_GB2312" w:hAnsi="Times New Roman" w:eastAsia="仿宋_GB2312" w:cs="Times New Roman"/>
      <w:szCs w:val="14"/>
    </w:rPr>
  </w:style>
  <w:style w:type="paragraph" w:styleId="36">
    <w:name w:val="toc 2"/>
    <w:basedOn w:val="1"/>
    <w:next w:val="1"/>
    <w:autoRedefine/>
    <w:qFormat/>
    <w:uiPriority w:val="39"/>
    <w:pPr>
      <w:ind w:left="240"/>
    </w:pPr>
    <w:rPr>
      <w:rFonts w:ascii="等线" w:eastAsia="等线"/>
      <w:smallCaps/>
      <w:sz w:val="20"/>
      <w:szCs w:val="20"/>
    </w:rPr>
  </w:style>
  <w:style w:type="paragraph" w:styleId="37">
    <w:name w:val="toc 9"/>
    <w:basedOn w:val="1"/>
    <w:next w:val="1"/>
    <w:autoRedefine/>
    <w:unhideWhenUsed/>
    <w:qFormat/>
    <w:uiPriority w:val="39"/>
    <w:pPr>
      <w:ind w:left="1920"/>
    </w:pPr>
    <w:rPr>
      <w:rFonts w:ascii="等线" w:eastAsia="等线"/>
      <w:sz w:val="18"/>
      <w:szCs w:val="18"/>
    </w:rPr>
  </w:style>
  <w:style w:type="paragraph" w:styleId="38">
    <w:name w:val="Body Text 2"/>
    <w:basedOn w:val="1"/>
    <w:autoRedefine/>
    <w:qFormat/>
    <w:uiPriority w:val="0"/>
    <w:pPr>
      <w:spacing w:line="360" w:lineRule="exact"/>
      <w:jc w:val="both"/>
    </w:pPr>
    <w:rPr>
      <w:rFonts w:ascii="仿宋_GB2312" w:hAnsi="Times New Roman" w:eastAsia="仿宋_GB2312" w:cs="Times New Roman"/>
    </w:rPr>
  </w:style>
  <w:style w:type="paragraph" w:styleId="39">
    <w:name w:val="Normal (Web)"/>
    <w:basedOn w:val="1"/>
    <w:autoRedefine/>
    <w:qFormat/>
    <w:uiPriority w:val="99"/>
    <w:pPr>
      <w:spacing w:before="100" w:beforeAutospacing="1" w:after="100" w:afterAutospacing="1"/>
    </w:pPr>
    <w:rPr>
      <w:rFonts w:hint="eastAsia" w:ascii="宋体" w:hAnsi="宋体" w:eastAsia="宋体" w:cs="Times New Roman"/>
    </w:rPr>
  </w:style>
  <w:style w:type="paragraph" w:styleId="40">
    <w:name w:val="annotation subject"/>
    <w:basedOn w:val="16"/>
    <w:next w:val="16"/>
    <w:autoRedefine/>
    <w:qFormat/>
    <w:uiPriority w:val="0"/>
    <w:rPr>
      <w:rFonts w:ascii="Times New Roman" w:hAnsi="Times New Roman" w:eastAsia="宋体" w:cs="Times New Roman"/>
      <w:b/>
      <w:bCs/>
    </w:rPr>
  </w:style>
  <w:style w:type="paragraph" w:styleId="41">
    <w:name w:val="Body Text First Indent"/>
    <w:basedOn w:val="19"/>
    <w:autoRedefine/>
    <w:qFormat/>
    <w:uiPriority w:val="0"/>
    <w:pPr>
      <w:widowControl/>
      <w:spacing w:after="120"/>
      <w:ind w:firstLine="420" w:firstLineChars="100"/>
      <w:jc w:val="left"/>
    </w:pPr>
    <w:rPr>
      <w:rFonts w:ascii="Times New Roman" w:hAnsi="Times New Roman" w:eastAsia="宋体" w:cs="Times New Roman"/>
      <w:kern w:val="0"/>
      <w:sz w:val="24"/>
    </w:rPr>
  </w:style>
  <w:style w:type="paragraph" w:styleId="42">
    <w:name w:val="Body Text First Indent 2"/>
    <w:basedOn w:val="20"/>
    <w:link w:val="58"/>
    <w:autoRedefine/>
    <w:qFormat/>
    <w:uiPriority w:val="0"/>
    <w:pPr>
      <w:spacing w:after="120" w:line="240" w:lineRule="auto"/>
      <w:ind w:left="420" w:leftChars="200" w:firstLine="420"/>
      <w:jc w:val="left"/>
    </w:pPr>
    <w:rPr>
      <w:rFonts w:eastAsia="宋体"/>
    </w:rPr>
  </w:style>
  <w:style w:type="table" w:styleId="44">
    <w:name w:val="Table Grid"/>
    <w:basedOn w:val="4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22"/>
    <w:rPr>
      <w:rFonts w:ascii="Times New Roman" w:hAnsi="Times New Roman" w:eastAsia="宋体" w:cs="Times New Roman"/>
      <w:b/>
      <w:bCs/>
    </w:rPr>
  </w:style>
  <w:style w:type="character" w:styleId="47">
    <w:name w:val="page number"/>
    <w:autoRedefine/>
    <w:qFormat/>
    <w:uiPriority w:val="0"/>
    <w:rPr>
      <w:rFonts w:ascii="Times New Roman" w:hAnsi="Times New Roman" w:eastAsia="宋体" w:cs="Times New Roman"/>
    </w:rPr>
  </w:style>
  <w:style w:type="character" w:styleId="48">
    <w:name w:val="FollowedHyperlink"/>
    <w:autoRedefine/>
    <w:qFormat/>
    <w:uiPriority w:val="0"/>
    <w:rPr>
      <w:rFonts w:ascii="Times New Roman" w:hAnsi="Times New Roman" w:eastAsia="宋体" w:cs="Times New Roman"/>
      <w:color w:val="800080"/>
      <w:u w:val="single"/>
    </w:rPr>
  </w:style>
  <w:style w:type="character" w:styleId="49">
    <w:name w:val="Hyperlink"/>
    <w:autoRedefine/>
    <w:qFormat/>
    <w:uiPriority w:val="99"/>
    <w:rPr>
      <w:rFonts w:ascii="Times New Roman" w:hAnsi="Times New Roman" w:eastAsia="宋体" w:cs="Times New Roman"/>
      <w:color w:val="0000FF"/>
      <w:u w:val="single"/>
    </w:rPr>
  </w:style>
  <w:style w:type="character" w:styleId="50">
    <w:name w:val="annotation reference"/>
    <w:autoRedefine/>
    <w:qFormat/>
    <w:uiPriority w:val="0"/>
    <w:rPr>
      <w:rFonts w:ascii="Times New Roman" w:hAnsi="Times New Roman" w:eastAsia="宋体" w:cs="Times New Roman"/>
      <w:sz w:val="21"/>
      <w:szCs w:val="21"/>
    </w:rPr>
  </w:style>
  <w:style w:type="character" w:customStyle="1" w:styleId="51">
    <w:name w:val="标题 1 Char"/>
    <w:link w:val="2"/>
    <w:autoRedefine/>
    <w:qFormat/>
    <w:uiPriority w:val="0"/>
    <w:rPr>
      <w:rFonts w:ascii="Times New Roman" w:hAnsi="Times New Roman" w:eastAsia="宋体" w:cs="Times New Roman"/>
      <w:b/>
      <w:bCs/>
      <w:kern w:val="44"/>
      <w:sz w:val="44"/>
      <w:szCs w:val="44"/>
      <w:lang w:val="en-US" w:eastAsia="zh-CN" w:bidi="ar-SA"/>
    </w:rPr>
  </w:style>
  <w:style w:type="character" w:customStyle="1" w:styleId="52">
    <w:name w:val="标题 2 Char"/>
    <w:link w:val="3"/>
    <w:autoRedefine/>
    <w:qFormat/>
    <w:uiPriority w:val="0"/>
    <w:rPr>
      <w:rFonts w:ascii="Arial" w:hAnsi="Arial" w:eastAsia="黑体" w:cs="Times New Roman"/>
      <w:b/>
      <w:bCs/>
      <w:sz w:val="32"/>
      <w:szCs w:val="32"/>
      <w:lang w:val="en-US" w:eastAsia="zh-CN" w:bidi="ar-SA"/>
    </w:rPr>
  </w:style>
  <w:style w:type="character" w:customStyle="1" w:styleId="53">
    <w:name w:val="正文缩进 Char"/>
    <w:link w:val="7"/>
    <w:autoRedefine/>
    <w:qFormat/>
    <w:uiPriority w:val="0"/>
    <w:rPr>
      <w:kern w:val="2"/>
      <w:sz w:val="21"/>
    </w:rPr>
  </w:style>
  <w:style w:type="character" w:customStyle="1" w:styleId="54">
    <w:name w:val="批注文字 Char"/>
    <w:link w:val="16"/>
    <w:autoRedefine/>
    <w:qFormat/>
    <w:uiPriority w:val="0"/>
    <w:rPr>
      <w:rFonts w:ascii="Times New Roman" w:hAnsi="Times New Roman" w:eastAsia="宋体" w:cs="Times New Roman"/>
      <w:kern w:val="2"/>
      <w:sz w:val="21"/>
      <w:szCs w:val="24"/>
      <w:lang w:val="en-US" w:eastAsia="zh-CN" w:bidi="ar-SA"/>
    </w:rPr>
  </w:style>
  <w:style w:type="character" w:customStyle="1" w:styleId="55">
    <w:name w:val="纯文本 Char"/>
    <w:link w:val="24"/>
    <w:autoRedefine/>
    <w:qFormat/>
    <w:uiPriority w:val="99"/>
    <w:rPr>
      <w:rFonts w:ascii="宋体" w:hAnsi="宋体" w:eastAsia="宋体" w:cs="Times New Roman"/>
      <w:sz w:val="24"/>
      <w:szCs w:val="24"/>
      <w:lang w:val="en-US" w:eastAsia="zh-CN" w:bidi="ar-SA"/>
    </w:rPr>
  </w:style>
  <w:style w:type="character" w:customStyle="1" w:styleId="56">
    <w:name w:val="页脚 Char"/>
    <w:link w:val="29"/>
    <w:autoRedefine/>
    <w:qFormat/>
    <w:uiPriority w:val="0"/>
    <w:rPr>
      <w:rFonts w:ascii="Times New Roman" w:hAnsi="Times New Roman" w:eastAsia="宋体" w:cs="Times New Roman"/>
      <w:sz w:val="18"/>
      <w:szCs w:val="18"/>
      <w:lang w:val="en-US" w:eastAsia="zh-CN" w:bidi="ar-SA"/>
    </w:rPr>
  </w:style>
  <w:style w:type="character" w:customStyle="1" w:styleId="57">
    <w:name w:val="页眉 Char"/>
    <w:link w:val="30"/>
    <w:autoRedefine/>
    <w:qFormat/>
    <w:uiPriority w:val="0"/>
    <w:rPr>
      <w:rFonts w:ascii="Times New Roman" w:hAnsi="Times New Roman" w:eastAsia="宋体" w:cs="Times New Roman"/>
      <w:sz w:val="18"/>
      <w:szCs w:val="18"/>
      <w:lang w:val="en-US" w:eastAsia="zh-CN" w:bidi="ar-SA"/>
    </w:rPr>
  </w:style>
  <w:style w:type="character" w:customStyle="1" w:styleId="58">
    <w:name w:val="正文首行缩进 2 Char"/>
    <w:link w:val="42"/>
    <w:autoRedefine/>
    <w:qFormat/>
    <w:uiPriority w:val="0"/>
    <w:rPr>
      <w:sz w:val="24"/>
      <w:szCs w:val="24"/>
    </w:rPr>
  </w:style>
  <w:style w:type="character" w:customStyle="1" w:styleId="59">
    <w:name w:val="Z2 Char Char"/>
    <w:autoRedefine/>
    <w:qFormat/>
    <w:uiPriority w:val="0"/>
    <w:rPr>
      <w:rFonts w:ascii="Arial" w:hAnsi="Arial" w:eastAsia="黑体" w:cs="Times New Roman"/>
      <w:b/>
      <w:bCs/>
      <w:sz w:val="32"/>
      <w:szCs w:val="32"/>
      <w:lang w:val="en-US" w:eastAsia="zh-CN" w:bidi="ar-SA"/>
    </w:rPr>
  </w:style>
  <w:style w:type="character" w:customStyle="1" w:styleId="60">
    <w:name w:val=" Char Char Char Char Char"/>
    <w:autoRedefine/>
    <w:qFormat/>
    <w:uiPriority w:val="0"/>
    <w:rPr>
      <w:rFonts w:ascii="宋体" w:hAnsi="宋体" w:eastAsia="宋体" w:cs="Times New Roman"/>
      <w:sz w:val="24"/>
      <w:szCs w:val="24"/>
      <w:lang w:val="en-US" w:eastAsia="zh-CN" w:bidi="ar-SA"/>
    </w:rPr>
  </w:style>
  <w:style w:type="character" w:customStyle="1" w:styleId="61">
    <w:name w:val="para"/>
    <w:autoRedefine/>
    <w:qFormat/>
    <w:uiPriority w:val="0"/>
    <w:rPr>
      <w:rFonts w:ascii="Times New Roman" w:hAnsi="Times New Roman" w:eastAsia="宋体" w:cs="Times New Roman"/>
    </w:rPr>
  </w:style>
  <w:style w:type="character" w:customStyle="1" w:styleId="62">
    <w:name w:val=" Char Char Char Char"/>
    <w:autoRedefine/>
    <w:qFormat/>
    <w:uiPriority w:val="0"/>
    <w:rPr>
      <w:rFonts w:ascii="Times New Roman" w:hAnsi="Times New Roman" w:eastAsia="宋体" w:cs="Times New Roman"/>
      <w:kern w:val="2"/>
      <w:sz w:val="21"/>
      <w:szCs w:val="24"/>
      <w:lang w:val="en-US" w:eastAsia="zh-CN" w:bidi="ar-SA"/>
    </w:rPr>
  </w:style>
  <w:style w:type="character" w:customStyle="1" w:styleId="63">
    <w:name w:val="txt1"/>
    <w:autoRedefine/>
    <w:qFormat/>
    <w:uiPriority w:val="0"/>
    <w:rPr>
      <w:rFonts w:hint="default" w:ascii="ˎ̥" w:hAnsi="ˎ̥" w:eastAsia="宋体" w:cs="Times New Roman"/>
      <w:sz w:val="18"/>
      <w:szCs w:val="18"/>
    </w:rPr>
  </w:style>
  <w:style w:type="character" w:customStyle="1" w:styleId="64">
    <w:name w:val="font31"/>
    <w:autoRedefine/>
    <w:qFormat/>
    <w:uiPriority w:val="0"/>
    <w:rPr>
      <w:rFonts w:hint="eastAsia" w:ascii="宋体" w:hAnsi="宋体" w:eastAsia="宋体" w:cs="宋体"/>
      <w:color w:val="000000"/>
      <w:sz w:val="18"/>
      <w:szCs w:val="18"/>
      <w:u w:val="none"/>
    </w:rPr>
  </w:style>
  <w:style w:type="character" w:customStyle="1" w:styleId="65">
    <w:name w:val="zyp-正文 Char"/>
    <w:link w:val="66"/>
    <w:autoRedefine/>
    <w:qFormat/>
    <w:uiPriority w:val="0"/>
    <w:rPr>
      <w:rFonts w:ascii="宋体" w:hAnsi="宋体" w:eastAsia="宋体" w:cs="Times New Roman"/>
      <w:color w:val="000000"/>
      <w:kern w:val="2"/>
      <w:sz w:val="28"/>
      <w:szCs w:val="18"/>
      <w:lang w:val="en-US" w:eastAsia="zh-CN" w:bidi="ar-SA"/>
    </w:rPr>
  </w:style>
  <w:style w:type="paragraph" w:customStyle="1" w:styleId="66">
    <w:name w:val="zyp-正文"/>
    <w:basedOn w:val="39"/>
    <w:link w:val="65"/>
    <w:autoRedefine/>
    <w:qFormat/>
    <w:uiPriority w:val="0"/>
    <w:pPr>
      <w:spacing w:before="0" w:beforeAutospacing="0" w:after="0" w:afterAutospacing="0" w:line="360" w:lineRule="auto"/>
      <w:ind w:firstLine="200" w:firstLineChars="200"/>
    </w:pPr>
    <w:rPr>
      <w:rFonts w:hint="default"/>
      <w:color w:val="000000"/>
      <w:kern w:val="2"/>
      <w:sz w:val="28"/>
      <w:szCs w:val="18"/>
    </w:rPr>
  </w:style>
  <w:style w:type="character" w:customStyle="1" w:styleId="67">
    <w:name w:val="font51"/>
    <w:autoRedefine/>
    <w:qFormat/>
    <w:uiPriority w:val="0"/>
    <w:rPr>
      <w:rFonts w:hint="eastAsia" w:ascii="宋体" w:hAnsi="宋体" w:eastAsia="宋体" w:cs="宋体"/>
      <w:color w:val="000000"/>
      <w:sz w:val="22"/>
      <w:szCs w:val="22"/>
      <w:u w:val="none"/>
    </w:rPr>
  </w:style>
  <w:style w:type="character" w:customStyle="1" w:styleId="68">
    <w:name w:val=" Char Char1"/>
    <w:autoRedefine/>
    <w:qFormat/>
    <w:uiPriority w:val="0"/>
    <w:rPr>
      <w:rFonts w:ascii="Times New Roman" w:hAnsi="Times New Roman" w:eastAsia="宋体" w:cs="Times New Roman"/>
      <w:sz w:val="18"/>
      <w:szCs w:val="18"/>
      <w:lang w:val="en-US" w:eastAsia="zh-CN" w:bidi="ar-SA"/>
    </w:rPr>
  </w:style>
  <w:style w:type="character" w:customStyle="1" w:styleId="69">
    <w:name w:val="样式1 Char Char"/>
    <w:link w:val="70"/>
    <w:autoRedefine/>
    <w:qFormat/>
    <w:uiPriority w:val="0"/>
    <w:rPr>
      <w:rFonts w:ascii="Arial" w:hAnsi="Arial"/>
      <w:kern w:val="2"/>
      <w:sz w:val="21"/>
      <w:szCs w:val="24"/>
    </w:rPr>
  </w:style>
  <w:style w:type="paragraph" w:customStyle="1" w:styleId="70">
    <w:name w:val="样式1"/>
    <w:basedOn w:val="1"/>
    <w:link w:val="69"/>
    <w:autoRedefine/>
    <w:qFormat/>
    <w:uiPriority w:val="0"/>
    <w:pPr>
      <w:widowControl w:val="0"/>
      <w:spacing w:line="360" w:lineRule="exact"/>
      <w:ind w:firstLine="200" w:firstLineChars="200"/>
      <w:jc w:val="both"/>
    </w:pPr>
    <w:rPr>
      <w:rFonts w:ascii="Arial" w:hAnsi="Arial"/>
      <w:kern w:val="2"/>
      <w:sz w:val="21"/>
    </w:rPr>
  </w:style>
  <w:style w:type="character" w:customStyle="1" w:styleId="71">
    <w:name w:val=" Char Char3"/>
    <w:autoRedefine/>
    <w:qFormat/>
    <w:uiPriority w:val="0"/>
    <w:rPr>
      <w:rFonts w:ascii="Times New Roman" w:hAnsi="Times New Roman" w:eastAsia="宋体" w:cs="Times New Roman"/>
      <w:kern w:val="2"/>
      <w:sz w:val="18"/>
    </w:rPr>
  </w:style>
  <w:style w:type="character" w:customStyle="1" w:styleId="72">
    <w:name w:val="普通文字 Char Char1"/>
    <w:autoRedefine/>
    <w:qFormat/>
    <w:uiPriority w:val="0"/>
    <w:rPr>
      <w:rFonts w:ascii="宋体" w:hAnsi="宋体" w:eastAsia="宋体" w:cs="Times New Roman"/>
      <w:sz w:val="24"/>
      <w:szCs w:val="24"/>
      <w:lang w:val="en-US" w:eastAsia="zh-CN" w:bidi="ar-SA"/>
    </w:rPr>
  </w:style>
  <w:style w:type="character" w:customStyle="1" w:styleId="73">
    <w:name w:val="zyp-正文 Char Char"/>
    <w:autoRedefine/>
    <w:qFormat/>
    <w:uiPriority w:val="0"/>
    <w:rPr>
      <w:rFonts w:ascii="宋体" w:hAnsi="宋体" w:eastAsia="宋体" w:cs="Times New Roman"/>
      <w:color w:val="000000"/>
      <w:kern w:val="2"/>
      <w:sz w:val="28"/>
      <w:szCs w:val="18"/>
      <w:lang w:val="en-US" w:eastAsia="zh-CN" w:bidi="ar-SA"/>
    </w:rPr>
  </w:style>
  <w:style w:type="character" w:customStyle="1" w:styleId="74">
    <w:name w:val="标题 3 Char"/>
    <w:autoRedefine/>
    <w:qFormat/>
    <w:uiPriority w:val="0"/>
    <w:rPr>
      <w:rFonts w:ascii="黑体" w:hAnsi="Trebuchet MS" w:eastAsia="黑体" w:cs="Times New Roman"/>
      <w:b/>
      <w:bCs/>
      <w:snapToGrid w:val="0"/>
      <w:sz w:val="28"/>
      <w:szCs w:val="28"/>
      <w:lang w:val="en-US" w:eastAsia="zh-CN" w:bidi="ar-SA"/>
    </w:rPr>
  </w:style>
  <w:style w:type="character" w:customStyle="1" w:styleId="75">
    <w:name w:val="apple-style-span"/>
    <w:autoRedefine/>
    <w:qFormat/>
    <w:uiPriority w:val="0"/>
    <w:rPr>
      <w:rFonts w:ascii="Times New Roman" w:hAnsi="Times New Roman" w:eastAsia="宋体" w:cs="Times New Roman"/>
    </w:rPr>
  </w:style>
  <w:style w:type="character" w:customStyle="1" w:styleId="76">
    <w:name w:val=" Char Char Char Char Char Char"/>
    <w:autoRedefine/>
    <w:qFormat/>
    <w:uiPriority w:val="0"/>
    <w:rPr>
      <w:rFonts w:ascii="Times New Roman" w:hAnsi="Times New Roman" w:eastAsia="宋体" w:cs="Times New Roman"/>
      <w:kern w:val="2"/>
      <w:sz w:val="21"/>
      <w:szCs w:val="24"/>
      <w:lang w:val="en-US" w:eastAsia="zh-CN" w:bidi="ar-SA"/>
    </w:rPr>
  </w:style>
  <w:style w:type="character" w:customStyle="1" w:styleId="77">
    <w:name w:val="font11"/>
    <w:autoRedefine/>
    <w:qFormat/>
    <w:uiPriority w:val="0"/>
    <w:rPr>
      <w:rFonts w:hint="default" w:ascii="Times New Roman" w:hAnsi="Times New Roman" w:eastAsia="宋体" w:cs="Times New Roman"/>
      <w:color w:val="000000"/>
      <w:sz w:val="18"/>
      <w:szCs w:val="18"/>
      <w:u w:val="none"/>
    </w:rPr>
  </w:style>
  <w:style w:type="character" w:customStyle="1" w:styleId="78">
    <w:name w:val="A1"/>
    <w:autoRedefine/>
    <w:qFormat/>
    <w:uiPriority w:val="0"/>
    <w:rPr>
      <w:rFonts w:ascii="Univers LT Std 45 Light" w:hAnsi="Times New Roman" w:eastAsia="Univers LT Std 45 Light" w:cs="Univers LT Std 45 Light"/>
      <w:color w:val="221E1F"/>
      <w:sz w:val="10"/>
      <w:szCs w:val="10"/>
    </w:rPr>
  </w:style>
  <w:style w:type="character" w:customStyle="1" w:styleId="79">
    <w:name w:val="A10"/>
    <w:autoRedefine/>
    <w:qFormat/>
    <w:uiPriority w:val="0"/>
    <w:rPr>
      <w:rFonts w:ascii="Univers LT Std 45 Light" w:hAnsi="Times New Roman" w:eastAsia="Univers LT Std 45 Light" w:cs="Univers LT Std 45 Light"/>
      <w:color w:val="221E1F"/>
      <w:sz w:val="8"/>
      <w:szCs w:val="8"/>
    </w:rPr>
  </w:style>
  <w:style w:type="character" w:customStyle="1" w:styleId="80">
    <w:name w:val="value"/>
    <w:autoRedefine/>
    <w:qFormat/>
    <w:uiPriority w:val="0"/>
    <w:rPr>
      <w:rFonts w:ascii="Times New Roman" w:hAnsi="Times New Roman" w:eastAsia="宋体" w:cs="Times New Roman"/>
    </w:rPr>
  </w:style>
  <w:style w:type="character" w:customStyle="1" w:styleId="81">
    <w:name w:val=" Char Char4"/>
    <w:autoRedefine/>
    <w:qFormat/>
    <w:uiPriority w:val="0"/>
    <w:rPr>
      <w:rFonts w:ascii="宋体" w:hAnsi="Courier New" w:eastAsia="宋体" w:cs="Courier New"/>
      <w:kern w:val="2"/>
      <w:sz w:val="21"/>
      <w:szCs w:val="21"/>
      <w:lang w:val="en-US" w:eastAsia="zh-CN" w:bidi="ar-SA"/>
    </w:rPr>
  </w:style>
  <w:style w:type="character" w:customStyle="1" w:styleId="82">
    <w:name w:val="font01"/>
    <w:autoRedefine/>
    <w:qFormat/>
    <w:uiPriority w:val="0"/>
    <w:rPr>
      <w:rFonts w:hint="default" w:ascii="Times New Roman" w:hAnsi="Times New Roman" w:eastAsia="宋体" w:cs="Times New Roman"/>
      <w:color w:val="000000"/>
      <w:sz w:val="18"/>
      <w:szCs w:val="18"/>
      <w:u w:val="none"/>
      <w:vertAlign w:val="superscript"/>
    </w:rPr>
  </w:style>
  <w:style w:type="paragraph" w:customStyle="1" w:styleId="83">
    <w:name w:val="xl3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84">
    <w:name w:val="xl43"/>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85">
    <w:name w:val="xl32"/>
    <w:basedOn w:val="1"/>
    <w:autoRedefine/>
    <w:qFormat/>
    <w:uiPriority w:val="0"/>
    <w:pPr>
      <w:spacing w:before="100" w:beforeAutospacing="1" w:after="100" w:afterAutospacing="1"/>
      <w:jc w:val="center"/>
      <w:textAlignment w:val="center"/>
    </w:pPr>
    <w:rPr>
      <w:rFonts w:ascii="Times New Roman" w:hAnsi="Times New Roman" w:eastAsia="宋体" w:cs="Times New Roman"/>
      <w:sz w:val="28"/>
      <w:szCs w:val="28"/>
    </w:rPr>
  </w:style>
  <w:style w:type="paragraph" w:customStyle="1" w:styleId="86">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87">
    <w:name w:val=" Char Char Char Char Char Char Char"/>
    <w:basedOn w:val="1"/>
    <w:autoRedefine/>
    <w:qFormat/>
    <w:uiPriority w:val="0"/>
    <w:pPr>
      <w:widowControl w:val="0"/>
      <w:jc w:val="both"/>
    </w:pPr>
    <w:rPr>
      <w:rFonts w:ascii="Tahoma" w:hAnsi="Tahoma" w:eastAsia="宋体" w:cs="Times New Roman"/>
      <w:kern w:val="2"/>
      <w:szCs w:val="20"/>
    </w:rPr>
  </w:style>
  <w:style w:type="paragraph" w:customStyle="1" w:styleId="88">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89">
    <w:name w:val=" Char Char6 Char Char Char Char Char Char"/>
    <w:basedOn w:val="1"/>
    <w:autoRedefine/>
    <w:qFormat/>
    <w:uiPriority w:val="0"/>
    <w:pPr>
      <w:widowControl w:val="0"/>
      <w:jc w:val="both"/>
    </w:pPr>
    <w:rPr>
      <w:rFonts w:ascii="Tahoma" w:hAnsi="Tahoma"/>
      <w:kern w:val="2"/>
      <w:szCs w:val="20"/>
    </w:rPr>
  </w:style>
  <w:style w:type="paragraph" w:customStyle="1" w:styleId="90">
    <w:name w:val="font7"/>
    <w:basedOn w:val="1"/>
    <w:autoRedefine/>
    <w:qFormat/>
    <w:uiPriority w:val="0"/>
    <w:pPr>
      <w:spacing w:before="100" w:beforeAutospacing="1" w:after="100" w:afterAutospacing="1"/>
    </w:pPr>
    <w:rPr>
      <w:rFonts w:ascii="Times New Roman" w:hAnsi="Times New Roman" w:eastAsia="宋体" w:cs="Times New Roman"/>
      <w:sz w:val="26"/>
      <w:szCs w:val="26"/>
    </w:rPr>
  </w:style>
  <w:style w:type="paragraph" w:customStyle="1" w:styleId="9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默认段落字体 Para Char Char Char Char"/>
    <w:basedOn w:val="1"/>
    <w:autoRedefine/>
    <w:qFormat/>
    <w:uiPriority w:val="0"/>
    <w:pPr>
      <w:widowControl w:val="0"/>
      <w:jc w:val="both"/>
    </w:pPr>
    <w:rPr>
      <w:rFonts w:ascii="Times New Roman" w:hAnsi="Times New Roman" w:eastAsia="宋体" w:cs="Times New Roman"/>
      <w:kern w:val="2"/>
      <w:sz w:val="21"/>
    </w:rPr>
  </w:style>
  <w:style w:type="paragraph" w:customStyle="1" w:styleId="93">
    <w:name w:val="默认段落字体 Para Char Char Char Char Char Char Char Char Char Char"/>
    <w:basedOn w:val="1"/>
    <w:autoRedefine/>
    <w:qFormat/>
    <w:uiPriority w:val="0"/>
    <w:pPr>
      <w:widowControl w:val="0"/>
      <w:jc w:val="both"/>
    </w:pPr>
    <w:rPr>
      <w:rFonts w:ascii="Tahoma" w:hAnsi="Tahoma" w:eastAsia="宋体" w:cs="Times New Roman"/>
      <w:kern w:val="2"/>
      <w:szCs w:val="20"/>
    </w:rPr>
  </w:style>
  <w:style w:type="paragraph" w:customStyle="1" w:styleId="94">
    <w:name w:val="Char Char Char Char Char Char Char Char Char Char"/>
    <w:basedOn w:val="1"/>
    <w:autoRedefine/>
    <w:qFormat/>
    <w:uiPriority w:val="0"/>
    <w:pPr>
      <w:widowControl w:val="0"/>
      <w:jc w:val="both"/>
    </w:pPr>
    <w:rPr>
      <w:rFonts w:ascii="Tahoma" w:hAnsi="Tahoma" w:eastAsia="宋体" w:cs="Times New Roman"/>
      <w:kern w:val="2"/>
      <w:szCs w:val="20"/>
    </w:rPr>
  </w:style>
  <w:style w:type="paragraph" w:customStyle="1" w:styleId="95">
    <w:name w:val="标准小四"/>
    <w:basedOn w:val="1"/>
    <w:autoRedefine/>
    <w:qFormat/>
    <w:uiPriority w:val="0"/>
    <w:pPr>
      <w:widowControl w:val="0"/>
      <w:spacing w:line="360" w:lineRule="auto"/>
      <w:ind w:firstLine="480" w:firstLineChars="200"/>
      <w:jc w:val="both"/>
    </w:pPr>
    <w:rPr>
      <w:rFonts w:ascii="Arial" w:hAnsi="Arial" w:eastAsia="宋体" w:cs="Times New Roman"/>
      <w:kern w:val="2"/>
      <w:szCs w:val="21"/>
    </w:rPr>
  </w:style>
  <w:style w:type="paragraph" w:customStyle="1" w:styleId="96">
    <w:name w:val="表格"/>
    <w:basedOn w:val="1"/>
    <w:next w:val="1"/>
    <w:autoRedefine/>
    <w:qFormat/>
    <w:uiPriority w:val="0"/>
    <w:pPr>
      <w:keepNext/>
      <w:keepLines/>
      <w:widowControl w:val="0"/>
      <w:autoSpaceDE w:val="0"/>
      <w:autoSpaceDN w:val="0"/>
      <w:adjustRightInd w:val="0"/>
      <w:spacing w:before="120" w:after="120" w:line="240" w:lineRule="atLeast"/>
      <w:jc w:val="center"/>
      <w:textAlignment w:val="bottom"/>
    </w:pPr>
    <w:rPr>
      <w:rFonts w:ascii="黑体" w:hAnsi="Times New Roman" w:eastAsia="宋体" w:cs="Times New Roman"/>
    </w:rPr>
  </w:style>
  <w:style w:type="paragraph" w:customStyle="1" w:styleId="97">
    <w:name w:val="xl41"/>
    <w:basedOn w:val="1"/>
    <w:autoRedefine/>
    <w:qFormat/>
    <w:uiPriority w:val="0"/>
    <w:pPr>
      <w:pBdr>
        <w:top w:val="single" w:color="auto" w:sz="4" w:space="0"/>
        <w:lef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98">
    <w:name w:val="font8"/>
    <w:basedOn w:val="1"/>
    <w:autoRedefine/>
    <w:qFormat/>
    <w:uiPriority w:val="0"/>
    <w:pPr>
      <w:spacing w:before="100" w:beforeAutospacing="1" w:after="100" w:afterAutospacing="1"/>
    </w:pPr>
    <w:rPr>
      <w:rFonts w:ascii="Times New Roman" w:hAnsi="Times New Roman" w:eastAsia="宋体" w:cs="Times New Roman"/>
      <w:sz w:val="26"/>
      <w:szCs w:val="26"/>
    </w:rPr>
  </w:style>
  <w:style w:type="paragraph" w:customStyle="1" w:styleId="99">
    <w:name w:val="xl42"/>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00">
    <w:name w:val="xl45"/>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01">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Times New Roman"/>
      <w:sz w:val="26"/>
      <w:szCs w:val="26"/>
    </w:rPr>
  </w:style>
  <w:style w:type="paragraph" w:customStyle="1" w:styleId="102">
    <w:name w:val="xl3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03">
    <w:name w:val="样式 标题 2节标题 1.1 + 段前: 1 行 段后: 0.5 行"/>
    <w:basedOn w:val="3"/>
    <w:autoRedefine/>
    <w:qFormat/>
    <w:uiPriority w:val="0"/>
    <w:pPr>
      <w:widowControl w:val="0"/>
      <w:numPr>
        <w:ilvl w:val="1"/>
        <w:numId w:val="0"/>
      </w:numPr>
      <w:spacing w:before="240" w:after="120" w:line="360" w:lineRule="auto"/>
      <w:jc w:val="center"/>
    </w:pPr>
    <w:rPr>
      <w:rFonts w:ascii="宋体" w:hAnsi="宋体" w:eastAsia="宋体" w:cs="Times New Roman"/>
      <w:bCs w:val="0"/>
      <w:kern w:val="2"/>
      <w:sz w:val="24"/>
      <w:szCs w:val="20"/>
    </w:rPr>
  </w:style>
  <w:style w:type="paragraph" w:customStyle="1" w:styleId="104">
    <w:name w:val="font1"/>
    <w:basedOn w:val="1"/>
    <w:autoRedefine/>
    <w:qFormat/>
    <w:uiPriority w:val="0"/>
    <w:pPr>
      <w:spacing w:before="100" w:beforeAutospacing="1" w:after="100" w:afterAutospacing="1"/>
    </w:pPr>
    <w:rPr>
      <w:rFonts w:hint="eastAsia" w:ascii="宋体" w:hAnsi="宋体" w:eastAsia="宋体" w:cs="Times New Roman"/>
    </w:rPr>
  </w:style>
  <w:style w:type="paragraph" w:customStyle="1" w:styleId="105">
    <w:name w:val=" Char Char1 Char Char Char Char Char Char Char Char"/>
    <w:basedOn w:val="1"/>
    <w:autoRedefine/>
    <w:qFormat/>
    <w:uiPriority w:val="0"/>
    <w:pPr>
      <w:spacing w:after="160" w:line="240" w:lineRule="exact"/>
    </w:pPr>
    <w:rPr>
      <w:rFonts w:ascii="Times New Roman" w:hAnsi="Times New Roman" w:eastAsia="宋体" w:cs="Times New Roman"/>
      <w:kern w:val="2"/>
      <w:sz w:val="21"/>
    </w:rPr>
  </w:style>
  <w:style w:type="paragraph" w:customStyle="1" w:styleId="106">
    <w:name w:val=" Char Char Char"/>
    <w:basedOn w:val="1"/>
    <w:autoRedefine/>
    <w:qFormat/>
    <w:uiPriority w:val="0"/>
    <w:pPr>
      <w:widowControl w:val="0"/>
      <w:jc w:val="both"/>
    </w:pPr>
    <w:rPr>
      <w:rFonts w:ascii="Times New Roman" w:hAnsi="Times New Roman" w:eastAsia="宋体" w:cs="Times New Roman"/>
      <w:kern w:val="2"/>
      <w:sz w:val="21"/>
    </w:rPr>
  </w:style>
  <w:style w:type="paragraph" w:customStyle="1" w:styleId="107">
    <w:name w:val="四级条标题"/>
    <w:basedOn w:val="108"/>
    <w:next w:val="111"/>
    <w:autoRedefine/>
    <w:qFormat/>
    <w:uiPriority w:val="0"/>
    <w:pPr>
      <w:tabs>
        <w:tab w:val="left" w:pos="360"/>
        <w:tab w:val="left" w:pos="2100"/>
        <w:tab w:val="left" w:pos="2905"/>
      </w:tabs>
      <w:ind w:left="2905" w:hanging="720"/>
      <w:outlineLvl w:val="5"/>
    </w:pPr>
    <w:rPr>
      <w:rFonts w:ascii="Times New Roman" w:hAnsi="Times New Roman" w:eastAsia="宋体" w:cs="Times New Roman"/>
    </w:rPr>
  </w:style>
  <w:style w:type="paragraph" w:customStyle="1" w:styleId="108">
    <w:name w:val="三级条标题"/>
    <w:basedOn w:val="109"/>
    <w:next w:val="111"/>
    <w:autoRedefine/>
    <w:qFormat/>
    <w:uiPriority w:val="0"/>
    <w:pPr>
      <w:tabs>
        <w:tab w:val="left" w:pos="360"/>
        <w:tab w:val="left" w:pos="2100"/>
      </w:tabs>
      <w:ind w:left="2100" w:hanging="420"/>
      <w:outlineLvl w:val="4"/>
    </w:pPr>
    <w:rPr>
      <w:rFonts w:ascii="Times New Roman" w:hAnsi="Times New Roman" w:eastAsia="宋体" w:cs="Times New Roman"/>
    </w:rPr>
  </w:style>
  <w:style w:type="paragraph" w:customStyle="1" w:styleId="109">
    <w:name w:val="二级条标题"/>
    <w:basedOn w:val="110"/>
    <w:next w:val="111"/>
    <w:autoRedefine/>
    <w:qFormat/>
    <w:uiPriority w:val="0"/>
    <w:pPr>
      <w:tabs>
        <w:tab w:val="left" w:pos="360"/>
      </w:tabs>
      <w:outlineLvl w:val="3"/>
    </w:pPr>
    <w:rPr>
      <w:rFonts w:ascii="Times New Roman" w:hAnsi="Times New Roman" w:eastAsia="宋体" w:cs="Times New Roman"/>
    </w:rPr>
  </w:style>
  <w:style w:type="paragraph" w:customStyle="1" w:styleId="110">
    <w:name w:val="一级条标题"/>
    <w:next w:val="111"/>
    <w:autoRedefine/>
    <w:qFormat/>
    <w:uiPriority w:val="0"/>
    <w:pPr>
      <w:tabs>
        <w:tab w:val="left" w:pos="360"/>
      </w:tabs>
      <w:outlineLvl w:val="2"/>
    </w:pPr>
    <w:rPr>
      <w:rFonts w:ascii="Times New Roman" w:hAnsi="Times New Roman" w:eastAsia="黑体" w:cs="Times New Roman"/>
      <w:sz w:val="21"/>
      <w:lang w:val="en-US" w:eastAsia="zh-CN" w:bidi="ar-SA"/>
    </w:rPr>
  </w:style>
  <w:style w:type="paragraph" w:customStyle="1" w:styleId="11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2">
    <w:name w:val="章标题"/>
    <w:next w:val="111"/>
    <w:autoRedefine/>
    <w:qFormat/>
    <w:uiPriority w:val="0"/>
    <w:pPr>
      <w:tabs>
        <w:tab w:val="left" w:pos="1560"/>
      </w:tabs>
      <w:spacing w:beforeLines="50" w:afterLines="50"/>
      <w:ind w:left="1560" w:hanging="720"/>
      <w:jc w:val="both"/>
      <w:outlineLvl w:val="1"/>
    </w:pPr>
    <w:rPr>
      <w:rFonts w:ascii="黑体" w:hAnsi="Times New Roman" w:eastAsia="黑体" w:cs="Times New Roman"/>
      <w:sz w:val="21"/>
      <w:lang w:val="en-US" w:eastAsia="zh-CN" w:bidi="ar-SA"/>
    </w:rPr>
  </w:style>
  <w:style w:type="paragraph" w:customStyle="1" w:styleId="113">
    <w:name w:val="xl3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14">
    <w:name w:val="xl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sz w:val="26"/>
      <w:szCs w:val="26"/>
    </w:rPr>
  </w:style>
  <w:style w:type="paragraph" w:customStyle="1" w:styleId="115">
    <w:name w:val=" Char2"/>
    <w:basedOn w:val="15"/>
    <w:next w:val="1"/>
    <w:autoRedefine/>
    <w:qFormat/>
    <w:uiPriority w:val="0"/>
    <w:pPr>
      <w:widowControl w:val="0"/>
      <w:jc w:val="both"/>
    </w:pPr>
    <w:rPr>
      <w:rFonts w:ascii="Times New Roman" w:hAnsi="Times New Roman" w:eastAsia="宋体" w:cs="Times New Roman"/>
      <w:kern w:val="2"/>
      <w:sz w:val="21"/>
      <w:szCs w:val="20"/>
    </w:rPr>
  </w:style>
  <w:style w:type="paragraph" w:customStyle="1" w:styleId="116">
    <w:name w:val="纯文本1"/>
    <w:basedOn w:val="1"/>
    <w:autoRedefine/>
    <w:qFormat/>
    <w:uiPriority w:val="0"/>
    <w:rPr>
      <w:rFonts w:hint="eastAsia" w:ascii="宋体" w:hAnsi="Courier New"/>
      <w:kern w:val="2"/>
      <w:sz w:val="21"/>
      <w:szCs w:val="20"/>
    </w:rPr>
  </w:style>
  <w:style w:type="paragraph" w:customStyle="1" w:styleId="117">
    <w:name w:val="Char2"/>
    <w:basedOn w:val="15"/>
    <w:next w:val="1"/>
    <w:autoRedefine/>
    <w:qFormat/>
    <w:uiPriority w:val="0"/>
    <w:pPr>
      <w:widowControl w:val="0"/>
      <w:jc w:val="both"/>
    </w:pPr>
    <w:rPr>
      <w:rFonts w:ascii="Times New Roman" w:hAnsi="Times New Roman" w:eastAsia="宋体" w:cs="Times New Roman"/>
      <w:kern w:val="2"/>
      <w:sz w:val="21"/>
      <w:szCs w:val="20"/>
    </w:rPr>
  </w:style>
  <w:style w:type="paragraph" w:customStyle="1" w:styleId="118">
    <w:name w:val="列项——（一级）"/>
    <w:autoRedefine/>
    <w:qFormat/>
    <w:uiPriority w:val="0"/>
    <w:pPr>
      <w:widowControl w:val="0"/>
      <w:tabs>
        <w:tab w:val="left" w:pos="854"/>
        <w:tab w:val="left" w:pos="1260"/>
      </w:tabs>
      <w:ind w:left="1260" w:leftChars="200" w:hanging="420" w:hangingChars="200"/>
      <w:jc w:val="both"/>
    </w:pPr>
    <w:rPr>
      <w:rFonts w:ascii="宋体" w:hAnsi="Times New Roman" w:eastAsia="宋体" w:cs="Times New Roman"/>
      <w:sz w:val="21"/>
      <w:lang w:val="en-US" w:eastAsia="zh-CN" w:bidi="ar-SA"/>
    </w:rPr>
  </w:style>
  <w:style w:type="paragraph" w:customStyle="1" w:styleId="119">
    <w:name w:val="五级条标题"/>
    <w:basedOn w:val="107"/>
    <w:next w:val="111"/>
    <w:uiPriority w:val="0"/>
    <w:pPr>
      <w:tabs>
        <w:tab w:val="left" w:pos="2940"/>
        <w:tab w:val="clear" w:pos="2905"/>
      </w:tabs>
      <w:ind w:left="2940" w:hanging="420"/>
      <w:outlineLvl w:val="6"/>
    </w:pPr>
    <w:rPr>
      <w:rFonts w:ascii="Times New Roman" w:hAnsi="Times New Roman" w:eastAsia="宋体" w:cs="Times New Roman"/>
    </w:rPr>
  </w:style>
  <w:style w:type="paragraph" w:customStyle="1" w:styleId="120">
    <w:name w:val="正文2"/>
    <w:basedOn w:val="1"/>
    <w:link w:val="121"/>
    <w:autoRedefine/>
    <w:qFormat/>
    <w:uiPriority w:val="0"/>
    <w:pPr>
      <w:widowControl w:val="0"/>
      <w:spacing w:before="156" w:line="360" w:lineRule="auto"/>
      <w:ind w:firstLine="510" w:firstLineChars="200"/>
      <w:jc w:val="both"/>
    </w:pPr>
    <w:rPr>
      <w:kern w:val="2"/>
      <w:szCs w:val="20"/>
    </w:rPr>
  </w:style>
  <w:style w:type="character" w:customStyle="1" w:styleId="121">
    <w:name w:val="正文2 Char Char"/>
    <w:link w:val="120"/>
    <w:autoRedefine/>
    <w:qFormat/>
    <w:uiPriority w:val="0"/>
    <w:rPr>
      <w:kern w:val="2"/>
      <w:sz w:val="24"/>
    </w:rPr>
  </w:style>
  <w:style w:type="paragraph" w:customStyle="1" w:styleId="122">
    <w:name w:val="xl65"/>
    <w:basedOn w:val="1"/>
    <w:autoRedefine/>
    <w:qFormat/>
    <w:uiPriority w:val="0"/>
    <w:pPr>
      <w:shd w:val="clear" w:color="000000" w:fill="FFFFFF"/>
      <w:spacing w:before="100" w:beforeAutospacing="1" w:after="100" w:afterAutospacing="1"/>
      <w:jc w:val="center"/>
    </w:pPr>
    <w:rPr>
      <w:rFonts w:ascii="宋体" w:hAnsi="宋体" w:cs="宋体"/>
      <w:b/>
      <w:bCs/>
      <w:sz w:val="36"/>
      <w:szCs w:val="36"/>
    </w:rPr>
  </w:style>
  <w:style w:type="paragraph" w:customStyle="1" w:styleId="123">
    <w:name w:val="1"/>
    <w:basedOn w:val="1"/>
    <w:next w:val="18"/>
    <w:autoRedefine/>
    <w:qFormat/>
    <w:uiPriority w:val="0"/>
    <w:pPr>
      <w:widowControl w:val="0"/>
      <w:tabs>
        <w:tab w:val="left" w:pos="6480"/>
      </w:tabs>
      <w:spacing w:line="360" w:lineRule="auto"/>
      <w:ind w:right="-512" w:rightChars="-244"/>
      <w:jc w:val="both"/>
    </w:pPr>
    <w:rPr>
      <w:rFonts w:ascii="宋体" w:hAnsi="宋体" w:eastAsia="宋体" w:cs="Times New Roman"/>
      <w:kern w:val="2"/>
    </w:rPr>
  </w:style>
  <w:style w:type="paragraph" w:customStyle="1" w:styleId="124">
    <w:name w:val="xl27"/>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sz w:val="22"/>
      <w:szCs w:val="22"/>
    </w:rPr>
  </w:style>
  <w:style w:type="paragraph" w:customStyle="1" w:styleId="125">
    <w:name w:val="def正文"/>
    <w:basedOn w:val="19"/>
    <w:autoRedefine/>
    <w:qFormat/>
    <w:uiPriority w:val="0"/>
    <w:pPr>
      <w:widowControl/>
      <w:spacing w:line="360" w:lineRule="auto"/>
      <w:ind w:firstLine="510"/>
      <w:jc w:val="left"/>
    </w:pPr>
    <w:rPr>
      <w:rFonts w:ascii="Times New Roman" w:hAnsi="Times New Roman" w:eastAsia="宋体" w:cs="Times New Roman"/>
      <w:kern w:val="0"/>
      <w:sz w:val="24"/>
    </w:rPr>
  </w:style>
  <w:style w:type="paragraph" w:customStyle="1" w:styleId="126">
    <w:name w:val="表内文字"/>
    <w:basedOn w:val="1"/>
    <w:autoRedefine/>
    <w:qFormat/>
    <w:uiPriority w:val="0"/>
    <w:pPr>
      <w:widowControl w:val="0"/>
      <w:spacing w:line="500" w:lineRule="atLeast"/>
      <w:jc w:val="center"/>
    </w:pPr>
    <w:rPr>
      <w:rFonts w:ascii="楷体_GB2312" w:hAnsi="Times New Roman" w:eastAsia="楷体_GB2312" w:cs="Times New Roman"/>
      <w:kern w:val="2"/>
      <w:sz w:val="28"/>
    </w:rPr>
  </w:style>
  <w:style w:type="paragraph" w:customStyle="1" w:styleId="127">
    <w:name w:val="Char"/>
    <w:basedOn w:val="1"/>
    <w:autoRedefine/>
    <w:qFormat/>
    <w:uiPriority w:val="0"/>
    <w:pPr>
      <w:widowControl w:val="0"/>
      <w:jc w:val="both"/>
    </w:pPr>
    <w:rPr>
      <w:rFonts w:ascii="仿宋_GB2312" w:hAnsi="Times New Roman" w:eastAsia="仿宋_GB2312" w:cs="Times New Roman"/>
      <w:b/>
      <w:kern w:val="2"/>
      <w:sz w:val="32"/>
      <w:szCs w:val="32"/>
    </w:rPr>
  </w:style>
  <w:style w:type="paragraph" w:customStyle="1" w:styleId="128">
    <w:name w:val="xl31"/>
    <w:basedOn w:val="1"/>
    <w:autoRedefine/>
    <w:qFormat/>
    <w:uiPriority w:val="0"/>
    <w:pPr>
      <w:spacing w:before="100" w:beforeAutospacing="1" w:after="100" w:afterAutospacing="1"/>
      <w:jc w:val="center"/>
      <w:textAlignment w:val="center"/>
    </w:pPr>
    <w:rPr>
      <w:rFonts w:hint="eastAsia" w:ascii="黑体" w:hAnsi="宋体" w:eastAsia="黑体" w:cs="Times New Roman"/>
      <w:sz w:val="40"/>
      <w:szCs w:val="40"/>
    </w:rPr>
  </w:style>
  <w:style w:type="paragraph" w:customStyle="1" w:styleId="129">
    <w:name w:val="font5"/>
    <w:basedOn w:val="1"/>
    <w:autoRedefine/>
    <w:qFormat/>
    <w:uiPriority w:val="0"/>
    <w:pPr>
      <w:spacing w:before="100" w:beforeAutospacing="1" w:after="100" w:afterAutospacing="1"/>
    </w:pPr>
    <w:rPr>
      <w:rFonts w:hint="eastAsia" w:ascii="宋体" w:hAnsi="宋体" w:eastAsia="宋体" w:cs="Times New Roman"/>
      <w:sz w:val="18"/>
      <w:szCs w:val="18"/>
    </w:rPr>
  </w:style>
  <w:style w:type="paragraph" w:customStyle="1" w:styleId="130">
    <w:name w:val="xl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styleId="131">
    <w:name w:val="List Paragraph"/>
    <w:basedOn w:val="1"/>
    <w:autoRedefine/>
    <w:qFormat/>
    <w:uiPriority w:val="0"/>
    <w:pPr>
      <w:widowControl w:val="0"/>
      <w:ind w:firstLine="420" w:firstLineChars="200"/>
      <w:jc w:val="both"/>
    </w:pPr>
    <w:rPr>
      <w:rFonts w:ascii="Calibri" w:hAnsi="Calibri" w:eastAsia="宋体" w:cs="Times New Roman"/>
      <w:kern w:val="2"/>
      <w:sz w:val="21"/>
      <w:szCs w:val="22"/>
    </w:rPr>
  </w:style>
  <w:style w:type="paragraph" w:customStyle="1" w:styleId="132">
    <w:name w:val=" Char Char7 Char Char Char Char Char Char Char Char"/>
    <w:basedOn w:val="1"/>
    <w:autoRedefine/>
    <w:qFormat/>
    <w:uiPriority w:val="0"/>
    <w:pPr>
      <w:widowControl w:val="0"/>
      <w:jc w:val="both"/>
    </w:pPr>
    <w:rPr>
      <w:rFonts w:ascii="Tahoma" w:hAnsi="Tahoma" w:eastAsia="宋体" w:cs="Times New Roman"/>
      <w:kern w:val="2"/>
      <w:szCs w:val="20"/>
    </w:rPr>
  </w:style>
  <w:style w:type="paragraph" w:customStyle="1" w:styleId="133">
    <w:name w:val="前言、引言标题"/>
    <w:next w:val="1"/>
    <w:autoRedefine/>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34">
    <w:name w:val="2"/>
    <w:basedOn w:val="1"/>
    <w:next w:val="19"/>
    <w:autoRedefine/>
    <w:qFormat/>
    <w:uiPriority w:val="0"/>
    <w:pPr>
      <w:widowControl w:val="0"/>
      <w:adjustRightInd w:val="0"/>
      <w:spacing w:line="360" w:lineRule="auto"/>
      <w:jc w:val="both"/>
      <w:textAlignment w:val="baseline"/>
    </w:pPr>
    <w:rPr>
      <w:rFonts w:ascii="宋体" w:hAnsi="Times New Roman" w:eastAsia="宋体" w:cs="Times New Roman"/>
      <w:sz w:val="30"/>
      <w:szCs w:val="20"/>
    </w:rPr>
  </w:style>
  <w:style w:type="paragraph" w:customStyle="1" w:styleId="135">
    <w:name w:val="正文－恩普"/>
    <w:basedOn w:val="7"/>
    <w:autoRedefine/>
    <w:qFormat/>
    <w:uiPriority w:val="0"/>
    <w:pPr>
      <w:widowControl/>
      <w:spacing w:afterLines="50"/>
      <w:ind w:firstLine="480"/>
    </w:pPr>
    <w:rPr>
      <w:rFonts w:ascii="Times New Roman" w:hAnsi="Times New Roman" w:eastAsia="宋体" w:cs="Times New Roman"/>
      <w:kern w:val="0"/>
      <w:sz w:val="24"/>
    </w:rPr>
  </w:style>
  <w:style w:type="paragraph" w:customStyle="1" w:styleId="136">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37">
    <w:name w:val="xl24"/>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rPr>
  </w:style>
  <w:style w:type="paragraph" w:customStyle="1" w:styleId="138">
    <w:name w:val="3"/>
    <w:basedOn w:val="1"/>
    <w:autoRedefine/>
    <w:qFormat/>
    <w:uiPriority w:val="0"/>
    <w:pPr>
      <w:widowControl w:val="0"/>
      <w:jc w:val="both"/>
    </w:pPr>
    <w:rPr>
      <w:rFonts w:ascii="Tahoma" w:hAnsi="Tahoma" w:eastAsia="宋体" w:cs="Times New Roman"/>
      <w:kern w:val="2"/>
      <w:szCs w:val="20"/>
    </w:rPr>
  </w:style>
  <w:style w:type="paragraph" w:customStyle="1" w:styleId="139">
    <w:name w:val="Char Char Char Char"/>
    <w:basedOn w:val="1"/>
    <w:autoRedefine/>
    <w:uiPriority w:val="0"/>
    <w:pPr>
      <w:spacing w:after="160" w:line="240" w:lineRule="exact"/>
    </w:pPr>
    <w:rPr>
      <w:rFonts w:ascii="Times New Roman" w:hAnsi="Times New Roman" w:eastAsia="宋体" w:cs="Times New Roman"/>
      <w:kern w:val="2"/>
      <w:sz w:val="21"/>
      <w:szCs w:val="20"/>
    </w:rPr>
  </w:style>
  <w:style w:type="paragraph" w:customStyle="1" w:styleId="140">
    <w:name w:val="p23"/>
    <w:basedOn w:val="1"/>
    <w:autoRedefine/>
    <w:qFormat/>
    <w:uiPriority w:val="0"/>
    <w:pPr>
      <w:spacing w:before="100" w:beforeAutospacing="1" w:after="100" w:afterAutospacing="1"/>
    </w:pPr>
    <w:rPr>
      <w:rFonts w:ascii="宋体" w:hAnsi="宋体" w:eastAsia="宋体" w:cs="宋体"/>
    </w:rPr>
  </w:style>
  <w:style w:type="paragraph" w:customStyle="1" w:styleId="141">
    <w:name w:val=" Char"/>
    <w:basedOn w:val="1"/>
    <w:autoRedefine/>
    <w:qFormat/>
    <w:uiPriority w:val="0"/>
    <w:pPr>
      <w:widowControl w:val="0"/>
      <w:jc w:val="both"/>
    </w:pPr>
    <w:rPr>
      <w:rFonts w:ascii="仿宋_GB2312" w:hAnsi="Times New Roman" w:eastAsia="仿宋_GB2312" w:cs="Times New Roman"/>
      <w:b/>
      <w:kern w:val="2"/>
      <w:sz w:val="32"/>
      <w:szCs w:val="32"/>
    </w:rPr>
  </w:style>
  <w:style w:type="paragraph" w:customStyle="1" w:styleId="142">
    <w:name w:val="xl44"/>
    <w:basedOn w:val="1"/>
    <w:autoRedefine/>
    <w:qFormat/>
    <w:uiPriority w:val="0"/>
    <w:pPr>
      <w:pBdr>
        <w:left w:val="single" w:color="auto" w:sz="4" w:space="0"/>
        <w:bottom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43">
    <w:name w:val="font6"/>
    <w:basedOn w:val="1"/>
    <w:autoRedefine/>
    <w:qFormat/>
    <w:uiPriority w:val="0"/>
    <w:pPr>
      <w:spacing w:before="100" w:beforeAutospacing="1" w:after="100" w:afterAutospacing="1"/>
    </w:pPr>
    <w:rPr>
      <w:rFonts w:hint="eastAsia" w:ascii="宋体" w:hAnsi="宋体" w:eastAsia="宋体" w:cs="Times New Roman"/>
      <w:sz w:val="26"/>
      <w:szCs w:val="26"/>
    </w:rPr>
  </w:style>
  <w:style w:type="paragraph" w:customStyle="1" w:styleId="144">
    <w:name w:val="p0"/>
    <w:basedOn w:val="1"/>
    <w:autoRedefine/>
    <w:qFormat/>
    <w:uiPriority w:val="0"/>
    <w:pPr>
      <w:widowControl w:val="0"/>
      <w:autoSpaceDE w:val="0"/>
      <w:autoSpaceDN w:val="0"/>
      <w:adjustRightInd w:val="0"/>
      <w:spacing w:before="100" w:beforeAutospacing="1" w:after="100" w:afterAutospacing="1"/>
      <w:textAlignment w:val="baseline"/>
    </w:pPr>
    <w:rPr>
      <w:rFonts w:ascii="宋体" w:hAnsi="宋体" w:eastAsia="宋体" w:cs="宋体"/>
    </w:rPr>
  </w:style>
  <w:style w:type="character" w:customStyle="1" w:styleId="145">
    <w:name w:val="标题 1 字符"/>
    <w:autoRedefine/>
    <w:qFormat/>
    <w:uiPriority w:val="0"/>
    <w:rPr>
      <w:rFonts w:hint="default" w:ascii="Calibri" w:hAnsi="Calibri" w:eastAsia="宋体" w:cs="Times New Roman"/>
      <w:b/>
      <w:kern w:val="44"/>
      <w:sz w:val="44"/>
      <w:szCs w:val="44"/>
    </w:rPr>
  </w:style>
  <w:style w:type="character" w:customStyle="1" w:styleId="146">
    <w:name w:val="标题 2 字符"/>
    <w:autoRedefine/>
    <w:qFormat/>
    <w:uiPriority w:val="0"/>
    <w:rPr>
      <w:rFonts w:ascii="Arial" w:hAnsi="Arial" w:eastAsia="黑体" w:cs="Arial"/>
      <w:b/>
      <w:color w:val="000000"/>
      <w:sz w:val="32"/>
      <w:szCs w:val="32"/>
    </w:rPr>
  </w:style>
  <w:style w:type="paragraph" w:customStyle="1" w:styleId="147">
    <w:name w:val=" Char Char2 Char Char"/>
    <w:basedOn w:val="1"/>
    <w:autoRedefine/>
    <w:qFormat/>
    <w:uiPriority w:val="0"/>
    <w:pPr>
      <w:widowControl w:val="0"/>
      <w:jc w:val="both"/>
    </w:pPr>
    <w:rPr>
      <w:rFonts w:ascii="Tahoma" w:hAnsi="Tahoma"/>
      <w:kern w:val="2"/>
      <w:szCs w:val="20"/>
    </w:rPr>
  </w:style>
  <w:style w:type="character" w:customStyle="1" w:styleId="148">
    <w:name w:val="纯文本 字符1"/>
    <w:autoRedefine/>
    <w:qFormat/>
    <w:uiPriority w:val="0"/>
    <w:rPr>
      <w:rFonts w:ascii="宋体" w:hAnsi="Courier New" w:eastAsia="宋体" w:cs="Arial"/>
      <w:snapToGrid/>
      <w:kern w:val="2"/>
      <w:sz w:val="21"/>
      <w:szCs w:val="21"/>
      <w:lang w:val="en-US" w:eastAsia="zh-CN" w:bidi="ar-SA"/>
    </w:rPr>
  </w:style>
  <w:style w:type="paragraph" w:customStyle="1" w:styleId="149">
    <w:name w:val="trs_editor"/>
    <w:basedOn w:val="1"/>
    <w:autoRedefine/>
    <w:qFormat/>
    <w:uiPriority w:val="0"/>
    <w:pPr>
      <w:spacing w:before="100" w:beforeAutospacing="1" w:after="100" w:afterAutospacing="1"/>
    </w:pPr>
    <w:rPr>
      <w:rFonts w:ascii="宋体" w:hAnsi="宋体" w:cs="宋体"/>
    </w:rPr>
  </w:style>
  <w:style w:type="paragraph" w:customStyle="1" w:styleId="15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151">
    <w:name w:val="纯文本 Char_0"/>
    <w:link w:val="152"/>
    <w:qFormat/>
    <w:uiPriority w:val="0"/>
    <w:rPr>
      <w:rFonts w:ascii="宋体" w:hAnsi="Courier New"/>
      <w:kern w:val="2"/>
      <w:sz w:val="21"/>
      <w:szCs w:val="21"/>
    </w:rPr>
  </w:style>
  <w:style w:type="paragraph" w:customStyle="1" w:styleId="152">
    <w:name w:val="纯文本_0_0"/>
    <w:basedOn w:val="1"/>
    <w:link w:val="151"/>
    <w:autoRedefine/>
    <w:qFormat/>
    <w:uiPriority w:val="0"/>
    <w:pPr>
      <w:widowControl w:val="0"/>
      <w:jc w:val="both"/>
    </w:pPr>
    <w:rPr>
      <w:rFonts w:ascii="宋体" w:hAnsi="Courier New"/>
      <w:kern w:val="2"/>
      <w:sz w:val="21"/>
      <w:szCs w:val="21"/>
    </w:rPr>
  </w:style>
  <w:style w:type="character" w:customStyle="1" w:styleId="153">
    <w:name w:val="页脚 字符2"/>
    <w:autoRedefine/>
    <w:qFormat/>
    <w:locked/>
    <w:uiPriority w:val="99"/>
    <w:rPr>
      <w:kern w:val="2"/>
      <w:sz w:val="18"/>
      <w:szCs w:val="18"/>
    </w:rPr>
  </w:style>
  <w:style w:type="character" w:customStyle="1" w:styleId="154">
    <w:name w:val="页眉 字符2"/>
    <w:qFormat/>
    <w:uiPriority w:val="99"/>
    <w:rPr>
      <w:kern w:val="2"/>
      <w:sz w:val="18"/>
      <w:szCs w:val="18"/>
    </w:rPr>
  </w:style>
  <w:style w:type="character" w:customStyle="1" w:styleId="155">
    <w:name w:val="NormalCharacter"/>
    <w:autoRedefine/>
    <w:qFormat/>
    <w:uiPriority w:val="0"/>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ewe</Company>
  <Pages>55</Pages>
  <Words>5136</Words>
  <Characters>29278</Characters>
  <Lines>243</Lines>
  <Paragraphs>68</Paragraphs>
  <TotalTime>0</TotalTime>
  <ScaleCrop>false</ScaleCrop>
  <LinksUpToDate>false</LinksUpToDate>
  <CharactersWithSpaces>34346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2021-04-02T02:12:00Z</dcterms:created>
  <dc:creator>刘</dc:creator>
  <cp:lastModifiedBy>WPS_1701756769</cp:lastModifiedBy>
  <cp:lastPrinted>2021-04-09T04:02:00Z</cp:lastPrinted>
  <dcterms:modified xsi:type="dcterms:W3CDTF">2024-02-22T08:54:16Z</dcterms:modified>
  <cp:revision>7</cp:revision>
  <dc:subject>金华监狱生活电器采购</dc:subject>
  <dc:title>公开招标文件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招标文件（466）">
    <vt:lpwstr>L</vt:lpwstr>
  </property>
  <property fmtid="{D5CDD505-2E9C-101B-9397-08002B2CF9AE}" pid="3" name="KSOProductBuildVer">
    <vt:lpwstr>2052-12.1.0.16388</vt:lpwstr>
  </property>
  <property fmtid="{D5CDD505-2E9C-101B-9397-08002B2CF9AE}" pid="4" name="ICV">
    <vt:lpwstr>220F6FE5A3194151AB3D043EDD60615E_13</vt:lpwstr>
  </property>
</Properties>
</file>